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E9E8" w14:textId="39C45795" w:rsidR="00AC7701" w:rsidRPr="00D47E44" w:rsidRDefault="00AC7701" w:rsidP="00AC7701">
      <w:pPr>
        <w:pStyle w:val="NRCINSPECTIONMANUAL"/>
        <w:rPr>
          <w:rFonts w:eastAsia="Times New Roman"/>
          <w:color w:val="000000"/>
          <w:spacing w:val="-2"/>
          <w:szCs w:val="20"/>
        </w:rPr>
      </w:pPr>
      <w:r>
        <w:tab/>
      </w:r>
      <w:r w:rsidRPr="00AC7701">
        <w:rPr>
          <w:b/>
          <w:bCs/>
          <w:sz w:val="38"/>
          <w:szCs w:val="38"/>
        </w:rPr>
        <w:t>NRC INSPECTION MANUAL</w:t>
      </w:r>
      <w:r w:rsidRPr="00D47E44">
        <w:rPr>
          <w:rFonts w:eastAsia="Times New Roman"/>
          <w:color w:val="000000"/>
          <w:spacing w:val="-2"/>
        </w:rPr>
        <w:tab/>
      </w:r>
      <w:r w:rsidRPr="00D47E44">
        <w:rPr>
          <w:rFonts w:eastAsia="Times New Roman"/>
          <w:color w:val="000000"/>
          <w:spacing w:val="-2"/>
          <w:szCs w:val="20"/>
        </w:rPr>
        <w:t>NSIR/DPCP</w:t>
      </w:r>
    </w:p>
    <w:p w14:paraId="021A4CEE" w14:textId="48D8F732" w:rsidR="00D47E44" w:rsidRPr="00AC7701" w:rsidRDefault="00D47E44" w:rsidP="00AC7701">
      <w:pPr>
        <w:pStyle w:val="IMCIP"/>
      </w:pPr>
      <w:r w:rsidRPr="00AC7701">
        <w:t>INSPECTION PROCEDURE 81000</w:t>
      </w:r>
      <w:r w:rsidR="00E475B6" w:rsidRPr="00AC7701">
        <w:t>.</w:t>
      </w:r>
      <w:r w:rsidRPr="00AC7701">
        <w:t>13</w:t>
      </w:r>
    </w:p>
    <w:p w14:paraId="6BFC58C2" w14:textId="77777777" w:rsidR="00D47E44" w:rsidRPr="00AC7701" w:rsidRDefault="00D47E44" w:rsidP="00AC7701">
      <w:pPr>
        <w:pStyle w:val="Title"/>
      </w:pPr>
      <w:r w:rsidRPr="00AC7701">
        <w:t>CYBERSECURITY RESTART INSPECTION – POST-FUEL LOAD</w:t>
      </w:r>
    </w:p>
    <w:p w14:paraId="4AE6080E" w14:textId="6EA73AC9" w:rsidR="00D47E44" w:rsidRPr="00AC7701" w:rsidRDefault="00D47E44" w:rsidP="00AC7701">
      <w:pPr>
        <w:pStyle w:val="EffectiveDate"/>
        <w:rPr>
          <w:rFonts w:eastAsia="Arial"/>
        </w:rPr>
      </w:pPr>
      <w:r w:rsidRPr="00AC7701">
        <w:rPr>
          <w:rFonts w:eastAsia="Arial"/>
        </w:rPr>
        <w:t>Effective Date:</w:t>
      </w:r>
      <w:r w:rsidR="00574A09">
        <w:rPr>
          <w:rFonts w:eastAsia="Arial"/>
        </w:rPr>
        <w:t xml:space="preserve"> January 1, 2026</w:t>
      </w:r>
    </w:p>
    <w:p w14:paraId="546295C1" w14:textId="204599D7" w:rsidR="00E475B6" w:rsidRPr="00AC7701" w:rsidRDefault="00D47E44" w:rsidP="00AC7701">
      <w:pPr>
        <w:pStyle w:val="Applicability"/>
      </w:pPr>
      <w:r w:rsidRPr="00AC7701">
        <w:t>PROGRAM APPLICABILITY:</w:t>
      </w:r>
      <w:r w:rsidR="0050552D" w:rsidRPr="00AC7701">
        <w:tab/>
      </w:r>
      <w:r w:rsidRPr="00AC7701">
        <w:t xml:space="preserve">IMC 2562 </w:t>
      </w:r>
    </w:p>
    <w:p w14:paraId="10D413A4" w14:textId="6B09FAEF" w:rsidR="00E475B6" w:rsidRPr="00AC7701" w:rsidRDefault="00E475B6" w:rsidP="00AC7701">
      <w:pPr>
        <w:pStyle w:val="CornerstoneBases"/>
      </w:pPr>
      <w:r w:rsidRPr="00AC7701">
        <w:t>CORNERSTONE</w:t>
      </w:r>
      <w:proofErr w:type="gramStart"/>
      <w:r w:rsidRPr="00AC7701">
        <w:t>:</w:t>
      </w:r>
      <w:r w:rsidRPr="00AC7701">
        <w:tab/>
      </w:r>
      <w:r w:rsidRPr="00AC7701">
        <w:tab/>
        <w:t>Security</w:t>
      </w:r>
      <w:proofErr w:type="gramEnd"/>
    </w:p>
    <w:p w14:paraId="137F1AA4" w14:textId="79D9B19A" w:rsidR="004F1CB7" w:rsidRDefault="00D47E44" w:rsidP="00FD03C3">
      <w:pPr>
        <w:pStyle w:val="BodyText"/>
      </w:pPr>
      <w:r w:rsidRPr="00456549">
        <w:t xml:space="preserve">This inspection procedure </w:t>
      </w:r>
      <w:r w:rsidR="008817EE">
        <w:t xml:space="preserve">(IP) </w:t>
      </w:r>
      <w:r w:rsidRPr="00456549">
        <w:t>provides criteria that support re-establishing the baseline criteria for a facility seeking to return to operational status. The attributes to establishing these criteria are specified in Sections 03.01 – 03.03.</w:t>
      </w:r>
      <w:r w:rsidRPr="003B2E1D">
        <w:t xml:space="preserve"> Some of the applicable sections of this procedure may have been accomplished during the </w:t>
      </w:r>
      <w:r w:rsidR="008817EE">
        <w:t>p</w:t>
      </w:r>
      <w:r w:rsidRPr="003B2E1D">
        <w:t>re-fuel load IP 81000.12 and thus do not have to be reinspected.</w:t>
      </w:r>
      <w:r w:rsidRPr="001261CA">
        <w:t xml:space="preserve"> </w:t>
      </w:r>
      <w:r w:rsidR="002B4F16" w:rsidRPr="001261CA">
        <w:t xml:space="preserve">The </w:t>
      </w:r>
      <w:r w:rsidR="00FE3F56">
        <w:t>i</w:t>
      </w:r>
      <w:r w:rsidR="00112E09" w:rsidRPr="001261CA">
        <w:t xml:space="preserve">nspection </w:t>
      </w:r>
      <w:r w:rsidR="00FE3F56">
        <w:t>p</w:t>
      </w:r>
      <w:r w:rsidR="00112E09" w:rsidRPr="001261CA">
        <w:t xml:space="preserve">lan for </w:t>
      </w:r>
      <w:r w:rsidR="00FC6C2B">
        <w:t xml:space="preserve">IP </w:t>
      </w:r>
      <w:r w:rsidR="00112E09" w:rsidRPr="001261CA">
        <w:t xml:space="preserve">81000.12 will </w:t>
      </w:r>
      <w:r w:rsidR="005E38DC" w:rsidRPr="001261CA">
        <w:t>specify</w:t>
      </w:r>
      <w:r w:rsidR="00112E09" w:rsidRPr="001261CA">
        <w:t xml:space="preserve"> the sections that were </w:t>
      </w:r>
      <w:r w:rsidR="00BA5826" w:rsidRPr="001261CA">
        <w:t>inspected</w:t>
      </w:r>
      <w:r w:rsidR="0004283B" w:rsidRPr="001261CA">
        <w:t xml:space="preserve"> on the </w:t>
      </w:r>
      <w:r w:rsidR="00FE3F56">
        <w:t>p</w:t>
      </w:r>
      <w:r w:rsidR="0004283B" w:rsidRPr="001261CA">
        <w:t xml:space="preserve">re-fuel </w:t>
      </w:r>
      <w:r w:rsidR="00EB607D">
        <w:t xml:space="preserve">load </w:t>
      </w:r>
      <w:r w:rsidR="0004283B" w:rsidRPr="001261CA">
        <w:t>inspection</w:t>
      </w:r>
      <w:r w:rsidR="007936F9" w:rsidRPr="001261CA">
        <w:t xml:space="preserve"> and do not need to be inspected by IP 81000.13 unless there </w:t>
      </w:r>
      <w:r w:rsidR="00DA09B4" w:rsidRPr="001261CA">
        <w:t>have been</w:t>
      </w:r>
      <w:r w:rsidR="003B2305" w:rsidRPr="001261CA">
        <w:t xml:space="preserve"> </w:t>
      </w:r>
      <w:r w:rsidR="00D72571" w:rsidRPr="001261CA">
        <w:t>changes</w:t>
      </w:r>
      <w:r w:rsidR="00DA09B4" w:rsidRPr="001261CA">
        <w:t xml:space="preserve"> since the </w:t>
      </w:r>
      <w:r w:rsidR="00FC6C2B">
        <w:t xml:space="preserve">IP </w:t>
      </w:r>
      <w:r w:rsidR="00DA09B4" w:rsidRPr="001261CA">
        <w:t>81000.12 inspection</w:t>
      </w:r>
      <w:r w:rsidR="00D72571" w:rsidRPr="001261CA">
        <w:t xml:space="preserve"> or </w:t>
      </w:r>
      <w:r w:rsidR="003B2305" w:rsidRPr="001261CA">
        <w:t xml:space="preserve">deficiencies </w:t>
      </w:r>
      <w:r w:rsidR="00DA09B4" w:rsidRPr="001261CA">
        <w:t xml:space="preserve">have been </w:t>
      </w:r>
      <w:r w:rsidR="0051694A" w:rsidRPr="001261CA">
        <w:t>found</w:t>
      </w:r>
      <w:r w:rsidR="003B2305" w:rsidRPr="001261CA">
        <w:t xml:space="preserve"> in that section</w:t>
      </w:r>
      <w:r w:rsidR="0004283B" w:rsidRPr="001261CA">
        <w:t>.</w:t>
      </w:r>
      <w:r w:rsidR="007936F9" w:rsidRPr="001261CA">
        <w:t xml:space="preserve"> </w:t>
      </w:r>
    </w:p>
    <w:p w14:paraId="6FDA79C1" w14:textId="55087088" w:rsidR="004F1CB7" w:rsidRPr="004F1CB7" w:rsidRDefault="004F1CB7" w:rsidP="005815E6">
      <w:pPr>
        <w:pStyle w:val="CornerstoneBases"/>
        <w:rPr>
          <w:color w:val="000000"/>
        </w:rPr>
      </w:pPr>
      <w:r w:rsidRPr="0010318C">
        <w:t>INSPECTION BASES:</w:t>
      </w:r>
      <w:r w:rsidR="00A24357">
        <w:t xml:space="preserve"> </w:t>
      </w:r>
      <w:r w:rsidR="00A24357" w:rsidRPr="00A24357">
        <w:t>IMC 2562</w:t>
      </w:r>
    </w:p>
    <w:p w14:paraId="69215F71" w14:textId="64998043" w:rsidR="004F1CB7" w:rsidRPr="004F1CB7" w:rsidRDefault="004F1CB7" w:rsidP="004F1CB7">
      <w:pPr>
        <w:pStyle w:val="Heading1"/>
        <w:rPr>
          <w:caps w:val="0"/>
        </w:rPr>
      </w:pPr>
      <w:r w:rsidRPr="004F1CB7">
        <w:t>SAMPLE REQUIREMENTS:</w:t>
      </w:r>
    </w:p>
    <w:tbl>
      <w:tblPr>
        <w:tblW w:w="0" w:type="auto"/>
        <w:tblInd w:w="-8" w:type="dxa"/>
        <w:tblLayout w:type="fixed"/>
        <w:tblCellMar>
          <w:left w:w="0" w:type="dxa"/>
          <w:right w:w="0" w:type="dxa"/>
        </w:tblCellMar>
        <w:tblLook w:val="0000" w:firstRow="0" w:lastRow="0" w:firstColumn="0" w:lastColumn="0" w:noHBand="0" w:noVBand="0"/>
      </w:tblPr>
      <w:tblGrid>
        <w:gridCol w:w="1876"/>
        <w:gridCol w:w="1454"/>
        <w:gridCol w:w="1440"/>
        <w:gridCol w:w="1440"/>
        <w:gridCol w:w="1516"/>
        <w:gridCol w:w="1904"/>
      </w:tblGrid>
      <w:tr w:rsidR="000752AD" w:rsidRPr="00456549" w14:paraId="753D7232" w14:textId="77777777" w:rsidTr="004F1CB7">
        <w:trPr>
          <w:trHeight w:val="624"/>
        </w:trPr>
        <w:tc>
          <w:tcPr>
            <w:tcW w:w="3330" w:type="dxa"/>
            <w:gridSpan w:val="2"/>
            <w:tcBorders>
              <w:top w:val="double" w:sz="2" w:space="0" w:color="000000"/>
              <w:left w:val="double" w:sz="2" w:space="0" w:color="000000"/>
              <w:bottom w:val="single" w:sz="4" w:space="0" w:color="000000"/>
              <w:right w:val="single" w:sz="4" w:space="0" w:color="000000"/>
            </w:tcBorders>
          </w:tcPr>
          <w:p w14:paraId="282F6788" w14:textId="77777777" w:rsidR="000752AD" w:rsidRPr="00456549" w:rsidRDefault="000752AD" w:rsidP="00220CDB">
            <w:pPr>
              <w:widowControl w:val="0"/>
              <w:kinsoku w:val="0"/>
              <w:overflowPunct w:val="0"/>
              <w:autoSpaceDE w:val="0"/>
              <w:autoSpaceDN w:val="0"/>
              <w:adjustRightInd w:val="0"/>
              <w:spacing w:before="178" w:after="0" w:line="240" w:lineRule="auto"/>
              <w:ind w:left="549"/>
              <w:rPr>
                <w:rFonts w:eastAsia="Times New Roman" w:cs="Arial"/>
                <w:color w:val="000000"/>
                <w:spacing w:val="-2"/>
              </w:rPr>
            </w:pPr>
            <w:r w:rsidRPr="00456549">
              <w:rPr>
                <w:rFonts w:eastAsia="Times New Roman" w:cs="Arial"/>
                <w:color w:val="000000"/>
              </w:rPr>
              <w:t>Sample</w:t>
            </w:r>
            <w:r w:rsidRPr="00456549">
              <w:rPr>
                <w:rFonts w:eastAsia="Times New Roman" w:cs="Arial"/>
                <w:color w:val="000000"/>
                <w:spacing w:val="-10"/>
              </w:rPr>
              <w:t xml:space="preserve"> </w:t>
            </w:r>
            <w:r w:rsidRPr="00456549">
              <w:rPr>
                <w:rFonts w:eastAsia="Times New Roman" w:cs="Arial"/>
                <w:color w:val="000000"/>
                <w:spacing w:val="-2"/>
              </w:rPr>
              <w:t>Requirements</w:t>
            </w:r>
          </w:p>
        </w:tc>
        <w:tc>
          <w:tcPr>
            <w:tcW w:w="2880" w:type="dxa"/>
            <w:gridSpan w:val="2"/>
            <w:tcBorders>
              <w:top w:val="double" w:sz="2" w:space="0" w:color="000000"/>
              <w:left w:val="single" w:sz="4" w:space="0" w:color="000000"/>
              <w:bottom w:val="single" w:sz="4" w:space="0" w:color="000000"/>
              <w:right w:val="single" w:sz="4" w:space="0" w:color="000000"/>
            </w:tcBorders>
          </w:tcPr>
          <w:p w14:paraId="3DA388E0" w14:textId="77777777" w:rsidR="000752AD" w:rsidRPr="00456549" w:rsidRDefault="000752AD" w:rsidP="00220CDB">
            <w:pPr>
              <w:widowControl w:val="0"/>
              <w:kinsoku w:val="0"/>
              <w:overflowPunct w:val="0"/>
              <w:autoSpaceDE w:val="0"/>
              <w:autoSpaceDN w:val="0"/>
              <w:adjustRightInd w:val="0"/>
              <w:spacing w:before="68" w:after="0" w:line="228" w:lineRule="auto"/>
              <w:ind w:left="168" w:right="126" w:hanging="32"/>
              <w:rPr>
                <w:rFonts w:eastAsia="Times New Roman" w:cs="Arial"/>
                <w:color w:val="000000"/>
                <w:spacing w:val="-2"/>
              </w:rPr>
            </w:pPr>
            <w:r w:rsidRPr="00456549">
              <w:rPr>
                <w:rFonts w:eastAsia="Times New Roman" w:cs="Arial"/>
                <w:color w:val="000000"/>
              </w:rPr>
              <w:t>Minimum</w:t>
            </w:r>
            <w:r w:rsidRPr="00456549">
              <w:rPr>
                <w:rFonts w:eastAsia="Times New Roman" w:cs="Arial"/>
                <w:color w:val="000000"/>
                <w:spacing w:val="-16"/>
              </w:rPr>
              <w:t xml:space="preserve"> </w:t>
            </w:r>
            <w:r w:rsidRPr="00456549">
              <w:rPr>
                <w:rFonts w:eastAsia="Times New Roman" w:cs="Arial"/>
                <w:color w:val="000000"/>
              </w:rPr>
              <w:t>Baseline</w:t>
            </w:r>
            <w:r w:rsidRPr="00456549">
              <w:rPr>
                <w:rFonts w:eastAsia="Times New Roman" w:cs="Arial"/>
                <w:color w:val="000000"/>
                <w:spacing w:val="-15"/>
              </w:rPr>
              <w:t xml:space="preserve"> </w:t>
            </w:r>
            <w:r w:rsidRPr="00456549">
              <w:rPr>
                <w:rFonts w:eastAsia="Times New Roman" w:cs="Arial"/>
                <w:color w:val="000000"/>
              </w:rPr>
              <w:t>Sample Completion</w:t>
            </w:r>
            <w:r w:rsidRPr="00456549">
              <w:rPr>
                <w:rFonts w:eastAsia="Times New Roman" w:cs="Arial"/>
                <w:color w:val="000000"/>
                <w:spacing w:val="-14"/>
              </w:rPr>
              <w:t xml:space="preserve"> </w:t>
            </w:r>
            <w:r w:rsidRPr="00456549">
              <w:rPr>
                <w:rFonts w:eastAsia="Times New Roman" w:cs="Arial"/>
                <w:color w:val="000000"/>
                <w:spacing w:val="-2"/>
              </w:rPr>
              <w:t>Requirements</w:t>
            </w:r>
          </w:p>
        </w:tc>
        <w:tc>
          <w:tcPr>
            <w:tcW w:w="3420" w:type="dxa"/>
            <w:gridSpan w:val="2"/>
            <w:tcBorders>
              <w:top w:val="double" w:sz="2" w:space="0" w:color="000000"/>
              <w:left w:val="single" w:sz="4" w:space="0" w:color="000000"/>
              <w:bottom w:val="single" w:sz="4" w:space="0" w:color="000000"/>
              <w:right w:val="double" w:sz="2" w:space="0" w:color="000000"/>
            </w:tcBorders>
          </w:tcPr>
          <w:p w14:paraId="45C6C341" w14:textId="77777777" w:rsidR="000752AD" w:rsidRPr="00456549" w:rsidRDefault="000752AD" w:rsidP="00220CDB">
            <w:pPr>
              <w:widowControl w:val="0"/>
              <w:kinsoku w:val="0"/>
              <w:overflowPunct w:val="0"/>
              <w:autoSpaceDE w:val="0"/>
              <w:autoSpaceDN w:val="0"/>
              <w:adjustRightInd w:val="0"/>
              <w:spacing w:before="178" w:after="0" w:line="240" w:lineRule="auto"/>
              <w:ind w:left="614"/>
              <w:rPr>
                <w:rFonts w:eastAsia="Times New Roman" w:cs="Arial"/>
                <w:color w:val="000000"/>
                <w:spacing w:val="-2"/>
              </w:rPr>
            </w:pPr>
            <w:r w:rsidRPr="00456549">
              <w:rPr>
                <w:rFonts w:eastAsia="Times New Roman" w:cs="Arial"/>
                <w:color w:val="000000"/>
              </w:rPr>
              <w:t>Budgeted</w:t>
            </w:r>
            <w:r w:rsidRPr="00456549">
              <w:rPr>
                <w:rFonts w:eastAsia="Times New Roman" w:cs="Arial"/>
                <w:color w:val="000000"/>
                <w:spacing w:val="-11"/>
              </w:rPr>
              <w:t xml:space="preserve"> </w:t>
            </w:r>
            <w:r w:rsidRPr="00456549">
              <w:rPr>
                <w:rFonts w:eastAsia="Times New Roman" w:cs="Arial"/>
                <w:color w:val="000000"/>
                <w:spacing w:val="-2"/>
              </w:rPr>
              <w:t>Range</w:t>
            </w:r>
          </w:p>
        </w:tc>
      </w:tr>
      <w:tr w:rsidR="000752AD" w:rsidRPr="00456549" w14:paraId="6AB86F7B" w14:textId="77777777" w:rsidTr="004F1CB7">
        <w:trPr>
          <w:trHeight w:val="400"/>
        </w:trPr>
        <w:tc>
          <w:tcPr>
            <w:tcW w:w="1876" w:type="dxa"/>
            <w:tcBorders>
              <w:top w:val="single" w:sz="4" w:space="0" w:color="000000"/>
              <w:left w:val="double" w:sz="2" w:space="0" w:color="000000"/>
              <w:bottom w:val="double" w:sz="2" w:space="0" w:color="000000"/>
              <w:right w:val="single" w:sz="4" w:space="0" w:color="000000"/>
            </w:tcBorders>
          </w:tcPr>
          <w:p w14:paraId="5152E358" w14:textId="77777777" w:rsidR="000752AD" w:rsidRPr="00456549" w:rsidRDefault="000752AD" w:rsidP="00220CDB">
            <w:pPr>
              <w:widowControl w:val="0"/>
              <w:kinsoku w:val="0"/>
              <w:overflowPunct w:val="0"/>
              <w:autoSpaceDE w:val="0"/>
              <w:autoSpaceDN w:val="0"/>
              <w:adjustRightInd w:val="0"/>
              <w:spacing w:before="57" w:after="0" w:line="240" w:lineRule="auto"/>
              <w:ind w:left="61"/>
              <w:rPr>
                <w:rFonts w:eastAsia="Times New Roman" w:cs="Arial"/>
                <w:color w:val="000000"/>
                <w:spacing w:val="-4"/>
              </w:rPr>
            </w:pPr>
            <w:r w:rsidRPr="00456549">
              <w:rPr>
                <w:rFonts w:eastAsia="Times New Roman" w:cs="Arial"/>
                <w:color w:val="000000"/>
              </w:rPr>
              <w:t>Sample</w:t>
            </w:r>
            <w:r w:rsidRPr="00456549">
              <w:rPr>
                <w:rFonts w:eastAsia="Times New Roman" w:cs="Arial"/>
                <w:color w:val="000000"/>
                <w:spacing w:val="-10"/>
              </w:rPr>
              <w:t xml:space="preserve"> </w:t>
            </w:r>
            <w:r w:rsidRPr="00456549">
              <w:rPr>
                <w:rFonts w:eastAsia="Times New Roman" w:cs="Arial"/>
                <w:color w:val="000000"/>
                <w:spacing w:val="-4"/>
              </w:rPr>
              <w:t>Type</w:t>
            </w:r>
          </w:p>
        </w:tc>
        <w:tc>
          <w:tcPr>
            <w:tcW w:w="1454" w:type="dxa"/>
            <w:tcBorders>
              <w:top w:val="single" w:sz="4" w:space="0" w:color="000000"/>
              <w:left w:val="single" w:sz="4" w:space="0" w:color="000000"/>
              <w:bottom w:val="double" w:sz="2" w:space="0" w:color="000000"/>
              <w:right w:val="single" w:sz="4" w:space="0" w:color="000000"/>
            </w:tcBorders>
          </w:tcPr>
          <w:p w14:paraId="73E8987B" w14:textId="77777777" w:rsidR="000752AD" w:rsidRPr="00456549" w:rsidRDefault="000752AD" w:rsidP="00220CDB">
            <w:pPr>
              <w:widowControl w:val="0"/>
              <w:kinsoku w:val="0"/>
              <w:overflowPunct w:val="0"/>
              <w:autoSpaceDE w:val="0"/>
              <w:autoSpaceDN w:val="0"/>
              <w:adjustRightInd w:val="0"/>
              <w:spacing w:before="57" w:after="0" w:line="240" w:lineRule="auto"/>
              <w:ind w:left="314"/>
              <w:rPr>
                <w:rFonts w:eastAsia="Times New Roman" w:cs="Arial"/>
                <w:color w:val="000000"/>
                <w:spacing w:val="-2"/>
              </w:rPr>
            </w:pPr>
            <w:r w:rsidRPr="00456549">
              <w:rPr>
                <w:rFonts w:eastAsia="Times New Roman" w:cs="Arial"/>
                <w:color w:val="000000"/>
                <w:spacing w:val="-2"/>
              </w:rPr>
              <w:t>Section(s)</w:t>
            </w:r>
          </w:p>
        </w:tc>
        <w:tc>
          <w:tcPr>
            <w:tcW w:w="1440" w:type="dxa"/>
            <w:tcBorders>
              <w:top w:val="single" w:sz="4" w:space="0" w:color="000000"/>
              <w:left w:val="single" w:sz="4" w:space="0" w:color="000000"/>
              <w:bottom w:val="double" w:sz="2" w:space="0" w:color="000000"/>
              <w:right w:val="single" w:sz="4" w:space="0" w:color="000000"/>
            </w:tcBorders>
          </w:tcPr>
          <w:p w14:paraId="3D2EAE01" w14:textId="77777777" w:rsidR="000752AD" w:rsidRPr="00456549" w:rsidRDefault="000752AD" w:rsidP="00220CDB">
            <w:pPr>
              <w:widowControl w:val="0"/>
              <w:kinsoku w:val="0"/>
              <w:overflowPunct w:val="0"/>
              <w:autoSpaceDE w:val="0"/>
              <w:autoSpaceDN w:val="0"/>
              <w:adjustRightInd w:val="0"/>
              <w:spacing w:before="57" w:after="0" w:line="240" w:lineRule="auto"/>
              <w:ind w:left="11" w:right="1"/>
              <w:jc w:val="center"/>
              <w:rPr>
                <w:rFonts w:eastAsia="Times New Roman" w:cs="Arial"/>
                <w:color w:val="000000"/>
                <w:spacing w:val="-2"/>
              </w:rPr>
            </w:pPr>
            <w:r w:rsidRPr="00456549">
              <w:rPr>
                <w:rFonts w:eastAsia="Times New Roman" w:cs="Arial"/>
                <w:color w:val="000000"/>
                <w:spacing w:val="-2"/>
              </w:rPr>
              <w:t>Frequency</w:t>
            </w:r>
          </w:p>
        </w:tc>
        <w:tc>
          <w:tcPr>
            <w:tcW w:w="1440" w:type="dxa"/>
            <w:tcBorders>
              <w:top w:val="single" w:sz="4" w:space="0" w:color="000000"/>
              <w:left w:val="single" w:sz="4" w:space="0" w:color="000000"/>
              <w:bottom w:val="double" w:sz="2" w:space="0" w:color="000000"/>
              <w:right w:val="single" w:sz="4" w:space="0" w:color="000000"/>
            </w:tcBorders>
          </w:tcPr>
          <w:p w14:paraId="42D63800" w14:textId="77777777" w:rsidR="000752AD" w:rsidRPr="00456549" w:rsidRDefault="000752AD" w:rsidP="00220CDB">
            <w:pPr>
              <w:widowControl w:val="0"/>
              <w:kinsoku w:val="0"/>
              <w:overflowPunct w:val="0"/>
              <w:autoSpaceDE w:val="0"/>
              <w:autoSpaceDN w:val="0"/>
              <w:adjustRightInd w:val="0"/>
              <w:spacing w:before="57" w:after="0" w:line="240" w:lineRule="auto"/>
              <w:ind w:left="11" w:right="3"/>
              <w:jc w:val="center"/>
              <w:rPr>
                <w:rFonts w:eastAsia="Times New Roman" w:cs="Arial"/>
                <w:color w:val="000000"/>
                <w:spacing w:val="-4"/>
              </w:rPr>
            </w:pPr>
            <w:r w:rsidRPr="00456549">
              <w:rPr>
                <w:rFonts w:eastAsia="Times New Roman" w:cs="Arial"/>
                <w:color w:val="000000"/>
              </w:rPr>
              <w:t>Sample</w:t>
            </w:r>
            <w:r w:rsidRPr="00456549">
              <w:rPr>
                <w:rFonts w:eastAsia="Times New Roman" w:cs="Arial"/>
                <w:color w:val="000000"/>
                <w:spacing w:val="-10"/>
              </w:rPr>
              <w:t xml:space="preserve"> </w:t>
            </w:r>
            <w:r w:rsidRPr="00456549">
              <w:rPr>
                <w:rFonts w:eastAsia="Times New Roman" w:cs="Arial"/>
                <w:color w:val="000000"/>
                <w:spacing w:val="-4"/>
              </w:rPr>
              <w:t>Size</w:t>
            </w:r>
          </w:p>
        </w:tc>
        <w:tc>
          <w:tcPr>
            <w:tcW w:w="1516" w:type="dxa"/>
            <w:tcBorders>
              <w:top w:val="single" w:sz="4" w:space="0" w:color="000000"/>
              <w:left w:val="single" w:sz="4" w:space="0" w:color="000000"/>
              <w:bottom w:val="double" w:sz="2" w:space="0" w:color="000000"/>
              <w:right w:val="single" w:sz="4" w:space="0" w:color="000000"/>
            </w:tcBorders>
          </w:tcPr>
          <w:p w14:paraId="2F2F3776" w14:textId="2AFDDE88" w:rsidR="000752AD" w:rsidRPr="00456549" w:rsidRDefault="00873741" w:rsidP="00220CDB">
            <w:pPr>
              <w:widowControl w:val="0"/>
              <w:kinsoku w:val="0"/>
              <w:overflowPunct w:val="0"/>
              <w:autoSpaceDE w:val="0"/>
              <w:autoSpaceDN w:val="0"/>
              <w:adjustRightInd w:val="0"/>
              <w:spacing w:before="57" w:after="0" w:line="240" w:lineRule="auto"/>
              <w:ind w:left="9"/>
              <w:jc w:val="center"/>
              <w:rPr>
                <w:rFonts w:eastAsia="Times New Roman" w:cs="Arial"/>
                <w:color w:val="000000"/>
                <w:spacing w:val="-2"/>
              </w:rPr>
            </w:pPr>
            <w:r w:rsidRPr="00873741">
              <w:rPr>
                <w:rFonts w:eastAsia="Times New Roman" w:cs="Arial"/>
                <w:b/>
                <w:bCs/>
                <w:color w:val="000000"/>
                <w:spacing w:val="-2"/>
              </w:rPr>
              <w:t>*</w:t>
            </w:r>
            <w:r w:rsidR="002D7D65">
              <w:rPr>
                <w:rFonts w:eastAsia="Times New Roman" w:cs="Arial"/>
                <w:color w:val="000000"/>
                <w:spacing w:val="-2"/>
              </w:rPr>
              <w:t>Samples</w:t>
            </w:r>
          </w:p>
        </w:tc>
        <w:tc>
          <w:tcPr>
            <w:tcW w:w="1904" w:type="dxa"/>
            <w:tcBorders>
              <w:top w:val="single" w:sz="4" w:space="0" w:color="000000"/>
              <w:left w:val="single" w:sz="4" w:space="0" w:color="000000"/>
              <w:bottom w:val="double" w:sz="2" w:space="0" w:color="000000"/>
              <w:right w:val="double" w:sz="2" w:space="0" w:color="000000"/>
            </w:tcBorders>
          </w:tcPr>
          <w:p w14:paraId="416F6D14" w14:textId="77777777" w:rsidR="000752AD" w:rsidRPr="00456549" w:rsidRDefault="000752AD" w:rsidP="00220CDB">
            <w:pPr>
              <w:widowControl w:val="0"/>
              <w:kinsoku w:val="0"/>
              <w:overflowPunct w:val="0"/>
              <w:autoSpaceDE w:val="0"/>
              <w:autoSpaceDN w:val="0"/>
              <w:adjustRightInd w:val="0"/>
              <w:spacing w:before="57" w:after="0" w:line="240" w:lineRule="auto"/>
              <w:ind w:left="20" w:right="1"/>
              <w:jc w:val="center"/>
              <w:rPr>
                <w:rFonts w:eastAsia="Times New Roman" w:cs="Arial"/>
                <w:color w:val="000000"/>
                <w:spacing w:val="-2"/>
              </w:rPr>
            </w:pPr>
            <w:r w:rsidRPr="00456549">
              <w:rPr>
                <w:rFonts w:eastAsia="Times New Roman" w:cs="Arial"/>
                <w:color w:val="000000"/>
                <w:spacing w:val="-2"/>
              </w:rPr>
              <w:t>Hours</w:t>
            </w:r>
          </w:p>
        </w:tc>
      </w:tr>
      <w:tr w:rsidR="00873741" w:rsidRPr="00456549" w14:paraId="7EB698E2" w14:textId="77777777" w:rsidTr="00AC337E">
        <w:trPr>
          <w:trHeight w:val="1104"/>
        </w:trPr>
        <w:tc>
          <w:tcPr>
            <w:tcW w:w="1876" w:type="dxa"/>
            <w:tcBorders>
              <w:top w:val="double" w:sz="2" w:space="0" w:color="000000"/>
              <w:left w:val="double" w:sz="2" w:space="0" w:color="000000"/>
              <w:bottom w:val="single" w:sz="4" w:space="0" w:color="000000"/>
              <w:right w:val="single" w:sz="4" w:space="0" w:color="000000"/>
            </w:tcBorders>
            <w:vAlign w:val="center"/>
          </w:tcPr>
          <w:p w14:paraId="4099AC02" w14:textId="1F1A23E0" w:rsidR="00873741" w:rsidRPr="00456549" w:rsidRDefault="00873741" w:rsidP="00873741">
            <w:pPr>
              <w:widowControl w:val="0"/>
              <w:kinsoku w:val="0"/>
              <w:overflowPunct w:val="0"/>
              <w:autoSpaceDE w:val="0"/>
              <w:autoSpaceDN w:val="0"/>
              <w:adjustRightInd w:val="0"/>
              <w:spacing w:before="68" w:after="0" w:line="228" w:lineRule="auto"/>
              <w:ind w:left="61"/>
              <w:rPr>
                <w:rFonts w:eastAsia="Times New Roman" w:cs="Arial"/>
                <w:color w:val="000000"/>
                <w:spacing w:val="-2"/>
              </w:rPr>
            </w:pPr>
            <w:r w:rsidRPr="00456549">
              <w:rPr>
                <w:rFonts w:eastAsia="Times New Roman" w:cs="Arial"/>
                <w:color w:val="000000"/>
                <w:spacing w:val="-2"/>
              </w:rPr>
              <w:t xml:space="preserve">Cybersecurity </w:t>
            </w:r>
            <w:r w:rsidR="00B7733C" w:rsidRPr="00456549">
              <w:rPr>
                <w:rFonts w:eastAsia="Times New Roman" w:cs="Arial"/>
                <w:color w:val="000000"/>
              </w:rPr>
              <w:t>–</w:t>
            </w:r>
            <w:r w:rsidR="00B7733C" w:rsidRPr="00456549">
              <w:rPr>
                <w:rFonts w:eastAsia="Times New Roman" w:cs="Arial"/>
                <w:color w:val="000000"/>
                <w:spacing w:val="-2"/>
              </w:rPr>
              <w:t xml:space="preserve"> </w:t>
            </w:r>
            <w:proofErr w:type="gramStart"/>
            <w:r w:rsidR="00B7733C" w:rsidRPr="00456549">
              <w:rPr>
                <w:rFonts w:eastAsia="Times New Roman" w:cs="Arial"/>
                <w:color w:val="000000"/>
                <w:spacing w:val="-2"/>
              </w:rPr>
              <w:t>Post</w:t>
            </w:r>
            <w:r w:rsidRPr="00456549">
              <w:rPr>
                <w:rFonts w:eastAsia="Times New Roman" w:cs="Arial"/>
                <w:color w:val="000000"/>
                <w:spacing w:val="-2"/>
              </w:rPr>
              <w:t>-fuel</w:t>
            </w:r>
            <w:proofErr w:type="gramEnd"/>
            <w:r w:rsidRPr="00456549">
              <w:rPr>
                <w:rFonts w:eastAsia="Times New Roman" w:cs="Arial"/>
                <w:color w:val="000000"/>
                <w:spacing w:val="-2"/>
              </w:rPr>
              <w:t xml:space="preserve"> load</w:t>
            </w:r>
          </w:p>
        </w:tc>
        <w:tc>
          <w:tcPr>
            <w:tcW w:w="1454" w:type="dxa"/>
            <w:tcBorders>
              <w:top w:val="double" w:sz="2" w:space="0" w:color="000000"/>
              <w:left w:val="single" w:sz="4" w:space="0" w:color="000000"/>
              <w:bottom w:val="single" w:sz="4" w:space="0" w:color="000000"/>
              <w:right w:val="single" w:sz="4" w:space="0" w:color="000000"/>
            </w:tcBorders>
            <w:vAlign w:val="center"/>
          </w:tcPr>
          <w:p w14:paraId="626898E6" w14:textId="20214C23" w:rsidR="00873741" w:rsidRPr="00456549" w:rsidRDefault="00873741" w:rsidP="00873741">
            <w:pPr>
              <w:widowControl w:val="0"/>
              <w:kinsoku w:val="0"/>
              <w:overflowPunct w:val="0"/>
              <w:autoSpaceDE w:val="0"/>
              <w:autoSpaceDN w:val="0"/>
              <w:adjustRightInd w:val="0"/>
              <w:spacing w:before="178" w:after="0" w:line="247" w:lineRule="exact"/>
              <w:ind w:left="72"/>
              <w:rPr>
                <w:rFonts w:eastAsia="Times New Roman" w:cs="Arial"/>
                <w:color w:val="000000"/>
                <w:spacing w:val="-2"/>
              </w:rPr>
            </w:pPr>
            <w:r w:rsidRPr="00456549">
              <w:rPr>
                <w:rFonts w:eastAsia="Times New Roman" w:cs="Arial"/>
                <w:color w:val="000000"/>
              </w:rPr>
              <w:t>0</w:t>
            </w:r>
            <w:r>
              <w:rPr>
                <w:rFonts w:eastAsia="Times New Roman" w:cs="Arial"/>
                <w:color w:val="000000"/>
              </w:rPr>
              <w:t>3</w:t>
            </w:r>
            <w:r w:rsidRPr="00456549">
              <w:rPr>
                <w:rFonts w:eastAsia="Times New Roman" w:cs="Arial"/>
                <w:color w:val="000000"/>
              </w:rPr>
              <w:t>.01</w:t>
            </w:r>
            <w:r w:rsidRPr="00456549">
              <w:rPr>
                <w:rFonts w:eastAsia="Times New Roman" w:cs="Arial"/>
                <w:color w:val="000000"/>
                <w:spacing w:val="-4"/>
              </w:rPr>
              <w:t xml:space="preserve"> </w:t>
            </w:r>
            <w:r w:rsidRPr="00456549">
              <w:rPr>
                <w:rFonts w:eastAsia="Times New Roman" w:cs="Arial"/>
                <w:color w:val="000000"/>
              </w:rPr>
              <w:t>–</w:t>
            </w:r>
            <w:r w:rsidRPr="00456549">
              <w:rPr>
                <w:rFonts w:eastAsia="Times New Roman" w:cs="Arial"/>
                <w:color w:val="000000"/>
                <w:spacing w:val="-3"/>
              </w:rPr>
              <w:t xml:space="preserve"> </w:t>
            </w:r>
            <w:r w:rsidRPr="00456549">
              <w:rPr>
                <w:rFonts w:eastAsia="Times New Roman" w:cs="Arial"/>
                <w:color w:val="000000"/>
                <w:spacing w:val="-2"/>
              </w:rPr>
              <w:t>0</w:t>
            </w:r>
            <w:r>
              <w:rPr>
                <w:rFonts w:eastAsia="Times New Roman" w:cs="Arial"/>
                <w:color w:val="000000"/>
                <w:spacing w:val="-2"/>
              </w:rPr>
              <w:t>3</w:t>
            </w:r>
            <w:r w:rsidRPr="00456549">
              <w:rPr>
                <w:rFonts w:eastAsia="Times New Roman" w:cs="Arial"/>
                <w:color w:val="000000"/>
                <w:spacing w:val="-2"/>
              </w:rPr>
              <w:t>.03</w:t>
            </w:r>
          </w:p>
          <w:p w14:paraId="61BE9707" w14:textId="77777777" w:rsidR="00873741" w:rsidRPr="00456549" w:rsidRDefault="00873741" w:rsidP="00873741">
            <w:pPr>
              <w:widowControl w:val="0"/>
              <w:kinsoku w:val="0"/>
              <w:overflowPunct w:val="0"/>
              <w:autoSpaceDE w:val="0"/>
              <w:autoSpaceDN w:val="0"/>
              <w:adjustRightInd w:val="0"/>
              <w:spacing w:before="4" w:after="0" w:line="228" w:lineRule="auto"/>
              <w:ind w:left="71"/>
              <w:rPr>
                <w:rFonts w:eastAsia="Times New Roman" w:cs="Arial"/>
                <w:color w:val="000000"/>
                <w:spacing w:val="-2"/>
              </w:rPr>
            </w:pPr>
          </w:p>
        </w:tc>
        <w:tc>
          <w:tcPr>
            <w:tcW w:w="1440" w:type="dxa"/>
            <w:tcBorders>
              <w:top w:val="double" w:sz="2" w:space="0" w:color="000000"/>
              <w:left w:val="single" w:sz="4" w:space="0" w:color="000000"/>
              <w:bottom w:val="single" w:sz="4" w:space="0" w:color="000000"/>
              <w:right w:val="single" w:sz="4" w:space="0" w:color="000000"/>
            </w:tcBorders>
            <w:vAlign w:val="center"/>
          </w:tcPr>
          <w:p w14:paraId="67B4E1D3" w14:textId="77777777" w:rsidR="00873741" w:rsidRPr="00456549" w:rsidRDefault="00873741" w:rsidP="00873741">
            <w:pPr>
              <w:widowControl w:val="0"/>
              <w:kinsoku w:val="0"/>
              <w:overflowPunct w:val="0"/>
              <w:autoSpaceDE w:val="0"/>
              <w:autoSpaceDN w:val="0"/>
              <w:adjustRightInd w:val="0"/>
              <w:spacing w:after="0" w:line="240" w:lineRule="auto"/>
              <w:ind w:left="11" w:right="1"/>
              <w:jc w:val="center"/>
              <w:rPr>
                <w:rFonts w:eastAsia="Times New Roman" w:cs="Arial"/>
                <w:color w:val="000000"/>
                <w:spacing w:val="-2"/>
              </w:rPr>
            </w:pPr>
            <w:r w:rsidRPr="00456549">
              <w:rPr>
                <w:rFonts w:eastAsia="Times New Roman" w:cs="Arial"/>
                <w:color w:val="000000"/>
                <w:spacing w:val="-2"/>
              </w:rPr>
              <w:t>As applicable</w:t>
            </w:r>
          </w:p>
        </w:tc>
        <w:tc>
          <w:tcPr>
            <w:tcW w:w="1440" w:type="dxa"/>
            <w:tcBorders>
              <w:top w:val="double" w:sz="2" w:space="0" w:color="000000"/>
              <w:left w:val="single" w:sz="4" w:space="0" w:color="000000"/>
              <w:bottom w:val="single" w:sz="4" w:space="0" w:color="000000"/>
              <w:right w:val="single" w:sz="4" w:space="0" w:color="000000"/>
            </w:tcBorders>
            <w:tcMar>
              <w:top w:w="58" w:type="dxa"/>
              <w:bottom w:w="58" w:type="dxa"/>
            </w:tcMar>
            <w:vAlign w:val="center"/>
          </w:tcPr>
          <w:p w14:paraId="6CBCD779" w14:textId="4DF14E2D" w:rsidR="00873741" w:rsidRPr="00456549" w:rsidRDefault="00873741" w:rsidP="009670DB">
            <w:pPr>
              <w:widowControl w:val="0"/>
              <w:kinsoku w:val="0"/>
              <w:overflowPunct w:val="0"/>
              <w:autoSpaceDE w:val="0"/>
              <w:autoSpaceDN w:val="0"/>
              <w:adjustRightInd w:val="0"/>
              <w:spacing w:after="0" w:line="240" w:lineRule="auto"/>
              <w:ind w:left="11" w:right="1"/>
              <w:jc w:val="center"/>
              <w:rPr>
                <w:rFonts w:eastAsia="Times New Roman" w:cs="Arial"/>
                <w:color w:val="000000"/>
                <w:spacing w:val="-4"/>
              </w:rPr>
            </w:pPr>
            <w:r w:rsidRPr="00456549">
              <w:rPr>
                <w:rFonts w:eastAsia="Times New Roman" w:cs="Arial"/>
                <w:color w:val="000000"/>
                <w:spacing w:val="-3"/>
              </w:rPr>
              <w:t>4</w:t>
            </w:r>
            <w:r w:rsidR="00CB1BE8">
              <w:rPr>
                <w:rFonts w:eastAsia="Times New Roman" w:cs="Arial"/>
                <w:color w:val="000000"/>
                <w:spacing w:val="-3"/>
              </w:rPr>
              <w:t xml:space="preserve"> Critical Systems</w:t>
            </w:r>
          </w:p>
        </w:tc>
        <w:tc>
          <w:tcPr>
            <w:tcW w:w="1516" w:type="dxa"/>
            <w:tcBorders>
              <w:top w:val="double" w:sz="2" w:space="0" w:color="000000"/>
              <w:left w:val="single" w:sz="4" w:space="0" w:color="000000"/>
              <w:bottom w:val="single" w:sz="4" w:space="0" w:color="000000"/>
              <w:right w:val="single" w:sz="4" w:space="0" w:color="000000"/>
            </w:tcBorders>
            <w:tcMar>
              <w:top w:w="58" w:type="dxa"/>
              <w:bottom w:w="58" w:type="dxa"/>
            </w:tcMar>
            <w:vAlign w:val="center"/>
          </w:tcPr>
          <w:p w14:paraId="654CFF17" w14:textId="2E563048" w:rsidR="00873741" w:rsidRPr="00456549" w:rsidRDefault="00873741" w:rsidP="009670DB">
            <w:pPr>
              <w:widowControl w:val="0"/>
              <w:kinsoku w:val="0"/>
              <w:overflowPunct w:val="0"/>
              <w:autoSpaceDE w:val="0"/>
              <w:autoSpaceDN w:val="0"/>
              <w:adjustRightInd w:val="0"/>
              <w:spacing w:after="0" w:line="240" w:lineRule="auto"/>
              <w:ind w:right="1"/>
              <w:jc w:val="center"/>
              <w:rPr>
                <w:rFonts w:eastAsia="Times New Roman" w:cs="Arial"/>
                <w:color w:val="000000"/>
                <w:spacing w:val="-10"/>
              </w:rPr>
            </w:pPr>
            <w:r w:rsidRPr="00456549">
              <w:rPr>
                <w:rFonts w:eastAsia="Times New Roman" w:cs="Arial"/>
                <w:color w:val="000000"/>
                <w:spacing w:val="-3"/>
              </w:rPr>
              <w:t>4</w:t>
            </w:r>
            <w:r w:rsidR="00AB45FA">
              <w:rPr>
                <w:rFonts w:eastAsia="Times New Roman" w:cs="Arial"/>
                <w:color w:val="000000"/>
                <w:spacing w:val="-3"/>
              </w:rPr>
              <w:t xml:space="preserve"> Critical Systems</w:t>
            </w:r>
          </w:p>
        </w:tc>
        <w:tc>
          <w:tcPr>
            <w:tcW w:w="1904" w:type="dxa"/>
            <w:tcBorders>
              <w:top w:val="double" w:sz="2" w:space="0" w:color="000000"/>
              <w:left w:val="single" w:sz="4" w:space="0" w:color="000000"/>
              <w:bottom w:val="single" w:sz="4" w:space="0" w:color="000000"/>
              <w:right w:val="double" w:sz="2" w:space="0" w:color="000000"/>
            </w:tcBorders>
            <w:vAlign w:val="center"/>
          </w:tcPr>
          <w:p w14:paraId="7F411459" w14:textId="77777777" w:rsidR="00873741" w:rsidRPr="00456549" w:rsidRDefault="00873741" w:rsidP="00AC337E">
            <w:pPr>
              <w:widowControl w:val="0"/>
              <w:kinsoku w:val="0"/>
              <w:overflowPunct w:val="0"/>
              <w:autoSpaceDE w:val="0"/>
              <w:autoSpaceDN w:val="0"/>
              <w:adjustRightInd w:val="0"/>
              <w:spacing w:after="0" w:line="240" w:lineRule="auto"/>
              <w:ind w:left="20" w:right="1"/>
              <w:jc w:val="center"/>
              <w:rPr>
                <w:rFonts w:eastAsia="Times New Roman" w:cs="Arial"/>
                <w:color w:val="000000"/>
                <w:spacing w:val="-10"/>
              </w:rPr>
            </w:pPr>
            <w:r w:rsidRPr="00456549">
              <w:rPr>
                <w:rFonts w:eastAsia="Times New Roman" w:cs="Arial"/>
                <w:color w:val="000000"/>
              </w:rPr>
              <w:t>140</w:t>
            </w:r>
            <w:r w:rsidRPr="00456549">
              <w:rPr>
                <w:rFonts w:eastAsia="Times New Roman" w:cs="Arial"/>
                <w:color w:val="000000"/>
                <w:spacing w:val="-3"/>
              </w:rPr>
              <w:t xml:space="preserve"> </w:t>
            </w:r>
            <w:r w:rsidRPr="00456549">
              <w:rPr>
                <w:rFonts w:eastAsia="Times New Roman" w:cs="Arial"/>
                <w:color w:val="000000"/>
              </w:rPr>
              <w:t>+/-</w:t>
            </w:r>
            <w:r w:rsidRPr="00456549">
              <w:rPr>
                <w:rFonts w:eastAsia="Times New Roman" w:cs="Arial"/>
                <w:color w:val="000000"/>
                <w:spacing w:val="-3"/>
              </w:rPr>
              <w:t xml:space="preserve"> </w:t>
            </w:r>
            <w:r w:rsidRPr="00456549">
              <w:rPr>
                <w:rFonts w:eastAsia="Times New Roman" w:cs="Arial"/>
                <w:color w:val="000000"/>
                <w:spacing w:val="-10"/>
              </w:rPr>
              <w:t>7</w:t>
            </w:r>
          </w:p>
        </w:tc>
      </w:tr>
    </w:tbl>
    <w:p w14:paraId="11FEDC58" w14:textId="77777777" w:rsidR="002C0AB0" w:rsidRDefault="002C0AB0" w:rsidP="004F1CB7">
      <w:pPr>
        <w:pStyle w:val="BodyText"/>
      </w:pPr>
    </w:p>
    <w:p w14:paraId="2277CDCB" w14:textId="44124850" w:rsidR="000752AD" w:rsidRPr="00456549" w:rsidRDefault="000752AD" w:rsidP="00AC337E">
      <w:pPr>
        <w:pStyle w:val="BodyText"/>
      </w:pPr>
      <w:r w:rsidRPr="004F1CB7">
        <w:t>The completion of all the requirements will constitute completion of the inspection sample. The</w:t>
      </w:r>
      <w:r w:rsidRPr="00456549">
        <w:t xml:space="preserve"> </w:t>
      </w:r>
      <w:r w:rsidR="00EB607D">
        <w:t>i</w:t>
      </w:r>
      <w:r w:rsidR="00561597">
        <w:t>nspector(s)</w:t>
      </w:r>
      <w:r w:rsidRPr="00456549">
        <w:t xml:space="preserve"> will utilize insights obtained from the completed IP 81000.12</w:t>
      </w:r>
      <w:r w:rsidR="0000271F">
        <w:t>, “</w:t>
      </w:r>
      <w:r w:rsidR="0000271F" w:rsidRPr="0000271F">
        <w:t>C</w:t>
      </w:r>
      <w:r w:rsidR="0000271F">
        <w:t>ybersecurity</w:t>
      </w:r>
      <w:r w:rsidR="0000271F" w:rsidRPr="0000271F">
        <w:t xml:space="preserve"> R</w:t>
      </w:r>
      <w:r w:rsidR="0000271F">
        <w:t>estart</w:t>
      </w:r>
      <w:r w:rsidR="0000271F" w:rsidRPr="0000271F">
        <w:t xml:space="preserve"> I</w:t>
      </w:r>
      <w:r w:rsidR="0000271F">
        <w:t>nspection</w:t>
      </w:r>
      <w:r w:rsidR="0000271F" w:rsidRPr="0000271F">
        <w:t xml:space="preserve"> – P</w:t>
      </w:r>
      <w:r w:rsidR="0000271F">
        <w:t>re</w:t>
      </w:r>
      <w:r w:rsidR="0000271F" w:rsidRPr="0000271F">
        <w:t>-F</w:t>
      </w:r>
      <w:r w:rsidR="0000271F">
        <w:t>uel</w:t>
      </w:r>
      <w:r w:rsidR="0000271F" w:rsidRPr="0000271F">
        <w:t xml:space="preserve"> L</w:t>
      </w:r>
      <w:r w:rsidR="0000271F">
        <w:t>oad</w:t>
      </w:r>
      <w:r w:rsidR="00474DDB">
        <w:t>,</w:t>
      </w:r>
      <w:r w:rsidR="0000271F">
        <w:t>”</w:t>
      </w:r>
      <w:r w:rsidRPr="00456549">
        <w:t xml:space="preserve"> inspection and any operating experience within the respective fleet, as applicable, to inform the inspection activity. It is anticipated that at the time of this </w:t>
      </w:r>
      <w:r w:rsidR="00110318" w:rsidRPr="00456549">
        <w:t>inspection activity</w:t>
      </w:r>
      <w:r w:rsidR="0051694A" w:rsidRPr="00456549">
        <w:t>,</w:t>
      </w:r>
      <w:r w:rsidRPr="00456549">
        <w:t xml:space="preserve"> the licensee will have entered the Reactor Oversight Process (ROP). Final approval of the inspection scope will reside with the </w:t>
      </w:r>
      <w:r w:rsidR="009670DB">
        <w:t>b</w:t>
      </w:r>
      <w:r w:rsidRPr="00456549">
        <w:t xml:space="preserve">ranch </w:t>
      </w:r>
      <w:r w:rsidR="009670DB">
        <w:t>c</w:t>
      </w:r>
      <w:r w:rsidRPr="00456549">
        <w:t>hief responsible for the inspection activity.</w:t>
      </w:r>
    </w:p>
    <w:p w14:paraId="58F5CF85" w14:textId="5DFA860E" w:rsidR="00CB3495" w:rsidRDefault="00725279" w:rsidP="004F1CB7">
      <w:pPr>
        <w:pStyle w:val="BodyText"/>
        <w:rPr>
          <w:b/>
          <w:bCs/>
          <w:color w:val="000000"/>
        </w:rPr>
      </w:pPr>
      <w:r>
        <w:rPr>
          <w:color w:val="000000"/>
        </w:rPr>
        <w:t>This</w:t>
      </w:r>
      <w:r w:rsidR="000752AD" w:rsidRPr="00456549">
        <w:rPr>
          <w:color w:val="000000"/>
          <w:spacing w:val="-3"/>
        </w:rPr>
        <w:t xml:space="preserve"> </w:t>
      </w:r>
      <w:r w:rsidR="000752AD" w:rsidRPr="00456549">
        <w:rPr>
          <w:color w:val="000000"/>
        </w:rPr>
        <w:t>inspection</w:t>
      </w:r>
      <w:r w:rsidR="000752AD" w:rsidRPr="00456549">
        <w:rPr>
          <w:color w:val="000000"/>
          <w:spacing w:val="-3"/>
        </w:rPr>
        <w:t xml:space="preserve"> </w:t>
      </w:r>
      <w:r w:rsidR="000752AD" w:rsidRPr="00456549">
        <w:rPr>
          <w:color w:val="000000"/>
        </w:rPr>
        <w:t>activity</w:t>
      </w:r>
      <w:r w:rsidR="000752AD" w:rsidRPr="00456549">
        <w:rPr>
          <w:color w:val="000000"/>
          <w:spacing w:val="-3"/>
        </w:rPr>
        <w:t xml:space="preserve"> </w:t>
      </w:r>
      <w:r w:rsidR="000752AD" w:rsidRPr="00456549">
        <w:rPr>
          <w:color w:val="000000"/>
        </w:rPr>
        <w:t>is</w:t>
      </w:r>
      <w:r w:rsidR="000752AD" w:rsidRPr="00456549">
        <w:rPr>
          <w:color w:val="000000"/>
          <w:spacing w:val="-3"/>
        </w:rPr>
        <w:t xml:space="preserve"> </w:t>
      </w:r>
      <w:r w:rsidR="000752AD" w:rsidRPr="00456549">
        <w:rPr>
          <w:color w:val="000000"/>
        </w:rPr>
        <w:t>to</w:t>
      </w:r>
      <w:r w:rsidR="000752AD" w:rsidRPr="00456549">
        <w:rPr>
          <w:color w:val="000000"/>
          <w:spacing w:val="-3"/>
        </w:rPr>
        <w:t xml:space="preserve"> </w:t>
      </w:r>
      <w:r w:rsidR="000752AD" w:rsidRPr="00456549">
        <w:rPr>
          <w:color w:val="000000"/>
        </w:rPr>
        <w:t>be</w:t>
      </w:r>
      <w:r w:rsidR="000752AD" w:rsidRPr="00456549">
        <w:rPr>
          <w:color w:val="000000"/>
          <w:spacing w:val="-3"/>
        </w:rPr>
        <w:t xml:space="preserve"> </w:t>
      </w:r>
      <w:r w:rsidR="000752AD" w:rsidRPr="00456549">
        <w:rPr>
          <w:color w:val="000000"/>
        </w:rPr>
        <w:t>conducted</w:t>
      </w:r>
      <w:r w:rsidR="00320E6E">
        <w:rPr>
          <w:color w:val="000000"/>
          <w:spacing w:val="-3"/>
        </w:rPr>
        <w:t xml:space="preserve"> </w:t>
      </w:r>
      <w:r w:rsidR="000752AD" w:rsidRPr="00456549">
        <w:rPr>
          <w:color w:val="000000"/>
        </w:rPr>
        <w:t>as</w:t>
      </w:r>
      <w:r w:rsidR="000752AD" w:rsidRPr="00456549">
        <w:rPr>
          <w:color w:val="000000"/>
          <w:spacing w:val="-3"/>
        </w:rPr>
        <w:t xml:space="preserve"> necessary for plants in a decommissioned state and restarting. The anticipated duration of the inspection is </w:t>
      </w:r>
      <w:r w:rsidR="002C0AB0">
        <w:rPr>
          <w:color w:val="000000"/>
          <w:spacing w:val="-3"/>
        </w:rPr>
        <w:t>2 </w:t>
      </w:r>
      <w:r w:rsidR="000752AD" w:rsidRPr="00456549">
        <w:rPr>
          <w:color w:val="000000"/>
        </w:rPr>
        <w:t>weeks.</w:t>
      </w:r>
      <w:r w:rsidR="00882CCC" w:rsidDel="00882CCC">
        <w:rPr>
          <w:color w:val="000000"/>
        </w:rPr>
        <w:t xml:space="preserve"> </w:t>
      </w:r>
      <w:r w:rsidR="00701FC3" w:rsidRPr="001261CA">
        <w:rPr>
          <w:color w:val="000000"/>
        </w:rPr>
        <w:t>The team will select adequate</w:t>
      </w:r>
      <w:r w:rsidR="00FC2A9E">
        <w:rPr>
          <w:color w:val="000000"/>
        </w:rPr>
        <w:t xml:space="preserve"> Critical Digital Asse</w:t>
      </w:r>
      <w:r w:rsidR="0004195C">
        <w:rPr>
          <w:color w:val="000000"/>
        </w:rPr>
        <w:t>t</w:t>
      </w:r>
      <w:r w:rsidR="00701FC3" w:rsidRPr="001261CA">
        <w:rPr>
          <w:color w:val="000000"/>
        </w:rPr>
        <w:t xml:space="preserve"> </w:t>
      </w:r>
      <w:r w:rsidR="0004195C">
        <w:rPr>
          <w:color w:val="000000"/>
        </w:rPr>
        <w:t>(</w:t>
      </w:r>
      <w:r w:rsidR="00701FC3" w:rsidRPr="001261CA">
        <w:rPr>
          <w:color w:val="000000"/>
        </w:rPr>
        <w:t>CDA</w:t>
      </w:r>
      <w:r w:rsidR="0004195C">
        <w:rPr>
          <w:color w:val="000000"/>
        </w:rPr>
        <w:t>)</w:t>
      </w:r>
      <w:r w:rsidR="00701FC3" w:rsidRPr="001261CA">
        <w:rPr>
          <w:color w:val="000000"/>
        </w:rPr>
        <w:t xml:space="preserve"> samples from each of the CSs based on the size and complexity of the</w:t>
      </w:r>
      <w:r w:rsidR="00EB607D">
        <w:rPr>
          <w:color w:val="000000"/>
        </w:rPr>
        <w:t xml:space="preserve"> </w:t>
      </w:r>
      <w:r w:rsidR="0004195C">
        <w:rPr>
          <w:color w:val="000000"/>
        </w:rPr>
        <w:t>Critical System (</w:t>
      </w:r>
      <w:r w:rsidR="00701FC3" w:rsidRPr="001261CA">
        <w:rPr>
          <w:color w:val="000000"/>
        </w:rPr>
        <w:t>CS</w:t>
      </w:r>
      <w:r w:rsidR="0004195C">
        <w:rPr>
          <w:color w:val="000000"/>
        </w:rPr>
        <w:t>)</w:t>
      </w:r>
      <w:r w:rsidR="00701FC3" w:rsidRPr="001261CA">
        <w:rPr>
          <w:color w:val="000000"/>
        </w:rPr>
        <w:t>.</w:t>
      </w:r>
    </w:p>
    <w:p w14:paraId="69375694" w14:textId="035D3346" w:rsidR="00D47E44" w:rsidRPr="00305770" w:rsidRDefault="00D47E44" w:rsidP="0000275B">
      <w:pPr>
        <w:pStyle w:val="Heading1"/>
      </w:pPr>
      <w:r w:rsidRPr="00305770">
        <w:lastRenderedPageBreak/>
        <w:t>81000.13-01</w:t>
      </w:r>
      <w:r w:rsidRPr="00305770">
        <w:tab/>
        <w:t>INSPECTION OBJECTIVES</w:t>
      </w:r>
    </w:p>
    <w:p w14:paraId="0B014E26" w14:textId="12A529ED" w:rsidR="00D47E44" w:rsidRPr="00305770" w:rsidRDefault="006341DC" w:rsidP="008A3846">
      <w:pPr>
        <w:pStyle w:val="BodyText2"/>
      </w:pPr>
      <w:r w:rsidRPr="00305770">
        <w:t>01.01</w:t>
      </w:r>
      <w:r w:rsidRPr="00305770">
        <w:tab/>
        <w:t xml:space="preserve">To provide assurance the licensee’s digital computer and communication systems and networks associated with safety, security, or emergency preparedness (SSEP) functions are adequately protected against cyberattacks in accordance with Title 10 of the </w:t>
      </w:r>
      <w:r w:rsidRPr="004B0450">
        <w:rPr>
          <w:i/>
          <w:iCs/>
        </w:rPr>
        <w:t>Code of Federal Regulations</w:t>
      </w:r>
      <w:r w:rsidRPr="00305770">
        <w:t xml:space="preserve"> (10 CFR) 73.54 and the licensee’s U.S. Nuclear Regulatory Commission (NRC) approved cybersecurity plan (CSP)</w:t>
      </w:r>
      <w:bookmarkStart w:id="0" w:name="_Hlk206489548"/>
      <w:r w:rsidR="00D47E44" w:rsidRPr="00305770">
        <w:t>.</w:t>
      </w:r>
    </w:p>
    <w:p w14:paraId="488D1A77" w14:textId="1F27A5C8" w:rsidR="005966CA" w:rsidRPr="00305770" w:rsidRDefault="00553832" w:rsidP="008A3846">
      <w:pPr>
        <w:pStyle w:val="BodyText2"/>
      </w:pPr>
      <w:r w:rsidRPr="00305770">
        <w:t>01.02</w:t>
      </w:r>
      <w:r w:rsidRPr="00305770">
        <w:tab/>
        <w:t>To verify that existing program CSP changes and reports are in accordance with 10</w:t>
      </w:r>
      <w:r w:rsidR="00C3238A" w:rsidRPr="00305770">
        <w:t> </w:t>
      </w:r>
      <w:r w:rsidRPr="00305770">
        <w:t>CFR</w:t>
      </w:r>
      <w:r w:rsidR="00C3238A" w:rsidRPr="00305770">
        <w:t> </w:t>
      </w:r>
      <w:r w:rsidRPr="00305770">
        <w:t>50</w:t>
      </w:r>
      <w:r w:rsidR="003D6516" w:rsidRPr="00305770">
        <w:t> </w:t>
      </w:r>
      <w:r w:rsidRPr="00305770">
        <w:t>54(p)</w:t>
      </w:r>
      <w:r w:rsidR="00800BE0" w:rsidRPr="00305770">
        <w:t>.</w:t>
      </w:r>
    </w:p>
    <w:p w14:paraId="01A90B4F" w14:textId="076F3377" w:rsidR="00D47E44" w:rsidRPr="00305770" w:rsidRDefault="00D47E44" w:rsidP="00163299">
      <w:pPr>
        <w:pStyle w:val="Heading1"/>
      </w:pPr>
      <w:bookmarkStart w:id="1" w:name="SAMPLE_REQUIREMENTS:"/>
      <w:bookmarkEnd w:id="0"/>
      <w:bookmarkEnd w:id="1"/>
      <w:r w:rsidRPr="00305770">
        <w:t>81000.13-0</w:t>
      </w:r>
      <w:r w:rsidR="000752AD" w:rsidRPr="00305770">
        <w:t>2</w:t>
      </w:r>
      <w:r w:rsidR="00A25D33">
        <w:tab/>
      </w:r>
      <w:r w:rsidR="001D4725" w:rsidRPr="00305770">
        <w:t>INSPECTION</w:t>
      </w:r>
      <w:r w:rsidRPr="00305770">
        <w:t xml:space="preserve"> GUIDANCE</w:t>
      </w:r>
    </w:p>
    <w:p w14:paraId="4D237432" w14:textId="11EFFC1B" w:rsidR="00D47E44" w:rsidRPr="00207D0A" w:rsidRDefault="00D47E44" w:rsidP="00305770">
      <w:pPr>
        <w:pStyle w:val="Heading2"/>
        <w:numPr>
          <w:ilvl w:val="1"/>
          <w:numId w:val="13"/>
        </w:numPr>
        <w:ind w:left="720" w:hanging="720"/>
        <w:rPr>
          <w:u w:val="single"/>
        </w:rPr>
      </w:pPr>
      <w:r w:rsidRPr="00207D0A">
        <w:rPr>
          <w:u w:val="single"/>
        </w:rPr>
        <w:t>Background</w:t>
      </w:r>
    </w:p>
    <w:p w14:paraId="1A0C1F62" w14:textId="1EB13038" w:rsidR="00B15215" w:rsidRDefault="00D47E44" w:rsidP="00B15215">
      <w:pPr>
        <w:pStyle w:val="BodyText3"/>
      </w:pPr>
      <w:r w:rsidRPr="00581274">
        <w:t xml:space="preserve">For sites that are undergoing restart </w:t>
      </w:r>
      <w:r w:rsidR="00071676" w:rsidRPr="00581274">
        <w:t xml:space="preserve">consistent with </w:t>
      </w:r>
      <w:r w:rsidR="00953C6F" w:rsidRPr="00581274">
        <w:t xml:space="preserve">the </w:t>
      </w:r>
      <w:r w:rsidR="00071676" w:rsidRPr="00C510CE">
        <w:t>IMC 2562</w:t>
      </w:r>
      <w:r w:rsidR="00DD4382" w:rsidRPr="00581274">
        <w:t xml:space="preserve"> restart plan</w:t>
      </w:r>
      <w:r w:rsidR="0012494D" w:rsidRPr="00581274">
        <w:t xml:space="preserve"> </w:t>
      </w:r>
      <w:r w:rsidRPr="00581274">
        <w:t>after being decommissioned, the evaluation of the cybersecurity program requirements occurs in two distinct phases. The first phase utilizes procedure IP 81000.12, “Cybersecurity Restart Inspection – Pre-</w:t>
      </w:r>
      <w:r w:rsidR="00517745">
        <w:t>F</w:t>
      </w:r>
      <w:r w:rsidRPr="00581274">
        <w:t xml:space="preserve">uel </w:t>
      </w:r>
      <w:r w:rsidR="00517745">
        <w:t>L</w:t>
      </w:r>
      <w:r w:rsidRPr="00581274">
        <w:t>oad.” This procedure verifie</w:t>
      </w:r>
      <w:r w:rsidR="00F87CE9" w:rsidRPr="00581274">
        <w:t>s</w:t>
      </w:r>
      <w:r w:rsidRPr="00581274">
        <w:t xml:space="preserve"> the licensee performed the following: </w:t>
      </w:r>
    </w:p>
    <w:p w14:paraId="4BE28569" w14:textId="77777777" w:rsidR="00B15215" w:rsidRDefault="00D47E44" w:rsidP="00E03DF7">
      <w:pPr>
        <w:pStyle w:val="ListBullet3"/>
      </w:pPr>
      <w:r w:rsidRPr="00581274">
        <w:t xml:space="preserve">Establishment of a quality </w:t>
      </w:r>
      <w:r w:rsidR="00561597" w:rsidRPr="00581274">
        <w:t>C</w:t>
      </w:r>
      <w:r w:rsidRPr="00581274">
        <w:t xml:space="preserve">yber </w:t>
      </w:r>
      <w:r w:rsidR="00561597" w:rsidRPr="00581274">
        <w:t>S</w:t>
      </w:r>
      <w:r w:rsidRPr="00581274">
        <w:t xml:space="preserve">ecurity </w:t>
      </w:r>
      <w:r w:rsidR="00561597" w:rsidRPr="00581274">
        <w:t>A</w:t>
      </w:r>
      <w:r w:rsidRPr="00581274">
        <w:t xml:space="preserve">ssessment </w:t>
      </w:r>
      <w:r w:rsidR="00561597" w:rsidRPr="00581274">
        <w:t>T</w:t>
      </w:r>
      <w:r w:rsidRPr="00581274">
        <w:t xml:space="preserve">eam (CSAT); </w:t>
      </w:r>
    </w:p>
    <w:p w14:paraId="4175C3EC" w14:textId="602D4F58" w:rsidR="00B15215" w:rsidRDefault="00D47E44" w:rsidP="00E03DF7">
      <w:pPr>
        <w:pStyle w:val="ListBullet3"/>
      </w:pPr>
      <w:r w:rsidRPr="00581274">
        <w:t xml:space="preserve">Identification and documentation of CSs </w:t>
      </w:r>
      <w:r w:rsidR="00BB2884">
        <w:t>and</w:t>
      </w:r>
      <w:r w:rsidRPr="00581274">
        <w:t xml:space="preserve"> CDAs; </w:t>
      </w:r>
    </w:p>
    <w:p w14:paraId="77326F97" w14:textId="3D273178" w:rsidR="00B15215" w:rsidRDefault="00D47E44" w:rsidP="00E03DF7">
      <w:pPr>
        <w:pStyle w:val="ListBullet3"/>
      </w:pPr>
      <w:r w:rsidRPr="00581274">
        <w:t xml:space="preserve">Effectively implemented network architecture, </w:t>
      </w:r>
      <w:r w:rsidR="00BB2884">
        <w:t>e</w:t>
      </w:r>
      <w:r w:rsidRPr="00581274">
        <w:t xml:space="preserve">stablished controls for management of portable media, mobile devices, and portable equipment (PMMD); </w:t>
      </w:r>
    </w:p>
    <w:p w14:paraId="611A1BBC" w14:textId="77777777" w:rsidR="00B15215" w:rsidRDefault="00D47E44" w:rsidP="00E03DF7">
      <w:pPr>
        <w:pStyle w:val="ListBullet3"/>
      </w:pPr>
      <w:r w:rsidRPr="00581274">
        <w:t xml:space="preserve">Implemented program monitoring, assessment, configuration, and change management; </w:t>
      </w:r>
    </w:p>
    <w:p w14:paraId="3956C55C" w14:textId="77777777" w:rsidR="00B15215" w:rsidRDefault="00D47E44" w:rsidP="00E03DF7">
      <w:pPr>
        <w:pStyle w:val="ListBullet3"/>
      </w:pPr>
      <w:r w:rsidRPr="00581274">
        <w:t xml:space="preserve">Established systems/services acquisition and supply chain protection; </w:t>
      </w:r>
    </w:p>
    <w:p w14:paraId="5753BF40" w14:textId="77777777" w:rsidR="000E45BE" w:rsidRDefault="00D47E44" w:rsidP="00E03DF7">
      <w:pPr>
        <w:pStyle w:val="ListBullet3"/>
      </w:pPr>
      <w:r w:rsidRPr="00581274">
        <w:t xml:space="preserve">Identification and resolution of problems; and </w:t>
      </w:r>
    </w:p>
    <w:p w14:paraId="642D793B" w14:textId="5E755BE8" w:rsidR="00D47E44" w:rsidRPr="00581274" w:rsidRDefault="00D47E44" w:rsidP="00E03DF7">
      <w:pPr>
        <w:pStyle w:val="ListBullet3"/>
      </w:pPr>
      <w:r w:rsidRPr="00581274">
        <w:t xml:space="preserve">addressed changes to the CSP. </w:t>
      </w:r>
    </w:p>
    <w:p w14:paraId="02D22165" w14:textId="4A0631A6" w:rsidR="00D47E44" w:rsidRPr="00456549" w:rsidRDefault="00D47E44" w:rsidP="00581274">
      <w:pPr>
        <w:pStyle w:val="BodyText3"/>
      </w:pPr>
      <w:r w:rsidRPr="00456549">
        <w:t xml:space="preserve">The second phase of this inspection process utilizes the IP 81000.13, “Cybersecurity Restart Inspection </w:t>
      </w:r>
      <w:r w:rsidRPr="00456549">
        <w:rPr>
          <w:spacing w:val="-2"/>
        </w:rPr>
        <w:t>–</w:t>
      </w:r>
      <w:r w:rsidRPr="00456549">
        <w:t xml:space="preserve"> Post-</w:t>
      </w:r>
      <w:r w:rsidR="00276DAD">
        <w:t>F</w:t>
      </w:r>
      <w:r w:rsidRPr="00456549">
        <w:t xml:space="preserve">uel </w:t>
      </w:r>
      <w:r w:rsidR="00672072">
        <w:t>L</w:t>
      </w:r>
      <w:r w:rsidRPr="00456549">
        <w:t>oad,” to ensure the licensee adequately meets the full-baseline requirements consistent with Part 50 and Part 52 facilities.</w:t>
      </w:r>
      <w:r w:rsidR="00AC1F8D">
        <w:t xml:space="preserve"> </w:t>
      </w:r>
      <w:r w:rsidRPr="00456549">
        <w:t>Full</w:t>
      </w:r>
      <w:r w:rsidRPr="00456549">
        <w:rPr>
          <w:spacing w:val="-4"/>
        </w:rPr>
        <w:t xml:space="preserve"> </w:t>
      </w:r>
      <w:r w:rsidRPr="00456549">
        <w:t>implementation</w:t>
      </w:r>
      <w:r w:rsidRPr="00456549">
        <w:rPr>
          <w:spacing w:val="-4"/>
        </w:rPr>
        <w:t xml:space="preserve"> </w:t>
      </w:r>
      <w:r w:rsidR="00837EAD" w:rsidRPr="00456549">
        <w:rPr>
          <w:spacing w:val="-4"/>
        </w:rPr>
        <w:t xml:space="preserve">cybersecurity </w:t>
      </w:r>
      <w:r w:rsidRPr="00456549">
        <w:t>inspections</w:t>
      </w:r>
      <w:r w:rsidRPr="00456549">
        <w:rPr>
          <w:spacing w:val="-4"/>
        </w:rPr>
        <w:t xml:space="preserve"> (a.k.a</w:t>
      </w:r>
      <w:r w:rsidR="00903ED2">
        <w:rPr>
          <w:spacing w:val="-4"/>
        </w:rPr>
        <w:t>.</w:t>
      </w:r>
      <w:r w:rsidRPr="00456549">
        <w:rPr>
          <w:spacing w:val="-4"/>
        </w:rPr>
        <w:t xml:space="preserve">, “Milestone 8 inspections”) </w:t>
      </w:r>
      <w:r w:rsidR="00631567" w:rsidRPr="00456549">
        <w:t>were</w:t>
      </w:r>
      <w:r w:rsidRPr="00456549">
        <w:rPr>
          <w:spacing w:val="-4"/>
        </w:rPr>
        <w:t xml:space="preserve"> </w:t>
      </w:r>
      <w:r w:rsidRPr="00456549">
        <w:t>conducted</w:t>
      </w:r>
      <w:r w:rsidRPr="00456549">
        <w:rPr>
          <w:spacing w:val="-4"/>
        </w:rPr>
        <w:t xml:space="preserve"> for the Part 50 and Part 52 facilities </w:t>
      </w:r>
      <w:r w:rsidRPr="00456549">
        <w:t>using</w:t>
      </w:r>
      <w:r w:rsidR="00FD59DD">
        <w:t xml:space="preserve"> </w:t>
      </w:r>
      <w:r w:rsidRPr="00456549">
        <w:t xml:space="preserve">IP 71130.10, “Cybersecurity.” </w:t>
      </w:r>
      <w:r w:rsidR="00A56E98" w:rsidRPr="00456549">
        <w:t xml:space="preserve">This IP was not part of the </w:t>
      </w:r>
      <w:r w:rsidR="00553E54" w:rsidRPr="00456549">
        <w:t>baseline but</w:t>
      </w:r>
      <w:r w:rsidR="00A56E98" w:rsidRPr="00456549">
        <w:t xml:space="preserve"> help</w:t>
      </w:r>
      <w:r w:rsidR="001007DE" w:rsidRPr="00456549">
        <w:t>ed</w:t>
      </w:r>
      <w:r w:rsidR="00A56E98" w:rsidRPr="00456549">
        <w:t xml:space="preserve"> in establishing the baseline for subsequent </w:t>
      </w:r>
      <w:r w:rsidR="001007DE" w:rsidRPr="00456549">
        <w:t>p</w:t>
      </w:r>
      <w:r w:rsidR="00A56E98" w:rsidRPr="00456549">
        <w:t>rocedures</w:t>
      </w:r>
      <w:r w:rsidR="001007DE" w:rsidRPr="00456549">
        <w:t xml:space="preserve"> used for full implementation</w:t>
      </w:r>
      <w:r w:rsidR="00420D90" w:rsidRPr="00456549">
        <w:t xml:space="preserve"> oversight activities</w:t>
      </w:r>
      <w:r w:rsidR="001007DE" w:rsidRPr="00456549">
        <w:t xml:space="preserve">. </w:t>
      </w:r>
      <w:r w:rsidRPr="00456549">
        <w:t>Prior to and during the full implementation inspections, additional guidance was developed and issued based on lessons learned from oversight program implementation. Nuclear Energy Institute (NEI) 13-10, “Cybersecurity Control Assessments,” Revision 7, streamlined the process for addressing the application of cybersecurity controls to many CDAs.</w:t>
      </w:r>
      <w:r w:rsidRPr="00456549">
        <w:rPr>
          <w:spacing w:val="40"/>
        </w:rPr>
        <w:t xml:space="preserve"> </w:t>
      </w:r>
      <w:r w:rsidRPr="00456549">
        <w:t>Industry issued addendums to NEI 08-09, “Cybersecurity Plan for Nuclear Power Reactors,” Revision 6, to clarify the requirements for implementing controls while the NRC performed the full implementation inspections.</w:t>
      </w:r>
      <w:r w:rsidR="00B85D47" w:rsidRPr="00456549">
        <w:t xml:space="preserve"> </w:t>
      </w:r>
      <w:r w:rsidRPr="00456549">
        <w:t xml:space="preserve">In addition, industry continued efforts to clarify the process </w:t>
      </w:r>
      <w:r w:rsidRPr="00456549">
        <w:lastRenderedPageBreak/>
        <w:t>for identification of digital assets identified as critical in the emergency planning and balance of plant areas, as the guidance in NEI 10-04, “Identifying Systems and Assets Subject to the Cybersecurity Rule,” and NEI 13-10 changed.</w:t>
      </w:r>
    </w:p>
    <w:p w14:paraId="5257C0E2" w14:textId="6748BC78" w:rsidR="00D47E44" w:rsidRPr="00456549" w:rsidRDefault="00D47E44" w:rsidP="00581274">
      <w:pPr>
        <w:pStyle w:val="BodyText3"/>
      </w:pPr>
      <w:r w:rsidRPr="00456549">
        <w:t>Throughout this procedure, the term “high assurance” is used in alignment with the Commission</w:t>
      </w:r>
      <w:r w:rsidRPr="00456549">
        <w:rPr>
          <w:spacing w:val="-5"/>
        </w:rPr>
        <w:t xml:space="preserve"> </w:t>
      </w:r>
      <w:r w:rsidRPr="00456549">
        <w:t>policy</w:t>
      </w:r>
      <w:r w:rsidRPr="00456549">
        <w:rPr>
          <w:spacing w:val="-5"/>
        </w:rPr>
        <w:t xml:space="preserve"> </w:t>
      </w:r>
      <w:r w:rsidRPr="00456549">
        <w:t>statement</w:t>
      </w:r>
      <w:r w:rsidRPr="00456549">
        <w:rPr>
          <w:spacing w:val="-4"/>
        </w:rPr>
        <w:t xml:space="preserve"> </w:t>
      </w:r>
      <w:r w:rsidRPr="00456549">
        <w:t>that</w:t>
      </w:r>
      <w:r w:rsidRPr="00456549">
        <w:rPr>
          <w:spacing w:val="-4"/>
        </w:rPr>
        <w:t xml:space="preserve"> </w:t>
      </w:r>
      <w:r w:rsidRPr="00456549">
        <w:t>high</w:t>
      </w:r>
      <w:r w:rsidRPr="00456549">
        <w:rPr>
          <w:spacing w:val="-4"/>
        </w:rPr>
        <w:t xml:space="preserve"> </w:t>
      </w:r>
      <w:r w:rsidRPr="00456549">
        <w:t>assurance</w:t>
      </w:r>
      <w:r w:rsidRPr="00456549">
        <w:rPr>
          <w:spacing w:val="-4"/>
        </w:rPr>
        <w:t xml:space="preserve"> </w:t>
      </w:r>
      <w:r w:rsidRPr="00456549">
        <w:t>is</w:t>
      </w:r>
      <w:r w:rsidRPr="00456549">
        <w:rPr>
          <w:spacing w:val="-4"/>
        </w:rPr>
        <w:t xml:space="preserve"> </w:t>
      </w:r>
      <w:r w:rsidRPr="00456549">
        <w:t>equivalent</w:t>
      </w:r>
      <w:r w:rsidRPr="00456549">
        <w:rPr>
          <w:spacing w:val="-4"/>
        </w:rPr>
        <w:t xml:space="preserve"> </w:t>
      </w:r>
      <w:r w:rsidRPr="00456549">
        <w:t>to</w:t>
      </w:r>
      <w:r w:rsidRPr="00456549">
        <w:rPr>
          <w:spacing w:val="-4"/>
        </w:rPr>
        <w:t xml:space="preserve"> </w:t>
      </w:r>
      <w:r w:rsidRPr="00456549">
        <w:t>reasonable</w:t>
      </w:r>
      <w:r w:rsidRPr="00456549">
        <w:rPr>
          <w:spacing w:val="-4"/>
        </w:rPr>
        <w:t xml:space="preserve"> </w:t>
      </w:r>
      <w:r w:rsidRPr="00456549">
        <w:t>assurance of adequate protection (NRC Staff Requirements Memorandum (SRM) SECY, “Options and Recommendations for the Force-On-Force Inspection Program in Response to SRM-SECY-14-0088,” Washington, DC, October 5, 2016 (Agencywide Documents Access Management System Accession No. ML16279A345)</w:t>
      </w:r>
      <w:r w:rsidR="002A7EB3">
        <w:t>)</w:t>
      </w:r>
      <w:r w:rsidRPr="00456549">
        <w:t>.</w:t>
      </w:r>
      <w:bookmarkStart w:id="2" w:name="02.02_Guidance"/>
      <w:bookmarkEnd w:id="2"/>
    </w:p>
    <w:p w14:paraId="0B8F89DB" w14:textId="12788268" w:rsidR="00D47E44" w:rsidRPr="00D06A5A" w:rsidRDefault="00D06A5A" w:rsidP="00D06A5A">
      <w:pPr>
        <w:pStyle w:val="Heading2"/>
        <w:rPr>
          <w:rFonts w:eastAsia="Times New Roman" w:cs="Arial"/>
        </w:rPr>
      </w:pPr>
      <w:r w:rsidRPr="00D06A5A">
        <w:rPr>
          <w:rFonts w:cs="Arial"/>
          <w:spacing w:val="-2"/>
        </w:rPr>
        <w:t>02.02</w:t>
      </w:r>
      <w:r w:rsidR="00207D0A">
        <w:rPr>
          <w:rFonts w:cs="Arial"/>
          <w:spacing w:val="-2"/>
        </w:rPr>
        <w:tab/>
      </w:r>
      <w:r w:rsidR="00553E54" w:rsidRPr="00207D0A">
        <w:rPr>
          <w:rFonts w:cs="Arial"/>
          <w:spacing w:val="-2"/>
          <w:u w:val="single"/>
        </w:rPr>
        <w:t>Guidance</w:t>
      </w:r>
    </w:p>
    <w:p w14:paraId="1CA84252" w14:textId="6578C9D1" w:rsidR="00D47E44" w:rsidRPr="00456549" w:rsidRDefault="00D47E44" w:rsidP="00E475B6">
      <w:pPr>
        <w:pStyle w:val="BodyText3"/>
      </w:pPr>
      <w:r w:rsidRPr="00456549">
        <w:t>All aspects of the licensee’s program are within the assessment scope of this inspection activity.</w:t>
      </w:r>
      <w:r w:rsidR="00B85D47" w:rsidRPr="00456549">
        <w:t xml:space="preserve"> </w:t>
      </w:r>
      <w:r w:rsidRPr="00456549">
        <w:t xml:space="preserve">Programmatic aspects the </w:t>
      </w:r>
      <w:r w:rsidR="001175B5">
        <w:t>i</w:t>
      </w:r>
      <w:r w:rsidR="00033BAB">
        <w:t>nspector(s)</w:t>
      </w:r>
      <w:r w:rsidR="001175B5">
        <w:t xml:space="preserve"> </w:t>
      </w:r>
      <w:r w:rsidRPr="00456549">
        <w:t xml:space="preserve">should focus on potentially include changes to the plant since the pre-fuel inspection activity, </w:t>
      </w:r>
      <w:r w:rsidR="00A75B23">
        <w:t>systems</w:t>
      </w:r>
      <w:r w:rsidR="00997915">
        <w:t>,</w:t>
      </w:r>
      <w:r w:rsidR="00A75B23">
        <w:t xml:space="preserve"> </w:t>
      </w:r>
      <w:r w:rsidR="00997915">
        <w:t xml:space="preserve">structures, </w:t>
      </w:r>
      <w:r w:rsidR="00A75B23">
        <w:t xml:space="preserve">and </w:t>
      </w:r>
      <w:r w:rsidR="003F5C57">
        <w:t>components</w:t>
      </w:r>
      <w:r w:rsidR="00A75B23">
        <w:t xml:space="preserve"> (</w:t>
      </w:r>
      <w:r w:rsidRPr="00456549">
        <w:t>SSCs</w:t>
      </w:r>
      <w:r w:rsidR="00A75B23">
        <w:t>)</w:t>
      </w:r>
      <w:r w:rsidRPr="00456549">
        <w:t xml:space="preserve"> that have not been operating during the decommissioned period, and SSCs which have undergone restart implementation. </w:t>
      </w:r>
      <w:r w:rsidR="00DF7748">
        <w:t>CSs</w:t>
      </w:r>
      <w:r w:rsidR="0051694A">
        <w:rPr>
          <w:spacing w:val="-6"/>
        </w:rPr>
        <w:t xml:space="preserve"> </w:t>
      </w:r>
      <w:r w:rsidRPr="00456549">
        <w:rPr>
          <w:spacing w:val="-6"/>
        </w:rPr>
        <w:t xml:space="preserve">to review </w:t>
      </w:r>
      <w:r w:rsidRPr="00456549">
        <w:t>include,</w:t>
      </w:r>
      <w:r w:rsidRPr="00456549">
        <w:rPr>
          <w:spacing w:val="-6"/>
        </w:rPr>
        <w:t xml:space="preserve"> </w:t>
      </w:r>
      <w:r w:rsidRPr="00456549">
        <w:t>but</w:t>
      </w:r>
      <w:r w:rsidRPr="00456549">
        <w:rPr>
          <w:spacing w:val="-6"/>
        </w:rPr>
        <w:t xml:space="preserve"> </w:t>
      </w:r>
      <w:r w:rsidRPr="00456549">
        <w:t>are</w:t>
      </w:r>
      <w:r w:rsidRPr="00456549">
        <w:rPr>
          <w:spacing w:val="-6"/>
        </w:rPr>
        <w:t xml:space="preserve"> </w:t>
      </w:r>
      <w:r w:rsidRPr="00456549">
        <w:t>not</w:t>
      </w:r>
      <w:r w:rsidRPr="00456549">
        <w:rPr>
          <w:spacing w:val="-6"/>
        </w:rPr>
        <w:t xml:space="preserve"> </w:t>
      </w:r>
      <w:r w:rsidRPr="00456549">
        <w:t>limited</w:t>
      </w:r>
      <w:r w:rsidRPr="00456549">
        <w:rPr>
          <w:spacing w:val="-6"/>
        </w:rPr>
        <w:t xml:space="preserve"> </w:t>
      </w:r>
      <w:r w:rsidRPr="00456549">
        <w:t>to,</w:t>
      </w:r>
      <w:r w:rsidRPr="00456549">
        <w:rPr>
          <w:spacing w:val="-6"/>
        </w:rPr>
        <w:t xml:space="preserve"> </w:t>
      </w:r>
      <w:r w:rsidRPr="00456549">
        <w:t>plant</w:t>
      </w:r>
      <w:r w:rsidRPr="00456549">
        <w:rPr>
          <w:spacing w:val="-24"/>
        </w:rPr>
        <w:t xml:space="preserve"> </w:t>
      </w:r>
      <w:r w:rsidRPr="00456549">
        <w:t xml:space="preserve">systems, equipment, communication systems, networks, offsite communications, or support systems, or equipment </w:t>
      </w:r>
      <w:r w:rsidRPr="00E45612">
        <w:t>that perform</w:t>
      </w:r>
      <w:r w:rsidR="00E52501" w:rsidRPr="00E45612">
        <w:t>s</w:t>
      </w:r>
      <w:r w:rsidRPr="00E45612">
        <w:t>, or are associate</w:t>
      </w:r>
      <w:r w:rsidRPr="00456549">
        <w:t xml:space="preserve">d with, SSEP functions. The </w:t>
      </w:r>
      <w:r w:rsidR="00997915">
        <w:t>i</w:t>
      </w:r>
      <w:r w:rsidR="00033BAB">
        <w:t>nspector(s)</w:t>
      </w:r>
      <w:r w:rsidR="0051694A">
        <w:t xml:space="preserve"> </w:t>
      </w:r>
      <w:r w:rsidRPr="00456549">
        <w:t>should be sensitive to</w:t>
      </w:r>
      <w:r w:rsidR="00CE23B6" w:rsidRPr="00456549">
        <w:t xml:space="preserve"> high functioning CDAs within</w:t>
      </w:r>
      <w:r w:rsidRPr="00456549">
        <w:t xml:space="preserve"> </w:t>
      </w:r>
      <w:r w:rsidR="00316E86">
        <w:t>CSs</w:t>
      </w:r>
      <w:r w:rsidRPr="00456549">
        <w:t xml:space="preserve"> and CDAs that utilize software to accomplish SSEP and/or design basis functions. The </w:t>
      </w:r>
      <w:r w:rsidR="006277AD">
        <w:t>i</w:t>
      </w:r>
      <w:r w:rsidR="00033BAB">
        <w:t>nspector(s)</w:t>
      </w:r>
      <w:r w:rsidRPr="00456549">
        <w:t xml:space="preserve"> can glean an understanding of these potential software updates by determining if there are any existing vulnerabilities listed within the </w:t>
      </w:r>
      <w:hyperlink r:id="rId11" w:history="1">
        <w:r w:rsidRPr="00456549">
          <w:t>National Vulnerability Database (NVD)</w:t>
        </w:r>
      </w:hyperlink>
      <w:r w:rsidRPr="00456549">
        <w:t xml:space="preserve">. A keyword search can be conducted by product or by common platform enumeration (CPE). If no changes have occurred through the design change process, safety/security interface requirements, or sourced via operating experience sources like the NVD, the </w:t>
      </w:r>
      <w:r w:rsidR="006277AD">
        <w:t>i</w:t>
      </w:r>
      <w:r w:rsidR="0073230B">
        <w:t>nspector(s)</w:t>
      </w:r>
      <w:r w:rsidRPr="00456549">
        <w:t xml:space="preserve"> </w:t>
      </w:r>
      <w:r w:rsidR="007106A8">
        <w:t xml:space="preserve">will </w:t>
      </w:r>
      <w:r w:rsidRPr="00456549">
        <w:t xml:space="preserve">select </w:t>
      </w:r>
      <w:r w:rsidR="00F533B9" w:rsidRPr="00456549">
        <w:t>four</w:t>
      </w:r>
      <w:r w:rsidR="009F4338" w:rsidRPr="00456549">
        <w:t xml:space="preserve"> </w:t>
      </w:r>
      <w:r w:rsidR="00895B56">
        <w:t>CSs</w:t>
      </w:r>
      <w:r w:rsidRPr="00456549">
        <w:t>, including</w:t>
      </w:r>
      <w:r w:rsidR="00725AB2">
        <w:t xml:space="preserve"> at least</w:t>
      </w:r>
      <w:r w:rsidRPr="00456549">
        <w:t xml:space="preserve"> one safety-related, </w:t>
      </w:r>
      <w:r w:rsidR="00C2268A" w:rsidRPr="00456549">
        <w:t>one</w:t>
      </w:r>
      <w:r w:rsidRPr="00456549">
        <w:t xml:space="preserve"> </w:t>
      </w:r>
      <w:r w:rsidR="006909B9">
        <w:t>important</w:t>
      </w:r>
      <w:r w:rsidRPr="00456549">
        <w:t xml:space="preserve">-to-safety </w:t>
      </w:r>
      <w:r w:rsidR="006909B9">
        <w:t xml:space="preserve">(ITS) </w:t>
      </w:r>
      <w:r w:rsidRPr="00456549">
        <w:t>system,</w:t>
      </w:r>
      <w:r w:rsidR="00274C43" w:rsidRPr="00456549">
        <w:t xml:space="preserve"> </w:t>
      </w:r>
      <w:r w:rsidRPr="00456549">
        <w:t>and</w:t>
      </w:r>
      <w:r w:rsidR="007A3A39" w:rsidRPr="00456549">
        <w:t xml:space="preserve"> one</w:t>
      </w:r>
      <w:r w:rsidRPr="00456549">
        <w:t xml:space="preserve"> security system, to review their current implementation.</w:t>
      </w:r>
      <w:r w:rsidR="007A3A39" w:rsidRPr="00456549">
        <w:t xml:space="preserve"> </w:t>
      </w:r>
    </w:p>
    <w:p w14:paraId="28738950" w14:textId="4647FAAC" w:rsidR="00424D4D" w:rsidRDefault="00465890" w:rsidP="00E475B6">
      <w:pPr>
        <w:pStyle w:val="BodyText3"/>
      </w:pPr>
      <w:r w:rsidRPr="00456549">
        <w:t>Inspection f</w:t>
      </w:r>
      <w:r w:rsidR="00D47E44" w:rsidRPr="00456549">
        <w:t xml:space="preserve">indings and issues related to this IP shall be processed through the </w:t>
      </w:r>
      <w:r w:rsidR="00251C8D" w:rsidRPr="00456549">
        <w:t>Security Issues Forum (</w:t>
      </w:r>
      <w:r w:rsidR="00D47E44" w:rsidRPr="00456549">
        <w:t>SIF</w:t>
      </w:r>
      <w:r w:rsidR="00251C8D" w:rsidRPr="00456549">
        <w:t>)</w:t>
      </w:r>
      <w:r w:rsidR="00D47E44" w:rsidRPr="00456549">
        <w:t xml:space="preserve">. </w:t>
      </w:r>
    </w:p>
    <w:p w14:paraId="480CC723" w14:textId="0062465D" w:rsidR="000752AD" w:rsidRPr="00305770" w:rsidRDefault="000752AD" w:rsidP="00C714C1">
      <w:pPr>
        <w:pStyle w:val="Heading1"/>
      </w:pPr>
      <w:r w:rsidRPr="00305770">
        <w:t>81000.13-0</w:t>
      </w:r>
      <w:r w:rsidR="00553E54" w:rsidRPr="00305770">
        <w:t>3</w:t>
      </w:r>
      <w:r w:rsidR="00A25D33">
        <w:tab/>
      </w:r>
      <w:r w:rsidRPr="00305770">
        <w:t>INSPECTION REQUIREMENTS</w:t>
      </w:r>
    </w:p>
    <w:p w14:paraId="2D407816" w14:textId="33128CF2" w:rsidR="000752AD" w:rsidRPr="00AC337E" w:rsidRDefault="000752AD" w:rsidP="00AC337E">
      <w:pPr>
        <w:pStyle w:val="BodyText"/>
        <w:outlineLvl w:val="1"/>
        <w:rPr>
          <w:rFonts w:eastAsia="Times New Roman"/>
          <w:color w:val="000000"/>
          <w:spacing w:val="-2"/>
          <w:u w:val="single"/>
          <w14:ligatures w14:val="standardContextual"/>
        </w:rPr>
      </w:pPr>
      <w:r w:rsidRPr="00AC337E">
        <w:rPr>
          <w:rFonts w:eastAsia="Times New Roman"/>
          <w:color w:val="000000"/>
          <w:spacing w:val="-2"/>
          <w:u w:val="single"/>
          <w14:ligatures w14:val="standardContextual"/>
        </w:rPr>
        <w:t>General Guidance</w:t>
      </w:r>
    </w:p>
    <w:p w14:paraId="1D4BACD3" w14:textId="68D84C13" w:rsidR="000752AD" w:rsidRDefault="000752AD" w:rsidP="00AC337E">
      <w:pPr>
        <w:pStyle w:val="BodyText"/>
        <w:rPr>
          <w:rFonts w:eastAsia="Arial"/>
          <w14:ligatures w14:val="standardContextual"/>
        </w:rPr>
      </w:pPr>
      <w:r w:rsidRPr="00456549">
        <w:rPr>
          <w:rFonts w:eastAsia="Arial"/>
          <w14:ligatures w14:val="standardContextual"/>
        </w:rPr>
        <w:t xml:space="preserve">This IP was developed to verify the cybersecurity program requirements for implementation at a plant reestablishing a license in accordance with 10 CFR Part 50 or 10 CFR Part 52. The inspection will assess if the entity appropriately meets NRC requirements and objectives for operational program cybersecurity readiness. Note that this inspection is conducted as licensees have loaded fuel to support their operational program in accordance with IMC 2562, “Light-Water Reactor Inspection Program for Restart of Reactor Facilities Following Permanent Cessation of Power Operations.” For </w:t>
      </w:r>
      <w:proofErr w:type="gramStart"/>
      <w:r w:rsidRPr="00456549">
        <w:rPr>
          <w:rFonts w:eastAsia="Arial"/>
          <w14:ligatures w14:val="standardContextual"/>
        </w:rPr>
        <w:t>restart of</w:t>
      </w:r>
      <w:proofErr w:type="gramEnd"/>
      <w:r w:rsidRPr="00456549">
        <w:rPr>
          <w:rFonts w:eastAsia="Arial"/>
          <w14:ligatures w14:val="standardContextual"/>
        </w:rPr>
        <w:t xml:space="preserve"> reactor facilities following termination of an operating license, this IP is considered applicable for transitioning from a decommissioned or extended shutdown reactor facility to an operational power reactor facility subject to the ROP.</w:t>
      </w:r>
      <w:r w:rsidRPr="00456549">
        <w:t xml:space="preserve"> </w:t>
      </w:r>
      <w:r w:rsidRPr="00456549">
        <w:rPr>
          <w:rFonts w:eastAsia="Arial"/>
          <w14:ligatures w14:val="standardContextual"/>
        </w:rPr>
        <w:t>Verification of inspection requirements through direct observation of activities may not be possible. In such cases, the inspector(s) should review the appropriate licensee procedures and conduct inspections of associated areas that are observable to verify program compliance upon implementation.</w:t>
      </w:r>
    </w:p>
    <w:p w14:paraId="4B9C76F3" w14:textId="213766E2" w:rsidR="00877A3E" w:rsidRPr="001261CA" w:rsidRDefault="00877A3E" w:rsidP="00AC337E">
      <w:pPr>
        <w:pStyle w:val="BodyText"/>
        <w:rPr>
          <w:rFonts w:eastAsia="Arial"/>
          <w:spacing w:val="-2"/>
          <w14:ligatures w14:val="standardContextual"/>
        </w:rPr>
      </w:pPr>
      <w:r w:rsidRPr="00FD2C32">
        <w:rPr>
          <w:rFonts w:eastAsia="Arial"/>
          <w14:ligatures w14:val="standardContextual"/>
        </w:rPr>
        <w:lastRenderedPageBreak/>
        <w:t xml:space="preserve">The </w:t>
      </w:r>
      <w:r w:rsidR="00D42114">
        <w:rPr>
          <w:rFonts w:eastAsia="Arial"/>
          <w14:ligatures w14:val="standardContextual"/>
        </w:rPr>
        <w:t>i</w:t>
      </w:r>
      <w:r w:rsidR="00235412">
        <w:rPr>
          <w:rFonts w:eastAsia="Arial"/>
          <w14:ligatures w14:val="standardContextual"/>
        </w:rPr>
        <w:t>nspector(s)</w:t>
      </w:r>
      <w:r w:rsidRPr="00FD2C32">
        <w:rPr>
          <w:rFonts w:eastAsia="Arial"/>
          <w14:ligatures w14:val="standardContextual"/>
        </w:rPr>
        <w:t xml:space="preserve"> may want to consider reviewing any condition reports </w:t>
      </w:r>
      <w:proofErr w:type="gramStart"/>
      <w:r>
        <w:rPr>
          <w:rFonts w:eastAsia="Arial"/>
          <w14:ligatures w14:val="standardContextual"/>
        </w:rPr>
        <w:t>entered into</w:t>
      </w:r>
      <w:proofErr w:type="gramEnd"/>
      <w:r>
        <w:rPr>
          <w:rFonts w:eastAsia="Arial"/>
          <w14:ligatures w14:val="standardContextual"/>
        </w:rPr>
        <w:t xml:space="preserve"> the </w:t>
      </w:r>
      <w:r w:rsidR="006E4CEF">
        <w:rPr>
          <w:rFonts w:eastAsia="Arial"/>
          <w14:ligatures w14:val="standardContextual"/>
        </w:rPr>
        <w:t>c</w:t>
      </w:r>
      <w:r>
        <w:rPr>
          <w:rFonts w:eastAsia="Arial"/>
          <w14:ligatures w14:val="standardContextual"/>
        </w:rPr>
        <w:t xml:space="preserve">orrective </w:t>
      </w:r>
      <w:r w:rsidR="006E4CEF">
        <w:rPr>
          <w:rFonts w:eastAsia="Arial"/>
          <w14:ligatures w14:val="standardContextual"/>
        </w:rPr>
        <w:t>a</w:t>
      </w:r>
      <w:r>
        <w:rPr>
          <w:rFonts w:eastAsia="Arial"/>
          <w14:ligatures w14:val="standardContextual"/>
        </w:rPr>
        <w:t xml:space="preserve">ction </w:t>
      </w:r>
      <w:r w:rsidR="006E4CEF">
        <w:rPr>
          <w:rFonts w:eastAsia="Arial"/>
          <w14:ligatures w14:val="standardContextual"/>
        </w:rPr>
        <w:t>p</w:t>
      </w:r>
      <w:r>
        <w:rPr>
          <w:rFonts w:eastAsia="Arial"/>
          <w14:ligatures w14:val="standardContextual"/>
        </w:rPr>
        <w:t>rogram (CAP)</w:t>
      </w:r>
      <w:r w:rsidRPr="00FD2C32">
        <w:rPr>
          <w:rFonts w:eastAsia="Arial"/>
          <w14:ligatures w14:val="standardContextual"/>
        </w:rPr>
        <w:t xml:space="preserve"> during the IP 81000.12, </w:t>
      </w:r>
      <w:r w:rsidR="00A62981">
        <w:rPr>
          <w:rFonts w:eastAsia="Arial"/>
          <w14:ligatures w14:val="standardContextual"/>
        </w:rPr>
        <w:t>p</w:t>
      </w:r>
      <w:r w:rsidRPr="00FD2C32">
        <w:rPr>
          <w:rFonts w:eastAsia="Arial"/>
          <w14:ligatures w14:val="standardContextual"/>
        </w:rPr>
        <w:t xml:space="preserve">re-fuel </w:t>
      </w:r>
      <w:r w:rsidR="00A62981">
        <w:rPr>
          <w:rFonts w:eastAsia="Arial"/>
          <w14:ligatures w14:val="standardContextual"/>
        </w:rPr>
        <w:t>i</w:t>
      </w:r>
      <w:r w:rsidRPr="00FD2C32">
        <w:rPr>
          <w:rFonts w:eastAsia="Arial"/>
          <w14:ligatures w14:val="standardContextual"/>
        </w:rPr>
        <w:t>nspection</w:t>
      </w:r>
      <w:r>
        <w:rPr>
          <w:rFonts w:eastAsia="Arial"/>
          <w14:ligatures w14:val="standardContextual"/>
        </w:rPr>
        <w:t xml:space="preserve"> to assist in ascertaining the effectiveness of the CAP program</w:t>
      </w:r>
      <w:r w:rsidRPr="00FD2C32">
        <w:rPr>
          <w:rFonts w:eastAsia="Arial"/>
          <w14:ligatures w14:val="standardContextual"/>
        </w:rPr>
        <w:t>.</w:t>
      </w:r>
    </w:p>
    <w:p w14:paraId="6692E8ED" w14:textId="02D60848" w:rsidR="004D7D08" w:rsidRDefault="003E2BDE" w:rsidP="00AC337E">
      <w:pPr>
        <w:pStyle w:val="BodyText"/>
        <w:rPr>
          <w:rFonts w:eastAsia="Arial"/>
          <w14:ligatures w14:val="standardContextual"/>
        </w:rPr>
      </w:pPr>
      <w:r>
        <w:rPr>
          <w:rFonts w:eastAsia="Arial"/>
          <w14:ligatures w14:val="standardContextual"/>
        </w:rPr>
        <w:t xml:space="preserve">Through completion of the inspection requirements within this IP, the inspector(s) </w:t>
      </w:r>
      <w:r w:rsidR="00D779D5">
        <w:rPr>
          <w:rFonts w:eastAsia="Arial"/>
          <w14:ligatures w14:val="standardContextual"/>
        </w:rPr>
        <w:t xml:space="preserve">can verify the licensee’s </w:t>
      </w:r>
      <w:r w:rsidR="009D4058">
        <w:rPr>
          <w:rFonts w:eastAsia="Arial"/>
          <w14:ligatures w14:val="standardContextual"/>
        </w:rPr>
        <w:t>cybersecurity</w:t>
      </w:r>
      <w:r w:rsidR="00D779D5">
        <w:rPr>
          <w:rFonts w:eastAsia="Arial"/>
          <w14:ligatures w14:val="standardContextual"/>
        </w:rPr>
        <w:t xml:space="preserve"> program is designed and </w:t>
      </w:r>
      <w:r w:rsidR="009D4058">
        <w:rPr>
          <w:rFonts w:eastAsia="Arial"/>
          <w14:ligatures w14:val="standardContextual"/>
        </w:rPr>
        <w:t>implemented</w:t>
      </w:r>
      <w:r w:rsidR="00D779D5">
        <w:rPr>
          <w:rFonts w:eastAsia="Arial"/>
          <w14:ligatures w14:val="standardContextual"/>
        </w:rPr>
        <w:t xml:space="preserve"> to meet the general perfo</w:t>
      </w:r>
      <w:r w:rsidR="008F1249">
        <w:rPr>
          <w:rFonts w:eastAsia="Arial"/>
          <w14:ligatures w14:val="standardContextual"/>
        </w:rPr>
        <w:t>rmance objectives of both its CSP and 10 CFR 73.55 (b)(8).</w:t>
      </w:r>
    </w:p>
    <w:p w14:paraId="1ADA3AE3" w14:textId="684CC97B" w:rsidR="000752AD" w:rsidRDefault="006730B6" w:rsidP="00AC337E">
      <w:pPr>
        <w:pStyle w:val="BodyText"/>
        <w:rPr>
          <w:rFonts w:eastAsia="Arial"/>
          <w:color w:val="FF0000"/>
          <w:spacing w:val="-2"/>
          <w14:ligatures w14:val="standardContextual"/>
        </w:rPr>
      </w:pPr>
      <w:r>
        <w:rPr>
          <w:rFonts w:eastAsia="Arial"/>
          <w14:ligatures w14:val="standardContextual"/>
        </w:rPr>
        <w:t xml:space="preserve">The inspector(s) </w:t>
      </w:r>
      <w:r w:rsidR="00F77B5C">
        <w:rPr>
          <w:rFonts w:eastAsia="Arial"/>
          <w14:ligatures w14:val="standardContextual"/>
        </w:rPr>
        <w:t xml:space="preserve">should consider the following inspection requirements in Sections </w:t>
      </w:r>
      <w:r w:rsidR="009A34DC">
        <w:rPr>
          <w:rFonts w:eastAsia="Arial"/>
          <w14:ligatures w14:val="standardContextual"/>
        </w:rPr>
        <w:t>03</w:t>
      </w:r>
      <w:r w:rsidR="00F77B5C">
        <w:rPr>
          <w:rFonts w:eastAsia="Arial"/>
          <w14:ligatures w14:val="standardContextual"/>
        </w:rPr>
        <w:t>.</w:t>
      </w:r>
      <w:r w:rsidR="00EF213B">
        <w:rPr>
          <w:rFonts w:eastAsia="Arial"/>
          <w14:ligatures w14:val="standardContextual"/>
        </w:rPr>
        <w:t>01</w:t>
      </w:r>
      <w:r w:rsidR="00F77B5C">
        <w:rPr>
          <w:rFonts w:eastAsia="Arial"/>
          <w14:ligatures w14:val="standardContextual"/>
        </w:rPr>
        <w:t xml:space="preserve"> to </w:t>
      </w:r>
      <w:r w:rsidR="00EF213B">
        <w:rPr>
          <w:rFonts w:eastAsia="Arial"/>
          <w14:ligatures w14:val="standardContextual"/>
        </w:rPr>
        <w:t>03</w:t>
      </w:r>
      <w:r w:rsidR="00F77B5C">
        <w:rPr>
          <w:rFonts w:eastAsia="Arial"/>
          <w14:ligatures w14:val="standardContextual"/>
        </w:rPr>
        <w:t>.</w:t>
      </w:r>
      <w:r w:rsidR="00EF213B">
        <w:rPr>
          <w:rFonts w:eastAsia="Arial"/>
          <w14:ligatures w14:val="standardContextual"/>
        </w:rPr>
        <w:t>03</w:t>
      </w:r>
      <w:r w:rsidR="00F77B5C">
        <w:rPr>
          <w:rFonts w:eastAsia="Arial"/>
          <w14:ligatures w14:val="standardContextual"/>
        </w:rPr>
        <w:t xml:space="preserve"> when developing the inspection plan </w:t>
      </w:r>
      <w:r w:rsidR="0007018F">
        <w:rPr>
          <w:rFonts w:eastAsia="Arial"/>
          <w14:ligatures w14:val="standardContextual"/>
        </w:rPr>
        <w:t xml:space="preserve">and identifying the </w:t>
      </w:r>
      <w:r w:rsidR="00771541">
        <w:rPr>
          <w:rFonts w:eastAsia="Arial"/>
          <w14:ligatures w14:val="standardContextual"/>
        </w:rPr>
        <w:t>sample selections</w:t>
      </w:r>
      <w:r w:rsidR="0007018F">
        <w:rPr>
          <w:rFonts w:eastAsia="Arial"/>
          <w14:ligatures w14:val="standardContextual"/>
        </w:rPr>
        <w:t>.</w:t>
      </w:r>
      <w:r w:rsidR="00F8330B">
        <w:rPr>
          <w:rFonts w:eastAsia="Arial"/>
          <w:spacing w:val="-2"/>
          <w14:ligatures w14:val="standardContextual"/>
        </w:rPr>
        <w:t xml:space="preserve"> </w:t>
      </w:r>
      <w:r w:rsidR="000752AD" w:rsidRPr="00456549">
        <w:rPr>
          <w:rFonts w:eastAsia="Arial"/>
          <w:spacing w:val="-2"/>
          <w14:ligatures w14:val="standardContextual"/>
        </w:rPr>
        <w:t>Inspector</w:t>
      </w:r>
      <w:r w:rsidR="00F8330B">
        <w:rPr>
          <w:rFonts w:eastAsia="Arial"/>
          <w:spacing w:val="-2"/>
          <w14:ligatures w14:val="standardContextual"/>
        </w:rPr>
        <w:t>(</w:t>
      </w:r>
      <w:r w:rsidR="000752AD" w:rsidRPr="00456549">
        <w:rPr>
          <w:rFonts w:eastAsia="Arial"/>
          <w:spacing w:val="-2"/>
          <w14:ligatures w14:val="standardContextual"/>
        </w:rPr>
        <w:t>s</w:t>
      </w:r>
      <w:r w:rsidR="00F8330B">
        <w:rPr>
          <w:rFonts w:eastAsia="Arial"/>
          <w:spacing w:val="-2"/>
          <w14:ligatures w14:val="standardContextual"/>
        </w:rPr>
        <w:t>)</w:t>
      </w:r>
      <w:r w:rsidR="000752AD" w:rsidRPr="00456549">
        <w:rPr>
          <w:rFonts w:eastAsia="Arial"/>
          <w:spacing w:val="-2"/>
          <w14:ligatures w14:val="standardContextual"/>
        </w:rPr>
        <w:t xml:space="preserve"> will select </w:t>
      </w:r>
      <w:r w:rsidR="0002091D">
        <w:rPr>
          <w:rFonts w:eastAsia="Arial"/>
          <w:spacing w:val="-2"/>
          <w14:ligatures w14:val="standardContextual"/>
        </w:rPr>
        <w:t>four</w:t>
      </w:r>
      <w:r w:rsidR="00F8330B">
        <w:rPr>
          <w:rFonts w:eastAsia="Arial"/>
          <w:spacing w:val="-2"/>
          <w14:ligatures w14:val="standardContextual"/>
        </w:rPr>
        <w:t xml:space="preserve"> </w:t>
      </w:r>
      <w:r w:rsidR="00F446E1">
        <w:rPr>
          <w:rFonts w:eastAsia="Arial"/>
          <w:spacing w:val="-2"/>
          <w14:ligatures w14:val="standardContextual"/>
        </w:rPr>
        <w:t>CSs</w:t>
      </w:r>
      <w:r w:rsidR="000752AD" w:rsidRPr="00456549">
        <w:rPr>
          <w:rFonts w:eastAsia="Arial"/>
          <w:spacing w:val="-2"/>
          <w14:ligatures w14:val="standardContextual"/>
        </w:rPr>
        <w:t xml:space="preserve"> from safety, </w:t>
      </w:r>
      <w:r w:rsidR="006909B9">
        <w:rPr>
          <w:rFonts w:eastAsia="Arial"/>
          <w:spacing w:val="-2"/>
          <w14:ligatures w14:val="standardContextual"/>
        </w:rPr>
        <w:t>ITS</w:t>
      </w:r>
      <w:r w:rsidR="000752AD" w:rsidRPr="00456549">
        <w:rPr>
          <w:rFonts w:eastAsia="Arial"/>
          <w:spacing w:val="-2"/>
          <w14:ligatures w14:val="standardContextual"/>
        </w:rPr>
        <w:t xml:space="preserve">, and security designators to perform inspection activities. These criteria are based on the 10 CFR 73.54 cybersecurity requirements </w:t>
      </w:r>
      <w:r w:rsidR="000752AD" w:rsidRPr="001C320E">
        <w:rPr>
          <w:rFonts w:eastAsiaTheme="majorEastAsia" w:cstheme="majorBidi"/>
        </w:rPr>
        <w:t xml:space="preserve">encapsulating SSCs that are comprised of safety, </w:t>
      </w:r>
      <w:r w:rsidR="008261AB" w:rsidRPr="001C320E">
        <w:rPr>
          <w:rFonts w:eastAsiaTheme="majorEastAsia" w:cstheme="majorBidi"/>
        </w:rPr>
        <w:t>ITS,</w:t>
      </w:r>
      <w:r w:rsidR="000752AD" w:rsidRPr="001C320E">
        <w:rPr>
          <w:rFonts w:eastAsiaTheme="majorEastAsia" w:cstheme="majorBidi"/>
        </w:rPr>
        <w:t xml:space="preserve"> security, and emergency</w:t>
      </w:r>
      <w:r w:rsidR="000752AD" w:rsidRPr="00456549">
        <w:rPr>
          <w:rFonts w:eastAsia="Arial"/>
          <w:spacing w:val="-2"/>
          <w14:ligatures w14:val="standardContextual"/>
        </w:rPr>
        <w:t xml:space="preserve"> preparedness. While the safety and </w:t>
      </w:r>
      <w:r w:rsidR="00C73DBA">
        <w:rPr>
          <w:rFonts w:eastAsia="Arial"/>
          <w:spacing w:val="-2"/>
          <w14:ligatures w14:val="standardContextual"/>
        </w:rPr>
        <w:t xml:space="preserve">ITS </w:t>
      </w:r>
      <w:r w:rsidR="000752AD" w:rsidRPr="00456549">
        <w:rPr>
          <w:rFonts w:eastAsia="Arial"/>
          <w:spacing w:val="-2"/>
          <w14:ligatures w14:val="standardContextual"/>
        </w:rPr>
        <w:t xml:space="preserve">attributes can be quantified by various risk attributes, the security and emergency preparedness SSCs are attributes that warrant a different measure of assessment. </w:t>
      </w:r>
    </w:p>
    <w:p w14:paraId="4111C392" w14:textId="77777777" w:rsidR="000752AD" w:rsidRPr="00A25D33" w:rsidRDefault="000752AD" w:rsidP="008E2A1B">
      <w:pPr>
        <w:pStyle w:val="BodyText"/>
        <w:outlineLvl w:val="1"/>
        <w:rPr>
          <w:rFonts w:eastAsia="Arial"/>
          <w:color w:val="000000"/>
          <w:spacing w:val="-2"/>
          <w14:ligatures w14:val="standardContextual"/>
        </w:rPr>
      </w:pPr>
      <w:r w:rsidRPr="008E2A1B">
        <w:rPr>
          <w:rFonts w:eastAsia="Arial"/>
          <w:color w:val="000000"/>
          <w:spacing w:val="-2"/>
          <w:u w:val="single"/>
          <w14:ligatures w14:val="standardContextual"/>
        </w:rPr>
        <w:t>Risk-Informed Selection considerations</w:t>
      </w:r>
      <w:r w:rsidRPr="00A25D33">
        <w:rPr>
          <w:rFonts w:eastAsia="Arial"/>
          <w:color w:val="000000"/>
          <w:spacing w:val="-2"/>
          <w14:ligatures w14:val="standardContextual"/>
        </w:rPr>
        <w:t>:</w:t>
      </w:r>
    </w:p>
    <w:p w14:paraId="61889F37" w14:textId="40234CA8" w:rsidR="000752AD" w:rsidRPr="00456549" w:rsidRDefault="000752AD" w:rsidP="00AC337E">
      <w:pPr>
        <w:pStyle w:val="BodyText"/>
        <w:rPr>
          <w:rFonts w:eastAsia="Arial"/>
          <w:spacing w:val="-2"/>
          <w14:ligatures w14:val="standardContextual"/>
        </w:rPr>
      </w:pPr>
      <w:r w:rsidRPr="00456549">
        <w:rPr>
          <w:rFonts w:eastAsia="Arial"/>
          <w:spacing w:val="-2"/>
          <w14:ligatures w14:val="standardContextual"/>
        </w:rPr>
        <w:t>Using the following consequence-based prioritization, inspectors should apply risk-informed considerations to refine the sample set. The following are additional attributes for consideration:</w:t>
      </w:r>
    </w:p>
    <w:p w14:paraId="61AA97EB" w14:textId="77777777" w:rsidR="00AE5454" w:rsidRPr="00D36E8D" w:rsidRDefault="00AE5454" w:rsidP="00AC337E">
      <w:pPr>
        <w:pStyle w:val="ListBullet2"/>
      </w:pPr>
      <w:r w:rsidRPr="00D36E8D">
        <w:t>Safety CDAs</w:t>
      </w:r>
    </w:p>
    <w:p w14:paraId="6892FE1E" w14:textId="77777777" w:rsidR="00AE5454" w:rsidRPr="00D36E8D" w:rsidRDefault="00AE5454" w:rsidP="00AC337E">
      <w:pPr>
        <w:pStyle w:val="ListBullet2"/>
      </w:pPr>
      <w:r w:rsidRPr="00D36E8D">
        <w:t>Boundary Devices (e.g., one-way deterministic data devices</w:t>
      </w:r>
      <w:r>
        <w:t>, firewalls</w:t>
      </w:r>
      <w:r w:rsidRPr="00D36E8D">
        <w:t>)</w:t>
      </w:r>
    </w:p>
    <w:p w14:paraId="6A2BA661" w14:textId="0C92B326" w:rsidR="00AE5454" w:rsidRPr="00D36E8D" w:rsidRDefault="00AE5454" w:rsidP="00AC337E">
      <w:pPr>
        <w:pStyle w:val="ListBullet2"/>
      </w:pPr>
      <w:r w:rsidRPr="00D36E8D">
        <w:t>Monitoring, Detection or Protection Devices (e.g.</w:t>
      </w:r>
      <w:r w:rsidR="00F058FF">
        <w:t xml:space="preserve"> </w:t>
      </w:r>
      <w:r w:rsidR="00A35169">
        <w:t>SIEM</w:t>
      </w:r>
      <w:r w:rsidRPr="00D36E8D">
        <w:t>, IDS, IPS</w:t>
      </w:r>
      <w:r>
        <w:t>, Scanning/Data Transfer stations)</w:t>
      </w:r>
    </w:p>
    <w:p w14:paraId="279ABD24" w14:textId="77777777" w:rsidR="00AE5454" w:rsidRPr="00D36E8D" w:rsidRDefault="00AE5454" w:rsidP="00AC337E">
      <w:pPr>
        <w:pStyle w:val="ListBullet2"/>
      </w:pPr>
      <w:r w:rsidRPr="00D36E8D">
        <w:t>Important-to-Safety (ITS) CDAs</w:t>
      </w:r>
    </w:p>
    <w:p w14:paraId="7656E91D" w14:textId="77777777" w:rsidR="00AE5454" w:rsidRDefault="00AE5454" w:rsidP="00AC337E">
      <w:pPr>
        <w:pStyle w:val="ListBullet2"/>
      </w:pPr>
      <w:r w:rsidRPr="00D36E8D">
        <w:t>Balance of Plant (</w:t>
      </w:r>
      <w:proofErr w:type="spellStart"/>
      <w:r w:rsidRPr="00D36E8D">
        <w:t>BoP</w:t>
      </w:r>
      <w:proofErr w:type="spellEnd"/>
      <w:r w:rsidRPr="00D36E8D">
        <w:t>) CDAs</w:t>
      </w:r>
    </w:p>
    <w:p w14:paraId="2AE24963" w14:textId="77777777" w:rsidR="00351B01" w:rsidRDefault="009C1885" w:rsidP="00AC337E">
      <w:pPr>
        <w:pStyle w:val="ListBullet2"/>
      </w:pPr>
      <w:r>
        <w:t xml:space="preserve">DAs that </w:t>
      </w:r>
      <w:r w:rsidR="004B6651">
        <w:t>provide protection or monitoring of CDAs</w:t>
      </w:r>
    </w:p>
    <w:p w14:paraId="2D954BDE" w14:textId="57335D2E" w:rsidR="00123C0F" w:rsidRPr="00D36E8D" w:rsidRDefault="00447DD7" w:rsidP="00AC337E">
      <w:pPr>
        <w:pStyle w:val="BodyText"/>
      </w:pPr>
      <w:r>
        <w:t>Note: The paragraph references provided with par</w:t>
      </w:r>
      <w:r w:rsidR="008604DC">
        <w:t>en</w:t>
      </w:r>
      <w:r>
        <w:t xml:space="preserve">theses after each inspection requirement below are from </w:t>
      </w:r>
      <w:r w:rsidR="004F3528">
        <w:t>NEI</w:t>
      </w:r>
      <w:r w:rsidR="001C263E">
        <w:t xml:space="preserve"> 08-09, “Cyber Security Plan for Nuclear Power Reac</w:t>
      </w:r>
      <w:r w:rsidR="00E80F69">
        <w:t>tors</w:t>
      </w:r>
      <w:r w:rsidR="00E56B4D">
        <w:t>”</w:t>
      </w:r>
      <w:r w:rsidR="00E80F69">
        <w:t xml:space="preserve"> and NRC Regulatory Guide (RG) 5.71, “Cyber Security</w:t>
      </w:r>
      <w:r w:rsidR="00715E50">
        <w:t xml:space="preserve"> Programs for </w:t>
      </w:r>
      <w:r w:rsidR="008604DC">
        <w:t>Nuclear</w:t>
      </w:r>
      <w:r w:rsidR="00715E50">
        <w:t xml:space="preserve"> Facilities.</w:t>
      </w:r>
      <w:r w:rsidR="00E56B4D">
        <w:t>”</w:t>
      </w:r>
      <w:r w:rsidR="00715E50">
        <w:t xml:space="preserve"> Both documents were determined by the NRC to be </w:t>
      </w:r>
      <w:r w:rsidR="002A0C15">
        <w:t>an acceptable</w:t>
      </w:r>
      <w:r w:rsidR="00715E50">
        <w:t xml:space="preserve"> </w:t>
      </w:r>
      <w:r w:rsidR="008604DC">
        <w:t>template</w:t>
      </w:r>
      <w:r w:rsidR="00DB5EAC">
        <w:t xml:space="preserve"> and either template can b</w:t>
      </w:r>
      <w:r w:rsidR="00F86C99">
        <w:t>e used</w:t>
      </w:r>
      <w:r w:rsidR="00715E50">
        <w:t xml:space="preserve"> for developing the licensee’s CSP</w:t>
      </w:r>
      <w:r w:rsidR="00AD2731">
        <w:t>.</w:t>
      </w:r>
    </w:p>
    <w:p w14:paraId="79D0E61D" w14:textId="106657AF" w:rsidR="000752AD" w:rsidRPr="00062108" w:rsidRDefault="00062108" w:rsidP="00062108">
      <w:pPr>
        <w:pStyle w:val="Heading2"/>
      </w:pPr>
      <w:r>
        <w:t>03.01</w:t>
      </w:r>
      <w:r>
        <w:tab/>
      </w:r>
      <w:r w:rsidR="000752AD" w:rsidRPr="00062108">
        <w:rPr>
          <w:u w:val="single"/>
        </w:rPr>
        <w:t>Ongoing Monitoring and Assessment Activities</w:t>
      </w:r>
    </w:p>
    <w:p w14:paraId="7AEBA2C1" w14:textId="008E62C7" w:rsidR="000752AD" w:rsidRPr="001261CA" w:rsidRDefault="000752AD" w:rsidP="00102BD0">
      <w:pPr>
        <w:pStyle w:val="Requirement"/>
        <w:numPr>
          <w:ilvl w:val="0"/>
          <w:numId w:val="24"/>
        </w:numPr>
      </w:pPr>
      <w:r w:rsidRPr="001261CA">
        <w:rPr>
          <w:rFonts w:eastAsia="Arial"/>
        </w:rPr>
        <w:t xml:space="preserve">Review the process established by the licensee to conduct ongoing monitoring and assessments for CDAs. Verify that licensee procedures direct staff to conduct assessments or alternatives as required by the CSP. </w:t>
      </w:r>
      <w:r w:rsidR="003B75B2" w:rsidRPr="001261CA">
        <w:rPr>
          <w:rFonts w:eastAsia="Arial"/>
        </w:rPr>
        <w:t>(</w:t>
      </w:r>
      <w:r w:rsidR="002D447B" w:rsidRPr="001261CA">
        <w:rPr>
          <w:rFonts w:eastAsia="Arial"/>
        </w:rPr>
        <w:t>NEI (4.4</w:t>
      </w:r>
      <w:r w:rsidR="003410C7" w:rsidRPr="001261CA">
        <w:rPr>
          <w:rFonts w:eastAsia="Arial"/>
        </w:rPr>
        <w:t>) RG (4.1))</w:t>
      </w:r>
    </w:p>
    <w:p w14:paraId="3CCFB828" w14:textId="77777777" w:rsidR="000752AD" w:rsidRPr="00A25D33" w:rsidRDefault="000752AD" w:rsidP="00102BD0">
      <w:pPr>
        <w:pStyle w:val="SpecificGuidance"/>
        <w:rPr>
          <w:rFonts w:eastAsia="Arial"/>
        </w:rPr>
      </w:pPr>
      <w:r w:rsidRPr="00A25D33">
        <w:rPr>
          <w:rFonts w:eastAsia="Arial"/>
        </w:rPr>
        <w:t>Specific Guidance:</w:t>
      </w:r>
    </w:p>
    <w:p w14:paraId="07D89BB2" w14:textId="7D1CC6C5" w:rsidR="000752AD" w:rsidRPr="00456549" w:rsidRDefault="000752AD" w:rsidP="00102BD0">
      <w:pPr>
        <w:pStyle w:val="BodyText3"/>
        <w:rPr>
          <w:rFonts w:eastAsia="Arial"/>
        </w:rPr>
      </w:pPr>
      <w:r w:rsidRPr="00456549">
        <w:rPr>
          <w:rFonts w:eastAsia="Arial"/>
        </w:rPr>
        <w:t>Ongoing monitoring and assessment activities are performed to verify that the cybersecurity controls implemented for CDAs remain in place. The monitoring and assessment activities are based on a representative sample of controls.</w:t>
      </w:r>
      <w:r w:rsidRPr="00456549">
        <w:t xml:space="preserve"> </w:t>
      </w:r>
      <w:r w:rsidRPr="00456549">
        <w:rPr>
          <w:rFonts w:eastAsia="Arial"/>
        </w:rPr>
        <w:t xml:space="preserve">Security assessments verify security-related activities and actions occur at the frequency </w:t>
      </w:r>
      <w:r w:rsidRPr="00456549">
        <w:rPr>
          <w:rFonts w:eastAsia="Arial"/>
        </w:rPr>
        <w:lastRenderedPageBreak/>
        <w:t xml:space="preserve">specified in security controls or within the evaluated alternate control frequency. Ongoing monitoring of cybersecurity controls used to support CDAs is implemented consistently with the licensee’s CSP. </w:t>
      </w:r>
    </w:p>
    <w:p w14:paraId="072400A5" w14:textId="185D8D18" w:rsidR="000752AD" w:rsidRPr="001261CA" w:rsidRDefault="000752AD" w:rsidP="00102BD0">
      <w:pPr>
        <w:pStyle w:val="Requirement"/>
        <w:numPr>
          <w:ilvl w:val="0"/>
          <w:numId w:val="24"/>
        </w:numPr>
      </w:pPr>
      <w:r w:rsidRPr="001261CA">
        <w:rPr>
          <w:rFonts w:eastAsia="Arial"/>
        </w:rPr>
        <w:t xml:space="preserve">Verify that the licensee has established procedures that direct staff to conduct an appropriate </w:t>
      </w:r>
      <w:proofErr w:type="gramStart"/>
      <w:r w:rsidRPr="001261CA">
        <w:rPr>
          <w:rFonts w:eastAsia="Arial"/>
        </w:rPr>
        <w:t>effectiveness</w:t>
      </w:r>
      <w:proofErr w:type="gramEnd"/>
      <w:r w:rsidRPr="001261CA">
        <w:rPr>
          <w:rFonts w:eastAsia="Arial"/>
        </w:rPr>
        <w:t xml:space="preserve"> analysis as specified in the CSP.</w:t>
      </w:r>
      <w:r w:rsidRPr="001261CA">
        <w:rPr>
          <w:rFonts w:eastAsia="Times New Roman"/>
        </w:rPr>
        <w:t xml:space="preserve"> </w:t>
      </w:r>
      <w:r w:rsidR="003410C7" w:rsidRPr="0011146F">
        <w:rPr>
          <w:rFonts w:eastAsia="Arial"/>
        </w:rPr>
        <w:t>(NEI (</w:t>
      </w:r>
      <w:r w:rsidR="005B294A">
        <w:rPr>
          <w:rFonts w:eastAsia="Arial"/>
        </w:rPr>
        <w:t>4.4.3.1</w:t>
      </w:r>
      <w:r w:rsidR="005B294A" w:rsidRPr="0011146F">
        <w:rPr>
          <w:rFonts w:eastAsia="Arial"/>
        </w:rPr>
        <w:t>.1) RG</w:t>
      </w:r>
      <w:r w:rsidR="003410C7" w:rsidRPr="0011146F">
        <w:rPr>
          <w:rFonts w:eastAsia="Arial"/>
        </w:rPr>
        <w:t xml:space="preserve"> (</w:t>
      </w:r>
      <w:r w:rsidR="005B294A">
        <w:rPr>
          <w:rFonts w:eastAsia="Arial"/>
        </w:rPr>
        <w:t>C.</w:t>
      </w:r>
      <w:r w:rsidR="003410C7" w:rsidRPr="0011146F">
        <w:rPr>
          <w:rFonts w:eastAsia="Arial"/>
        </w:rPr>
        <w:t>4.1</w:t>
      </w:r>
      <w:r w:rsidR="005B294A">
        <w:rPr>
          <w:rFonts w:eastAsia="Arial"/>
        </w:rPr>
        <w:t>.2</w:t>
      </w:r>
      <w:r w:rsidR="003410C7" w:rsidRPr="0011146F">
        <w:rPr>
          <w:rFonts w:eastAsia="Arial"/>
        </w:rPr>
        <w:t>))</w:t>
      </w:r>
    </w:p>
    <w:p w14:paraId="0B396D7F" w14:textId="78884986"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352A536A" w14:textId="4F4A17E4" w:rsidR="000752AD" w:rsidRPr="00456549" w:rsidRDefault="004A6F4D" w:rsidP="008A3846">
      <w:pPr>
        <w:pStyle w:val="BodyText3"/>
        <w:rPr>
          <w:rFonts w:eastAsia="Arial"/>
          <w14:ligatures w14:val="standardContextual"/>
        </w:rPr>
      </w:pPr>
      <w:r w:rsidRPr="00FD2C32">
        <w:rPr>
          <w:rFonts w:eastAsia="Arial"/>
          <w14:ligatures w14:val="standardContextual"/>
        </w:rPr>
        <w:t xml:space="preserve">The effectiveness analysis should include an evaluation of the cybersecurity program and the required controls, </w:t>
      </w:r>
      <w:r w:rsidRPr="001261CA">
        <w:rPr>
          <w:rFonts w:eastAsia="Arial"/>
          <w:color w:val="000000" w:themeColor="text1"/>
          <w14:ligatures w14:val="standardContextual"/>
        </w:rPr>
        <w:t>at least every 24 months or at the frequency specified in the CSP.</w:t>
      </w:r>
      <w:r w:rsidRPr="001261CA">
        <w:rPr>
          <w:color w:val="000000" w:themeColor="text1"/>
        </w:rPr>
        <w:t xml:space="preserve"> </w:t>
      </w:r>
      <w:r w:rsidR="000752AD" w:rsidRPr="00456549">
        <w:rPr>
          <w:rFonts w:eastAsia="Arial"/>
          <w14:ligatures w14:val="standardContextual"/>
        </w:rPr>
        <w:t xml:space="preserve">The </w:t>
      </w:r>
      <w:proofErr w:type="gramStart"/>
      <w:r w:rsidR="000752AD" w:rsidRPr="00456549">
        <w:rPr>
          <w:rFonts w:eastAsia="Arial"/>
          <w14:ligatures w14:val="standardContextual"/>
        </w:rPr>
        <w:t>effectiveness</w:t>
      </w:r>
      <w:proofErr w:type="gramEnd"/>
      <w:r w:rsidR="000752AD" w:rsidRPr="00456549">
        <w:rPr>
          <w:rFonts w:eastAsia="Arial"/>
          <w14:ligatures w14:val="standardContextual"/>
        </w:rPr>
        <w:t xml:space="preserve"> analysis ensures that the cybersecurity controls are implemented correctly, operating as intended, and </w:t>
      </w:r>
      <w:proofErr w:type="gramStart"/>
      <w:r w:rsidR="000752AD" w:rsidRPr="00456549">
        <w:rPr>
          <w:rFonts w:eastAsia="Arial"/>
          <w14:ligatures w14:val="standardContextual"/>
        </w:rPr>
        <w:t>continue</w:t>
      </w:r>
      <w:proofErr w:type="gramEnd"/>
      <w:r w:rsidR="000752AD" w:rsidRPr="00456549">
        <w:rPr>
          <w:rFonts w:eastAsia="Arial"/>
          <w14:ligatures w14:val="standardContextual"/>
        </w:rPr>
        <w:t xml:space="preserve"> to provide high assurance that CDAs are protected against cyberattacks up to and including the design-basis threat (DBT). The analysis is based on a representative sample of CDAs, security controls, and program elements. Reviews of the cybersecurity program and controls include, but are not limited to, periodic audits of the physical security program, security plans, implementing procedures, cybersecurity programs</w:t>
      </w:r>
      <w:r w:rsidR="00912B56">
        <w:rPr>
          <w:rFonts w:eastAsia="Arial"/>
          <w14:ligatures w14:val="standardContextual"/>
        </w:rPr>
        <w:t>,</w:t>
      </w:r>
      <w:r w:rsidR="000752AD" w:rsidRPr="00456549">
        <w:rPr>
          <w:rFonts w:eastAsia="Arial"/>
          <w14:ligatures w14:val="standardContextual"/>
        </w:rPr>
        <w:t xml:space="preserve"> safety/security interface activities, and the testing, maintenance, and calibration program as it relates to cybersecurity. </w:t>
      </w:r>
      <w:r w:rsidR="004D51C5">
        <w:rPr>
          <w:rFonts w:eastAsia="Arial"/>
          <w14:ligatures w14:val="standardContextual"/>
        </w:rPr>
        <w:t xml:space="preserve"> </w:t>
      </w:r>
    </w:p>
    <w:p w14:paraId="224546E5" w14:textId="0B3FF658" w:rsidR="000752AD" w:rsidRPr="001261CA" w:rsidRDefault="000752AD" w:rsidP="00102BD0">
      <w:pPr>
        <w:pStyle w:val="Requirement"/>
        <w:numPr>
          <w:ilvl w:val="0"/>
          <w:numId w:val="24"/>
        </w:numPr>
      </w:pPr>
      <w:r w:rsidRPr="001261CA">
        <w:rPr>
          <w:rFonts w:eastAsia="Arial"/>
        </w:rPr>
        <w:t xml:space="preserve">Verify that the licensee has established a defensive architecture with the capabilities to detect, to respond to, and to recover from cyberattacks, as described by the CSP. </w:t>
      </w:r>
      <w:r w:rsidR="005B294A" w:rsidRPr="0011146F">
        <w:rPr>
          <w:rFonts w:eastAsia="Arial"/>
        </w:rPr>
        <w:t>(NEI (4.</w:t>
      </w:r>
      <w:r w:rsidR="005B294A">
        <w:rPr>
          <w:rFonts w:eastAsia="Arial"/>
        </w:rPr>
        <w:t>3</w:t>
      </w:r>
      <w:r w:rsidR="005B294A" w:rsidRPr="0011146F">
        <w:rPr>
          <w:rFonts w:eastAsia="Arial"/>
        </w:rPr>
        <w:t>) RG (</w:t>
      </w:r>
      <w:r w:rsidR="005B294A">
        <w:rPr>
          <w:rFonts w:eastAsia="Arial"/>
        </w:rPr>
        <w:t>3.1.5</w:t>
      </w:r>
      <w:r w:rsidR="005B294A" w:rsidRPr="0011146F">
        <w:rPr>
          <w:rFonts w:eastAsia="Arial"/>
        </w:rPr>
        <w:t>))</w:t>
      </w:r>
    </w:p>
    <w:p w14:paraId="56BD876C" w14:textId="1F799E3B" w:rsidR="000752AD" w:rsidRPr="00102BD0" w:rsidRDefault="000752AD" w:rsidP="00102BD0">
      <w:pPr>
        <w:pStyle w:val="SpecificGuidance"/>
        <w:rPr>
          <w:rFonts w:eastAsia="Arial"/>
        </w:rPr>
      </w:pPr>
      <w:r w:rsidRPr="00102BD0">
        <w:rPr>
          <w:rFonts w:eastAsia="Arial"/>
        </w:rPr>
        <w:t>Specific Guidance</w:t>
      </w:r>
    </w:p>
    <w:p w14:paraId="400117F8" w14:textId="350FFAC5" w:rsidR="000752AD" w:rsidRPr="00456549" w:rsidRDefault="000752AD" w:rsidP="008A3846">
      <w:pPr>
        <w:pStyle w:val="BodyText3"/>
        <w:rPr>
          <w:rFonts w:eastAsia="Arial"/>
          <w14:ligatures w14:val="standardContextual"/>
        </w:rPr>
      </w:pPr>
      <w:r w:rsidRPr="00456549">
        <w:rPr>
          <w:rFonts w:eastAsia="Arial"/>
          <w14:ligatures w14:val="standardContextual"/>
        </w:rPr>
        <w:t>The licensee should have established defense-in-depth protective strategies specified in the CSP. Inspector</w:t>
      </w:r>
      <w:r w:rsidR="00083AF4">
        <w:rPr>
          <w:rFonts w:eastAsia="Arial"/>
          <w14:ligatures w14:val="standardContextual"/>
        </w:rPr>
        <w:t>(</w:t>
      </w:r>
      <w:r w:rsidRPr="00456549">
        <w:rPr>
          <w:rFonts w:eastAsia="Arial"/>
          <w14:ligatures w14:val="standardContextual"/>
        </w:rPr>
        <w:t>s</w:t>
      </w:r>
      <w:r w:rsidR="00083AF4">
        <w:rPr>
          <w:rFonts w:eastAsia="Arial"/>
          <w14:ligatures w14:val="standardContextual"/>
        </w:rPr>
        <w:t>)</w:t>
      </w:r>
      <w:r w:rsidRPr="00456549">
        <w:rPr>
          <w:rFonts w:eastAsia="Arial"/>
          <w14:ligatures w14:val="standardContextual"/>
        </w:rPr>
        <w:t xml:space="preserve"> should verify they have been implemented, documented, and are maintained to ensure the licensee has the capability to detect, delay, respond to, and recover from cyberattacks on CDAs. </w:t>
      </w:r>
      <w:r w:rsidRPr="00456549">
        <w:rPr>
          <w:rFonts w:eastAsia="Arial"/>
        </w:rPr>
        <w:t>These responses occur based on ge</w:t>
      </w:r>
      <w:r w:rsidRPr="00456549">
        <w:rPr>
          <w:rFonts w:eastAsia="Arial"/>
          <w14:ligatures w14:val="standardContextual"/>
        </w:rPr>
        <w:t>nerated alarms due to potential cyber compromise, manual means of detection, or through the demonstration that a compromise can be detected along an attack pathway (e.g., wired, wireless, physical access, portable media, and supply chain testing).</w:t>
      </w:r>
    </w:p>
    <w:p w14:paraId="090AC285" w14:textId="2D07B584" w:rsidR="000752AD" w:rsidRPr="001261CA" w:rsidRDefault="000752AD" w:rsidP="00102BD0">
      <w:pPr>
        <w:pStyle w:val="Requirement"/>
        <w:numPr>
          <w:ilvl w:val="0"/>
          <w:numId w:val="24"/>
        </w:numPr>
      </w:pPr>
      <w:r w:rsidRPr="001261CA">
        <w:rPr>
          <w:rFonts w:eastAsia="Arial"/>
        </w:rPr>
        <w:t xml:space="preserve">Verify that the licensee has established controls and elements to ensure boundary protection for the cybersecurity levels and that integrity of data is maintained. </w:t>
      </w:r>
      <w:r w:rsidR="00E239CA" w:rsidRPr="0011146F">
        <w:rPr>
          <w:rFonts w:eastAsia="Arial"/>
        </w:rPr>
        <w:t>(NEI (4.</w:t>
      </w:r>
      <w:r w:rsidR="00E239CA">
        <w:rPr>
          <w:rFonts w:eastAsia="Arial"/>
        </w:rPr>
        <w:t>3</w:t>
      </w:r>
      <w:r w:rsidR="00E239CA" w:rsidRPr="0011146F">
        <w:rPr>
          <w:rFonts w:eastAsia="Arial"/>
        </w:rPr>
        <w:t>) RG (</w:t>
      </w:r>
      <w:r w:rsidR="00062A1B">
        <w:rPr>
          <w:rFonts w:eastAsia="Arial"/>
        </w:rPr>
        <w:t>C.3.2</w:t>
      </w:r>
      <w:r w:rsidR="00E239CA" w:rsidRPr="0011146F">
        <w:rPr>
          <w:rFonts w:eastAsia="Arial"/>
        </w:rPr>
        <w:t>))</w:t>
      </w:r>
    </w:p>
    <w:p w14:paraId="7CD51665" w14:textId="17B7FD5A"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15C915BB" w14:textId="3EF48780" w:rsidR="000752AD" w:rsidRPr="00456549" w:rsidRDefault="00184D9A" w:rsidP="008A3846">
      <w:pPr>
        <w:pStyle w:val="BodyText3"/>
        <w:rPr>
          <w:rFonts w:eastAsia="Arial"/>
          <w14:ligatures w14:val="standardContextual"/>
        </w:rPr>
      </w:pPr>
      <w:r w:rsidRPr="004A6F4D">
        <w:rPr>
          <w:rFonts w:eastAsia="Arial"/>
          <w14:ligatures w14:val="standardContextual"/>
        </w:rPr>
        <w:t xml:space="preserve">These protections can include host intrusion protection for devices and network intrusion detection/prevention for their network flows. </w:t>
      </w:r>
      <w:r w:rsidR="000752AD" w:rsidRPr="00456549">
        <w:rPr>
          <w:rFonts w:eastAsia="Arial"/>
          <w14:ligatures w14:val="standardContextual"/>
        </w:rPr>
        <w:t>Inspectors should determine if licensees have implemented and documented a multi-level security defensive architecture that establishes a required level of cybersecurity controls. The licensee may have separated their defensive levels by using security boundary devices, such as firewalls, air gaps, or deterministic devices, through which digital communications can be monitored, and restricted in accordance with CSP requirements. Systems requiring the greatest degree of security are located within the greatest number and strength of boundaries.</w:t>
      </w:r>
    </w:p>
    <w:p w14:paraId="5E537648" w14:textId="2A510993" w:rsidR="000752AD" w:rsidRPr="00456549" w:rsidRDefault="000752AD" w:rsidP="008A3846">
      <w:pPr>
        <w:pStyle w:val="BodyText3"/>
        <w:rPr>
          <w:rFonts w:eastAsia="Arial"/>
          <w14:ligatures w14:val="standardContextual"/>
        </w:rPr>
      </w:pPr>
      <w:r w:rsidRPr="00456549">
        <w:rPr>
          <w:rFonts w:eastAsia="Arial"/>
          <w14:ligatures w14:val="standardContextual"/>
        </w:rPr>
        <w:t xml:space="preserve">Inspectors should determine if the licensee has established or maintained procedures and processes, documented and implemented a defensive architecture to protect all </w:t>
      </w:r>
      <w:r w:rsidRPr="00456549">
        <w:rPr>
          <w:rFonts w:eastAsia="Arial"/>
          <w14:ligatures w14:val="standardContextual"/>
        </w:rPr>
        <w:lastRenderedPageBreak/>
        <w:t xml:space="preserve">CDAs, systems, or equipment by verifying logical, and physical boundaries used to control the data transfer between boundaries and between devices. </w:t>
      </w:r>
    </w:p>
    <w:p w14:paraId="2EAEEDA5" w14:textId="29DC8D2B" w:rsidR="000752AD" w:rsidRPr="001261CA" w:rsidRDefault="000752AD" w:rsidP="00102BD0">
      <w:pPr>
        <w:pStyle w:val="Requirement"/>
        <w:numPr>
          <w:ilvl w:val="0"/>
          <w:numId w:val="24"/>
        </w:numPr>
      </w:pPr>
      <w:r w:rsidRPr="001261CA">
        <w:rPr>
          <w:rFonts w:eastAsia="Arial"/>
        </w:rPr>
        <w:t xml:space="preserve">Verify that the licensee has established or maintained security controls to provide high (reasonable) assurance that the CDAs are continuously protected against cyberattacks. </w:t>
      </w:r>
      <w:r w:rsidR="00B80BD1" w:rsidRPr="0011146F">
        <w:rPr>
          <w:rFonts w:eastAsia="Arial"/>
        </w:rPr>
        <w:t>(NEI (</w:t>
      </w:r>
      <w:r w:rsidR="003A26DD">
        <w:rPr>
          <w:rFonts w:eastAsia="Arial"/>
        </w:rPr>
        <w:t>A.4.</w:t>
      </w:r>
      <w:r w:rsidR="00747F29">
        <w:rPr>
          <w:rFonts w:eastAsia="Arial"/>
        </w:rPr>
        <w:t>4</w:t>
      </w:r>
      <w:r w:rsidR="00B80BD1" w:rsidRPr="0011146F">
        <w:rPr>
          <w:rFonts w:eastAsia="Arial"/>
        </w:rPr>
        <w:t>) RG (</w:t>
      </w:r>
      <w:r w:rsidR="00B80BD1">
        <w:rPr>
          <w:rFonts w:eastAsia="Arial"/>
        </w:rPr>
        <w:t>C.3.</w:t>
      </w:r>
      <w:r w:rsidR="00762A75">
        <w:rPr>
          <w:rFonts w:eastAsia="Arial"/>
        </w:rPr>
        <w:t>3</w:t>
      </w:r>
      <w:r w:rsidR="00B80BD1" w:rsidRPr="0011146F">
        <w:rPr>
          <w:rFonts w:eastAsia="Arial"/>
        </w:rPr>
        <w:t>))</w:t>
      </w:r>
    </w:p>
    <w:p w14:paraId="07DF9315" w14:textId="087F16DA"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271A52B0" w14:textId="456EF15A" w:rsidR="000752AD" w:rsidRPr="00456549" w:rsidRDefault="000752AD" w:rsidP="008A3846">
      <w:pPr>
        <w:pStyle w:val="BodyText3"/>
        <w:rPr>
          <w:rFonts w:eastAsia="Arial"/>
          <w14:ligatures w14:val="standardContextual"/>
        </w:rPr>
      </w:pPr>
      <w:r w:rsidRPr="00456549">
        <w:rPr>
          <w:rFonts w:eastAsia="Arial"/>
          <w14:ligatures w14:val="standardContextual"/>
        </w:rPr>
        <w:t xml:space="preserve">Inspectors should determine if the licensee has established procedures and processes to ensure cybersecurity risks are evaluated, managed, and mitigated to provide high assurance that digital computer and communication systems and networks are adequately protected against cyberattacks up to and including the DBT. Inspectors should confirm whether the licensee has established a process to verify and validate that the security controls implemented are operating as intended and are maintained </w:t>
      </w:r>
      <w:r w:rsidR="00E8666B" w:rsidRPr="00456549">
        <w:rPr>
          <w:rFonts w:eastAsia="Arial"/>
          <w14:ligatures w14:val="standardContextual"/>
        </w:rPr>
        <w:t>consisten</w:t>
      </w:r>
      <w:r w:rsidR="00E8666B">
        <w:rPr>
          <w:rFonts w:eastAsia="Arial"/>
          <w14:ligatures w14:val="standardContextual"/>
        </w:rPr>
        <w:t>tly</w:t>
      </w:r>
      <w:r w:rsidRPr="00456549">
        <w:rPr>
          <w:rFonts w:eastAsia="Arial"/>
          <w14:ligatures w14:val="standardContextual"/>
        </w:rPr>
        <w:t xml:space="preserve"> with the cybersecurity controls credited in the licensee’s CSP.</w:t>
      </w:r>
      <w:r w:rsidR="00E94F0E">
        <w:rPr>
          <w:rFonts w:eastAsia="Arial"/>
          <w14:ligatures w14:val="standardContextual"/>
        </w:rPr>
        <w:t xml:space="preserve"> </w:t>
      </w:r>
      <w:r w:rsidR="001C759D">
        <w:rPr>
          <w:rFonts w:eastAsia="Arial"/>
          <w14:ligatures w14:val="standardContextual"/>
        </w:rPr>
        <w:t xml:space="preserve">From the CDAs selected from the CS sample, </w:t>
      </w:r>
      <w:r w:rsidR="00065652">
        <w:rPr>
          <w:rFonts w:eastAsia="Arial"/>
          <w14:ligatures w14:val="standardContextual"/>
        </w:rPr>
        <w:t>i</w:t>
      </w:r>
      <w:r w:rsidR="006673A5">
        <w:rPr>
          <w:rFonts w:eastAsia="Arial"/>
          <w14:ligatures w14:val="standardContextual"/>
        </w:rPr>
        <w:t>nspector</w:t>
      </w:r>
      <w:r w:rsidR="00C20C36">
        <w:rPr>
          <w:rFonts w:eastAsia="Arial"/>
          <w14:ligatures w14:val="standardContextual"/>
        </w:rPr>
        <w:t>(</w:t>
      </w:r>
      <w:r w:rsidR="00A70E08">
        <w:rPr>
          <w:rFonts w:eastAsia="Arial"/>
          <w14:ligatures w14:val="standardContextual"/>
        </w:rPr>
        <w:t>s</w:t>
      </w:r>
      <w:r w:rsidR="00C20C36">
        <w:rPr>
          <w:rFonts w:eastAsia="Arial"/>
          <w14:ligatures w14:val="standardContextual"/>
        </w:rPr>
        <w:t>)</w:t>
      </w:r>
      <w:r w:rsidR="006673A5">
        <w:rPr>
          <w:rFonts w:eastAsia="Arial"/>
          <w14:ligatures w14:val="standardContextual"/>
        </w:rPr>
        <w:t xml:space="preserve"> should verify </w:t>
      </w:r>
      <w:r w:rsidR="000F6DF6">
        <w:rPr>
          <w:rFonts w:eastAsia="Arial"/>
          <w14:ligatures w14:val="standardContextual"/>
        </w:rPr>
        <w:t xml:space="preserve">a sampling of </w:t>
      </w:r>
      <w:r w:rsidR="008C00E8">
        <w:rPr>
          <w:rFonts w:eastAsia="Arial"/>
          <w14:ligatures w14:val="standardContextual"/>
        </w:rPr>
        <w:t xml:space="preserve">CSP controls </w:t>
      </w:r>
      <w:r w:rsidR="00C702A7">
        <w:rPr>
          <w:rFonts w:eastAsia="Arial"/>
          <w14:ligatures w14:val="standardContextual"/>
        </w:rPr>
        <w:t>to ensure they are i</w:t>
      </w:r>
      <w:r w:rsidR="008A3F78">
        <w:rPr>
          <w:rFonts w:eastAsia="Arial"/>
          <w14:ligatures w14:val="standardContextual"/>
        </w:rPr>
        <w:t xml:space="preserve">mplemented in accordance with the CDA’s assessment. Inspectors should </w:t>
      </w:r>
      <w:r w:rsidR="00DC7098">
        <w:rPr>
          <w:rFonts w:eastAsia="Arial"/>
          <w14:ligatures w14:val="standardContextual"/>
        </w:rPr>
        <w:t>verify</w:t>
      </w:r>
      <w:r w:rsidR="0004776B">
        <w:rPr>
          <w:rFonts w:eastAsia="Arial"/>
          <w14:ligatures w14:val="standardContextual"/>
        </w:rPr>
        <w:t xml:space="preserve"> the control </w:t>
      </w:r>
      <w:r w:rsidR="00203DC8">
        <w:rPr>
          <w:rFonts w:eastAsia="Arial"/>
          <w14:ligatures w14:val="standardContextual"/>
        </w:rPr>
        <w:t xml:space="preserve">is effective and </w:t>
      </w:r>
      <w:r w:rsidR="0004776B">
        <w:rPr>
          <w:rFonts w:eastAsia="Arial"/>
          <w14:ligatures w14:val="standardContextual"/>
        </w:rPr>
        <w:t xml:space="preserve">meets the requirements set forth in the </w:t>
      </w:r>
      <w:r w:rsidR="00203DC8">
        <w:rPr>
          <w:rFonts w:eastAsia="Arial"/>
          <w14:ligatures w14:val="standardContextual"/>
        </w:rPr>
        <w:t xml:space="preserve">licensee’s </w:t>
      </w:r>
      <w:r w:rsidR="0004776B">
        <w:rPr>
          <w:rFonts w:eastAsia="Arial"/>
          <w14:ligatures w14:val="standardContextual"/>
        </w:rPr>
        <w:t>CSP.</w:t>
      </w:r>
    </w:p>
    <w:p w14:paraId="1A2065F6" w14:textId="0CC60223" w:rsidR="000752AD" w:rsidRPr="001261CA" w:rsidRDefault="000752AD" w:rsidP="00102BD0">
      <w:pPr>
        <w:pStyle w:val="Requirement"/>
        <w:numPr>
          <w:ilvl w:val="0"/>
          <w:numId w:val="24"/>
        </w:numPr>
      </w:pPr>
      <w:r w:rsidRPr="001261CA">
        <w:rPr>
          <w:rFonts w:eastAsia="Arial"/>
        </w:rPr>
        <w:t xml:space="preserve">Verify that the licensee has established access controls and authentication and user- identification capabilities. </w:t>
      </w:r>
      <w:r w:rsidR="00747F29" w:rsidRPr="0011146F">
        <w:rPr>
          <w:rFonts w:eastAsia="Arial"/>
        </w:rPr>
        <w:t>(NEI (</w:t>
      </w:r>
      <w:r w:rsidR="007C6145">
        <w:rPr>
          <w:rFonts w:eastAsia="Arial"/>
        </w:rPr>
        <w:t>D.1</w:t>
      </w:r>
      <w:r w:rsidR="00747F29" w:rsidRPr="0011146F">
        <w:rPr>
          <w:rFonts w:eastAsia="Arial"/>
        </w:rPr>
        <w:t>) RG (</w:t>
      </w:r>
      <w:r w:rsidR="007C6145">
        <w:rPr>
          <w:rFonts w:eastAsia="Arial"/>
        </w:rPr>
        <w:t>B.4</w:t>
      </w:r>
      <w:r w:rsidR="00747F29" w:rsidRPr="0011146F">
        <w:rPr>
          <w:rFonts w:eastAsia="Arial"/>
        </w:rPr>
        <w:t>))</w:t>
      </w:r>
    </w:p>
    <w:p w14:paraId="67F44669" w14:textId="0E9C62AB"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213E2541" w14:textId="3902B4AB" w:rsidR="000752AD" w:rsidRPr="00456549" w:rsidRDefault="000752AD" w:rsidP="008A3846">
      <w:pPr>
        <w:pStyle w:val="BodyText3"/>
      </w:pPr>
      <w:r w:rsidRPr="00456549">
        <w:rPr>
          <w:rFonts w:eastAsia="Arial"/>
          <w14:ligatures w14:val="standardContextual"/>
        </w:rPr>
        <w:t xml:space="preserve">The inspectors should determine if the licensee has established policies and procedures as required by the CSP. The licensee should be conducting reviews of their access authorization list. The </w:t>
      </w:r>
      <w:r w:rsidR="00976900">
        <w:rPr>
          <w:rFonts w:eastAsia="Arial"/>
          <w14:ligatures w14:val="standardContextual"/>
        </w:rPr>
        <w:t>i</w:t>
      </w:r>
      <w:r w:rsidR="008C68AB">
        <w:rPr>
          <w:rFonts w:eastAsia="Arial"/>
          <w14:ligatures w14:val="standardContextual"/>
        </w:rPr>
        <w:t xml:space="preserve">nspector(s) </w:t>
      </w:r>
      <w:r w:rsidRPr="00456549">
        <w:rPr>
          <w:rFonts w:eastAsia="Arial"/>
          <w14:ligatures w14:val="standardContextual"/>
        </w:rPr>
        <w:t xml:space="preserve">can refer to the requirements specified in NEI 08-09, Appendix D, Section 4.2, “User Identification and Authentication” and its specific technical control attributes. The </w:t>
      </w:r>
      <w:r w:rsidR="00B65E2B">
        <w:rPr>
          <w:rFonts w:eastAsia="Arial"/>
          <w14:ligatures w14:val="standardContextual"/>
        </w:rPr>
        <w:t>i</w:t>
      </w:r>
      <w:r w:rsidR="008C68AB">
        <w:rPr>
          <w:rFonts w:eastAsia="Arial"/>
          <w14:ligatures w14:val="standardContextual"/>
        </w:rPr>
        <w:t>nspector(s)</w:t>
      </w:r>
      <w:r w:rsidRPr="00456549">
        <w:rPr>
          <w:rFonts w:eastAsia="Arial"/>
          <w14:ligatures w14:val="standardContextual"/>
        </w:rPr>
        <w:t>should also consider the applicability of the requirements of 10 CFR 73.56 (</w:t>
      </w:r>
      <w:proofErr w:type="spellStart"/>
      <w:r w:rsidRPr="00456549">
        <w:rPr>
          <w:rFonts w:eastAsia="Arial"/>
          <w14:ligatures w14:val="standardContextual"/>
        </w:rPr>
        <w:t>i</w:t>
      </w:r>
      <w:proofErr w:type="spellEnd"/>
      <w:r w:rsidRPr="00456549">
        <w:rPr>
          <w:rFonts w:eastAsia="Arial"/>
          <w14:ligatures w14:val="standardContextual"/>
        </w:rPr>
        <w:t>)(</w:t>
      </w:r>
      <w:proofErr w:type="gramStart"/>
      <w:r w:rsidRPr="00456549">
        <w:rPr>
          <w:rFonts w:eastAsia="Arial"/>
          <w14:ligatures w14:val="standardContextual"/>
        </w:rPr>
        <w:t>1)(v</w:t>
      </w:r>
      <w:proofErr w:type="gramEnd"/>
      <w:r w:rsidRPr="00456549">
        <w:rPr>
          <w:rFonts w:eastAsia="Arial"/>
          <w14:ligatures w14:val="standardContextual"/>
        </w:rPr>
        <w:t>)(B)(4) when verifying if individuals are trustworthy and reliable to</w:t>
      </w:r>
      <w:r w:rsidRPr="00456549">
        <w:t xml:space="preserve"> implement the respective CSP. </w:t>
      </w:r>
    </w:p>
    <w:p w14:paraId="5F9A6130" w14:textId="03B5D251" w:rsidR="000752AD" w:rsidRPr="005B05F6" w:rsidRDefault="00062108" w:rsidP="00062108">
      <w:pPr>
        <w:pStyle w:val="Heading2"/>
      </w:pPr>
      <w:r>
        <w:t>03.02</w:t>
      </w:r>
      <w:r>
        <w:tab/>
      </w:r>
      <w:r w:rsidR="000752AD" w:rsidRPr="005B05F6">
        <w:t>Configuration Management and Change Control</w:t>
      </w:r>
    </w:p>
    <w:p w14:paraId="7156BFC2" w14:textId="4C4E0CBF" w:rsidR="000752AD" w:rsidRPr="001261CA" w:rsidRDefault="000752AD" w:rsidP="00102BD0">
      <w:pPr>
        <w:pStyle w:val="Requirement"/>
        <w:numPr>
          <w:ilvl w:val="0"/>
          <w:numId w:val="25"/>
        </w:numPr>
      </w:pPr>
      <w:r w:rsidRPr="001261CA">
        <w:rPr>
          <w:rFonts w:eastAsia="Arial"/>
        </w:rPr>
        <w:t xml:space="preserve">Verify the licensee evaluates modifications to CDAs prior to implementation to assure that digital computer and communications systems and networks are adequately protected against cyberattacks. </w:t>
      </w:r>
      <w:r w:rsidR="00E33D2D" w:rsidRPr="0011146F">
        <w:rPr>
          <w:rFonts w:eastAsia="Arial"/>
        </w:rPr>
        <w:t>(NEI (</w:t>
      </w:r>
      <w:r w:rsidR="00847303">
        <w:rPr>
          <w:rFonts w:eastAsia="Arial"/>
        </w:rPr>
        <w:t>A.4.5</w:t>
      </w:r>
      <w:r w:rsidR="009E5E00">
        <w:rPr>
          <w:rFonts w:eastAsia="Arial"/>
        </w:rPr>
        <w:t>, E.10</w:t>
      </w:r>
      <w:r w:rsidR="00E33D2D" w:rsidRPr="0011146F">
        <w:rPr>
          <w:rFonts w:eastAsia="Arial"/>
        </w:rPr>
        <w:t>) RG (</w:t>
      </w:r>
      <w:r w:rsidR="00022B48">
        <w:rPr>
          <w:rFonts w:eastAsia="Arial"/>
        </w:rPr>
        <w:t>C.4.2</w:t>
      </w:r>
      <w:r w:rsidR="00E33D2D" w:rsidRPr="0011146F">
        <w:rPr>
          <w:rFonts w:eastAsia="Arial"/>
        </w:rPr>
        <w:t>))</w:t>
      </w:r>
    </w:p>
    <w:p w14:paraId="28077070" w14:textId="2081F9D0"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40712F03" w14:textId="31A649F0" w:rsidR="000752AD" w:rsidRPr="00456549" w:rsidRDefault="000752AD" w:rsidP="008A3846">
      <w:pPr>
        <w:pStyle w:val="BodyText3"/>
        <w:rPr>
          <w:rFonts w:eastAsia="Arial"/>
          <w14:ligatures w14:val="standardContextual"/>
        </w:rPr>
      </w:pPr>
      <w:r w:rsidRPr="00456549">
        <w:rPr>
          <w:rFonts w:eastAsia="Arial"/>
          <w14:ligatures w14:val="standardContextual"/>
        </w:rPr>
        <w:t xml:space="preserve">The </w:t>
      </w:r>
      <w:r w:rsidR="00976900">
        <w:rPr>
          <w:rFonts w:eastAsia="Arial"/>
          <w14:ligatures w14:val="standardContextual"/>
        </w:rPr>
        <w:t>i</w:t>
      </w:r>
      <w:r w:rsidR="008C68AB">
        <w:rPr>
          <w:rFonts w:eastAsia="Arial"/>
          <w14:ligatures w14:val="standardContextual"/>
        </w:rPr>
        <w:t>nspector(s)</w:t>
      </w:r>
      <w:r w:rsidRPr="00456549">
        <w:rPr>
          <w:rFonts w:eastAsia="Arial"/>
          <w14:ligatures w14:val="standardContextual"/>
        </w:rPr>
        <w:t xml:space="preserve"> should determine if licensees are implementing this activity consistent with the performance requirements specified in the CSP and as applicable, NEI 08-09, Section</w:t>
      </w:r>
      <w:r w:rsidR="00CB38A9">
        <w:rPr>
          <w:rFonts w:eastAsia="Arial"/>
          <w14:ligatures w14:val="standardContextual"/>
        </w:rPr>
        <w:t> </w:t>
      </w:r>
      <w:r w:rsidRPr="00456549">
        <w:rPr>
          <w:rFonts w:eastAsia="Arial"/>
          <w14:ligatures w14:val="standardContextual"/>
        </w:rPr>
        <w:t xml:space="preserve">2.2.1, which states in part that modifications to CDAs will be evaluated prior to implementation to achieve high assurance that digital computer and communications systems and networks are adequately protected. These evaluations are typically performed as part of the licensee’s configuration management program with oversight by the </w:t>
      </w:r>
      <w:r w:rsidR="00D8376A">
        <w:t>C</w:t>
      </w:r>
      <w:r w:rsidRPr="00456549">
        <w:t>yber</w:t>
      </w:r>
      <w:r w:rsidR="00F86C99">
        <w:t>s</w:t>
      </w:r>
      <w:r w:rsidRPr="00456549">
        <w:t xml:space="preserve">ecurity </w:t>
      </w:r>
      <w:r w:rsidR="00D8376A">
        <w:t>A</w:t>
      </w:r>
      <w:r w:rsidRPr="00456549">
        <w:t xml:space="preserve">ssessment </w:t>
      </w:r>
      <w:r w:rsidR="00D8376A">
        <w:t>T</w:t>
      </w:r>
      <w:r w:rsidRPr="00456549">
        <w:t>eam (CSAT)</w:t>
      </w:r>
      <w:r w:rsidRPr="00456549">
        <w:rPr>
          <w:rFonts w:eastAsia="Arial"/>
          <w14:ligatures w14:val="standardContextual"/>
        </w:rPr>
        <w:t>, so that additional cybersecurity risks are not introduced into the system. The inspectors should verify that implemented controls meet the requirements in the CSP.</w:t>
      </w:r>
    </w:p>
    <w:p w14:paraId="5ED5D020" w14:textId="68733ADE" w:rsidR="000752AD" w:rsidRPr="00C714C1" w:rsidRDefault="000752AD" w:rsidP="00102BD0">
      <w:pPr>
        <w:pStyle w:val="Requirement"/>
        <w:numPr>
          <w:ilvl w:val="0"/>
          <w:numId w:val="25"/>
        </w:numPr>
      </w:pPr>
      <w:r w:rsidRPr="004B0450">
        <w:rPr>
          <w:rFonts w:eastAsia="Arial"/>
        </w:rPr>
        <w:lastRenderedPageBreak/>
        <w:t xml:space="preserve">Verify that the licensee performs a security impact analysis prior to making changes to CDAs to manage the cyber risk resulting from the changes. </w:t>
      </w:r>
    </w:p>
    <w:p w14:paraId="4B9E3B02" w14:textId="027A0A2A"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104A9E56" w14:textId="4AEC5294" w:rsidR="000752AD" w:rsidRPr="00456549" w:rsidRDefault="000752AD" w:rsidP="008A3846">
      <w:pPr>
        <w:pStyle w:val="BodyText3"/>
        <w:rPr>
          <w:rFonts w:eastAsia="Arial"/>
          <w14:ligatures w14:val="standardContextual"/>
        </w:rPr>
      </w:pPr>
      <w:r w:rsidRPr="00456549">
        <w:rPr>
          <w:rFonts w:eastAsia="Arial"/>
          <w14:ligatures w14:val="standardContextual"/>
        </w:rPr>
        <w:t xml:space="preserve">A cybersecurity impact analysis is performed prior to making a design or configuration change to a CDA, or when changes to the environment occur. These changes can occur consistently with the attributes described in NEI 08-09, Appendix D, Section 5.5, </w:t>
      </w:r>
      <w:r w:rsidR="00936651">
        <w:rPr>
          <w:rFonts w:eastAsia="Arial"/>
          <w14:ligatures w14:val="standardContextual"/>
        </w:rPr>
        <w:t>“</w:t>
      </w:r>
      <w:r w:rsidRPr="00456549">
        <w:rPr>
          <w:rFonts w:eastAsia="Arial"/>
          <w14:ligatures w14:val="standardContextual"/>
        </w:rPr>
        <w:t>Installing Operating Systems, Applications, and Third-Party Software Update.</w:t>
      </w:r>
      <w:r w:rsidR="00936651">
        <w:rPr>
          <w:rFonts w:eastAsia="Arial"/>
          <w14:ligatures w14:val="standardContextual"/>
        </w:rPr>
        <w:t>”</w:t>
      </w:r>
      <w:r w:rsidRPr="00456549">
        <w:rPr>
          <w:rFonts w:eastAsia="Arial"/>
          <w14:ligatures w14:val="standardContextual"/>
        </w:rPr>
        <w:t xml:space="preserve"> The licensee evaluates changes to the required controls based on the assessment of the changes to manage risks introduced by the changes. The licensee assesses the </w:t>
      </w:r>
      <w:proofErr w:type="gramStart"/>
      <w:r w:rsidRPr="00456549">
        <w:rPr>
          <w:rFonts w:eastAsia="Arial"/>
          <w14:ligatures w14:val="standardContextual"/>
        </w:rPr>
        <w:t>interdependencies</w:t>
      </w:r>
      <w:proofErr w:type="gramEnd"/>
      <w:r w:rsidRPr="00456549">
        <w:rPr>
          <w:rFonts w:eastAsia="Arial"/>
          <w14:ligatures w14:val="standardContextual"/>
        </w:rPr>
        <w:t xml:space="preserve"> of other CDAs or support systems and incorporates the assessment into the cybersecurity impact analysis. (NEI A.4.4.2, E.10.5</w:t>
      </w:r>
      <w:r w:rsidR="00FB0265">
        <w:rPr>
          <w:rFonts w:eastAsia="Arial"/>
          <w14:ligatures w14:val="standardContextual"/>
        </w:rPr>
        <w:t>,</w:t>
      </w:r>
      <w:r w:rsidRPr="00456549">
        <w:rPr>
          <w:rFonts w:eastAsia="Arial"/>
          <w14:ligatures w14:val="standardContextual"/>
        </w:rPr>
        <w:t xml:space="preserve"> RG C.11.5)</w:t>
      </w:r>
    </w:p>
    <w:p w14:paraId="032D6DEF" w14:textId="0EEF1C0C" w:rsidR="000752AD" w:rsidRPr="005B05F6" w:rsidRDefault="00062108" w:rsidP="00062108">
      <w:pPr>
        <w:pStyle w:val="Heading2"/>
      </w:pPr>
      <w:r>
        <w:t>03.03</w:t>
      </w:r>
      <w:r>
        <w:tab/>
      </w:r>
      <w:r w:rsidR="000752AD" w:rsidRPr="005B05F6">
        <w:t>Cybersecurity Programmatic reviews</w:t>
      </w:r>
    </w:p>
    <w:p w14:paraId="62ADA4A2" w14:textId="539C0BCE" w:rsidR="000752AD" w:rsidRPr="001261CA" w:rsidRDefault="000752AD" w:rsidP="00102BD0">
      <w:pPr>
        <w:pStyle w:val="Requirement"/>
        <w:numPr>
          <w:ilvl w:val="0"/>
          <w:numId w:val="26"/>
        </w:numPr>
      </w:pPr>
      <w:r w:rsidRPr="001261CA">
        <w:rPr>
          <w:rFonts w:eastAsia="Arial"/>
        </w:rPr>
        <w:t xml:space="preserve">Determine if the licensee has made any changes to the CSP not inspected during the inspection activities of IP 81000.12, “Cybersecurity Inspection Pre – Fuel Load” to ensure the changes did not reduce the effectiveness of the plan. Verify that the licensee performed these activities in accordance with their cybersecurity program implementing procedures and NRC requirements. </w:t>
      </w:r>
      <w:r w:rsidR="00AA2E9F" w:rsidRPr="001261CA">
        <w:rPr>
          <w:rFonts w:eastAsia="Arial"/>
        </w:rPr>
        <w:t xml:space="preserve">(NEI </w:t>
      </w:r>
      <w:r w:rsidR="001E24B4" w:rsidRPr="001261CA">
        <w:rPr>
          <w:rFonts w:eastAsia="Arial"/>
        </w:rPr>
        <w:t>2.2.7</w:t>
      </w:r>
      <w:r w:rsidR="00A3617E" w:rsidRPr="001261CA">
        <w:rPr>
          <w:rFonts w:eastAsia="Arial"/>
        </w:rPr>
        <w:t>, A.3.1</w:t>
      </w:r>
      <w:r w:rsidR="00FB0265">
        <w:rPr>
          <w:rFonts w:eastAsia="Arial"/>
        </w:rPr>
        <w:t>,</w:t>
      </w:r>
      <w:r w:rsidR="00AA2E9F" w:rsidRPr="001261CA">
        <w:rPr>
          <w:rFonts w:eastAsia="Arial"/>
        </w:rPr>
        <w:t xml:space="preserve"> RG C.</w:t>
      </w:r>
      <w:r w:rsidR="005127C9" w:rsidRPr="001261CA">
        <w:rPr>
          <w:rFonts w:eastAsia="Arial"/>
        </w:rPr>
        <w:t>4.2</w:t>
      </w:r>
      <w:r w:rsidR="00AA2E9F" w:rsidRPr="001261CA">
        <w:rPr>
          <w:rFonts w:eastAsia="Arial"/>
        </w:rPr>
        <w:t>)</w:t>
      </w:r>
    </w:p>
    <w:p w14:paraId="3A91D343" w14:textId="413E7B2E" w:rsidR="000752AD" w:rsidRPr="00A25D33" w:rsidRDefault="000752AD" w:rsidP="00102BD0">
      <w:pPr>
        <w:pStyle w:val="SpecificGuidance"/>
        <w:rPr>
          <w:rFonts w:eastAsia="Arial" w:cs="Arial"/>
          <w:color w:val="000000"/>
          <w14:ligatures w14:val="standardContextual"/>
        </w:rPr>
      </w:pPr>
      <w:r w:rsidRPr="001C320E">
        <w:rPr>
          <w:rFonts w:eastAsia="Arial" w:cs="Arial"/>
          <w:color w:val="000000"/>
          <w14:ligatures w14:val="standardContextual"/>
        </w:rPr>
        <w:t>Specific Guidance</w:t>
      </w:r>
    </w:p>
    <w:p w14:paraId="07628736" w14:textId="1FBCFA4E" w:rsidR="000752AD" w:rsidRPr="00456549" w:rsidRDefault="000752AD" w:rsidP="008A3846">
      <w:pPr>
        <w:pStyle w:val="BodyText3"/>
        <w:rPr>
          <w:rFonts w:eastAsia="Times New Roman" w:cs="Arial"/>
          <w:color w:val="000000"/>
        </w:rPr>
      </w:pPr>
      <w:r w:rsidRPr="00456549">
        <w:rPr>
          <w:rFonts w:eastAsia="Arial" w:cs="Arial"/>
          <w:color w:val="000000"/>
          <w14:ligatures w14:val="standardContextual"/>
        </w:rPr>
        <w:t xml:space="preserve">The licensee should have </w:t>
      </w:r>
      <w:r w:rsidR="00DC35A8" w:rsidRPr="00456549">
        <w:rPr>
          <w:rFonts w:eastAsia="Arial" w:cs="Arial"/>
          <w:color w:val="000000"/>
          <w14:ligatures w14:val="standardContextual"/>
        </w:rPr>
        <w:t>changed</w:t>
      </w:r>
      <w:r w:rsidRPr="00456549">
        <w:rPr>
          <w:rFonts w:eastAsia="Arial" w:cs="Arial"/>
          <w:color w:val="000000"/>
          <w14:ligatures w14:val="standardContextual"/>
        </w:rPr>
        <w:t xml:space="preserve"> control procedures as well as licensing basis administrative controls for making changes to their CSP. The licensee can make changes to the CSP based on the requirements of 10 CFR 50.54(p). Further, the CSP requires that the licensee develop implementing procedures. Inspectors may want to leverage the process utilized to support the 10 CFR 50.71(e) requirements which are used to support changes made by the licensee to be included in the Updated Final Safety Analysis Report (UFSAR) revision.</w:t>
      </w:r>
    </w:p>
    <w:p w14:paraId="27F348C1" w14:textId="66ACDAAF" w:rsidR="000752AD" w:rsidRPr="001261CA" w:rsidRDefault="000752AD" w:rsidP="00102BD0">
      <w:pPr>
        <w:pStyle w:val="Requirement"/>
        <w:numPr>
          <w:ilvl w:val="0"/>
          <w:numId w:val="26"/>
        </w:numPr>
        <w:rPr>
          <w:rFonts w:eastAsia="Times New Roman"/>
        </w:rPr>
      </w:pPr>
      <w:r w:rsidRPr="001261CA">
        <w:rPr>
          <w:rFonts w:eastAsia="Times New Roman"/>
        </w:rPr>
        <w:t xml:space="preserve">Verify the licensee established an incident response process, including contingency plans, procedures, and notifications. </w:t>
      </w:r>
      <w:r w:rsidR="005127C9" w:rsidRPr="0011146F">
        <w:rPr>
          <w:rFonts w:eastAsia="Arial"/>
          <w14:ligatures w14:val="standardContextual"/>
        </w:rPr>
        <w:t>(NEI</w:t>
      </w:r>
      <w:r w:rsidR="00A83ED1">
        <w:rPr>
          <w:rFonts w:eastAsia="Arial"/>
          <w14:ligatures w14:val="standardContextual"/>
        </w:rPr>
        <w:t xml:space="preserve"> A.4.6</w:t>
      </w:r>
      <w:r w:rsidR="00FB0265">
        <w:rPr>
          <w:rFonts w:eastAsia="Arial"/>
          <w14:ligatures w14:val="standardContextual"/>
        </w:rPr>
        <w:t>,</w:t>
      </w:r>
      <w:r w:rsidR="005127C9" w:rsidRPr="0011146F">
        <w:rPr>
          <w:rFonts w:eastAsia="Arial"/>
          <w14:ligatures w14:val="standardContextual"/>
        </w:rPr>
        <w:t xml:space="preserve"> RG </w:t>
      </w:r>
      <w:r w:rsidR="00517E1C">
        <w:rPr>
          <w:rFonts w:eastAsia="Arial"/>
          <w14:ligatures w14:val="standardContextual"/>
        </w:rPr>
        <w:t>C.</w:t>
      </w:r>
      <w:r w:rsidR="00441B7C">
        <w:rPr>
          <w:rFonts w:eastAsia="Arial"/>
          <w14:ligatures w14:val="standardContextual"/>
        </w:rPr>
        <w:t>3.3.2.6</w:t>
      </w:r>
      <w:r w:rsidR="005127C9" w:rsidRPr="0011146F">
        <w:rPr>
          <w:rFonts w:eastAsia="Arial"/>
          <w14:ligatures w14:val="standardContextual"/>
        </w:rPr>
        <w:t>)</w:t>
      </w:r>
    </w:p>
    <w:p w14:paraId="3B3ADAB2" w14:textId="150878A4" w:rsidR="000752AD" w:rsidRPr="00A25D33" w:rsidRDefault="000752AD" w:rsidP="00102BD0">
      <w:pPr>
        <w:pStyle w:val="SpecificGuidance"/>
        <w:rPr>
          <w:rFonts w:eastAsia="Times New Roman" w:cs="Arial"/>
          <w:color w:val="000000"/>
          <w:spacing w:val="-4"/>
        </w:rPr>
      </w:pPr>
      <w:r w:rsidRPr="001C320E">
        <w:rPr>
          <w:rFonts w:eastAsia="Times New Roman" w:cs="Arial"/>
          <w:color w:val="000000"/>
          <w:spacing w:val="-4"/>
        </w:rPr>
        <w:t>Specific Guidance</w:t>
      </w:r>
    </w:p>
    <w:p w14:paraId="5BE4BC8C" w14:textId="503E2765" w:rsidR="000752AD" w:rsidRPr="00456549" w:rsidRDefault="000752AD" w:rsidP="008A3846">
      <w:pPr>
        <w:pStyle w:val="BodyText3"/>
        <w:rPr>
          <w:rFonts w:eastAsia="Times New Roman" w:cs="Arial"/>
          <w:color w:val="000000"/>
          <w:spacing w:val="-4"/>
        </w:rPr>
      </w:pPr>
      <w:r w:rsidRPr="00456549">
        <w:rPr>
          <w:rFonts w:eastAsia="Times New Roman" w:cs="Arial"/>
          <w:color w:val="000000"/>
          <w:spacing w:val="-4"/>
        </w:rPr>
        <w:t>Inspectors should determine whether attributes reflect the identification, detection, and response to cyberattacks and are directed by site procedures that govern responses to plant events. Inspectors should assess when there is reasonable suspicion of a cyberattack, procedures direct notification to responsible individuals and activation of the Cybersecurity Incident Response Team, as well as other emergency response actions, if warranted. Inspectors should ensure the licensee has established procedures for testing the incident response capabilities at an interval of at least every 12 months or that consistent with their CSP.</w:t>
      </w:r>
    </w:p>
    <w:p w14:paraId="7122378D" w14:textId="77777777" w:rsidR="000752AD" w:rsidRPr="00456549" w:rsidRDefault="000752AD" w:rsidP="008A3846">
      <w:pPr>
        <w:pStyle w:val="BodyText3"/>
        <w:rPr>
          <w:rFonts w:eastAsia="Times New Roman" w:cs="Arial"/>
          <w:color w:val="000000"/>
          <w:spacing w:val="-4"/>
        </w:rPr>
      </w:pPr>
      <w:r w:rsidRPr="00456549">
        <w:rPr>
          <w:rFonts w:eastAsia="Times New Roman" w:cs="Arial"/>
          <w:color w:val="000000"/>
          <w:spacing w:val="-4"/>
        </w:rPr>
        <w:t>If a cybersecurity incident occurred, ensure that the licensee took effective actions to ensure that the functions of CDAs are not adversely impacted and that the licensee implemented appropriate corrective actions.</w:t>
      </w:r>
    </w:p>
    <w:p w14:paraId="22358925" w14:textId="5D1C11BC" w:rsidR="000752AD" w:rsidRPr="00456549" w:rsidRDefault="000752AD" w:rsidP="008A3846">
      <w:pPr>
        <w:pStyle w:val="BodyText3"/>
        <w:rPr>
          <w:rFonts w:eastAsia="Times New Roman" w:cs="Arial"/>
          <w:color w:val="000000"/>
          <w:spacing w:val="-4"/>
        </w:rPr>
      </w:pPr>
      <w:r w:rsidRPr="00456549">
        <w:rPr>
          <w:rFonts w:eastAsia="Times New Roman" w:cs="Arial"/>
          <w:color w:val="000000"/>
          <w:spacing w:val="-4"/>
        </w:rPr>
        <w:lastRenderedPageBreak/>
        <w:t xml:space="preserve">The </w:t>
      </w:r>
      <w:r w:rsidR="00A039E6">
        <w:rPr>
          <w:rFonts w:eastAsia="Times New Roman" w:cs="Arial"/>
          <w:color w:val="000000"/>
          <w:spacing w:val="-4"/>
        </w:rPr>
        <w:t>i</w:t>
      </w:r>
      <w:r w:rsidR="00C53142">
        <w:rPr>
          <w:rFonts w:eastAsia="Times New Roman" w:cs="Arial"/>
          <w:color w:val="000000"/>
          <w:spacing w:val="-4"/>
        </w:rPr>
        <w:t>nspector(s)</w:t>
      </w:r>
      <w:r w:rsidRPr="00456549">
        <w:rPr>
          <w:rFonts w:eastAsia="Times New Roman" w:cs="Arial"/>
          <w:color w:val="000000"/>
          <w:spacing w:val="-4"/>
        </w:rPr>
        <w:t xml:space="preserve"> may observe a licensee-conducted Cybersecurity Incident Response drill if the licensee is performing a drill. If a drill does not occur, the </w:t>
      </w:r>
      <w:r w:rsidR="00C53142">
        <w:rPr>
          <w:rFonts w:eastAsia="Times New Roman" w:cs="Arial"/>
          <w:color w:val="000000"/>
          <w:spacing w:val="-4"/>
        </w:rPr>
        <w:t>Inspector(s)</w:t>
      </w:r>
      <w:r w:rsidRPr="00456549">
        <w:rPr>
          <w:rFonts w:eastAsia="Times New Roman" w:cs="Arial"/>
          <w:color w:val="000000"/>
          <w:spacing w:val="-4"/>
        </w:rPr>
        <w:t xml:space="preserve"> may consider interviews and/or tabletop scenarios with licensee personnel.</w:t>
      </w:r>
      <w:r w:rsidR="00CF25B3">
        <w:rPr>
          <w:rFonts w:eastAsia="Times New Roman" w:cs="Arial"/>
          <w:color w:val="000000"/>
          <w:spacing w:val="-4"/>
        </w:rPr>
        <w:t xml:space="preserve"> </w:t>
      </w:r>
      <w:r w:rsidRPr="00456549">
        <w:rPr>
          <w:rFonts w:eastAsia="Times New Roman" w:cs="Arial"/>
          <w:color w:val="000000"/>
          <w:spacing w:val="-4"/>
        </w:rPr>
        <w:t xml:space="preserve">The </w:t>
      </w:r>
      <w:r w:rsidR="00C53142">
        <w:rPr>
          <w:rFonts w:eastAsia="Times New Roman" w:cs="Arial"/>
          <w:color w:val="000000"/>
          <w:spacing w:val="-4"/>
        </w:rPr>
        <w:t>Inspector(s)</w:t>
      </w:r>
      <w:r w:rsidR="00062E0B">
        <w:rPr>
          <w:rFonts w:eastAsia="Times New Roman" w:cs="Arial"/>
          <w:color w:val="000000"/>
          <w:spacing w:val="-4"/>
        </w:rPr>
        <w:t xml:space="preserve"> </w:t>
      </w:r>
      <w:r w:rsidRPr="00456549">
        <w:rPr>
          <w:rFonts w:eastAsia="Times New Roman" w:cs="Arial"/>
          <w:color w:val="000000"/>
          <w:spacing w:val="-4"/>
        </w:rPr>
        <w:t xml:space="preserve">should ensure the licensee has included the Cyber Security Contingency Plan (Continuity of Operations) as an attribute of the overall Physical Security Plan. 10 CFR 73.55(a)(1) requires that licensees implement the requirements of the section through its Commission-approved Physical Security </w:t>
      </w:r>
      <w:r w:rsidR="0006109B">
        <w:rPr>
          <w:rFonts w:eastAsia="Times New Roman" w:cs="Arial"/>
          <w:color w:val="000000"/>
          <w:spacing w:val="-4"/>
        </w:rPr>
        <w:t>p</w:t>
      </w:r>
      <w:r w:rsidRPr="00456549">
        <w:rPr>
          <w:rFonts w:eastAsia="Times New Roman" w:cs="Arial"/>
          <w:color w:val="000000"/>
          <w:spacing w:val="-4"/>
        </w:rPr>
        <w:t xml:space="preserve">lan, Training and Qualification </w:t>
      </w:r>
      <w:r w:rsidR="0006109B">
        <w:rPr>
          <w:rFonts w:eastAsia="Times New Roman" w:cs="Arial"/>
          <w:color w:val="000000"/>
          <w:spacing w:val="-4"/>
        </w:rPr>
        <w:t>p</w:t>
      </w:r>
      <w:r w:rsidRPr="00456549">
        <w:rPr>
          <w:rFonts w:eastAsia="Times New Roman" w:cs="Arial"/>
          <w:color w:val="000000"/>
          <w:spacing w:val="-4"/>
        </w:rPr>
        <w:t xml:space="preserve">lan, Safeguards Contingency </w:t>
      </w:r>
      <w:r w:rsidR="0006109B">
        <w:rPr>
          <w:rFonts w:eastAsia="Times New Roman" w:cs="Arial"/>
          <w:color w:val="000000"/>
          <w:spacing w:val="-4"/>
        </w:rPr>
        <w:t>p</w:t>
      </w:r>
      <w:r w:rsidRPr="00456549">
        <w:rPr>
          <w:rFonts w:eastAsia="Times New Roman" w:cs="Arial"/>
          <w:color w:val="000000"/>
          <w:spacing w:val="-4"/>
        </w:rPr>
        <w:t xml:space="preserve">lans, and Cyber Security </w:t>
      </w:r>
      <w:r w:rsidR="0006109B">
        <w:rPr>
          <w:rFonts w:eastAsia="Times New Roman" w:cs="Arial"/>
          <w:color w:val="000000"/>
          <w:spacing w:val="-4"/>
        </w:rPr>
        <w:t>p</w:t>
      </w:r>
      <w:r w:rsidRPr="00456549">
        <w:rPr>
          <w:rFonts w:eastAsia="Times New Roman" w:cs="Arial"/>
          <w:color w:val="000000"/>
          <w:spacing w:val="-4"/>
        </w:rPr>
        <w:t>lan, referred to collectively as “security plans.”</w:t>
      </w:r>
    </w:p>
    <w:p w14:paraId="1BC3B577" w14:textId="78F5B666" w:rsidR="000752AD" w:rsidRPr="001261CA" w:rsidRDefault="000752AD" w:rsidP="00102BD0">
      <w:pPr>
        <w:pStyle w:val="Requirement"/>
        <w:numPr>
          <w:ilvl w:val="0"/>
          <w:numId w:val="26"/>
        </w:numPr>
      </w:pPr>
      <w:r w:rsidRPr="008E37B8">
        <w:rPr>
          <w:rFonts w:eastAsia="Times New Roman"/>
        </w:rPr>
        <w:t>Verify</w:t>
      </w:r>
      <w:r w:rsidRPr="001261CA">
        <w:rPr>
          <w:rFonts w:eastAsia="Arial"/>
        </w:rPr>
        <w:t xml:space="preserve"> that the licensee has established training as described in the CSP.</w:t>
      </w:r>
      <w:r w:rsidRPr="001261CA">
        <w:rPr>
          <w:rFonts w:eastAsia="Times New Roman"/>
        </w:rPr>
        <w:t xml:space="preserve"> </w:t>
      </w:r>
      <w:r w:rsidR="00AA7936" w:rsidRPr="0011146F">
        <w:rPr>
          <w:rFonts w:eastAsia="Arial"/>
        </w:rPr>
        <w:t>(NEI</w:t>
      </w:r>
      <w:r w:rsidR="00AA7936">
        <w:rPr>
          <w:rFonts w:eastAsia="Arial"/>
        </w:rPr>
        <w:t xml:space="preserve"> A.4.8</w:t>
      </w:r>
      <w:r w:rsidR="00FB0265">
        <w:rPr>
          <w:rFonts w:eastAsia="Arial"/>
        </w:rPr>
        <w:t>,</w:t>
      </w:r>
      <w:r w:rsidR="00AA7936" w:rsidRPr="0011146F">
        <w:rPr>
          <w:rFonts w:eastAsia="Arial"/>
        </w:rPr>
        <w:t xml:space="preserve"> RG </w:t>
      </w:r>
      <w:r w:rsidR="00AA7936">
        <w:rPr>
          <w:rFonts w:eastAsia="Arial"/>
        </w:rPr>
        <w:t>C.3.3.2.</w:t>
      </w:r>
      <w:r w:rsidR="00E15DCF">
        <w:rPr>
          <w:rFonts w:eastAsia="Arial"/>
        </w:rPr>
        <w:t>8</w:t>
      </w:r>
      <w:r w:rsidR="00AA7936" w:rsidRPr="0011146F">
        <w:rPr>
          <w:rFonts w:eastAsia="Arial"/>
        </w:rPr>
        <w:t>)</w:t>
      </w:r>
    </w:p>
    <w:p w14:paraId="3E155013" w14:textId="0108F8C2" w:rsidR="000752AD" w:rsidRPr="00A25D33" w:rsidRDefault="000752AD" w:rsidP="00102BD0">
      <w:pPr>
        <w:pStyle w:val="SpecificGuidance"/>
        <w:rPr>
          <w:rFonts w:eastAsia="Times New Roman" w:cs="Arial"/>
          <w:color w:val="000000"/>
        </w:rPr>
      </w:pPr>
      <w:r w:rsidRPr="001C320E">
        <w:rPr>
          <w:rFonts w:eastAsia="Times New Roman" w:cs="Arial"/>
        </w:rPr>
        <w:t>Specific Guidance</w:t>
      </w:r>
    </w:p>
    <w:p w14:paraId="52ADCB6F" w14:textId="354185BC" w:rsidR="000752AD" w:rsidRPr="00456549" w:rsidRDefault="000752AD" w:rsidP="008A3846">
      <w:pPr>
        <w:pStyle w:val="BodyText3"/>
        <w:rPr>
          <w:rFonts w:eastAsia="Times New Roman" w:cs="Arial"/>
          <w:color w:val="000000"/>
        </w:rPr>
      </w:pPr>
      <w:r w:rsidRPr="00456549">
        <w:rPr>
          <w:rFonts w:eastAsia="Arial" w:cs="Arial"/>
          <w:color w:val="000000"/>
          <w14:ligatures w14:val="standardContextual"/>
        </w:rPr>
        <w:t xml:space="preserve">Verify the licensee has established, implemented, documented, and is conducting or has conducted cyber training requirements for licensee personnel and contractors to perform their assigned duties and responsibilities in implementing the requirements of their cyber program. Inspectors should review licensee procedures, cybersecurity training completed from personnel training records, and conduct personnel interviews when observation of activities </w:t>
      </w:r>
      <w:proofErr w:type="gramStart"/>
      <w:r w:rsidRPr="00456549">
        <w:rPr>
          <w:rFonts w:eastAsia="Arial" w:cs="Arial"/>
          <w:color w:val="000000"/>
          <w14:ligatures w14:val="standardContextual"/>
        </w:rPr>
        <w:t>are</w:t>
      </w:r>
      <w:proofErr w:type="gramEnd"/>
      <w:r w:rsidRPr="00456549">
        <w:rPr>
          <w:rFonts w:eastAsia="Arial" w:cs="Arial"/>
          <w:color w:val="000000"/>
          <w14:ligatures w14:val="standardContextual"/>
        </w:rPr>
        <w:t xml:space="preserve"> not possible. These reviews should include subject matter experts of personnel responsible for implementation/maintaining of the CDAs selected in the inspection sample. The inspectors should verify the licensee has established a training curriculum to include general awareness, technical, specialized, and situational awareness training to support samples selected for review.</w:t>
      </w:r>
    </w:p>
    <w:p w14:paraId="4E96F695" w14:textId="302F1C07" w:rsidR="00D47E44" w:rsidRPr="004F5E26" w:rsidRDefault="00D47E44" w:rsidP="00C714C1">
      <w:pPr>
        <w:pStyle w:val="Heading1"/>
      </w:pPr>
      <w:bookmarkStart w:id="3" w:name="71130.10-01_INSPECTION_OBJECTIVES"/>
      <w:bookmarkStart w:id="4" w:name="71130.10-02__GENERAL_GUIDANCE"/>
      <w:bookmarkEnd w:id="3"/>
      <w:bookmarkEnd w:id="4"/>
      <w:r w:rsidRPr="004F5E26">
        <w:t>81000.13-</w:t>
      </w:r>
      <w:r w:rsidRPr="004F5E26">
        <w:rPr>
          <w:spacing w:val="-5"/>
        </w:rPr>
        <w:t>0</w:t>
      </w:r>
      <w:r w:rsidR="005A763C" w:rsidRPr="004F5E26">
        <w:rPr>
          <w:spacing w:val="-5"/>
        </w:rPr>
        <w:t>4</w:t>
      </w:r>
      <w:r w:rsidR="00A25D33">
        <w:tab/>
      </w:r>
      <w:r w:rsidRPr="004F5E26">
        <w:t>RESOURCE ESTIMATE</w:t>
      </w:r>
    </w:p>
    <w:p w14:paraId="645EBD26" w14:textId="30589FDE" w:rsidR="00D47E44" w:rsidRPr="00456549" w:rsidRDefault="00D47E44" w:rsidP="00062108">
      <w:pPr>
        <w:pStyle w:val="BodyText"/>
      </w:pPr>
      <w:r w:rsidRPr="00456549">
        <w:t xml:space="preserve">The estimated time to complete the inspection procedure’s direct inspection effort is 140 hours (with a range of 133 to 147 hours) per site and will consist of </w:t>
      </w:r>
      <w:r w:rsidR="00FC2721">
        <w:t>2 </w:t>
      </w:r>
      <w:r w:rsidRPr="00456549">
        <w:t>weeks of direct inspection effort with</w:t>
      </w:r>
      <w:r w:rsidRPr="00456549">
        <w:rPr>
          <w:spacing w:val="-3"/>
        </w:rPr>
        <w:t xml:space="preserve"> </w:t>
      </w:r>
      <w:r w:rsidRPr="00456549">
        <w:t>contractor</w:t>
      </w:r>
      <w:r w:rsidRPr="00456549">
        <w:rPr>
          <w:spacing w:val="-3"/>
        </w:rPr>
        <w:t xml:space="preserve"> </w:t>
      </w:r>
      <w:r w:rsidRPr="00456549">
        <w:t>support. This</w:t>
      </w:r>
      <w:r w:rsidRPr="00456549">
        <w:rPr>
          <w:spacing w:val="-3"/>
        </w:rPr>
        <w:t xml:space="preserve"> </w:t>
      </w:r>
      <w:r w:rsidRPr="00456549">
        <w:t>inspection</w:t>
      </w:r>
      <w:r w:rsidRPr="00456549">
        <w:rPr>
          <w:spacing w:val="-3"/>
        </w:rPr>
        <w:t xml:space="preserve"> </w:t>
      </w:r>
      <w:r w:rsidRPr="00456549">
        <w:t>is</w:t>
      </w:r>
      <w:r w:rsidRPr="00456549">
        <w:rPr>
          <w:spacing w:val="-3"/>
        </w:rPr>
        <w:t xml:space="preserve"> </w:t>
      </w:r>
      <w:r w:rsidRPr="00456549">
        <w:t>planned</w:t>
      </w:r>
      <w:r w:rsidRPr="00456549">
        <w:rPr>
          <w:spacing w:val="-3"/>
        </w:rPr>
        <w:t xml:space="preserve"> </w:t>
      </w:r>
      <w:r w:rsidRPr="00456549">
        <w:t>to</w:t>
      </w:r>
      <w:r w:rsidRPr="00456549">
        <w:rPr>
          <w:spacing w:val="-3"/>
        </w:rPr>
        <w:t xml:space="preserve"> </w:t>
      </w:r>
      <w:r w:rsidRPr="00456549">
        <w:t>be</w:t>
      </w:r>
      <w:r w:rsidRPr="00456549">
        <w:rPr>
          <w:spacing w:val="-3"/>
        </w:rPr>
        <w:t xml:space="preserve"> </w:t>
      </w:r>
      <w:r w:rsidRPr="00456549">
        <w:t>conducted</w:t>
      </w:r>
      <w:r w:rsidRPr="00456549">
        <w:rPr>
          <w:spacing w:val="-3"/>
        </w:rPr>
        <w:t xml:space="preserve"> </w:t>
      </w:r>
      <w:r w:rsidRPr="00456549">
        <w:t>as</w:t>
      </w:r>
      <w:r w:rsidRPr="00456549">
        <w:rPr>
          <w:spacing w:val="-3"/>
        </w:rPr>
        <w:t xml:space="preserve"> </w:t>
      </w:r>
      <w:r w:rsidRPr="00456549">
        <w:t>a</w:t>
      </w:r>
      <w:r w:rsidRPr="00456549">
        <w:rPr>
          <w:spacing w:val="-4"/>
        </w:rPr>
        <w:t xml:space="preserve"> </w:t>
      </w:r>
      <w:r w:rsidRPr="00456549">
        <w:t>team</w:t>
      </w:r>
      <w:r w:rsidRPr="00456549">
        <w:rPr>
          <w:spacing w:val="-4"/>
        </w:rPr>
        <w:t xml:space="preserve"> </w:t>
      </w:r>
      <w:r w:rsidRPr="00456549">
        <w:t>inspection. The team shall consist of two regional inspectors and two contractors.</w:t>
      </w:r>
    </w:p>
    <w:p w14:paraId="04C6C156" w14:textId="4B7C9354" w:rsidR="005A763C" w:rsidRPr="00456549" w:rsidRDefault="005A763C" w:rsidP="00C714C1">
      <w:pPr>
        <w:pStyle w:val="Heading1"/>
      </w:pPr>
      <w:bookmarkStart w:id="5" w:name="71130.10-03__INSPECTION_REQUIREMENTS"/>
      <w:bookmarkStart w:id="6" w:name="03.01_Review_Ongoing_Monitoring_and_Asse"/>
      <w:bookmarkStart w:id="7" w:name="03.02_Verify_Defense-in-Depth_Protective"/>
      <w:bookmarkStart w:id="8" w:name="03.03_Review_of_Configuration_Management"/>
      <w:bookmarkStart w:id="9" w:name="03.04_Review_of_Cybersecurity_Program"/>
      <w:bookmarkStart w:id="10" w:name="03.05_Evaluation_of_Corrective_Actions"/>
      <w:bookmarkStart w:id="11" w:name="03.06_Evaluation_of_Performance_Testing_"/>
      <w:bookmarkEnd w:id="5"/>
      <w:bookmarkEnd w:id="6"/>
      <w:bookmarkEnd w:id="7"/>
      <w:bookmarkEnd w:id="8"/>
      <w:bookmarkEnd w:id="9"/>
      <w:bookmarkEnd w:id="10"/>
      <w:bookmarkEnd w:id="11"/>
      <w:r w:rsidRPr="00456549">
        <w:t>81000.13-</w:t>
      </w:r>
      <w:r w:rsidRPr="00456549">
        <w:rPr>
          <w:spacing w:val="-5"/>
        </w:rPr>
        <w:t>05</w:t>
      </w:r>
      <w:r w:rsidRPr="00456549">
        <w:tab/>
        <w:t>PROCEDURE COMPLETION</w:t>
      </w:r>
    </w:p>
    <w:p w14:paraId="7FF7A22C" w14:textId="11979823" w:rsidR="00424D4D" w:rsidRPr="00456549" w:rsidRDefault="003B3DBF" w:rsidP="00062108">
      <w:pPr>
        <w:pStyle w:val="BodyText"/>
        <w:rPr>
          <w:color w:val="000000" w:themeColor="text1"/>
        </w:rPr>
      </w:pPr>
      <w:r w:rsidRPr="00456549">
        <w:rPr>
          <w:color w:val="000000" w:themeColor="text1"/>
        </w:rPr>
        <w:t xml:space="preserve">The completion of all the requirements will constitute completion of the inspection sample. The </w:t>
      </w:r>
      <w:r w:rsidR="00337DF4">
        <w:rPr>
          <w:color w:val="000000" w:themeColor="text1"/>
        </w:rPr>
        <w:t>i</w:t>
      </w:r>
      <w:r w:rsidR="00005DA6">
        <w:rPr>
          <w:color w:val="000000" w:themeColor="text1"/>
        </w:rPr>
        <w:t>nspector(s)</w:t>
      </w:r>
      <w:r w:rsidRPr="00456549">
        <w:rPr>
          <w:color w:val="000000" w:themeColor="text1"/>
        </w:rPr>
        <w:t xml:space="preserve"> will utilize insights from the IP 81000.12 inspection and operating experience within the fleet as applicable to inform the inspection. It is anticipated that at the time of this inspection </w:t>
      </w:r>
      <w:r w:rsidR="00051F1E" w:rsidRPr="00456549">
        <w:rPr>
          <w:color w:val="000000" w:themeColor="text1"/>
        </w:rPr>
        <w:t>activity,</w:t>
      </w:r>
      <w:r w:rsidRPr="00456549">
        <w:rPr>
          <w:color w:val="000000" w:themeColor="text1"/>
        </w:rPr>
        <w:t xml:space="preserve"> the licensee will have entered the ROP</w:t>
      </w:r>
      <w:r w:rsidR="007925C7">
        <w:rPr>
          <w:color w:val="000000" w:themeColor="text1"/>
        </w:rPr>
        <w:t xml:space="preserve">. </w:t>
      </w:r>
      <w:r w:rsidRPr="00456549">
        <w:rPr>
          <w:color w:val="000000" w:themeColor="text1"/>
        </w:rPr>
        <w:t xml:space="preserve">Final approval of the inspection scope will </w:t>
      </w:r>
      <w:r w:rsidR="00051F1E" w:rsidRPr="00456549">
        <w:rPr>
          <w:color w:val="000000" w:themeColor="text1"/>
        </w:rPr>
        <w:t xml:space="preserve">reside with </w:t>
      </w:r>
      <w:r w:rsidRPr="00456549">
        <w:rPr>
          <w:color w:val="000000" w:themeColor="text1"/>
        </w:rPr>
        <w:t xml:space="preserve">the </w:t>
      </w:r>
      <w:r w:rsidR="00F639D0">
        <w:rPr>
          <w:color w:val="000000" w:themeColor="text1"/>
        </w:rPr>
        <w:t>b</w:t>
      </w:r>
      <w:r w:rsidRPr="00456549">
        <w:rPr>
          <w:color w:val="000000" w:themeColor="text1"/>
        </w:rPr>
        <w:t xml:space="preserve">ranch </w:t>
      </w:r>
      <w:r w:rsidR="00F639D0">
        <w:rPr>
          <w:color w:val="000000" w:themeColor="text1"/>
        </w:rPr>
        <w:t>c</w:t>
      </w:r>
      <w:r w:rsidRPr="00456549">
        <w:rPr>
          <w:color w:val="000000" w:themeColor="text1"/>
        </w:rPr>
        <w:t xml:space="preserve">hief responsible for the inspection. </w:t>
      </w:r>
    </w:p>
    <w:p w14:paraId="5BBD83B2" w14:textId="1753ABEF" w:rsidR="0037326A" w:rsidRPr="00456549" w:rsidRDefault="00A43DF2" w:rsidP="00062108">
      <w:pPr>
        <w:pStyle w:val="BodyText"/>
        <w:rPr>
          <w:color w:val="000000" w:themeColor="text1"/>
        </w:rPr>
      </w:pPr>
      <w:r w:rsidRPr="00456549">
        <w:rPr>
          <w:color w:val="000000" w:themeColor="text1"/>
        </w:rPr>
        <w:t>The completion of the IP 81000.12 and IP 81000.13</w:t>
      </w:r>
      <w:r w:rsidR="00F262FF" w:rsidRPr="00456549">
        <w:rPr>
          <w:color w:val="000000" w:themeColor="text1"/>
        </w:rPr>
        <w:t xml:space="preserve"> should serve as an adequate basis for inspection </w:t>
      </w:r>
      <w:r w:rsidR="009058DD" w:rsidRPr="00456549">
        <w:rPr>
          <w:color w:val="000000" w:themeColor="text1"/>
        </w:rPr>
        <w:t>activities</w:t>
      </w:r>
      <w:r w:rsidR="00F262FF" w:rsidRPr="00456549">
        <w:rPr>
          <w:color w:val="000000" w:themeColor="text1"/>
        </w:rPr>
        <w:t xml:space="preserve"> </w:t>
      </w:r>
      <w:r w:rsidR="009058DD" w:rsidRPr="00456549">
        <w:rPr>
          <w:color w:val="000000" w:themeColor="text1"/>
        </w:rPr>
        <w:t>conducted using the 71130.10 baseline cybersecurity procedures.</w:t>
      </w:r>
    </w:p>
    <w:p w14:paraId="76AB75E0" w14:textId="48AFA6AE" w:rsidR="00D47E44" w:rsidRPr="00456549" w:rsidRDefault="00D47E44" w:rsidP="00C714C1">
      <w:pPr>
        <w:pStyle w:val="Heading1"/>
      </w:pPr>
      <w:bookmarkStart w:id="12" w:name="71130.10-04_REFERENCES"/>
      <w:bookmarkEnd w:id="12"/>
      <w:r w:rsidRPr="00456549">
        <w:t>81000.13-</w:t>
      </w:r>
      <w:r w:rsidRPr="00456549">
        <w:rPr>
          <w:spacing w:val="-5"/>
        </w:rPr>
        <w:t>0</w:t>
      </w:r>
      <w:r w:rsidR="005A763C" w:rsidRPr="00456549">
        <w:rPr>
          <w:spacing w:val="-5"/>
        </w:rPr>
        <w:t>6</w:t>
      </w:r>
      <w:r w:rsidRPr="00456549">
        <w:tab/>
        <w:t>REFERENCES</w:t>
      </w:r>
    </w:p>
    <w:p w14:paraId="618C878A" w14:textId="77777777" w:rsidR="008817EE" w:rsidRDefault="00D47E44" w:rsidP="004369DF">
      <w:pPr>
        <w:pStyle w:val="BodyText2"/>
        <w:rPr>
          <w:rFonts w:eastAsia="Times New Roman"/>
        </w:rPr>
      </w:pPr>
      <w:r w:rsidRPr="00456549">
        <w:rPr>
          <w:rFonts w:eastAsia="Times New Roman"/>
        </w:rPr>
        <w:t>10</w:t>
      </w:r>
      <w:r w:rsidRPr="00456549">
        <w:rPr>
          <w:rFonts w:eastAsia="Times New Roman"/>
          <w:spacing w:val="-4"/>
        </w:rPr>
        <w:t xml:space="preserve"> </w:t>
      </w:r>
      <w:r w:rsidRPr="00456549">
        <w:rPr>
          <w:rFonts w:eastAsia="Times New Roman"/>
        </w:rPr>
        <w:t>CFR</w:t>
      </w:r>
      <w:r w:rsidRPr="00456549">
        <w:rPr>
          <w:rFonts w:eastAsia="Times New Roman"/>
          <w:spacing w:val="-5"/>
        </w:rPr>
        <w:t xml:space="preserve"> </w:t>
      </w:r>
      <w:r w:rsidRPr="00456549">
        <w:rPr>
          <w:rFonts w:eastAsia="Times New Roman"/>
        </w:rPr>
        <w:t>73.54,</w:t>
      </w:r>
      <w:r w:rsidRPr="00456549">
        <w:rPr>
          <w:rFonts w:eastAsia="Times New Roman"/>
          <w:spacing w:val="-4"/>
        </w:rPr>
        <w:t xml:space="preserve"> </w:t>
      </w:r>
      <w:r w:rsidRPr="00456549">
        <w:rPr>
          <w:rFonts w:eastAsia="Times New Roman"/>
        </w:rPr>
        <w:t>“Protection</w:t>
      </w:r>
      <w:r w:rsidRPr="00456549">
        <w:rPr>
          <w:rFonts w:eastAsia="Times New Roman"/>
          <w:spacing w:val="-4"/>
        </w:rPr>
        <w:t xml:space="preserve"> </w:t>
      </w:r>
      <w:r w:rsidRPr="00456549">
        <w:rPr>
          <w:rFonts w:eastAsia="Times New Roman"/>
        </w:rPr>
        <w:t>of</w:t>
      </w:r>
      <w:r w:rsidRPr="00456549">
        <w:rPr>
          <w:rFonts w:eastAsia="Times New Roman"/>
          <w:spacing w:val="-4"/>
        </w:rPr>
        <w:t xml:space="preserve"> </w:t>
      </w:r>
      <w:r w:rsidRPr="00456549">
        <w:rPr>
          <w:rFonts w:eastAsia="Times New Roman"/>
        </w:rPr>
        <w:t>Digital</w:t>
      </w:r>
      <w:r w:rsidRPr="00456549">
        <w:rPr>
          <w:rFonts w:eastAsia="Times New Roman"/>
          <w:spacing w:val="-5"/>
        </w:rPr>
        <w:t xml:space="preserve"> </w:t>
      </w:r>
      <w:r w:rsidRPr="00456549">
        <w:rPr>
          <w:rFonts w:eastAsia="Times New Roman"/>
        </w:rPr>
        <w:t>Computer</w:t>
      </w:r>
      <w:r w:rsidRPr="00456549">
        <w:rPr>
          <w:rFonts w:eastAsia="Times New Roman"/>
          <w:spacing w:val="-4"/>
        </w:rPr>
        <w:t xml:space="preserve"> </w:t>
      </w:r>
      <w:r w:rsidRPr="00456549">
        <w:rPr>
          <w:rFonts w:eastAsia="Times New Roman"/>
        </w:rPr>
        <w:t>and</w:t>
      </w:r>
      <w:r w:rsidRPr="00456549">
        <w:rPr>
          <w:rFonts w:eastAsia="Times New Roman"/>
          <w:spacing w:val="-4"/>
        </w:rPr>
        <w:t xml:space="preserve"> </w:t>
      </w:r>
      <w:r w:rsidRPr="00456549">
        <w:rPr>
          <w:rFonts w:eastAsia="Times New Roman"/>
        </w:rPr>
        <w:t>Communication</w:t>
      </w:r>
      <w:r w:rsidRPr="00456549">
        <w:rPr>
          <w:rFonts w:eastAsia="Times New Roman"/>
          <w:spacing w:val="-4"/>
        </w:rPr>
        <w:t xml:space="preserve"> </w:t>
      </w:r>
      <w:r w:rsidRPr="00456549">
        <w:rPr>
          <w:rFonts w:eastAsia="Times New Roman"/>
        </w:rPr>
        <w:t>Systems</w:t>
      </w:r>
      <w:r w:rsidRPr="00456549">
        <w:rPr>
          <w:rFonts w:eastAsia="Times New Roman"/>
          <w:spacing w:val="-4"/>
        </w:rPr>
        <w:t xml:space="preserve"> </w:t>
      </w:r>
      <w:r w:rsidRPr="00456549">
        <w:rPr>
          <w:rFonts w:eastAsia="Times New Roman"/>
        </w:rPr>
        <w:t>and</w:t>
      </w:r>
      <w:r w:rsidRPr="00456549">
        <w:rPr>
          <w:rFonts w:eastAsia="Times New Roman"/>
          <w:spacing w:val="-4"/>
        </w:rPr>
        <w:t xml:space="preserve"> </w:t>
      </w:r>
      <w:r w:rsidRPr="00456549">
        <w:rPr>
          <w:rFonts w:eastAsia="Times New Roman"/>
        </w:rPr>
        <w:t xml:space="preserve">Networks” </w:t>
      </w:r>
    </w:p>
    <w:p w14:paraId="080653FE" w14:textId="6738B55D" w:rsidR="00873702" w:rsidRPr="00456549" w:rsidRDefault="00873702" w:rsidP="004369DF">
      <w:pPr>
        <w:pStyle w:val="BodyText2"/>
        <w:rPr>
          <w:rFonts w:eastAsia="Times New Roman"/>
        </w:rPr>
      </w:pPr>
      <w:r w:rsidRPr="00456549">
        <w:rPr>
          <w:rFonts w:eastAsia="Times New Roman"/>
        </w:rPr>
        <w:t>10 CFR 73.77, “Cyber security event notifications”</w:t>
      </w:r>
    </w:p>
    <w:p w14:paraId="6F57832C" w14:textId="3B239708" w:rsidR="00D47E44" w:rsidRPr="00456549" w:rsidRDefault="00D47E44" w:rsidP="004369DF">
      <w:pPr>
        <w:pStyle w:val="BodyText2"/>
        <w:rPr>
          <w:rFonts w:eastAsia="Times New Roman"/>
        </w:rPr>
      </w:pPr>
      <w:r w:rsidRPr="00456549">
        <w:rPr>
          <w:rFonts w:eastAsia="Times New Roman"/>
          <w:spacing w:val="-2"/>
        </w:rPr>
        <w:lastRenderedPageBreak/>
        <w:t>Regulatory</w:t>
      </w:r>
      <w:r w:rsidRPr="00456549">
        <w:rPr>
          <w:rFonts w:eastAsia="Times New Roman"/>
          <w:spacing w:val="-5"/>
        </w:rPr>
        <w:t xml:space="preserve"> </w:t>
      </w:r>
      <w:r w:rsidRPr="00456549">
        <w:rPr>
          <w:rFonts w:eastAsia="Times New Roman"/>
          <w:spacing w:val="-2"/>
        </w:rPr>
        <w:t>Guide</w:t>
      </w:r>
      <w:r w:rsidRPr="00456549">
        <w:rPr>
          <w:rFonts w:eastAsia="Times New Roman"/>
          <w:spacing w:val="-5"/>
        </w:rPr>
        <w:t xml:space="preserve"> </w:t>
      </w:r>
      <w:r w:rsidRPr="00456549">
        <w:rPr>
          <w:rFonts w:eastAsia="Times New Roman"/>
          <w:spacing w:val="-2"/>
        </w:rPr>
        <w:t>5.71,</w:t>
      </w:r>
      <w:r w:rsidRPr="00456549">
        <w:rPr>
          <w:rFonts w:eastAsia="Times New Roman"/>
          <w:spacing w:val="-5"/>
        </w:rPr>
        <w:t xml:space="preserve"> </w:t>
      </w:r>
      <w:r w:rsidRPr="00456549">
        <w:rPr>
          <w:rFonts w:eastAsia="Times New Roman"/>
          <w:spacing w:val="-2"/>
        </w:rPr>
        <w:t>“Cybersecurity</w:t>
      </w:r>
      <w:r w:rsidRPr="00456549">
        <w:rPr>
          <w:rFonts w:eastAsia="Times New Roman"/>
          <w:spacing w:val="-6"/>
        </w:rPr>
        <w:t xml:space="preserve"> </w:t>
      </w:r>
      <w:r w:rsidRPr="00456549">
        <w:rPr>
          <w:rFonts w:eastAsia="Times New Roman"/>
          <w:spacing w:val="-2"/>
        </w:rPr>
        <w:t>Programs</w:t>
      </w:r>
      <w:r w:rsidRPr="00456549">
        <w:rPr>
          <w:rFonts w:eastAsia="Times New Roman"/>
          <w:spacing w:val="-5"/>
        </w:rPr>
        <w:t xml:space="preserve"> </w:t>
      </w:r>
      <w:r w:rsidRPr="00456549">
        <w:rPr>
          <w:rFonts w:eastAsia="Times New Roman"/>
          <w:spacing w:val="-2"/>
        </w:rPr>
        <w:t>for Nuclear</w:t>
      </w:r>
      <w:r w:rsidRPr="00456549">
        <w:rPr>
          <w:rFonts w:eastAsia="Times New Roman"/>
          <w:spacing w:val="-6"/>
        </w:rPr>
        <w:t xml:space="preserve"> </w:t>
      </w:r>
      <w:r w:rsidRPr="00456549">
        <w:rPr>
          <w:rFonts w:eastAsia="Times New Roman"/>
          <w:spacing w:val="-2"/>
        </w:rPr>
        <w:t xml:space="preserve">Facilities” </w:t>
      </w:r>
      <w:r w:rsidRPr="00456549">
        <w:rPr>
          <w:rFonts w:eastAsia="Times New Roman"/>
        </w:rPr>
        <w:t>(ML</w:t>
      </w:r>
      <w:r w:rsidR="008261AB" w:rsidRPr="00456549">
        <w:rPr>
          <w:rFonts w:eastAsia="Times New Roman"/>
        </w:rPr>
        <w:t>090340159) (</w:t>
      </w:r>
      <w:r w:rsidRPr="00456549">
        <w:rPr>
          <w:rFonts w:eastAsia="Times New Roman"/>
        </w:rPr>
        <w:t>Package ML090340152)</w:t>
      </w:r>
    </w:p>
    <w:p w14:paraId="1A88E04B" w14:textId="3332CC14" w:rsidR="00D47E44" w:rsidRPr="00456549" w:rsidRDefault="00D47E44" w:rsidP="004369DF">
      <w:pPr>
        <w:pStyle w:val="BodyText2"/>
        <w:rPr>
          <w:rFonts w:eastAsia="Times New Roman"/>
        </w:rPr>
      </w:pPr>
      <w:r w:rsidRPr="00456549">
        <w:rPr>
          <w:rFonts w:eastAsia="Times New Roman"/>
        </w:rPr>
        <w:t>CYBERSECURITY:</w:t>
      </w:r>
      <w:r w:rsidRPr="00456549">
        <w:rPr>
          <w:rFonts w:eastAsia="Times New Roman"/>
          <w:spacing w:val="-4"/>
        </w:rPr>
        <w:t xml:space="preserve"> </w:t>
      </w:r>
      <w:r w:rsidRPr="00456549">
        <w:rPr>
          <w:rFonts w:eastAsia="Times New Roman"/>
        </w:rPr>
        <w:t>Guidance</w:t>
      </w:r>
      <w:r w:rsidRPr="00456549">
        <w:rPr>
          <w:rFonts w:eastAsia="Times New Roman"/>
          <w:spacing w:val="-4"/>
        </w:rPr>
        <w:t xml:space="preserve"> </w:t>
      </w:r>
      <w:r w:rsidRPr="00456549">
        <w:rPr>
          <w:rFonts w:eastAsia="Times New Roman"/>
        </w:rPr>
        <w:t>Document</w:t>
      </w:r>
      <w:r w:rsidRPr="00456549">
        <w:rPr>
          <w:rFonts w:eastAsia="Times New Roman"/>
          <w:spacing w:val="-4"/>
        </w:rPr>
        <w:t xml:space="preserve"> </w:t>
      </w:r>
      <w:r w:rsidRPr="00456549">
        <w:rPr>
          <w:rFonts w:eastAsia="Times New Roman"/>
        </w:rPr>
        <w:t>for</w:t>
      </w:r>
      <w:r w:rsidRPr="00456549">
        <w:rPr>
          <w:rFonts w:eastAsia="Times New Roman"/>
          <w:spacing w:val="-4"/>
        </w:rPr>
        <w:t xml:space="preserve"> </w:t>
      </w:r>
      <w:r w:rsidRPr="00456549">
        <w:rPr>
          <w:rFonts w:eastAsia="Times New Roman"/>
        </w:rPr>
        <w:t>Development</w:t>
      </w:r>
      <w:r w:rsidRPr="00456549">
        <w:rPr>
          <w:rFonts w:eastAsia="Times New Roman"/>
          <w:spacing w:val="-4"/>
        </w:rPr>
        <w:t xml:space="preserve"> </w:t>
      </w:r>
      <w:r w:rsidRPr="00456549">
        <w:rPr>
          <w:rFonts w:eastAsia="Times New Roman"/>
        </w:rPr>
        <w:t>of</w:t>
      </w:r>
      <w:r w:rsidRPr="00456549">
        <w:rPr>
          <w:rFonts w:eastAsia="Times New Roman"/>
          <w:spacing w:val="-4"/>
        </w:rPr>
        <w:t xml:space="preserve"> </w:t>
      </w:r>
      <w:r w:rsidRPr="00456549">
        <w:rPr>
          <w:rFonts w:eastAsia="Times New Roman"/>
        </w:rPr>
        <w:t>the</w:t>
      </w:r>
      <w:r w:rsidRPr="00456549">
        <w:rPr>
          <w:rFonts w:eastAsia="Times New Roman"/>
          <w:spacing w:val="-4"/>
        </w:rPr>
        <w:t xml:space="preserve"> </w:t>
      </w:r>
      <w:r w:rsidRPr="00456549">
        <w:rPr>
          <w:rFonts w:eastAsia="Times New Roman"/>
        </w:rPr>
        <w:t>Request</w:t>
      </w:r>
      <w:r w:rsidRPr="00456549">
        <w:rPr>
          <w:rFonts w:eastAsia="Times New Roman"/>
          <w:spacing w:val="-4"/>
        </w:rPr>
        <w:t xml:space="preserve"> </w:t>
      </w:r>
      <w:r w:rsidRPr="00456549">
        <w:rPr>
          <w:rFonts w:eastAsia="Times New Roman"/>
        </w:rPr>
        <w:t>for</w:t>
      </w:r>
      <w:r w:rsidRPr="00456549">
        <w:rPr>
          <w:rFonts w:eastAsia="Times New Roman"/>
          <w:spacing w:val="-4"/>
        </w:rPr>
        <w:t xml:space="preserve"> </w:t>
      </w:r>
      <w:r w:rsidRPr="00456549">
        <w:rPr>
          <w:rFonts w:eastAsia="Times New Roman"/>
        </w:rPr>
        <w:t>Information</w:t>
      </w:r>
      <w:r w:rsidRPr="00456549">
        <w:rPr>
          <w:rFonts w:eastAsia="Times New Roman"/>
          <w:spacing w:val="-4"/>
        </w:rPr>
        <w:t xml:space="preserve"> </w:t>
      </w:r>
      <w:r w:rsidRPr="00456549">
        <w:rPr>
          <w:rFonts w:eastAsia="Times New Roman"/>
        </w:rPr>
        <w:t>(RFI) and Notification Letter for Full Implementation of the Cybersecurity Inspection (</w:t>
      </w:r>
      <w:r w:rsidR="00D53DDF" w:rsidRPr="00456549">
        <w:rPr>
          <w:rFonts w:eastAsia="Times New Roman"/>
        </w:rPr>
        <w:t>ML21330A088</w:t>
      </w:r>
      <w:r w:rsidRPr="00456549">
        <w:rPr>
          <w:rFonts w:eastAsia="Times New Roman"/>
        </w:rPr>
        <w:t>)</w:t>
      </w:r>
    </w:p>
    <w:p w14:paraId="10115AD7" w14:textId="77777777" w:rsidR="00D47E44" w:rsidRPr="00456549" w:rsidRDefault="00D47E44" w:rsidP="004369DF">
      <w:pPr>
        <w:pStyle w:val="BodyText2"/>
        <w:rPr>
          <w:rFonts w:eastAsia="Times New Roman"/>
          <w:spacing w:val="-4"/>
        </w:rPr>
      </w:pPr>
      <w:r w:rsidRPr="00456549">
        <w:rPr>
          <w:rFonts w:eastAsia="Times New Roman"/>
        </w:rPr>
        <w:t>Site’s NRC approved</w:t>
      </w:r>
      <w:r w:rsidRPr="00456549">
        <w:rPr>
          <w:rFonts w:eastAsia="Times New Roman"/>
          <w:spacing w:val="-10"/>
        </w:rPr>
        <w:t xml:space="preserve"> </w:t>
      </w:r>
      <w:r w:rsidRPr="00456549">
        <w:rPr>
          <w:rFonts w:eastAsia="Times New Roman"/>
        </w:rPr>
        <w:t>Cybersecurity</w:t>
      </w:r>
      <w:r w:rsidRPr="00456549">
        <w:rPr>
          <w:rFonts w:eastAsia="Times New Roman"/>
          <w:spacing w:val="-10"/>
        </w:rPr>
        <w:t xml:space="preserve"> </w:t>
      </w:r>
      <w:r w:rsidRPr="00456549">
        <w:rPr>
          <w:rFonts w:eastAsia="Times New Roman"/>
          <w:spacing w:val="-4"/>
        </w:rPr>
        <w:t>Plan</w:t>
      </w:r>
    </w:p>
    <w:p w14:paraId="04D6A96C" w14:textId="77777777" w:rsidR="00D47E44" w:rsidRPr="00456549" w:rsidRDefault="00D47E44" w:rsidP="004369DF">
      <w:pPr>
        <w:pStyle w:val="BodyText2"/>
        <w:rPr>
          <w:rFonts w:eastAsia="Times New Roman"/>
          <w:spacing w:val="-2"/>
        </w:rPr>
      </w:pPr>
      <w:r w:rsidRPr="00456549">
        <w:rPr>
          <w:rFonts w:eastAsia="Times New Roman"/>
        </w:rPr>
        <w:t>NEI 08-09, “Cybersecurity Plan for Nuclear Power</w:t>
      </w:r>
      <w:r w:rsidRPr="00456549">
        <w:rPr>
          <w:rFonts w:eastAsia="Times New Roman"/>
          <w:spacing w:val="-1"/>
        </w:rPr>
        <w:t xml:space="preserve"> </w:t>
      </w:r>
      <w:r w:rsidRPr="00456549">
        <w:rPr>
          <w:rFonts w:eastAsia="Times New Roman"/>
        </w:rPr>
        <w:t xml:space="preserve">Reactors,” Revision 6, (ML101180437); </w:t>
      </w:r>
      <w:r w:rsidRPr="00456549">
        <w:rPr>
          <w:rFonts w:eastAsia="Times New Roman"/>
          <w:spacing w:val="-2"/>
        </w:rPr>
        <w:t>Addendum</w:t>
      </w:r>
      <w:r w:rsidRPr="00456549">
        <w:rPr>
          <w:rFonts w:eastAsia="Times New Roman"/>
          <w:spacing w:val="-10"/>
        </w:rPr>
        <w:t xml:space="preserve"> </w:t>
      </w:r>
      <w:r w:rsidRPr="00456549">
        <w:rPr>
          <w:rFonts w:eastAsia="Times New Roman"/>
          <w:spacing w:val="-2"/>
        </w:rPr>
        <w:t>1</w:t>
      </w:r>
      <w:r w:rsidRPr="00456549">
        <w:rPr>
          <w:rFonts w:eastAsia="Times New Roman"/>
          <w:spacing w:val="-12"/>
        </w:rPr>
        <w:t xml:space="preserve"> </w:t>
      </w:r>
      <w:r w:rsidRPr="00456549">
        <w:rPr>
          <w:rFonts w:eastAsia="Times New Roman"/>
          <w:spacing w:val="-2"/>
        </w:rPr>
        <w:t>(ML17079A379);</w:t>
      </w:r>
      <w:r w:rsidRPr="00456549">
        <w:rPr>
          <w:rFonts w:eastAsia="Times New Roman"/>
          <w:spacing w:val="-8"/>
        </w:rPr>
        <w:t xml:space="preserve"> </w:t>
      </w:r>
      <w:r w:rsidRPr="00456549">
        <w:rPr>
          <w:rFonts w:eastAsia="Times New Roman"/>
          <w:spacing w:val="-2"/>
        </w:rPr>
        <w:t>Addendum</w:t>
      </w:r>
      <w:r w:rsidRPr="00456549">
        <w:rPr>
          <w:rFonts w:eastAsia="Times New Roman"/>
          <w:spacing w:val="-12"/>
        </w:rPr>
        <w:t xml:space="preserve"> </w:t>
      </w:r>
      <w:r w:rsidRPr="00456549">
        <w:rPr>
          <w:rFonts w:eastAsia="Times New Roman"/>
          <w:spacing w:val="-2"/>
        </w:rPr>
        <w:t>2</w:t>
      </w:r>
      <w:r w:rsidRPr="00456549">
        <w:rPr>
          <w:rFonts w:eastAsia="Times New Roman"/>
          <w:spacing w:val="-8"/>
        </w:rPr>
        <w:t xml:space="preserve"> </w:t>
      </w:r>
      <w:r w:rsidRPr="00456549">
        <w:rPr>
          <w:rFonts w:eastAsia="Times New Roman"/>
          <w:spacing w:val="-2"/>
        </w:rPr>
        <w:t>(ML17212A634);</w:t>
      </w:r>
      <w:r w:rsidRPr="00456549">
        <w:rPr>
          <w:rFonts w:eastAsia="Times New Roman"/>
          <w:spacing w:val="-11"/>
        </w:rPr>
        <w:t xml:space="preserve"> </w:t>
      </w:r>
      <w:r w:rsidRPr="00456549">
        <w:rPr>
          <w:rFonts w:eastAsia="Times New Roman"/>
          <w:spacing w:val="-2"/>
        </w:rPr>
        <w:t>Addendum</w:t>
      </w:r>
      <w:r w:rsidRPr="00456549">
        <w:rPr>
          <w:rFonts w:eastAsia="Times New Roman"/>
          <w:spacing w:val="-9"/>
        </w:rPr>
        <w:t xml:space="preserve"> </w:t>
      </w:r>
      <w:r w:rsidRPr="00456549">
        <w:rPr>
          <w:rFonts w:eastAsia="Times New Roman"/>
          <w:spacing w:val="-2"/>
        </w:rPr>
        <w:t>3</w:t>
      </w:r>
      <w:r w:rsidRPr="00456549">
        <w:rPr>
          <w:rFonts w:eastAsia="Times New Roman"/>
          <w:spacing w:val="-12"/>
        </w:rPr>
        <w:t xml:space="preserve"> </w:t>
      </w:r>
      <w:r w:rsidRPr="00456549">
        <w:rPr>
          <w:rFonts w:eastAsia="Times New Roman"/>
          <w:spacing w:val="-2"/>
        </w:rPr>
        <w:t>(ML17237C076);</w:t>
      </w:r>
    </w:p>
    <w:p w14:paraId="3A2E5A5E" w14:textId="77777777" w:rsidR="00D47E44" w:rsidRPr="00456549" w:rsidRDefault="00D47E44" w:rsidP="004369DF">
      <w:pPr>
        <w:pStyle w:val="BodyText2"/>
        <w:rPr>
          <w:rFonts w:eastAsia="Times New Roman"/>
          <w:spacing w:val="-2"/>
        </w:rPr>
      </w:pPr>
      <w:r w:rsidRPr="00456549">
        <w:rPr>
          <w:rFonts w:eastAsia="Times New Roman"/>
          <w:spacing w:val="-2"/>
        </w:rPr>
        <w:t>Addendum</w:t>
      </w:r>
      <w:r w:rsidRPr="00456549">
        <w:rPr>
          <w:rFonts w:eastAsia="Times New Roman"/>
          <w:spacing w:val="-9"/>
        </w:rPr>
        <w:t xml:space="preserve"> </w:t>
      </w:r>
      <w:r w:rsidRPr="00456549">
        <w:rPr>
          <w:rFonts w:eastAsia="Times New Roman"/>
          <w:spacing w:val="-2"/>
        </w:rPr>
        <w:t>4,</w:t>
      </w:r>
      <w:r w:rsidRPr="00456549">
        <w:rPr>
          <w:rFonts w:eastAsia="Times New Roman"/>
          <w:spacing w:val="-10"/>
        </w:rPr>
        <w:t xml:space="preserve"> </w:t>
      </w:r>
      <w:r w:rsidRPr="00456549">
        <w:rPr>
          <w:rFonts w:eastAsia="Times New Roman"/>
          <w:spacing w:val="-2"/>
        </w:rPr>
        <w:t>(ML17212A635),</w:t>
      </w:r>
      <w:r w:rsidRPr="00456549">
        <w:rPr>
          <w:rFonts w:eastAsia="Times New Roman"/>
          <w:spacing w:val="-8"/>
        </w:rPr>
        <w:t xml:space="preserve"> </w:t>
      </w:r>
      <w:r w:rsidRPr="00456549">
        <w:rPr>
          <w:rFonts w:eastAsia="Times New Roman"/>
          <w:spacing w:val="-2"/>
        </w:rPr>
        <w:t>Addendum</w:t>
      </w:r>
      <w:r w:rsidRPr="00456549">
        <w:rPr>
          <w:rFonts w:eastAsia="Times New Roman"/>
          <w:spacing w:val="-10"/>
        </w:rPr>
        <w:t xml:space="preserve"> </w:t>
      </w:r>
      <w:r w:rsidRPr="00456549">
        <w:rPr>
          <w:rFonts w:eastAsia="Times New Roman"/>
          <w:spacing w:val="-2"/>
        </w:rPr>
        <w:t>5</w:t>
      </w:r>
      <w:r w:rsidRPr="00456549">
        <w:rPr>
          <w:rFonts w:eastAsia="Times New Roman"/>
          <w:spacing w:val="-8"/>
        </w:rPr>
        <w:t xml:space="preserve"> </w:t>
      </w:r>
      <w:r w:rsidRPr="00456549">
        <w:rPr>
          <w:rFonts w:eastAsia="Times New Roman"/>
          <w:spacing w:val="-2"/>
        </w:rPr>
        <w:t>(ML18226A007),</w:t>
      </w:r>
      <w:r w:rsidRPr="00456549">
        <w:rPr>
          <w:rFonts w:eastAsia="Times New Roman"/>
          <w:spacing w:val="-8"/>
        </w:rPr>
        <w:t xml:space="preserve"> </w:t>
      </w:r>
      <w:r w:rsidRPr="00456549">
        <w:rPr>
          <w:rFonts w:eastAsia="Times New Roman"/>
          <w:spacing w:val="-2"/>
        </w:rPr>
        <w:t>Addendum</w:t>
      </w:r>
      <w:r w:rsidRPr="00456549">
        <w:rPr>
          <w:rFonts w:eastAsia="Times New Roman"/>
          <w:spacing w:val="-9"/>
        </w:rPr>
        <w:t xml:space="preserve"> </w:t>
      </w:r>
      <w:r w:rsidRPr="00456549">
        <w:rPr>
          <w:rFonts w:eastAsia="Times New Roman"/>
          <w:spacing w:val="-2"/>
        </w:rPr>
        <w:t>7</w:t>
      </w:r>
      <w:r w:rsidRPr="00456549">
        <w:rPr>
          <w:rFonts w:eastAsia="Times New Roman"/>
          <w:spacing w:val="-8"/>
        </w:rPr>
        <w:t xml:space="preserve"> </w:t>
      </w:r>
      <w:r w:rsidRPr="00456549">
        <w:rPr>
          <w:rFonts w:eastAsia="Times New Roman"/>
          <w:spacing w:val="-2"/>
        </w:rPr>
        <w:t>(ML18348B211)</w:t>
      </w:r>
    </w:p>
    <w:p w14:paraId="1F4DA297" w14:textId="77777777" w:rsidR="00D47E44" w:rsidRPr="00456549" w:rsidRDefault="00D47E44" w:rsidP="004369DF">
      <w:pPr>
        <w:pStyle w:val="BodyText2"/>
        <w:rPr>
          <w:rFonts w:eastAsia="Times New Roman"/>
          <w:spacing w:val="-2"/>
        </w:rPr>
      </w:pPr>
      <w:r w:rsidRPr="00456549">
        <w:rPr>
          <w:rFonts w:eastAsia="Times New Roman"/>
        </w:rPr>
        <w:t>NEI</w:t>
      </w:r>
      <w:r w:rsidRPr="00456549">
        <w:rPr>
          <w:rFonts w:eastAsia="Times New Roman"/>
          <w:spacing w:val="-4"/>
        </w:rPr>
        <w:t xml:space="preserve"> </w:t>
      </w:r>
      <w:r w:rsidRPr="00456549">
        <w:rPr>
          <w:rFonts w:eastAsia="Times New Roman"/>
        </w:rPr>
        <w:t>10-04,</w:t>
      </w:r>
      <w:r w:rsidRPr="00456549">
        <w:rPr>
          <w:rFonts w:eastAsia="Times New Roman"/>
          <w:spacing w:val="-4"/>
        </w:rPr>
        <w:t xml:space="preserve"> </w:t>
      </w:r>
      <w:r w:rsidRPr="00456549">
        <w:rPr>
          <w:rFonts w:eastAsia="Times New Roman"/>
        </w:rPr>
        <w:t>“Identifying</w:t>
      </w:r>
      <w:r w:rsidRPr="00456549">
        <w:rPr>
          <w:rFonts w:eastAsia="Times New Roman"/>
          <w:spacing w:val="-4"/>
        </w:rPr>
        <w:t xml:space="preserve"> </w:t>
      </w:r>
      <w:r w:rsidRPr="00456549">
        <w:rPr>
          <w:rFonts w:eastAsia="Times New Roman"/>
        </w:rPr>
        <w:t>Systems</w:t>
      </w:r>
      <w:r w:rsidRPr="00456549">
        <w:rPr>
          <w:rFonts w:eastAsia="Times New Roman"/>
          <w:spacing w:val="-4"/>
        </w:rPr>
        <w:t xml:space="preserve"> </w:t>
      </w:r>
      <w:r w:rsidRPr="00456549">
        <w:rPr>
          <w:rFonts w:eastAsia="Times New Roman"/>
        </w:rPr>
        <w:t>and</w:t>
      </w:r>
      <w:r w:rsidRPr="00456549">
        <w:rPr>
          <w:rFonts w:eastAsia="Times New Roman"/>
          <w:spacing w:val="-4"/>
        </w:rPr>
        <w:t xml:space="preserve"> </w:t>
      </w:r>
      <w:r w:rsidRPr="00456549">
        <w:rPr>
          <w:rFonts w:eastAsia="Times New Roman"/>
        </w:rPr>
        <w:t>Assets</w:t>
      </w:r>
      <w:r w:rsidRPr="00456549">
        <w:rPr>
          <w:rFonts w:eastAsia="Times New Roman"/>
          <w:spacing w:val="-4"/>
        </w:rPr>
        <w:t xml:space="preserve"> </w:t>
      </w:r>
      <w:r w:rsidRPr="00456549">
        <w:rPr>
          <w:rFonts w:eastAsia="Times New Roman"/>
        </w:rPr>
        <w:t>Subject</w:t>
      </w:r>
      <w:r w:rsidRPr="00456549">
        <w:rPr>
          <w:rFonts w:eastAsia="Times New Roman"/>
          <w:spacing w:val="-4"/>
        </w:rPr>
        <w:t xml:space="preserve"> </w:t>
      </w:r>
      <w:r w:rsidRPr="00456549">
        <w:rPr>
          <w:rFonts w:eastAsia="Times New Roman"/>
        </w:rPr>
        <w:t>to</w:t>
      </w:r>
      <w:r w:rsidRPr="00456549">
        <w:rPr>
          <w:rFonts w:eastAsia="Times New Roman"/>
          <w:spacing w:val="-4"/>
        </w:rPr>
        <w:t xml:space="preserve"> </w:t>
      </w:r>
      <w:r w:rsidRPr="00456549">
        <w:rPr>
          <w:rFonts w:eastAsia="Times New Roman"/>
        </w:rPr>
        <w:t>the</w:t>
      </w:r>
      <w:r w:rsidRPr="00456549">
        <w:rPr>
          <w:rFonts w:eastAsia="Times New Roman"/>
          <w:spacing w:val="-4"/>
        </w:rPr>
        <w:t xml:space="preserve"> </w:t>
      </w:r>
      <w:r w:rsidRPr="00456549">
        <w:rPr>
          <w:rFonts w:eastAsia="Times New Roman"/>
        </w:rPr>
        <w:t>Cybersecurity</w:t>
      </w:r>
      <w:r w:rsidRPr="00456549">
        <w:rPr>
          <w:rFonts w:eastAsia="Times New Roman"/>
          <w:spacing w:val="-4"/>
        </w:rPr>
        <w:t xml:space="preserve"> </w:t>
      </w:r>
      <w:r w:rsidRPr="00456549">
        <w:rPr>
          <w:rFonts w:eastAsia="Times New Roman"/>
        </w:rPr>
        <w:t>Rule,”</w:t>
      </w:r>
      <w:r w:rsidRPr="00456549">
        <w:rPr>
          <w:rFonts w:eastAsia="Times New Roman"/>
          <w:spacing w:val="-4"/>
        </w:rPr>
        <w:t xml:space="preserve"> </w:t>
      </w:r>
      <w:r w:rsidRPr="00456549">
        <w:rPr>
          <w:rFonts w:eastAsia="Times New Roman"/>
        </w:rPr>
        <w:t>Revision</w:t>
      </w:r>
      <w:r w:rsidRPr="00456549">
        <w:rPr>
          <w:rFonts w:eastAsia="Times New Roman"/>
          <w:spacing w:val="-4"/>
        </w:rPr>
        <w:t xml:space="preserve"> </w:t>
      </w:r>
      <w:r w:rsidRPr="00456549">
        <w:rPr>
          <w:rFonts w:eastAsia="Times New Roman"/>
        </w:rPr>
        <w:t xml:space="preserve">2, and NRC Letter acknowledging NEI 10-04 to be acceptable for use with exceptions </w:t>
      </w:r>
      <w:r w:rsidRPr="00456549">
        <w:rPr>
          <w:rFonts w:eastAsia="Times New Roman"/>
          <w:spacing w:val="-2"/>
        </w:rPr>
        <w:t>(ML12180A081)</w:t>
      </w:r>
    </w:p>
    <w:p w14:paraId="7956D4A4" w14:textId="0710C06B" w:rsidR="00D47E44" w:rsidRPr="00456549" w:rsidRDefault="00D47E44" w:rsidP="004369DF">
      <w:pPr>
        <w:pStyle w:val="BodyText2"/>
        <w:rPr>
          <w:rFonts w:eastAsia="Times New Roman"/>
          <w:spacing w:val="-2"/>
        </w:rPr>
      </w:pPr>
      <w:r w:rsidRPr="00456549">
        <w:rPr>
          <w:rFonts w:eastAsia="Times New Roman"/>
        </w:rPr>
        <w:t>NEI</w:t>
      </w:r>
      <w:r w:rsidRPr="00456549">
        <w:rPr>
          <w:rFonts w:eastAsia="Times New Roman"/>
          <w:spacing w:val="-12"/>
        </w:rPr>
        <w:t xml:space="preserve"> </w:t>
      </w:r>
      <w:r w:rsidRPr="00456549">
        <w:rPr>
          <w:rFonts w:eastAsia="Times New Roman"/>
        </w:rPr>
        <w:t>13-10,</w:t>
      </w:r>
      <w:r w:rsidRPr="00456549">
        <w:rPr>
          <w:rFonts w:eastAsia="Times New Roman"/>
          <w:spacing w:val="-12"/>
        </w:rPr>
        <w:t xml:space="preserve"> </w:t>
      </w:r>
      <w:r w:rsidRPr="00456549">
        <w:rPr>
          <w:rFonts w:eastAsia="Times New Roman"/>
        </w:rPr>
        <w:t>“Cybersecurity</w:t>
      </w:r>
      <w:r w:rsidRPr="00456549">
        <w:rPr>
          <w:rFonts w:eastAsia="Times New Roman"/>
          <w:spacing w:val="-12"/>
        </w:rPr>
        <w:t xml:space="preserve"> </w:t>
      </w:r>
      <w:r w:rsidRPr="00456549">
        <w:rPr>
          <w:rFonts w:eastAsia="Times New Roman"/>
        </w:rPr>
        <w:t>Control</w:t>
      </w:r>
      <w:r w:rsidRPr="00456549">
        <w:rPr>
          <w:rFonts w:eastAsia="Times New Roman"/>
          <w:spacing w:val="-12"/>
        </w:rPr>
        <w:t xml:space="preserve"> </w:t>
      </w:r>
      <w:r w:rsidRPr="00456549">
        <w:rPr>
          <w:rFonts w:eastAsia="Times New Roman"/>
        </w:rPr>
        <w:t>Assessments,”</w:t>
      </w:r>
      <w:r w:rsidRPr="00456549">
        <w:rPr>
          <w:rFonts w:eastAsia="Times New Roman"/>
          <w:spacing w:val="-12"/>
        </w:rPr>
        <w:t xml:space="preserve"> </w:t>
      </w:r>
      <w:r w:rsidRPr="00456549">
        <w:rPr>
          <w:rFonts w:eastAsia="Times New Roman"/>
        </w:rPr>
        <w:t>(Revision</w:t>
      </w:r>
      <w:r w:rsidRPr="00456549">
        <w:rPr>
          <w:rFonts w:eastAsia="Times New Roman"/>
          <w:spacing w:val="-12"/>
        </w:rPr>
        <w:t xml:space="preserve"> </w:t>
      </w:r>
      <w:r w:rsidRPr="00456549">
        <w:rPr>
          <w:rFonts w:eastAsia="Times New Roman"/>
        </w:rPr>
        <w:t>6,</w:t>
      </w:r>
      <w:r w:rsidRPr="00456549">
        <w:rPr>
          <w:rFonts w:eastAsia="Times New Roman"/>
          <w:spacing w:val="-12"/>
        </w:rPr>
        <w:t xml:space="preserve"> </w:t>
      </w:r>
      <w:r w:rsidRPr="00456549">
        <w:rPr>
          <w:rFonts w:eastAsia="Times New Roman"/>
        </w:rPr>
        <w:t>ML17234A615);</w:t>
      </w:r>
      <w:r w:rsidRPr="00456549">
        <w:rPr>
          <w:rFonts w:eastAsia="Times New Roman"/>
          <w:spacing w:val="-16"/>
        </w:rPr>
        <w:t xml:space="preserve"> </w:t>
      </w:r>
      <w:r w:rsidRPr="00456549">
        <w:rPr>
          <w:rFonts w:eastAsia="Times New Roman"/>
        </w:rPr>
        <w:t>(Revision</w:t>
      </w:r>
      <w:r w:rsidRPr="00456549">
        <w:rPr>
          <w:rFonts w:eastAsia="Times New Roman"/>
          <w:spacing w:val="-15"/>
        </w:rPr>
        <w:t xml:space="preserve"> </w:t>
      </w:r>
      <w:r w:rsidRPr="00456549">
        <w:rPr>
          <w:rFonts w:eastAsia="Times New Roman"/>
        </w:rPr>
        <w:t>5, ML17046A658);</w:t>
      </w:r>
      <w:r w:rsidRPr="00456549">
        <w:rPr>
          <w:rFonts w:eastAsia="Times New Roman"/>
          <w:spacing w:val="-13"/>
        </w:rPr>
        <w:t xml:space="preserve"> </w:t>
      </w:r>
      <w:r w:rsidRPr="00456549">
        <w:rPr>
          <w:rFonts w:eastAsia="Times New Roman"/>
        </w:rPr>
        <w:t>(Revision</w:t>
      </w:r>
      <w:r w:rsidRPr="00456549">
        <w:rPr>
          <w:rFonts w:eastAsia="Times New Roman"/>
          <w:spacing w:val="-14"/>
        </w:rPr>
        <w:t xml:space="preserve"> </w:t>
      </w:r>
      <w:r w:rsidRPr="00456549">
        <w:rPr>
          <w:rFonts w:eastAsia="Times New Roman"/>
        </w:rPr>
        <w:t>4,</w:t>
      </w:r>
      <w:r w:rsidRPr="00456549">
        <w:rPr>
          <w:rFonts w:eastAsia="Times New Roman"/>
          <w:spacing w:val="-7"/>
        </w:rPr>
        <w:t xml:space="preserve"> </w:t>
      </w:r>
      <w:r w:rsidRPr="00456549">
        <w:rPr>
          <w:rFonts w:eastAsia="Times New Roman"/>
        </w:rPr>
        <w:t>ML15338A276);</w:t>
      </w:r>
      <w:r w:rsidRPr="00456549">
        <w:rPr>
          <w:rFonts w:eastAsia="Times New Roman"/>
          <w:spacing w:val="-13"/>
        </w:rPr>
        <w:t xml:space="preserve"> </w:t>
      </w:r>
      <w:r w:rsidRPr="00456549">
        <w:rPr>
          <w:rFonts w:eastAsia="Times New Roman"/>
        </w:rPr>
        <w:t>(Revision</w:t>
      </w:r>
      <w:r w:rsidRPr="00456549">
        <w:rPr>
          <w:rFonts w:eastAsia="Times New Roman"/>
          <w:spacing w:val="-14"/>
        </w:rPr>
        <w:t xml:space="preserve"> </w:t>
      </w:r>
      <w:r w:rsidRPr="00456549">
        <w:rPr>
          <w:rFonts w:eastAsia="Times New Roman"/>
        </w:rPr>
        <w:t>3,</w:t>
      </w:r>
      <w:r w:rsidRPr="00456549">
        <w:rPr>
          <w:rFonts w:eastAsia="Times New Roman"/>
          <w:spacing w:val="-7"/>
        </w:rPr>
        <w:t xml:space="preserve"> </w:t>
      </w:r>
      <w:r w:rsidRPr="00456549">
        <w:rPr>
          <w:rFonts w:eastAsia="Times New Roman"/>
        </w:rPr>
        <w:t>ML15247A140);</w:t>
      </w:r>
      <w:r w:rsidR="004369DF">
        <w:rPr>
          <w:rFonts w:eastAsia="Times New Roman"/>
        </w:rPr>
        <w:t xml:space="preserve"> </w:t>
      </w:r>
      <w:r w:rsidRPr="00456549">
        <w:rPr>
          <w:rFonts w:eastAsia="Times New Roman"/>
        </w:rPr>
        <w:t>(Revision</w:t>
      </w:r>
      <w:r w:rsidRPr="00456549">
        <w:rPr>
          <w:rFonts w:eastAsia="Times New Roman"/>
          <w:spacing w:val="-10"/>
        </w:rPr>
        <w:t xml:space="preserve"> </w:t>
      </w:r>
      <w:r w:rsidRPr="00456549">
        <w:rPr>
          <w:rFonts w:eastAsia="Times New Roman"/>
        </w:rPr>
        <w:t>2,</w:t>
      </w:r>
      <w:r w:rsidRPr="00456549">
        <w:rPr>
          <w:rFonts w:eastAsia="Times New Roman"/>
          <w:spacing w:val="-9"/>
        </w:rPr>
        <w:t xml:space="preserve"> </w:t>
      </w:r>
      <w:r w:rsidRPr="00456549">
        <w:rPr>
          <w:rFonts w:eastAsia="Times New Roman"/>
        </w:rPr>
        <w:t>ML14351A288);</w:t>
      </w:r>
      <w:r w:rsidRPr="00456549">
        <w:rPr>
          <w:rFonts w:eastAsia="Times New Roman"/>
          <w:spacing w:val="-10"/>
        </w:rPr>
        <w:t xml:space="preserve"> </w:t>
      </w:r>
      <w:r w:rsidRPr="00456549">
        <w:rPr>
          <w:rFonts w:eastAsia="Times New Roman"/>
        </w:rPr>
        <w:t>(Revision</w:t>
      </w:r>
      <w:r w:rsidRPr="00456549">
        <w:rPr>
          <w:rFonts w:eastAsia="Times New Roman"/>
          <w:spacing w:val="-9"/>
        </w:rPr>
        <w:t xml:space="preserve"> </w:t>
      </w:r>
      <w:r w:rsidRPr="00456549">
        <w:rPr>
          <w:rFonts w:eastAsia="Times New Roman"/>
        </w:rPr>
        <w:t>1,</w:t>
      </w:r>
      <w:r w:rsidRPr="00456549">
        <w:rPr>
          <w:rFonts w:eastAsia="Times New Roman"/>
          <w:spacing w:val="-9"/>
        </w:rPr>
        <w:t xml:space="preserve"> </w:t>
      </w:r>
      <w:r w:rsidRPr="00456549">
        <w:rPr>
          <w:rFonts w:eastAsia="Times New Roman"/>
        </w:rPr>
        <w:t>ML14279A222);</w:t>
      </w:r>
      <w:r w:rsidRPr="00456549">
        <w:rPr>
          <w:rFonts w:eastAsia="Times New Roman"/>
          <w:spacing w:val="-9"/>
        </w:rPr>
        <w:t xml:space="preserve"> </w:t>
      </w:r>
      <w:r w:rsidRPr="00456549">
        <w:rPr>
          <w:rFonts w:eastAsia="Times New Roman"/>
        </w:rPr>
        <w:t>(Revision</w:t>
      </w:r>
      <w:r w:rsidRPr="00456549">
        <w:rPr>
          <w:rFonts w:eastAsia="Times New Roman"/>
          <w:spacing w:val="-9"/>
        </w:rPr>
        <w:t xml:space="preserve"> </w:t>
      </w:r>
      <w:r w:rsidRPr="00456549">
        <w:rPr>
          <w:rFonts w:eastAsia="Times New Roman"/>
        </w:rPr>
        <w:t>0,</w:t>
      </w:r>
      <w:r w:rsidRPr="00456549">
        <w:rPr>
          <w:rFonts w:eastAsia="Times New Roman"/>
          <w:spacing w:val="-9"/>
        </w:rPr>
        <w:t xml:space="preserve"> </w:t>
      </w:r>
      <w:r w:rsidRPr="00456549">
        <w:rPr>
          <w:rFonts w:eastAsia="Times New Roman"/>
          <w:spacing w:val="-2"/>
        </w:rPr>
        <w:t>ML14034A076)</w:t>
      </w:r>
    </w:p>
    <w:p w14:paraId="13288F2B" w14:textId="77777777" w:rsidR="00D47E44" w:rsidRPr="00456549" w:rsidRDefault="00D47E44" w:rsidP="004369DF">
      <w:pPr>
        <w:pStyle w:val="BodyText2"/>
        <w:rPr>
          <w:rFonts w:eastAsia="Times New Roman"/>
        </w:rPr>
      </w:pPr>
      <w:r w:rsidRPr="00456549">
        <w:rPr>
          <w:rFonts w:eastAsia="Times New Roman"/>
        </w:rPr>
        <w:t>Response</w:t>
      </w:r>
      <w:r w:rsidRPr="00456549">
        <w:rPr>
          <w:rFonts w:eastAsia="Times New Roman"/>
          <w:spacing w:val="-4"/>
        </w:rPr>
        <w:t xml:space="preserve"> </w:t>
      </w:r>
      <w:r w:rsidRPr="00456549">
        <w:rPr>
          <w:rFonts w:eastAsia="Times New Roman"/>
        </w:rPr>
        <w:t>to</w:t>
      </w:r>
      <w:r w:rsidRPr="00456549">
        <w:rPr>
          <w:rFonts w:eastAsia="Times New Roman"/>
          <w:spacing w:val="-4"/>
        </w:rPr>
        <w:t xml:space="preserve"> </w:t>
      </w:r>
      <w:r w:rsidRPr="00456549">
        <w:rPr>
          <w:rFonts w:eastAsia="Times New Roman"/>
        </w:rPr>
        <w:t>NEI</w:t>
      </w:r>
      <w:r w:rsidRPr="00456549">
        <w:rPr>
          <w:rFonts w:eastAsia="Times New Roman"/>
          <w:spacing w:val="-4"/>
        </w:rPr>
        <w:t xml:space="preserve"> </w:t>
      </w:r>
      <w:r w:rsidRPr="00456549">
        <w:rPr>
          <w:rFonts w:eastAsia="Times New Roman"/>
        </w:rPr>
        <w:t>White</w:t>
      </w:r>
      <w:r w:rsidRPr="00456549">
        <w:rPr>
          <w:rFonts w:eastAsia="Times New Roman"/>
          <w:spacing w:val="-4"/>
        </w:rPr>
        <w:t xml:space="preserve"> </w:t>
      </w:r>
      <w:r w:rsidRPr="00456549">
        <w:rPr>
          <w:rFonts w:eastAsia="Times New Roman"/>
        </w:rPr>
        <w:t>Paper,</w:t>
      </w:r>
      <w:r w:rsidRPr="00456549">
        <w:rPr>
          <w:rFonts w:eastAsia="Times New Roman"/>
          <w:spacing w:val="-4"/>
        </w:rPr>
        <w:t xml:space="preserve"> </w:t>
      </w:r>
      <w:r w:rsidRPr="00456549">
        <w:rPr>
          <w:rFonts w:eastAsia="Times New Roman"/>
        </w:rPr>
        <w:t>“Changes</w:t>
      </w:r>
      <w:r w:rsidRPr="00456549">
        <w:rPr>
          <w:rFonts w:eastAsia="Times New Roman"/>
          <w:spacing w:val="-4"/>
        </w:rPr>
        <w:t xml:space="preserve"> </w:t>
      </w:r>
      <w:r w:rsidRPr="00456549">
        <w:rPr>
          <w:rFonts w:eastAsia="Times New Roman"/>
        </w:rPr>
        <w:t>to</w:t>
      </w:r>
      <w:r w:rsidRPr="00456549">
        <w:rPr>
          <w:rFonts w:eastAsia="Times New Roman"/>
          <w:spacing w:val="-4"/>
        </w:rPr>
        <w:t xml:space="preserve"> </w:t>
      </w:r>
      <w:r w:rsidRPr="00456549">
        <w:rPr>
          <w:rFonts w:eastAsia="Times New Roman"/>
        </w:rPr>
        <w:t>NEI</w:t>
      </w:r>
      <w:r w:rsidRPr="00456549">
        <w:rPr>
          <w:rFonts w:eastAsia="Times New Roman"/>
          <w:spacing w:val="-4"/>
        </w:rPr>
        <w:t xml:space="preserve"> </w:t>
      </w:r>
      <w:r w:rsidRPr="00456549">
        <w:rPr>
          <w:rFonts w:eastAsia="Times New Roman"/>
        </w:rPr>
        <w:t>10-04</w:t>
      </w:r>
      <w:r w:rsidRPr="00456549">
        <w:rPr>
          <w:rFonts w:eastAsia="Times New Roman"/>
          <w:spacing w:val="-4"/>
        </w:rPr>
        <w:t xml:space="preserve"> </w:t>
      </w:r>
      <w:r w:rsidRPr="00456549">
        <w:rPr>
          <w:rFonts w:eastAsia="Times New Roman"/>
        </w:rPr>
        <w:t>and</w:t>
      </w:r>
      <w:r w:rsidRPr="00456549">
        <w:rPr>
          <w:rFonts w:eastAsia="Times New Roman"/>
          <w:spacing w:val="-4"/>
        </w:rPr>
        <w:t xml:space="preserve"> </w:t>
      </w:r>
      <w:r w:rsidRPr="00456549">
        <w:rPr>
          <w:rFonts w:eastAsia="Times New Roman"/>
        </w:rPr>
        <w:t>NEI</w:t>
      </w:r>
      <w:r w:rsidRPr="00456549">
        <w:rPr>
          <w:rFonts w:eastAsia="Times New Roman"/>
          <w:spacing w:val="-4"/>
        </w:rPr>
        <w:t xml:space="preserve"> </w:t>
      </w:r>
      <w:r w:rsidRPr="00456549">
        <w:rPr>
          <w:rFonts w:eastAsia="Times New Roman"/>
        </w:rPr>
        <w:t>13-10,</w:t>
      </w:r>
      <w:r w:rsidRPr="00456549">
        <w:rPr>
          <w:rFonts w:eastAsia="Times New Roman"/>
          <w:spacing w:val="-3"/>
        </w:rPr>
        <w:t xml:space="preserve"> </w:t>
      </w:r>
      <w:r w:rsidRPr="00456549">
        <w:rPr>
          <w:rFonts w:eastAsia="Times New Roman"/>
        </w:rPr>
        <w:t>“Guidance</w:t>
      </w:r>
      <w:r w:rsidRPr="00456549">
        <w:rPr>
          <w:rFonts w:eastAsia="Times New Roman"/>
          <w:spacing w:val="-4"/>
        </w:rPr>
        <w:t xml:space="preserve"> </w:t>
      </w:r>
      <w:r w:rsidRPr="00456549">
        <w:rPr>
          <w:rFonts w:eastAsia="Times New Roman"/>
        </w:rPr>
        <w:t>for Identifying and Protecting Digital Assets Associated with Emergency Preparedness Functions,” Dated March 2020 - Final Copy (ML20126G492)</w:t>
      </w:r>
    </w:p>
    <w:p w14:paraId="16092297" w14:textId="77777777" w:rsidR="00D47E44" w:rsidRDefault="00D47E44" w:rsidP="004369DF">
      <w:pPr>
        <w:pStyle w:val="BodyText2"/>
        <w:rPr>
          <w:rFonts w:eastAsia="Times New Roman"/>
        </w:rPr>
      </w:pPr>
      <w:r w:rsidRPr="00456549">
        <w:rPr>
          <w:rFonts w:eastAsia="Times New Roman"/>
        </w:rPr>
        <w:t>Response</w:t>
      </w:r>
      <w:r w:rsidRPr="00456549">
        <w:rPr>
          <w:rFonts w:eastAsia="Times New Roman"/>
          <w:spacing w:val="-3"/>
        </w:rPr>
        <w:t xml:space="preserve"> </w:t>
      </w:r>
      <w:r w:rsidRPr="00456549">
        <w:rPr>
          <w:rFonts w:eastAsia="Times New Roman"/>
        </w:rPr>
        <w:t>to</w:t>
      </w:r>
      <w:r w:rsidRPr="00456549">
        <w:rPr>
          <w:rFonts w:eastAsia="Times New Roman"/>
          <w:spacing w:val="-3"/>
        </w:rPr>
        <w:t xml:space="preserve"> </w:t>
      </w:r>
      <w:r w:rsidRPr="00456549">
        <w:rPr>
          <w:rFonts w:eastAsia="Times New Roman"/>
        </w:rPr>
        <w:t>NEI</w:t>
      </w:r>
      <w:r w:rsidRPr="00456549">
        <w:rPr>
          <w:rFonts w:eastAsia="Times New Roman"/>
          <w:spacing w:val="-3"/>
        </w:rPr>
        <w:t xml:space="preserve"> </w:t>
      </w:r>
      <w:r w:rsidRPr="00456549">
        <w:rPr>
          <w:rFonts w:eastAsia="Times New Roman"/>
        </w:rPr>
        <w:t>White</w:t>
      </w:r>
      <w:r w:rsidRPr="00456549">
        <w:rPr>
          <w:rFonts w:eastAsia="Times New Roman"/>
          <w:spacing w:val="-3"/>
        </w:rPr>
        <w:t xml:space="preserve"> </w:t>
      </w:r>
      <w:r w:rsidRPr="00456549">
        <w:rPr>
          <w:rFonts w:eastAsia="Times New Roman"/>
        </w:rPr>
        <w:t>Paper,</w:t>
      </w:r>
      <w:r w:rsidRPr="00456549">
        <w:rPr>
          <w:rFonts w:eastAsia="Times New Roman"/>
          <w:spacing w:val="-3"/>
        </w:rPr>
        <w:t xml:space="preserve"> </w:t>
      </w:r>
      <w:r w:rsidRPr="00456549">
        <w:rPr>
          <w:rFonts w:eastAsia="Times New Roman"/>
        </w:rPr>
        <w:t>“Changes</w:t>
      </w:r>
      <w:r w:rsidRPr="00456549">
        <w:rPr>
          <w:rFonts w:eastAsia="Times New Roman"/>
          <w:spacing w:val="-3"/>
        </w:rPr>
        <w:t xml:space="preserve"> </w:t>
      </w:r>
      <w:r w:rsidRPr="00456549">
        <w:rPr>
          <w:rFonts w:eastAsia="Times New Roman"/>
        </w:rPr>
        <w:t>to</w:t>
      </w:r>
      <w:r w:rsidRPr="00456549">
        <w:rPr>
          <w:rFonts w:eastAsia="Times New Roman"/>
          <w:spacing w:val="-3"/>
        </w:rPr>
        <w:t xml:space="preserve"> </w:t>
      </w:r>
      <w:r w:rsidRPr="00456549">
        <w:rPr>
          <w:rFonts w:eastAsia="Times New Roman"/>
        </w:rPr>
        <w:t>NEI</w:t>
      </w:r>
      <w:r w:rsidRPr="00456549">
        <w:rPr>
          <w:rFonts w:eastAsia="Times New Roman"/>
          <w:spacing w:val="-3"/>
        </w:rPr>
        <w:t xml:space="preserve"> </w:t>
      </w:r>
      <w:r w:rsidRPr="00456549">
        <w:rPr>
          <w:rFonts w:eastAsia="Times New Roman"/>
        </w:rPr>
        <w:t>10-04</w:t>
      </w:r>
      <w:r w:rsidRPr="00456549">
        <w:rPr>
          <w:rFonts w:eastAsia="Times New Roman"/>
          <w:spacing w:val="-3"/>
        </w:rPr>
        <w:t xml:space="preserve"> </w:t>
      </w:r>
      <w:r w:rsidRPr="00456549">
        <w:rPr>
          <w:rFonts w:eastAsia="Times New Roman"/>
        </w:rPr>
        <w:t>and</w:t>
      </w:r>
      <w:r w:rsidRPr="00456549">
        <w:rPr>
          <w:rFonts w:eastAsia="Times New Roman"/>
          <w:spacing w:val="-4"/>
        </w:rPr>
        <w:t xml:space="preserve"> </w:t>
      </w:r>
      <w:r w:rsidRPr="00456549">
        <w:rPr>
          <w:rFonts w:eastAsia="Times New Roman"/>
        </w:rPr>
        <w:t>NEI</w:t>
      </w:r>
      <w:r w:rsidRPr="00456549">
        <w:rPr>
          <w:rFonts w:eastAsia="Times New Roman"/>
          <w:spacing w:val="-3"/>
        </w:rPr>
        <w:t xml:space="preserve"> </w:t>
      </w:r>
      <w:r w:rsidRPr="00456549">
        <w:rPr>
          <w:rFonts w:eastAsia="Times New Roman"/>
        </w:rPr>
        <w:t>13-10</w:t>
      </w:r>
      <w:r w:rsidRPr="00456549">
        <w:rPr>
          <w:rFonts w:eastAsia="Times New Roman"/>
          <w:spacing w:val="-3"/>
        </w:rPr>
        <w:t xml:space="preserve"> </w:t>
      </w:r>
      <w:r w:rsidRPr="00456549">
        <w:rPr>
          <w:rFonts w:eastAsia="Times New Roman"/>
        </w:rPr>
        <w:t>Guidance</w:t>
      </w:r>
      <w:r w:rsidRPr="00456549">
        <w:rPr>
          <w:rFonts w:eastAsia="Times New Roman"/>
          <w:spacing w:val="-3"/>
        </w:rPr>
        <w:t xml:space="preserve"> </w:t>
      </w:r>
      <w:r w:rsidRPr="00456549">
        <w:rPr>
          <w:rFonts w:eastAsia="Times New Roman"/>
        </w:rPr>
        <w:t>for</w:t>
      </w:r>
      <w:r w:rsidRPr="00456549">
        <w:rPr>
          <w:rFonts w:eastAsia="Times New Roman"/>
          <w:spacing w:val="-3"/>
        </w:rPr>
        <w:t xml:space="preserve"> </w:t>
      </w:r>
      <w:r w:rsidRPr="00456549">
        <w:rPr>
          <w:rFonts w:eastAsia="Times New Roman"/>
        </w:rPr>
        <w:t>Identifying and protecting Digital Assets Associated with the Balance of Plant,” Dated July 2020,” (ML20205L604), issued August 14, 2020 (ML20209A442)</w:t>
      </w:r>
    </w:p>
    <w:p w14:paraId="5852179C" w14:textId="4DD10DE5" w:rsidR="003D3623" w:rsidRPr="009F1FCD" w:rsidRDefault="003D3623" w:rsidP="00472D26">
      <w:pPr>
        <w:pStyle w:val="Caption"/>
        <w:keepNext/>
        <w:jc w:val="left"/>
        <w:rPr>
          <w:u w:val="none"/>
        </w:rPr>
      </w:pPr>
      <w:r w:rsidRPr="009F1FCD">
        <w:rPr>
          <w:noProof/>
          <w:u w:val="none"/>
        </w:rPr>
        <w:t>Security Frequently Asked Questions</w:t>
      </w:r>
      <w:r w:rsidR="009F1FCD">
        <w:rPr>
          <w:noProof/>
          <w:u w:val="none"/>
        </w:rPr>
        <w:t xml:space="preserve"> (SFAQ)</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8"/>
        <w:gridCol w:w="5807"/>
        <w:gridCol w:w="1843"/>
      </w:tblGrid>
      <w:tr w:rsidR="001C320E" w:rsidRPr="00456549" w14:paraId="363B3D7D" w14:textId="77777777" w:rsidTr="005F326D">
        <w:trPr>
          <w:trHeight w:val="350"/>
          <w:tblHeader/>
          <w:jc w:val="center"/>
        </w:trPr>
        <w:tc>
          <w:tcPr>
            <w:tcW w:w="868" w:type="dxa"/>
            <w:tcMar>
              <w:top w:w="14" w:type="dxa"/>
              <w:left w:w="58" w:type="dxa"/>
              <w:bottom w:w="14" w:type="dxa"/>
              <w:right w:w="58" w:type="dxa"/>
            </w:tcMar>
          </w:tcPr>
          <w:p w14:paraId="4B2BDF50" w14:textId="77777777" w:rsidR="001C320E" w:rsidRPr="00456549" w:rsidRDefault="001C320E" w:rsidP="00472D26">
            <w:pPr>
              <w:pStyle w:val="BodyText-table"/>
            </w:pPr>
            <w:r w:rsidRPr="00472D26">
              <w:t>SFAQ</w:t>
            </w:r>
          </w:p>
        </w:tc>
        <w:tc>
          <w:tcPr>
            <w:tcW w:w="5807" w:type="dxa"/>
            <w:tcMar>
              <w:top w:w="14" w:type="dxa"/>
              <w:left w:w="58" w:type="dxa"/>
              <w:bottom w:w="14" w:type="dxa"/>
              <w:right w:w="58" w:type="dxa"/>
            </w:tcMar>
          </w:tcPr>
          <w:p w14:paraId="6D22CE23" w14:textId="77777777" w:rsidR="001C320E" w:rsidRPr="00456549" w:rsidRDefault="001C320E" w:rsidP="00472D26">
            <w:pPr>
              <w:pStyle w:val="BodyText-table"/>
            </w:pPr>
            <w:r w:rsidRPr="00456549">
              <w:t>Title</w:t>
            </w:r>
          </w:p>
        </w:tc>
        <w:tc>
          <w:tcPr>
            <w:tcW w:w="1843" w:type="dxa"/>
            <w:tcMar>
              <w:top w:w="14" w:type="dxa"/>
              <w:left w:w="58" w:type="dxa"/>
              <w:bottom w:w="14" w:type="dxa"/>
              <w:right w:w="58" w:type="dxa"/>
            </w:tcMar>
          </w:tcPr>
          <w:p w14:paraId="6B4AF8E4" w14:textId="77777777" w:rsidR="001C320E" w:rsidRPr="00456549" w:rsidRDefault="001C320E" w:rsidP="00472D26">
            <w:pPr>
              <w:pStyle w:val="BodyText-table"/>
            </w:pPr>
            <w:r w:rsidRPr="00456549">
              <w:t>Accession #</w:t>
            </w:r>
          </w:p>
        </w:tc>
      </w:tr>
      <w:tr w:rsidR="001C320E" w:rsidRPr="00456549" w14:paraId="7C7C4F33" w14:textId="77777777" w:rsidTr="009F1FCD">
        <w:trPr>
          <w:trHeight w:val="370"/>
          <w:jc w:val="center"/>
        </w:trPr>
        <w:tc>
          <w:tcPr>
            <w:tcW w:w="868" w:type="dxa"/>
            <w:tcMar>
              <w:top w:w="14" w:type="dxa"/>
              <w:left w:w="58" w:type="dxa"/>
              <w:bottom w:w="14" w:type="dxa"/>
              <w:right w:w="58" w:type="dxa"/>
            </w:tcMar>
          </w:tcPr>
          <w:p w14:paraId="19B2A53A" w14:textId="77777777" w:rsidR="001C320E" w:rsidRPr="00456549" w:rsidRDefault="001C320E" w:rsidP="00472D26">
            <w:pPr>
              <w:pStyle w:val="BodyText-table"/>
            </w:pPr>
            <w:r w:rsidRPr="00456549">
              <w:t>10-05</w:t>
            </w:r>
          </w:p>
        </w:tc>
        <w:tc>
          <w:tcPr>
            <w:tcW w:w="5807" w:type="dxa"/>
            <w:tcMar>
              <w:top w:w="14" w:type="dxa"/>
              <w:left w:w="58" w:type="dxa"/>
              <w:bottom w:w="14" w:type="dxa"/>
              <w:right w:w="58" w:type="dxa"/>
            </w:tcMar>
          </w:tcPr>
          <w:p w14:paraId="75795A1D" w14:textId="77777777" w:rsidR="001C320E" w:rsidRPr="00456549" w:rsidRDefault="001C320E" w:rsidP="00472D26">
            <w:pPr>
              <w:pStyle w:val="BodyText-table"/>
            </w:pPr>
            <w:r w:rsidRPr="00456549">
              <w:t>IT Functions for the Critical Group</w:t>
            </w:r>
          </w:p>
        </w:tc>
        <w:tc>
          <w:tcPr>
            <w:tcW w:w="1843" w:type="dxa"/>
            <w:tcMar>
              <w:top w:w="14" w:type="dxa"/>
              <w:left w:w="58" w:type="dxa"/>
              <w:bottom w:w="14" w:type="dxa"/>
              <w:right w:w="58" w:type="dxa"/>
            </w:tcMar>
          </w:tcPr>
          <w:p w14:paraId="4B8305A4" w14:textId="77777777" w:rsidR="001C320E" w:rsidRPr="00456549" w:rsidRDefault="001C320E" w:rsidP="00472D26">
            <w:pPr>
              <w:pStyle w:val="BodyText-table"/>
            </w:pPr>
            <w:r w:rsidRPr="00456549">
              <w:t>ML102100070</w:t>
            </w:r>
          </w:p>
        </w:tc>
      </w:tr>
      <w:tr w:rsidR="001C320E" w:rsidRPr="00456549" w14:paraId="050685EC" w14:textId="77777777" w:rsidTr="009F1FCD">
        <w:trPr>
          <w:trHeight w:val="337"/>
          <w:jc w:val="center"/>
        </w:trPr>
        <w:tc>
          <w:tcPr>
            <w:tcW w:w="868" w:type="dxa"/>
            <w:tcMar>
              <w:top w:w="14" w:type="dxa"/>
              <w:left w:w="58" w:type="dxa"/>
              <w:bottom w:w="14" w:type="dxa"/>
              <w:right w:w="58" w:type="dxa"/>
            </w:tcMar>
          </w:tcPr>
          <w:p w14:paraId="47F74393" w14:textId="77777777" w:rsidR="001C320E" w:rsidRPr="00456549" w:rsidRDefault="001C320E" w:rsidP="00472D26">
            <w:pPr>
              <w:pStyle w:val="BodyText-table"/>
            </w:pPr>
            <w:r w:rsidRPr="00456549">
              <w:t>10-06</w:t>
            </w:r>
          </w:p>
          <w:p w14:paraId="73E8358B" w14:textId="77777777" w:rsidR="001C320E" w:rsidRPr="00456549" w:rsidRDefault="001C320E" w:rsidP="00472D26">
            <w:pPr>
              <w:pStyle w:val="BodyText-table"/>
            </w:pPr>
            <w:r w:rsidRPr="00456549">
              <w:t>12-17</w:t>
            </w:r>
          </w:p>
        </w:tc>
        <w:tc>
          <w:tcPr>
            <w:tcW w:w="5807" w:type="dxa"/>
            <w:tcMar>
              <w:top w:w="14" w:type="dxa"/>
              <w:left w:w="58" w:type="dxa"/>
              <w:bottom w:w="14" w:type="dxa"/>
              <w:right w:w="58" w:type="dxa"/>
            </w:tcMar>
          </w:tcPr>
          <w:p w14:paraId="2E5AF8DA" w14:textId="77777777" w:rsidR="001C320E" w:rsidRPr="00456549" w:rsidRDefault="001C320E" w:rsidP="00472D26">
            <w:pPr>
              <w:pStyle w:val="BodyText-table"/>
            </w:pPr>
            <w:r w:rsidRPr="00456549">
              <w:t>Classification of Cyber Security Information</w:t>
            </w:r>
          </w:p>
          <w:p w14:paraId="730997A3" w14:textId="77777777" w:rsidR="001C320E" w:rsidRPr="00456549" w:rsidRDefault="001C320E" w:rsidP="00472D26">
            <w:pPr>
              <w:pStyle w:val="BodyText-table"/>
            </w:pPr>
            <w:r w:rsidRPr="00456549">
              <w:t>Cybersecurity Milestone 1</w:t>
            </w:r>
          </w:p>
        </w:tc>
        <w:tc>
          <w:tcPr>
            <w:tcW w:w="1843" w:type="dxa"/>
            <w:tcMar>
              <w:top w:w="14" w:type="dxa"/>
              <w:left w:w="58" w:type="dxa"/>
              <w:bottom w:w="14" w:type="dxa"/>
              <w:right w:w="58" w:type="dxa"/>
            </w:tcMar>
          </w:tcPr>
          <w:p w14:paraId="520B3D41" w14:textId="77777777" w:rsidR="001C320E" w:rsidRPr="00456549" w:rsidRDefault="001C320E" w:rsidP="00472D26">
            <w:pPr>
              <w:pStyle w:val="BodyText-table"/>
            </w:pPr>
            <w:r w:rsidRPr="00456549">
              <w:t>ML102090633</w:t>
            </w:r>
          </w:p>
          <w:p w14:paraId="1439B5F7" w14:textId="77777777" w:rsidR="001C320E" w:rsidRPr="00456549" w:rsidRDefault="001C320E" w:rsidP="00472D26">
            <w:pPr>
              <w:pStyle w:val="BodyText-table"/>
            </w:pPr>
            <w:r w:rsidRPr="00456549">
              <w:t>ML13098A153</w:t>
            </w:r>
          </w:p>
        </w:tc>
      </w:tr>
      <w:tr w:rsidR="001C320E" w:rsidRPr="00456549" w14:paraId="2B13B97F" w14:textId="77777777" w:rsidTr="009F1FCD">
        <w:trPr>
          <w:trHeight w:val="339"/>
          <w:jc w:val="center"/>
        </w:trPr>
        <w:tc>
          <w:tcPr>
            <w:tcW w:w="868" w:type="dxa"/>
            <w:tcMar>
              <w:top w:w="14" w:type="dxa"/>
              <w:left w:w="58" w:type="dxa"/>
              <w:bottom w:w="14" w:type="dxa"/>
              <w:right w:w="58" w:type="dxa"/>
            </w:tcMar>
          </w:tcPr>
          <w:p w14:paraId="664C6342" w14:textId="77777777" w:rsidR="001C320E" w:rsidRPr="00456549" w:rsidRDefault="001C320E" w:rsidP="00472D26">
            <w:pPr>
              <w:pStyle w:val="BodyText-table"/>
            </w:pPr>
            <w:r w:rsidRPr="00456549">
              <w:t>12-18</w:t>
            </w:r>
          </w:p>
        </w:tc>
        <w:tc>
          <w:tcPr>
            <w:tcW w:w="5807" w:type="dxa"/>
            <w:tcMar>
              <w:top w:w="14" w:type="dxa"/>
              <w:left w:w="58" w:type="dxa"/>
              <w:bottom w:w="14" w:type="dxa"/>
              <w:right w:w="58" w:type="dxa"/>
            </w:tcMar>
          </w:tcPr>
          <w:p w14:paraId="1B88C17B" w14:textId="77777777" w:rsidR="001C320E" w:rsidRPr="00456549" w:rsidRDefault="001C320E" w:rsidP="00472D26">
            <w:pPr>
              <w:pStyle w:val="BodyText-table"/>
            </w:pPr>
            <w:r w:rsidRPr="00456549">
              <w:t>Cybersecurity Milestone 2</w:t>
            </w:r>
          </w:p>
        </w:tc>
        <w:tc>
          <w:tcPr>
            <w:tcW w:w="1843" w:type="dxa"/>
            <w:tcMar>
              <w:top w:w="14" w:type="dxa"/>
              <w:left w:w="58" w:type="dxa"/>
              <w:bottom w:w="14" w:type="dxa"/>
              <w:right w:w="58" w:type="dxa"/>
            </w:tcMar>
          </w:tcPr>
          <w:p w14:paraId="687351BD" w14:textId="77777777" w:rsidR="001C320E" w:rsidRPr="00456549" w:rsidRDefault="001C320E" w:rsidP="00472D26">
            <w:pPr>
              <w:pStyle w:val="BodyText-table"/>
            </w:pPr>
            <w:r w:rsidRPr="00456549">
              <w:t>ML13098A155</w:t>
            </w:r>
          </w:p>
        </w:tc>
      </w:tr>
      <w:tr w:rsidR="001C320E" w:rsidRPr="00456549" w14:paraId="2C5E5AC3" w14:textId="77777777" w:rsidTr="009F1FCD">
        <w:trPr>
          <w:trHeight w:val="338"/>
          <w:jc w:val="center"/>
        </w:trPr>
        <w:tc>
          <w:tcPr>
            <w:tcW w:w="868" w:type="dxa"/>
            <w:tcMar>
              <w:top w:w="14" w:type="dxa"/>
              <w:left w:w="58" w:type="dxa"/>
              <w:bottom w:w="14" w:type="dxa"/>
              <w:right w:w="58" w:type="dxa"/>
            </w:tcMar>
          </w:tcPr>
          <w:p w14:paraId="2EBFFDF3" w14:textId="77777777" w:rsidR="001C320E" w:rsidRPr="00456549" w:rsidRDefault="001C320E" w:rsidP="00472D26">
            <w:pPr>
              <w:pStyle w:val="BodyText-table"/>
            </w:pPr>
            <w:r w:rsidRPr="00456549">
              <w:t>12-19</w:t>
            </w:r>
          </w:p>
        </w:tc>
        <w:tc>
          <w:tcPr>
            <w:tcW w:w="5807" w:type="dxa"/>
            <w:tcMar>
              <w:top w:w="14" w:type="dxa"/>
              <w:left w:w="58" w:type="dxa"/>
              <w:bottom w:w="14" w:type="dxa"/>
              <w:right w:w="58" w:type="dxa"/>
            </w:tcMar>
          </w:tcPr>
          <w:p w14:paraId="167E31B1" w14:textId="77777777" w:rsidR="001C320E" w:rsidRPr="00456549" w:rsidRDefault="001C320E" w:rsidP="00472D26">
            <w:pPr>
              <w:pStyle w:val="BodyText-table"/>
            </w:pPr>
            <w:r w:rsidRPr="00456549">
              <w:t>Cybersecurity Milestone 3</w:t>
            </w:r>
          </w:p>
        </w:tc>
        <w:tc>
          <w:tcPr>
            <w:tcW w:w="1843" w:type="dxa"/>
            <w:tcMar>
              <w:top w:w="14" w:type="dxa"/>
              <w:left w:w="58" w:type="dxa"/>
              <w:bottom w:w="14" w:type="dxa"/>
              <w:right w:w="58" w:type="dxa"/>
            </w:tcMar>
          </w:tcPr>
          <w:p w14:paraId="024501AF" w14:textId="77777777" w:rsidR="001C320E" w:rsidRPr="00456549" w:rsidRDefault="001C320E" w:rsidP="00472D26">
            <w:pPr>
              <w:pStyle w:val="BodyText-table"/>
            </w:pPr>
            <w:r w:rsidRPr="00456549">
              <w:t>ML13098A157</w:t>
            </w:r>
          </w:p>
        </w:tc>
      </w:tr>
      <w:tr w:rsidR="001C320E" w:rsidRPr="00456549" w14:paraId="4DC69608" w14:textId="77777777" w:rsidTr="009F1FCD">
        <w:trPr>
          <w:trHeight w:val="338"/>
          <w:jc w:val="center"/>
        </w:trPr>
        <w:tc>
          <w:tcPr>
            <w:tcW w:w="868" w:type="dxa"/>
            <w:tcMar>
              <w:top w:w="14" w:type="dxa"/>
              <w:left w:w="58" w:type="dxa"/>
              <w:bottom w:w="14" w:type="dxa"/>
              <w:right w:w="58" w:type="dxa"/>
            </w:tcMar>
          </w:tcPr>
          <w:p w14:paraId="3ACCA98F" w14:textId="77777777" w:rsidR="001C320E" w:rsidRPr="00456549" w:rsidRDefault="001C320E" w:rsidP="00472D26">
            <w:pPr>
              <w:pStyle w:val="BodyText-table"/>
            </w:pPr>
            <w:r w:rsidRPr="00456549">
              <w:t>12-20</w:t>
            </w:r>
          </w:p>
        </w:tc>
        <w:tc>
          <w:tcPr>
            <w:tcW w:w="5807" w:type="dxa"/>
            <w:tcMar>
              <w:top w:w="14" w:type="dxa"/>
              <w:left w:w="58" w:type="dxa"/>
              <w:bottom w:w="14" w:type="dxa"/>
              <w:right w:w="58" w:type="dxa"/>
            </w:tcMar>
          </w:tcPr>
          <w:p w14:paraId="58919EB3" w14:textId="77777777" w:rsidR="001C320E" w:rsidRPr="00456549" w:rsidRDefault="001C320E" w:rsidP="00472D26">
            <w:pPr>
              <w:pStyle w:val="BodyText-table"/>
            </w:pPr>
            <w:r w:rsidRPr="00456549">
              <w:t>Cybersecurity Milestone 4</w:t>
            </w:r>
          </w:p>
        </w:tc>
        <w:tc>
          <w:tcPr>
            <w:tcW w:w="1843" w:type="dxa"/>
            <w:tcMar>
              <w:top w:w="14" w:type="dxa"/>
              <w:left w:w="58" w:type="dxa"/>
              <w:bottom w:w="14" w:type="dxa"/>
              <w:right w:w="58" w:type="dxa"/>
            </w:tcMar>
          </w:tcPr>
          <w:p w14:paraId="65822B5E" w14:textId="77777777" w:rsidR="001C320E" w:rsidRPr="00456549" w:rsidRDefault="001C320E" w:rsidP="00472D26">
            <w:pPr>
              <w:pStyle w:val="BodyText-table"/>
            </w:pPr>
            <w:r w:rsidRPr="00456549">
              <w:t>ML13098A170</w:t>
            </w:r>
          </w:p>
        </w:tc>
      </w:tr>
      <w:tr w:rsidR="001C320E" w:rsidRPr="00456549" w14:paraId="0825EAF0" w14:textId="77777777" w:rsidTr="009F1FCD">
        <w:trPr>
          <w:trHeight w:val="338"/>
          <w:jc w:val="center"/>
        </w:trPr>
        <w:tc>
          <w:tcPr>
            <w:tcW w:w="868" w:type="dxa"/>
            <w:tcMar>
              <w:top w:w="14" w:type="dxa"/>
              <w:left w:w="58" w:type="dxa"/>
              <w:bottom w:w="14" w:type="dxa"/>
              <w:right w:w="58" w:type="dxa"/>
            </w:tcMar>
          </w:tcPr>
          <w:p w14:paraId="5676856D" w14:textId="77777777" w:rsidR="001C320E" w:rsidRPr="00456549" w:rsidRDefault="001C320E" w:rsidP="00472D26">
            <w:pPr>
              <w:pStyle w:val="BodyText-table"/>
            </w:pPr>
            <w:r w:rsidRPr="00456549">
              <w:t>12-21</w:t>
            </w:r>
          </w:p>
        </w:tc>
        <w:tc>
          <w:tcPr>
            <w:tcW w:w="5807" w:type="dxa"/>
            <w:tcMar>
              <w:top w:w="14" w:type="dxa"/>
              <w:left w:w="58" w:type="dxa"/>
              <w:bottom w:w="14" w:type="dxa"/>
              <w:right w:w="58" w:type="dxa"/>
            </w:tcMar>
          </w:tcPr>
          <w:p w14:paraId="1BE97C3E" w14:textId="77777777" w:rsidR="001C320E" w:rsidRPr="00456549" w:rsidRDefault="001C320E" w:rsidP="00472D26">
            <w:pPr>
              <w:pStyle w:val="BodyText-table"/>
            </w:pPr>
            <w:r w:rsidRPr="00456549">
              <w:t>Cybersecurity Milestone 5</w:t>
            </w:r>
          </w:p>
        </w:tc>
        <w:tc>
          <w:tcPr>
            <w:tcW w:w="1843" w:type="dxa"/>
            <w:tcMar>
              <w:top w:w="14" w:type="dxa"/>
              <w:left w:w="58" w:type="dxa"/>
              <w:bottom w:w="14" w:type="dxa"/>
              <w:right w:w="58" w:type="dxa"/>
            </w:tcMar>
          </w:tcPr>
          <w:p w14:paraId="67502199" w14:textId="77777777" w:rsidR="001C320E" w:rsidRPr="00456549" w:rsidRDefault="001C320E" w:rsidP="00472D26">
            <w:pPr>
              <w:pStyle w:val="BodyText-table"/>
            </w:pPr>
            <w:r w:rsidRPr="00456549">
              <w:t>ML12331A131</w:t>
            </w:r>
          </w:p>
        </w:tc>
      </w:tr>
      <w:tr w:rsidR="001C320E" w:rsidRPr="00456549" w14:paraId="2BA18A89" w14:textId="77777777" w:rsidTr="009F1FCD">
        <w:trPr>
          <w:trHeight w:val="338"/>
          <w:jc w:val="center"/>
        </w:trPr>
        <w:tc>
          <w:tcPr>
            <w:tcW w:w="868" w:type="dxa"/>
            <w:tcMar>
              <w:top w:w="14" w:type="dxa"/>
              <w:left w:w="58" w:type="dxa"/>
              <w:bottom w:w="14" w:type="dxa"/>
              <w:right w:w="58" w:type="dxa"/>
            </w:tcMar>
          </w:tcPr>
          <w:p w14:paraId="31B2B26F" w14:textId="77777777" w:rsidR="001C320E" w:rsidRPr="00456549" w:rsidRDefault="001C320E" w:rsidP="00472D26">
            <w:pPr>
              <w:pStyle w:val="BodyText-table"/>
            </w:pPr>
            <w:r w:rsidRPr="00456549">
              <w:t>12-22</w:t>
            </w:r>
          </w:p>
        </w:tc>
        <w:tc>
          <w:tcPr>
            <w:tcW w:w="5807" w:type="dxa"/>
            <w:tcMar>
              <w:top w:w="14" w:type="dxa"/>
              <w:left w:w="58" w:type="dxa"/>
              <w:bottom w:w="14" w:type="dxa"/>
              <w:right w:w="58" w:type="dxa"/>
            </w:tcMar>
          </w:tcPr>
          <w:p w14:paraId="2F741D79" w14:textId="77777777" w:rsidR="001C320E" w:rsidRPr="00456549" w:rsidRDefault="001C320E" w:rsidP="00472D26">
            <w:pPr>
              <w:pStyle w:val="BodyText-table"/>
            </w:pPr>
            <w:r w:rsidRPr="00456549">
              <w:t>Cybersecurity Milestone 6</w:t>
            </w:r>
          </w:p>
        </w:tc>
        <w:tc>
          <w:tcPr>
            <w:tcW w:w="1843" w:type="dxa"/>
            <w:tcMar>
              <w:top w:w="14" w:type="dxa"/>
              <w:left w:w="58" w:type="dxa"/>
              <w:bottom w:w="14" w:type="dxa"/>
              <w:right w:w="58" w:type="dxa"/>
            </w:tcMar>
          </w:tcPr>
          <w:p w14:paraId="149B79EF" w14:textId="77777777" w:rsidR="001C320E" w:rsidRPr="00456549" w:rsidRDefault="001C320E" w:rsidP="00472D26">
            <w:pPr>
              <w:pStyle w:val="BodyText-table"/>
            </w:pPr>
            <w:r w:rsidRPr="00456549">
              <w:t>ML13098A174</w:t>
            </w:r>
          </w:p>
        </w:tc>
      </w:tr>
      <w:tr w:rsidR="001C320E" w:rsidRPr="00456549" w14:paraId="339AB04D" w14:textId="77777777" w:rsidTr="009F1FCD">
        <w:trPr>
          <w:trHeight w:val="338"/>
          <w:jc w:val="center"/>
        </w:trPr>
        <w:tc>
          <w:tcPr>
            <w:tcW w:w="868" w:type="dxa"/>
            <w:tcMar>
              <w:top w:w="14" w:type="dxa"/>
              <w:left w:w="58" w:type="dxa"/>
              <w:bottom w:w="14" w:type="dxa"/>
              <w:right w:w="58" w:type="dxa"/>
            </w:tcMar>
          </w:tcPr>
          <w:p w14:paraId="6F4C72E6" w14:textId="77777777" w:rsidR="001C320E" w:rsidRPr="00456549" w:rsidRDefault="001C320E" w:rsidP="00472D26">
            <w:pPr>
              <w:pStyle w:val="BodyText-table"/>
            </w:pPr>
            <w:r w:rsidRPr="00456549">
              <w:t>12-23</w:t>
            </w:r>
          </w:p>
        </w:tc>
        <w:tc>
          <w:tcPr>
            <w:tcW w:w="5807" w:type="dxa"/>
            <w:tcMar>
              <w:top w:w="14" w:type="dxa"/>
              <w:left w:w="58" w:type="dxa"/>
              <w:bottom w:w="14" w:type="dxa"/>
              <w:right w:w="58" w:type="dxa"/>
            </w:tcMar>
          </w:tcPr>
          <w:p w14:paraId="62E0C62E" w14:textId="77777777" w:rsidR="001C320E" w:rsidRPr="00456549" w:rsidRDefault="001C320E" w:rsidP="00472D26">
            <w:pPr>
              <w:pStyle w:val="BodyText-table"/>
            </w:pPr>
            <w:r w:rsidRPr="00456549">
              <w:t>Cybersecurity Milestone 7</w:t>
            </w:r>
          </w:p>
        </w:tc>
        <w:tc>
          <w:tcPr>
            <w:tcW w:w="1843" w:type="dxa"/>
            <w:tcMar>
              <w:top w:w="14" w:type="dxa"/>
              <w:left w:w="58" w:type="dxa"/>
              <w:bottom w:w="14" w:type="dxa"/>
              <w:right w:w="58" w:type="dxa"/>
            </w:tcMar>
          </w:tcPr>
          <w:p w14:paraId="641FD0D0" w14:textId="77777777" w:rsidR="001C320E" w:rsidRPr="00456549" w:rsidRDefault="001C320E" w:rsidP="00472D26">
            <w:pPr>
              <w:pStyle w:val="BodyText-table"/>
            </w:pPr>
            <w:r w:rsidRPr="00456549">
              <w:t>ML13098A177</w:t>
            </w:r>
          </w:p>
        </w:tc>
      </w:tr>
      <w:tr w:rsidR="001C320E" w:rsidRPr="00456549" w14:paraId="4792BE42" w14:textId="77777777" w:rsidTr="009F1FCD">
        <w:trPr>
          <w:trHeight w:val="338"/>
          <w:jc w:val="center"/>
        </w:trPr>
        <w:tc>
          <w:tcPr>
            <w:tcW w:w="868" w:type="dxa"/>
            <w:tcMar>
              <w:top w:w="14" w:type="dxa"/>
              <w:left w:w="58" w:type="dxa"/>
              <w:bottom w:w="14" w:type="dxa"/>
              <w:right w:w="58" w:type="dxa"/>
            </w:tcMar>
          </w:tcPr>
          <w:p w14:paraId="506A53A9" w14:textId="77777777" w:rsidR="001C320E" w:rsidRPr="00456549" w:rsidRDefault="001C320E" w:rsidP="00472D26">
            <w:pPr>
              <w:pStyle w:val="BodyText-table"/>
            </w:pPr>
            <w:r w:rsidRPr="00456549">
              <w:t>14-01</w:t>
            </w:r>
          </w:p>
        </w:tc>
        <w:tc>
          <w:tcPr>
            <w:tcW w:w="5807" w:type="dxa"/>
            <w:tcMar>
              <w:top w:w="14" w:type="dxa"/>
              <w:left w:w="58" w:type="dxa"/>
              <w:bottom w:w="14" w:type="dxa"/>
              <w:right w:w="58" w:type="dxa"/>
            </w:tcMar>
          </w:tcPr>
          <w:p w14:paraId="1A18647F" w14:textId="77777777" w:rsidR="001C320E" w:rsidRPr="00456549" w:rsidRDefault="001C320E" w:rsidP="00472D26">
            <w:pPr>
              <w:pStyle w:val="BodyText-table"/>
            </w:pPr>
            <w:r w:rsidRPr="00456549">
              <w:t>Digital Indicator, Rev. 1</w:t>
            </w:r>
          </w:p>
        </w:tc>
        <w:tc>
          <w:tcPr>
            <w:tcW w:w="1843" w:type="dxa"/>
            <w:tcMar>
              <w:top w:w="14" w:type="dxa"/>
              <w:left w:w="58" w:type="dxa"/>
              <w:bottom w:w="14" w:type="dxa"/>
              <w:right w:w="58" w:type="dxa"/>
            </w:tcMar>
          </w:tcPr>
          <w:p w14:paraId="34D41768" w14:textId="77777777" w:rsidR="001C320E" w:rsidRPr="00456549" w:rsidRDefault="001C320E" w:rsidP="00472D26">
            <w:pPr>
              <w:pStyle w:val="BodyText-table"/>
            </w:pPr>
            <w:r w:rsidRPr="00456549">
              <w:t>ML15029A517</w:t>
            </w:r>
          </w:p>
        </w:tc>
      </w:tr>
      <w:tr w:rsidR="001C320E" w:rsidRPr="00456549" w14:paraId="6AE76922" w14:textId="77777777" w:rsidTr="009F1FCD">
        <w:trPr>
          <w:trHeight w:val="339"/>
          <w:jc w:val="center"/>
        </w:trPr>
        <w:tc>
          <w:tcPr>
            <w:tcW w:w="868" w:type="dxa"/>
            <w:tcMar>
              <w:top w:w="14" w:type="dxa"/>
              <w:left w:w="58" w:type="dxa"/>
              <w:bottom w:w="14" w:type="dxa"/>
              <w:right w:w="58" w:type="dxa"/>
            </w:tcMar>
          </w:tcPr>
          <w:p w14:paraId="6399BCC5" w14:textId="77777777" w:rsidR="001C320E" w:rsidRPr="00456549" w:rsidRDefault="001C320E" w:rsidP="00472D26">
            <w:pPr>
              <w:pStyle w:val="BodyText-table"/>
            </w:pPr>
            <w:r w:rsidRPr="00456549">
              <w:t>14-02</w:t>
            </w:r>
          </w:p>
          <w:p w14:paraId="1BEBC6C2" w14:textId="77777777" w:rsidR="001C320E" w:rsidRPr="00456549" w:rsidRDefault="001C320E" w:rsidP="00472D26">
            <w:pPr>
              <w:pStyle w:val="BodyText-table"/>
            </w:pPr>
            <w:r w:rsidRPr="00456549">
              <w:t>16-01</w:t>
            </w:r>
          </w:p>
        </w:tc>
        <w:tc>
          <w:tcPr>
            <w:tcW w:w="5807" w:type="dxa"/>
            <w:tcMar>
              <w:top w:w="14" w:type="dxa"/>
              <w:left w:w="58" w:type="dxa"/>
              <w:bottom w:w="14" w:type="dxa"/>
              <w:right w:w="58" w:type="dxa"/>
            </w:tcMar>
          </w:tcPr>
          <w:p w14:paraId="3F34B740" w14:textId="77777777" w:rsidR="001C320E" w:rsidRPr="00456549" w:rsidRDefault="001C320E" w:rsidP="00472D26">
            <w:pPr>
              <w:pStyle w:val="BodyText-table"/>
            </w:pPr>
            <w:r w:rsidRPr="00456549">
              <w:t>Unauthorized Person</w:t>
            </w:r>
          </w:p>
          <w:p w14:paraId="6466E39F" w14:textId="77777777" w:rsidR="001C320E" w:rsidRPr="00456549" w:rsidRDefault="001C320E" w:rsidP="00472D26">
            <w:pPr>
              <w:pStyle w:val="BodyText-table"/>
            </w:pPr>
            <w:r w:rsidRPr="00456549">
              <w:t>Data Integrity</w:t>
            </w:r>
          </w:p>
        </w:tc>
        <w:tc>
          <w:tcPr>
            <w:tcW w:w="1843" w:type="dxa"/>
            <w:tcMar>
              <w:top w:w="14" w:type="dxa"/>
              <w:left w:w="58" w:type="dxa"/>
              <w:bottom w:w="14" w:type="dxa"/>
              <w:right w:w="58" w:type="dxa"/>
            </w:tcMar>
          </w:tcPr>
          <w:p w14:paraId="5A372EA4" w14:textId="77777777" w:rsidR="001C320E" w:rsidRPr="00456549" w:rsidRDefault="001C320E" w:rsidP="00472D26">
            <w:pPr>
              <w:pStyle w:val="BodyText-table"/>
            </w:pPr>
            <w:r w:rsidRPr="00456549">
              <w:t>ML16088A242</w:t>
            </w:r>
          </w:p>
          <w:p w14:paraId="1205284A" w14:textId="77777777" w:rsidR="001C320E" w:rsidRPr="00456549" w:rsidRDefault="001C320E" w:rsidP="00472D26">
            <w:pPr>
              <w:pStyle w:val="BodyText-table"/>
            </w:pPr>
            <w:r w:rsidRPr="00456549">
              <w:t>ML16196A302</w:t>
            </w:r>
          </w:p>
        </w:tc>
      </w:tr>
      <w:tr w:rsidR="001C320E" w:rsidRPr="00456549" w14:paraId="4E5E23C3" w14:textId="77777777" w:rsidTr="009F1FCD">
        <w:trPr>
          <w:trHeight w:val="338"/>
          <w:jc w:val="center"/>
        </w:trPr>
        <w:tc>
          <w:tcPr>
            <w:tcW w:w="868" w:type="dxa"/>
            <w:tcMar>
              <w:top w:w="14" w:type="dxa"/>
              <w:left w:w="58" w:type="dxa"/>
              <w:bottom w:w="14" w:type="dxa"/>
              <w:right w:w="58" w:type="dxa"/>
            </w:tcMar>
          </w:tcPr>
          <w:p w14:paraId="4AB93DC7" w14:textId="77777777" w:rsidR="001C320E" w:rsidRPr="00456549" w:rsidRDefault="001C320E" w:rsidP="00472D26">
            <w:pPr>
              <w:pStyle w:val="BodyText-table"/>
            </w:pPr>
            <w:r w:rsidRPr="00456549">
              <w:t>16-02</w:t>
            </w:r>
          </w:p>
        </w:tc>
        <w:tc>
          <w:tcPr>
            <w:tcW w:w="5807" w:type="dxa"/>
            <w:tcMar>
              <w:top w:w="14" w:type="dxa"/>
              <w:left w:w="58" w:type="dxa"/>
              <w:bottom w:w="14" w:type="dxa"/>
              <w:right w:w="58" w:type="dxa"/>
            </w:tcMar>
          </w:tcPr>
          <w:p w14:paraId="3F83E205" w14:textId="77777777" w:rsidR="001C320E" w:rsidRPr="00456549" w:rsidRDefault="001C320E" w:rsidP="00472D26">
            <w:pPr>
              <w:pStyle w:val="BodyText-table"/>
            </w:pPr>
            <w:r w:rsidRPr="00456549">
              <w:t>Deterministic Devices</w:t>
            </w:r>
          </w:p>
        </w:tc>
        <w:tc>
          <w:tcPr>
            <w:tcW w:w="1843" w:type="dxa"/>
            <w:tcMar>
              <w:top w:w="14" w:type="dxa"/>
              <w:left w:w="58" w:type="dxa"/>
              <w:bottom w:w="14" w:type="dxa"/>
              <w:right w:w="58" w:type="dxa"/>
            </w:tcMar>
          </w:tcPr>
          <w:p w14:paraId="4182B4C8" w14:textId="77777777" w:rsidR="001C320E" w:rsidRPr="00456549" w:rsidRDefault="001C320E" w:rsidP="00472D26">
            <w:pPr>
              <w:pStyle w:val="BodyText-table"/>
            </w:pPr>
            <w:r w:rsidRPr="00456549">
              <w:t>ML16208A222</w:t>
            </w:r>
          </w:p>
        </w:tc>
      </w:tr>
      <w:tr w:rsidR="001C320E" w:rsidRPr="00456549" w14:paraId="01799323" w14:textId="77777777" w:rsidTr="009F1FCD">
        <w:trPr>
          <w:trHeight w:val="338"/>
          <w:jc w:val="center"/>
        </w:trPr>
        <w:tc>
          <w:tcPr>
            <w:tcW w:w="868" w:type="dxa"/>
            <w:tcMar>
              <w:top w:w="14" w:type="dxa"/>
              <w:left w:w="58" w:type="dxa"/>
              <w:bottom w:w="14" w:type="dxa"/>
              <w:right w:w="58" w:type="dxa"/>
            </w:tcMar>
          </w:tcPr>
          <w:p w14:paraId="0C8ED825" w14:textId="77777777" w:rsidR="001C320E" w:rsidRPr="00456549" w:rsidRDefault="001C320E" w:rsidP="00472D26">
            <w:pPr>
              <w:pStyle w:val="BodyText-table"/>
            </w:pPr>
            <w:r w:rsidRPr="00456549">
              <w:lastRenderedPageBreak/>
              <w:t>16-03</w:t>
            </w:r>
          </w:p>
        </w:tc>
        <w:tc>
          <w:tcPr>
            <w:tcW w:w="5807" w:type="dxa"/>
            <w:tcMar>
              <w:top w:w="14" w:type="dxa"/>
              <w:left w:w="58" w:type="dxa"/>
              <w:bottom w:w="14" w:type="dxa"/>
              <w:right w:w="58" w:type="dxa"/>
            </w:tcMar>
          </w:tcPr>
          <w:p w14:paraId="5F06B0EC" w14:textId="77777777" w:rsidR="001C320E" w:rsidRPr="00456549" w:rsidRDefault="001C320E" w:rsidP="00472D26">
            <w:pPr>
              <w:pStyle w:val="BodyText-table"/>
            </w:pPr>
            <w:r w:rsidRPr="00456549">
              <w:t>Treatment of Digital Maintenance and Test Equipment</w:t>
            </w:r>
          </w:p>
        </w:tc>
        <w:tc>
          <w:tcPr>
            <w:tcW w:w="1843" w:type="dxa"/>
            <w:tcMar>
              <w:top w:w="14" w:type="dxa"/>
              <w:left w:w="58" w:type="dxa"/>
              <w:bottom w:w="14" w:type="dxa"/>
              <w:right w:w="58" w:type="dxa"/>
            </w:tcMar>
          </w:tcPr>
          <w:p w14:paraId="1EBE3164" w14:textId="77777777" w:rsidR="001C320E" w:rsidRPr="00456549" w:rsidRDefault="001C320E" w:rsidP="00472D26">
            <w:pPr>
              <w:pStyle w:val="BodyText-table"/>
            </w:pPr>
            <w:r w:rsidRPr="00456549">
              <w:t>ML16350A056</w:t>
            </w:r>
          </w:p>
        </w:tc>
      </w:tr>
      <w:tr w:rsidR="001C320E" w:rsidRPr="00456549" w14:paraId="3F6E04FD" w14:textId="77777777" w:rsidTr="009F1FCD">
        <w:trPr>
          <w:trHeight w:val="338"/>
          <w:jc w:val="center"/>
        </w:trPr>
        <w:tc>
          <w:tcPr>
            <w:tcW w:w="868" w:type="dxa"/>
            <w:tcMar>
              <w:top w:w="14" w:type="dxa"/>
              <w:left w:w="58" w:type="dxa"/>
              <w:bottom w:w="14" w:type="dxa"/>
              <w:right w:w="58" w:type="dxa"/>
            </w:tcMar>
          </w:tcPr>
          <w:p w14:paraId="300E55F8" w14:textId="77777777" w:rsidR="001C320E" w:rsidRPr="00456549" w:rsidRDefault="001C320E" w:rsidP="00472D26">
            <w:pPr>
              <w:pStyle w:val="BodyText-table"/>
            </w:pPr>
            <w:r w:rsidRPr="00456549">
              <w:t>16-04</w:t>
            </w:r>
          </w:p>
        </w:tc>
        <w:tc>
          <w:tcPr>
            <w:tcW w:w="5807" w:type="dxa"/>
            <w:tcMar>
              <w:top w:w="14" w:type="dxa"/>
              <w:left w:w="58" w:type="dxa"/>
              <w:bottom w:w="14" w:type="dxa"/>
              <w:right w:w="58" w:type="dxa"/>
            </w:tcMar>
          </w:tcPr>
          <w:p w14:paraId="3104E409" w14:textId="77777777" w:rsidR="001C320E" w:rsidRPr="00456549" w:rsidRDefault="001C320E" w:rsidP="00472D26">
            <w:pPr>
              <w:pStyle w:val="BodyText-table"/>
            </w:pPr>
            <w:r w:rsidRPr="00456549">
              <w:t>Access Authorization/Personnel Access Data System</w:t>
            </w:r>
          </w:p>
        </w:tc>
        <w:tc>
          <w:tcPr>
            <w:tcW w:w="1843" w:type="dxa"/>
            <w:tcMar>
              <w:top w:w="14" w:type="dxa"/>
              <w:left w:w="58" w:type="dxa"/>
              <w:bottom w:w="14" w:type="dxa"/>
              <w:right w:w="58" w:type="dxa"/>
            </w:tcMar>
          </w:tcPr>
          <w:p w14:paraId="23AD038D" w14:textId="77777777" w:rsidR="001C320E" w:rsidRPr="00456549" w:rsidRDefault="001C320E" w:rsidP="00472D26">
            <w:pPr>
              <w:pStyle w:val="BodyText-table"/>
            </w:pPr>
            <w:r w:rsidRPr="00456549">
              <w:t>ML16209A095</w:t>
            </w:r>
          </w:p>
        </w:tc>
      </w:tr>
      <w:tr w:rsidR="001C320E" w:rsidRPr="00456549" w14:paraId="40B53AAB" w14:textId="77777777" w:rsidTr="009F1FCD">
        <w:trPr>
          <w:trHeight w:val="338"/>
          <w:jc w:val="center"/>
        </w:trPr>
        <w:tc>
          <w:tcPr>
            <w:tcW w:w="868" w:type="dxa"/>
            <w:tcMar>
              <w:top w:w="14" w:type="dxa"/>
              <w:left w:w="58" w:type="dxa"/>
              <w:bottom w:w="14" w:type="dxa"/>
              <w:right w:w="58" w:type="dxa"/>
            </w:tcMar>
          </w:tcPr>
          <w:p w14:paraId="7AC2280C" w14:textId="77777777" w:rsidR="001C320E" w:rsidRPr="00456549" w:rsidRDefault="001C320E" w:rsidP="00472D26">
            <w:pPr>
              <w:pStyle w:val="BodyText-table"/>
            </w:pPr>
            <w:r w:rsidRPr="00456549">
              <w:t>16-05</w:t>
            </w:r>
          </w:p>
        </w:tc>
        <w:tc>
          <w:tcPr>
            <w:tcW w:w="5807" w:type="dxa"/>
            <w:tcMar>
              <w:top w:w="14" w:type="dxa"/>
              <w:left w:w="58" w:type="dxa"/>
              <w:bottom w:w="14" w:type="dxa"/>
              <w:right w:w="58" w:type="dxa"/>
            </w:tcMar>
          </w:tcPr>
          <w:p w14:paraId="05875D7B" w14:textId="77777777" w:rsidR="001C320E" w:rsidRPr="00456549" w:rsidRDefault="001C320E" w:rsidP="00472D26">
            <w:pPr>
              <w:pStyle w:val="BodyText-table"/>
            </w:pPr>
            <w:r w:rsidRPr="00456549">
              <w:t>Moving Data between Security Levels</w:t>
            </w:r>
          </w:p>
        </w:tc>
        <w:tc>
          <w:tcPr>
            <w:tcW w:w="1843" w:type="dxa"/>
            <w:tcMar>
              <w:top w:w="14" w:type="dxa"/>
              <w:left w:w="58" w:type="dxa"/>
              <w:bottom w:w="14" w:type="dxa"/>
              <w:right w:w="58" w:type="dxa"/>
            </w:tcMar>
          </w:tcPr>
          <w:p w14:paraId="3519FABF" w14:textId="77777777" w:rsidR="001C320E" w:rsidRPr="00456549" w:rsidRDefault="001C320E" w:rsidP="00472D26">
            <w:pPr>
              <w:pStyle w:val="BodyText-table"/>
            </w:pPr>
            <w:r w:rsidRPr="00456549">
              <w:t>ML16351A469</w:t>
            </w:r>
          </w:p>
        </w:tc>
      </w:tr>
      <w:tr w:rsidR="001C320E" w:rsidRPr="00456549" w14:paraId="21012281" w14:textId="77777777" w:rsidTr="009F1FCD">
        <w:trPr>
          <w:trHeight w:val="337"/>
          <w:jc w:val="center"/>
        </w:trPr>
        <w:tc>
          <w:tcPr>
            <w:tcW w:w="868" w:type="dxa"/>
            <w:tcMar>
              <w:top w:w="14" w:type="dxa"/>
              <w:left w:w="58" w:type="dxa"/>
              <w:bottom w:w="14" w:type="dxa"/>
              <w:right w:w="58" w:type="dxa"/>
            </w:tcMar>
          </w:tcPr>
          <w:p w14:paraId="03987E54" w14:textId="77777777" w:rsidR="001C320E" w:rsidRPr="00456549" w:rsidRDefault="001C320E" w:rsidP="00472D26">
            <w:pPr>
              <w:pStyle w:val="BodyText-table"/>
            </w:pPr>
            <w:r w:rsidRPr="00456549">
              <w:t>16-06</w:t>
            </w:r>
          </w:p>
        </w:tc>
        <w:tc>
          <w:tcPr>
            <w:tcW w:w="5807" w:type="dxa"/>
            <w:tcMar>
              <w:top w:w="14" w:type="dxa"/>
              <w:left w:w="58" w:type="dxa"/>
              <w:bottom w:w="14" w:type="dxa"/>
              <w:right w:w="58" w:type="dxa"/>
            </w:tcMar>
          </w:tcPr>
          <w:p w14:paraId="0C330594" w14:textId="77777777" w:rsidR="001C320E" w:rsidRPr="00456549" w:rsidRDefault="001C320E" w:rsidP="00472D26">
            <w:pPr>
              <w:pStyle w:val="BodyText-table"/>
            </w:pPr>
            <w:r w:rsidRPr="00456549">
              <w:t>Communications Attack Pathways</w:t>
            </w:r>
          </w:p>
        </w:tc>
        <w:tc>
          <w:tcPr>
            <w:tcW w:w="1843" w:type="dxa"/>
            <w:tcMar>
              <w:top w:w="14" w:type="dxa"/>
              <w:left w:w="58" w:type="dxa"/>
              <w:bottom w:w="14" w:type="dxa"/>
              <w:right w:w="58" w:type="dxa"/>
            </w:tcMar>
          </w:tcPr>
          <w:p w14:paraId="1C69C6ED" w14:textId="77777777" w:rsidR="001C320E" w:rsidRPr="00456549" w:rsidRDefault="001C320E" w:rsidP="00472D26">
            <w:pPr>
              <w:pStyle w:val="BodyText-table"/>
            </w:pPr>
            <w:r w:rsidRPr="00456549">
              <w:t>ML16351A504</w:t>
            </w:r>
          </w:p>
        </w:tc>
      </w:tr>
      <w:tr w:rsidR="001C320E" w:rsidRPr="00456549" w14:paraId="3C7FA295" w14:textId="77777777" w:rsidTr="009F1FCD">
        <w:trPr>
          <w:trHeight w:val="290"/>
          <w:jc w:val="center"/>
        </w:trPr>
        <w:tc>
          <w:tcPr>
            <w:tcW w:w="868" w:type="dxa"/>
            <w:tcMar>
              <w:top w:w="14" w:type="dxa"/>
              <w:left w:w="58" w:type="dxa"/>
              <w:bottom w:w="14" w:type="dxa"/>
              <w:right w:w="58" w:type="dxa"/>
            </w:tcMar>
          </w:tcPr>
          <w:p w14:paraId="43956F60" w14:textId="77777777" w:rsidR="001C320E" w:rsidRPr="00456549" w:rsidRDefault="001C320E" w:rsidP="00472D26">
            <w:pPr>
              <w:pStyle w:val="BodyText-table"/>
            </w:pPr>
            <w:r w:rsidRPr="00456549">
              <w:t>17-04</w:t>
            </w:r>
          </w:p>
        </w:tc>
        <w:tc>
          <w:tcPr>
            <w:tcW w:w="5807" w:type="dxa"/>
            <w:tcMar>
              <w:top w:w="14" w:type="dxa"/>
              <w:left w:w="58" w:type="dxa"/>
              <w:bottom w:w="14" w:type="dxa"/>
              <w:right w:w="58" w:type="dxa"/>
            </w:tcMar>
          </w:tcPr>
          <w:p w14:paraId="56DE9EC6" w14:textId="77777777" w:rsidR="001C320E" w:rsidRPr="00456549" w:rsidRDefault="001C320E" w:rsidP="00472D26">
            <w:pPr>
              <w:pStyle w:val="BodyText-table"/>
            </w:pPr>
            <w:r w:rsidRPr="00456549">
              <w:t>Access Authorization/Access Authorization Systems</w:t>
            </w:r>
          </w:p>
        </w:tc>
        <w:tc>
          <w:tcPr>
            <w:tcW w:w="1843" w:type="dxa"/>
            <w:tcMar>
              <w:top w:w="14" w:type="dxa"/>
              <w:left w:w="58" w:type="dxa"/>
              <w:bottom w:w="14" w:type="dxa"/>
              <w:right w:w="58" w:type="dxa"/>
            </w:tcMar>
          </w:tcPr>
          <w:p w14:paraId="357DF729" w14:textId="77777777" w:rsidR="001C320E" w:rsidRPr="00456549" w:rsidRDefault="001C320E" w:rsidP="00472D26">
            <w:pPr>
              <w:pStyle w:val="BodyText-table"/>
            </w:pPr>
            <w:r w:rsidRPr="00456549">
              <w:t>ML18030A535</w:t>
            </w:r>
          </w:p>
        </w:tc>
      </w:tr>
    </w:tbl>
    <w:p w14:paraId="2CBFD90E" w14:textId="77777777" w:rsidR="00DC7F89" w:rsidRDefault="00DC7F89" w:rsidP="00DC7F89">
      <w:pPr>
        <w:pStyle w:val="BodyText2"/>
        <w:rPr>
          <w:rFonts w:eastAsia="Times New Roman"/>
        </w:rPr>
      </w:pPr>
    </w:p>
    <w:p w14:paraId="7780B6A5" w14:textId="1B2670BE" w:rsidR="00D47E44" w:rsidRPr="00456549" w:rsidRDefault="00D47E44" w:rsidP="00DC7F89">
      <w:pPr>
        <w:pStyle w:val="BodyText2"/>
        <w:rPr>
          <w:rFonts w:eastAsia="Times New Roman"/>
        </w:rPr>
      </w:pPr>
      <w:r w:rsidRPr="00456549">
        <w:rPr>
          <w:rFonts w:eastAsia="Times New Roman"/>
        </w:rPr>
        <w:t>Response to NEI White Paper, “Changes to NEI 10-04 and NEI 13-10 Guidance for Identifying</w:t>
      </w:r>
      <w:r w:rsidRPr="00456549">
        <w:rPr>
          <w:rFonts w:eastAsia="Times New Roman"/>
          <w:spacing w:val="-9"/>
        </w:rPr>
        <w:t xml:space="preserve"> </w:t>
      </w:r>
      <w:r w:rsidRPr="00456549">
        <w:rPr>
          <w:rFonts w:eastAsia="Times New Roman"/>
        </w:rPr>
        <w:t>and</w:t>
      </w:r>
      <w:r w:rsidRPr="00456549">
        <w:rPr>
          <w:rFonts w:eastAsia="Times New Roman"/>
          <w:spacing w:val="-9"/>
        </w:rPr>
        <w:t xml:space="preserve"> </w:t>
      </w:r>
      <w:r w:rsidRPr="00456549">
        <w:rPr>
          <w:rFonts w:eastAsia="Times New Roman"/>
        </w:rPr>
        <w:t>Protecting</w:t>
      </w:r>
      <w:r w:rsidRPr="00456549">
        <w:rPr>
          <w:rFonts w:eastAsia="Times New Roman"/>
          <w:spacing w:val="-9"/>
        </w:rPr>
        <w:t xml:space="preserve"> </w:t>
      </w:r>
      <w:r w:rsidRPr="00456549">
        <w:rPr>
          <w:rFonts w:eastAsia="Times New Roman"/>
        </w:rPr>
        <w:t>Digital</w:t>
      </w:r>
      <w:r w:rsidRPr="00456549">
        <w:rPr>
          <w:rFonts w:eastAsia="Times New Roman"/>
          <w:spacing w:val="-9"/>
        </w:rPr>
        <w:t xml:space="preserve"> </w:t>
      </w:r>
      <w:r w:rsidRPr="00456549">
        <w:rPr>
          <w:rFonts w:eastAsia="Times New Roman"/>
        </w:rPr>
        <w:t>Assets</w:t>
      </w:r>
      <w:r w:rsidRPr="00456549">
        <w:rPr>
          <w:rFonts w:eastAsia="Times New Roman"/>
          <w:spacing w:val="-9"/>
        </w:rPr>
        <w:t xml:space="preserve"> </w:t>
      </w:r>
      <w:r w:rsidRPr="00456549">
        <w:rPr>
          <w:rFonts w:eastAsia="Times New Roman"/>
        </w:rPr>
        <w:t>associated</w:t>
      </w:r>
      <w:r w:rsidRPr="00456549">
        <w:rPr>
          <w:rFonts w:eastAsia="Times New Roman"/>
          <w:spacing w:val="-9"/>
        </w:rPr>
        <w:t xml:space="preserve"> </w:t>
      </w:r>
      <w:r w:rsidRPr="00456549">
        <w:rPr>
          <w:rFonts w:eastAsia="Times New Roman"/>
        </w:rPr>
        <w:t>with</w:t>
      </w:r>
      <w:r w:rsidRPr="00456549">
        <w:rPr>
          <w:rFonts w:eastAsia="Times New Roman"/>
          <w:spacing w:val="-9"/>
        </w:rPr>
        <w:t xml:space="preserve"> </w:t>
      </w:r>
      <w:r w:rsidRPr="00456549">
        <w:rPr>
          <w:rFonts w:eastAsia="Times New Roman"/>
        </w:rPr>
        <w:t>Safety-Related</w:t>
      </w:r>
      <w:r w:rsidRPr="00456549">
        <w:rPr>
          <w:rFonts w:eastAsia="Times New Roman"/>
          <w:spacing w:val="-9"/>
        </w:rPr>
        <w:t xml:space="preserve"> </w:t>
      </w:r>
      <w:r w:rsidRPr="00456549">
        <w:rPr>
          <w:rFonts w:eastAsia="Times New Roman"/>
        </w:rPr>
        <w:t>and</w:t>
      </w:r>
      <w:r w:rsidRPr="00456549">
        <w:rPr>
          <w:rFonts w:eastAsia="Times New Roman"/>
          <w:spacing w:val="-9"/>
        </w:rPr>
        <w:t xml:space="preserve"> </w:t>
      </w:r>
      <w:r w:rsidRPr="00456549">
        <w:rPr>
          <w:rFonts w:eastAsia="Times New Roman"/>
        </w:rPr>
        <w:t>Important- to-Safety Functions,” Dated July 2020 (ML20199M368)</w:t>
      </w:r>
    </w:p>
    <w:p w14:paraId="1FEBD633" w14:textId="77777777" w:rsidR="00D47E44" w:rsidRPr="00456549" w:rsidRDefault="00D47E44" w:rsidP="00DC7F89">
      <w:pPr>
        <w:pStyle w:val="BodyText2"/>
        <w:rPr>
          <w:rFonts w:eastAsia="Times New Roman"/>
        </w:rPr>
      </w:pPr>
      <w:r w:rsidRPr="00456549">
        <w:rPr>
          <w:rFonts w:eastAsia="Times New Roman"/>
        </w:rPr>
        <w:t>Response</w:t>
      </w:r>
      <w:r w:rsidRPr="00456549">
        <w:rPr>
          <w:rFonts w:eastAsia="Times New Roman"/>
          <w:spacing w:val="-3"/>
        </w:rPr>
        <w:t xml:space="preserve"> </w:t>
      </w:r>
      <w:r w:rsidRPr="00456549">
        <w:rPr>
          <w:rFonts w:eastAsia="Times New Roman"/>
        </w:rPr>
        <w:t>to</w:t>
      </w:r>
      <w:r w:rsidRPr="00456549">
        <w:rPr>
          <w:rFonts w:eastAsia="Times New Roman"/>
          <w:spacing w:val="-3"/>
        </w:rPr>
        <w:t xml:space="preserve"> </w:t>
      </w:r>
      <w:r w:rsidRPr="00456549">
        <w:rPr>
          <w:rFonts w:eastAsia="Times New Roman"/>
        </w:rPr>
        <w:t>NEI</w:t>
      </w:r>
      <w:r w:rsidRPr="00456549">
        <w:rPr>
          <w:rFonts w:eastAsia="Times New Roman"/>
          <w:spacing w:val="-3"/>
        </w:rPr>
        <w:t xml:space="preserve"> </w:t>
      </w:r>
      <w:r w:rsidRPr="00456549">
        <w:rPr>
          <w:rFonts w:eastAsia="Times New Roman"/>
        </w:rPr>
        <w:t>White</w:t>
      </w:r>
      <w:r w:rsidRPr="00456549">
        <w:rPr>
          <w:rFonts w:eastAsia="Times New Roman"/>
          <w:spacing w:val="-3"/>
        </w:rPr>
        <w:t xml:space="preserve"> </w:t>
      </w:r>
      <w:r w:rsidRPr="00456549">
        <w:rPr>
          <w:rFonts w:eastAsia="Times New Roman"/>
        </w:rPr>
        <w:t>Paper,</w:t>
      </w:r>
      <w:r w:rsidRPr="00456549">
        <w:rPr>
          <w:rFonts w:eastAsia="Times New Roman"/>
          <w:spacing w:val="-3"/>
        </w:rPr>
        <w:t xml:space="preserve"> </w:t>
      </w:r>
      <w:r w:rsidRPr="00456549">
        <w:rPr>
          <w:rFonts w:eastAsia="Times New Roman"/>
        </w:rPr>
        <w:t>“Changes</w:t>
      </w:r>
      <w:r w:rsidRPr="00456549">
        <w:rPr>
          <w:rFonts w:eastAsia="Times New Roman"/>
          <w:spacing w:val="-3"/>
        </w:rPr>
        <w:t xml:space="preserve"> </w:t>
      </w:r>
      <w:r w:rsidRPr="00456549">
        <w:rPr>
          <w:rFonts w:eastAsia="Times New Roman"/>
        </w:rPr>
        <w:t>to</w:t>
      </w:r>
      <w:r w:rsidRPr="00456549">
        <w:rPr>
          <w:rFonts w:eastAsia="Times New Roman"/>
          <w:spacing w:val="-3"/>
        </w:rPr>
        <w:t xml:space="preserve"> </w:t>
      </w:r>
      <w:r w:rsidRPr="00456549">
        <w:rPr>
          <w:rFonts w:eastAsia="Times New Roman"/>
        </w:rPr>
        <w:t>NEI</w:t>
      </w:r>
      <w:r w:rsidRPr="00456549">
        <w:rPr>
          <w:rFonts w:eastAsia="Times New Roman"/>
          <w:spacing w:val="-3"/>
        </w:rPr>
        <w:t xml:space="preserve"> </w:t>
      </w:r>
      <w:r w:rsidRPr="00456549">
        <w:rPr>
          <w:rFonts w:eastAsia="Times New Roman"/>
        </w:rPr>
        <w:t>10-04</w:t>
      </w:r>
      <w:r w:rsidRPr="00456549">
        <w:rPr>
          <w:rFonts w:eastAsia="Times New Roman"/>
          <w:spacing w:val="-2"/>
        </w:rPr>
        <w:t xml:space="preserve"> </w:t>
      </w:r>
      <w:r w:rsidRPr="00456549">
        <w:rPr>
          <w:rFonts w:eastAsia="Times New Roman"/>
        </w:rPr>
        <w:t>and</w:t>
      </w:r>
      <w:r w:rsidRPr="00456549">
        <w:rPr>
          <w:rFonts w:eastAsia="Times New Roman"/>
          <w:spacing w:val="-4"/>
        </w:rPr>
        <w:t xml:space="preserve"> </w:t>
      </w:r>
      <w:r w:rsidRPr="00456549">
        <w:rPr>
          <w:rFonts w:eastAsia="Times New Roman"/>
        </w:rPr>
        <w:t>NEI</w:t>
      </w:r>
      <w:r w:rsidRPr="00456549">
        <w:rPr>
          <w:rFonts w:eastAsia="Times New Roman"/>
          <w:spacing w:val="-3"/>
        </w:rPr>
        <w:t xml:space="preserve"> </w:t>
      </w:r>
      <w:r w:rsidRPr="00456549">
        <w:rPr>
          <w:rFonts w:eastAsia="Times New Roman"/>
        </w:rPr>
        <w:t>13-10</w:t>
      </w:r>
      <w:r w:rsidRPr="00456549">
        <w:rPr>
          <w:rFonts w:eastAsia="Times New Roman"/>
          <w:spacing w:val="-3"/>
        </w:rPr>
        <w:t xml:space="preserve"> </w:t>
      </w:r>
      <w:r w:rsidRPr="00456549">
        <w:rPr>
          <w:rFonts w:eastAsia="Times New Roman"/>
        </w:rPr>
        <w:t>Guidance</w:t>
      </w:r>
      <w:r w:rsidRPr="00456549">
        <w:rPr>
          <w:rFonts w:eastAsia="Times New Roman"/>
          <w:spacing w:val="-3"/>
        </w:rPr>
        <w:t xml:space="preserve"> </w:t>
      </w:r>
      <w:r w:rsidRPr="00456549">
        <w:rPr>
          <w:rFonts w:eastAsia="Times New Roman"/>
        </w:rPr>
        <w:t>for</w:t>
      </w:r>
      <w:r w:rsidRPr="00456549">
        <w:rPr>
          <w:rFonts w:eastAsia="Times New Roman"/>
          <w:spacing w:val="-3"/>
        </w:rPr>
        <w:t xml:space="preserve"> </w:t>
      </w:r>
      <w:r w:rsidRPr="00456549">
        <w:rPr>
          <w:rFonts w:eastAsia="Times New Roman"/>
        </w:rPr>
        <w:t>Identifying and Protecting Digital Assets Associated with Security,” Dated June 2021 (ML21140A140)</w:t>
      </w:r>
    </w:p>
    <w:p w14:paraId="3585188D" w14:textId="77777777" w:rsidR="00D47E44" w:rsidRPr="00456549" w:rsidRDefault="00D47E44" w:rsidP="00DC7F89">
      <w:pPr>
        <w:pStyle w:val="BodyText2"/>
        <w:rPr>
          <w:rFonts w:eastAsia="Times New Roman"/>
          <w:spacing w:val="-2"/>
        </w:rPr>
      </w:pPr>
      <w:r w:rsidRPr="00456549">
        <w:rPr>
          <w:rFonts w:eastAsia="Times New Roman"/>
        </w:rPr>
        <w:t>NEI</w:t>
      </w:r>
      <w:r w:rsidRPr="00456549">
        <w:rPr>
          <w:rFonts w:eastAsia="Times New Roman"/>
          <w:spacing w:val="-10"/>
        </w:rPr>
        <w:t xml:space="preserve"> </w:t>
      </w:r>
      <w:r w:rsidRPr="00456549">
        <w:rPr>
          <w:rFonts w:eastAsia="Times New Roman"/>
        </w:rPr>
        <w:t>15-09,</w:t>
      </w:r>
      <w:r w:rsidRPr="00456549">
        <w:rPr>
          <w:rFonts w:eastAsia="Times New Roman"/>
          <w:spacing w:val="-9"/>
        </w:rPr>
        <w:t xml:space="preserve"> </w:t>
      </w:r>
      <w:r w:rsidRPr="00456549">
        <w:rPr>
          <w:rFonts w:eastAsia="Times New Roman"/>
        </w:rPr>
        <w:t>“Cybersecurity</w:t>
      </w:r>
      <w:r w:rsidRPr="00456549">
        <w:rPr>
          <w:rFonts w:eastAsia="Times New Roman"/>
          <w:spacing w:val="-9"/>
        </w:rPr>
        <w:t xml:space="preserve"> </w:t>
      </w:r>
      <w:r w:rsidRPr="00456549">
        <w:rPr>
          <w:rFonts w:eastAsia="Times New Roman"/>
        </w:rPr>
        <w:t>Event</w:t>
      </w:r>
      <w:r w:rsidRPr="00456549">
        <w:rPr>
          <w:rFonts w:eastAsia="Times New Roman"/>
          <w:spacing w:val="-9"/>
        </w:rPr>
        <w:t xml:space="preserve"> </w:t>
      </w:r>
      <w:r w:rsidRPr="00456549">
        <w:rPr>
          <w:rFonts w:eastAsia="Times New Roman"/>
        </w:rPr>
        <w:t>Notifications,”</w:t>
      </w:r>
      <w:r w:rsidRPr="00456549">
        <w:rPr>
          <w:rFonts w:eastAsia="Times New Roman"/>
          <w:spacing w:val="-9"/>
        </w:rPr>
        <w:t xml:space="preserve"> </w:t>
      </w:r>
      <w:r w:rsidRPr="00456549">
        <w:rPr>
          <w:rFonts w:eastAsia="Times New Roman"/>
        </w:rPr>
        <w:t>(Revision</w:t>
      </w:r>
      <w:r w:rsidRPr="00456549">
        <w:rPr>
          <w:rFonts w:eastAsia="Times New Roman"/>
          <w:spacing w:val="-10"/>
        </w:rPr>
        <w:t xml:space="preserve"> </w:t>
      </w:r>
      <w:r w:rsidRPr="00456549">
        <w:rPr>
          <w:rFonts w:eastAsia="Times New Roman"/>
        </w:rPr>
        <w:t>0,</w:t>
      </w:r>
      <w:r w:rsidRPr="00456549">
        <w:rPr>
          <w:rFonts w:eastAsia="Times New Roman"/>
          <w:spacing w:val="-10"/>
        </w:rPr>
        <w:t xml:space="preserve"> </w:t>
      </w:r>
      <w:r w:rsidRPr="00456549">
        <w:rPr>
          <w:rFonts w:eastAsia="Times New Roman"/>
          <w:spacing w:val="-2"/>
        </w:rPr>
        <w:t>ML16063A063)</w:t>
      </w:r>
    </w:p>
    <w:p w14:paraId="1AFC6378" w14:textId="123E222F" w:rsidR="00D47E44" w:rsidRPr="00456549" w:rsidRDefault="00D47E44" w:rsidP="00DC7F89">
      <w:pPr>
        <w:pStyle w:val="BodyText2"/>
        <w:rPr>
          <w:rFonts w:eastAsia="Times New Roman"/>
        </w:rPr>
      </w:pPr>
      <w:r w:rsidRPr="00456549">
        <w:rPr>
          <w:rFonts w:eastAsia="Times New Roman"/>
        </w:rPr>
        <w:t>Power</w:t>
      </w:r>
      <w:r w:rsidRPr="00456549">
        <w:rPr>
          <w:rFonts w:eastAsia="Times New Roman"/>
          <w:spacing w:val="-15"/>
        </w:rPr>
        <w:t xml:space="preserve"> </w:t>
      </w:r>
      <w:r w:rsidRPr="00456549">
        <w:rPr>
          <w:rFonts w:eastAsia="Times New Roman"/>
        </w:rPr>
        <w:t>Point</w:t>
      </w:r>
      <w:r w:rsidRPr="00456549">
        <w:rPr>
          <w:rFonts w:eastAsia="Times New Roman"/>
          <w:spacing w:val="-14"/>
        </w:rPr>
        <w:t xml:space="preserve"> </w:t>
      </w:r>
      <w:r w:rsidRPr="00456549">
        <w:rPr>
          <w:rFonts w:eastAsia="Times New Roman"/>
        </w:rPr>
        <w:t>Presentation</w:t>
      </w:r>
      <w:r w:rsidRPr="00456549">
        <w:rPr>
          <w:rFonts w:eastAsia="Times New Roman"/>
          <w:spacing w:val="-16"/>
        </w:rPr>
        <w:t xml:space="preserve"> </w:t>
      </w:r>
      <w:r w:rsidRPr="00456549">
        <w:rPr>
          <w:rFonts w:eastAsia="Times New Roman"/>
        </w:rPr>
        <w:t>describing</w:t>
      </w:r>
      <w:r w:rsidRPr="00456549">
        <w:rPr>
          <w:rFonts w:eastAsia="Times New Roman"/>
          <w:spacing w:val="-15"/>
        </w:rPr>
        <w:t xml:space="preserve"> </w:t>
      </w:r>
      <w:r w:rsidRPr="00456549">
        <w:rPr>
          <w:rFonts w:eastAsia="Times New Roman"/>
        </w:rPr>
        <w:t>the</w:t>
      </w:r>
      <w:r w:rsidRPr="00456549">
        <w:rPr>
          <w:rFonts w:eastAsia="Times New Roman"/>
          <w:spacing w:val="-14"/>
        </w:rPr>
        <w:t xml:space="preserve"> </w:t>
      </w:r>
      <w:r w:rsidRPr="00456549">
        <w:rPr>
          <w:rFonts w:eastAsia="Times New Roman"/>
        </w:rPr>
        <w:t>inspection</w:t>
      </w:r>
      <w:r w:rsidRPr="00456549">
        <w:rPr>
          <w:rFonts w:eastAsia="Times New Roman"/>
          <w:spacing w:val="-15"/>
        </w:rPr>
        <w:t xml:space="preserve"> </w:t>
      </w:r>
      <w:r w:rsidRPr="00456549">
        <w:rPr>
          <w:rFonts w:eastAsia="Times New Roman"/>
        </w:rPr>
        <w:t>and</w:t>
      </w:r>
      <w:r w:rsidRPr="00456549">
        <w:rPr>
          <w:rFonts w:eastAsia="Times New Roman"/>
          <w:spacing w:val="-16"/>
        </w:rPr>
        <w:t xml:space="preserve"> </w:t>
      </w:r>
      <w:r w:rsidRPr="00456549">
        <w:rPr>
          <w:rFonts w:eastAsia="Times New Roman"/>
        </w:rPr>
        <w:t>development</w:t>
      </w:r>
      <w:r w:rsidRPr="00456549">
        <w:rPr>
          <w:rFonts w:eastAsia="Times New Roman"/>
          <w:spacing w:val="-13"/>
        </w:rPr>
        <w:t xml:space="preserve"> </w:t>
      </w:r>
      <w:r w:rsidRPr="00456549">
        <w:rPr>
          <w:rFonts w:eastAsia="Times New Roman"/>
        </w:rPr>
        <w:t>history</w:t>
      </w:r>
      <w:r w:rsidRPr="00456549">
        <w:rPr>
          <w:rFonts w:eastAsia="Times New Roman"/>
          <w:spacing w:val="-16"/>
        </w:rPr>
        <w:t xml:space="preserve"> </w:t>
      </w:r>
      <w:r w:rsidRPr="00456549">
        <w:rPr>
          <w:rFonts w:eastAsia="Times New Roman"/>
        </w:rPr>
        <w:t>of</w:t>
      </w:r>
      <w:r w:rsidRPr="00456549">
        <w:rPr>
          <w:rFonts w:eastAsia="Times New Roman"/>
          <w:spacing w:val="-13"/>
        </w:rPr>
        <w:t xml:space="preserve"> </w:t>
      </w:r>
      <w:r w:rsidRPr="00456549">
        <w:rPr>
          <w:rFonts w:eastAsia="Times New Roman"/>
        </w:rPr>
        <w:t xml:space="preserve">cybersecurity </w:t>
      </w:r>
      <w:r w:rsidRPr="00456549">
        <w:rPr>
          <w:rFonts w:eastAsia="Times New Roman"/>
          <w:spacing w:val="-2"/>
        </w:rPr>
        <w:t>(ML20324A636)</w:t>
      </w:r>
      <w:r w:rsidR="003E0B5A">
        <w:rPr>
          <w:rFonts w:eastAsia="Times New Roman"/>
          <w:spacing w:val="-2"/>
        </w:rPr>
        <w:t xml:space="preserve"> </w:t>
      </w:r>
      <w:r w:rsidRPr="00456549">
        <w:rPr>
          <w:rFonts w:eastAsia="Times New Roman"/>
        </w:rPr>
        <w:t>SFAQ.</w:t>
      </w:r>
      <w:r w:rsidRPr="00456549">
        <w:rPr>
          <w:rFonts w:eastAsia="Times New Roman"/>
          <w:spacing w:val="40"/>
        </w:rPr>
        <w:t xml:space="preserve"> </w:t>
      </w:r>
      <w:r w:rsidRPr="00456549">
        <w:rPr>
          <w:rFonts w:eastAsia="Times New Roman"/>
        </w:rPr>
        <w:t>The</w:t>
      </w:r>
      <w:r w:rsidRPr="00456549">
        <w:rPr>
          <w:rFonts w:eastAsia="Times New Roman"/>
          <w:spacing w:val="-2"/>
        </w:rPr>
        <w:t xml:space="preserve"> </w:t>
      </w:r>
      <w:r w:rsidRPr="00456549">
        <w:rPr>
          <w:rFonts w:eastAsia="Times New Roman"/>
        </w:rPr>
        <w:t>SFAQ</w:t>
      </w:r>
      <w:r w:rsidRPr="00456549">
        <w:rPr>
          <w:rFonts w:eastAsia="Times New Roman"/>
          <w:spacing w:val="-4"/>
        </w:rPr>
        <w:t xml:space="preserve"> </w:t>
      </w:r>
      <w:r w:rsidRPr="00456549">
        <w:rPr>
          <w:rFonts w:eastAsia="Times New Roman"/>
        </w:rPr>
        <w:t>are</w:t>
      </w:r>
      <w:r w:rsidRPr="00456549">
        <w:rPr>
          <w:rFonts w:eastAsia="Times New Roman"/>
          <w:spacing w:val="-3"/>
        </w:rPr>
        <w:t xml:space="preserve"> </w:t>
      </w:r>
      <w:r w:rsidRPr="00456549">
        <w:rPr>
          <w:rFonts w:eastAsia="Times New Roman"/>
        </w:rPr>
        <w:t>considered</w:t>
      </w:r>
      <w:r w:rsidRPr="00456549">
        <w:rPr>
          <w:rFonts w:eastAsia="Times New Roman"/>
          <w:spacing w:val="-3"/>
        </w:rPr>
        <w:t xml:space="preserve"> </w:t>
      </w:r>
      <w:r w:rsidRPr="00456549">
        <w:rPr>
          <w:rFonts w:eastAsia="Times New Roman"/>
        </w:rPr>
        <w:t>“For</w:t>
      </w:r>
      <w:r w:rsidRPr="00456549">
        <w:rPr>
          <w:rFonts w:eastAsia="Times New Roman"/>
          <w:spacing w:val="-3"/>
        </w:rPr>
        <w:t xml:space="preserve"> </w:t>
      </w:r>
      <w:r w:rsidRPr="00456549">
        <w:rPr>
          <w:rFonts w:eastAsia="Times New Roman"/>
        </w:rPr>
        <w:t>Official</w:t>
      </w:r>
      <w:r w:rsidRPr="00456549">
        <w:rPr>
          <w:rFonts w:eastAsia="Times New Roman"/>
          <w:spacing w:val="-4"/>
        </w:rPr>
        <w:t xml:space="preserve"> </w:t>
      </w:r>
      <w:r w:rsidRPr="00456549">
        <w:rPr>
          <w:rFonts w:eastAsia="Times New Roman"/>
        </w:rPr>
        <w:t>Use</w:t>
      </w:r>
      <w:r w:rsidRPr="00456549">
        <w:rPr>
          <w:rFonts w:eastAsia="Times New Roman"/>
          <w:spacing w:val="-3"/>
        </w:rPr>
        <w:t xml:space="preserve"> </w:t>
      </w:r>
      <w:r w:rsidRPr="00456549">
        <w:rPr>
          <w:rFonts w:eastAsia="Times New Roman"/>
        </w:rPr>
        <w:t>Only</w:t>
      </w:r>
      <w:r w:rsidRPr="00456549">
        <w:rPr>
          <w:rFonts w:eastAsia="Times New Roman"/>
          <w:spacing w:val="-3"/>
        </w:rPr>
        <w:t xml:space="preserve"> </w:t>
      </w:r>
      <w:r w:rsidRPr="00456549">
        <w:rPr>
          <w:rFonts w:eastAsia="Times New Roman"/>
        </w:rPr>
        <w:t>–</w:t>
      </w:r>
      <w:r w:rsidRPr="00456549">
        <w:rPr>
          <w:rFonts w:eastAsia="Times New Roman"/>
          <w:spacing w:val="-3"/>
        </w:rPr>
        <w:t xml:space="preserve"> </w:t>
      </w:r>
      <w:r w:rsidRPr="00456549">
        <w:rPr>
          <w:rFonts w:eastAsia="Times New Roman"/>
        </w:rPr>
        <w:t>Security-Related</w:t>
      </w:r>
      <w:r w:rsidRPr="00456549">
        <w:rPr>
          <w:rFonts w:eastAsia="Times New Roman"/>
          <w:spacing w:val="-3"/>
        </w:rPr>
        <w:t xml:space="preserve"> </w:t>
      </w:r>
      <w:r w:rsidRPr="00456549">
        <w:rPr>
          <w:rFonts w:eastAsia="Times New Roman"/>
        </w:rPr>
        <w:t>Information”</w:t>
      </w:r>
      <w:r w:rsidRPr="00456549">
        <w:rPr>
          <w:rFonts w:eastAsia="Times New Roman"/>
          <w:spacing w:val="-3"/>
        </w:rPr>
        <w:t xml:space="preserve"> </w:t>
      </w:r>
      <w:r w:rsidRPr="00456549">
        <w:rPr>
          <w:rFonts w:eastAsia="Times New Roman"/>
        </w:rPr>
        <w:t>and are available, upon request, to stakeholders with appropriate need to know.</w:t>
      </w:r>
    </w:p>
    <w:p w14:paraId="18ADA38F" w14:textId="77777777" w:rsidR="007A5699" w:rsidRDefault="007A5699" w:rsidP="009534BB">
      <w:pPr>
        <w:pStyle w:val="END"/>
      </w:pPr>
      <w:r>
        <w:t>END</w:t>
      </w:r>
    </w:p>
    <w:p w14:paraId="36825A5B" w14:textId="77777777" w:rsidR="009534BB" w:rsidRDefault="009534BB" w:rsidP="009534BB">
      <w:pPr>
        <w:pStyle w:val="BodyText"/>
      </w:pPr>
    </w:p>
    <w:p w14:paraId="53F3C9BA" w14:textId="1ADCFB7E" w:rsidR="009534BB" w:rsidRPr="009534BB" w:rsidRDefault="009534BB" w:rsidP="009534BB">
      <w:pPr>
        <w:pStyle w:val="BodyText"/>
        <w:sectPr w:rsidR="009534BB" w:rsidRPr="009534BB" w:rsidSect="00D54C3F">
          <w:footerReference w:type="default" r:id="rId12"/>
          <w:pgSz w:w="12240" w:h="15840"/>
          <w:pgMar w:top="1440" w:right="1440" w:bottom="1440" w:left="1440" w:header="720" w:footer="720" w:gutter="0"/>
          <w:cols w:space="720"/>
          <w:noEndnote/>
          <w:docGrid w:linePitch="299"/>
        </w:sectPr>
      </w:pPr>
    </w:p>
    <w:p w14:paraId="62CC6110" w14:textId="77777777" w:rsidR="00D47E44" w:rsidRPr="00456549" w:rsidRDefault="00D47E44" w:rsidP="009534BB">
      <w:pPr>
        <w:pStyle w:val="attachmenttitle"/>
        <w:rPr>
          <w:spacing w:val="-2"/>
        </w:rPr>
      </w:pPr>
      <w:r w:rsidRPr="00456549">
        <w:lastRenderedPageBreak/>
        <w:t>Attachment</w:t>
      </w:r>
      <w:r w:rsidRPr="00456549">
        <w:rPr>
          <w:spacing w:val="-6"/>
        </w:rPr>
        <w:t xml:space="preserve"> </w:t>
      </w:r>
      <w:r w:rsidRPr="00456549">
        <w:t>1:</w:t>
      </w:r>
      <w:r w:rsidRPr="00456549">
        <w:rPr>
          <w:spacing w:val="50"/>
        </w:rPr>
        <w:t xml:space="preserve"> </w:t>
      </w:r>
      <w:r w:rsidRPr="00456549">
        <w:t>Revision</w:t>
      </w:r>
      <w:r w:rsidRPr="00456549">
        <w:rPr>
          <w:spacing w:val="-7"/>
        </w:rPr>
        <w:t xml:space="preserve"> </w:t>
      </w:r>
      <w:r w:rsidRPr="00456549">
        <w:t>History</w:t>
      </w:r>
      <w:r w:rsidRPr="00456549">
        <w:rPr>
          <w:spacing w:val="-5"/>
        </w:rPr>
        <w:t xml:space="preserve"> </w:t>
      </w:r>
      <w:r w:rsidRPr="00456549">
        <w:t>for</w:t>
      </w:r>
      <w:r w:rsidRPr="00456549">
        <w:rPr>
          <w:spacing w:val="-6"/>
        </w:rPr>
        <w:t xml:space="preserve"> </w:t>
      </w:r>
      <w:r w:rsidRPr="00456549">
        <w:t>IP</w:t>
      </w:r>
      <w:r w:rsidRPr="00456549">
        <w:rPr>
          <w:spacing w:val="-5"/>
        </w:rPr>
        <w:t xml:space="preserve"> </w:t>
      </w:r>
      <w:r w:rsidRPr="00456549">
        <w:rPr>
          <w:spacing w:val="-2"/>
        </w:rPr>
        <w:t>81000.13</w:t>
      </w:r>
    </w:p>
    <w:tbl>
      <w:tblPr>
        <w:tblStyle w:val="IM"/>
        <w:tblW w:w="12960" w:type="dxa"/>
        <w:tblLayout w:type="fixed"/>
        <w:tblLook w:val="0000" w:firstRow="0" w:lastRow="0" w:firstColumn="0" w:lastColumn="0" w:noHBand="0" w:noVBand="0"/>
      </w:tblPr>
      <w:tblGrid>
        <w:gridCol w:w="1479"/>
        <w:gridCol w:w="1661"/>
        <w:gridCol w:w="5400"/>
        <w:gridCol w:w="1890"/>
        <w:gridCol w:w="2530"/>
      </w:tblGrid>
      <w:tr w:rsidR="00D47E44" w:rsidRPr="00456549" w14:paraId="04A176E2" w14:textId="77777777" w:rsidTr="006954FD">
        <w:trPr>
          <w:trHeight w:val="1396"/>
        </w:trPr>
        <w:tc>
          <w:tcPr>
            <w:tcW w:w="1479" w:type="dxa"/>
          </w:tcPr>
          <w:p w14:paraId="0A7D690E" w14:textId="77777777" w:rsidR="00D47E44" w:rsidRPr="00456549" w:rsidRDefault="00D47E44" w:rsidP="006A447F">
            <w:pPr>
              <w:pStyle w:val="BodyText-table"/>
            </w:pPr>
            <w:r w:rsidRPr="00456549">
              <w:t>Commitment Tracking Number</w:t>
            </w:r>
          </w:p>
        </w:tc>
        <w:tc>
          <w:tcPr>
            <w:tcW w:w="1661" w:type="dxa"/>
          </w:tcPr>
          <w:p w14:paraId="0833FDEE" w14:textId="77777777" w:rsidR="00D47E44" w:rsidRPr="00456549" w:rsidRDefault="00D47E44" w:rsidP="006A447F">
            <w:pPr>
              <w:pStyle w:val="BodyText-table"/>
            </w:pPr>
            <w:r w:rsidRPr="00456549">
              <w:t>Accession Number Issue Date</w:t>
            </w:r>
          </w:p>
          <w:p w14:paraId="4DA13DA5" w14:textId="77777777" w:rsidR="00D47E44" w:rsidRPr="00456549" w:rsidRDefault="00D47E44" w:rsidP="006A447F">
            <w:pPr>
              <w:pStyle w:val="BodyText-table"/>
            </w:pPr>
            <w:r w:rsidRPr="00456549">
              <w:t>Change Notice</w:t>
            </w:r>
          </w:p>
        </w:tc>
        <w:tc>
          <w:tcPr>
            <w:tcW w:w="5400" w:type="dxa"/>
          </w:tcPr>
          <w:p w14:paraId="3DC6C6E5" w14:textId="77777777" w:rsidR="00D47E44" w:rsidRPr="00456549" w:rsidRDefault="00D47E44" w:rsidP="006A447F">
            <w:pPr>
              <w:pStyle w:val="BodyText-table"/>
            </w:pPr>
            <w:r w:rsidRPr="00456549">
              <w:t>Description of Change</w:t>
            </w:r>
          </w:p>
        </w:tc>
        <w:tc>
          <w:tcPr>
            <w:tcW w:w="1890" w:type="dxa"/>
          </w:tcPr>
          <w:p w14:paraId="0DC924DF" w14:textId="77777777" w:rsidR="00D47E44" w:rsidRPr="00456549" w:rsidRDefault="00D47E44" w:rsidP="006A447F">
            <w:pPr>
              <w:pStyle w:val="BodyText-table"/>
            </w:pPr>
            <w:r w:rsidRPr="00456549">
              <w:t>Description of Training Required and Completion Date</w:t>
            </w:r>
          </w:p>
        </w:tc>
        <w:tc>
          <w:tcPr>
            <w:tcW w:w="2530" w:type="dxa"/>
          </w:tcPr>
          <w:p w14:paraId="78984524" w14:textId="77777777" w:rsidR="00D47E44" w:rsidRPr="00456549" w:rsidRDefault="00D47E44" w:rsidP="006A447F">
            <w:pPr>
              <w:pStyle w:val="BodyText-table"/>
            </w:pPr>
            <w:r w:rsidRPr="00456549">
              <w:t>Comment Resolution and Closed Feedback Form Accession Number (Pre- Decisional, Non-Public Information)</w:t>
            </w:r>
          </w:p>
        </w:tc>
      </w:tr>
      <w:tr w:rsidR="00D47E44" w:rsidRPr="00456549" w14:paraId="0E4140DB" w14:textId="77777777" w:rsidTr="006954FD">
        <w:tc>
          <w:tcPr>
            <w:tcW w:w="1479" w:type="dxa"/>
          </w:tcPr>
          <w:p w14:paraId="415A78DE" w14:textId="77777777" w:rsidR="00D47E44" w:rsidRPr="00456549" w:rsidRDefault="00D47E44" w:rsidP="006A447F">
            <w:pPr>
              <w:pStyle w:val="BodyText-table"/>
            </w:pPr>
            <w:r w:rsidRPr="00456549">
              <w:t>N/A</w:t>
            </w:r>
          </w:p>
        </w:tc>
        <w:tc>
          <w:tcPr>
            <w:tcW w:w="1661" w:type="dxa"/>
          </w:tcPr>
          <w:p w14:paraId="46DBC267" w14:textId="45C8194F" w:rsidR="00D47E44" w:rsidRDefault="00D47E44" w:rsidP="006A447F">
            <w:pPr>
              <w:pStyle w:val="BodyText-table"/>
            </w:pPr>
            <w:r w:rsidRPr="00456549">
              <w:t>ML</w:t>
            </w:r>
            <w:r w:rsidR="006A447F">
              <w:t>25191A026</w:t>
            </w:r>
          </w:p>
          <w:p w14:paraId="48DB5007" w14:textId="5BEB5534" w:rsidR="006A447F" w:rsidRDefault="00D54C3F" w:rsidP="006A447F">
            <w:pPr>
              <w:pStyle w:val="BodyText-table"/>
            </w:pPr>
            <w:r>
              <w:t>12/16/25</w:t>
            </w:r>
          </w:p>
          <w:p w14:paraId="77BDB684" w14:textId="77DFF7D4" w:rsidR="00D47E44" w:rsidRPr="00456549" w:rsidRDefault="006A447F" w:rsidP="006954FD">
            <w:pPr>
              <w:pStyle w:val="BodyText-table"/>
            </w:pPr>
            <w:r>
              <w:t>CN</w:t>
            </w:r>
            <w:r w:rsidR="002F58A2">
              <w:t xml:space="preserve"> 25-034</w:t>
            </w:r>
          </w:p>
        </w:tc>
        <w:tc>
          <w:tcPr>
            <w:tcW w:w="5400" w:type="dxa"/>
          </w:tcPr>
          <w:p w14:paraId="440FE2A2" w14:textId="325129C6" w:rsidR="00D47E44" w:rsidRPr="00456549" w:rsidRDefault="00D47E44" w:rsidP="006A447F">
            <w:pPr>
              <w:pStyle w:val="BodyText-table"/>
            </w:pPr>
            <w:r w:rsidRPr="00456549">
              <w:t xml:space="preserve">First issuance. This is a program inspection to support post ROP start-up of a 10 CFR Part 50 facility that has been in a decommissioned state. </w:t>
            </w:r>
          </w:p>
        </w:tc>
        <w:tc>
          <w:tcPr>
            <w:tcW w:w="1890" w:type="dxa"/>
          </w:tcPr>
          <w:p w14:paraId="30764448" w14:textId="77777777" w:rsidR="00D47E44" w:rsidRPr="00456549" w:rsidRDefault="00D47E44" w:rsidP="006A447F">
            <w:pPr>
              <w:pStyle w:val="BodyText-table"/>
            </w:pPr>
            <w:r w:rsidRPr="00456549">
              <w:t>None</w:t>
            </w:r>
          </w:p>
        </w:tc>
        <w:tc>
          <w:tcPr>
            <w:tcW w:w="2530" w:type="dxa"/>
          </w:tcPr>
          <w:p w14:paraId="4426596B" w14:textId="46E1EF94" w:rsidR="00D47E44" w:rsidRPr="00456549" w:rsidRDefault="00D47E44" w:rsidP="006A447F">
            <w:pPr>
              <w:pStyle w:val="BodyText-table"/>
            </w:pPr>
            <w:r w:rsidRPr="00456549">
              <w:t>ML</w:t>
            </w:r>
            <w:r w:rsidR="00BF6F5F">
              <w:t>25254A220</w:t>
            </w:r>
          </w:p>
        </w:tc>
      </w:tr>
    </w:tbl>
    <w:p w14:paraId="3D4EF3CE" w14:textId="090E33EE" w:rsidR="00DC35A8" w:rsidRDefault="00DC35A8" w:rsidP="009A05A9">
      <w:pPr>
        <w:pStyle w:val="BodyText"/>
      </w:pPr>
    </w:p>
    <w:sectPr w:rsidR="00DC35A8" w:rsidSect="009A05A9">
      <w:footerReference w:type="default" r:id="rId13"/>
      <w:pgSz w:w="15840" w:h="12240" w:orient="landscape"/>
      <w:pgMar w:top="1440" w:right="1440" w:bottom="1440" w:left="1440" w:header="720" w:footer="720" w:gutter="0"/>
      <w:pgNumType w:start="1"/>
      <w:cols w:space="720" w:equalWidth="0">
        <w:col w:w="129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7749" w14:textId="77777777" w:rsidR="00FE42E8" w:rsidRDefault="00FE42E8" w:rsidP="00C76350">
      <w:pPr>
        <w:spacing w:after="0" w:line="240" w:lineRule="auto"/>
      </w:pPr>
      <w:r>
        <w:separator/>
      </w:r>
    </w:p>
  </w:endnote>
  <w:endnote w:type="continuationSeparator" w:id="0">
    <w:p w14:paraId="4758F725" w14:textId="77777777" w:rsidR="00FE42E8" w:rsidRDefault="00FE42E8" w:rsidP="00C7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01E0" w14:textId="76F0B8A1" w:rsidR="00FD54C1" w:rsidRPr="00EB74F5" w:rsidRDefault="00972FB2" w:rsidP="00A71FCB">
    <w:pPr>
      <w:pStyle w:val="Footer"/>
      <w:widowControl/>
      <w:autoSpaceDE/>
      <w:autoSpaceDN/>
      <w:adjustRightInd/>
      <w:spacing w:after="220"/>
    </w:pPr>
    <w:bookmarkStart w:id="13" w:name="_Hlk214886831"/>
    <w:bookmarkStart w:id="14" w:name="_Hlk214886832"/>
    <w:r>
      <w:t>Issue Date:</w:t>
    </w:r>
    <w:r w:rsidR="00A121AE">
      <w:t xml:space="preserve"> 12/16/25</w:t>
    </w:r>
    <w:r>
      <w:tab/>
    </w:r>
    <w:sdt>
      <w:sdtPr>
        <w:id w:val="912581533"/>
        <w:docPartObj>
          <w:docPartGallery w:val="Page Numbers (Bottom of Page)"/>
          <w:docPartUnique/>
        </w:docPartObj>
      </w:sdtPr>
      <w:sdtEndPr>
        <w:rPr>
          <w:noProof/>
        </w:rPr>
      </w:sdtEndPr>
      <w:sdtContent>
        <w:r w:rsidR="00FA6CC3">
          <w:fldChar w:fldCharType="begin"/>
        </w:r>
        <w:r w:rsidR="00FA6CC3">
          <w:instrText xml:space="preserve"> PAGE   \* MERGEFORMAT </w:instrText>
        </w:r>
        <w:r w:rsidR="00FA6CC3">
          <w:fldChar w:fldCharType="separate"/>
        </w:r>
        <w:r w:rsidR="00FA6CC3">
          <w:rPr>
            <w:noProof/>
          </w:rPr>
          <w:t>2</w:t>
        </w:r>
        <w:r w:rsidR="00FA6CC3">
          <w:rPr>
            <w:noProof/>
          </w:rPr>
          <w:fldChar w:fldCharType="end"/>
        </w:r>
      </w:sdtContent>
    </w:sdt>
    <w:r w:rsidR="00520BDB">
      <w:rPr>
        <w:noProof/>
      </w:rPr>
      <w:tab/>
    </w:r>
    <w:r w:rsidR="00840BEB">
      <w:rPr>
        <w:noProof/>
      </w:rPr>
      <w:t>81000.13</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A78B" w14:textId="20373B56" w:rsidR="001F5F31" w:rsidRPr="001C320E" w:rsidRDefault="001C320E" w:rsidP="00D54C3F">
    <w:pPr>
      <w:tabs>
        <w:tab w:val="center" w:pos="4680"/>
        <w:tab w:val="right" w:pos="9360"/>
      </w:tabs>
      <w:spacing w:after="0" w:line="240" w:lineRule="auto"/>
    </w:pPr>
    <w:r w:rsidRPr="001C320E">
      <w:rPr>
        <w:rFonts w:cs="Arial"/>
      </w:rPr>
      <w:t>Issue Date:</w:t>
    </w:r>
    <w:r w:rsidR="00D54C3F">
      <w:rPr>
        <w:rFonts w:cs="Arial"/>
      </w:rPr>
      <w:t xml:space="preserve"> </w:t>
    </w:r>
    <w:r w:rsidR="00D54C3F">
      <w:t>12/16/25</w:t>
    </w:r>
    <w:r w:rsidRPr="001C320E">
      <w:rPr>
        <w:rFonts w:cs="Arial"/>
      </w:rPr>
      <w:ptab w:relativeTo="margin" w:alignment="center" w:leader="none"/>
    </w:r>
    <w:r w:rsidRPr="001C320E">
      <w:rPr>
        <w:rFonts w:cs="Arial"/>
      </w:rPr>
      <w:t>Att1-</w:t>
    </w:r>
    <w:r w:rsidRPr="001C320E">
      <w:rPr>
        <w:rFonts w:cs="Arial"/>
      </w:rPr>
      <w:fldChar w:fldCharType="begin"/>
    </w:r>
    <w:r w:rsidRPr="001C320E">
      <w:rPr>
        <w:rFonts w:cs="Arial"/>
      </w:rPr>
      <w:instrText xml:space="preserve"> PAGE   \* MERGEFORMAT </w:instrText>
    </w:r>
    <w:r w:rsidRPr="001C320E">
      <w:rPr>
        <w:rFonts w:cs="Arial"/>
      </w:rPr>
      <w:fldChar w:fldCharType="separate"/>
    </w:r>
    <w:r w:rsidRPr="001C320E">
      <w:rPr>
        <w:rFonts w:cs="Arial"/>
      </w:rPr>
      <w:t>1</w:t>
    </w:r>
    <w:r w:rsidRPr="001C320E">
      <w:rPr>
        <w:rFonts w:cs="Arial"/>
        <w:noProof/>
      </w:rPr>
      <w:fldChar w:fldCharType="end"/>
    </w:r>
    <w:r w:rsidRPr="001C320E">
      <w:rPr>
        <w:rFonts w:cs="Arial"/>
      </w:rPr>
      <w:ptab w:relativeTo="margin" w:alignment="right" w:leader="none"/>
    </w:r>
    <w:r>
      <w:rPr>
        <w:rFonts w:cs="Arial"/>
      </w:rPr>
      <w:t>81</w:t>
    </w:r>
    <w:r w:rsidRPr="001C320E">
      <w:rPr>
        <w:rFonts w:cs="Arial"/>
      </w:rPr>
      <w:t>000.1</w:t>
    </w:r>
    <w:r>
      <w:rPr>
        <w:rFonts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081A" w14:textId="77777777" w:rsidR="00FE42E8" w:rsidRDefault="00FE42E8" w:rsidP="00C76350">
      <w:pPr>
        <w:spacing w:after="0" w:line="240" w:lineRule="auto"/>
      </w:pPr>
      <w:r>
        <w:separator/>
      </w:r>
    </w:p>
  </w:footnote>
  <w:footnote w:type="continuationSeparator" w:id="0">
    <w:p w14:paraId="5416CD94" w14:textId="77777777" w:rsidR="00FE42E8" w:rsidRDefault="00FE42E8" w:rsidP="00C76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1C6129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346D34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402"/>
    <w:multiLevelType w:val="multilevel"/>
    <w:tmpl w:val="FFFFFFFF"/>
    <w:lvl w:ilvl="0">
      <w:start w:val="1"/>
      <w:numFmt w:val="decimalZero"/>
      <w:lvlText w:val="%1"/>
      <w:lvlJc w:val="left"/>
      <w:pPr>
        <w:ind w:left="1490" w:hanging="721"/>
      </w:pPr>
    </w:lvl>
    <w:lvl w:ilvl="1">
      <w:start w:val="1"/>
      <w:numFmt w:val="decimalZero"/>
      <w:lvlText w:val="%1.%2"/>
      <w:lvlJc w:val="left"/>
      <w:pPr>
        <w:ind w:left="1490" w:hanging="721"/>
      </w:pPr>
      <w:rPr>
        <w:rFonts w:ascii="Arial" w:hAnsi="Arial" w:cs="Arial"/>
        <w:b w:val="0"/>
        <w:bCs w:val="0"/>
        <w:i w:val="0"/>
        <w:iCs w:val="0"/>
        <w:spacing w:val="0"/>
        <w:w w:val="99"/>
        <w:sz w:val="22"/>
        <w:szCs w:val="22"/>
      </w:rPr>
    </w:lvl>
    <w:lvl w:ilvl="2">
      <w:numFmt w:val="bullet"/>
      <w:lvlText w:val="•"/>
      <w:lvlJc w:val="left"/>
      <w:pPr>
        <w:ind w:left="3246" w:hanging="721"/>
      </w:pPr>
    </w:lvl>
    <w:lvl w:ilvl="3">
      <w:numFmt w:val="bullet"/>
      <w:lvlText w:val="•"/>
      <w:lvlJc w:val="left"/>
      <w:pPr>
        <w:ind w:left="4124" w:hanging="721"/>
      </w:pPr>
    </w:lvl>
    <w:lvl w:ilvl="4">
      <w:numFmt w:val="bullet"/>
      <w:lvlText w:val="•"/>
      <w:lvlJc w:val="left"/>
      <w:pPr>
        <w:ind w:left="5002" w:hanging="721"/>
      </w:pPr>
    </w:lvl>
    <w:lvl w:ilvl="5">
      <w:numFmt w:val="bullet"/>
      <w:lvlText w:val="•"/>
      <w:lvlJc w:val="left"/>
      <w:pPr>
        <w:ind w:left="5880" w:hanging="721"/>
      </w:pPr>
    </w:lvl>
    <w:lvl w:ilvl="6">
      <w:numFmt w:val="bullet"/>
      <w:lvlText w:val="•"/>
      <w:lvlJc w:val="left"/>
      <w:pPr>
        <w:ind w:left="6758" w:hanging="721"/>
      </w:pPr>
    </w:lvl>
    <w:lvl w:ilvl="7">
      <w:numFmt w:val="bullet"/>
      <w:lvlText w:val="•"/>
      <w:lvlJc w:val="left"/>
      <w:pPr>
        <w:ind w:left="7636" w:hanging="721"/>
      </w:pPr>
    </w:lvl>
    <w:lvl w:ilvl="8">
      <w:numFmt w:val="bullet"/>
      <w:lvlText w:val="•"/>
      <w:lvlJc w:val="left"/>
      <w:pPr>
        <w:ind w:left="8514" w:hanging="721"/>
      </w:pPr>
    </w:lvl>
  </w:abstractNum>
  <w:abstractNum w:abstractNumId="3" w15:restartNumberingAfterBreak="0">
    <w:nsid w:val="00000403"/>
    <w:multiLevelType w:val="multilevel"/>
    <w:tmpl w:val="FFFFFFFF"/>
    <w:lvl w:ilvl="0">
      <w:start w:val="2"/>
      <w:numFmt w:val="decimalZero"/>
      <w:lvlText w:val="%1"/>
      <w:lvlJc w:val="left"/>
      <w:pPr>
        <w:ind w:left="860" w:hanging="721"/>
      </w:pPr>
    </w:lvl>
    <w:lvl w:ilvl="1">
      <w:start w:val="1"/>
      <w:numFmt w:val="decimalZero"/>
      <w:lvlText w:val="%1.%2"/>
      <w:lvlJc w:val="left"/>
      <w:pPr>
        <w:ind w:left="721" w:hanging="721"/>
      </w:pPr>
      <w:rPr>
        <w:rFonts w:ascii="Arial" w:hAnsi="Arial" w:cs="Arial"/>
        <w:b w:val="0"/>
        <w:bCs w:val="0"/>
        <w:i w:val="0"/>
        <w:iCs w:val="0"/>
        <w:spacing w:val="0"/>
        <w:w w:val="99"/>
        <w:sz w:val="22"/>
        <w:szCs w:val="22"/>
      </w:rPr>
    </w:lvl>
    <w:lvl w:ilvl="2">
      <w:numFmt w:val="bullet"/>
      <w:lvlText w:val="•"/>
      <w:lvlJc w:val="left"/>
      <w:pPr>
        <w:ind w:left="2616" w:hanging="721"/>
      </w:pPr>
    </w:lvl>
    <w:lvl w:ilvl="3">
      <w:numFmt w:val="bullet"/>
      <w:lvlText w:val="•"/>
      <w:lvlJc w:val="left"/>
      <w:pPr>
        <w:ind w:left="3494" w:hanging="721"/>
      </w:pPr>
    </w:lvl>
    <w:lvl w:ilvl="4">
      <w:numFmt w:val="bullet"/>
      <w:lvlText w:val="•"/>
      <w:lvlJc w:val="left"/>
      <w:pPr>
        <w:ind w:left="4372" w:hanging="721"/>
      </w:pPr>
    </w:lvl>
    <w:lvl w:ilvl="5">
      <w:numFmt w:val="bullet"/>
      <w:lvlText w:val="•"/>
      <w:lvlJc w:val="left"/>
      <w:pPr>
        <w:ind w:left="5250" w:hanging="721"/>
      </w:pPr>
    </w:lvl>
    <w:lvl w:ilvl="6">
      <w:numFmt w:val="bullet"/>
      <w:lvlText w:val="•"/>
      <w:lvlJc w:val="left"/>
      <w:pPr>
        <w:ind w:left="6128" w:hanging="721"/>
      </w:pPr>
    </w:lvl>
    <w:lvl w:ilvl="7">
      <w:numFmt w:val="bullet"/>
      <w:lvlText w:val="•"/>
      <w:lvlJc w:val="left"/>
      <w:pPr>
        <w:ind w:left="7006" w:hanging="721"/>
      </w:pPr>
    </w:lvl>
    <w:lvl w:ilvl="8">
      <w:numFmt w:val="bullet"/>
      <w:lvlText w:val="•"/>
      <w:lvlJc w:val="left"/>
      <w:pPr>
        <w:ind w:left="7884" w:hanging="721"/>
      </w:pPr>
    </w:lvl>
  </w:abstractNum>
  <w:abstractNum w:abstractNumId="4" w15:restartNumberingAfterBreak="0">
    <w:nsid w:val="00000404"/>
    <w:multiLevelType w:val="multilevel"/>
    <w:tmpl w:val="5402261E"/>
    <w:lvl w:ilvl="0">
      <w:start w:val="3"/>
      <w:numFmt w:val="decimalZero"/>
      <w:lvlText w:val="%1"/>
      <w:lvlJc w:val="left"/>
      <w:pPr>
        <w:ind w:left="859" w:hanging="721"/>
      </w:pPr>
      <w:rPr>
        <w:rFonts w:hint="default"/>
      </w:rPr>
    </w:lvl>
    <w:lvl w:ilvl="1">
      <w:start w:val="1"/>
      <w:numFmt w:val="decimalZero"/>
      <w:lvlText w:val="%1.%2"/>
      <w:lvlJc w:val="left"/>
      <w:pPr>
        <w:ind w:left="677" w:hanging="539"/>
      </w:pPr>
      <w:rPr>
        <w:rFonts w:ascii="Arial" w:hAnsi="Arial" w:cs="Arial" w:hint="default"/>
        <w:b w:val="0"/>
        <w:bCs w:val="0"/>
        <w:i w:val="0"/>
        <w:iCs w:val="0"/>
        <w:spacing w:val="0"/>
        <w:w w:val="99"/>
        <w:sz w:val="22"/>
        <w:szCs w:val="22"/>
      </w:rPr>
    </w:lvl>
    <w:lvl w:ilvl="2">
      <w:start w:val="1"/>
      <w:numFmt w:val="lowerLetter"/>
      <w:lvlText w:val="%3."/>
      <w:lvlJc w:val="left"/>
      <w:pPr>
        <w:ind w:left="860" w:hanging="360"/>
      </w:pPr>
      <w:rPr>
        <w:rFonts w:ascii="Arial" w:hAnsi="Arial" w:cs="Arial" w:hint="default"/>
        <w:b/>
        <w:bCs/>
        <w:i w:val="0"/>
        <w:iCs w:val="0"/>
        <w:spacing w:val="-1"/>
        <w:w w:val="99"/>
        <w:sz w:val="22"/>
        <w:szCs w:val="22"/>
      </w:rPr>
    </w:lvl>
    <w:lvl w:ilvl="3">
      <w:start w:val="1"/>
      <w:numFmt w:val="decimal"/>
      <w:lvlText w:val="%4."/>
      <w:lvlJc w:val="left"/>
      <w:pPr>
        <w:ind w:left="1220" w:hanging="360"/>
      </w:pPr>
      <w:rPr>
        <w:rFonts w:ascii="Arial" w:hAnsi="Arial" w:cs="Arial" w:hint="default"/>
        <w:b w:val="0"/>
        <w:bCs w:val="0"/>
        <w:i w:val="0"/>
        <w:iCs w:val="0"/>
        <w:spacing w:val="-1"/>
        <w:w w:val="99"/>
        <w:sz w:val="22"/>
        <w:szCs w:val="22"/>
      </w:rPr>
    </w:lvl>
    <w:lvl w:ilvl="4">
      <w:numFmt w:val="bullet"/>
      <w:lvlText w:val=""/>
      <w:lvlJc w:val="left"/>
      <w:pPr>
        <w:ind w:left="1580" w:hanging="360"/>
      </w:pPr>
      <w:rPr>
        <w:rFonts w:ascii="Symbol" w:hAnsi="Symbol" w:cs="Symbol" w:hint="default"/>
        <w:b w:val="0"/>
        <w:bCs w:val="0"/>
        <w:i w:val="0"/>
        <w:iCs w:val="0"/>
        <w:spacing w:val="0"/>
        <w:w w:val="98"/>
        <w:sz w:val="22"/>
        <w:szCs w:val="22"/>
      </w:rPr>
    </w:lvl>
    <w:lvl w:ilvl="5">
      <w:numFmt w:val="bullet"/>
      <w:lvlText w:val="•"/>
      <w:lvlJc w:val="left"/>
      <w:pPr>
        <w:ind w:left="4602" w:hanging="360"/>
      </w:pPr>
      <w:rPr>
        <w:rFonts w:hint="default"/>
      </w:rPr>
    </w:lvl>
    <w:lvl w:ilvl="6">
      <w:numFmt w:val="bullet"/>
      <w:lvlText w:val="•"/>
      <w:lvlJc w:val="left"/>
      <w:pPr>
        <w:ind w:left="5610" w:hanging="360"/>
      </w:pPr>
      <w:rPr>
        <w:rFonts w:hint="default"/>
      </w:rPr>
    </w:lvl>
    <w:lvl w:ilvl="7">
      <w:numFmt w:val="bullet"/>
      <w:lvlText w:val="•"/>
      <w:lvlJc w:val="left"/>
      <w:pPr>
        <w:ind w:left="6617" w:hanging="360"/>
      </w:pPr>
      <w:rPr>
        <w:rFonts w:hint="default"/>
      </w:rPr>
    </w:lvl>
    <w:lvl w:ilvl="8">
      <w:numFmt w:val="bullet"/>
      <w:lvlText w:val="•"/>
      <w:lvlJc w:val="left"/>
      <w:pPr>
        <w:ind w:left="7625" w:hanging="360"/>
      </w:pPr>
      <w:rPr>
        <w:rFonts w:hint="default"/>
      </w:rPr>
    </w:lvl>
  </w:abstractNum>
  <w:abstractNum w:abstractNumId="5" w15:restartNumberingAfterBreak="0">
    <w:nsid w:val="00000405"/>
    <w:multiLevelType w:val="multilevel"/>
    <w:tmpl w:val="FFFFFFFF"/>
    <w:lvl w:ilvl="0">
      <w:start w:val="1"/>
      <w:numFmt w:val="decimal"/>
      <w:lvlText w:val="%1."/>
      <w:lvlJc w:val="left"/>
      <w:pPr>
        <w:ind w:left="1081" w:hanging="360"/>
      </w:pPr>
      <w:rPr>
        <w:rFonts w:ascii="Arial" w:hAnsi="Arial" w:cs="Arial"/>
        <w:b w:val="0"/>
        <w:bCs w:val="0"/>
        <w:i w:val="0"/>
        <w:iCs w:val="0"/>
        <w:spacing w:val="-10"/>
        <w:w w:val="99"/>
        <w:sz w:val="22"/>
        <w:szCs w:val="22"/>
      </w:rPr>
    </w:lvl>
    <w:lvl w:ilvl="1">
      <w:numFmt w:val="bullet"/>
      <w:lvlText w:val="•"/>
      <w:lvlJc w:val="left"/>
      <w:pPr>
        <w:ind w:left="1923" w:hanging="360"/>
      </w:pPr>
    </w:lvl>
    <w:lvl w:ilvl="2">
      <w:numFmt w:val="bullet"/>
      <w:lvlText w:val="•"/>
      <w:lvlJc w:val="left"/>
      <w:pPr>
        <w:ind w:left="2765" w:hanging="360"/>
      </w:pPr>
    </w:lvl>
    <w:lvl w:ilvl="3">
      <w:numFmt w:val="bullet"/>
      <w:lvlText w:val="•"/>
      <w:lvlJc w:val="left"/>
      <w:pPr>
        <w:ind w:left="3607" w:hanging="360"/>
      </w:pPr>
    </w:lvl>
    <w:lvl w:ilvl="4">
      <w:numFmt w:val="bullet"/>
      <w:lvlText w:val="•"/>
      <w:lvlJc w:val="left"/>
      <w:pPr>
        <w:ind w:left="4449" w:hanging="360"/>
      </w:pPr>
    </w:lvl>
    <w:lvl w:ilvl="5">
      <w:numFmt w:val="bullet"/>
      <w:lvlText w:val="•"/>
      <w:lvlJc w:val="left"/>
      <w:pPr>
        <w:ind w:left="5291" w:hanging="360"/>
      </w:pPr>
    </w:lvl>
    <w:lvl w:ilvl="6">
      <w:numFmt w:val="bullet"/>
      <w:lvlText w:val="•"/>
      <w:lvlJc w:val="left"/>
      <w:pPr>
        <w:ind w:left="6133" w:hanging="360"/>
      </w:pPr>
    </w:lvl>
    <w:lvl w:ilvl="7">
      <w:numFmt w:val="bullet"/>
      <w:lvlText w:val="•"/>
      <w:lvlJc w:val="left"/>
      <w:pPr>
        <w:ind w:left="6975" w:hanging="360"/>
      </w:pPr>
    </w:lvl>
    <w:lvl w:ilvl="8">
      <w:numFmt w:val="bullet"/>
      <w:lvlText w:val="•"/>
      <w:lvlJc w:val="left"/>
      <w:pPr>
        <w:ind w:left="7817" w:hanging="360"/>
      </w:pPr>
    </w:lvl>
  </w:abstractNum>
  <w:abstractNum w:abstractNumId="6" w15:restartNumberingAfterBreak="0">
    <w:nsid w:val="05F77D4F"/>
    <w:multiLevelType w:val="hybridMultilevel"/>
    <w:tmpl w:val="E37EEA78"/>
    <w:lvl w:ilvl="0" w:tplc="04090001">
      <w:start w:val="1"/>
      <w:numFmt w:val="bullet"/>
      <w:lvlText w:val=""/>
      <w:lvlJc w:val="left"/>
      <w:pPr>
        <w:ind w:left="2103" w:hanging="360"/>
      </w:pPr>
      <w:rPr>
        <w:rFonts w:ascii="Symbol" w:hAnsi="Symbol" w:hint="default"/>
      </w:rPr>
    </w:lvl>
    <w:lvl w:ilvl="1" w:tplc="04090003" w:tentative="1">
      <w:start w:val="1"/>
      <w:numFmt w:val="bullet"/>
      <w:lvlText w:val="o"/>
      <w:lvlJc w:val="left"/>
      <w:pPr>
        <w:ind w:left="2823" w:hanging="360"/>
      </w:pPr>
      <w:rPr>
        <w:rFonts w:ascii="Courier New" w:hAnsi="Courier New" w:cs="Courier New" w:hint="default"/>
      </w:rPr>
    </w:lvl>
    <w:lvl w:ilvl="2" w:tplc="04090005" w:tentative="1">
      <w:start w:val="1"/>
      <w:numFmt w:val="bullet"/>
      <w:lvlText w:val=""/>
      <w:lvlJc w:val="left"/>
      <w:pPr>
        <w:ind w:left="3543" w:hanging="360"/>
      </w:pPr>
      <w:rPr>
        <w:rFonts w:ascii="Wingdings" w:hAnsi="Wingdings" w:hint="default"/>
      </w:rPr>
    </w:lvl>
    <w:lvl w:ilvl="3" w:tplc="04090001" w:tentative="1">
      <w:start w:val="1"/>
      <w:numFmt w:val="bullet"/>
      <w:lvlText w:val=""/>
      <w:lvlJc w:val="left"/>
      <w:pPr>
        <w:ind w:left="4263" w:hanging="360"/>
      </w:pPr>
      <w:rPr>
        <w:rFonts w:ascii="Symbol" w:hAnsi="Symbol" w:hint="default"/>
      </w:rPr>
    </w:lvl>
    <w:lvl w:ilvl="4" w:tplc="04090003" w:tentative="1">
      <w:start w:val="1"/>
      <w:numFmt w:val="bullet"/>
      <w:lvlText w:val="o"/>
      <w:lvlJc w:val="left"/>
      <w:pPr>
        <w:ind w:left="4983" w:hanging="360"/>
      </w:pPr>
      <w:rPr>
        <w:rFonts w:ascii="Courier New" w:hAnsi="Courier New" w:cs="Courier New" w:hint="default"/>
      </w:rPr>
    </w:lvl>
    <w:lvl w:ilvl="5" w:tplc="04090005" w:tentative="1">
      <w:start w:val="1"/>
      <w:numFmt w:val="bullet"/>
      <w:lvlText w:val=""/>
      <w:lvlJc w:val="left"/>
      <w:pPr>
        <w:ind w:left="5703" w:hanging="360"/>
      </w:pPr>
      <w:rPr>
        <w:rFonts w:ascii="Wingdings" w:hAnsi="Wingdings" w:hint="default"/>
      </w:rPr>
    </w:lvl>
    <w:lvl w:ilvl="6" w:tplc="04090001" w:tentative="1">
      <w:start w:val="1"/>
      <w:numFmt w:val="bullet"/>
      <w:lvlText w:val=""/>
      <w:lvlJc w:val="left"/>
      <w:pPr>
        <w:ind w:left="6423" w:hanging="360"/>
      </w:pPr>
      <w:rPr>
        <w:rFonts w:ascii="Symbol" w:hAnsi="Symbol" w:hint="default"/>
      </w:rPr>
    </w:lvl>
    <w:lvl w:ilvl="7" w:tplc="04090003" w:tentative="1">
      <w:start w:val="1"/>
      <w:numFmt w:val="bullet"/>
      <w:lvlText w:val="o"/>
      <w:lvlJc w:val="left"/>
      <w:pPr>
        <w:ind w:left="7143" w:hanging="360"/>
      </w:pPr>
      <w:rPr>
        <w:rFonts w:ascii="Courier New" w:hAnsi="Courier New" w:cs="Courier New" w:hint="default"/>
      </w:rPr>
    </w:lvl>
    <w:lvl w:ilvl="8" w:tplc="04090005" w:tentative="1">
      <w:start w:val="1"/>
      <w:numFmt w:val="bullet"/>
      <w:lvlText w:val=""/>
      <w:lvlJc w:val="left"/>
      <w:pPr>
        <w:ind w:left="7863" w:hanging="360"/>
      </w:pPr>
      <w:rPr>
        <w:rFonts w:ascii="Wingdings" w:hAnsi="Wingdings" w:hint="default"/>
      </w:rPr>
    </w:lvl>
  </w:abstractNum>
  <w:abstractNum w:abstractNumId="7" w15:restartNumberingAfterBreak="0">
    <w:nsid w:val="0D8311AE"/>
    <w:multiLevelType w:val="hybridMultilevel"/>
    <w:tmpl w:val="CC6AB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F57D1D"/>
    <w:multiLevelType w:val="hybridMultilevel"/>
    <w:tmpl w:val="F7C02096"/>
    <w:lvl w:ilvl="0" w:tplc="623AD53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BE1FC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223F7F56"/>
    <w:multiLevelType w:val="multilevel"/>
    <w:tmpl w:val="E542AFB8"/>
    <w:lvl w:ilvl="0">
      <w:start w:val="3"/>
      <w:numFmt w:val="decimalZero"/>
      <w:lvlText w:val="%1"/>
      <w:lvlJc w:val="left"/>
      <w:pPr>
        <w:ind w:left="540" w:hanging="540"/>
      </w:pPr>
      <w:rPr>
        <w:rFonts w:hint="default"/>
      </w:rPr>
    </w:lvl>
    <w:lvl w:ilvl="1">
      <w:start w:val="1"/>
      <w:numFmt w:val="decimalZero"/>
      <w:lvlText w:val="%1.%2"/>
      <w:lvlJc w:val="left"/>
      <w:pPr>
        <w:ind w:left="432" w:hanging="292"/>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1" w15:restartNumberingAfterBreak="0">
    <w:nsid w:val="25975DC6"/>
    <w:multiLevelType w:val="multilevel"/>
    <w:tmpl w:val="085C30C8"/>
    <w:lvl w:ilvl="0">
      <w:start w:val="2"/>
      <w:numFmt w:val="decimalZero"/>
      <w:lvlText w:val="%1"/>
      <w:lvlJc w:val="left"/>
      <w:pPr>
        <w:ind w:left="840" w:hanging="720"/>
      </w:pPr>
      <w:rPr>
        <w:rFonts w:hint="default"/>
        <w:lang w:val="en-US" w:eastAsia="en-US" w:bidi="ar-SA"/>
      </w:rPr>
    </w:lvl>
    <w:lvl w:ilvl="1">
      <w:start w:val="1"/>
      <w:numFmt w:val="decimalZero"/>
      <w:lvlText w:val="%1.%2"/>
      <w:lvlJc w:val="left"/>
      <w:pPr>
        <w:ind w:left="4140" w:hanging="720"/>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042" w:hanging="526"/>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2942" w:hanging="526"/>
      </w:pPr>
      <w:rPr>
        <w:rFonts w:hint="default"/>
        <w:lang w:val="en-US" w:eastAsia="en-US" w:bidi="ar-SA"/>
      </w:rPr>
    </w:lvl>
    <w:lvl w:ilvl="4">
      <w:numFmt w:val="bullet"/>
      <w:lvlText w:val="•"/>
      <w:lvlJc w:val="left"/>
      <w:pPr>
        <w:ind w:left="3893" w:hanging="526"/>
      </w:pPr>
      <w:rPr>
        <w:rFonts w:hint="default"/>
        <w:lang w:val="en-US" w:eastAsia="en-US" w:bidi="ar-SA"/>
      </w:rPr>
    </w:lvl>
    <w:lvl w:ilvl="5">
      <w:numFmt w:val="bullet"/>
      <w:lvlText w:val="•"/>
      <w:lvlJc w:val="left"/>
      <w:pPr>
        <w:ind w:left="4844" w:hanging="526"/>
      </w:pPr>
      <w:rPr>
        <w:rFonts w:hint="default"/>
        <w:lang w:val="en-US" w:eastAsia="en-US" w:bidi="ar-SA"/>
      </w:rPr>
    </w:lvl>
    <w:lvl w:ilvl="6">
      <w:numFmt w:val="bullet"/>
      <w:lvlText w:val="•"/>
      <w:lvlJc w:val="left"/>
      <w:pPr>
        <w:ind w:left="5795" w:hanging="526"/>
      </w:pPr>
      <w:rPr>
        <w:rFonts w:hint="default"/>
        <w:lang w:val="en-US" w:eastAsia="en-US" w:bidi="ar-SA"/>
      </w:rPr>
    </w:lvl>
    <w:lvl w:ilvl="7">
      <w:numFmt w:val="bullet"/>
      <w:lvlText w:val="•"/>
      <w:lvlJc w:val="left"/>
      <w:pPr>
        <w:ind w:left="6746" w:hanging="526"/>
      </w:pPr>
      <w:rPr>
        <w:rFonts w:hint="default"/>
        <w:lang w:val="en-US" w:eastAsia="en-US" w:bidi="ar-SA"/>
      </w:rPr>
    </w:lvl>
    <w:lvl w:ilvl="8">
      <w:numFmt w:val="bullet"/>
      <w:lvlText w:val="•"/>
      <w:lvlJc w:val="left"/>
      <w:pPr>
        <w:ind w:left="7697" w:hanging="526"/>
      </w:pPr>
      <w:rPr>
        <w:rFonts w:hint="default"/>
        <w:lang w:val="en-US" w:eastAsia="en-US" w:bidi="ar-SA"/>
      </w:rPr>
    </w:lvl>
  </w:abstractNum>
  <w:abstractNum w:abstractNumId="12" w15:restartNumberingAfterBreak="0">
    <w:nsid w:val="278D115A"/>
    <w:multiLevelType w:val="multilevel"/>
    <w:tmpl w:val="C714C7C6"/>
    <w:lvl w:ilvl="0">
      <w:start w:val="2"/>
      <w:numFmt w:val="decimalZero"/>
      <w:lvlText w:val="%1"/>
      <w:lvlJc w:val="left"/>
      <w:pPr>
        <w:ind w:left="540" w:hanging="540"/>
      </w:pPr>
      <w:rPr>
        <w:rFonts w:hint="default"/>
      </w:rPr>
    </w:lvl>
    <w:lvl w:ilvl="1">
      <w:start w:val="1"/>
      <w:numFmt w:val="decimalZero"/>
      <w:lvlText w:val="%1.%2"/>
      <w:lvlJc w:val="left"/>
      <w:pPr>
        <w:ind w:left="680" w:hanging="54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3" w15:restartNumberingAfterBreak="0">
    <w:nsid w:val="3266236D"/>
    <w:multiLevelType w:val="hybridMultilevel"/>
    <w:tmpl w:val="6BEEF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9F365F"/>
    <w:multiLevelType w:val="multilevel"/>
    <w:tmpl w:val="E604B498"/>
    <w:lvl w:ilvl="0">
      <w:start w:val="2"/>
      <w:numFmt w:val="decimalZero"/>
      <w:lvlText w:val="%1"/>
      <w:lvlJc w:val="left"/>
      <w:pPr>
        <w:ind w:left="540" w:hanging="540"/>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B764A6"/>
    <w:multiLevelType w:val="hybridMultilevel"/>
    <w:tmpl w:val="E6028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022902"/>
    <w:multiLevelType w:val="hybridMultilevel"/>
    <w:tmpl w:val="51EAD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DA0848"/>
    <w:multiLevelType w:val="hybridMultilevel"/>
    <w:tmpl w:val="11066A78"/>
    <w:lvl w:ilvl="0" w:tplc="1FD6B2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581716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60415A9E"/>
    <w:multiLevelType w:val="multilevel"/>
    <w:tmpl w:val="62F029F4"/>
    <w:lvl w:ilvl="0">
      <w:start w:val="2"/>
      <w:numFmt w:val="decimalZero"/>
      <w:lvlText w:val="%1"/>
      <w:lvlJc w:val="left"/>
      <w:pPr>
        <w:ind w:left="540" w:hanging="540"/>
      </w:pPr>
      <w:rPr>
        <w:rFonts w:hint="default"/>
      </w:rPr>
    </w:lvl>
    <w:lvl w:ilvl="1">
      <w:start w:val="1"/>
      <w:numFmt w:val="decimalZero"/>
      <w:lvlText w:val="%1.%2"/>
      <w:lvlJc w:val="left"/>
      <w:pPr>
        <w:ind w:left="678" w:hanging="54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0" w15:restartNumberingAfterBreak="0">
    <w:nsid w:val="6560647F"/>
    <w:multiLevelType w:val="multilevel"/>
    <w:tmpl w:val="40429AFA"/>
    <w:lvl w:ilvl="0">
      <w:start w:val="2"/>
      <w:numFmt w:val="decimalZero"/>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9D0AC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2" w15:restartNumberingAfterBreak="0">
    <w:nsid w:val="7BFF41ED"/>
    <w:multiLevelType w:val="hybridMultilevel"/>
    <w:tmpl w:val="CEFC21EC"/>
    <w:lvl w:ilvl="0" w:tplc="B9989AF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0C4FE1"/>
    <w:multiLevelType w:val="hybridMultilevel"/>
    <w:tmpl w:val="458EB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177469">
    <w:abstractNumId w:val="5"/>
  </w:num>
  <w:num w:numId="2" w16cid:durableId="1804733637">
    <w:abstractNumId w:val="4"/>
  </w:num>
  <w:num w:numId="3" w16cid:durableId="388843016">
    <w:abstractNumId w:val="3"/>
  </w:num>
  <w:num w:numId="4" w16cid:durableId="1988777361">
    <w:abstractNumId w:val="2"/>
  </w:num>
  <w:num w:numId="5" w16cid:durableId="1764184425">
    <w:abstractNumId w:val="11"/>
  </w:num>
  <w:num w:numId="6" w16cid:durableId="2003241204">
    <w:abstractNumId w:val="19"/>
  </w:num>
  <w:num w:numId="7" w16cid:durableId="1056010303">
    <w:abstractNumId w:val="14"/>
  </w:num>
  <w:num w:numId="8" w16cid:durableId="1228303887">
    <w:abstractNumId w:val="8"/>
  </w:num>
  <w:num w:numId="9" w16cid:durableId="148401542">
    <w:abstractNumId w:val="20"/>
  </w:num>
  <w:num w:numId="10" w16cid:durableId="1360743272">
    <w:abstractNumId w:val="17"/>
  </w:num>
  <w:num w:numId="11" w16cid:durableId="1275750121">
    <w:abstractNumId w:val="10"/>
  </w:num>
  <w:num w:numId="12" w16cid:durableId="285504985">
    <w:abstractNumId w:val="22"/>
  </w:num>
  <w:num w:numId="13" w16cid:durableId="1172793105">
    <w:abstractNumId w:val="12"/>
  </w:num>
  <w:num w:numId="14" w16cid:durableId="1317370520">
    <w:abstractNumId w:val="23"/>
  </w:num>
  <w:num w:numId="15" w16cid:durableId="600603570">
    <w:abstractNumId w:val="13"/>
  </w:num>
  <w:num w:numId="16" w16cid:durableId="1946648387">
    <w:abstractNumId w:val="6"/>
  </w:num>
  <w:num w:numId="17" w16cid:durableId="588465414">
    <w:abstractNumId w:val="16"/>
  </w:num>
  <w:num w:numId="18" w16cid:durableId="914513929">
    <w:abstractNumId w:val="1"/>
  </w:num>
  <w:num w:numId="19" w16cid:durableId="366218541">
    <w:abstractNumId w:val="1"/>
  </w:num>
  <w:num w:numId="20" w16cid:durableId="1221789429">
    <w:abstractNumId w:val="1"/>
  </w:num>
  <w:num w:numId="21" w16cid:durableId="807435988">
    <w:abstractNumId w:val="1"/>
  </w:num>
  <w:num w:numId="22" w16cid:durableId="789132385">
    <w:abstractNumId w:val="1"/>
  </w:num>
  <w:num w:numId="23" w16cid:durableId="1354577265">
    <w:abstractNumId w:val="1"/>
  </w:num>
  <w:num w:numId="24" w16cid:durableId="1907495243">
    <w:abstractNumId w:val="9"/>
  </w:num>
  <w:num w:numId="25" w16cid:durableId="1726219997">
    <w:abstractNumId w:val="18"/>
  </w:num>
  <w:num w:numId="26" w16cid:durableId="1573664852">
    <w:abstractNumId w:val="21"/>
  </w:num>
  <w:num w:numId="27" w16cid:durableId="396132170">
    <w:abstractNumId w:val="7"/>
  </w:num>
  <w:num w:numId="28" w16cid:durableId="618606505">
    <w:abstractNumId w:val="15"/>
  </w:num>
  <w:num w:numId="29" w16cid:durableId="2038965980">
    <w:abstractNumId w:val="0"/>
  </w:num>
  <w:num w:numId="30" w16cid:durableId="1529677596">
    <w:abstractNumId w:val="0"/>
  </w:num>
  <w:num w:numId="31" w16cid:durableId="1409229770">
    <w:abstractNumId w:val="0"/>
  </w:num>
  <w:num w:numId="32" w16cid:durableId="955066545">
    <w:abstractNumId w:val="0"/>
  </w:num>
  <w:num w:numId="33" w16cid:durableId="165242858">
    <w:abstractNumId w:val="0"/>
  </w:num>
  <w:num w:numId="34" w16cid:durableId="262568968">
    <w:abstractNumId w:val="0"/>
  </w:num>
  <w:num w:numId="35" w16cid:durableId="39007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44"/>
    <w:rsid w:val="0000271F"/>
    <w:rsid w:val="0000275B"/>
    <w:rsid w:val="00005DA6"/>
    <w:rsid w:val="0000785C"/>
    <w:rsid w:val="0002091D"/>
    <w:rsid w:val="00022B48"/>
    <w:rsid w:val="00024332"/>
    <w:rsid w:val="0003087A"/>
    <w:rsid w:val="000308D1"/>
    <w:rsid w:val="000323B0"/>
    <w:rsid w:val="00032B88"/>
    <w:rsid w:val="00033BAB"/>
    <w:rsid w:val="00040C57"/>
    <w:rsid w:val="0004103C"/>
    <w:rsid w:val="0004195C"/>
    <w:rsid w:val="0004283B"/>
    <w:rsid w:val="0004776B"/>
    <w:rsid w:val="00051C70"/>
    <w:rsid w:val="00051F1E"/>
    <w:rsid w:val="0005282F"/>
    <w:rsid w:val="00055A8B"/>
    <w:rsid w:val="0006109B"/>
    <w:rsid w:val="00062108"/>
    <w:rsid w:val="00062A1B"/>
    <w:rsid w:val="00062E0B"/>
    <w:rsid w:val="00063E1F"/>
    <w:rsid w:val="00065652"/>
    <w:rsid w:val="0007018F"/>
    <w:rsid w:val="000701F6"/>
    <w:rsid w:val="00071676"/>
    <w:rsid w:val="00073EB1"/>
    <w:rsid w:val="000749FD"/>
    <w:rsid w:val="000752AD"/>
    <w:rsid w:val="000760C5"/>
    <w:rsid w:val="00076441"/>
    <w:rsid w:val="00076927"/>
    <w:rsid w:val="0007705C"/>
    <w:rsid w:val="0008180D"/>
    <w:rsid w:val="00081EAF"/>
    <w:rsid w:val="00083AF4"/>
    <w:rsid w:val="00084E96"/>
    <w:rsid w:val="00086CC6"/>
    <w:rsid w:val="0009089F"/>
    <w:rsid w:val="000912F4"/>
    <w:rsid w:val="00094E7E"/>
    <w:rsid w:val="000A25D9"/>
    <w:rsid w:val="000A402E"/>
    <w:rsid w:val="000A4739"/>
    <w:rsid w:val="000A7EA9"/>
    <w:rsid w:val="000B08F1"/>
    <w:rsid w:val="000B11E2"/>
    <w:rsid w:val="000B7D4C"/>
    <w:rsid w:val="000C0A18"/>
    <w:rsid w:val="000C2697"/>
    <w:rsid w:val="000D5152"/>
    <w:rsid w:val="000D7A84"/>
    <w:rsid w:val="000E0C72"/>
    <w:rsid w:val="000E45BE"/>
    <w:rsid w:val="000E4C92"/>
    <w:rsid w:val="000E7F59"/>
    <w:rsid w:val="000F14AB"/>
    <w:rsid w:val="000F6DF6"/>
    <w:rsid w:val="001007AD"/>
    <w:rsid w:val="001007DE"/>
    <w:rsid w:val="00102BD0"/>
    <w:rsid w:val="00105EB9"/>
    <w:rsid w:val="00110318"/>
    <w:rsid w:val="0011152B"/>
    <w:rsid w:val="00111A57"/>
    <w:rsid w:val="00112E09"/>
    <w:rsid w:val="001142A3"/>
    <w:rsid w:val="00115639"/>
    <w:rsid w:val="001165F0"/>
    <w:rsid w:val="001175B5"/>
    <w:rsid w:val="0012243D"/>
    <w:rsid w:val="001227A0"/>
    <w:rsid w:val="00123C0F"/>
    <w:rsid w:val="0012494D"/>
    <w:rsid w:val="001261CA"/>
    <w:rsid w:val="00127AAD"/>
    <w:rsid w:val="00135CEE"/>
    <w:rsid w:val="0014699B"/>
    <w:rsid w:val="00147EF7"/>
    <w:rsid w:val="00150303"/>
    <w:rsid w:val="001537FF"/>
    <w:rsid w:val="00153F0A"/>
    <w:rsid w:val="00153FAB"/>
    <w:rsid w:val="00163299"/>
    <w:rsid w:val="00167CB4"/>
    <w:rsid w:val="001717E7"/>
    <w:rsid w:val="00175C45"/>
    <w:rsid w:val="0017645E"/>
    <w:rsid w:val="0017772E"/>
    <w:rsid w:val="001814B3"/>
    <w:rsid w:val="00182512"/>
    <w:rsid w:val="00184D9A"/>
    <w:rsid w:val="00186ABE"/>
    <w:rsid w:val="00191127"/>
    <w:rsid w:val="001A14D8"/>
    <w:rsid w:val="001A2BE4"/>
    <w:rsid w:val="001A42B5"/>
    <w:rsid w:val="001B068B"/>
    <w:rsid w:val="001B0828"/>
    <w:rsid w:val="001B1BF3"/>
    <w:rsid w:val="001B7C46"/>
    <w:rsid w:val="001C14AE"/>
    <w:rsid w:val="001C263E"/>
    <w:rsid w:val="001C320E"/>
    <w:rsid w:val="001C513B"/>
    <w:rsid w:val="001C759D"/>
    <w:rsid w:val="001C7CA3"/>
    <w:rsid w:val="001D0ACF"/>
    <w:rsid w:val="001D2ACA"/>
    <w:rsid w:val="001D4725"/>
    <w:rsid w:val="001E0028"/>
    <w:rsid w:val="001E24B4"/>
    <w:rsid w:val="001E457F"/>
    <w:rsid w:val="001E5265"/>
    <w:rsid w:val="001E6615"/>
    <w:rsid w:val="001E67E0"/>
    <w:rsid w:val="001E6DCB"/>
    <w:rsid w:val="001F29A8"/>
    <w:rsid w:val="001F5D10"/>
    <w:rsid w:val="001F5F31"/>
    <w:rsid w:val="001F7FD3"/>
    <w:rsid w:val="002017FD"/>
    <w:rsid w:val="00203DC8"/>
    <w:rsid w:val="00207368"/>
    <w:rsid w:val="00207D0A"/>
    <w:rsid w:val="00210B9B"/>
    <w:rsid w:val="00211873"/>
    <w:rsid w:val="002150C0"/>
    <w:rsid w:val="00215455"/>
    <w:rsid w:val="00215A8C"/>
    <w:rsid w:val="002206CA"/>
    <w:rsid w:val="00222B19"/>
    <w:rsid w:val="00226479"/>
    <w:rsid w:val="00230500"/>
    <w:rsid w:val="00233106"/>
    <w:rsid w:val="0023317D"/>
    <w:rsid w:val="00233958"/>
    <w:rsid w:val="00235412"/>
    <w:rsid w:val="002375E3"/>
    <w:rsid w:val="00247310"/>
    <w:rsid w:val="00251C8D"/>
    <w:rsid w:val="00253ED1"/>
    <w:rsid w:val="00254504"/>
    <w:rsid w:val="002545C6"/>
    <w:rsid w:val="00255369"/>
    <w:rsid w:val="00270D31"/>
    <w:rsid w:val="00274C43"/>
    <w:rsid w:val="00276DAD"/>
    <w:rsid w:val="00280B8A"/>
    <w:rsid w:val="00283B7E"/>
    <w:rsid w:val="00283FFB"/>
    <w:rsid w:val="00287432"/>
    <w:rsid w:val="00287688"/>
    <w:rsid w:val="002A0C15"/>
    <w:rsid w:val="002A32EB"/>
    <w:rsid w:val="002A7EB3"/>
    <w:rsid w:val="002B4F16"/>
    <w:rsid w:val="002B7848"/>
    <w:rsid w:val="002C0117"/>
    <w:rsid w:val="002C0AB0"/>
    <w:rsid w:val="002C2650"/>
    <w:rsid w:val="002C4DA1"/>
    <w:rsid w:val="002C7DCE"/>
    <w:rsid w:val="002D39F0"/>
    <w:rsid w:val="002D3BCF"/>
    <w:rsid w:val="002D447B"/>
    <w:rsid w:val="002D7D65"/>
    <w:rsid w:val="002E3BC6"/>
    <w:rsid w:val="002E56F8"/>
    <w:rsid w:val="002E6FD7"/>
    <w:rsid w:val="002E7C28"/>
    <w:rsid w:val="002F2C1D"/>
    <w:rsid w:val="002F3C15"/>
    <w:rsid w:val="002F47FF"/>
    <w:rsid w:val="002F48F9"/>
    <w:rsid w:val="002F58A2"/>
    <w:rsid w:val="002F6AB4"/>
    <w:rsid w:val="002F7531"/>
    <w:rsid w:val="0030109D"/>
    <w:rsid w:val="003015E0"/>
    <w:rsid w:val="00305770"/>
    <w:rsid w:val="003117A1"/>
    <w:rsid w:val="00314241"/>
    <w:rsid w:val="00314D39"/>
    <w:rsid w:val="00316E86"/>
    <w:rsid w:val="00320E6E"/>
    <w:rsid w:val="00324836"/>
    <w:rsid w:val="003268C3"/>
    <w:rsid w:val="0033135D"/>
    <w:rsid w:val="0033515F"/>
    <w:rsid w:val="00335F83"/>
    <w:rsid w:val="00337DF4"/>
    <w:rsid w:val="003410C7"/>
    <w:rsid w:val="0034603B"/>
    <w:rsid w:val="00347D6D"/>
    <w:rsid w:val="0035080F"/>
    <w:rsid w:val="00351A61"/>
    <w:rsid w:val="00351B01"/>
    <w:rsid w:val="0036678B"/>
    <w:rsid w:val="00367044"/>
    <w:rsid w:val="00371E83"/>
    <w:rsid w:val="0037326A"/>
    <w:rsid w:val="00373D25"/>
    <w:rsid w:val="00376897"/>
    <w:rsid w:val="00383F21"/>
    <w:rsid w:val="00387E93"/>
    <w:rsid w:val="0039508B"/>
    <w:rsid w:val="00397FC0"/>
    <w:rsid w:val="003A07B0"/>
    <w:rsid w:val="003A17F4"/>
    <w:rsid w:val="003A26DD"/>
    <w:rsid w:val="003A38BF"/>
    <w:rsid w:val="003A45C0"/>
    <w:rsid w:val="003A684A"/>
    <w:rsid w:val="003A6F8E"/>
    <w:rsid w:val="003B1651"/>
    <w:rsid w:val="003B2305"/>
    <w:rsid w:val="003B2631"/>
    <w:rsid w:val="003B2E1D"/>
    <w:rsid w:val="003B3DBF"/>
    <w:rsid w:val="003B479E"/>
    <w:rsid w:val="003B75B2"/>
    <w:rsid w:val="003C04C8"/>
    <w:rsid w:val="003C36BB"/>
    <w:rsid w:val="003C66CB"/>
    <w:rsid w:val="003D06BE"/>
    <w:rsid w:val="003D3623"/>
    <w:rsid w:val="003D41EF"/>
    <w:rsid w:val="003D6516"/>
    <w:rsid w:val="003E0B5A"/>
    <w:rsid w:val="003E1063"/>
    <w:rsid w:val="003E25DB"/>
    <w:rsid w:val="003E2BDE"/>
    <w:rsid w:val="003E36FE"/>
    <w:rsid w:val="003E77BB"/>
    <w:rsid w:val="003E787C"/>
    <w:rsid w:val="003F265E"/>
    <w:rsid w:val="003F5C57"/>
    <w:rsid w:val="003F7C9A"/>
    <w:rsid w:val="00401B38"/>
    <w:rsid w:val="0040235A"/>
    <w:rsid w:val="004075B3"/>
    <w:rsid w:val="00411598"/>
    <w:rsid w:val="004147B3"/>
    <w:rsid w:val="00415DF8"/>
    <w:rsid w:val="004204AA"/>
    <w:rsid w:val="00420D90"/>
    <w:rsid w:val="00424D4D"/>
    <w:rsid w:val="00424FCA"/>
    <w:rsid w:val="004256BE"/>
    <w:rsid w:val="004315BD"/>
    <w:rsid w:val="00434D8D"/>
    <w:rsid w:val="004369DF"/>
    <w:rsid w:val="00441B7C"/>
    <w:rsid w:val="00441C06"/>
    <w:rsid w:val="00442531"/>
    <w:rsid w:val="0044688C"/>
    <w:rsid w:val="0044774B"/>
    <w:rsid w:val="00447DD7"/>
    <w:rsid w:val="004553B5"/>
    <w:rsid w:val="004556A6"/>
    <w:rsid w:val="00456549"/>
    <w:rsid w:val="004615EA"/>
    <w:rsid w:val="00464D5E"/>
    <w:rsid w:val="00465890"/>
    <w:rsid w:val="00466B83"/>
    <w:rsid w:val="00470512"/>
    <w:rsid w:val="00472585"/>
    <w:rsid w:val="00472D26"/>
    <w:rsid w:val="00474DDB"/>
    <w:rsid w:val="00476082"/>
    <w:rsid w:val="00476898"/>
    <w:rsid w:val="00485C0E"/>
    <w:rsid w:val="004A1694"/>
    <w:rsid w:val="004A2DCE"/>
    <w:rsid w:val="004A4ED6"/>
    <w:rsid w:val="004A5AA9"/>
    <w:rsid w:val="004A6F4D"/>
    <w:rsid w:val="004B0450"/>
    <w:rsid w:val="004B6651"/>
    <w:rsid w:val="004B6816"/>
    <w:rsid w:val="004C0DB1"/>
    <w:rsid w:val="004C1363"/>
    <w:rsid w:val="004C1756"/>
    <w:rsid w:val="004C2D42"/>
    <w:rsid w:val="004C64FD"/>
    <w:rsid w:val="004D2DFF"/>
    <w:rsid w:val="004D3937"/>
    <w:rsid w:val="004D44EF"/>
    <w:rsid w:val="004D51C5"/>
    <w:rsid w:val="004D7D08"/>
    <w:rsid w:val="004E1285"/>
    <w:rsid w:val="004E53D5"/>
    <w:rsid w:val="004E6842"/>
    <w:rsid w:val="004E6BCD"/>
    <w:rsid w:val="004E7761"/>
    <w:rsid w:val="004F1CB7"/>
    <w:rsid w:val="004F34A3"/>
    <w:rsid w:val="004F3528"/>
    <w:rsid w:val="004F4222"/>
    <w:rsid w:val="004F5E26"/>
    <w:rsid w:val="004F6E79"/>
    <w:rsid w:val="004F76B5"/>
    <w:rsid w:val="004F7803"/>
    <w:rsid w:val="0050262B"/>
    <w:rsid w:val="0050552D"/>
    <w:rsid w:val="0050693F"/>
    <w:rsid w:val="005127C9"/>
    <w:rsid w:val="0051282C"/>
    <w:rsid w:val="005144BA"/>
    <w:rsid w:val="0051694A"/>
    <w:rsid w:val="00517745"/>
    <w:rsid w:val="00517E1C"/>
    <w:rsid w:val="00520BDB"/>
    <w:rsid w:val="00525108"/>
    <w:rsid w:val="0053009C"/>
    <w:rsid w:val="00531EEE"/>
    <w:rsid w:val="005356AB"/>
    <w:rsid w:val="00542C19"/>
    <w:rsid w:val="00542C27"/>
    <w:rsid w:val="005461C0"/>
    <w:rsid w:val="00546EDB"/>
    <w:rsid w:val="00553832"/>
    <w:rsid w:val="00553E54"/>
    <w:rsid w:val="00555926"/>
    <w:rsid w:val="00556CC1"/>
    <w:rsid w:val="00556D4D"/>
    <w:rsid w:val="005571F3"/>
    <w:rsid w:val="00561597"/>
    <w:rsid w:val="00562C28"/>
    <w:rsid w:val="00563918"/>
    <w:rsid w:val="00567185"/>
    <w:rsid w:val="00567EB6"/>
    <w:rsid w:val="00570E8E"/>
    <w:rsid w:val="00570F20"/>
    <w:rsid w:val="005733E8"/>
    <w:rsid w:val="0057383C"/>
    <w:rsid w:val="00574A09"/>
    <w:rsid w:val="00576532"/>
    <w:rsid w:val="00576F02"/>
    <w:rsid w:val="00581274"/>
    <w:rsid w:val="005815E6"/>
    <w:rsid w:val="00582074"/>
    <w:rsid w:val="005904B8"/>
    <w:rsid w:val="005916D2"/>
    <w:rsid w:val="00592A8B"/>
    <w:rsid w:val="0059367F"/>
    <w:rsid w:val="005937EE"/>
    <w:rsid w:val="005941C0"/>
    <w:rsid w:val="0059578A"/>
    <w:rsid w:val="0059611D"/>
    <w:rsid w:val="005966CA"/>
    <w:rsid w:val="0059717F"/>
    <w:rsid w:val="005A0ADF"/>
    <w:rsid w:val="005A63D7"/>
    <w:rsid w:val="005A72ED"/>
    <w:rsid w:val="005A75F2"/>
    <w:rsid w:val="005A763C"/>
    <w:rsid w:val="005A76A0"/>
    <w:rsid w:val="005B05F6"/>
    <w:rsid w:val="005B0627"/>
    <w:rsid w:val="005B12D1"/>
    <w:rsid w:val="005B294A"/>
    <w:rsid w:val="005B5FDA"/>
    <w:rsid w:val="005B6065"/>
    <w:rsid w:val="005C0326"/>
    <w:rsid w:val="005C06F3"/>
    <w:rsid w:val="005C0CC9"/>
    <w:rsid w:val="005C283D"/>
    <w:rsid w:val="005C3CE1"/>
    <w:rsid w:val="005C7723"/>
    <w:rsid w:val="005C79E3"/>
    <w:rsid w:val="005C7C61"/>
    <w:rsid w:val="005D2D18"/>
    <w:rsid w:val="005D48E9"/>
    <w:rsid w:val="005D6029"/>
    <w:rsid w:val="005D61B3"/>
    <w:rsid w:val="005D7D5E"/>
    <w:rsid w:val="005E36D4"/>
    <w:rsid w:val="005E38DC"/>
    <w:rsid w:val="005F15A8"/>
    <w:rsid w:val="005F326D"/>
    <w:rsid w:val="00601E46"/>
    <w:rsid w:val="00605AC3"/>
    <w:rsid w:val="0061073A"/>
    <w:rsid w:val="0061226C"/>
    <w:rsid w:val="006128F1"/>
    <w:rsid w:val="0062062F"/>
    <w:rsid w:val="006277AD"/>
    <w:rsid w:val="006312B2"/>
    <w:rsid w:val="00631567"/>
    <w:rsid w:val="0063299B"/>
    <w:rsid w:val="00633AB2"/>
    <w:rsid w:val="006341DC"/>
    <w:rsid w:val="00640D15"/>
    <w:rsid w:val="006432D6"/>
    <w:rsid w:val="00646520"/>
    <w:rsid w:val="0065659D"/>
    <w:rsid w:val="00662169"/>
    <w:rsid w:val="00662438"/>
    <w:rsid w:val="00663060"/>
    <w:rsid w:val="00666C57"/>
    <w:rsid w:val="006673A5"/>
    <w:rsid w:val="006713B4"/>
    <w:rsid w:val="00672072"/>
    <w:rsid w:val="006730B6"/>
    <w:rsid w:val="00673F9F"/>
    <w:rsid w:val="00677427"/>
    <w:rsid w:val="00677CBB"/>
    <w:rsid w:val="006843E1"/>
    <w:rsid w:val="006846FA"/>
    <w:rsid w:val="006909B9"/>
    <w:rsid w:val="006954FD"/>
    <w:rsid w:val="006A0932"/>
    <w:rsid w:val="006A3BD3"/>
    <w:rsid w:val="006A447F"/>
    <w:rsid w:val="006A7667"/>
    <w:rsid w:val="006B1912"/>
    <w:rsid w:val="006B325E"/>
    <w:rsid w:val="006B351C"/>
    <w:rsid w:val="006B3607"/>
    <w:rsid w:val="006B4D82"/>
    <w:rsid w:val="006B547C"/>
    <w:rsid w:val="006C3BA5"/>
    <w:rsid w:val="006D4400"/>
    <w:rsid w:val="006D621A"/>
    <w:rsid w:val="006D6B18"/>
    <w:rsid w:val="006E1765"/>
    <w:rsid w:val="006E4CEF"/>
    <w:rsid w:val="006E5517"/>
    <w:rsid w:val="006E6DE2"/>
    <w:rsid w:val="00701FC3"/>
    <w:rsid w:val="007106A8"/>
    <w:rsid w:val="00714BCD"/>
    <w:rsid w:val="00715E50"/>
    <w:rsid w:val="00716B49"/>
    <w:rsid w:val="00725279"/>
    <w:rsid w:val="00725AB2"/>
    <w:rsid w:val="00730964"/>
    <w:rsid w:val="00730D8E"/>
    <w:rsid w:val="0073230B"/>
    <w:rsid w:val="00732648"/>
    <w:rsid w:val="00733314"/>
    <w:rsid w:val="00734B19"/>
    <w:rsid w:val="00735911"/>
    <w:rsid w:val="00736978"/>
    <w:rsid w:val="00736D8A"/>
    <w:rsid w:val="00742290"/>
    <w:rsid w:val="00745C7A"/>
    <w:rsid w:val="00747F29"/>
    <w:rsid w:val="007519A0"/>
    <w:rsid w:val="00761344"/>
    <w:rsid w:val="00762A75"/>
    <w:rsid w:val="0076506E"/>
    <w:rsid w:val="0076572A"/>
    <w:rsid w:val="00765756"/>
    <w:rsid w:val="00766354"/>
    <w:rsid w:val="00771541"/>
    <w:rsid w:val="00771881"/>
    <w:rsid w:val="0077297D"/>
    <w:rsid w:val="00773B97"/>
    <w:rsid w:val="00774FBA"/>
    <w:rsid w:val="007809C1"/>
    <w:rsid w:val="007812F8"/>
    <w:rsid w:val="00783787"/>
    <w:rsid w:val="007908AC"/>
    <w:rsid w:val="007917C4"/>
    <w:rsid w:val="007925C7"/>
    <w:rsid w:val="007936F9"/>
    <w:rsid w:val="00793B17"/>
    <w:rsid w:val="007A0C35"/>
    <w:rsid w:val="007A2243"/>
    <w:rsid w:val="007A3036"/>
    <w:rsid w:val="007A3A39"/>
    <w:rsid w:val="007A5699"/>
    <w:rsid w:val="007B02A7"/>
    <w:rsid w:val="007C15EA"/>
    <w:rsid w:val="007C2A30"/>
    <w:rsid w:val="007C6145"/>
    <w:rsid w:val="007C6651"/>
    <w:rsid w:val="007C67E6"/>
    <w:rsid w:val="007E0E16"/>
    <w:rsid w:val="007E6806"/>
    <w:rsid w:val="007F02AE"/>
    <w:rsid w:val="007F1819"/>
    <w:rsid w:val="007F2CC6"/>
    <w:rsid w:val="007F4F18"/>
    <w:rsid w:val="007F720F"/>
    <w:rsid w:val="00800BE0"/>
    <w:rsid w:val="008057C3"/>
    <w:rsid w:val="00807497"/>
    <w:rsid w:val="00811A2F"/>
    <w:rsid w:val="008261AB"/>
    <w:rsid w:val="00830B8F"/>
    <w:rsid w:val="0083366C"/>
    <w:rsid w:val="00834AA4"/>
    <w:rsid w:val="00836908"/>
    <w:rsid w:val="00837192"/>
    <w:rsid w:val="00837EAD"/>
    <w:rsid w:val="00840BEB"/>
    <w:rsid w:val="00847303"/>
    <w:rsid w:val="0085420D"/>
    <w:rsid w:val="008604DC"/>
    <w:rsid w:val="00872394"/>
    <w:rsid w:val="0087328C"/>
    <w:rsid w:val="00873702"/>
    <w:rsid w:val="00873741"/>
    <w:rsid w:val="008743C1"/>
    <w:rsid w:val="008749DA"/>
    <w:rsid w:val="00875397"/>
    <w:rsid w:val="00877A3E"/>
    <w:rsid w:val="008817EE"/>
    <w:rsid w:val="008820AA"/>
    <w:rsid w:val="00882CCC"/>
    <w:rsid w:val="008843AD"/>
    <w:rsid w:val="008848AB"/>
    <w:rsid w:val="00887AFD"/>
    <w:rsid w:val="00891A01"/>
    <w:rsid w:val="00893EAF"/>
    <w:rsid w:val="00895744"/>
    <w:rsid w:val="00895B56"/>
    <w:rsid w:val="008A0898"/>
    <w:rsid w:val="008A3846"/>
    <w:rsid w:val="008A3F78"/>
    <w:rsid w:val="008A69E0"/>
    <w:rsid w:val="008B3487"/>
    <w:rsid w:val="008B7A61"/>
    <w:rsid w:val="008C00E8"/>
    <w:rsid w:val="008C48C2"/>
    <w:rsid w:val="008C51EF"/>
    <w:rsid w:val="008C68AB"/>
    <w:rsid w:val="008D6043"/>
    <w:rsid w:val="008D76A2"/>
    <w:rsid w:val="008E182C"/>
    <w:rsid w:val="008E2708"/>
    <w:rsid w:val="008E291E"/>
    <w:rsid w:val="008E2A1B"/>
    <w:rsid w:val="008E37B8"/>
    <w:rsid w:val="008F0B48"/>
    <w:rsid w:val="008F1249"/>
    <w:rsid w:val="008F1931"/>
    <w:rsid w:val="008F4FFA"/>
    <w:rsid w:val="008F61E7"/>
    <w:rsid w:val="008F7B60"/>
    <w:rsid w:val="00903A41"/>
    <w:rsid w:val="00903ED2"/>
    <w:rsid w:val="009058DD"/>
    <w:rsid w:val="00907EC7"/>
    <w:rsid w:val="009117E8"/>
    <w:rsid w:val="00912B56"/>
    <w:rsid w:val="009258F5"/>
    <w:rsid w:val="009261A9"/>
    <w:rsid w:val="00927319"/>
    <w:rsid w:val="0093439B"/>
    <w:rsid w:val="00935A22"/>
    <w:rsid w:val="00936651"/>
    <w:rsid w:val="00937BEC"/>
    <w:rsid w:val="009443AA"/>
    <w:rsid w:val="0095201B"/>
    <w:rsid w:val="009534BB"/>
    <w:rsid w:val="00953C6F"/>
    <w:rsid w:val="0095518D"/>
    <w:rsid w:val="009661FB"/>
    <w:rsid w:val="009670DB"/>
    <w:rsid w:val="00967481"/>
    <w:rsid w:val="00970E4C"/>
    <w:rsid w:val="00972FB2"/>
    <w:rsid w:val="00975CB5"/>
    <w:rsid w:val="00976900"/>
    <w:rsid w:val="00980868"/>
    <w:rsid w:val="00981167"/>
    <w:rsid w:val="00982CF5"/>
    <w:rsid w:val="00984AC2"/>
    <w:rsid w:val="00984B45"/>
    <w:rsid w:val="00984EF6"/>
    <w:rsid w:val="009929B5"/>
    <w:rsid w:val="00994CC7"/>
    <w:rsid w:val="00997915"/>
    <w:rsid w:val="009A02ED"/>
    <w:rsid w:val="009A05A9"/>
    <w:rsid w:val="009A34DC"/>
    <w:rsid w:val="009B4BC7"/>
    <w:rsid w:val="009B56B9"/>
    <w:rsid w:val="009B766A"/>
    <w:rsid w:val="009B77A4"/>
    <w:rsid w:val="009C03C1"/>
    <w:rsid w:val="009C0A7E"/>
    <w:rsid w:val="009C1885"/>
    <w:rsid w:val="009C62B4"/>
    <w:rsid w:val="009C6B9C"/>
    <w:rsid w:val="009C7D1E"/>
    <w:rsid w:val="009D4058"/>
    <w:rsid w:val="009D56E6"/>
    <w:rsid w:val="009E2F8D"/>
    <w:rsid w:val="009E409B"/>
    <w:rsid w:val="009E5E00"/>
    <w:rsid w:val="009F1FCD"/>
    <w:rsid w:val="009F4062"/>
    <w:rsid w:val="009F4136"/>
    <w:rsid w:val="009F4338"/>
    <w:rsid w:val="009F7975"/>
    <w:rsid w:val="00A00EEB"/>
    <w:rsid w:val="00A03078"/>
    <w:rsid w:val="00A039E6"/>
    <w:rsid w:val="00A06170"/>
    <w:rsid w:val="00A07626"/>
    <w:rsid w:val="00A121AE"/>
    <w:rsid w:val="00A17DC3"/>
    <w:rsid w:val="00A21973"/>
    <w:rsid w:val="00A23423"/>
    <w:rsid w:val="00A236CC"/>
    <w:rsid w:val="00A2420C"/>
    <w:rsid w:val="00A24357"/>
    <w:rsid w:val="00A24C6A"/>
    <w:rsid w:val="00A25D33"/>
    <w:rsid w:val="00A277CE"/>
    <w:rsid w:val="00A30207"/>
    <w:rsid w:val="00A332E1"/>
    <w:rsid w:val="00A34713"/>
    <w:rsid w:val="00A35169"/>
    <w:rsid w:val="00A3617E"/>
    <w:rsid w:val="00A43DF2"/>
    <w:rsid w:val="00A52162"/>
    <w:rsid w:val="00A5357F"/>
    <w:rsid w:val="00A5362F"/>
    <w:rsid w:val="00A55095"/>
    <w:rsid w:val="00A56E98"/>
    <w:rsid w:val="00A62981"/>
    <w:rsid w:val="00A63F3D"/>
    <w:rsid w:val="00A655B8"/>
    <w:rsid w:val="00A70240"/>
    <w:rsid w:val="00A70E08"/>
    <w:rsid w:val="00A71FCB"/>
    <w:rsid w:val="00A75B23"/>
    <w:rsid w:val="00A76133"/>
    <w:rsid w:val="00A83ED1"/>
    <w:rsid w:val="00A84DCE"/>
    <w:rsid w:val="00A90F44"/>
    <w:rsid w:val="00AA2E9F"/>
    <w:rsid w:val="00AA7936"/>
    <w:rsid w:val="00AB45FA"/>
    <w:rsid w:val="00AC1F8D"/>
    <w:rsid w:val="00AC337E"/>
    <w:rsid w:val="00AC647D"/>
    <w:rsid w:val="00AC7701"/>
    <w:rsid w:val="00AC7879"/>
    <w:rsid w:val="00AD06A7"/>
    <w:rsid w:val="00AD2731"/>
    <w:rsid w:val="00AD3264"/>
    <w:rsid w:val="00AE104F"/>
    <w:rsid w:val="00AE2D00"/>
    <w:rsid w:val="00AE5454"/>
    <w:rsid w:val="00AE5846"/>
    <w:rsid w:val="00AE7026"/>
    <w:rsid w:val="00AE7605"/>
    <w:rsid w:val="00AE79AB"/>
    <w:rsid w:val="00AF17EA"/>
    <w:rsid w:val="00B0116A"/>
    <w:rsid w:val="00B02202"/>
    <w:rsid w:val="00B052A5"/>
    <w:rsid w:val="00B06DDD"/>
    <w:rsid w:val="00B06DF5"/>
    <w:rsid w:val="00B114E6"/>
    <w:rsid w:val="00B12C8C"/>
    <w:rsid w:val="00B15215"/>
    <w:rsid w:val="00B16D6A"/>
    <w:rsid w:val="00B21179"/>
    <w:rsid w:val="00B222E1"/>
    <w:rsid w:val="00B230ED"/>
    <w:rsid w:val="00B245E5"/>
    <w:rsid w:val="00B267B3"/>
    <w:rsid w:val="00B404BA"/>
    <w:rsid w:val="00B4165B"/>
    <w:rsid w:val="00B46EE4"/>
    <w:rsid w:val="00B50EA1"/>
    <w:rsid w:val="00B52C3E"/>
    <w:rsid w:val="00B5343F"/>
    <w:rsid w:val="00B54D4F"/>
    <w:rsid w:val="00B56C8B"/>
    <w:rsid w:val="00B61D58"/>
    <w:rsid w:val="00B62E27"/>
    <w:rsid w:val="00B65E2B"/>
    <w:rsid w:val="00B76E57"/>
    <w:rsid w:val="00B7733C"/>
    <w:rsid w:val="00B80BD1"/>
    <w:rsid w:val="00B84156"/>
    <w:rsid w:val="00B85D47"/>
    <w:rsid w:val="00BA2E38"/>
    <w:rsid w:val="00BA5826"/>
    <w:rsid w:val="00BA5E54"/>
    <w:rsid w:val="00BA66C9"/>
    <w:rsid w:val="00BA7361"/>
    <w:rsid w:val="00BB2026"/>
    <w:rsid w:val="00BB2884"/>
    <w:rsid w:val="00BB2B7C"/>
    <w:rsid w:val="00BB44D5"/>
    <w:rsid w:val="00BB7BC9"/>
    <w:rsid w:val="00BC6D15"/>
    <w:rsid w:val="00BD7E8B"/>
    <w:rsid w:val="00BE0E53"/>
    <w:rsid w:val="00BE1157"/>
    <w:rsid w:val="00BE2066"/>
    <w:rsid w:val="00BF05E4"/>
    <w:rsid w:val="00BF0A77"/>
    <w:rsid w:val="00BF0BE0"/>
    <w:rsid w:val="00BF6F5F"/>
    <w:rsid w:val="00C0113B"/>
    <w:rsid w:val="00C04E20"/>
    <w:rsid w:val="00C05D8F"/>
    <w:rsid w:val="00C16D2D"/>
    <w:rsid w:val="00C20C36"/>
    <w:rsid w:val="00C2268A"/>
    <w:rsid w:val="00C2463F"/>
    <w:rsid w:val="00C3238A"/>
    <w:rsid w:val="00C330A4"/>
    <w:rsid w:val="00C33B0F"/>
    <w:rsid w:val="00C36EE0"/>
    <w:rsid w:val="00C45BC8"/>
    <w:rsid w:val="00C463DA"/>
    <w:rsid w:val="00C510CE"/>
    <w:rsid w:val="00C51B45"/>
    <w:rsid w:val="00C53142"/>
    <w:rsid w:val="00C54548"/>
    <w:rsid w:val="00C54D02"/>
    <w:rsid w:val="00C5569F"/>
    <w:rsid w:val="00C60F39"/>
    <w:rsid w:val="00C62358"/>
    <w:rsid w:val="00C64346"/>
    <w:rsid w:val="00C7020D"/>
    <w:rsid w:val="00C702A7"/>
    <w:rsid w:val="00C714C1"/>
    <w:rsid w:val="00C73DBA"/>
    <w:rsid w:val="00C74D25"/>
    <w:rsid w:val="00C757CE"/>
    <w:rsid w:val="00C76350"/>
    <w:rsid w:val="00C76F21"/>
    <w:rsid w:val="00C824D5"/>
    <w:rsid w:val="00C825D6"/>
    <w:rsid w:val="00C831EA"/>
    <w:rsid w:val="00C8332A"/>
    <w:rsid w:val="00C83336"/>
    <w:rsid w:val="00C92477"/>
    <w:rsid w:val="00C9510D"/>
    <w:rsid w:val="00C97149"/>
    <w:rsid w:val="00CA414A"/>
    <w:rsid w:val="00CA58B3"/>
    <w:rsid w:val="00CA6CEB"/>
    <w:rsid w:val="00CA7BB8"/>
    <w:rsid w:val="00CB1BE8"/>
    <w:rsid w:val="00CB3495"/>
    <w:rsid w:val="00CB38A9"/>
    <w:rsid w:val="00CD3BD7"/>
    <w:rsid w:val="00CD488B"/>
    <w:rsid w:val="00CD6EBB"/>
    <w:rsid w:val="00CD6FB9"/>
    <w:rsid w:val="00CE0BBE"/>
    <w:rsid w:val="00CE125B"/>
    <w:rsid w:val="00CE23B6"/>
    <w:rsid w:val="00CE429B"/>
    <w:rsid w:val="00CE437A"/>
    <w:rsid w:val="00CE7DDE"/>
    <w:rsid w:val="00CF25B3"/>
    <w:rsid w:val="00CF68C7"/>
    <w:rsid w:val="00D018AF"/>
    <w:rsid w:val="00D05985"/>
    <w:rsid w:val="00D06A5A"/>
    <w:rsid w:val="00D06A6D"/>
    <w:rsid w:val="00D11CB9"/>
    <w:rsid w:val="00D14221"/>
    <w:rsid w:val="00D1692C"/>
    <w:rsid w:val="00D22990"/>
    <w:rsid w:val="00D23E26"/>
    <w:rsid w:val="00D304AC"/>
    <w:rsid w:val="00D30856"/>
    <w:rsid w:val="00D3572F"/>
    <w:rsid w:val="00D40B55"/>
    <w:rsid w:val="00D42114"/>
    <w:rsid w:val="00D43C87"/>
    <w:rsid w:val="00D455EE"/>
    <w:rsid w:val="00D45716"/>
    <w:rsid w:val="00D47E44"/>
    <w:rsid w:val="00D50907"/>
    <w:rsid w:val="00D53DDF"/>
    <w:rsid w:val="00D54C3F"/>
    <w:rsid w:val="00D56E54"/>
    <w:rsid w:val="00D606C4"/>
    <w:rsid w:val="00D61FAA"/>
    <w:rsid w:val="00D6210F"/>
    <w:rsid w:val="00D658CB"/>
    <w:rsid w:val="00D72571"/>
    <w:rsid w:val="00D7422F"/>
    <w:rsid w:val="00D75900"/>
    <w:rsid w:val="00D76D59"/>
    <w:rsid w:val="00D779D5"/>
    <w:rsid w:val="00D77C76"/>
    <w:rsid w:val="00D815C1"/>
    <w:rsid w:val="00D834B5"/>
    <w:rsid w:val="00D8376A"/>
    <w:rsid w:val="00D90DFB"/>
    <w:rsid w:val="00DA09B4"/>
    <w:rsid w:val="00DA2E88"/>
    <w:rsid w:val="00DA3A3A"/>
    <w:rsid w:val="00DB05F2"/>
    <w:rsid w:val="00DB573E"/>
    <w:rsid w:val="00DB5EAC"/>
    <w:rsid w:val="00DB6F9E"/>
    <w:rsid w:val="00DC206C"/>
    <w:rsid w:val="00DC35A8"/>
    <w:rsid w:val="00DC474E"/>
    <w:rsid w:val="00DC6F8D"/>
    <w:rsid w:val="00DC7098"/>
    <w:rsid w:val="00DC7F89"/>
    <w:rsid w:val="00DD22A3"/>
    <w:rsid w:val="00DD4382"/>
    <w:rsid w:val="00DE05CE"/>
    <w:rsid w:val="00DE15BF"/>
    <w:rsid w:val="00DE16C6"/>
    <w:rsid w:val="00DE5AA0"/>
    <w:rsid w:val="00DE7FA8"/>
    <w:rsid w:val="00DF7748"/>
    <w:rsid w:val="00E0165E"/>
    <w:rsid w:val="00E024E0"/>
    <w:rsid w:val="00E03DF7"/>
    <w:rsid w:val="00E05129"/>
    <w:rsid w:val="00E1070B"/>
    <w:rsid w:val="00E11AE8"/>
    <w:rsid w:val="00E13734"/>
    <w:rsid w:val="00E15DCF"/>
    <w:rsid w:val="00E16EA9"/>
    <w:rsid w:val="00E21A00"/>
    <w:rsid w:val="00E21CE8"/>
    <w:rsid w:val="00E22A22"/>
    <w:rsid w:val="00E22C89"/>
    <w:rsid w:val="00E23024"/>
    <w:rsid w:val="00E239CA"/>
    <w:rsid w:val="00E309B1"/>
    <w:rsid w:val="00E32C77"/>
    <w:rsid w:val="00E33D2D"/>
    <w:rsid w:val="00E35906"/>
    <w:rsid w:val="00E40D3A"/>
    <w:rsid w:val="00E44660"/>
    <w:rsid w:val="00E45612"/>
    <w:rsid w:val="00E460CA"/>
    <w:rsid w:val="00E475B6"/>
    <w:rsid w:val="00E519C0"/>
    <w:rsid w:val="00E52501"/>
    <w:rsid w:val="00E56B4D"/>
    <w:rsid w:val="00E6023C"/>
    <w:rsid w:val="00E61C4F"/>
    <w:rsid w:val="00E62105"/>
    <w:rsid w:val="00E62602"/>
    <w:rsid w:val="00E70606"/>
    <w:rsid w:val="00E7078B"/>
    <w:rsid w:val="00E74A6B"/>
    <w:rsid w:val="00E80F69"/>
    <w:rsid w:val="00E85A9C"/>
    <w:rsid w:val="00E8666B"/>
    <w:rsid w:val="00E8702A"/>
    <w:rsid w:val="00E87C0C"/>
    <w:rsid w:val="00E932C6"/>
    <w:rsid w:val="00E93F1D"/>
    <w:rsid w:val="00E94CB5"/>
    <w:rsid w:val="00E94F0E"/>
    <w:rsid w:val="00EA44BA"/>
    <w:rsid w:val="00EB607D"/>
    <w:rsid w:val="00EB6559"/>
    <w:rsid w:val="00EB74F5"/>
    <w:rsid w:val="00EC0F60"/>
    <w:rsid w:val="00EC1181"/>
    <w:rsid w:val="00EC3A4F"/>
    <w:rsid w:val="00EC4752"/>
    <w:rsid w:val="00EC6D3D"/>
    <w:rsid w:val="00EC7585"/>
    <w:rsid w:val="00ED09D2"/>
    <w:rsid w:val="00ED33D6"/>
    <w:rsid w:val="00ED63B5"/>
    <w:rsid w:val="00ED7689"/>
    <w:rsid w:val="00ED7C42"/>
    <w:rsid w:val="00EE2EAD"/>
    <w:rsid w:val="00EE330A"/>
    <w:rsid w:val="00EE6B78"/>
    <w:rsid w:val="00EE7A67"/>
    <w:rsid w:val="00EF213B"/>
    <w:rsid w:val="00EF30B6"/>
    <w:rsid w:val="00EF3CA9"/>
    <w:rsid w:val="00F02500"/>
    <w:rsid w:val="00F058FF"/>
    <w:rsid w:val="00F06787"/>
    <w:rsid w:val="00F07007"/>
    <w:rsid w:val="00F16313"/>
    <w:rsid w:val="00F262FF"/>
    <w:rsid w:val="00F340FD"/>
    <w:rsid w:val="00F35B42"/>
    <w:rsid w:val="00F446E1"/>
    <w:rsid w:val="00F4675F"/>
    <w:rsid w:val="00F515DC"/>
    <w:rsid w:val="00F51610"/>
    <w:rsid w:val="00F5305E"/>
    <w:rsid w:val="00F533B9"/>
    <w:rsid w:val="00F536A3"/>
    <w:rsid w:val="00F55BA8"/>
    <w:rsid w:val="00F563D2"/>
    <w:rsid w:val="00F5774D"/>
    <w:rsid w:val="00F639D0"/>
    <w:rsid w:val="00F64B5D"/>
    <w:rsid w:val="00F7656E"/>
    <w:rsid w:val="00F765EB"/>
    <w:rsid w:val="00F772A5"/>
    <w:rsid w:val="00F77B5C"/>
    <w:rsid w:val="00F80475"/>
    <w:rsid w:val="00F8330B"/>
    <w:rsid w:val="00F83C25"/>
    <w:rsid w:val="00F86C99"/>
    <w:rsid w:val="00F87CE9"/>
    <w:rsid w:val="00F90840"/>
    <w:rsid w:val="00F914CF"/>
    <w:rsid w:val="00F96D3E"/>
    <w:rsid w:val="00FA3C6E"/>
    <w:rsid w:val="00FA646B"/>
    <w:rsid w:val="00FA6CC3"/>
    <w:rsid w:val="00FB0265"/>
    <w:rsid w:val="00FB165A"/>
    <w:rsid w:val="00FB4536"/>
    <w:rsid w:val="00FB751C"/>
    <w:rsid w:val="00FC14D5"/>
    <w:rsid w:val="00FC2721"/>
    <w:rsid w:val="00FC2A9E"/>
    <w:rsid w:val="00FC6182"/>
    <w:rsid w:val="00FC6C2B"/>
    <w:rsid w:val="00FD0323"/>
    <w:rsid w:val="00FD03C3"/>
    <w:rsid w:val="00FD0621"/>
    <w:rsid w:val="00FD21C3"/>
    <w:rsid w:val="00FD2C32"/>
    <w:rsid w:val="00FD3BA0"/>
    <w:rsid w:val="00FD54C1"/>
    <w:rsid w:val="00FD59DD"/>
    <w:rsid w:val="00FD61AD"/>
    <w:rsid w:val="00FE0019"/>
    <w:rsid w:val="00FE3F56"/>
    <w:rsid w:val="00FE42E8"/>
    <w:rsid w:val="00FE6746"/>
    <w:rsid w:val="00FF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D2F08"/>
  <w15:chartTrackingRefBased/>
  <w15:docId w15:val="{D5B9F38E-F679-4E4F-832D-0D5B17C2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F7"/>
  </w:style>
  <w:style w:type="paragraph" w:styleId="Heading1">
    <w:name w:val="heading 1"/>
    <w:next w:val="BodyText"/>
    <w:link w:val="Heading1Char"/>
    <w:qFormat/>
    <w:rsid w:val="00AC7701"/>
    <w:pPr>
      <w:keepNext/>
      <w:keepLines/>
      <w:widowControl w:val="0"/>
      <w:autoSpaceDE w:val="0"/>
      <w:autoSpaceDN w:val="0"/>
      <w:adjustRightInd w:val="0"/>
      <w:spacing w:before="440" w:after="220" w:line="240" w:lineRule="auto"/>
      <w:ind w:left="360" w:hanging="360"/>
      <w:outlineLvl w:val="0"/>
    </w:pPr>
    <w:rPr>
      <w:rFonts w:eastAsiaTheme="majorEastAsia" w:cstheme="majorBidi"/>
      <w:caps/>
    </w:rPr>
  </w:style>
  <w:style w:type="paragraph" w:styleId="Heading2">
    <w:name w:val="heading 2"/>
    <w:basedOn w:val="BodyText"/>
    <w:next w:val="BodyText"/>
    <w:link w:val="Heading2Char"/>
    <w:qFormat/>
    <w:rsid w:val="00AC7701"/>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AC7701"/>
    <w:pPr>
      <w:outlineLvl w:val="2"/>
    </w:pPr>
  </w:style>
  <w:style w:type="paragraph" w:styleId="Heading4">
    <w:name w:val="heading 4"/>
    <w:basedOn w:val="Normal"/>
    <w:next w:val="Normal"/>
    <w:link w:val="Heading4Char"/>
    <w:uiPriority w:val="9"/>
    <w:semiHidden/>
    <w:unhideWhenUsed/>
    <w:qFormat/>
    <w:rsid w:val="00D47E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7E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7E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7E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7E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7E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701"/>
    <w:rPr>
      <w:rFonts w:eastAsiaTheme="majorEastAsia" w:cstheme="majorBidi"/>
      <w:caps/>
    </w:rPr>
  </w:style>
  <w:style w:type="character" w:customStyle="1" w:styleId="Heading2Char">
    <w:name w:val="Heading 2 Char"/>
    <w:basedOn w:val="DefaultParagraphFont"/>
    <w:link w:val="Heading2"/>
    <w:rsid w:val="00AC7701"/>
    <w:rPr>
      <w:rFonts w:eastAsiaTheme="majorEastAsia" w:cstheme="majorBidi"/>
    </w:rPr>
  </w:style>
  <w:style w:type="character" w:customStyle="1" w:styleId="Heading3Char">
    <w:name w:val="Heading 3 Char"/>
    <w:basedOn w:val="DefaultParagraphFont"/>
    <w:link w:val="Heading3"/>
    <w:rsid w:val="00AC7701"/>
    <w:rPr>
      <w:rFonts w:eastAsiaTheme="majorEastAsia" w:cstheme="majorBidi"/>
    </w:rPr>
  </w:style>
  <w:style w:type="character" w:customStyle="1" w:styleId="Heading4Char">
    <w:name w:val="Heading 4 Char"/>
    <w:basedOn w:val="DefaultParagraphFont"/>
    <w:link w:val="Heading4"/>
    <w:uiPriority w:val="9"/>
    <w:semiHidden/>
    <w:rsid w:val="00D47E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7E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7E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7E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7E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7E44"/>
    <w:rPr>
      <w:rFonts w:asciiTheme="minorHAnsi" w:eastAsiaTheme="majorEastAsia" w:hAnsiTheme="minorHAnsi" w:cstheme="majorBidi"/>
      <w:color w:val="272727" w:themeColor="text1" w:themeTint="D8"/>
    </w:rPr>
  </w:style>
  <w:style w:type="paragraph" w:styleId="Title">
    <w:name w:val="Title"/>
    <w:next w:val="BodyText"/>
    <w:link w:val="TitleChar"/>
    <w:qFormat/>
    <w:rsid w:val="00AC7701"/>
    <w:pPr>
      <w:spacing w:before="220" w:after="220" w:line="240" w:lineRule="auto"/>
      <w:jc w:val="center"/>
    </w:pPr>
    <w:rPr>
      <w:rFonts w:eastAsia="Times New Roman" w:cs="Arial"/>
    </w:rPr>
  </w:style>
  <w:style w:type="character" w:customStyle="1" w:styleId="TitleChar">
    <w:name w:val="Title Char"/>
    <w:basedOn w:val="DefaultParagraphFont"/>
    <w:link w:val="Title"/>
    <w:rsid w:val="00AC7701"/>
    <w:rPr>
      <w:rFonts w:eastAsia="Times New Roman" w:cs="Arial"/>
    </w:rPr>
  </w:style>
  <w:style w:type="paragraph" w:styleId="Subtitle">
    <w:name w:val="Subtitle"/>
    <w:basedOn w:val="Normal"/>
    <w:next w:val="Normal"/>
    <w:link w:val="SubtitleChar"/>
    <w:uiPriority w:val="11"/>
    <w:qFormat/>
    <w:rsid w:val="00D47E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E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7E44"/>
    <w:pPr>
      <w:spacing w:before="160"/>
      <w:jc w:val="center"/>
    </w:pPr>
    <w:rPr>
      <w:i/>
      <w:iCs/>
      <w:color w:val="404040" w:themeColor="text1" w:themeTint="BF"/>
    </w:rPr>
  </w:style>
  <w:style w:type="character" w:customStyle="1" w:styleId="QuoteChar">
    <w:name w:val="Quote Char"/>
    <w:basedOn w:val="DefaultParagraphFont"/>
    <w:link w:val="Quote"/>
    <w:uiPriority w:val="29"/>
    <w:rsid w:val="00D47E44"/>
    <w:rPr>
      <w:i/>
      <w:iCs/>
      <w:color w:val="404040" w:themeColor="text1" w:themeTint="BF"/>
    </w:rPr>
  </w:style>
  <w:style w:type="paragraph" w:styleId="ListParagraph">
    <w:name w:val="List Paragraph"/>
    <w:basedOn w:val="Normal"/>
    <w:uiPriority w:val="1"/>
    <w:qFormat/>
    <w:rsid w:val="00D47E44"/>
    <w:pPr>
      <w:ind w:left="720"/>
      <w:contextualSpacing/>
    </w:pPr>
  </w:style>
  <w:style w:type="character" w:styleId="IntenseEmphasis">
    <w:name w:val="Intense Emphasis"/>
    <w:basedOn w:val="DefaultParagraphFont"/>
    <w:uiPriority w:val="21"/>
    <w:qFormat/>
    <w:rsid w:val="00D47E44"/>
    <w:rPr>
      <w:i/>
      <w:iCs/>
      <w:color w:val="2F5496" w:themeColor="accent1" w:themeShade="BF"/>
    </w:rPr>
  </w:style>
  <w:style w:type="paragraph" w:styleId="IntenseQuote">
    <w:name w:val="Intense Quote"/>
    <w:basedOn w:val="Normal"/>
    <w:next w:val="Normal"/>
    <w:link w:val="IntenseQuoteChar"/>
    <w:uiPriority w:val="30"/>
    <w:qFormat/>
    <w:rsid w:val="00D47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E44"/>
    <w:rPr>
      <w:i/>
      <w:iCs/>
      <w:color w:val="2F5496" w:themeColor="accent1" w:themeShade="BF"/>
    </w:rPr>
  </w:style>
  <w:style w:type="character" w:styleId="IntenseReference">
    <w:name w:val="Intense Reference"/>
    <w:basedOn w:val="DefaultParagraphFont"/>
    <w:uiPriority w:val="32"/>
    <w:qFormat/>
    <w:rsid w:val="00D47E44"/>
    <w:rPr>
      <w:b/>
      <w:bCs/>
      <w:smallCaps/>
      <w:color w:val="2F5496" w:themeColor="accent1" w:themeShade="BF"/>
      <w:spacing w:val="5"/>
    </w:rPr>
  </w:style>
  <w:style w:type="numbering" w:customStyle="1" w:styleId="NoList1">
    <w:name w:val="No List1"/>
    <w:next w:val="NoList"/>
    <w:uiPriority w:val="99"/>
    <w:semiHidden/>
    <w:unhideWhenUsed/>
    <w:rsid w:val="00D47E44"/>
  </w:style>
  <w:style w:type="paragraph" w:styleId="BodyText">
    <w:name w:val="Body Text"/>
    <w:link w:val="BodyTextChar"/>
    <w:rsid w:val="00FD03C3"/>
    <w:pPr>
      <w:spacing w:after="220" w:line="240" w:lineRule="auto"/>
    </w:pPr>
    <w:rPr>
      <w:rFonts w:cs="Arial"/>
    </w:rPr>
  </w:style>
  <w:style w:type="character" w:customStyle="1" w:styleId="BodyTextChar">
    <w:name w:val="Body Text Char"/>
    <w:basedOn w:val="DefaultParagraphFont"/>
    <w:link w:val="BodyText"/>
    <w:rsid w:val="00FD03C3"/>
    <w:rPr>
      <w:rFonts w:cs="Arial"/>
    </w:rPr>
  </w:style>
  <w:style w:type="paragraph" w:customStyle="1" w:styleId="TableParagraph">
    <w:name w:val="Table Paragraph"/>
    <w:basedOn w:val="Normal"/>
    <w:uiPriority w:val="1"/>
    <w:qFormat/>
    <w:rsid w:val="00D47E44"/>
    <w:pPr>
      <w:widowControl w:val="0"/>
      <w:autoSpaceDE w:val="0"/>
      <w:autoSpaceDN w:val="0"/>
      <w:adjustRightInd w:val="0"/>
      <w:spacing w:before="39" w:after="0" w:line="240" w:lineRule="auto"/>
      <w:ind w:left="176"/>
    </w:pPr>
    <w:rPr>
      <w:rFonts w:eastAsia="Times New Roman" w:cs="Arial"/>
      <w:sz w:val="24"/>
      <w:szCs w:val="24"/>
    </w:rPr>
  </w:style>
  <w:style w:type="paragraph" w:styleId="Header">
    <w:name w:val="header"/>
    <w:basedOn w:val="Normal"/>
    <w:link w:val="HeaderChar"/>
    <w:uiPriority w:val="99"/>
    <w:unhideWhenUsed/>
    <w:rsid w:val="00D47E44"/>
    <w:pPr>
      <w:widowControl w:val="0"/>
      <w:tabs>
        <w:tab w:val="center" w:pos="4680"/>
        <w:tab w:val="right" w:pos="9360"/>
      </w:tabs>
      <w:autoSpaceDE w:val="0"/>
      <w:autoSpaceDN w:val="0"/>
      <w:adjustRightInd w:val="0"/>
      <w:spacing w:after="0" w:line="240" w:lineRule="auto"/>
    </w:pPr>
    <w:rPr>
      <w:rFonts w:eastAsia="Times New Roman" w:cs="Arial"/>
    </w:rPr>
  </w:style>
  <w:style w:type="character" w:customStyle="1" w:styleId="HeaderChar">
    <w:name w:val="Header Char"/>
    <w:basedOn w:val="DefaultParagraphFont"/>
    <w:link w:val="Header"/>
    <w:uiPriority w:val="99"/>
    <w:rsid w:val="00D47E44"/>
    <w:rPr>
      <w:rFonts w:eastAsia="Times New Roman" w:cs="Arial"/>
    </w:rPr>
  </w:style>
  <w:style w:type="paragraph" w:styleId="Footer">
    <w:name w:val="footer"/>
    <w:basedOn w:val="Normal"/>
    <w:link w:val="FooterChar"/>
    <w:uiPriority w:val="99"/>
    <w:unhideWhenUsed/>
    <w:rsid w:val="00D47E44"/>
    <w:pPr>
      <w:widowControl w:val="0"/>
      <w:tabs>
        <w:tab w:val="center" w:pos="4680"/>
        <w:tab w:val="right" w:pos="9360"/>
      </w:tabs>
      <w:autoSpaceDE w:val="0"/>
      <w:autoSpaceDN w:val="0"/>
      <w:adjustRightInd w:val="0"/>
      <w:spacing w:after="0" w:line="240" w:lineRule="auto"/>
    </w:pPr>
    <w:rPr>
      <w:rFonts w:eastAsia="Times New Roman" w:cs="Arial"/>
    </w:rPr>
  </w:style>
  <w:style w:type="character" w:customStyle="1" w:styleId="FooterChar">
    <w:name w:val="Footer Char"/>
    <w:basedOn w:val="DefaultParagraphFont"/>
    <w:link w:val="Footer"/>
    <w:uiPriority w:val="99"/>
    <w:rsid w:val="00D47E44"/>
    <w:rPr>
      <w:rFonts w:eastAsia="Times New Roman" w:cs="Arial"/>
    </w:rPr>
  </w:style>
  <w:style w:type="character" w:styleId="CommentReference">
    <w:name w:val="annotation reference"/>
    <w:uiPriority w:val="99"/>
    <w:semiHidden/>
    <w:unhideWhenUsed/>
    <w:rsid w:val="00D47E44"/>
    <w:rPr>
      <w:sz w:val="16"/>
      <w:szCs w:val="16"/>
    </w:rPr>
  </w:style>
  <w:style w:type="paragraph" w:styleId="CommentText">
    <w:name w:val="annotation text"/>
    <w:basedOn w:val="Normal"/>
    <w:link w:val="CommentTextChar"/>
    <w:uiPriority w:val="99"/>
    <w:unhideWhenUsed/>
    <w:rsid w:val="00D47E44"/>
    <w:pPr>
      <w:widowControl w:val="0"/>
      <w:autoSpaceDE w:val="0"/>
      <w:autoSpaceDN w:val="0"/>
      <w:adjustRightInd w:val="0"/>
      <w:spacing w:after="0" w:line="240" w:lineRule="auto"/>
    </w:pPr>
    <w:rPr>
      <w:rFonts w:eastAsia="Times New Roman" w:cs="Arial"/>
      <w:sz w:val="20"/>
      <w:szCs w:val="20"/>
    </w:rPr>
  </w:style>
  <w:style w:type="character" w:customStyle="1" w:styleId="CommentTextChar">
    <w:name w:val="Comment Text Char"/>
    <w:basedOn w:val="DefaultParagraphFont"/>
    <w:link w:val="CommentText"/>
    <w:uiPriority w:val="99"/>
    <w:rsid w:val="00D47E44"/>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D47E44"/>
    <w:rPr>
      <w:b/>
      <w:bCs/>
    </w:rPr>
  </w:style>
  <w:style w:type="character" w:customStyle="1" w:styleId="CommentSubjectChar">
    <w:name w:val="Comment Subject Char"/>
    <w:basedOn w:val="CommentTextChar"/>
    <w:link w:val="CommentSubject"/>
    <w:uiPriority w:val="99"/>
    <w:semiHidden/>
    <w:rsid w:val="00D47E44"/>
    <w:rPr>
      <w:rFonts w:eastAsia="Times New Roman" w:cs="Arial"/>
      <w:b/>
      <w:bCs/>
      <w:sz w:val="20"/>
      <w:szCs w:val="20"/>
    </w:rPr>
  </w:style>
  <w:style w:type="character" w:styleId="Hyperlink">
    <w:name w:val="Hyperlink"/>
    <w:uiPriority w:val="99"/>
    <w:unhideWhenUsed/>
    <w:rsid w:val="00D47E44"/>
    <w:rPr>
      <w:color w:val="0000FF"/>
      <w:u w:val="single"/>
    </w:rPr>
  </w:style>
  <w:style w:type="character" w:styleId="UnresolvedMention">
    <w:name w:val="Unresolved Mention"/>
    <w:uiPriority w:val="99"/>
    <w:semiHidden/>
    <w:unhideWhenUsed/>
    <w:rsid w:val="00D47E44"/>
    <w:rPr>
      <w:color w:val="605E5C"/>
      <w:shd w:val="clear" w:color="auto" w:fill="E1DFDD"/>
    </w:rPr>
  </w:style>
  <w:style w:type="paragraph" w:styleId="Revision">
    <w:name w:val="Revision"/>
    <w:hidden/>
    <w:uiPriority w:val="99"/>
    <w:semiHidden/>
    <w:rsid w:val="00D47E44"/>
    <w:pPr>
      <w:spacing w:after="0" w:line="240" w:lineRule="auto"/>
    </w:pPr>
    <w:rPr>
      <w:rFonts w:eastAsia="Times New Roman" w:cs="Arial"/>
    </w:rPr>
  </w:style>
  <w:style w:type="character" w:customStyle="1" w:styleId="FollowedHyperlink1">
    <w:name w:val="FollowedHyperlink1"/>
    <w:basedOn w:val="DefaultParagraphFont"/>
    <w:uiPriority w:val="99"/>
    <w:semiHidden/>
    <w:unhideWhenUsed/>
    <w:rsid w:val="00D47E44"/>
    <w:rPr>
      <w:color w:val="96607D"/>
      <w:u w:val="single"/>
    </w:rPr>
  </w:style>
  <w:style w:type="character" w:styleId="FollowedHyperlink">
    <w:name w:val="FollowedHyperlink"/>
    <w:basedOn w:val="DefaultParagraphFont"/>
    <w:uiPriority w:val="99"/>
    <w:semiHidden/>
    <w:unhideWhenUsed/>
    <w:rsid w:val="00D47E44"/>
    <w:rPr>
      <w:color w:val="954F72" w:themeColor="followedHyperlink"/>
      <w:u w:val="single"/>
    </w:rPr>
  </w:style>
  <w:style w:type="paragraph" w:customStyle="1" w:styleId="Requirement">
    <w:name w:val="Requirement"/>
    <w:basedOn w:val="BodyText3"/>
    <w:qFormat/>
    <w:rsid w:val="002B7848"/>
    <w:pPr>
      <w:keepNext/>
      <w:outlineLvl w:val="2"/>
    </w:pPr>
    <w:rPr>
      <w:b/>
      <w:bCs/>
    </w:rPr>
  </w:style>
  <w:style w:type="paragraph" w:styleId="BodyText3">
    <w:name w:val="Body Text 3"/>
    <w:basedOn w:val="BodyText"/>
    <w:link w:val="BodyText3Char"/>
    <w:rsid w:val="00FD03C3"/>
    <w:pPr>
      <w:ind w:left="720"/>
    </w:pPr>
    <w:rPr>
      <w:rFonts w:eastAsiaTheme="majorEastAsia" w:cstheme="majorBidi"/>
    </w:rPr>
  </w:style>
  <w:style w:type="character" w:customStyle="1" w:styleId="BodyText3Char">
    <w:name w:val="Body Text 3 Char"/>
    <w:basedOn w:val="DefaultParagraphFont"/>
    <w:link w:val="BodyText3"/>
    <w:rsid w:val="00FD03C3"/>
    <w:rPr>
      <w:rFonts w:eastAsiaTheme="majorEastAsia" w:cstheme="majorBidi"/>
    </w:rPr>
  </w:style>
  <w:style w:type="paragraph" w:customStyle="1" w:styleId="CornerstoneBases">
    <w:name w:val="Cornerstone / Bases"/>
    <w:basedOn w:val="BodyText"/>
    <w:qFormat/>
    <w:rsid w:val="00E475B6"/>
    <w:pPr>
      <w:ind w:left="2160" w:hanging="2160"/>
    </w:pPr>
  </w:style>
  <w:style w:type="paragraph" w:customStyle="1" w:styleId="Applicability">
    <w:name w:val="Applicability"/>
    <w:basedOn w:val="BodyText"/>
    <w:qFormat/>
    <w:rsid w:val="00FD03C3"/>
    <w:pPr>
      <w:spacing w:before="440"/>
      <w:ind w:left="2160" w:hanging="2160"/>
    </w:pPr>
  </w:style>
  <w:style w:type="paragraph" w:customStyle="1" w:styleId="attachmenttitle">
    <w:name w:val="attachment title"/>
    <w:next w:val="BodyText"/>
    <w:qFormat/>
    <w:rsid w:val="00AC7701"/>
    <w:pPr>
      <w:keepNext/>
      <w:keepLines/>
      <w:widowControl w:val="0"/>
      <w:spacing w:after="220" w:line="240" w:lineRule="auto"/>
      <w:jc w:val="center"/>
      <w:outlineLvl w:val="0"/>
    </w:pPr>
    <w:rPr>
      <w:rFonts w:eastAsia="Times New Roman" w:cs="Arial"/>
    </w:rPr>
  </w:style>
  <w:style w:type="paragraph" w:customStyle="1" w:styleId="BodyText-table">
    <w:name w:val="Body Text - table"/>
    <w:qFormat/>
    <w:rsid w:val="00AC7701"/>
    <w:pPr>
      <w:spacing w:after="0" w:line="240" w:lineRule="auto"/>
    </w:pPr>
  </w:style>
  <w:style w:type="paragraph" w:styleId="BodyText2">
    <w:name w:val="Body Text 2"/>
    <w:link w:val="BodyText2Char"/>
    <w:rsid w:val="00FD03C3"/>
    <w:pPr>
      <w:spacing w:after="220" w:line="240" w:lineRule="auto"/>
      <w:ind w:left="720" w:hanging="720"/>
    </w:pPr>
    <w:rPr>
      <w:rFonts w:eastAsiaTheme="majorEastAsia" w:cstheme="majorBidi"/>
    </w:rPr>
  </w:style>
  <w:style w:type="character" w:customStyle="1" w:styleId="BodyText2Char">
    <w:name w:val="Body Text 2 Char"/>
    <w:basedOn w:val="DefaultParagraphFont"/>
    <w:link w:val="BodyText2"/>
    <w:rsid w:val="00FD03C3"/>
    <w:rPr>
      <w:rFonts w:eastAsiaTheme="majorEastAsia" w:cstheme="majorBidi"/>
    </w:rPr>
  </w:style>
  <w:style w:type="character" w:customStyle="1" w:styleId="Commitment">
    <w:name w:val="Commitment"/>
    <w:basedOn w:val="BodyTextChar"/>
    <w:uiPriority w:val="1"/>
    <w:qFormat/>
    <w:rsid w:val="00AC7701"/>
    <w:rPr>
      <w:rFonts w:ascii="Arial" w:hAnsi="Arial" w:cs="Arial"/>
      <w:i/>
      <w:iCs/>
    </w:rPr>
  </w:style>
  <w:style w:type="paragraph" w:customStyle="1" w:styleId="EffectiveDate">
    <w:name w:val="Effective Date"/>
    <w:next w:val="BodyText"/>
    <w:qFormat/>
    <w:rsid w:val="00AC7701"/>
    <w:pPr>
      <w:spacing w:before="220" w:after="440" w:line="240" w:lineRule="auto"/>
      <w:jc w:val="center"/>
    </w:pPr>
    <w:rPr>
      <w:rFonts w:eastAsia="Times New Roman" w:cs="Arial"/>
    </w:rPr>
  </w:style>
  <w:style w:type="paragraph" w:customStyle="1" w:styleId="END">
    <w:name w:val="END"/>
    <w:next w:val="BodyText"/>
    <w:qFormat/>
    <w:rsid w:val="00AC7701"/>
    <w:pPr>
      <w:autoSpaceDE w:val="0"/>
      <w:autoSpaceDN w:val="0"/>
      <w:adjustRightInd w:val="0"/>
      <w:spacing w:before="440" w:after="440" w:line="240" w:lineRule="auto"/>
      <w:jc w:val="center"/>
    </w:pPr>
    <w:rPr>
      <w:rFonts w:eastAsia="Times New Roman" w:cs="Arial"/>
    </w:rPr>
  </w:style>
  <w:style w:type="table" w:customStyle="1" w:styleId="IM">
    <w:name w:val="IM"/>
    <w:basedOn w:val="TableNormal"/>
    <w:uiPriority w:val="99"/>
    <w:rsid w:val="00AC7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AC7701"/>
    <w:pPr>
      <w:widowControl w:val="0"/>
      <w:pBdr>
        <w:top w:val="single" w:sz="8" w:space="3" w:color="auto"/>
        <w:bottom w:val="single" w:sz="8" w:space="3" w:color="auto"/>
      </w:pBdr>
      <w:spacing w:after="220" w:line="240" w:lineRule="auto"/>
      <w:jc w:val="center"/>
    </w:pPr>
    <w:rPr>
      <w:rFonts w:cs="Arial"/>
      <w:iCs/>
      <w:caps/>
    </w:rPr>
  </w:style>
  <w:style w:type="paragraph" w:customStyle="1" w:styleId="NRCINSPECTIONMANUAL">
    <w:name w:val="NRC INSPECTION MANUAL"/>
    <w:next w:val="BodyText"/>
    <w:link w:val="NRCINSPECTIONMANUALChar"/>
    <w:qFormat/>
    <w:rsid w:val="00AC7701"/>
    <w:pPr>
      <w:tabs>
        <w:tab w:val="center" w:pos="4680"/>
        <w:tab w:val="right" w:pos="9360"/>
      </w:tabs>
      <w:spacing w:after="220" w:line="240" w:lineRule="auto"/>
    </w:pPr>
    <w:rPr>
      <w:rFonts w:cs="Arial"/>
      <w:sz w:val="20"/>
    </w:rPr>
  </w:style>
  <w:style w:type="character" w:customStyle="1" w:styleId="NRCINSPECTIONMANUALChar">
    <w:name w:val="NRC INSPECTION MANUAL Char"/>
    <w:basedOn w:val="DefaultParagraphFont"/>
    <w:link w:val="NRCINSPECTIONMANUAL"/>
    <w:rsid w:val="00AC7701"/>
    <w:rPr>
      <w:rFonts w:cs="Arial"/>
      <w:sz w:val="20"/>
    </w:rPr>
  </w:style>
  <w:style w:type="paragraph" w:customStyle="1" w:styleId="SpecificGuidance">
    <w:name w:val="Specific Guidance"/>
    <w:basedOn w:val="BodyText3"/>
    <w:qFormat/>
    <w:rsid w:val="00AC7701"/>
    <w:pPr>
      <w:keepNext/>
    </w:pPr>
    <w:rPr>
      <w:u w:val="single"/>
    </w:rPr>
  </w:style>
  <w:style w:type="paragraph" w:styleId="ListBullet2">
    <w:name w:val="List Bullet 2"/>
    <w:basedOn w:val="Normal"/>
    <w:uiPriority w:val="99"/>
    <w:unhideWhenUsed/>
    <w:rsid w:val="00AC337E"/>
    <w:pPr>
      <w:numPr>
        <w:numId w:val="18"/>
      </w:numPr>
      <w:spacing w:after="220" w:line="240" w:lineRule="auto"/>
    </w:pPr>
  </w:style>
  <w:style w:type="paragraph" w:styleId="ListBullet3">
    <w:name w:val="List Bullet 3"/>
    <w:basedOn w:val="Normal"/>
    <w:uiPriority w:val="99"/>
    <w:unhideWhenUsed/>
    <w:rsid w:val="00E03DF7"/>
    <w:pPr>
      <w:numPr>
        <w:numId w:val="29"/>
      </w:numPr>
      <w:spacing w:after="220" w:line="240" w:lineRule="auto"/>
    </w:pPr>
  </w:style>
  <w:style w:type="paragraph" w:styleId="Caption">
    <w:name w:val="caption"/>
    <w:basedOn w:val="Normal"/>
    <w:next w:val="Normal"/>
    <w:uiPriority w:val="35"/>
    <w:unhideWhenUsed/>
    <w:qFormat/>
    <w:rsid w:val="003D3623"/>
    <w:pPr>
      <w:spacing w:after="200" w:line="240" w:lineRule="auto"/>
      <w:jc w:val="center"/>
      <w:outlineLvl w:val="2"/>
    </w:pPr>
    <w:rPr>
      <w:iCs/>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23463">
      <w:bodyDiv w:val="1"/>
      <w:marLeft w:val="0"/>
      <w:marRight w:val="0"/>
      <w:marTop w:val="0"/>
      <w:marBottom w:val="0"/>
      <w:divBdr>
        <w:top w:val="none" w:sz="0" w:space="0" w:color="auto"/>
        <w:left w:val="none" w:sz="0" w:space="0" w:color="auto"/>
        <w:bottom w:val="none" w:sz="0" w:space="0" w:color="auto"/>
        <w:right w:val="none" w:sz="0" w:space="0" w:color="auto"/>
      </w:divBdr>
    </w:div>
    <w:div w:id="18243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vd.nis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f763d395005fc9ec3d7c386f1f688957">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903ac274062a293e62892dca58bc328d"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205D4-F245-410F-A9DA-CB89B795C1D5}">
  <ds:schemaRefs>
    <ds:schemaRef ds:uri="http://schemas.openxmlformats.org/officeDocument/2006/bibliography"/>
  </ds:schemaRefs>
</ds:datastoreItem>
</file>

<file path=customXml/itemProps2.xml><?xml version="1.0" encoding="utf-8"?>
<ds:datastoreItem xmlns:ds="http://schemas.openxmlformats.org/officeDocument/2006/customXml" ds:itemID="{BAA01DA7-FD64-455F-88AE-9E3F4384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B75DE-FCBB-456F-80DD-686E46F34DB1}">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4ebc427b-1bcf-4856-a750-efc6bf2bcca6"/>
    <ds:schemaRef ds:uri="bd536709-b854-4f3b-a247-393f1123cff3"/>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26C251-1F48-431A-AD2F-4343BE15ECFE}">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3</TotalTime>
  <Pages>11</Pages>
  <Words>3905</Words>
  <Characters>22263</Characters>
  <Application>Microsoft Office Word</Application>
  <DocSecurity>2</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Links>
    <vt:vector size="12" baseType="variant">
      <vt:variant>
        <vt:i4>3539046</vt:i4>
      </vt:variant>
      <vt:variant>
        <vt:i4>3</vt:i4>
      </vt:variant>
      <vt:variant>
        <vt:i4>0</vt:i4>
      </vt:variant>
      <vt:variant>
        <vt:i4>5</vt:i4>
      </vt:variant>
      <vt:variant>
        <vt:lpwstr>https://usnrc-my.sharepoint.com/personal/rjf2_nrc_gov/Documents/Documents/Special Tasks/2025/Admin/Palisades/Post-fuel/(https:/app.powerbigov.us/reportEmbed?reportId=b23f350b-751b-4db9-91ed-5537530db865&amp;autoAuth=true&amp;ctid=e8d01475-c3b5-436a-a065-5def4c64f52e&amp;config=eyJjbHVzdGVyVXJsIjoiaHR0cHM6Ly93YWJpLXVzLWdvdi12aXJnaW5pYS1yZWRpcmVjdC5hbmFseXNpcy51c2dvdmNsb3VkYXBpLm5ldC8ifQ%3D%3D?chromeless=true).</vt:lpwstr>
      </vt:variant>
      <vt:variant>
        <vt:lpwstr/>
      </vt:variant>
      <vt:variant>
        <vt:i4>4522006</vt:i4>
      </vt:variant>
      <vt:variant>
        <vt:i4>0</vt:i4>
      </vt:variant>
      <vt:variant>
        <vt:i4>0</vt:i4>
      </vt:variant>
      <vt:variant>
        <vt:i4>5</vt:i4>
      </vt:variant>
      <vt:variant>
        <vt:lpwstr>https://nvd.nist.gov/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2025-12-16T18:40:00Z</dcterms:created>
  <dcterms:modified xsi:type="dcterms:W3CDTF">2025-12-16T18:43:00Z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ies>
</file>