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AC40" w14:textId="6F756CFB" w:rsidR="00765AE1" w:rsidRPr="00FB7A17" w:rsidRDefault="00FB7A17" w:rsidP="00FB7A17">
      <w:pPr>
        <w:pStyle w:val="NRCINSPECTIONMANUAL"/>
      </w:pPr>
      <w:r>
        <w:tab/>
      </w:r>
      <w:r w:rsidR="008705AC" w:rsidRPr="00FB7A17">
        <w:rPr>
          <w:b/>
          <w:bCs/>
          <w:sz w:val="38"/>
          <w:szCs w:val="38"/>
        </w:rPr>
        <w:t>NRC</w:t>
      </w:r>
      <w:r w:rsidR="001D60A1" w:rsidRPr="00FB7A17">
        <w:rPr>
          <w:b/>
          <w:bCs/>
          <w:sz w:val="38"/>
          <w:szCs w:val="38"/>
        </w:rPr>
        <w:t xml:space="preserve"> INSPECTION MANUAL</w:t>
      </w:r>
      <w:r w:rsidR="006C3940" w:rsidRPr="00FB7A17">
        <w:tab/>
      </w:r>
      <w:r w:rsidR="005F07A6" w:rsidRPr="00FB7A17">
        <w:t>DANU/UARP</w:t>
      </w:r>
    </w:p>
    <w:p w14:paraId="5063BD0D" w14:textId="5BB92599" w:rsidR="005C63E5" w:rsidRDefault="00A21F68" w:rsidP="00D9436A">
      <w:pPr>
        <w:pStyle w:val="IMCIP"/>
      </w:pPr>
      <w:r w:rsidRPr="00E02AB6">
        <w:rPr>
          <w:noProof/>
        </w:rPr>
        <mc:AlternateContent>
          <mc:Choice Requires="wps">
            <w:drawing>
              <wp:anchor distT="0" distB="0" distL="114300" distR="114300" simplePos="0" relativeHeight="251658240" behindDoc="0" locked="0" layoutInCell="0" allowOverlap="1" wp14:anchorId="57C15502" wp14:editId="354C2F73">
                <wp:simplePos x="0" y="0"/>
                <wp:positionH relativeFrom="margin">
                  <wp:posOffset>0</wp:posOffset>
                </wp:positionH>
                <wp:positionV relativeFrom="paragraph">
                  <wp:posOffset>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628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00AF071F" w:rsidRPr="00E02AB6">
        <w:t xml:space="preserve">INSPECTION </w:t>
      </w:r>
      <w:r w:rsidR="006C3940" w:rsidRPr="00E02AB6">
        <w:t>MANUAL CHAPTER</w:t>
      </w:r>
      <w:r w:rsidR="0094455B" w:rsidRPr="00E02AB6">
        <w:t xml:space="preserve"> </w:t>
      </w:r>
      <w:r w:rsidR="004B6898">
        <w:t>2571</w:t>
      </w:r>
    </w:p>
    <w:p w14:paraId="2D335B13" w14:textId="46DF8655" w:rsidR="00424DA3" w:rsidRDefault="00A21F68" w:rsidP="00E02AB6">
      <w:pPr>
        <w:pStyle w:val="Title"/>
      </w:pPr>
      <w:r w:rsidRPr="00E02AB6">
        <w:rPr>
          <w:noProof/>
        </w:rPr>
        <mc:AlternateContent>
          <mc:Choice Requires="wps">
            <w:drawing>
              <wp:anchor distT="0" distB="0" distL="114300" distR="114300" simplePos="0" relativeHeight="251658241" behindDoc="0" locked="0" layoutInCell="0" allowOverlap="1" wp14:anchorId="0AF3955D" wp14:editId="3DB5D45F">
                <wp:simplePos x="0" y="0"/>
                <wp:positionH relativeFrom="margin">
                  <wp:posOffset>0</wp:posOffset>
                </wp:positionH>
                <wp:positionV relativeFrom="paragraph">
                  <wp:posOffset>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1263"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00416A8D">
        <w:t xml:space="preserve">DISPOSITIONING </w:t>
      </w:r>
      <w:r w:rsidR="00742FEA" w:rsidRPr="00E02AB6">
        <w:t xml:space="preserve">ADVANCED </w:t>
      </w:r>
      <w:r w:rsidR="003E0D94" w:rsidRPr="00E02AB6">
        <w:t xml:space="preserve">POWER REACTOR </w:t>
      </w:r>
      <w:r w:rsidR="00077ADD">
        <w:br/>
      </w:r>
      <w:r w:rsidR="00906E1B">
        <w:t xml:space="preserve">CONSTRUCTION </w:t>
      </w:r>
      <w:r w:rsidR="000709CD">
        <w:t>NONCOMP</w:t>
      </w:r>
      <w:r w:rsidR="003F54D0">
        <w:t>LIANCE</w:t>
      </w:r>
      <w:r w:rsidR="00192864">
        <w:t>S</w:t>
      </w:r>
    </w:p>
    <w:p w14:paraId="5166F3C1" w14:textId="120B7712" w:rsidR="00052C61" w:rsidRPr="00C000F2" w:rsidRDefault="00052C61" w:rsidP="00CB5130">
      <w:pPr>
        <w:pStyle w:val="EffectiveDate"/>
      </w:pPr>
      <w:r>
        <w:t xml:space="preserve">Effective Date: </w:t>
      </w:r>
      <w:r w:rsidR="005E2099">
        <w:t>02/05/2026</w:t>
      </w:r>
    </w:p>
    <w:p w14:paraId="24F1F606" w14:textId="7177FA0D" w:rsidR="0012434E" w:rsidRDefault="0012434E" w:rsidP="0012434E"/>
    <w:p w14:paraId="1A8FF2CA" w14:textId="2FB9DBC5" w:rsidR="00C85797" w:rsidRPr="00C85797" w:rsidRDefault="00C85797" w:rsidP="00C85797">
      <w:pPr>
        <w:tabs>
          <w:tab w:val="center" w:pos="4680"/>
        </w:tabs>
        <w:rPr>
          <w:sz w:val="22"/>
          <w:szCs w:val="22"/>
        </w:rPr>
        <w:sectPr w:rsidR="00C85797" w:rsidRPr="00C85797" w:rsidSect="00F23AF0">
          <w:pgSz w:w="12240" w:h="15840" w:code="1"/>
          <w:pgMar w:top="1440" w:right="1440" w:bottom="1440" w:left="1440" w:header="720" w:footer="720" w:gutter="0"/>
          <w:pgNumType w:start="1"/>
          <w:cols w:space="720"/>
          <w:noEndnote/>
          <w:docGrid w:linePitch="326"/>
        </w:sectPr>
      </w:pPr>
    </w:p>
    <w:bookmarkStart w:id="0" w:name="_Toc206314253" w:displacedByCustomXml="next"/>
    <w:bookmarkStart w:id="1" w:name="_Toc206315717" w:displacedByCustomXml="next"/>
    <w:bookmarkStart w:id="2" w:name="_Toc206315820" w:displacedByCustomXml="next"/>
    <w:bookmarkStart w:id="3" w:name="_Toc234055773" w:displacedByCustomXml="next"/>
    <w:bookmarkStart w:id="4" w:name="_Toc293566176" w:displacedByCustomXml="next"/>
    <w:bookmarkStart w:id="5" w:name="_Toc293566690" w:displacedByCustomXml="next"/>
    <w:bookmarkStart w:id="6" w:name="_Toc293566732" w:displacedByCustomXml="next"/>
    <w:bookmarkStart w:id="7" w:name="_Toc450735204" w:displacedByCustomXml="next"/>
    <w:sdt>
      <w:sdtPr>
        <w:rPr>
          <w:rFonts w:eastAsia="Times New Roman" w:cs="Arial"/>
          <w:bCs w:val="0"/>
          <w:caps w:val="0"/>
          <w:sz w:val="24"/>
          <w:szCs w:val="24"/>
        </w:rPr>
        <w:id w:val="-210029324"/>
        <w:docPartObj>
          <w:docPartGallery w:val="Table of Contents"/>
          <w:docPartUnique/>
        </w:docPartObj>
      </w:sdtPr>
      <w:sdtEndPr>
        <w:rPr>
          <w:b/>
          <w:noProof/>
        </w:rPr>
      </w:sdtEndPr>
      <w:sdtContent>
        <w:p w14:paraId="1312FBB3" w14:textId="6A3BAF57" w:rsidR="002406E9" w:rsidRDefault="00A958F4">
          <w:pPr>
            <w:pStyle w:val="TOCHeading"/>
          </w:pPr>
          <w:r>
            <w:rPr>
              <w:rFonts w:eastAsia="Times New Roman" w:cs="Arial"/>
              <w:bCs w:val="0"/>
              <w:caps w:val="0"/>
              <w:sz w:val="24"/>
              <w:szCs w:val="24"/>
            </w:rPr>
            <w:t xml:space="preserve">TABLE OF </w:t>
          </w:r>
          <w:r w:rsidR="002406E9">
            <w:t>Contents</w:t>
          </w:r>
        </w:p>
        <w:p w14:paraId="5EF56A84" w14:textId="0C4CE909" w:rsidR="002F6993" w:rsidRDefault="002406E9">
          <w:pPr>
            <w:pStyle w:val="TOC1"/>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219293588" w:history="1">
            <w:r w:rsidR="002F6993" w:rsidRPr="005922E2">
              <w:rPr>
                <w:rStyle w:val="Hyperlink"/>
                <w:noProof/>
              </w:rPr>
              <w:t>2571-01</w:t>
            </w:r>
            <w:r w:rsidR="002F6993">
              <w:rPr>
                <w:rFonts w:asciiTheme="minorHAnsi" w:eastAsiaTheme="minorEastAsia" w:hAnsiTheme="minorHAnsi" w:cstheme="minorBidi"/>
                <w:bCs w:val="0"/>
                <w:noProof/>
                <w:kern w:val="2"/>
                <w:sz w:val="24"/>
                <w:szCs w:val="24"/>
                <w14:ligatures w14:val="standardContextual"/>
              </w:rPr>
              <w:tab/>
            </w:r>
            <w:r w:rsidR="002F6993" w:rsidRPr="005922E2">
              <w:rPr>
                <w:rStyle w:val="Hyperlink"/>
                <w:noProof/>
              </w:rPr>
              <w:t>PURPOSE</w:t>
            </w:r>
            <w:r w:rsidR="002F6993">
              <w:rPr>
                <w:noProof/>
                <w:webHidden/>
              </w:rPr>
              <w:tab/>
            </w:r>
            <w:r w:rsidR="002F6993">
              <w:rPr>
                <w:noProof/>
                <w:webHidden/>
              </w:rPr>
              <w:fldChar w:fldCharType="begin"/>
            </w:r>
            <w:r w:rsidR="002F6993">
              <w:rPr>
                <w:noProof/>
                <w:webHidden/>
              </w:rPr>
              <w:instrText xml:space="preserve"> PAGEREF _Toc219293588 \h </w:instrText>
            </w:r>
            <w:r w:rsidR="002F6993">
              <w:rPr>
                <w:noProof/>
                <w:webHidden/>
              </w:rPr>
            </w:r>
            <w:r w:rsidR="002F6993">
              <w:rPr>
                <w:noProof/>
                <w:webHidden/>
              </w:rPr>
              <w:fldChar w:fldCharType="separate"/>
            </w:r>
            <w:r w:rsidR="00784945">
              <w:rPr>
                <w:noProof/>
                <w:webHidden/>
              </w:rPr>
              <w:t>1</w:t>
            </w:r>
            <w:r w:rsidR="002F6993">
              <w:rPr>
                <w:noProof/>
                <w:webHidden/>
              </w:rPr>
              <w:fldChar w:fldCharType="end"/>
            </w:r>
          </w:hyperlink>
        </w:p>
        <w:p w14:paraId="0804296A" w14:textId="56635B8E"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89" w:history="1">
            <w:r w:rsidRPr="005922E2">
              <w:rPr>
                <w:rStyle w:val="Hyperlink"/>
                <w:noProof/>
              </w:rPr>
              <w:t>2571-02</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OBJECTIVES</w:t>
            </w:r>
            <w:r>
              <w:rPr>
                <w:noProof/>
                <w:webHidden/>
              </w:rPr>
              <w:tab/>
            </w:r>
            <w:r>
              <w:rPr>
                <w:noProof/>
                <w:webHidden/>
              </w:rPr>
              <w:fldChar w:fldCharType="begin"/>
            </w:r>
            <w:r>
              <w:rPr>
                <w:noProof/>
                <w:webHidden/>
              </w:rPr>
              <w:instrText xml:space="preserve"> PAGEREF _Toc219293589 \h </w:instrText>
            </w:r>
            <w:r>
              <w:rPr>
                <w:noProof/>
                <w:webHidden/>
              </w:rPr>
            </w:r>
            <w:r>
              <w:rPr>
                <w:noProof/>
                <w:webHidden/>
              </w:rPr>
              <w:fldChar w:fldCharType="separate"/>
            </w:r>
            <w:r w:rsidR="00784945">
              <w:rPr>
                <w:noProof/>
                <w:webHidden/>
              </w:rPr>
              <w:t>1</w:t>
            </w:r>
            <w:r>
              <w:rPr>
                <w:noProof/>
                <w:webHidden/>
              </w:rPr>
              <w:fldChar w:fldCharType="end"/>
            </w:r>
          </w:hyperlink>
        </w:p>
        <w:p w14:paraId="22B58AB8" w14:textId="1407355D"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90" w:history="1">
            <w:r w:rsidRPr="005922E2">
              <w:rPr>
                <w:rStyle w:val="Hyperlink"/>
                <w:noProof/>
              </w:rPr>
              <w:t>2571-03</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APPLICABILITY</w:t>
            </w:r>
            <w:r>
              <w:rPr>
                <w:noProof/>
                <w:webHidden/>
              </w:rPr>
              <w:tab/>
            </w:r>
            <w:r>
              <w:rPr>
                <w:noProof/>
                <w:webHidden/>
              </w:rPr>
              <w:fldChar w:fldCharType="begin"/>
            </w:r>
            <w:r>
              <w:rPr>
                <w:noProof/>
                <w:webHidden/>
              </w:rPr>
              <w:instrText xml:space="preserve"> PAGEREF _Toc219293590 \h </w:instrText>
            </w:r>
            <w:r>
              <w:rPr>
                <w:noProof/>
                <w:webHidden/>
              </w:rPr>
            </w:r>
            <w:r>
              <w:rPr>
                <w:noProof/>
                <w:webHidden/>
              </w:rPr>
              <w:fldChar w:fldCharType="separate"/>
            </w:r>
            <w:r w:rsidR="00784945">
              <w:rPr>
                <w:noProof/>
                <w:webHidden/>
              </w:rPr>
              <w:t>1</w:t>
            </w:r>
            <w:r>
              <w:rPr>
                <w:noProof/>
                <w:webHidden/>
              </w:rPr>
              <w:fldChar w:fldCharType="end"/>
            </w:r>
          </w:hyperlink>
        </w:p>
        <w:p w14:paraId="29978C10" w14:textId="5164E918"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91" w:history="1">
            <w:r w:rsidRPr="005922E2">
              <w:rPr>
                <w:rStyle w:val="Hyperlink"/>
                <w:noProof/>
              </w:rPr>
              <w:t>2571-04</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DEFINITIONS</w:t>
            </w:r>
            <w:r>
              <w:rPr>
                <w:noProof/>
                <w:webHidden/>
              </w:rPr>
              <w:tab/>
            </w:r>
            <w:r>
              <w:rPr>
                <w:noProof/>
                <w:webHidden/>
              </w:rPr>
              <w:fldChar w:fldCharType="begin"/>
            </w:r>
            <w:r>
              <w:rPr>
                <w:noProof/>
                <w:webHidden/>
              </w:rPr>
              <w:instrText xml:space="preserve"> PAGEREF _Toc219293591 \h </w:instrText>
            </w:r>
            <w:r>
              <w:rPr>
                <w:noProof/>
                <w:webHidden/>
              </w:rPr>
            </w:r>
            <w:r>
              <w:rPr>
                <w:noProof/>
                <w:webHidden/>
              </w:rPr>
              <w:fldChar w:fldCharType="separate"/>
            </w:r>
            <w:r w:rsidR="00784945">
              <w:rPr>
                <w:noProof/>
                <w:webHidden/>
              </w:rPr>
              <w:t>2</w:t>
            </w:r>
            <w:r>
              <w:rPr>
                <w:noProof/>
                <w:webHidden/>
              </w:rPr>
              <w:fldChar w:fldCharType="end"/>
            </w:r>
          </w:hyperlink>
        </w:p>
        <w:p w14:paraId="35E505C6" w14:textId="2E3F797C"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92" w:history="1">
            <w:r w:rsidRPr="005922E2">
              <w:rPr>
                <w:rStyle w:val="Hyperlink"/>
                <w:noProof/>
              </w:rPr>
              <w:t>2571-05</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RESPONSIBILITIES AND AUTHORITIES</w:t>
            </w:r>
            <w:r>
              <w:rPr>
                <w:noProof/>
                <w:webHidden/>
              </w:rPr>
              <w:tab/>
            </w:r>
            <w:r>
              <w:rPr>
                <w:noProof/>
                <w:webHidden/>
              </w:rPr>
              <w:fldChar w:fldCharType="begin"/>
            </w:r>
            <w:r>
              <w:rPr>
                <w:noProof/>
                <w:webHidden/>
              </w:rPr>
              <w:instrText xml:space="preserve"> PAGEREF _Toc219293592 \h </w:instrText>
            </w:r>
            <w:r>
              <w:rPr>
                <w:noProof/>
                <w:webHidden/>
              </w:rPr>
            </w:r>
            <w:r>
              <w:rPr>
                <w:noProof/>
                <w:webHidden/>
              </w:rPr>
              <w:fldChar w:fldCharType="separate"/>
            </w:r>
            <w:r w:rsidR="00784945">
              <w:rPr>
                <w:noProof/>
                <w:webHidden/>
              </w:rPr>
              <w:t>4</w:t>
            </w:r>
            <w:r>
              <w:rPr>
                <w:noProof/>
                <w:webHidden/>
              </w:rPr>
              <w:fldChar w:fldCharType="end"/>
            </w:r>
          </w:hyperlink>
        </w:p>
        <w:p w14:paraId="2E1B4D1B" w14:textId="332F9586"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93" w:history="1">
            <w:r w:rsidRPr="005922E2">
              <w:rPr>
                <w:rStyle w:val="Hyperlink"/>
                <w:noProof/>
              </w:rPr>
              <w:t>2571-06</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REQUIREMENTS</w:t>
            </w:r>
            <w:r>
              <w:rPr>
                <w:noProof/>
                <w:webHidden/>
              </w:rPr>
              <w:tab/>
            </w:r>
            <w:r>
              <w:rPr>
                <w:noProof/>
                <w:webHidden/>
              </w:rPr>
              <w:fldChar w:fldCharType="begin"/>
            </w:r>
            <w:r>
              <w:rPr>
                <w:noProof/>
                <w:webHidden/>
              </w:rPr>
              <w:instrText xml:space="preserve"> PAGEREF _Toc219293593 \h </w:instrText>
            </w:r>
            <w:r>
              <w:rPr>
                <w:noProof/>
                <w:webHidden/>
              </w:rPr>
            </w:r>
            <w:r>
              <w:rPr>
                <w:noProof/>
                <w:webHidden/>
              </w:rPr>
              <w:fldChar w:fldCharType="separate"/>
            </w:r>
            <w:r w:rsidR="00784945">
              <w:rPr>
                <w:noProof/>
                <w:webHidden/>
              </w:rPr>
              <w:t>5</w:t>
            </w:r>
            <w:r>
              <w:rPr>
                <w:noProof/>
                <w:webHidden/>
              </w:rPr>
              <w:fldChar w:fldCharType="end"/>
            </w:r>
          </w:hyperlink>
        </w:p>
        <w:p w14:paraId="6869C5EB" w14:textId="69A1E0F0"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594" w:history="1">
            <w:r w:rsidRPr="005922E2">
              <w:rPr>
                <w:rStyle w:val="Hyperlink"/>
                <w:noProof/>
              </w:rPr>
              <w:t>2571-07</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GUIDANCE</w:t>
            </w:r>
            <w:r>
              <w:rPr>
                <w:noProof/>
                <w:webHidden/>
              </w:rPr>
              <w:tab/>
            </w:r>
            <w:r>
              <w:rPr>
                <w:noProof/>
                <w:webHidden/>
              </w:rPr>
              <w:fldChar w:fldCharType="begin"/>
            </w:r>
            <w:r>
              <w:rPr>
                <w:noProof/>
                <w:webHidden/>
              </w:rPr>
              <w:instrText xml:space="preserve"> PAGEREF _Toc219293594 \h </w:instrText>
            </w:r>
            <w:r>
              <w:rPr>
                <w:noProof/>
                <w:webHidden/>
              </w:rPr>
            </w:r>
            <w:r>
              <w:rPr>
                <w:noProof/>
                <w:webHidden/>
              </w:rPr>
              <w:fldChar w:fldCharType="separate"/>
            </w:r>
            <w:r w:rsidR="00784945">
              <w:rPr>
                <w:noProof/>
                <w:webHidden/>
              </w:rPr>
              <w:t>5</w:t>
            </w:r>
            <w:r>
              <w:rPr>
                <w:noProof/>
                <w:webHidden/>
              </w:rPr>
              <w:fldChar w:fldCharType="end"/>
            </w:r>
          </w:hyperlink>
        </w:p>
        <w:p w14:paraId="3CDAC2A8" w14:textId="2E697207"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595" w:history="1">
            <w:r w:rsidRPr="005922E2">
              <w:rPr>
                <w:rStyle w:val="Hyperlink"/>
              </w:rPr>
              <w:t>07.01</w:t>
            </w:r>
            <w:r>
              <w:rPr>
                <w:rFonts w:asciiTheme="minorHAnsi" w:eastAsiaTheme="minorEastAsia" w:hAnsiTheme="minorHAnsi" w:cstheme="minorBidi"/>
                <w:bCs w:val="0"/>
                <w:kern w:val="2"/>
                <w:sz w:val="24"/>
                <w:szCs w:val="24"/>
                <w14:ligatures w14:val="standardContextual"/>
              </w:rPr>
              <w:tab/>
            </w:r>
            <w:r w:rsidRPr="005922E2">
              <w:rPr>
                <w:rStyle w:val="Hyperlink"/>
              </w:rPr>
              <w:t>Application of the NRC Enforcement Policy and Enforcement Manual to ARCOP Noncompliances</w:t>
            </w:r>
            <w:r>
              <w:rPr>
                <w:webHidden/>
              </w:rPr>
              <w:tab/>
            </w:r>
            <w:r>
              <w:rPr>
                <w:webHidden/>
              </w:rPr>
              <w:fldChar w:fldCharType="begin"/>
            </w:r>
            <w:r>
              <w:rPr>
                <w:webHidden/>
              </w:rPr>
              <w:instrText xml:space="preserve"> PAGEREF _Toc219293595 \h </w:instrText>
            </w:r>
            <w:r>
              <w:rPr>
                <w:webHidden/>
              </w:rPr>
            </w:r>
            <w:r>
              <w:rPr>
                <w:webHidden/>
              </w:rPr>
              <w:fldChar w:fldCharType="separate"/>
            </w:r>
            <w:r w:rsidR="00784945">
              <w:rPr>
                <w:webHidden/>
              </w:rPr>
              <w:t>5</w:t>
            </w:r>
            <w:r>
              <w:rPr>
                <w:webHidden/>
              </w:rPr>
              <w:fldChar w:fldCharType="end"/>
            </w:r>
          </w:hyperlink>
        </w:p>
        <w:p w14:paraId="2F6A6B4B" w14:textId="55D22731"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596" w:history="1">
            <w:r w:rsidRPr="005922E2">
              <w:rPr>
                <w:rStyle w:val="Hyperlink"/>
                <w:rFonts w:cs="Arial"/>
              </w:rPr>
              <w:t>07.02</w:t>
            </w:r>
            <w:r>
              <w:rPr>
                <w:rFonts w:asciiTheme="minorHAnsi" w:eastAsiaTheme="minorEastAsia" w:hAnsiTheme="minorHAnsi" w:cstheme="minorBidi"/>
                <w:bCs w:val="0"/>
                <w:kern w:val="2"/>
                <w:sz w:val="24"/>
                <w:szCs w:val="24"/>
                <w14:ligatures w14:val="standardContextual"/>
              </w:rPr>
              <w:tab/>
            </w:r>
            <w:r w:rsidRPr="005922E2">
              <w:rPr>
                <w:rStyle w:val="Hyperlink"/>
                <w:rFonts w:cs="Arial"/>
              </w:rPr>
              <w:t>Self-identified Construction Noncompliances (SCNs)</w:t>
            </w:r>
            <w:r>
              <w:rPr>
                <w:webHidden/>
              </w:rPr>
              <w:tab/>
            </w:r>
            <w:r>
              <w:rPr>
                <w:webHidden/>
              </w:rPr>
              <w:fldChar w:fldCharType="begin"/>
            </w:r>
            <w:r>
              <w:rPr>
                <w:webHidden/>
              </w:rPr>
              <w:instrText xml:space="preserve"> PAGEREF _Toc219293596 \h </w:instrText>
            </w:r>
            <w:r>
              <w:rPr>
                <w:webHidden/>
              </w:rPr>
            </w:r>
            <w:r>
              <w:rPr>
                <w:webHidden/>
              </w:rPr>
              <w:fldChar w:fldCharType="separate"/>
            </w:r>
            <w:r w:rsidR="00784945">
              <w:rPr>
                <w:webHidden/>
              </w:rPr>
              <w:t>6</w:t>
            </w:r>
            <w:r>
              <w:rPr>
                <w:webHidden/>
              </w:rPr>
              <w:fldChar w:fldCharType="end"/>
            </w:r>
          </w:hyperlink>
        </w:p>
        <w:p w14:paraId="20A2E1EF" w14:textId="226C68ED"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597" w:history="1">
            <w:r w:rsidRPr="005922E2">
              <w:rPr>
                <w:rStyle w:val="Hyperlink"/>
              </w:rPr>
              <w:t>07.03</w:t>
            </w:r>
            <w:r>
              <w:rPr>
                <w:rFonts w:asciiTheme="minorHAnsi" w:eastAsiaTheme="minorEastAsia" w:hAnsiTheme="minorHAnsi" w:cstheme="minorBidi"/>
                <w:bCs w:val="0"/>
                <w:kern w:val="2"/>
                <w:sz w:val="24"/>
                <w:szCs w:val="24"/>
                <w14:ligatures w14:val="standardContextual"/>
              </w:rPr>
              <w:tab/>
            </w:r>
            <w:r w:rsidRPr="005922E2">
              <w:rPr>
                <w:rStyle w:val="Hyperlink"/>
              </w:rPr>
              <w:t>Findings Material to the Acceptance Criteria of ITAAC</w:t>
            </w:r>
            <w:r>
              <w:rPr>
                <w:webHidden/>
              </w:rPr>
              <w:tab/>
            </w:r>
            <w:r>
              <w:rPr>
                <w:webHidden/>
              </w:rPr>
              <w:fldChar w:fldCharType="begin"/>
            </w:r>
            <w:r>
              <w:rPr>
                <w:webHidden/>
              </w:rPr>
              <w:instrText xml:space="preserve"> PAGEREF _Toc219293597 \h </w:instrText>
            </w:r>
            <w:r>
              <w:rPr>
                <w:webHidden/>
              </w:rPr>
            </w:r>
            <w:r>
              <w:rPr>
                <w:webHidden/>
              </w:rPr>
              <w:fldChar w:fldCharType="separate"/>
            </w:r>
            <w:r w:rsidR="00784945">
              <w:rPr>
                <w:webHidden/>
              </w:rPr>
              <w:t>7</w:t>
            </w:r>
            <w:r>
              <w:rPr>
                <w:webHidden/>
              </w:rPr>
              <w:fldChar w:fldCharType="end"/>
            </w:r>
          </w:hyperlink>
        </w:p>
        <w:p w14:paraId="23C23E74" w14:textId="754B8149"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598" w:history="1">
            <w:r w:rsidRPr="005922E2">
              <w:rPr>
                <w:rStyle w:val="Hyperlink"/>
              </w:rPr>
              <w:t>07.04</w:t>
            </w:r>
            <w:r>
              <w:rPr>
                <w:rFonts w:asciiTheme="minorHAnsi" w:eastAsiaTheme="minorEastAsia" w:hAnsiTheme="minorHAnsi" w:cstheme="minorBidi"/>
                <w:bCs w:val="0"/>
                <w:kern w:val="2"/>
                <w:sz w:val="24"/>
                <w:szCs w:val="24"/>
                <w14:ligatures w14:val="standardContextual"/>
              </w:rPr>
              <w:tab/>
            </w:r>
            <w:r w:rsidRPr="005922E2">
              <w:rPr>
                <w:rStyle w:val="Hyperlink"/>
              </w:rPr>
              <w:t>Very Low Safety Significance Issue Resolution (VLSSIR)</w:t>
            </w:r>
            <w:r>
              <w:rPr>
                <w:webHidden/>
              </w:rPr>
              <w:tab/>
            </w:r>
            <w:r>
              <w:rPr>
                <w:webHidden/>
              </w:rPr>
              <w:fldChar w:fldCharType="begin"/>
            </w:r>
            <w:r>
              <w:rPr>
                <w:webHidden/>
              </w:rPr>
              <w:instrText xml:space="preserve"> PAGEREF _Toc219293598 \h </w:instrText>
            </w:r>
            <w:r>
              <w:rPr>
                <w:webHidden/>
              </w:rPr>
            </w:r>
            <w:r>
              <w:rPr>
                <w:webHidden/>
              </w:rPr>
              <w:fldChar w:fldCharType="separate"/>
            </w:r>
            <w:r w:rsidR="00784945">
              <w:rPr>
                <w:webHidden/>
              </w:rPr>
              <w:t>7</w:t>
            </w:r>
            <w:r>
              <w:rPr>
                <w:webHidden/>
              </w:rPr>
              <w:fldChar w:fldCharType="end"/>
            </w:r>
          </w:hyperlink>
        </w:p>
        <w:p w14:paraId="6DE2BD8E" w14:textId="5D887B3A"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599" w:history="1">
            <w:r w:rsidRPr="005922E2">
              <w:rPr>
                <w:rStyle w:val="Hyperlink"/>
              </w:rPr>
              <w:t>07.05</w:t>
            </w:r>
            <w:r>
              <w:rPr>
                <w:rFonts w:asciiTheme="minorHAnsi" w:eastAsiaTheme="minorEastAsia" w:hAnsiTheme="minorHAnsi" w:cstheme="minorBidi"/>
                <w:bCs w:val="0"/>
                <w:kern w:val="2"/>
                <w:sz w:val="24"/>
                <w:szCs w:val="24"/>
                <w14:ligatures w14:val="standardContextual"/>
              </w:rPr>
              <w:tab/>
            </w:r>
            <w:r w:rsidRPr="005922E2">
              <w:rPr>
                <w:rStyle w:val="Hyperlink"/>
              </w:rPr>
              <w:t>Technical Assistance Requests (TARs)</w:t>
            </w:r>
            <w:r>
              <w:rPr>
                <w:webHidden/>
              </w:rPr>
              <w:tab/>
            </w:r>
            <w:r>
              <w:rPr>
                <w:webHidden/>
              </w:rPr>
              <w:fldChar w:fldCharType="begin"/>
            </w:r>
            <w:r>
              <w:rPr>
                <w:webHidden/>
              </w:rPr>
              <w:instrText xml:space="preserve"> PAGEREF _Toc219293599 \h </w:instrText>
            </w:r>
            <w:r>
              <w:rPr>
                <w:webHidden/>
              </w:rPr>
            </w:r>
            <w:r>
              <w:rPr>
                <w:webHidden/>
              </w:rPr>
              <w:fldChar w:fldCharType="separate"/>
            </w:r>
            <w:r w:rsidR="00784945">
              <w:rPr>
                <w:webHidden/>
              </w:rPr>
              <w:t>8</w:t>
            </w:r>
            <w:r>
              <w:rPr>
                <w:webHidden/>
              </w:rPr>
              <w:fldChar w:fldCharType="end"/>
            </w:r>
          </w:hyperlink>
        </w:p>
        <w:p w14:paraId="2E8EF37D" w14:textId="5EF6C667"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00" w:history="1">
            <w:r w:rsidRPr="005922E2">
              <w:rPr>
                <w:rStyle w:val="Hyperlink"/>
              </w:rPr>
              <w:t>07.06</w:t>
            </w:r>
            <w:r>
              <w:rPr>
                <w:rFonts w:asciiTheme="minorHAnsi" w:eastAsiaTheme="minorEastAsia" w:hAnsiTheme="minorHAnsi" w:cstheme="minorBidi"/>
                <w:bCs w:val="0"/>
                <w:kern w:val="2"/>
                <w:sz w:val="24"/>
                <w:szCs w:val="24"/>
                <w14:ligatures w14:val="standardContextual"/>
              </w:rPr>
              <w:tab/>
            </w:r>
            <w:r w:rsidRPr="005922E2">
              <w:rPr>
                <w:rStyle w:val="Hyperlink"/>
              </w:rPr>
              <w:t>Initial Screening of ARCOP Noncompliances</w:t>
            </w:r>
            <w:r>
              <w:rPr>
                <w:webHidden/>
              </w:rPr>
              <w:tab/>
            </w:r>
            <w:r>
              <w:rPr>
                <w:webHidden/>
              </w:rPr>
              <w:fldChar w:fldCharType="begin"/>
            </w:r>
            <w:r>
              <w:rPr>
                <w:webHidden/>
              </w:rPr>
              <w:instrText xml:space="preserve"> PAGEREF _Toc219293600 \h </w:instrText>
            </w:r>
            <w:r>
              <w:rPr>
                <w:webHidden/>
              </w:rPr>
            </w:r>
            <w:r>
              <w:rPr>
                <w:webHidden/>
              </w:rPr>
              <w:fldChar w:fldCharType="separate"/>
            </w:r>
            <w:r w:rsidR="00784945">
              <w:rPr>
                <w:webHidden/>
              </w:rPr>
              <w:t>9</w:t>
            </w:r>
            <w:r>
              <w:rPr>
                <w:webHidden/>
              </w:rPr>
              <w:fldChar w:fldCharType="end"/>
            </w:r>
          </w:hyperlink>
        </w:p>
        <w:p w14:paraId="3D1FC279" w14:textId="4C6AF904"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01" w:history="1">
            <w:r w:rsidRPr="005922E2">
              <w:rPr>
                <w:rStyle w:val="Hyperlink"/>
                <w:noProof/>
              </w:rPr>
              <w:t>Figure 1: Initial Screening of Noncompliances</w:t>
            </w:r>
            <w:r>
              <w:rPr>
                <w:noProof/>
                <w:webHidden/>
              </w:rPr>
              <w:tab/>
            </w:r>
            <w:r>
              <w:rPr>
                <w:noProof/>
                <w:webHidden/>
              </w:rPr>
              <w:fldChar w:fldCharType="begin"/>
            </w:r>
            <w:r>
              <w:rPr>
                <w:noProof/>
                <w:webHidden/>
              </w:rPr>
              <w:instrText xml:space="preserve"> PAGEREF _Toc219293601 \h </w:instrText>
            </w:r>
            <w:r>
              <w:rPr>
                <w:noProof/>
                <w:webHidden/>
              </w:rPr>
            </w:r>
            <w:r>
              <w:rPr>
                <w:noProof/>
                <w:webHidden/>
              </w:rPr>
              <w:fldChar w:fldCharType="separate"/>
            </w:r>
            <w:r w:rsidR="00784945">
              <w:rPr>
                <w:noProof/>
                <w:webHidden/>
              </w:rPr>
              <w:t>11</w:t>
            </w:r>
            <w:r>
              <w:rPr>
                <w:noProof/>
                <w:webHidden/>
              </w:rPr>
              <w:fldChar w:fldCharType="end"/>
            </w:r>
          </w:hyperlink>
        </w:p>
        <w:p w14:paraId="0674816A" w14:textId="1145C4CE"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02" w:history="1">
            <w:r w:rsidRPr="005922E2">
              <w:rPr>
                <w:rStyle w:val="Hyperlink"/>
              </w:rPr>
              <w:t>07.07</w:t>
            </w:r>
            <w:r>
              <w:rPr>
                <w:rFonts w:asciiTheme="minorHAnsi" w:eastAsiaTheme="minorEastAsia" w:hAnsiTheme="minorHAnsi" w:cstheme="minorBidi"/>
                <w:bCs w:val="0"/>
                <w:kern w:val="2"/>
                <w:sz w:val="24"/>
                <w:szCs w:val="24"/>
                <w14:ligatures w14:val="standardContextual"/>
              </w:rPr>
              <w:tab/>
            </w:r>
            <w:r w:rsidRPr="005922E2">
              <w:rPr>
                <w:rStyle w:val="Hyperlink"/>
              </w:rPr>
              <w:t>Dispositioning Licensee Findings</w:t>
            </w:r>
            <w:r>
              <w:rPr>
                <w:webHidden/>
              </w:rPr>
              <w:tab/>
            </w:r>
            <w:r>
              <w:rPr>
                <w:webHidden/>
              </w:rPr>
              <w:fldChar w:fldCharType="begin"/>
            </w:r>
            <w:r>
              <w:rPr>
                <w:webHidden/>
              </w:rPr>
              <w:instrText xml:space="preserve"> PAGEREF _Toc219293602 \h </w:instrText>
            </w:r>
            <w:r>
              <w:rPr>
                <w:webHidden/>
              </w:rPr>
            </w:r>
            <w:r>
              <w:rPr>
                <w:webHidden/>
              </w:rPr>
              <w:fldChar w:fldCharType="separate"/>
            </w:r>
            <w:r w:rsidR="00784945">
              <w:rPr>
                <w:webHidden/>
              </w:rPr>
              <w:t>12</w:t>
            </w:r>
            <w:r>
              <w:rPr>
                <w:webHidden/>
              </w:rPr>
              <w:fldChar w:fldCharType="end"/>
            </w:r>
          </w:hyperlink>
        </w:p>
        <w:p w14:paraId="3E9570BC" w14:textId="4C87219D"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03" w:history="1">
            <w:r w:rsidRPr="005922E2">
              <w:rPr>
                <w:rStyle w:val="Hyperlink"/>
                <w:noProof/>
              </w:rPr>
              <w:t>Figure 2: Dispositioning Licensee Findings</w:t>
            </w:r>
            <w:r>
              <w:rPr>
                <w:noProof/>
                <w:webHidden/>
              </w:rPr>
              <w:tab/>
            </w:r>
            <w:r>
              <w:rPr>
                <w:noProof/>
                <w:webHidden/>
              </w:rPr>
              <w:fldChar w:fldCharType="begin"/>
            </w:r>
            <w:r>
              <w:rPr>
                <w:noProof/>
                <w:webHidden/>
              </w:rPr>
              <w:instrText xml:space="preserve"> PAGEREF _Toc219293603 \h </w:instrText>
            </w:r>
            <w:r>
              <w:rPr>
                <w:noProof/>
                <w:webHidden/>
              </w:rPr>
            </w:r>
            <w:r>
              <w:rPr>
                <w:noProof/>
                <w:webHidden/>
              </w:rPr>
              <w:fldChar w:fldCharType="separate"/>
            </w:r>
            <w:r w:rsidR="00784945">
              <w:rPr>
                <w:noProof/>
                <w:webHidden/>
              </w:rPr>
              <w:t>13</w:t>
            </w:r>
            <w:r>
              <w:rPr>
                <w:noProof/>
                <w:webHidden/>
              </w:rPr>
              <w:fldChar w:fldCharType="end"/>
            </w:r>
          </w:hyperlink>
        </w:p>
        <w:p w14:paraId="0612C31A" w14:textId="6B3305A8"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04" w:history="1">
            <w:r w:rsidRPr="005922E2">
              <w:rPr>
                <w:rStyle w:val="Hyperlink"/>
                <w:noProof/>
              </w:rPr>
              <w:t>Figure 2a: Dispositioning Licensee Findings (continued)</w:t>
            </w:r>
            <w:r>
              <w:rPr>
                <w:noProof/>
                <w:webHidden/>
              </w:rPr>
              <w:tab/>
            </w:r>
            <w:r>
              <w:rPr>
                <w:noProof/>
                <w:webHidden/>
              </w:rPr>
              <w:fldChar w:fldCharType="begin"/>
            </w:r>
            <w:r>
              <w:rPr>
                <w:noProof/>
                <w:webHidden/>
              </w:rPr>
              <w:instrText xml:space="preserve"> PAGEREF _Toc219293604 \h </w:instrText>
            </w:r>
            <w:r>
              <w:rPr>
                <w:noProof/>
                <w:webHidden/>
              </w:rPr>
            </w:r>
            <w:r>
              <w:rPr>
                <w:noProof/>
                <w:webHidden/>
              </w:rPr>
              <w:fldChar w:fldCharType="separate"/>
            </w:r>
            <w:r w:rsidR="00784945">
              <w:rPr>
                <w:noProof/>
                <w:webHidden/>
              </w:rPr>
              <w:t>13</w:t>
            </w:r>
            <w:r>
              <w:rPr>
                <w:noProof/>
                <w:webHidden/>
              </w:rPr>
              <w:fldChar w:fldCharType="end"/>
            </w:r>
          </w:hyperlink>
        </w:p>
        <w:p w14:paraId="18D37804" w14:textId="122A50D5"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05" w:history="1">
            <w:r w:rsidRPr="005922E2">
              <w:rPr>
                <w:rStyle w:val="Hyperlink"/>
              </w:rPr>
              <w:t>07.08</w:t>
            </w:r>
            <w:r>
              <w:rPr>
                <w:rFonts w:asciiTheme="minorHAnsi" w:eastAsiaTheme="minorEastAsia" w:hAnsiTheme="minorHAnsi" w:cstheme="minorBidi"/>
                <w:bCs w:val="0"/>
                <w:kern w:val="2"/>
                <w:sz w:val="24"/>
                <w:szCs w:val="24"/>
                <w14:ligatures w14:val="standardContextual"/>
              </w:rPr>
              <w:tab/>
            </w:r>
            <w:r w:rsidRPr="005922E2">
              <w:rPr>
                <w:rStyle w:val="Hyperlink"/>
              </w:rPr>
              <w:t>Dispositioning Non-Licensee Findings</w:t>
            </w:r>
            <w:r>
              <w:rPr>
                <w:webHidden/>
              </w:rPr>
              <w:tab/>
            </w:r>
            <w:r>
              <w:rPr>
                <w:webHidden/>
              </w:rPr>
              <w:fldChar w:fldCharType="begin"/>
            </w:r>
            <w:r>
              <w:rPr>
                <w:webHidden/>
              </w:rPr>
              <w:instrText xml:space="preserve"> PAGEREF _Toc219293605 \h </w:instrText>
            </w:r>
            <w:r>
              <w:rPr>
                <w:webHidden/>
              </w:rPr>
            </w:r>
            <w:r>
              <w:rPr>
                <w:webHidden/>
              </w:rPr>
              <w:fldChar w:fldCharType="separate"/>
            </w:r>
            <w:r w:rsidR="00784945">
              <w:rPr>
                <w:webHidden/>
              </w:rPr>
              <w:t>14</w:t>
            </w:r>
            <w:r>
              <w:rPr>
                <w:webHidden/>
              </w:rPr>
              <w:fldChar w:fldCharType="end"/>
            </w:r>
          </w:hyperlink>
        </w:p>
        <w:p w14:paraId="03AFF471" w14:textId="1C868B1D"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06" w:history="1">
            <w:r w:rsidRPr="005922E2">
              <w:rPr>
                <w:rStyle w:val="Hyperlink"/>
                <w:noProof/>
              </w:rPr>
              <w:t>Figure 3: Dispositioning Non-Licensee Findings</w:t>
            </w:r>
            <w:r>
              <w:rPr>
                <w:noProof/>
                <w:webHidden/>
              </w:rPr>
              <w:tab/>
            </w:r>
            <w:r>
              <w:rPr>
                <w:noProof/>
                <w:webHidden/>
              </w:rPr>
              <w:fldChar w:fldCharType="begin"/>
            </w:r>
            <w:r>
              <w:rPr>
                <w:noProof/>
                <w:webHidden/>
              </w:rPr>
              <w:instrText xml:space="preserve"> PAGEREF _Toc219293606 \h </w:instrText>
            </w:r>
            <w:r>
              <w:rPr>
                <w:noProof/>
                <w:webHidden/>
              </w:rPr>
            </w:r>
            <w:r>
              <w:rPr>
                <w:noProof/>
                <w:webHidden/>
              </w:rPr>
              <w:fldChar w:fldCharType="separate"/>
            </w:r>
            <w:r w:rsidR="00784945">
              <w:rPr>
                <w:noProof/>
                <w:webHidden/>
              </w:rPr>
              <w:t>14</w:t>
            </w:r>
            <w:r>
              <w:rPr>
                <w:noProof/>
                <w:webHidden/>
              </w:rPr>
              <w:fldChar w:fldCharType="end"/>
            </w:r>
          </w:hyperlink>
        </w:p>
        <w:p w14:paraId="1041555E" w14:textId="42DB5518"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07" w:history="1">
            <w:r w:rsidRPr="005922E2">
              <w:rPr>
                <w:rStyle w:val="Hyperlink"/>
              </w:rPr>
              <w:t>07.09</w:t>
            </w:r>
            <w:r>
              <w:rPr>
                <w:rFonts w:asciiTheme="minorHAnsi" w:eastAsiaTheme="minorEastAsia" w:hAnsiTheme="minorHAnsi" w:cstheme="minorBidi"/>
                <w:bCs w:val="0"/>
                <w:kern w:val="2"/>
                <w:sz w:val="24"/>
                <w:szCs w:val="24"/>
                <w14:ligatures w14:val="standardContextual"/>
              </w:rPr>
              <w:tab/>
            </w:r>
            <w:r w:rsidRPr="005922E2">
              <w:rPr>
                <w:rStyle w:val="Hyperlink"/>
              </w:rPr>
              <w:t>Dispositioning Noncompliances Involving Potential Willfulness</w:t>
            </w:r>
            <w:r>
              <w:rPr>
                <w:webHidden/>
              </w:rPr>
              <w:tab/>
            </w:r>
            <w:r>
              <w:rPr>
                <w:webHidden/>
              </w:rPr>
              <w:fldChar w:fldCharType="begin"/>
            </w:r>
            <w:r>
              <w:rPr>
                <w:webHidden/>
              </w:rPr>
              <w:instrText xml:space="preserve"> PAGEREF _Toc219293607 \h </w:instrText>
            </w:r>
            <w:r>
              <w:rPr>
                <w:webHidden/>
              </w:rPr>
            </w:r>
            <w:r>
              <w:rPr>
                <w:webHidden/>
              </w:rPr>
              <w:fldChar w:fldCharType="separate"/>
            </w:r>
            <w:r w:rsidR="00784945">
              <w:rPr>
                <w:webHidden/>
              </w:rPr>
              <w:t>14</w:t>
            </w:r>
            <w:r>
              <w:rPr>
                <w:webHidden/>
              </w:rPr>
              <w:fldChar w:fldCharType="end"/>
            </w:r>
          </w:hyperlink>
        </w:p>
        <w:p w14:paraId="3574A11C" w14:textId="1BB8827C"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08" w:history="1">
            <w:r w:rsidRPr="005922E2">
              <w:rPr>
                <w:rStyle w:val="Hyperlink"/>
              </w:rPr>
              <w:t>07.10</w:t>
            </w:r>
            <w:r>
              <w:rPr>
                <w:rFonts w:asciiTheme="minorHAnsi" w:eastAsiaTheme="minorEastAsia" w:hAnsiTheme="minorHAnsi" w:cstheme="minorBidi"/>
                <w:bCs w:val="0"/>
                <w:kern w:val="2"/>
                <w:sz w:val="24"/>
                <w:szCs w:val="24"/>
                <w14:ligatures w14:val="standardContextual"/>
              </w:rPr>
              <w:tab/>
            </w:r>
            <w:r w:rsidRPr="005922E2">
              <w:rPr>
                <w:rStyle w:val="Hyperlink"/>
              </w:rPr>
              <w:t>Dispositioning Non-Willful TE Noncompliances</w:t>
            </w:r>
            <w:r>
              <w:rPr>
                <w:webHidden/>
              </w:rPr>
              <w:tab/>
            </w:r>
            <w:r>
              <w:rPr>
                <w:webHidden/>
              </w:rPr>
              <w:fldChar w:fldCharType="begin"/>
            </w:r>
            <w:r>
              <w:rPr>
                <w:webHidden/>
              </w:rPr>
              <w:instrText xml:space="preserve"> PAGEREF _Toc219293608 \h </w:instrText>
            </w:r>
            <w:r>
              <w:rPr>
                <w:webHidden/>
              </w:rPr>
            </w:r>
            <w:r>
              <w:rPr>
                <w:webHidden/>
              </w:rPr>
              <w:fldChar w:fldCharType="separate"/>
            </w:r>
            <w:r w:rsidR="00784945">
              <w:rPr>
                <w:webHidden/>
              </w:rPr>
              <w:t>14</w:t>
            </w:r>
            <w:r>
              <w:rPr>
                <w:webHidden/>
              </w:rPr>
              <w:fldChar w:fldCharType="end"/>
            </w:r>
          </w:hyperlink>
        </w:p>
        <w:p w14:paraId="56557E38" w14:textId="13F68A07"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09" w:history="1">
            <w:r w:rsidRPr="005922E2">
              <w:rPr>
                <w:rStyle w:val="Hyperlink"/>
                <w:noProof/>
              </w:rPr>
              <w:t>Figure 4: Dispositioning Non-Willful TE Violations</w:t>
            </w:r>
            <w:r>
              <w:rPr>
                <w:noProof/>
                <w:webHidden/>
              </w:rPr>
              <w:tab/>
            </w:r>
            <w:r>
              <w:rPr>
                <w:noProof/>
                <w:webHidden/>
              </w:rPr>
              <w:fldChar w:fldCharType="begin"/>
            </w:r>
            <w:r>
              <w:rPr>
                <w:noProof/>
                <w:webHidden/>
              </w:rPr>
              <w:instrText xml:space="preserve"> PAGEREF _Toc219293609 \h </w:instrText>
            </w:r>
            <w:r>
              <w:rPr>
                <w:noProof/>
                <w:webHidden/>
              </w:rPr>
            </w:r>
            <w:r>
              <w:rPr>
                <w:noProof/>
                <w:webHidden/>
              </w:rPr>
              <w:fldChar w:fldCharType="separate"/>
            </w:r>
            <w:r w:rsidR="00784945">
              <w:rPr>
                <w:noProof/>
                <w:webHidden/>
              </w:rPr>
              <w:t>17</w:t>
            </w:r>
            <w:r>
              <w:rPr>
                <w:noProof/>
                <w:webHidden/>
              </w:rPr>
              <w:fldChar w:fldCharType="end"/>
            </w:r>
          </w:hyperlink>
        </w:p>
        <w:p w14:paraId="28D81C63" w14:textId="3C52F3C8"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10" w:history="1">
            <w:r w:rsidRPr="005922E2">
              <w:rPr>
                <w:rStyle w:val="Hyperlink"/>
              </w:rPr>
              <w:t>07.11</w:t>
            </w:r>
            <w:r>
              <w:rPr>
                <w:rFonts w:asciiTheme="minorHAnsi" w:eastAsiaTheme="minorEastAsia" w:hAnsiTheme="minorHAnsi" w:cstheme="minorBidi"/>
                <w:bCs w:val="0"/>
                <w:kern w:val="2"/>
                <w:sz w:val="24"/>
                <w:szCs w:val="24"/>
                <w14:ligatures w14:val="standardContextual"/>
              </w:rPr>
              <w:tab/>
            </w:r>
            <w:r w:rsidRPr="005922E2">
              <w:rPr>
                <w:rStyle w:val="Hyperlink"/>
              </w:rPr>
              <w:t>Enforcement Review Panel Procedures</w:t>
            </w:r>
            <w:r>
              <w:rPr>
                <w:webHidden/>
              </w:rPr>
              <w:tab/>
            </w:r>
            <w:r>
              <w:rPr>
                <w:webHidden/>
              </w:rPr>
              <w:fldChar w:fldCharType="begin"/>
            </w:r>
            <w:r>
              <w:rPr>
                <w:webHidden/>
              </w:rPr>
              <w:instrText xml:space="preserve"> PAGEREF _Toc219293610 \h </w:instrText>
            </w:r>
            <w:r>
              <w:rPr>
                <w:webHidden/>
              </w:rPr>
            </w:r>
            <w:r>
              <w:rPr>
                <w:webHidden/>
              </w:rPr>
              <w:fldChar w:fldCharType="separate"/>
            </w:r>
            <w:r w:rsidR="00784945">
              <w:rPr>
                <w:webHidden/>
              </w:rPr>
              <w:t>17</w:t>
            </w:r>
            <w:r>
              <w:rPr>
                <w:webHidden/>
              </w:rPr>
              <w:fldChar w:fldCharType="end"/>
            </w:r>
          </w:hyperlink>
        </w:p>
        <w:p w14:paraId="05C5C6FA" w14:textId="78258682"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11" w:history="1">
            <w:r w:rsidRPr="005922E2">
              <w:rPr>
                <w:rStyle w:val="Hyperlink"/>
                <w:noProof/>
              </w:rPr>
              <w:t>2571-08</w:t>
            </w:r>
            <w:r>
              <w:rPr>
                <w:rFonts w:asciiTheme="minorHAnsi" w:eastAsiaTheme="minorEastAsia" w:hAnsiTheme="minorHAnsi" w:cstheme="minorBidi"/>
                <w:bCs w:val="0"/>
                <w:noProof/>
                <w:kern w:val="2"/>
                <w:sz w:val="24"/>
                <w:szCs w:val="24"/>
                <w14:ligatures w14:val="standardContextual"/>
              </w:rPr>
              <w:tab/>
            </w:r>
            <w:r w:rsidRPr="005922E2">
              <w:rPr>
                <w:rStyle w:val="Hyperlink"/>
                <w:noProof/>
              </w:rPr>
              <w:t>REFERENCES</w:t>
            </w:r>
            <w:r>
              <w:rPr>
                <w:noProof/>
                <w:webHidden/>
              </w:rPr>
              <w:tab/>
            </w:r>
            <w:r>
              <w:rPr>
                <w:noProof/>
                <w:webHidden/>
              </w:rPr>
              <w:fldChar w:fldCharType="begin"/>
            </w:r>
            <w:r>
              <w:rPr>
                <w:noProof/>
                <w:webHidden/>
              </w:rPr>
              <w:instrText xml:space="preserve"> PAGEREF _Toc219293611 \h </w:instrText>
            </w:r>
            <w:r>
              <w:rPr>
                <w:noProof/>
                <w:webHidden/>
              </w:rPr>
            </w:r>
            <w:r>
              <w:rPr>
                <w:noProof/>
                <w:webHidden/>
              </w:rPr>
              <w:fldChar w:fldCharType="separate"/>
            </w:r>
            <w:r w:rsidR="00784945">
              <w:rPr>
                <w:noProof/>
                <w:webHidden/>
              </w:rPr>
              <w:t>18</w:t>
            </w:r>
            <w:r>
              <w:rPr>
                <w:noProof/>
                <w:webHidden/>
              </w:rPr>
              <w:fldChar w:fldCharType="end"/>
            </w:r>
          </w:hyperlink>
        </w:p>
        <w:p w14:paraId="0F6F2377" w14:textId="0A95FE7C" w:rsidR="002F6993" w:rsidRDefault="002F6993" w:rsidP="00C85E3C">
          <w:pPr>
            <w:pStyle w:val="TOC1"/>
            <w:jc w:val="both"/>
            <w:rPr>
              <w:rFonts w:asciiTheme="minorHAnsi" w:eastAsiaTheme="minorEastAsia" w:hAnsiTheme="minorHAnsi" w:cstheme="minorBidi"/>
              <w:bCs w:val="0"/>
              <w:noProof/>
              <w:kern w:val="2"/>
              <w:sz w:val="24"/>
              <w:szCs w:val="24"/>
              <w14:ligatures w14:val="standardContextual"/>
            </w:rPr>
          </w:pPr>
          <w:hyperlink w:anchor="_Toc219293612" w:history="1">
            <w:r w:rsidRPr="005922E2">
              <w:rPr>
                <w:rStyle w:val="Hyperlink"/>
                <w:noProof/>
              </w:rPr>
              <w:t>Attachment 1: Abbreviations</w:t>
            </w:r>
            <w:r>
              <w:rPr>
                <w:noProof/>
                <w:webHidden/>
              </w:rPr>
              <w:tab/>
            </w:r>
            <w:r w:rsidR="00C85E3C">
              <w:rPr>
                <w:noProof/>
                <w:webHidden/>
              </w:rPr>
              <w:t>Att</w:t>
            </w:r>
            <w:r w:rsidR="002151BF">
              <w:rPr>
                <w:noProof/>
                <w:webHidden/>
              </w:rPr>
              <w:t>1-</w:t>
            </w:r>
            <w:r>
              <w:rPr>
                <w:noProof/>
                <w:webHidden/>
              </w:rPr>
              <w:fldChar w:fldCharType="begin"/>
            </w:r>
            <w:r>
              <w:rPr>
                <w:noProof/>
                <w:webHidden/>
              </w:rPr>
              <w:instrText xml:space="preserve"> PAGEREF _Toc219293612 \h </w:instrText>
            </w:r>
            <w:r>
              <w:rPr>
                <w:noProof/>
                <w:webHidden/>
              </w:rPr>
            </w:r>
            <w:r>
              <w:rPr>
                <w:noProof/>
                <w:webHidden/>
              </w:rPr>
              <w:fldChar w:fldCharType="separate"/>
            </w:r>
            <w:r w:rsidR="00784945">
              <w:rPr>
                <w:noProof/>
                <w:webHidden/>
              </w:rPr>
              <w:t>1</w:t>
            </w:r>
            <w:r>
              <w:rPr>
                <w:noProof/>
                <w:webHidden/>
              </w:rPr>
              <w:fldChar w:fldCharType="end"/>
            </w:r>
          </w:hyperlink>
        </w:p>
        <w:p w14:paraId="35B03A03" w14:textId="488BDE64"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13" w:history="1">
            <w:r w:rsidRPr="005922E2">
              <w:rPr>
                <w:rStyle w:val="Hyperlink"/>
                <w:noProof/>
              </w:rPr>
              <w:t>Attachment 2: Determining if an ARCOP Noncompliance is Minor</w:t>
            </w:r>
            <w:r>
              <w:rPr>
                <w:noProof/>
                <w:webHidden/>
              </w:rPr>
              <w:tab/>
            </w:r>
            <w:r w:rsidR="002151BF">
              <w:rPr>
                <w:noProof/>
                <w:webHidden/>
              </w:rPr>
              <w:t>Att2-</w:t>
            </w:r>
            <w:r>
              <w:rPr>
                <w:noProof/>
                <w:webHidden/>
              </w:rPr>
              <w:fldChar w:fldCharType="begin"/>
            </w:r>
            <w:r>
              <w:rPr>
                <w:noProof/>
                <w:webHidden/>
              </w:rPr>
              <w:instrText xml:space="preserve"> PAGEREF _Toc219293613 \h </w:instrText>
            </w:r>
            <w:r>
              <w:rPr>
                <w:noProof/>
                <w:webHidden/>
              </w:rPr>
            </w:r>
            <w:r>
              <w:rPr>
                <w:noProof/>
                <w:webHidden/>
              </w:rPr>
              <w:fldChar w:fldCharType="separate"/>
            </w:r>
            <w:r w:rsidR="00784945">
              <w:rPr>
                <w:noProof/>
                <w:webHidden/>
              </w:rPr>
              <w:t>1</w:t>
            </w:r>
            <w:r>
              <w:rPr>
                <w:noProof/>
                <w:webHidden/>
              </w:rPr>
              <w:fldChar w:fldCharType="end"/>
            </w:r>
          </w:hyperlink>
        </w:p>
        <w:p w14:paraId="44AE5E41" w14:textId="7543B87A"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14" w:history="1">
            <w:r w:rsidRPr="005922E2">
              <w:rPr>
                <w:rStyle w:val="Hyperlink"/>
                <w:noProof/>
              </w:rPr>
              <w:t>Figure 2.1: Determining if an ARCOP Noncompliance is Minor</w:t>
            </w:r>
            <w:r>
              <w:rPr>
                <w:noProof/>
                <w:webHidden/>
              </w:rPr>
              <w:tab/>
            </w:r>
            <w:r w:rsidR="002151BF" w:rsidRPr="002151BF">
              <w:rPr>
                <w:noProof/>
                <w:webHidden/>
              </w:rPr>
              <w:t>Att2-</w:t>
            </w:r>
            <w:r>
              <w:rPr>
                <w:noProof/>
                <w:webHidden/>
              </w:rPr>
              <w:fldChar w:fldCharType="begin"/>
            </w:r>
            <w:r>
              <w:rPr>
                <w:noProof/>
                <w:webHidden/>
              </w:rPr>
              <w:instrText xml:space="preserve"> PAGEREF _Toc219293614 \h </w:instrText>
            </w:r>
            <w:r>
              <w:rPr>
                <w:noProof/>
                <w:webHidden/>
              </w:rPr>
            </w:r>
            <w:r>
              <w:rPr>
                <w:noProof/>
                <w:webHidden/>
              </w:rPr>
              <w:fldChar w:fldCharType="separate"/>
            </w:r>
            <w:r w:rsidR="00784945">
              <w:rPr>
                <w:noProof/>
                <w:webHidden/>
              </w:rPr>
              <w:t>2</w:t>
            </w:r>
            <w:r>
              <w:rPr>
                <w:noProof/>
                <w:webHidden/>
              </w:rPr>
              <w:fldChar w:fldCharType="end"/>
            </w:r>
          </w:hyperlink>
        </w:p>
        <w:p w14:paraId="7062C34B" w14:textId="679DE83A" w:rsidR="002F6993" w:rsidRDefault="002F6993">
          <w:pPr>
            <w:pStyle w:val="TOC2"/>
            <w:rPr>
              <w:rFonts w:asciiTheme="minorHAnsi" w:eastAsiaTheme="minorEastAsia" w:hAnsiTheme="minorHAnsi" w:cstheme="minorBidi"/>
              <w:bCs w:val="0"/>
              <w:kern w:val="2"/>
              <w:sz w:val="24"/>
              <w:szCs w:val="24"/>
              <w14:ligatures w14:val="standardContextual"/>
            </w:rPr>
          </w:pPr>
          <w:hyperlink w:anchor="_Toc219293615" w:history="1">
            <w:r w:rsidRPr="005922E2">
              <w:rPr>
                <w:rStyle w:val="Hyperlink"/>
              </w:rPr>
              <w:t>Minor ARCOP Noncompliance Examples</w:t>
            </w:r>
            <w:r>
              <w:rPr>
                <w:webHidden/>
              </w:rPr>
              <w:tab/>
            </w:r>
            <w:r w:rsidR="002151BF" w:rsidRPr="002151BF">
              <w:rPr>
                <w:webHidden/>
              </w:rPr>
              <w:t>Att2-</w:t>
            </w:r>
            <w:r>
              <w:rPr>
                <w:webHidden/>
              </w:rPr>
              <w:fldChar w:fldCharType="begin"/>
            </w:r>
            <w:r>
              <w:rPr>
                <w:webHidden/>
              </w:rPr>
              <w:instrText xml:space="preserve"> PAGEREF _Toc219293615 \h </w:instrText>
            </w:r>
            <w:r>
              <w:rPr>
                <w:webHidden/>
              </w:rPr>
            </w:r>
            <w:r>
              <w:rPr>
                <w:webHidden/>
              </w:rPr>
              <w:fldChar w:fldCharType="separate"/>
            </w:r>
            <w:r w:rsidR="00784945">
              <w:rPr>
                <w:webHidden/>
              </w:rPr>
              <w:t>5</w:t>
            </w:r>
            <w:r>
              <w:rPr>
                <w:webHidden/>
              </w:rPr>
              <w:fldChar w:fldCharType="end"/>
            </w:r>
          </w:hyperlink>
        </w:p>
        <w:p w14:paraId="17EB12BA" w14:textId="12A186AC"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16" w:history="1">
            <w:r w:rsidRPr="005922E2">
              <w:rPr>
                <w:rStyle w:val="Hyperlink"/>
                <w:noProof/>
              </w:rPr>
              <w:t>Attachment 3: ARCOP Finding Significance Determination</w:t>
            </w:r>
            <w:r>
              <w:rPr>
                <w:noProof/>
                <w:webHidden/>
              </w:rPr>
              <w:tab/>
            </w:r>
            <w:r w:rsidR="002151BF" w:rsidRPr="002151BF">
              <w:rPr>
                <w:noProof/>
                <w:webHidden/>
              </w:rPr>
              <w:t>Att</w:t>
            </w:r>
            <w:r w:rsidR="002151BF">
              <w:rPr>
                <w:noProof/>
                <w:webHidden/>
              </w:rPr>
              <w:t>3</w:t>
            </w:r>
            <w:r w:rsidR="002151BF" w:rsidRPr="002151BF">
              <w:rPr>
                <w:noProof/>
                <w:webHidden/>
              </w:rPr>
              <w:t>-</w:t>
            </w:r>
            <w:r>
              <w:rPr>
                <w:noProof/>
                <w:webHidden/>
              </w:rPr>
              <w:fldChar w:fldCharType="begin"/>
            </w:r>
            <w:r>
              <w:rPr>
                <w:noProof/>
                <w:webHidden/>
              </w:rPr>
              <w:instrText xml:space="preserve"> PAGEREF _Toc219293616 \h </w:instrText>
            </w:r>
            <w:r>
              <w:rPr>
                <w:noProof/>
                <w:webHidden/>
              </w:rPr>
            </w:r>
            <w:r>
              <w:rPr>
                <w:noProof/>
                <w:webHidden/>
              </w:rPr>
              <w:fldChar w:fldCharType="separate"/>
            </w:r>
            <w:r w:rsidR="00784945">
              <w:rPr>
                <w:noProof/>
                <w:webHidden/>
              </w:rPr>
              <w:t>1</w:t>
            </w:r>
            <w:r>
              <w:rPr>
                <w:noProof/>
                <w:webHidden/>
              </w:rPr>
              <w:fldChar w:fldCharType="end"/>
            </w:r>
          </w:hyperlink>
        </w:p>
        <w:p w14:paraId="303A346D" w14:textId="7CFD5499"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17" w:history="1">
            <w:r w:rsidRPr="005922E2">
              <w:rPr>
                <w:rStyle w:val="Hyperlink"/>
                <w:noProof/>
              </w:rPr>
              <w:t>Table 3.1: SSC Significance Determination</w:t>
            </w:r>
            <w:r>
              <w:rPr>
                <w:noProof/>
                <w:webHidden/>
              </w:rPr>
              <w:tab/>
            </w:r>
            <w:r w:rsidR="002151BF" w:rsidRPr="002151BF">
              <w:rPr>
                <w:noProof/>
                <w:webHidden/>
              </w:rPr>
              <w:t>Att</w:t>
            </w:r>
            <w:r w:rsidR="002151BF">
              <w:rPr>
                <w:noProof/>
                <w:webHidden/>
              </w:rPr>
              <w:t>3</w:t>
            </w:r>
            <w:r w:rsidR="002151BF" w:rsidRPr="002151BF">
              <w:rPr>
                <w:noProof/>
                <w:webHidden/>
              </w:rPr>
              <w:t>-</w:t>
            </w:r>
            <w:r>
              <w:rPr>
                <w:noProof/>
                <w:webHidden/>
              </w:rPr>
              <w:fldChar w:fldCharType="begin"/>
            </w:r>
            <w:r>
              <w:rPr>
                <w:noProof/>
                <w:webHidden/>
              </w:rPr>
              <w:instrText xml:space="preserve"> PAGEREF _Toc219293617 \h </w:instrText>
            </w:r>
            <w:r>
              <w:rPr>
                <w:noProof/>
                <w:webHidden/>
              </w:rPr>
            </w:r>
            <w:r>
              <w:rPr>
                <w:noProof/>
                <w:webHidden/>
              </w:rPr>
              <w:fldChar w:fldCharType="separate"/>
            </w:r>
            <w:r w:rsidR="00784945">
              <w:rPr>
                <w:noProof/>
                <w:webHidden/>
              </w:rPr>
              <w:t>2</w:t>
            </w:r>
            <w:r>
              <w:rPr>
                <w:noProof/>
                <w:webHidden/>
              </w:rPr>
              <w:fldChar w:fldCharType="end"/>
            </w:r>
          </w:hyperlink>
        </w:p>
        <w:p w14:paraId="43F9FEAE" w14:textId="6074E2FB"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18" w:history="1">
            <w:r w:rsidRPr="005922E2">
              <w:rPr>
                <w:rStyle w:val="Hyperlink"/>
                <w:noProof/>
              </w:rPr>
              <w:t>Attachment 4: Process for Appealing an NRC ARCOP SDP Determination</w:t>
            </w:r>
            <w:r>
              <w:rPr>
                <w:noProof/>
                <w:webHidden/>
              </w:rPr>
              <w:tab/>
            </w:r>
            <w:r w:rsidR="002151BF" w:rsidRPr="002151BF">
              <w:rPr>
                <w:noProof/>
                <w:webHidden/>
              </w:rPr>
              <w:t>Att</w:t>
            </w:r>
            <w:r w:rsidR="002151BF">
              <w:rPr>
                <w:noProof/>
                <w:webHidden/>
              </w:rPr>
              <w:t>4</w:t>
            </w:r>
            <w:r w:rsidR="002151BF" w:rsidRPr="002151BF">
              <w:rPr>
                <w:noProof/>
                <w:webHidden/>
              </w:rPr>
              <w:t>-</w:t>
            </w:r>
            <w:r>
              <w:rPr>
                <w:noProof/>
                <w:webHidden/>
              </w:rPr>
              <w:fldChar w:fldCharType="begin"/>
            </w:r>
            <w:r>
              <w:rPr>
                <w:noProof/>
                <w:webHidden/>
              </w:rPr>
              <w:instrText xml:space="preserve"> PAGEREF _Toc219293618 \h </w:instrText>
            </w:r>
            <w:r>
              <w:rPr>
                <w:noProof/>
                <w:webHidden/>
              </w:rPr>
            </w:r>
            <w:r>
              <w:rPr>
                <w:noProof/>
                <w:webHidden/>
              </w:rPr>
              <w:fldChar w:fldCharType="separate"/>
            </w:r>
            <w:r w:rsidR="00784945">
              <w:rPr>
                <w:noProof/>
                <w:webHidden/>
              </w:rPr>
              <w:t>1</w:t>
            </w:r>
            <w:r>
              <w:rPr>
                <w:noProof/>
                <w:webHidden/>
              </w:rPr>
              <w:fldChar w:fldCharType="end"/>
            </w:r>
          </w:hyperlink>
        </w:p>
        <w:p w14:paraId="68AC452E" w14:textId="679A6BEC"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19" w:history="1">
            <w:r w:rsidRPr="005922E2">
              <w:rPr>
                <w:rStyle w:val="Hyperlink"/>
                <w:noProof/>
              </w:rPr>
              <w:t>Attachment 5: Alternate Significance Determination</w:t>
            </w:r>
            <w:r>
              <w:rPr>
                <w:noProof/>
                <w:webHidden/>
              </w:rPr>
              <w:tab/>
            </w:r>
            <w:r w:rsidR="002151BF" w:rsidRPr="002151BF">
              <w:rPr>
                <w:noProof/>
                <w:webHidden/>
              </w:rPr>
              <w:t>Att</w:t>
            </w:r>
            <w:r w:rsidR="002151BF">
              <w:rPr>
                <w:noProof/>
                <w:webHidden/>
              </w:rPr>
              <w:t>5</w:t>
            </w:r>
            <w:r w:rsidR="002151BF" w:rsidRPr="002151BF">
              <w:rPr>
                <w:noProof/>
                <w:webHidden/>
              </w:rPr>
              <w:t>-</w:t>
            </w:r>
            <w:r>
              <w:rPr>
                <w:noProof/>
                <w:webHidden/>
              </w:rPr>
              <w:fldChar w:fldCharType="begin"/>
            </w:r>
            <w:r>
              <w:rPr>
                <w:noProof/>
                <w:webHidden/>
              </w:rPr>
              <w:instrText xml:space="preserve"> PAGEREF _Toc219293619 \h </w:instrText>
            </w:r>
            <w:r>
              <w:rPr>
                <w:noProof/>
                <w:webHidden/>
              </w:rPr>
            </w:r>
            <w:r>
              <w:rPr>
                <w:noProof/>
                <w:webHidden/>
              </w:rPr>
              <w:fldChar w:fldCharType="separate"/>
            </w:r>
            <w:r w:rsidR="00784945">
              <w:rPr>
                <w:noProof/>
                <w:webHidden/>
              </w:rPr>
              <w:t>1</w:t>
            </w:r>
            <w:r>
              <w:rPr>
                <w:noProof/>
                <w:webHidden/>
              </w:rPr>
              <w:fldChar w:fldCharType="end"/>
            </w:r>
          </w:hyperlink>
        </w:p>
        <w:p w14:paraId="33E6EC19" w14:textId="0B9746FB" w:rsidR="002F6993" w:rsidRDefault="002F6993">
          <w:pPr>
            <w:pStyle w:val="TOC3"/>
            <w:tabs>
              <w:tab w:val="right" w:leader="dot" w:pos="9350"/>
            </w:tabs>
            <w:rPr>
              <w:rFonts w:eastAsiaTheme="minorEastAsia" w:cstheme="minorBidi"/>
              <w:noProof/>
              <w:kern w:val="2"/>
              <w:sz w:val="24"/>
              <w:szCs w:val="24"/>
              <w14:ligatures w14:val="standardContextual"/>
            </w:rPr>
          </w:pPr>
          <w:hyperlink w:anchor="_Toc219293620" w:history="1">
            <w:r w:rsidRPr="005922E2">
              <w:rPr>
                <w:rStyle w:val="Hyperlink"/>
                <w:noProof/>
              </w:rPr>
              <w:t>Table 5.1: Decision-Making Attributes for NRC Management Review</w:t>
            </w:r>
            <w:r>
              <w:rPr>
                <w:noProof/>
                <w:webHidden/>
              </w:rPr>
              <w:tab/>
            </w:r>
            <w:r w:rsidR="002151BF" w:rsidRPr="002151BF">
              <w:rPr>
                <w:noProof/>
                <w:webHidden/>
              </w:rPr>
              <w:t>Att</w:t>
            </w:r>
            <w:r w:rsidR="002151BF">
              <w:rPr>
                <w:noProof/>
                <w:webHidden/>
              </w:rPr>
              <w:t>5</w:t>
            </w:r>
            <w:r w:rsidR="002151BF" w:rsidRPr="002151BF">
              <w:rPr>
                <w:noProof/>
                <w:webHidden/>
              </w:rPr>
              <w:t>-</w:t>
            </w:r>
            <w:r>
              <w:rPr>
                <w:noProof/>
                <w:webHidden/>
              </w:rPr>
              <w:fldChar w:fldCharType="begin"/>
            </w:r>
            <w:r>
              <w:rPr>
                <w:noProof/>
                <w:webHidden/>
              </w:rPr>
              <w:instrText xml:space="preserve"> PAGEREF _Toc219293620 \h </w:instrText>
            </w:r>
            <w:r>
              <w:rPr>
                <w:noProof/>
                <w:webHidden/>
              </w:rPr>
            </w:r>
            <w:r>
              <w:rPr>
                <w:noProof/>
                <w:webHidden/>
              </w:rPr>
              <w:fldChar w:fldCharType="separate"/>
            </w:r>
            <w:r w:rsidR="00784945">
              <w:rPr>
                <w:noProof/>
                <w:webHidden/>
              </w:rPr>
              <w:t>2</w:t>
            </w:r>
            <w:r>
              <w:rPr>
                <w:noProof/>
                <w:webHidden/>
              </w:rPr>
              <w:fldChar w:fldCharType="end"/>
            </w:r>
          </w:hyperlink>
        </w:p>
        <w:p w14:paraId="3CFC549F" w14:textId="1C05F352" w:rsidR="002F6993" w:rsidRDefault="002F6993">
          <w:pPr>
            <w:pStyle w:val="TOC1"/>
            <w:rPr>
              <w:rFonts w:asciiTheme="minorHAnsi" w:eastAsiaTheme="minorEastAsia" w:hAnsiTheme="minorHAnsi" w:cstheme="minorBidi"/>
              <w:bCs w:val="0"/>
              <w:noProof/>
              <w:kern w:val="2"/>
              <w:sz w:val="24"/>
              <w:szCs w:val="24"/>
              <w14:ligatures w14:val="standardContextual"/>
            </w:rPr>
          </w:pPr>
          <w:hyperlink w:anchor="_Toc219293621" w:history="1">
            <w:r w:rsidRPr="005922E2">
              <w:rPr>
                <w:rStyle w:val="Hyperlink"/>
                <w:noProof/>
              </w:rPr>
              <w:t>Attachment 6: Revision History for IMC 2571</w:t>
            </w:r>
            <w:r>
              <w:rPr>
                <w:noProof/>
                <w:webHidden/>
              </w:rPr>
              <w:tab/>
            </w:r>
            <w:r w:rsidR="002151BF" w:rsidRPr="002151BF">
              <w:rPr>
                <w:noProof/>
                <w:webHidden/>
              </w:rPr>
              <w:t>Att</w:t>
            </w:r>
            <w:r w:rsidR="002151BF">
              <w:rPr>
                <w:noProof/>
                <w:webHidden/>
              </w:rPr>
              <w:t>6</w:t>
            </w:r>
            <w:r w:rsidR="002151BF" w:rsidRPr="002151BF">
              <w:rPr>
                <w:noProof/>
                <w:webHidden/>
              </w:rPr>
              <w:t>-</w:t>
            </w:r>
            <w:r>
              <w:rPr>
                <w:noProof/>
                <w:webHidden/>
              </w:rPr>
              <w:fldChar w:fldCharType="begin"/>
            </w:r>
            <w:r>
              <w:rPr>
                <w:noProof/>
                <w:webHidden/>
              </w:rPr>
              <w:instrText xml:space="preserve"> PAGEREF _Toc219293621 \h </w:instrText>
            </w:r>
            <w:r>
              <w:rPr>
                <w:noProof/>
                <w:webHidden/>
              </w:rPr>
            </w:r>
            <w:r>
              <w:rPr>
                <w:noProof/>
                <w:webHidden/>
              </w:rPr>
              <w:fldChar w:fldCharType="separate"/>
            </w:r>
            <w:r w:rsidR="00784945">
              <w:rPr>
                <w:noProof/>
                <w:webHidden/>
              </w:rPr>
              <w:t>1</w:t>
            </w:r>
            <w:r>
              <w:rPr>
                <w:noProof/>
                <w:webHidden/>
              </w:rPr>
              <w:fldChar w:fldCharType="end"/>
            </w:r>
          </w:hyperlink>
        </w:p>
        <w:p w14:paraId="5A4EAAB6" w14:textId="374733ED" w:rsidR="002406E9" w:rsidRDefault="002406E9">
          <w:r>
            <w:rPr>
              <w:b/>
              <w:bCs/>
              <w:noProof/>
            </w:rPr>
            <w:fldChar w:fldCharType="end"/>
          </w:r>
        </w:p>
      </w:sdtContent>
    </w:sdt>
    <w:p w14:paraId="098B22C5" w14:textId="77777777" w:rsidR="00C0362F" w:rsidRPr="002406E9" w:rsidRDefault="00C0362F" w:rsidP="00C0362F">
      <w:pPr>
        <w:pStyle w:val="BodyText"/>
      </w:pPr>
    </w:p>
    <w:p w14:paraId="3BA818F4" w14:textId="77777777" w:rsidR="002406E9" w:rsidRPr="002406E9" w:rsidRDefault="002406E9" w:rsidP="00C0362F">
      <w:pPr>
        <w:pStyle w:val="BodyText"/>
      </w:pPr>
    </w:p>
    <w:p w14:paraId="2D1BBDF2" w14:textId="2F1B691C" w:rsidR="0095468B" w:rsidRPr="002406E9" w:rsidRDefault="0095468B" w:rsidP="00C0362F">
      <w:pPr>
        <w:pStyle w:val="BodyText"/>
        <w:sectPr w:rsidR="0095468B" w:rsidRPr="002406E9" w:rsidSect="006A5E1E">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noEndnote/>
          <w:docGrid w:linePitch="326"/>
        </w:sectPr>
      </w:pPr>
    </w:p>
    <w:p w14:paraId="3C43D748" w14:textId="4489F4F9" w:rsidR="009F2ADB" w:rsidRPr="008F3F30" w:rsidRDefault="00A50652" w:rsidP="004A0F51">
      <w:pPr>
        <w:pStyle w:val="Heading1"/>
      </w:pPr>
      <w:bookmarkStart w:id="8" w:name="_Toc215583231"/>
      <w:bookmarkStart w:id="9" w:name="_Toc219293588"/>
      <w:r>
        <w:lastRenderedPageBreak/>
        <w:t>2</w:t>
      </w:r>
      <w:r w:rsidR="00314385">
        <w:t>571</w:t>
      </w:r>
      <w:r w:rsidR="00EE32FD" w:rsidRPr="008F3F30">
        <w:t>-01</w:t>
      </w:r>
      <w:r w:rsidR="002A70DA" w:rsidRPr="008F3F30">
        <w:tab/>
      </w:r>
      <w:r w:rsidR="009F2ADB" w:rsidRPr="008F3F30">
        <w:t>PURPOSE</w:t>
      </w:r>
      <w:bookmarkEnd w:id="8"/>
      <w:bookmarkEnd w:id="9"/>
      <w:bookmarkEnd w:id="7"/>
      <w:bookmarkEnd w:id="6"/>
      <w:bookmarkEnd w:id="5"/>
      <w:bookmarkEnd w:id="4"/>
      <w:bookmarkEnd w:id="3"/>
      <w:bookmarkEnd w:id="2"/>
      <w:bookmarkEnd w:id="1"/>
      <w:bookmarkEnd w:id="0"/>
      <w:r w:rsidR="008E7277">
        <w:tab/>
      </w:r>
    </w:p>
    <w:p w14:paraId="06C98945" w14:textId="73D4D539" w:rsidR="005F2886" w:rsidRPr="008F3F30" w:rsidRDefault="005F2886" w:rsidP="00EE4DAA">
      <w:pPr>
        <w:pStyle w:val="BodyText"/>
      </w:pPr>
      <w:r>
        <w:t xml:space="preserve">This Inspection Manual Chapter (IMC) provides instructions and guidance for </w:t>
      </w:r>
      <w:bookmarkStart w:id="10" w:name="_Hlk143092317"/>
      <w:r w:rsidRPr="009A71D1">
        <w:t xml:space="preserve">dispositioning advanced power reactor </w:t>
      </w:r>
      <w:r w:rsidR="00182F2F">
        <w:t>(AR</w:t>
      </w:r>
      <w:r w:rsidR="003F2EA2">
        <w:t xml:space="preserve">) </w:t>
      </w:r>
      <w:r w:rsidRPr="009A71D1">
        <w:t xml:space="preserve">construction </w:t>
      </w:r>
      <w:r w:rsidR="000709CD">
        <w:t>noncomp</w:t>
      </w:r>
      <w:r w:rsidR="003F54D0">
        <w:t>liance</w:t>
      </w:r>
      <w:r w:rsidRPr="009A71D1">
        <w:t>s</w:t>
      </w:r>
      <w:bookmarkEnd w:id="10"/>
      <w:r>
        <w:t>, the responsibilities and authorities</w:t>
      </w:r>
      <w:r w:rsidRPr="00694C65">
        <w:t xml:space="preserve"> </w:t>
      </w:r>
      <w:r>
        <w:t>of applicable NRC staff,</w:t>
      </w:r>
      <w:r w:rsidDel="004914D8">
        <w:t xml:space="preserve"> </w:t>
      </w:r>
      <w:r>
        <w:t>requirements for use of the ARCOP significance determination process (SDP), requirements to convene a</w:t>
      </w:r>
      <w:r w:rsidR="00AE05B6">
        <w:t xml:space="preserve">n </w:t>
      </w:r>
      <w:r w:rsidRPr="00F1587C">
        <w:t>Enforcement Review Panel</w:t>
      </w:r>
      <w:r>
        <w:t>, and the process to appeal the significance of findings.</w:t>
      </w:r>
      <w:r w:rsidR="005D22B2">
        <w:t xml:space="preserve"> </w:t>
      </w:r>
    </w:p>
    <w:p w14:paraId="466C440E" w14:textId="7B87BE1C" w:rsidR="001D60A1" w:rsidRPr="008F3F30" w:rsidRDefault="00314385" w:rsidP="006F7803">
      <w:pPr>
        <w:pStyle w:val="Heading1"/>
      </w:pPr>
      <w:bookmarkStart w:id="11" w:name="_Toc170874548"/>
      <w:bookmarkStart w:id="12" w:name="_Toc177380766"/>
      <w:bookmarkStart w:id="13" w:name="_Toc206314254"/>
      <w:bookmarkStart w:id="14" w:name="_Toc206315718"/>
      <w:bookmarkStart w:id="15" w:name="_Toc206315821"/>
      <w:bookmarkStart w:id="16" w:name="_Toc293566177"/>
      <w:bookmarkStart w:id="17" w:name="_Toc293566691"/>
      <w:bookmarkStart w:id="18" w:name="_Toc293566733"/>
      <w:bookmarkStart w:id="19" w:name="_Toc450735206"/>
      <w:bookmarkStart w:id="20" w:name="_Toc215583232"/>
      <w:bookmarkStart w:id="21" w:name="_Toc219293589"/>
      <w:r>
        <w:t>2571</w:t>
      </w:r>
      <w:r w:rsidR="001D60A1" w:rsidRPr="008F3F30">
        <w:t>-02</w:t>
      </w:r>
      <w:r w:rsidR="00DA09B2" w:rsidRPr="008F3F30">
        <w:tab/>
      </w:r>
      <w:r w:rsidR="001D60A1" w:rsidRPr="008F3F30">
        <w:t>OBJECTIVES</w:t>
      </w:r>
      <w:bookmarkEnd w:id="11"/>
      <w:bookmarkEnd w:id="12"/>
      <w:bookmarkEnd w:id="13"/>
      <w:bookmarkEnd w:id="14"/>
      <w:bookmarkEnd w:id="15"/>
      <w:bookmarkEnd w:id="16"/>
      <w:bookmarkEnd w:id="17"/>
      <w:bookmarkEnd w:id="18"/>
      <w:bookmarkEnd w:id="19"/>
      <w:bookmarkEnd w:id="20"/>
      <w:bookmarkEnd w:id="21"/>
    </w:p>
    <w:p w14:paraId="6AE2CBDB" w14:textId="61D8D52B" w:rsidR="000B6B8C" w:rsidRDefault="000B6B8C" w:rsidP="007D6AE2">
      <w:pPr>
        <w:pStyle w:val="BodyText2"/>
      </w:pPr>
      <w:r>
        <w:t>02.01</w:t>
      </w:r>
      <w:r>
        <w:tab/>
      </w:r>
      <w:r w:rsidRPr="008270F4">
        <w:t xml:space="preserve">Provide </w:t>
      </w:r>
      <w:r>
        <w:t xml:space="preserve">instructions and </w:t>
      </w:r>
      <w:r w:rsidRPr="008270F4">
        <w:t xml:space="preserve">guidance for </w:t>
      </w:r>
      <w:r w:rsidRPr="00B1765B">
        <w:t xml:space="preserve">dispositioning advanced power reactor construction </w:t>
      </w:r>
      <w:r w:rsidR="000709CD">
        <w:t>noncomp</w:t>
      </w:r>
      <w:r w:rsidR="003F54D0">
        <w:t>liance</w:t>
      </w:r>
      <w:r w:rsidRPr="00B1765B">
        <w:t>s</w:t>
      </w:r>
      <w:r>
        <w:t>.</w:t>
      </w:r>
      <w:r w:rsidRPr="00B1765B">
        <w:t xml:space="preserve"> </w:t>
      </w:r>
    </w:p>
    <w:p w14:paraId="13EE7241" w14:textId="231ECCE5" w:rsidR="000B6B8C" w:rsidRDefault="000B6B8C" w:rsidP="007D6AE2">
      <w:pPr>
        <w:pStyle w:val="BodyText2"/>
      </w:pPr>
      <w:r>
        <w:t>02.02</w:t>
      </w:r>
      <w:r>
        <w:tab/>
      </w:r>
      <w:r w:rsidRPr="00973216">
        <w:t>Specif</w:t>
      </w:r>
      <w:r>
        <w:t>y</w:t>
      </w:r>
      <w:r w:rsidRPr="00973216">
        <w:t xml:space="preserve"> </w:t>
      </w:r>
      <w:r>
        <w:t xml:space="preserve">applicable NRC staff </w:t>
      </w:r>
      <w:r w:rsidRPr="00973216">
        <w:t xml:space="preserve">responsibilities and authorities </w:t>
      </w:r>
      <w:r>
        <w:t xml:space="preserve">to ensure </w:t>
      </w:r>
      <w:r w:rsidRPr="00B373C7">
        <w:t xml:space="preserve">ARCOP </w:t>
      </w:r>
      <w:r w:rsidR="000709CD">
        <w:t>noncomp</w:t>
      </w:r>
      <w:r w:rsidR="003F54D0">
        <w:t>liance</w:t>
      </w:r>
      <w:r>
        <w:t>s</w:t>
      </w:r>
      <w:r w:rsidRPr="00B373C7">
        <w:t xml:space="preserve"> </w:t>
      </w:r>
      <w:r>
        <w:t>are</w:t>
      </w:r>
      <w:r w:rsidRPr="00B373C7">
        <w:t xml:space="preserve"> objectively supported and properly dispositioned</w:t>
      </w:r>
      <w:r>
        <w:t>.</w:t>
      </w:r>
    </w:p>
    <w:p w14:paraId="07056005" w14:textId="1DEDEE13" w:rsidR="000B6B8C" w:rsidRDefault="000B6B8C" w:rsidP="007D6AE2">
      <w:pPr>
        <w:pStyle w:val="BodyText2"/>
      </w:pPr>
      <w:r>
        <w:t>02.03</w:t>
      </w:r>
      <w:r>
        <w:tab/>
        <w:t xml:space="preserve">Provide details specific to the ARCOP for implementing the </w:t>
      </w:r>
      <w:r w:rsidRPr="00915719">
        <w:t>NRC Enforcement Policy and Enforcement Manual</w:t>
      </w:r>
      <w:r>
        <w:t>.</w:t>
      </w:r>
    </w:p>
    <w:p w14:paraId="0A4788DC" w14:textId="798EB270" w:rsidR="000B6B8C" w:rsidRDefault="000B6B8C" w:rsidP="007D6AE2">
      <w:pPr>
        <w:pStyle w:val="BodyText2"/>
      </w:pPr>
      <w:r>
        <w:t>02.04</w:t>
      </w:r>
      <w:r>
        <w:tab/>
        <w:t xml:space="preserve">Provide ARCOP </w:t>
      </w:r>
      <w:r w:rsidR="000709CD">
        <w:t>noncomp</w:t>
      </w:r>
      <w:r w:rsidR="003F54D0">
        <w:t>liance</w:t>
      </w:r>
      <w:r>
        <w:t xml:space="preserve"> initial screening criteria</w:t>
      </w:r>
      <w:r w:rsidR="004D0BE5">
        <w:t>.</w:t>
      </w:r>
    </w:p>
    <w:p w14:paraId="1C75F86B" w14:textId="5737020D" w:rsidR="000B6B8C" w:rsidRDefault="000B6B8C" w:rsidP="007D6AE2">
      <w:pPr>
        <w:pStyle w:val="BodyText2"/>
      </w:pPr>
      <w:r>
        <w:t>02.05</w:t>
      </w:r>
      <w:r>
        <w:tab/>
        <w:t>Provide ARCOP full screening criteria to</w:t>
      </w:r>
      <w:r w:rsidR="004D0BE5">
        <w:t xml:space="preserve"> </w:t>
      </w:r>
      <w:r w:rsidR="002973C9">
        <w:t>assign</w:t>
      </w:r>
      <w:r w:rsidR="004D0BE5">
        <w:t xml:space="preserve"> </w:t>
      </w:r>
      <w:r w:rsidRPr="00353564">
        <w:t xml:space="preserve">appropriate </w:t>
      </w:r>
      <w:r w:rsidR="004D0BE5">
        <w:t xml:space="preserve">safety or security significance characterization </w:t>
      </w:r>
      <w:r w:rsidR="00A2456C">
        <w:t xml:space="preserve">to findings </w:t>
      </w:r>
      <w:r>
        <w:t>through the ARCOP SDP</w:t>
      </w:r>
      <w:r w:rsidR="004D0BE5">
        <w:t>, and</w:t>
      </w:r>
      <w:r>
        <w:t xml:space="preserve"> to d</w:t>
      </w:r>
      <w:r w:rsidRPr="003B742F">
        <w:t xml:space="preserve">etermine the </w:t>
      </w:r>
      <w:r>
        <w:t>appropriate</w:t>
      </w:r>
      <w:r w:rsidRPr="003B742F">
        <w:t xml:space="preserve"> enforcement </w:t>
      </w:r>
      <w:r w:rsidR="004D0BE5">
        <w:t xml:space="preserve">or administrative </w:t>
      </w:r>
      <w:r w:rsidRPr="003B742F">
        <w:t xml:space="preserve">action </w:t>
      </w:r>
      <w:r>
        <w:t xml:space="preserve">for </w:t>
      </w:r>
      <w:r w:rsidR="008D6B83">
        <w:t>the</w:t>
      </w:r>
      <w:r w:rsidRPr="003B742F">
        <w:t xml:space="preserve"> </w:t>
      </w:r>
      <w:r>
        <w:t>finding</w:t>
      </w:r>
      <w:r w:rsidR="009836B0">
        <w:t>s</w:t>
      </w:r>
      <w:r>
        <w:t xml:space="preserve"> (e.g., notice of violation (NOV), non</w:t>
      </w:r>
      <w:r w:rsidR="002D4B31">
        <w:t>-</w:t>
      </w:r>
      <w:r>
        <w:t xml:space="preserve">cited violation (NCV), notice of nonconformance (NON), </w:t>
      </w:r>
      <w:r w:rsidR="00DA7EB0">
        <w:t>Notice of De</w:t>
      </w:r>
      <w:r w:rsidR="00DF0398">
        <w:t>viation</w:t>
      </w:r>
      <w:r w:rsidR="00DA7EB0">
        <w:t xml:space="preserve"> (NOD), </w:t>
      </w:r>
      <w:r>
        <w:t>etc.).</w:t>
      </w:r>
    </w:p>
    <w:p w14:paraId="102DBEBB" w14:textId="21952738" w:rsidR="00522A74" w:rsidRPr="008F3F30" w:rsidRDefault="00CB3482" w:rsidP="00D4422A">
      <w:pPr>
        <w:pStyle w:val="Heading1"/>
      </w:pPr>
      <w:bookmarkStart w:id="22" w:name="_Toc293566178"/>
      <w:bookmarkStart w:id="23" w:name="_Toc293566692"/>
      <w:bookmarkStart w:id="24" w:name="_Toc293566734"/>
      <w:bookmarkStart w:id="25" w:name="_Toc450735208"/>
      <w:bookmarkStart w:id="26" w:name="_Toc215583233"/>
      <w:bookmarkStart w:id="27" w:name="_Toc219293590"/>
      <w:r>
        <w:t>2</w:t>
      </w:r>
      <w:r w:rsidR="00314385">
        <w:t>571</w:t>
      </w:r>
      <w:r w:rsidR="00522A74" w:rsidRPr="008F3F30">
        <w:t>-03</w:t>
      </w:r>
      <w:r w:rsidR="00522A74" w:rsidRPr="008F3F30">
        <w:tab/>
        <w:t>APPLICABILITY</w:t>
      </w:r>
      <w:bookmarkEnd w:id="22"/>
      <w:bookmarkEnd w:id="23"/>
      <w:bookmarkEnd w:id="24"/>
      <w:bookmarkEnd w:id="25"/>
      <w:bookmarkEnd w:id="26"/>
      <w:bookmarkEnd w:id="27"/>
    </w:p>
    <w:p w14:paraId="418A1C5C" w14:textId="40DC9F3B" w:rsidR="00182F2F" w:rsidRDefault="00182F2F" w:rsidP="00D4422A">
      <w:pPr>
        <w:pStyle w:val="BodyText"/>
      </w:pPr>
      <w:r w:rsidRPr="004D06EF">
        <w:t xml:space="preserve">The NRC developed </w:t>
      </w:r>
      <w:proofErr w:type="gramStart"/>
      <w:r w:rsidRPr="004D06EF">
        <w:t>the</w:t>
      </w:r>
      <w:proofErr w:type="gramEnd"/>
      <w:r w:rsidRPr="004D06EF">
        <w:t xml:space="preserve"> </w:t>
      </w:r>
      <w:r>
        <w:t>advanced reactor construction oversight program (</w:t>
      </w:r>
      <w:r w:rsidRPr="004D06EF">
        <w:t>ARCOP</w:t>
      </w:r>
      <w:r>
        <w:t>)</w:t>
      </w:r>
      <w:r w:rsidRPr="004D06EF">
        <w:t xml:space="preserve"> to be implemented at all </w:t>
      </w:r>
      <w:r>
        <w:t xml:space="preserve">ARs </w:t>
      </w:r>
      <w:r w:rsidRPr="004D06EF">
        <w:t>under construction, including commercial SMRs and microreactors incorporating both LWR and non-LWR technologies. Given the Commission expectation that ARs will provide enhanced margins of safety and/or use simplified, inherent, passive, or other innovative means to accomplish their safety and security functions, ARCOP oversight also appl</w:t>
      </w:r>
      <w:r w:rsidR="003F2EA2">
        <w:t>ies</w:t>
      </w:r>
      <w:r w:rsidRPr="004D06EF">
        <w:t xml:space="preserve"> to construction of large LWRs with enhanced safety features, such as the AP1000.</w:t>
      </w:r>
    </w:p>
    <w:p w14:paraId="2A9494BD" w14:textId="727A8DA0" w:rsidR="00761691" w:rsidRPr="00574C73" w:rsidRDefault="00522A74" w:rsidP="00D4422A">
      <w:pPr>
        <w:pStyle w:val="BodyText"/>
      </w:pPr>
      <w:r w:rsidRPr="00574C73">
        <w:t xml:space="preserve">This IMC applies to </w:t>
      </w:r>
      <w:r w:rsidR="000709CD">
        <w:t>noncomp</w:t>
      </w:r>
      <w:r w:rsidR="003F54D0">
        <w:t>liance</w:t>
      </w:r>
      <w:r w:rsidR="004D5C81" w:rsidRPr="00574C73">
        <w:t xml:space="preserve">s identified during </w:t>
      </w:r>
      <w:r w:rsidR="00A9214D">
        <w:t xml:space="preserve">ARCOP </w:t>
      </w:r>
      <w:r w:rsidR="004D5C81" w:rsidRPr="00574C73">
        <w:t xml:space="preserve">inspections conducted per </w:t>
      </w:r>
      <w:r w:rsidR="004D5C81" w:rsidRPr="00574C73">
        <w:rPr>
          <w:shd w:val="clear" w:color="auto" w:fill="FFFFFF"/>
        </w:rPr>
        <w:t>IMC 2573</w:t>
      </w:r>
      <w:r w:rsidR="0009167D">
        <w:rPr>
          <w:shd w:val="clear" w:color="auto" w:fill="FFFFFF"/>
        </w:rPr>
        <w:t xml:space="preserve">, </w:t>
      </w:r>
      <w:r w:rsidR="004D5C81" w:rsidRPr="00574C73">
        <w:rPr>
          <w:shd w:val="clear" w:color="auto" w:fill="FFFFFF"/>
        </w:rPr>
        <w:t xml:space="preserve">“Inspection of the </w:t>
      </w:r>
      <w:r w:rsidR="00B346DC">
        <w:rPr>
          <w:shd w:val="clear" w:color="auto" w:fill="FFFFFF"/>
        </w:rPr>
        <w:t>Advanced Power Reactor</w:t>
      </w:r>
      <w:r w:rsidR="004D5C81" w:rsidRPr="00574C73">
        <w:rPr>
          <w:shd w:val="clear" w:color="auto" w:fill="FFFFFF"/>
        </w:rPr>
        <w:t xml:space="preserve"> Quality of Construction Strategic Performance Area,” IMC 2574</w:t>
      </w:r>
      <w:r w:rsidR="00BE27C9">
        <w:rPr>
          <w:shd w:val="clear" w:color="auto" w:fill="FFFFFF"/>
        </w:rPr>
        <w:t xml:space="preserve">, </w:t>
      </w:r>
      <w:r w:rsidR="004D5C81" w:rsidRPr="00574C73">
        <w:rPr>
          <w:shd w:val="clear" w:color="auto" w:fill="FFFFFF"/>
        </w:rPr>
        <w:t>“</w:t>
      </w:r>
      <w:r w:rsidR="00673F86" w:rsidRPr="00AD520E">
        <w:rPr>
          <w:shd w:val="clear" w:color="auto" w:fill="FFFFFF"/>
        </w:rPr>
        <w:t xml:space="preserve">Inspection </w:t>
      </w:r>
      <w:r w:rsidR="00673F86">
        <w:rPr>
          <w:shd w:val="clear" w:color="auto" w:fill="FFFFFF"/>
        </w:rPr>
        <w:t>o</w:t>
      </w:r>
      <w:r w:rsidR="00673F86" w:rsidRPr="00AD520E">
        <w:rPr>
          <w:shd w:val="clear" w:color="auto" w:fill="FFFFFF"/>
        </w:rPr>
        <w:t xml:space="preserve">f </w:t>
      </w:r>
      <w:r w:rsidR="00673F86">
        <w:rPr>
          <w:shd w:val="clear" w:color="auto" w:fill="FFFFFF"/>
        </w:rPr>
        <w:t>t</w:t>
      </w:r>
      <w:r w:rsidR="00673F86" w:rsidRPr="00AD520E">
        <w:rPr>
          <w:shd w:val="clear" w:color="auto" w:fill="FFFFFF"/>
        </w:rPr>
        <w:t xml:space="preserve">he “Operational Readiness” Strategic Performance Area </w:t>
      </w:r>
      <w:r w:rsidR="00673F86">
        <w:rPr>
          <w:shd w:val="clear" w:color="auto" w:fill="FFFFFF"/>
        </w:rPr>
        <w:t>o</w:t>
      </w:r>
      <w:r w:rsidR="00673F86" w:rsidRPr="00AD520E">
        <w:rPr>
          <w:shd w:val="clear" w:color="auto" w:fill="FFFFFF"/>
        </w:rPr>
        <w:t xml:space="preserve">f </w:t>
      </w:r>
      <w:r w:rsidR="00673F86">
        <w:rPr>
          <w:shd w:val="clear" w:color="auto" w:fill="FFFFFF"/>
        </w:rPr>
        <w:t>t</w:t>
      </w:r>
      <w:r w:rsidR="00673F86" w:rsidRPr="00AD520E">
        <w:rPr>
          <w:shd w:val="clear" w:color="auto" w:fill="FFFFFF"/>
        </w:rPr>
        <w:t>he Advanced Reactor Construction Oversight Program (ARCOP)</w:t>
      </w:r>
      <w:r w:rsidR="004D5C81" w:rsidRPr="00574C73">
        <w:rPr>
          <w:shd w:val="clear" w:color="auto" w:fill="FFFFFF"/>
        </w:rPr>
        <w:t xml:space="preserve">,” </w:t>
      </w:r>
      <w:r w:rsidR="002F094A">
        <w:rPr>
          <w:shd w:val="clear" w:color="auto" w:fill="FFFFFF"/>
        </w:rPr>
        <w:t>I</w:t>
      </w:r>
      <w:r w:rsidR="00117781">
        <w:rPr>
          <w:shd w:val="clear" w:color="auto" w:fill="FFFFFF"/>
        </w:rPr>
        <w:t xml:space="preserve">MC </w:t>
      </w:r>
      <w:r w:rsidR="001E79E9">
        <w:rPr>
          <w:shd w:val="clear" w:color="auto" w:fill="FFFFFF"/>
        </w:rPr>
        <w:t>220</w:t>
      </w:r>
      <w:r w:rsidR="00826DA5">
        <w:rPr>
          <w:shd w:val="clear" w:color="auto" w:fill="FFFFFF"/>
        </w:rPr>
        <w:t>3</w:t>
      </w:r>
      <w:r w:rsidR="00E96BD8">
        <w:rPr>
          <w:shd w:val="clear" w:color="auto" w:fill="FFFFFF"/>
        </w:rPr>
        <w:t xml:space="preserve"> -</w:t>
      </w:r>
      <w:r w:rsidR="001E79E9">
        <w:rPr>
          <w:shd w:val="clear" w:color="auto" w:fill="FFFFFF"/>
        </w:rPr>
        <w:t xml:space="preserve"> </w:t>
      </w:r>
      <w:r w:rsidR="006C3E56">
        <w:rPr>
          <w:shd w:val="clear" w:color="auto" w:fill="FFFFFF"/>
        </w:rPr>
        <w:t xml:space="preserve">“Security Inspection Program for </w:t>
      </w:r>
      <w:r w:rsidR="003C007D">
        <w:rPr>
          <w:shd w:val="clear" w:color="auto" w:fill="FFFFFF"/>
        </w:rPr>
        <w:t xml:space="preserve">Advanced Power Reactor </w:t>
      </w:r>
      <w:r w:rsidR="006C3E56">
        <w:rPr>
          <w:shd w:val="clear" w:color="auto" w:fill="FFFFFF"/>
        </w:rPr>
        <w:t>Construction</w:t>
      </w:r>
      <w:r w:rsidR="00EB59B7">
        <w:rPr>
          <w:shd w:val="clear" w:color="auto" w:fill="FFFFFF"/>
        </w:rPr>
        <w:t xml:space="preserve">,” </w:t>
      </w:r>
      <w:r w:rsidR="007977D1" w:rsidRPr="00574C73">
        <w:rPr>
          <w:shd w:val="clear" w:color="auto" w:fill="FFFFFF"/>
        </w:rPr>
        <w:t xml:space="preserve">and </w:t>
      </w:r>
      <w:r w:rsidR="004D5C81" w:rsidRPr="00574C73">
        <w:rPr>
          <w:shd w:val="clear" w:color="auto" w:fill="FFFFFF"/>
        </w:rPr>
        <w:t xml:space="preserve">IMC </w:t>
      </w:r>
      <w:r w:rsidR="00554A05" w:rsidRPr="00574C73">
        <w:rPr>
          <w:shd w:val="clear" w:color="auto" w:fill="FFFFFF"/>
        </w:rPr>
        <w:t>250</w:t>
      </w:r>
      <w:r w:rsidR="00554A05">
        <w:rPr>
          <w:shd w:val="clear" w:color="auto" w:fill="FFFFFF"/>
        </w:rPr>
        <w:t>1</w:t>
      </w:r>
      <w:r w:rsidR="007977D1" w:rsidRPr="00574C73">
        <w:rPr>
          <w:shd w:val="clear" w:color="auto" w:fill="FFFFFF"/>
        </w:rPr>
        <w:t xml:space="preserve">, </w:t>
      </w:r>
      <w:r w:rsidR="004D5C81" w:rsidRPr="00574C73">
        <w:rPr>
          <w:shd w:val="clear" w:color="auto" w:fill="FFFFFF"/>
        </w:rPr>
        <w:t>“</w:t>
      </w:r>
      <w:r w:rsidR="0071207D" w:rsidRPr="0071207D">
        <w:rPr>
          <w:shd w:val="clear" w:color="auto" w:fill="FFFFFF"/>
        </w:rPr>
        <w:t>Inspection Activities Following Acceptance of a Docketed Application for a Permit, License, or NRC Authorization</w:t>
      </w:r>
      <w:r w:rsidR="007977D1" w:rsidRPr="00574C73">
        <w:rPr>
          <w:shd w:val="clear" w:color="auto" w:fill="FFFFFF"/>
        </w:rPr>
        <w:t xml:space="preserve">.” </w:t>
      </w:r>
      <w:r w:rsidR="003D393E" w:rsidRPr="00574C73">
        <w:rPr>
          <w:shd w:val="clear" w:color="auto" w:fill="FFFFFF"/>
        </w:rPr>
        <w:t xml:space="preserve">This IMC shall </w:t>
      </w:r>
      <w:r w:rsidR="00E86FF6">
        <w:rPr>
          <w:shd w:val="clear" w:color="auto" w:fill="FFFFFF"/>
        </w:rPr>
        <w:t xml:space="preserve">also apply to supplemental inspections as directed by IMC 2572, </w:t>
      </w:r>
      <w:r w:rsidR="007B42E5">
        <w:rPr>
          <w:shd w:val="clear" w:color="auto" w:fill="FFFFFF"/>
        </w:rPr>
        <w:t xml:space="preserve">“Assessment of </w:t>
      </w:r>
      <w:r w:rsidR="00E86FF6">
        <w:rPr>
          <w:shd w:val="clear" w:color="auto" w:fill="FFFFFF"/>
        </w:rPr>
        <w:t xml:space="preserve">Advanced </w:t>
      </w:r>
      <w:r w:rsidR="007B42E5">
        <w:rPr>
          <w:shd w:val="clear" w:color="auto" w:fill="FFFFFF"/>
        </w:rPr>
        <w:t>Reactor Construction Projects.”</w:t>
      </w:r>
      <w:r w:rsidR="00FE2A75">
        <w:rPr>
          <w:shd w:val="clear" w:color="auto" w:fill="FFFFFF"/>
        </w:rPr>
        <w:t xml:space="preserve"> This IMC shall </w:t>
      </w:r>
      <w:r w:rsidR="003D393E" w:rsidRPr="00574C73">
        <w:rPr>
          <w:shd w:val="clear" w:color="auto" w:fill="FFFFFF"/>
        </w:rPr>
        <w:t xml:space="preserve">be implemented </w:t>
      </w:r>
      <w:r w:rsidR="008D5731" w:rsidRPr="00574C73">
        <w:rPr>
          <w:shd w:val="clear" w:color="auto" w:fill="FFFFFF"/>
        </w:rPr>
        <w:t>when</w:t>
      </w:r>
      <w:r w:rsidR="003D393E" w:rsidRPr="00574C73">
        <w:rPr>
          <w:shd w:val="clear" w:color="auto" w:fill="FFFFFF"/>
        </w:rPr>
        <w:t xml:space="preserve"> </w:t>
      </w:r>
      <w:r w:rsidR="00B44409">
        <w:rPr>
          <w:shd w:val="clear" w:color="auto" w:fill="FFFFFF"/>
        </w:rPr>
        <w:t xml:space="preserve">the NRC </w:t>
      </w:r>
      <w:r w:rsidR="007B5270">
        <w:rPr>
          <w:shd w:val="clear" w:color="auto" w:fill="FFFFFF"/>
        </w:rPr>
        <w:t>accepts and dockets</w:t>
      </w:r>
      <w:r w:rsidR="00B44409">
        <w:rPr>
          <w:shd w:val="clear" w:color="auto" w:fill="FFFFFF"/>
        </w:rPr>
        <w:t xml:space="preserve"> </w:t>
      </w:r>
      <w:r w:rsidR="00077EB3">
        <w:rPr>
          <w:shd w:val="clear" w:color="auto" w:fill="FFFFFF"/>
        </w:rPr>
        <w:t xml:space="preserve">an application </w:t>
      </w:r>
      <w:r w:rsidR="00B44409">
        <w:rPr>
          <w:shd w:val="clear" w:color="auto" w:fill="FFFFFF"/>
        </w:rPr>
        <w:t xml:space="preserve">for a combined license (COL), construction permit (CP), manufacturing license (ML), </w:t>
      </w:r>
      <w:r w:rsidR="000D6424">
        <w:rPr>
          <w:shd w:val="clear" w:color="auto" w:fill="FFFFFF"/>
        </w:rPr>
        <w:t xml:space="preserve">or a </w:t>
      </w:r>
      <w:r w:rsidR="0006363A">
        <w:rPr>
          <w:shd w:val="clear" w:color="auto" w:fill="FFFFFF"/>
        </w:rPr>
        <w:t>limited work authorization (LWA)</w:t>
      </w:r>
      <w:r w:rsidR="000D6424">
        <w:rPr>
          <w:shd w:val="clear" w:color="auto" w:fill="FFFFFF"/>
        </w:rPr>
        <w:t xml:space="preserve"> that is associated with an advanced power reactor</w:t>
      </w:r>
      <w:r w:rsidR="002B2BB6" w:rsidRPr="00574C73">
        <w:rPr>
          <w:shd w:val="clear" w:color="auto" w:fill="FFFFFF"/>
        </w:rPr>
        <w:t>.</w:t>
      </w:r>
      <w:r w:rsidR="000D6424">
        <w:rPr>
          <w:shd w:val="clear" w:color="auto" w:fill="FFFFFF"/>
        </w:rPr>
        <w:t xml:space="preserve"> This IMC is no longer applicable when an advanced </w:t>
      </w:r>
      <w:r w:rsidR="00927C13">
        <w:rPr>
          <w:shd w:val="clear" w:color="auto" w:fill="FFFFFF"/>
        </w:rPr>
        <w:t xml:space="preserve">power </w:t>
      </w:r>
      <w:r w:rsidR="000D6424">
        <w:rPr>
          <w:shd w:val="clear" w:color="auto" w:fill="FFFFFF"/>
        </w:rPr>
        <w:t xml:space="preserve">reactor </w:t>
      </w:r>
      <w:r w:rsidR="00923A66">
        <w:rPr>
          <w:shd w:val="clear" w:color="auto" w:fill="FFFFFF"/>
        </w:rPr>
        <w:t>transitions to the startup or operations phase</w:t>
      </w:r>
      <w:r w:rsidR="00D26C18">
        <w:rPr>
          <w:shd w:val="clear" w:color="auto" w:fill="FFFFFF"/>
        </w:rPr>
        <w:t xml:space="preserve">, as indicated by a 10 </w:t>
      </w:r>
      <w:r w:rsidR="00D26C18">
        <w:rPr>
          <w:shd w:val="clear" w:color="auto" w:fill="FFFFFF"/>
        </w:rPr>
        <w:lastRenderedPageBreak/>
        <w:t>CFR 52.103(g) finding</w:t>
      </w:r>
      <w:r w:rsidR="00F5149E">
        <w:rPr>
          <w:shd w:val="clear" w:color="auto" w:fill="FFFFFF"/>
        </w:rPr>
        <w:t xml:space="preserve"> that all ITAAC are complete (for COL holders) or when the NRC issues </w:t>
      </w:r>
      <w:r w:rsidR="00555D0D">
        <w:rPr>
          <w:shd w:val="clear" w:color="auto" w:fill="FFFFFF"/>
        </w:rPr>
        <w:t xml:space="preserve">the facility an </w:t>
      </w:r>
      <w:r w:rsidR="00F5149E">
        <w:rPr>
          <w:shd w:val="clear" w:color="auto" w:fill="FFFFFF"/>
        </w:rPr>
        <w:t>operating license</w:t>
      </w:r>
      <w:r w:rsidR="002B4C4B">
        <w:rPr>
          <w:shd w:val="clear" w:color="auto" w:fill="FFFFFF"/>
        </w:rPr>
        <w:t xml:space="preserve"> (OL)</w:t>
      </w:r>
      <w:r w:rsidR="00F5149E">
        <w:rPr>
          <w:shd w:val="clear" w:color="auto" w:fill="FFFFFF"/>
        </w:rPr>
        <w:t>.</w:t>
      </w:r>
      <w:r w:rsidR="00DF1CDA">
        <w:rPr>
          <w:shd w:val="clear" w:color="auto" w:fill="FFFFFF"/>
        </w:rPr>
        <w:t xml:space="preserve"> </w:t>
      </w:r>
    </w:p>
    <w:p w14:paraId="1BB9FBB3" w14:textId="720E4A4F" w:rsidR="001D60A1" w:rsidRPr="00574C73" w:rsidRDefault="00314385" w:rsidP="0085459E">
      <w:pPr>
        <w:pStyle w:val="Heading1"/>
      </w:pPr>
      <w:bookmarkStart w:id="28" w:name="_Toc170874549"/>
      <w:bookmarkStart w:id="29" w:name="_Toc177380767"/>
      <w:bookmarkStart w:id="30" w:name="_Toc206314255"/>
      <w:bookmarkStart w:id="31" w:name="_Toc206315719"/>
      <w:bookmarkStart w:id="32" w:name="_Toc206315822"/>
      <w:bookmarkStart w:id="33" w:name="_Toc293566179"/>
      <w:bookmarkStart w:id="34" w:name="_Toc293566693"/>
      <w:bookmarkStart w:id="35" w:name="_Toc293566735"/>
      <w:bookmarkStart w:id="36" w:name="_Toc215583234"/>
      <w:bookmarkStart w:id="37" w:name="_Toc219293591"/>
      <w:r w:rsidRPr="00574C73">
        <w:t>2571</w:t>
      </w:r>
      <w:r w:rsidR="005A05EF" w:rsidRPr="00574C73">
        <w:t>-0</w:t>
      </w:r>
      <w:r w:rsidR="00522A74" w:rsidRPr="00574C73">
        <w:t>4</w:t>
      </w:r>
      <w:r w:rsidR="005A05EF" w:rsidRPr="00574C73">
        <w:tab/>
      </w:r>
      <w:r w:rsidR="001D60A1" w:rsidRPr="00574C73">
        <w:t>DEFINITIONS</w:t>
      </w:r>
      <w:bookmarkEnd w:id="28"/>
      <w:bookmarkEnd w:id="29"/>
      <w:bookmarkEnd w:id="30"/>
      <w:bookmarkEnd w:id="31"/>
      <w:bookmarkEnd w:id="32"/>
      <w:bookmarkEnd w:id="33"/>
      <w:bookmarkEnd w:id="34"/>
      <w:bookmarkEnd w:id="35"/>
      <w:bookmarkEnd w:id="36"/>
      <w:bookmarkEnd w:id="37"/>
    </w:p>
    <w:p w14:paraId="32B4397F" w14:textId="05AF69B3" w:rsidR="00EF12D9" w:rsidRDefault="00522A74" w:rsidP="00A477BF">
      <w:pPr>
        <w:pStyle w:val="BodyText"/>
      </w:pPr>
      <w:r w:rsidRPr="008F3F30">
        <w:t xml:space="preserve">Applicable </w:t>
      </w:r>
      <w:r w:rsidR="00691BFB">
        <w:t xml:space="preserve">ARCOP </w:t>
      </w:r>
      <w:r w:rsidRPr="008F3F30">
        <w:t xml:space="preserve">definitions are in Inspection Manual Chapter </w:t>
      </w:r>
      <w:r w:rsidR="00E61999">
        <w:t>2570</w:t>
      </w:r>
      <w:r w:rsidRPr="008F3F30">
        <w:t>, “</w:t>
      </w:r>
      <w:r w:rsidR="00E61999">
        <w:t xml:space="preserve">Advanced Reactor </w:t>
      </w:r>
      <w:r w:rsidRPr="008F3F30">
        <w:t xml:space="preserve">Construction Oversight </w:t>
      </w:r>
      <w:r w:rsidR="00654FD5" w:rsidRPr="008F3F30">
        <w:t>Pro</w:t>
      </w:r>
      <w:r w:rsidR="00654FD5">
        <w:t>gram</w:t>
      </w:r>
      <w:r w:rsidR="00654FD5" w:rsidRPr="008F3F30">
        <w:t xml:space="preserve"> </w:t>
      </w:r>
      <w:r w:rsidRPr="008F3F30">
        <w:t xml:space="preserve">General Guidance and Basis Document.” </w:t>
      </w:r>
      <w:r w:rsidR="00A02AC0">
        <w:t>F</w:t>
      </w:r>
      <w:r w:rsidR="003B675B">
        <w:t xml:space="preserve">or </w:t>
      </w:r>
      <w:r w:rsidR="00A02AC0">
        <w:t xml:space="preserve">readers’ </w:t>
      </w:r>
      <w:r w:rsidR="003B675B">
        <w:t xml:space="preserve">convenience, some </w:t>
      </w:r>
      <w:r w:rsidR="00691BFB">
        <w:t xml:space="preserve">relevant </w:t>
      </w:r>
      <w:r w:rsidR="003B675B">
        <w:t>definitions are also listed below.</w:t>
      </w:r>
    </w:p>
    <w:p w14:paraId="199FA384" w14:textId="156A2F8A" w:rsidR="001A31FE" w:rsidRDefault="001A31FE" w:rsidP="00630B33">
      <w:pPr>
        <w:pStyle w:val="BodyText"/>
        <w:numPr>
          <w:ilvl w:val="0"/>
          <w:numId w:val="8"/>
        </w:numPr>
      </w:pPr>
      <w:r w:rsidRPr="00C32B9C">
        <w:rPr>
          <w:u w:val="single"/>
        </w:rPr>
        <w:t>Administrative Actions</w:t>
      </w:r>
      <w:r>
        <w:t xml:space="preserve">. </w:t>
      </w:r>
      <w:r w:rsidR="0010390F">
        <w:t>Actions such as confirmatory action letters, notices of deviation, and notices of nonconformance</w:t>
      </w:r>
      <w:r w:rsidR="003D159C">
        <w:t xml:space="preserve"> </w:t>
      </w:r>
      <w:r>
        <w:t>that are issued to supplement the NRC enforcement program. These administrative actions are explained in the Enforcement Manual. The NRC expects licensees and other persons subject to the Commission’s jurisdiction to adhere to any obligations and commitments resulting from administrative actions and will consider issuing additional Orders, as needed, to ensure compliance.</w:t>
      </w:r>
    </w:p>
    <w:p w14:paraId="778A8A66" w14:textId="77777777" w:rsidR="001A31FE" w:rsidRDefault="001A31FE" w:rsidP="00630B33">
      <w:pPr>
        <w:pStyle w:val="BodyText"/>
        <w:numPr>
          <w:ilvl w:val="0"/>
          <w:numId w:val="8"/>
        </w:numPr>
      </w:pPr>
      <w:r w:rsidRPr="00412427">
        <w:rPr>
          <w:u w:val="single"/>
        </w:rPr>
        <w:t>Apparent Violations (AVs)</w:t>
      </w:r>
      <w:r w:rsidRPr="00C32B9C">
        <w:t xml:space="preserve">. </w:t>
      </w:r>
      <w:r>
        <w:t>I</w:t>
      </w:r>
      <w:r w:rsidRPr="004063B1">
        <w:t>ssues that do not appear to meet NRC requirements and for which the NRC staff has not made a final enforcement determination.</w:t>
      </w:r>
    </w:p>
    <w:p w14:paraId="3F120764" w14:textId="7F842A28" w:rsidR="00F11582" w:rsidRDefault="00F11582" w:rsidP="00630B33">
      <w:pPr>
        <w:pStyle w:val="BodyText"/>
        <w:numPr>
          <w:ilvl w:val="0"/>
          <w:numId w:val="8"/>
        </w:numPr>
      </w:pPr>
      <w:r w:rsidRPr="00386864">
        <w:rPr>
          <w:u w:val="single"/>
        </w:rPr>
        <w:t>ARCOP Significance Determination Process (SDP)</w:t>
      </w:r>
      <w:r w:rsidRPr="00C32B9C">
        <w:t xml:space="preserve">. </w:t>
      </w:r>
      <w:r w:rsidRPr="00CA7903">
        <w:t xml:space="preserve">The process described </w:t>
      </w:r>
      <w:r>
        <w:t xml:space="preserve">in this </w:t>
      </w:r>
      <w:proofErr w:type="gramStart"/>
      <w:r w:rsidR="00423715">
        <w:t>IMC</w:t>
      </w:r>
      <w:r w:rsidR="00F21415">
        <w:t xml:space="preserve"> </w:t>
      </w:r>
      <w:r w:rsidR="00423715">
        <w:t>that</w:t>
      </w:r>
      <w:proofErr w:type="gramEnd"/>
      <w:r w:rsidR="00423715">
        <w:t xml:space="preserve"> </w:t>
      </w:r>
      <w:r w:rsidRPr="00CA7903">
        <w:t xml:space="preserve">is applied to an </w:t>
      </w:r>
      <w:r>
        <w:t xml:space="preserve">ARCOP </w:t>
      </w:r>
      <w:r w:rsidRPr="00CA7903">
        <w:t>inspection finding</w:t>
      </w:r>
      <w:r w:rsidR="00B8209A">
        <w:t>.</w:t>
      </w:r>
    </w:p>
    <w:p w14:paraId="0662BB0A" w14:textId="37B189DC" w:rsidR="00345535" w:rsidRPr="00412427" w:rsidRDefault="00345535" w:rsidP="00630B33">
      <w:pPr>
        <w:pStyle w:val="BodyText"/>
        <w:numPr>
          <w:ilvl w:val="0"/>
          <w:numId w:val="8"/>
        </w:numPr>
        <w:rPr>
          <w:u w:val="single"/>
        </w:rPr>
      </w:pPr>
      <w:r w:rsidRPr="00412427">
        <w:rPr>
          <w:u w:val="single"/>
        </w:rPr>
        <w:t>Escalated Enforcement Actions</w:t>
      </w:r>
      <w:r w:rsidRPr="00C32B9C">
        <w:t xml:space="preserve">. </w:t>
      </w:r>
      <w:r>
        <w:t>SL</w:t>
      </w:r>
      <w:r w:rsidR="00093AF8">
        <w:t>-</w:t>
      </w:r>
      <w:r>
        <w:t xml:space="preserve">I, II, and III NOVs; NOVs associated with an inspection finding that the SDP evaluates as having </w:t>
      </w:r>
      <w:r w:rsidR="00C6134A">
        <w:t>low</w:t>
      </w:r>
      <w:r>
        <w:t xml:space="preserve"> (white) or greater safety significance;</w:t>
      </w:r>
      <w:r w:rsidRPr="008E307C">
        <w:t xml:space="preserve"> civil penalties; NOVs to individuals; Orders to modify, suspend, or revoke NRC licenses or the authority to engage in NRC-licensed activities; and Orders issued to impose civil penalties.</w:t>
      </w:r>
    </w:p>
    <w:p w14:paraId="1B10EDD4" w14:textId="5D328BBD" w:rsidR="00F70127" w:rsidRDefault="00F70127" w:rsidP="00630B33">
      <w:pPr>
        <w:pStyle w:val="BodyText"/>
        <w:numPr>
          <w:ilvl w:val="0"/>
          <w:numId w:val="8"/>
        </w:numPr>
      </w:pPr>
      <w:r w:rsidRPr="006F4BA4">
        <w:rPr>
          <w:u w:val="single"/>
        </w:rPr>
        <w:t>Finding</w:t>
      </w:r>
      <w:r w:rsidRPr="00C32B9C">
        <w:t xml:space="preserve">. </w:t>
      </w:r>
      <w:r>
        <w:t>(1) A performance deficiency</w:t>
      </w:r>
      <w:r w:rsidRPr="00BF6B25">
        <w:t xml:space="preserve"> that </w:t>
      </w:r>
      <w:r>
        <w:t>is</w:t>
      </w:r>
      <w:r w:rsidRPr="00BF6B25">
        <w:t xml:space="preserve"> of </w:t>
      </w:r>
      <w:r>
        <w:t>more-</w:t>
      </w:r>
      <w:r w:rsidRPr="00BF6B25">
        <w:t>than</w:t>
      </w:r>
      <w:r>
        <w:t>-</w:t>
      </w:r>
      <w:r w:rsidRPr="00BF6B25">
        <w:t>minor significance</w:t>
      </w:r>
      <w:r>
        <w:t xml:space="preserve"> </w:t>
      </w:r>
      <w:r w:rsidRPr="00234077">
        <w:t xml:space="preserve">where </w:t>
      </w:r>
      <w:r>
        <w:t>the performance deficiency</w:t>
      </w:r>
      <w:r w:rsidRPr="00234077">
        <w:t xml:space="preserve"> </w:t>
      </w:r>
      <w:r>
        <w:t>is</w:t>
      </w:r>
      <w:r w:rsidRPr="00234077">
        <w:t xml:space="preserve"> reasonably foreseeable and preventable</w:t>
      </w:r>
      <w:r w:rsidRPr="00BF6B25">
        <w:t>.</w:t>
      </w:r>
      <w:r>
        <w:t xml:space="preserve"> In this general context of the word, “finding” is usually spelt with a small “f,” and (2) the final disposition of certain findings that are not associated with violations. In this specific context, “Finding” is spelt with a capital “F”</w:t>
      </w:r>
      <w:r w:rsidRPr="00BF6B25">
        <w:t xml:space="preserve"> </w:t>
      </w:r>
      <w:r>
        <w:t>and is abbreviated as “FIN.”</w:t>
      </w:r>
    </w:p>
    <w:p w14:paraId="3F53DCE0" w14:textId="7193B042" w:rsidR="003A6763" w:rsidRDefault="003A6763" w:rsidP="00630B33">
      <w:pPr>
        <w:pStyle w:val="BodyText"/>
        <w:numPr>
          <w:ilvl w:val="0"/>
          <w:numId w:val="8"/>
        </w:numPr>
      </w:pPr>
      <w:r w:rsidRPr="00D22B64">
        <w:rPr>
          <w:u w:val="single"/>
        </w:rPr>
        <w:t>Fundamental Safety Functions (FSFs)</w:t>
      </w:r>
      <w:r>
        <w:t xml:space="preserve">. </w:t>
      </w:r>
      <w:r w:rsidR="000501F4" w:rsidRPr="0078417B">
        <w:t>A set of high-level functions that serve to limit the release of radioactive materials to within established limits over the entire range of licensing basis events. FSFs are discussed in various references, such as in Nuclear Energy Institute (NEI) 18-04, Revision 1, "Risk-Informed Performance-Based Technology Inclusive Guidance for Non-Light Water Reactor Licensing Basis Development,” (endorsed by Regulatory Guide 1.233). The FSFs are</w:t>
      </w:r>
      <w:r w:rsidR="000501F4" w:rsidRPr="00DA41F1">
        <w:t>:</w:t>
      </w:r>
    </w:p>
    <w:p w14:paraId="0F4D4A54" w14:textId="77777777" w:rsidR="003A6763" w:rsidRDefault="003A6763" w:rsidP="008E226B">
      <w:pPr>
        <w:pStyle w:val="ListBullet3"/>
      </w:pPr>
      <w:r>
        <w:t>Control of Heat Generation (Reactivity and Power Control),</w:t>
      </w:r>
    </w:p>
    <w:p w14:paraId="232940E6" w14:textId="77777777" w:rsidR="003A6763" w:rsidRDefault="003A6763" w:rsidP="008E226B">
      <w:pPr>
        <w:pStyle w:val="ListBullet3"/>
      </w:pPr>
      <w:r>
        <w:t>Control of Heat Removal (including reactor and spent fuel decay heat and heat generated from waste stores), and</w:t>
      </w:r>
    </w:p>
    <w:p w14:paraId="00AB7CDE" w14:textId="77777777" w:rsidR="003A6763" w:rsidRDefault="003A6763" w:rsidP="008E226B">
      <w:pPr>
        <w:pStyle w:val="ListBullet3"/>
      </w:pPr>
      <w:r>
        <w:t>Radionuclide Retention.</w:t>
      </w:r>
    </w:p>
    <w:p w14:paraId="4217796C" w14:textId="181B83E0" w:rsidR="00F11582" w:rsidRDefault="00F11582" w:rsidP="00630B33">
      <w:pPr>
        <w:pStyle w:val="BodyText"/>
        <w:numPr>
          <w:ilvl w:val="0"/>
          <w:numId w:val="8"/>
        </w:numPr>
      </w:pPr>
      <w:r w:rsidRPr="00953F2E">
        <w:rPr>
          <w:u w:val="single"/>
        </w:rPr>
        <w:t xml:space="preserve">Minor </w:t>
      </w:r>
      <w:r w:rsidR="000709CD">
        <w:rPr>
          <w:u w:val="single"/>
        </w:rPr>
        <w:t>Noncomp</w:t>
      </w:r>
      <w:r w:rsidR="003F54D0">
        <w:rPr>
          <w:u w:val="single"/>
        </w:rPr>
        <w:t>liance</w:t>
      </w:r>
      <w:r w:rsidRPr="00C32B9C">
        <w:t xml:space="preserve">. </w:t>
      </w:r>
      <w:r>
        <w:t xml:space="preserve">A </w:t>
      </w:r>
      <w:r w:rsidR="000709CD">
        <w:t>noncomp</w:t>
      </w:r>
      <w:r w:rsidR="003F54D0">
        <w:t>liance</w:t>
      </w:r>
      <w:r w:rsidRPr="0058258B">
        <w:t xml:space="preserve"> that </w:t>
      </w:r>
      <w:r w:rsidR="000501F4">
        <w:t xml:space="preserve">has little or no safety or security </w:t>
      </w:r>
      <w:r w:rsidR="004118B6" w:rsidRPr="0058258B">
        <w:t>significan</w:t>
      </w:r>
      <w:r w:rsidR="004118B6">
        <w:t>ce and</w:t>
      </w:r>
      <w:r w:rsidRPr="0058258B">
        <w:t xml:space="preserve"> </w:t>
      </w:r>
      <w:r w:rsidR="000501F4">
        <w:t xml:space="preserve">generally </w:t>
      </w:r>
      <w:r w:rsidRPr="0058258B">
        <w:t>do</w:t>
      </w:r>
      <w:r>
        <w:t>es</w:t>
      </w:r>
      <w:r w:rsidRPr="0058258B">
        <w:t xml:space="preserve"> not warrant enforcement action or documentation in inspection reports. Minor </w:t>
      </w:r>
      <w:r w:rsidR="000709CD">
        <w:t>noncomp</w:t>
      </w:r>
      <w:r w:rsidR="003F54D0">
        <w:t>liance</w:t>
      </w:r>
      <w:r w:rsidRPr="0058258B">
        <w:t xml:space="preserve">s must be corrected, but the NRC does not </w:t>
      </w:r>
      <w:r w:rsidRPr="0058258B">
        <w:lastRenderedPageBreak/>
        <w:t xml:space="preserve">formally track their completion or closure. Minor </w:t>
      </w:r>
      <w:r w:rsidR="000709CD">
        <w:t>noncomp</w:t>
      </w:r>
      <w:r w:rsidR="003F54D0">
        <w:t>liance</w:t>
      </w:r>
      <w:r w:rsidRPr="0058258B">
        <w:t>s may be documented in certain circumstances (see IMC 0618, “</w:t>
      </w:r>
      <w:r>
        <w:t>Advanced Power Reactor Construction Inspection Reports,</w:t>
      </w:r>
      <w:r w:rsidRPr="0058258B">
        <w:t>”</w:t>
      </w:r>
      <w:r w:rsidRPr="0058258B">
        <w:rPr>
          <w:shd w:val="clear" w:color="auto" w:fill="FAF9F8"/>
        </w:rPr>
        <w:t xml:space="preserve"> for guidance on documentation of minor </w:t>
      </w:r>
      <w:r w:rsidR="000709CD">
        <w:rPr>
          <w:shd w:val="clear" w:color="auto" w:fill="FAF9F8"/>
        </w:rPr>
        <w:t>noncomp</w:t>
      </w:r>
      <w:r w:rsidR="003F54D0">
        <w:rPr>
          <w:shd w:val="clear" w:color="auto" w:fill="FAF9F8"/>
        </w:rPr>
        <w:t>liance</w:t>
      </w:r>
      <w:r w:rsidRPr="0058258B">
        <w:rPr>
          <w:shd w:val="clear" w:color="auto" w:fill="FAF9F8"/>
        </w:rPr>
        <w:t>s</w:t>
      </w:r>
      <w:r w:rsidRPr="0058258B">
        <w:t>).</w:t>
      </w:r>
    </w:p>
    <w:p w14:paraId="66969CAA" w14:textId="03A17376" w:rsidR="00345535" w:rsidRDefault="00345535" w:rsidP="00630B33">
      <w:pPr>
        <w:pStyle w:val="BodyText"/>
        <w:numPr>
          <w:ilvl w:val="0"/>
          <w:numId w:val="8"/>
        </w:numPr>
      </w:pPr>
      <w:r w:rsidRPr="00BF6B25">
        <w:rPr>
          <w:u w:val="single"/>
        </w:rPr>
        <w:t>Non-Cited Violation (NCV</w:t>
      </w:r>
      <w:r w:rsidRPr="00D913D2">
        <w:t>). A method for dispositioning a SL</w:t>
      </w:r>
      <w:r w:rsidR="00093AF8">
        <w:t>-</w:t>
      </w:r>
      <w:r w:rsidRPr="00D913D2">
        <w:t xml:space="preserve">IV violation or a violation associated with a </w:t>
      </w:r>
      <w:r w:rsidR="00C31A28">
        <w:t>g</w:t>
      </w:r>
      <w:r w:rsidRPr="00D913D2">
        <w:t>reen ARCOP finding that meets the criteria in</w:t>
      </w:r>
      <w:r w:rsidR="00756FA4">
        <w:t xml:space="preserve"> Section</w:t>
      </w:r>
      <w:r w:rsidRPr="00D913D2">
        <w:t xml:space="preserve"> 2.3.2 of the Enforcement Policy.</w:t>
      </w:r>
    </w:p>
    <w:p w14:paraId="52DED9A5" w14:textId="51DF5418" w:rsidR="003A6763" w:rsidRDefault="000709CD" w:rsidP="00630B33">
      <w:pPr>
        <w:pStyle w:val="BodyText"/>
        <w:numPr>
          <w:ilvl w:val="0"/>
          <w:numId w:val="8"/>
        </w:numPr>
      </w:pPr>
      <w:r>
        <w:rPr>
          <w:u w:val="single"/>
        </w:rPr>
        <w:t>Noncomp</w:t>
      </w:r>
      <w:r w:rsidR="003F54D0">
        <w:rPr>
          <w:u w:val="single"/>
        </w:rPr>
        <w:t>liance</w:t>
      </w:r>
      <w:r w:rsidR="003A6763" w:rsidRPr="005A73CF">
        <w:t xml:space="preserve">. </w:t>
      </w:r>
      <w:r w:rsidR="00804393">
        <w:t>The failure to adhere to a legally binding requirement or a non-legally binding commitments and standards. Legally binding requirements include regulations, technical specifications, license conditions, and NRC Orders. Non-legally binding commitments and standards include commitments made to the NRC, self-imposed requirements to establish and maintain quality, and requirements specified in procurement contracts.</w:t>
      </w:r>
    </w:p>
    <w:p w14:paraId="727743D2" w14:textId="4CA7AB14" w:rsidR="00345535" w:rsidRDefault="00345535" w:rsidP="00630B33">
      <w:pPr>
        <w:pStyle w:val="BodyText"/>
        <w:numPr>
          <w:ilvl w:val="0"/>
          <w:numId w:val="8"/>
        </w:numPr>
      </w:pPr>
      <w:r w:rsidRPr="00CD0594">
        <w:rPr>
          <w:u w:val="single"/>
        </w:rPr>
        <w:t>Non-Escalated Enforcement Action</w:t>
      </w:r>
      <w:r w:rsidRPr="00C32B9C">
        <w:t xml:space="preserve">. </w:t>
      </w:r>
      <w:r w:rsidR="00F8461D">
        <w:t>Violations</w:t>
      </w:r>
      <w:r w:rsidR="00B64F68">
        <w:t xml:space="preserve"> </w:t>
      </w:r>
      <w:r>
        <w:t>that are dispositioned by the NRC as SL</w:t>
      </w:r>
      <w:r w:rsidR="00093AF8">
        <w:t>-</w:t>
      </w:r>
      <w:r>
        <w:t>IV</w:t>
      </w:r>
      <w:r w:rsidR="00F8461D">
        <w:t>,</w:t>
      </w:r>
      <w:r w:rsidR="00F8461D" w:rsidRPr="00F8461D">
        <w:t xml:space="preserve"> </w:t>
      </w:r>
      <w:r w:rsidR="00F8461D">
        <w:t>Green,</w:t>
      </w:r>
      <w:r>
        <w:t xml:space="preserve"> or minor violations.</w:t>
      </w:r>
    </w:p>
    <w:p w14:paraId="74152E97" w14:textId="0707253B" w:rsidR="00922646" w:rsidRDefault="00922646" w:rsidP="00630B33">
      <w:pPr>
        <w:pStyle w:val="BodyText"/>
        <w:numPr>
          <w:ilvl w:val="0"/>
          <w:numId w:val="8"/>
        </w:numPr>
      </w:pPr>
      <w:r w:rsidRPr="004063B1">
        <w:rPr>
          <w:u w:val="single"/>
        </w:rPr>
        <w:t>Notice of Deviation (NOD)</w:t>
      </w:r>
      <w:r w:rsidRPr="00C32B9C">
        <w:t xml:space="preserve">. </w:t>
      </w:r>
      <w:r>
        <w:t>A</w:t>
      </w:r>
      <w:r w:rsidRPr="008E307C">
        <w:t xml:space="preserve"> written notice describing a licensee’s failure to satisfy a </w:t>
      </w:r>
      <w:r w:rsidRPr="008843A9">
        <w:t>commitment where the commitment involved has not been made a legally binding requirement. An NOD requests that a licensee provide a written explanation or statement describing corrective steps taken (or planned), the results achieved, and the date when corrective action will be completed.</w:t>
      </w:r>
      <w:r>
        <w:t xml:space="preserve"> </w:t>
      </w:r>
    </w:p>
    <w:p w14:paraId="1F49D630" w14:textId="3F071ED2" w:rsidR="00922646" w:rsidRDefault="00922646" w:rsidP="00630B33">
      <w:pPr>
        <w:pStyle w:val="BodyText"/>
        <w:numPr>
          <w:ilvl w:val="0"/>
          <w:numId w:val="8"/>
        </w:numPr>
      </w:pPr>
      <w:r w:rsidRPr="004063B1">
        <w:rPr>
          <w:u w:val="single"/>
        </w:rPr>
        <w:t>Notice of Nonconformance (NON)</w:t>
      </w:r>
      <w:r w:rsidRPr="00C32B9C">
        <w:t xml:space="preserve">. </w:t>
      </w:r>
      <w:r w:rsidR="00804D14">
        <w:t>A</w:t>
      </w:r>
      <w:r w:rsidR="00170C8B">
        <w:t xml:space="preserve"> written notice describing the failure of a licensee’s contractor to meet contract requirements that have not been made legally binding requirements by the NRC (e.g., a procurement contract with a licensee or applicant as required by 10 CFR Part 50, Appendix B). NONs request that non-</w:t>
      </w:r>
      <w:proofErr w:type="gramStart"/>
      <w:r w:rsidR="00170C8B">
        <w:t>licensees</w:t>
      </w:r>
      <w:proofErr w:type="gramEnd"/>
      <w:r w:rsidR="00170C8B">
        <w:t xml:space="preserve"> provide written explanations or statements describing corrective steps (taken or planned), the results achieved, the dates when corrective actions will be completed, and measures taken to preclude recurrence.</w:t>
      </w:r>
    </w:p>
    <w:p w14:paraId="0D9F067D" w14:textId="4AF80AE2" w:rsidR="003A6763" w:rsidRDefault="003A6763" w:rsidP="00630B33">
      <w:pPr>
        <w:pStyle w:val="BodyText"/>
        <w:numPr>
          <w:ilvl w:val="0"/>
          <w:numId w:val="8"/>
        </w:numPr>
      </w:pPr>
      <w:r w:rsidRPr="00C32B9C">
        <w:rPr>
          <w:u w:val="single"/>
        </w:rPr>
        <w:t xml:space="preserve">NRC-Identified </w:t>
      </w:r>
      <w:r w:rsidR="000709CD">
        <w:rPr>
          <w:u w:val="single"/>
        </w:rPr>
        <w:t>Noncomp</w:t>
      </w:r>
      <w:r w:rsidR="003F54D0">
        <w:rPr>
          <w:u w:val="single"/>
        </w:rPr>
        <w:t>liance</w:t>
      </w:r>
      <w:r>
        <w:t xml:space="preserve">. A </w:t>
      </w:r>
      <w:r w:rsidR="000709CD">
        <w:t>noncomp</w:t>
      </w:r>
      <w:r w:rsidR="003F54D0">
        <w:t>liance</w:t>
      </w:r>
      <w:r w:rsidRPr="00A60978">
        <w:t xml:space="preserve"> </w:t>
      </w:r>
      <w:r>
        <w:t xml:space="preserve">that is </w:t>
      </w:r>
      <w:r w:rsidRPr="00A60978">
        <w:t xml:space="preserve">found by NRC inspectors, of which the licensee was not previously aware, or had not been previously documented in the organization’s </w:t>
      </w:r>
      <w:r w:rsidR="00746289">
        <w:t>QAP</w:t>
      </w:r>
      <w:r w:rsidRPr="00A60978">
        <w:t xml:space="preserve">. NRC-identified </w:t>
      </w:r>
      <w:r w:rsidR="000709CD">
        <w:t>noncomp</w:t>
      </w:r>
      <w:r w:rsidR="003F54D0">
        <w:t>liance</w:t>
      </w:r>
      <w:r w:rsidRPr="00A60978">
        <w:t xml:space="preserve">s also include previously documented licensee or non-licensed manufacturer </w:t>
      </w:r>
      <w:r w:rsidR="000709CD">
        <w:t>noncomp</w:t>
      </w:r>
      <w:r w:rsidR="003F54D0">
        <w:t>liance</w:t>
      </w:r>
      <w:r w:rsidRPr="00A60978">
        <w:t xml:space="preserve">s to which the inspector has significantly added value. Added value means that the inspector has identified a previously unknown significant weakness in the classification, evaluation, or corrective actions associated with the </w:t>
      </w:r>
      <w:r w:rsidR="000709CD">
        <w:t>noncomp</w:t>
      </w:r>
      <w:r w:rsidR="003F54D0">
        <w:t>liance</w:t>
      </w:r>
      <w:r w:rsidRPr="00A60978">
        <w:t>.</w:t>
      </w:r>
    </w:p>
    <w:p w14:paraId="55C70344" w14:textId="5BA64D88" w:rsidR="000E71F5" w:rsidRDefault="000E71F5" w:rsidP="00630B33">
      <w:pPr>
        <w:pStyle w:val="BodyText"/>
        <w:numPr>
          <w:ilvl w:val="0"/>
          <w:numId w:val="8"/>
        </w:numPr>
      </w:pPr>
      <w:r w:rsidRPr="00CC152F">
        <w:rPr>
          <w:u w:val="single"/>
        </w:rPr>
        <w:t>Performance Deficiency</w:t>
      </w:r>
      <w:r w:rsidR="00CC152F">
        <w:t>.</w:t>
      </w:r>
      <w:r w:rsidR="00DB76DA">
        <w:t xml:space="preserve"> A</w:t>
      </w:r>
      <w:r w:rsidR="00DB76DA" w:rsidRPr="001E30CF">
        <w:t xml:space="preserve"> </w:t>
      </w:r>
      <w:r w:rsidR="000709CD">
        <w:t>noncomp</w:t>
      </w:r>
      <w:r w:rsidR="003F54D0">
        <w:t>liance</w:t>
      </w:r>
      <w:r w:rsidR="00DB76DA" w:rsidRPr="001E30CF">
        <w:t xml:space="preserve"> </w:t>
      </w:r>
      <w:r w:rsidR="00DB76DA">
        <w:t>that was</w:t>
      </w:r>
      <w:r w:rsidR="00DB76DA" w:rsidRPr="001E30CF">
        <w:t xml:space="preserve"> reasonably within the licensee’s</w:t>
      </w:r>
      <w:r w:rsidR="00DB76DA">
        <w:t>/applicant’s/project vendor’s</w:t>
      </w:r>
      <w:r w:rsidR="00DB76DA" w:rsidRPr="001E30CF">
        <w:t xml:space="preserve"> ability to foresee and correct and should have been prevented.</w:t>
      </w:r>
    </w:p>
    <w:p w14:paraId="070D92E1" w14:textId="2CAE8208" w:rsidR="00A115AA" w:rsidRPr="00802DAF" w:rsidRDefault="00A115AA" w:rsidP="00630B33">
      <w:pPr>
        <w:pStyle w:val="BodyText"/>
        <w:numPr>
          <w:ilvl w:val="0"/>
          <w:numId w:val="8"/>
        </w:numPr>
        <w:rPr>
          <w:u w:val="single"/>
        </w:rPr>
      </w:pPr>
      <w:r w:rsidRPr="00802DAF">
        <w:rPr>
          <w:u w:val="single"/>
        </w:rPr>
        <w:t>Project Vendor</w:t>
      </w:r>
      <w:r>
        <w:t>. A non-licensed entity that produces or assembles nearly complete reactor plants or significant portions of safety-significant system modules under contract to an NRC licensee, NRC permit holder, or an applicant for an NRC license or permit. Project vendors are identified during inspection scoping and inspected under the ARCOP.</w:t>
      </w:r>
    </w:p>
    <w:p w14:paraId="0BF48C33" w14:textId="61AB7BB5" w:rsidR="00B35B05" w:rsidRDefault="00B35B05" w:rsidP="00630B33">
      <w:pPr>
        <w:pStyle w:val="BodyText"/>
        <w:numPr>
          <w:ilvl w:val="0"/>
          <w:numId w:val="8"/>
        </w:numPr>
      </w:pPr>
      <w:r w:rsidRPr="00D22B64">
        <w:rPr>
          <w:u w:val="single"/>
        </w:rPr>
        <w:t>Quality Assurance Program (QAP) Backstop</w:t>
      </w:r>
      <w:r>
        <w:t>.</w:t>
      </w:r>
      <w:r w:rsidR="00DF1CDA">
        <w:t xml:space="preserve"> </w:t>
      </w:r>
      <w:r w:rsidR="00056B0A">
        <w:t xml:space="preserve">A planned QAP activity </w:t>
      </w:r>
      <w:proofErr w:type="gramStart"/>
      <w:r w:rsidR="00056B0A">
        <w:t>meant</w:t>
      </w:r>
      <w:proofErr w:type="gramEnd"/>
      <w:r w:rsidR="00056B0A">
        <w:t xml:space="preserve"> to detect SSC deficiencies or </w:t>
      </w:r>
      <w:r w:rsidR="000709CD">
        <w:t>noncomp</w:t>
      </w:r>
      <w:r w:rsidR="003F54D0">
        <w:t>liance</w:t>
      </w:r>
      <w:r w:rsidR="00056B0A">
        <w:t>s that are associated with a finding</w:t>
      </w:r>
      <w:r w:rsidR="00382B35">
        <w:t>.</w:t>
      </w:r>
    </w:p>
    <w:p w14:paraId="201F0111" w14:textId="41A8D51F" w:rsidR="006F74DC" w:rsidRDefault="006F74DC" w:rsidP="00630B33">
      <w:pPr>
        <w:pStyle w:val="BodyText"/>
        <w:numPr>
          <w:ilvl w:val="0"/>
          <w:numId w:val="8"/>
        </w:numPr>
      </w:pPr>
      <w:r w:rsidRPr="00C32B9C">
        <w:rPr>
          <w:u w:val="single"/>
        </w:rPr>
        <w:lastRenderedPageBreak/>
        <w:t>Self-</w:t>
      </w:r>
      <w:r>
        <w:rPr>
          <w:u w:val="single"/>
        </w:rPr>
        <w:t>i</w:t>
      </w:r>
      <w:r w:rsidRPr="00C32B9C">
        <w:rPr>
          <w:u w:val="single"/>
        </w:rPr>
        <w:t xml:space="preserve">dentified </w:t>
      </w:r>
      <w:r>
        <w:rPr>
          <w:u w:val="single"/>
        </w:rPr>
        <w:t xml:space="preserve">Construction </w:t>
      </w:r>
      <w:r w:rsidR="000709CD">
        <w:rPr>
          <w:u w:val="single"/>
        </w:rPr>
        <w:t>Noncomp</w:t>
      </w:r>
      <w:r w:rsidR="003F54D0">
        <w:rPr>
          <w:u w:val="single"/>
        </w:rPr>
        <w:t>liance</w:t>
      </w:r>
      <w:r>
        <w:rPr>
          <w:u w:val="single"/>
        </w:rPr>
        <w:t xml:space="preserve"> (SCN)</w:t>
      </w:r>
      <w:r>
        <w:t xml:space="preserve">. </w:t>
      </w:r>
      <w:r w:rsidR="00334F80">
        <w:t xml:space="preserve">A </w:t>
      </w:r>
      <w:r w:rsidR="00334F80" w:rsidRPr="0016467C">
        <w:t xml:space="preserve">fabrication, manufacturing, or </w:t>
      </w:r>
      <w:r w:rsidR="00334F80">
        <w:t xml:space="preserve">construction </w:t>
      </w:r>
      <w:r w:rsidR="000709CD">
        <w:t>noncomp</w:t>
      </w:r>
      <w:r w:rsidR="003F54D0">
        <w:t>liance</w:t>
      </w:r>
      <w:r w:rsidR="00334F80" w:rsidRPr="00C114AC">
        <w:t xml:space="preserve"> </w:t>
      </w:r>
      <w:r w:rsidRPr="00C114AC">
        <w:t xml:space="preserve">that </w:t>
      </w:r>
      <w:r>
        <w:t>is</w:t>
      </w:r>
      <w:r w:rsidRPr="00C114AC">
        <w:t xml:space="preserve"> </w:t>
      </w:r>
      <w:r>
        <w:t>self-identified and corrected (or adequate corrective actions are planned)</w:t>
      </w:r>
      <w:r w:rsidR="00492777">
        <w:t xml:space="preserve"> through the QAP by a licensee or non-</w:t>
      </w:r>
      <w:proofErr w:type="gramStart"/>
      <w:r w:rsidR="00492777">
        <w:t>licensee</w:t>
      </w:r>
      <w:proofErr w:type="gramEnd"/>
      <w:r w:rsidR="00492777">
        <w:t xml:space="preserve"> and is neither NRC-identified </w:t>
      </w:r>
      <w:r w:rsidR="00AB2D2A">
        <w:t>nor self-revealing</w:t>
      </w:r>
      <w:r w:rsidRPr="00C114AC">
        <w:t xml:space="preserve">. </w:t>
      </w:r>
      <w:r w:rsidR="00F56D5A" w:rsidRPr="0016467C">
        <w:t xml:space="preserve">SCNs include but are not limited to </w:t>
      </w:r>
      <w:r w:rsidR="000709CD">
        <w:t>noncomp</w:t>
      </w:r>
      <w:r w:rsidR="003F54D0">
        <w:t>liance</w:t>
      </w:r>
      <w:r w:rsidR="00F56D5A" w:rsidRPr="0016467C">
        <w:t>s identified and corrected by the licensee or non-</w:t>
      </w:r>
      <w:proofErr w:type="gramStart"/>
      <w:r w:rsidR="00F56D5A" w:rsidRPr="0016467C">
        <w:t>licensee</w:t>
      </w:r>
      <w:proofErr w:type="gramEnd"/>
      <w:r w:rsidR="00F56D5A" w:rsidRPr="00C114AC">
        <w:t xml:space="preserve"> during routine </w:t>
      </w:r>
      <w:r w:rsidR="00F56D5A" w:rsidRPr="00576669">
        <w:t xml:space="preserve">fabrication, manufacturing, or </w:t>
      </w:r>
      <w:r w:rsidRPr="00C114AC">
        <w:t>construction activities</w:t>
      </w:r>
      <w:r w:rsidR="00877082">
        <w:t>;</w:t>
      </w:r>
      <w:r w:rsidRPr="00C114AC">
        <w:t xml:space="preserve"> quality assurance activities including self-assessments, independent assessments, audits, and surveillances</w:t>
      </w:r>
      <w:r w:rsidR="00877082">
        <w:t>;</w:t>
      </w:r>
      <w:r w:rsidR="00AA129B">
        <w:t xml:space="preserve"> p</w:t>
      </w:r>
      <w:r w:rsidRPr="00C114AC">
        <w:t>reoperational testing, hydrostatic testing</w:t>
      </w:r>
      <w:r w:rsidR="00AA129B">
        <w:t xml:space="preserve"> and </w:t>
      </w:r>
      <w:r w:rsidRPr="00C114AC">
        <w:t>nondestructive testing</w:t>
      </w:r>
      <w:r w:rsidR="00180A43">
        <w:t xml:space="preserve">; and </w:t>
      </w:r>
      <w:r w:rsidRPr="00C114AC">
        <w:t>emergency preparedness (EP) drills and critiques conducted by or for the licensee.</w:t>
      </w:r>
    </w:p>
    <w:p w14:paraId="3681BC3F" w14:textId="1BF2631D" w:rsidR="003A6763" w:rsidRDefault="003A6763" w:rsidP="00630B33">
      <w:pPr>
        <w:pStyle w:val="BodyText"/>
        <w:numPr>
          <w:ilvl w:val="0"/>
          <w:numId w:val="8"/>
        </w:numPr>
      </w:pPr>
      <w:r w:rsidRPr="00266389">
        <w:rPr>
          <w:u w:val="single"/>
        </w:rPr>
        <w:t xml:space="preserve">Self-Revealing </w:t>
      </w:r>
      <w:r w:rsidR="000709CD">
        <w:rPr>
          <w:u w:val="single"/>
        </w:rPr>
        <w:t>Noncomp</w:t>
      </w:r>
      <w:r w:rsidR="003F54D0">
        <w:rPr>
          <w:u w:val="single"/>
        </w:rPr>
        <w:t>liance</w:t>
      </w:r>
      <w:r>
        <w:t xml:space="preserve">. </w:t>
      </w:r>
      <w:r w:rsidR="00844B03">
        <w:t xml:space="preserve">A </w:t>
      </w:r>
      <w:r w:rsidR="000709CD">
        <w:t>noncomp</w:t>
      </w:r>
      <w:r w:rsidR="003F54D0">
        <w:t>liance</w:t>
      </w:r>
      <w:r w:rsidR="00844B03">
        <w:t xml:space="preserve"> that becomes self-evident and requires no active and deliberate observation by licensees, non-licensees, or NRC inspectors to determine whether a change in process or equipment capability or function has occurred. Self-revealing </w:t>
      </w:r>
      <w:r w:rsidR="000709CD">
        <w:t>noncomp</w:t>
      </w:r>
      <w:r w:rsidR="003F54D0">
        <w:t>liance</w:t>
      </w:r>
      <w:r w:rsidR="00844B03">
        <w:t xml:space="preserve">s become apparent through a readily detectable degradation in the material condition, capability, or functionality of equipment and require minimal analysis to detect. An example of a self-revealing </w:t>
      </w:r>
      <w:r w:rsidR="000709CD">
        <w:t>noncomp</w:t>
      </w:r>
      <w:r w:rsidR="003F54D0">
        <w:t>liance</w:t>
      </w:r>
      <w:r w:rsidR="00844B03">
        <w:t xml:space="preserve"> is a </w:t>
      </w:r>
      <w:r w:rsidR="000709CD">
        <w:t>noncomp</w:t>
      </w:r>
      <w:r w:rsidR="003F54D0">
        <w:t>liance</w:t>
      </w:r>
      <w:r w:rsidR="00844B03">
        <w:t xml:space="preserve"> with radiography exclusion area requirements that is subsequently identified through an electronic dosimeter alarm.</w:t>
      </w:r>
    </w:p>
    <w:p w14:paraId="12AA940F" w14:textId="536CEF49" w:rsidR="00E379BB" w:rsidRDefault="00B46D1F" w:rsidP="00630B33">
      <w:pPr>
        <w:pStyle w:val="BodyText"/>
        <w:numPr>
          <w:ilvl w:val="0"/>
          <w:numId w:val="8"/>
        </w:numPr>
      </w:pPr>
      <w:r w:rsidRPr="00B46D1F">
        <w:rPr>
          <w:u w:val="single"/>
        </w:rPr>
        <w:t>Technical Assistance Request (TAR)</w:t>
      </w:r>
      <w:r>
        <w:t xml:space="preserve">. </w:t>
      </w:r>
      <w:r w:rsidR="00860B8B">
        <w:t>The TAR process provides a means for NRC inspection staff to request assistance from other NRC organizations when dispositioning inspection issues</w:t>
      </w:r>
      <w:r>
        <w:t>.</w:t>
      </w:r>
      <w:r w:rsidR="00860B8B">
        <w:t xml:space="preserve"> See COM-106, Technical Assistance Request Process, for guidance on initiating and completing TARs.</w:t>
      </w:r>
    </w:p>
    <w:p w14:paraId="32AD8DF6" w14:textId="4C054103" w:rsidR="00CC10F3" w:rsidRDefault="00CA460E" w:rsidP="00630B33">
      <w:pPr>
        <w:pStyle w:val="BodyText"/>
        <w:numPr>
          <w:ilvl w:val="0"/>
          <w:numId w:val="8"/>
        </w:numPr>
      </w:pPr>
      <w:r>
        <w:rPr>
          <w:u w:val="single"/>
        </w:rPr>
        <w:t>Very Low Safety Significance Issue Resolution (V</w:t>
      </w:r>
      <w:r w:rsidR="00F16AAD">
        <w:rPr>
          <w:u w:val="single"/>
        </w:rPr>
        <w:t>L</w:t>
      </w:r>
      <w:r>
        <w:rPr>
          <w:u w:val="single"/>
        </w:rPr>
        <w:t>SSIR</w:t>
      </w:r>
      <w:r w:rsidR="00F16AAD">
        <w:rPr>
          <w:u w:val="single"/>
        </w:rPr>
        <w:t>).</w:t>
      </w:r>
      <w:r w:rsidR="00F16AAD" w:rsidRPr="00CC10F3">
        <w:t xml:space="preserve"> </w:t>
      </w:r>
      <w:r w:rsidR="00C306DA" w:rsidRPr="00B0553D">
        <w:t xml:space="preserve">A process used to discontinue inspection of an issue involving an open question that has ambiguity in the licensing basis, design basis, or </w:t>
      </w:r>
      <w:r w:rsidR="00C306DA">
        <w:t xml:space="preserve">applicability of </w:t>
      </w:r>
      <w:r w:rsidR="00C306DA" w:rsidRPr="00B0553D">
        <w:t xml:space="preserve">regulatory requirements in which: (1) the resolution of the issue would require considerable staff effort; and (2) the agency has chosen to not expend further effort to resolve the question because the issue would be no greater than </w:t>
      </w:r>
      <w:r w:rsidR="00C6134A">
        <w:t>g</w:t>
      </w:r>
      <w:r w:rsidR="00C306DA" w:rsidRPr="00B0553D">
        <w:t xml:space="preserve">reen under the </w:t>
      </w:r>
      <w:r w:rsidR="00C306DA">
        <w:t>ARC</w:t>
      </w:r>
      <w:r w:rsidR="00C306DA" w:rsidRPr="00B0553D">
        <w:t>OP or SL</w:t>
      </w:r>
      <w:r w:rsidR="00093AF8">
        <w:t>-</w:t>
      </w:r>
      <w:r w:rsidR="00C306DA" w:rsidRPr="00B0553D">
        <w:t>IV under the traditional enforcement process, if resolved.</w:t>
      </w:r>
    </w:p>
    <w:p w14:paraId="3782BEB2" w14:textId="77777777" w:rsidR="00D52FFC" w:rsidRDefault="00396C6B" w:rsidP="0085459E">
      <w:pPr>
        <w:pStyle w:val="Heading1"/>
      </w:pPr>
      <w:bookmarkStart w:id="38" w:name="_Toc170874550"/>
      <w:bookmarkStart w:id="39" w:name="_Toc177380768"/>
      <w:bookmarkStart w:id="40" w:name="_Toc206314256"/>
      <w:bookmarkStart w:id="41" w:name="_Toc206315720"/>
      <w:bookmarkStart w:id="42" w:name="_Toc206315823"/>
      <w:bookmarkStart w:id="43" w:name="_Toc293566180"/>
      <w:bookmarkStart w:id="44" w:name="_Toc293566694"/>
      <w:bookmarkStart w:id="45" w:name="_Toc293566736"/>
      <w:bookmarkStart w:id="46" w:name="_Toc450735211"/>
      <w:bookmarkStart w:id="47" w:name="_Toc215583235"/>
      <w:bookmarkStart w:id="48" w:name="_Toc219293592"/>
      <w:r>
        <w:t>2</w:t>
      </w:r>
      <w:r w:rsidR="00314385">
        <w:t>571</w:t>
      </w:r>
      <w:r w:rsidR="005A05EF" w:rsidRPr="008F3F30">
        <w:t>-0</w:t>
      </w:r>
      <w:r w:rsidR="00522A74" w:rsidRPr="008F3F30">
        <w:t>5</w:t>
      </w:r>
      <w:r w:rsidR="005A05EF" w:rsidRPr="008F3F30">
        <w:tab/>
      </w:r>
      <w:r w:rsidR="001D60A1" w:rsidRPr="008F3F30">
        <w:t>RESPONSIBILITIES</w:t>
      </w:r>
      <w:r w:rsidR="00455BA2" w:rsidRPr="008F3F30">
        <w:t xml:space="preserve"> </w:t>
      </w:r>
      <w:r w:rsidR="00126509" w:rsidRPr="008F3F30">
        <w:t>AND</w:t>
      </w:r>
      <w:r w:rsidR="00455BA2" w:rsidRPr="008F3F30">
        <w:t xml:space="preserve"> AUTHORITIES</w:t>
      </w:r>
      <w:bookmarkEnd w:id="38"/>
      <w:bookmarkEnd w:id="39"/>
      <w:bookmarkEnd w:id="40"/>
      <w:bookmarkEnd w:id="41"/>
      <w:bookmarkEnd w:id="42"/>
      <w:bookmarkEnd w:id="43"/>
      <w:bookmarkEnd w:id="44"/>
      <w:bookmarkEnd w:id="45"/>
      <w:bookmarkEnd w:id="46"/>
      <w:bookmarkEnd w:id="47"/>
      <w:bookmarkEnd w:id="48"/>
    </w:p>
    <w:p w14:paraId="7CE93307" w14:textId="2C938A8F" w:rsidR="00CC66A9" w:rsidRDefault="007B6238" w:rsidP="001F2C85">
      <w:pPr>
        <w:pStyle w:val="BodyText2"/>
      </w:pPr>
      <w:bookmarkStart w:id="49" w:name="_Toc293566181"/>
      <w:bookmarkStart w:id="50" w:name="_Toc293566695"/>
      <w:bookmarkStart w:id="51" w:name="_Toc293566737"/>
      <w:bookmarkStart w:id="52" w:name="_Toc450735213"/>
      <w:bookmarkStart w:id="53" w:name="_Toc206314257"/>
      <w:r w:rsidRPr="008F3F30">
        <w:t>0</w:t>
      </w:r>
      <w:r w:rsidR="00522A74" w:rsidRPr="008F3F30">
        <w:t>5</w:t>
      </w:r>
      <w:r w:rsidRPr="008F3F30">
        <w:t>.01</w:t>
      </w:r>
      <w:r w:rsidRPr="008F3F30">
        <w:tab/>
      </w:r>
      <w:r w:rsidRPr="001F2C85">
        <w:rPr>
          <w:u w:val="single"/>
        </w:rPr>
        <w:t>General Responsibilities</w:t>
      </w:r>
      <w:bookmarkEnd w:id="49"/>
      <w:bookmarkEnd w:id="50"/>
      <w:bookmarkEnd w:id="51"/>
      <w:bookmarkEnd w:id="52"/>
    </w:p>
    <w:p w14:paraId="708EC8FA" w14:textId="3E136639" w:rsidR="00B455A6" w:rsidRPr="008F3F30" w:rsidRDefault="00292930" w:rsidP="001F2C85">
      <w:pPr>
        <w:pStyle w:val="BodyText3"/>
      </w:pPr>
      <w:r w:rsidRPr="000F17FC">
        <w:t xml:space="preserve">Each </w:t>
      </w:r>
      <w:r w:rsidR="00EA65D6">
        <w:t xml:space="preserve">ARCOP </w:t>
      </w:r>
      <w:r w:rsidR="000709CD">
        <w:t>noncomp</w:t>
      </w:r>
      <w:r w:rsidR="003F54D0">
        <w:t>liance</w:t>
      </w:r>
      <w:r w:rsidR="00085AAD" w:rsidRPr="000F17FC">
        <w:t xml:space="preserve"> </w:t>
      </w:r>
      <w:r w:rsidRPr="000F17FC">
        <w:t xml:space="preserve">must be </w:t>
      </w:r>
      <w:r w:rsidR="00222926">
        <w:t xml:space="preserve">objectively supported and </w:t>
      </w:r>
      <w:r w:rsidR="00EA65D6">
        <w:t xml:space="preserve">properly </w:t>
      </w:r>
      <w:r w:rsidRPr="000F17FC">
        <w:t>d</w:t>
      </w:r>
      <w:r w:rsidR="00EA65D6">
        <w:t>ispositioned</w:t>
      </w:r>
      <w:r w:rsidR="00CE1E23">
        <w:t xml:space="preserve"> in accordance with the guidance provided in this IMC</w:t>
      </w:r>
      <w:r w:rsidR="00EA65D6">
        <w:t>.</w:t>
      </w:r>
      <w:bookmarkEnd w:id="53"/>
    </w:p>
    <w:p w14:paraId="6D60EDB5" w14:textId="6B2D339A" w:rsidR="005B72E1" w:rsidRDefault="007B6238" w:rsidP="001F2C85">
      <w:pPr>
        <w:pStyle w:val="BodyText2"/>
      </w:pPr>
      <w:bookmarkStart w:id="54" w:name="_Toc206314258"/>
      <w:bookmarkStart w:id="55" w:name="_Toc206315721"/>
      <w:bookmarkStart w:id="56" w:name="_Toc206315824"/>
      <w:bookmarkStart w:id="57" w:name="_Toc293566182"/>
      <w:bookmarkStart w:id="58" w:name="_Toc293566696"/>
      <w:bookmarkStart w:id="59" w:name="_Toc293566738"/>
      <w:bookmarkStart w:id="60" w:name="_Toc450735214"/>
      <w:r w:rsidRPr="008F3F30">
        <w:t>0</w:t>
      </w:r>
      <w:r w:rsidR="00522A74" w:rsidRPr="008F3F30">
        <w:t>5</w:t>
      </w:r>
      <w:r w:rsidRPr="008F3F30">
        <w:t>.02</w:t>
      </w:r>
      <w:r w:rsidR="00431CE8">
        <w:tab/>
      </w:r>
      <w:r w:rsidRPr="008F3F30">
        <w:rPr>
          <w:u w:val="single"/>
        </w:rPr>
        <w:t>Inspectors</w:t>
      </w:r>
      <w:bookmarkEnd w:id="54"/>
      <w:bookmarkEnd w:id="55"/>
      <w:bookmarkEnd w:id="56"/>
      <w:r w:rsidR="005B72E1">
        <w:rPr>
          <w:u w:val="single"/>
        </w:rPr>
        <w:t xml:space="preserve">, </w:t>
      </w:r>
      <w:r w:rsidR="005B72E1">
        <w:rPr>
          <w:rStyle w:val="Heading2Char"/>
          <w:u w:val="single"/>
        </w:rPr>
        <w:t>Inspection</w:t>
      </w:r>
      <w:r w:rsidR="005B72E1" w:rsidRPr="008F3F30">
        <w:rPr>
          <w:rStyle w:val="Heading2Char"/>
          <w:u w:val="single"/>
        </w:rPr>
        <w:t xml:space="preserve"> Branch Chiefs </w:t>
      </w:r>
      <w:r w:rsidR="00431CE8">
        <w:rPr>
          <w:rStyle w:val="Heading2Char"/>
          <w:u w:val="single"/>
        </w:rPr>
        <w:t>and</w:t>
      </w:r>
      <w:r w:rsidR="005B72E1" w:rsidRPr="008F3F30">
        <w:rPr>
          <w:rStyle w:val="Heading2Char"/>
          <w:u w:val="single"/>
        </w:rPr>
        <w:t xml:space="preserve"> Division Directors</w:t>
      </w:r>
      <w:bookmarkEnd w:id="57"/>
      <w:bookmarkEnd w:id="58"/>
      <w:bookmarkEnd w:id="59"/>
      <w:bookmarkEnd w:id="60"/>
    </w:p>
    <w:p w14:paraId="6CF0077A" w14:textId="05D201B5" w:rsidR="005B72E1" w:rsidRPr="0051178C" w:rsidRDefault="005B72E1" w:rsidP="00630B33">
      <w:pPr>
        <w:pStyle w:val="BodyText"/>
        <w:numPr>
          <w:ilvl w:val="0"/>
          <w:numId w:val="9"/>
        </w:numPr>
      </w:pPr>
      <w:r w:rsidRPr="002D1C43">
        <w:t xml:space="preserve">Ensure that </w:t>
      </w:r>
      <w:r w:rsidR="000709CD">
        <w:t>noncomp</w:t>
      </w:r>
      <w:r w:rsidR="003F54D0">
        <w:t>liance</w:t>
      </w:r>
      <w:r>
        <w:t xml:space="preserve">s are dispositioned </w:t>
      </w:r>
      <w:r w:rsidR="0056502B" w:rsidRPr="002D1C43">
        <w:t>consistently</w:t>
      </w:r>
      <w:r w:rsidRPr="002D1C43">
        <w:t xml:space="preserve"> with </w:t>
      </w:r>
      <w:r w:rsidR="00F93A90">
        <w:t>this IMC</w:t>
      </w:r>
      <w:r w:rsidRPr="002D1C43">
        <w:t>,</w:t>
      </w:r>
      <w:r w:rsidR="00F93A90">
        <w:t xml:space="preserve"> th</w:t>
      </w:r>
      <w:r w:rsidR="00F93A90" w:rsidRPr="0051178C">
        <w:t>e Enforcement Policy, and the Enforcement Manual</w:t>
      </w:r>
      <w:r w:rsidR="00F93A90">
        <w:t>.</w:t>
      </w:r>
    </w:p>
    <w:p w14:paraId="5E624622" w14:textId="4078749B" w:rsidR="00AE2BF0" w:rsidRDefault="00EA4604" w:rsidP="00630B33">
      <w:pPr>
        <w:pStyle w:val="BodyText"/>
        <w:numPr>
          <w:ilvl w:val="0"/>
          <w:numId w:val="9"/>
        </w:numPr>
      </w:pPr>
      <w:r w:rsidRPr="008F3F30">
        <w:t xml:space="preserve">Ensure that </w:t>
      </w:r>
      <w:r w:rsidR="000709CD">
        <w:t>noncomp</w:t>
      </w:r>
      <w:r w:rsidR="003F54D0">
        <w:t>liance</w:t>
      </w:r>
      <w:r w:rsidR="00854D7B">
        <w:t>s</w:t>
      </w:r>
      <w:r w:rsidR="003F69BF">
        <w:t xml:space="preserve"> material to </w:t>
      </w:r>
      <w:r w:rsidRPr="008F3F30">
        <w:t xml:space="preserve">ITAAC </w:t>
      </w:r>
      <w:proofErr w:type="gramStart"/>
      <w:r w:rsidR="00103B58" w:rsidRPr="008F3F30">
        <w:t>are</w:t>
      </w:r>
      <w:proofErr w:type="gramEnd"/>
      <w:r w:rsidR="00103B58" w:rsidRPr="008F3F30">
        <w:t xml:space="preserve"> properly screened in </w:t>
      </w:r>
      <w:r w:rsidR="000520DD" w:rsidRPr="008F3F30">
        <w:t xml:space="preserve">the </w:t>
      </w:r>
      <w:r w:rsidR="00103B58" w:rsidRPr="008F3F30">
        <w:t xml:space="preserve">ITAAC </w:t>
      </w:r>
      <w:r w:rsidR="00FA0B50" w:rsidRPr="008F3F30">
        <w:t>maintenance</w:t>
      </w:r>
      <w:r w:rsidR="000520DD" w:rsidRPr="008F3F30">
        <w:t xml:space="preserve"> period </w:t>
      </w:r>
      <w:r w:rsidR="0052530A" w:rsidRPr="008F3F30">
        <w:t>against the established ITAAC mainten</w:t>
      </w:r>
      <w:r w:rsidR="00953CF8" w:rsidRPr="008F3F30">
        <w:t>an</w:t>
      </w:r>
      <w:r w:rsidR="0052530A" w:rsidRPr="008F3F30">
        <w:t>ce thresholds.</w:t>
      </w:r>
      <w:r w:rsidR="009B2338" w:rsidRPr="008F3F30">
        <w:t xml:space="preserve"> </w:t>
      </w:r>
      <w:bookmarkStart w:id="61" w:name="_Toc206314261"/>
      <w:bookmarkStart w:id="62" w:name="_Toc206315723"/>
      <w:bookmarkStart w:id="63" w:name="_Toc206315826"/>
      <w:bookmarkStart w:id="64" w:name="_Toc293566185"/>
      <w:bookmarkStart w:id="65" w:name="_Toc293566699"/>
      <w:bookmarkStart w:id="66" w:name="_Toc293566741"/>
      <w:bookmarkStart w:id="67" w:name="_Toc450735217"/>
    </w:p>
    <w:p w14:paraId="0FC293FD" w14:textId="7C6A344B" w:rsidR="0051178C" w:rsidRDefault="00AE2BF0" w:rsidP="001F2C85">
      <w:pPr>
        <w:pStyle w:val="BodyText2"/>
        <w:rPr>
          <w:u w:val="single"/>
        </w:rPr>
      </w:pPr>
      <w:r>
        <w:t>05.</w:t>
      </w:r>
      <w:r w:rsidR="00431CE8">
        <w:t>03</w:t>
      </w:r>
      <w:r>
        <w:tab/>
      </w:r>
      <w:r>
        <w:rPr>
          <w:u w:val="single"/>
        </w:rPr>
        <w:t>Director, Office of Nuclear Reactor Regulation (NRR)</w:t>
      </w:r>
    </w:p>
    <w:p w14:paraId="688E32EF" w14:textId="77415F65" w:rsidR="00CB737A" w:rsidRDefault="00CB737A" w:rsidP="00006153">
      <w:pPr>
        <w:pStyle w:val="BodyText3"/>
      </w:pPr>
      <w:r w:rsidRPr="00CB737A">
        <w:t xml:space="preserve">Provide overall program direction for the </w:t>
      </w:r>
      <w:r>
        <w:t>ARC</w:t>
      </w:r>
      <w:r w:rsidRPr="00CB737A">
        <w:t xml:space="preserve">OP. </w:t>
      </w:r>
    </w:p>
    <w:p w14:paraId="4C6AD782" w14:textId="7B8052F7" w:rsidR="0099228F" w:rsidRPr="00E40C13" w:rsidRDefault="0099228F" w:rsidP="00344F69">
      <w:pPr>
        <w:pStyle w:val="BodyText2"/>
        <w:keepNext/>
        <w:rPr>
          <w:u w:val="single"/>
        </w:rPr>
      </w:pPr>
      <w:r w:rsidRPr="00E40C13">
        <w:lastRenderedPageBreak/>
        <w:t>05</w:t>
      </w:r>
      <w:r w:rsidR="00D4505F" w:rsidRPr="00E40C13">
        <w:t>.</w:t>
      </w:r>
      <w:r w:rsidR="00431CE8" w:rsidRPr="00E40C13">
        <w:t>04</w:t>
      </w:r>
      <w:r w:rsidR="00D4505F" w:rsidRPr="00E40C13">
        <w:tab/>
      </w:r>
      <w:r w:rsidR="00D4505F" w:rsidRPr="00E40C13">
        <w:rPr>
          <w:u w:val="single"/>
        </w:rPr>
        <w:t>Director, Office of Nuclear Security and Incident Response (</w:t>
      </w:r>
      <w:r w:rsidR="005C39CD" w:rsidRPr="00E40C13">
        <w:rPr>
          <w:u w:val="single"/>
        </w:rPr>
        <w:t>NSIR)</w:t>
      </w:r>
    </w:p>
    <w:p w14:paraId="28449FED" w14:textId="645ADD02" w:rsidR="009F0F6F" w:rsidRPr="001C715B" w:rsidRDefault="000F6B28" w:rsidP="00006153">
      <w:pPr>
        <w:pStyle w:val="BodyText3"/>
      </w:pPr>
      <w:r w:rsidRPr="001C715B">
        <w:t>Provide overall program direction for the security</w:t>
      </w:r>
      <w:r w:rsidR="00037E00" w:rsidRPr="001C715B">
        <w:t xml:space="preserve"> </w:t>
      </w:r>
      <w:r w:rsidR="00B21EAA" w:rsidRPr="001C715B">
        <w:t>aspects</w:t>
      </w:r>
      <w:r w:rsidR="00037E00" w:rsidRPr="001C715B">
        <w:t xml:space="preserve"> of the AR</w:t>
      </w:r>
      <w:r w:rsidR="00B21EAA" w:rsidRPr="001C715B">
        <w:t>C</w:t>
      </w:r>
      <w:r w:rsidRPr="001C715B">
        <w:t>OP.</w:t>
      </w:r>
    </w:p>
    <w:p w14:paraId="1AB3DDBC" w14:textId="06D30A27" w:rsidR="009F0F6F" w:rsidRPr="001C715B" w:rsidRDefault="009F0F6F" w:rsidP="001F2C85">
      <w:pPr>
        <w:pStyle w:val="BodyText2"/>
      </w:pPr>
      <w:bookmarkStart w:id="68" w:name="_Toc269209807"/>
      <w:bookmarkStart w:id="69" w:name="_Toc269210347"/>
      <w:bookmarkStart w:id="70" w:name="_Toc269211670"/>
      <w:bookmarkStart w:id="71" w:name="_Toc269212505"/>
      <w:bookmarkStart w:id="72" w:name="directornro"/>
      <w:r w:rsidRPr="001C715B">
        <w:t>05.0</w:t>
      </w:r>
      <w:r w:rsidR="00F77220" w:rsidRPr="001C715B">
        <w:t>5</w:t>
      </w:r>
      <w:r w:rsidRPr="001C715B">
        <w:tab/>
      </w:r>
      <w:bookmarkEnd w:id="68"/>
      <w:bookmarkEnd w:id="69"/>
      <w:bookmarkEnd w:id="70"/>
      <w:bookmarkEnd w:id="71"/>
      <w:bookmarkEnd w:id="72"/>
      <w:r w:rsidR="001C715B" w:rsidRPr="001C715B">
        <w:rPr>
          <w:u w:val="single"/>
        </w:rPr>
        <w:t>Director, Division of Advanced Reactors and Non-Power Production and Utilization Facilities (DANU) (NRR)</w:t>
      </w:r>
    </w:p>
    <w:p w14:paraId="014E2F25" w14:textId="3A113F73" w:rsidR="009F0F6F" w:rsidRPr="001C715B" w:rsidRDefault="009F0F6F" w:rsidP="00630B33">
      <w:pPr>
        <w:pStyle w:val="BodyText"/>
        <w:numPr>
          <w:ilvl w:val="0"/>
          <w:numId w:val="10"/>
        </w:numPr>
      </w:pPr>
      <w:r w:rsidRPr="001C715B">
        <w:t>Acts as the ARCOP pro</w:t>
      </w:r>
      <w:r w:rsidR="0020064F" w:rsidRPr="001C715B">
        <w:t>gram</w:t>
      </w:r>
      <w:r w:rsidRPr="001C715B">
        <w:t xml:space="preserve"> office director (APO Director)</w:t>
      </w:r>
    </w:p>
    <w:p w14:paraId="2F735A9C" w14:textId="533692DF" w:rsidR="009F0F6F" w:rsidRPr="00E40C13" w:rsidRDefault="009F0F6F" w:rsidP="00630B33">
      <w:pPr>
        <w:pStyle w:val="BodyText"/>
        <w:numPr>
          <w:ilvl w:val="0"/>
          <w:numId w:val="10"/>
        </w:numPr>
      </w:pPr>
      <w:r w:rsidRPr="00E40C13">
        <w:t xml:space="preserve">Responsible for the content of </w:t>
      </w:r>
      <w:r w:rsidR="0014226B" w:rsidRPr="00E40C13">
        <w:t>this IMC.</w:t>
      </w:r>
    </w:p>
    <w:p w14:paraId="7767E70A" w14:textId="3F005B76" w:rsidR="009F0F6F" w:rsidRPr="009F0F6F" w:rsidRDefault="00F77220" w:rsidP="001F2C85">
      <w:pPr>
        <w:pStyle w:val="BodyText2"/>
      </w:pPr>
      <w:bookmarkStart w:id="73" w:name="_Toc269209808"/>
      <w:bookmarkStart w:id="74" w:name="_Toc269210348"/>
      <w:bookmarkStart w:id="75" w:name="_Toc269211671"/>
      <w:bookmarkStart w:id="76" w:name="_Toc269212506"/>
      <w:bookmarkStart w:id="77" w:name="DCIP"/>
      <w:bookmarkStart w:id="78" w:name="_Toc134436060"/>
      <w:r w:rsidRPr="009F2A28">
        <w:t>05.06</w:t>
      </w:r>
      <w:r w:rsidRPr="009F2A28">
        <w:tab/>
      </w:r>
      <w:r w:rsidR="009F0F6F" w:rsidRPr="00E40C13">
        <w:rPr>
          <w:u w:val="single"/>
        </w:rPr>
        <w:t>Chief, Advanced Reactor</w:t>
      </w:r>
      <w:r w:rsidR="009F0F6F" w:rsidRPr="009F0F6F">
        <w:rPr>
          <w:u w:val="single"/>
        </w:rPr>
        <w:t xml:space="preserve"> Policy Branch (UARP)</w:t>
      </w:r>
    </w:p>
    <w:p w14:paraId="68176434" w14:textId="77777777" w:rsidR="009F0F6F" w:rsidRPr="009F0F6F" w:rsidRDefault="009F0F6F" w:rsidP="00630B33">
      <w:pPr>
        <w:pStyle w:val="BodyText"/>
        <w:numPr>
          <w:ilvl w:val="0"/>
          <w:numId w:val="11"/>
        </w:numPr>
      </w:pPr>
      <w:r w:rsidRPr="009F0F6F">
        <w:t>Acts as the APO Branch Chief.</w:t>
      </w:r>
    </w:p>
    <w:p w14:paraId="646C00F8" w14:textId="64733F12" w:rsidR="009F0F6F" w:rsidRPr="009F0F6F" w:rsidRDefault="009F0F6F" w:rsidP="00630B33">
      <w:pPr>
        <w:pStyle w:val="BodyText"/>
        <w:numPr>
          <w:ilvl w:val="0"/>
          <w:numId w:val="11"/>
        </w:numPr>
      </w:pPr>
      <w:r w:rsidRPr="009F0F6F">
        <w:t>Responsible for periodic updates to IMC 257</w:t>
      </w:r>
      <w:r w:rsidR="0014226B">
        <w:t>1</w:t>
      </w:r>
      <w:r w:rsidRPr="009F0F6F">
        <w:t xml:space="preserve"> in accordance with IMC 0040, “Preparation, Revision, Issuance, and Ongoing Oversight of NRC Inspection Manual Documents.”</w:t>
      </w:r>
    </w:p>
    <w:bookmarkEnd w:id="73"/>
    <w:bookmarkEnd w:id="74"/>
    <w:bookmarkEnd w:id="75"/>
    <w:bookmarkEnd w:id="76"/>
    <w:bookmarkEnd w:id="77"/>
    <w:bookmarkEnd w:id="78"/>
    <w:p w14:paraId="2AD87740" w14:textId="562CCA7C" w:rsidR="00FD2727" w:rsidRPr="008F3F30" w:rsidRDefault="005D3C98" w:rsidP="00D14C75">
      <w:pPr>
        <w:pStyle w:val="BodyText2"/>
      </w:pPr>
      <w:r w:rsidRPr="008F3F30">
        <w:t>0</w:t>
      </w:r>
      <w:r w:rsidR="00522A74" w:rsidRPr="008F3F30">
        <w:t>5</w:t>
      </w:r>
      <w:r w:rsidRPr="008F3F30">
        <w:t>.</w:t>
      </w:r>
      <w:r w:rsidR="00F77220">
        <w:t>07</w:t>
      </w:r>
      <w:r w:rsidR="00FD2727" w:rsidRPr="008F3F30">
        <w:tab/>
      </w:r>
      <w:r w:rsidR="00F77220" w:rsidRPr="009F2A28">
        <w:rPr>
          <w:u w:val="single"/>
        </w:rPr>
        <w:t xml:space="preserve">NRR/DANU Staff - </w:t>
      </w:r>
      <w:r w:rsidR="00DF010C" w:rsidRPr="00BE2446">
        <w:rPr>
          <w:u w:val="single"/>
        </w:rPr>
        <w:t>ARCOP</w:t>
      </w:r>
      <w:r w:rsidR="003E2E4A" w:rsidRPr="008F52D2">
        <w:rPr>
          <w:u w:val="single"/>
        </w:rPr>
        <w:t xml:space="preserve"> Program </w:t>
      </w:r>
      <w:bookmarkEnd w:id="61"/>
      <w:bookmarkEnd w:id="62"/>
      <w:bookmarkEnd w:id="63"/>
      <w:bookmarkEnd w:id="64"/>
      <w:bookmarkEnd w:id="65"/>
      <w:bookmarkEnd w:id="66"/>
      <w:bookmarkEnd w:id="67"/>
      <w:r w:rsidR="00D21844" w:rsidRPr="008F52D2">
        <w:rPr>
          <w:u w:val="single"/>
        </w:rPr>
        <w:t>O</w:t>
      </w:r>
      <w:r w:rsidR="00471618">
        <w:rPr>
          <w:u w:val="single"/>
        </w:rPr>
        <w:t>rganization</w:t>
      </w:r>
      <w:r w:rsidR="00D21844" w:rsidRPr="008F52D2">
        <w:rPr>
          <w:u w:val="single"/>
        </w:rPr>
        <w:t xml:space="preserve"> </w:t>
      </w:r>
      <w:r w:rsidR="00244C93" w:rsidRPr="008F52D2">
        <w:rPr>
          <w:u w:val="single"/>
        </w:rPr>
        <w:t>(APO)</w:t>
      </w:r>
    </w:p>
    <w:p w14:paraId="0440BADC" w14:textId="3BFD82C3" w:rsidR="00215CBB" w:rsidRPr="008F3F30" w:rsidRDefault="00312061" w:rsidP="00630B33">
      <w:pPr>
        <w:pStyle w:val="BodyText"/>
        <w:numPr>
          <w:ilvl w:val="0"/>
          <w:numId w:val="12"/>
        </w:numPr>
      </w:pPr>
      <w:r w:rsidRPr="008F3F30">
        <w:t>Provide</w:t>
      </w:r>
      <w:r w:rsidR="00C55E70" w:rsidRPr="008F3F30">
        <w:t xml:space="preserve"> interpretations </w:t>
      </w:r>
      <w:r w:rsidRPr="008F3F30">
        <w:t>and support for</w:t>
      </w:r>
      <w:r w:rsidR="00C55E70" w:rsidRPr="008F3F30">
        <w:t xml:space="preserve"> information contained in this </w:t>
      </w:r>
      <w:r w:rsidRPr="008F3F30">
        <w:t>IMC</w:t>
      </w:r>
      <w:r w:rsidR="00C55E70" w:rsidRPr="008F3F30">
        <w:t>.</w:t>
      </w:r>
    </w:p>
    <w:p w14:paraId="26731829" w14:textId="7B9C2D96" w:rsidR="00292930" w:rsidRPr="008F3F30" w:rsidRDefault="000B63EE" w:rsidP="00630B33">
      <w:pPr>
        <w:pStyle w:val="BodyText"/>
        <w:numPr>
          <w:ilvl w:val="0"/>
          <w:numId w:val="12"/>
        </w:numPr>
      </w:pPr>
      <w:r>
        <w:t>Provide</w:t>
      </w:r>
      <w:r w:rsidRPr="008F3F30">
        <w:t xml:space="preserve"> </w:t>
      </w:r>
      <w:r w:rsidR="00312061" w:rsidRPr="008F3F30">
        <w:t xml:space="preserve">resolution </w:t>
      </w:r>
      <w:r>
        <w:t>for</w:t>
      </w:r>
      <w:r w:rsidRPr="008F3F30">
        <w:t xml:space="preserve"> </w:t>
      </w:r>
      <w:r w:rsidR="00312061" w:rsidRPr="008F3F30">
        <w:t>identified gaps in IMC directions and guidance</w:t>
      </w:r>
      <w:r w:rsidR="001C2050" w:rsidRPr="008F3F30">
        <w:t>.</w:t>
      </w:r>
      <w:bookmarkStart w:id="79" w:name="_Toc293566186"/>
      <w:bookmarkStart w:id="80" w:name="_Toc293566700"/>
      <w:bookmarkStart w:id="81" w:name="_Toc293566742"/>
      <w:bookmarkStart w:id="82" w:name="_Toc450735218"/>
      <w:bookmarkStart w:id="83" w:name="_Toc206314263"/>
      <w:bookmarkStart w:id="84" w:name="_Toc206315725"/>
      <w:bookmarkStart w:id="85" w:name="_Toc206315828"/>
    </w:p>
    <w:p w14:paraId="678ED68D" w14:textId="2AE3F5CC" w:rsidR="00472DF1" w:rsidRPr="00B82668" w:rsidRDefault="00472DF1" w:rsidP="00630B33">
      <w:pPr>
        <w:pStyle w:val="BodyText"/>
        <w:numPr>
          <w:ilvl w:val="0"/>
          <w:numId w:val="12"/>
        </w:numPr>
      </w:pPr>
      <w:r w:rsidRPr="00B82668">
        <w:t xml:space="preserve">Provide guidance </w:t>
      </w:r>
      <w:r w:rsidR="00672454" w:rsidRPr="00B82668">
        <w:t>for issues involving ITAAC maintena</w:t>
      </w:r>
      <w:r w:rsidR="00402E84" w:rsidRPr="00B82668">
        <w:t>n</w:t>
      </w:r>
      <w:r w:rsidR="00672454" w:rsidRPr="00B82668">
        <w:t>ce</w:t>
      </w:r>
      <w:r w:rsidR="00E3259C" w:rsidRPr="00B82668">
        <w:t>.</w:t>
      </w:r>
    </w:p>
    <w:p w14:paraId="5C4DAD67" w14:textId="2E5BC4B7" w:rsidR="00430AE2" w:rsidRDefault="003619CB" w:rsidP="00630B33">
      <w:pPr>
        <w:pStyle w:val="BodyText"/>
        <w:numPr>
          <w:ilvl w:val="0"/>
          <w:numId w:val="12"/>
        </w:numPr>
      </w:pPr>
      <w:r>
        <w:t>Coordinate</w:t>
      </w:r>
      <w:r w:rsidR="003172AB" w:rsidRPr="00BD17E9">
        <w:t xml:space="preserve"> </w:t>
      </w:r>
      <w:r w:rsidR="00BE2446">
        <w:t xml:space="preserve">ARCOP </w:t>
      </w:r>
      <w:r w:rsidR="000709CD">
        <w:t>noncomp</w:t>
      </w:r>
      <w:r w:rsidR="003F54D0">
        <w:t>liance</w:t>
      </w:r>
      <w:r w:rsidR="00BE2446">
        <w:t xml:space="preserve"> </w:t>
      </w:r>
      <w:r w:rsidR="003172AB" w:rsidRPr="00BD17E9">
        <w:t>enforcement so that consistency i</w:t>
      </w:r>
      <w:r w:rsidR="00BD17E9" w:rsidRPr="00BD17E9">
        <w:t xml:space="preserve">s maintained </w:t>
      </w:r>
      <w:r w:rsidR="00867FF4">
        <w:t xml:space="preserve">between </w:t>
      </w:r>
      <w:r w:rsidR="00AB1265">
        <w:t xml:space="preserve">advanced reactor construction </w:t>
      </w:r>
      <w:r w:rsidR="00867FF4">
        <w:t xml:space="preserve">projects </w:t>
      </w:r>
      <w:r w:rsidR="00BD17E9" w:rsidRPr="00BD17E9">
        <w:t xml:space="preserve">across ARCOP cornerstones, </w:t>
      </w:r>
      <w:r w:rsidR="00C921C6">
        <w:t>inspection</w:t>
      </w:r>
      <w:r w:rsidR="00C921C6" w:rsidRPr="00BD17E9">
        <w:t xml:space="preserve"> </w:t>
      </w:r>
      <w:r w:rsidR="00BD17E9" w:rsidRPr="00BD17E9">
        <w:t xml:space="preserve">areas, </w:t>
      </w:r>
      <w:r w:rsidR="00152B30">
        <w:t xml:space="preserve">NRC regional offices, </w:t>
      </w:r>
      <w:r w:rsidR="00BD17E9" w:rsidRPr="00BD17E9">
        <w:t>and inspection organizations.</w:t>
      </w:r>
    </w:p>
    <w:p w14:paraId="5EAC9145" w14:textId="63948391" w:rsidR="004A23A8" w:rsidRPr="000304DB" w:rsidRDefault="004A23A8" w:rsidP="004A23A8">
      <w:pPr>
        <w:pStyle w:val="Heading1"/>
        <w:ind w:left="1260" w:hanging="1260"/>
        <w:rPr>
          <w:highlight w:val="yellow"/>
        </w:rPr>
      </w:pPr>
      <w:bookmarkStart w:id="86" w:name="_Toc215583236"/>
      <w:bookmarkStart w:id="87" w:name="_Toc219293593"/>
      <w:r>
        <w:t>2571</w:t>
      </w:r>
      <w:r w:rsidRPr="008F3F30">
        <w:t>-0</w:t>
      </w:r>
      <w:r>
        <w:t>6</w:t>
      </w:r>
      <w:r w:rsidRPr="008F3F30">
        <w:tab/>
      </w:r>
      <w:r>
        <w:t>REQUIREMENTS</w:t>
      </w:r>
      <w:bookmarkEnd w:id="86"/>
      <w:bookmarkEnd w:id="87"/>
    </w:p>
    <w:p w14:paraId="57DC8A35" w14:textId="55A8A468" w:rsidR="004A23A8" w:rsidRDefault="00CB69E3" w:rsidP="001F2C85">
      <w:pPr>
        <w:pStyle w:val="BodyText2"/>
      </w:pPr>
      <w:r>
        <w:t>06.01</w:t>
      </w:r>
      <w:r>
        <w:tab/>
        <w:t>ARCOP</w:t>
      </w:r>
      <w:r w:rsidRPr="00CB69E3">
        <w:t xml:space="preserve"> </w:t>
      </w:r>
      <w:r w:rsidR="000709CD">
        <w:t>noncomp</w:t>
      </w:r>
      <w:r w:rsidR="003F54D0">
        <w:t>liance</w:t>
      </w:r>
      <w:r w:rsidRPr="00CB69E3">
        <w:t>s</w:t>
      </w:r>
      <w:r w:rsidR="00EA2EF9">
        <w:t xml:space="preserve"> shall be dispositioned in a </w:t>
      </w:r>
      <w:r w:rsidR="00EA2EF9" w:rsidRPr="00EA2EF9">
        <w:t xml:space="preserve">predictable, repeatable, and scrutable </w:t>
      </w:r>
      <w:r w:rsidR="00EA2EF9">
        <w:t>process.</w:t>
      </w:r>
    </w:p>
    <w:p w14:paraId="3B89765C" w14:textId="4E219D65" w:rsidR="00CB69E3" w:rsidRPr="00CB69E3" w:rsidRDefault="00CB69E3" w:rsidP="001F2C85">
      <w:pPr>
        <w:pStyle w:val="BodyText2"/>
      </w:pPr>
      <w:r>
        <w:t>06.02</w:t>
      </w:r>
      <w:r>
        <w:tab/>
      </w:r>
      <w:r w:rsidRPr="00CB69E3">
        <w:t xml:space="preserve">Results of the </w:t>
      </w:r>
      <w:r>
        <w:t xml:space="preserve">disposition of </w:t>
      </w:r>
      <w:r w:rsidRPr="00CB69E3">
        <w:t xml:space="preserve">ARCOP </w:t>
      </w:r>
      <w:r w:rsidR="000709CD">
        <w:t>noncomp</w:t>
      </w:r>
      <w:r w:rsidR="003F54D0">
        <w:t>liance</w:t>
      </w:r>
      <w:r w:rsidRPr="00CB69E3">
        <w:t>s shall be communicated to licensees, manufacturers, project vendors, the public, and other stakeholders.</w:t>
      </w:r>
    </w:p>
    <w:p w14:paraId="6555C137" w14:textId="2AB2305A" w:rsidR="004A23A8" w:rsidRPr="000304DB" w:rsidRDefault="004A23A8" w:rsidP="00CB69E3">
      <w:pPr>
        <w:pStyle w:val="Heading1"/>
        <w:rPr>
          <w:highlight w:val="yellow"/>
        </w:rPr>
      </w:pPr>
      <w:bookmarkStart w:id="88" w:name="_Toc215583237"/>
      <w:bookmarkStart w:id="89" w:name="_Toc219293594"/>
      <w:r>
        <w:t>2571</w:t>
      </w:r>
      <w:r w:rsidRPr="008F3F30">
        <w:t>-0</w:t>
      </w:r>
      <w:r>
        <w:t>7</w:t>
      </w:r>
      <w:r w:rsidRPr="008F3F30">
        <w:tab/>
      </w:r>
      <w:r>
        <w:t>GUIDANCE</w:t>
      </w:r>
      <w:bookmarkEnd w:id="88"/>
      <w:bookmarkEnd w:id="89"/>
    </w:p>
    <w:p w14:paraId="21E73AA9" w14:textId="6931B65E" w:rsidR="00A80526" w:rsidRDefault="00A80526" w:rsidP="004F3AB0">
      <w:pPr>
        <w:pStyle w:val="Heading2"/>
      </w:pPr>
      <w:bookmarkStart w:id="90" w:name="_Toc201917996"/>
      <w:bookmarkStart w:id="91" w:name="_Toc201920073"/>
      <w:bookmarkStart w:id="92" w:name="_Toc204678812"/>
      <w:bookmarkStart w:id="93" w:name="_Toc219293595"/>
      <w:bookmarkStart w:id="94" w:name="_Hlk199336311"/>
      <w:r>
        <w:t>07.01</w:t>
      </w:r>
      <w:r>
        <w:tab/>
      </w:r>
      <w:r w:rsidR="00AD5505" w:rsidRPr="004F3AB0">
        <w:rPr>
          <w:u w:val="single"/>
        </w:rPr>
        <w:t xml:space="preserve">Application of the NRC Enforcement Policy and Enforcement Manual to ARCOP </w:t>
      </w:r>
      <w:r w:rsidR="000709CD">
        <w:rPr>
          <w:u w:val="single"/>
        </w:rPr>
        <w:t>Noncomp</w:t>
      </w:r>
      <w:r w:rsidR="003F54D0" w:rsidRPr="004F3AB0">
        <w:rPr>
          <w:u w:val="single"/>
        </w:rPr>
        <w:t>liance</w:t>
      </w:r>
      <w:r w:rsidR="00AD5505" w:rsidRPr="004F3AB0">
        <w:rPr>
          <w:u w:val="single"/>
        </w:rPr>
        <w:t>s</w:t>
      </w:r>
      <w:bookmarkEnd w:id="90"/>
      <w:bookmarkEnd w:id="91"/>
      <w:bookmarkEnd w:id="92"/>
      <w:bookmarkEnd w:id="93"/>
    </w:p>
    <w:bookmarkEnd w:id="79"/>
    <w:bookmarkEnd w:id="80"/>
    <w:bookmarkEnd w:id="81"/>
    <w:bookmarkEnd w:id="82"/>
    <w:bookmarkEnd w:id="94"/>
    <w:p w14:paraId="78341C8D" w14:textId="2C58A7FF" w:rsidR="00896C4A" w:rsidRDefault="002128C6" w:rsidP="00D14C75">
      <w:pPr>
        <w:pStyle w:val="BodyText3"/>
      </w:pPr>
      <w:r w:rsidRPr="008E307C">
        <w:t xml:space="preserve">The primary guidance for all matters related to </w:t>
      </w:r>
      <w:r w:rsidR="005B0A67" w:rsidRPr="008E307C">
        <w:t xml:space="preserve">dispositioning </w:t>
      </w:r>
      <w:r w:rsidR="000709CD">
        <w:t>noncomp</w:t>
      </w:r>
      <w:r w:rsidR="003F54D0">
        <w:t>liance</w:t>
      </w:r>
      <w:r w:rsidR="005B0A67" w:rsidRPr="008E307C">
        <w:t>s</w:t>
      </w:r>
      <w:r w:rsidR="001B2ECF" w:rsidRPr="008E307C">
        <w:t xml:space="preserve"> </w:t>
      </w:r>
      <w:r w:rsidR="001C3F33" w:rsidRPr="008E307C">
        <w:t xml:space="preserve">is </w:t>
      </w:r>
      <w:r w:rsidR="00586529" w:rsidRPr="008E307C">
        <w:t xml:space="preserve">contained </w:t>
      </w:r>
      <w:r w:rsidR="001C3F33" w:rsidRPr="008E307C">
        <w:t>in</w:t>
      </w:r>
      <w:r w:rsidRPr="008E307C">
        <w:t xml:space="preserve"> the </w:t>
      </w:r>
      <w:r w:rsidR="008705AC" w:rsidRPr="008E307C">
        <w:t>NRC</w:t>
      </w:r>
      <w:r w:rsidRPr="008E307C">
        <w:t xml:space="preserve"> Enforcement Policy and Enforcement Manual. The following discussion </w:t>
      </w:r>
      <w:r w:rsidR="005B0A67" w:rsidRPr="008E307C">
        <w:t xml:space="preserve">provides </w:t>
      </w:r>
      <w:r w:rsidR="005B0A67" w:rsidRPr="00A77B97">
        <w:t>additional details for</w:t>
      </w:r>
      <w:r w:rsidR="00A276CB" w:rsidRPr="00A77B97">
        <w:t xml:space="preserve"> </w:t>
      </w:r>
      <w:r w:rsidR="00A9024F" w:rsidRPr="00A77B97">
        <w:t>application</w:t>
      </w:r>
      <w:r w:rsidRPr="00A77B97">
        <w:t xml:space="preserve"> of that guidance </w:t>
      </w:r>
      <w:r w:rsidR="00A9024F" w:rsidRPr="00A77B97">
        <w:t xml:space="preserve">to ARCOP </w:t>
      </w:r>
      <w:r w:rsidR="000709CD">
        <w:t>noncomp</w:t>
      </w:r>
      <w:r w:rsidR="003F54D0">
        <w:t>liance</w:t>
      </w:r>
      <w:r w:rsidR="00CD4870" w:rsidRPr="00A77B97">
        <w:t>s</w:t>
      </w:r>
      <w:r w:rsidRPr="00A77B97">
        <w:t xml:space="preserve">. </w:t>
      </w:r>
    </w:p>
    <w:p w14:paraId="1A95B2CE" w14:textId="0C77FF72" w:rsidR="00D561AF" w:rsidRDefault="00D561AF" w:rsidP="00D14C75">
      <w:pPr>
        <w:pStyle w:val="BodyText3"/>
      </w:pPr>
      <w:r>
        <w:t xml:space="preserve">The NRC Enforcement Policy lists several entities that are subject to NRC enforcement actions. These include NRC licensees, license applicants, contractors and </w:t>
      </w:r>
      <w:r>
        <w:lastRenderedPageBreak/>
        <w:t xml:space="preserve">subcontractors to NRC licensees, suppliers of safety-related components to NRC licensees, and holders of, and applicants for, various NRC approvals, including quality assurance program (QAP) approvals. </w:t>
      </w:r>
    </w:p>
    <w:p w14:paraId="18A7D87B" w14:textId="6B433369" w:rsidR="00A77B97" w:rsidRPr="00A77B97" w:rsidRDefault="00151563" w:rsidP="00D14C75">
      <w:pPr>
        <w:pStyle w:val="BodyText3"/>
      </w:pPr>
      <w:bookmarkStart w:id="95" w:name="_Toc293566187"/>
      <w:bookmarkStart w:id="96" w:name="_Toc293566701"/>
      <w:bookmarkStart w:id="97" w:name="_Toc293566743"/>
      <w:bookmarkStart w:id="98" w:name="_Toc450735220"/>
      <w:r>
        <w:t>A l</w:t>
      </w:r>
      <w:r w:rsidR="00A77B97" w:rsidRPr="00A77B97">
        <w:t xml:space="preserve">icensee may utilize contractors acting as agents of </w:t>
      </w:r>
      <w:r w:rsidR="001A6DC9">
        <w:t>the</w:t>
      </w:r>
      <w:r w:rsidR="001A6DC9" w:rsidRPr="00A77B97">
        <w:t xml:space="preserve"> </w:t>
      </w:r>
      <w:r w:rsidR="00A77B97" w:rsidRPr="00A77B97">
        <w:t xml:space="preserve">licensee to construct </w:t>
      </w:r>
      <w:r w:rsidR="001A2933">
        <w:t>a</w:t>
      </w:r>
      <w:r w:rsidR="001A2933" w:rsidRPr="00A77B97">
        <w:t xml:space="preserve"> </w:t>
      </w:r>
      <w:r w:rsidR="00A77B97" w:rsidRPr="00A77B97">
        <w:t>facilit</w:t>
      </w:r>
      <w:r w:rsidR="001A2933">
        <w:t>y</w:t>
      </w:r>
      <w:r w:rsidR="00A77B97" w:rsidRPr="00A77B97">
        <w:t>. In Volume 72 of the Federal Register, page 49351 (72 FR 49351), the agency defined the difference between suppliers and contractors performing construction, or the functional equivalent of construction. A supplier provides basic components and does not perform construction as defined in 10 CFR Part 50.10. Most supplier</w:t>
      </w:r>
      <w:r w:rsidR="00A852EC">
        <w:t xml:space="preserve"> oversight </w:t>
      </w:r>
      <w:r w:rsidR="003219EA">
        <w:t xml:space="preserve">is performed </w:t>
      </w:r>
      <w:r w:rsidR="00A77B97" w:rsidRPr="00A77B97">
        <w:t>via the vendor inspection program. Suppliers who manufacture reactors</w:t>
      </w:r>
      <w:r w:rsidR="00473FC0">
        <w:t xml:space="preserve"> or </w:t>
      </w:r>
      <w:r w:rsidR="00A77B97" w:rsidRPr="00A77B97">
        <w:t>significant portions reactor</w:t>
      </w:r>
      <w:r w:rsidR="00473FC0">
        <w:t xml:space="preserve"> plants</w:t>
      </w:r>
      <w:r w:rsidR="007D6B85">
        <w:t xml:space="preserve"> </w:t>
      </w:r>
      <w:r w:rsidR="00F44D34">
        <w:t>in off-site</w:t>
      </w:r>
      <w:r w:rsidR="00B859A2">
        <w:t xml:space="preserve"> </w:t>
      </w:r>
      <w:r w:rsidR="00F44D34">
        <w:t xml:space="preserve">facilities </w:t>
      </w:r>
      <w:r w:rsidR="00B859A2">
        <w:t xml:space="preserve">(i.e., facilities at a site which is not the permanent designated site for reactor plant operations) </w:t>
      </w:r>
      <w:r w:rsidR="007D6B85">
        <w:t>a</w:t>
      </w:r>
      <w:r w:rsidR="00A77B97" w:rsidRPr="00A77B97">
        <w:t xml:space="preserve">re referred to as “manufacturers” in ARCOP IMCs </w:t>
      </w:r>
      <w:r w:rsidR="009471C4">
        <w:t xml:space="preserve">if they hold a manufacturing license (ML), or as “project vendors” if they perform </w:t>
      </w:r>
      <w:r w:rsidR="005B5193">
        <w:t xml:space="preserve">this </w:t>
      </w:r>
      <w:r w:rsidR="009471C4">
        <w:t>work under</w:t>
      </w:r>
      <w:r w:rsidR="00655224">
        <w:t xml:space="preserve"> a contract with an NRC licensee</w:t>
      </w:r>
      <w:r w:rsidR="00FF1D36">
        <w:t xml:space="preserve"> and do not hold an ML</w:t>
      </w:r>
      <w:r w:rsidR="00655224">
        <w:t xml:space="preserve">. </w:t>
      </w:r>
      <w:r w:rsidR="00026232">
        <w:t xml:space="preserve">Manufacturers and project vendors are </w:t>
      </w:r>
      <w:r w:rsidR="00A77B97" w:rsidRPr="00A77B97">
        <w:t>inspected as part of the ARCOP baseline inspection program.</w:t>
      </w:r>
      <w:r w:rsidR="008C71F4">
        <w:t xml:space="preserve"> Enforcement actions for </w:t>
      </w:r>
      <w:r w:rsidR="000709CD">
        <w:t>noncomp</w:t>
      </w:r>
      <w:r w:rsidR="003F54D0">
        <w:t>liance</w:t>
      </w:r>
      <w:r w:rsidR="008C71F4">
        <w:t>s identified at manufacturers</w:t>
      </w:r>
      <w:r w:rsidR="005C4B4D">
        <w:t xml:space="preserve"> or project vendor facilities are typically assigned to the manufacturer or project vendor.</w:t>
      </w:r>
    </w:p>
    <w:p w14:paraId="10FC04A4" w14:textId="36D3DF34" w:rsidR="00660DBF" w:rsidRDefault="00A77B97" w:rsidP="00D14C75">
      <w:pPr>
        <w:pStyle w:val="BodyText3"/>
      </w:pPr>
      <w:r w:rsidRPr="002F278D">
        <w:t>Contractors performing</w:t>
      </w:r>
      <w:r w:rsidR="002F278D" w:rsidRPr="002F278D">
        <w:t xml:space="preserve"> construction, or the functional equivalent of construction, at the permanent site where reactor operation is planned (i.e., “on-site”)</w:t>
      </w:r>
      <w:r w:rsidRPr="002F278D">
        <w:t xml:space="preserve">, do so as agents of a licensee. Inspections of licensee agents are conducted as part of the ARCOP baseline inspection program and related enforcement actions are typically assigned to the licensee, who retains ultimate responsibility for the </w:t>
      </w:r>
      <w:r w:rsidR="00651A36" w:rsidRPr="002F278D">
        <w:t>quality assurance program (</w:t>
      </w:r>
      <w:r w:rsidRPr="002F278D">
        <w:t>QAP</w:t>
      </w:r>
      <w:r w:rsidR="00651A36" w:rsidRPr="002F278D">
        <w:t>)</w:t>
      </w:r>
      <w:r w:rsidRPr="002F278D">
        <w:t>.</w:t>
      </w:r>
      <w:r w:rsidR="00480D58">
        <w:t xml:space="preserve"> </w:t>
      </w:r>
    </w:p>
    <w:p w14:paraId="1F0E8C90" w14:textId="0E5E8BC4" w:rsidR="00600AA5" w:rsidRPr="00B12647" w:rsidRDefault="00600AA5" w:rsidP="00D14C75">
      <w:pPr>
        <w:pStyle w:val="BodyText3"/>
      </w:pPr>
      <w:r w:rsidRPr="00B12647">
        <w:t xml:space="preserve">The NRC expects and encourages licensees and project vendors to identify and correct </w:t>
      </w:r>
      <w:r w:rsidR="000709CD">
        <w:t>noncomp</w:t>
      </w:r>
      <w:r w:rsidR="003F54D0">
        <w:t>liance</w:t>
      </w:r>
      <w:r w:rsidRPr="00B12647">
        <w:t xml:space="preserve">s. The NRC expects </w:t>
      </w:r>
      <w:r w:rsidR="000709CD">
        <w:t>noncomp</w:t>
      </w:r>
      <w:r w:rsidR="003F54D0">
        <w:t>liance</w:t>
      </w:r>
      <w:r w:rsidRPr="00B12647">
        <w:t xml:space="preserve">s to be corrected within a reasonable amount of time after they are identified. Consideration of reasonable timeliness should be based on the </w:t>
      </w:r>
      <w:r w:rsidR="000709CD">
        <w:t>noncomp</w:t>
      </w:r>
      <w:r w:rsidR="003F54D0">
        <w:t>liance</w:t>
      </w:r>
      <w:r w:rsidRPr="00B12647">
        <w:t xml:space="preserve">’s significance and whether the cause of the </w:t>
      </w:r>
      <w:r w:rsidR="000709CD">
        <w:t>noncomp</w:t>
      </w:r>
      <w:r w:rsidR="003F54D0">
        <w:t>liance</w:t>
      </w:r>
      <w:r w:rsidRPr="00B12647">
        <w:t xml:space="preserve"> can adversely impact the fabrication, manufacture or construction of other SSCs. This may include implementation of temporary compensatory measures prior to completing permanent corrective actions. </w:t>
      </w:r>
    </w:p>
    <w:p w14:paraId="7B49822B" w14:textId="03B03DF8" w:rsidR="009E2A72" w:rsidRPr="008E307C" w:rsidRDefault="009E2A72" w:rsidP="00B74183">
      <w:pPr>
        <w:pStyle w:val="Heading2"/>
        <w:rPr>
          <w:rFonts w:cs="Arial"/>
        </w:rPr>
      </w:pPr>
      <w:bookmarkStart w:id="99" w:name="_Toc219293596"/>
      <w:r w:rsidRPr="008E307C">
        <w:rPr>
          <w:rFonts w:cs="Arial"/>
        </w:rPr>
        <w:t>0</w:t>
      </w:r>
      <w:r w:rsidR="007519AC">
        <w:rPr>
          <w:rFonts w:cs="Arial"/>
        </w:rPr>
        <w:t>7</w:t>
      </w:r>
      <w:r w:rsidRPr="008E307C">
        <w:rPr>
          <w:rFonts w:cs="Arial"/>
        </w:rPr>
        <w:t>.</w:t>
      </w:r>
      <w:r w:rsidR="00D4468D" w:rsidRPr="007519AC">
        <w:rPr>
          <w:rFonts w:cs="Arial"/>
        </w:rPr>
        <w:t>0</w:t>
      </w:r>
      <w:r w:rsidR="007519AC" w:rsidRPr="007519AC">
        <w:rPr>
          <w:rFonts w:cs="Arial"/>
        </w:rPr>
        <w:t>2</w:t>
      </w:r>
      <w:r w:rsidRPr="008E307C">
        <w:rPr>
          <w:rFonts w:cs="Arial"/>
        </w:rPr>
        <w:tab/>
      </w:r>
      <w:r w:rsidRPr="007519AC">
        <w:rPr>
          <w:rFonts w:cs="Arial"/>
          <w:u w:val="single"/>
        </w:rPr>
        <w:t xml:space="preserve">Self-identified Construction </w:t>
      </w:r>
      <w:r w:rsidR="000709CD">
        <w:rPr>
          <w:rFonts w:cs="Arial"/>
          <w:u w:val="single"/>
        </w:rPr>
        <w:t>Noncomp</w:t>
      </w:r>
      <w:r w:rsidR="003F54D0">
        <w:rPr>
          <w:rFonts w:cs="Arial"/>
          <w:u w:val="single"/>
        </w:rPr>
        <w:t>liance</w:t>
      </w:r>
      <w:r w:rsidR="00EF7D52" w:rsidRPr="007519AC">
        <w:rPr>
          <w:rFonts w:cs="Arial"/>
          <w:u w:val="single"/>
        </w:rPr>
        <w:t>s</w:t>
      </w:r>
      <w:r w:rsidRPr="007519AC">
        <w:rPr>
          <w:rFonts w:cs="Arial"/>
          <w:u w:val="single"/>
        </w:rPr>
        <w:t xml:space="preserve"> (SCN</w:t>
      </w:r>
      <w:r w:rsidR="00EF7D52" w:rsidRPr="007519AC">
        <w:rPr>
          <w:rFonts w:cs="Arial"/>
          <w:u w:val="single"/>
        </w:rPr>
        <w:t>s</w:t>
      </w:r>
      <w:r w:rsidRPr="007519AC">
        <w:rPr>
          <w:rFonts w:cs="Arial"/>
          <w:u w:val="single"/>
        </w:rPr>
        <w:t>)</w:t>
      </w:r>
      <w:bookmarkEnd w:id="99"/>
    </w:p>
    <w:p w14:paraId="5DE0ED08" w14:textId="3E4C9F5F" w:rsidR="00EE2BE6" w:rsidRPr="00D34983" w:rsidRDefault="006F50DE" w:rsidP="00D14C75">
      <w:pPr>
        <w:pStyle w:val="BodyText3"/>
      </w:pPr>
      <w:r>
        <w:t>S</w:t>
      </w:r>
      <w:r w:rsidR="00C32B7D" w:rsidRPr="00D34983">
        <w:t xml:space="preserve">ince </w:t>
      </w:r>
      <w:r w:rsidR="008C301D" w:rsidRPr="00D34983">
        <w:t xml:space="preserve">self-identified and corrected </w:t>
      </w:r>
      <w:r w:rsidR="00CD4284" w:rsidRPr="00D34983">
        <w:t xml:space="preserve">construction </w:t>
      </w:r>
      <w:r w:rsidR="000709CD">
        <w:t>noncomp</w:t>
      </w:r>
      <w:r w:rsidR="003F54D0">
        <w:t>liance</w:t>
      </w:r>
      <w:r w:rsidR="00CD4284" w:rsidRPr="00D34983">
        <w:t>s pose</w:t>
      </w:r>
      <w:r w:rsidR="00C32B7D" w:rsidRPr="00D34983">
        <w:t xml:space="preserve"> no </w:t>
      </w:r>
      <w:r w:rsidR="00BF660E" w:rsidRPr="00D34983">
        <w:t xml:space="preserve">radiological </w:t>
      </w:r>
      <w:r w:rsidR="00C32B7D" w:rsidRPr="00D34983">
        <w:t>risk to public health and safety</w:t>
      </w:r>
      <w:r w:rsidR="00CD4EC5" w:rsidRPr="00D34983">
        <w:t>, they</w:t>
      </w:r>
      <w:r w:rsidR="00EE2BE6" w:rsidRPr="00D34983">
        <w:t xml:space="preserve"> are </w:t>
      </w:r>
      <w:r w:rsidR="000F6C3A" w:rsidRPr="00D34983">
        <w:t xml:space="preserve">classified as minor </w:t>
      </w:r>
      <w:r w:rsidR="000709CD">
        <w:t>noncomp</w:t>
      </w:r>
      <w:r w:rsidR="003F54D0">
        <w:t>liance</w:t>
      </w:r>
      <w:r w:rsidR="000F6C3A" w:rsidRPr="00D34983">
        <w:t>s</w:t>
      </w:r>
      <w:r w:rsidR="003F13FC" w:rsidRPr="00D34983">
        <w:t>,</w:t>
      </w:r>
      <w:r w:rsidR="000F6C3A" w:rsidRPr="00D34983">
        <w:t xml:space="preserve"> which are </w:t>
      </w:r>
      <w:r w:rsidR="00EE2BE6" w:rsidRPr="00D34983">
        <w:t xml:space="preserve">not </w:t>
      </w:r>
      <w:r w:rsidR="00580727" w:rsidRPr="00D34983">
        <w:t xml:space="preserve">typically </w:t>
      </w:r>
      <w:r w:rsidR="00EE2BE6" w:rsidRPr="00D34983">
        <w:t xml:space="preserve">documented or subject to </w:t>
      </w:r>
      <w:r w:rsidR="000F6C3A" w:rsidRPr="00D34983">
        <w:t xml:space="preserve">formal </w:t>
      </w:r>
      <w:r w:rsidR="00EE2BE6" w:rsidRPr="00D34983">
        <w:t>NRC enforcement</w:t>
      </w:r>
      <w:r w:rsidR="003E4A34" w:rsidRPr="00D34983">
        <w:t xml:space="preserve">. These </w:t>
      </w:r>
      <w:r w:rsidR="000709CD">
        <w:t>noncomp</w:t>
      </w:r>
      <w:r w:rsidR="003F54D0">
        <w:t>liance</w:t>
      </w:r>
      <w:r w:rsidR="003E4A34" w:rsidRPr="00D34983">
        <w:t xml:space="preserve">s are referred to as “self-identified construction </w:t>
      </w:r>
      <w:r w:rsidR="000709CD">
        <w:t>noncomp</w:t>
      </w:r>
      <w:r w:rsidR="003F54D0">
        <w:t>liance</w:t>
      </w:r>
      <w:r w:rsidR="003E4A34" w:rsidRPr="00D34983">
        <w:t>s</w:t>
      </w:r>
      <w:r w:rsidR="008B3882" w:rsidRPr="00D34983">
        <w:t>,</w:t>
      </w:r>
      <w:r w:rsidR="003E4A34" w:rsidRPr="00D34983">
        <w:t>”</w:t>
      </w:r>
      <w:r w:rsidR="008B3882" w:rsidRPr="00D34983">
        <w:t xml:space="preserve"> or SCNs,</w:t>
      </w:r>
      <w:r w:rsidR="00EE2BE6" w:rsidRPr="00D34983">
        <w:t xml:space="preserve"> provided the following conditions are satisfied:</w:t>
      </w:r>
    </w:p>
    <w:p w14:paraId="4752ED7F" w14:textId="125FEA4C" w:rsidR="00DB21BB" w:rsidRPr="008E307C" w:rsidRDefault="007068FB" w:rsidP="00630B33">
      <w:pPr>
        <w:pStyle w:val="BodyText"/>
        <w:numPr>
          <w:ilvl w:val="0"/>
          <w:numId w:val="13"/>
        </w:numPr>
      </w:pPr>
      <w:r>
        <w:t>T</w:t>
      </w:r>
      <w:r w:rsidR="00FC23CE" w:rsidRPr="008E307C">
        <w:t xml:space="preserve">he </w:t>
      </w:r>
      <w:r w:rsidR="000709CD">
        <w:t>noncomp</w:t>
      </w:r>
      <w:r w:rsidR="003F54D0">
        <w:t>liance</w:t>
      </w:r>
      <w:r w:rsidR="00DB21BB" w:rsidRPr="008E307C">
        <w:t xml:space="preserve"> </w:t>
      </w:r>
      <w:r w:rsidR="003851DC" w:rsidRPr="008E307C">
        <w:t>is</w:t>
      </w:r>
      <w:r w:rsidR="00DB21BB" w:rsidRPr="008E307C">
        <w:t xml:space="preserve"> self-identified</w:t>
      </w:r>
      <w:r w:rsidR="00F07BCC">
        <w:t>.</w:t>
      </w:r>
    </w:p>
    <w:p w14:paraId="4FF5901A" w14:textId="49E67A86" w:rsidR="003D60C2" w:rsidRDefault="007068FB" w:rsidP="00630B33">
      <w:pPr>
        <w:pStyle w:val="BodyText"/>
        <w:numPr>
          <w:ilvl w:val="0"/>
          <w:numId w:val="13"/>
        </w:numPr>
      </w:pPr>
      <w:r>
        <w:t>T</w:t>
      </w:r>
      <w:r w:rsidRPr="008E307C">
        <w:t xml:space="preserve">he </w:t>
      </w:r>
      <w:r w:rsidR="000709CD">
        <w:t>noncomp</w:t>
      </w:r>
      <w:r w:rsidR="003F54D0">
        <w:t>liance</w:t>
      </w:r>
      <w:r w:rsidR="003D60C2">
        <w:t xml:space="preserve"> has been </w:t>
      </w:r>
      <w:proofErr w:type="gramStart"/>
      <w:r w:rsidR="00020D1F">
        <w:t>dispositioned</w:t>
      </w:r>
      <w:proofErr w:type="gramEnd"/>
      <w:r w:rsidR="00020D1F">
        <w:t xml:space="preserve"> in accordance with</w:t>
      </w:r>
      <w:r w:rsidR="003D60C2">
        <w:t xml:space="preserve"> the licensee’s or </w:t>
      </w:r>
      <w:r w:rsidR="00BF660E">
        <w:t>project vendor’s</w:t>
      </w:r>
      <w:r w:rsidR="003D60C2">
        <w:t xml:space="preserve"> </w:t>
      </w:r>
      <w:r w:rsidR="009E363A">
        <w:t>QAP procedures</w:t>
      </w:r>
      <w:r w:rsidR="00F07BCC">
        <w:t>.</w:t>
      </w:r>
      <w:r w:rsidR="00A66B1E">
        <w:t xml:space="preserve"> </w:t>
      </w:r>
      <w:r w:rsidR="00DC708C">
        <w:t xml:space="preserve">In some cases, </w:t>
      </w:r>
      <w:r w:rsidR="000709CD">
        <w:t>noncomp</w:t>
      </w:r>
      <w:r w:rsidR="003F54D0">
        <w:t>liance</w:t>
      </w:r>
      <w:r w:rsidR="00273AE8">
        <w:t>s may be</w:t>
      </w:r>
      <w:r w:rsidR="002F5AA8">
        <w:t xml:space="preserve"> self-</w:t>
      </w:r>
      <w:r w:rsidR="00273AE8">
        <w:t xml:space="preserve">identified and </w:t>
      </w:r>
      <w:r w:rsidR="002F5AA8">
        <w:t xml:space="preserve">corrected immediately without entering the issue into </w:t>
      </w:r>
      <w:r w:rsidR="00B17F89">
        <w:t>a</w:t>
      </w:r>
      <w:r w:rsidR="002F5AA8">
        <w:t xml:space="preserve"> corrective action tracking process. This may be appropriate </w:t>
      </w:r>
      <w:r w:rsidR="00B17F89">
        <w:t xml:space="preserve">depending on </w:t>
      </w:r>
      <w:r w:rsidR="000513D7">
        <w:t xml:space="preserve">the </w:t>
      </w:r>
      <w:r w:rsidR="00B17F89">
        <w:t xml:space="preserve">activity affected and the safety-significance of the </w:t>
      </w:r>
      <w:proofErr w:type="gramStart"/>
      <w:r w:rsidR="000709CD">
        <w:t>noncomp</w:t>
      </w:r>
      <w:r w:rsidR="003F54D0">
        <w:t>liance</w:t>
      </w:r>
      <w:proofErr w:type="gramEnd"/>
      <w:r w:rsidR="00B17F89">
        <w:t>. In general, if workers follow the appropriate QA</w:t>
      </w:r>
      <w:r w:rsidR="00DB5BCC">
        <w:t>P</w:t>
      </w:r>
      <w:r w:rsidR="00B17F89">
        <w:t xml:space="preserve"> procedures for dispositioning </w:t>
      </w:r>
      <w:r w:rsidR="000709CD">
        <w:t>noncomp</w:t>
      </w:r>
      <w:r w:rsidR="003F54D0">
        <w:t>liance</w:t>
      </w:r>
      <w:r w:rsidR="00B17F89">
        <w:t xml:space="preserve">s, </w:t>
      </w:r>
      <w:r w:rsidR="00DB5BCC">
        <w:t xml:space="preserve">and those QAP procedures meet </w:t>
      </w:r>
      <w:r w:rsidR="00446964">
        <w:t xml:space="preserve">approved </w:t>
      </w:r>
      <w:r w:rsidR="00DB5BCC">
        <w:t xml:space="preserve">QAP </w:t>
      </w:r>
      <w:r w:rsidR="00446964">
        <w:t xml:space="preserve">description </w:t>
      </w:r>
      <w:r w:rsidR="001E72A7">
        <w:t>require</w:t>
      </w:r>
      <w:r w:rsidR="00DB5BCC">
        <w:t xml:space="preserve">ments, </w:t>
      </w:r>
      <w:r w:rsidR="00B17F89">
        <w:t xml:space="preserve">then </w:t>
      </w:r>
      <w:r w:rsidR="000513D7">
        <w:t>this criterion is met</w:t>
      </w:r>
      <w:r w:rsidR="00B17F89">
        <w:t xml:space="preserve">. </w:t>
      </w:r>
    </w:p>
    <w:p w14:paraId="591584AC" w14:textId="0C286EDD" w:rsidR="00822865" w:rsidRDefault="000513D7" w:rsidP="00630B33">
      <w:pPr>
        <w:pStyle w:val="BodyText"/>
        <w:numPr>
          <w:ilvl w:val="0"/>
          <w:numId w:val="13"/>
        </w:numPr>
      </w:pPr>
      <w:r>
        <w:lastRenderedPageBreak/>
        <w:t>T</w:t>
      </w:r>
      <w:r w:rsidR="00FB750D">
        <w:t xml:space="preserve">he licensee or </w:t>
      </w:r>
      <w:r w:rsidR="00DC7F0D">
        <w:t>project vendor</w:t>
      </w:r>
      <w:r w:rsidR="00FB750D">
        <w:t xml:space="preserve"> has </w:t>
      </w:r>
      <w:r w:rsidR="006C23DB">
        <w:t xml:space="preserve">adequately </w:t>
      </w:r>
      <w:r w:rsidR="002329B3">
        <w:t xml:space="preserve">corrected the </w:t>
      </w:r>
      <w:r w:rsidR="000709CD">
        <w:t>noncomp</w:t>
      </w:r>
      <w:r w:rsidR="003F54D0">
        <w:t>liance</w:t>
      </w:r>
      <w:r w:rsidR="00C1743F">
        <w:t>,</w:t>
      </w:r>
      <w:r w:rsidR="00B054CA">
        <w:t xml:space="preserve"> </w:t>
      </w:r>
      <w:r w:rsidR="00910B44">
        <w:t xml:space="preserve">or </w:t>
      </w:r>
      <w:r w:rsidR="002329B3">
        <w:t xml:space="preserve">has </w:t>
      </w:r>
      <w:r w:rsidR="00FB750D">
        <w:t xml:space="preserve">developed or is developing </w:t>
      </w:r>
      <w:r w:rsidR="00C15EB3">
        <w:t xml:space="preserve">appropriate </w:t>
      </w:r>
      <w:r w:rsidR="00FB750D">
        <w:t xml:space="preserve">corrective actions, </w:t>
      </w:r>
      <w:r w:rsidR="004724F0">
        <w:t>and these corrective actions are appropriately planned and tracked</w:t>
      </w:r>
      <w:r w:rsidR="00C1743F">
        <w:t xml:space="preserve"> in accordance with site</w:t>
      </w:r>
      <w:r w:rsidR="00CF179D">
        <w:t xml:space="preserve"> QAP</w:t>
      </w:r>
      <w:r w:rsidR="00C1743F">
        <w:t xml:space="preserve"> procedures</w:t>
      </w:r>
      <w:r w:rsidR="00822865">
        <w:t>.</w:t>
      </w:r>
    </w:p>
    <w:p w14:paraId="4D42AE8C" w14:textId="40C05EE1" w:rsidR="00822865" w:rsidRDefault="00822865" w:rsidP="00630B33">
      <w:pPr>
        <w:pStyle w:val="BodyText"/>
        <w:numPr>
          <w:ilvl w:val="0"/>
          <w:numId w:val="13"/>
        </w:numPr>
      </w:pPr>
      <w:r>
        <w:t xml:space="preserve">The </w:t>
      </w:r>
      <w:r w:rsidR="000709CD">
        <w:t>noncomp</w:t>
      </w:r>
      <w:r w:rsidR="003F54D0">
        <w:t>liance</w:t>
      </w:r>
      <w:r>
        <w:t xml:space="preserve"> is not associated with </w:t>
      </w:r>
      <w:r w:rsidR="00157B22">
        <w:t>traditional enforcement (</w:t>
      </w:r>
      <w:r>
        <w:t>TE</w:t>
      </w:r>
      <w:r w:rsidR="00157B22">
        <w:t>)</w:t>
      </w:r>
      <w:r>
        <w:t xml:space="preserve"> in that it does </w:t>
      </w:r>
      <w:r w:rsidR="00523DFE">
        <w:t xml:space="preserve">not </w:t>
      </w:r>
      <w:r>
        <w:t>include any of the following:</w:t>
      </w:r>
    </w:p>
    <w:p w14:paraId="6D4728DA" w14:textId="7BEED2DF" w:rsidR="0046739E" w:rsidRDefault="008A5E49" w:rsidP="00630B33">
      <w:pPr>
        <w:pStyle w:val="BodyText"/>
        <w:numPr>
          <w:ilvl w:val="1"/>
          <w:numId w:val="13"/>
        </w:numPr>
      </w:pPr>
      <w:r>
        <w:t xml:space="preserve">an </w:t>
      </w:r>
      <w:r w:rsidR="00822865">
        <w:t>actual safety or security consequence</w:t>
      </w:r>
      <w:r w:rsidR="00523DFE">
        <w:t xml:space="preserve">, </w:t>
      </w:r>
      <w:r w:rsidR="004D28D8">
        <w:t>or</w:t>
      </w:r>
    </w:p>
    <w:p w14:paraId="74451062" w14:textId="77777777" w:rsidR="000758FD" w:rsidRDefault="00822865" w:rsidP="00630B33">
      <w:pPr>
        <w:pStyle w:val="BodyText"/>
        <w:numPr>
          <w:ilvl w:val="1"/>
          <w:numId w:val="13"/>
        </w:numPr>
      </w:pPr>
      <w:r>
        <w:t>an issue that impacted the NRC’s ability</w:t>
      </w:r>
      <w:r w:rsidR="00523DFE">
        <w:t xml:space="preserve"> to perform its regulatory oversight function, or</w:t>
      </w:r>
    </w:p>
    <w:p w14:paraId="23A7D9AE" w14:textId="641A4DE4" w:rsidR="000758FD" w:rsidRPr="000758FD" w:rsidRDefault="003E4A4E" w:rsidP="00630B33">
      <w:pPr>
        <w:pStyle w:val="BodyText"/>
        <w:numPr>
          <w:ilvl w:val="1"/>
          <w:numId w:val="13"/>
        </w:numPr>
      </w:pPr>
      <w:r w:rsidRPr="000758FD">
        <w:rPr>
          <w:rFonts w:eastAsiaTheme="majorEastAsia" w:cstheme="majorBidi"/>
        </w:rPr>
        <w:t xml:space="preserve">a </w:t>
      </w:r>
      <w:r w:rsidR="000709CD">
        <w:rPr>
          <w:rFonts w:eastAsiaTheme="majorEastAsia" w:cstheme="majorBidi"/>
        </w:rPr>
        <w:t>noncomp</w:t>
      </w:r>
      <w:r w:rsidR="003F54D0">
        <w:rPr>
          <w:rFonts w:eastAsiaTheme="majorEastAsia" w:cstheme="majorBidi"/>
        </w:rPr>
        <w:t>liance</w:t>
      </w:r>
      <w:r w:rsidRPr="000758FD">
        <w:rPr>
          <w:rFonts w:eastAsiaTheme="majorEastAsia" w:cstheme="majorBidi"/>
        </w:rPr>
        <w:t xml:space="preserve"> that is a violation and is not associated with an ARCOP finding, or</w:t>
      </w:r>
    </w:p>
    <w:p w14:paraId="68D426A9" w14:textId="2FD1CEC5" w:rsidR="004D5299" w:rsidRDefault="00F961F9" w:rsidP="00630B33">
      <w:pPr>
        <w:pStyle w:val="BodyText"/>
        <w:numPr>
          <w:ilvl w:val="1"/>
          <w:numId w:val="13"/>
        </w:numPr>
      </w:pPr>
      <w:r>
        <w:t xml:space="preserve">an issue that involves potential </w:t>
      </w:r>
      <w:r w:rsidR="00523DFE">
        <w:t>willfulness.</w:t>
      </w:r>
    </w:p>
    <w:p w14:paraId="51E3A806" w14:textId="5971CC13" w:rsidR="00E727AE" w:rsidRDefault="00292A76" w:rsidP="00FD2999">
      <w:pPr>
        <w:pStyle w:val="Heading2"/>
      </w:pPr>
      <w:bookmarkStart w:id="100" w:name="_Toc219293597"/>
      <w:r>
        <w:t>0</w:t>
      </w:r>
      <w:r w:rsidR="00E10B33">
        <w:t>7</w:t>
      </w:r>
      <w:r>
        <w:t>.</w:t>
      </w:r>
      <w:r w:rsidR="00225733">
        <w:t>0</w:t>
      </w:r>
      <w:r w:rsidR="00E10B33">
        <w:t>3</w:t>
      </w:r>
      <w:r>
        <w:tab/>
      </w:r>
      <w:r w:rsidR="002B5C71" w:rsidRPr="00E10B33">
        <w:rPr>
          <w:u w:val="single"/>
        </w:rPr>
        <w:t xml:space="preserve">Findings </w:t>
      </w:r>
      <w:r w:rsidR="00B6709E" w:rsidRPr="00E10B33">
        <w:rPr>
          <w:u w:val="single"/>
        </w:rPr>
        <w:t>Material to the Acceptance Criteria of</w:t>
      </w:r>
      <w:r w:rsidRPr="00E10B33">
        <w:rPr>
          <w:u w:val="single"/>
        </w:rPr>
        <w:t xml:space="preserve"> ITAAC</w:t>
      </w:r>
      <w:bookmarkEnd w:id="100"/>
    </w:p>
    <w:p w14:paraId="62157FA2" w14:textId="6F96D528" w:rsidR="00C421BE" w:rsidRDefault="00ED0FFC" w:rsidP="00D14C75">
      <w:pPr>
        <w:pStyle w:val="BodyText3"/>
      </w:pPr>
      <w:r>
        <w:t>Findings</w:t>
      </w:r>
      <w:r w:rsidR="002B5C71">
        <w:t xml:space="preserve"> </w:t>
      </w:r>
      <w:r w:rsidR="00195E33">
        <w:t xml:space="preserve">that are material to ITAAC acceptance criteria are </w:t>
      </w:r>
      <w:r w:rsidR="000709CD">
        <w:t>noncomp</w:t>
      </w:r>
      <w:r w:rsidR="003F54D0">
        <w:t>liance</w:t>
      </w:r>
      <w:r>
        <w:t xml:space="preserve">s </w:t>
      </w:r>
      <w:r w:rsidR="00195E33">
        <w:t xml:space="preserve">that </w:t>
      </w:r>
      <w:r>
        <w:t xml:space="preserve">are of more-than-minor significance and </w:t>
      </w:r>
      <w:r w:rsidR="00195E33">
        <w:t xml:space="preserve">prevent the ITAAC acceptance criteria from being met, or that invalidate the inspections, tests, or analyses </w:t>
      </w:r>
      <w:r w:rsidR="002D3D8A">
        <w:t xml:space="preserve">upon </w:t>
      </w:r>
      <w:r w:rsidR="00195E33">
        <w:t xml:space="preserve">which the ITAAC completion determination is based. </w:t>
      </w:r>
      <w:r w:rsidR="005C479C">
        <w:t>Findings</w:t>
      </w:r>
      <w:r w:rsidR="00680B45">
        <w:t xml:space="preserve"> that are material to ITAAC acceptance criteri</w:t>
      </w:r>
      <w:r w:rsidR="006425E4">
        <w:t>a</w:t>
      </w:r>
      <w:r w:rsidR="00680B45">
        <w:t xml:space="preserve"> are </w:t>
      </w:r>
      <w:r w:rsidR="00F1689B">
        <w:t>identified</w:t>
      </w:r>
      <w:r w:rsidR="00680B45">
        <w:t xml:space="preserve"> in inspection reports and tracked to aid </w:t>
      </w:r>
      <w:r w:rsidR="008705AC">
        <w:t>NRC</w:t>
      </w:r>
      <w:r w:rsidR="00680B45">
        <w:t xml:space="preserve"> staff in ensuring that they have been corrected prior to the </w:t>
      </w:r>
      <w:r w:rsidR="005A09E0">
        <w:t>“</w:t>
      </w:r>
      <w:r w:rsidR="00FF0214">
        <w:t>A</w:t>
      </w:r>
      <w:r w:rsidR="005A09E0">
        <w:t xml:space="preserve">ll ITAAC </w:t>
      </w:r>
      <w:r w:rsidR="00FF0214">
        <w:t>C</w:t>
      </w:r>
      <w:r w:rsidR="005A09E0">
        <w:t>omplete</w:t>
      </w:r>
      <w:r w:rsidR="00FF0214">
        <w:t xml:space="preserve"> Notification</w:t>
      </w:r>
      <w:r w:rsidR="005A09E0">
        <w:t>”</w:t>
      </w:r>
      <w:r w:rsidR="00FF0214">
        <w:t xml:space="preserve"> pursuant to 10 CFR 52.</w:t>
      </w:r>
      <w:r w:rsidR="002F1390">
        <w:t>99(c)(4)</w:t>
      </w:r>
      <w:r w:rsidR="005A09E0">
        <w:t xml:space="preserve"> </w:t>
      </w:r>
      <w:r w:rsidR="002F1390">
        <w:t xml:space="preserve">and the issuance of the </w:t>
      </w:r>
      <w:r w:rsidR="00F17C3D">
        <w:t>52.</w:t>
      </w:r>
      <w:r w:rsidR="00680B45">
        <w:t>103(g) finding</w:t>
      </w:r>
      <w:r w:rsidR="00C36F43">
        <w:t>.</w:t>
      </w:r>
      <w:r w:rsidR="00AE4C1D">
        <w:t xml:space="preserve"> </w:t>
      </w:r>
      <w:r w:rsidR="00C421BE">
        <w:t xml:space="preserve">NOVs or NCVs </w:t>
      </w:r>
      <w:r w:rsidR="00FB0DA8">
        <w:t>associated with</w:t>
      </w:r>
      <w:r w:rsidR="000434D0">
        <w:t xml:space="preserve"> findings material </w:t>
      </w:r>
      <w:r w:rsidR="00C421BE">
        <w:t xml:space="preserve">to an ITAAC </w:t>
      </w:r>
      <w:r w:rsidR="00471B30">
        <w:t xml:space="preserve">are no longer material to the ITAAC when </w:t>
      </w:r>
      <w:r w:rsidR="00C22522">
        <w:t xml:space="preserve">the </w:t>
      </w:r>
      <w:r w:rsidR="007C02EC">
        <w:t>acceptance criteria of the ITAAC are met.</w:t>
      </w:r>
      <w:r w:rsidR="00980466">
        <w:t xml:space="preserve"> </w:t>
      </w:r>
    </w:p>
    <w:p w14:paraId="62AF4B2C" w14:textId="079A973E" w:rsidR="00F42DEA" w:rsidRPr="0086781E" w:rsidRDefault="00F61381" w:rsidP="00AD2AAD">
      <w:pPr>
        <w:pStyle w:val="Heading2"/>
      </w:pPr>
      <w:bookmarkStart w:id="101" w:name="_Toc219293598"/>
      <w:r>
        <w:t>0</w:t>
      </w:r>
      <w:r w:rsidR="00AD2AAD">
        <w:t>7</w:t>
      </w:r>
      <w:r>
        <w:t>.0</w:t>
      </w:r>
      <w:r w:rsidR="00C5642D">
        <w:t>4</w:t>
      </w:r>
      <w:r w:rsidRPr="0086781E">
        <w:tab/>
      </w:r>
      <w:r w:rsidR="00F42DEA" w:rsidRPr="00AD2AAD">
        <w:rPr>
          <w:u w:val="single"/>
        </w:rPr>
        <w:t>Very Low Safety Significance Issue Resolution (VLSSIR)</w:t>
      </w:r>
      <w:bookmarkEnd w:id="101"/>
    </w:p>
    <w:p w14:paraId="367B8287" w14:textId="15873E3C" w:rsidR="00B57E40" w:rsidRPr="00262E6C" w:rsidRDefault="002235ED" w:rsidP="00D14C75">
      <w:pPr>
        <w:pStyle w:val="BodyText3"/>
      </w:pPr>
      <w:r w:rsidRPr="00262E6C">
        <w:t>The VLSSIR process is used to determine if NRC review of an advanced power reactor construction issue should be discontinued. This includes inspection, screening, and</w:t>
      </w:r>
      <w:r w:rsidRPr="0086781E">
        <w:t xml:space="preserve"> evaluation of </w:t>
      </w:r>
      <w:r>
        <w:t xml:space="preserve">the </w:t>
      </w:r>
      <w:r w:rsidRPr="0086781E">
        <w:t>issue</w:t>
      </w:r>
      <w:r>
        <w:t xml:space="preserve">. </w:t>
      </w:r>
      <w:r w:rsidR="00B57E40">
        <w:t xml:space="preserve">Consideration of VLSSIR should occur any time an issue involving ambiguity </w:t>
      </w:r>
      <w:r w:rsidR="002F7A19">
        <w:t>on</w:t>
      </w:r>
      <w:r w:rsidR="00B57E40">
        <w:t xml:space="preserve"> the licensing basis, design basis, or applicability of regulatory requirements is not efficiently resolved and would not be greater than </w:t>
      </w:r>
      <w:r w:rsidR="00393ED0">
        <w:t>g</w:t>
      </w:r>
      <w:r w:rsidR="00B57E40">
        <w:t xml:space="preserve">reen or more than SL-IV if resolved. Staff should also consider VLSSIR when it becomes apparent that timeliness goals for resolving very low safety or security significance issues may not be met. Consideration need not be reserved for after an inspection is completed as issues that meet the criteria for VLSSIR consideration may arise during an inspection, and extensive effort may be expended during the inspection absent resource considerations. </w:t>
      </w:r>
      <w:r w:rsidR="00E444C5" w:rsidRPr="00262E6C">
        <w:t xml:space="preserve">A predetermined level of effort need not be expended prior to consideration of VLSSIR. </w:t>
      </w:r>
      <w:r w:rsidR="00B57E40">
        <w:t xml:space="preserve">Inspectors shall ensure their branch chief is aware of the status of questions and issues during an inspection involving ambiguity that may not be easily </w:t>
      </w:r>
      <w:r w:rsidR="00F308C1">
        <w:t>resolved and</w:t>
      </w:r>
      <w:r w:rsidR="00B57E40">
        <w:t xml:space="preserve"> consider VLSSIR when appropriate.</w:t>
      </w:r>
      <w:r w:rsidR="00DF1CDA">
        <w:t xml:space="preserve"> </w:t>
      </w:r>
    </w:p>
    <w:p w14:paraId="511C9B3B" w14:textId="1E9F16BF" w:rsidR="00A072E4" w:rsidRPr="00061090" w:rsidRDefault="00B57E40" w:rsidP="00D14C75">
      <w:pPr>
        <w:pStyle w:val="BodyText3"/>
      </w:pPr>
      <w:r w:rsidRPr="00262E6C">
        <w:t xml:space="preserve">The consideration of whether to use VLSSIR should include, though is not limited to, whether the issue of concern is close to being resolved, whether there is some Agency interest in continuing to pursue the issue of concern, and how Agency resources have been used to date in attempting to resolve the issue. VLSSIR is not intended to be used to </w:t>
      </w:r>
      <w:proofErr w:type="gramStart"/>
      <w:r w:rsidRPr="00262E6C">
        <w:t>disposition</w:t>
      </w:r>
      <w:proofErr w:type="gramEnd"/>
      <w:r w:rsidRPr="00262E6C">
        <w:t xml:space="preserve"> an issue of </w:t>
      </w:r>
      <w:r w:rsidRPr="00061090">
        <w:t xml:space="preserve">concern in which the NRC and licensee simply do not agree, absent some level of ambiguity in NRC’s view of the issue. When determining whether to use VLSSIR, drop the issue, or continue dispositioning, it may be helpful to consider not </w:t>
      </w:r>
      <w:r w:rsidRPr="00061090">
        <w:lastRenderedPageBreak/>
        <w:t>only the total agency resources expended but also how much effort has been focused on attempting to resolve ambiguity versus other aspects of the issue, such as evaluating and responding to licensee perspectives</w:t>
      </w:r>
      <w:r w:rsidR="00A072E4" w:rsidRPr="00061090">
        <w:t>.</w:t>
      </w:r>
    </w:p>
    <w:p w14:paraId="3930884F" w14:textId="24E1F2F2" w:rsidR="0086781E" w:rsidRPr="00326884" w:rsidRDefault="00091AC4" w:rsidP="00D14C75">
      <w:pPr>
        <w:pStyle w:val="BodyText3"/>
        <w:rPr>
          <w:u w:val="single"/>
        </w:rPr>
      </w:pPr>
      <w:r w:rsidRPr="00061090">
        <w:t>Note that th</w:t>
      </w:r>
      <w:r w:rsidR="00E7139B" w:rsidRPr="00061090">
        <w:t>e</w:t>
      </w:r>
      <w:r w:rsidRPr="00061090">
        <w:t xml:space="preserve"> </w:t>
      </w:r>
      <w:r w:rsidR="00E7139B" w:rsidRPr="00061090">
        <w:t xml:space="preserve">VLSSIR </w:t>
      </w:r>
      <w:r w:rsidRPr="00061090">
        <w:t xml:space="preserve">determination is made prior to </w:t>
      </w:r>
      <w:r w:rsidR="00C15003">
        <w:t>determination of</w:t>
      </w:r>
      <w:r w:rsidR="00081527" w:rsidRPr="00061090">
        <w:t xml:space="preserve"> a </w:t>
      </w:r>
      <w:r w:rsidR="000709CD">
        <w:t>noncomp</w:t>
      </w:r>
      <w:r w:rsidR="003F54D0">
        <w:t>liance</w:t>
      </w:r>
      <w:r w:rsidR="00081527" w:rsidRPr="00061090">
        <w:t xml:space="preserve">. </w:t>
      </w:r>
      <w:r w:rsidR="0086781E" w:rsidRPr="00061090">
        <w:t xml:space="preserve">Issue </w:t>
      </w:r>
      <w:r w:rsidR="00081527" w:rsidRPr="00061090">
        <w:t>review</w:t>
      </w:r>
      <w:r w:rsidR="0086781E" w:rsidRPr="00061090">
        <w:t xml:space="preserve"> shall be discontinued and a VLSSIR will be documented in </w:t>
      </w:r>
      <w:r w:rsidR="006C629A" w:rsidRPr="00061090">
        <w:t>an inspection report per IMC 0618</w:t>
      </w:r>
      <w:r w:rsidR="0086781E" w:rsidRPr="00061090">
        <w:t xml:space="preserve"> when either Criterion 1 or 2 is met:</w:t>
      </w:r>
    </w:p>
    <w:p w14:paraId="0A7B3EB9" w14:textId="4B622255" w:rsidR="003E3310" w:rsidRPr="00682535" w:rsidRDefault="003E3310" w:rsidP="00630B33">
      <w:pPr>
        <w:pStyle w:val="BodyText"/>
        <w:numPr>
          <w:ilvl w:val="0"/>
          <w:numId w:val="14"/>
        </w:numPr>
      </w:pPr>
      <w:r w:rsidRPr="00061090">
        <w:t xml:space="preserve">Criterion 1: </w:t>
      </w:r>
      <w:r w:rsidR="00C75FAD" w:rsidRPr="00061090">
        <w:t>All</w:t>
      </w:r>
      <w:r w:rsidRPr="00061090">
        <w:t xml:space="preserve"> the following are met:</w:t>
      </w:r>
    </w:p>
    <w:p w14:paraId="767C0028" w14:textId="18EA6E17" w:rsidR="006D63AC" w:rsidRDefault="003E3310" w:rsidP="00630B33">
      <w:pPr>
        <w:pStyle w:val="BodyText"/>
        <w:numPr>
          <w:ilvl w:val="1"/>
          <w:numId w:val="14"/>
        </w:numPr>
      </w:pPr>
      <w:r w:rsidRPr="00061090">
        <w:t xml:space="preserve">The inspection staff has not been able to conclude that the issue of concern is </w:t>
      </w:r>
      <w:proofErr w:type="gramStart"/>
      <w:r w:rsidRPr="00061090">
        <w:t xml:space="preserve">a </w:t>
      </w:r>
      <w:r w:rsidR="000709CD">
        <w:t>noncomp</w:t>
      </w:r>
      <w:r w:rsidR="003F54D0">
        <w:t>liance</w:t>
      </w:r>
      <w:proofErr w:type="gramEnd"/>
      <w:r w:rsidR="001A701B" w:rsidRPr="00061090">
        <w:t xml:space="preserve"> </w:t>
      </w:r>
      <w:r w:rsidRPr="00061090">
        <w:t xml:space="preserve">after considering any </w:t>
      </w:r>
      <w:proofErr w:type="gramStart"/>
      <w:r w:rsidRPr="00061090">
        <w:t>licensee</w:t>
      </w:r>
      <w:proofErr w:type="gramEnd"/>
      <w:r w:rsidR="00F33E96">
        <w:t>-</w:t>
      </w:r>
      <w:r w:rsidRPr="00061090">
        <w:t xml:space="preserve">provided supporting information on why the issue of concern is not </w:t>
      </w:r>
      <w:proofErr w:type="gramStart"/>
      <w:r w:rsidRPr="00061090">
        <w:t>in</w:t>
      </w:r>
      <w:proofErr w:type="gramEnd"/>
      <w:r w:rsidRPr="00061090">
        <w:t xml:space="preserve"> its licensing or design basis or does not represent a violation of regulatory requirements and any relevant information developed during the inspection process.</w:t>
      </w:r>
    </w:p>
    <w:p w14:paraId="3BA6FB12" w14:textId="77777777" w:rsidR="006D63AC" w:rsidRDefault="003E3310" w:rsidP="00630B33">
      <w:pPr>
        <w:pStyle w:val="BodyText"/>
        <w:numPr>
          <w:ilvl w:val="1"/>
          <w:numId w:val="14"/>
        </w:numPr>
      </w:pPr>
      <w:r w:rsidRPr="006D63AC">
        <w:t xml:space="preserve">The condition surrounding the issue of concern cannot </w:t>
      </w:r>
      <w:r w:rsidR="007809D0" w:rsidRPr="006D63AC">
        <w:t>potentially</w:t>
      </w:r>
      <w:r w:rsidRPr="006D63AC">
        <w:t xml:space="preserve"> be greater than green (i.e., not greater than very low significance if the issue was determined to be a finding evaluated using the SDP) nor greater than Severity Level IV if the issue was determined to be a violation subject to traditional enforcement.</w:t>
      </w:r>
    </w:p>
    <w:p w14:paraId="662FB517" w14:textId="781FB8DB" w:rsidR="003E3310" w:rsidRPr="00003F4B" w:rsidRDefault="003E3310" w:rsidP="00630B33">
      <w:pPr>
        <w:pStyle w:val="BodyText"/>
        <w:numPr>
          <w:ilvl w:val="1"/>
          <w:numId w:val="14"/>
        </w:numPr>
      </w:pPr>
      <w:r w:rsidRPr="006D63AC">
        <w:t xml:space="preserve">The resources required to resolve the current </w:t>
      </w:r>
      <w:r w:rsidR="00733669" w:rsidRPr="006D63AC">
        <w:t>licensing</w:t>
      </w:r>
      <w:r w:rsidRPr="006D63AC">
        <w:t xml:space="preserve"> question would not effectively and efficiently serve the Agency’s mission or dispositioning of the issue within applicable timeliness goals or metrics is in jeopardy.</w:t>
      </w:r>
    </w:p>
    <w:p w14:paraId="5D8004C1" w14:textId="7E2D7809" w:rsidR="003E3310" w:rsidRPr="00ED63C1" w:rsidRDefault="003E3310" w:rsidP="00630B33">
      <w:pPr>
        <w:pStyle w:val="BodyText"/>
        <w:numPr>
          <w:ilvl w:val="0"/>
          <w:numId w:val="14"/>
        </w:numPr>
      </w:pPr>
      <w:r w:rsidRPr="00061090">
        <w:t xml:space="preserve">Criterion 2: The issue of concern was evaluated using Office Instruction COM-106, “Technical Assistance Request (TAR) Process” and recommended for no further action because the licensing basis standing is </w:t>
      </w:r>
      <w:r w:rsidR="009C6283" w:rsidRPr="00061090">
        <w:t>indeterminate,</w:t>
      </w:r>
      <w:r w:rsidRPr="00061090">
        <w:t xml:space="preserve"> and the TAR Safety Significance Determination has determined the issue to be of very low significance and the issue would not be subject to escalated enforcement if determined to be a violation.</w:t>
      </w:r>
    </w:p>
    <w:p w14:paraId="6AB391DA" w14:textId="7A345505" w:rsidR="00D14C75" w:rsidRDefault="008967D1" w:rsidP="00D14C75">
      <w:pPr>
        <w:pStyle w:val="BodyText3"/>
      </w:pPr>
      <w:r>
        <w:t>-------------</w:t>
      </w:r>
    </w:p>
    <w:p w14:paraId="152CF627" w14:textId="0BAC43D9" w:rsidR="003E3310" w:rsidRPr="00ED63C1" w:rsidRDefault="003E3310" w:rsidP="00D14C75">
      <w:pPr>
        <w:pStyle w:val="BodyText3"/>
      </w:pPr>
      <w:r w:rsidRPr="00061090">
        <w:t>Cases may arise where clarification of a requirement through generic processes, interim staff guidance, or other appropriate means may be necessary, outside of inspection and assessment, to address broader safety and regulatory concerns.</w:t>
      </w:r>
    </w:p>
    <w:p w14:paraId="4FE2336F" w14:textId="53B7829A" w:rsidR="00AA50C8" w:rsidRPr="00ED63C1" w:rsidRDefault="003E3310" w:rsidP="00D14C75">
      <w:pPr>
        <w:pStyle w:val="BodyText3"/>
      </w:pPr>
      <w:r w:rsidRPr="00061090">
        <w:t>Open URIs may be assessed using the above criteria to determine whether they should be closed using the VLSSIR process.</w:t>
      </w:r>
    </w:p>
    <w:p w14:paraId="3C6A1FAE" w14:textId="1CC514D4" w:rsidR="00490457" w:rsidRPr="00CE241F" w:rsidRDefault="00D70664" w:rsidP="00CE241F">
      <w:pPr>
        <w:pStyle w:val="Heading2"/>
      </w:pPr>
      <w:bookmarkStart w:id="102" w:name="_Toc219293599"/>
      <w:r w:rsidRPr="00061090">
        <w:t>0</w:t>
      </w:r>
      <w:r w:rsidR="00CE241F">
        <w:t>7</w:t>
      </w:r>
      <w:r w:rsidRPr="00061090">
        <w:t>.0</w:t>
      </w:r>
      <w:r w:rsidR="00C5642D">
        <w:t>5</w:t>
      </w:r>
      <w:r w:rsidR="00AA50C8" w:rsidRPr="00061090">
        <w:tab/>
      </w:r>
      <w:r w:rsidR="00AA50C8" w:rsidRPr="00CE241F">
        <w:rPr>
          <w:u w:val="single"/>
        </w:rPr>
        <w:t>Technical Assistance Requests (TARs)</w:t>
      </w:r>
      <w:bookmarkEnd w:id="102"/>
    </w:p>
    <w:p w14:paraId="73C8F529" w14:textId="7129E90F" w:rsidR="00490457" w:rsidRPr="00061090" w:rsidRDefault="00061090" w:rsidP="000F6044">
      <w:pPr>
        <w:pStyle w:val="BodyText3"/>
      </w:pPr>
      <w:r w:rsidRPr="00061090">
        <w:t>A construction TAR is the mechanism that NRC personnel (usually construction inspectors) use</w:t>
      </w:r>
      <w:r>
        <w:t xml:space="preserve"> </w:t>
      </w:r>
      <w:r w:rsidRPr="00061090">
        <w:t>to formally clarify construction-related technical or inspection requirements for facilities licensed</w:t>
      </w:r>
      <w:r>
        <w:t xml:space="preserve"> </w:t>
      </w:r>
      <w:r w:rsidRPr="00061090">
        <w:t>and built under the purview of the Office of Nuclear Reactor Regulation (NRR). The</w:t>
      </w:r>
      <w:r>
        <w:t xml:space="preserve"> </w:t>
      </w:r>
      <w:r w:rsidRPr="00061090">
        <w:t>construction TAR process is used to facilitate the assignment of appropriate resources to</w:t>
      </w:r>
      <w:r>
        <w:t xml:space="preserve"> </w:t>
      </w:r>
      <w:r w:rsidRPr="00061090">
        <w:t>respond to an identified issue in a timely manner, and to provide a method to document the</w:t>
      </w:r>
      <w:r>
        <w:t xml:space="preserve"> </w:t>
      </w:r>
      <w:r w:rsidRPr="00061090">
        <w:t xml:space="preserve">resolution of the issue for future reference. </w:t>
      </w:r>
      <w:r w:rsidR="00275220">
        <w:t>See COM-106 for deta</w:t>
      </w:r>
      <w:r w:rsidR="008D407C">
        <w:t>iled guidance about TARs.</w:t>
      </w:r>
    </w:p>
    <w:p w14:paraId="6662D886" w14:textId="0D10520F" w:rsidR="009F1F50" w:rsidRPr="0086781E" w:rsidRDefault="009A60C8" w:rsidP="007043D3">
      <w:pPr>
        <w:pStyle w:val="Heading2"/>
        <w:rPr>
          <w:highlight w:val="yellow"/>
        </w:rPr>
      </w:pPr>
      <w:bookmarkStart w:id="103" w:name="_Toc219293600"/>
      <w:r>
        <w:lastRenderedPageBreak/>
        <w:t>07.0</w:t>
      </w:r>
      <w:r w:rsidR="00C5642D">
        <w:t>6</w:t>
      </w:r>
      <w:r w:rsidR="0082412D">
        <w:tab/>
      </w:r>
      <w:r w:rsidR="0082412D" w:rsidRPr="0082412D">
        <w:rPr>
          <w:u w:val="single"/>
        </w:rPr>
        <w:t>I</w:t>
      </w:r>
      <w:r w:rsidR="00BA4023" w:rsidRPr="0082412D">
        <w:rPr>
          <w:u w:val="single"/>
        </w:rPr>
        <w:t xml:space="preserve">nitial </w:t>
      </w:r>
      <w:r w:rsidR="0082412D" w:rsidRPr="0082412D">
        <w:rPr>
          <w:u w:val="single"/>
        </w:rPr>
        <w:t>S</w:t>
      </w:r>
      <w:r w:rsidR="00BA4023" w:rsidRPr="0082412D">
        <w:rPr>
          <w:u w:val="single"/>
        </w:rPr>
        <w:t>creening of</w:t>
      </w:r>
      <w:r w:rsidR="009F1F50" w:rsidRPr="0082412D">
        <w:rPr>
          <w:u w:val="single"/>
        </w:rPr>
        <w:t xml:space="preserve"> ARCOP </w:t>
      </w:r>
      <w:r w:rsidR="000709CD">
        <w:rPr>
          <w:u w:val="single"/>
        </w:rPr>
        <w:t>Noncomp</w:t>
      </w:r>
      <w:r w:rsidR="003F54D0">
        <w:rPr>
          <w:u w:val="single"/>
        </w:rPr>
        <w:t>liance</w:t>
      </w:r>
      <w:r w:rsidR="0082412D" w:rsidRPr="0082412D">
        <w:rPr>
          <w:u w:val="single"/>
        </w:rPr>
        <w:t>s</w:t>
      </w:r>
      <w:bookmarkEnd w:id="103"/>
      <w:r w:rsidR="0082412D">
        <w:t xml:space="preserve"> </w:t>
      </w:r>
    </w:p>
    <w:p w14:paraId="20889DF7" w14:textId="4EE614C0" w:rsidR="00EE7A2E" w:rsidRDefault="007747FC" w:rsidP="000F6044">
      <w:pPr>
        <w:pStyle w:val="BodyText3"/>
      </w:pPr>
      <w:r>
        <w:t xml:space="preserve">Initial screening of </w:t>
      </w:r>
      <w:r w:rsidR="00C36FD8">
        <w:t xml:space="preserve">an </w:t>
      </w:r>
      <w:r>
        <w:t xml:space="preserve">ARCOP </w:t>
      </w:r>
      <w:r w:rsidR="000709CD">
        <w:t>noncomp</w:t>
      </w:r>
      <w:r w:rsidR="003F54D0">
        <w:t>liance</w:t>
      </w:r>
      <w:r>
        <w:t xml:space="preserve"> is performed to determine if the </w:t>
      </w:r>
      <w:r w:rsidR="000709CD">
        <w:t>noncomp</w:t>
      </w:r>
      <w:r w:rsidR="003F54D0">
        <w:t>liance</w:t>
      </w:r>
      <w:r>
        <w:t xml:space="preserve"> is potentially </w:t>
      </w:r>
      <w:proofErr w:type="gramStart"/>
      <w:r>
        <w:t>willful</w:t>
      </w:r>
      <w:proofErr w:type="gramEnd"/>
      <w:r>
        <w:t xml:space="preserve"> and should be entered into the allegation process</w:t>
      </w:r>
      <w:r w:rsidR="009442FF">
        <w:t>, if the TE screening process i</w:t>
      </w:r>
      <w:r w:rsidR="00A91E27">
        <w:t>s</w:t>
      </w:r>
      <w:r w:rsidR="009442FF">
        <w:t xml:space="preserve"> applicable</w:t>
      </w:r>
      <w:r w:rsidR="007137FE">
        <w:t>, if there is a performanc</w:t>
      </w:r>
      <w:r w:rsidR="008A589C">
        <w:t>e</w:t>
      </w:r>
      <w:r w:rsidR="007137FE">
        <w:t xml:space="preserve"> deficiency, or if the </w:t>
      </w:r>
      <w:r w:rsidR="000709CD">
        <w:t>noncomp</w:t>
      </w:r>
      <w:r w:rsidR="003F54D0">
        <w:t>liance</w:t>
      </w:r>
      <w:r w:rsidR="007137FE">
        <w:t xml:space="preserve"> is minor (and requires no further screening)</w:t>
      </w:r>
      <w:r w:rsidR="009442FF">
        <w:t>.</w:t>
      </w:r>
      <w:r>
        <w:t xml:space="preserve"> </w:t>
      </w:r>
      <w:r w:rsidR="00785834">
        <w:t xml:space="preserve">Note: an issue </w:t>
      </w:r>
      <w:r w:rsidR="00D011CA">
        <w:t>is referred to as a “</w:t>
      </w:r>
      <w:r w:rsidR="000709CD">
        <w:t>noncomp</w:t>
      </w:r>
      <w:r w:rsidR="003F54D0">
        <w:t>liance</w:t>
      </w:r>
      <w:r w:rsidR="00D011CA">
        <w:t xml:space="preserve">” until it is screened as greater than minor. Greater than minor </w:t>
      </w:r>
      <w:r w:rsidR="000709CD">
        <w:t>noncomp</w:t>
      </w:r>
      <w:r w:rsidR="003F54D0">
        <w:t>liance</w:t>
      </w:r>
      <w:r w:rsidR="00D011CA">
        <w:t xml:space="preserve">s </w:t>
      </w:r>
      <w:r w:rsidR="00A956B5">
        <w:t xml:space="preserve">may result in </w:t>
      </w:r>
      <w:r w:rsidR="00D011CA">
        <w:t>findings</w:t>
      </w:r>
      <w:r w:rsidR="00831159">
        <w:t xml:space="preserve">, </w:t>
      </w:r>
      <w:r w:rsidR="00000B49">
        <w:t xml:space="preserve">TE </w:t>
      </w:r>
      <w:r w:rsidR="006F79A8">
        <w:t>actions, or both.</w:t>
      </w:r>
    </w:p>
    <w:p w14:paraId="2CF4599C" w14:textId="6403757B" w:rsidR="00FA167A" w:rsidRPr="002D019A" w:rsidRDefault="007747FC" w:rsidP="000F6044">
      <w:pPr>
        <w:pStyle w:val="BodyText3"/>
        <w:rPr>
          <w:b/>
          <w:bCs/>
        </w:rPr>
      </w:pPr>
      <w:r>
        <w:t xml:space="preserve">NRC staff </w:t>
      </w:r>
      <w:r w:rsidR="004157E2">
        <w:t xml:space="preserve">shall </w:t>
      </w:r>
      <w:r>
        <w:t>perform in</w:t>
      </w:r>
      <w:r w:rsidR="00430F1E">
        <w:t xml:space="preserve">itial screening of ARCOP </w:t>
      </w:r>
      <w:r w:rsidR="000709CD">
        <w:t>noncomp</w:t>
      </w:r>
      <w:r w:rsidR="003F54D0">
        <w:t>liance</w:t>
      </w:r>
      <w:r w:rsidR="00430F1E">
        <w:t xml:space="preserve">s using </w:t>
      </w:r>
      <w:r w:rsidR="00684567">
        <w:t>Figure</w:t>
      </w:r>
      <w:r w:rsidR="00430F1E">
        <w:t xml:space="preserve"> 1 and the guidance below</w:t>
      </w:r>
      <w:bookmarkStart w:id="104" w:name="_Toc450735318"/>
      <w:bookmarkStart w:id="105" w:name="_Toc232319118"/>
      <w:bookmarkStart w:id="106" w:name="_Toc241547893"/>
      <w:bookmarkEnd w:id="83"/>
      <w:bookmarkEnd w:id="84"/>
      <w:bookmarkEnd w:id="85"/>
      <w:bookmarkEnd w:id="95"/>
      <w:bookmarkEnd w:id="96"/>
      <w:bookmarkEnd w:id="97"/>
      <w:bookmarkEnd w:id="98"/>
      <w:r w:rsidR="00572112">
        <w:t>:</w:t>
      </w:r>
      <w:r w:rsidR="00C8510B" w:rsidRPr="002D019A">
        <w:rPr>
          <w:b/>
          <w:bCs/>
        </w:rPr>
        <w:t xml:space="preserve"> </w:t>
      </w:r>
    </w:p>
    <w:p w14:paraId="66DF31C6" w14:textId="3DEB0F95" w:rsidR="00BD3C65" w:rsidRDefault="003A2BF9" w:rsidP="00630B33">
      <w:pPr>
        <w:pStyle w:val="BodyText"/>
        <w:numPr>
          <w:ilvl w:val="0"/>
          <w:numId w:val="15"/>
        </w:numPr>
      </w:pPr>
      <w:r>
        <w:t>I</w:t>
      </w:r>
      <w:r w:rsidR="00F839F9">
        <w:t xml:space="preserve">ssue of </w:t>
      </w:r>
      <w:r w:rsidR="00893265">
        <w:t>concern</w:t>
      </w:r>
      <w:r w:rsidR="000B6768">
        <w:t xml:space="preserve">: </w:t>
      </w:r>
      <w:r w:rsidR="00BD3C65" w:rsidRPr="00BD3C65">
        <w:t>A well-defined observation or collection of observations that may have a bearing on safety or security and warrants further inspection, screening, evaluation, or regulatory action.</w:t>
      </w:r>
    </w:p>
    <w:p w14:paraId="5FCAF822" w14:textId="7B3A14D8" w:rsidR="00797A64" w:rsidRPr="000B6768" w:rsidRDefault="00526FC9" w:rsidP="00630B33">
      <w:pPr>
        <w:pStyle w:val="BodyText"/>
        <w:numPr>
          <w:ilvl w:val="0"/>
          <w:numId w:val="15"/>
        </w:numPr>
      </w:pPr>
      <w:r>
        <w:t xml:space="preserve">Potential </w:t>
      </w:r>
      <w:r w:rsidR="00810338">
        <w:t>willfulness</w:t>
      </w:r>
      <w:r w:rsidR="000B6768">
        <w:t xml:space="preserve">: </w:t>
      </w:r>
      <w:r w:rsidRPr="000B6768">
        <w:rPr>
          <w:rFonts w:eastAsiaTheme="majorEastAsia" w:cstheme="majorBidi"/>
        </w:rPr>
        <w:t xml:space="preserve">Willful </w:t>
      </w:r>
      <w:r w:rsidR="000709CD">
        <w:rPr>
          <w:rFonts w:eastAsiaTheme="majorEastAsia" w:cstheme="majorBidi"/>
        </w:rPr>
        <w:t>noncomp</w:t>
      </w:r>
      <w:r w:rsidR="003F54D0">
        <w:rPr>
          <w:rFonts w:eastAsiaTheme="majorEastAsia" w:cstheme="majorBidi"/>
        </w:rPr>
        <w:t>liance</w:t>
      </w:r>
      <w:r w:rsidR="000B2A09" w:rsidRPr="000B6768">
        <w:rPr>
          <w:rFonts w:eastAsiaTheme="majorEastAsia" w:cstheme="majorBidi"/>
        </w:rPr>
        <w:t xml:space="preserve">s </w:t>
      </w:r>
      <w:r w:rsidRPr="000B6768">
        <w:rPr>
          <w:rFonts w:eastAsiaTheme="majorEastAsia" w:cstheme="majorBidi"/>
        </w:rPr>
        <w:t>are of particular concern</w:t>
      </w:r>
      <w:r w:rsidR="0016564D" w:rsidRPr="000B6768">
        <w:rPr>
          <w:rFonts w:eastAsiaTheme="majorEastAsia" w:cstheme="majorBidi"/>
        </w:rPr>
        <w:t>, regardless of who identifies the issue,</w:t>
      </w:r>
      <w:r w:rsidRPr="000B6768">
        <w:rPr>
          <w:rFonts w:eastAsiaTheme="majorEastAsia" w:cstheme="majorBidi"/>
        </w:rPr>
        <w:t xml:space="preserve"> because the NRC’s regulatory program is based on licensees and their contractors, employees, and agents acting with integrity and communicating with candor. </w:t>
      </w:r>
      <w:r w:rsidR="00FA3730" w:rsidRPr="000B6768">
        <w:rPr>
          <w:rFonts w:eastAsiaTheme="majorEastAsia" w:cstheme="majorBidi"/>
        </w:rPr>
        <w:t>If willfulness is suspected, proceed to</w:t>
      </w:r>
      <w:r w:rsidR="00756FA4">
        <w:rPr>
          <w:rFonts w:eastAsiaTheme="majorEastAsia" w:cstheme="majorBidi"/>
        </w:rPr>
        <w:t xml:space="preserve"> </w:t>
      </w:r>
      <w:r w:rsidR="00756FA4" w:rsidRPr="00332BAF">
        <w:rPr>
          <w:rFonts w:eastAsiaTheme="majorEastAsia" w:cstheme="majorBidi"/>
        </w:rPr>
        <w:t>Section</w:t>
      </w:r>
      <w:r w:rsidRPr="00332BAF">
        <w:rPr>
          <w:rFonts w:eastAsiaTheme="majorEastAsia" w:cstheme="majorBidi"/>
        </w:rPr>
        <w:t xml:space="preserve"> </w:t>
      </w:r>
      <w:r w:rsidR="00756FA4" w:rsidRPr="00332BAF">
        <w:rPr>
          <w:rFonts w:eastAsiaTheme="majorEastAsia" w:cstheme="majorBidi"/>
        </w:rPr>
        <w:t>07</w:t>
      </w:r>
      <w:r w:rsidR="007854A5" w:rsidRPr="00332BAF">
        <w:rPr>
          <w:rFonts w:eastAsiaTheme="majorEastAsia" w:cstheme="majorBidi"/>
        </w:rPr>
        <w:t>-</w:t>
      </w:r>
      <w:r w:rsidR="006B4034">
        <w:rPr>
          <w:rFonts w:eastAsiaTheme="majorEastAsia" w:cstheme="majorBidi"/>
        </w:rPr>
        <w:t>09</w:t>
      </w:r>
      <w:r w:rsidRPr="000B6768">
        <w:rPr>
          <w:rFonts w:eastAsiaTheme="majorEastAsia" w:cstheme="majorBidi"/>
        </w:rPr>
        <w:t>.</w:t>
      </w:r>
    </w:p>
    <w:p w14:paraId="0FEC0157" w14:textId="5CA474AF" w:rsidR="00F50263" w:rsidRDefault="00810338" w:rsidP="00630B33">
      <w:pPr>
        <w:pStyle w:val="BodyText"/>
        <w:numPr>
          <w:ilvl w:val="0"/>
          <w:numId w:val="15"/>
        </w:numPr>
      </w:pPr>
      <w:r>
        <w:t>Does a</w:t>
      </w:r>
      <w:r w:rsidR="00797A64">
        <w:t xml:space="preserve"> </w:t>
      </w:r>
      <w:r w:rsidR="000709CD">
        <w:t>noncomp</w:t>
      </w:r>
      <w:r w:rsidR="003F54D0">
        <w:t>liance</w:t>
      </w:r>
      <w:r>
        <w:t xml:space="preserve"> </w:t>
      </w:r>
      <w:proofErr w:type="gramStart"/>
      <w:r>
        <w:t>exist?</w:t>
      </w:r>
      <w:r w:rsidR="00382B35">
        <w:t>:</w:t>
      </w:r>
      <w:proofErr w:type="gramEnd"/>
      <w:r w:rsidR="000B6768">
        <w:t xml:space="preserve"> </w:t>
      </w:r>
      <w:r w:rsidR="00377DAA" w:rsidRPr="005A73CF">
        <w:t xml:space="preserve">The failure to adhere to a legally binding requirement or a non-legally binding </w:t>
      </w:r>
      <w:r w:rsidR="00377DAA" w:rsidRPr="000B6768">
        <w:rPr>
          <w:rFonts w:eastAsiaTheme="majorEastAsia" w:cstheme="majorBidi"/>
        </w:rPr>
        <w:t>commitment</w:t>
      </w:r>
      <w:r>
        <w:rPr>
          <w:rFonts w:eastAsiaTheme="majorEastAsia" w:cstheme="majorBidi"/>
        </w:rPr>
        <w:t xml:space="preserve"> is a </w:t>
      </w:r>
      <w:r w:rsidR="000709CD">
        <w:rPr>
          <w:rFonts w:eastAsiaTheme="majorEastAsia" w:cstheme="majorBidi"/>
        </w:rPr>
        <w:t>noncomp</w:t>
      </w:r>
      <w:r>
        <w:rPr>
          <w:rFonts w:eastAsiaTheme="majorEastAsia" w:cstheme="majorBidi"/>
        </w:rPr>
        <w:t>liance</w:t>
      </w:r>
      <w:r w:rsidR="00377DAA" w:rsidRPr="005A73CF">
        <w:t xml:space="preserve">. </w:t>
      </w:r>
    </w:p>
    <w:p w14:paraId="6677D590" w14:textId="54F42611" w:rsidR="00C8510B" w:rsidRPr="000B6768" w:rsidRDefault="00E379BB" w:rsidP="00630B33">
      <w:pPr>
        <w:pStyle w:val="BodyText"/>
        <w:numPr>
          <w:ilvl w:val="0"/>
          <w:numId w:val="15"/>
        </w:numPr>
        <w:rPr>
          <w:rFonts w:eastAsiaTheme="majorEastAsia" w:cstheme="majorBidi"/>
        </w:rPr>
      </w:pPr>
      <w:r w:rsidRPr="000B6768">
        <w:t>The</w:t>
      </w:r>
      <w:r>
        <w:rPr>
          <w:rFonts w:eastAsiaTheme="majorEastAsia" w:cstheme="majorBidi"/>
        </w:rPr>
        <w:t xml:space="preserve"> </w:t>
      </w:r>
      <w:r w:rsidR="006B4034">
        <w:rPr>
          <w:rFonts w:eastAsiaTheme="majorEastAsia" w:cstheme="majorBidi"/>
        </w:rPr>
        <w:t>VLSSIR</w:t>
      </w:r>
      <w:r>
        <w:rPr>
          <w:rFonts w:eastAsiaTheme="majorEastAsia" w:cstheme="majorBidi"/>
        </w:rPr>
        <w:t xml:space="preserve"> and </w:t>
      </w:r>
      <w:r w:rsidR="00E041E8">
        <w:rPr>
          <w:rFonts w:eastAsiaTheme="majorEastAsia" w:cstheme="majorBidi"/>
        </w:rPr>
        <w:t>TAR</w:t>
      </w:r>
      <w:r>
        <w:rPr>
          <w:rFonts w:eastAsiaTheme="majorEastAsia" w:cstheme="majorBidi"/>
        </w:rPr>
        <w:t xml:space="preserve"> Processes</w:t>
      </w:r>
      <w:r w:rsidR="000B6768">
        <w:rPr>
          <w:rFonts w:eastAsiaTheme="majorEastAsia" w:cstheme="majorBidi"/>
        </w:rPr>
        <w:t xml:space="preserve">: </w:t>
      </w:r>
      <w:r w:rsidR="00490457" w:rsidRPr="000B6768">
        <w:rPr>
          <w:rFonts w:eastAsiaTheme="majorEastAsia" w:cstheme="majorBidi"/>
        </w:rPr>
        <w:t>See</w:t>
      </w:r>
      <w:r w:rsidR="00756FA4">
        <w:rPr>
          <w:rFonts w:eastAsiaTheme="majorEastAsia" w:cstheme="majorBidi"/>
        </w:rPr>
        <w:t xml:space="preserve"> Section</w:t>
      </w:r>
      <w:r w:rsidR="00490457" w:rsidRPr="000B6768">
        <w:rPr>
          <w:rFonts w:eastAsiaTheme="majorEastAsia" w:cstheme="majorBidi"/>
        </w:rPr>
        <w:t>s 0</w:t>
      </w:r>
      <w:r w:rsidR="000B6768">
        <w:rPr>
          <w:rFonts w:eastAsiaTheme="majorEastAsia" w:cstheme="majorBidi"/>
        </w:rPr>
        <w:t>7</w:t>
      </w:r>
      <w:r w:rsidR="00490457" w:rsidRPr="000B6768">
        <w:rPr>
          <w:rFonts w:eastAsiaTheme="majorEastAsia" w:cstheme="majorBidi"/>
        </w:rPr>
        <w:t>.0</w:t>
      </w:r>
      <w:r w:rsidR="00E041E8">
        <w:rPr>
          <w:rFonts w:eastAsiaTheme="majorEastAsia" w:cstheme="majorBidi"/>
        </w:rPr>
        <w:t>4</w:t>
      </w:r>
      <w:r w:rsidR="00490457" w:rsidRPr="000B6768">
        <w:rPr>
          <w:rFonts w:eastAsiaTheme="majorEastAsia" w:cstheme="majorBidi"/>
        </w:rPr>
        <w:t xml:space="preserve"> and 0</w:t>
      </w:r>
      <w:r w:rsidR="000B6768">
        <w:rPr>
          <w:rFonts w:eastAsiaTheme="majorEastAsia" w:cstheme="majorBidi"/>
        </w:rPr>
        <w:t>7</w:t>
      </w:r>
      <w:r w:rsidR="00490457" w:rsidRPr="000B6768">
        <w:rPr>
          <w:rFonts w:eastAsiaTheme="majorEastAsia" w:cstheme="majorBidi"/>
        </w:rPr>
        <w:t>.0</w:t>
      </w:r>
      <w:r w:rsidR="00E041E8">
        <w:rPr>
          <w:rFonts w:eastAsiaTheme="majorEastAsia" w:cstheme="majorBidi"/>
        </w:rPr>
        <w:t>5</w:t>
      </w:r>
      <w:r w:rsidR="00490457" w:rsidRPr="000B6768">
        <w:rPr>
          <w:rFonts w:eastAsiaTheme="majorEastAsia" w:cstheme="majorBidi"/>
        </w:rPr>
        <w:t xml:space="preserve"> for discussions of the VLSSIR and TAR processes.</w:t>
      </w:r>
    </w:p>
    <w:p w14:paraId="5F2989B0" w14:textId="46B43847" w:rsidR="00A81794" w:rsidRPr="00A81794" w:rsidRDefault="008C41C7" w:rsidP="00630B33">
      <w:pPr>
        <w:pStyle w:val="BodyText"/>
        <w:numPr>
          <w:ilvl w:val="0"/>
          <w:numId w:val="15"/>
        </w:numPr>
        <w:rPr>
          <w:rFonts w:eastAsiaTheme="majorEastAsia" w:cstheme="majorBidi"/>
        </w:rPr>
      </w:pPr>
      <w:r>
        <w:rPr>
          <w:rFonts w:eastAsiaTheme="majorEastAsia" w:cstheme="majorBidi"/>
        </w:rPr>
        <w:t xml:space="preserve">Does </w:t>
      </w:r>
      <w:r w:rsidR="00A81794" w:rsidRPr="00A81794">
        <w:rPr>
          <w:rFonts w:eastAsiaTheme="majorEastAsia" w:cstheme="majorBidi"/>
        </w:rPr>
        <w:t xml:space="preserve">a violation </w:t>
      </w:r>
      <w:proofErr w:type="gramStart"/>
      <w:r w:rsidR="00A81794" w:rsidRPr="00A81794">
        <w:rPr>
          <w:rFonts w:eastAsiaTheme="majorEastAsia" w:cstheme="majorBidi"/>
        </w:rPr>
        <w:t>exist</w:t>
      </w:r>
      <w:r>
        <w:rPr>
          <w:rFonts w:eastAsiaTheme="majorEastAsia" w:cstheme="majorBidi"/>
        </w:rPr>
        <w:t>?</w:t>
      </w:r>
      <w:r w:rsidR="00A81794" w:rsidRPr="00A81794">
        <w:rPr>
          <w:rFonts w:eastAsiaTheme="majorEastAsia" w:cstheme="majorBidi"/>
        </w:rPr>
        <w:t>:</w:t>
      </w:r>
      <w:proofErr w:type="gramEnd"/>
      <w:r w:rsidR="00A81794" w:rsidRPr="00A81794">
        <w:rPr>
          <w:rFonts w:eastAsiaTheme="majorEastAsia" w:cstheme="majorBidi"/>
        </w:rPr>
        <w:t xml:space="preserve"> A failure to comply with a requirement of the NRC's regulations, orders, or license conditions</w:t>
      </w:r>
      <w:r>
        <w:rPr>
          <w:rFonts w:eastAsiaTheme="majorEastAsia" w:cstheme="majorBidi"/>
        </w:rPr>
        <w:t xml:space="preserve"> is a violation</w:t>
      </w:r>
      <w:r w:rsidR="00A81794" w:rsidRPr="00A81794">
        <w:rPr>
          <w:rFonts w:eastAsiaTheme="majorEastAsia" w:cstheme="majorBidi"/>
        </w:rPr>
        <w:t>.</w:t>
      </w:r>
    </w:p>
    <w:p w14:paraId="7386F8C7" w14:textId="732E41AF" w:rsidR="004A28AA" w:rsidRPr="00D7547D" w:rsidRDefault="004967E2" w:rsidP="00630B33">
      <w:pPr>
        <w:pStyle w:val="BodyText"/>
        <w:numPr>
          <w:ilvl w:val="0"/>
          <w:numId w:val="15"/>
        </w:numPr>
        <w:rPr>
          <w:rFonts w:eastAsiaTheme="majorEastAsia" w:cstheme="majorBidi"/>
        </w:rPr>
      </w:pPr>
      <w:r w:rsidRPr="000B6768">
        <w:t>Determine</w:t>
      </w:r>
      <w:r>
        <w:rPr>
          <w:rFonts w:eastAsiaTheme="majorEastAsia" w:cstheme="majorBidi"/>
        </w:rPr>
        <w:t xml:space="preserve"> if TE </w:t>
      </w:r>
      <w:r w:rsidR="00893265">
        <w:rPr>
          <w:rFonts w:eastAsiaTheme="majorEastAsia" w:cstheme="majorBidi"/>
        </w:rPr>
        <w:t>a</w:t>
      </w:r>
      <w:r>
        <w:rPr>
          <w:rFonts w:eastAsiaTheme="majorEastAsia" w:cstheme="majorBidi"/>
        </w:rPr>
        <w:t>pplie</w:t>
      </w:r>
      <w:r w:rsidR="000B6768">
        <w:rPr>
          <w:rFonts w:eastAsiaTheme="majorEastAsia" w:cstheme="majorBidi"/>
        </w:rPr>
        <w:t xml:space="preserve">s: </w:t>
      </w:r>
      <w:r w:rsidR="008E12D7" w:rsidRPr="008E12D7">
        <w:rPr>
          <w:rFonts w:eastAsiaTheme="majorEastAsia" w:cstheme="majorBidi"/>
        </w:rPr>
        <w:t xml:space="preserve">Some aspects of violations at AR under construction cannot be addressed solely through the ARCOP SDP. In these cases, violations must be addressed through the TE process consistent with the NRC Enforcement Policy Section 2.2.4. Typically, the types of violations </w:t>
      </w:r>
      <w:proofErr w:type="gramStart"/>
      <w:r w:rsidR="008E12D7" w:rsidRPr="008E12D7">
        <w:rPr>
          <w:rFonts w:eastAsiaTheme="majorEastAsia" w:cstheme="majorBidi"/>
        </w:rPr>
        <w:t>dispositioned</w:t>
      </w:r>
      <w:proofErr w:type="gramEnd"/>
      <w:r w:rsidR="008E12D7" w:rsidRPr="008E12D7">
        <w:rPr>
          <w:rFonts w:eastAsiaTheme="majorEastAsia" w:cstheme="majorBidi"/>
        </w:rPr>
        <w:t xml:space="preserve"> using TE include the following:</w:t>
      </w:r>
    </w:p>
    <w:p w14:paraId="05923F24" w14:textId="3C3C5004" w:rsidR="00D7547D" w:rsidRDefault="008E12D7" w:rsidP="006C648D">
      <w:pPr>
        <w:pStyle w:val="BodyText"/>
        <w:numPr>
          <w:ilvl w:val="1"/>
          <w:numId w:val="15"/>
        </w:numPr>
        <w:rPr>
          <w:rFonts w:eastAsiaTheme="majorEastAsia" w:cstheme="majorBidi"/>
        </w:rPr>
      </w:pPr>
      <w:r>
        <w:t>violations that resulted in</w:t>
      </w:r>
      <w:r w:rsidR="0058369C" w:rsidRPr="00D510C5">
        <w:rPr>
          <w:rFonts w:eastAsiaTheme="majorEastAsia" w:cstheme="majorBidi"/>
        </w:rPr>
        <w:t xml:space="preserve"> actual </w:t>
      </w:r>
      <w:r>
        <w:rPr>
          <w:rFonts w:eastAsiaTheme="majorEastAsia" w:cstheme="majorBidi"/>
        </w:rPr>
        <w:t xml:space="preserve">safety or security </w:t>
      </w:r>
      <w:r w:rsidR="0058369C" w:rsidRPr="00D510C5">
        <w:rPr>
          <w:rFonts w:eastAsiaTheme="majorEastAsia" w:cstheme="majorBidi"/>
        </w:rPr>
        <w:t>consequence</w:t>
      </w:r>
      <w:r>
        <w:rPr>
          <w:rFonts w:eastAsiaTheme="majorEastAsia" w:cstheme="majorBidi"/>
        </w:rPr>
        <w:t>s</w:t>
      </w:r>
      <w:r w:rsidR="0058369C">
        <w:rPr>
          <w:rFonts w:eastAsiaTheme="majorEastAsia" w:cstheme="majorBidi"/>
        </w:rPr>
        <w:t xml:space="preserve">, </w:t>
      </w:r>
    </w:p>
    <w:p w14:paraId="33555A27" w14:textId="2B1A49DA" w:rsidR="00D7547D" w:rsidRDefault="008E12D7" w:rsidP="006C648D">
      <w:pPr>
        <w:pStyle w:val="BodyText"/>
        <w:numPr>
          <w:ilvl w:val="1"/>
          <w:numId w:val="15"/>
        </w:numPr>
        <w:rPr>
          <w:rFonts w:eastAsiaTheme="majorEastAsia" w:cstheme="majorBidi"/>
        </w:rPr>
      </w:pPr>
      <w:r>
        <w:rPr>
          <w:rFonts w:eastAsiaTheme="majorEastAsia" w:cstheme="majorBidi"/>
        </w:rPr>
        <w:t>violations that may impact the ability of the NRC to perform its regulatory oversight function</w:t>
      </w:r>
      <w:r w:rsidR="00C67D65" w:rsidRPr="00D7547D">
        <w:rPr>
          <w:rFonts w:eastAsiaTheme="majorEastAsia" w:cstheme="majorBidi"/>
        </w:rPr>
        <w:t>,</w:t>
      </w:r>
      <w:r w:rsidR="0058369C" w:rsidRPr="00D7547D">
        <w:rPr>
          <w:rFonts w:eastAsiaTheme="majorEastAsia" w:cstheme="majorBidi"/>
        </w:rPr>
        <w:t xml:space="preserve"> </w:t>
      </w:r>
    </w:p>
    <w:p w14:paraId="51C880EE" w14:textId="77777777" w:rsidR="008E12D7" w:rsidRDefault="008E12D7" w:rsidP="006C648D">
      <w:pPr>
        <w:pStyle w:val="BodyText"/>
        <w:numPr>
          <w:ilvl w:val="1"/>
          <w:numId w:val="15"/>
        </w:numPr>
        <w:rPr>
          <w:rFonts w:eastAsiaTheme="majorEastAsia" w:cstheme="majorBidi"/>
        </w:rPr>
      </w:pPr>
      <w:r>
        <w:rPr>
          <w:rFonts w:eastAsiaTheme="majorEastAsia" w:cstheme="majorBidi"/>
        </w:rPr>
        <w:t xml:space="preserve">violations involving willfulness, and </w:t>
      </w:r>
    </w:p>
    <w:p w14:paraId="0206FD49" w14:textId="7CD49C0F" w:rsidR="00A36593" w:rsidRPr="00D7547D" w:rsidRDefault="008E12D7" w:rsidP="006C648D">
      <w:pPr>
        <w:pStyle w:val="BodyText"/>
        <w:numPr>
          <w:ilvl w:val="1"/>
          <w:numId w:val="15"/>
        </w:numPr>
        <w:rPr>
          <w:rFonts w:eastAsiaTheme="majorEastAsia" w:cstheme="majorBidi"/>
        </w:rPr>
      </w:pPr>
      <w:r>
        <w:rPr>
          <w:rFonts w:eastAsiaTheme="majorEastAsia" w:cstheme="majorBidi"/>
        </w:rPr>
        <w:t xml:space="preserve">violations </w:t>
      </w:r>
      <w:r w:rsidR="000825C4" w:rsidRPr="00D7547D">
        <w:rPr>
          <w:rFonts w:eastAsiaTheme="majorEastAsia" w:cstheme="majorBidi"/>
        </w:rPr>
        <w:t xml:space="preserve">not associated with </w:t>
      </w:r>
      <w:proofErr w:type="gramStart"/>
      <w:r w:rsidR="000825C4" w:rsidRPr="00D7547D">
        <w:rPr>
          <w:rFonts w:eastAsiaTheme="majorEastAsia" w:cstheme="majorBidi"/>
        </w:rPr>
        <w:t>an ARCOP</w:t>
      </w:r>
      <w:proofErr w:type="gramEnd"/>
      <w:r w:rsidR="000825C4" w:rsidRPr="00D7547D">
        <w:rPr>
          <w:rFonts w:eastAsiaTheme="majorEastAsia" w:cstheme="majorBidi"/>
        </w:rPr>
        <w:t xml:space="preserve"> finding</w:t>
      </w:r>
      <w:r w:rsidR="00C65BB8">
        <w:rPr>
          <w:rFonts w:eastAsiaTheme="majorEastAsia" w:cstheme="majorBidi"/>
        </w:rPr>
        <w:t>s</w:t>
      </w:r>
      <w:r w:rsidR="000825C4" w:rsidRPr="00D7547D">
        <w:rPr>
          <w:rFonts w:eastAsiaTheme="majorEastAsia" w:cstheme="majorBidi"/>
        </w:rPr>
        <w:t>.</w:t>
      </w:r>
    </w:p>
    <w:p w14:paraId="0C0AB31E" w14:textId="09947499" w:rsidR="00B27B9E" w:rsidRDefault="00A36593" w:rsidP="000F6044">
      <w:pPr>
        <w:pStyle w:val="BodyText3"/>
      </w:pPr>
      <w:r>
        <w:t xml:space="preserve">The </w:t>
      </w:r>
      <w:r w:rsidRPr="00D7547D">
        <w:t>severity</w:t>
      </w:r>
      <w:r>
        <w:t xml:space="preserve"> level of the TE violation </w:t>
      </w:r>
      <w:r w:rsidR="00436120">
        <w:t>could</w:t>
      </w:r>
      <w:r>
        <w:t xml:space="preserve"> depend, in part, on the ARCOP significance of </w:t>
      </w:r>
      <w:proofErr w:type="gramStart"/>
      <w:r w:rsidR="00715CEE">
        <w:t xml:space="preserve">a </w:t>
      </w:r>
      <w:r>
        <w:t>technical</w:t>
      </w:r>
      <w:proofErr w:type="gramEnd"/>
      <w:r>
        <w:t xml:space="preserve"> </w:t>
      </w:r>
      <w:r w:rsidR="000709CD">
        <w:t>noncomp</w:t>
      </w:r>
      <w:r w:rsidR="003F54D0">
        <w:t>liance</w:t>
      </w:r>
      <w:r>
        <w:t xml:space="preserve">. </w:t>
      </w:r>
      <w:r w:rsidR="00792400">
        <w:t>If possible, s</w:t>
      </w:r>
      <w:r w:rsidR="00416D3A">
        <w:t xml:space="preserve">creen the </w:t>
      </w:r>
      <w:r w:rsidR="002F6F6F">
        <w:t xml:space="preserve">technical </w:t>
      </w:r>
      <w:r w:rsidR="000709CD">
        <w:t>noncomp</w:t>
      </w:r>
      <w:r w:rsidR="003F54D0">
        <w:t>liance</w:t>
      </w:r>
      <w:r w:rsidR="002F6F6F">
        <w:t xml:space="preserve"> </w:t>
      </w:r>
      <w:r w:rsidR="00416D3A">
        <w:t>issue for the ARCOP significance using the SDP process guidance.</w:t>
      </w:r>
    </w:p>
    <w:p w14:paraId="3A616578" w14:textId="3B424056" w:rsidR="00B843E6" w:rsidRDefault="00416D3A" w:rsidP="000F6044">
      <w:pPr>
        <w:pStyle w:val="BodyText3"/>
      </w:pPr>
      <w:r>
        <w:t xml:space="preserve">If the ARCOP </w:t>
      </w:r>
      <w:r w:rsidR="00A927B1">
        <w:t xml:space="preserve">technical </w:t>
      </w:r>
      <w:r w:rsidR="000709CD">
        <w:t>noncomp</w:t>
      </w:r>
      <w:r w:rsidR="003F54D0">
        <w:t>liance</w:t>
      </w:r>
      <w:r w:rsidR="00A927B1">
        <w:t xml:space="preserve"> </w:t>
      </w:r>
      <w:r>
        <w:t xml:space="preserve">significance is </w:t>
      </w:r>
      <w:r w:rsidR="009F7C68">
        <w:t xml:space="preserve">greater than </w:t>
      </w:r>
      <w:r>
        <w:t xml:space="preserve">green, then </w:t>
      </w:r>
      <w:r w:rsidR="009F7C68">
        <w:t xml:space="preserve">enter the </w:t>
      </w:r>
      <w:r w:rsidR="00AE05B6">
        <w:t>Enforcement Review Panel</w:t>
      </w:r>
      <w:r w:rsidR="009F7C68">
        <w:t xml:space="preserve"> process. If the technical </w:t>
      </w:r>
      <w:r w:rsidR="000709CD">
        <w:t>noncomp</w:t>
      </w:r>
      <w:r w:rsidR="003F54D0">
        <w:t>liance</w:t>
      </w:r>
      <w:r w:rsidR="009F7C68">
        <w:t xml:space="preserve"> significance is green</w:t>
      </w:r>
      <w:r w:rsidR="00B52E60">
        <w:t>, minor, or not applicable</w:t>
      </w:r>
      <w:r w:rsidR="009F7BD6">
        <w:t>,</w:t>
      </w:r>
      <w:r w:rsidR="009F7C68">
        <w:t xml:space="preserve"> then </w:t>
      </w:r>
      <w:r>
        <w:t xml:space="preserve">go to </w:t>
      </w:r>
      <w:r w:rsidR="00756FA4">
        <w:t>Section</w:t>
      </w:r>
      <w:r>
        <w:t xml:space="preserve"> </w:t>
      </w:r>
      <w:r w:rsidR="00756FA4" w:rsidRPr="00332BAF">
        <w:t>07</w:t>
      </w:r>
      <w:r w:rsidR="005462F4" w:rsidRPr="00332BAF">
        <w:t>-</w:t>
      </w:r>
      <w:r w:rsidR="00AC646A">
        <w:t>10</w:t>
      </w:r>
      <w:r w:rsidR="005462F4">
        <w:t xml:space="preserve"> </w:t>
      </w:r>
      <w:r w:rsidR="00C942A1">
        <w:t xml:space="preserve">for dispositioning guidance. </w:t>
      </w:r>
    </w:p>
    <w:p w14:paraId="79922376" w14:textId="693C732F" w:rsidR="00526FC9" w:rsidRDefault="00D42C69" w:rsidP="000F6044">
      <w:pPr>
        <w:pStyle w:val="BodyText3"/>
      </w:pPr>
      <w:r>
        <w:lastRenderedPageBreak/>
        <w:t xml:space="preserve">Note that TE applies to </w:t>
      </w:r>
      <w:r w:rsidR="001204EF">
        <w:t xml:space="preserve">project vendors and other </w:t>
      </w:r>
      <w:r>
        <w:t>non-licensees if NRC re</w:t>
      </w:r>
      <w:r w:rsidR="00FB6917">
        <w:t>quirements are directly imposed upon them.</w:t>
      </w:r>
      <w:r w:rsidR="00AF1E40">
        <w:t xml:space="preserve"> (e.g., 10 CFR Par</w:t>
      </w:r>
      <w:r w:rsidR="00A14389">
        <w:t>t</w:t>
      </w:r>
      <w:r w:rsidR="00AF1E40">
        <w:t xml:space="preserve"> 21).</w:t>
      </w:r>
    </w:p>
    <w:p w14:paraId="3E84018E" w14:textId="7AF65162" w:rsidR="002D501B" w:rsidRDefault="00893265" w:rsidP="00630B33">
      <w:pPr>
        <w:pStyle w:val="BodyText"/>
        <w:numPr>
          <w:ilvl w:val="0"/>
          <w:numId w:val="15"/>
        </w:numPr>
      </w:pPr>
      <w:r>
        <w:t>Does e</w:t>
      </w:r>
      <w:r w:rsidR="00443D46">
        <w:t xml:space="preserve">nforcement </w:t>
      </w:r>
      <w:r>
        <w:t xml:space="preserve">discretion </w:t>
      </w:r>
      <w:proofErr w:type="gramStart"/>
      <w:r>
        <w:t>apply?</w:t>
      </w:r>
      <w:r w:rsidR="00443D46">
        <w:t>:</w:t>
      </w:r>
      <w:proofErr w:type="gramEnd"/>
      <w:r w:rsidR="00213690">
        <w:t xml:space="preserve"> Determine if enforcement discretion is warranted pursuant to Section 3.0 of the NRC’s Enforcement Policy and the NRC Enforcement Manual.</w:t>
      </w:r>
    </w:p>
    <w:p w14:paraId="085104F5" w14:textId="77777777" w:rsidR="00213690" w:rsidRDefault="00213690" w:rsidP="000F6044">
      <w:pPr>
        <w:pStyle w:val="BodyText3"/>
      </w:pPr>
      <w:r>
        <w:t>The NRC may choose to exercise discretion and either escalate or mitigate enforcement sanctions or otherwise refrain from taking enforcement action within the Commission’s statutory authority. Exercising discretion allows the NRC to determine what actions should be taken in a particular case, notwithstanding the guidance contained in the enforcement policy. After considering the general tenets of the Enforcement Policy, the guidance in the Enforcement Manual, and the safety and security significance of a finding or violation and its surrounding circumstances, judgment and discretion may be exercised in determining the color of a finding or the severity levels of a violation and the appropriate enforcement sanctions to be taken.</w:t>
      </w:r>
    </w:p>
    <w:p w14:paraId="3A72870C" w14:textId="77AB03AC" w:rsidR="00213690" w:rsidRDefault="00213690" w:rsidP="000F6044">
      <w:pPr>
        <w:pStyle w:val="BodyText3"/>
      </w:pPr>
      <w:r>
        <w:t>Enforcement discretion is granted on a case-by-case basis in consultation with OE. Additionally, enforcement discretion may be granted in accordance with an Enforcement Guidance Memorandum (EGM) when specified criteria are met. For findings and violations involving enforcement discretion, inspectors shall coordinate their actions with the NRR and applicable regional enforcement coordinators.</w:t>
      </w:r>
      <w:r w:rsidR="00893265">
        <w:t xml:space="preserve"> Document enforcement discretion in accordance with the Enforcement Policy.</w:t>
      </w:r>
    </w:p>
    <w:p w14:paraId="02324B32" w14:textId="3710511B" w:rsidR="001E30CF" w:rsidRPr="001E30CF" w:rsidRDefault="00893265" w:rsidP="00630B33">
      <w:pPr>
        <w:pStyle w:val="BodyText"/>
        <w:numPr>
          <w:ilvl w:val="0"/>
          <w:numId w:val="15"/>
        </w:numPr>
      </w:pPr>
      <w:r>
        <w:t xml:space="preserve">Does </w:t>
      </w:r>
      <w:proofErr w:type="gramStart"/>
      <w:r>
        <w:t>a p</w:t>
      </w:r>
      <w:r w:rsidR="006F6492">
        <w:t>erformance</w:t>
      </w:r>
      <w:proofErr w:type="gramEnd"/>
      <w:r w:rsidR="006F6492">
        <w:t xml:space="preserve"> </w:t>
      </w:r>
      <w:r>
        <w:t>d</w:t>
      </w:r>
      <w:r w:rsidR="006F6492">
        <w:t>eficiency</w:t>
      </w:r>
      <w:r>
        <w:t xml:space="preserve"> exist?</w:t>
      </w:r>
      <w:r w:rsidR="00D7547D">
        <w:t xml:space="preserve"> </w:t>
      </w:r>
      <w:r w:rsidR="00260BC9">
        <w:t>A performance deficiency exists i</w:t>
      </w:r>
      <w:r>
        <w:t>f t</w:t>
      </w:r>
      <w:r w:rsidR="001E30CF" w:rsidRPr="001E30CF">
        <w:t xml:space="preserve">he </w:t>
      </w:r>
      <w:r w:rsidR="000709CD">
        <w:t>noncomp</w:t>
      </w:r>
      <w:r w:rsidR="003F54D0">
        <w:t>liance</w:t>
      </w:r>
      <w:r w:rsidR="001E30CF" w:rsidRPr="001E30CF">
        <w:t xml:space="preserve"> was </w:t>
      </w:r>
      <w:proofErr w:type="gramStart"/>
      <w:r w:rsidR="001E30CF" w:rsidRPr="001E30CF">
        <w:t>reasonably</w:t>
      </w:r>
      <w:proofErr w:type="gramEnd"/>
      <w:r w:rsidR="001E30CF" w:rsidRPr="001E30CF">
        <w:t xml:space="preserve"> within the licensee’s</w:t>
      </w:r>
      <w:r w:rsidR="0070062E">
        <w:t>/applicant’s/project vendor’s</w:t>
      </w:r>
      <w:r w:rsidR="001E30CF" w:rsidRPr="001E30CF">
        <w:t xml:space="preserve"> ability to foresee and correct and should have been prevented. </w:t>
      </w:r>
    </w:p>
    <w:p w14:paraId="4AA0D555" w14:textId="6C272928" w:rsidR="001B213B" w:rsidRPr="00D7547D" w:rsidRDefault="00260BC9" w:rsidP="00630B33">
      <w:pPr>
        <w:pStyle w:val="BodyText"/>
        <w:numPr>
          <w:ilvl w:val="0"/>
          <w:numId w:val="15"/>
        </w:numPr>
        <w:rPr>
          <w:rFonts w:eastAsiaTheme="majorEastAsia" w:cstheme="majorBidi"/>
        </w:rPr>
      </w:pPr>
      <w:r>
        <w:t xml:space="preserve">More than </w:t>
      </w:r>
      <w:r w:rsidR="00F6198E">
        <w:t>m</w:t>
      </w:r>
      <w:r w:rsidR="0012259B" w:rsidRPr="00D7547D">
        <w:t>inor</w:t>
      </w:r>
      <w:r w:rsidR="0012259B">
        <w:rPr>
          <w:rFonts w:eastAsiaTheme="majorEastAsia" w:cstheme="majorBidi"/>
        </w:rPr>
        <w:t xml:space="preserve"> </w:t>
      </w:r>
      <w:r w:rsidR="00F6198E">
        <w:rPr>
          <w:rFonts w:eastAsiaTheme="majorEastAsia" w:cstheme="majorBidi"/>
        </w:rPr>
        <w:t xml:space="preserve">safety </w:t>
      </w:r>
      <w:r w:rsidR="0012259B">
        <w:rPr>
          <w:rFonts w:eastAsiaTheme="majorEastAsia" w:cstheme="majorBidi"/>
        </w:rPr>
        <w:t xml:space="preserve">or </w:t>
      </w:r>
      <w:r w:rsidR="00F6198E">
        <w:rPr>
          <w:rFonts w:eastAsiaTheme="majorEastAsia" w:cstheme="majorBidi"/>
        </w:rPr>
        <w:t xml:space="preserve">security </w:t>
      </w:r>
      <w:r w:rsidR="00255047">
        <w:rPr>
          <w:rFonts w:eastAsiaTheme="majorEastAsia" w:cstheme="majorBidi"/>
        </w:rPr>
        <w:t>significance?</w:t>
      </w:r>
      <w:r w:rsidR="00D7547D">
        <w:rPr>
          <w:rFonts w:eastAsiaTheme="majorEastAsia" w:cstheme="majorBidi"/>
        </w:rPr>
        <w:t xml:space="preserve"> </w:t>
      </w:r>
      <w:r w:rsidR="001B213B">
        <w:t xml:space="preserve">Use </w:t>
      </w:r>
      <w:r w:rsidR="00756FA4">
        <w:t>Attachment 2</w:t>
      </w:r>
      <w:r w:rsidR="001B213B">
        <w:t xml:space="preserve"> of this IMC to screen for minor/more-than-minor significance.</w:t>
      </w:r>
    </w:p>
    <w:p w14:paraId="7922B743" w14:textId="25E8D967" w:rsidR="00326F35" w:rsidRPr="00D7547D" w:rsidRDefault="00E56D00" w:rsidP="00630B33">
      <w:pPr>
        <w:pStyle w:val="BodyText"/>
        <w:numPr>
          <w:ilvl w:val="0"/>
          <w:numId w:val="15"/>
        </w:numPr>
        <w:rPr>
          <w:shd w:val="clear" w:color="auto" w:fill="FAF9F8"/>
        </w:rPr>
      </w:pPr>
      <w:r w:rsidRPr="00D7547D">
        <w:t>Determine</w:t>
      </w:r>
      <w:r>
        <w:rPr>
          <w:shd w:val="clear" w:color="auto" w:fill="FAF9F8"/>
        </w:rPr>
        <w:t xml:space="preserve"> the </w:t>
      </w:r>
      <w:r w:rsidR="000B5CA8">
        <w:rPr>
          <w:shd w:val="clear" w:color="auto" w:fill="FAF9F8"/>
        </w:rPr>
        <w:t>R</w:t>
      </w:r>
      <w:r w:rsidR="00742316">
        <w:rPr>
          <w:shd w:val="clear" w:color="auto" w:fill="FAF9F8"/>
        </w:rPr>
        <w:t>ecipient</w:t>
      </w:r>
      <w:r>
        <w:rPr>
          <w:shd w:val="clear" w:color="auto" w:fill="FAF9F8"/>
        </w:rPr>
        <w:t xml:space="preserve"> of the </w:t>
      </w:r>
      <w:r w:rsidR="000B5CA8">
        <w:rPr>
          <w:shd w:val="clear" w:color="auto" w:fill="FAF9F8"/>
        </w:rPr>
        <w:t>E</w:t>
      </w:r>
      <w:r>
        <w:rPr>
          <w:shd w:val="clear" w:color="auto" w:fill="FAF9F8"/>
        </w:rPr>
        <w:t xml:space="preserve">nforcement </w:t>
      </w:r>
      <w:r w:rsidR="00DE46BA">
        <w:rPr>
          <w:shd w:val="clear" w:color="auto" w:fill="FAF9F8"/>
        </w:rPr>
        <w:t xml:space="preserve">or Administrative </w:t>
      </w:r>
      <w:r w:rsidR="000B5CA8">
        <w:rPr>
          <w:shd w:val="clear" w:color="auto" w:fill="FAF9F8"/>
        </w:rPr>
        <w:t>A</w:t>
      </w:r>
      <w:r>
        <w:rPr>
          <w:shd w:val="clear" w:color="auto" w:fill="FAF9F8"/>
        </w:rPr>
        <w:t>ction</w:t>
      </w:r>
      <w:r w:rsidR="00D7547D">
        <w:rPr>
          <w:shd w:val="clear" w:color="auto" w:fill="FAF9F8"/>
        </w:rPr>
        <w:t xml:space="preserve">: </w:t>
      </w:r>
      <w:r w:rsidR="00793449" w:rsidRPr="00D7547D">
        <w:rPr>
          <w:shd w:val="clear" w:color="auto" w:fill="FAF9F8"/>
        </w:rPr>
        <w:t xml:space="preserve">Because </w:t>
      </w:r>
      <w:proofErr w:type="gramStart"/>
      <w:r w:rsidR="00793449" w:rsidRPr="00D7547D">
        <w:rPr>
          <w:shd w:val="clear" w:color="auto" w:fill="FAF9F8"/>
        </w:rPr>
        <w:t>licensee</w:t>
      </w:r>
      <w:proofErr w:type="gramEnd"/>
      <w:r w:rsidR="00793449" w:rsidRPr="00D7547D">
        <w:rPr>
          <w:shd w:val="clear" w:color="auto" w:fill="FAF9F8"/>
        </w:rPr>
        <w:t xml:space="preserve"> and non-licensee </w:t>
      </w:r>
      <w:r w:rsidR="0023351D" w:rsidRPr="00D7547D">
        <w:rPr>
          <w:shd w:val="clear" w:color="auto" w:fill="FAF9F8"/>
        </w:rPr>
        <w:t>findings</w:t>
      </w:r>
      <w:r w:rsidR="00793449" w:rsidRPr="00D7547D">
        <w:rPr>
          <w:shd w:val="clear" w:color="auto" w:fill="FAF9F8"/>
        </w:rPr>
        <w:t xml:space="preserve"> are dispositioned differently, t</w:t>
      </w:r>
      <w:r w:rsidR="00742316" w:rsidRPr="00D7547D">
        <w:rPr>
          <w:shd w:val="clear" w:color="auto" w:fill="FAF9F8"/>
        </w:rPr>
        <w:t xml:space="preserve">he last step in the initial screening </w:t>
      </w:r>
      <w:r w:rsidR="004270A9" w:rsidRPr="00D7547D">
        <w:rPr>
          <w:shd w:val="clear" w:color="auto" w:fill="FAF9F8"/>
        </w:rPr>
        <w:t xml:space="preserve">process </w:t>
      </w:r>
      <w:r w:rsidR="00742316" w:rsidRPr="00D7547D">
        <w:rPr>
          <w:shd w:val="clear" w:color="auto" w:fill="FAF9F8"/>
        </w:rPr>
        <w:t xml:space="preserve">is </w:t>
      </w:r>
      <w:r w:rsidR="00BB43B8" w:rsidRPr="00D7547D">
        <w:rPr>
          <w:shd w:val="clear" w:color="auto" w:fill="FAF9F8"/>
        </w:rPr>
        <w:t xml:space="preserve">to </w:t>
      </w:r>
      <w:r w:rsidR="00742316" w:rsidRPr="00D7547D">
        <w:rPr>
          <w:shd w:val="clear" w:color="auto" w:fill="FAF9F8"/>
        </w:rPr>
        <w:t>determin</w:t>
      </w:r>
      <w:r w:rsidR="00BB43B8" w:rsidRPr="00D7547D">
        <w:rPr>
          <w:shd w:val="clear" w:color="auto" w:fill="FAF9F8"/>
        </w:rPr>
        <w:t>e</w:t>
      </w:r>
      <w:r w:rsidR="00742316" w:rsidRPr="00D7547D">
        <w:rPr>
          <w:shd w:val="clear" w:color="auto" w:fill="FAF9F8"/>
        </w:rPr>
        <w:t xml:space="preserve"> what organization is the recipient of the </w:t>
      </w:r>
      <w:r w:rsidR="001A7B7C" w:rsidRPr="00D7547D">
        <w:rPr>
          <w:shd w:val="clear" w:color="auto" w:fill="FAF9F8"/>
        </w:rPr>
        <w:t xml:space="preserve">enforcement </w:t>
      </w:r>
      <w:r w:rsidR="00DE46BA" w:rsidRPr="00D7547D">
        <w:rPr>
          <w:shd w:val="clear" w:color="auto" w:fill="FAF9F8"/>
        </w:rPr>
        <w:t xml:space="preserve">or administrative </w:t>
      </w:r>
      <w:r w:rsidR="001A7B7C" w:rsidRPr="00D7547D">
        <w:rPr>
          <w:shd w:val="clear" w:color="auto" w:fill="FAF9F8"/>
        </w:rPr>
        <w:t>action</w:t>
      </w:r>
      <w:r w:rsidR="00952ED6" w:rsidRPr="00D7547D">
        <w:rPr>
          <w:shd w:val="clear" w:color="auto" w:fill="FAF9F8"/>
        </w:rPr>
        <w:t xml:space="preserve"> </w:t>
      </w:r>
      <w:r w:rsidR="00326F35" w:rsidRPr="00D7547D">
        <w:rPr>
          <w:shd w:val="clear" w:color="auto" w:fill="FAF9F8"/>
        </w:rPr>
        <w:t xml:space="preserve">using the </w:t>
      </w:r>
      <w:r w:rsidR="00742316" w:rsidRPr="00D7547D">
        <w:rPr>
          <w:shd w:val="clear" w:color="auto" w:fill="FAF9F8"/>
        </w:rPr>
        <w:t>following guidance</w:t>
      </w:r>
      <w:r w:rsidR="00326F35" w:rsidRPr="00D7547D">
        <w:rPr>
          <w:shd w:val="clear" w:color="auto" w:fill="FAF9F8"/>
        </w:rPr>
        <w:t>:</w:t>
      </w:r>
    </w:p>
    <w:p w14:paraId="5982F0AC" w14:textId="2A08AEC9" w:rsidR="00DF466B" w:rsidRPr="00D7547D" w:rsidRDefault="001213AE" w:rsidP="00630B33">
      <w:pPr>
        <w:pStyle w:val="BodyText"/>
        <w:numPr>
          <w:ilvl w:val="1"/>
          <w:numId w:val="15"/>
        </w:numPr>
        <w:rPr>
          <w:shd w:val="clear" w:color="auto" w:fill="FAF9F8"/>
        </w:rPr>
      </w:pPr>
      <w:r>
        <w:rPr>
          <w:shd w:val="clear" w:color="auto" w:fill="FAF9F8"/>
        </w:rPr>
        <w:t xml:space="preserve">If </w:t>
      </w:r>
      <w:r w:rsidRPr="00D7547D">
        <w:t>the</w:t>
      </w:r>
      <w:r>
        <w:rPr>
          <w:shd w:val="clear" w:color="auto" w:fill="FAF9F8"/>
        </w:rPr>
        <w:t xml:space="preserve"> </w:t>
      </w:r>
      <w:r w:rsidR="000709CD">
        <w:rPr>
          <w:shd w:val="clear" w:color="auto" w:fill="FAF9F8"/>
        </w:rPr>
        <w:t>noncomp</w:t>
      </w:r>
      <w:r w:rsidR="003F54D0">
        <w:rPr>
          <w:shd w:val="clear" w:color="auto" w:fill="FAF9F8"/>
        </w:rPr>
        <w:t>liance</w:t>
      </w:r>
      <w:r>
        <w:rPr>
          <w:shd w:val="clear" w:color="auto" w:fill="FAF9F8"/>
        </w:rPr>
        <w:t xml:space="preserve"> </w:t>
      </w:r>
      <w:r w:rsidR="00655EED">
        <w:rPr>
          <w:shd w:val="clear" w:color="auto" w:fill="FAF9F8"/>
        </w:rPr>
        <w:t>occurs</w:t>
      </w:r>
      <w:r>
        <w:rPr>
          <w:shd w:val="clear" w:color="auto" w:fill="FAF9F8"/>
        </w:rPr>
        <w:t xml:space="preserve"> at a reactor plant construction site (i.e., the </w:t>
      </w:r>
      <w:r w:rsidR="00C23125">
        <w:rPr>
          <w:shd w:val="clear" w:color="auto" w:fill="FAF9F8"/>
        </w:rPr>
        <w:t>permanent</w:t>
      </w:r>
      <w:r w:rsidR="007936B9">
        <w:rPr>
          <w:shd w:val="clear" w:color="auto" w:fill="FAF9F8"/>
        </w:rPr>
        <w:t xml:space="preserve"> </w:t>
      </w:r>
      <w:r>
        <w:rPr>
          <w:shd w:val="clear" w:color="auto" w:fill="FAF9F8"/>
        </w:rPr>
        <w:t xml:space="preserve">site at which the reactor </w:t>
      </w:r>
      <w:r w:rsidR="00B17AA4">
        <w:rPr>
          <w:shd w:val="clear" w:color="auto" w:fill="FAF9F8"/>
        </w:rPr>
        <w:t xml:space="preserve">is meant to </w:t>
      </w:r>
      <w:r>
        <w:rPr>
          <w:shd w:val="clear" w:color="auto" w:fill="FAF9F8"/>
        </w:rPr>
        <w:t xml:space="preserve">operate), then the recipient </w:t>
      </w:r>
      <w:r w:rsidR="00F11E31">
        <w:rPr>
          <w:shd w:val="clear" w:color="auto" w:fill="FAF9F8"/>
        </w:rPr>
        <w:t xml:space="preserve">of the action </w:t>
      </w:r>
      <w:r>
        <w:rPr>
          <w:shd w:val="clear" w:color="auto" w:fill="FAF9F8"/>
        </w:rPr>
        <w:t xml:space="preserve">is the </w:t>
      </w:r>
      <w:r w:rsidR="007F761A">
        <w:rPr>
          <w:shd w:val="clear" w:color="auto" w:fill="FAF9F8"/>
        </w:rPr>
        <w:t xml:space="preserve">applicant </w:t>
      </w:r>
      <w:r w:rsidR="009F154B">
        <w:rPr>
          <w:shd w:val="clear" w:color="auto" w:fill="FAF9F8"/>
        </w:rPr>
        <w:t xml:space="preserve">or </w:t>
      </w:r>
      <w:r w:rsidR="005A46DF">
        <w:rPr>
          <w:shd w:val="clear" w:color="auto" w:fill="FAF9F8"/>
        </w:rPr>
        <w:t xml:space="preserve">the </w:t>
      </w:r>
      <w:r>
        <w:rPr>
          <w:shd w:val="clear" w:color="auto" w:fill="FAF9F8"/>
        </w:rPr>
        <w:t>holder</w:t>
      </w:r>
      <w:r w:rsidR="00201F6C">
        <w:rPr>
          <w:shd w:val="clear" w:color="auto" w:fill="FAF9F8"/>
        </w:rPr>
        <w:t xml:space="preserve"> </w:t>
      </w:r>
      <w:r w:rsidR="00D078FD">
        <w:rPr>
          <w:shd w:val="clear" w:color="auto" w:fill="FAF9F8"/>
        </w:rPr>
        <w:t xml:space="preserve">of </w:t>
      </w:r>
      <w:r w:rsidR="00D34416">
        <w:rPr>
          <w:shd w:val="clear" w:color="auto" w:fill="FAF9F8"/>
        </w:rPr>
        <w:t>the COL, CP,</w:t>
      </w:r>
      <w:r w:rsidR="00266CD9">
        <w:rPr>
          <w:shd w:val="clear" w:color="auto" w:fill="FAF9F8"/>
        </w:rPr>
        <w:t xml:space="preserve"> </w:t>
      </w:r>
      <w:r w:rsidR="009E2793">
        <w:rPr>
          <w:shd w:val="clear" w:color="auto" w:fill="FAF9F8"/>
        </w:rPr>
        <w:t xml:space="preserve">or </w:t>
      </w:r>
      <w:r w:rsidR="00266CD9">
        <w:rPr>
          <w:shd w:val="clear" w:color="auto" w:fill="FAF9F8"/>
        </w:rPr>
        <w:t>LWA.</w:t>
      </w:r>
      <w:r w:rsidR="005A0BF9">
        <w:rPr>
          <w:shd w:val="clear" w:color="auto" w:fill="FAF9F8"/>
        </w:rPr>
        <w:t xml:space="preserve"> Proceed to</w:t>
      </w:r>
      <w:r w:rsidR="00756FA4">
        <w:rPr>
          <w:shd w:val="clear" w:color="auto" w:fill="FAF9F8"/>
        </w:rPr>
        <w:t xml:space="preserve"> </w:t>
      </w:r>
      <w:r w:rsidR="00756FA4" w:rsidRPr="00332BAF">
        <w:rPr>
          <w:shd w:val="clear" w:color="auto" w:fill="FAF9F8"/>
        </w:rPr>
        <w:t>Section</w:t>
      </w:r>
      <w:r w:rsidR="009E2793" w:rsidRPr="00332BAF">
        <w:rPr>
          <w:shd w:val="clear" w:color="auto" w:fill="FAF9F8"/>
        </w:rPr>
        <w:t xml:space="preserve"> </w:t>
      </w:r>
      <w:r w:rsidR="00756FA4" w:rsidRPr="00332BAF">
        <w:rPr>
          <w:shd w:val="clear" w:color="auto" w:fill="FAF9F8"/>
        </w:rPr>
        <w:t>07</w:t>
      </w:r>
      <w:r w:rsidR="005A0BF9" w:rsidRPr="00332BAF">
        <w:rPr>
          <w:shd w:val="clear" w:color="auto" w:fill="FAF9F8"/>
        </w:rPr>
        <w:t>-0</w:t>
      </w:r>
      <w:r w:rsidR="00C3619B">
        <w:rPr>
          <w:shd w:val="clear" w:color="auto" w:fill="FAF9F8"/>
        </w:rPr>
        <w:t>7</w:t>
      </w:r>
      <w:r w:rsidR="005A0BF9" w:rsidRPr="00332BAF">
        <w:rPr>
          <w:shd w:val="clear" w:color="auto" w:fill="FAF9F8"/>
        </w:rPr>
        <w:t>.</w:t>
      </w:r>
    </w:p>
    <w:p w14:paraId="3640BCE5" w14:textId="160E7D87" w:rsidR="00DF466B" w:rsidRPr="00D7547D" w:rsidRDefault="00DF466B" w:rsidP="00630B33">
      <w:pPr>
        <w:pStyle w:val="BodyText"/>
        <w:numPr>
          <w:ilvl w:val="1"/>
          <w:numId w:val="15"/>
        </w:numPr>
        <w:rPr>
          <w:shd w:val="clear" w:color="auto" w:fill="FAF9F8"/>
        </w:rPr>
      </w:pPr>
      <w:r>
        <w:rPr>
          <w:shd w:val="clear" w:color="auto" w:fill="FAF9F8"/>
        </w:rPr>
        <w:t xml:space="preserve">If the </w:t>
      </w:r>
      <w:r w:rsidR="000709CD">
        <w:rPr>
          <w:shd w:val="clear" w:color="auto" w:fill="FAF9F8"/>
        </w:rPr>
        <w:t>noncomp</w:t>
      </w:r>
      <w:r w:rsidR="003F54D0">
        <w:rPr>
          <w:shd w:val="clear" w:color="auto" w:fill="FAF9F8"/>
        </w:rPr>
        <w:t>liance</w:t>
      </w:r>
      <w:r>
        <w:rPr>
          <w:shd w:val="clear" w:color="auto" w:fill="FAF9F8"/>
        </w:rPr>
        <w:t xml:space="preserve"> occur</w:t>
      </w:r>
      <w:r w:rsidR="0007392A">
        <w:rPr>
          <w:shd w:val="clear" w:color="auto" w:fill="FAF9F8"/>
        </w:rPr>
        <w:t>s</w:t>
      </w:r>
      <w:r>
        <w:rPr>
          <w:shd w:val="clear" w:color="auto" w:fill="FAF9F8"/>
        </w:rPr>
        <w:t xml:space="preserve"> at a licensed manufacturing facility, then the </w:t>
      </w:r>
      <w:r w:rsidR="00F11E31">
        <w:rPr>
          <w:shd w:val="clear" w:color="auto" w:fill="FAF9F8"/>
        </w:rPr>
        <w:t xml:space="preserve">action </w:t>
      </w:r>
      <w:r>
        <w:rPr>
          <w:shd w:val="clear" w:color="auto" w:fill="FAF9F8"/>
        </w:rPr>
        <w:t>recipient is the M</w:t>
      </w:r>
      <w:r w:rsidR="00A77FD7">
        <w:rPr>
          <w:shd w:val="clear" w:color="auto" w:fill="FAF9F8"/>
        </w:rPr>
        <w:t xml:space="preserve">L </w:t>
      </w:r>
      <w:r w:rsidR="00AB3072">
        <w:rPr>
          <w:shd w:val="clear" w:color="auto" w:fill="FAF9F8"/>
        </w:rPr>
        <w:t xml:space="preserve">applicant or </w:t>
      </w:r>
      <w:r>
        <w:rPr>
          <w:shd w:val="clear" w:color="auto" w:fill="FAF9F8"/>
        </w:rPr>
        <w:t>holder.</w:t>
      </w:r>
      <w:r w:rsidR="005A0BF9">
        <w:rPr>
          <w:shd w:val="clear" w:color="auto" w:fill="FAF9F8"/>
        </w:rPr>
        <w:t xml:space="preserve"> Proceed to</w:t>
      </w:r>
      <w:r w:rsidR="00756FA4">
        <w:rPr>
          <w:shd w:val="clear" w:color="auto" w:fill="FAF9F8"/>
        </w:rPr>
        <w:t xml:space="preserve"> Section 07-0</w:t>
      </w:r>
      <w:r w:rsidR="00C3619B">
        <w:rPr>
          <w:shd w:val="clear" w:color="auto" w:fill="FAF9F8"/>
        </w:rPr>
        <w:t>7</w:t>
      </w:r>
      <w:r w:rsidR="005A0BF9">
        <w:rPr>
          <w:shd w:val="clear" w:color="auto" w:fill="FAF9F8"/>
        </w:rPr>
        <w:t>.</w:t>
      </w:r>
    </w:p>
    <w:p w14:paraId="1FEB3A8D" w14:textId="290B152E" w:rsidR="0000289A" w:rsidRDefault="00DF466B" w:rsidP="00630B33">
      <w:pPr>
        <w:pStyle w:val="BodyText"/>
        <w:numPr>
          <w:ilvl w:val="1"/>
          <w:numId w:val="15"/>
        </w:numPr>
        <w:rPr>
          <w:shd w:val="clear" w:color="auto" w:fill="FAF9F8"/>
        </w:rPr>
        <w:sectPr w:rsidR="0000289A" w:rsidSect="006A5E1E">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noEndnote/>
          <w:docGrid w:linePitch="326"/>
        </w:sectPr>
      </w:pPr>
      <w:r>
        <w:rPr>
          <w:shd w:val="clear" w:color="auto" w:fill="FAF9F8"/>
        </w:rPr>
        <w:t xml:space="preserve">If the </w:t>
      </w:r>
      <w:r w:rsidR="000709CD">
        <w:rPr>
          <w:shd w:val="clear" w:color="auto" w:fill="FAF9F8"/>
        </w:rPr>
        <w:t>noncomp</w:t>
      </w:r>
      <w:r w:rsidR="003F54D0">
        <w:rPr>
          <w:shd w:val="clear" w:color="auto" w:fill="FAF9F8"/>
        </w:rPr>
        <w:t>liance</w:t>
      </w:r>
      <w:r>
        <w:rPr>
          <w:shd w:val="clear" w:color="auto" w:fill="FAF9F8"/>
        </w:rPr>
        <w:t xml:space="preserve"> occur</w:t>
      </w:r>
      <w:r w:rsidR="0007392A">
        <w:rPr>
          <w:shd w:val="clear" w:color="auto" w:fill="FAF9F8"/>
        </w:rPr>
        <w:t>s</w:t>
      </w:r>
      <w:r>
        <w:rPr>
          <w:shd w:val="clear" w:color="auto" w:fill="FAF9F8"/>
        </w:rPr>
        <w:t xml:space="preserve"> at a </w:t>
      </w:r>
      <w:r w:rsidR="00535BFD" w:rsidRPr="00535BFD">
        <w:rPr>
          <w:shd w:val="clear" w:color="auto" w:fill="FAF9F8"/>
        </w:rPr>
        <w:t>project vendor</w:t>
      </w:r>
      <w:r w:rsidR="009E3B67" w:rsidRPr="00535BFD">
        <w:rPr>
          <w:shd w:val="clear" w:color="auto" w:fill="FAF9F8"/>
        </w:rPr>
        <w:t>’s facility</w:t>
      </w:r>
      <w:r w:rsidRPr="00535BFD">
        <w:rPr>
          <w:shd w:val="clear" w:color="auto" w:fill="FAF9F8"/>
        </w:rPr>
        <w:t xml:space="preserve">, then the </w:t>
      </w:r>
      <w:r w:rsidR="00535BFD">
        <w:rPr>
          <w:shd w:val="clear" w:color="auto" w:fill="FAF9F8"/>
        </w:rPr>
        <w:t xml:space="preserve">enforcement </w:t>
      </w:r>
      <w:r w:rsidR="00B37C05" w:rsidRPr="00535BFD">
        <w:rPr>
          <w:shd w:val="clear" w:color="auto" w:fill="FAF9F8"/>
        </w:rPr>
        <w:t xml:space="preserve">action </w:t>
      </w:r>
      <w:r w:rsidRPr="00535BFD">
        <w:rPr>
          <w:shd w:val="clear" w:color="auto" w:fill="FAF9F8"/>
        </w:rPr>
        <w:t xml:space="preserve">recipient is the </w:t>
      </w:r>
      <w:r w:rsidR="00535BFD">
        <w:rPr>
          <w:shd w:val="clear" w:color="auto" w:fill="FAF9F8"/>
        </w:rPr>
        <w:t>project vendor</w:t>
      </w:r>
      <w:r w:rsidR="00717536" w:rsidRPr="00535BFD">
        <w:rPr>
          <w:shd w:val="clear" w:color="auto" w:fill="FAF9F8"/>
        </w:rPr>
        <w:t>.</w:t>
      </w:r>
      <w:r>
        <w:rPr>
          <w:shd w:val="clear" w:color="auto" w:fill="FAF9F8"/>
        </w:rPr>
        <w:t xml:space="preserve"> </w:t>
      </w:r>
      <w:r w:rsidR="000813EE" w:rsidRPr="000813EE">
        <w:rPr>
          <w:shd w:val="clear" w:color="auto" w:fill="FAF9F8"/>
        </w:rPr>
        <w:t xml:space="preserve">In some cases, it </w:t>
      </w:r>
      <w:r w:rsidR="008C462F" w:rsidRPr="000813EE">
        <w:rPr>
          <w:shd w:val="clear" w:color="auto" w:fill="FAF9F8"/>
        </w:rPr>
        <w:t>may also be</w:t>
      </w:r>
      <w:r w:rsidR="00DB30C8">
        <w:rPr>
          <w:shd w:val="clear" w:color="auto" w:fill="FAF9F8"/>
        </w:rPr>
        <w:t xml:space="preserve"> </w:t>
      </w:r>
      <w:r w:rsidR="000813EE" w:rsidRPr="000813EE">
        <w:rPr>
          <w:shd w:val="clear" w:color="auto" w:fill="FAF9F8"/>
        </w:rPr>
        <w:t xml:space="preserve">appropriate to issue a </w:t>
      </w:r>
      <w:r w:rsidR="00895734">
        <w:rPr>
          <w:shd w:val="clear" w:color="auto" w:fill="FAF9F8"/>
        </w:rPr>
        <w:t xml:space="preserve">separate </w:t>
      </w:r>
      <w:r w:rsidR="009E2793">
        <w:rPr>
          <w:shd w:val="clear" w:color="auto" w:fill="FAF9F8"/>
        </w:rPr>
        <w:t xml:space="preserve">enforcement </w:t>
      </w:r>
      <w:r w:rsidR="000A5BFD">
        <w:rPr>
          <w:shd w:val="clear" w:color="auto" w:fill="FAF9F8"/>
        </w:rPr>
        <w:t>action such as an NOV</w:t>
      </w:r>
      <w:r w:rsidR="00535BFD">
        <w:rPr>
          <w:shd w:val="clear" w:color="auto" w:fill="FAF9F8"/>
        </w:rPr>
        <w:t xml:space="preserve"> or </w:t>
      </w:r>
      <w:r w:rsidR="000A5BFD">
        <w:rPr>
          <w:shd w:val="clear" w:color="auto" w:fill="FAF9F8"/>
        </w:rPr>
        <w:t>NCV</w:t>
      </w:r>
      <w:r w:rsidR="00895734">
        <w:rPr>
          <w:shd w:val="clear" w:color="auto" w:fill="FAF9F8"/>
        </w:rPr>
        <w:t xml:space="preserve"> </w:t>
      </w:r>
      <w:r w:rsidR="000813EE" w:rsidRPr="000813EE">
        <w:rPr>
          <w:shd w:val="clear" w:color="auto" w:fill="FAF9F8"/>
        </w:rPr>
        <w:t xml:space="preserve">to the </w:t>
      </w:r>
      <w:r w:rsidR="00895734">
        <w:rPr>
          <w:shd w:val="clear" w:color="auto" w:fill="FAF9F8"/>
        </w:rPr>
        <w:t xml:space="preserve">applicant or </w:t>
      </w:r>
      <w:r w:rsidR="000813EE" w:rsidRPr="000813EE">
        <w:rPr>
          <w:shd w:val="clear" w:color="auto" w:fill="FAF9F8"/>
        </w:rPr>
        <w:t>license holder</w:t>
      </w:r>
      <w:r w:rsidR="000813EE">
        <w:rPr>
          <w:shd w:val="clear" w:color="auto" w:fill="FAF9F8"/>
        </w:rPr>
        <w:t xml:space="preserve"> </w:t>
      </w:r>
      <w:r w:rsidR="000813EE" w:rsidRPr="000813EE">
        <w:rPr>
          <w:shd w:val="clear" w:color="auto" w:fill="FAF9F8"/>
        </w:rPr>
        <w:t>(LWA, CP, COL, or ML)</w:t>
      </w:r>
      <w:r w:rsidR="007747FC">
        <w:rPr>
          <w:shd w:val="clear" w:color="auto" w:fill="FAF9F8"/>
        </w:rPr>
        <w:t xml:space="preserve"> if the</w:t>
      </w:r>
      <w:r w:rsidR="00B3209B">
        <w:rPr>
          <w:shd w:val="clear" w:color="auto" w:fill="FAF9F8"/>
        </w:rPr>
        <w:t>y</w:t>
      </w:r>
      <w:r w:rsidR="007747FC">
        <w:rPr>
          <w:shd w:val="clear" w:color="auto" w:fill="FAF9F8"/>
        </w:rPr>
        <w:t xml:space="preserve"> did not adequately oversee their supplier’s quality program</w:t>
      </w:r>
      <w:r w:rsidR="008C462F">
        <w:rPr>
          <w:shd w:val="clear" w:color="auto" w:fill="FAF9F8"/>
        </w:rPr>
        <w:t xml:space="preserve">, </w:t>
      </w:r>
      <w:r w:rsidR="008C462F" w:rsidRPr="00332BAF">
        <w:rPr>
          <w:shd w:val="clear" w:color="auto" w:fill="FAF9F8"/>
        </w:rPr>
        <w:t xml:space="preserve">and this lack of oversight </w:t>
      </w:r>
      <w:r w:rsidR="00A85995" w:rsidRPr="00332BAF">
        <w:rPr>
          <w:shd w:val="clear" w:color="auto" w:fill="FAF9F8"/>
        </w:rPr>
        <w:t xml:space="preserve">contributed </w:t>
      </w:r>
      <w:r w:rsidR="0079693E" w:rsidRPr="00332BAF">
        <w:rPr>
          <w:shd w:val="clear" w:color="auto" w:fill="FAF9F8"/>
        </w:rPr>
        <w:t xml:space="preserve">to </w:t>
      </w:r>
      <w:r w:rsidR="008C462F" w:rsidRPr="00332BAF">
        <w:rPr>
          <w:shd w:val="clear" w:color="auto" w:fill="FAF9F8"/>
        </w:rPr>
        <w:t xml:space="preserve">the </w:t>
      </w:r>
      <w:r w:rsidR="000709CD">
        <w:rPr>
          <w:shd w:val="clear" w:color="auto" w:fill="FAF9F8"/>
        </w:rPr>
        <w:t>noncomp</w:t>
      </w:r>
      <w:r w:rsidR="003F54D0">
        <w:rPr>
          <w:shd w:val="clear" w:color="auto" w:fill="FAF9F8"/>
        </w:rPr>
        <w:t>liance</w:t>
      </w:r>
      <w:r w:rsidR="007747FC" w:rsidRPr="00332BAF">
        <w:rPr>
          <w:shd w:val="clear" w:color="auto" w:fill="FAF9F8"/>
        </w:rPr>
        <w:t>.</w:t>
      </w:r>
      <w:r w:rsidR="00DF069E" w:rsidRPr="00332BAF">
        <w:rPr>
          <w:shd w:val="clear" w:color="auto" w:fill="FAF9F8"/>
        </w:rPr>
        <w:t xml:space="preserve"> Proceed to</w:t>
      </w:r>
      <w:r w:rsidR="00756FA4" w:rsidRPr="00332BAF">
        <w:rPr>
          <w:shd w:val="clear" w:color="auto" w:fill="FAF9F8"/>
        </w:rPr>
        <w:t xml:space="preserve"> Section</w:t>
      </w:r>
      <w:r w:rsidR="009E2793" w:rsidRPr="00332BAF">
        <w:rPr>
          <w:shd w:val="clear" w:color="auto" w:fill="FAF9F8"/>
        </w:rPr>
        <w:t xml:space="preserve"> </w:t>
      </w:r>
      <w:r w:rsidR="00756FA4" w:rsidRPr="00332BAF">
        <w:rPr>
          <w:shd w:val="clear" w:color="auto" w:fill="FAF9F8"/>
        </w:rPr>
        <w:t>07</w:t>
      </w:r>
      <w:r w:rsidR="004529AE" w:rsidRPr="00332BAF">
        <w:rPr>
          <w:shd w:val="clear" w:color="auto" w:fill="FAF9F8"/>
        </w:rPr>
        <w:t>-0</w:t>
      </w:r>
      <w:r w:rsidR="00C3619B">
        <w:rPr>
          <w:shd w:val="clear" w:color="auto" w:fill="FAF9F8"/>
        </w:rPr>
        <w:t>8</w:t>
      </w:r>
      <w:r w:rsidR="004529AE" w:rsidRPr="00332BAF">
        <w:rPr>
          <w:shd w:val="clear" w:color="auto" w:fill="FAF9F8"/>
        </w:rPr>
        <w:t>.</w:t>
      </w:r>
    </w:p>
    <w:p w14:paraId="6FB22B75" w14:textId="08D83250" w:rsidR="00485CDE" w:rsidRDefault="00485CDE" w:rsidP="00485CDE">
      <w:pPr>
        <w:pStyle w:val="Caption"/>
      </w:pPr>
      <w:bookmarkStart w:id="107" w:name="_Toc219293601"/>
      <w:r>
        <w:lastRenderedPageBreak/>
        <w:t xml:space="preserve">Figure </w:t>
      </w:r>
      <w:r w:rsidR="00C91AD8">
        <w:fldChar w:fldCharType="begin"/>
      </w:r>
      <w:r w:rsidR="00C91AD8">
        <w:instrText xml:space="preserve"> SEQ Figure \* ARABIC </w:instrText>
      </w:r>
      <w:r w:rsidR="00C91AD8">
        <w:fldChar w:fldCharType="separate"/>
      </w:r>
      <w:r w:rsidR="00C91AD8">
        <w:rPr>
          <w:noProof/>
        </w:rPr>
        <w:t>1</w:t>
      </w:r>
      <w:r w:rsidR="00C91AD8">
        <w:rPr>
          <w:noProof/>
        </w:rPr>
        <w:fldChar w:fldCharType="end"/>
      </w:r>
      <w:r w:rsidR="006A068D">
        <w:t>: Initial Screening of Noncompliances</w:t>
      </w:r>
      <w:bookmarkEnd w:id="107"/>
    </w:p>
    <w:p w14:paraId="274FCC00" w14:textId="7ADBEF12" w:rsidR="0000289A" w:rsidRDefault="0015143F" w:rsidP="00C50AD0">
      <w:pPr>
        <w:pStyle w:val="BodyText"/>
        <w:jc w:val="center"/>
        <w:rPr>
          <w:shd w:val="clear" w:color="auto" w:fill="FAF9F8"/>
        </w:rPr>
      </w:pPr>
      <w:r w:rsidRPr="0015143F">
        <w:rPr>
          <w:noProof/>
          <w:shd w:val="clear" w:color="auto" w:fill="FAF9F8"/>
        </w:rPr>
        <w:drawing>
          <wp:inline distT="0" distB="0" distL="0" distR="0" wp14:anchorId="626F7D93" wp14:editId="1982252D">
            <wp:extent cx="8392681" cy="4733766"/>
            <wp:effectExtent l="0" t="0" r="8890" b="0"/>
            <wp:docPr id="1249761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61876" name=""/>
                    <pic:cNvPicPr/>
                  </pic:nvPicPr>
                  <pic:blipFill>
                    <a:blip r:embed="rId19"/>
                    <a:stretch>
                      <a:fillRect/>
                    </a:stretch>
                  </pic:blipFill>
                  <pic:spPr>
                    <a:xfrm>
                      <a:off x="0" y="0"/>
                      <a:ext cx="8435284" cy="4757795"/>
                    </a:xfrm>
                    <a:prstGeom prst="rect">
                      <a:avLst/>
                    </a:prstGeom>
                  </pic:spPr>
                </pic:pic>
              </a:graphicData>
            </a:graphic>
          </wp:inline>
        </w:drawing>
      </w:r>
    </w:p>
    <w:p w14:paraId="60EA542C" w14:textId="7A6D1A9E" w:rsidR="0000289A" w:rsidRDefault="0000289A" w:rsidP="0000289A">
      <w:pPr>
        <w:pStyle w:val="BodyText"/>
        <w:ind w:left="1800"/>
        <w:rPr>
          <w:shd w:val="clear" w:color="auto" w:fill="FAF9F8"/>
        </w:rPr>
      </w:pPr>
    </w:p>
    <w:p w14:paraId="5A5BCF7D" w14:textId="476C845A" w:rsidR="00F20F94" w:rsidRPr="00C50AD0" w:rsidRDefault="00F20F94" w:rsidP="00C50AD0">
      <w:pPr>
        <w:pStyle w:val="BodyText"/>
        <w:rPr>
          <w:shd w:val="clear" w:color="auto" w:fill="FAF9F8"/>
        </w:rPr>
        <w:sectPr w:rsidR="00F20F94" w:rsidRPr="00C50AD0" w:rsidSect="003A3408">
          <w:headerReference w:type="even" r:id="rId20"/>
          <w:headerReference w:type="default" r:id="rId21"/>
          <w:footerReference w:type="default" r:id="rId22"/>
          <w:headerReference w:type="first" r:id="rId23"/>
          <w:pgSz w:w="15840" w:h="12240" w:orient="landscape"/>
          <w:pgMar w:top="1440" w:right="1440" w:bottom="1440" w:left="1440" w:header="720" w:footer="720" w:gutter="0"/>
          <w:cols w:space="720"/>
          <w:noEndnote/>
          <w:docGrid w:linePitch="326"/>
        </w:sectPr>
      </w:pPr>
    </w:p>
    <w:p w14:paraId="192F28B5" w14:textId="6B8C3AB5" w:rsidR="007747FC" w:rsidRDefault="001118E5" w:rsidP="001118E5">
      <w:pPr>
        <w:pStyle w:val="Heading2"/>
        <w:rPr>
          <w:highlight w:val="yellow"/>
        </w:rPr>
      </w:pPr>
      <w:bookmarkStart w:id="108" w:name="_Toc219293602"/>
      <w:r>
        <w:lastRenderedPageBreak/>
        <w:t>07.0</w:t>
      </w:r>
      <w:r w:rsidR="00C5642D">
        <w:t>7</w:t>
      </w:r>
      <w:r>
        <w:tab/>
      </w:r>
      <w:r w:rsidRPr="001118E5">
        <w:rPr>
          <w:u w:val="single"/>
        </w:rPr>
        <w:t>D</w:t>
      </w:r>
      <w:r w:rsidR="007747FC" w:rsidRPr="001118E5">
        <w:rPr>
          <w:u w:val="single"/>
        </w:rPr>
        <w:t xml:space="preserve">ispositioning Licensee </w:t>
      </w:r>
      <w:r w:rsidRPr="001118E5">
        <w:rPr>
          <w:u w:val="single"/>
        </w:rPr>
        <w:t>Findings</w:t>
      </w:r>
      <w:bookmarkEnd w:id="108"/>
    </w:p>
    <w:p w14:paraId="69D133E8" w14:textId="5828FBC8" w:rsidR="00E427FB" w:rsidRPr="005B0D58" w:rsidRDefault="00580EC3" w:rsidP="00292394">
      <w:pPr>
        <w:pStyle w:val="BodyText3"/>
      </w:pPr>
      <w:r>
        <w:t>Disposition</w:t>
      </w:r>
      <w:r w:rsidRPr="00E93F27">
        <w:t xml:space="preserve"> licensee </w:t>
      </w:r>
      <w:r w:rsidR="00711BC3">
        <w:t>findings</w:t>
      </w:r>
      <w:r>
        <w:t xml:space="preserve"> using F</w:t>
      </w:r>
      <w:r w:rsidRPr="007642C4">
        <w:t>igure</w:t>
      </w:r>
      <w:r w:rsidR="00EA1417">
        <w:t>s</w:t>
      </w:r>
      <w:r w:rsidRPr="007642C4">
        <w:t xml:space="preserve"> 2</w:t>
      </w:r>
      <w:r w:rsidRPr="00E93F27">
        <w:t xml:space="preserve"> </w:t>
      </w:r>
      <w:r w:rsidR="00EA1417">
        <w:t xml:space="preserve">and 2a, </w:t>
      </w:r>
      <w:r>
        <w:t>and the guidance below:</w:t>
      </w:r>
    </w:p>
    <w:p w14:paraId="1D018913" w14:textId="24D55A87" w:rsidR="002F74B8" w:rsidRDefault="002F74B8" w:rsidP="00630B33">
      <w:pPr>
        <w:pStyle w:val="BodyText"/>
        <w:numPr>
          <w:ilvl w:val="0"/>
          <w:numId w:val="16"/>
        </w:numPr>
      </w:pPr>
      <w:r>
        <w:t>NRC-</w:t>
      </w:r>
      <w:r w:rsidR="003D7B55">
        <w:t xml:space="preserve">identified </w:t>
      </w:r>
      <w:r>
        <w:t xml:space="preserve">or </w:t>
      </w:r>
      <w:r w:rsidR="00392F9C">
        <w:t>s</w:t>
      </w:r>
      <w:r>
        <w:t xml:space="preserve">elf-revealed </w:t>
      </w:r>
      <w:r w:rsidR="00392F9C">
        <w:t>f</w:t>
      </w:r>
      <w:r w:rsidR="00F6689D">
        <w:t>inding</w:t>
      </w:r>
      <w:r w:rsidR="005B0D58">
        <w:t xml:space="preserve">: </w:t>
      </w:r>
      <w:r w:rsidR="00C03C0A">
        <w:t xml:space="preserve">At this point in the screening process, the </w:t>
      </w:r>
      <w:r w:rsidR="00F6689D">
        <w:t>finding</w:t>
      </w:r>
      <w:r w:rsidR="00C03C0A">
        <w:t xml:space="preserve"> is either NRC-Identified or self-revealing since it has been screened to determine if it is an SCN</w:t>
      </w:r>
      <w:r w:rsidR="00E73EED">
        <w:t xml:space="preserve"> in</w:t>
      </w:r>
      <w:r w:rsidR="00756FA4">
        <w:t xml:space="preserve"> </w:t>
      </w:r>
      <w:r w:rsidR="00756FA4" w:rsidRPr="00332BAF">
        <w:t>Section</w:t>
      </w:r>
      <w:r w:rsidR="00E73EED" w:rsidRPr="00332BAF">
        <w:t xml:space="preserve"> </w:t>
      </w:r>
      <w:r w:rsidR="00756FA4" w:rsidRPr="00332BAF">
        <w:t>07</w:t>
      </w:r>
      <w:r w:rsidR="00E73EED" w:rsidRPr="00332BAF">
        <w:t>-0</w:t>
      </w:r>
      <w:r w:rsidR="003D0AA3">
        <w:t>6</w:t>
      </w:r>
      <w:r w:rsidR="00E73EED" w:rsidRPr="00332BAF">
        <w:t>.</w:t>
      </w:r>
      <w:r w:rsidR="00C03C0A" w:rsidRPr="00332BAF">
        <w:t xml:space="preserve"> </w:t>
      </w:r>
    </w:p>
    <w:p w14:paraId="64D5BB3B" w14:textId="3918BC09" w:rsidR="00432C01" w:rsidRPr="00E02AB6" w:rsidRDefault="0051611E" w:rsidP="00630B33">
      <w:pPr>
        <w:pStyle w:val="BodyText"/>
        <w:numPr>
          <w:ilvl w:val="0"/>
          <w:numId w:val="16"/>
        </w:numPr>
      </w:pPr>
      <w:r>
        <w:t xml:space="preserve">Legally binding </w:t>
      </w:r>
      <w:r w:rsidR="00255047">
        <w:t>requirement?</w:t>
      </w:r>
      <w:r w:rsidR="00432C01" w:rsidRPr="00E02AB6">
        <w:t xml:space="preserve"> </w:t>
      </w:r>
    </w:p>
    <w:p w14:paraId="746A68F0" w14:textId="7282B838" w:rsidR="006F3854" w:rsidRDefault="00BE210B" w:rsidP="00630B33">
      <w:pPr>
        <w:pStyle w:val="BodyText"/>
        <w:numPr>
          <w:ilvl w:val="1"/>
          <w:numId w:val="16"/>
        </w:numPr>
      </w:pPr>
      <w:r>
        <w:t>Findings</w:t>
      </w:r>
      <w:r w:rsidR="00432C01" w:rsidRPr="00E50654">
        <w:t xml:space="preserve"> associated with legally binding requirements </w:t>
      </w:r>
      <w:r w:rsidR="00E13256">
        <w:t>(see definition of “</w:t>
      </w:r>
      <w:r w:rsidR="000709CD">
        <w:t>noncomp</w:t>
      </w:r>
      <w:r w:rsidR="003F54D0">
        <w:t>liance</w:t>
      </w:r>
      <w:r w:rsidR="00E13256">
        <w:t>” i</w:t>
      </w:r>
      <w:r w:rsidR="00EF39AA">
        <w:t>n</w:t>
      </w:r>
      <w:r w:rsidR="00756FA4">
        <w:t xml:space="preserve"> Section</w:t>
      </w:r>
      <w:r w:rsidR="00E13256">
        <w:t xml:space="preserve"> 2571-04) </w:t>
      </w:r>
      <w:r w:rsidR="00432C01" w:rsidRPr="00E50654">
        <w:t xml:space="preserve">are </w:t>
      </w:r>
      <w:r w:rsidR="00DF0296">
        <w:t xml:space="preserve">normally documented </w:t>
      </w:r>
      <w:r w:rsidR="00B96FF9">
        <w:t>with an associated</w:t>
      </w:r>
      <w:r w:rsidR="00DF0296">
        <w:t xml:space="preserve"> </w:t>
      </w:r>
      <w:r w:rsidR="00432C01" w:rsidRPr="00E50654">
        <w:t>violation.</w:t>
      </w:r>
    </w:p>
    <w:p w14:paraId="3832B1CA" w14:textId="69856B80" w:rsidR="00B31D61" w:rsidRPr="009F4869" w:rsidRDefault="0012420D" w:rsidP="00630B33">
      <w:pPr>
        <w:pStyle w:val="BodyText"/>
        <w:numPr>
          <w:ilvl w:val="1"/>
          <w:numId w:val="16"/>
        </w:numPr>
      </w:pPr>
      <w:r>
        <w:t>Findings associated with a</w:t>
      </w:r>
      <w:r w:rsidR="008C4AB4">
        <w:t xml:space="preserve"> licensee’s failure to satisfy a </w:t>
      </w:r>
      <w:r w:rsidR="006F3854">
        <w:t>non-</w:t>
      </w:r>
      <w:r w:rsidR="00432C01" w:rsidRPr="00E02AB6">
        <w:t xml:space="preserve">legally binding requirement </w:t>
      </w:r>
      <w:r w:rsidR="008E4306">
        <w:t xml:space="preserve">(e.g., </w:t>
      </w:r>
      <w:r w:rsidR="00432C01" w:rsidRPr="00E02AB6">
        <w:t xml:space="preserve">self-imposed standards, or codes and standards used by the licensee but not </w:t>
      </w:r>
      <w:r w:rsidR="006F3854">
        <w:t xml:space="preserve">legally required </w:t>
      </w:r>
      <w:r w:rsidR="00432C01" w:rsidRPr="00E02AB6">
        <w:t>as part of their licensing basis</w:t>
      </w:r>
      <w:r w:rsidR="00416176">
        <w:t>)</w:t>
      </w:r>
      <w:r w:rsidR="00432C01" w:rsidRPr="009B0DD3">
        <w:t xml:space="preserve"> </w:t>
      </w:r>
      <w:r w:rsidR="0008270A">
        <w:t>are not documented with a violation</w:t>
      </w:r>
      <w:r w:rsidR="000523BD">
        <w:t>.</w:t>
      </w:r>
    </w:p>
    <w:p w14:paraId="0DC35753" w14:textId="2A6283AA" w:rsidR="00123A17" w:rsidRDefault="00FE2791" w:rsidP="00630B33">
      <w:pPr>
        <w:pStyle w:val="BodyText"/>
        <w:numPr>
          <w:ilvl w:val="0"/>
          <w:numId w:val="16"/>
        </w:numPr>
      </w:pPr>
      <w:r>
        <w:t>Determine</w:t>
      </w:r>
      <w:r w:rsidR="00123A17">
        <w:t xml:space="preserve"> the safety or security significance of the </w:t>
      </w:r>
      <w:r w:rsidR="00BE2BE1">
        <w:t>finding</w:t>
      </w:r>
      <w:r w:rsidR="00123A17">
        <w:t>.</w:t>
      </w:r>
      <w:r>
        <w:t xml:space="preserve"> </w:t>
      </w:r>
      <w:r w:rsidR="00123A17">
        <w:t xml:space="preserve">NRC staff </w:t>
      </w:r>
      <w:proofErr w:type="gramStart"/>
      <w:r w:rsidR="00123A17">
        <w:t>shall</w:t>
      </w:r>
      <w:proofErr w:type="gramEnd"/>
      <w:r w:rsidR="00123A17">
        <w:t xml:space="preserve"> use </w:t>
      </w:r>
      <w:r w:rsidR="00252DB4">
        <w:t>Attachment 3</w:t>
      </w:r>
      <w:r w:rsidR="00123A17">
        <w:t xml:space="preserve"> to determine the significance of </w:t>
      </w:r>
      <w:r w:rsidR="00C3333F">
        <w:t xml:space="preserve">ARCOP </w:t>
      </w:r>
      <w:r w:rsidR="00AD2CC5">
        <w:t>findings</w:t>
      </w:r>
      <w:r w:rsidR="00123A17">
        <w:t xml:space="preserve">. </w:t>
      </w:r>
    </w:p>
    <w:p w14:paraId="5B3C58C9" w14:textId="65B4E4B6" w:rsidR="003579EE" w:rsidRDefault="003579EE" w:rsidP="00630B33">
      <w:pPr>
        <w:pStyle w:val="BodyText"/>
        <w:numPr>
          <w:ilvl w:val="0"/>
          <w:numId w:val="16"/>
        </w:numPr>
      </w:pPr>
      <w:r>
        <w:t xml:space="preserve">Dispositioning </w:t>
      </w:r>
      <w:r w:rsidR="00AD2CC5">
        <w:t>Greater than Green Findings</w:t>
      </w:r>
      <w:r w:rsidR="0056489D">
        <w:t xml:space="preserve">: </w:t>
      </w:r>
      <w:r>
        <w:t xml:space="preserve">If the significance of the </w:t>
      </w:r>
      <w:r w:rsidR="008652E9">
        <w:t xml:space="preserve">finding </w:t>
      </w:r>
      <w:r>
        <w:t xml:space="preserve">is potentially greater than green, </w:t>
      </w:r>
      <w:r w:rsidR="00F769D6">
        <w:t xml:space="preserve">enter the </w:t>
      </w:r>
      <w:r w:rsidR="00AE05B6">
        <w:t>Enforcement Review Panel process</w:t>
      </w:r>
      <w:r w:rsidRPr="00332BAF">
        <w:t>.</w:t>
      </w:r>
      <w:r w:rsidR="00AE05B6">
        <w:t xml:space="preserve"> The Enforcement Review Panel is responsible for determining the final significance of the finding.</w:t>
      </w:r>
    </w:p>
    <w:p w14:paraId="4FF30759" w14:textId="075F7EFB" w:rsidR="00A16542" w:rsidRDefault="00094430" w:rsidP="00630B33">
      <w:pPr>
        <w:pStyle w:val="BodyText"/>
        <w:numPr>
          <w:ilvl w:val="0"/>
          <w:numId w:val="16"/>
        </w:numPr>
      </w:pPr>
      <w:r>
        <w:t xml:space="preserve">If the </w:t>
      </w:r>
      <w:r w:rsidR="00AC2DD8">
        <w:t>finding</w:t>
      </w:r>
      <w:r>
        <w:t xml:space="preserve"> is screened as </w:t>
      </w:r>
      <w:r w:rsidR="00AC2DD8">
        <w:t>g</w:t>
      </w:r>
      <w:r>
        <w:t>reen, then d</w:t>
      </w:r>
      <w:r w:rsidR="00E7668A">
        <w:t xml:space="preserve">etermine </w:t>
      </w:r>
      <w:r w:rsidR="00A16542">
        <w:t>if the requirements for issuing an NCV are met.</w:t>
      </w:r>
      <w:r w:rsidR="00D704A5">
        <w:t xml:space="preserve"> If the requirements for issuing an NCV </w:t>
      </w:r>
      <w:r w:rsidR="00EE35F0">
        <w:t xml:space="preserve">for the associated violation </w:t>
      </w:r>
      <w:r w:rsidR="00D704A5">
        <w:t xml:space="preserve">are not met, then disposition the </w:t>
      </w:r>
      <w:r w:rsidR="00EE35F0">
        <w:t xml:space="preserve">associated </w:t>
      </w:r>
      <w:r w:rsidR="00D704A5">
        <w:t>violation as an NOV.</w:t>
      </w:r>
    </w:p>
    <w:p w14:paraId="7C74E1D1" w14:textId="455D7956" w:rsidR="00B318C2" w:rsidRPr="00B753C4" w:rsidRDefault="009F2E17" w:rsidP="00E46832">
      <w:pPr>
        <w:pStyle w:val="BodyText3"/>
      </w:pPr>
      <w:r>
        <w:t xml:space="preserve">If a licensee has implemented a </w:t>
      </w:r>
      <w:r w:rsidR="00C23F76">
        <w:t>CAP</w:t>
      </w:r>
      <w:r>
        <w:t xml:space="preserve"> that is determined to be </w:t>
      </w:r>
      <w:r w:rsidR="005924E3">
        <w:t xml:space="preserve">adequate </w:t>
      </w:r>
      <w:r>
        <w:t>by the NRC,</w:t>
      </w:r>
      <w:r>
        <w:rPr>
          <w:sz w:val="14"/>
          <w:szCs w:val="14"/>
        </w:rPr>
        <w:t xml:space="preserve"> </w:t>
      </w:r>
      <w:r w:rsidR="00C23F76">
        <w:t xml:space="preserve">then </w:t>
      </w:r>
      <w:r>
        <w:t xml:space="preserve">the NRC will normally </w:t>
      </w:r>
      <w:proofErr w:type="gramStart"/>
      <w:r>
        <w:t>disposition</w:t>
      </w:r>
      <w:proofErr w:type="gramEnd"/>
      <w:r>
        <w:t xml:space="preserve"> </w:t>
      </w:r>
      <w:r w:rsidR="00E34669">
        <w:t>SL</w:t>
      </w:r>
      <w:r w:rsidR="00FD1BC8">
        <w:t>-</w:t>
      </w:r>
      <w:r w:rsidR="00E34669">
        <w:t xml:space="preserve">IV </w:t>
      </w:r>
      <w:r>
        <w:t xml:space="preserve">violations </w:t>
      </w:r>
      <w:r w:rsidR="00DF1558">
        <w:t xml:space="preserve">(including </w:t>
      </w:r>
      <w:r w:rsidR="00EE35F0">
        <w:t xml:space="preserve">those associated with </w:t>
      </w:r>
      <w:r w:rsidR="00DF1558">
        <w:t xml:space="preserve">green ARCOP </w:t>
      </w:r>
      <w:r w:rsidR="00EE35F0">
        <w:t>findings</w:t>
      </w:r>
      <w:r w:rsidR="00DF1558">
        <w:t xml:space="preserve">) </w:t>
      </w:r>
      <w:r>
        <w:t>as NCVs if all the criteria in paragraph 2.3.2.a of the Enforcement Policy are met.</w:t>
      </w:r>
    </w:p>
    <w:p w14:paraId="6AA75051" w14:textId="47857946" w:rsidR="009C796B" w:rsidRPr="00332BAF" w:rsidRDefault="00A24437" w:rsidP="00630B33">
      <w:pPr>
        <w:pStyle w:val="BodyText"/>
        <w:numPr>
          <w:ilvl w:val="0"/>
          <w:numId w:val="16"/>
        </w:numPr>
      </w:pPr>
      <w:r w:rsidRPr="00FE2791">
        <w:t xml:space="preserve">If the </w:t>
      </w:r>
      <w:r w:rsidR="00FE2791" w:rsidRPr="00FE2791">
        <w:t>finding</w:t>
      </w:r>
      <w:r w:rsidRPr="00FE2791">
        <w:t xml:space="preserve"> </w:t>
      </w:r>
      <w:r w:rsidR="003E48BA" w:rsidRPr="00FE2791">
        <w:t xml:space="preserve">is not associated with a legally binding </w:t>
      </w:r>
      <w:r w:rsidR="00510069" w:rsidRPr="00FE2791">
        <w:t xml:space="preserve">requirement, then </w:t>
      </w:r>
      <w:r w:rsidR="00E35D93" w:rsidRPr="00FE2791">
        <w:t xml:space="preserve">determine the safety or security significance of the </w:t>
      </w:r>
      <w:r w:rsidR="00FE2791" w:rsidRPr="00332BAF">
        <w:t>finding</w:t>
      </w:r>
      <w:r w:rsidR="00E35D93" w:rsidRPr="00332BAF">
        <w:t>.</w:t>
      </w:r>
      <w:r w:rsidR="00FE2791" w:rsidRPr="00332BAF">
        <w:t xml:space="preserve"> NRC staff </w:t>
      </w:r>
      <w:proofErr w:type="gramStart"/>
      <w:r w:rsidR="00FE2791" w:rsidRPr="00332BAF">
        <w:t>shall</w:t>
      </w:r>
      <w:proofErr w:type="gramEnd"/>
      <w:r w:rsidR="00FE2791" w:rsidRPr="00332BAF">
        <w:t xml:space="preserve"> use </w:t>
      </w:r>
      <w:r w:rsidR="00252DB4" w:rsidRPr="00332BAF">
        <w:t>Attachment 3</w:t>
      </w:r>
      <w:r w:rsidR="00FE2791" w:rsidRPr="00332BAF">
        <w:t xml:space="preserve"> to determine the significance of the finding. </w:t>
      </w:r>
    </w:p>
    <w:p w14:paraId="7198AC9E" w14:textId="31DCCD8D" w:rsidR="009C0514" w:rsidRPr="00B753C4" w:rsidRDefault="00C03894" w:rsidP="00630B33">
      <w:pPr>
        <w:pStyle w:val="BodyText"/>
        <w:numPr>
          <w:ilvl w:val="0"/>
          <w:numId w:val="16"/>
        </w:numPr>
      </w:pPr>
      <w:r w:rsidRPr="00332BAF">
        <w:t xml:space="preserve">For </w:t>
      </w:r>
      <w:r w:rsidR="00E61E31" w:rsidRPr="00332BAF">
        <w:t xml:space="preserve">green </w:t>
      </w:r>
      <w:r w:rsidRPr="00332BAF">
        <w:t>fi</w:t>
      </w:r>
      <w:r w:rsidR="00E61E31" w:rsidRPr="00332BAF">
        <w:t>ndings without violations, d</w:t>
      </w:r>
      <w:r w:rsidR="00EC6FAA" w:rsidRPr="00332BAF">
        <w:t>etermine if</w:t>
      </w:r>
      <w:r w:rsidR="00EC6FAA">
        <w:t xml:space="preserve"> the </w:t>
      </w:r>
      <w:r w:rsidR="00B12489">
        <w:t xml:space="preserve">NRC has reviewed the licensee’s CAP </w:t>
      </w:r>
      <w:r w:rsidR="00274323">
        <w:t>and determined it to be effective. S</w:t>
      </w:r>
      <w:r w:rsidR="00B12489">
        <w:t>ee IMC 2574</w:t>
      </w:r>
      <w:r w:rsidR="00274323">
        <w:t xml:space="preserve"> for details of NRC CAP reviews </w:t>
      </w:r>
      <w:r w:rsidR="009C0514">
        <w:t xml:space="preserve">for </w:t>
      </w:r>
      <w:r w:rsidR="00274323">
        <w:t>construction</w:t>
      </w:r>
      <w:r w:rsidR="009C0514">
        <w:t xml:space="preserve"> </w:t>
      </w:r>
      <w:proofErr w:type="gramStart"/>
      <w:r w:rsidR="009C0514">
        <w:t>licensees</w:t>
      </w:r>
      <w:proofErr w:type="gramEnd"/>
      <w:r w:rsidR="00274323">
        <w:t>.</w:t>
      </w:r>
    </w:p>
    <w:p w14:paraId="28E10340" w14:textId="6D1D7076" w:rsidR="002E2E7B" w:rsidRDefault="00CA356C" w:rsidP="00B753C4">
      <w:pPr>
        <w:pStyle w:val="BodyText"/>
        <w:ind w:left="720"/>
        <w:sectPr w:rsidR="002E2E7B" w:rsidSect="00530534">
          <w:headerReference w:type="even" r:id="rId24"/>
          <w:headerReference w:type="default" r:id="rId25"/>
          <w:footerReference w:type="default" r:id="rId26"/>
          <w:headerReference w:type="first" r:id="rId27"/>
          <w:pgSz w:w="12240" w:h="15840"/>
          <w:pgMar w:top="1440" w:right="1440" w:bottom="1440" w:left="1440" w:header="720" w:footer="720" w:gutter="0"/>
          <w:cols w:space="720"/>
          <w:noEndnote/>
          <w:docGrid w:linePitch="326"/>
        </w:sectPr>
      </w:pPr>
      <w:r>
        <w:t xml:space="preserve">If the licensee’s CAP has been reviewed and is </w:t>
      </w:r>
      <w:r w:rsidR="00AB46AA">
        <w:t>adequate</w:t>
      </w:r>
      <w:r>
        <w:t xml:space="preserve">, then disposition the finding as a </w:t>
      </w:r>
      <w:r w:rsidR="00A371CA">
        <w:t xml:space="preserve">green </w:t>
      </w:r>
      <w:r>
        <w:t xml:space="preserve">Finding (FIN). If not, then </w:t>
      </w:r>
      <w:proofErr w:type="gramStart"/>
      <w:r>
        <w:t>disposition</w:t>
      </w:r>
      <w:proofErr w:type="gramEnd"/>
      <w:r>
        <w:t xml:space="preserve"> the finding </w:t>
      </w:r>
      <w:r w:rsidR="00C71169">
        <w:t>with an associated</w:t>
      </w:r>
      <w:r w:rsidR="006E2ACA">
        <w:t xml:space="preserve"> notice of deviation (</w:t>
      </w:r>
      <w:r>
        <w:t>NOD</w:t>
      </w:r>
      <w:r w:rsidR="006E2ACA">
        <w:t>)</w:t>
      </w:r>
      <w:r w:rsidR="009E477F">
        <w:t>.</w:t>
      </w:r>
      <w:r w:rsidR="00207A97">
        <w:t xml:space="preserve"> Confidence in the licensee’s CAP </w:t>
      </w:r>
      <w:r w:rsidR="00404837">
        <w:t xml:space="preserve">facilitates closing </w:t>
      </w:r>
      <w:r w:rsidR="00A371CA">
        <w:t xml:space="preserve">green </w:t>
      </w:r>
      <w:r w:rsidR="00404837">
        <w:t>FIN</w:t>
      </w:r>
      <w:r w:rsidR="00A371CA">
        <w:t>s without a formal review by the NRC staff.</w:t>
      </w:r>
      <w:r w:rsidR="00B53077">
        <w:t xml:space="preserve"> </w:t>
      </w:r>
      <w:r w:rsidR="00A5697F">
        <w:t xml:space="preserve">The NRC staff will review </w:t>
      </w:r>
      <w:r w:rsidR="00B53077">
        <w:t>NOD</w:t>
      </w:r>
      <w:r w:rsidR="00A5697F">
        <w:t xml:space="preserve"> response</w:t>
      </w:r>
      <w:r w:rsidR="007A3FD0">
        <w:t>s</w:t>
      </w:r>
      <w:r w:rsidR="00A5697F">
        <w:t xml:space="preserve"> and may reinspect issue</w:t>
      </w:r>
      <w:r w:rsidR="007A3FD0">
        <w:t>s</w:t>
      </w:r>
      <w:r w:rsidR="00A5697F">
        <w:t xml:space="preserve"> prior to NOD closure.</w:t>
      </w:r>
    </w:p>
    <w:p w14:paraId="3E495B59" w14:textId="6AE60525" w:rsidR="006A068D" w:rsidRDefault="006A068D" w:rsidP="006A068D">
      <w:pPr>
        <w:pStyle w:val="Caption"/>
      </w:pPr>
      <w:bookmarkStart w:id="109" w:name="_Toc219293603"/>
      <w:r>
        <w:lastRenderedPageBreak/>
        <w:t xml:space="preserve">Figure </w:t>
      </w:r>
      <w:r w:rsidR="00C91AD8">
        <w:fldChar w:fldCharType="begin"/>
      </w:r>
      <w:r w:rsidR="00C91AD8">
        <w:instrText xml:space="preserve"> SEQ Figure \* ARABIC </w:instrText>
      </w:r>
      <w:r w:rsidR="00C91AD8">
        <w:fldChar w:fldCharType="separate"/>
      </w:r>
      <w:r w:rsidR="00C91AD8">
        <w:rPr>
          <w:noProof/>
        </w:rPr>
        <w:t>2</w:t>
      </w:r>
      <w:r w:rsidR="00C91AD8">
        <w:rPr>
          <w:noProof/>
        </w:rPr>
        <w:fldChar w:fldCharType="end"/>
      </w:r>
      <w:r>
        <w:t>: Dispositioning Licensee Findings</w:t>
      </w:r>
      <w:bookmarkEnd w:id="109"/>
    </w:p>
    <w:p w14:paraId="0C2F1965" w14:textId="642634FF" w:rsidR="002E2E7B" w:rsidRDefault="000C129E" w:rsidP="00611F71">
      <w:pPr>
        <w:jc w:val="center"/>
        <w:rPr>
          <w:sz w:val="22"/>
          <w:szCs w:val="22"/>
        </w:rPr>
      </w:pPr>
      <w:r w:rsidRPr="000C129E">
        <w:rPr>
          <w:noProof/>
          <w:sz w:val="22"/>
          <w:szCs w:val="22"/>
        </w:rPr>
        <w:drawing>
          <wp:inline distT="0" distB="0" distL="0" distR="0" wp14:anchorId="28CC1632" wp14:editId="41E9A2A6">
            <wp:extent cx="5752314" cy="4041648"/>
            <wp:effectExtent l="0" t="0" r="1270" b="0"/>
            <wp:docPr id="54766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64924" name=""/>
                    <pic:cNvPicPr/>
                  </pic:nvPicPr>
                  <pic:blipFill>
                    <a:blip r:embed="rId28"/>
                    <a:stretch>
                      <a:fillRect/>
                    </a:stretch>
                  </pic:blipFill>
                  <pic:spPr>
                    <a:xfrm>
                      <a:off x="0" y="0"/>
                      <a:ext cx="5764215" cy="4050010"/>
                    </a:xfrm>
                    <a:prstGeom prst="rect">
                      <a:avLst/>
                    </a:prstGeom>
                  </pic:spPr>
                </pic:pic>
              </a:graphicData>
            </a:graphic>
          </wp:inline>
        </w:drawing>
      </w:r>
    </w:p>
    <w:p w14:paraId="111EFC6C" w14:textId="77777777" w:rsidR="002E2E7B" w:rsidRDefault="002E2E7B" w:rsidP="00E67EC3">
      <w:pPr>
        <w:pStyle w:val="BodyText"/>
      </w:pPr>
    </w:p>
    <w:p w14:paraId="762346A0" w14:textId="77777777" w:rsidR="00AC549F" w:rsidRDefault="00AC549F" w:rsidP="00E67EC3">
      <w:pPr>
        <w:pStyle w:val="BodyText"/>
      </w:pPr>
    </w:p>
    <w:p w14:paraId="2083C19C" w14:textId="77777777" w:rsidR="002E2E7B" w:rsidRDefault="002E2E7B" w:rsidP="00E67EC3">
      <w:pPr>
        <w:pStyle w:val="BodyText"/>
      </w:pPr>
    </w:p>
    <w:p w14:paraId="76EA8FB7" w14:textId="5A9ADF3C" w:rsidR="00557985" w:rsidRDefault="00557985" w:rsidP="00557985">
      <w:pPr>
        <w:pStyle w:val="Caption"/>
      </w:pPr>
      <w:bookmarkStart w:id="110" w:name="_Toc219293604"/>
      <w:r>
        <w:t>Figure 2a: Dispositioning Licensee Findings (continued)</w:t>
      </w:r>
      <w:bookmarkEnd w:id="110"/>
    </w:p>
    <w:p w14:paraId="22303FE7" w14:textId="76613CE2" w:rsidR="00AC549F" w:rsidRDefault="00387DCF" w:rsidP="00AC549F">
      <w:pPr>
        <w:jc w:val="center"/>
        <w:rPr>
          <w:noProof/>
          <w:sz w:val="22"/>
          <w:szCs w:val="22"/>
        </w:rPr>
        <w:sectPr w:rsidR="00AC549F" w:rsidSect="00981A5F">
          <w:headerReference w:type="even" r:id="rId29"/>
          <w:headerReference w:type="default" r:id="rId30"/>
          <w:headerReference w:type="first" r:id="rId31"/>
          <w:pgSz w:w="12240" w:h="15840"/>
          <w:pgMar w:top="1440" w:right="1440" w:bottom="1440" w:left="1440" w:header="720" w:footer="720" w:gutter="0"/>
          <w:cols w:space="720"/>
          <w:noEndnote/>
          <w:docGrid w:linePitch="326"/>
        </w:sectPr>
      </w:pPr>
      <w:r w:rsidRPr="00387DCF">
        <w:rPr>
          <w:noProof/>
          <w:sz w:val="22"/>
          <w:szCs w:val="22"/>
        </w:rPr>
        <w:drawing>
          <wp:inline distT="0" distB="0" distL="0" distR="0" wp14:anchorId="0B69AAD5" wp14:editId="07C646AF">
            <wp:extent cx="6342380" cy="2020824"/>
            <wp:effectExtent l="0" t="0" r="1270" b="0"/>
            <wp:docPr id="44535890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58909" name="Picture 1" descr="Diagram&#10;&#10;AI-generated content may be incorrect."/>
                    <pic:cNvPicPr/>
                  </pic:nvPicPr>
                  <pic:blipFill>
                    <a:blip r:embed="rId32"/>
                    <a:stretch>
                      <a:fillRect/>
                    </a:stretch>
                  </pic:blipFill>
                  <pic:spPr>
                    <a:xfrm>
                      <a:off x="0" y="0"/>
                      <a:ext cx="6381230" cy="2033203"/>
                    </a:xfrm>
                    <a:prstGeom prst="rect">
                      <a:avLst/>
                    </a:prstGeom>
                  </pic:spPr>
                </pic:pic>
              </a:graphicData>
            </a:graphic>
          </wp:inline>
        </w:drawing>
      </w:r>
    </w:p>
    <w:p w14:paraId="1BF90E2D" w14:textId="2781A169" w:rsidR="004E2E4D" w:rsidRDefault="004E2E4D" w:rsidP="00C11DA0">
      <w:pPr>
        <w:pStyle w:val="Heading2"/>
        <w:rPr>
          <w:highlight w:val="yellow"/>
        </w:rPr>
      </w:pPr>
      <w:bookmarkStart w:id="111" w:name="_Toc219293605"/>
      <w:r>
        <w:lastRenderedPageBreak/>
        <w:t>07.0</w:t>
      </w:r>
      <w:r w:rsidR="00C5642D">
        <w:t>8</w:t>
      </w:r>
      <w:r>
        <w:tab/>
      </w:r>
      <w:r w:rsidRPr="001118E5">
        <w:rPr>
          <w:u w:val="single"/>
        </w:rPr>
        <w:t xml:space="preserve">Dispositioning </w:t>
      </w:r>
      <w:r>
        <w:rPr>
          <w:u w:val="single"/>
        </w:rPr>
        <w:t>Non-</w:t>
      </w:r>
      <w:r w:rsidRPr="001118E5">
        <w:rPr>
          <w:u w:val="single"/>
        </w:rPr>
        <w:t>Licensee Findings</w:t>
      </w:r>
      <w:bookmarkEnd w:id="111"/>
    </w:p>
    <w:p w14:paraId="3239DCA9" w14:textId="02A3AC1E" w:rsidR="0039712A" w:rsidRPr="004E2E4D" w:rsidRDefault="00467ACB" w:rsidP="00436D31">
      <w:pPr>
        <w:pStyle w:val="BodyText3"/>
      </w:pPr>
      <w:r>
        <w:t>Disposition</w:t>
      </w:r>
      <w:r w:rsidRPr="00E93F27">
        <w:t xml:space="preserve"> </w:t>
      </w:r>
      <w:r>
        <w:t>non-</w:t>
      </w:r>
      <w:r w:rsidRPr="00E93F27">
        <w:t xml:space="preserve">licensee </w:t>
      </w:r>
      <w:r w:rsidR="00125045">
        <w:t>findings</w:t>
      </w:r>
      <w:r>
        <w:t xml:space="preserve"> using F</w:t>
      </w:r>
      <w:r w:rsidRPr="007642C4">
        <w:t xml:space="preserve">igure </w:t>
      </w:r>
      <w:r>
        <w:t>3</w:t>
      </w:r>
      <w:r w:rsidR="00EA1417">
        <w:t xml:space="preserve">, </w:t>
      </w:r>
      <w:r>
        <w:t>and the guidance below</w:t>
      </w:r>
      <w:r w:rsidR="00473284">
        <w:t xml:space="preserve">. </w:t>
      </w:r>
      <w:r w:rsidR="00E33F53">
        <w:t xml:space="preserve">Note that non-licensee </w:t>
      </w:r>
      <w:r w:rsidR="000709CD">
        <w:t>noncomp</w:t>
      </w:r>
      <w:r w:rsidR="003F54D0">
        <w:t>liance</w:t>
      </w:r>
      <w:r w:rsidR="00E33F53">
        <w:t xml:space="preserve">s that are violations of directly imposed </w:t>
      </w:r>
      <w:r w:rsidR="00E33F53" w:rsidRPr="00332BAF">
        <w:t xml:space="preserve">NRC requirements (e.g., 10 CFR Part 21) </w:t>
      </w:r>
      <w:r w:rsidR="00736005" w:rsidRPr="00332BAF">
        <w:t>are dispositioned using TE</w:t>
      </w:r>
      <w:r w:rsidR="0086142A" w:rsidRPr="00332BAF">
        <w:t xml:space="preserve"> following the directions of</w:t>
      </w:r>
      <w:r w:rsidR="00756FA4" w:rsidRPr="00332BAF">
        <w:t xml:space="preserve"> Section</w:t>
      </w:r>
      <w:r w:rsidR="008D3ACA" w:rsidRPr="00332BAF">
        <w:t xml:space="preserve"> 07.0</w:t>
      </w:r>
      <w:r w:rsidR="00E16444">
        <w:t>6</w:t>
      </w:r>
      <w:r w:rsidR="008D3ACA" w:rsidRPr="00332BAF">
        <w:t xml:space="preserve"> and Figure 1, “Initial Screening of </w:t>
      </w:r>
      <w:r w:rsidR="000709CD">
        <w:t>Noncomp</w:t>
      </w:r>
      <w:r w:rsidR="003F54D0">
        <w:t>liance</w:t>
      </w:r>
      <w:r w:rsidR="008D3ACA" w:rsidRPr="00332BAF">
        <w:t>s.</w:t>
      </w:r>
      <w:r w:rsidR="00FC342A" w:rsidRPr="00FC342A">
        <w:rPr>
          <w:noProof/>
        </w:rPr>
        <w:t xml:space="preserve"> </w:t>
      </w:r>
    </w:p>
    <w:p w14:paraId="752B4D63" w14:textId="6AD622F1" w:rsidR="00AD62F6" w:rsidRDefault="008B041F" w:rsidP="00630B33">
      <w:pPr>
        <w:pStyle w:val="BodyText"/>
        <w:numPr>
          <w:ilvl w:val="0"/>
          <w:numId w:val="17"/>
        </w:numPr>
      </w:pPr>
      <w:r>
        <w:t xml:space="preserve">At this point in the screening process, the </w:t>
      </w:r>
      <w:r w:rsidR="00B52817">
        <w:t>finding</w:t>
      </w:r>
      <w:r>
        <w:t xml:space="preserve"> is either NRC-Identified or self-revealing since it has been screened to determine if it is an SCN in</w:t>
      </w:r>
      <w:r w:rsidR="00756FA4">
        <w:t xml:space="preserve"> Section 07-0</w:t>
      </w:r>
      <w:r w:rsidR="00E16444">
        <w:t>6</w:t>
      </w:r>
      <w:r>
        <w:t xml:space="preserve">. </w:t>
      </w:r>
    </w:p>
    <w:p w14:paraId="21CF53FC" w14:textId="77777777" w:rsidR="00AD62F6" w:rsidRDefault="00874B3A" w:rsidP="00630B33">
      <w:pPr>
        <w:pStyle w:val="BodyText"/>
        <w:numPr>
          <w:ilvl w:val="0"/>
          <w:numId w:val="17"/>
        </w:numPr>
      </w:pPr>
      <w:r>
        <w:t>D</w:t>
      </w:r>
      <w:r w:rsidR="00C374BE">
        <w:t xml:space="preserve">ocument </w:t>
      </w:r>
      <w:r w:rsidR="00D530FA">
        <w:t xml:space="preserve">the finding </w:t>
      </w:r>
      <w:r w:rsidR="00C374BE">
        <w:t xml:space="preserve">as an NON to the </w:t>
      </w:r>
      <w:r w:rsidR="00542022">
        <w:t>project vendor</w:t>
      </w:r>
      <w:r w:rsidR="00F735C1">
        <w:t>.</w:t>
      </w:r>
      <w:r w:rsidR="00E200F3">
        <w:t xml:space="preserve"> </w:t>
      </w:r>
      <w:r w:rsidR="00F735C1">
        <w:t xml:space="preserve">Use the </w:t>
      </w:r>
      <w:r w:rsidR="00F84275">
        <w:t xml:space="preserve">guidance in the </w:t>
      </w:r>
      <w:r w:rsidR="00F735C1">
        <w:t>Enforcement Manual and IMC 0618</w:t>
      </w:r>
      <w:r w:rsidR="00F84275">
        <w:t xml:space="preserve"> to document the NON. </w:t>
      </w:r>
    </w:p>
    <w:p w14:paraId="17603F40" w14:textId="5AF17A1F" w:rsidR="004E2E4D" w:rsidRPr="00AD62F6" w:rsidRDefault="004D1298" w:rsidP="00630B33">
      <w:pPr>
        <w:pStyle w:val="BodyText"/>
        <w:numPr>
          <w:ilvl w:val="0"/>
          <w:numId w:val="17"/>
        </w:numPr>
      </w:pPr>
      <w:r>
        <w:t>E</w:t>
      </w:r>
      <w:r w:rsidRPr="004D1298">
        <w:t xml:space="preserve">valuate the finding using the screening criteria in the </w:t>
      </w:r>
      <w:r w:rsidR="00DD2F7C">
        <w:t xml:space="preserve">ARCOP </w:t>
      </w:r>
      <w:r w:rsidRPr="004D1298">
        <w:t>SDP and use this information to determine appropriate follow-up actions in accordance with IMC 2572.</w:t>
      </w:r>
    </w:p>
    <w:p w14:paraId="2D42113E" w14:textId="77777777" w:rsidR="00436D31" w:rsidRDefault="00436D31" w:rsidP="00436D31">
      <w:pPr>
        <w:keepNext/>
        <w:spacing w:after="220"/>
        <w:jc w:val="center"/>
        <w:rPr>
          <w:noProof/>
          <w:sz w:val="22"/>
          <w:szCs w:val="22"/>
          <w:u w:val="single"/>
        </w:rPr>
      </w:pPr>
    </w:p>
    <w:p w14:paraId="32E56FB9" w14:textId="624B55B5" w:rsidR="006A1701" w:rsidRDefault="006A1701" w:rsidP="006A1701">
      <w:pPr>
        <w:pStyle w:val="Caption"/>
      </w:pPr>
      <w:bookmarkStart w:id="112" w:name="_Toc219293606"/>
      <w:r>
        <w:t xml:space="preserve">Figure </w:t>
      </w:r>
      <w:r w:rsidR="00C91AD8">
        <w:fldChar w:fldCharType="begin"/>
      </w:r>
      <w:r w:rsidR="00C91AD8">
        <w:instrText xml:space="preserve"> SEQ Figure \* ARABIC </w:instrText>
      </w:r>
      <w:r w:rsidR="00C91AD8">
        <w:fldChar w:fldCharType="separate"/>
      </w:r>
      <w:r w:rsidR="00C91AD8">
        <w:rPr>
          <w:noProof/>
        </w:rPr>
        <w:t>3</w:t>
      </w:r>
      <w:r w:rsidR="00C91AD8">
        <w:rPr>
          <w:noProof/>
        </w:rPr>
        <w:fldChar w:fldCharType="end"/>
      </w:r>
      <w:r>
        <w:t>: Dispositioning Non-Licensee Findings</w:t>
      </w:r>
      <w:bookmarkEnd w:id="112"/>
    </w:p>
    <w:p w14:paraId="5423F4B2" w14:textId="1CC79BAD" w:rsidR="00AD62F6" w:rsidRDefault="00924ECC" w:rsidP="00DB5567">
      <w:pPr>
        <w:pStyle w:val="BodyText3"/>
        <w:spacing w:after="480"/>
        <w:ind w:left="0"/>
        <w:jc w:val="center"/>
        <w:rPr>
          <w:noProof/>
        </w:rPr>
      </w:pPr>
      <w:r w:rsidRPr="00924ECC">
        <w:rPr>
          <w:noProof/>
        </w:rPr>
        <w:drawing>
          <wp:inline distT="0" distB="0" distL="0" distR="0" wp14:anchorId="30ABFC70" wp14:editId="6EACF8E5">
            <wp:extent cx="6167236" cy="1325880"/>
            <wp:effectExtent l="0" t="0" r="5080" b="7620"/>
            <wp:docPr id="107141148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11482" name="Picture 1" descr="Diagram&#10;&#10;AI-generated content may be incorrect."/>
                    <pic:cNvPicPr/>
                  </pic:nvPicPr>
                  <pic:blipFill>
                    <a:blip r:embed="rId33"/>
                    <a:stretch>
                      <a:fillRect/>
                    </a:stretch>
                  </pic:blipFill>
                  <pic:spPr>
                    <a:xfrm>
                      <a:off x="0" y="0"/>
                      <a:ext cx="6171550" cy="1326807"/>
                    </a:xfrm>
                    <a:prstGeom prst="rect">
                      <a:avLst/>
                    </a:prstGeom>
                  </pic:spPr>
                </pic:pic>
              </a:graphicData>
            </a:graphic>
          </wp:inline>
        </w:drawing>
      </w:r>
    </w:p>
    <w:p w14:paraId="0BAA9B6E" w14:textId="3C161599" w:rsidR="00421D35" w:rsidRDefault="00421D35" w:rsidP="00421D35">
      <w:pPr>
        <w:pStyle w:val="Heading2"/>
        <w:rPr>
          <w:highlight w:val="yellow"/>
        </w:rPr>
      </w:pPr>
      <w:bookmarkStart w:id="113" w:name="_Toc219293607"/>
      <w:r>
        <w:t>07.</w:t>
      </w:r>
      <w:r w:rsidR="00C5642D">
        <w:t>09</w:t>
      </w:r>
      <w:r>
        <w:tab/>
      </w:r>
      <w:r w:rsidRPr="001118E5">
        <w:rPr>
          <w:u w:val="single"/>
        </w:rPr>
        <w:t xml:space="preserve">Dispositioning </w:t>
      </w:r>
      <w:r w:rsidR="000709CD">
        <w:rPr>
          <w:u w:val="single"/>
        </w:rPr>
        <w:t>Noncomp</w:t>
      </w:r>
      <w:r w:rsidR="003F54D0">
        <w:rPr>
          <w:u w:val="single"/>
        </w:rPr>
        <w:t>liance</w:t>
      </w:r>
      <w:r>
        <w:rPr>
          <w:u w:val="single"/>
        </w:rPr>
        <w:t>s Involving Potential Willfulness</w:t>
      </w:r>
      <w:bookmarkEnd w:id="113"/>
    </w:p>
    <w:p w14:paraId="30C71B6C" w14:textId="6D8EDC9E" w:rsidR="00421D35" w:rsidRDefault="00A06B20" w:rsidP="00DB5567">
      <w:pPr>
        <w:pStyle w:val="BodyText3"/>
        <w:rPr>
          <w:shd w:val="clear" w:color="auto" w:fill="FAF9F8"/>
        </w:rPr>
      </w:pPr>
      <w:r w:rsidRPr="00463CD3">
        <w:rPr>
          <w:shd w:val="clear" w:color="auto" w:fill="FAF9F8"/>
        </w:rPr>
        <w:t>The term “willfulness” as used in th</w:t>
      </w:r>
      <w:r>
        <w:rPr>
          <w:shd w:val="clear" w:color="auto" w:fill="FAF9F8"/>
        </w:rPr>
        <w:t>e Enforcement</w:t>
      </w:r>
      <w:r w:rsidRPr="00463CD3">
        <w:rPr>
          <w:shd w:val="clear" w:color="auto" w:fill="FAF9F8"/>
        </w:rPr>
        <w:t xml:space="preserve"> Policy refers to conduct involving</w:t>
      </w:r>
      <w:r>
        <w:rPr>
          <w:shd w:val="clear" w:color="auto" w:fill="FAF9F8"/>
        </w:rPr>
        <w:t xml:space="preserve"> </w:t>
      </w:r>
      <w:r w:rsidRPr="00463CD3">
        <w:rPr>
          <w:shd w:val="clear" w:color="auto" w:fill="FAF9F8"/>
        </w:rPr>
        <w:t>either a careless disregard for requirements</w:t>
      </w:r>
      <w:r>
        <w:rPr>
          <w:shd w:val="clear" w:color="auto" w:fill="FAF9F8"/>
        </w:rPr>
        <w:t>,</w:t>
      </w:r>
      <w:r w:rsidRPr="00463CD3">
        <w:rPr>
          <w:shd w:val="clear" w:color="auto" w:fill="FAF9F8"/>
        </w:rPr>
        <w:t xml:space="preserve"> a deliberate </w:t>
      </w:r>
      <w:r w:rsidR="000709CD">
        <w:rPr>
          <w:shd w:val="clear" w:color="auto" w:fill="FAF9F8"/>
        </w:rPr>
        <w:t>noncomp</w:t>
      </w:r>
      <w:r w:rsidR="003F54D0">
        <w:rPr>
          <w:shd w:val="clear" w:color="auto" w:fill="FAF9F8"/>
        </w:rPr>
        <w:t>liance</w:t>
      </w:r>
      <w:r>
        <w:rPr>
          <w:shd w:val="clear" w:color="auto" w:fill="FAF9F8"/>
        </w:rPr>
        <w:t xml:space="preserve"> with </w:t>
      </w:r>
      <w:r w:rsidRPr="00463CD3">
        <w:rPr>
          <w:shd w:val="clear" w:color="auto" w:fill="FAF9F8"/>
        </w:rPr>
        <w:t>requirements</w:t>
      </w:r>
      <w:r>
        <w:rPr>
          <w:shd w:val="clear" w:color="auto" w:fill="FAF9F8"/>
        </w:rPr>
        <w:t>,</w:t>
      </w:r>
      <w:r w:rsidRPr="00463CD3">
        <w:rPr>
          <w:shd w:val="clear" w:color="auto" w:fill="FAF9F8"/>
        </w:rPr>
        <w:t xml:space="preserve"> or </w:t>
      </w:r>
      <w:r w:rsidRPr="00421D35">
        <w:t>falsification</w:t>
      </w:r>
      <w:r w:rsidRPr="00463CD3">
        <w:rPr>
          <w:shd w:val="clear" w:color="auto" w:fill="FAF9F8"/>
        </w:rPr>
        <w:t xml:space="preserve"> of information.</w:t>
      </w:r>
    </w:p>
    <w:p w14:paraId="22EE4FC2" w14:textId="77777777" w:rsidR="00421D35" w:rsidRDefault="00856133" w:rsidP="00DB5567">
      <w:pPr>
        <w:pStyle w:val="BodyText3"/>
        <w:rPr>
          <w:shd w:val="clear" w:color="auto" w:fill="FAF9F8"/>
        </w:rPr>
      </w:pPr>
      <w:r w:rsidRPr="001F30B1">
        <w:t>Willful violations are of particular concern</w:t>
      </w:r>
      <w:r>
        <w:t xml:space="preserve"> </w:t>
      </w:r>
      <w:r w:rsidRPr="001F30B1">
        <w:t xml:space="preserve">because the </w:t>
      </w:r>
      <w:r>
        <w:t>NRC</w:t>
      </w:r>
      <w:r w:rsidRPr="001F30B1">
        <w:t>’s regulatory program is based on licensees and their contractors, employees, and agents acting with integrity and communicating with candor.</w:t>
      </w:r>
      <w:r>
        <w:t xml:space="preserve"> </w:t>
      </w:r>
      <w:r w:rsidR="001B7B4D">
        <w:t xml:space="preserve">If willfulness is suspected, </w:t>
      </w:r>
      <w:r w:rsidR="00473B02">
        <w:t xml:space="preserve">inspectors shall inform the inspection team lead and their supervisor, </w:t>
      </w:r>
      <w:r w:rsidR="001B7B4D">
        <w:t>then enter the issue into the allegation process</w:t>
      </w:r>
      <w:r w:rsidR="00CD0E5C">
        <w:t xml:space="preserve"> in accordance with Management Directive (MD) 8.8, “Management of Allegations</w:t>
      </w:r>
      <w:r w:rsidR="00473B02">
        <w:t>.”</w:t>
      </w:r>
    </w:p>
    <w:p w14:paraId="7B7C7C8D" w14:textId="72CA5275" w:rsidR="00F313AA" w:rsidRDefault="00ED5732" w:rsidP="00DB5567">
      <w:pPr>
        <w:pStyle w:val="BodyText3"/>
        <w:rPr>
          <w:shd w:val="clear" w:color="auto" w:fill="FAF9F8"/>
        </w:rPr>
      </w:pPr>
      <w:r>
        <w:rPr>
          <w:shd w:val="clear" w:color="auto" w:fill="FAF9F8"/>
        </w:rPr>
        <w:t>Further actions, such as screening the issue for safety or security si</w:t>
      </w:r>
      <w:r w:rsidR="00104649">
        <w:rPr>
          <w:shd w:val="clear" w:color="auto" w:fill="FAF9F8"/>
        </w:rPr>
        <w:t xml:space="preserve">gnificance and determining the final disposition of the issue will be </w:t>
      </w:r>
      <w:r w:rsidR="003102C2">
        <w:rPr>
          <w:shd w:val="clear" w:color="auto" w:fill="FAF9F8"/>
        </w:rPr>
        <w:t xml:space="preserve">directed by the Allegation Review Board (ARB) and the Office of Enforcement </w:t>
      </w:r>
      <w:r w:rsidR="00A06B20">
        <w:rPr>
          <w:shd w:val="clear" w:color="auto" w:fill="FAF9F8"/>
        </w:rPr>
        <w:t xml:space="preserve">- </w:t>
      </w:r>
      <w:r w:rsidR="003102C2">
        <w:rPr>
          <w:shd w:val="clear" w:color="auto" w:fill="FAF9F8"/>
        </w:rPr>
        <w:t>including the NRC Regional OE representative if applicable.</w:t>
      </w:r>
      <w:r w:rsidR="006C5A0C">
        <w:rPr>
          <w:shd w:val="clear" w:color="auto" w:fill="FAF9F8"/>
        </w:rPr>
        <w:tab/>
      </w:r>
    </w:p>
    <w:p w14:paraId="7EF226FB" w14:textId="097C68FA" w:rsidR="00421D35" w:rsidRPr="00B726CB" w:rsidRDefault="00421D35" w:rsidP="004F3AB0">
      <w:pPr>
        <w:pStyle w:val="Heading2"/>
      </w:pPr>
      <w:bookmarkStart w:id="114" w:name="_Toc219293608"/>
      <w:r w:rsidRPr="00B726CB">
        <w:t>07.1</w:t>
      </w:r>
      <w:r w:rsidR="00C5642D">
        <w:t>0</w:t>
      </w:r>
      <w:r w:rsidRPr="00B726CB">
        <w:tab/>
      </w:r>
      <w:r w:rsidRPr="00B726CB">
        <w:rPr>
          <w:u w:val="single"/>
        </w:rPr>
        <w:t xml:space="preserve">Dispositioning Non-Willful TE </w:t>
      </w:r>
      <w:r w:rsidR="000709CD">
        <w:rPr>
          <w:u w:val="single"/>
        </w:rPr>
        <w:t>Noncomp</w:t>
      </w:r>
      <w:r w:rsidR="003F54D0">
        <w:rPr>
          <w:u w:val="single"/>
        </w:rPr>
        <w:t>liance</w:t>
      </w:r>
      <w:r w:rsidRPr="00B726CB">
        <w:rPr>
          <w:u w:val="single"/>
        </w:rPr>
        <w:t>s</w:t>
      </w:r>
      <w:bookmarkEnd w:id="114"/>
    </w:p>
    <w:p w14:paraId="3590E089" w14:textId="5181C51A" w:rsidR="00346505" w:rsidRDefault="00AE0A2A" w:rsidP="00630B33">
      <w:pPr>
        <w:pStyle w:val="BodyText"/>
        <w:numPr>
          <w:ilvl w:val="0"/>
          <w:numId w:val="18"/>
        </w:numPr>
      </w:pPr>
      <w:r>
        <w:t>TE</w:t>
      </w:r>
      <w:r w:rsidR="002124D2">
        <w:t xml:space="preserve"> is used </w:t>
      </w:r>
      <w:r>
        <w:t xml:space="preserve">to </w:t>
      </w:r>
      <w:proofErr w:type="gramStart"/>
      <w:r>
        <w:t>disposition</w:t>
      </w:r>
      <w:proofErr w:type="gramEnd"/>
      <w:r>
        <w:t xml:space="preserve"> </w:t>
      </w:r>
      <w:r w:rsidR="000709CD">
        <w:t>noncomp</w:t>
      </w:r>
      <w:r w:rsidR="003F54D0">
        <w:t>liance</w:t>
      </w:r>
      <w:r w:rsidR="00382991">
        <w:t>s</w:t>
      </w:r>
      <w:r w:rsidR="00346505">
        <w:t xml:space="preserve"> </w:t>
      </w:r>
      <w:r>
        <w:t xml:space="preserve">in </w:t>
      </w:r>
      <w:r w:rsidR="008E2768">
        <w:t xml:space="preserve">the </w:t>
      </w:r>
      <w:r>
        <w:t>situations</w:t>
      </w:r>
      <w:r w:rsidR="008056DB">
        <w:t xml:space="preserve"> below</w:t>
      </w:r>
      <w:r w:rsidR="008E2768">
        <w:t>:</w:t>
      </w:r>
      <w:r w:rsidR="008056DB">
        <w:t xml:space="preserve"> </w:t>
      </w:r>
    </w:p>
    <w:p w14:paraId="1CC8B1A9" w14:textId="33D63DF6" w:rsidR="00551D46" w:rsidRDefault="000709CD" w:rsidP="00630B33">
      <w:pPr>
        <w:pStyle w:val="BodyText"/>
        <w:numPr>
          <w:ilvl w:val="1"/>
          <w:numId w:val="18"/>
        </w:numPr>
      </w:pPr>
      <w:r>
        <w:lastRenderedPageBreak/>
        <w:t>Noncomp</w:t>
      </w:r>
      <w:r w:rsidR="003F54D0">
        <w:t>liance</w:t>
      </w:r>
      <w:r w:rsidR="00382991">
        <w:t>s</w:t>
      </w:r>
      <w:r w:rsidR="00346505">
        <w:t xml:space="preserve"> that resulted in actual safety or security consequence</w:t>
      </w:r>
      <w:r w:rsidR="002C6D97">
        <w:t>s</w:t>
      </w:r>
      <w:r w:rsidR="00572F47">
        <w:t xml:space="preserve">: </w:t>
      </w:r>
      <w:r w:rsidR="002C6D97" w:rsidRPr="007B3278">
        <w:t xml:space="preserve">Actual </w:t>
      </w:r>
      <w:r w:rsidR="007C785B" w:rsidRPr="007B3278">
        <w:t xml:space="preserve">safety or security consequences </w:t>
      </w:r>
      <w:r w:rsidR="002C6D97" w:rsidRPr="007B3278">
        <w:t>should be rare during construction of reactor</w:t>
      </w:r>
      <w:r w:rsidR="0053517A" w:rsidRPr="007B3278">
        <w:t xml:space="preserve"> plants;</w:t>
      </w:r>
      <w:r w:rsidR="002C6D97" w:rsidRPr="007B3278">
        <w:t xml:space="preserve"> </w:t>
      </w:r>
      <w:r w:rsidR="002D2FD3" w:rsidRPr="007B3278">
        <w:t>however,</w:t>
      </w:r>
      <w:r w:rsidR="002C6D97" w:rsidRPr="007B3278">
        <w:t xml:space="preserve"> examples may include an actual onsite or offsite release of radionuclides exceeding regulatory limits, onsite or offsite radiation exposures exceeding regulatory limits, accidental criticalities, loss of control of special nuclear material, or loss of control of radiological material exceeding regulatory limits for public dose. </w:t>
      </w:r>
    </w:p>
    <w:p w14:paraId="6A05031C" w14:textId="68C6663E" w:rsidR="0098659B" w:rsidRDefault="000709CD" w:rsidP="00630B33">
      <w:pPr>
        <w:pStyle w:val="BodyText"/>
        <w:numPr>
          <w:ilvl w:val="1"/>
          <w:numId w:val="18"/>
        </w:numPr>
      </w:pPr>
      <w:r>
        <w:t>Noncomp</w:t>
      </w:r>
      <w:r w:rsidR="003F54D0">
        <w:t>liance</w:t>
      </w:r>
      <w:r w:rsidR="00382991">
        <w:t>s</w:t>
      </w:r>
      <w:r w:rsidR="00551D46">
        <w:t xml:space="preserve"> that may impact the ability of the NRC to perform its regulatory oversight function</w:t>
      </w:r>
      <w:r w:rsidR="00DF35A8">
        <w:t>, for example</w:t>
      </w:r>
      <w:r w:rsidR="00572F47">
        <w:t>:</w:t>
      </w:r>
    </w:p>
    <w:p w14:paraId="754B28D3" w14:textId="77777777" w:rsidR="00B800AB" w:rsidRDefault="00C94112" w:rsidP="00630B33">
      <w:pPr>
        <w:pStyle w:val="BodyText"/>
        <w:numPr>
          <w:ilvl w:val="2"/>
          <w:numId w:val="18"/>
        </w:numPr>
      </w:pPr>
      <w:r>
        <w:t>f</w:t>
      </w:r>
      <w:r w:rsidRPr="0096021F">
        <w:t>ailure to receive prior NRC approval for changes in licensed activities</w:t>
      </w:r>
      <w:r>
        <w:t>,</w:t>
      </w:r>
    </w:p>
    <w:p w14:paraId="32B7A74A" w14:textId="77777777" w:rsidR="00B800AB" w:rsidRDefault="00C94112" w:rsidP="00630B33">
      <w:pPr>
        <w:pStyle w:val="BodyText"/>
        <w:numPr>
          <w:ilvl w:val="2"/>
          <w:numId w:val="18"/>
        </w:numPr>
      </w:pPr>
      <w:r w:rsidRPr="007B3278">
        <w:t xml:space="preserve">failure to notify the NRC of changes in licensed activities, </w:t>
      </w:r>
    </w:p>
    <w:p w14:paraId="39E3C355" w14:textId="77777777" w:rsidR="00B800AB" w:rsidRDefault="00C94112" w:rsidP="00630B33">
      <w:pPr>
        <w:pStyle w:val="BodyText"/>
        <w:numPr>
          <w:ilvl w:val="2"/>
          <w:numId w:val="18"/>
        </w:numPr>
      </w:pPr>
      <w:r w:rsidRPr="007B3278">
        <w:t xml:space="preserve">failure to perform 10 CFR 50.59 or 10 CFR 52.98 analyses, </w:t>
      </w:r>
    </w:p>
    <w:p w14:paraId="1DC85E0A" w14:textId="77777777" w:rsidR="00B800AB" w:rsidRDefault="00C94112" w:rsidP="00630B33">
      <w:pPr>
        <w:pStyle w:val="BodyText"/>
        <w:numPr>
          <w:ilvl w:val="2"/>
          <w:numId w:val="18"/>
        </w:numPr>
      </w:pPr>
      <w:r w:rsidRPr="007B3278">
        <w:t>submittal and NRC acceptance of an ITAAC Closure Notification (ICN) that states that an ITAAC acceptance criteri</w:t>
      </w:r>
      <w:r w:rsidR="00C566C2" w:rsidRPr="007B3278">
        <w:t>on</w:t>
      </w:r>
      <w:r w:rsidRPr="007B3278">
        <w:t xml:space="preserve"> is met when it is not met, </w:t>
      </w:r>
    </w:p>
    <w:p w14:paraId="7CBC797E" w14:textId="207403F4" w:rsidR="006474D8" w:rsidRPr="007B3278" w:rsidRDefault="00C94112" w:rsidP="00630B33">
      <w:pPr>
        <w:pStyle w:val="BodyText"/>
        <w:numPr>
          <w:ilvl w:val="2"/>
          <w:numId w:val="18"/>
        </w:numPr>
      </w:pPr>
      <w:r w:rsidRPr="007B3278">
        <w:t>failure to make required reports to the NRC.</w:t>
      </w:r>
    </w:p>
    <w:p w14:paraId="1D7167B2" w14:textId="6A80154C" w:rsidR="004A4CDA" w:rsidRPr="00572F47" w:rsidRDefault="000709CD" w:rsidP="00630B33">
      <w:pPr>
        <w:pStyle w:val="BodyText"/>
        <w:numPr>
          <w:ilvl w:val="1"/>
          <w:numId w:val="18"/>
        </w:numPr>
      </w:pPr>
      <w:r>
        <w:t>Noncomp</w:t>
      </w:r>
      <w:r w:rsidR="003F54D0">
        <w:t>liance</w:t>
      </w:r>
      <w:r w:rsidR="00382991">
        <w:t>s</w:t>
      </w:r>
      <w:r w:rsidR="006474D8">
        <w:t xml:space="preserve"> no</w:t>
      </w:r>
      <w:r w:rsidR="00A8290A">
        <w:t>t</w:t>
      </w:r>
      <w:r w:rsidR="006474D8">
        <w:t xml:space="preserve"> associated with an ARCOP </w:t>
      </w:r>
      <w:r w:rsidR="00FB73B9">
        <w:t>technical issue</w:t>
      </w:r>
      <w:r w:rsidR="00572F47">
        <w:t xml:space="preserve">: </w:t>
      </w:r>
      <w:r w:rsidR="00A8290A" w:rsidRPr="00572F47">
        <w:t xml:space="preserve">ARCOP </w:t>
      </w:r>
      <w:r>
        <w:t>noncomp</w:t>
      </w:r>
      <w:r w:rsidR="003F54D0">
        <w:t>liance</w:t>
      </w:r>
      <w:r w:rsidR="00A8290A" w:rsidRPr="00572F47">
        <w:t xml:space="preserve">s are those that are associated with ARCOP safety </w:t>
      </w:r>
      <w:r w:rsidR="005702B1" w:rsidRPr="00572F47">
        <w:t xml:space="preserve">or security </w:t>
      </w:r>
      <w:r w:rsidR="00A8290A" w:rsidRPr="00572F47">
        <w:t>cornerstone</w:t>
      </w:r>
      <w:r w:rsidR="00930199" w:rsidRPr="00572F47">
        <w:t>s</w:t>
      </w:r>
      <w:r w:rsidR="002C6A8A" w:rsidRPr="00572F47">
        <w:t>.</w:t>
      </w:r>
    </w:p>
    <w:p w14:paraId="5CD1476F" w14:textId="1C8A0DEA" w:rsidR="00D40502" w:rsidRDefault="004A4CDA" w:rsidP="00630B33">
      <w:pPr>
        <w:pStyle w:val="BodyText"/>
        <w:numPr>
          <w:ilvl w:val="1"/>
          <w:numId w:val="18"/>
        </w:numPr>
      </w:pPr>
      <w:r>
        <w:t xml:space="preserve">Violations with no </w:t>
      </w:r>
      <w:r w:rsidRPr="00332BAF">
        <w:t>performance deficiency</w:t>
      </w:r>
      <w:r w:rsidR="00572F47" w:rsidRPr="00332BAF">
        <w:t xml:space="preserve">: </w:t>
      </w:r>
      <w:r w:rsidR="00E6766D">
        <w:rPr>
          <w:rFonts w:eastAsiaTheme="majorEastAsia" w:cstheme="majorBidi"/>
        </w:rPr>
        <w:t xml:space="preserve">TE is used to disposition </w:t>
      </w:r>
      <w:r w:rsidR="005F40E1">
        <w:t xml:space="preserve">violations with </w:t>
      </w:r>
      <w:r w:rsidR="0000284F" w:rsidRPr="00332BAF">
        <w:t xml:space="preserve">no performance deficiency </w:t>
      </w:r>
      <w:r w:rsidR="005F40E1">
        <w:t xml:space="preserve">(i.e., </w:t>
      </w:r>
      <w:r w:rsidR="00524A64" w:rsidRPr="00332BAF">
        <w:t xml:space="preserve">the </w:t>
      </w:r>
      <w:r w:rsidR="000709CD">
        <w:rPr>
          <w:rFonts w:eastAsiaTheme="majorEastAsia" w:cstheme="majorBidi"/>
        </w:rPr>
        <w:t>noncomp</w:t>
      </w:r>
      <w:r w:rsidR="003F54D0">
        <w:rPr>
          <w:rFonts w:eastAsiaTheme="majorEastAsia" w:cstheme="majorBidi"/>
        </w:rPr>
        <w:t>liance</w:t>
      </w:r>
      <w:r w:rsidR="00524A64" w:rsidRPr="00332BAF">
        <w:rPr>
          <w:rFonts w:eastAsiaTheme="majorEastAsia" w:cstheme="majorBidi"/>
        </w:rPr>
        <w:t xml:space="preserve"> was not within the licensee’s or non-licensee’s ability to foresee</w:t>
      </w:r>
      <w:r w:rsidR="00524A64" w:rsidRPr="00572F47">
        <w:rPr>
          <w:rFonts w:eastAsiaTheme="majorEastAsia" w:cstheme="majorBidi"/>
        </w:rPr>
        <w:t xml:space="preserve"> and correct</w:t>
      </w:r>
      <w:r w:rsidR="005F40E1">
        <w:rPr>
          <w:rFonts w:eastAsiaTheme="majorEastAsia" w:cstheme="majorBidi"/>
        </w:rPr>
        <w:t>)</w:t>
      </w:r>
      <w:r w:rsidR="00E6766D">
        <w:rPr>
          <w:rFonts w:eastAsiaTheme="majorEastAsia" w:cstheme="majorBidi"/>
        </w:rPr>
        <w:t>.</w:t>
      </w:r>
      <w:r w:rsidR="00524A64" w:rsidRPr="00572F47">
        <w:rPr>
          <w:rFonts w:eastAsiaTheme="majorEastAsia" w:cstheme="majorBidi"/>
        </w:rPr>
        <w:t xml:space="preserve"> This is </w:t>
      </w:r>
      <w:r w:rsidR="00853749" w:rsidRPr="00572F47">
        <w:rPr>
          <w:rFonts w:eastAsiaTheme="majorEastAsia" w:cstheme="majorBidi"/>
        </w:rPr>
        <w:t xml:space="preserve">not common for construction </w:t>
      </w:r>
      <w:r w:rsidR="000709CD">
        <w:rPr>
          <w:rFonts w:eastAsiaTheme="majorEastAsia" w:cstheme="majorBidi"/>
        </w:rPr>
        <w:t>noncomp</w:t>
      </w:r>
      <w:r w:rsidR="003F54D0">
        <w:rPr>
          <w:rFonts w:eastAsiaTheme="majorEastAsia" w:cstheme="majorBidi"/>
        </w:rPr>
        <w:t>liance</w:t>
      </w:r>
      <w:r w:rsidR="001F5332" w:rsidRPr="00572F47">
        <w:rPr>
          <w:rFonts w:eastAsiaTheme="majorEastAsia" w:cstheme="majorBidi"/>
        </w:rPr>
        <w:t xml:space="preserve">s, and a “no performance deficiency” determination should be coordinated with the Office of Enforcement and the ARCOP Project </w:t>
      </w:r>
      <w:r w:rsidR="00D21844" w:rsidRPr="00572F47">
        <w:rPr>
          <w:rFonts w:eastAsiaTheme="majorEastAsia" w:cstheme="majorBidi"/>
        </w:rPr>
        <w:t>O</w:t>
      </w:r>
      <w:r w:rsidR="00D21844">
        <w:rPr>
          <w:rFonts w:eastAsiaTheme="majorEastAsia" w:cstheme="majorBidi"/>
        </w:rPr>
        <w:t>ffice</w:t>
      </w:r>
      <w:r w:rsidR="001F5332" w:rsidRPr="00572F47">
        <w:rPr>
          <w:rFonts w:eastAsiaTheme="majorEastAsia" w:cstheme="majorBidi"/>
        </w:rPr>
        <w:t>.</w:t>
      </w:r>
    </w:p>
    <w:p w14:paraId="2CC25E81" w14:textId="18FB49B9" w:rsidR="00B34C8E" w:rsidRDefault="00916CA7" w:rsidP="00630B33">
      <w:pPr>
        <w:pStyle w:val="BodyText"/>
        <w:numPr>
          <w:ilvl w:val="0"/>
          <w:numId w:val="18"/>
        </w:numPr>
      </w:pPr>
      <w:r>
        <w:t xml:space="preserve">TE is used to </w:t>
      </w:r>
      <w:proofErr w:type="gramStart"/>
      <w:r>
        <w:t>disposition</w:t>
      </w:r>
      <w:proofErr w:type="gramEnd"/>
      <w:r>
        <w:t xml:space="preserve"> </w:t>
      </w:r>
      <w:r w:rsidR="0063549D">
        <w:t xml:space="preserve">findings </w:t>
      </w:r>
      <w:r w:rsidR="00954803">
        <w:t>with associated</w:t>
      </w:r>
      <w:r w:rsidR="00AA4F68">
        <w:t xml:space="preserve"> vio</w:t>
      </w:r>
      <w:r w:rsidR="00882CE2">
        <w:t xml:space="preserve">lations </w:t>
      </w:r>
      <w:r w:rsidR="00954803">
        <w:t>that</w:t>
      </w:r>
      <w:r>
        <w:t xml:space="preserve"> </w:t>
      </w:r>
      <w:r w:rsidR="00882CE2">
        <w:t>cannot be addressed solely through the ARCOP significance determination process</w:t>
      </w:r>
      <w:r w:rsidR="00D76D20">
        <w:t xml:space="preserve"> since they include TE aspects</w:t>
      </w:r>
      <w:r w:rsidR="00882CE2">
        <w:t xml:space="preserve">. In these cases, the ARCOP </w:t>
      </w:r>
      <w:r w:rsidR="00E804D6">
        <w:t xml:space="preserve">safety or security significance of the </w:t>
      </w:r>
      <w:r w:rsidR="00CF7BDF">
        <w:t>finding</w:t>
      </w:r>
      <w:r w:rsidR="00E804D6">
        <w:t xml:space="preserve"> is used to inform the final </w:t>
      </w:r>
      <w:r w:rsidR="009502DA">
        <w:t>severity level of the violation.</w:t>
      </w:r>
      <w:r w:rsidR="00882CE2">
        <w:t xml:space="preserve"> Use </w:t>
      </w:r>
      <w:r w:rsidR="00684567">
        <w:t>Figure</w:t>
      </w:r>
      <w:r w:rsidR="00882CE2">
        <w:t xml:space="preserve"> </w:t>
      </w:r>
      <w:r w:rsidR="006140FD">
        <w:t xml:space="preserve">4 </w:t>
      </w:r>
      <w:r w:rsidR="00882CE2">
        <w:t xml:space="preserve">and the guidance below to </w:t>
      </w:r>
      <w:proofErr w:type="gramStart"/>
      <w:r w:rsidR="00882CE2">
        <w:t>disposition</w:t>
      </w:r>
      <w:proofErr w:type="gramEnd"/>
      <w:r w:rsidR="00882CE2">
        <w:t xml:space="preserve"> these violations</w:t>
      </w:r>
      <w:r w:rsidR="00254815">
        <w:t>:</w:t>
      </w:r>
      <w:r w:rsidR="00F304D4">
        <w:t xml:space="preserve"> </w:t>
      </w:r>
    </w:p>
    <w:p w14:paraId="4800E09F" w14:textId="51C7D1B0" w:rsidR="007A402E" w:rsidRPr="00572F47" w:rsidRDefault="00C07B93" w:rsidP="00630B33">
      <w:pPr>
        <w:pStyle w:val="BodyText"/>
        <w:numPr>
          <w:ilvl w:val="1"/>
          <w:numId w:val="18"/>
        </w:numPr>
      </w:pPr>
      <w:r>
        <w:t xml:space="preserve">Determine if the TE </w:t>
      </w:r>
      <w:r w:rsidR="007A402E">
        <w:t xml:space="preserve">violation is </w:t>
      </w:r>
      <w:r w:rsidR="00466F53">
        <w:t>more</w:t>
      </w:r>
      <w:r w:rsidR="007A402E">
        <w:t xml:space="preserve"> than minor.</w:t>
      </w:r>
      <w:r w:rsidR="00466F53">
        <w:t xml:space="preserve"> If the answer to any of the following questions is “yes,” then the TE violation is more than minor.</w:t>
      </w:r>
    </w:p>
    <w:p w14:paraId="50A1CFAC" w14:textId="77777777" w:rsidR="009173AE" w:rsidRDefault="005C0683" w:rsidP="00630B33">
      <w:pPr>
        <w:pStyle w:val="BodyText"/>
        <w:numPr>
          <w:ilvl w:val="2"/>
          <w:numId w:val="18"/>
        </w:numPr>
      </w:pPr>
      <w:r w:rsidRPr="00572F47">
        <w:t xml:space="preserve">Did the </w:t>
      </w:r>
      <w:r w:rsidR="000170E7" w:rsidRPr="00572F47">
        <w:t>TE violation</w:t>
      </w:r>
      <w:r w:rsidRPr="00572F47">
        <w:t xml:space="preserve"> result in an actual consequence? </w:t>
      </w:r>
    </w:p>
    <w:p w14:paraId="330CAB8C" w14:textId="220ACAE6" w:rsidR="005C0683" w:rsidRDefault="005C0683" w:rsidP="002D6824">
      <w:pPr>
        <w:pStyle w:val="BodyText5"/>
      </w:pPr>
      <w:r w:rsidRPr="00572F47">
        <w:t>The NRC Enforcement Policy,</w:t>
      </w:r>
      <w:r w:rsidR="00756FA4">
        <w:t xml:space="preserve"> Section</w:t>
      </w:r>
      <w:r w:rsidRPr="00572F47">
        <w:t xml:space="preserve"> 2.2.1.a, list</w:t>
      </w:r>
      <w:r w:rsidR="00175C74">
        <w:t>s</w:t>
      </w:r>
      <w:r w:rsidRPr="00572F47">
        <w:t xml:space="preserve"> several examples of actual consequences. Some of the examples in the NRC Enforcement Policy do not apply to reactors under construction since there is no reactor core, no fission product source, no barriers required to contain fission products, and no required emergency response plan. </w:t>
      </w:r>
      <w:r w:rsidR="00684567" w:rsidRPr="00572F47">
        <w:t>However, c</w:t>
      </w:r>
      <w:r w:rsidRPr="00572F47">
        <w:t xml:space="preserve">onstruction of advanced reactors may involve possession of radioactive or special nuclear material. The list of examples below is a subset of the examples in the NRC Enforcement Policy to take these considerations into account. </w:t>
      </w:r>
      <w:r w:rsidR="000170E7" w:rsidRPr="00572F47">
        <w:t>The TE violation resulted in an actual consequence if:</w:t>
      </w:r>
    </w:p>
    <w:p w14:paraId="5A1832E6" w14:textId="76F976DC" w:rsidR="00B800AB" w:rsidRPr="004F35D3" w:rsidRDefault="00357C57" w:rsidP="00630B33">
      <w:pPr>
        <w:pStyle w:val="BodyText"/>
        <w:numPr>
          <w:ilvl w:val="0"/>
          <w:numId w:val="6"/>
        </w:numPr>
        <w:ind w:left="1800"/>
      </w:pPr>
      <w:r w:rsidRPr="00572F47">
        <w:lastRenderedPageBreak/>
        <w:t>There was an</w:t>
      </w:r>
      <w:r w:rsidR="005C0683" w:rsidRPr="00572F47">
        <w:t xml:space="preserve"> o</w:t>
      </w:r>
      <w:r w:rsidRPr="00572F47">
        <w:t>n-</w:t>
      </w:r>
      <w:r w:rsidR="005C0683" w:rsidRPr="00572F47">
        <w:t xml:space="preserve">site or </w:t>
      </w:r>
      <w:r w:rsidRPr="00572F47">
        <w:t>off-</w:t>
      </w:r>
      <w:r w:rsidR="005C0683" w:rsidRPr="00572F47">
        <w:t xml:space="preserve">site release of </w:t>
      </w:r>
      <w:r w:rsidRPr="00572F47">
        <w:t>radionuclides</w:t>
      </w:r>
      <w:r w:rsidR="005C0683" w:rsidRPr="00572F47">
        <w:t xml:space="preserve"> or </w:t>
      </w:r>
      <w:r w:rsidR="00CD1777" w:rsidRPr="00572F47">
        <w:t xml:space="preserve">a </w:t>
      </w:r>
      <w:r w:rsidR="005C0683" w:rsidRPr="00572F47">
        <w:t xml:space="preserve">radiation exposure </w:t>
      </w:r>
      <w:r w:rsidRPr="00572F47">
        <w:t xml:space="preserve">which </w:t>
      </w:r>
      <w:r w:rsidR="005C0683" w:rsidRPr="00572F47">
        <w:t>exceed</w:t>
      </w:r>
      <w:r w:rsidRPr="00572F47">
        <w:t>ed</w:t>
      </w:r>
      <w:r w:rsidR="005C0683" w:rsidRPr="00572F47">
        <w:t xml:space="preserve"> 10 CFR Part 20, </w:t>
      </w:r>
      <w:r w:rsidR="005C0683" w:rsidRPr="00572F47">
        <w:rPr>
          <w:shd w:val="clear" w:color="auto" w:fill="FAF9F8"/>
        </w:rPr>
        <w:t>“Standards for Protection Against Radiation,” regulatory limits</w:t>
      </w:r>
      <w:r w:rsidR="00684567" w:rsidRPr="00572F47">
        <w:rPr>
          <w:shd w:val="clear" w:color="auto" w:fill="FAF9F8"/>
        </w:rPr>
        <w:t>,</w:t>
      </w:r>
      <w:r w:rsidR="009F446B" w:rsidRPr="00572F47">
        <w:rPr>
          <w:shd w:val="clear" w:color="auto" w:fill="FAF9F8"/>
        </w:rPr>
        <w:t xml:space="preserve"> </w:t>
      </w:r>
      <w:r w:rsidR="00684567" w:rsidRPr="00572F47">
        <w:rPr>
          <w:shd w:val="clear" w:color="auto" w:fill="FAF9F8"/>
        </w:rPr>
        <w:t>or</w:t>
      </w:r>
    </w:p>
    <w:p w14:paraId="5FBC9FC3" w14:textId="68EECDD5" w:rsidR="00B800AB" w:rsidRPr="004F35D3" w:rsidRDefault="00357C57" w:rsidP="00630B33">
      <w:pPr>
        <w:pStyle w:val="BodyText"/>
        <w:numPr>
          <w:ilvl w:val="0"/>
          <w:numId w:val="6"/>
        </w:numPr>
        <w:ind w:left="1800"/>
      </w:pPr>
      <w:r w:rsidRPr="00B800AB">
        <w:t xml:space="preserve">There was </w:t>
      </w:r>
      <w:r w:rsidR="005C0683" w:rsidRPr="00B800AB">
        <w:t xml:space="preserve">an </w:t>
      </w:r>
      <w:r w:rsidR="005C0683" w:rsidRPr="00B800AB">
        <w:rPr>
          <w:shd w:val="clear" w:color="auto" w:fill="FAF9F8"/>
        </w:rPr>
        <w:t>on</w:t>
      </w:r>
      <w:r w:rsidRPr="00B800AB">
        <w:rPr>
          <w:shd w:val="clear" w:color="auto" w:fill="FAF9F8"/>
        </w:rPr>
        <w:t>-</w:t>
      </w:r>
      <w:r w:rsidR="005C0683" w:rsidRPr="00B800AB">
        <w:rPr>
          <w:shd w:val="clear" w:color="auto" w:fill="FAF9F8"/>
        </w:rPr>
        <w:t>site or off</w:t>
      </w:r>
      <w:r w:rsidRPr="00B800AB">
        <w:rPr>
          <w:shd w:val="clear" w:color="auto" w:fill="FAF9F8"/>
        </w:rPr>
        <w:t>-</w:t>
      </w:r>
      <w:r w:rsidR="005C0683" w:rsidRPr="00B800AB">
        <w:rPr>
          <w:shd w:val="clear" w:color="auto" w:fill="FAF9F8"/>
        </w:rPr>
        <w:t>site chemical hazard exposure result</w:t>
      </w:r>
      <w:r w:rsidRPr="00B800AB">
        <w:rPr>
          <w:shd w:val="clear" w:color="auto" w:fill="FAF9F8"/>
        </w:rPr>
        <w:t>ing</w:t>
      </w:r>
      <w:r w:rsidR="005C0683" w:rsidRPr="00B800AB">
        <w:rPr>
          <w:shd w:val="clear" w:color="auto" w:fill="FAF9F8"/>
        </w:rPr>
        <w:t xml:space="preserve"> from a </w:t>
      </w:r>
      <w:r w:rsidR="005C0683" w:rsidRPr="004F35D3">
        <w:t>licensed</w:t>
      </w:r>
      <w:r w:rsidR="005C0683" w:rsidRPr="00B800AB">
        <w:rPr>
          <w:shd w:val="clear" w:color="auto" w:fill="FAF9F8"/>
        </w:rPr>
        <w:t xml:space="preserve"> or certified activity</w:t>
      </w:r>
      <w:r w:rsidR="00684567" w:rsidRPr="00B800AB">
        <w:rPr>
          <w:shd w:val="clear" w:color="auto" w:fill="FAF9F8"/>
        </w:rPr>
        <w:t>, or</w:t>
      </w:r>
    </w:p>
    <w:p w14:paraId="45371FF0" w14:textId="09CFF085" w:rsidR="00B800AB" w:rsidRPr="004F35D3" w:rsidRDefault="00357C57" w:rsidP="00630B33">
      <w:pPr>
        <w:pStyle w:val="BodyText"/>
        <w:numPr>
          <w:ilvl w:val="0"/>
          <w:numId w:val="6"/>
        </w:numPr>
        <w:ind w:left="1800"/>
      </w:pPr>
      <w:r w:rsidRPr="00B800AB">
        <w:t>T</w:t>
      </w:r>
      <w:r w:rsidR="005C0683" w:rsidRPr="00B800AB">
        <w:t xml:space="preserve">here </w:t>
      </w:r>
      <w:r w:rsidRPr="00B800AB">
        <w:t xml:space="preserve">was </w:t>
      </w:r>
      <w:r w:rsidR="005C0683" w:rsidRPr="00B800AB">
        <w:t>a</w:t>
      </w:r>
      <w:r w:rsidR="005C0683" w:rsidRPr="00B800AB">
        <w:rPr>
          <w:shd w:val="clear" w:color="auto" w:fill="FAF9F8"/>
        </w:rPr>
        <w:t xml:space="preserve"> loss of control of radioactive or special nuclear material</w:t>
      </w:r>
      <w:r w:rsidR="00684567" w:rsidRPr="00B800AB">
        <w:rPr>
          <w:shd w:val="clear" w:color="auto" w:fill="FAF9F8"/>
        </w:rPr>
        <w:t>, or</w:t>
      </w:r>
    </w:p>
    <w:p w14:paraId="24D39E38" w14:textId="28AE7E7C" w:rsidR="005C0683" w:rsidRPr="004F35D3" w:rsidRDefault="00357C57" w:rsidP="00630B33">
      <w:pPr>
        <w:pStyle w:val="BodyText"/>
        <w:numPr>
          <w:ilvl w:val="0"/>
          <w:numId w:val="6"/>
        </w:numPr>
        <w:ind w:left="1800"/>
      </w:pPr>
      <w:r w:rsidRPr="00B800AB">
        <w:rPr>
          <w:shd w:val="clear" w:color="auto" w:fill="FAF9F8"/>
        </w:rPr>
        <w:t>A</w:t>
      </w:r>
      <w:r w:rsidR="005C0683" w:rsidRPr="00B800AB">
        <w:rPr>
          <w:shd w:val="clear" w:color="auto" w:fill="FAF9F8"/>
        </w:rPr>
        <w:t xml:space="preserve"> security system </w:t>
      </w:r>
      <w:r w:rsidRPr="00B800AB">
        <w:rPr>
          <w:shd w:val="clear" w:color="auto" w:fill="FAF9F8"/>
        </w:rPr>
        <w:t xml:space="preserve">malfunctioned </w:t>
      </w:r>
      <w:r w:rsidR="005C0683" w:rsidRPr="00B800AB">
        <w:rPr>
          <w:shd w:val="clear" w:color="auto" w:fill="FAF9F8"/>
        </w:rPr>
        <w:t xml:space="preserve">and, </w:t>
      </w:r>
      <w:r w:rsidR="00CD1777" w:rsidRPr="00B800AB">
        <w:rPr>
          <w:shd w:val="clear" w:color="auto" w:fill="FAF9F8"/>
        </w:rPr>
        <w:t>because of</w:t>
      </w:r>
      <w:r w:rsidR="005C0683" w:rsidRPr="00B800AB">
        <w:rPr>
          <w:shd w:val="clear" w:color="auto" w:fill="FAF9F8"/>
        </w:rPr>
        <w:t xml:space="preserve"> the failure, a significant event or an </w:t>
      </w:r>
      <w:r w:rsidR="005C0683" w:rsidRPr="004F35D3">
        <w:t>event</w:t>
      </w:r>
      <w:r w:rsidR="005C0683" w:rsidRPr="00B800AB">
        <w:rPr>
          <w:shd w:val="clear" w:color="auto" w:fill="FAF9F8"/>
        </w:rPr>
        <w:t xml:space="preserve"> that resulted in an act of radiological sabotage occur</w:t>
      </w:r>
      <w:r w:rsidRPr="00B800AB">
        <w:rPr>
          <w:shd w:val="clear" w:color="auto" w:fill="FAF9F8"/>
        </w:rPr>
        <w:t>red.</w:t>
      </w:r>
    </w:p>
    <w:p w14:paraId="47929FAB" w14:textId="77777777" w:rsidR="00572F47" w:rsidRDefault="005C0683" w:rsidP="00630B33">
      <w:pPr>
        <w:pStyle w:val="BodyText"/>
        <w:numPr>
          <w:ilvl w:val="2"/>
          <w:numId w:val="18"/>
        </w:numPr>
      </w:pPr>
      <w:r>
        <w:t xml:space="preserve">Does the </w:t>
      </w:r>
      <w:r w:rsidR="006D1FC4">
        <w:t>TE violation</w:t>
      </w:r>
      <w:r>
        <w:t xml:space="preserve"> represent a more than minor impact on the NRC’s ability to perform </w:t>
      </w:r>
      <w:r w:rsidRPr="006B5493">
        <w:t xml:space="preserve">its regulatory </w:t>
      </w:r>
      <w:r w:rsidR="00684567">
        <w:t xml:space="preserve">oversight </w:t>
      </w:r>
      <w:r w:rsidRPr="006B5493">
        <w:t>function</w:t>
      </w:r>
      <w:r>
        <w:t xml:space="preserve">? </w:t>
      </w:r>
    </w:p>
    <w:p w14:paraId="5967F3C0" w14:textId="4DF824A9" w:rsidR="006F47B3" w:rsidRPr="00B800AB" w:rsidRDefault="005C0683" w:rsidP="002D6824">
      <w:pPr>
        <w:pStyle w:val="BodyText5"/>
      </w:pPr>
      <w:r w:rsidRPr="00572F47">
        <w:rPr>
          <w:shd w:val="clear" w:color="auto" w:fill="FAF9F8"/>
        </w:rPr>
        <w:t xml:space="preserve">The NRC considers the safety and security implications of </w:t>
      </w:r>
      <w:r w:rsidR="000709CD">
        <w:rPr>
          <w:shd w:val="clear" w:color="auto" w:fill="FAF9F8"/>
        </w:rPr>
        <w:t>noncomp</w:t>
      </w:r>
      <w:r w:rsidR="003F54D0">
        <w:rPr>
          <w:shd w:val="clear" w:color="auto" w:fill="FAF9F8"/>
        </w:rPr>
        <w:t>liance</w:t>
      </w:r>
      <w:r w:rsidRPr="00572F47">
        <w:rPr>
          <w:shd w:val="clear" w:color="auto" w:fill="FAF9F8"/>
        </w:rPr>
        <w:t xml:space="preserve">s that may affect </w:t>
      </w:r>
      <w:r w:rsidRPr="009173AE">
        <w:t>the</w:t>
      </w:r>
      <w:r w:rsidRPr="00572F47">
        <w:rPr>
          <w:shd w:val="clear" w:color="auto" w:fill="FAF9F8"/>
        </w:rPr>
        <w:t xml:space="preserve"> NRC’s ability to carry out its regulatory </w:t>
      </w:r>
      <w:r w:rsidR="00684567" w:rsidRPr="00572F47">
        <w:rPr>
          <w:shd w:val="clear" w:color="auto" w:fill="FAF9F8"/>
        </w:rPr>
        <w:t xml:space="preserve">oversight </w:t>
      </w:r>
      <w:r w:rsidRPr="00572F47">
        <w:rPr>
          <w:shd w:val="clear" w:color="auto" w:fill="FAF9F8"/>
        </w:rPr>
        <w:t>function.</w:t>
      </w:r>
      <w:r w:rsidR="00DF1CDA">
        <w:rPr>
          <w:shd w:val="clear" w:color="auto" w:fill="FAF9F8"/>
        </w:rPr>
        <w:t xml:space="preserve"> </w:t>
      </w:r>
      <w:r w:rsidRPr="00572F47">
        <w:rPr>
          <w:shd w:val="clear" w:color="auto" w:fill="FAF9F8"/>
        </w:rPr>
        <w:t>The NRC Enforcement Policy,</w:t>
      </w:r>
      <w:r w:rsidR="00756FA4">
        <w:rPr>
          <w:shd w:val="clear" w:color="auto" w:fill="FAF9F8"/>
        </w:rPr>
        <w:t xml:space="preserve"> Section</w:t>
      </w:r>
      <w:r w:rsidRPr="00572F47">
        <w:rPr>
          <w:shd w:val="clear" w:color="auto" w:fill="FAF9F8"/>
        </w:rPr>
        <w:t xml:space="preserve"> 2.2.1.c lists several examples of </w:t>
      </w:r>
      <w:r w:rsidR="000709CD">
        <w:rPr>
          <w:shd w:val="clear" w:color="auto" w:fill="FAF9F8"/>
        </w:rPr>
        <w:t>noncomp</w:t>
      </w:r>
      <w:r w:rsidR="003F54D0">
        <w:rPr>
          <w:shd w:val="clear" w:color="auto" w:fill="FAF9F8"/>
        </w:rPr>
        <w:t>liance</w:t>
      </w:r>
      <w:r w:rsidRPr="00572F47">
        <w:rPr>
          <w:shd w:val="clear" w:color="auto" w:fill="FAF9F8"/>
        </w:rPr>
        <w:t xml:space="preserve">s that represent a more than minor impact on the NRC’s ability to perform its regulatory function. </w:t>
      </w:r>
      <w:r w:rsidR="00284AF7" w:rsidRPr="00572F47">
        <w:rPr>
          <w:shd w:val="clear" w:color="auto" w:fill="FAF9F8"/>
        </w:rPr>
        <w:t>Further,</w:t>
      </w:r>
      <w:r w:rsidR="00756FA4">
        <w:rPr>
          <w:shd w:val="clear" w:color="auto" w:fill="FAF9F8"/>
        </w:rPr>
        <w:t xml:space="preserve"> Section</w:t>
      </w:r>
      <w:r w:rsidR="00284AF7" w:rsidRPr="00572F47">
        <w:rPr>
          <w:shd w:val="clear" w:color="auto" w:fill="FAF9F8"/>
        </w:rPr>
        <w:t xml:space="preserve"> 6.9 of the Enforcement Policy lists criteria for SL-IV, SL-III, SL-II, and SL-</w:t>
      </w:r>
      <w:r w:rsidR="00323D8A" w:rsidRPr="00572F47">
        <w:rPr>
          <w:shd w:val="clear" w:color="auto" w:fill="FAF9F8"/>
        </w:rPr>
        <w:t xml:space="preserve">I </w:t>
      </w:r>
      <w:r w:rsidR="000D0E98" w:rsidRPr="00572F47">
        <w:rPr>
          <w:shd w:val="clear" w:color="auto" w:fill="FAF9F8"/>
        </w:rPr>
        <w:t xml:space="preserve">construction </w:t>
      </w:r>
      <w:r w:rsidR="00284AF7" w:rsidRPr="00572F47">
        <w:rPr>
          <w:shd w:val="clear" w:color="auto" w:fill="FAF9F8"/>
        </w:rPr>
        <w:t xml:space="preserve">violations. </w:t>
      </w:r>
      <w:r w:rsidRPr="00572F47">
        <w:rPr>
          <w:shd w:val="clear" w:color="auto" w:fill="FAF9F8"/>
        </w:rPr>
        <w:t xml:space="preserve">The questions below are derived from </w:t>
      </w:r>
      <w:r w:rsidR="00284AF7" w:rsidRPr="00572F47">
        <w:rPr>
          <w:shd w:val="clear" w:color="auto" w:fill="FAF9F8"/>
        </w:rPr>
        <w:t xml:space="preserve">this </w:t>
      </w:r>
      <w:proofErr w:type="gramStart"/>
      <w:r w:rsidR="00284AF7" w:rsidRPr="00572F47">
        <w:rPr>
          <w:shd w:val="clear" w:color="auto" w:fill="FAF9F8"/>
        </w:rPr>
        <w:t>guidance</w:t>
      </w:r>
      <w:proofErr w:type="gramEnd"/>
      <w:r w:rsidRPr="00572F47">
        <w:rPr>
          <w:shd w:val="clear" w:color="auto" w:fill="FAF9F8"/>
        </w:rPr>
        <w:t>.</w:t>
      </w:r>
      <w:r w:rsidR="005F3F7F" w:rsidRPr="00572F47">
        <w:rPr>
          <w:shd w:val="clear" w:color="auto" w:fill="FAF9F8"/>
        </w:rPr>
        <w:t xml:space="preserve"> </w:t>
      </w:r>
    </w:p>
    <w:p w14:paraId="6CC8093C" w14:textId="7F9CFFE0" w:rsidR="006D1FC4" w:rsidRDefault="005F3F7F" w:rsidP="002D6824">
      <w:pPr>
        <w:pStyle w:val="BodyText5"/>
        <w:rPr>
          <w:shd w:val="clear" w:color="auto" w:fill="FAF9F8"/>
        </w:rPr>
      </w:pPr>
      <w:r>
        <w:rPr>
          <w:shd w:val="clear" w:color="auto" w:fill="FAF9F8"/>
        </w:rPr>
        <w:t xml:space="preserve">If </w:t>
      </w:r>
      <w:r w:rsidR="002B089E">
        <w:rPr>
          <w:shd w:val="clear" w:color="auto" w:fill="FAF9F8"/>
        </w:rPr>
        <w:t xml:space="preserve">the </w:t>
      </w:r>
      <w:r>
        <w:rPr>
          <w:shd w:val="clear" w:color="auto" w:fill="FAF9F8"/>
        </w:rPr>
        <w:t xml:space="preserve">answer to any </w:t>
      </w:r>
      <w:r w:rsidR="000E3B58">
        <w:rPr>
          <w:shd w:val="clear" w:color="auto" w:fill="FAF9F8"/>
        </w:rPr>
        <w:t xml:space="preserve">of </w:t>
      </w:r>
      <w:r>
        <w:rPr>
          <w:shd w:val="clear" w:color="auto" w:fill="FAF9F8"/>
        </w:rPr>
        <w:t>the questions below is “yes,” then the violation may be greater than minor.</w:t>
      </w:r>
      <w:r w:rsidR="005C0683">
        <w:rPr>
          <w:shd w:val="clear" w:color="auto" w:fill="FAF9F8"/>
        </w:rPr>
        <w:t xml:space="preserve"> </w:t>
      </w:r>
      <w:r w:rsidR="006F47B3" w:rsidRPr="00B800AB">
        <w:rPr>
          <w:shd w:val="clear" w:color="auto" w:fill="FAF9F8"/>
        </w:rPr>
        <w:t>However</w:t>
      </w:r>
      <w:r w:rsidR="006F47B3">
        <w:rPr>
          <w:shd w:val="clear" w:color="auto" w:fill="FAF9F8"/>
        </w:rPr>
        <w:t>, r</w:t>
      </w:r>
      <w:r w:rsidR="006F47B3" w:rsidRPr="006F47B3">
        <w:rPr>
          <w:shd w:val="clear" w:color="auto" w:fill="FAF9F8"/>
        </w:rPr>
        <w:t>ecognizing that the regulation of nuclear activities in many cases does not lend itself to a mechanistic treatment</w:t>
      </w:r>
      <w:r w:rsidR="006F47B3">
        <w:rPr>
          <w:shd w:val="clear" w:color="auto" w:fill="FAF9F8"/>
        </w:rPr>
        <w:t xml:space="preserve"> for determining significance of these types of violations</w:t>
      </w:r>
      <w:r w:rsidR="006F47B3" w:rsidRPr="006F47B3">
        <w:rPr>
          <w:shd w:val="clear" w:color="auto" w:fill="FAF9F8"/>
        </w:rPr>
        <w:t xml:space="preserve">, judgment must be exercised in determining the </w:t>
      </w:r>
      <w:r w:rsidR="00323D8A">
        <w:rPr>
          <w:shd w:val="clear" w:color="auto" w:fill="FAF9F8"/>
        </w:rPr>
        <w:t>SL</w:t>
      </w:r>
      <w:r w:rsidR="008E17C4">
        <w:rPr>
          <w:shd w:val="clear" w:color="auto" w:fill="FAF9F8"/>
        </w:rPr>
        <w:t>s</w:t>
      </w:r>
      <w:r w:rsidR="006F47B3" w:rsidRPr="006F47B3">
        <w:rPr>
          <w:shd w:val="clear" w:color="auto" w:fill="FAF9F8"/>
        </w:rPr>
        <w:t xml:space="preserve"> of the violations and the appropriate enforcement sanctions. </w:t>
      </w:r>
      <w:r w:rsidR="005C0683">
        <w:rPr>
          <w:shd w:val="clear" w:color="auto" w:fill="FAF9F8"/>
        </w:rPr>
        <w:t xml:space="preserve">The </w:t>
      </w:r>
      <w:r w:rsidR="005C0683" w:rsidRPr="00277F35">
        <w:rPr>
          <w:shd w:val="clear" w:color="auto" w:fill="FAF9F8"/>
        </w:rPr>
        <w:t>APO</w:t>
      </w:r>
      <w:r w:rsidR="005C0683">
        <w:rPr>
          <w:shd w:val="clear" w:color="auto" w:fill="FAF9F8"/>
        </w:rPr>
        <w:t xml:space="preserve"> and the OE should be consulted prior to finalizing a determination that a </w:t>
      </w:r>
      <w:r w:rsidR="000709CD">
        <w:rPr>
          <w:shd w:val="clear" w:color="auto" w:fill="FAF9F8"/>
        </w:rPr>
        <w:t>noncomp</w:t>
      </w:r>
      <w:r w:rsidR="003F54D0">
        <w:rPr>
          <w:shd w:val="clear" w:color="auto" w:fill="FAF9F8"/>
        </w:rPr>
        <w:t>liance</w:t>
      </w:r>
      <w:r w:rsidR="005C0683">
        <w:rPr>
          <w:shd w:val="clear" w:color="auto" w:fill="FAF9F8"/>
        </w:rPr>
        <w:t xml:space="preserve"> is greater than minor due to it affecting the NRC’s ability to carry out its regulatory </w:t>
      </w:r>
      <w:r w:rsidR="00684567">
        <w:rPr>
          <w:shd w:val="clear" w:color="auto" w:fill="FAF9F8"/>
        </w:rPr>
        <w:t xml:space="preserve">oversight </w:t>
      </w:r>
      <w:r w:rsidR="005C0683">
        <w:rPr>
          <w:shd w:val="clear" w:color="auto" w:fill="FAF9F8"/>
        </w:rPr>
        <w:t>function.</w:t>
      </w:r>
      <w:r>
        <w:rPr>
          <w:shd w:val="clear" w:color="auto" w:fill="FAF9F8"/>
        </w:rPr>
        <w:t xml:space="preserve"> </w:t>
      </w:r>
    </w:p>
    <w:p w14:paraId="10DF032F" w14:textId="1A010662" w:rsidR="005C0683" w:rsidRPr="004F35D3" w:rsidRDefault="005F3F7F" w:rsidP="00630B33">
      <w:pPr>
        <w:pStyle w:val="BodyText"/>
        <w:numPr>
          <w:ilvl w:val="3"/>
          <w:numId w:val="18"/>
        </w:numPr>
        <w:rPr>
          <w:shd w:val="clear" w:color="auto" w:fill="FAF9F8"/>
        </w:rPr>
      </w:pPr>
      <w:r>
        <w:rPr>
          <w:shd w:val="clear" w:color="auto" w:fill="FAF9F8"/>
        </w:rPr>
        <w:t xml:space="preserve">Did the </w:t>
      </w:r>
      <w:r w:rsidR="006D1FC4" w:rsidRPr="00B800AB">
        <w:t>TE</w:t>
      </w:r>
      <w:r w:rsidR="006D1FC4" w:rsidRPr="005F3F7F">
        <w:rPr>
          <w:shd w:val="clear" w:color="auto" w:fill="FAF9F8"/>
        </w:rPr>
        <w:t xml:space="preserve"> violation </w:t>
      </w:r>
      <w:r w:rsidR="005C0683" w:rsidRPr="005F3F7F">
        <w:rPr>
          <w:shd w:val="clear" w:color="auto" w:fill="FAF9F8"/>
        </w:rPr>
        <w:t>include</w:t>
      </w:r>
      <w:r w:rsidR="006D1FC4" w:rsidRPr="005F3F7F">
        <w:rPr>
          <w:shd w:val="clear" w:color="auto" w:fill="FAF9F8"/>
        </w:rPr>
        <w:t xml:space="preserve"> </w:t>
      </w:r>
      <w:r w:rsidR="005C0683" w:rsidRPr="005F3F7F">
        <w:rPr>
          <w:shd w:val="clear" w:color="auto" w:fill="FAF9F8"/>
        </w:rPr>
        <w:t xml:space="preserve">a failure to provide complete and accurate information, </w:t>
      </w:r>
      <w:r w:rsidR="005C0683" w:rsidRPr="004F35D3">
        <w:t>such</w:t>
      </w:r>
      <w:r w:rsidR="005C0683" w:rsidRPr="005F3F7F">
        <w:rPr>
          <w:shd w:val="clear" w:color="auto" w:fill="FAF9F8"/>
        </w:rPr>
        <w:t xml:space="preserve"> as a failure to perform 10 CFR 50.59, “Changes, Tests and Experiments,” </w:t>
      </w:r>
      <w:r>
        <w:rPr>
          <w:shd w:val="clear" w:color="auto" w:fill="FAF9F8"/>
        </w:rPr>
        <w:t>or</w:t>
      </w:r>
      <w:r w:rsidR="005C0683" w:rsidRPr="005F3F7F">
        <w:rPr>
          <w:shd w:val="clear" w:color="auto" w:fill="FAF9F8"/>
        </w:rPr>
        <w:t xml:space="preserve"> similar analyses; failures to maintain an up-to-date and accurate FSAR; or a failure to comply with reporting requirements, and did this failure to </w:t>
      </w:r>
      <w:r w:rsidR="005C0683" w:rsidRPr="00B800AB">
        <w:rPr>
          <w:shd w:val="clear" w:color="auto" w:fill="FAF9F8"/>
        </w:rPr>
        <w:t>provide information result in the NRC taking a regulatory action, or failing to take a regulatory action, that was different than the NRC would have taken had this information been available to them?</w:t>
      </w:r>
    </w:p>
    <w:p w14:paraId="3005F199" w14:textId="24982BE1" w:rsidR="004F35D3" w:rsidRPr="004F35D3" w:rsidRDefault="005C0683" w:rsidP="00630B33">
      <w:pPr>
        <w:pStyle w:val="BodyText"/>
        <w:numPr>
          <w:ilvl w:val="3"/>
          <w:numId w:val="18"/>
        </w:numPr>
        <w:rPr>
          <w:shd w:val="clear" w:color="auto" w:fill="FAF9F8"/>
        </w:rPr>
      </w:pPr>
      <w:r w:rsidRPr="00B800AB">
        <w:rPr>
          <w:shd w:val="clear" w:color="auto" w:fill="FAF9F8"/>
        </w:rPr>
        <w:t xml:space="preserve">Did the </w:t>
      </w:r>
      <w:r w:rsidR="00C76184" w:rsidRPr="00B800AB">
        <w:rPr>
          <w:shd w:val="clear" w:color="auto" w:fill="FAF9F8"/>
        </w:rPr>
        <w:t>TE violation</w:t>
      </w:r>
      <w:r w:rsidRPr="00B800AB">
        <w:rPr>
          <w:shd w:val="clear" w:color="auto" w:fill="FAF9F8"/>
        </w:rPr>
        <w:t xml:space="preserve"> include a failure to receive prior NRC approval for changes in licensed activities, when required; or a failure to notify the NRC of required changes in licensed activities, when required?</w:t>
      </w:r>
    </w:p>
    <w:p w14:paraId="55C330F7" w14:textId="4A46FD41" w:rsidR="004F35D3" w:rsidRDefault="005C0683" w:rsidP="00630B33">
      <w:pPr>
        <w:pStyle w:val="BodyText"/>
        <w:numPr>
          <w:ilvl w:val="3"/>
          <w:numId w:val="18"/>
        </w:numPr>
      </w:pPr>
      <w:r w:rsidRPr="00B800AB">
        <w:t xml:space="preserve">Did the </w:t>
      </w:r>
      <w:r w:rsidR="00C76184" w:rsidRPr="00B800AB">
        <w:t>TE violation</w:t>
      </w:r>
      <w:r w:rsidRPr="00B800AB">
        <w:t xml:space="preserve"> result in an NRC-accepted ITAAC closure notification (ICN) that is </w:t>
      </w:r>
      <w:r w:rsidRPr="004F35D3">
        <w:rPr>
          <w:shd w:val="clear" w:color="auto" w:fill="FAF9F8"/>
        </w:rPr>
        <w:t>not</w:t>
      </w:r>
      <w:r w:rsidRPr="00B800AB">
        <w:t xml:space="preserve"> </w:t>
      </w:r>
      <w:r w:rsidRPr="00B800AB">
        <w:rPr>
          <w:shd w:val="clear" w:color="auto" w:fill="FAF9F8"/>
        </w:rPr>
        <w:t>valid</w:t>
      </w:r>
      <w:r w:rsidRPr="00B800AB">
        <w:t xml:space="preserve"> either because the licensee did not meet the acceptance criteria or the performance of an inspections, tests, or analyses upon which the acceptance criteria are based is not valid?</w:t>
      </w:r>
    </w:p>
    <w:p w14:paraId="0E399CAC" w14:textId="375EAC1B" w:rsidR="00B800AB" w:rsidRPr="004F35D3" w:rsidRDefault="005C0683" w:rsidP="00473CBB">
      <w:pPr>
        <w:pStyle w:val="BodyText5"/>
        <w:ind w:left="1800"/>
      </w:pPr>
      <w:r w:rsidRPr="004F35D3">
        <w:t>Note: this scenario is different from situations where the ITAAC requirements were met at the time the ICN was submitted but subsequent testing or analyses demonstrate</w:t>
      </w:r>
      <w:r w:rsidR="00794937" w:rsidRPr="004F35D3">
        <w:t>d</w:t>
      </w:r>
      <w:r w:rsidRPr="004F35D3">
        <w:t xml:space="preserve"> the ITAAC acceptance criteria no longer continue to </w:t>
      </w:r>
      <w:r w:rsidRPr="004F35D3">
        <w:lastRenderedPageBreak/>
        <w:t>be met. This second scenario is covered under ITAAC maintenance and may require the licensee to submit an ITAAC Post Closure Notification (IPCN).</w:t>
      </w:r>
    </w:p>
    <w:p w14:paraId="4E22B815" w14:textId="66CD33A0" w:rsidR="009D05EE" w:rsidRPr="009173AE" w:rsidRDefault="00A25B53" w:rsidP="00630B33">
      <w:pPr>
        <w:pStyle w:val="BodyText"/>
        <w:numPr>
          <w:ilvl w:val="3"/>
          <w:numId w:val="18"/>
        </w:numPr>
      </w:pPr>
      <w:r w:rsidRPr="00B800AB">
        <w:t xml:space="preserve">Did the TE </w:t>
      </w:r>
      <w:r w:rsidRPr="004F35D3">
        <w:rPr>
          <w:shd w:val="clear" w:color="auto" w:fill="FAF9F8"/>
        </w:rPr>
        <w:t>violation</w:t>
      </w:r>
      <w:r w:rsidRPr="00B800AB">
        <w:t xml:space="preserve"> meet any </w:t>
      </w:r>
      <w:r w:rsidR="00C137B6" w:rsidRPr="00B800AB">
        <w:t xml:space="preserve">other </w:t>
      </w:r>
      <w:r w:rsidRPr="00B800AB">
        <w:t>criteria in</w:t>
      </w:r>
      <w:r w:rsidR="00756FA4">
        <w:t xml:space="preserve"> Section</w:t>
      </w:r>
      <w:r w:rsidRPr="00B800AB">
        <w:t xml:space="preserve"> </w:t>
      </w:r>
      <w:r w:rsidR="00631952" w:rsidRPr="00B800AB">
        <w:t>6.9 of the NR</w:t>
      </w:r>
      <w:r w:rsidR="00B800AB" w:rsidRPr="00B800AB">
        <w:t xml:space="preserve">C </w:t>
      </w:r>
      <w:r w:rsidR="00631952" w:rsidRPr="00B800AB">
        <w:t>Enforcement Policy for being SL-IV or higher?</w:t>
      </w:r>
    </w:p>
    <w:p w14:paraId="13A5F862" w14:textId="177DB6C2" w:rsidR="00B800AB" w:rsidRDefault="00777939" w:rsidP="00630B33">
      <w:pPr>
        <w:pStyle w:val="BodyText"/>
        <w:numPr>
          <w:ilvl w:val="3"/>
          <w:numId w:val="18"/>
        </w:numPr>
      </w:pPr>
      <w:r>
        <w:t xml:space="preserve">If no performance deficiency is associated with a violation, does the violation screen as more than minor using </w:t>
      </w:r>
      <w:r w:rsidR="00252DB4">
        <w:t>Attachment 2</w:t>
      </w:r>
      <w:r w:rsidR="00495735">
        <w:t xml:space="preserve"> of this IMC</w:t>
      </w:r>
      <w:r>
        <w:t>?</w:t>
      </w:r>
    </w:p>
    <w:p w14:paraId="50D362A3" w14:textId="1AB1362A" w:rsidR="004979F7" w:rsidRPr="00332BAF" w:rsidRDefault="00663A4E" w:rsidP="00630B33">
      <w:pPr>
        <w:pStyle w:val="BodyText"/>
        <w:numPr>
          <w:ilvl w:val="1"/>
          <w:numId w:val="18"/>
        </w:numPr>
      </w:pPr>
      <w:r>
        <w:t xml:space="preserve">ARCOP safety or </w:t>
      </w:r>
      <w:r w:rsidR="000E339D">
        <w:t xml:space="preserve">security </w:t>
      </w:r>
      <w:r>
        <w:t xml:space="preserve">significance of the </w:t>
      </w:r>
      <w:r w:rsidR="000709CD">
        <w:t>noncomp</w:t>
      </w:r>
      <w:r w:rsidR="003F54D0">
        <w:t>liance</w:t>
      </w:r>
      <w:r w:rsidR="009D05EE" w:rsidRPr="00332BAF">
        <w:t xml:space="preserve">: </w:t>
      </w:r>
      <w:r w:rsidRPr="00332BAF">
        <w:t xml:space="preserve">Use </w:t>
      </w:r>
      <w:r w:rsidR="00252DB4" w:rsidRPr="00332BAF">
        <w:t>Attachment 3</w:t>
      </w:r>
      <w:r w:rsidRPr="00332BAF">
        <w:t xml:space="preserve"> of this IMC to determine the ARCOP safety or security significance of the finding</w:t>
      </w:r>
      <w:r w:rsidR="00844A59">
        <w:t>, if possible</w:t>
      </w:r>
      <w:r w:rsidRPr="00332BAF">
        <w:t xml:space="preserve">. </w:t>
      </w:r>
      <w:r w:rsidR="00C32344" w:rsidRPr="00332BAF">
        <w:t>This information will inform the final severity level determination of the violation.</w:t>
      </w:r>
      <w:r w:rsidR="00480917">
        <w:t xml:space="preserve"> Some TE violations may have no ARCOP technical aspect</w:t>
      </w:r>
      <w:r w:rsidR="006C736B">
        <w:t>. For these violations, the ARCOP significance is not applicable.</w:t>
      </w:r>
    </w:p>
    <w:p w14:paraId="06240434" w14:textId="2D59E736" w:rsidR="00C45614" w:rsidRPr="000E29E4" w:rsidRDefault="00C32344" w:rsidP="00630B33">
      <w:pPr>
        <w:pStyle w:val="BodyText"/>
        <w:numPr>
          <w:ilvl w:val="1"/>
          <w:numId w:val="18"/>
        </w:numPr>
      </w:pPr>
      <w:r>
        <w:t>Final severity level of the violation</w:t>
      </w:r>
      <w:r w:rsidR="000E29E4">
        <w:t xml:space="preserve">: </w:t>
      </w:r>
      <w:r w:rsidRPr="000E29E4">
        <w:t>The final severity level of the violation is determined using the NRC Enforcement Policy</w:t>
      </w:r>
      <w:r w:rsidR="007B7241">
        <w:t xml:space="preserve"> section 6</w:t>
      </w:r>
      <w:r w:rsidRPr="000E29E4">
        <w:t xml:space="preserve"> guidelines</w:t>
      </w:r>
      <w:r w:rsidR="00636FA1" w:rsidRPr="000E29E4">
        <w:t xml:space="preserve">, </w:t>
      </w:r>
      <w:r w:rsidR="009C709F" w:rsidRPr="000E29E4">
        <w:t>considering</w:t>
      </w:r>
      <w:r w:rsidR="00636FA1" w:rsidRPr="000E29E4">
        <w:t xml:space="preserve"> the ARCOP safety or security significance of the </w:t>
      </w:r>
      <w:r w:rsidR="00ED43F3">
        <w:t>finding</w:t>
      </w:r>
      <w:r w:rsidR="001B7671" w:rsidRPr="000E29E4">
        <w:t xml:space="preserve">. </w:t>
      </w:r>
      <w:r w:rsidR="00636FA1" w:rsidRPr="000E29E4">
        <w:t xml:space="preserve">If the Enforcement Policy </w:t>
      </w:r>
      <w:r w:rsidR="00D3099A" w:rsidRPr="000E29E4">
        <w:t xml:space="preserve">severity level </w:t>
      </w:r>
      <w:r w:rsidR="00636FA1" w:rsidRPr="000E29E4">
        <w:t xml:space="preserve">and the ARCOP </w:t>
      </w:r>
      <w:r w:rsidR="00D3099A" w:rsidRPr="000E29E4">
        <w:t xml:space="preserve">safety or security </w:t>
      </w:r>
      <w:r w:rsidR="00636FA1" w:rsidRPr="000E29E4">
        <w:t>sig</w:t>
      </w:r>
      <w:r w:rsidR="00D3099A" w:rsidRPr="000E29E4">
        <w:t>nificance are not aligned, then c</w:t>
      </w:r>
      <w:r w:rsidR="002C6096" w:rsidRPr="000E29E4">
        <w:t xml:space="preserve">onsult with OE </w:t>
      </w:r>
      <w:r w:rsidR="00D3099A" w:rsidRPr="000E29E4">
        <w:t>and APO prior to assigning the final severity level of the violation.</w:t>
      </w:r>
    </w:p>
    <w:p w14:paraId="1A9869F0" w14:textId="77777777" w:rsidR="00572F47" w:rsidRDefault="00572F47" w:rsidP="00473CBB">
      <w:pPr>
        <w:pStyle w:val="BodyText"/>
      </w:pPr>
    </w:p>
    <w:p w14:paraId="1ECBF10F" w14:textId="17BD4FEB" w:rsidR="00C91AD8" w:rsidRDefault="00C91AD8" w:rsidP="00C91AD8">
      <w:pPr>
        <w:pStyle w:val="Caption"/>
      </w:pPr>
      <w:bookmarkStart w:id="115" w:name="_Toc219293609"/>
      <w:r>
        <w:t xml:space="preserve">Figure </w:t>
      </w:r>
      <w:r>
        <w:fldChar w:fldCharType="begin"/>
      </w:r>
      <w:r>
        <w:instrText xml:space="preserve"> SEQ Figure \* ARABIC </w:instrText>
      </w:r>
      <w:r>
        <w:fldChar w:fldCharType="separate"/>
      </w:r>
      <w:r>
        <w:rPr>
          <w:noProof/>
        </w:rPr>
        <w:t>4</w:t>
      </w:r>
      <w:r>
        <w:rPr>
          <w:noProof/>
        </w:rPr>
        <w:fldChar w:fldCharType="end"/>
      </w:r>
      <w:r>
        <w:t>: Dispositioning Non-Willful TE Violations</w:t>
      </w:r>
      <w:bookmarkEnd w:id="115"/>
    </w:p>
    <w:p w14:paraId="72EF020C" w14:textId="08A3AFC7" w:rsidR="00572F47" w:rsidRDefault="006C2BFC" w:rsidP="00572F47">
      <w:pPr>
        <w:pStyle w:val="Default"/>
        <w:rPr>
          <w:sz w:val="22"/>
          <w:szCs w:val="22"/>
        </w:rPr>
      </w:pPr>
      <w:r w:rsidRPr="006C2BFC">
        <w:rPr>
          <w:noProof/>
          <w:sz w:val="22"/>
          <w:szCs w:val="22"/>
        </w:rPr>
        <w:drawing>
          <wp:inline distT="0" distB="0" distL="0" distR="0" wp14:anchorId="0A9B18EC" wp14:editId="2780C415">
            <wp:extent cx="6186115" cy="1572304"/>
            <wp:effectExtent l="0" t="0" r="5715" b="8890"/>
            <wp:docPr id="14685631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6313" name="Picture 1" descr="Diagram&#10;&#10;AI-generated content may be incorrect."/>
                    <pic:cNvPicPr/>
                  </pic:nvPicPr>
                  <pic:blipFill>
                    <a:blip r:embed="rId34"/>
                    <a:stretch>
                      <a:fillRect/>
                    </a:stretch>
                  </pic:blipFill>
                  <pic:spPr>
                    <a:xfrm>
                      <a:off x="0" y="0"/>
                      <a:ext cx="6229796" cy="1583406"/>
                    </a:xfrm>
                    <a:prstGeom prst="rect">
                      <a:avLst/>
                    </a:prstGeom>
                  </pic:spPr>
                </pic:pic>
              </a:graphicData>
            </a:graphic>
          </wp:inline>
        </w:drawing>
      </w:r>
    </w:p>
    <w:p w14:paraId="51E75451" w14:textId="77777777" w:rsidR="00572F47" w:rsidRDefault="00572F47" w:rsidP="00473CBB">
      <w:pPr>
        <w:pStyle w:val="BodyText"/>
      </w:pPr>
    </w:p>
    <w:p w14:paraId="41AD2040" w14:textId="22A0C306" w:rsidR="00040A4E" w:rsidRPr="00C5642D" w:rsidRDefault="00040A4E" w:rsidP="004F3AB0">
      <w:pPr>
        <w:pStyle w:val="Heading2"/>
      </w:pPr>
      <w:bookmarkStart w:id="116" w:name="_Toc219293610"/>
      <w:r w:rsidRPr="00C5642D">
        <w:t>07.1</w:t>
      </w:r>
      <w:r w:rsidR="00C5642D" w:rsidRPr="00C5642D">
        <w:t>1</w:t>
      </w:r>
      <w:r w:rsidRPr="00C5642D">
        <w:tab/>
      </w:r>
      <w:r w:rsidRPr="00C5642D">
        <w:rPr>
          <w:u w:val="single"/>
        </w:rPr>
        <w:t>Enforcement Review Panel Procedures</w:t>
      </w:r>
      <w:bookmarkEnd w:id="116"/>
      <w:r w:rsidRPr="00C5642D">
        <w:t xml:space="preserve"> </w:t>
      </w:r>
    </w:p>
    <w:p w14:paraId="028658B8" w14:textId="01CA6018" w:rsidR="00673A32" w:rsidRPr="00C5642D" w:rsidRDefault="00673A32" w:rsidP="00473CBB">
      <w:pPr>
        <w:pStyle w:val="BodyText3"/>
        <w:rPr>
          <w:color w:val="000000"/>
        </w:rPr>
      </w:pPr>
      <w:r w:rsidRPr="00C5642D">
        <w:t xml:space="preserve">The Enforcement Review Panel provides a management review of inspection findings, a preliminary decision regarding the significance characterization, and enforcement recommendations for all inspection findings in which the proposed significance characterization is White, Yellow, </w:t>
      </w:r>
      <w:r w:rsidR="00F02C4D" w:rsidRPr="00C5642D">
        <w:t xml:space="preserve">or </w:t>
      </w:r>
      <w:r w:rsidR="00AA5FA1" w:rsidRPr="00C5642D">
        <w:t>GTG</w:t>
      </w:r>
      <w:r w:rsidR="006A46E1" w:rsidRPr="00C5642D">
        <w:t>.</w:t>
      </w:r>
      <w:r w:rsidRPr="00C5642D">
        <w:t xml:space="preserve"> An official agency preliminary significance determination of White, Yellow, </w:t>
      </w:r>
      <w:r w:rsidR="006A46E1" w:rsidRPr="00C5642D">
        <w:t xml:space="preserve">or </w:t>
      </w:r>
      <w:r w:rsidRPr="00C5642D">
        <w:t>GTG</w:t>
      </w:r>
      <w:r w:rsidR="00C0232E" w:rsidRPr="00C5642D">
        <w:t xml:space="preserve"> </w:t>
      </w:r>
      <w:r w:rsidRPr="00C5642D">
        <w:t>can only be made by a</w:t>
      </w:r>
      <w:r w:rsidR="00653907">
        <w:t>n</w:t>
      </w:r>
      <w:r w:rsidR="00D3400B">
        <w:t xml:space="preserve"> Enforcement Review Panel</w:t>
      </w:r>
      <w:r w:rsidRPr="00C5642D">
        <w:t xml:space="preserve">. When necessary, based on the results of a Regulatory Conference or written response provided by the licensee, the </w:t>
      </w:r>
      <w:r w:rsidR="0001414C">
        <w:t>Enforcement Review Panel</w:t>
      </w:r>
      <w:r w:rsidRPr="00C5642D">
        <w:t xml:space="preserve"> provides the management review and a final decision regarding the finding’s significance determination and enforcement action, as applicable. </w:t>
      </w:r>
      <w:r w:rsidRPr="00C5642D">
        <w:rPr>
          <w:color w:val="000000"/>
        </w:rPr>
        <w:t xml:space="preserve">The </w:t>
      </w:r>
      <w:r w:rsidR="0001414C">
        <w:rPr>
          <w:color w:val="000000"/>
        </w:rPr>
        <w:t>Enforcement Review Panel</w:t>
      </w:r>
      <w:r w:rsidRPr="00C5642D">
        <w:rPr>
          <w:color w:val="000000"/>
        </w:rPr>
        <w:t xml:space="preserve"> process is described </w:t>
      </w:r>
      <w:r w:rsidR="0001414C">
        <w:rPr>
          <w:color w:val="000000"/>
        </w:rPr>
        <w:t>in the NRC Enforcement Policy.</w:t>
      </w:r>
    </w:p>
    <w:p w14:paraId="7C924A82" w14:textId="65783E35" w:rsidR="00A323BD" w:rsidRDefault="00526F8D" w:rsidP="00473CBB">
      <w:pPr>
        <w:pStyle w:val="BodyText3"/>
      </w:pPr>
      <w:r w:rsidRPr="00C5642D">
        <w:t xml:space="preserve">If the recipient of an NRC enforcement </w:t>
      </w:r>
      <w:r w:rsidR="00D738E8" w:rsidRPr="00C5642D">
        <w:t xml:space="preserve">or administrative </w:t>
      </w:r>
      <w:r w:rsidRPr="00C5642D">
        <w:t>action disagrees with the staff’s final determination of significance</w:t>
      </w:r>
      <w:r w:rsidR="00CF32B3" w:rsidRPr="00C5642D">
        <w:t xml:space="preserve"> or severity level</w:t>
      </w:r>
      <w:r w:rsidR="005D7F47">
        <w:t xml:space="preserve"> for an ARCOP finding</w:t>
      </w:r>
      <w:r w:rsidRPr="00C5642D">
        <w:t xml:space="preserve">, they may </w:t>
      </w:r>
      <w:r w:rsidRPr="00C5642D">
        <w:lastRenderedPageBreak/>
        <w:t xml:space="preserve">appeal the determination to the Director of APO as described in </w:t>
      </w:r>
      <w:r w:rsidR="00252DB4" w:rsidRPr="00C5642D">
        <w:t xml:space="preserve">Attachment </w:t>
      </w:r>
      <w:r w:rsidR="000D68D2">
        <w:t>4</w:t>
      </w:r>
      <w:r w:rsidR="00841052" w:rsidRPr="00C5642D">
        <w:t xml:space="preserve"> </w:t>
      </w:r>
      <w:r w:rsidRPr="00C5642D">
        <w:t>of this Manual Chapter. Any such review must meet the requirements stated in the Prerequisites and Limitations</w:t>
      </w:r>
      <w:r w:rsidR="00756FA4" w:rsidRPr="00C5642D">
        <w:t xml:space="preserve"> Section</w:t>
      </w:r>
      <w:r w:rsidRPr="00C5642D">
        <w:t xml:space="preserve">s of </w:t>
      </w:r>
      <w:r w:rsidR="00252DB4" w:rsidRPr="00C5642D">
        <w:t xml:space="preserve">Attachment </w:t>
      </w:r>
      <w:r w:rsidR="007B3B15">
        <w:t>4</w:t>
      </w:r>
      <w:r w:rsidRPr="00C5642D">
        <w:t xml:space="preserve"> to merit further staff consideration. Specifically, the </w:t>
      </w:r>
      <w:r w:rsidR="00153513" w:rsidRPr="00C5642D">
        <w:t>recipient</w:t>
      </w:r>
      <w:r w:rsidRPr="00C5642D">
        <w:t xml:space="preserve"> must have opted for an opportunity to present additional information to the staff either by meeting with NRC management at a Regulatory Conference or by submitting a written response on the docket.</w:t>
      </w:r>
    </w:p>
    <w:p w14:paraId="57FF41DC" w14:textId="7BB28C57" w:rsidR="00C7153B" w:rsidRPr="00623099" w:rsidRDefault="002025A1" w:rsidP="00C7153B">
      <w:pPr>
        <w:pStyle w:val="Heading1"/>
      </w:pPr>
      <w:bookmarkStart w:id="117" w:name="_Toc219293611"/>
      <w:r w:rsidRPr="00623099">
        <w:t>2571-08</w:t>
      </w:r>
      <w:r w:rsidRPr="00623099">
        <w:tab/>
        <w:t>REFERENCES</w:t>
      </w:r>
      <w:bookmarkEnd w:id="117"/>
    </w:p>
    <w:p w14:paraId="3AF5AE97" w14:textId="77777777" w:rsidR="00623099" w:rsidRPr="00623099" w:rsidRDefault="00623099" w:rsidP="00623099">
      <w:pPr>
        <w:pStyle w:val="ListParagraph"/>
        <w:widowControl/>
        <w:numPr>
          <w:ilvl w:val="0"/>
          <w:numId w:val="35"/>
        </w:numPr>
        <w:autoSpaceDE/>
        <w:autoSpaceDN/>
        <w:adjustRightInd/>
        <w:spacing w:after="220"/>
        <w:ind w:left="360"/>
        <w:contextualSpacing w:val="0"/>
        <w:rPr>
          <w:sz w:val="22"/>
          <w:szCs w:val="22"/>
        </w:rPr>
      </w:pPr>
      <w:r w:rsidRPr="00623099">
        <w:rPr>
          <w:sz w:val="22"/>
          <w:szCs w:val="22"/>
        </w:rPr>
        <w:t>IMC 2572, “Assessment of Advanced Reactor Construction Projects.”</w:t>
      </w:r>
    </w:p>
    <w:p w14:paraId="7E379E09" w14:textId="77777777" w:rsidR="00623099" w:rsidRPr="00623099" w:rsidRDefault="00623099" w:rsidP="00623099">
      <w:pPr>
        <w:pStyle w:val="ListParagraph"/>
        <w:widowControl/>
        <w:numPr>
          <w:ilvl w:val="0"/>
          <w:numId w:val="35"/>
        </w:numPr>
        <w:autoSpaceDE/>
        <w:autoSpaceDN/>
        <w:adjustRightInd/>
        <w:spacing w:after="220"/>
        <w:ind w:left="360"/>
        <w:contextualSpacing w:val="0"/>
        <w:rPr>
          <w:sz w:val="22"/>
          <w:szCs w:val="22"/>
        </w:rPr>
      </w:pPr>
      <w:r w:rsidRPr="00623099">
        <w:rPr>
          <w:sz w:val="22"/>
          <w:szCs w:val="22"/>
        </w:rPr>
        <w:t xml:space="preserve">IMC 2573, “Inspection of The Advanced Power Reactor “Quality </w:t>
      </w:r>
      <w:proofErr w:type="gramStart"/>
      <w:r w:rsidRPr="00623099">
        <w:rPr>
          <w:sz w:val="22"/>
          <w:szCs w:val="22"/>
        </w:rPr>
        <w:t>Of</w:t>
      </w:r>
      <w:proofErr w:type="gramEnd"/>
      <w:r w:rsidRPr="00623099">
        <w:rPr>
          <w:sz w:val="22"/>
          <w:szCs w:val="22"/>
        </w:rPr>
        <w:t xml:space="preserve"> Reactor Plant Construction” Strategic Performance Area.”</w:t>
      </w:r>
    </w:p>
    <w:p w14:paraId="36B6AE8A" w14:textId="77777777" w:rsidR="00623099" w:rsidRPr="002F6993" w:rsidRDefault="00623099" w:rsidP="00623099">
      <w:pPr>
        <w:pStyle w:val="ListParagraph"/>
        <w:widowControl/>
        <w:numPr>
          <w:ilvl w:val="0"/>
          <w:numId w:val="35"/>
        </w:numPr>
        <w:autoSpaceDE/>
        <w:autoSpaceDN/>
        <w:adjustRightInd/>
        <w:spacing w:after="220"/>
        <w:ind w:left="360"/>
        <w:contextualSpacing w:val="0"/>
        <w:rPr>
          <w:sz w:val="22"/>
          <w:szCs w:val="22"/>
        </w:rPr>
      </w:pPr>
      <w:r w:rsidRPr="00623099">
        <w:rPr>
          <w:sz w:val="22"/>
          <w:szCs w:val="22"/>
        </w:rPr>
        <w:t xml:space="preserve">IMC 2574, “Inspection of The Advanced Power Reactor “Operational Readiness” Strategic </w:t>
      </w:r>
      <w:r w:rsidRPr="002F6993">
        <w:rPr>
          <w:sz w:val="22"/>
          <w:szCs w:val="22"/>
        </w:rPr>
        <w:t>Performance Area.”</w:t>
      </w:r>
    </w:p>
    <w:p w14:paraId="142EAA0A" w14:textId="67314651" w:rsidR="00623099" w:rsidRPr="002F6993" w:rsidRDefault="00623099" w:rsidP="00623099">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NRC Enforcement Policy</w:t>
      </w:r>
    </w:p>
    <w:p w14:paraId="4B1F29F7" w14:textId="58F68DE3" w:rsidR="00623099" w:rsidRPr="002F6993" w:rsidRDefault="00623099" w:rsidP="00623099">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NRC Enforcement Manual</w:t>
      </w:r>
    </w:p>
    <w:p w14:paraId="527CEF74" w14:textId="77777777" w:rsidR="001B7A11" w:rsidRPr="002F6993" w:rsidRDefault="001B7A11" w:rsidP="001B7A11">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IAEA SSR-2/1, revision 1, “Safety of Nuclear Power Plants: Design.”</w:t>
      </w:r>
    </w:p>
    <w:p w14:paraId="5D2C3A27" w14:textId="77777777" w:rsidR="00812249" w:rsidRPr="002F6993" w:rsidRDefault="00812249" w:rsidP="00812249">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IMC 0609, “Significance Determination Process.”</w:t>
      </w:r>
    </w:p>
    <w:p w14:paraId="08A60F3C" w14:textId="77777777" w:rsidR="00C73C47" w:rsidRPr="002F6993" w:rsidRDefault="00C73C47" w:rsidP="00C73C47">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IMC 2203, “Security Inspection Program for Advanced Power Reactor Construction.”</w:t>
      </w:r>
    </w:p>
    <w:p w14:paraId="16CE305B" w14:textId="77777777" w:rsidR="005348A5" w:rsidRPr="002F6993" w:rsidRDefault="005348A5" w:rsidP="005348A5">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NEI 08-01, revision 5, “Industry Guideline for the ITAAC Closure Process under 10 CFR Part 52,” July 2013.</w:t>
      </w:r>
    </w:p>
    <w:p w14:paraId="7F21D4D8" w14:textId="77777777" w:rsidR="005348A5" w:rsidRPr="002F6993" w:rsidRDefault="005348A5" w:rsidP="005348A5">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NEI 18-04, revision 1, “Risk-Informed Performance-Based Technology Inclusive Guidance for Non-Light Water Reactor Licensing Basis Development,” August 2019.</w:t>
      </w:r>
    </w:p>
    <w:p w14:paraId="78ECF488" w14:textId="77777777" w:rsidR="002F6993" w:rsidRPr="002F6993" w:rsidRDefault="002F6993" w:rsidP="002F6993">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SECY-25-0103, “Update on Development of the U.S. Nuclear Regulatory Commission’s Advanced Reactor Construction Oversight Program,” dated December 16, 2025 (ML2502A243).</w:t>
      </w:r>
    </w:p>
    <w:p w14:paraId="04088E45" w14:textId="42DDC0E7" w:rsidR="00623099" w:rsidRPr="002F6993" w:rsidRDefault="002F6993" w:rsidP="002F6993">
      <w:pPr>
        <w:pStyle w:val="ListParagraph"/>
        <w:widowControl/>
        <w:numPr>
          <w:ilvl w:val="0"/>
          <w:numId w:val="35"/>
        </w:numPr>
        <w:autoSpaceDE/>
        <w:autoSpaceDN/>
        <w:adjustRightInd/>
        <w:spacing w:after="220"/>
        <w:ind w:left="360"/>
        <w:contextualSpacing w:val="0"/>
        <w:rPr>
          <w:sz w:val="22"/>
          <w:szCs w:val="22"/>
        </w:rPr>
      </w:pPr>
      <w:r w:rsidRPr="002F6993">
        <w:rPr>
          <w:sz w:val="22"/>
          <w:szCs w:val="22"/>
        </w:rPr>
        <w:t>SECY-23-0048, “Vision for the Nuclear Regulatory Commission’s Advanced Reactor Construction Oversight Program,” dated June 6, 2023 (ML23061A086).</w:t>
      </w:r>
    </w:p>
    <w:p w14:paraId="294C8161" w14:textId="01514506" w:rsidR="009220CD" w:rsidRPr="002F6993" w:rsidRDefault="0046005D" w:rsidP="004C0F18">
      <w:pPr>
        <w:pStyle w:val="END"/>
      </w:pPr>
      <w:r w:rsidRPr="002F6993">
        <w:t>E</w:t>
      </w:r>
      <w:r w:rsidR="00760F7C" w:rsidRPr="002F6993">
        <w:t>ND</w:t>
      </w:r>
      <w:bookmarkEnd w:id="104"/>
      <w:bookmarkEnd w:id="105"/>
      <w:bookmarkEnd w:id="106"/>
    </w:p>
    <w:p w14:paraId="077644E6" w14:textId="746113DA" w:rsidR="00221123" w:rsidRDefault="00221123" w:rsidP="00221123">
      <w:pPr>
        <w:pStyle w:val="BodyText"/>
      </w:pPr>
      <w:r>
        <w:t>List of Attachments:</w:t>
      </w:r>
    </w:p>
    <w:p w14:paraId="5578C236" w14:textId="33CAD5BB" w:rsidR="008B03FB" w:rsidRPr="00633BF1" w:rsidRDefault="00633BF1" w:rsidP="009A1D4C">
      <w:pPr>
        <w:pStyle w:val="BodyText3"/>
        <w:spacing w:line="259" w:lineRule="auto"/>
        <w:contextualSpacing/>
      </w:pPr>
      <w:r w:rsidRPr="00633BF1">
        <w:t>Attachment 1:</w:t>
      </w:r>
      <w:r w:rsidR="008B03FB" w:rsidRPr="00633BF1">
        <w:tab/>
        <w:t>Acronyms</w:t>
      </w:r>
    </w:p>
    <w:p w14:paraId="0E22BDD6" w14:textId="6E47FB99" w:rsidR="008B03FB" w:rsidRPr="009A1D4C" w:rsidRDefault="00633BF1" w:rsidP="009A1D4C">
      <w:pPr>
        <w:pStyle w:val="BodyText3"/>
        <w:spacing w:line="259" w:lineRule="auto"/>
        <w:contextualSpacing/>
      </w:pPr>
      <w:r w:rsidRPr="00633BF1">
        <w:t>Attachment 2:</w:t>
      </w:r>
      <w:r w:rsidR="008B03FB" w:rsidRPr="00633BF1">
        <w:tab/>
        <w:t xml:space="preserve">Determining if an ARCOP </w:t>
      </w:r>
      <w:r w:rsidR="000709CD">
        <w:t>Noncomp</w:t>
      </w:r>
      <w:r w:rsidR="003F54D0">
        <w:t>liance</w:t>
      </w:r>
      <w:r w:rsidR="008B03FB" w:rsidRPr="00633BF1">
        <w:t xml:space="preserve"> is Minor</w:t>
      </w:r>
    </w:p>
    <w:p w14:paraId="65D968AC" w14:textId="394E153E" w:rsidR="008B03FB" w:rsidRPr="00633BF1" w:rsidRDefault="00633BF1" w:rsidP="009A1D4C">
      <w:pPr>
        <w:pStyle w:val="BodyText3"/>
        <w:spacing w:line="259" w:lineRule="auto"/>
        <w:contextualSpacing/>
      </w:pPr>
      <w:r w:rsidRPr="00633BF1">
        <w:t>Attachment 3:</w:t>
      </w:r>
      <w:r w:rsidR="008B03FB" w:rsidRPr="00633BF1">
        <w:tab/>
        <w:t xml:space="preserve">ARCOP </w:t>
      </w:r>
      <w:r w:rsidR="006C40EF" w:rsidRPr="00633BF1">
        <w:t>Finding</w:t>
      </w:r>
      <w:r w:rsidR="008B03FB" w:rsidRPr="00633BF1">
        <w:t xml:space="preserve"> Significance Determination</w:t>
      </w:r>
    </w:p>
    <w:p w14:paraId="331F60B2" w14:textId="6FE751D8" w:rsidR="00377758" w:rsidRPr="009A1D4C" w:rsidRDefault="00633BF1" w:rsidP="009A1D4C">
      <w:pPr>
        <w:pStyle w:val="BodyText3"/>
        <w:spacing w:line="259" w:lineRule="auto"/>
        <w:contextualSpacing/>
      </w:pPr>
      <w:r w:rsidRPr="00633BF1">
        <w:t>Attachment 4:</w:t>
      </w:r>
      <w:r w:rsidR="00377758" w:rsidRPr="00633BF1">
        <w:tab/>
      </w:r>
      <w:r w:rsidR="000D68D2" w:rsidRPr="00633BF1">
        <w:t>Process for Appealing an NRC SDP Determination</w:t>
      </w:r>
    </w:p>
    <w:p w14:paraId="4B412196" w14:textId="2D4BE968" w:rsidR="00B13937" w:rsidRPr="00633BF1" w:rsidRDefault="00633BF1" w:rsidP="009A1D4C">
      <w:pPr>
        <w:pStyle w:val="BodyText3"/>
        <w:spacing w:line="259" w:lineRule="auto"/>
        <w:contextualSpacing/>
      </w:pPr>
      <w:r w:rsidRPr="00633BF1">
        <w:t>Attachment 5:</w:t>
      </w:r>
      <w:r w:rsidR="00B13937" w:rsidRPr="00633BF1">
        <w:tab/>
      </w:r>
      <w:r w:rsidR="000D68D2" w:rsidRPr="00633BF1">
        <w:t>Alternate Significance Determination</w:t>
      </w:r>
    </w:p>
    <w:p w14:paraId="5BFC2066" w14:textId="401737AC" w:rsidR="008B0B4F" w:rsidRDefault="00A310FC" w:rsidP="002F6993">
      <w:pPr>
        <w:pStyle w:val="BodyText3"/>
        <w:spacing w:line="259" w:lineRule="auto"/>
      </w:pPr>
      <w:r w:rsidRPr="00633BF1">
        <w:t xml:space="preserve">Attachment </w:t>
      </w:r>
      <w:r w:rsidR="000D68D2">
        <w:t>6</w:t>
      </w:r>
      <w:r w:rsidRPr="00633BF1">
        <w:t>:</w:t>
      </w:r>
      <w:r w:rsidR="009A1D4C">
        <w:tab/>
      </w:r>
      <w:r w:rsidR="00394AF3" w:rsidRPr="00633BF1">
        <w:t xml:space="preserve">Revision History for IMC </w:t>
      </w:r>
      <w:r w:rsidR="004E564A" w:rsidRPr="00633BF1">
        <w:t>2571</w:t>
      </w:r>
    </w:p>
    <w:p w14:paraId="5BF745F6" w14:textId="77777777" w:rsidR="002C6096" w:rsidRDefault="002C6096" w:rsidP="009B0978">
      <w:pPr>
        <w:pStyle w:val="BodyText2"/>
        <w:ind w:left="0" w:firstLine="0"/>
        <w:sectPr w:rsidR="002C6096" w:rsidSect="002E2E7B">
          <w:headerReference w:type="even" r:id="rId35"/>
          <w:headerReference w:type="default" r:id="rId36"/>
          <w:footerReference w:type="default" r:id="rId37"/>
          <w:headerReference w:type="first" r:id="rId38"/>
          <w:pgSz w:w="12240" w:h="15840"/>
          <w:pgMar w:top="1440" w:right="1440" w:bottom="1440" w:left="1440" w:header="720" w:footer="720" w:gutter="0"/>
          <w:cols w:space="720"/>
          <w:noEndnote/>
          <w:docGrid w:linePitch="326"/>
        </w:sectPr>
      </w:pPr>
    </w:p>
    <w:p w14:paraId="2AE9E0E7" w14:textId="2DB01C6B" w:rsidR="0031772A" w:rsidRPr="008F3F30" w:rsidRDefault="009B0978" w:rsidP="009B0978">
      <w:pPr>
        <w:pStyle w:val="attachmenttitle"/>
      </w:pPr>
      <w:bookmarkStart w:id="118" w:name="_Toc215583238"/>
      <w:bookmarkStart w:id="119" w:name="_Toc219293612"/>
      <w:r>
        <w:lastRenderedPageBreak/>
        <w:t>Attachment 1</w:t>
      </w:r>
      <w:r w:rsidR="00AF2DBE">
        <w:t>:</w:t>
      </w:r>
      <w:r w:rsidR="00AF2DBE" w:rsidRPr="008F3F30">
        <w:t xml:space="preserve"> A</w:t>
      </w:r>
      <w:r w:rsidR="003D6BA0">
        <w:t>bbreviations</w:t>
      </w:r>
      <w:bookmarkEnd w:id="118"/>
      <w:bookmarkEnd w:id="119"/>
    </w:p>
    <w:p w14:paraId="7FC7C05E" w14:textId="792EE7B2" w:rsidR="00544F7A" w:rsidRPr="008F3F30" w:rsidRDefault="00544F7A"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APO</w:t>
      </w:r>
      <w:r w:rsidR="00B62334">
        <w:rPr>
          <w:sz w:val="22"/>
          <w:szCs w:val="22"/>
        </w:rPr>
        <w:tab/>
      </w:r>
      <w:r w:rsidR="00B62334">
        <w:rPr>
          <w:sz w:val="22"/>
          <w:szCs w:val="22"/>
        </w:rPr>
        <w:tab/>
        <w:t xml:space="preserve">ARCOP Project </w:t>
      </w:r>
      <w:r w:rsidR="00E75407">
        <w:rPr>
          <w:sz w:val="22"/>
          <w:szCs w:val="22"/>
        </w:rPr>
        <w:t>Organization</w:t>
      </w:r>
    </w:p>
    <w:p w14:paraId="280DCF50" w14:textId="3D275CDB" w:rsidR="00FE5F81" w:rsidRPr="008F3F30" w:rsidRDefault="00FE5F81"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ARB</w:t>
      </w:r>
      <w:r w:rsidRPr="008F3F30">
        <w:rPr>
          <w:sz w:val="22"/>
          <w:szCs w:val="22"/>
        </w:rPr>
        <w:tab/>
        <w:t>Allegation Review Board</w:t>
      </w:r>
    </w:p>
    <w:p w14:paraId="0391E60D" w14:textId="335DA50A" w:rsidR="00544F7A" w:rsidRPr="008F3F30" w:rsidRDefault="00544F7A"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ARCOP</w:t>
      </w:r>
      <w:r w:rsidR="0082192E">
        <w:rPr>
          <w:sz w:val="22"/>
          <w:szCs w:val="22"/>
        </w:rPr>
        <w:tab/>
      </w:r>
      <w:r w:rsidR="00B62334">
        <w:rPr>
          <w:sz w:val="22"/>
          <w:szCs w:val="22"/>
        </w:rPr>
        <w:tab/>
        <w:t>Advanced Reactor Construction Oversight Program</w:t>
      </w:r>
    </w:p>
    <w:p w14:paraId="34D702BE" w14:textId="73ED504F" w:rsidR="00CC21C8" w:rsidRPr="0058557F" w:rsidRDefault="00CC21C8"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rPr>
      </w:pPr>
      <w:r w:rsidRPr="0058557F">
        <w:rPr>
          <w:sz w:val="22"/>
        </w:rPr>
        <w:t>AV</w:t>
      </w:r>
      <w:r w:rsidRPr="0058557F">
        <w:rPr>
          <w:sz w:val="22"/>
        </w:rPr>
        <w:tab/>
        <w:t>Apparent Violation</w:t>
      </w:r>
    </w:p>
    <w:p w14:paraId="512A6D18" w14:textId="08648596" w:rsidR="003E40F3" w:rsidRPr="008F3F30" w:rsidRDefault="003E40F3"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CAP</w:t>
      </w:r>
      <w:r w:rsidRPr="008F3F30">
        <w:rPr>
          <w:sz w:val="22"/>
          <w:szCs w:val="22"/>
        </w:rPr>
        <w:tab/>
        <w:t>Corrective Action Program</w:t>
      </w:r>
    </w:p>
    <w:p w14:paraId="06B3F9C2" w14:textId="4EEF4CAD" w:rsidR="0065564E" w:rsidRPr="008F3F30" w:rsidRDefault="0065564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CFR</w:t>
      </w:r>
      <w:r w:rsidR="00360E57" w:rsidRPr="008F3F30">
        <w:rPr>
          <w:sz w:val="22"/>
          <w:szCs w:val="22"/>
        </w:rPr>
        <w:tab/>
        <w:t>Code of Federal Regulations</w:t>
      </w:r>
    </w:p>
    <w:p w14:paraId="6D0773FB" w14:textId="3008BCEB" w:rsidR="00FB187F" w:rsidRDefault="00AF0837"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COL</w:t>
      </w:r>
      <w:r w:rsidR="00FB187F">
        <w:rPr>
          <w:sz w:val="22"/>
          <w:szCs w:val="22"/>
        </w:rPr>
        <w:tab/>
      </w:r>
      <w:r w:rsidR="00FB187F" w:rsidRPr="008F3F30">
        <w:rPr>
          <w:sz w:val="22"/>
          <w:szCs w:val="22"/>
        </w:rPr>
        <w:t>Combined License</w:t>
      </w:r>
    </w:p>
    <w:p w14:paraId="283A7BD8" w14:textId="1C93A71C" w:rsidR="00AF0837" w:rsidRPr="008F3F30" w:rsidRDefault="00FB187F"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CP</w:t>
      </w:r>
      <w:r>
        <w:rPr>
          <w:sz w:val="22"/>
          <w:szCs w:val="22"/>
        </w:rPr>
        <w:tab/>
        <w:t>Construction Permit</w:t>
      </w:r>
      <w:r w:rsidR="00AF0837" w:rsidRPr="008F3F30">
        <w:rPr>
          <w:sz w:val="22"/>
          <w:szCs w:val="22"/>
        </w:rPr>
        <w:tab/>
      </w:r>
    </w:p>
    <w:p w14:paraId="43B0435B" w14:textId="06CA4378" w:rsidR="0022112E" w:rsidRDefault="0022112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FIN</w:t>
      </w:r>
      <w:r>
        <w:rPr>
          <w:sz w:val="22"/>
          <w:szCs w:val="22"/>
        </w:rPr>
        <w:tab/>
        <w:t>Finding</w:t>
      </w:r>
    </w:p>
    <w:p w14:paraId="7F30F779" w14:textId="0765E8D5" w:rsidR="00D970CC" w:rsidRDefault="00D970CC"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FSF</w:t>
      </w:r>
      <w:r>
        <w:rPr>
          <w:sz w:val="22"/>
          <w:szCs w:val="22"/>
        </w:rPr>
        <w:tab/>
        <w:t>Fundamental Safety Function</w:t>
      </w:r>
    </w:p>
    <w:p w14:paraId="7D541FAA" w14:textId="734A4AD2" w:rsidR="005E47C9" w:rsidRDefault="005E47C9"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GTG</w:t>
      </w:r>
      <w:r>
        <w:rPr>
          <w:sz w:val="22"/>
          <w:szCs w:val="22"/>
        </w:rPr>
        <w:tab/>
        <w:t>Greater Than Green</w:t>
      </w:r>
    </w:p>
    <w:p w14:paraId="704F797F" w14:textId="0A4B9080" w:rsidR="0022112E" w:rsidRPr="008F3F30" w:rsidRDefault="0022112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ICN</w:t>
      </w:r>
      <w:r>
        <w:rPr>
          <w:sz w:val="22"/>
          <w:szCs w:val="22"/>
        </w:rPr>
        <w:tab/>
        <w:t>ITAAC Closure Notification</w:t>
      </w:r>
    </w:p>
    <w:p w14:paraId="1F55B924" w14:textId="107AD32D" w:rsidR="0065564E" w:rsidRPr="008F3F30" w:rsidRDefault="0065564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IMC</w:t>
      </w:r>
      <w:r w:rsidR="00360E57" w:rsidRPr="008F3F30">
        <w:rPr>
          <w:sz w:val="22"/>
          <w:szCs w:val="22"/>
        </w:rPr>
        <w:tab/>
      </w:r>
      <w:r w:rsidRPr="008F3F30">
        <w:rPr>
          <w:sz w:val="22"/>
          <w:szCs w:val="22"/>
        </w:rPr>
        <w:t>Inspection Manual Chapter</w:t>
      </w:r>
    </w:p>
    <w:p w14:paraId="60642282" w14:textId="234CAF6F" w:rsidR="00360E57" w:rsidRPr="008F3F30" w:rsidRDefault="00360E57"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ITAAC</w:t>
      </w:r>
      <w:r w:rsidR="000E5BC3" w:rsidRPr="008F3F30">
        <w:rPr>
          <w:sz w:val="22"/>
          <w:szCs w:val="22"/>
        </w:rPr>
        <w:tab/>
      </w:r>
      <w:r w:rsidRPr="008F3F30">
        <w:rPr>
          <w:sz w:val="22"/>
          <w:szCs w:val="22"/>
        </w:rPr>
        <w:t>Inspections, Tests, Analyses, and Acceptance Criteria</w:t>
      </w:r>
    </w:p>
    <w:p w14:paraId="13ABBA71" w14:textId="4F6343A4" w:rsidR="005E711F" w:rsidRDefault="005E711F"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LWA</w:t>
      </w:r>
      <w:r w:rsidRPr="008F3F30">
        <w:rPr>
          <w:sz w:val="22"/>
          <w:szCs w:val="22"/>
        </w:rPr>
        <w:tab/>
        <w:t>Limited Work Authorization</w:t>
      </w:r>
    </w:p>
    <w:p w14:paraId="709F40F9" w14:textId="6EB28E68" w:rsidR="00553189" w:rsidRPr="008F3F30" w:rsidRDefault="00553189"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ML</w:t>
      </w:r>
      <w:r>
        <w:rPr>
          <w:sz w:val="22"/>
          <w:szCs w:val="22"/>
        </w:rPr>
        <w:tab/>
        <w:t>Manufacturing License</w:t>
      </w:r>
    </w:p>
    <w:p w14:paraId="5EFD63D6" w14:textId="1F432BE9" w:rsidR="0065564E" w:rsidRPr="008F3F30" w:rsidRDefault="0065564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NCV</w:t>
      </w:r>
      <w:r w:rsidR="00360E57" w:rsidRPr="008F3F30">
        <w:rPr>
          <w:sz w:val="22"/>
          <w:szCs w:val="22"/>
        </w:rPr>
        <w:tab/>
      </w:r>
      <w:r w:rsidRPr="008F3F30">
        <w:rPr>
          <w:sz w:val="22"/>
          <w:szCs w:val="22"/>
        </w:rPr>
        <w:t>Non-Cited Violation</w:t>
      </w:r>
      <w:r w:rsidR="00FB187F" w:rsidRPr="00FB187F">
        <w:rPr>
          <w:sz w:val="22"/>
          <w:szCs w:val="22"/>
        </w:rPr>
        <w:t xml:space="preserve"> </w:t>
      </w:r>
    </w:p>
    <w:p w14:paraId="6BE454DD" w14:textId="0AED5F84" w:rsidR="00544F7A" w:rsidRDefault="00544F7A"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NOD</w:t>
      </w:r>
      <w:r w:rsidR="0018396E">
        <w:rPr>
          <w:sz w:val="22"/>
          <w:szCs w:val="22"/>
        </w:rPr>
        <w:tab/>
      </w:r>
      <w:r w:rsidR="0018396E">
        <w:rPr>
          <w:sz w:val="22"/>
          <w:szCs w:val="22"/>
        </w:rPr>
        <w:tab/>
        <w:t>Notice of Deviation</w:t>
      </w:r>
    </w:p>
    <w:p w14:paraId="31989719" w14:textId="6C0ABD84" w:rsidR="00544F7A" w:rsidRPr="008F3F30" w:rsidRDefault="00544F7A"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proofErr w:type="gramStart"/>
      <w:r>
        <w:rPr>
          <w:sz w:val="22"/>
          <w:szCs w:val="22"/>
        </w:rPr>
        <w:t>NON</w:t>
      </w:r>
      <w:r w:rsidR="0021655B">
        <w:rPr>
          <w:sz w:val="22"/>
          <w:szCs w:val="22"/>
        </w:rPr>
        <w:tab/>
      </w:r>
      <w:r w:rsidR="0021655B">
        <w:rPr>
          <w:sz w:val="22"/>
          <w:szCs w:val="22"/>
        </w:rPr>
        <w:tab/>
        <w:t>Notice</w:t>
      </w:r>
      <w:proofErr w:type="gramEnd"/>
      <w:r w:rsidR="0021655B">
        <w:rPr>
          <w:sz w:val="22"/>
          <w:szCs w:val="22"/>
        </w:rPr>
        <w:t xml:space="preserve"> of Non</w:t>
      </w:r>
      <w:r w:rsidR="0018396E">
        <w:rPr>
          <w:sz w:val="22"/>
          <w:szCs w:val="22"/>
        </w:rPr>
        <w:t>conformance</w:t>
      </w:r>
    </w:p>
    <w:p w14:paraId="2D797099" w14:textId="63EB6494" w:rsidR="0065564E" w:rsidRPr="008F3F30" w:rsidRDefault="0065564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NOV</w:t>
      </w:r>
      <w:r w:rsidR="00360E57" w:rsidRPr="008F3F30">
        <w:rPr>
          <w:sz w:val="22"/>
          <w:szCs w:val="22"/>
        </w:rPr>
        <w:tab/>
      </w:r>
      <w:r w:rsidRPr="008F3F30">
        <w:rPr>
          <w:sz w:val="22"/>
          <w:szCs w:val="22"/>
        </w:rPr>
        <w:t>Notice of Violation</w:t>
      </w:r>
    </w:p>
    <w:p w14:paraId="26E16EF5" w14:textId="28E04360" w:rsidR="0065564E" w:rsidRPr="008F3F30" w:rsidRDefault="008705AC"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NRC</w:t>
      </w:r>
      <w:r w:rsidR="00360E57" w:rsidRPr="008F3F30">
        <w:rPr>
          <w:sz w:val="22"/>
          <w:szCs w:val="22"/>
        </w:rPr>
        <w:tab/>
      </w:r>
      <w:r w:rsidR="0065564E" w:rsidRPr="008F3F30">
        <w:rPr>
          <w:sz w:val="22"/>
          <w:szCs w:val="22"/>
        </w:rPr>
        <w:t>Nuclear Regulatory Commission</w:t>
      </w:r>
    </w:p>
    <w:p w14:paraId="5A854F06" w14:textId="3718C8F2" w:rsidR="0065564E" w:rsidRPr="008F3F30" w:rsidRDefault="0065564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NRR</w:t>
      </w:r>
      <w:r w:rsidR="00360E57" w:rsidRPr="008F3F30">
        <w:rPr>
          <w:sz w:val="22"/>
          <w:szCs w:val="22"/>
        </w:rPr>
        <w:tab/>
      </w:r>
      <w:r w:rsidRPr="008F3F30">
        <w:rPr>
          <w:sz w:val="22"/>
          <w:szCs w:val="22"/>
        </w:rPr>
        <w:t>Offic</w:t>
      </w:r>
      <w:r w:rsidR="00360E57" w:rsidRPr="008F3F30">
        <w:rPr>
          <w:sz w:val="22"/>
          <w:szCs w:val="22"/>
        </w:rPr>
        <w:t>e of Nuclear Reactor Regulation</w:t>
      </w:r>
    </w:p>
    <w:p w14:paraId="473589CC" w14:textId="3E921CD3" w:rsidR="00AE43CF" w:rsidRDefault="00AE43CF"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OE</w:t>
      </w:r>
      <w:r w:rsidRPr="008F3F30">
        <w:rPr>
          <w:sz w:val="22"/>
          <w:szCs w:val="22"/>
        </w:rPr>
        <w:tab/>
        <w:t>Office of Enforcement</w:t>
      </w:r>
    </w:p>
    <w:p w14:paraId="0668B07C" w14:textId="2D120E2F" w:rsidR="00456CC0" w:rsidRPr="008F3F30" w:rsidRDefault="00456CC0"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OGC</w:t>
      </w:r>
      <w:r>
        <w:rPr>
          <w:sz w:val="22"/>
          <w:szCs w:val="22"/>
        </w:rPr>
        <w:tab/>
        <w:t>Office of the General Counsel</w:t>
      </w:r>
    </w:p>
    <w:p w14:paraId="6BF4312C" w14:textId="0AEF5FC1" w:rsidR="008C4A64" w:rsidRDefault="008C4A64"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OI</w:t>
      </w:r>
      <w:r w:rsidR="000E5BC3" w:rsidRPr="008F3F30">
        <w:rPr>
          <w:sz w:val="22"/>
          <w:szCs w:val="22"/>
        </w:rPr>
        <w:tab/>
      </w:r>
      <w:r w:rsidRPr="008F3F30">
        <w:rPr>
          <w:sz w:val="22"/>
          <w:szCs w:val="22"/>
        </w:rPr>
        <w:t>Office of Investigations</w:t>
      </w:r>
    </w:p>
    <w:p w14:paraId="0285C809" w14:textId="44ABC8C3" w:rsidR="000471DE" w:rsidRPr="008F3F30" w:rsidRDefault="000471DE"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OL</w:t>
      </w:r>
      <w:r>
        <w:rPr>
          <w:sz w:val="22"/>
          <w:szCs w:val="22"/>
        </w:rPr>
        <w:tab/>
        <w:t>Operating License</w:t>
      </w:r>
    </w:p>
    <w:p w14:paraId="7708D2F7" w14:textId="28B6E808" w:rsidR="00360E57" w:rsidRDefault="00360E57"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QA</w:t>
      </w:r>
      <w:r w:rsidRPr="008F3F30">
        <w:rPr>
          <w:sz w:val="22"/>
          <w:szCs w:val="22"/>
        </w:rPr>
        <w:tab/>
        <w:t>Quality Assurance</w:t>
      </w:r>
    </w:p>
    <w:p w14:paraId="0BF05546" w14:textId="53AD8F85" w:rsidR="00456CC0" w:rsidRPr="008F3F30" w:rsidRDefault="00456CC0"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QAP</w:t>
      </w:r>
      <w:r>
        <w:rPr>
          <w:sz w:val="22"/>
          <w:szCs w:val="22"/>
        </w:rPr>
        <w:tab/>
        <w:t>Quality Assurance Program</w:t>
      </w:r>
    </w:p>
    <w:p w14:paraId="58C793CD" w14:textId="480BCCE0" w:rsidR="00544F7A" w:rsidRDefault="00544F7A"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B62334">
        <w:rPr>
          <w:sz w:val="22"/>
          <w:szCs w:val="22"/>
        </w:rPr>
        <w:t>SCN</w:t>
      </w:r>
      <w:r w:rsidRPr="00B62334">
        <w:rPr>
          <w:sz w:val="22"/>
          <w:szCs w:val="22"/>
        </w:rPr>
        <w:tab/>
      </w:r>
      <w:r w:rsidRPr="00B62334">
        <w:rPr>
          <w:sz w:val="22"/>
          <w:szCs w:val="22"/>
        </w:rPr>
        <w:tab/>
        <w:t xml:space="preserve">Self-identified Construction </w:t>
      </w:r>
      <w:r w:rsidR="000709CD">
        <w:rPr>
          <w:sz w:val="22"/>
          <w:szCs w:val="22"/>
        </w:rPr>
        <w:t>Noncomp</w:t>
      </w:r>
      <w:r w:rsidR="003F54D0">
        <w:rPr>
          <w:sz w:val="22"/>
          <w:szCs w:val="22"/>
        </w:rPr>
        <w:t>liance</w:t>
      </w:r>
    </w:p>
    <w:p w14:paraId="4749D06A" w14:textId="004282D7" w:rsidR="00891772" w:rsidRPr="008F3F30" w:rsidRDefault="00891772" w:rsidP="0082192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SDP</w:t>
      </w:r>
      <w:r>
        <w:rPr>
          <w:sz w:val="22"/>
          <w:szCs w:val="22"/>
        </w:rPr>
        <w:tab/>
      </w:r>
      <w:r>
        <w:rPr>
          <w:sz w:val="22"/>
          <w:szCs w:val="22"/>
        </w:rPr>
        <w:tab/>
        <w:t>Significance Determination Process</w:t>
      </w:r>
    </w:p>
    <w:p w14:paraId="731608EF" w14:textId="33D939B1" w:rsidR="00891772" w:rsidRPr="008F3F30" w:rsidRDefault="00891772"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SL</w:t>
      </w:r>
      <w:r>
        <w:rPr>
          <w:sz w:val="22"/>
          <w:szCs w:val="22"/>
        </w:rPr>
        <w:tab/>
        <w:t>Severity Level</w:t>
      </w:r>
    </w:p>
    <w:p w14:paraId="73773528" w14:textId="2500F0DE" w:rsidR="00C30FEA" w:rsidRDefault="00C30FEA"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SSC</w:t>
      </w:r>
      <w:r w:rsidRPr="008F3F30">
        <w:rPr>
          <w:sz w:val="22"/>
          <w:szCs w:val="22"/>
        </w:rPr>
        <w:tab/>
        <w:t>Structure, System or Component</w:t>
      </w:r>
    </w:p>
    <w:p w14:paraId="234DE8A2" w14:textId="14074227" w:rsidR="00EB0F01" w:rsidRPr="008F3F30" w:rsidRDefault="00EB0F01"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TAR</w:t>
      </w:r>
      <w:r>
        <w:rPr>
          <w:sz w:val="22"/>
          <w:szCs w:val="22"/>
        </w:rPr>
        <w:tab/>
        <w:t>Technical Assistance Request</w:t>
      </w:r>
    </w:p>
    <w:p w14:paraId="7612DCC5" w14:textId="77B47FA7" w:rsidR="009D7D23" w:rsidRPr="008F3F30" w:rsidRDefault="009D7D23"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TBD</w:t>
      </w:r>
      <w:r w:rsidRPr="008F3F30">
        <w:rPr>
          <w:sz w:val="22"/>
          <w:szCs w:val="22"/>
        </w:rPr>
        <w:tab/>
        <w:t>To Be Determined</w:t>
      </w:r>
    </w:p>
    <w:p w14:paraId="4CAC74FD" w14:textId="04BFFD4B" w:rsidR="00EA1517" w:rsidRPr="008F3F30" w:rsidRDefault="00EA1517"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E40FAB">
        <w:rPr>
          <w:sz w:val="22"/>
        </w:rPr>
        <w:t>TE</w:t>
      </w:r>
      <w:r w:rsidRPr="00E40FAB">
        <w:rPr>
          <w:sz w:val="22"/>
        </w:rPr>
        <w:tab/>
        <w:t>Traditional Enforcement</w:t>
      </w:r>
    </w:p>
    <w:p w14:paraId="1A0CDA98" w14:textId="5E901343" w:rsidR="00FD25A0" w:rsidRDefault="005E711F"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sidRPr="008F3F30">
        <w:rPr>
          <w:sz w:val="22"/>
          <w:szCs w:val="22"/>
        </w:rPr>
        <w:t>URI</w:t>
      </w:r>
      <w:r w:rsidRPr="008F3F30">
        <w:rPr>
          <w:sz w:val="22"/>
          <w:szCs w:val="22"/>
        </w:rPr>
        <w:tab/>
        <w:t>Unresolved Item</w:t>
      </w:r>
    </w:p>
    <w:p w14:paraId="7727C1CF" w14:textId="29961D26" w:rsidR="00012339" w:rsidRPr="008F3F30" w:rsidRDefault="00012339" w:rsidP="0082192E">
      <w:pPr>
        <w:tabs>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auto"/>
        <w:rPr>
          <w:sz w:val="22"/>
          <w:szCs w:val="22"/>
        </w:rPr>
      </w:pPr>
      <w:r>
        <w:rPr>
          <w:sz w:val="22"/>
          <w:szCs w:val="22"/>
        </w:rPr>
        <w:t>VLSSIR</w:t>
      </w:r>
      <w:r>
        <w:rPr>
          <w:sz w:val="22"/>
          <w:szCs w:val="22"/>
        </w:rPr>
        <w:tab/>
        <w:t>Very Low Safety Significance Issue Resolution</w:t>
      </w:r>
    </w:p>
    <w:p w14:paraId="7A2AA8F2" w14:textId="77777777" w:rsidR="009E7765" w:rsidRPr="009A1828" w:rsidRDefault="009E7765" w:rsidP="0082192E">
      <w:pPr>
        <w:pStyle w:val="BodyText"/>
      </w:pPr>
    </w:p>
    <w:p w14:paraId="3DB667D2" w14:textId="1DD04879" w:rsidR="001942E5" w:rsidRDefault="001942E5">
      <w:pPr>
        <w:widowControl/>
        <w:autoSpaceDE/>
        <w:autoSpaceDN/>
        <w:adjustRightInd/>
        <w:rPr>
          <w:sz w:val="22"/>
          <w:szCs w:val="22"/>
        </w:rPr>
      </w:pPr>
    </w:p>
    <w:p w14:paraId="17E0777F" w14:textId="77777777" w:rsidR="009B0978" w:rsidRDefault="009B0978" w:rsidP="009B0978">
      <w:pPr>
        <w:pStyle w:val="attachmenttitle"/>
        <w:sectPr w:rsidR="009B0978" w:rsidSect="009355C6">
          <w:headerReference w:type="even" r:id="rId39"/>
          <w:headerReference w:type="default" r:id="rId40"/>
          <w:footerReference w:type="default" r:id="rId41"/>
          <w:headerReference w:type="first" r:id="rId42"/>
          <w:pgSz w:w="12240" w:h="15840"/>
          <w:pgMar w:top="1440" w:right="1440" w:bottom="1440" w:left="1440" w:header="720" w:footer="720" w:gutter="0"/>
          <w:pgNumType w:start="1"/>
          <w:cols w:space="720"/>
          <w:noEndnote/>
          <w:docGrid w:linePitch="326"/>
        </w:sectPr>
      </w:pPr>
    </w:p>
    <w:p w14:paraId="5E68CD71" w14:textId="5A73B1FC" w:rsidR="00CE229B" w:rsidRPr="00693F54" w:rsidRDefault="009B0978" w:rsidP="009B0978">
      <w:pPr>
        <w:pStyle w:val="attachmenttitle"/>
        <w:rPr>
          <w:b/>
          <w:bCs/>
        </w:rPr>
      </w:pPr>
      <w:bookmarkStart w:id="120" w:name="_Toc215583239"/>
      <w:bookmarkStart w:id="121" w:name="_Toc219293613"/>
      <w:r>
        <w:lastRenderedPageBreak/>
        <w:t xml:space="preserve">Attachment </w:t>
      </w:r>
      <w:r w:rsidRPr="009B0978">
        <w:t xml:space="preserve">2: </w:t>
      </w:r>
      <w:r w:rsidR="00F347E7" w:rsidRPr="00633BF1">
        <w:t xml:space="preserve">Determining if an ARCOP </w:t>
      </w:r>
      <w:r w:rsidR="000709CD">
        <w:t>Noncomp</w:t>
      </w:r>
      <w:r w:rsidR="003F54D0">
        <w:t>liance</w:t>
      </w:r>
      <w:r w:rsidR="00F347E7" w:rsidRPr="00633BF1">
        <w:t xml:space="preserve"> is Minor</w:t>
      </w:r>
      <w:bookmarkEnd w:id="120"/>
      <w:bookmarkEnd w:id="121"/>
    </w:p>
    <w:p w14:paraId="759E5332" w14:textId="65C0A299" w:rsidR="00CE229B" w:rsidRDefault="00CE229B" w:rsidP="0082192E">
      <w:pPr>
        <w:pStyle w:val="BodyText"/>
      </w:pPr>
      <w:r w:rsidRPr="008F3F30">
        <w:t xml:space="preserve">Minor </w:t>
      </w:r>
      <w:r w:rsidR="000709CD">
        <w:t>noncomp</w:t>
      </w:r>
      <w:r w:rsidR="003F54D0">
        <w:t>liance</w:t>
      </w:r>
      <w:r>
        <w:t>s</w:t>
      </w:r>
      <w:r w:rsidRPr="008F3F30">
        <w:t xml:space="preserve"> </w:t>
      </w:r>
      <w:r w:rsidR="006F5589">
        <w:t xml:space="preserve">include </w:t>
      </w:r>
      <w:r w:rsidR="000709CD">
        <w:t>noncomp</w:t>
      </w:r>
      <w:r w:rsidR="003F54D0">
        <w:t>liance</w:t>
      </w:r>
      <w:r w:rsidR="006F5589">
        <w:t>s</w:t>
      </w:r>
      <w:r w:rsidR="006F5589" w:rsidRPr="008F3F30">
        <w:t xml:space="preserve"> </w:t>
      </w:r>
      <w:r w:rsidRPr="008F3F30">
        <w:t xml:space="preserve">below the significance associated with </w:t>
      </w:r>
      <w:r w:rsidR="00CF2456">
        <w:t>green</w:t>
      </w:r>
      <w:r w:rsidR="001C26BA">
        <w:t xml:space="preserve"> </w:t>
      </w:r>
      <w:r w:rsidR="007A4DE3">
        <w:t>findings</w:t>
      </w:r>
      <w:r w:rsidR="006F5589">
        <w:t xml:space="preserve">, </w:t>
      </w:r>
      <w:r>
        <w:t>SL-IV violations</w:t>
      </w:r>
      <w:r w:rsidR="00EC090A">
        <w:t>, or non-</w:t>
      </w:r>
      <w:proofErr w:type="gramStart"/>
      <w:r w:rsidR="00EC090A">
        <w:t>licensee</w:t>
      </w:r>
      <w:proofErr w:type="gramEnd"/>
      <w:r w:rsidR="00EC090A">
        <w:t xml:space="preserve"> </w:t>
      </w:r>
      <w:r w:rsidR="000709CD">
        <w:t>noncomp</w:t>
      </w:r>
      <w:r w:rsidR="003F54D0">
        <w:t>liance</w:t>
      </w:r>
      <w:r w:rsidR="00EC090A">
        <w:t>s</w:t>
      </w:r>
      <w:r w:rsidR="00AF5E9E">
        <w:t xml:space="preserve"> warranting issuance of a Notice of Nonconformance (NON)</w:t>
      </w:r>
      <w:r w:rsidR="00550D3A">
        <w:t xml:space="preserve">. Minor </w:t>
      </w:r>
      <w:r w:rsidR="000709CD">
        <w:t>noncomp</w:t>
      </w:r>
      <w:r w:rsidR="003F54D0">
        <w:t>liance</w:t>
      </w:r>
      <w:r w:rsidR="00550D3A">
        <w:t>s</w:t>
      </w:r>
      <w:r w:rsidRPr="008F3F30">
        <w:t xml:space="preserve"> </w:t>
      </w:r>
      <w:r w:rsidR="00411C4B">
        <w:t xml:space="preserve">cannot be potentially willful </w:t>
      </w:r>
      <w:r w:rsidR="006C41BE">
        <w:t xml:space="preserve">and </w:t>
      </w:r>
      <w:r w:rsidRPr="008F3F30">
        <w:t xml:space="preserve">are not the subject of formal enforcement </w:t>
      </w:r>
      <w:r w:rsidR="00550D3A">
        <w:t xml:space="preserve">or administrative </w:t>
      </w:r>
      <w:r w:rsidRPr="008F3F30">
        <w:t>action</w:t>
      </w:r>
      <w:r w:rsidR="007E66DC">
        <w:t>s</w:t>
      </w:r>
      <w:r w:rsidR="00602CDE">
        <w:t>. T</w:t>
      </w:r>
      <w:r w:rsidR="00506F2E">
        <w:t xml:space="preserve">he NRC </w:t>
      </w:r>
      <w:r w:rsidR="0095553A">
        <w:t xml:space="preserve">usually </w:t>
      </w:r>
      <w:r w:rsidR="00506F2E">
        <w:t xml:space="preserve">does not </w:t>
      </w:r>
      <w:r w:rsidRPr="008F3F30">
        <w:t>document</w:t>
      </w:r>
      <w:r w:rsidR="00506F2E">
        <w:t xml:space="preserve"> </w:t>
      </w:r>
      <w:r w:rsidR="00602CDE">
        <w:t xml:space="preserve">minor </w:t>
      </w:r>
      <w:r w:rsidR="000709CD">
        <w:t>noncomp</w:t>
      </w:r>
      <w:r w:rsidR="003F54D0">
        <w:t>liance</w:t>
      </w:r>
      <w:r w:rsidR="00602CDE">
        <w:t>s</w:t>
      </w:r>
      <w:r w:rsidR="00885821">
        <w:t>. R</w:t>
      </w:r>
      <w:r w:rsidR="006C41BE">
        <w:t xml:space="preserve">efer to </w:t>
      </w:r>
      <w:r w:rsidR="0017162D">
        <w:t>IMC 0618</w:t>
      </w:r>
      <w:r w:rsidR="00613EAB">
        <w:t>, “Advanced Power Reactor Construction Inspection Reports,”</w:t>
      </w:r>
      <w:r w:rsidR="0017162D">
        <w:t xml:space="preserve"> for </w:t>
      </w:r>
      <w:r w:rsidR="00197F61">
        <w:t xml:space="preserve">guidance </w:t>
      </w:r>
      <w:r w:rsidR="00614CE0">
        <w:t>o</w:t>
      </w:r>
      <w:r w:rsidR="004D626A">
        <w:t>n</w:t>
      </w:r>
      <w:r w:rsidR="00614CE0">
        <w:t xml:space="preserve"> </w:t>
      </w:r>
      <w:r w:rsidR="00197F61">
        <w:t xml:space="preserve">when </w:t>
      </w:r>
      <w:r w:rsidR="00550D3A">
        <w:t xml:space="preserve">it may be appropriate </w:t>
      </w:r>
      <w:r w:rsidR="006C41BE">
        <w:t xml:space="preserve">to </w:t>
      </w:r>
      <w:r w:rsidR="00602CDE">
        <w:t xml:space="preserve">document </w:t>
      </w:r>
      <w:r w:rsidR="00197F61">
        <w:t xml:space="preserve">minor </w:t>
      </w:r>
      <w:r w:rsidR="000709CD">
        <w:t>noncomp</w:t>
      </w:r>
      <w:r w:rsidR="003F54D0">
        <w:t>liance</w:t>
      </w:r>
      <w:r w:rsidR="00197F61">
        <w:t>s</w:t>
      </w:r>
      <w:r w:rsidRPr="008F3F30">
        <w:t>.</w:t>
      </w:r>
      <w:r w:rsidR="00352A0A">
        <w:t xml:space="preserve"> This </w:t>
      </w:r>
      <w:r w:rsidR="00E93964">
        <w:t>attachment</w:t>
      </w:r>
      <w:r w:rsidR="00352A0A">
        <w:t xml:space="preserve"> </w:t>
      </w:r>
      <w:r w:rsidR="00DD2216">
        <w:t xml:space="preserve">addresses ARCOP </w:t>
      </w:r>
      <w:r w:rsidR="000709CD">
        <w:t>noncomp</w:t>
      </w:r>
      <w:r w:rsidR="003F54D0">
        <w:t>liance</w:t>
      </w:r>
      <w:r w:rsidR="00DD2216">
        <w:t xml:space="preserve">s and </w:t>
      </w:r>
      <w:r w:rsidR="00352A0A">
        <w:t>does not address traditional enforcement (TE) violations. Guidance for determining if a TE violation is minor is in</w:t>
      </w:r>
      <w:r w:rsidR="00756FA4">
        <w:t xml:space="preserve"> Section 07-1</w:t>
      </w:r>
      <w:r w:rsidR="006C2BFC">
        <w:t>0</w:t>
      </w:r>
      <w:r w:rsidR="00352A0A">
        <w:t>.</w:t>
      </w:r>
    </w:p>
    <w:p w14:paraId="18DE6089" w14:textId="60525B62" w:rsidR="00DF5D36" w:rsidRDefault="003D3518" w:rsidP="00CE229B">
      <w:pPr>
        <w:pStyle w:val="BodyText"/>
      </w:pPr>
      <w:r>
        <w:t xml:space="preserve">NRC staff </w:t>
      </w:r>
      <w:proofErr w:type="gramStart"/>
      <w:r w:rsidRPr="00DF1CDA">
        <w:t>use</w:t>
      </w:r>
      <w:r w:rsidR="00DF1CDA" w:rsidRPr="00DF1CDA">
        <w:t>s</w:t>
      </w:r>
      <w:proofErr w:type="gramEnd"/>
      <w:r w:rsidRPr="00DF1CDA">
        <w:t xml:space="preserve"> </w:t>
      </w:r>
      <w:r w:rsidR="00DF1CDA" w:rsidRPr="00DF1CDA">
        <w:t>Attachment 2</w:t>
      </w:r>
      <w:r w:rsidRPr="00DF1CDA">
        <w:t xml:space="preserve">, </w:t>
      </w:r>
      <w:r w:rsidR="00684567" w:rsidRPr="00DF1CDA">
        <w:t>Figure</w:t>
      </w:r>
      <w:r w:rsidRPr="00DF1CDA">
        <w:t xml:space="preserve"> </w:t>
      </w:r>
      <w:r w:rsidR="00FD0B34">
        <w:t>2.</w:t>
      </w:r>
      <w:r w:rsidR="00E1078A" w:rsidRPr="00DF1CDA">
        <w:t>1,</w:t>
      </w:r>
      <w:r w:rsidRPr="00DF1CDA">
        <w:t xml:space="preserve"> and</w:t>
      </w:r>
      <w:r>
        <w:t xml:space="preserve"> the guidance below to determine if an ARCOP </w:t>
      </w:r>
      <w:r w:rsidR="000709CD">
        <w:t>noncomp</w:t>
      </w:r>
      <w:r w:rsidR="003F54D0">
        <w:t>liance</w:t>
      </w:r>
      <w:r>
        <w:t xml:space="preserve"> is minor.</w:t>
      </w:r>
      <w:r w:rsidR="000054C2">
        <w:t xml:space="preserve"> </w:t>
      </w:r>
      <w:r w:rsidR="002F64D0">
        <w:t>Examples of m</w:t>
      </w:r>
      <w:r w:rsidR="000054C2">
        <w:t xml:space="preserve">inor and more than minor </w:t>
      </w:r>
      <w:r w:rsidR="000709CD">
        <w:t>noncomp</w:t>
      </w:r>
      <w:r w:rsidR="003F54D0">
        <w:t>liance</w:t>
      </w:r>
      <w:r w:rsidR="002F64D0">
        <w:t>s</w:t>
      </w:r>
      <w:r w:rsidR="000054C2">
        <w:t xml:space="preserve"> are given at the end of this </w:t>
      </w:r>
      <w:r w:rsidR="00E62637">
        <w:t>attachment</w:t>
      </w:r>
      <w:r w:rsidR="000054C2">
        <w:t xml:space="preserve">. These examples are intended to be an aid to NRC staff and </w:t>
      </w:r>
      <w:r w:rsidR="00E62637">
        <w:t>should</w:t>
      </w:r>
      <w:r w:rsidR="000054C2">
        <w:t xml:space="preserve"> not be solely relied upon to determine if a </w:t>
      </w:r>
      <w:r w:rsidR="000709CD">
        <w:t>noncomp</w:t>
      </w:r>
      <w:r w:rsidR="003F54D0">
        <w:t>liance</w:t>
      </w:r>
      <w:r w:rsidR="000054C2">
        <w:t xml:space="preserve"> is minor or more than minor. </w:t>
      </w:r>
      <w:r w:rsidR="00560EBC">
        <w:t>Note that</w:t>
      </w:r>
      <w:r w:rsidR="00A0149F">
        <w:t xml:space="preserve"> at this point in the screening</w:t>
      </w:r>
      <w:r w:rsidR="00560EBC">
        <w:t xml:space="preserve"> </w:t>
      </w:r>
      <w:r w:rsidR="00A0149F">
        <w:t xml:space="preserve">process, the </w:t>
      </w:r>
      <w:r w:rsidR="000709CD">
        <w:t>noncomp</w:t>
      </w:r>
      <w:r w:rsidR="003F54D0">
        <w:t>liance</w:t>
      </w:r>
      <w:r w:rsidR="00A0149F">
        <w:t xml:space="preserve"> has already been screened for </w:t>
      </w:r>
      <w:r w:rsidR="00F151DA">
        <w:t>a</w:t>
      </w:r>
      <w:r w:rsidR="00A0149F">
        <w:t xml:space="preserve"> Self-identified Construction </w:t>
      </w:r>
      <w:r w:rsidR="000709CD">
        <w:t>Noncomp</w:t>
      </w:r>
      <w:r w:rsidR="003F54D0">
        <w:t>liance</w:t>
      </w:r>
      <w:r w:rsidR="00A0149F">
        <w:t xml:space="preserve"> (SCN). Therefore, </w:t>
      </w:r>
      <w:r w:rsidR="000709CD">
        <w:t>noncomp</w:t>
      </w:r>
      <w:r w:rsidR="003F54D0">
        <w:t>liance</w:t>
      </w:r>
      <w:r w:rsidR="00A0149F">
        <w:t>s entering th</w:t>
      </w:r>
      <w:r w:rsidR="00F22053">
        <w:t>e</w:t>
      </w:r>
      <w:r w:rsidR="00A0149F">
        <w:t xml:space="preserve"> screening process of this </w:t>
      </w:r>
      <w:r w:rsidR="00E62637">
        <w:t>attachment</w:t>
      </w:r>
      <w:r w:rsidR="00A0149F">
        <w:t xml:space="preserve"> must be either NRC-identified or self-revealing.</w:t>
      </w:r>
    </w:p>
    <w:p w14:paraId="30926130" w14:textId="014A8EC7" w:rsidR="00337AA4" w:rsidRPr="0038260D" w:rsidRDefault="00337AA4" w:rsidP="0082192E">
      <w:pPr>
        <w:pStyle w:val="BodyText"/>
        <w:rPr>
          <w:color w:val="000000" w:themeColor="text1"/>
        </w:rPr>
      </w:pPr>
      <w:r w:rsidRPr="0038260D">
        <w:rPr>
          <w:color w:val="000000" w:themeColor="text1"/>
        </w:rPr>
        <w:t xml:space="preserve">The minor/more than minor (MTM) criteria </w:t>
      </w:r>
      <w:r>
        <w:rPr>
          <w:color w:val="000000" w:themeColor="text1"/>
        </w:rPr>
        <w:t xml:space="preserve">below </w:t>
      </w:r>
      <w:r w:rsidRPr="0038260D">
        <w:rPr>
          <w:color w:val="000000" w:themeColor="text1"/>
        </w:rPr>
        <w:t xml:space="preserve">are focused on </w:t>
      </w:r>
      <w:r>
        <w:rPr>
          <w:color w:val="000000" w:themeColor="text1"/>
        </w:rPr>
        <w:t xml:space="preserve">the </w:t>
      </w:r>
      <w:r w:rsidR="000709CD">
        <w:rPr>
          <w:color w:val="000000" w:themeColor="text1"/>
        </w:rPr>
        <w:t>noncomp</w:t>
      </w:r>
      <w:r w:rsidR="003F54D0">
        <w:rPr>
          <w:color w:val="000000" w:themeColor="text1"/>
        </w:rPr>
        <w:t>liance</w:t>
      </w:r>
      <w:r w:rsidRPr="0038260D">
        <w:rPr>
          <w:color w:val="000000" w:themeColor="text1"/>
        </w:rPr>
        <w:t xml:space="preserve">’s impact on the functionality of safety-related or safety-significant SSCs. While </w:t>
      </w:r>
      <w:r w:rsidR="000709CD">
        <w:rPr>
          <w:color w:val="000000" w:themeColor="text1"/>
        </w:rPr>
        <w:t>noncomp</w:t>
      </w:r>
      <w:r w:rsidR="003F54D0">
        <w:rPr>
          <w:color w:val="000000" w:themeColor="text1"/>
        </w:rPr>
        <w:t>liance</w:t>
      </w:r>
      <w:r w:rsidRPr="0038260D">
        <w:rPr>
          <w:color w:val="000000" w:themeColor="text1"/>
        </w:rPr>
        <w:t xml:space="preserve">s that do not significantly impact SSC functionality are minor, license and permit holders must correct minor </w:t>
      </w:r>
      <w:r w:rsidR="000709CD">
        <w:rPr>
          <w:color w:val="000000" w:themeColor="text1"/>
        </w:rPr>
        <w:t>noncomp</w:t>
      </w:r>
      <w:r w:rsidR="003F54D0">
        <w:rPr>
          <w:color w:val="000000" w:themeColor="text1"/>
        </w:rPr>
        <w:t>liance</w:t>
      </w:r>
      <w:r w:rsidRPr="0038260D">
        <w:rPr>
          <w:color w:val="000000" w:themeColor="text1"/>
        </w:rPr>
        <w:t xml:space="preserve">s. Corrective actions may consist of replacing the SSC, repairing the SSC, analyzing and justifying an as-built configuration with the </w:t>
      </w:r>
      <w:r w:rsidR="000709CD">
        <w:rPr>
          <w:color w:val="000000" w:themeColor="text1"/>
        </w:rPr>
        <w:t>noncomp</w:t>
      </w:r>
      <w:r w:rsidR="003F54D0">
        <w:rPr>
          <w:color w:val="000000" w:themeColor="text1"/>
        </w:rPr>
        <w:t>liance</w:t>
      </w:r>
      <w:r w:rsidRPr="0038260D">
        <w:rPr>
          <w:color w:val="000000" w:themeColor="text1"/>
        </w:rPr>
        <w:t xml:space="preserve"> present, </w:t>
      </w:r>
      <w:r>
        <w:rPr>
          <w:color w:val="000000" w:themeColor="text1"/>
        </w:rPr>
        <w:t xml:space="preserve">or redesigning the SSC so that the condition is no longer a </w:t>
      </w:r>
      <w:r w:rsidR="000709CD">
        <w:rPr>
          <w:color w:val="000000" w:themeColor="text1"/>
        </w:rPr>
        <w:t>noncomp</w:t>
      </w:r>
      <w:r w:rsidR="003F54D0">
        <w:rPr>
          <w:color w:val="000000" w:themeColor="text1"/>
        </w:rPr>
        <w:t>liance</w:t>
      </w:r>
      <w:r>
        <w:rPr>
          <w:color w:val="000000" w:themeColor="text1"/>
        </w:rPr>
        <w:t xml:space="preserve">. Some corrective actions </w:t>
      </w:r>
      <w:r w:rsidRPr="0038260D">
        <w:rPr>
          <w:color w:val="000000" w:themeColor="text1"/>
        </w:rPr>
        <w:t xml:space="preserve">may require NRC approval via a licensing action. </w:t>
      </w:r>
    </w:p>
    <w:p w14:paraId="7AA74ECB" w14:textId="7344B43C" w:rsidR="00337AA4" w:rsidRPr="0038260D" w:rsidRDefault="00337AA4" w:rsidP="0082192E">
      <w:pPr>
        <w:pStyle w:val="BodyText"/>
        <w:rPr>
          <w:color w:val="000000" w:themeColor="text1"/>
        </w:rPr>
      </w:pPr>
      <w:r w:rsidRPr="00233B3F">
        <w:rPr>
          <w:color w:val="000000" w:themeColor="text1"/>
        </w:rPr>
        <w:t>Functionality, as used in this IMC, is the ability of an SSC to fulfill its safety-related and safety-significant functions.</w:t>
      </w:r>
      <w:r w:rsidRPr="0038260D">
        <w:rPr>
          <w:color w:val="000000" w:themeColor="text1"/>
        </w:rPr>
        <w:t xml:space="preserve"> SSCs are often built in accordance with codes and standards rather than having detailed design-specific construction requirements. For example, a combined license (COL) or construction permit (CP) may reference the American Concrete Institute (ACI) codes and standards when specifying requirements for the placement of concrete. </w:t>
      </w:r>
      <w:proofErr w:type="gramStart"/>
      <w:r w:rsidRPr="0038260D">
        <w:rPr>
          <w:color w:val="000000" w:themeColor="text1"/>
        </w:rPr>
        <w:t xml:space="preserve">A </w:t>
      </w:r>
      <w:r w:rsidR="000709CD">
        <w:rPr>
          <w:color w:val="000000" w:themeColor="text1"/>
        </w:rPr>
        <w:t>noncomp</w:t>
      </w:r>
      <w:r w:rsidR="003F54D0">
        <w:rPr>
          <w:color w:val="000000" w:themeColor="text1"/>
        </w:rPr>
        <w:t>liance</w:t>
      </w:r>
      <w:proofErr w:type="gramEnd"/>
      <w:r w:rsidRPr="0038260D">
        <w:rPr>
          <w:color w:val="000000" w:themeColor="text1"/>
        </w:rPr>
        <w:t xml:space="preserve"> with a referenced code or standard calls into question the functionality of the affected SSCs. However, some code or standard </w:t>
      </w:r>
      <w:r w:rsidR="000709CD">
        <w:rPr>
          <w:color w:val="000000" w:themeColor="text1"/>
        </w:rPr>
        <w:t>noncomp</w:t>
      </w:r>
      <w:r w:rsidR="003F54D0">
        <w:rPr>
          <w:color w:val="000000" w:themeColor="text1"/>
        </w:rPr>
        <w:t>liance</w:t>
      </w:r>
      <w:r w:rsidRPr="0038260D">
        <w:rPr>
          <w:color w:val="000000" w:themeColor="text1"/>
        </w:rPr>
        <w:t>s may not impact SSC functionality and are minor.</w:t>
      </w:r>
    </w:p>
    <w:p w14:paraId="7F86B236" w14:textId="289024F7" w:rsidR="00337AA4" w:rsidRPr="0038260D" w:rsidRDefault="00337AA4" w:rsidP="0082192E">
      <w:pPr>
        <w:pStyle w:val="BodyText"/>
        <w:rPr>
          <w:color w:val="000000" w:themeColor="text1"/>
        </w:rPr>
      </w:pPr>
      <w:r w:rsidRPr="0038260D">
        <w:rPr>
          <w:color w:val="000000" w:themeColor="text1"/>
        </w:rPr>
        <w:t xml:space="preserve">When determining if a </w:t>
      </w:r>
      <w:r w:rsidR="000709CD">
        <w:rPr>
          <w:color w:val="000000" w:themeColor="text1"/>
        </w:rPr>
        <w:t>noncomp</w:t>
      </w:r>
      <w:r w:rsidR="003F54D0">
        <w:rPr>
          <w:color w:val="000000" w:themeColor="text1"/>
        </w:rPr>
        <w:t>liance</w:t>
      </w:r>
      <w:r w:rsidRPr="0038260D">
        <w:rPr>
          <w:color w:val="000000" w:themeColor="text1"/>
        </w:rPr>
        <w:t xml:space="preserve"> prevents an SSC from meeting functionality requirements, inspectors should not perform, or request </w:t>
      </w:r>
      <w:r>
        <w:rPr>
          <w:color w:val="000000" w:themeColor="text1"/>
        </w:rPr>
        <w:t xml:space="preserve">that </w:t>
      </w:r>
      <w:r w:rsidRPr="0038260D">
        <w:rPr>
          <w:color w:val="000000" w:themeColor="text1"/>
        </w:rPr>
        <w:t xml:space="preserve">license or permit holders perform a detailed functionality determination. Inspectors should use engineering judgement to determine if the </w:t>
      </w:r>
      <w:r w:rsidR="000709CD">
        <w:rPr>
          <w:color w:val="000000" w:themeColor="text1"/>
        </w:rPr>
        <w:t>noncomp</w:t>
      </w:r>
      <w:r w:rsidR="003F54D0">
        <w:rPr>
          <w:color w:val="000000" w:themeColor="text1"/>
        </w:rPr>
        <w:t>liance</w:t>
      </w:r>
      <w:r w:rsidRPr="0038260D">
        <w:rPr>
          <w:color w:val="000000" w:themeColor="text1"/>
        </w:rPr>
        <w:t xml:space="preserve"> would reasonably impact SSC functionality. If the inspector cannot determine a </w:t>
      </w:r>
      <w:r w:rsidR="000709CD">
        <w:rPr>
          <w:color w:val="000000" w:themeColor="text1"/>
        </w:rPr>
        <w:t>noncomp</w:t>
      </w:r>
      <w:r w:rsidR="003F54D0">
        <w:rPr>
          <w:color w:val="000000" w:themeColor="text1"/>
        </w:rPr>
        <w:t>liance</w:t>
      </w:r>
      <w:r w:rsidRPr="0038260D">
        <w:rPr>
          <w:color w:val="000000" w:themeColor="text1"/>
        </w:rPr>
        <w:t xml:space="preserve">’s impact on SSC functionality without a detailed analysis, then SSC functionality should be considered indeterminate, and the issue is more than minor. Inspectors are expected to be able to make the minor/MTM designation by the end of the inspection. License and permit holders are expected to pursue corrective actions for </w:t>
      </w:r>
      <w:proofErr w:type="gramStart"/>
      <w:r w:rsidRPr="0038260D">
        <w:rPr>
          <w:color w:val="000000" w:themeColor="text1"/>
        </w:rPr>
        <w:t xml:space="preserve">the </w:t>
      </w:r>
      <w:r w:rsidR="000709CD">
        <w:rPr>
          <w:color w:val="000000" w:themeColor="text1"/>
        </w:rPr>
        <w:t>noncomp</w:t>
      </w:r>
      <w:r w:rsidR="003F54D0">
        <w:rPr>
          <w:color w:val="000000" w:themeColor="text1"/>
        </w:rPr>
        <w:t>liance</w:t>
      </w:r>
      <w:proofErr w:type="gramEnd"/>
      <w:r w:rsidRPr="0038260D">
        <w:rPr>
          <w:color w:val="000000" w:themeColor="text1"/>
        </w:rPr>
        <w:t xml:space="preserve"> in either case.</w:t>
      </w:r>
    </w:p>
    <w:p w14:paraId="6D6FB42E" w14:textId="6EE42B45" w:rsidR="00337AA4" w:rsidRPr="0038260D" w:rsidRDefault="00337AA4" w:rsidP="0082192E">
      <w:pPr>
        <w:pStyle w:val="BodyText"/>
        <w:rPr>
          <w:color w:val="000000" w:themeColor="text1"/>
        </w:rPr>
      </w:pPr>
      <w:r w:rsidRPr="0038260D">
        <w:rPr>
          <w:color w:val="000000" w:themeColor="text1"/>
        </w:rPr>
        <w:t xml:space="preserve">For </w:t>
      </w:r>
      <w:r w:rsidR="000709CD">
        <w:rPr>
          <w:color w:val="000000" w:themeColor="text1"/>
        </w:rPr>
        <w:t>noncomp</w:t>
      </w:r>
      <w:r w:rsidR="003F54D0">
        <w:rPr>
          <w:color w:val="000000" w:themeColor="text1"/>
        </w:rPr>
        <w:t>liance</w:t>
      </w:r>
      <w:r w:rsidRPr="0038260D">
        <w:rPr>
          <w:color w:val="000000" w:themeColor="text1"/>
        </w:rPr>
        <w:t xml:space="preserve">s that impact ITAAC, inspectors should use the same approach </w:t>
      </w:r>
      <w:r>
        <w:rPr>
          <w:color w:val="000000" w:themeColor="text1"/>
        </w:rPr>
        <w:t xml:space="preserve">for minor/MTM determinations </w:t>
      </w:r>
      <w:r w:rsidRPr="0038260D">
        <w:rPr>
          <w:color w:val="000000" w:themeColor="text1"/>
        </w:rPr>
        <w:t xml:space="preserve">as non-ITAAC </w:t>
      </w:r>
      <w:r w:rsidR="000709CD">
        <w:rPr>
          <w:color w:val="000000" w:themeColor="text1"/>
        </w:rPr>
        <w:t>noncomp</w:t>
      </w:r>
      <w:r w:rsidR="003F54D0">
        <w:rPr>
          <w:color w:val="000000" w:themeColor="text1"/>
        </w:rPr>
        <w:t>liance</w:t>
      </w:r>
      <w:r w:rsidRPr="0038260D">
        <w:rPr>
          <w:color w:val="000000" w:themeColor="text1"/>
        </w:rPr>
        <w:t>s except that they should also determine the impact on the validity of the inspection, test, or analysis (ITA) upon which the ITAAC accept</w:t>
      </w:r>
      <w:r>
        <w:rPr>
          <w:color w:val="000000" w:themeColor="text1"/>
        </w:rPr>
        <w:t>ance</w:t>
      </w:r>
      <w:r w:rsidRPr="0038260D">
        <w:rPr>
          <w:color w:val="000000" w:themeColor="text1"/>
        </w:rPr>
        <w:t xml:space="preserve"> criteria are based. If the ITAAC ITA </w:t>
      </w:r>
      <w:r>
        <w:rPr>
          <w:color w:val="000000" w:themeColor="text1"/>
        </w:rPr>
        <w:t xml:space="preserve">results </w:t>
      </w:r>
      <w:r w:rsidRPr="0038260D">
        <w:rPr>
          <w:color w:val="000000" w:themeColor="text1"/>
        </w:rPr>
        <w:t xml:space="preserve">are invalidated by the </w:t>
      </w:r>
      <w:r w:rsidR="000709CD">
        <w:rPr>
          <w:color w:val="000000" w:themeColor="text1"/>
        </w:rPr>
        <w:t>noncomp</w:t>
      </w:r>
      <w:r w:rsidR="003F54D0">
        <w:rPr>
          <w:color w:val="000000" w:themeColor="text1"/>
        </w:rPr>
        <w:t>liance</w:t>
      </w:r>
      <w:r w:rsidRPr="0038260D">
        <w:rPr>
          <w:color w:val="000000" w:themeColor="text1"/>
        </w:rPr>
        <w:t xml:space="preserve">, then the </w:t>
      </w:r>
      <w:r w:rsidR="000709CD">
        <w:rPr>
          <w:color w:val="000000" w:themeColor="text1"/>
        </w:rPr>
        <w:t>noncomp</w:t>
      </w:r>
      <w:r w:rsidR="003F54D0">
        <w:rPr>
          <w:color w:val="000000" w:themeColor="text1"/>
        </w:rPr>
        <w:t>liance</w:t>
      </w:r>
      <w:r w:rsidRPr="0038260D">
        <w:rPr>
          <w:color w:val="000000" w:themeColor="text1"/>
        </w:rPr>
        <w:t xml:space="preserve"> is MTM</w:t>
      </w:r>
      <w:r>
        <w:rPr>
          <w:color w:val="000000" w:themeColor="text1"/>
        </w:rPr>
        <w:t xml:space="preserve"> because the functionality of the </w:t>
      </w:r>
      <w:r w:rsidR="00C25B43">
        <w:rPr>
          <w:color w:val="000000" w:themeColor="text1"/>
        </w:rPr>
        <w:t xml:space="preserve">associated </w:t>
      </w:r>
      <w:r>
        <w:rPr>
          <w:color w:val="000000" w:themeColor="text1"/>
        </w:rPr>
        <w:t>SSC is indeterminate</w:t>
      </w:r>
      <w:r w:rsidRPr="0038260D">
        <w:rPr>
          <w:color w:val="000000" w:themeColor="text1"/>
        </w:rPr>
        <w:t>.</w:t>
      </w:r>
      <w:r>
        <w:rPr>
          <w:color w:val="000000" w:themeColor="text1"/>
        </w:rPr>
        <w:t xml:space="preserve"> </w:t>
      </w:r>
    </w:p>
    <w:p w14:paraId="1BAE72FD" w14:textId="5BEDA1C3" w:rsidR="002F203B" w:rsidRDefault="00337AA4" w:rsidP="00337AA4">
      <w:pPr>
        <w:pStyle w:val="BodyText"/>
        <w:rPr>
          <w:color w:val="000000" w:themeColor="text1"/>
        </w:rPr>
      </w:pPr>
      <w:r w:rsidRPr="0038260D">
        <w:rPr>
          <w:color w:val="000000" w:themeColor="text1"/>
        </w:rPr>
        <w:lastRenderedPageBreak/>
        <w:t xml:space="preserve">If the </w:t>
      </w:r>
      <w:r w:rsidR="000709CD">
        <w:rPr>
          <w:color w:val="000000" w:themeColor="text1"/>
        </w:rPr>
        <w:t>noncomp</w:t>
      </w:r>
      <w:r w:rsidR="003F54D0">
        <w:rPr>
          <w:color w:val="000000" w:themeColor="text1"/>
        </w:rPr>
        <w:t>liance</w:t>
      </w:r>
      <w:r w:rsidRPr="0038260D">
        <w:rPr>
          <w:color w:val="000000" w:themeColor="text1"/>
        </w:rPr>
        <w:t xml:space="preserve"> prevents the ITAAC AC from being met, but affected SSCs remain functional, then the </w:t>
      </w:r>
      <w:r w:rsidR="000709CD">
        <w:rPr>
          <w:color w:val="000000" w:themeColor="text1"/>
        </w:rPr>
        <w:t>noncomp</w:t>
      </w:r>
      <w:r w:rsidR="003F54D0">
        <w:rPr>
          <w:color w:val="000000" w:themeColor="text1"/>
        </w:rPr>
        <w:t>liance</w:t>
      </w:r>
      <w:r w:rsidRPr="0038260D">
        <w:rPr>
          <w:color w:val="000000" w:themeColor="text1"/>
        </w:rPr>
        <w:t xml:space="preserve"> is minor. This scenario may occur when the ITAAC AC references a code or standard. For example, an ITAAC AC that says “A report exists and concludes that the SSC meets the specifications of code or standard” would not be met if a </w:t>
      </w:r>
      <w:r w:rsidR="000709CD">
        <w:rPr>
          <w:color w:val="000000" w:themeColor="text1"/>
        </w:rPr>
        <w:t>noncomp</w:t>
      </w:r>
      <w:r w:rsidR="003F54D0">
        <w:rPr>
          <w:color w:val="000000" w:themeColor="text1"/>
        </w:rPr>
        <w:t>liance</w:t>
      </w:r>
      <w:r w:rsidRPr="0038260D">
        <w:rPr>
          <w:color w:val="000000" w:themeColor="text1"/>
        </w:rPr>
        <w:t xml:space="preserve"> </w:t>
      </w:r>
      <w:r w:rsidR="00506BBB">
        <w:rPr>
          <w:color w:val="000000" w:themeColor="text1"/>
        </w:rPr>
        <w:t xml:space="preserve">with the code or standard </w:t>
      </w:r>
      <w:r w:rsidRPr="0038260D">
        <w:rPr>
          <w:color w:val="000000" w:themeColor="text1"/>
        </w:rPr>
        <w:t xml:space="preserve">exists, but if the </w:t>
      </w:r>
      <w:r w:rsidR="000709CD">
        <w:rPr>
          <w:color w:val="000000" w:themeColor="text1"/>
        </w:rPr>
        <w:t>noncomp</w:t>
      </w:r>
      <w:r w:rsidR="003F54D0">
        <w:rPr>
          <w:color w:val="000000" w:themeColor="text1"/>
        </w:rPr>
        <w:t>liance</w:t>
      </w:r>
      <w:r w:rsidRPr="0038260D">
        <w:rPr>
          <w:color w:val="000000" w:themeColor="text1"/>
        </w:rPr>
        <w:t xml:space="preserve"> does not prevent the SSC from meeting functionality requirements, then the </w:t>
      </w:r>
      <w:r w:rsidR="000709CD">
        <w:rPr>
          <w:color w:val="000000" w:themeColor="text1"/>
        </w:rPr>
        <w:t>noncomp</w:t>
      </w:r>
      <w:r w:rsidR="003F54D0">
        <w:rPr>
          <w:color w:val="000000" w:themeColor="text1"/>
        </w:rPr>
        <w:t>liance</w:t>
      </w:r>
      <w:r w:rsidRPr="0038260D">
        <w:rPr>
          <w:color w:val="000000" w:themeColor="text1"/>
        </w:rPr>
        <w:t xml:space="preserve"> is minor. Inspectors should </w:t>
      </w:r>
      <w:r>
        <w:rPr>
          <w:color w:val="000000" w:themeColor="text1"/>
        </w:rPr>
        <w:t xml:space="preserve">not </w:t>
      </w:r>
      <w:r w:rsidRPr="0038260D">
        <w:rPr>
          <w:color w:val="000000" w:themeColor="text1"/>
        </w:rPr>
        <w:t xml:space="preserve">confuse minor ITAAC </w:t>
      </w:r>
      <w:r w:rsidR="000709CD">
        <w:rPr>
          <w:color w:val="000000" w:themeColor="text1"/>
        </w:rPr>
        <w:t>noncomp</w:t>
      </w:r>
      <w:r w:rsidR="003F54D0">
        <w:rPr>
          <w:color w:val="000000" w:themeColor="text1"/>
        </w:rPr>
        <w:t>liance</w:t>
      </w:r>
      <w:r w:rsidRPr="0038260D">
        <w:rPr>
          <w:color w:val="000000" w:themeColor="text1"/>
        </w:rPr>
        <w:t xml:space="preserve">s with the ITAAC AC being met. </w:t>
      </w:r>
      <w:r>
        <w:rPr>
          <w:color w:val="000000" w:themeColor="text1"/>
        </w:rPr>
        <w:t xml:space="preserve">A </w:t>
      </w:r>
      <w:r w:rsidR="000709CD">
        <w:rPr>
          <w:color w:val="000000" w:themeColor="text1"/>
        </w:rPr>
        <w:t>noncomp</w:t>
      </w:r>
      <w:r w:rsidR="003F54D0">
        <w:rPr>
          <w:color w:val="000000" w:themeColor="text1"/>
        </w:rPr>
        <w:t>liance</w:t>
      </w:r>
      <w:r>
        <w:rPr>
          <w:color w:val="000000" w:themeColor="text1"/>
        </w:rPr>
        <w:t xml:space="preserve"> may be minor, but if the corresponding</w:t>
      </w:r>
      <w:r w:rsidRPr="0038260D">
        <w:rPr>
          <w:color w:val="000000" w:themeColor="text1"/>
        </w:rPr>
        <w:t xml:space="preserve"> ITAAC AC </w:t>
      </w:r>
      <w:r>
        <w:rPr>
          <w:color w:val="000000" w:themeColor="text1"/>
        </w:rPr>
        <w:t xml:space="preserve">is </w:t>
      </w:r>
      <w:r w:rsidRPr="0038260D">
        <w:rPr>
          <w:color w:val="000000" w:themeColor="text1"/>
        </w:rPr>
        <w:t>not met</w:t>
      </w:r>
      <w:r>
        <w:rPr>
          <w:color w:val="000000" w:themeColor="text1"/>
        </w:rPr>
        <w:t>, then</w:t>
      </w:r>
      <w:r w:rsidRPr="0038260D">
        <w:rPr>
          <w:color w:val="000000" w:themeColor="text1"/>
        </w:rPr>
        <w:t xml:space="preserve"> the ITAAC cannot be closed</w:t>
      </w:r>
      <w:r>
        <w:rPr>
          <w:color w:val="000000" w:themeColor="text1"/>
        </w:rPr>
        <w:t xml:space="preserve"> until the </w:t>
      </w:r>
      <w:r w:rsidR="000709CD">
        <w:rPr>
          <w:color w:val="000000" w:themeColor="text1"/>
        </w:rPr>
        <w:t>noncomp</w:t>
      </w:r>
      <w:r w:rsidR="003F54D0">
        <w:rPr>
          <w:color w:val="000000" w:themeColor="text1"/>
        </w:rPr>
        <w:t>liance</w:t>
      </w:r>
      <w:r>
        <w:rPr>
          <w:color w:val="000000" w:themeColor="text1"/>
        </w:rPr>
        <w:t xml:space="preserve"> is corrected</w:t>
      </w:r>
      <w:r w:rsidRPr="0038260D">
        <w:rPr>
          <w:color w:val="000000" w:themeColor="text1"/>
        </w:rPr>
        <w:t>.</w:t>
      </w:r>
    </w:p>
    <w:p w14:paraId="0F4079C9" w14:textId="56AC9206" w:rsidR="003C7581" w:rsidRDefault="003C7581" w:rsidP="003C7581">
      <w:pPr>
        <w:pStyle w:val="BodyText"/>
      </w:pPr>
      <w:r>
        <w:t>L</w:t>
      </w:r>
      <w:r w:rsidRPr="00E02AB6">
        <w:t xml:space="preserve">icensees must correct minor </w:t>
      </w:r>
      <w:r w:rsidR="000709CD">
        <w:t>noncomp</w:t>
      </w:r>
      <w:r w:rsidR="003F54D0">
        <w:t>liance</w:t>
      </w:r>
      <w:r>
        <w:t>s.</w:t>
      </w:r>
      <w:r w:rsidRPr="00E02AB6">
        <w:t xml:space="preserve"> If a licensee does not </w:t>
      </w:r>
      <w:proofErr w:type="gramStart"/>
      <w:r w:rsidRPr="00E02AB6">
        <w:t>disposition</w:t>
      </w:r>
      <w:proofErr w:type="gramEnd"/>
      <w:r w:rsidRPr="00E02AB6">
        <w:t xml:space="preserve"> a minor </w:t>
      </w:r>
      <w:r w:rsidR="000709CD">
        <w:t>noncomp</w:t>
      </w:r>
      <w:r w:rsidR="003F54D0">
        <w:t>liance</w:t>
      </w:r>
      <w:r w:rsidRPr="00E02AB6">
        <w:t xml:space="preserve"> in accordance with its </w:t>
      </w:r>
      <w:r w:rsidR="003068EC">
        <w:t xml:space="preserve">quality assurance </w:t>
      </w:r>
      <w:r>
        <w:t>program</w:t>
      </w:r>
      <w:r w:rsidRPr="00E02AB6">
        <w:t xml:space="preserve">, then </w:t>
      </w:r>
      <w:r>
        <w:t>NRC staff</w:t>
      </w:r>
      <w:r w:rsidRPr="00E02AB6">
        <w:t xml:space="preserve"> should screen this as a new </w:t>
      </w:r>
      <w:r w:rsidR="000709CD">
        <w:t>noncomp</w:t>
      </w:r>
      <w:r w:rsidR="003F54D0">
        <w:t>liance</w:t>
      </w:r>
      <w:r w:rsidRPr="00E02AB6">
        <w:t xml:space="preserve">. </w:t>
      </w:r>
    </w:p>
    <w:p w14:paraId="42F374EB" w14:textId="77777777" w:rsidR="003C7581" w:rsidRDefault="003C7581" w:rsidP="00337AA4">
      <w:pPr>
        <w:pStyle w:val="BodyText"/>
      </w:pPr>
    </w:p>
    <w:p w14:paraId="5A2FCE2F" w14:textId="04F1B1D9" w:rsidR="00D967EF" w:rsidRPr="005E5FFF" w:rsidRDefault="00DF1CDA" w:rsidP="000B0C46">
      <w:pPr>
        <w:pStyle w:val="Caption"/>
        <w:rPr>
          <w:noProof/>
        </w:rPr>
      </w:pPr>
      <w:bookmarkStart w:id="122" w:name="_Toc219293614"/>
      <w:r w:rsidRPr="005E5FFF">
        <w:rPr>
          <w:noProof/>
        </w:rPr>
        <w:t xml:space="preserve">Figure </w:t>
      </w:r>
      <w:r w:rsidR="003B4852">
        <w:rPr>
          <w:noProof/>
        </w:rPr>
        <w:t>2.</w:t>
      </w:r>
      <w:r w:rsidRPr="005E5FFF">
        <w:rPr>
          <w:noProof/>
        </w:rPr>
        <w:t>1</w:t>
      </w:r>
      <w:r w:rsidR="005E5FFF">
        <w:rPr>
          <w:noProof/>
        </w:rPr>
        <w:t>:</w:t>
      </w:r>
      <w:r w:rsidRPr="005E5FFF">
        <w:rPr>
          <w:noProof/>
        </w:rPr>
        <w:t xml:space="preserve"> Determining if an ARCOP </w:t>
      </w:r>
      <w:r w:rsidR="000709CD">
        <w:rPr>
          <w:noProof/>
        </w:rPr>
        <w:t>Noncomp</w:t>
      </w:r>
      <w:r w:rsidR="003F54D0" w:rsidRPr="005E5FFF">
        <w:rPr>
          <w:noProof/>
        </w:rPr>
        <w:t>liance</w:t>
      </w:r>
      <w:r w:rsidRPr="005E5FFF">
        <w:rPr>
          <w:noProof/>
        </w:rPr>
        <w:t xml:space="preserve"> is Minor</w:t>
      </w:r>
      <w:bookmarkEnd w:id="122"/>
    </w:p>
    <w:p w14:paraId="1D5B742D" w14:textId="77777777" w:rsidR="007C42AF" w:rsidRPr="007C42AF" w:rsidRDefault="007C42AF" w:rsidP="007C42AF">
      <w:pPr>
        <w:pStyle w:val="BodyText"/>
        <w:jc w:val="center"/>
        <w:rPr>
          <w:b/>
          <w:bCs/>
          <w:shd w:val="clear" w:color="auto" w:fill="FAF9F8"/>
        </w:rPr>
      </w:pPr>
    </w:p>
    <w:p w14:paraId="68ECAAC2" w14:textId="61E17183" w:rsidR="00D967EF" w:rsidRDefault="007C42AF" w:rsidP="00A064EF">
      <w:pPr>
        <w:pStyle w:val="BodyText3"/>
        <w:ind w:left="0"/>
        <w:jc w:val="center"/>
        <w:rPr>
          <w:noProof/>
        </w:rPr>
      </w:pPr>
      <w:r>
        <w:rPr>
          <w:noProof/>
        </w:rPr>
        <w:drawing>
          <wp:inline distT="0" distB="0" distL="0" distR="0" wp14:anchorId="771FF336" wp14:editId="68F5764D">
            <wp:extent cx="4818645" cy="4500438"/>
            <wp:effectExtent l="0" t="0" r="1270" b="0"/>
            <wp:docPr id="14115220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42771" cy="4522971"/>
                    </a:xfrm>
                    <a:prstGeom prst="rect">
                      <a:avLst/>
                    </a:prstGeom>
                    <a:noFill/>
                  </pic:spPr>
                </pic:pic>
              </a:graphicData>
            </a:graphic>
          </wp:inline>
        </w:drawing>
      </w:r>
    </w:p>
    <w:p w14:paraId="179B82AC" w14:textId="77777777" w:rsidR="00CE229B" w:rsidRPr="000A4B95" w:rsidRDefault="00CE229B" w:rsidP="007C42AF">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shd w:val="clear" w:color="auto" w:fill="FAF9F8"/>
        </w:rPr>
      </w:pPr>
    </w:p>
    <w:p w14:paraId="391C3B10" w14:textId="050FDC8A" w:rsidR="003C7581" w:rsidRPr="00E62637" w:rsidRDefault="00082D19" w:rsidP="00630B33">
      <w:pPr>
        <w:pStyle w:val="BodyText"/>
        <w:numPr>
          <w:ilvl w:val="0"/>
          <w:numId w:val="19"/>
        </w:numPr>
      </w:pPr>
      <w:r w:rsidRPr="00332945">
        <w:lastRenderedPageBreak/>
        <w:t xml:space="preserve">Is the </w:t>
      </w:r>
      <w:r w:rsidR="000709CD">
        <w:t>noncomp</w:t>
      </w:r>
      <w:r w:rsidR="003F54D0">
        <w:t>liance</w:t>
      </w:r>
      <w:r w:rsidRPr="00332BAF">
        <w:t xml:space="preserve"> a self-identified construction </w:t>
      </w:r>
      <w:r w:rsidR="000709CD">
        <w:t>noncomp</w:t>
      </w:r>
      <w:r w:rsidR="003F54D0">
        <w:t>liance</w:t>
      </w:r>
      <w:r w:rsidR="00332945" w:rsidRPr="00332BAF">
        <w:t xml:space="preserve"> (SCN)? </w:t>
      </w:r>
      <w:r w:rsidR="00D66497" w:rsidRPr="00332BAF">
        <w:t>See</w:t>
      </w:r>
      <w:r w:rsidR="00756FA4" w:rsidRPr="00332BAF">
        <w:t xml:space="preserve"> Section</w:t>
      </w:r>
      <w:r w:rsidR="00D66497" w:rsidRPr="00332BAF">
        <w:t xml:space="preserve"> 0</w:t>
      </w:r>
      <w:r w:rsidR="00CD5CA2" w:rsidRPr="00332BAF">
        <w:t>7</w:t>
      </w:r>
      <w:r w:rsidR="00D66497" w:rsidRPr="00332BAF">
        <w:t>.0</w:t>
      </w:r>
      <w:r w:rsidR="002A3C21">
        <w:t>2</w:t>
      </w:r>
      <w:r w:rsidR="00D66497" w:rsidRPr="00332BAF">
        <w:t xml:space="preserve"> of this IMC for criteria</w:t>
      </w:r>
      <w:r w:rsidR="00D66497" w:rsidRPr="00E62637">
        <w:t xml:space="preserve"> in determining if a </w:t>
      </w:r>
      <w:r w:rsidR="000709CD">
        <w:t>noncomp</w:t>
      </w:r>
      <w:r w:rsidR="003F54D0">
        <w:t>liance</w:t>
      </w:r>
      <w:r w:rsidR="00D66497" w:rsidRPr="00E62637">
        <w:t xml:space="preserve"> is an SCN.</w:t>
      </w:r>
    </w:p>
    <w:p w14:paraId="45DA1063" w14:textId="3BAD00D0" w:rsidR="00CE229B" w:rsidRPr="00E62637" w:rsidRDefault="00CE229B" w:rsidP="00630B33">
      <w:pPr>
        <w:pStyle w:val="BodyText"/>
        <w:numPr>
          <w:ilvl w:val="0"/>
          <w:numId w:val="19"/>
        </w:numPr>
      </w:pPr>
      <w:r w:rsidRPr="00332945">
        <w:t xml:space="preserve">Does </w:t>
      </w:r>
      <w:proofErr w:type="gramStart"/>
      <w:r w:rsidRPr="00332945">
        <w:t xml:space="preserve">the </w:t>
      </w:r>
      <w:r w:rsidR="000709CD">
        <w:t>noncomp</w:t>
      </w:r>
      <w:r w:rsidR="003F54D0">
        <w:t>liance</w:t>
      </w:r>
      <w:proofErr w:type="gramEnd"/>
      <w:r w:rsidRPr="00332945">
        <w:t xml:space="preserve"> </w:t>
      </w:r>
      <w:r w:rsidR="00F559E6" w:rsidRPr="00332945">
        <w:t xml:space="preserve">have a more than minor </w:t>
      </w:r>
      <w:r w:rsidRPr="00332945">
        <w:t xml:space="preserve">impact on </w:t>
      </w:r>
      <w:r w:rsidR="009A1DD1" w:rsidRPr="00332945">
        <w:t>a</w:t>
      </w:r>
      <w:r w:rsidR="00277BC8" w:rsidRPr="00332945">
        <w:t xml:space="preserve"> </w:t>
      </w:r>
      <w:r w:rsidR="00BE5F81">
        <w:t>safety</w:t>
      </w:r>
      <w:r w:rsidR="00BB3188">
        <w:t>-</w:t>
      </w:r>
      <w:r w:rsidR="00BE5F81">
        <w:t xml:space="preserve">significant </w:t>
      </w:r>
      <w:r w:rsidR="00BB3188">
        <w:t>(</w:t>
      </w:r>
      <w:r w:rsidR="00277BC8" w:rsidRPr="00332945">
        <w:t xml:space="preserve">SR or </w:t>
      </w:r>
      <w:r w:rsidR="005643A1" w:rsidRPr="00332945">
        <w:t xml:space="preserve">a non-safety related, </w:t>
      </w:r>
      <w:r w:rsidR="00110A6D" w:rsidRPr="00332945">
        <w:t>safety</w:t>
      </w:r>
      <w:r w:rsidR="005643A1" w:rsidRPr="00332945">
        <w:t>-significant (</w:t>
      </w:r>
      <w:r w:rsidR="00277BC8" w:rsidRPr="00332945">
        <w:t>NSR</w:t>
      </w:r>
      <w:r w:rsidR="00110A6D" w:rsidRPr="00332945">
        <w:t>S</w:t>
      </w:r>
      <w:r w:rsidR="00277BC8" w:rsidRPr="00332945">
        <w:t>S</w:t>
      </w:r>
      <w:r w:rsidR="005643A1" w:rsidRPr="00332945">
        <w:t>)</w:t>
      </w:r>
      <w:r w:rsidR="00BB3188">
        <w:t>)</w:t>
      </w:r>
      <w:r w:rsidR="00277BC8" w:rsidRPr="00332945">
        <w:t xml:space="preserve"> </w:t>
      </w:r>
      <w:r w:rsidR="009A1DD1" w:rsidRPr="00332945">
        <w:t>SSC</w:t>
      </w:r>
      <w:r w:rsidR="00E83091" w:rsidRPr="00332945">
        <w:t>?</w:t>
      </w:r>
      <w:r w:rsidRPr="00332945">
        <w:t xml:space="preserve"> Answer this question yes if the answer to </w:t>
      </w:r>
      <w:r w:rsidR="00684567" w:rsidRPr="00332945">
        <w:t>any</w:t>
      </w:r>
      <w:r w:rsidRPr="00332945">
        <w:t xml:space="preserve"> of the </w:t>
      </w:r>
      <w:r w:rsidR="00E62637">
        <w:t xml:space="preserve">following </w:t>
      </w:r>
      <w:r w:rsidRPr="00332945">
        <w:t>questions is answered yes.</w:t>
      </w:r>
    </w:p>
    <w:p w14:paraId="3B8EF8F4" w14:textId="15A49DFE" w:rsidR="00F245B9" w:rsidRPr="006A6696" w:rsidRDefault="001E66C3" w:rsidP="00630B33">
      <w:pPr>
        <w:pStyle w:val="BodyText"/>
        <w:numPr>
          <w:ilvl w:val="1"/>
          <w:numId w:val="19"/>
        </w:numPr>
      </w:pPr>
      <w:r w:rsidRPr="0038260D">
        <w:t xml:space="preserve">Does </w:t>
      </w:r>
      <w:proofErr w:type="gramStart"/>
      <w:r w:rsidRPr="0038260D">
        <w:t xml:space="preserve">the </w:t>
      </w:r>
      <w:r w:rsidR="000709CD">
        <w:t>noncomp</w:t>
      </w:r>
      <w:r w:rsidR="003F54D0">
        <w:t>liance</w:t>
      </w:r>
      <w:proofErr w:type="gramEnd"/>
      <w:r w:rsidRPr="0038260D">
        <w:t xml:space="preserve"> prevent a safety-significant SSC from performing its safety-significant function or make its functionality indeterminate?</w:t>
      </w:r>
      <w:r w:rsidR="00D64EA2">
        <w:rPr>
          <w:vertAlign w:val="superscript"/>
        </w:rPr>
        <w:t>1, 2</w:t>
      </w:r>
    </w:p>
    <w:p w14:paraId="5B392DA2" w14:textId="11D42E60" w:rsidR="00BD11A0" w:rsidRPr="00E62637" w:rsidRDefault="001E66C3" w:rsidP="00630B33">
      <w:pPr>
        <w:pStyle w:val="BodyText"/>
        <w:numPr>
          <w:ilvl w:val="1"/>
          <w:numId w:val="19"/>
        </w:numPr>
      </w:pPr>
      <w:r w:rsidRPr="00F245B9">
        <w:t xml:space="preserve">Does the </w:t>
      </w:r>
      <w:r w:rsidR="000709CD">
        <w:t>noncomp</w:t>
      </w:r>
      <w:r w:rsidR="003F54D0">
        <w:t>liance</w:t>
      </w:r>
      <w:r w:rsidRPr="00F245B9">
        <w:t xml:space="preserve"> prevent meeting an ITAAC </w:t>
      </w:r>
      <w:r w:rsidR="00F344E5">
        <w:t>a</w:t>
      </w:r>
      <w:r w:rsidR="00F344E5" w:rsidRPr="00F245B9">
        <w:t xml:space="preserve">cceptance </w:t>
      </w:r>
      <w:r w:rsidR="00F344E5">
        <w:t>c</w:t>
      </w:r>
      <w:r w:rsidR="00F344E5" w:rsidRPr="00F245B9">
        <w:t>riterion</w:t>
      </w:r>
      <w:r w:rsidRPr="00F245B9">
        <w:t xml:space="preserve">, </w:t>
      </w:r>
      <w:r w:rsidRPr="00E62637">
        <w:t>and</w:t>
      </w:r>
      <w:r w:rsidRPr="00F245B9">
        <w:rPr>
          <w:b/>
          <w:bCs/>
        </w:rPr>
        <w:t xml:space="preserve"> </w:t>
      </w:r>
      <w:r w:rsidRPr="00F245B9">
        <w:t xml:space="preserve">does the </w:t>
      </w:r>
      <w:r w:rsidR="000709CD">
        <w:t>noncomp</w:t>
      </w:r>
      <w:r w:rsidR="003F54D0">
        <w:t>liance</w:t>
      </w:r>
      <w:r w:rsidRPr="00F245B9">
        <w:t xml:space="preserve"> prevent a safety-significant SSC from performing its safety-significant function, or make its functionality indeterminate?</w:t>
      </w:r>
      <w:r w:rsidR="00D64EA2">
        <w:rPr>
          <w:vertAlign w:val="superscript"/>
        </w:rPr>
        <w:t>1, 2</w:t>
      </w:r>
      <w:r w:rsidR="00DF1CDA">
        <w:t xml:space="preserve"> </w:t>
      </w:r>
    </w:p>
    <w:p w14:paraId="14E2DC0F" w14:textId="73AEC8BD" w:rsidR="001E66C3" w:rsidRPr="00E62637" w:rsidRDefault="001E66C3" w:rsidP="00630B33">
      <w:pPr>
        <w:pStyle w:val="BodyText"/>
        <w:numPr>
          <w:ilvl w:val="1"/>
          <w:numId w:val="19"/>
        </w:numPr>
      </w:pPr>
      <w:r w:rsidRPr="00E62637">
        <w:t xml:space="preserve">Does the </w:t>
      </w:r>
      <w:r w:rsidR="000709CD">
        <w:t>noncomp</w:t>
      </w:r>
      <w:r w:rsidR="003F54D0">
        <w:t>liance</w:t>
      </w:r>
      <w:r w:rsidRPr="00E62637">
        <w:t xml:space="preserve"> invalidate the results of an Inspection, Test, or Analysis described in </w:t>
      </w:r>
      <w:proofErr w:type="gramStart"/>
      <w:r w:rsidRPr="00E62637">
        <w:t>an ITAAC</w:t>
      </w:r>
      <w:proofErr w:type="gramEnd"/>
      <w:r w:rsidRPr="00E62637">
        <w:t>?</w:t>
      </w:r>
      <w:r w:rsidR="00D64EA2">
        <w:rPr>
          <w:vertAlign w:val="superscript"/>
        </w:rPr>
        <w:t>3</w:t>
      </w:r>
    </w:p>
    <w:p w14:paraId="5E20D57C" w14:textId="3525EDDD" w:rsidR="001E66C3" w:rsidRPr="0038260D" w:rsidRDefault="001E66C3" w:rsidP="006A6696">
      <w:pPr>
        <w:pStyle w:val="BodyText4"/>
      </w:pPr>
      <w:r w:rsidRPr="009612BF">
        <w:rPr>
          <w:u w:val="single"/>
        </w:rPr>
        <w:t xml:space="preserve">Note </w:t>
      </w:r>
      <w:r w:rsidR="00D64EA2">
        <w:rPr>
          <w:u w:val="single"/>
        </w:rPr>
        <w:t>1</w:t>
      </w:r>
      <w:r w:rsidRPr="0038260D">
        <w:t>:</w:t>
      </w:r>
      <w:r w:rsidRPr="006139CC">
        <w:t xml:space="preserve"> It is not the intent of </w:t>
      </w:r>
      <w:r w:rsidRPr="0038260D">
        <w:t xml:space="preserve">these </w:t>
      </w:r>
      <w:r w:rsidRPr="006139CC">
        <w:t>criteria</w:t>
      </w:r>
      <w:r w:rsidRPr="0038260D">
        <w:t xml:space="preserve"> </w:t>
      </w:r>
      <w:r w:rsidRPr="006139CC">
        <w:t>that an extensive functionality determination be completed. If substantive analysis is required to determine functionality, then the issue is MTM.</w:t>
      </w:r>
    </w:p>
    <w:p w14:paraId="2CAACC11" w14:textId="3FA18544" w:rsidR="001E66C3" w:rsidRPr="0038260D" w:rsidRDefault="001E66C3" w:rsidP="006A6696">
      <w:pPr>
        <w:pStyle w:val="BodyText4"/>
      </w:pPr>
      <w:r w:rsidRPr="009612BF">
        <w:rPr>
          <w:u w:val="single"/>
        </w:rPr>
        <w:t xml:space="preserve">Note </w:t>
      </w:r>
      <w:r w:rsidR="00D64EA2">
        <w:rPr>
          <w:u w:val="single"/>
        </w:rPr>
        <w:t>2</w:t>
      </w:r>
      <w:r w:rsidRPr="0038260D">
        <w:t xml:space="preserve">: An SSC is functional if it can meet its safety-significant function </w:t>
      </w:r>
      <w:r w:rsidRPr="00D64EA2">
        <w:t>during</w:t>
      </w:r>
      <w:r w:rsidRPr="0038260D">
        <w:t xml:space="preserve"> all applicable licensing basis events</w:t>
      </w:r>
      <w:r>
        <w:t xml:space="preserve"> for which it is credited</w:t>
      </w:r>
      <w:r w:rsidRPr="0038260D">
        <w:t xml:space="preserve">. LBEs include internal and external hazards. </w:t>
      </w:r>
    </w:p>
    <w:p w14:paraId="2F636FBC" w14:textId="644099E3" w:rsidR="001E66C3" w:rsidRPr="0038260D" w:rsidRDefault="001E66C3" w:rsidP="006A6696">
      <w:pPr>
        <w:pStyle w:val="BodyText4"/>
      </w:pPr>
      <w:r w:rsidRPr="009612BF">
        <w:rPr>
          <w:u w:val="single"/>
        </w:rPr>
        <w:t xml:space="preserve">Note </w:t>
      </w:r>
      <w:r w:rsidR="00D64EA2">
        <w:rPr>
          <w:u w:val="single"/>
        </w:rPr>
        <w:t>3</w:t>
      </w:r>
      <w:r w:rsidRPr="0038260D">
        <w:t xml:space="preserve">: This only applies to ITA results that were first considered acceptable and </w:t>
      </w:r>
      <w:r w:rsidRPr="00D64EA2">
        <w:t xml:space="preserve">later </w:t>
      </w:r>
      <w:r w:rsidRPr="0038260D">
        <w:t>determined to be invalid</w:t>
      </w:r>
      <w:r w:rsidR="00933516">
        <w:t xml:space="preserve"> based on the </w:t>
      </w:r>
      <w:r w:rsidR="000709CD">
        <w:t>noncomp</w:t>
      </w:r>
      <w:r w:rsidR="003F54D0">
        <w:t>liance</w:t>
      </w:r>
      <w:r w:rsidR="00933516">
        <w:t xml:space="preserve"> being screened</w:t>
      </w:r>
      <w:r w:rsidRPr="0038260D">
        <w:t xml:space="preserve">. If the ITA results were originally determined to be unacceptable, then the </w:t>
      </w:r>
      <w:r w:rsidR="000709CD">
        <w:t>noncomp</w:t>
      </w:r>
      <w:r w:rsidR="003F54D0">
        <w:t>liance</w:t>
      </w:r>
      <w:r w:rsidRPr="0038260D">
        <w:t xml:space="preserve"> is minor.</w:t>
      </w:r>
    </w:p>
    <w:p w14:paraId="482932FD" w14:textId="03DC2E2B" w:rsidR="00CE229B" w:rsidRPr="00D64EA2" w:rsidRDefault="00CE229B" w:rsidP="00630B33">
      <w:pPr>
        <w:pStyle w:val="BodyText"/>
        <w:numPr>
          <w:ilvl w:val="0"/>
          <w:numId w:val="19"/>
        </w:numPr>
      </w:pPr>
      <w:r>
        <w:t xml:space="preserve">Does the </w:t>
      </w:r>
      <w:r w:rsidR="000709CD">
        <w:t>noncomp</w:t>
      </w:r>
      <w:r w:rsidR="003F54D0">
        <w:t>liance</w:t>
      </w:r>
      <w:r>
        <w:t xml:space="preserve"> represent a </w:t>
      </w:r>
      <w:r w:rsidR="00622A63">
        <w:t>more than minor</w:t>
      </w:r>
      <w:r>
        <w:t xml:space="preserve"> impact on the ARCOP Strategic Performance Area of </w:t>
      </w:r>
      <w:r w:rsidR="009F13D8">
        <w:t>“</w:t>
      </w:r>
      <w:r>
        <w:t>Operational Readiness?</w:t>
      </w:r>
      <w:r w:rsidR="009F13D8">
        <w:t>”</w:t>
      </w:r>
      <w:r>
        <w:t xml:space="preserve"> Answer this question yes if </w:t>
      </w:r>
      <w:r w:rsidR="00857DE1">
        <w:t>either</w:t>
      </w:r>
      <w:r w:rsidR="00AD6DA0">
        <w:t xml:space="preserve"> of the </w:t>
      </w:r>
      <w:r w:rsidR="00D64EA2">
        <w:t xml:space="preserve">following </w:t>
      </w:r>
      <w:r>
        <w:t>question</w:t>
      </w:r>
      <w:r w:rsidR="004172DF">
        <w:t xml:space="preserve">s are </w:t>
      </w:r>
      <w:r>
        <w:t>answered yes</w:t>
      </w:r>
      <w:r w:rsidR="00EE7DB5">
        <w:t>:</w:t>
      </w:r>
    </w:p>
    <w:p w14:paraId="22FA69B7" w14:textId="30FCF862" w:rsidR="00347D6E" w:rsidRPr="00D64EA2" w:rsidRDefault="00B065A6" w:rsidP="00630B33">
      <w:pPr>
        <w:pStyle w:val="BodyText"/>
        <w:numPr>
          <w:ilvl w:val="1"/>
          <w:numId w:val="19"/>
        </w:numPr>
      </w:pPr>
      <w:r>
        <w:t xml:space="preserve">Does the </w:t>
      </w:r>
      <w:r w:rsidR="000709CD">
        <w:t>noncomp</w:t>
      </w:r>
      <w:r w:rsidR="003F54D0">
        <w:t>liance</w:t>
      </w:r>
      <w:r>
        <w:t xml:space="preserve"> impact the functionality of a </w:t>
      </w:r>
      <w:r w:rsidR="00E7399C">
        <w:t>safety-significant</w:t>
      </w:r>
      <w:r>
        <w:t xml:space="preserve"> </w:t>
      </w:r>
      <w:r w:rsidR="00347D6E">
        <w:t>S</w:t>
      </w:r>
      <w:r>
        <w:t>SC</w:t>
      </w:r>
      <w:r w:rsidR="00347D6E">
        <w:t xml:space="preserve">, and is the answer to any of the questions </w:t>
      </w:r>
      <w:r w:rsidR="00D64EA2">
        <w:t>b.1</w:t>
      </w:r>
      <w:r w:rsidR="00347D6E">
        <w:t xml:space="preserve"> through </w:t>
      </w:r>
      <w:r w:rsidR="00D64EA2">
        <w:t>b.3</w:t>
      </w:r>
      <w:r w:rsidR="00347D6E">
        <w:t xml:space="preserve"> above answered “yes</w:t>
      </w:r>
      <w:r>
        <w:t>?</w:t>
      </w:r>
      <w:r w:rsidR="00347D6E">
        <w:t>”</w:t>
      </w:r>
    </w:p>
    <w:p w14:paraId="642DE32C" w14:textId="4B64E6A5" w:rsidR="00CE229B" w:rsidRPr="00D64EA2" w:rsidRDefault="00621EC7" w:rsidP="00630B33">
      <w:pPr>
        <w:pStyle w:val="BodyText"/>
        <w:numPr>
          <w:ilvl w:val="1"/>
          <w:numId w:val="19"/>
        </w:numPr>
      </w:pPr>
      <w:r w:rsidRPr="00D64EA2">
        <w:t xml:space="preserve">Does the </w:t>
      </w:r>
      <w:r w:rsidR="000709CD">
        <w:t>noncomp</w:t>
      </w:r>
      <w:r w:rsidR="003F54D0">
        <w:t>liance</w:t>
      </w:r>
      <w:r w:rsidRPr="00D64EA2">
        <w:t xml:space="preserve"> represent a substantive failure</w:t>
      </w:r>
      <w:r w:rsidR="00D64EA2">
        <w:rPr>
          <w:vertAlign w:val="superscript"/>
        </w:rPr>
        <w:t>1</w:t>
      </w:r>
      <w:r w:rsidRPr="00D64EA2">
        <w:t xml:space="preserve"> to </w:t>
      </w:r>
      <w:r w:rsidR="00D43B10" w:rsidRPr="00D64EA2">
        <w:t>implement</w:t>
      </w:r>
      <w:r w:rsidR="00D64EA2">
        <w:rPr>
          <w:vertAlign w:val="superscript"/>
        </w:rPr>
        <w:t>2</w:t>
      </w:r>
      <w:r w:rsidR="00D43B10" w:rsidRPr="00D64EA2">
        <w:t xml:space="preserve"> </w:t>
      </w:r>
      <w:r w:rsidRPr="00D64EA2">
        <w:t xml:space="preserve">an adequate </w:t>
      </w:r>
      <w:r w:rsidR="00D053A4" w:rsidRPr="00D64EA2">
        <w:t xml:space="preserve">operational </w:t>
      </w:r>
      <w:r w:rsidRPr="00D64EA2">
        <w:t>program, process, procedure, or quality oversight function?</w:t>
      </w:r>
    </w:p>
    <w:p w14:paraId="4F70FE8D" w14:textId="0F618490" w:rsidR="00CE229B" w:rsidRDefault="00CE229B" w:rsidP="006A6696">
      <w:pPr>
        <w:pStyle w:val="BodyText4"/>
      </w:pPr>
      <w:r w:rsidRPr="00857DE1">
        <w:rPr>
          <w:u w:val="single"/>
        </w:rPr>
        <w:t>Note</w:t>
      </w:r>
      <w:r w:rsidR="00857DE1" w:rsidRPr="00857DE1">
        <w:rPr>
          <w:u w:val="single"/>
        </w:rPr>
        <w:t xml:space="preserve"> </w:t>
      </w:r>
      <w:r w:rsidR="00D64EA2">
        <w:rPr>
          <w:u w:val="single"/>
        </w:rPr>
        <w:t>1</w:t>
      </w:r>
      <w:r>
        <w:t>: “</w:t>
      </w:r>
      <w:r w:rsidR="00621EC7">
        <w:t>substantive failure</w:t>
      </w:r>
      <w:r>
        <w:t>” in this context means that the impact on the operational program is such that</w:t>
      </w:r>
      <w:r w:rsidR="00F7776F">
        <w:t xml:space="preserve"> </w:t>
      </w:r>
      <w:r w:rsidR="005D6F18">
        <w:t>the program’s effectiveness is reduced</w:t>
      </w:r>
      <w:r w:rsidR="00B45AC4">
        <w:t xml:space="preserve"> in</w:t>
      </w:r>
      <w:r w:rsidR="005D6F18">
        <w:t xml:space="preserve"> fulfill</w:t>
      </w:r>
      <w:r w:rsidR="00B45AC4">
        <w:t>ing</w:t>
      </w:r>
      <w:r w:rsidR="00F7776F">
        <w:t xml:space="preserve"> one of the program’s objectives.</w:t>
      </w:r>
      <w:r w:rsidR="00425DC8">
        <w:t xml:space="preserve"> The program’s objectives may be found in program documents</w:t>
      </w:r>
      <w:r w:rsidR="00B462C4">
        <w:t xml:space="preserve">, regulations, technical specifications, site technical requirements documents, construction permits (CPs), </w:t>
      </w:r>
      <w:r w:rsidR="003B563C">
        <w:t xml:space="preserve">Operating License (OL) applications, </w:t>
      </w:r>
      <w:r w:rsidR="00B462C4">
        <w:t>and</w:t>
      </w:r>
      <w:r w:rsidR="00663E28">
        <w:t>/or</w:t>
      </w:r>
      <w:r w:rsidR="00B462C4">
        <w:t xml:space="preserve"> combined licenses (COLs)</w:t>
      </w:r>
      <w:r w:rsidR="006B4535">
        <w:t>.</w:t>
      </w:r>
      <w:r w:rsidR="00621EC7">
        <w:t xml:space="preserve"> </w:t>
      </w:r>
    </w:p>
    <w:p w14:paraId="3CE252D2" w14:textId="447CF388" w:rsidR="00CE229B" w:rsidRPr="00D64EA2" w:rsidRDefault="00857DE1" w:rsidP="006A6696">
      <w:pPr>
        <w:pStyle w:val="BodyText4"/>
        <w:rPr>
          <w:u w:val="single"/>
        </w:rPr>
      </w:pPr>
      <w:r w:rsidRPr="00302CF2">
        <w:rPr>
          <w:u w:val="single"/>
        </w:rPr>
        <w:t xml:space="preserve">Note </w:t>
      </w:r>
      <w:r w:rsidR="00D64EA2">
        <w:rPr>
          <w:u w:val="single"/>
        </w:rPr>
        <w:t>2</w:t>
      </w:r>
      <w:r>
        <w:t>:</w:t>
      </w:r>
      <w:r w:rsidR="00F92A1C">
        <w:t xml:space="preserve"> an operational program is implemented when </w:t>
      </w:r>
      <w:r w:rsidR="007D1C79">
        <w:t>it is required to be activated by a license or permit condition</w:t>
      </w:r>
      <w:r w:rsidR="00723B6C">
        <w:t>,</w:t>
      </w:r>
      <w:r w:rsidR="007D1C79">
        <w:t xml:space="preserve"> or by NRC regulations.</w:t>
      </w:r>
      <w:r w:rsidR="006612A4">
        <w:t xml:space="preserve"> NRC </w:t>
      </w:r>
      <w:r w:rsidR="00754411">
        <w:t>audits</w:t>
      </w:r>
      <w:r w:rsidR="006612A4">
        <w:t xml:space="preserve"> of operational or security programs prior to program implementation</w:t>
      </w:r>
      <w:r w:rsidR="00C20FC8">
        <w:t xml:space="preserve"> are not </w:t>
      </w:r>
      <w:r w:rsidR="00C20FC8" w:rsidRPr="00C20FC8">
        <w:t>subject to enforcement.</w:t>
      </w:r>
    </w:p>
    <w:p w14:paraId="5F42B0A6" w14:textId="57F9ECB0" w:rsidR="00093EC7" w:rsidRDefault="00CE229B" w:rsidP="00630B33">
      <w:pPr>
        <w:pStyle w:val="BodyText"/>
        <w:numPr>
          <w:ilvl w:val="0"/>
          <w:numId w:val="19"/>
        </w:numPr>
      </w:pPr>
      <w:r>
        <w:lastRenderedPageBreak/>
        <w:t xml:space="preserve">Does the </w:t>
      </w:r>
      <w:r w:rsidR="000709CD">
        <w:t>noncomp</w:t>
      </w:r>
      <w:r w:rsidR="003F54D0">
        <w:t>liance</w:t>
      </w:r>
      <w:r>
        <w:t xml:space="preserve"> represent a </w:t>
      </w:r>
      <w:r w:rsidR="00CE6523">
        <w:t>more than minor</w:t>
      </w:r>
      <w:r>
        <w:t xml:space="preserve"> impact on the ARCOP Strategic Performance Area of </w:t>
      </w:r>
      <w:r w:rsidR="00C40EC0">
        <w:t xml:space="preserve">Safeguards and </w:t>
      </w:r>
      <w:r>
        <w:t xml:space="preserve">Security? Answer this question yes if the </w:t>
      </w:r>
      <w:r w:rsidR="00146D5A">
        <w:t xml:space="preserve">following </w:t>
      </w:r>
      <w:r>
        <w:t>question</w:t>
      </w:r>
      <w:r w:rsidR="00146D5A">
        <w:t xml:space="preserve"> </w:t>
      </w:r>
      <w:r>
        <w:t>is answered yes</w:t>
      </w:r>
      <w:r w:rsidR="00146D5A">
        <w:t>:</w:t>
      </w:r>
    </w:p>
    <w:p w14:paraId="0C7D4310" w14:textId="7487AE46" w:rsidR="00CE229B" w:rsidRPr="006504DB" w:rsidRDefault="006504DB" w:rsidP="006A6696">
      <w:pPr>
        <w:pStyle w:val="BodyText3"/>
      </w:pPr>
      <w:r w:rsidRPr="008F3F30">
        <w:t xml:space="preserve">Does the </w:t>
      </w:r>
      <w:r w:rsidR="000709CD">
        <w:t>noncomp</w:t>
      </w:r>
      <w:r w:rsidR="003F54D0">
        <w:t>liance</w:t>
      </w:r>
      <w:r w:rsidRPr="008F3F30">
        <w:t xml:space="preserve"> represent a substantive failure</w:t>
      </w:r>
      <w:r w:rsidR="00093EC7">
        <w:rPr>
          <w:vertAlign w:val="superscript"/>
        </w:rPr>
        <w:t>1</w:t>
      </w:r>
      <w:r w:rsidRPr="008F3F30">
        <w:t xml:space="preserve"> to establish or</w:t>
      </w:r>
      <w:r>
        <w:t xml:space="preserve"> </w:t>
      </w:r>
      <w:r w:rsidRPr="00093EC7">
        <w:t>implement</w:t>
      </w:r>
      <w:r w:rsidR="00093EC7">
        <w:rPr>
          <w:vertAlign w:val="superscript"/>
        </w:rPr>
        <w:t>2</w:t>
      </w:r>
      <w:r w:rsidRPr="00093EC7">
        <w:t xml:space="preserve"> </w:t>
      </w:r>
      <w:r w:rsidRPr="008F3F30">
        <w:t xml:space="preserve">an adequate </w:t>
      </w:r>
      <w:r>
        <w:t xml:space="preserve">security </w:t>
      </w:r>
      <w:r w:rsidRPr="008F3F30">
        <w:t>program</w:t>
      </w:r>
      <w:r w:rsidR="00093EC7">
        <w:rPr>
          <w:vertAlign w:val="superscript"/>
        </w:rPr>
        <w:t>3</w:t>
      </w:r>
      <w:r w:rsidRPr="008F3F30">
        <w:t>, process, procedure, or quality oversight function?</w:t>
      </w:r>
    </w:p>
    <w:p w14:paraId="3746364E" w14:textId="00063D70" w:rsidR="0042383B" w:rsidRDefault="00492D2D" w:rsidP="006A6696">
      <w:pPr>
        <w:pStyle w:val="BodyText3"/>
      </w:pPr>
      <w:r w:rsidRPr="00093EC7">
        <w:rPr>
          <w:u w:val="single"/>
        </w:rPr>
        <w:t>Note</w:t>
      </w:r>
      <w:r w:rsidR="00141BDB" w:rsidRPr="00093EC7">
        <w:rPr>
          <w:u w:val="single"/>
        </w:rPr>
        <w:t xml:space="preserve"> </w:t>
      </w:r>
      <w:r w:rsidR="00093EC7" w:rsidRPr="00093EC7">
        <w:rPr>
          <w:u w:val="single"/>
        </w:rPr>
        <w:t>1</w:t>
      </w:r>
      <w:r>
        <w:t xml:space="preserve">: “substantive failure” in this context means that the impact on the security program is such that the program’s effectiveness is reduced in fulfilling one of the program’s objectives. </w:t>
      </w:r>
    </w:p>
    <w:p w14:paraId="1DC69F7C" w14:textId="11D8EBCD" w:rsidR="00492D2D" w:rsidRDefault="0042383B" w:rsidP="006A6696">
      <w:pPr>
        <w:pStyle w:val="BodyText3"/>
      </w:pPr>
      <w:r w:rsidRPr="00093EC7">
        <w:rPr>
          <w:u w:val="single"/>
        </w:rPr>
        <w:t xml:space="preserve">Note </w:t>
      </w:r>
      <w:r w:rsidR="00093EC7" w:rsidRPr="00093EC7">
        <w:rPr>
          <w:u w:val="single"/>
        </w:rPr>
        <w:t>2</w:t>
      </w:r>
      <w:r w:rsidR="00EF644E">
        <w:t xml:space="preserve">: a security program is implemented when it is required to be activated by a license or permit condition or by NRC regulations. NRC reviews of operational or security programs prior to program implementation are not </w:t>
      </w:r>
      <w:r w:rsidR="00EF644E" w:rsidRPr="00C20FC8">
        <w:t>subject to enforcement.</w:t>
      </w:r>
    </w:p>
    <w:p w14:paraId="6993AB27" w14:textId="4B027030" w:rsidR="006504DB" w:rsidRPr="006504DB" w:rsidRDefault="00141BDB" w:rsidP="006A6696">
      <w:pPr>
        <w:pStyle w:val="BodyText3"/>
      </w:pPr>
      <w:r w:rsidRPr="00093EC7">
        <w:rPr>
          <w:u w:val="single"/>
        </w:rPr>
        <w:t xml:space="preserve">Note </w:t>
      </w:r>
      <w:r w:rsidR="00093EC7">
        <w:rPr>
          <w:u w:val="single"/>
        </w:rPr>
        <w:t>3</w:t>
      </w:r>
      <w:r>
        <w:t xml:space="preserve">: </w:t>
      </w:r>
      <w:r w:rsidR="006504DB">
        <w:t>Security programs include access authorization, access control</w:t>
      </w:r>
      <w:r w:rsidR="00D0477F">
        <w:t xml:space="preserve"> (including fitness for duty)</w:t>
      </w:r>
      <w:r w:rsidR="006504DB">
        <w:t xml:space="preserve">, physical protection, contingency response, material control &amp; accountability, cyber security, and protection of safeguards information. </w:t>
      </w:r>
    </w:p>
    <w:p w14:paraId="5E8B3241" w14:textId="5E1A7F44" w:rsidR="005A3F60" w:rsidRPr="00F347E7" w:rsidRDefault="005A3F60" w:rsidP="00F347E7">
      <w:pPr>
        <w:widowControl/>
        <w:autoSpaceDE/>
        <w:autoSpaceDN/>
        <w:adjustRightInd/>
        <w:rPr>
          <w:rFonts w:eastAsiaTheme="minorHAnsi"/>
          <w:sz w:val="22"/>
          <w:szCs w:val="22"/>
        </w:rPr>
      </w:pPr>
      <w:r>
        <w:br w:type="page"/>
      </w:r>
    </w:p>
    <w:p w14:paraId="04C119F8" w14:textId="69A0F1F6" w:rsidR="00CE229B" w:rsidRPr="00FD4B1F" w:rsidRDefault="00682658" w:rsidP="00A474A7">
      <w:pPr>
        <w:pStyle w:val="BodyText"/>
        <w:jc w:val="center"/>
        <w:outlineLvl w:val="1"/>
        <w:rPr>
          <w:u w:val="single"/>
        </w:rPr>
      </w:pPr>
      <w:bookmarkStart w:id="123" w:name="_Toc219293615"/>
      <w:r w:rsidRPr="00FD4B1F">
        <w:rPr>
          <w:u w:val="single"/>
        </w:rPr>
        <w:lastRenderedPageBreak/>
        <w:t xml:space="preserve">Minor ARCOP </w:t>
      </w:r>
      <w:r w:rsidR="000709CD">
        <w:rPr>
          <w:u w:val="single"/>
        </w:rPr>
        <w:t>Noncomp</w:t>
      </w:r>
      <w:r w:rsidR="003F54D0" w:rsidRPr="00FD4B1F">
        <w:rPr>
          <w:u w:val="single"/>
        </w:rPr>
        <w:t>liance</w:t>
      </w:r>
      <w:r w:rsidRPr="00FD4B1F">
        <w:rPr>
          <w:u w:val="single"/>
        </w:rPr>
        <w:t xml:space="preserve"> Examples</w:t>
      </w:r>
      <w:bookmarkEnd w:id="123"/>
    </w:p>
    <w:p w14:paraId="2F0B1CFA" w14:textId="342863CE" w:rsidR="00CE229B" w:rsidRDefault="00CE229B" w:rsidP="00CE229B">
      <w:pPr>
        <w:pStyle w:val="BodyText"/>
      </w:pPr>
      <w:r w:rsidRPr="00A10CE8">
        <w:t xml:space="preserve">The minor examples described in this </w:t>
      </w:r>
      <w:r w:rsidR="00E93964">
        <w:t>attachment</w:t>
      </w:r>
      <w:r w:rsidRPr="00A10CE8">
        <w:t xml:space="preserve"> are meant to represent examples of </w:t>
      </w:r>
      <w:r w:rsidR="000709CD">
        <w:t>noncomp</w:t>
      </w:r>
      <w:r w:rsidR="003F54D0">
        <w:t>liance</w:t>
      </w:r>
      <w:r w:rsidR="00F809C3">
        <w:t>s</w:t>
      </w:r>
      <w:r w:rsidRPr="00A10CE8">
        <w:t xml:space="preserve"> that should normally be considered minor significance. While the examples provide a “not minor if” statement, this does not mean that all issues </w:t>
      </w:r>
      <w:r w:rsidR="009A33F1" w:rsidRPr="00A10CE8">
        <w:t>like</w:t>
      </w:r>
      <w:r w:rsidRPr="00A10CE8">
        <w:t xml:space="preserve"> </w:t>
      </w:r>
      <w:r w:rsidR="009A33F1">
        <w:t xml:space="preserve">the </w:t>
      </w:r>
      <w:r w:rsidRPr="00A10CE8">
        <w:t>“not minor if” statement should automatically be classified as more than minor. The overall purpose of these questions is to help inspector</w:t>
      </w:r>
      <w:r w:rsidR="005A3F60">
        <w:t>s</w:t>
      </w:r>
      <w:r w:rsidRPr="00A10CE8">
        <w:t xml:space="preserve"> know what kinds of </w:t>
      </w:r>
      <w:r w:rsidR="0085094C">
        <w:t>issues</w:t>
      </w:r>
      <w:r w:rsidR="0085094C" w:rsidRPr="00A10CE8">
        <w:t xml:space="preserve"> </w:t>
      </w:r>
      <w:r w:rsidRPr="00A10CE8">
        <w:t xml:space="preserve">should be minor. Issues that don’t immediately screen as minor with these examples need to be further evaluated. </w:t>
      </w:r>
      <w:r w:rsidR="00F809C3">
        <w:t xml:space="preserve">NRC staff </w:t>
      </w:r>
      <w:r w:rsidRPr="00A10CE8">
        <w:t xml:space="preserve">should consult with the </w:t>
      </w:r>
      <w:r w:rsidR="00F809C3">
        <w:t xml:space="preserve">ARCOP project </w:t>
      </w:r>
      <w:r w:rsidR="0085094C">
        <w:t xml:space="preserve">organization </w:t>
      </w:r>
      <w:r w:rsidR="00F809C3">
        <w:t>(APO)</w:t>
      </w:r>
      <w:r w:rsidRPr="00A10CE8">
        <w:t xml:space="preserve"> if the minor/more-than-minor significance cannot </w:t>
      </w:r>
      <w:r w:rsidR="007A4C22">
        <w:t xml:space="preserve">be </w:t>
      </w:r>
      <w:r w:rsidRPr="00A10CE8">
        <w:t xml:space="preserve">readily </w:t>
      </w:r>
      <w:r w:rsidR="007A4C22">
        <w:t>d</w:t>
      </w:r>
      <w:r w:rsidRPr="00A10CE8">
        <w:t>etermined.</w:t>
      </w:r>
    </w:p>
    <w:tbl>
      <w:tblPr>
        <w:tblStyle w:val="IM"/>
        <w:tblW w:w="0" w:type="auto"/>
        <w:jc w:val="center"/>
        <w:tblLook w:val="04A0" w:firstRow="1" w:lastRow="0" w:firstColumn="1" w:lastColumn="0" w:noHBand="0" w:noVBand="1"/>
      </w:tblPr>
      <w:tblGrid>
        <w:gridCol w:w="3600"/>
        <w:gridCol w:w="1890"/>
      </w:tblGrid>
      <w:tr w:rsidR="00C02A8F" w:rsidRPr="00EF74E5" w14:paraId="5B5212B2" w14:textId="77777777" w:rsidTr="00FD4B1F">
        <w:trPr>
          <w:jc w:val="center"/>
        </w:trPr>
        <w:tc>
          <w:tcPr>
            <w:tcW w:w="3600" w:type="dxa"/>
          </w:tcPr>
          <w:p w14:paraId="7185D6F0" w14:textId="1972EE08" w:rsidR="00C02A8F" w:rsidRPr="00EF74E5" w:rsidRDefault="00C02A8F" w:rsidP="00EF74E5">
            <w:pPr>
              <w:spacing w:before="240"/>
              <w:jc w:val="center"/>
              <w:rPr>
                <w:sz w:val="22"/>
                <w:szCs w:val="22"/>
                <w:u w:val="single"/>
              </w:rPr>
            </w:pPr>
            <w:r w:rsidRPr="00EF74E5">
              <w:rPr>
                <w:sz w:val="22"/>
                <w:szCs w:val="22"/>
                <w:u w:val="single"/>
              </w:rPr>
              <w:t xml:space="preserve">Type of </w:t>
            </w:r>
            <w:r w:rsidR="000709CD">
              <w:rPr>
                <w:sz w:val="22"/>
                <w:szCs w:val="22"/>
                <w:u w:val="single"/>
              </w:rPr>
              <w:t>Noncomp</w:t>
            </w:r>
            <w:r w:rsidR="003F54D0" w:rsidRPr="00EF74E5">
              <w:rPr>
                <w:sz w:val="22"/>
                <w:szCs w:val="22"/>
                <w:u w:val="single"/>
              </w:rPr>
              <w:t>liance</w:t>
            </w:r>
          </w:p>
        </w:tc>
        <w:tc>
          <w:tcPr>
            <w:tcW w:w="1890" w:type="dxa"/>
          </w:tcPr>
          <w:p w14:paraId="3693B34B" w14:textId="77777777" w:rsidR="00C02A8F" w:rsidRPr="00EF74E5" w:rsidRDefault="00C02A8F" w:rsidP="00EF74E5">
            <w:pPr>
              <w:spacing w:before="240"/>
              <w:jc w:val="center"/>
              <w:rPr>
                <w:sz w:val="22"/>
                <w:szCs w:val="22"/>
                <w:u w:val="single"/>
              </w:rPr>
            </w:pPr>
            <w:r w:rsidRPr="00EF74E5">
              <w:rPr>
                <w:sz w:val="22"/>
                <w:szCs w:val="22"/>
                <w:u w:val="single"/>
              </w:rPr>
              <w:t>Examples</w:t>
            </w:r>
          </w:p>
        </w:tc>
      </w:tr>
      <w:tr w:rsidR="00C02A8F" w14:paraId="251B6349" w14:textId="77777777" w:rsidTr="00FD4B1F">
        <w:trPr>
          <w:jc w:val="center"/>
        </w:trPr>
        <w:tc>
          <w:tcPr>
            <w:tcW w:w="3600" w:type="dxa"/>
          </w:tcPr>
          <w:p w14:paraId="76A41752" w14:textId="03512B15" w:rsidR="00C02A8F" w:rsidRPr="00C02A8F" w:rsidRDefault="00C02A8F" w:rsidP="00EE062D">
            <w:pPr>
              <w:jc w:val="center"/>
              <w:rPr>
                <w:sz w:val="22"/>
                <w:szCs w:val="22"/>
              </w:rPr>
            </w:pPr>
            <w:r w:rsidRPr="00C02A8F">
              <w:rPr>
                <w:sz w:val="22"/>
                <w:szCs w:val="22"/>
              </w:rPr>
              <w:t>As-built SSC</w:t>
            </w:r>
            <w:r w:rsidR="00E03F96">
              <w:rPr>
                <w:sz w:val="22"/>
                <w:szCs w:val="22"/>
              </w:rPr>
              <w:t>s</w:t>
            </w:r>
            <w:r w:rsidR="008F4C23">
              <w:rPr>
                <w:sz w:val="22"/>
                <w:szCs w:val="22"/>
              </w:rPr>
              <w:t xml:space="preserve"> (non-ITAAC)</w:t>
            </w:r>
          </w:p>
        </w:tc>
        <w:tc>
          <w:tcPr>
            <w:tcW w:w="1890" w:type="dxa"/>
          </w:tcPr>
          <w:p w14:paraId="101F8AC5" w14:textId="7CEDBA0B" w:rsidR="00C02A8F" w:rsidRPr="00C02A8F" w:rsidRDefault="00C02A8F" w:rsidP="00EE062D">
            <w:pPr>
              <w:jc w:val="center"/>
              <w:rPr>
                <w:sz w:val="22"/>
                <w:szCs w:val="22"/>
              </w:rPr>
            </w:pPr>
            <w:r w:rsidRPr="00C02A8F">
              <w:rPr>
                <w:sz w:val="22"/>
                <w:szCs w:val="22"/>
              </w:rPr>
              <w:t>1</w:t>
            </w:r>
            <w:r w:rsidR="00D81E1E">
              <w:rPr>
                <w:sz w:val="22"/>
                <w:szCs w:val="22"/>
              </w:rPr>
              <w:t>a</w:t>
            </w:r>
          </w:p>
        </w:tc>
      </w:tr>
      <w:tr w:rsidR="008F4C23" w14:paraId="086A6DB1" w14:textId="77777777" w:rsidTr="00FD4B1F">
        <w:trPr>
          <w:jc w:val="center"/>
        </w:trPr>
        <w:tc>
          <w:tcPr>
            <w:tcW w:w="3600" w:type="dxa"/>
          </w:tcPr>
          <w:p w14:paraId="12A8F587" w14:textId="17465171" w:rsidR="008F4C23" w:rsidRPr="00C02A8F" w:rsidRDefault="00D81E1E" w:rsidP="00EE062D">
            <w:pPr>
              <w:jc w:val="center"/>
              <w:rPr>
                <w:sz w:val="22"/>
                <w:szCs w:val="22"/>
              </w:rPr>
            </w:pPr>
            <w:r w:rsidRPr="00C02A8F">
              <w:rPr>
                <w:sz w:val="22"/>
                <w:szCs w:val="22"/>
              </w:rPr>
              <w:t>As-built SSC</w:t>
            </w:r>
            <w:r>
              <w:rPr>
                <w:sz w:val="22"/>
                <w:szCs w:val="22"/>
              </w:rPr>
              <w:t>s (ITAAC)</w:t>
            </w:r>
          </w:p>
        </w:tc>
        <w:tc>
          <w:tcPr>
            <w:tcW w:w="1890" w:type="dxa"/>
          </w:tcPr>
          <w:p w14:paraId="76DFF296" w14:textId="0C63C09E" w:rsidR="008F4C23" w:rsidRPr="00C02A8F" w:rsidRDefault="00D81E1E" w:rsidP="00EE062D">
            <w:pPr>
              <w:jc w:val="center"/>
              <w:rPr>
                <w:sz w:val="22"/>
                <w:szCs w:val="22"/>
              </w:rPr>
            </w:pPr>
            <w:r>
              <w:rPr>
                <w:sz w:val="22"/>
                <w:szCs w:val="22"/>
              </w:rPr>
              <w:t>1b</w:t>
            </w:r>
          </w:p>
        </w:tc>
      </w:tr>
      <w:tr w:rsidR="00C02A8F" w14:paraId="67B2111E" w14:textId="77777777" w:rsidTr="00FD4B1F">
        <w:trPr>
          <w:jc w:val="center"/>
        </w:trPr>
        <w:tc>
          <w:tcPr>
            <w:tcW w:w="3600" w:type="dxa"/>
          </w:tcPr>
          <w:p w14:paraId="26BCB872" w14:textId="3D8B74F2" w:rsidR="00C02A8F" w:rsidRPr="00C02A8F" w:rsidRDefault="00C02A8F" w:rsidP="00EE062D">
            <w:pPr>
              <w:jc w:val="center"/>
              <w:rPr>
                <w:sz w:val="22"/>
                <w:szCs w:val="22"/>
              </w:rPr>
            </w:pPr>
            <w:r w:rsidRPr="00C02A8F">
              <w:rPr>
                <w:sz w:val="22"/>
                <w:szCs w:val="22"/>
              </w:rPr>
              <w:t xml:space="preserve">Design </w:t>
            </w:r>
            <w:r w:rsidR="00E03F96">
              <w:rPr>
                <w:sz w:val="22"/>
                <w:szCs w:val="22"/>
              </w:rPr>
              <w:t>Requirements</w:t>
            </w:r>
            <w:r w:rsidR="00E03F96" w:rsidRPr="00C02A8F">
              <w:rPr>
                <w:sz w:val="22"/>
                <w:szCs w:val="22"/>
              </w:rPr>
              <w:t xml:space="preserve"> </w:t>
            </w:r>
          </w:p>
        </w:tc>
        <w:tc>
          <w:tcPr>
            <w:tcW w:w="1890" w:type="dxa"/>
          </w:tcPr>
          <w:p w14:paraId="30FCA77C" w14:textId="3A30D6F0" w:rsidR="00C02A8F" w:rsidRPr="00C02A8F" w:rsidRDefault="00C02A8F" w:rsidP="00EE062D">
            <w:pPr>
              <w:jc w:val="center"/>
              <w:rPr>
                <w:sz w:val="22"/>
                <w:szCs w:val="22"/>
              </w:rPr>
            </w:pPr>
            <w:r w:rsidRPr="00C02A8F">
              <w:rPr>
                <w:sz w:val="22"/>
                <w:szCs w:val="22"/>
              </w:rPr>
              <w:t>2</w:t>
            </w:r>
          </w:p>
        </w:tc>
      </w:tr>
      <w:tr w:rsidR="00C02A8F" w14:paraId="79196D4F" w14:textId="77777777" w:rsidTr="00FD4B1F">
        <w:trPr>
          <w:jc w:val="center"/>
        </w:trPr>
        <w:tc>
          <w:tcPr>
            <w:tcW w:w="3600" w:type="dxa"/>
          </w:tcPr>
          <w:p w14:paraId="35479A45" w14:textId="77777777" w:rsidR="00C02A8F" w:rsidRPr="00C02A8F" w:rsidRDefault="00C02A8F" w:rsidP="00EE062D">
            <w:pPr>
              <w:jc w:val="center"/>
              <w:rPr>
                <w:sz w:val="22"/>
                <w:szCs w:val="22"/>
              </w:rPr>
            </w:pPr>
            <w:r w:rsidRPr="00C02A8F">
              <w:rPr>
                <w:sz w:val="22"/>
                <w:szCs w:val="22"/>
              </w:rPr>
              <w:t>QA Records</w:t>
            </w:r>
          </w:p>
        </w:tc>
        <w:tc>
          <w:tcPr>
            <w:tcW w:w="1890" w:type="dxa"/>
          </w:tcPr>
          <w:p w14:paraId="16F611E6" w14:textId="629002F2" w:rsidR="00C02A8F" w:rsidRPr="00C02A8F" w:rsidRDefault="00DA063F" w:rsidP="00EE062D">
            <w:pPr>
              <w:jc w:val="center"/>
              <w:rPr>
                <w:sz w:val="22"/>
                <w:szCs w:val="22"/>
              </w:rPr>
            </w:pPr>
            <w:r>
              <w:rPr>
                <w:sz w:val="22"/>
                <w:szCs w:val="22"/>
              </w:rPr>
              <w:t>3</w:t>
            </w:r>
          </w:p>
        </w:tc>
      </w:tr>
      <w:tr w:rsidR="00DA063F" w14:paraId="6CD91524" w14:textId="77777777" w:rsidTr="00FD4B1F">
        <w:trPr>
          <w:jc w:val="center"/>
        </w:trPr>
        <w:tc>
          <w:tcPr>
            <w:tcW w:w="3600" w:type="dxa"/>
          </w:tcPr>
          <w:p w14:paraId="6D006647" w14:textId="0DC27D6F" w:rsidR="00DA063F" w:rsidRPr="00C02A8F" w:rsidRDefault="00DA063F" w:rsidP="00EE062D">
            <w:pPr>
              <w:jc w:val="center"/>
              <w:rPr>
                <w:sz w:val="22"/>
                <w:szCs w:val="22"/>
              </w:rPr>
            </w:pPr>
            <w:r>
              <w:rPr>
                <w:sz w:val="22"/>
                <w:szCs w:val="22"/>
              </w:rPr>
              <w:t xml:space="preserve">Quality Control </w:t>
            </w:r>
            <w:r w:rsidR="0088648C">
              <w:rPr>
                <w:sz w:val="22"/>
                <w:szCs w:val="22"/>
              </w:rPr>
              <w:t>Inspection</w:t>
            </w:r>
          </w:p>
        </w:tc>
        <w:tc>
          <w:tcPr>
            <w:tcW w:w="1890" w:type="dxa"/>
          </w:tcPr>
          <w:p w14:paraId="43609FA3" w14:textId="1375260F" w:rsidR="00DA063F" w:rsidRDefault="000125B4" w:rsidP="00EE062D">
            <w:pPr>
              <w:jc w:val="center"/>
              <w:rPr>
                <w:sz w:val="22"/>
                <w:szCs w:val="22"/>
              </w:rPr>
            </w:pPr>
            <w:r>
              <w:rPr>
                <w:sz w:val="22"/>
                <w:szCs w:val="22"/>
              </w:rPr>
              <w:t>4</w:t>
            </w:r>
          </w:p>
        </w:tc>
      </w:tr>
      <w:tr w:rsidR="00C02A8F" w14:paraId="17B8ED16" w14:textId="77777777" w:rsidTr="00FD4B1F">
        <w:trPr>
          <w:jc w:val="center"/>
        </w:trPr>
        <w:tc>
          <w:tcPr>
            <w:tcW w:w="3600" w:type="dxa"/>
          </w:tcPr>
          <w:p w14:paraId="5F8357D9" w14:textId="0FA2EAF5" w:rsidR="00C02A8F" w:rsidRPr="00C02A8F" w:rsidRDefault="000125B4" w:rsidP="00EE062D">
            <w:pPr>
              <w:jc w:val="center"/>
              <w:rPr>
                <w:sz w:val="22"/>
                <w:szCs w:val="22"/>
              </w:rPr>
            </w:pPr>
            <w:r w:rsidRPr="00C02A8F">
              <w:rPr>
                <w:sz w:val="22"/>
                <w:szCs w:val="22"/>
              </w:rPr>
              <w:t>Procedure Use</w:t>
            </w:r>
          </w:p>
        </w:tc>
        <w:tc>
          <w:tcPr>
            <w:tcW w:w="1890" w:type="dxa"/>
          </w:tcPr>
          <w:p w14:paraId="4CCE0C41" w14:textId="77777777" w:rsidR="00C02A8F" w:rsidRPr="00C02A8F" w:rsidRDefault="00C02A8F" w:rsidP="00EE062D">
            <w:pPr>
              <w:jc w:val="center"/>
              <w:rPr>
                <w:sz w:val="22"/>
                <w:szCs w:val="22"/>
              </w:rPr>
            </w:pPr>
            <w:r w:rsidRPr="00C02A8F">
              <w:rPr>
                <w:sz w:val="22"/>
                <w:szCs w:val="22"/>
              </w:rPr>
              <w:t>5</w:t>
            </w:r>
          </w:p>
        </w:tc>
      </w:tr>
      <w:tr w:rsidR="00C02A8F" w14:paraId="4B41FBA1" w14:textId="77777777" w:rsidTr="00FD4B1F">
        <w:trPr>
          <w:jc w:val="center"/>
        </w:trPr>
        <w:tc>
          <w:tcPr>
            <w:tcW w:w="3600" w:type="dxa"/>
          </w:tcPr>
          <w:p w14:paraId="2C6C25CF" w14:textId="7B814A48" w:rsidR="00C02A8F" w:rsidRPr="00C02A8F" w:rsidRDefault="000125B4" w:rsidP="00EE062D">
            <w:pPr>
              <w:jc w:val="center"/>
              <w:rPr>
                <w:sz w:val="22"/>
                <w:szCs w:val="22"/>
              </w:rPr>
            </w:pPr>
            <w:r w:rsidRPr="00C02A8F">
              <w:rPr>
                <w:sz w:val="22"/>
                <w:szCs w:val="22"/>
              </w:rPr>
              <w:t>Procedure Content</w:t>
            </w:r>
          </w:p>
        </w:tc>
        <w:tc>
          <w:tcPr>
            <w:tcW w:w="1890" w:type="dxa"/>
          </w:tcPr>
          <w:p w14:paraId="4BF32E3F" w14:textId="582B5434" w:rsidR="00C02A8F" w:rsidRPr="00C02A8F" w:rsidRDefault="00C02A8F" w:rsidP="00EE062D">
            <w:pPr>
              <w:jc w:val="center"/>
              <w:rPr>
                <w:sz w:val="22"/>
                <w:szCs w:val="22"/>
              </w:rPr>
            </w:pPr>
            <w:r w:rsidRPr="00C02A8F">
              <w:rPr>
                <w:sz w:val="22"/>
                <w:szCs w:val="22"/>
              </w:rPr>
              <w:t>6</w:t>
            </w:r>
          </w:p>
        </w:tc>
      </w:tr>
      <w:tr w:rsidR="00C02A8F" w14:paraId="50114172" w14:textId="77777777" w:rsidTr="00FD4B1F">
        <w:trPr>
          <w:jc w:val="center"/>
        </w:trPr>
        <w:tc>
          <w:tcPr>
            <w:tcW w:w="3600" w:type="dxa"/>
          </w:tcPr>
          <w:p w14:paraId="3D5F3A09" w14:textId="114A32B3" w:rsidR="00C02A8F" w:rsidRPr="00C02A8F" w:rsidRDefault="000125B4" w:rsidP="00EE062D">
            <w:pPr>
              <w:jc w:val="center"/>
              <w:rPr>
                <w:sz w:val="22"/>
                <w:szCs w:val="22"/>
              </w:rPr>
            </w:pPr>
            <w:r w:rsidRPr="00C02A8F">
              <w:rPr>
                <w:sz w:val="22"/>
                <w:szCs w:val="22"/>
              </w:rPr>
              <w:t>Supplier Oversight</w:t>
            </w:r>
            <w:r w:rsidRPr="00C02A8F" w:rsidDel="000125B4">
              <w:rPr>
                <w:sz w:val="22"/>
                <w:szCs w:val="22"/>
              </w:rPr>
              <w:t xml:space="preserve"> </w:t>
            </w:r>
          </w:p>
        </w:tc>
        <w:tc>
          <w:tcPr>
            <w:tcW w:w="1890" w:type="dxa"/>
          </w:tcPr>
          <w:p w14:paraId="0942505A" w14:textId="7A8877B9" w:rsidR="00C02A8F" w:rsidRPr="00C02A8F" w:rsidRDefault="00C02A8F" w:rsidP="00EE062D">
            <w:pPr>
              <w:jc w:val="center"/>
              <w:rPr>
                <w:sz w:val="22"/>
                <w:szCs w:val="22"/>
              </w:rPr>
            </w:pPr>
            <w:r w:rsidRPr="00C02A8F">
              <w:rPr>
                <w:sz w:val="22"/>
                <w:szCs w:val="22"/>
              </w:rPr>
              <w:t>7</w:t>
            </w:r>
          </w:p>
        </w:tc>
      </w:tr>
      <w:tr w:rsidR="00C02A8F" w14:paraId="0CFB2FE9" w14:textId="77777777" w:rsidTr="00FD4B1F">
        <w:trPr>
          <w:jc w:val="center"/>
        </w:trPr>
        <w:tc>
          <w:tcPr>
            <w:tcW w:w="3600" w:type="dxa"/>
          </w:tcPr>
          <w:p w14:paraId="41088775" w14:textId="6065DCCE" w:rsidR="00C02A8F" w:rsidRPr="00C02A8F" w:rsidRDefault="000125B4" w:rsidP="00EE062D">
            <w:pPr>
              <w:jc w:val="center"/>
              <w:rPr>
                <w:sz w:val="22"/>
                <w:szCs w:val="22"/>
              </w:rPr>
            </w:pPr>
            <w:r w:rsidRPr="00C02A8F">
              <w:rPr>
                <w:sz w:val="22"/>
                <w:szCs w:val="22"/>
              </w:rPr>
              <w:t>Testing Acceptance Criteria</w:t>
            </w:r>
            <w:r w:rsidRPr="00C02A8F" w:rsidDel="000125B4">
              <w:rPr>
                <w:sz w:val="22"/>
                <w:szCs w:val="22"/>
              </w:rPr>
              <w:t xml:space="preserve"> </w:t>
            </w:r>
          </w:p>
        </w:tc>
        <w:tc>
          <w:tcPr>
            <w:tcW w:w="1890" w:type="dxa"/>
          </w:tcPr>
          <w:p w14:paraId="7F41738F" w14:textId="77777777" w:rsidR="00C02A8F" w:rsidRPr="00C02A8F" w:rsidRDefault="00C02A8F" w:rsidP="00EE062D">
            <w:pPr>
              <w:jc w:val="center"/>
              <w:rPr>
                <w:sz w:val="22"/>
                <w:szCs w:val="22"/>
              </w:rPr>
            </w:pPr>
            <w:r w:rsidRPr="00C02A8F">
              <w:rPr>
                <w:sz w:val="22"/>
                <w:szCs w:val="22"/>
              </w:rPr>
              <w:t>8</w:t>
            </w:r>
          </w:p>
        </w:tc>
      </w:tr>
      <w:tr w:rsidR="006E2095" w14:paraId="3F5D31AE" w14:textId="77777777" w:rsidTr="00FD4B1F">
        <w:trPr>
          <w:jc w:val="center"/>
        </w:trPr>
        <w:tc>
          <w:tcPr>
            <w:tcW w:w="3600" w:type="dxa"/>
          </w:tcPr>
          <w:p w14:paraId="74706149" w14:textId="074437C8" w:rsidR="006E2095" w:rsidRPr="00C02A8F" w:rsidRDefault="006E2095" w:rsidP="00EE062D">
            <w:pPr>
              <w:jc w:val="center"/>
              <w:rPr>
                <w:sz w:val="22"/>
                <w:szCs w:val="22"/>
              </w:rPr>
            </w:pPr>
            <w:r w:rsidRPr="00C02A8F">
              <w:rPr>
                <w:sz w:val="22"/>
                <w:szCs w:val="22"/>
              </w:rPr>
              <w:t>Material Control</w:t>
            </w:r>
          </w:p>
        </w:tc>
        <w:tc>
          <w:tcPr>
            <w:tcW w:w="1890" w:type="dxa"/>
          </w:tcPr>
          <w:p w14:paraId="16511346" w14:textId="4D01A093" w:rsidR="006E2095" w:rsidRPr="00C02A8F" w:rsidRDefault="006E2095" w:rsidP="00EE062D">
            <w:pPr>
              <w:jc w:val="center"/>
              <w:rPr>
                <w:sz w:val="22"/>
                <w:szCs w:val="22"/>
              </w:rPr>
            </w:pPr>
            <w:r>
              <w:rPr>
                <w:sz w:val="22"/>
                <w:szCs w:val="22"/>
              </w:rPr>
              <w:t>9</w:t>
            </w:r>
          </w:p>
        </w:tc>
      </w:tr>
      <w:tr w:rsidR="00C02A8F" w14:paraId="03293910" w14:textId="77777777" w:rsidTr="00FD4B1F">
        <w:trPr>
          <w:jc w:val="center"/>
        </w:trPr>
        <w:tc>
          <w:tcPr>
            <w:tcW w:w="3600" w:type="dxa"/>
          </w:tcPr>
          <w:p w14:paraId="1B69B3F8" w14:textId="233C1F12" w:rsidR="00C02A8F" w:rsidRPr="00C02A8F" w:rsidRDefault="006E2095" w:rsidP="00EE062D">
            <w:pPr>
              <w:jc w:val="center"/>
              <w:rPr>
                <w:sz w:val="22"/>
                <w:szCs w:val="22"/>
              </w:rPr>
            </w:pPr>
            <w:r w:rsidRPr="00C02A8F">
              <w:rPr>
                <w:sz w:val="22"/>
                <w:szCs w:val="22"/>
              </w:rPr>
              <w:t>Corrective Actions</w:t>
            </w:r>
          </w:p>
        </w:tc>
        <w:tc>
          <w:tcPr>
            <w:tcW w:w="1890" w:type="dxa"/>
          </w:tcPr>
          <w:p w14:paraId="4129FF05" w14:textId="4ADAB9B1" w:rsidR="00C02A8F" w:rsidRPr="00C02A8F" w:rsidRDefault="006E2095" w:rsidP="00EE062D">
            <w:pPr>
              <w:jc w:val="center"/>
              <w:rPr>
                <w:sz w:val="22"/>
                <w:szCs w:val="22"/>
              </w:rPr>
            </w:pPr>
            <w:r>
              <w:rPr>
                <w:sz w:val="22"/>
                <w:szCs w:val="22"/>
              </w:rPr>
              <w:t>10</w:t>
            </w:r>
          </w:p>
        </w:tc>
      </w:tr>
      <w:tr w:rsidR="006E2095" w14:paraId="7D17FD22" w14:textId="77777777" w:rsidTr="00FD4B1F">
        <w:trPr>
          <w:jc w:val="center"/>
        </w:trPr>
        <w:tc>
          <w:tcPr>
            <w:tcW w:w="3600" w:type="dxa"/>
          </w:tcPr>
          <w:p w14:paraId="0B485ABD" w14:textId="05020C1D" w:rsidR="006E2095" w:rsidRPr="00C02A8F" w:rsidRDefault="006E2095" w:rsidP="00EE062D">
            <w:pPr>
              <w:jc w:val="center"/>
              <w:rPr>
                <w:sz w:val="22"/>
                <w:szCs w:val="22"/>
              </w:rPr>
            </w:pPr>
            <w:r>
              <w:rPr>
                <w:sz w:val="22"/>
                <w:szCs w:val="22"/>
              </w:rPr>
              <w:t>Computer Software</w:t>
            </w:r>
          </w:p>
        </w:tc>
        <w:tc>
          <w:tcPr>
            <w:tcW w:w="1890" w:type="dxa"/>
          </w:tcPr>
          <w:p w14:paraId="71CDBEA7" w14:textId="41BB6E62" w:rsidR="006E2095" w:rsidRPr="00C02A8F" w:rsidRDefault="006E2095" w:rsidP="00EE062D">
            <w:pPr>
              <w:jc w:val="center"/>
              <w:rPr>
                <w:sz w:val="22"/>
                <w:szCs w:val="22"/>
              </w:rPr>
            </w:pPr>
            <w:r>
              <w:rPr>
                <w:sz w:val="22"/>
                <w:szCs w:val="22"/>
              </w:rPr>
              <w:t>11</w:t>
            </w:r>
          </w:p>
        </w:tc>
      </w:tr>
      <w:tr w:rsidR="006E2095" w14:paraId="29570933" w14:textId="77777777" w:rsidTr="00FD4B1F">
        <w:trPr>
          <w:jc w:val="center"/>
        </w:trPr>
        <w:tc>
          <w:tcPr>
            <w:tcW w:w="3600" w:type="dxa"/>
          </w:tcPr>
          <w:p w14:paraId="66E2A18A" w14:textId="02DE6D4B" w:rsidR="006E2095" w:rsidRPr="00C02A8F" w:rsidRDefault="006E2095" w:rsidP="00EE062D">
            <w:pPr>
              <w:jc w:val="center"/>
              <w:rPr>
                <w:sz w:val="22"/>
                <w:szCs w:val="22"/>
              </w:rPr>
            </w:pPr>
            <w:r>
              <w:rPr>
                <w:sz w:val="22"/>
                <w:szCs w:val="22"/>
              </w:rPr>
              <w:t xml:space="preserve">Code Requirement </w:t>
            </w:r>
            <w:r w:rsidR="00CD4B06">
              <w:rPr>
                <w:sz w:val="22"/>
                <w:szCs w:val="22"/>
              </w:rPr>
              <w:t>(non-ITAAC)</w:t>
            </w:r>
          </w:p>
        </w:tc>
        <w:tc>
          <w:tcPr>
            <w:tcW w:w="1890" w:type="dxa"/>
          </w:tcPr>
          <w:p w14:paraId="1F5C0C78" w14:textId="53CE24FC" w:rsidR="006E2095" w:rsidRPr="00C02A8F" w:rsidRDefault="00CD4B06" w:rsidP="00EE062D">
            <w:pPr>
              <w:jc w:val="center"/>
              <w:rPr>
                <w:sz w:val="22"/>
                <w:szCs w:val="22"/>
              </w:rPr>
            </w:pPr>
            <w:r>
              <w:rPr>
                <w:sz w:val="22"/>
                <w:szCs w:val="22"/>
              </w:rPr>
              <w:t>12a</w:t>
            </w:r>
          </w:p>
        </w:tc>
      </w:tr>
      <w:tr w:rsidR="00CD4B06" w14:paraId="01A958B4" w14:textId="77777777" w:rsidTr="00FD4B1F">
        <w:trPr>
          <w:jc w:val="center"/>
        </w:trPr>
        <w:tc>
          <w:tcPr>
            <w:tcW w:w="3600" w:type="dxa"/>
          </w:tcPr>
          <w:p w14:paraId="39B03A16" w14:textId="0643DEF5" w:rsidR="00CD4B06" w:rsidRDefault="00CD4B06" w:rsidP="00EE062D">
            <w:pPr>
              <w:jc w:val="center"/>
              <w:rPr>
                <w:sz w:val="22"/>
                <w:szCs w:val="22"/>
              </w:rPr>
            </w:pPr>
            <w:r>
              <w:rPr>
                <w:sz w:val="22"/>
                <w:szCs w:val="22"/>
              </w:rPr>
              <w:t>Code Requirement (ITAAC)</w:t>
            </w:r>
          </w:p>
        </w:tc>
        <w:tc>
          <w:tcPr>
            <w:tcW w:w="1890" w:type="dxa"/>
          </w:tcPr>
          <w:p w14:paraId="38B13775" w14:textId="6D019DB1" w:rsidR="00CD4B06" w:rsidRPr="00C02A8F" w:rsidRDefault="00CD4B06" w:rsidP="00EE062D">
            <w:pPr>
              <w:jc w:val="center"/>
              <w:rPr>
                <w:sz w:val="22"/>
                <w:szCs w:val="22"/>
              </w:rPr>
            </w:pPr>
            <w:r>
              <w:rPr>
                <w:sz w:val="22"/>
                <w:szCs w:val="22"/>
              </w:rPr>
              <w:t>12b</w:t>
            </w:r>
          </w:p>
        </w:tc>
      </w:tr>
      <w:tr w:rsidR="00C02A8F" w14:paraId="5D87B826" w14:textId="77777777" w:rsidTr="00FD4B1F">
        <w:trPr>
          <w:jc w:val="center"/>
        </w:trPr>
        <w:tc>
          <w:tcPr>
            <w:tcW w:w="3600" w:type="dxa"/>
          </w:tcPr>
          <w:p w14:paraId="5F7ED0E9" w14:textId="77777777" w:rsidR="00C02A8F" w:rsidRPr="00C02A8F" w:rsidRDefault="00C02A8F" w:rsidP="00EE062D">
            <w:pPr>
              <w:jc w:val="center"/>
              <w:rPr>
                <w:sz w:val="22"/>
                <w:szCs w:val="22"/>
              </w:rPr>
            </w:pPr>
            <w:r w:rsidRPr="00C02A8F">
              <w:rPr>
                <w:sz w:val="22"/>
                <w:szCs w:val="22"/>
              </w:rPr>
              <w:t>Measuring and Test Equipment</w:t>
            </w:r>
          </w:p>
        </w:tc>
        <w:tc>
          <w:tcPr>
            <w:tcW w:w="1890" w:type="dxa"/>
          </w:tcPr>
          <w:p w14:paraId="1F215A08" w14:textId="31B42580" w:rsidR="00C02A8F" w:rsidRPr="00C02A8F" w:rsidRDefault="0088648C" w:rsidP="00EE062D">
            <w:pPr>
              <w:jc w:val="center"/>
              <w:rPr>
                <w:sz w:val="22"/>
                <w:szCs w:val="22"/>
              </w:rPr>
            </w:pPr>
            <w:r>
              <w:rPr>
                <w:sz w:val="22"/>
                <w:szCs w:val="22"/>
              </w:rPr>
              <w:t>13</w:t>
            </w:r>
          </w:p>
        </w:tc>
      </w:tr>
      <w:tr w:rsidR="006B4535" w14:paraId="1202AE3B" w14:textId="77777777" w:rsidTr="00FD4B1F">
        <w:trPr>
          <w:jc w:val="center"/>
        </w:trPr>
        <w:tc>
          <w:tcPr>
            <w:tcW w:w="3600" w:type="dxa"/>
          </w:tcPr>
          <w:p w14:paraId="1292D0A0" w14:textId="321CF3A6" w:rsidR="006B4535" w:rsidRPr="00C02A8F" w:rsidRDefault="006B4535" w:rsidP="00EE062D">
            <w:pPr>
              <w:jc w:val="center"/>
              <w:rPr>
                <w:sz w:val="22"/>
                <w:szCs w:val="22"/>
              </w:rPr>
            </w:pPr>
            <w:r>
              <w:rPr>
                <w:sz w:val="22"/>
                <w:szCs w:val="22"/>
              </w:rPr>
              <w:t>Operational Programs</w:t>
            </w:r>
          </w:p>
        </w:tc>
        <w:tc>
          <w:tcPr>
            <w:tcW w:w="1890" w:type="dxa"/>
          </w:tcPr>
          <w:p w14:paraId="255A3DD4" w14:textId="1A4471B0" w:rsidR="006B4535" w:rsidRPr="00C02A8F" w:rsidRDefault="0088648C" w:rsidP="00EE062D">
            <w:pPr>
              <w:jc w:val="center"/>
              <w:rPr>
                <w:sz w:val="22"/>
                <w:szCs w:val="22"/>
              </w:rPr>
            </w:pPr>
            <w:r>
              <w:rPr>
                <w:sz w:val="22"/>
                <w:szCs w:val="22"/>
              </w:rPr>
              <w:t>14</w:t>
            </w:r>
            <w:r w:rsidR="001508EC">
              <w:rPr>
                <w:sz w:val="22"/>
                <w:szCs w:val="22"/>
              </w:rPr>
              <w:t>, 15</w:t>
            </w:r>
          </w:p>
        </w:tc>
      </w:tr>
      <w:tr w:rsidR="006B4535" w14:paraId="001EF28C" w14:textId="77777777" w:rsidTr="00FD4B1F">
        <w:trPr>
          <w:jc w:val="center"/>
        </w:trPr>
        <w:tc>
          <w:tcPr>
            <w:tcW w:w="3600" w:type="dxa"/>
          </w:tcPr>
          <w:p w14:paraId="34FA825F" w14:textId="07890208" w:rsidR="006B4535" w:rsidRDefault="006B4535" w:rsidP="00EE062D">
            <w:pPr>
              <w:jc w:val="center"/>
              <w:rPr>
                <w:sz w:val="22"/>
                <w:szCs w:val="22"/>
              </w:rPr>
            </w:pPr>
            <w:r>
              <w:rPr>
                <w:sz w:val="22"/>
                <w:szCs w:val="22"/>
              </w:rPr>
              <w:t>Security Programs</w:t>
            </w:r>
          </w:p>
        </w:tc>
        <w:tc>
          <w:tcPr>
            <w:tcW w:w="1890" w:type="dxa"/>
          </w:tcPr>
          <w:p w14:paraId="096844AA" w14:textId="6D511AF3" w:rsidR="006B4535" w:rsidRDefault="001508EC" w:rsidP="00EE062D">
            <w:pPr>
              <w:jc w:val="center"/>
              <w:rPr>
                <w:sz w:val="22"/>
                <w:szCs w:val="22"/>
              </w:rPr>
            </w:pPr>
            <w:r>
              <w:rPr>
                <w:sz w:val="22"/>
                <w:szCs w:val="22"/>
              </w:rPr>
              <w:t>16</w:t>
            </w:r>
          </w:p>
        </w:tc>
      </w:tr>
    </w:tbl>
    <w:p w14:paraId="2BD495E0" w14:textId="77777777" w:rsidR="00CC3B1C" w:rsidRPr="00A10CE8" w:rsidRDefault="00CC3B1C" w:rsidP="00CE229B">
      <w:pPr>
        <w:pStyle w:val="BodyText"/>
      </w:pPr>
    </w:p>
    <w:p w14:paraId="0FEBCB44" w14:textId="77777777" w:rsidR="00B11A7D" w:rsidRPr="00FA2FF9" w:rsidRDefault="00B11A7D" w:rsidP="00A474A7">
      <w:pPr>
        <w:pStyle w:val="Example"/>
      </w:pPr>
      <w:r w:rsidRPr="00FA2FF9">
        <w:t>Example 1a: As-Built SSCs (non-ITAAC related)</w:t>
      </w:r>
    </w:p>
    <w:p w14:paraId="63E1B9A8" w14:textId="00B13E7C" w:rsidR="00B11A7D" w:rsidRPr="0038260D" w:rsidRDefault="000709CD" w:rsidP="004A0621">
      <w:pPr>
        <w:pStyle w:val="Guidance"/>
      </w:pPr>
      <w:r>
        <w:t>Noncomp</w:t>
      </w:r>
      <w:r w:rsidR="003F54D0">
        <w:t>liance</w:t>
      </w:r>
      <w:r w:rsidR="006C648D" w:rsidRPr="006E7C0B">
        <w:rPr>
          <w:u w:val="none"/>
        </w:rPr>
        <w:t>:</w:t>
      </w:r>
    </w:p>
    <w:p w14:paraId="659C4695" w14:textId="77777777" w:rsidR="00B11A7D" w:rsidRPr="0038260D" w:rsidRDefault="00B11A7D" w:rsidP="004A0621">
      <w:pPr>
        <w:pStyle w:val="BodyText"/>
      </w:pPr>
      <w:r w:rsidRPr="0038260D">
        <w:t xml:space="preserve">The inspectors identified that an as-built SSC did not meet </w:t>
      </w:r>
      <w:r>
        <w:t>an</w:t>
      </w:r>
      <w:r w:rsidRPr="0038260D">
        <w:t xml:space="preserve"> applicable design or construction specification. </w:t>
      </w:r>
    </w:p>
    <w:p w14:paraId="374CB931" w14:textId="403AD214" w:rsidR="00B11A7D" w:rsidRPr="0038260D" w:rsidRDefault="00B11A7D" w:rsidP="004A0621">
      <w:pPr>
        <w:pStyle w:val="Guidance"/>
      </w:pPr>
      <w:r w:rsidRPr="0038260D">
        <w:lastRenderedPageBreak/>
        <w:t>Minor because</w:t>
      </w:r>
      <w:r w:rsidR="006C648D" w:rsidRPr="006E7C0B">
        <w:rPr>
          <w:u w:val="none"/>
        </w:rPr>
        <w:t>:</w:t>
      </w:r>
    </w:p>
    <w:p w14:paraId="15695855" w14:textId="77777777" w:rsidR="00B11A7D" w:rsidRPr="0038260D" w:rsidRDefault="00B11A7D" w:rsidP="00697AD3">
      <w:pPr>
        <w:pStyle w:val="BodyText"/>
      </w:pPr>
      <w:r w:rsidRPr="0038260D">
        <w:t>The as-built SSC was functional even though it did not conform to the specification, and this was evident without a significant engineering evaluation</w:t>
      </w:r>
      <w:r>
        <w:t>; or</w:t>
      </w:r>
    </w:p>
    <w:p w14:paraId="056E6BF5" w14:textId="77777777" w:rsidR="00B11A7D" w:rsidRPr="0038260D" w:rsidRDefault="00B11A7D" w:rsidP="005D22B2">
      <w:pPr>
        <w:pStyle w:val="BodyText3"/>
        <w:ind w:left="0"/>
        <w:rPr>
          <w:rFonts w:cs="Arial"/>
        </w:rPr>
      </w:pPr>
      <w:r w:rsidRPr="0038260D">
        <w:rPr>
          <w:rFonts w:cs="Arial"/>
        </w:rPr>
        <w:t>The as-built SSC was more conservative than the as-designed SSC.</w:t>
      </w:r>
    </w:p>
    <w:p w14:paraId="78303685" w14:textId="25B1B032" w:rsidR="00B11A7D" w:rsidRPr="00564BBC" w:rsidRDefault="00B11A7D" w:rsidP="004A0621">
      <w:pPr>
        <w:pStyle w:val="Guidance"/>
        <w:rPr>
          <w:u w:val="none"/>
        </w:rPr>
      </w:pPr>
      <w:r w:rsidRPr="0038260D">
        <w:t>Not minor if</w:t>
      </w:r>
      <w:r w:rsidR="00B04D74" w:rsidRPr="00B04D74">
        <w:rPr>
          <w:u w:val="none"/>
        </w:rPr>
        <w:t>:</w:t>
      </w:r>
    </w:p>
    <w:p w14:paraId="6CA88613" w14:textId="30D1C7FA" w:rsidR="00B11A7D" w:rsidRPr="0038260D" w:rsidRDefault="00B11A7D" w:rsidP="00697AD3">
      <w:pPr>
        <w:pStyle w:val="BodyText"/>
      </w:pPr>
      <w:r w:rsidRPr="0038260D">
        <w:t xml:space="preserve">The functionality of the as-built SSC was </w:t>
      </w:r>
      <w:r w:rsidR="00E31D43">
        <w:t xml:space="preserve">impaired or </w:t>
      </w:r>
      <w:r w:rsidRPr="0038260D">
        <w:t>indeterminate without a substantive engineering evaluation.</w:t>
      </w:r>
    </w:p>
    <w:p w14:paraId="182C6730" w14:textId="75B79079" w:rsidR="00B11A7D" w:rsidRPr="00A474A7" w:rsidRDefault="00B11A7D" w:rsidP="00A474A7">
      <w:pPr>
        <w:pStyle w:val="Example"/>
      </w:pPr>
      <w:r w:rsidRPr="00A474A7">
        <w:t>Example 1b: As-Built SSCs (ITAAC related)</w:t>
      </w:r>
    </w:p>
    <w:p w14:paraId="7A7F5FA5" w14:textId="0D35B2A4" w:rsidR="00B11A7D" w:rsidRPr="0038260D" w:rsidRDefault="000709CD" w:rsidP="004A0621">
      <w:pPr>
        <w:pStyle w:val="Guidance"/>
      </w:pPr>
      <w:r>
        <w:t>Noncomp</w:t>
      </w:r>
      <w:r w:rsidR="003F54D0">
        <w:t>liance</w:t>
      </w:r>
      <w:r w:rsidR="00B11A7D" w:rsidRPr="0038260D">
        <w:t>:</w:t>
      </w:r>
    </w:p>
    <w:p w14:paraId="03853A86" w14:textId="77777777" w:rsidR="00B11A7D" w:rsidRPr="0038260D" w:rsidRDefault="00B11A7D" w:rsidP="00697AD3">
      <w:pPr>
        <w:pStyle w:val="BodyText"/>
      </w:pPr>
      <w:r w:rsidRPr="0038260D">
        <w:t xml:space="preserve">The inspectors identified that an as-built SSC did not meet the applicable design or construction specification, which prevented the ITAAC AC from being met. </w:t>
      </w:r>
    </w:p>
    <w:p w14:paraId="2922EAA4" w14:textId="77777777" w:rsidR="00B11A7D" w:rsidRPr="0038260D" w:rsidRDefault="00B11A7D" w:rsidP="004A0621">
      <w:pPr>
        <w:pStyle w:val="Guidance"/>
      </w:pPr>
      <w:r w:rsidRPr="0038260D">
        <w:t>Minor because:</w:t>
      </w:r>
    </w:p>
    <w:p w14:paraId="3B9065C1" w14:textId="77777777" w:rsidR="00B11A7D" w:rsidRPr="0038260D" w:rsidRDefault="00B11A7D" w:rsidP="00697AD3">
      <w:pPr>
        <w:pStyle w:val="BodyText"/>
      </w:pPr>
      <w:r w:rsidRPr="0038260D">
        <w:t xml:space="preserve">The as-built SSC was functional without the support of detailed engineering justification, </w:t>
      </w:r>
    </w:p>
    <w:p w14:paraId="2D9C5E3A" w14:textId="77777777" w:rsidR="00B11A7D" w:rsidRPr="0038260D" w:rsidRDefault="00B11A7D" w:rsidP="004A0621">
      <w:pPr>
        <w:pStyle w:val="Guidance"/>
      </w:pPr>
      <w:r w:rsidRPr="0038260D">
        <w:t>Not minor if:</w:t>
      </w:r>
    </w:p>
    <w:p w14:paraId="62D7AAFD" w14:textId="21D96799" w:rsidR="00B11A7D" w:rsidRPr="0038260D" w:rsidRDefault="00B11A7D" w:rsidP="00697AD3">
      <w:pPr>
        <w:pStyle w:val="BodyText"/>
      </w:pPr>
      <w:r w:rsidRPr="0038260D">
        <w:t xml:space="preserve">The functionality of the as-built SSC was </w:t>
      </w:r>
      <w:r w:rsidR="00DD70B5">
        <w:t xml:space="preserve">impaired or </w:t>
      </w:r>
      <w:r w:rsidRPr="0038260D">
        <w:t xml:space="preserve">indeterminate without </w:t>
      </w:r>
      <w:proofErr w:type="gramStart"/>
      <w:r w:rsidRPr="0038260D">
        <w:t>a substantive</w:t>
      </w:r>
      <w:proofErr w:type="gramEnd"/>
      <w:r w:rsidRPr="0038260D">
        <w:t xml:space="preserve"> engineering justification.</w:t>
      </w:r>
    </w:p>
    <w:p w14:paraId="06C79689" w14:textId="79FC16B1" w:rsidR="00B11A7D" w:rsidRPr="00A474A7" w:rsidRDefault="00B11A7D" w:rsidP="00A474A7">
      <w:pPr>
        <w:pStyle w:val="Example"/>
      </w:pPr>
      <w:r w:rsidRPr="00A474A7">
        <w:t>Example 2: Design Requirements</w:t>
      </w:r>
    </w:p>
    <w:p w14:paraId="31E6CB74" w14:textId="549C1664"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7E17F821" w14:textId="77777777" w:rsidR="00B11A7D" w:rsidRPr="0038260D" w:rsidRDefault="00B11A7D" w:rsidP="00697AD3">
      <w:pPr>
        <w:pStyle w:val="BodyText"/>
      </w:pPr>
      <w:r w:rsidRPr="0038260D">
        <w:t xml:space="preserve">The inspectors identified that the </w:t>
      </w:r>
      <w:r>
        <w:t>license or permit holder</w:t>
      </w:r>
      <w:r w:rsidRPr="0038260D">
        <w:t xml:space="preserve">’s design specification did not conform to the design basis (i.e., the </w:t>
      </w:r>
      <w:r>
        <w:t>license or permit holder</w:t>
      </w:r>
      <w:r w:rsidRPr="0038260D">
        <w:t xml:space="preserve"> failed to adequately translate the approved design to appropriate drawings, instruction, procedures, etc.).</w:t>
      </w:r>
    </w:p>
    <w:p w14:paraId="789705C4" w14:textId="77777777" w:rsidR="00B11A7D" w:rsidRPr="0038260D" w:rsidRDefault="00B11A7D" w:rsidP="004A0621">
      <w:pPr>
        <w:pStyle w:val="Guidance"/>
      </w:pPr>
      <w:r w:rsidRPr="0038260D">
        <w:t>Minor because:</w:t>
      </w:r>
    </w:p>
    <w:p w14:paraId="54C5331A" w14:textId="77777777" w:rsidR="00B11A7D" w:rsidRPr="0038260D" w:rsidRDefault="00B11A7D" w:rsidP="00697AD3">
      <w:pPr>
        <w:pStyle w:val="BodyText"/>
      </w:pPr>
      <w:r w:rsidRPr="0038260D">
        <w:t>The design error resulted in a more conservative analysis than what was required by the governing technical requirements</w:t>
      </w:r>
      <w:r>
        <w:t>;</w:t>
      </w:r>
      <w:r w:rsidRPr="0038260D">
        <w:t xml:space="preserve"> or</w:t>
      </w:r>
    </w:p>
    <w:p w14:paraId="2C4652E0" w14:textId="30606A29" w:rsidR="00B11A7D" w:rsidRPr="0038260D" w:rsidRDefault="00B11A7D" w:rsidP="00697AD3">
      <w:pPr>
        <w:pStyle w:val="BodyText"/>
      </w:pPr>
      <w:r w:rsidRPr="0038260D">
        <w:t xml:space="preserve">The design error was insignificant, in that the ability of the SSC to perform its intended safety-related or safety-significant function was not </w:t>
      </w:r>
      <w:r w:rsidR="00DD70B5">
        <w:t>impaired</w:t>
      </w:r>
      <w:r w:rsidRPr="0038260D">
        <w:t>.</w:t>
      </w:r>
    </w:p>
    <w:p w14:paraId="20E61A78" w14:textId="77777777" w:rsidR="00B11A7D" w:rsidRPr="0038260D" w:rsidRDefault="00B11A7D" w:rsidP="004A0621">
      <w:pPr>
        <w:pStyle w:val="Guidance"/>
      </w:pPr>
      <w:r w:rsidRPr="0038260D">
        <w:lastRenderedPageBreak/>
        <w:t>Not minor if:</w:t>
      </w:r>
    </w:p>
    <w:p w14:paraId="02577BFD" w14:textId="77777777" w:rsidR="005D22B2" w:rsidRDefault="00B11A7D" w:rsidP="00697AD3">
      <w:pPr>
        <w:pStyle w:val="BodyText"/>
      </w:pPr>
      <w:r w:rsidRPr="0038260D">
        <w:t>The design error resulted in a less conservative analysis that made the SSC’s ability to perform its safety-related or safety-significant function indeterminate without a detailed engineering evaluation.</w:t>
      </w:r>
    </w:p>
    <w:p w14:paraId="1EB54518" w14:textId="713C396E" w:rsidR="00B11A7D" w:rsidRPr="005D22B2" w:rsidRDefault="00B11A7D" w:rsidP="00A474A7">
      <w:pPr>
        <w:pStyle w:val="Example"/>
      </w:pPr>
      <w:r w:rsidRPr="00A474A7">
        <w:t>Example 3: QA Records</w:t>
      </w:r>
    </w:p>
    <w:p w14:paraId="2B28654A" w14:textId="0A20E194"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47C28ADE" w14:textId="77777777" w:rsidR="00B11A7D" w:rsidRPr="0038260D" w:rsidRDefault="00B11A7D" w:rsidP="00697AD3">
      <w:pPr>
        <w:pStyle w:val="BodyText"/>
      </w:pPr>
      <w:r w:rsidRPr="0038260D">
        <w:t xml:space="preserve">The inspectors identified that the </w:t>
      </w:r>
      <w:r>
        <w:t>license or permit holder</w:t>
      </w:r>
      <w:r w:rsidRPr="0038260D">
        <w:t xml:space="preserve"> failed to maintain quality assurance records in accordance with QA program requirements.</w:t>
      </w:r>
    </w:p>
    <w:p w14:paraId="0D564F54" w14:textId="77777777" w:rsidR="00B11A7D" w:rsidRPr="0038260D" w:rsidRDefault="00B11A7D" w:rsidP="004A0621">
      <w:pPr>
        <w:pStyle w:val="Guidance"/>
      </w:pPr>
      <w:r w:rsidRPr="0038260D">
        <w:t>Minor because:</w:t>
      </w:r>
    </w:p>
    <w:p w14:paraId="432DF37A" w14:textId="77777777" w:rsidR="00B11A7D" w:rsidRPr="0038260D" w:rsidRDefault="00B11A7D" w:rsidP="00697AD3">
      <w:pPr>
        <w:pStyle w:val="BodyText"/>
      </w:pPr>
      <w:r w:rsidRPr="0038260D">
        <w:t>No records were irretrievably lost</w:t>
      </w:r>
      <w:r>
        <w:t>;</w:t>
      </w:r>
      <w:r w:rsidRPr="0038260D">
        <w:t xml:space="preserve"> or</w:t>
      </w:r>
    </w:p>
    <w:p w14:paraId="54E25E5E" w14:textId="77777777" w:rsidR="00B11A7D" w:rsidRPr="0038260D" w:rsidRDefault="00B11A7D" w:rsidP="00697AD3">
      <w:pPr>
        <w:pStyle w:val="BodyText"/>
      </w:pPr>
      <w:r w:rsidRPr="0038260D">
        <w:t>The lost records were not relied upon to demonstrate functionality of the SSC</w:t>
      </w:r>
      <w:r>
        <w:t>.</w:t>
      </w:r>
      <w:r w:rsidRPr="0038260D">
        <w:t xml:space="preserve"> </w:t>
      </w:r>
    </w:p>
    <w:p w14:paraId="0B4B2E31" w14:textId="77777777" w:rsidR="00B11A7D" w:rsidRPr="0038260D" w:rsidRDefault="00B11A7D" w:rsidP="004A0621">
      <w:pPr>
        <w:pStyle w:val="Guidance"/>
      </w:pPr>
      <w:r w:rsidRPr="0038260D">
        <w:t>Not minor if:</w:t>
      </w:r>
    </w:p>
    <w:p w14:paraId="5E37D2CF" w14:textId="757BBB34" w:rsidR="00B11A7D" w:rsidRPr="0038260D" w:rsidRDefault="00B11A7D" w:rsidP="00697AD3">
      <w:pPr>
        <w:pStyle w:val="BodyText"/>
      </w:pPr>
      <w:r w:rsidRPr="0038260D">
        <w:t>Records were lost or damaged to an extent that pre</w:t>
      </w:r>
      <w:r>
        <w:t>vents</w:t>
      </w:r>
      <w:r w:rsidRPr="0038260D">
        <w:t xml:space="preserve"> the license</w:t>
      </w:r>
      <w:r>
        <w:t xml:space="preserve"> or permit holder</w:t>
      </w:r>
      <w:r w:rsidRPr="0038260D">
        <w:t xml:space="preserve"> from demonstrating that a safety-related or safety-significant SSC was </w:t>
      </w:r>
      <w:r w:rsidR="00100058" w:rsidRPr="0038260D">
        <w:t>functional</w:t>
      </w:r>
      <w:r w:rsidR="00100058">
        <w:t xml:space="preserve"> and</w:t>
      </w:r>
      <w:r>
        <w:t xml:space="preserve"> therefore render</w:t>
      </w:r>
      <w:r w:rsidR="00A43BF5">
        <w:t>s</w:t>
      </w:r>
      <w:r>
        <w:t xml:space="preserve"> the SSC’s functionality indeterminate.</w:t>
      </w:r>
    </w:p>
    <w:p w14:paraId="1E9F3434" w14:textId="4E79B2FE" w:rsidR="00B11A7D" w:rsidRPr="00A474A7" w:rsidRDefault="00B11A7D" w:rsidP="00A474A7">
      <w:pPr>
        <w:pStyle w:val="Example"/>
      </w:pPr>
      <w:r w:rsidRPr="00A474A7">
        <w:t xml:space="preserve">Example 4: QC Inspection </w:t>
      </w:r>
    </w:p>
    <w:p w14:paraId="5CA28309" w14:textId="2A7A9447"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6189C96F" w14:textId="77777777" w:rsidR="00B11A7D" w:rsidRPr="0038260D" w:rsidRDefault="00B11A7D" w:rsidP="00697AD3">
      <w:pPr>
        <w:pStyle w:val="BodyText"/>
      </w:pPr>
      <w:r w:rsidRPr="0038260D">
        <w:t>The inspectors identified that a license</w:t>
      </w:r>
      <w:r>
        <w:t xml:space="preserve"> or permit holder’s</w:t>
      </w:r>
      <w:r w:rsidRPr="0038260D">
        <w:t xml:space="preserve"> quality control (QC) inspector was not qualified in accordance with the QA program requirements.</w:t>
      </w:r>
    </w:p>
    <w:p w14:paraId="7E018701" w14:textId="77777777" w:rsidR="00B11A7D" w:rsidRPr="0038260D" w:rsidRDefault="00B11A7D" w:rsidP="004A0621">
      <w:pPr>
        <w:pStyle w:val="Guidance"/>
      </w:pPr>
      <w:r w:rsidRPr="0038260D">
        <w:t>Minor because:</w:t>
      </w:r>
    </w:p>
    <w:p w14:paraId="1BA52FD8" w14:textId="77777777" w:rsidR="00B11A7D" w:rsidRPr="0038260D" w:rsidRDefault="00B11A7D" w:rsidP="00697AD3">
      <w:pPr>
        <w:pStyle w:val="BodyText"/>
      </w:pPr>
      <w:r w:rsidRPr="0038260D">
        <w:t>The QC inspector’s unqualified status was a result of an administrative issue</w:t>
      </w:r>
      <w:r>
        <w:t>;</w:t>
      </w:r>
      <w:r w:rsidRPr="0038260D">
        <w:t xml:space="preserve"> or</w:t>
      </w:r>
    </w:p>
    <w:p w14:paraId="2B293C53" w14:textId="77777777" w:rsidR="00B11A7D" w:rsidRPr="0038260D" w:rsidRDefault="00B11A7D" w:rsidP="00697AD3">
      <w:pPr>
        <w:pStyle w:val="BodyText"/>
      </w:pPr>
      <w:r w:rsidRPr="0038260D">
        <w:t xml:space="preserve">The QC inspector did not perform an inspection of an SSC </w:t>
      </w:r>
      <w:proofErr w:type="gramStart"/>
      <w:r w:rsidRPr="0038260D">
        <w:t>in the area of</w:t>
      </w:r>
      <w:proofErr w:type="gramEnd"/>
      <w:r w:rsidRPr="0038260D">
        <w:t xml:space="preserve"> qualification in question</w:t>
      </w:r>
      <w:r>
        <w:t>;</w:t>
      </w:r>
      <w:r w:rsidRPr="0038260D">
        <w:t xml:space="preserve"> or</w:t>
      </w:r>
    </w:p>
    <w:p w14:paraId="67FC013C" w14:textId="77777777" w:rsidR="00B11A7D" w:rsidRPr="0038260D" w:rsidRDefault="00B11A7D" w:rsidP="00697AD3">
      <w:pPr>
        <w:pStyle w:val="BodyText"/>
      </w:pPr>
      <w:r w:rsidRPr="0038260D">
        <w:t xml:space="preserve">When reinspected by a qualified inspector, </w:t>
      </w:r>
      <w:r>
        <w:t xml:space="preserve">all </w:t>
      </w:r>
      <w:r w:rsidRPr="0038260D">
        <w:t>SSC</w:t>
      </w:r>
      <w:r>
        <w:t>s</w:t>
      </w:r>
      <w:r w:rsidRPr="0038260D">
        <w:t xml:space="preserve"> w</w:t>
      </w:r>
      <w:r>
        <w:t>ere</w:t>
      </w:r>
      <w:r w:rsidRPr="0038260D">
        <w:t xml:space="preserve"> acceptable.</w:t>
      </w:r>
    </w:p>
    <w:p w14:paraId="49C846C5" w14:textId="77777777" w:rsidR="00B11A7D" w:rsidRPr="0038260D" w:rsidRDefault="00B11A7D" w:rsidP="004A0621">
      <w:pPr>
        <w:pStyle w:val="Guidance"/>
      </w:pPr>
      <w:r w:rsidRPr="0038260D">
        <w:t>Not minor if:</w:t>
      </w:r>
    </w:p>
    <w:p w14:paraId="234FC398" w14:textId="77777777" w:rsidR="00B11A7D" w:rsidRPr="0038260D" w:rsidRDefault="00B11A7D" w:rsidP="00697AD3">
      <w:pPr>
        <w:pStyle w:val="BodyText"/>
      </w:pPr>
      <w:r w:rsidRPr="0038260D">
        <w:t>A reinspection resulted in the identification of a nonconforming condition that made the SSC nonfunctional</w:t>
      </w:r>
      <w:r>
        <w:t>;</w:t>
      </w:r>
      <w:r w:rsidRPr="0038260D">
        <w:t xml:space="preserve"> or</w:t>
      </w:r>
    </w:p>
    <w:p w14:paraId="7CF94EBF" w14:textId="77777777" w:rsidR="005D22B2" w:rsidRDefault="00B11A7D" w:rsidP="00697AD3">
      <w:pPr>
        <w:pStyle w:val="BodyText"/>
      </w:pPr>
      <w:r>
        <w:t>T</w:t>
      </w:r>
      <w:r w:rsidRPr="0038260D">
        <w:t xml:space="preserve">he SSC </w:t>
      </w:r>
      <w:proofErr w:type="gramStart"/>
      <w:r w:rsidRPr="0038260D">
        <w:t>was not able to</w:t>
      </w:r>
      <w:proofErr w:type="gramEnd"/>
      <w:r w:rsidRPr="0038260D">
        <w:t xml:space="preserve"> be reinspected and required a detailed engineering evaluation to justify its acceptability.</w:t>
      </w:r>
    </w:p>
    <w:p w14:paraId="54B26BDA" w14:textId="034F0015" w:rsidR="00B11A7D" w:rsidRPr="005D22B2" w:rsidRDefault="00B11A7D" w:rsidP="00A474A7">
      <w:pPr>
        <w:pStyle w:val="Example"/>
      </w:pPr>
      <w:r w:rsidRPr="00A474A7">
        <w:lastRenderedPageBreak/>
        <w:t>EXAMPLE 5: Procedure Use</w:t>
      </w:r>
    </w:p>
    <w:p w14:paraId="5BE07411" w14:textId="3B973365"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4CD1A344" w14:textId="77777777" w:rsidR="00B11A7D" w:rsidRPr="0038260D" w:rsidRDefault="00B11A7D" w:rsidP="00697AD3">
      <w:pPr>
        <w:pStyle w:val="BodyText"/>
      </w:pPr>
      <w:r w:rsidRPr="0038260D">
        <w:t>The inspectors identified that welding was performed with a parameter (e.g., electrode size) outside that allowed by the welding procedure specification (WPS).</w:t>
      </w:r>
    </w:p>
    <w:p w14:paraId="2171418B" w14:textId="77777777" w:rsidR="00B11A7D" w:rsidRPr="0038260D" w:rsidRDefault="00B11A7D" w:rsidP="004A0621">
      <w:pPr>
        <w:pStyle w:val="Guidance"/>
      </w:pPr>
      <w:r w:rsidRPr="0038260D">
        <w:t>Minor because</w:t>
      </w:r>
    </w:p>
    <w:p w14:paraId="10EC432C" w14:textId="77777777" w:rsidR="00B11A7D" w:rsidRPr="0038260D" w:rsidRDefault="00B11A7D" w:rsidP="00697AD3">
      <w:pPr>
        <w:pStyle w:val="BodyText"/>
      </w:pPr>
      <w:r w:rsidRPr="0038260D">
        <w:t xml:space="preserve">The parameter in question was not an essential variable as defined by the code and the </w:t>
      </w:r>
      <w:r>
        <w:t>as-installed weld was acceptable</w:t>
      </w:r>
      <w:r w:rsidRPr="0038260D">
        <w:t>.</w:t>
      </w:r>
    </w:p>
    <w:p w14:paraId="52D9A202" w14:textId="77777777" w:rsidR="00B11A7D" w:rsidRPr="0038260D" w:rsidRDefault="00B11A7D" w:rsidP="004A0621">
      <w:pPr>
        <w:pStyle w:val="Guidance"/>
      </w:pPr>
      <w:r w:rsidRPr="0038260D">
        <w:t>Not minor if:</w:t>
      </w:r>
    </w:p>
    <w:p w14:paraId="02291B52" w14:textId="77777777" w:rsidR="00B11A7D" w:rsidRPr="0038260D" w:rsidRDefault="00B11A7D" w:rsidP="00697AD3">
      <w:pPr>
        <w:pStyle w:val="BodyText"/>
      </w:pPr>
      <w:r w:rsidRPr="0038260D">
        <w:t xml:space="preserve">The parameter in question was an essential </w:t>
      </w:r>
      <w:proofErr w:type="gramStart"/>
      <w:r w:rsidRPr="0038260D">
        <w:t>variable</w:t>
      </w:r>
      <w:proofErr w:type="gramEnd"/>
      <w:r w:rsidRPr="0038260D">
        <w:t xml:space="preserve"> and the weld required significant repair (i.e., grinding out and reperforming the weld).</w:t>
      </w:r>
    </w:p>
    <w:p w14:paraId="7E09BE2D" w14:textId="3751A400" w:rsidR="00B11A7D" w:rsidRPr="00A474A7" w:rsidRDefault="00B11A7D" w:rsidP="00A474A7">
      <w:pPr>
        <w:pStyle w:val="Example"/>
      </w:pPr>
      <w:r w:rsidRPr="00A474A7">
        <w:t xml:space="preserve">EXAMPLE 6: Procedure Content </w:t>
      </w:r>
    </w:p>
    <w:p w14:paraId="56D1B6B1" w14:textId="329B8E19"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465A75E6" w14:textId="77777777" w:rsidR="00B11A7D" w:rsidRPr="0038260D" w:rsidRDefault="00B11A7D" w:rsidP="00697AD3">
      <w:pPr>
        <w:pStyle w:val="BodyText"/>
      </w:pPr>
      <w:r w:rsidRPr="0038260D">
        <w:t>The inspectors identified that a manufacturing or construction procedure was not adequate.</w:t>
      </w:r>
    </w:p>
    <w:p w14:paraId="1769CAFB" w14:textId="77777777" w:rsidR="00B11A7D" w:rsidRPr="0038260D" w:rsidRDefault="00B11A7D" w:rsidP="004A0621">
      <w:pPr>
        <w:pStyle w:val="Guidance"/>
      </w:pPr>
      <w:r w:rsidRPr="0038260D">
        <w:t>Minor because:</w:t>
      </w:r>
    </w:p>
    <w:p w14:paraId="509CAB2A" w14:textId="77777777" w:rsidR="00B11A7D" w:rsidRPr="0038260D" w:rsidRDefault="00B11A7D" w:rsidP="00697AD3">
      <w:pPr>
        <w:pStyle w:val="BodyText"/>
      </w:pPr>
      <w:r w:rsidRPr="0038260D">
        <w:t>The issue was insignificant, in that the procedure was inadequate because of an administrative error or other deficiency that did not affect an SSC’s functionality</w:t>
      </w:r>
      <w:r>
        <w:t>;</w:t>
      </w:r>
      <w:r w:rsidRPr="0038260D">
        <w:t xml:space="preserve"> or</w:t>
      </w:r>
    </w:p>
    <w:p w14:paraId="255F5C00" w14:textId="77777777" w:rsidR="00B11A7D" w:rsidRPr="0038260D" w:rsidRDefault="00B11A7D" w:rsidP="004A0621">
      <w:pPr>
        <w:pStyle w:val="Guidance"/>
      </w:pPr>
      <w:r w:rsidRPr="0038260D">
        <w:t>Not minor if:</w:t>
      </w:r>
    </w:p>
    <w:p w14:paraId="56593B7F" w14:textId="77777777" w:rsidR="00B11A7D" w:rsidRPr="0038260D" w:rsidRDefault="00B11A7D" w:rsidP="00697AD3">
      <w:pPr>
        <w:pStyle w:val="BodyText"/>
      </w:pPr>
      <w:r w:rsidRPr="0038260D">
        <w:t xml:space="preserve">The procedure didn’t adequately implement a technical or quality requirement that makes </w:t>
      </w:r>
      <w:proofErr w:type="gramStart"/>
      <w:r w:rsidRPr="0038260D">
        <w:t>an SSC’s</w:t>
      </w:r>
      <w:proofErr w:type="gramEnd"/>
      <w:r w:rsidRPr="0038260D">
        <w:t xml:space="preserve"> functionality unacceptable or indeterminate. </w:t>
      </w:r>
    </w:p>
    <w:p w14:paraId="384C6CA0" w14:textId="65AEC41F" w:rsidR="00B11A7D" w:rsidRPr="00A474A7" w:rsidRDefault="00B11A7D" w:rsidP="00A474A7">
      <w:pPr>
        <w:pStyle w:val="Example"/>
      </w:pPr>
      <w:r w:rsidRPr="00A474A7">
        <w:t xml:space="preserve">EXAMPLE 7: Supplier Oversight </w:t>
      </w:r>
    </w:p>
    <w:p w14:paraId="66F008C5" w14:textId="7BF5B7A5" w:rsidR="00B11A7D" w:rsidRPr="00A06502" w:rsidRDefault="000709CD" w:rsidP="004A0621">
      <w:pPr>
        <w:pStyle w:val="Guidance"/>
        <w:rPr>
          <w:rFonts w:cs="Arial"/>
          <w:u w:val="none"/>
        </w:rPr>
      </w:pPr>
      <w:r>
        <w:rPr>
          <w:rFonts w:cs="Arial"/>
        </w:rPr>
        <w:t>Noncomp</w:t>
      </w:r>
      <w:r w:rsidR="003F54D0">
        <w:rPr>
          <w:rFonts w:cs="Arial"/>
        </w:rPr>
        <w:t>liance</w:t>
      </w:r>
      <w:r w:rsidR="00A06502">
        <w:rPr>
          <w:rFonts w:cs="Arial"/>
          <w:u w:val="none"/>
        </w:rPr>
        <w:t>:</w:t>
      </w:r>
    </w:p>
    <w:p w14:paraId="218D54D2" w14:textId="77777777" w:rsidR="00B11A7D" w:rsidRPr="0038260D" w:rsidRDefault="00B11A7D" w:rsidP="00697AD3">
      <w:pPr>
        <w:pStyle w:val="BodyText"/>
      </w:pPr>
      <w:r w:rsidRPr="0038260D">
        <w:t>The inspectors identified that the license</w:t>
      </w:r>
      <w:r>
        <w:t xml:space="preserve"> or permit holder</w:t>
      </w:r>
      <w:r w:rsidRPr="0038260D">
        <w:t xml:space="preserve"> failed to conduct </w:t>
      </w:r>
      <w:proofErr w:type="gramStart"/>
      <w:r w:rsidRPr="0038260D">
        <w:t>a required</w:t>
      </w:r>
      <w:proofErr w:type="gramEnd"/>
      <w:r w:rsidRPr="0038260D">
        <w:t xml:space="preserve"> surveillance of their supplier.</w:t>
      </w:r>
    </w:p>
    <w:p w14:paraId="45FBBB4E" w14:textId="77777777" w:rsidR="00B11A7D" w:rsidRPr="0038260D" w:rsidRDefault="00B11A7D" w:rsidP="004A0621">
      <w:pPr>
        <w:pStyle w:val="Guidance"/>
      </w:pPr>
      <w:r w:rsidRPr="0038260D">
        <w:t>Minor because:</w:t>
      </w:r>
    </w:p>
    <w:p w14:paraId="654D6FF5" w14:textId="77777777" w:rsidR="00B11A7D" w:rsidRPr="0038260D" w:rsidRDefault="00B11A7D" w:rsidP="00A06502">
      <w:pPr>
        <w:pStyle w:val="BodyText"/>
      </w:pPr>
      <w:r w:rsidRPr="0038260D">
        <w:t>The license</w:t>
      </w:r>
      <w:r>
        <w:t xml:space="preserve"> or permit holder</w:t>
      </w:r>
      <w:r w:rsidRPr="0038260D">
        <w:t xml:space="preserve"> had established adequate measures to control purchased items and services (i.e., no SSC was of indeterminate functionality).</w:t>
      </w:r>
    </w:p>
    <w:p w14:paraId="66CCF4ED" w14:textId="77777777" w:rsidR="00B11A7D" w:rsidRPr="0038260D" w:rsidRDefault="00B11A7D" w:rsidP="004A0621">
      <w:pPr>
        <w:pStyle w:val="Guidance"/>
      </w:pPr>
      <w:r w:rsidRPr="0038260D">
        <w:lastRenderedPageBreak/>
        <w:t>Not minor if</w:t>
      </w:r>
      <w:r w:rsidRPr="00A06502">
        <w:rPr>
          <w:u w:val="none"/>
        </w:rPr>
        <w:t>:</w:t>
      </w:r>
    </w:p>
    <w:p w14:paraId="5FDD09A7" w14:textId="77777777" w:rsidR="00B11A7D" w:rsidRPr="0038260D" w:rsidRDefault="00B11A7D" w:rsidP="00A06502">
      <w:pPr>
        <w:pStyle w:val="BodyText"/>
      </w:pPr>
      <w:r w:rsidRPr="0038260D">
        <w:t>The license</w:t>
      </w:r>
      <w:r>
        <w:t xml:space="preserve"> or permit holder</w:t>
      </w:r>
      <w:r w:rsidRPr="0038260D">
        <w:t xml:space="preserve"> received and accepted nonconforming material that made an SSC nonfunctional or made the SSC’s functionality indeterminate, and the surveillance could have identified the deficiency in the vendor’s program.</w:t>
      </w:r>
    </w:p>
    <w:p w14:paraId="3DC8388A" w14:textId="2406490A" w:rsidR="00B11A7D" w:rsidRPr="00A474A7" w:rsidRDefault="00B11A7D" w:rsidP="00A474A7">
      <w:pPr>
        <w:pStyle w:val="Example"/>
      </w:pPr>
      <w:r w:rsidRPr="00A474A7">
        <w:t>EXAMPLE 8: Testing Acceptance Criteria</w:t>
      </w:r>
    </w:p>
    <w:p w14:paraId="452DDD0D" w14:textId="554E0AEA" w:rsidR="00B11A7D" w:rsidRPr="0038260D" w:rsidRDefault="000709CD" w:rsidP="00A06502">
      <w:pPr>
        <w:pStyle w:val="BodyText3"/>
        <w:ind w:left="0"/>
        <w:rPr>
          <w:rFonts w:cs="Arial"/>
        </w:rPr>
      </w:pPr>
      <w:r>
        <w:rPr>
          <w:rFonts w:cs="Arial"/>
          <w:u w:val="single"/>
        </w:rPr>
        <w:t>Noncomp</w:t>
      </w:r>
      <w:r w:rsidR="003F54D0">
        <w:rPr>
          <w:rFonts w:cs="Arial"/>
          <w:u w:val="single"/>
        </w:rPr>
        <w:t>liance</w:t>
      </w:r>
      <w:r w:rsidR="00B11A7D" w:rsidRPr="0038260D">
        <w:rPr>
          <w:rFonts w:cs="Arial"/>
          <w:u w:val="single"/>
        </w:rPr>
        <w:t>:</w:t>
      </w:r>
    </w:p>
    <w:p w14:paraId="0B860A2D" w14:textId="77777777" w:rsidR="00B11A7D" w:rsidRPr="0038260D" w:rsidRDefault="00B11A7D" w:rsidP="00A06502">
      <w:pPr>
        <w:pStyle w:val="BodyText"/>
      </w:pPr>
      <w:r w:rsidRPr="0038260D">
        <w:t>The inspectors identified that the license</w:t>
      </w:r>
      <w:r>
        <w:t xml:space="preserve"> or permit holder</w:t>
      </w:r>
      <w:r w:rsidRPr="0038260D">
        <w:t xml:space="preserve"> failed to recognize that a test acceptance criterion was not met.</w:t>
      </w:r>
    </w:p>
    <w:p w14:paraId="30411AA5" w14:textId="77777777" w:rsidR="00B11A7D" w:rsidRPr="0038260D" w:rsidRDefault="00B11A7D" w:rsidP="004A0621">
      <w:pPr>
        <w:pStyle w:val="Guidance"/>
      </w:pPr>
      <w:r w:rsidRPr="0038260D">
        <w:t>Minor because:</w:t>
      </w:r>
    </w:p>
    <w:p w14:paraId="4CA7EB8E" w14:textId="77777777" w:rsidR="00B11A7D" w:rsidRPr="0038260D" w:rsidRDefault="00B11A7D" w:rsidP="00A06502">
      <w:pPr>
        <w:pStyle w:val="BodyText"/>
      </w:pPr>
      <w:r w:rsidRPr="0038260D">
        <w:t>The acceptance criterion was more conservative than the governing regulatory requirement, which was met</w:t>
      </w:r>
      <w:r>
        <w:t>;</w:t>
      </w:r>
      <w:r w:rsidRPr="0038260D">
        <w:t xml:space="preserve"> or</w:t>
      </w:r>
    </w:p>
    <w:p w14:paraId="61048897" w14:textId="77777777" w:rsidR="00B11A7D" w:rsidRPr="0038260D" w:rsidRDefault="00B11A7D" w:rsidP="00A06502">
      <w:pPr>
        <w:pStyle w:val="BodyText"/>
      </w:pPr>
      <w:r w:rsidRPr="0038260D">
        <w:t>The test criterion was not consequential because it was not necessary to demonstrate SSC functionality.</w:t>
      </w:r>
    </w:p>
    <w:p w14:paraId="05F8F92D" w14:textId="77777777" w:rsidR="00B11A7D" w:rsidRPr="0038260D" w:rsidRDefault="00B11A7D" w:rsidP="004A0621">
      <w:pPr>
        <w:pStyle w:val="Guidance"/>
      </w:pPr>
      <w:r w:rsidRPr="0038260D">
        <w:t>Not minor if:</w:t>
      </w:r>
    </w:p>
    <w:p w14:paraId="3B7BF18A" w14:textId="77777777" w:rsidR="00B11A7D" w:rsidRPr="0038260D" w:rsidRDefault="00B11A7D" w:rsidP="00A06502">
      <w:pPr>
        <w:pStyle w:val="BodyText"/>
      </w:pPr>
      <w:r w:rsidRPr="0038260D">
        <w:t>Failing to meet the acceptance criterion made the SSC’s functionality unacceptable or indeterminate without a detailed engineering evaluation.</w:t>
      </w:r>
    </w:p>
    <w:p w14:paraId="1CEE0BD5" w14:textId="7162FC07" w:rsidR="00B11A7D" w:rsidRPr="00916453" w:rsidRDefault="00B11A7D" w:rsidP="00916453">
      <w:pPr>
        <w:pStyle w:val="Example"/>
      </w:pPr>
      <w:r w:rsidRPr="00916453">
        <w:t xml:space="preserve">EXAMPLE 9: Material Control </w:t>
      </w:r>
    </w:p>
    <w:p w14:paraId="7348B5E7" w14:textId="298E2940"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477762B7" w14:textId="77777777" w:rsidR="00B11A7D" w:rsidRPr="0038260D" w:rsidRDefault="00B11A7D" w:rsidP="00A06502">
      <w:pPr>
        <w:pStyle w:val="BodyText"/>
      </w:pPr>
      <w:r>
        <w:t>License or permit holder</w:t>
      </w:r>
      <w:r w:rsidRPr="0038260D">
        <w:t xml:space="preserve"> procedures require that all safety-related </w:t>
      </w:r>
      <w:r>
        <w:t xml:space="preserve">and safety-significant </w:t>
      </w:r>
      <w:r w:rsidRPr="0038260D">
        <w:t>structural steel be stored off the ground to prevent corrosion. The inspectors identified structural steel that was lying directly on the ground.</w:t>
      </w:r>
    </w:p>
    <w:p w14:paraId="4A12F3CD" w14:textId="77777777" w:rsidR="00B11A7D" w:rsidRPr="0038260D" w:rsidRDefault="00B11A7D" w:rsidP="004A0621">
      <w:pPr>
        <w:pStyle w:val="Guidance"/>
      </w:pPr>
      <w:r w:rsidRPr="0038260D">
        <w:t>Minor because:</w:t>
      </w:r>
    </w:p>
    <w:p w14:paraId="541FD9D6" w14:textId="5D65F4C7" w:rsidR="00B11A7D" w:rsidRPr="0038260D" w:rsidRDefault="00B11A7D" w:rsidP="00A06502">
      <w:pPr>
        <w:pStyle w:val="BodyText"/>
      </w:pPr>
      <w:r w:rsidRPr="0038260D">
        <w:t xml:space="preserve">The steel </w:t>
      </w:r>
      <w:r w:rsidR="00D9099C">
        <w:t>has</w:t>
      </w:r>
      <w:r w:rsidRPr="0038260D">
        <w:t xml:space="preserve"> no damage that would require a detailed engineering evaluation to determine the adequacy of the structural steel to perform its intended safety-related or safety-significant function.</w:t>
      </w:r>
    </w:p>
    <w:p w14:paraId="64F4C2D4" w14:textId="77777777" w:rsidR="00B11A7D" w:rsidRPr="0038260D" w:rsidRDefault="00B11A7D" w:rsidP="004A0621">
      <w:pPr>
        <w:pStyle w:val="Guidance"/>
      </w:pPr>
      <w:r w:rsidRPr="0038260D">
        <w:t>Not minor if:</w:t>
      </w:r>
    </w:p>
    <w:p w14:paraId="1CE321EC" w14:textId="77777777" w:rsidR="00B11A7D" w:rsidRPr="0038260D" w:rsidRDefault="00B11A7D" w:rsidP="00A06502">
      <w:pPr>
        <w:pStyle w:val="BodyText"/>
      </w:pPr>
      <w:r w:rsidRPr="0038260D">
        <w:t>The structural steel was damaged such that a detailed engineering evaluation, re-design, or repair was necessary to establish the adequacy of the structural steel to perform its function.</w:t>
      </w:r>
    </w:p>
    <w:p w14:paraId="50992B95" w14:textId="214BC61B" w:rsidR="00B11A7D" w:rsidRPr="00916453" w:rsidRDefault="00B11A7D" w:rsidP="00916453">
      <w:pPr>
        <w:pStyle w:val="Example"/>
      </w:pPr>
      <w:r w:rsidRPr="00916453">
        <w:lastRenderedPageBreak/>
        <w:t>EXAMPLE 10: Corrective Actions</w:t>
      </w:r>
    </w:p>
    <w:p w14:paraId="1F29CC98" w14:textId="14A717D9"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219AB86A" w14:textId="69710075" w:rsidR="00B11A7D" w:rsidRPr="0038260D" w:rsidRDefault="00B11A7D" w:rsidP="00A06502">
      <w:pPr>
        <w:pStyle w:val="BodyText"/>
      </w:pPr>
      <w:r w:rsidRPr="0038260D">
        <w:t xml:space="preserve">The inspectors identified that the </w:t>
      </w:r>
      <w:r>
        <w:t>license or permit holder</w:t>
      </w:r>
      <w:r w:rsidRPr="0038260D">
        <w:t xml:space="preserve"> failed to initiate a </w:t>
      </w:r>
      <w:r w:rsidR="000709CD">
        <w:t>noncomp</w:t>
      </w:r>
      <w:r w:rsidR="003F54D0">
        <w:t>liance</w:t>
      </w:r>
      <w:r w:rsidRPr="0038260D">
        <w:t xml:space="preserve"> report for a self-identified </w:t>
      </w:r>
      <w:r w:rsidR="000709CD">
        <w:t>noncomp</w:t>
      </w:r>
      <w:r w:rsidR="003F54D0">
        <w:t>liance</w:t>
      </w:r>
      <w:r w:rsidRPr="0038260D">
        <w:t xml:space="preserve"> discovered during an inspection of an SSC.</w:t>
      </w:r>
    </w:p>
    <w:p w14:paraId="47A18224" w14:textId="77777777" w:rsidR="00B11A7D" w:rsidRPr="0038260D" w:rsidRDefault="00B11A7D" w:rsidP="004A0621">
      <w:pPr>
        <w:pStyle w:val="Guidance"/>
      </w:pPr>
      <w:r w:rsidRPr="0038260D">
        <w:t>Minor because:</w:t>
      </w:r>
    </w:p>
    <w:p w14:paraId="1A0A6B6F" w14:textId="4A124E3B" w:rsidR="00B11A7D" w:rsidRPr="0038260D" w:rsidRDefault="00B11A7D" w:rsidP="00A06502">
      <w:pPr>
        <w:pStyle w:val="BodyText"/>
      </w:pPr>
      <w:r w:rsidRPr="0038260D">
        <w:t xml:space="preserve">The issue meets the criteria for a Self-identified Construction </w:t>
      </w:r>
      <w:r w:rsidR="000709CD">
        <w:t>Noncomp</w:t>
      </w:r>
      <w:r w:rsidR="003F54D0">
        <w:t>liance</w:t>
      </w:r>
      <w:r w:rsidRPr="0038260D">
        <w:t xml:space="preserve"> (SCN) since workers met the QAP requirements for documentation and/or resolution of the </w:t>
      </w:r>
      <w:r w:rsidR="000709CD">
        <w:t>noncomp</w:t>
      </w:r>
      <w:r w:rsidR="003F54D0">
        <w:t>liance</w:t>
      </w:r>
      <w:r w:rsidRPr="0038260D">
        <w:t xml:space="preserve"> through other means</w:t>
      </w:r>
      <w:r>
        <w:t>;</w:t>
      </w:r>
      <w:r w:rsidRPr="0038260D">
        <w:t xml:space="preserve"> or</w:t>
      </w:r>
    </w:p>
    <w:p w14:paraId="1CC83853" w14:textId="09B228E8" w:rsidR="00B11A7D" w:rsidRPr="0038260D" w:rsidRDefault="00B11A7D" w:rsidP="00A06502">
      <w:pPr>
        <w:pStyle w:val="BodyText"/>
      </w:pPr>
      <w:r w:rsidRPr="0038260D">
        <w:t xml:space="preserve">The </w:t>
      </w:r>
      <w:r w:rsidR="000709CD">
        <w:t>noncomp</w:t>
      </w:r>
      <w:r w:rsidR="003F54D0">
        <w:t>liance</w:t>
      </w:r>
      <w:r w:rsidRPr="0038260D">
        <w:t xml:space="preserve"> does not make functionality of an SSC unacceptable or indeterminate.</w:t>
      </w:r>
    </w:p>
    <w:p w14:paraId="48258811" w14:textId="77777777" w:rsidR="00B11A7D" w:rsidRPr="0038260D" w:rsidRDefault="00B11A7D" w:rsidP="004A0621">
      <w:pPr>
        <w:pStyle w:val="Guidance"/>
      </w:pPr>
      <w:r w:rsidRPr="0038260D">
        <w:t>Not minor if:</w:t>
      </w:r>
    </w:p>
    <w:p w14:paraId="62E1CBB1" w14:textId="4556AF38" w:rsidR="00B11A7D" w:rsidRPr="0038260D" w:rsidRDefault="00B11A7D" w:rsidP="00A06502">
      <w:pPr>
        <w:pStyle w:val="BodyText"/>
      </w:pPr>
      <w:r w:rsidRPr="0038260D">
        <w:t xml:space="preserve">The issue does not meet the criteria for a Self-identified Construction </w:t>
      </w:r>
      <w:r w:rsidR="000709CD">
        <w:t>Noncomp</w:t>
      </w:r>
      <w:r w:rsidR="003F54D0">
        <w:t>liance</w:t>
      </w:r>
      <w:r w:rsidRPr="0038260D">
        <w:t xml:space="preserve"> (SCN)</w:t>
      </w:r>
      <w:r>
        <w:t xml:space="preserve"> because the </w:t>
      </w:r>
      <w:r w:rsidRPr="0038260D">
        <w:t xml:space="preserve">workers failed to meet the QAP requirements for documentation </w:t>
      </w:r>
      <w:r>
        <w:t xml:space="preserve">and resolution </w:t>
      </w:r>
      <w:r w:rsidRPr="0038260D">
        <w:t xml:space="preserve">of the </w:t>
      </w:r>
      <w:r w:rsidR="000709CD">
        <w:t>noncomp</w:t>
      </w:r>
      <w:r w:rsidR="003F54D0">
        <w:t>liance</w:t>
      </w:r>
      <w:r w:rsidRPr="0038260D">
        <w:t xml:space="preserve">, and the </w:t>
      </w:r>
      <w:r w:rsidR="000709CD">
        <w:t>noncomp</w:t>
      </w:r>
      <w:r w:rsidR="003F54D0">
        <w:t>liance</w:t>
      </w:r>
      <w:r w:rsidRPr="0038260D">
        <w:t xml:space="preserve"> makes </w:t>
      </w:r>
      <w:proofErr w:type="gramStart"/>
      <w:r w:rsidRPr="0038260D">
        <w:t>an SSC’s</w:t>
      </w:r>
      <w:proofErr w:type="gramEnd"/>
      <w:r w:rsidRPr="0038260D">
        <w:t xml:space="preserve"> functionality unacceptable or indeterminate.</w:t>
      </w:r>
    </w:p>
    <w:p w14:paraId="0B502523" w14:textId="3D8C8BAC" w:rsidR="00B11A7D" w:rsidRPr="00916453" w:rsidRDefault="00B11A7D" w:rsidP="00916453">
      <w:pPr>
        <w:pStyle w:val="Example"/>
      </w:pPr>
      <w:r w:rsidRPr="00916453">
        <w:t>EXAMPLE 11: Computer Software</w:t>
      </w:r>
    </w:p>
    <w:p w14:paraId="1CAD6F68" w14:textId="694A8D3D"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w:t>
      </w:r>
    </w:p>
    <w:p w14:paraId="4497AB64" w14:textId="77777777" w:rsidR="00B11A7D" w:rsidRPr="0038260D" w:rsidRDefault="00B11A7D" w:rsidP="00A06502">
      <w:pPr>
        <w:pStyle w:val="BodyText"/>
      </w:pPr>
      <w:r w:rsidRPr="0038260D">
        <w:t>The inspectors identified an anomaly in the Software Requirement Specification which was inconsistent with system requirements.</w:t>
      </w:r>
    </w:p>
    <w:p w14:paraId="09970787" w14:textId="77777777" w:rsidR="00B11A7D" w:rsidRPr="0038260D" w:rsidRDefault="00B11A7D" w:rsidP="004A0621">
      <w:pPr>
        <w:pStyle w:val="Guidance"/>
      </w:pPr>
      <w:r w:rsidRPr="0038260D">
        <w:t>Minor because:</w:t>
      </w:r>
    </w:p>
    <w:p w14:paraId="0208849D" w14:textId="77777777" w:rsidR="00B11A7D" w:rsidRPr="0038260D" w:rsidRDefault="00B11A7D" w:rsidP="00A06502">
      <w:pPr>
        <w:pStyle w:val="BodyText"/>
      </w:pPr>
      <w:r w:rsidRPr="0038260D">
        <w:t>The anomaly does not make a safety-related or safety-significant system nonfunctional or of indeterminate functionality</w:t>
      </w:r>
      <w:r>
        <w:t>;</w:t>
      </w:r>
      <w:r w:rsidRPr="0038260D">
        <w:t xml:space="preserve"> or</w:t>
      </w:r>
    </w:p>
    <w:p w14:paraId="1BD421DA" w14:textId="77777777" w:rsidR="00B11A7D" w:rsidRPr="0038260D" w:rsidRDefault="00B11A7D" w:rsidP="005D22B2">
      <w:pPr>
        <w:pStyle w:val="BodyText3"/>
        <w:ind w:left="0"/>
        <w:rPr>
          <w:rFonts w:cs="Arial"/>
        </w:rPr>
      </w:pPr>
      <w:r w:rsidRPr="0038260D">
        <w:rPr>
          <w:rFonts w:cs="Arial"/>
        </w:rPr>
        <w:t>The anomaly was more conservative than the system requirements.</w:t>
      </w:r>
    </w:p>
    <w:p w14:paraId="34235F1F" w14:textId="77777777" w:rsidR="00B11A7D" w:rsidRPr="0038260D" w:rsidRDefault="00B11A7D" w:rsidP="004A0621">
      <w:pPr>
        <w:pStyle w:val="Guidance"/>
      </w:pPr>
      <w:r w:rsidRPr="0038260D">
        <w:t>Not minor if:</w:t>
      </w:r>
    </w:p>
    <w:p w14:paraId="4C04F836" w14:textId="77777777" w:rsidR="00B11A7D" w:rsidRPr="0038260D" w:rsidRDefault="00B11A7D" w:rsidP="00A06502">
      <w:pPr>
        <w:pStyle w:val="BodyText"/>
      </w:pPr>
      <w:r w:rsidRPr="0038260D">
        <w:t>The anomaly makes a safety-related or safety-significant SSC’s functionality unacceptable or indeterminate.</w:t>
      </w:r>
    </w:p>
    <w:p w14:paraId="75B3022F" w14:textId="7F6EFE18" w:rsidR="00B11A7D" w:rsidRPr="00916453" w:rsidRDefault="00B11A7D" w:rsidP="00916453">
      <w:pPr>
        <w:pStyle w:val="Example"/>
      </w:pPr>
      <w:r w:rsidRPr="00916453">
        <w:t>EXAMPLE 12a: Code Requirement (not ITAAC related)</w:t>
      </w:r>
    </w:p>
    <w:p w14:paraId="6F67CBB8" w14:textId="068C6DF2"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 xml:space="preserve">: </w:t>
      </w:r>
    </w:p>
    <w:p w14:paraId="7BFF3B6A" w14:textId="7F466C61" w:rsidR="00B11A7D" w:rsidRPr="0038260D" w:rsidRDefault="00B11A7D" w:rsidP="00A06502">
      <w:pPr>
        <w:pStyle w:val="BodyText"/>
      </w:pPr>
      <w:r w:rsidRPr="0038260D">
        <w:t xml:space="preserve">The inspectors identified that the </w:t>
      </w:r>
      <w:r>
        <w:t>license or permit holder</w:t>
      </w:r>
      <w:r w:rsidRPr="0038260D">
        <w:t xml:space="preserve"> failed to meet a </w:t>
      </w:r>
      <w:r>
        <w:t>c</w:t>
      </w:r>
      <w:r w:rsidRPr="0038260D">
        <w:t xml:space="preserve">ode requirement specified in the licensing basis. </w:t>
      </w:r>
    </w:p>
    <w:p w14:paraId="09974F2B" w14:textId="77777777" w:rsidR="00B11A7D" w:rsidRPr="0038260D" w:rsidRDefault="00B11A7D" w:rsidP="004A0621">
      <w:pPr>
        <w:pStyle w:val="Guidance"/>
      </w:pPr>
      <w:r w:rsidRPr="0038260D">
        <w:lastRenderedPageBreak/>
        <w:t xml:space="preserve">Minor because: </w:t>
      </w:r>
    </w:p>
    <w:p w14:paraId="0CC4C944" w14:textId="64F6963D" w:rsidR="00B11A7D" w:rsidRPr="0038260D" w:rsidRDefault="00B11A7D" w:rsidP="00A06502">
      <w:pPr>
        <w:pStyle w:val="BodyText"/>
      </w:pPr>
      <w:r w:rsidRPr="0038260D">
        <w:t xml:space="preserve">The code </w:t>
      </w:r>
      <w:r w:rsidR="000709CD">
        <w:t>noncomp</w:t>
      </w:r>
      <w:r w:rsidR="003F54D0">
        <w:t>liance</w:t>
      </w:r>
      <w:r w:rsidRPr="0038260D">
        <w:t xml:space="preserve"> did not make the functionality of the SSC unacceptable or indeterminate, or</w:t>
      </w:r>
    </w:p>
    <w:p w14:paraId="7469E25C" w14:textId="77777777" w:rsidR="00B11A7D" w:rsidRPr="0038260D" w:rsidRDefault="00B11A7D" w:rsidP="00A06502">
      <w:pPr>
        <w:pStyle w:val="BodyText"/>
      </w:pPr>
      <w:r w:rsidRPr="0038260D">
        <w:t xml:space="preserve">The as-built SSC was more conservative than the design requirements. </w:t>
      </w:r>
    </w:p>
    <w:p w14:paraId="1D1DC727" w14:textId="77777777" w:rsidR="00B11A7D" w:rsidRPr="0038260D" w:rsidRDefault="00B11A7D" w:rsidP="004A0621">
      <w:pPr>
        <w:pStyle w:val="Guidance"/>
      </w:pPr>
      <w:r w:rsidRPr="0038260D">
        <w:t xml:space="preserve">Not minor if: </w:t>
      </w:r>
    </w:p>
    <w:p w14:paraId="1A6DF405" w14:textId="77777777" w:rsidR="00B11A7D" w:rsidRPr="0038260D" w:rsidRDefault="00B11A7D" w:rsidP="00A06502">
      <w:pPr>
        <w:pStyle w:val="BodyText"/>
      </w:pPr>
      <w:r w:rsidRPr="0038260D">
        <w:t>Functionality of the SSC could only be demonstrated by performing a detailed engineering evaluation</w:t>
      </w:r>
      <w:r>
        <w:t>.</w:t>
      </w:r>
      <w:r w:rsidRPr="0038260D">
        <w:t xml:space="preserve"> </w:t>
      </w:r>
    </w:p>
    <w:p w14:paraId="073716EC" w14:textId="114924B2" w:rsidR="00B11A7D" w:rsidRPr="00916453" w:rsidRDefault="00B11A7D" w:rsidP="00916453">
      <w:pPr>
        <w:pStyle w:val="Example"/>
      </w:pPr>
      <w:r w:rsidRPr="00916453">
        <w:t>EXAMPLE 12b: Code Requirement (ITAAC related)</w:t>
      </w:r>
    </w:p>
    <w:p w14:paraId="67770A90" w14:textId="7536F9B7"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 xml:space="preserve">: </w:t>
      </w:r>
    </w:p>
    <w:p w14:paraId="5CDD244E" w14:textId="03ADEDDE" w:rsidR="00B11A7D" w:rsidRPr="0038260D" w:rsidRDefault="00B11A7D" w:rsidP="00A06502">
      <w:pPr>
        <w:pStyle w:val="BodyText"/>
      </w:pPr>
      <w:r w:rsidRPr="0038260D">
        <w:t xml:space="preserve">The inspectors identified that the </w:t>
      </w:r>
      <w:r>
        <w:t>license or permit holder</w:t>
      </w:r>
      <w:r w:rsidRPr="0038260D">
        <w:t xml:space="preserve"> failed to meet a </w:t>
      </w:r>
      <w:r>
        <w:t>c</w:t>
      </w:r>
      <w:r w:rsidRPr="0038260D">
        <w:t xml:space="preserve">ode requirement specified in the acceptance criteria of </w:t>
      </w:r>
      <w:proofErr w:type="gramStart"/>
      <w:r w:rsidRPr="0038260D">
        <w:t>an ITAAC</w:t>
      </w:r>
      <w:proofErr w:type="gramEnd"/>
      <w:r w:rsidRPr="0038260D">
        <w:t xml:space="preserve">. </w:t>
      </w:r>
    </w:p>
    <w:p w14:paraId="2AC6B70E" w14:textId="77777777" w:rsidR="00B11A7D" w:rsidRPr="0038260D" w:rsidRDefault="00B11A7D" w:rsidP="004A0621">
      <w:pPr>
        <w:pStyle w:val="Guidance"/>
      </w:pPr>
      <w:r w:rsidRPr="0038260D">
        <w:t xml:space="preserve">Minor because: </w:t>
      </w:r>
    </w:p>
    <w:p w14:paraId="24694B16" w14:textId="5E94C00B" w:rsidR="00B11A7D" w:rsidRPr="0038260D" w:rsidRDefault="00B11A7D" w:rsidP="00A06502">
      <w:pPr>
        <w:pStyle w:val="BodyText"/>
      </w:pPr>
      <w:r w:rsidRPr="0038260D">
        <w:t xml:space="preserve">The code </w:t>
      </w:r>
      <w:r w:rsidR="000709CD">
        <w:t>noncomp</w:t>
      </w:r>
      <w:r w:rsidR="003F54D0">
        <w:t>liance</w:t>
      </w:r>
      <w:r w:rsidRPr="0038260D">
        <w:t xml:space="preserve"> did not make the functionality of the SSC unacceptable or indeterminate</w:t>
      </w:r>
      <w:r>
        <w:t>;</w:t>
      </w:r>
      <w:r w:rsidRPr="0038260D">
        <w:t xml:space="preserve"> or</w:t>
      </w:r>
    </w:p>
    <w:p w14:paraId="76724AE7" w14:textId="77777777" w:rsidR="00B11A7D" w:rsidRPr="0038260D" w:rsidRDefault="00B11A7D" w:rsidP="00A06502">
      <w:pPr>
        <w:pStyle w:val="BodyText"/>
      </w:pPr>
      <w:r w:rsidRPr="0038260D">
        <w:t xml:space="preserve">The as-built SSC was more conservative than the design requirements. </w:t>
      </w:r>
    </w:p>
    <w:p w14:paraId="19B07DCD" w14:textId="77777777" w:rsidR="00B11A7D" w:rsidRPr="0038260D" w:rsidRDefault="00B11A7D" w:rsidP="004A0621">
      <w:pPr>
        <w:pStyle w:val="Guidance"/>
      </w:pPr>
      <w:r w:rsidRPr="0038260D">
        <w:t xml:space="preserve">Not minor if: </w:t>
      </w:r>
    </w:p>
    <w:p w14:paraId="22D6DAF2" w14:textId="58CC33B0" w:rsidR="00B11A7D" w:rsidRPr="0038260D" w:rsidRDefault="00B11A7D" w:rsidP="00A06502">
      <w:pPr>
        <w:pStyle w:val="BodyText"/>
      </w:pPr>
      <w:r>
        <w:t xml:space="preserve">The SSC was not </w:t>
      </w:r>
      <w:proofErr w:type="gramStart"/>
      <w:r>
        <w:t>functional</w:t>
      </w:r>
      <w:proofErr w:type="gramEnd"/>
      <w:r>
        <w:t xml:space="preserve"> or f</w:t>
      </w:r>
      <w:r w:rsidRPr="0038260D">
        <w:t>unctionality could only be demonstrated with a detailed engineering evaluation</w:t>
      </w:r>
      <w:r w:rsidR="007D6AEC">
        <w:t>.</w:t>
      </w:r>
    </w:p>
    <w:p w14:paraId="279A359B" w14:textId="1594CF9D" w:rsidR="00B11A7D" w:rsidRPr="00916453" w:rsidRDefault="00B11A7D" w:rsidP="00916453">
      <w:pPr>
        <w:pStyle w:val="Example"/>
      </w:pPr>
      <w:r w:rsidRPr="00916453">
        <w:t xml:space="preserve">EXAMPLE 13: Measuring and Test Equipment (M&amp;TE) </w:t>
      </w:r>
    </w:p>
    <w:p w14:paraId="62073DEB" w14:textId="6C1939D8" w:rsidR="00B11A7D" w:rsidRPr="0038260D" w:rsidRDefault="000709CD" w:rsidP="004A0621">
      <w:pPr>
        <w:pStyle w:val="Guidance"/>
        <w:rPr>
          <w:rFonts w:cs="Arial"/>
        </w:rPr>
      </w:pPr>
      <w:r>
        <w:rPr>
          <w:rFonts w:cs="Arial"/>
        </w:rPr>
        <w:t>Noncomp</w:t>
      </w:r>
      <w:r w:rsidR="003F54D0">
        <w:rPr>
          <w:rFonts w:cs="Arial"/>
        </w:rPr>
        <w:t>liance</w:t>
      </w:r>
      <w:r w:rsidR="00B11A7D" w:rsidRPr="0038260D">
        <w:rPr>
          <w:rFonts w:cs="Arial"/>
        </w:rPr>
        <w:t xml:space="preserve">: </w:t>
      </w:r>
    </w:p>
    <w:p w14:paraId="4ADF4C91" w14:textId="77777777" w:rsidR="00B11A7D" w:rsidRPr="0038260D" w:rsidRDefault="00B11A7D" w:rsidP="00A06502">
      <w:pPr>
        <w:pStyle w:val="BodyText"/>
      </w:pPr>
      <w:r w:rsidRPr="0038260D">
        <w:t>Equipment used during testing was found to not meet procedure requirements (e.g., the M&amp;TE was not calibrated within the required periodicity).</w:t>
      </w:r>
    </w:p>
    <w:p w14:paraId="73893B9A" w14:textId="77777777" w:rsidR="00B11A7D" w:rsidRPr="0038260D" w:rsidRDefault="00B11A7D" w:rsidP="004A0621">
      <w:pPr>
        <w:pStyle w:val="Guidance"/>
      </w:pPr>
      <w:r w:rsidRPr="0038260D">
        <w:t>Minor because:</w:t>
      </w:r>
    </w:p>
    <w:p w14:paraId="4702AF9C" w14:textId="77777777" w:rsidR="00195102" w:rsidRDefault="00B11A7D" w:rsidP="00A06502">
      <w:pPr>
        <w:pStyle w:val="BodyText"/>
      </w:pPr>
      <w:r w:rsidRPr="0038260D">
        <w:t xml:space="preserve">Subsequent testing with correctly calibrated </w:t>
      </w:r>
      <w:r>
        <w:t>MT&amp;E</w:t>
      </w:r>
      <w:r w:rsidRPr="0038260D">
        <w:t xml:space="preserve"> show</w:t>
      </w:r>
      <w:r>
        <w:t>ed</w:t>
      </w:r>
      <w:r w:rsidRPr="0038260D">
        <w:t xml:space="preserve"> that the original test results were more conservative or did not substantially alter the test result</w:t>
      </w:r>
      <w:r w:rsidR="00195102">
        <w:t>s, or</w:t>
      </w:r>
    </w:p>
    <w:p w14:paraId="72C0767B" w14:textId="02BA68E5" w:rsidR="00B11A7D" w:rsidRPr="0038260D" w:rsidRDefault="00394275" w:rsidP="00A06502">
      <w:pPr>
        <w:pStyle w:val="BodyText"/>
      </w:pPr>
      <w:r>
        <w:t xml:space="preserve">The MT&amp;E was </w:t>
      </w:r>
      <w:r w:rsidR="00961654">
        <w:t xml:space="preserve">later </w:t>
      </w:r>
      <w:r>
        <w:t>found to be in calibration when checked.</w:t>
      </w:r>
      <w:r w:rsidR="00195102" w:rsidRPr="0038260D" w:rsidDel="00195102">
        <w:t xml:space="preserve"> </w:t>
      </w:r>
    </w:p>
    <w:p w14:paraId="5C8E507B" w14:textId="77777777" w:rsidR="00B11A7D" w:rsidRPr="0038260D" w:rsidRDefault="00B11A7D" w:rsidP="004A0621">
      <w:pPr>
        <w:pStyle w:val="Guidance"/>
      </w:pPr>
      <w:r w:rsidRPr="0038260D">
        <w:t>Not minor if:</w:t>
      </w:r>
    </w:p>
    <w:p w14:paraId="5AB26C01" w14:textId="77777777" w:rsidR="00B11A7D" w:rsidRPr="0038260D" w:rsidRDefault="00B11A7D" w:rsidP="00A06502">
      <w:pPr>
        <w:pStyle w:val="BodyText"/>
      </w:pPr>
      <w:r w:rsidRPr="0038260D">
        <w:t xml:space="preserve">Subsequent testing with the correct </w:t>
      </w:r>
      <w:r>
        <w:t>MT&amp;E</w:t>
      </w:r>
      <w:r w:rsidRPr="0038260D">
        <w:t xml:space="preserve"> results in a nonconservative substantial change in the test results (e.g., a test that passed previously now fails to meet the acceptance criteria)</w:t>
      </w:r>
      <w:r>
        <w:t>;</w:t>
      </w:r>
      <w:r w:rsidRPr="0038260D">
        <w:t xml:space="preserve"> or </w:t>
      </w:r>
    </w:p>
    <w:p w14:paraId="09E63CBB" w14:textId="77777777" w:rsidR="00B11A7D" w:rsidRPr="0038260D" w:rsidRDefault="00B11A7D" w:rsidP="00A06502">
      <w:pPr>
        <w:pStyle w:val="BodyText"/>
      </w:pPr>
      <w:r w:rsidRPr="0038260D">
        <w:lastRenderedPageBreak/>
        <w:t xml:space="preserve">The use of incorrect test equipment resulted in substantial damage to an SSC. </w:t>
      </w:r>
    </w:p>
    <w:p w14:paraId="779E8810" w14:textId="16D5A49B" w:rsidR="006B4535" w:rsidRPr="00916453" w:rsidRDefault="006B4535" w:rsidP="00916453">
      <w:pPr>
        <w:pStyle w:val="Example"/>
      </w:pPr>
      <w:r w:rsidRPr="00916453">
        <w:t xml:space="preserve">EXAMPLE </w:t>
      </w:r>
      <w:r w:rsidR="00264673" w:rsidRPr="00916453">
        <w:t>14</w:t>
      </w:r>
      <w:r w:rsidRPr="00916453">
        <w:t>: Operational Program Nonconformance</w:t>
      </w:r>
    </w:p>
    <w:p w14:paraId="07D9F4A4" w14:textId="196AF966" w:rsidR="006B4535" w:rsidRDefault="000709CD" w:rsidP="004A0621">
      <w:pPr>
        <w:pStyle w:val="Guidance"/>
      </w:pPr>
      <w:r>
        <w:t>Noncomp</w:t>
      </w:r>
      <w:r w:rsidR="003F54D0">
        <w:t>liance</w:t>
      </w:r>
      <w:r w:rsidR="006B4535" w:rsidRPr="003C4448">
        <w:t>:</w:t>
      </w:r>
    </w:p>
    <w:p w14:paraId="4F8AFD09" w14:textId="6CFEEB4E" w:rsidR="006B4535" w:rsidRPr="003A4C7F" w:rsidRDefault="00C821D8" w:rsidP="00A06502">
      <w:pPr>
        <w:pStyle w:val="BodyText"/>
      </w:pPr>
      <w:r>
        <w:t xml:space="preserve">Fire protection </w:t>
      </w:r>
      <w:r w:rsidR="00BC1255">
        <w:t>equipment</w:t>
      </w:r>
      <w:r>
        <w:t xml:space="preserve"> </w:t>
      </w:r>
      <w:r w:rsidR="00BC1255">
        <w:t>is</w:t>
      </w:r>
      <w:r>
        <w:t xml:space="preserve"> not installed according to design drawings.</w:t>
      </w:r>
    </w:p>
    <w:p w14:paraId="221A2AB9" w14:textId="77777777" w:rsidR="006B4535" w:rsidRDefault="006B4535" w:rsidP="004A0621">
      <w:pPr>
        <w:pStyle w:val="Guidance"/>
      </w:pPr>
      <w:r w:rsidRPr="00E02AB6">
        <w:t>Minor because:</w:t>
      </w:r>
    </w:p>
    <w:p w14:paraId="7B0C7544" w14:textId="3C711F37" w:rsidR="00C77CCE" w:rsidRDefault="00C77CCE" w:rsidP="00A06502">
      <w:pPr>
        <w:pStyle w:val="BodyText"/>
      </w:pPr>
      <w:r>
        <w:t xml:space="preserve">The fire protection program has not been implemented, or </w:t>
      </w:r>
    </w:p>
    <w:p w14:paraId="60E5B6A0" w14:textId="55F5ACFE" w:rsidR="006B4535" w:rsidRPr="009B0DD3" w:rsidRDefault="00C821D8" w:rsidP="00A06502">
      <w:pPr>
        <w:pStyle w:val="BodyText"/>
      </w:pPr>
      <w:r>
        <w:t xml:space="preserve">The fire protection </w:t>
      </w:r>
      <w:r w:rsidR="00C77CCE">
        <w:t xml:space="preserve">program has been implemented, but the fire protection </w:t>
      </w:r>
      <w:r>
        <w:t xml:space="preserve">equipment is installed in a manner that supports all fire protection program objectives. In other words, the functionality of the fire protection equipment is unaffected by the installation </w:t>
      </w:r>
      <w:r w:rsidR="000709CD">
        <w:t>noncomp</w:t>
      </w:r>
      <w:r w:rsidR="003F54D0">
        <w:t>liance</w:t>
      </w:r>
      <w:r w:rsidR="00BC1255">
        <w:t xml:space="preserve"> and adequate equipment protection from fires is maintained</w:t>
      </w:r>
      <w:r>
        <w:t>.</w:t>
      </w:r>
    </w:p>
    <w:p w14:paraId="679BF389" w14:textId="77777777" w:rsidR="006B4535" w:rsidRDefault="006B4535" w:rsidP="004A0621">
      <w:pPr>
        <w:pStyle w:val="Guidance"/>
      </w:pPr>
      <w:r w:rsidRPr="00E02AB6">
        <w:t>Not minor if:</w:t>
      </w:r>
    </w:p>
    <w:p w14:paraId="2E8FCA54" w14:textId="08DA3834" w:rsidR="00BC1255" w:rsidRDefault="00C77CCE" w:rsidP="00A06502">
      <w:pPr>
        <w:pStyle w:val="BodyText"/>
      </w:pPr>
      <w:r>
        <w:t xml:space="preserve">The fire protection program has been </w:t>
      </w:r>
      <w:r w:rsidR="00002F84">
        <w:t>implemented,</w:t>
      </w:r>
      <w:r>
        <w:t xml:space="preserve"> and t</w:t>
      </w:r>
      <w:r w:rsidR="00C821D8">
        <w:t xml:space="preserve">he </w:t>
      </w:r>
      <w:r w:rsidR="001E19F0">
        <w:t xml:space="preserve">functionality of the </w:t>
      </w:r>
      <w:r w:rsidR="00C821D8">
        <w:t xml:space="preserve">fire protection equipment </w:t>
      </w:r>
      <w:r w:rsidR="00BC1255">
        <w:t xml:space="preserve">is </w:t>
      </w:r>
      <w:r w:rsidR="001E19F0">
        <w:t>affected such that</w:t>
      </w:r>
      <w:r w:rsidR="00BC1255">
        <w:t xml:space="preserve"> the level of protection of equipment from fires</w:t>
      </w:r>
      <w:r w:rsidR="001E19F0">
        <w:t xml:space="preserve"> is </w:t>
      </w:r>
      <w:r w:rsidR="001074EA">
        <w:t>not adequate</w:t>
      </w:r>
      <w:r w:rsidR="002F67C7">
        <w:t>.</w:t>
      </w:r>
    </w:p>
    <w:p w14:paraId="54FB7EFA" w14:textId="6BC164B8" w:rsidR="002F67C7" w:rsidRPr="00A06502" w:rsidRDefault="002F67C7" w:rsidP="00A06502">
      <w:pPr>
        <w:pStyle w:val="Example"/>
      </w:pPr>
      <w:r w:rsidRPr="00A06502">
        <w:t xml:space="preserve">EXAMPLE </w:t>
      </w:r>
      <w:r w:rsidR="00264673" w:rsidRPr="00A06502">
        <w:t>15</w:t>
      </w:r>
      <w:r w:rsidRPr="00A06502">
        <w:t>: Operational Program Nonconformance</w:t>
      </w:r>
    </w:p>
    <w:p w14:paraId="4F43195B" w14:textId="1ECD07C3" w:rsidR="002F67C7" w:rsidRDefault="000709CD" w:rsidP="004A0621">
      <w:pPr>
        <w:pStyle w:val="Guidance"/>
      </w:pPr>
      <w:r>
        <w:t>Noncomp</w:t>
      </w:r>
      <w:r w:rsidR="003F54D0">
        <w:t>liance</w:t>
      </w:r>
      <w:r w:rsidR="002F67C7" w:rsidRPr="003C4448">
        <w:t>:</w:t>
      </w:r>
      <w:r w:rsidR="002F67C7" w:rsidRPr="003A4C7F">
        <w:t xml:space="preserve"> </w:t>
      </w:r>
    </w:p>
    <w:p w14:paraId="5C309E69" w14:textId="0A6B1787" w:rsidR="002F67C7" w:rsidRPr="003A4C7F" w:rsidRDefault="002F67C7" w:rsidP="00A06502">
      <w:pPr>
        <w:pStyle w:val="BodyText"/>
      </w:pPr>
      <w:r>
        <w:t xml:space="preserve">A </w:t>
      </w:r>
      <w:r w:rsidR="001F21BC">
        <w:t xml:space="preserve">plant procedure </w:t>
      </w:r>
      <w:r w:rsidR="00E126AB">
        <w:t xml:space="preserve">for </w:t>
      </w:r>
      <w:r w:rsidR="001F21BC">
        <w:t>conduct</w:t>
      </w:r>
      <w:r w:rsidR="00E126AB">
        <w:t>ing</w:t>
      </w:r>
      <w:r w:rsidR="001F21BC">
        <w:t xml:space="preserve"> radiological releases from the plant as part of the </w:t>
      </w:r>
      <w:r>
        <w:t xml:space="preserve">radiological effluent monitoring program (REMP) references incorrect </w:t>
      </w:r>
      <w:r w:rsidR="00271261">
        <w:t xml:space="preserve">radiation </w:t>
      </w:r>
      <w:r w:rsidR="001F21BC">
        <w:t xml:space="preserve">monitoring </w:t>
      </w:r>
      <w:r>
        <w:t>instrumentation</w:t>
      </w:r>
      <w:r w:rsidR="001F21BC">
        <w:t>.</w:t>
      </w:r>
    </w:p>
    <w:p w14:paraId="503A00A1" w14:textId="0471CDCE" w:rsidR="002F67C7" w:rsidRDefault="002F67C7" w:rsidP="004A0621">
      <w:pPr>
        <w:pStyle w:val="Guidance"/>
      </w:pPr>
      <w:r w:rsidRPr="00E02AB6">
        <w:t>Minor because:</w:t>
      </w:r>
    </w:p>
    <w:p w14:paraId="5C5B0AD0" w14:textId="7EF47F69" w:rsidR="001508EC" w:rsidRDefault="001508EC" w:rsidP="00A06502">
      <w:pPr>
        <w:pStyle w:val="BodyText"/>
      </w:pPr>
      <w:r>
        <w:t>The REMP has not been implemented, or</w:t>
      </w:r>
    </w:p>
    <w:p w14:paraId="5C36FC33" w14:textId="0BCA0F1D" w:rsidR="002F67C7" w:rsidRDefault="001508EC" w:rsidP="00A06502">
      <w:pPr>
        <w:pStyle w:val="BodyText"/>
      </w:pPr>
      <w:r>
        <w:t>The REMP has been implemented, and t</w:t>
      </w:r>
      <w:r w:rsidR="00271261">
        <w:t xml:space="preserve">he procedure reference is a typographical </w:t>
      </w:r>
      <w:r w:rsidR="00485C73">
        <w:t>error,</w:t>
      </w:r>
      <w:r w:rsidR="00271261">
        <w:t xml:space="preserve"> and the correct </w:t>
      </w:r>
      <w:r w:rsidR="00485C73">
        <w:t xml:space="preserve">instrumentation would be readily </w:t>
      </w:r>
      <w:r>
        <w:t xml:space="preserve">apparent and </w:t>
      </w:r>
      <w:r w:rsidR="00485C73">
        <w:t xml:space="preserve">available when conducting </w:t>
      </w:r>
      <w:r>
        <w:t>releases</w:t>
      </w:r>
      <w:r w:rsidR="00485C73">
        <w:t>, or</w:t>
      </w:r>
    </w:p>
    <w:p w14:paraId="69AF8B44" w14:textId="1D1AD00D" w:rsidR="000F3383" w:rsidRPr="009B0DD3" w:rsidRDefault="001508EC" w:rsidP="005D22B2">
      <w:pPr>
        <w:pStyle w:val="BodyText3"/>
        <w:ind w:left="0"/>
      </w:pPr>
      <w:r w:rsidRPr="00A06502">
        <w:rPr>
          <w:rFonts w:eastAsiaTheme="minorHAnsi" w:cs="Arial"/>
        </w:rPr>
        <w:t>The REMP has been implemented, and t</w:t>
      </w:r>
      <w:r w:rsidR="00485C73" w:rsidRPr="00A06502">
        <w:rPr>
          <w:rFonts w:eastAsiaTheme="minorHAnsi" w:cs="Arial"/>
        </w:rPr>
        <w:t xml:space="preserve">he instrumentation is not relied on to </w:t>
      </w:r>
      <w:r w:rsidR="000F3383" w:rsidRPr="00A06502">
        <w:rPr>
          <w:rFonts w:eastAsiaTheme="minorHAnsi" w:cs="Arial"/>
        </w:rPr>
        <w:t>accurately</w:t>
      </w:r>
      <w:r w:rsidR="000F3383">
        <w:t xml:space="preserve"> characterize the radiological release.</w:t>
      </w:r>
    </w:p>
    <w:p w14:paraId="447616F4" w14:textId="77777777" w:rsidR="002F67C7" w:rsidRDefault="002F67C7" w:rsidP="004A0621">
      <w:pPr>
        <w:pStyle w:val="Guidance"/>
      </w:pPr>
      <w:r w:rsidRPr="00E02AB6">
        <w:t>Not minor if:</w:t>
      </w:r>
    </w:p>
    <w:p w14:paraId="015B7419" w14:textId="21B07BAF" w:rsidR="002F67C7" w:rsidRDefault="001508EC" w:rsidP="00A06502">
      <w:pPr>
        <w:pStyle w:val="BodyText"/>
      </w:pPr>
      <w:r>
        <w:t>The REMP has been implemented, and a</w:t>
      </w:r>
      <w:r w:rsidR="000F3383">
        <w:t xml:space="preserve">ccurate instrumentation </w:t>
      </w:r>
      <w:r w:rsidR="00EE6FB0">
        <w:t xml:space="preserve">is </w:t>
      </w:r>
      <w:r w:rsidR="000F3383">
        <w:t xml:space="preserve">not available to characterize </w:t>
      </w:r>
      <w:r w:rsidR="00EE6FB0">
        <w:t xml:space="preserve">a </w:t>
      </w:r>
      <w:r w:rsidR="000F3383">
        <w:t>radiological release.</w:t>
      </w:r>
    </w:p>
    <w:p w14:paraId="34F43560" w14:textId="28B42BF5" w:rsidR="00957CE9" w:rsidRPr="00916453" w:rsidRDefault="00BC1255" w:rsidP="00916453">
      <w:pPr>
        <w:pStyle w:val="Example"/>
      </w:pPr>
      <w:r>
        <w:lastRenderedPageBreak/>
        <w:t xml:space="preserve"> </w:t>
      </w:r>
      <w:r w:rsidR="00957CE9" w:rsidRPr="00916453">
        <w:t xml:space="preserve">EXAMPLE </w:t>
      </w:r>
      <w:r w:rsidR="001508EC" w:rsidRPr="00916453">
        <w:t>16</w:t>
      </w:r>
      <w:r w:rsidR="00957CE9" w:rsidRPr="00916453">
        <w:t xml:space="preserve">: Security Program </w:t>
      </w:r>
      <w:r w:rsidR="000709CD">
        <w:t>Noncomp</w:t>
      </w:r>
      <w:r w:rsidR="003F54D0" w:rsidRPr="00916453">
        <w:t>liance</w:t>
      </w:r>
    </w:p>
    <w:p w14:paraId="17B069B6" w14:textId="62B84630" w:rsidR="00957CE9" w:rsidRPr="007756D4" w:rsidRDefault="000709CD" w:rsidP="004A0621">
      <w:pPr>
        <w:pStyle w:val="Guidance"/>
        <w:rPr>
          <w:rFonts w:cs="Arial"/>
        </w:rPr>
      </w:pPr>
      <w:r>
        <w:rPr>
          <w:rFonts w:cs="Arial"/>
        </w:rPr>
        <w:t>Noncomp</w:t>
      </w:r>
      <w:r w:rsidR="003F54D0">
        <w:rPr>
          <w:rFonts w:cs="Arial"/>
        </w:rPr>
        <w:t>liance</w:t>
      </w:r>
      <w:r w:rsidR="00957CE9" w:rsidRPr="007756D4">
        <w:rPr>
          <w:rFonts w:cs="Arial"/>
        </w:rPr>
        <w:t>:</w:t>
      </w:r>
    </w:p>
    <w:p w14:paraId="65D429AE" w14:textId="77777777" w:rsidR="00957CE9" w:rsidRPr="007756D4" w:rsidRDefault="00957CE9" w:rsidP="00A06502">
      <w:pPr>
        <w:pStyle w:val="BodyText"/>
      </w:pPr>
      <w:r w:rsidRPr="007756D4">
        <w:t>A document containing Safeguards Information was mailed incorrectly.</w:t>
      </w:r>
    </w:p>
    <w:p w14:paraId="174FEBC1" w14:textId="77777777" w:rsidR="00957CE9" w:rsidRPr="007756D4" w:rsidRDefault="00957CE9" w:rsidP="004A0621">
      <w:pPr>
        <w:pStyle w:val="Guidance"/>
      </w:pPr>
      <w:r w:rsidRPr="007756D4">
        <w:t>Minor because:</w:t>
      </w:r>
    </w:p>
    <w:p w14:paraId="70140208" w14:textId="1B1B685B" w:rsidR="00957CE9" w:rsidRPr="007756D4" w:rsidRDefault="00957CE9" w:rsidP="00A06502">
      <w:pPr>
        <w:pStyle w:val="BodyText"/>
      </w:pPr>
      <w:r w:rsidRPr="007756D4">
        <w:t>A document containing Safeguards Information was mailed</w:t>
      </w:r>
      <w:r w:rsidR="002B432D">
        <w:t xml:space="preserve"> and</w:t>
      </w:r>
      <w:r w:rsidRPr="007756D4">
        <w:t xml:space="preserve"> the cover letter transmitting the Safeguards document failed to contain the appropriate Safeguards Information headers/footers and decontrol markings; however, the </w:t>
      </w:r>
      <w:r w:rsidR="00AE4460">
        <w:t>s</w:t>
      </w:r>
      <w:r w:rsidRPr="007756D4">
        <w:t>afeguards document was appropriately controlled.</w:t>
      </w:r>
    </w:p>
    <w:p w14:paraId="4A9EF294" w14:textId="77777777" w:rsidR="00957CE9" w:rsidRPr="007756D4" w:rsidRDefault="00957CE9" w:rsidP="004A0621">
      <w:pPr>
        <w:pStyle w:val="Guidance"/>
      </w:pPr>
      <w:r w:rsidRPr="007756D4">
        <w:t>Not minor if:</w:t>
      </w:r>
    </w:p>
    <w:p w14:paraId="4ECCF367" w14:textId="5548CB4F" w:rsidR="00957CE9" w:rsidRPr="007756D4" w:rsidRDefault="00957CE9" w:rsidP="00A06502">
      <w:pPr>
        <w:pStyle w:val="BodyText"/>
      </w:pPr>
      <w:r w:rsidRPr="007756D4">
        <w:t>A document containing Safeguards Information was mailed</w:t>
      </w:r>
      <w:r w:rsidR="00AE4460">
        <w:t xml:space="preserve"> and </w:t>
      </w:r>
      <w:r w:rsidRPr="007756D4">
        <w:t>the package was not properly tracked through a commercial delivery company, and it took the licensee several days to realize the document was delivered to the incorrect mailing address.</w:t>
      </w:r>
    </w:p>
    <w:p w14:paraId="32D7907F" w14:textId="33F103DF" w:rsidR="00957CE9" w:rsidRPr="00916453" w:rsidRDefault="00957CE9" w:rsidP="00916453">
      <w:pPr>
        <w:pStyle w:val="Example"/>
      </w:pPr>
      <w:r w:rsidRPr="00916453">
        <w:t xml:space="preserve">EXAMPLE </w:t>
      </w:r>
      <w:r w:rsidR="000165E5" w:rsidRPr="00916453">
        <w:t>17</w:t>
      </w:r>
      <w:r w:rsidRPr="00916453">
        <w:t xml:space="preserve">: Fitness for Duty </w:t>
      </w:r>
      <w:r w:rsidR="00A966A7" w:rsidRPr="00916453">
        <w:t xml:space="preserve">(FFD) </w:t>
      </w:r>
      <w:r w:rsidRPr="00916453">
        <w:t xml:space="preserve">Program </w:t>
      </w:r>
      <w:r w:rsidR="000709CD">
        <w:t>Noncomp</w:t>
      </w:r>
      <w:r w:rsidR="003F54D0" w:rsidRPr="00916453">
        <w:t>liance</w:t>
      </w:r>
    </w:p>
    <w:p w14:paraId="12CF1C1A" w14:textId="4AB50C54" w:rsidR="00957CE9" w:rsidRPr="007756D4" w:rsidRDefault="000709CD" w:rsidP="004A0621">
      <w:pPr>
        <w:pStyle w:val="Guidance"/>
        <w:rPr>
          <w:rFonts w:cs="Arial"/>
        </w:rPr>
      </w:pPr>
      <w:r>
        <w:rPr>
          <w:rFonts w:cs="Arial"/>
        </w:rPr>
        <w:t>Noncomp</w:t>
      </w:r>
      <w:r w:rsidR="003F54D0">
        <w:rPr>
          <w:rFonts w:cs="Arial"/>
        </w:rPr>
        <w:t>liance</w:t>
      </w:r>
      <w:r w:rsidR="00957CE9" w:rsidRPr="007756D4">
        <w:rPr>
          <w:rFonts w:cs="Arial"/>
        </w:rPr>
        <w:t>:</w:t>
      </w:r>
    </w:p>
    <w:p w14:paraId="2E75BB42" w14:textId="746E85A3" w:rsidR="00957CE9" w:rsidRPr="007756D4" w:rsidRDefault="002E048B" w:rsidP="00A06502">
      <w:pPr>
        <w:pStyle w:val="BodyText"/>
      </w:pPr>
      <w:r>
        <w:t>A</w:t>
      </w:r>
      <w:r w:rsidR="00957CE9" w:rsidRPr="007756D4">
        <w:t xml:space="preserve"> group of </w:t>
      </w:r>
      <w:r w:rsidR="002923A4">
        <w:t>workers at the site</w:t>
      </w:r>
      <w:r w:rsidR="002923A4" w:rsidRPr="007756D4">
        <w:t xml:space="preserve"> </w:t>
      </w:r>
      <w:r>
        <w:t xml:space="preserve">were not placed </w:t>
      </w:r>
      <w:r w:rsidR="00957CE9" w:rsidRPr="007756D4">
        <w:t>in the random testing program</w:t>
      </w:r>
      <w:r w:rsidR="000165E5">
        <w:t xml:space="preserve"> for </w:t>
      </w:r>
      <w:r w:rsidR="001074EA">
        <w:t>construction</w:t>
      </w:r>
      <w:r w:rsidR="00957CE9" w:rsidRPr="007756D4">
        <w:t>.</w:t>
      </w:r>
    </w:p>
    <w:p w14:paraId="759D9416" w14:textId="77777777" w:rsidR="00957CE9" w:rsidRPr="007756D4" w:rsidRDefault="00957CE9" w:rsidP="004A0621">
      <w:pPr>
        <w:pStyle w:val="Guidance"/>
      </w:pPr>
      <w:r w:rsidRPr="007756D4">
        <w:t>Minor because:</w:t>
      </w:r>
    </w:p>
    <w:p w14:paraId="39470A47" w14:textId="4E586DC7" w:rsidR="00957CE9" w:rsidRPr="007756D4" w:rsidRDefault="00957CE9" w:rsidP="00A06502">
      <w:pPr>
        <w:pStyle w:val="BodyText"/>
      </w:pPr>
      <w:r w:rsidRPr="007756D4">
        <w:t xml:space="preserve">A subsequent review of the work performed by the individuals identified that they </w:t>
      </w:r>
      <w:r w:rsidR="0082592E">
        <w:t xml:space="preserve">did </w:t>
      </w:r>
      <w:r w:rsidR="000B792A">
        <w:t xml:space="preserve">not </w:t>
      </w:r>
      <w:r w:rsidR="0082592E">
        <w:t xml:space="preserve">perform work on </w:t>
      </w:r>
      <w:r w:rsidR="0082055A">
        <w:t>safety-significant o</w:t>
      </w:r>
      <w:r w:rsidR="00C40A11">
        <w:t xml:space="preserve">r </w:t>
      </w:r>
      <w:r w:rsidRPr="007756D4">
        <w:t>security-related SSCs.</w:t>
      </w:r>
    </w:p>
    <w:p w14:paraId="75620A0D" w14:textId="77777777" w:rsidR="00957CE9" w:rsidRPr="007756D4" w:rsidRDefault="00957CE9" w:rsidP="004A0621">
      <w:pPr>
        <w:pStyle w:val="Guidance"/>
      </w:pPr>
      <w:r w:rsidRPr="007756D4">
        <w:t>Not minor if:</w:t>
      </w:r>
    </w:p>
    <w:p w14:paraId="10C66F5F" w14:textId="15890184" w:rsidR="00AF2D42" w:rsidRDefault="00957CE9" w:rsidP="00A06502">
      <w:pPr>
        <w:pStyle w:val="BodyText"/>
      </w:pPr>
      <w:r w:rsidRPr="007756D4">
        <w:t xml:space="preserve">A subsequent review of the work performed by the individuals identified that they worked on </w:t>
      </w:r>
      <w:r w:rsidR="00927CC6">
        <w:t>safety-significant</w:t>
      </w:r>
      <w:r w:rsidR="00C40A11">
        <w:t xml:space="preserve"> or</w:t>
      </w:r>
      <w:r w:rsidRPr="007756D4">
        <w:t xml:space="preserve"> security-related SSCs</w:t>
      </w:r>
      <w:r w:rsidR="00AF2D42">
        <w:t xml:space="preserve">, </w:t>
      </w:r>
      <w:r w:rsidR="00FB694F">
        <w:t xml:space="preserve">and </w:t>
      </w:r>
      <w:r w:rsidRPr="007756D4">
        <w:t xml:space="preserve">inspection of their work activities identified </w:t>
      </w:r>
      <w:r w:rsidR="00AF2D42">
        <w:t xml:space="preserve">conditions which </w:t>
      </w:r>
      <w:r w:rsidRPr="007756D4">
        <w:t>adverse</w:t>
      </w:r>
      <w:r w:rsidR="00AF2D42">
        <w:t xml:space="preserve">ly affected functionality or qualification of </w:t>
      </w:r>
      <w:r w:rsidR="00A966A7">
        <w:t>the SSCs</w:t>
      </w:r>
      <w:r w:rsidR="002642F5">
        <w:t>; or</w:t>
      </w:r>
      <w:r w:rsidRPr="007756D4">
        <w:t xml:space="preserve"> </w:t>
      </w:r>
    </w:p>
    <w:p w14:paraId="4D2880C5" w14:textId="36396AF9" w:rsidR="00957CE9" w:rsidRPr="007756D4" w:rsidRDefault="00AF2D42" w:rsidP="00A06502">
      <w:pPr>
        <w:pStyle w:val="BodyText"/>
      </w:pPr>
      <w:r>
        <w:t>A</w:t>
      </w:r>
      <w:r w:rsidR="00957CE9" w:rsidRPr="007756D4">
        <w:t xml:space="preserve"> drug/alcohol test confirmed that </w:t>
      </w:r>
      <w:r w:rsidR="00A966A7">
        <w:t>an</w:t>
      </w:r>
      <w:r w:rsidR="00A966A7" w:rsidRPr="007756D4">
        <w:t xml:space="preserve"> </w:t>
      </w:r>
      <w:r w:rsidR="00957CE9" w:rsidRPr="007756D4">
        <w:t xml:space="preserve">individual was in violation of the FFD policy while working on </w:t>
      </w:r>
      <w:r w:rsidR="00927CC6">
        <w:t xml:space="preserve">safety-significant </w:t>
      </w:r>
      <w:r w:rsidR="00A966A7">
        <w:t>or</w:t>
      </w:r>
      <w:r w:rsidR="00A966A7" w:rsidRPr="007756D4">
        <w:t xml:space="preserve"> security-related SSCs</w:t>
      </w:r>
      <w:r w:rsidR="00957CE9" w:rsidRPr="007756D4">
        <w:t>.</w:t>
      </w:r>
    </w:p>
    <w:p w14:paraId="2528BFE3" w14:textId="7151DA6C" w:rsidR="00CE229B" w:rsidRDefault="00CE229B">
      <w:pPr>
        <w:widowControl/>
        <w:autoSpaceDE/>
        <w:autoSpaceDN/>
        <w:adjustRightInd/>
        <w:rPr>
          <w:sz w:val="22"/>
          <w:szCs w:val="22"/>
        </w:rPr>
      </w:pPr>
    </w:p>
    <w:p w14:paraId="2D80C030" w14:textId="77777777" w:rsidR="003D6554" w:rsidRDefault="003D6554" w:rsidP="003D6554">
      <w:pPr>
        <w:tabs>
          <w:tab w:val="left" w:pos="3240"/>
          <w:tab w:val="left" w:pos="5674"/>
        </w:tabs>
        <w:jc w:val="center"/>
        <w:rPr>
          <w:sz w:val="22"/>
          <w:szCs w:val="22"/>
        </w:rPr>
        <w:sectPr w:rsidR="003D6554" w:rsidSect="009355C6">
          <w:headerReference w:type="even" r:id="rId44"/>
          <w:headerReference w:type="default" r:id="rId45"/>
          <w:footerReference w:type="default" r:id="rId46"/>
          <w:headerReference w:type="first" r:id="rId47"/>
          <w:pgSz w:w="12240" w:h="15840"/>
          <w:pgMar w:top="1440" w:right="1440" w:bottom="1440" w:left="1440" w:header="720" w:footer="720" w:gutter="0"/>
          <w:pgNumType w:start="1"/>
          <w:cols w:space="720"/>
          <w:noEndnote/>
          <w:docGrid w:linePitch="326"/>
        </w:sectPr>
      </w:pPr>
    </w:p>
    <w:p w14:paraId="760B699E" w14:textId="77C83C85" w:rsidR="002C359C" w:rsidRPr="00332BAF" w:rsidRDefault="003D6554" w:rsidP="007E6A68">
      <w:pPr>
        <w:pStyle w:val="attachmenttitle"/>
        <w:rPr>
          <w:b/>
          <w:bCs/>
        </w:rPr>
      </w:pPr>
      <w:bookmarkStart w:id="124" w:name="_Toc215583240"/>
      <w:bookmarkStart w:id="125" w:name="_Toc219293616"/>
      <w:r w:rsidRPr="00332BAF">
        <w:lastRenderedPageBreak/>
        <w:t xml:space="preserve">Attachment </w:t>
      </w:r>
      <w:r w:rsidR="00682658" w:rsidRPr="00332BAF">
        <w:t>3</w:t>
      </w:r>
      <w:r w:rsidRPr="00332BAF">
        <w:t xml:space="preserve">: </w:t>
      </w:r>
      <w:r w:rsidR="00252DB4" w:rsidRPr="00332BAF">
        <w:t>ARCOP Finding Significance Determination</w:t>
      </w:r>
      <w:bookmarkEnd w:id="124"/>
      <w:bookmarkEnd w:id="125"/>
    </w:p>
    <w:p w14:paraId="2EDFD932" w14:textId="48EC1B35" w:rsidR="002C359C" w:rsidRPr="00C83360" w:rsidRDefault="002C359C" w:rsidP="00A06502">
      <w:pPr>
        <w:pStyle w:val="BodyText"/>
      </w:pPr>
      <w:r w:rsidRPr="00332BAF">
        <w:t xml:space="preserve">The guidance in this </w:t>
      </w:r>
      <w:r w:rsidR="00E93964" w:rsidRPr="00332BAF">
        <w:t>attachment</w:t>
      </w:r>
      <w:r w:rsidRPr="00332BAF">
        <w:t xml:space="preserve"> shall not be used without first performing the initial screening steps specified by</w:t>
      </w:r>
      <w:r w:rsidR="00756FA4" w:rsidRPr="00332BAF">
        <w:t xml:space="preserve"> Section 07-0</w:t>
      </w:r>
      <w:r w:rsidR="00825CCE">
        <w:t>6</w:t>
      </w:r>
      <w:r w:rsidRPr="00332BAF">
        <w:t>.</w:t>
      </w:r>
      <w:r w:rsidRPr="00C83360">
        <w:t xml:space="preserve"> </w:t>
      </w:r>
    </w:p>
    <w:p w14:paraId="4DA18D2C" w14:textId="4037358D" w:rsidR="002C359C" w:rsidRDefault="00FE74B0" w:rsidP="00A06502">
      <w:pPr>
        <w:pStyle w:val="BodyText"/>
      </w:pPr>
      <w:r>
        <w:t xml:space="preserve">For findings </w:t>
      </w:r>
      <w:r w:rsidR="003B460E">
        <w:t xml:space="preserve">that impact </w:t>
      </w:r>
      <w:r w:rsidR="006B6099">
        <w:t>safety-significant</w:t>
      </w:r>
      <w:r w:rsidR="00EA4BBB">
        <w:t xml:space="preserve"> </w:t>
      </w:r>
      <w:r w:rsidR="003B460E">
        <w:t>SSCs</w:t>
      </w:r>
      <w:r w:rsidR="00F83FFD">
        <w:t>,</w:t>
      </w:r>
      <w:r w:rsidR="002C359C">
        <w:t xml:space="preserve"> </w:t>
      </w:r>
      <w:r>
        <w:t xml:space="preserve">use </w:t>
      </w:r>
      <w:r w:rsidR="00094286">
        <w:t>T</w:t>
      </w:r>
      <w:r>
        <w:t xml:space="preserve">able </w:t>
      </w:r>
      <w:r w:rsidR="00094286">
        <w:t>3.</w:t>
      </w:r>
      <w:r>
        <w:t>1</w:t>
      </w:r>
      <w:r w:rsidR="000C2697">
        <w:t>, SSC Significance Determination,</w:t>
      </w:r>
      <w:r>
        <w:t xml:space="preserve"> and the guidance </w:t>
      </w:r>
      <w:r w:rsidR="000C2697">
        <w:t>below</w:t>
      </w:r>
      <w:r>
        <w:t>.</w:t>
      </w:r>
      <w:r w:rsidR="00F30F78">
        <w:t xml:space="preserve"> </w:t>
      </w:r>
      <w:r>
        <w:t xml:space="preserve">For findings </w:t>
      </w:r>
      <w:r w:rsidR="003B460E">
        <w:t xml:space="preserve">that do not impact </w:t>
      </w:r>
      <w:r w:rsidR="00757FE1">
        <w:t xml:space="preserve">safety-significant </w:t>
      </w:r>
      <w:r w:rsidR="003B460E">
        <w:t xml:space="preserve">SSCs (i.e., the finding only affects </w:t>
      </w:r>
      <w:r w:rsidR="001C0C94">
        <w:t xml:space="preserve">non-hardware </w:t>
      </w:r>
      <w:r w:rsidR="003B460E">
        <w:t xml:space="preserve">elements </w:t>
      </w:r>
      <w:r w:rsidR="003222DC">
        <w:t>or non</w:t>
      </w:r>
      <w:r w:rsidR="00532BDE">
        <w:t>-</w:t>
      </w:r>
      <w:r w:rsidR="003222DC">
        <w:t xml:space="preserve">safety-significant hardware used to support </w:t>
      </w:r>
      <w:r w:rsidR="001330F5">
        <w:t xml:space="preserve">implemented </w:t>
      </w:r>
      <w:r w:rsidR="003B460E">
        <w:t>program</w:t>
      </w:r>
      <w:r w:rsidR="001330F5">
        <w:t>s</w:t>
      </w:r>
      <w:r w:rsidR="003B460E">
        <w:t>)</w:t>
      </w:r>
      <w:r w:rsidR="002C359C">
        <w:t xml:space="preserve">, </w:t>
      </w:r>
      <w:r>
        <w:t xml:space="preserve">use </w:t>
      </w:r>
      <w:r w:rsidR="001330F5">
        <w:t xml:space="preserve">the appropriate </w:t>
      </w:r>
      <w:r w:rsidR="005129CE">
        <w:t>Reactor Oversight Process (ROP) SDP</w:t>
      </w:r>
      <w:r>
        <w:t>.</w:t>
      </w:r>
      <w:r w:rsidR="00F30F78">
        <w:t xml:space="preserve"> </w:t>
      </w:r>
      <w:r w:rsidR="002C359C">
        <w:t xml:space="preserve">If the </w:t>
      </w:r>
      <w:r w:rsidR="00194500">
        <w:t>finding</w:t>
      </w:r>
      <w:r w:rsidR="002C359C">
        <w:t xml:space="preserve"> affects more than one strategic performance area, then screen the </w:t>
      </w:r>
      <w:r w:rsidR="00194500">
        <w:t>finding</w:t>
      </w:r>
      <w:r w:rsidR="002C359C">
        <w:t xml:space="preserve"> using </w:t>
      </w:r>
      <w:r>
        <w:t>both methods</w:t>
      </w:r>
      <w:r w:rsidR="002C359C">
        <w:t xml:space="preserve"> and use the highest </w:t>
      </w:r>
      <w:r w:rsidR="003B55A3">
        <w:t>significance</w:t>
      </w:r>
      <w:r w:rsidR="002C359C">
        <w:t xml:space="preserve"> for the </w:t>
      </w:r>
      <w:r w:rsidR="003B55A3">
        <w:t>significance</w:t>
      </w:r>
      <w:r w:rsidR="002C359C">
        <w:t xml:space="preserve"> of the </w:t>
      </w:r>
      <w:r w:rsidR="00194500">
        <w:t>finding</w:t>
      </w:r>
      <w:r w:rsidR="002C359C">
        <w:t xml:space="preserve">. </w:t>
      </w:r>
    </w:p>
    <w:p w14:paraId="1C830863" w14:textId="7C615CEF" w:rsidR="001729C7" w:rsidRDefault="00DC4CDA" w:rsidP="00A06502">
      <w:pPr>
        <w:pStyle w:val="BodyText"/>
        <w:rPr>
          <w:rFonts w:eastAsia="Segoe UI"/>
        </w:rPr>
      </w:pPr>
      <w:r>
        <w:rPr>
          <w:rFonts w:eastAsia="Segoe UI"/>
        </w:rPr>
        <w:t xml:space="preserve">Identify the appropriate criterion in </w:t>
      </w:r>
      <w:r w:rsidR="00A0413E">
        <w:rPr>
          <w:rFonts w:eastAsia="Segoe UI"/>
        </w:rPr>
        <w:t>T</w:t>
      </w:r>
      <w:r>
        <w:rPr>
          <w:rFonts w:eastAsia="Segoe UI"/>
        </w:rPr>
        <w:t xml:space="preserve">able </w:t>
      </w:r>
      <w:r w:rsidR="00A0413E">
        <w:rPr>
          <w:rFonts w:eastAsia="Segoe UI"/>
        </w:rPr>
        <w:t>3.</w:t>
      </w:r>
      <w:r>
        <w:rPr>
          <w:rFonts w:eastAsia="Segoe UI"/>
        </w:rPr>
        <w:t>1 for the finding and use the corresponding significance color.</w:t>
      </w:r>
      <w:r w:rsidR="00F30FE7">
        <w:rPr>
          <w:rFonts w:eastAsia="Segoe UI"/>
        </w:rPr>
        <w:t xml:space="preserve"> If the finding initially screens as green, </w:t>
      </w:r>
      <w:r w:rsidR="002848F1">
        <w:rPr>
          <w:rFonts w:eastAsia="Segoe UI"/>
        </w:rPr>
        <w:t>then</w:t>
      </w:r>
      <w:r w:rsidR="00661AC5">
        <w:rPr>
          <w:rFonts w:eastAsia="Segoe UI"/>
        </w:rPr>
        <w:t xml:space="preserve"> </w:t>
      </w:r>
      <w:r w:rsidR="002848F1">
        <w:rPr>
          <w:rFonts w:eastAsia="Segoe UI"/>
        </w:rPr>
        <w:t xml:space="preserve">green is its final significance. If the finding initially screens as white or yellow, then enter the </w:t>
      </w:r>
      <w:r w:rsidR="00AE05B6">
        <w:rPr>
          <w:rFonts w:eastAsia="Segoe UI"/>
        </w:rPr>
        <w:t>Enforcement Review Panel</w:t>
      </w:r>
      <w:r w:rsidR="002848F1">
        <w:rPr>
          <w:rFonts w:eastAsia="Segoe UI"/>
        </w:rPr>
        <w:t>. Only a</w:t>
      </w:r>
      <w:r w:rsidR="00AE05B6">
        <w:rPr>
          <w:rFonts w:eastAsia="Segoe UI"/>
        </w:rPr>
        <w:t>n Enforcement Review Panel</w:t>
      </w:r>
      <w:r w:rsidR="002848F1">
        <w:rPr>
          <w:rFonts w:eastAsia="Segoe UI"/>
        </w:rPr>
        <w:t xml:space="preserve"> can designate the final significance of a finding to be </w:t>
      </w:r>
      <w:r w:rsidR="00662106">
        <w:rPr>
          <w:rFonts w:eastAsia="Segoe UI"/>
        </w:rPr>
        <w:t>white, yellow, or GTG</w:t>
      </w:r>
      <w:r w:rsidR="002848F1">
        <w:rPr>
          <w:rFonts w:eastAsia="Segoe UI"/>
        </w:rPr>
        <w:t xml:space="preserve">. </w:t>
      </w:r>
    </w:p>
    <w:p w14:paraId="6E175BDA" w14:textId="77777777" w:rsidR="001729C7" w:rsidRDefault="001729C7" w:rsidP="00A06502">
      <w:pPr>
        <w:pStyle w:val="BodyText"/>
      </w:pPr>
      <w:r>
        <w:br w:type="page"/>
      </w:r>
    </w:p>
    <w:p w14:paraId="217D3664" w14:textId="361E0B5C" w:rsidR="00FE74B0" w:rsidRPr="00050825" w:rsidRDefault="007A205E" w:rsidP="00621CD9">
      <w:pPr>
        <w:pStyle w:val="Caption"/>
        <w:rPr>
          <w:noProof/>
        </w:rPr>
      </w:pPr>
      <w:bookmarkStart w:id="126" w:name="_Toc219293617"/>
      <w:r w:rsidRPr="00050825">
        <w:rPr>
          <w:noProof/>
        </w:rPr>
        <w:lastRenderedPageBreak/>
        <w:t xml:space="preserve">Table </w:t>
      </w:r>
      <w:r w:rsidR="009C7A8B">
        <w:rPr>
          <w:noProof/>
        </w:rPr>
        <w:t>3.</w:t>
      </w:r>
      <w:r w:rsidRPr="00050825">
        <w:rPr>
          <w:noProof/>
        </w:rPr>
        <w:t>1: SSC Significance Determination</w:t>
      </w:r>
      <w:bookmarkEnd w:id="126"/>
    </w:p>
    <w:tbl>
      <w:tblPr>
        <w:tblStyle w:val="IM"/>
        <w:tblpPr w:leftFromText="180" w:rightFromText="180" w:vertAnchor="text" w:horzAnchor="margin" w:tblpXSpec="center" w:tblpY="28"/>
        <w:tblW w:w="9175" w:type="dxa"/>
        <w:tblLook w:val="04A0" w:firstRow="1" w:lastRow="0" w:firstColumn="1" w:lastColumn="0" w:noHBand="0" w:noVBand="1"/>
      </w:tblPr>
      <w:tblGrid>
        <w:gridCol w:w="3101"/>
        <w:gridCol w:w="6074"/>
      </w:tblGrid>
      <w:tr w:rsidR="00F91D35" w:rsidRPr="0038260D" w14:paraId="6C4B65BD" w14:textId="77777777" w:rsidTr="006E7C35">
        <w:tc>
          <w:tcPr>
            <w:tcW w:w="3101" w:type="dxa"/>
          </w:tcPr>
          <w:p w14:paraId="4E5D709C" w14:textId="77777777" w:rsidR="00F91D35" w:rsidRPr="0038260D" w:rsidRDefault="00F91D35" w:rsidP="00EE062D">
            <w:pPr>
              <w:jc w:val="center"/>
              <w:rPr>
                <w:rFonts w:eastAsia="Segoe UI"/>
                <w:sz w:val="22"/>
                <w:szCs w:val="22"/>
              </w:rPr>
            </w:pPr>
            <w:r w:rsidRPr="0038260D">
              <w:rPr>
                <w:rFonts w:eastAsia="Segoe UI"/>
                <w:sz w:val="22"/>
                <w:szCs w:val="22"/>
              </w:rPr>
              <w:t>Significance of Finding</w:t>
            </w:r>
          </w:p>
        </w:tc>
        <w:tc>
          <w:tcPr>
            <w:tcW w:w="6074" w:type="dxa"/>
          </w:tcPr>
          <w:p w14:paraId="71B5F380" w14:textId="77777777" w:rsidR="00F91D35" w:rsidRPr="0038260D" w:rsidRDefault="00F91D35" w:rsidP="00EE062D">
            <w:pPr>
              <w:jc w:val="center"/>
              <w:rPr>
                <w:rFonts w:eastAsia="Segoe UI"/>
                <w:sz w:val="22"/>
                <w:szCs w:val="22"/>
              </w:rPr>
            </w:pPr>
            <w:proofErr w:type="gramStart"/>
            <w:r w:rsidRPr="0038260D">
              <w:rPr>
                <w:rFonts w:eastAsia="Segoe UI"/>
                <w:sz w:val="22"/>
                <w:szCs w:val="22"/>
              </w:rPr>
              <w:t>Finding’s</w:t>
            </w:r>
            <w:proofErr w:type="gramEnd"/>
            <w:r w:rsidRPr="0038260D">
              <w:rPr>
                <w:rFonts w:eastAsia="Segoe UI"/>
                <w:sz w:val="22"/>
                <w:szCs w:val="22"/>
              </w:rPr>
              <w:t xml:space="preserve"> Impact on SSCs</w:t>
            </w:r>
          </w:p>
        </w:tc>
      </w:tr>
      <w:tr w:rsidR="00F91D35" w:rsidRPr="0038260D" w14:paraId="01F7E0C2" w14:textId="77777777" w:rsidTr="006E7C35">
        <w:tc>
          <w:tcPr>
            <w:tcW w:w="3101" w:type="dxa"/>
          </w:tcPr>
          <w:p w14:paraId="27B5804F" w14:textId="77777777" w:rsidR="00F91D35" w:rsidRPr="0038260D" w:rsidRDefault="00F91D35" w:rsidP="00EE062D">
            <w:pPr>
              <w:ind w:left="332" w:hanging="332"/>
              <w:jc w:val="center"/>
              <w:rPr>
                <w:rFonts w:eastAsia="Calibri"/>
                <w:sz w:val="22"/>
                <w:szCs w:val="22"/>
              </w:rPr>
            </w:pPr>
            <w:r w:rsidRPr="0038260D">
              <w:rPr>
                <w:rFonts w:eastAsia="Segoe UI"/>
                <w:sz w:val="22"/>
                <w:szCs w:val="22"/>
              </w:rPr>
              <w:t>Yellow</w:t>
            </w:r>
          </w:p>
        </w:tc>
        <w:tc>
          <w:tcPr>
            <w:tcW w:w="6074" w:type="dxa"/>
          </w:tcPr>
          <w:p w14:paraId="47D6AB5A" w14:textId="77777777" w:rsidR="00F91D35" w:rsidRDefault="00F91D35" w:rsidP="00EE062D">
            <w:pPr>
              <w:rPr>
                <w:rFonts w:eastAsia="Calibri"/>
                <w:sz w:val="22"/>
                <w:szCs w:val="22"/>
              </w:rPr>
            </w:pPr>
            <w:r w:rsidRPr="0038260D">
              <w:rPr>
                <w:rFonts w:eastAsia="Calibri"/>
                <w:sz w:val="22"/>
                <w:szCs w:val="22"/>
              </w:rPr>
              <w:t>The finding</w:t>
            </w:r>
            <w:r>
              <w:rPr>
                <w:rFonts w:eastAsia="Calibri"/>
                <w:sz w:val="22"/>
                <w:szCs w:val="22"/>
              </w:rPr>
              <w:t>,</w:t>
            </w:r>
            <w:r w:rsidRPr="0038260D">
              <w:rPr>
                <w:rFonts w:eastAsia="Calibri"/>
                <w:sz w:val="22"/>
                <w:szCs w:val="22"/>
              </w:rPr>
              <w:t xml:space="preserve"> if left uncorrected, would result in the </w:t>
            </w:r>
            <w:r>
              <w:rPr>
                <w:rFonts w:eastAsia="Calibri"/>
                <w:sz w:val="22"/>
                <w:szCs w:val="22"/>
              </w:rPr>
              <w:t>inability to fulfill</w:t>
            </w:r>
            <w:r w:rsidRPr="0038260D">
              <w:rPr>
                <w:rFonts w:eastAsia="Calibri"/>
                <w:sz w:val="22"/>
                <w:szCs w:val="22"/>
              </w:rPr>
              <w:t xml:space="preserve"> multiple FSFs</w:t>
            </w:r>
            <w:r w:rsidRPr="0038260D">
              <w:rPr>
                <w:rFonts w:eastAsia="Calibri"/>
                <w:sz w:val="22"/>
                <w:szCs w:val="22"/>
                <w:vertAlign w:val="superscript"/>
              </w:rPr>
              <w:t>1</w:t>
            </w:r>
            <w:r w:rsidRPr="0038260D">
              <w:rPr>
                <w:rFonts w:eastAsia="Calibri"/>
                <w:sz w:val="22"/>
                <w:szCs w:val="22"/>
              </w:rPr>
              <w:t>.</w:t>
            </w:r>
          </w:p>
          <w:p w14:paraId="548422FA" w14:textId="77777777" w:rsidR="00F91D35" w:rsidRPr="0038260D" w:rsidRDefault="00F91D35" w:rsidP="00EE062D">
            <w:pPr>
              <w:ind w:left="-28"/>
              <w:jc w:val="center"/>
              <w:rPr>
                <w:rFonts w:eastAsia="Segoe UI"/>
                <w:sz w:val="22"/>
                <w:szCs w:val="22"/>
              </w:rPr>
            </w:pPr>
            <w:r w:rsidRPr="0038260D">
              <w:rPr>
                <w:rFonts w:eastAsia="Segoe UI"/>
                <w:sz w:val="22"/>
                <w:szCs w:val="22"/>
              </w:rPr>
              <w:t>Or</w:t>
            </w:r>
          </w:p>
          <w:p w14:paraId="6C3EADA7" w14:textId="77777777" w:rsidR="00F91D35" w:rsidRPr="0038260D" w:rsidRDefault="00F91D35" w:rsidP="00EE062D">
            <w:pPr>
              <w:ind w:left="-28"/>
              <w:jc w:val="center"/>
              <w:rPr>
                <w:rFonts w:eastAsia="Segoe UI"/>
                <w:sz w:val="22"/>
                <w:szCs w:val="22"/>
              </w:rPr>
            </w:pPr>
          </w:p>
          <w:p w14:paraId="731EDC57" w14:textId="5267164F" w:rsidR="00F91D35" w:rsidRPr="0038260D" w:rsidRDefault="00F91D35" w:rsidP="00CE30B0">
            <w:pPr>
              <w:tabs>
                <w:tab w:val="left" w:pos="2535"/>
              </w:tabs>
              <w:ind w:left="-28"/>
              <w:rPr>
                <w:rFonts w:eastAsia="Segoe UI"/>
                <w:sz w:val="22"/>
                <w:szCs w:val="22"/>
              </w:rPr>
            </w:pPr>
            <w:r w:rsidRPr="0038260D">
              <w:rPr>
                <w:rFonts w:eastAsia="Segoe UI"/>
                <w:sz w:val="22"/>
                <w:szCs w:val="22"/>
              </w:rPr>
              <w:t>The finding</w:t>
            </w:r>
            <w:r w:rsidR="0081201C">
              <w:rPr>
                <w:rFonts w:eastAsia="Segoe UI"/>
                <w:sz w:val="22"/>
                <w:szCs w:val="22"/>
              </w:rPr>
              <w:t xml:space="preserve">’s significance cannot be </w:t>
            </w:r>
            <w:r w:rsidR="0027332A">
              <w:rPr>
                <w:rFonts w:eastAsia="Segoe UI"/>
                <w:sz w:val="22"/>
                <w:szCs w:val="22"/>
              </w:rPr>
              <w:t xml:space="preserve">adequately </w:t>
            </w:r>
            <w:r w:rsidRPr="0038260D">
              <w:rPr>
                <w:rFonts w:eastAsia="Segoe UI"/>
                <w:sz w:val="22"/>
                <w:szCs w:val="22"/>
              </w:rPr>
              <w:t>screen</w:t>
            </w:r>
            <w:r w:rsidR="0027332A">
              <w:rPr>
                <w:rFonts w:eastAsia="Segoe UI"/>
                <w:sz w:val="22"/>
                <w:szCs w:val="22"/>
              </w:rPr>
              <w:t xml:space="preserve">ed using other criteria in this table and has screened </w:t>
            </w:r>
            <w:r w:rsidRPr="0038260D">
              <w:rPr>
                <w:rFonts w:eastAsia="Segoe UI"/>
                <w:sz w:val="22"/>
                <w:szCs w:val="22"/>
              </w:rPr>
              <w:t xml:space="preserve">as </w:t>
            </w:r>
            <w:r>
              <w:rPr>
                <w:rFonts w:eastAsia="Segoe UI"/>
                <w:sz w:val="22"/>
                <w:szCs w:val="22"/>
              </w:rPr>
              <w:t>Yellow</w:t>
            </w:r>
            <w:r w:rsidRPr="0038260D">
              <w:rPr>
                <w:rFonts w:eastAsia="Segoe UI"/>
                <w:sz w:val="22"/>
                <w:szCs w:val="22"/>
              </w:rPr>
              <w:t xml:space="preserve"> using </w:t>
            </w:r>
            <w:r w:rsidR="00CD5CA2">
              <w:rPr>
                <w:rFonts w:eastAsia="Segoe UI"/>
                <w:sz w:val="22"/>
                <w:szCs w:val="22"/>
              </w:rPr>
              <w:t xml:space="preserve">Attachment </w:t>
            </w:r>
            <w:r w:rsidR="001D3DF3">
              <w:rPr>
                <w:rFonts w:eastAsia="Segoe UI"/>
                <w:sz w:val="22"/>
                <w:szCs w:val="22"/>
              </w:rPr>
              <w:t>5</w:t>
            </w:r>
            <w:r w:rsidRPr="0038260D">
              <w:rPr>
                <w:rFonts w:eastAsia="Segoe UI"/>
                <w:sz w:val="22"/>
                <w:szCs w:val="22"/>
                <w:vertAlign w:val="superscript"/>
              </w:rPr>
              <w:t>2</w:t>
            </w:r>
            <w:r w:rsidRPr="0038260D">
              <w:rPr>
                <w:rFonts w:eastAsia="Segoe UI"/>
                <w:sz w:val="22"/>
                <w:szCs w:val="22"/>
              </w:rPr>
              <w:t>.</w:t>
            </w:r>
          </w:p>
        </w:tc>
      </w:tr>
      <w:tr w:rsidR="00F91D35" w:rsidRPr="00332BAF" w14:paraId="39B9DF5B" w14:textId="77777777" w:rsidTr="006E7C35">
        <w:tc>
          <w:tcPr>
            <w:tcW w:w="3101" w:type="dxa"/>
          </w:tcPr>
          <w:p w14:paraId="572AE3DE" w14:textId="77777777" w:rsidR="00F91D35" w:rsidRPr="00332BAF" w:rsidRDefault="00F91D35" w:rsidP="00EE062D">
            <w:pPr>
              <w:ind w:left="-28"/>
              <w:jc w:val="center"/>
              <w:rPr>
                <w:rFonts w:eastAsia="Calibri"/>
                <w:sz w:val="22"/>
                <w:szCs w:val="22"/>
              </w:rPr>
            </w:pPr>
            <w:r w:rsidRPr="00332BAF">
              <w:rPr>
                <w:rFonts w:eastAsia="Segoe UI"/>
                <w:sz w:val="22"/>
                <w:szCs w:val="22"/>
              </w:rPr>
              <w:t>White</w:t>
            </w:r>
          </w:p>
        </w:tc>
        <w:tc>
          <w:tcPr>
            <w:tcW w:w="6074" w:type="dxa"/>
          </w:tcPr>
          <w:p w14:paraId="4C88F7B5" w14:textId="77777777" w:rsidR="00F91D35" w:rsidRPr="00332BAF" w:rsidRDefault="00F91D35" w:rsidP="00EE062D">
            <w:pPr>
              <w:rPr>
                <w:rFonts w:eastAsia="Segoe UI"/>
                <w:sz w:val="22"/>
                <w:szCs w:val="22"/>
              </w:rPr>
            </w:pPr>
            <w:r w:rsidRPr="00332BAF">
              <w:rPr>
                <w:rFonts w:eastAsia="Calibri"/>
                <w:sz w:val="22"/>
                <w:szCs w:val="22"/>
              </w:rPr>
              <w:t>The finding, if left uncorrected, would result in the inability to fulfill one FSF</w:t>
            </w:r>
            <w:r w:rsidRPr="00332BAF">
              <w:rPr>
                <w:rFonts w:eastAsia="Calibri"/>
                <w:sz w:val="22"/>
                <w:szCs w:val="22"/>
                <w:vertAlign w:val="superscript"/>
              </w:rPr>
              <w:t>1</w:t>
            </w:r>
          </w:p>
          <w:p w14:paraId="68D7021E" w14:textId="77777777" w:rsidR="00F91D35" w:rsidRPr="00332BAF" w:rsidRDefault="00F91D35" w:rsidP="00EE062D">
            <w:pPr>
              <w:ind w:left="-28"/>
              <w:jc w:val="center"/>
              <w:rPr>
                <w:rFonts w:eastAsia="Segoe UI"/>
                <w:sz w:val="22"/>
                <w:szCs w:val="22"/>
              </w:rPr>
            </w:pPr>
            <w:r w:rsidRPr="00332BAF">
              <w:rPr>
                <w:rFonts w:eastAsia="Segoe UI"/>
                <w:sz w:val="22"/>
                <w:szCs w:val="22"/>
              </w:rPr>
              <w:t>Or</w:t>
            </w:r>
          </w:p>
          <w:p w14:paraId="4EA20C2C" w14:textId="55F76F56" w:rsidR="00F91D35" w:rsidRPr="00332BAF" w:rsidRDefault="0027332A" w:rsidP="00CE30B0">
            <w:pPr>
              <w:ind w:left="-28"/>
              <w:rPr>
                <w:rFonts w:eastAsia="Segoe UI"/>
                <w:sz w:val="22"/>
                <w:szCs w:val="22"/>
              </w:rPr>
            </w:pPr>
            <w:r w:rsidRPr="0038260D">
              <w:rPr>
                <w:rFonts w:eastAsia="Segoe UI"/>
                <w:sz w:val="22"/>
                <w:szCs w:val="22"/>
              </w:rPr>
              <w:t>The finding</w:t>
            </w:r>
            <w:r>
              <w:rPr>
                <w:rFonts w:eastAsia="Segoe UI"/>
                <w:sz w:val="22"/>
                <w:szCs w:val="22"/>
              </w:rPr>
              <w:t xml:space="preserve">’s significance cannot be adequately </w:t>
            </w:r>
            <w:r w:rsidRPr="0038260D">
              <w:rPr>
                <w:rFonts w:eastAsia="Segoe UI"/>
                <w:sz w:val="22"/>
                <w:szCs w:val="22"/>
              </w:rPr>
              <w:t>screen</w:t>
            </w:r>
            <w:r>
              <w:rPr>
                <w:rFonts w:eastAsia="Segoe UI"/>
                <w:sz w:val="22"/>
                <w:szCs w:val="22"/>
              </w:rPr>
              <w:t xml:space="preserve">ed using other criteria in this table and has screened </w:t>
            </w:r>
            <w:r w:rsidRPr="0038260D">
              <w:rPr>
                <w:rFonts w:eastAsia="Segoe UI"/>
                <w:sz w:val="22"/>
                <w:szCs w:val="22"/>
              </w:rPr>
              <w:t xml:space="preserve">as </w:t>
            </w:r>
            <w:r>
              <w:rPr>
                <w:rFonts w:eastAsia="Segoe UI"/>
                <w:sz w:val="22"/>
                <w:szCs w:val="22"/>
              </w:rPr>
              <w:t>Wh</w:t>
            </w:r>
            <w:r w:rsidR="00670CCE">
              <w:rPr>
                <w:rFonts w:eastAsia="Segoe UI"/>
                <w:sz w:val="22"/>
                <w:szCs w:val="22"/>
              </w:rPr>
              <w:t>ite</w:t>
            </w:r>
            <w:r w:rsidRPr="0038260D">
              <w:rPr>
                <w:rFonts w:eastAsia="Segoe UI"/>
                <w:sz w:val="22"/>
                <w:szCs w:val="22"/>
              </w:rPr>
              <w:t xml:space="preserve"> using </w:t>
            </w:r>
            <w:r>
              <w:rPr>
                <w:rFonts w:eastAsia="Segoe UI"/>
                <w:sz w:val="22"/>
                <w:szCs w:val="22"/>
              </w:rPr>
              <w:t xml:space="preserve">Attachment </w:t>
            </w:r>
            <w:r w:rsidR="001D3DF3">
              <w:rPr>
                <w:rFonts w:eastAsia="Segoe UI"/>
                <w:sz w:val="22"/>
                <w:szCs w:val="22"/>
              </w:rPr>
              <w:t>5</w:t>
            </w:r>
            <w:r w:rsidRPr="0038260D">
              <w:rPr>
                <w:rFonts w:eastAsia="Segoe UI"/>
                <w:sz w:val="22"/>
                <w:szCs w:val="22"/>
                <w:vertAlign w:val="superscript"/>
              </w:rPr>
              <w:t>2</w:t>
            </w:r>
            <w:r w:rsidRPr="0038260D">
              <w:rPr>
                <w:rFonts w:eastAsia="Segoe UI"/>
                <w:sz w:val="22"/>
                <w:szCs w:val="22"/>
              </w:rPr>
              <w:t>.</w:t>
            </w:r>
          </w:p>
        </w:tc>
      </w:tr>
      <w:tr w:rsidR="00F91D35" w:rsidRPr="0038260D" w14:paraId="2F123260" w14:textId="77777777" w:rsidTr="006E7C35">
        <w:tc>
          <w:tcPr>
            <w:tcW w:w="3101" w:type="dxa"/>
          </w:tcPr>
          <w:p w14:paraId="5175B8F5" w14:textId="77777777" w:rsidR="00F91D35" w:rsidRPr="00332BAF" w:rsidRDefault="00F91D35" w:rsidP="00EE062D">
            <w:pPr>
              <w:ind w:left="332" w:hanging="332"/>
              <w:jc w:val="center"/>
              <w:rPr>
                <w:rFonts w:eastAsia="Calibri"/>
                <w:sz w:val="22"/>
                <w:szCs w:val="22"/>
              </w:rPr>
            </w:pPr>
            <w:r w:rsidRPr="00332BAF">
              <w:rPr>
                <w:rFonts w:eastAsia="Segoe UI"/>
                <w:sz w:val="22"/>
                <w:szCs w:val="22"/>
              </w:rPr>
              <w:t>Green</w:t>
            </w:r>
          </w:p>
        </w:tc>
        <w:tc>
          <w:tcPr>
            <w:tcW w:w="6074" w:type="dxa"/>
          </w:tcPr>
          <w:p w14:paraId="7DBA194D" w14:textId="402B4379" w:rsidR="00F91D35" w:rsidRPr="00332BAF" w:rsidRDefault="00F91D35" w:rsidP="00CE30B0">
            <w:pPr>
              <w:spacing w:after="220"/>
              <w:ind w:left="331" w:hanging="331"/>
              <w:rPr>
                <w:rFonts w:eastAsia="Calibri"/>
                <w:sz w:val="22"/>
                <w:szCs w:val="22"/>
              </w:rPr>
            </w:pPr>
            <w:r w:rsidRPr="00332BAF">
              <w:rPr>
                <w:rFonts w:eastAsia="Calibri"/>
                <w:sz w:val="22"/>
                <w:szCs w:val="22"/>
              </w:rPr>
              <w:t>a.</w:t>
            </w:r>
            <w:r w:rsidRPr="00332BAF">
              <w:rPr>
                <w:rFonts w:eastAsia="Calibri"/>
                <w:sz w:val="22"/>
                <w:szCs w:val="22"/>
              </w:rPr>
              <w:tab/>
              <w:t>The finding, if left uncorrected, would result in the loss of</w:t>
            </w:r>
            <w:r w:rsidR="00C20A18">
              <w:rPr>
                <w:rFonts w:eastAsia="Calibri"/>
                <w:sz w:val="22"/>
                <w:szCs w:val="22"/>
              </w:rPr>
              <w:t xml:space="preserve"> </w:t>
            </w:r>
            <w:r w:rsidR="00A44CE1">
              <w:rPr>
                <w:rFonts w:eastAsia="Calibri"/>
                <w:sz w:val="22"/>
                <w:szCs w:val="22"/>
              </w:rPr>
              <w:t xml:space="preserve">a </w:t>
            </w:r>
            <w:r w:rsidRPr="00332BAF">
              <w:rPr>
                <w:rFonts w:eastAsia="Calibri"/>
                <w:sz w:val="22"/>
                <w:szCs w:val="22"/>
              </w:rPr>
              <w:t>safety-significant function</w:t>
            </w:r>
            <w:r w:rsidR="00A44CE1">
              <w:rPr>
                <w:rFonts w:eastAsia="Calibri"/>
                <w:sz w:val="22"/>
                <w:szCs w:val="22"/>
              </w:rPr>
              <w:t>(</w:t>
            </w:r>
            <w:r w:rsidRPr="00332BAF">
              <w:rPr>
                <w:rFonts w:eastAsia="Calibri"/>
                <w:sz w:val="22"/>
                <w:szCs w:val="22"/>
              </w:rPr>
              <w:t>s</w:t>
            </w:r>
            <w:r w:rsidR="00A44CE1">
              <w:rPr>
                <w:rFonts w:eastAsia="Calibri"/>
                <w:sz w:val="22"/>
                <w:szCs w:val="22"/>
              </w:rPr>
              <w:t>)</w:t>
            </w:r>
            <w:r w:rsidRPr="00332BAF">
              <w:rPr>
                <w:rFonts w:eastAsia="Calibri"/>
                <w:sz w:val="22"/>
                <w:szCs w:val="22"/>
              </w:rPr>
              <w:t xml:space="preserve"> of one or more SSCs, but all FSFs are fulfilled; or</w:t>
            </w:r>
          </w:p>
          <w:p w14:paraId="59CA35FE" w14:textId="77777777" w:rsidR="00F91D35" w:rsidRPr="00332BAF" w:rsidRDefault="00F91D35" w:rsidP="00CE30B0">
            <w:pPr>
              <w:spacing w:after="220"/>
              <w:ind w:left="331" w:hanging="331"/>
              <w:rPr>
                <w:rFonts w:eastAsia="Calibri"/>
                <w:sz w:val="22"/>
                <w:szCs w:val="22"/>
              </w:rPr>
            </w:pPr>
            <w:r w:rsidRPr="00332BAF">
              <w:rPr>
                <w:rFonts w:eastAsia="Calibri"/>
                <w:sz w:val="22"/>
                <w:szCs w:val="22"/>
              </w:rPr>
              <w:t>b.</w:t>
            </w:r>
            <w:r w:rsidRPr="00332BAF">
              <w:rPr>
                <w:rFonts w:eastAsia="Calibri"/>
                <w:sz w:val="22"/>
                <w:szCs w:val="22"/>
              </w:rPr>
              <w:tab/>
              <w:t>the finding is associated with an issue where no manufacture, fabrication, placement, erection, installation, or modification of hardware associated with the SSC has begun; or</w:t>
            </w:r>
          </w:p>
          <w:p w14:paraId="61D44AD0" w14:textId="77777777" w:rsidR="00F91D35" w:rsidRPr="00332BAF" w:rsidRDefault="00F91D35" w:rsidP="00CE30B0">
            <w:pPr>
              <w:spacing w:after="220"/>
              <w:ind w:left="331" w:hanging="331"/>
              <w:rPr>
                <w:rFonts w:eastAsia="Segoe UI"/>
                <w:sz w:val="22"/>
                <w:szCs w:val="22"/>
              </w:rPr>
            </w:pPr>
            <w:r w:rsidRPr="00332BAF">
              <w:rPr>
                <w:rFonts w:eastAsia="Segoe UI"/>
                <w:sz w:val="22"/>
                <w:szCs w:val="22"/>
              </w:rPr>
              <w:t>c.</w:t>
            </w:r>
            <w:r w:rsidRPr="00332BAF">
              <w:rPr>
                <w:rFonts w:eastAsia="Segoe UI"/>
                <w:sz w:val="22"/>
                <w:szCs w:val="22"/>
              </w:rPr>
              <w:tab/>
              <w:t>There is a quality assurance program (QAP) backstop</w:t>
            </w:r>
            <w:r w:rsidRPr="00332BAF">
              <w:rPr>
                <w:rFonts w:eastAsia="Segoe UI"/>
                <w:sz w:val="22"/>
                <w:szCs w:val="22"/>
                <w:vertAlign w:val="superscript"/>
              </w:rPr>
              <w:t>3</w:t>
            </w:r>
            <w:r w:rsidRPr="00332BAF">
              <w:rPr>
                <w:rFonts w:eastAsia="Segoe UI"/>
                <w:sz w:val="22"/>
                <w:szCs w:val="22"/>
              </w:rPr>
              <w:t xml:space="preserve"> for the deficiency associated with the finding; or</w:t>
            </w:r>
          </w:p>
          <w:p w14:paraId="476F5AD1" w14:textId="602E0BE7" w:rsidR="00F91D35" w:rsidRPr="00332BAF" w:rsidRDefault="00F91D35" w:rsidP="00CE30B0">
            <w:pPr>
              <w:spacing w:after="220"/>
              <w:ind w:left="331" w:hanging="331"/>
              <w:rPr>
                <w:rFonts w:eastAsia="Calibri"/>
                <w:sz w:val="22"/>
                <w:szCs w:val="22"/>
              </w:rPr>
            </w:pPr>
            <w:r w:rsidRPr="00332BAF">
              <w:rPr>
                <w:rFonts w:eastAsia="Calibri"/>
                <w:sz w:val="22"/>
                <w:szCs w:val="22"/>
              </w:rPr>
              <w:t>d.</w:t>
            </w:r>
            <w:r w:rsidRPr="00332BAF">
              <w:rPr>
                <w:rFonts w:eastAsia="Calibri"/>
                <w:sz w:val="22"/>
                <w:szCs w:val="22"/>
              </w:rPr>
              <w:tab/>
              <w:t>the finding is associated with a hazard protection feature</w:t>
            </w:r>
            <w:r w:rsidRPr="00332BAF">
              <w:rPr>
                <w:rFonts w:eastAsia="Calibri"/>
                <w:sz w:val="22"/>
                <w:szCs w:val="22"/>
                <w:vertAlign w:val="superscript"/>
              </w:rPr>
              <w:t>4</w:t>
            </w:r>
            <w:r w:rsidR="004134D7" w:rsidRPr="00332BAF">
              <w:rPr>
                <w:rFonts w:eastAsia="Calibri"/>
                <w:sz w:val="22"/>
                <w:szCs w:val="22"/>
                <w:vertAlign w:val="superscript"/>
              </w:rPr>
              <w:t xml:space="preserve"> </w:t>
            </w:r>
            <w:r w:rsidR="004134D7" w:rsidRPr="00332BAF">
              <w:rPr>
                <w:rFonts w:eastAsia="Calibri"/>
                <w:sz w:val="22"/>
                <w:szCs w:val="22"/>
              </w:rPr>
              <w:t>only</w:t>
            </w:r>
            <w:r w:rsidRPr="00332BAF">
              <w:rPr>
                <w:rFonts w:eastAsia="Calibri"/>
                <w:sz w:val="22"/>
                <w:szCs w:val="22"/>
              </w:rPr>
              <w:t>; or</w:t>
            </w:r>
          </w:p>
          <w:p w14:paraId="7AD095DD" w14:textId="463D1E6F" w:rsidR="00F91D35" w:rsidRPr="0038260D" w:rsidRDefault="00F91D35" w:rsidP="00CE30B0">
            <w:pPr>
              <w:spacing w:after="220"/>
              <w:ind w:left="331" w:hanging="331"/>
              <w:rPr>
                <w:rFonts w:eastAsia="Segoe UI"/>
                <w:sz w:val="22"/>
                <w:szCs w:val="22"/>
              </w:rPr>
            </w:pPr>
            <w:r w:rsidRPr="00332BAF">
              <w:rPr>
                <w:rFonts w:eastAsia="Segoe UI"/>
                <w:sz w:val="22"/>
                <w:szCs w:val="22"/>
              </w:rPr>
              <w:t xml:space="preserve">e. </w:t>
            </w:r>
            <w:r w:rsidR="00670CCE" w:rsidRPr="0038260D">
              <w:rPr>
                <w:rFonts w:eastAsia="Segoe UI"/>
                <w:sz w:val="22"/>
                <w:szCs w:val="22"/>
              </w:rPr>
              <w:t xml:space="preserve"> The finding</w:t>
            </w:r>
            <w:r w:rsidR="00670CCE">
              <w:rPr>
                <w:rFonts w:eastAsia="Segoe UI"/>
                <w:sz w:val="22"/>
                <w:szCs w:val="22"/>
              </w:rPr>
              <w:t xml:space="preserve">’s significance cannot be adequately </w:t>
            </w:r>
            <w:r w:rsidR="00670CCE" w:rsidRPr="0038260D">
              <w:rPr>
                <w:rFonts w:eastAsia="Segoe UI"/>
                <w:sz w:val="22"/>
                <w:szCs w:val="22"/>
              </w:rPr>
              <w:t>screen</w:t>
            </w:r>
            <w:r w:rsidR="00670CCE">
              <w:rPr>
                <w:rFonts w:eastAsia="Segoe UI"/>
                <w:sz w:val="22"/>
                <w:szCs w:val="22"/>
              </w:rPr>
              <w:t xml:space="preserve">ed using other criteria in this table and has screened </w:t>
            </w:r>
            <w:r w:rsidR="00670CCE" w:rsidRPr="0038260D">
              <w:rPr>
                <w:rFonts w:eastAsia="Segoe UI"/>
                <w:sz w:val="22"/>
                <w:szCs w:val="22"/>
              </w:rPr>
              <w:t xml:space="preserve">as </w:t>
            </w:r>
            <w:r w:rsidR="00670CCE">
              <w:rPr>
                <w:rFonts w:eastAsia="Segoe UI"/>
                <w:sz w:val="22"/>
                <w:szCs w:val="22"/>
              </w:rPr>
              <w:t>Green</w:t>
            </w:r>
            <w:r w:rsidR="00670CCE" w:rsidRPr="0038260D">
              <w:rPr>
                <w:rFonts w:eastAsia="Segoe UI"/>
                <w:sz w:val="22"/>
                <w:szCs w:val="22"/>
              </w:rPr>
              <w:t xml:space="preserve"> using </w:t>
            </w:r>
            <w:r w:rsidR="00670CCE">
              <w:rPr>
                <w:rFonts w:eastAsia="Segoe UI"/>
                <w:sz w:val="22"/>
                <w:szCs w:val="22"/>
              </w:rPr>
              <w:t xml:space="preserve">Attachment </w:t>
            </w:r>
            <w:r w:rsidR="001D3DF3">
              <w:rPr>
                <w:rFonts w:eastAsia="Segoe UI"/>
                <w:sz w:val="22"/>
                <w:szCs w:val="22"/>
              </w:rPr>
              <w:t>5</w:t>
            </w:r>
            <w:r w:rsidR="00670CCE" w:rsidRPr="0038260D">
              <w:rPr>
                <w:rFonts w:eastAsia="Segoe UI"/>
                <w:sz w:val="22"/>
                <w:szCs w:val="22"/>
                <w:vertAlign w:val="superscript"/>
              </w:rPr>
              <w:t>2</w:t>
            </w:r>
            <w:r w:rsidR="00670CCE" w:rsidRPr="0038260D">
              <w:rPr>
                <w:rFonts w:eastAsia="Segoe UI"/>
                <w:sz w:val="22"/>
                <w:szCs w:val="22"/>
              </w:rPr>
              <w:t>.</w:t>
            </w:r>
          </w:p>
        </w:tc>
      </w:tr>
    </w:tbl>
    <w:p w14:paraId="5147BBA4" w14:textId="77777777" w:rsidR="00463CB7" w:rsidRDefault="00463CB7" w:rsidP="00463CB7"/>
    <w:p w14:paraId="47F658BF" w14:textId="320327A6" w:rsidR="00463CB7" w:rsidRDefault="00463CB7" w:rsidP="00C95A5A">
      <w:pPr>
        <w:widowControl/>
        <w:autoSpaceDE/>
        <w:autoSpaceDN/>
        <w:adjustRightInd/>
        <w:spacing w:after="160" w:line="259" w:lineRule="auto"/>
        <w:jc w:val="center"/>
      </w:pPr>
      <w:r>
        <w:br w:type="page"/>
      </w:r>
    </w:p>
    <w:p w14:paraId="27D8D73F" w14:textId="3B5FE262" w:rsidR="00463CB7" w:rsidRPr="00682658" w:rsidRDefault="00463CB7" w:rsidP="00682658">
      <w:pPr>
        <w:pStyle w:val="BodyText"/>
        <w:rPr>
          <w:rFonts w:eastAsia="Segoe UI"/>
        </w:rPr>
      </w:pPr>
      <w:r w:rsidRPr="00682658">
        <w:rPr>
          <w:u w:val="single"/>
        </w:rPr>
        <w:lastRenderedPageBreak/>
        <w:t>Note 1</w:t>
      </w:r>
      <w:r w:rsidRPr="001E420C">
        <w:t>:</w:t>
      </w:r>
      <w:r w:rsidR="00682658">
        <w:t xml:space="preserve"> </w:t>
      </w:r>
      <w:r w:rsidRPr="001E420C">
        <w:t>Fundamental safety functions (FSFs)</w:t>
      </w:r>
      <w:r w:rsidR="00EE1AD9">
        <w:t>. FSFs</w:t>
      </w:r>
      <w:r w:rsidRPr="001E420C">
        <w:rPr>
          <w:rFonts w:eastAsia="Segoe UI"/>
        </w:rPr>
        <w:t xml:space="preserve"> are defined by NEI 18</w:t>
      </w:r>
      <w:r w:rsidR="00456F42">
        <w:rPr>
          <w:rFonts w:eastAsia="Segoe UI"/>
        </w:rPr>
        <w:t>-</w:t>
      </w:r>
      <w:r w:rsidRPr="001E420C">
        <w:rPr>
          <w:rFonts w:eastAsia="Segoe UI"/>
        </w:rPr>
        <w:t>04, revision 1, “</w:t>
      </w:r>
      <w:r w:rsidRPr="001E420C">
        <w:t xml:space="preserve">Risk-Informed Performance-Based Technology Inclusive Guidance for Non-Light Water Reactor Licensing Basis Development </w:t>
      </w:r>
      <w:r w:rsidRPr="001E420C">
        <w:rPr>
          <w:rFonts w:eastAsia="Segoe UI"/>
        </w:rPr>
        <w:t>(endorsed by RG 1.233) to be:</w:t>
      </w:r>
    </w:p>
    <w:p w14:paraId="0DC36084" w14:textId="77777777" w:rsidR="00682658" w:rsidRDefault="00463CB7" w:rsidP="00BE14D8">
      <w:pPr>
        <w:pStyle w:val="ListBullet2"/>
      </w:pPr>
      <w:r w:rsidRPr="00682658">
        <w:t xml:space="preserve">Control of Heat Generation (Reactivity and Power Control), </w:t>
      </w:r>
    </w:p>
    <w:p w14:paraId="57B96ADD" w14:textId="77777777" w:rsidR="00682658" w:rsidRDefault="00463CB7" w:rsidP="00BE14D8">
      <w:pPr>
        <w:pStyle w:val="ListBullet2"/>
        <w:rPr>
          <w:rFonts w:eastAsia="Segoe UI"/>
        </w:rPr>
      </w:pPr>
      <w:r w:rsidRPr="00682658">
        <w:rPr>
          <w:rFonts w:eastAsia="Segoe UI"/>
        </w:rPr>
        <w:t>Control of Heat Removal (including reactor and spent fuel decay heat), and</w:t>
      </w:r>
    </w:p>
    <w:p w14:paraId="14AEFEB0" w14:textId="65C44908" w:rsidR="00712C5E" w:rsidRPr="00682658" w:rsidRDefault="00463CB7" w:rsidP="00BE14D8">
      <w:pPr>
        <w:pStyle w:val="ListBullet2"/>
        <w:rPr>
          <w:rFonts w:eastAsia="Segoe UI"/>
        </w:rPr>
      </w:pPr>
      <w:r w:rsidRPr="00682658">
        <w:rPr>
          <w:rFonts w:eastAsia="Segoe UI"/>
        </w:rPr>
        <w:t>Radionuclide Retention.</w:t>
      </w:r>
    </w:p>
    <w:p w14:paraId="01E82D27" w14:textId="45280582" w:rsidR="00712C5E" w:rsidRPr="00682658" w:rsidRDefault="0021182F" w:rsidP="00682658">
      <w:pPr>
        <w:pStyle w:val="BodyText"/>
      </w:pPr>
      <w:r w:rsidRPr="00682658">
        <w:t xml:space="preserve">While </w:t>
      </w:r>
      <w:r>
        <w:t>NEI</w:t>
      </w:r>
      <w:r w:rsidR="00456F42">
        <w:t xml:space="preserve"> </w:t>
      </w:r>
      <w:r>
        <w:t>18</w:t>
      </w:r>
      <w:r w:rsidR="00456F42">
        <w:t xml:space="preserve">-04 was written specifically for non-LWRs, FSFs are </w:t>
      </w:r>
      <w:r w:rsidR="007B5AC5">
        <w:t xml:space="preserve">also </w:t>
      </w:r>
      <w:r w:rsidR="00456F42">
        <w:t xml:space="preserve">applicable to LWRs. </w:t>
      </w:r>
      <w:r w:rsidR="00712C5E" w:rsidRPr="00712C5E">
        <w:t xml:space="preserve">A complete loss of an FSF occurs if SSCs impacted by the finding are required to fulfill the FSF and </w:t>
      </w:r>
      <w:r w:rsidR="00A856B8">
        <w:t xml:space="preserve">the SSCs </w:t>
      </w:r>
      <w:r w:rsidR="00712C5E" w:rsidRPr="00712C5E">
        <w:t xml:space="preserve">are not merely redundant to an inherent design feature. </w:t>
      </w:r>
      <w:r w:rsidR="00A856B8">
        <w:t>In general, if the finding affects only one SSC, then the finding will not cause the loss of an FSF due to defense-in-depth (DID) requirements.</w:t>
      </w:r>
      <w:r w:rsidR="006E4570">
        <w:t xml:space="preserve"> A finding that affects multiple SSCs may or may not cause the loss of a</w:t>
      </w:r>
      <w:r w:rsidR="000770DB">
        <w:t>n</w:t>
      </w:r>
      <w:r w:rsidR="006E4570">
        <w:t xml:space="preserve"> FSF. </w:t>
      </w:r>
      <w:r w:rsidR="005721E8">
        <w:t xml:space="preserve">If the FSF can be fulfilled by DID (i.e., other SSCs or design features), then the finding does not cause a loss of an FSF. </w:t>
      </w:r>
      <w:r w:rsidR="006E4570">
        <w:t xml:space="preserve">If inspectors are unsure of </w:t>
      </w:r>
      <w:r w:rsidR="005721E8">
        <w:t>the</w:t>
      </w:r>
      <w:r w:rsidR="00D416A1">
        <w:t xml:space="preserve"> impact on FSFs, they should inform their supervisor and seek guidance from the </w:t>
      </w:r>
      <w:r w:rsidR="000770DB">
        <w:t>ARCOP Pro</w:t>
      </w:r>
      <w:r w:rsidR="000D6579">
        <w:t>gram</w:t>
      </w:r>
      <w:r w:rsidR="000770DB">
        <w:t xml:space="preserve"> Organization (APO).</w:t>
      </w:r>
    </w:p>
    <w:p w14:paraId="7A1DC2C3" w14:textId="439CBF92" w:rsidR="009B5850" w:rsidRPr="00332BAF" w:rsidRDefault="00712C5E" w:rsidP="00682658">
      <w:pPr>
        <w:pStyle w:val="BodyText"/>
      </w:pPr>
      <w:r w:rsidRPr="00712C5E">
        <w:t xml:space="preserve">For the radionuclide retention FSF, a complete loss </w:t>
      </w:r>
      <w:r w:rsidR="000770DB">
        <w:t xml:space="preserve">of the FSF </w:t>
      </w:r>
      <w:r w:rsidRPr="00712C5E">
        <w:t xml:space="preserve">only occurs if the finding causes the loss of the ability to retain fission products </w:t>
      </w:r>
      <w:r w:rsidR="00517FBA">
        <w:t>from</w:t>
      </w:r>
      <w:r w:rsidR="00517FBA" w:rsidRPr="00712C5E">
        <w:t xml:space="preserve"> </w:t>
      </w:r>
      <w:r w:rsidRPr="00712C5E">
        <w:t xml:space="preserve">irradiated reactor fuel. This does not include fission products in systems, such as cover gas systems or coolant purification systems, that </w:t>
      </w:r>
      <w:r w:rsidR="00517FBA">
        <w:t>may</w:t>
      </w:r>
      <w:r w:rsidR="00517FBA" w:rsidRPr="00712C5E">
        <w:t xml:space="preserve"> </w:t>
      </w:r>
      <w:r w:rsidRPr="00712C5E">
        <w:t xml:space="preserve">contain </w:t>
      </w:r>
      <w:r w:rsidR="00517FBA">
        <w:t xml:space="preserve">trace amounts of </w:t>
      </w:r>
      <w:r w:rsidRPr="00332BAF">
        <w:t xml:space="preserve">fission products during </w:t>
      </w:r>
      <w:r w:rsidR="004134D7" w:rsidRPr="00332BAF">
        <w:t xml:space="preserve">normal </w:t>
      </w:r>
      <w:r w:rsidRPr="00332BAF">
        <w:t>operation</w:t>
      </w:r>
      <w:r w:rsidR="004134D7" w:rsidRPr="00332BAF">
        <w:t>s</w:t>
      </w:r>
      <w:r w:rsidRPr="00332BAF">
        <w:t xml:space="preserve">. </w:t>
      </w:r>
    </w:p>
    <w:p w14:paraId="0516F335" w14:textId="563838A9" w:rsidR="00C37E66" w:rsidRPr="00332BAF" w:rsidRDefault="009B5850" w:rsidP="00682658">
      <w:pPr>
        <w:pStyle w:val="BodyText"/>
      </w:pPr>
      <w:r w:rsidRPr="00332BAF">
        <w:rPr>
          <w:u w:val="single"/>
        </w:rPr>
        <w:t>Note 2</w:t>
      </w:r>
      <w:r w:rsidRPr="00332BAF">
        <w:t>: F</w:t>
      </w:r>
      <w:r w:rsidRPr="00332BAF">
        <w:rPr>
          <w:rFonts w:eastAsia="Calibri"/>
        </w:rPr>
        <w:t xml:space="preserve">indings not adequately addressed by </w:t>
      </w:r>
      <w:r w:rsidR="00245072" w:rsidRPr="00332BAF">
        <w:rPr>
          <w:rFonts w:eastAsia="Calibri"/>
        </w:rPr>
        <w:t xml:space="preserve">safety </w:t>
      </w:r>
      <w:r w:rsidRPr="00332BAF">
        <w:rPr>
          <w:rFonts w:eastAsia="Calibri"/>
        </w:rPr>
        <w:t>significance criteria. W</w:t>
      </w:r>
      <w:r w:rsidRPr="00332BAF">
        <w:t xml:space="preserve">hen the ARCOP construction significance determination process guidance is not adequate to provide a reasonable estimate of the significance of an inspection finding, the safety significance should ultimately be determined by using engineering judgement and regulatory oversight experience, which is acceptable in a risk-informed process. </w:t>
      </w:r>
      <w:r w:rsidR="00CD5CA2" w:rsidRPr="00332BAF">
        <w:t xml:space="preserve">Attachment </w:t>
      </w:r>
      <w:r w:rsidR="00D63D7F">
        <w:t>5</w:t>
      </w:r>
      <w:r w:rsidRPr="00332BAF">
        <w:t xml:space="preserve"> provides guidance to the NRC to apply a consistent process for risk-informed decision making.</w:t>
      </w:r>
    </w:p>
    <w:p w14:paraId="47DF2CBF" w14:textId="1FA37C50" w:rsidR="00C37E66" w:rsidRPr="00332BAF" w:rsidRDefault="00C37E66" w:rsidP="00682658">
      <w:pPr>
        <w:pStyle w:val="BodyText"/>
        <w:rPr>
          <w:rFonts w:eastAsia="Segoe UI"/>
        </w:rPr>
      </w:pPr>
      <w:r w:rsidRPr="00332BAF">
        <w:rPr>
          <w:u w:val="single"/>
        </w:rPr>
        <w:t>Note 3</w:t>
      </w:r>
      <w:r w:rsidRPr="00332BAF">
        <w:t>:</w:t>
      </w:r>
      <w:r w:rsidR="00682658" w:rsidRPr="00332BAF">
        <w:t xml:space="preserve"> </w:t>
      </w:r>
      <w:r w:rsidRPr="00332BAF">
        <w:t xml:space="preserve">Quality assurance program (QAP) backstop. </w:t>
      </w:r>
      <w:r w:rsidRPr="00332BAF">
        <w:rPr>
          <w:rFonts w:eastAsia="Segoe UI"/>
        </w:rPr>
        <w:t xml:space="preserve">A QAP backstop is a scheduled QAP </w:t>
      </w:r>
      <w:r w:rsidRPr="00332BAF">
        <w:t>activity</w:t>
      </w:r>
      <w:r w:rsidRPr="00332BAF">
        <w:rPr>
          <w:rFonts w:eastAsia="Segoe UI"/>
        </w:rPr>
        <w:t xml:space="preserve"> designed to detect SSC deficiencies or </w:t>
      </w:r>
      <w:r w:rsidR="000709CD">
        <w:rPr>
          <w:rFonts w:eastAsia="Segoe UI"/>
        </w:rPr>
        <w:t>noncomp</w:t>
      </w:r>
      <w:r w:rsidR="003F54D0">
        <w:rPr>
          <w:rFonts w:eastAsia="Segoe UI"/>
        </w:rPr>
        <w:t>liance</w:t>
      </w:r>
      <w:r w:rsidRPr="00332BAF">
        <w:rPr>
          <w:rFonts w:eastAsia="Segoe UI"/>
        </w:rPr>
        <w:t>s that</w:t>
      </w:r>
      <w:r w:rsidRPr="001E420C">
        <w:rPr>
          <w:rFonts w:eastAsia="Segoe UI"/>
        </w:rPr>
        <w:t xml:space="preserve"> are associated with the finding. To give credit for a QAP backstop, the QAP activity must be reasonably defined or contained in a procedure, scheduled prior to the receipt of an operating license (Part 50) or before the 103(g) </w:t>
      </w:r>
      <w:r w:rsidRPr="00332BAF">
        <w:rPr>
          <w:rFonts w:eastAsia="Segoe UI"/>
        </w:rPr>
        <w:t xml:space="preserve">finding (Part 52), and able to detect the deficiency or </w:t>
      </w:r>
      <w:r w:rsidR="000709CD">
        <w:rPr>
          <w:rFonts w:eastAsia="Segoe UI"/>
        </w:rPr>
        <w:t>noncomp</w:t>
      </w:r>
      <w:r w:rsidR="003F54D0">
        <w:rPr>
          <w:rFonts w:eastAsia="Segoe UI"/>
        </w:rPr>
        <w:t>liance</w:t>
      </w:r>
      <w:r w:rsidRPr="00332BAF">
        <w:rPr>
          <w:rFonts w:eastAsia="Segoe UI"/>
        </w:rPr>
        <w:t xml:space="preserve"> associated with the finding with a </w:t>
      </w:r>
      <w:r w:rsidR="005A36B6" w:rsidRPr="00332BAF">
        <w:rPr>
          <w:rFonts w:eastAsia="Segoe UI"/>
        </w:rPr>
        <w:t xml:space="preserve">reasonable </w:t>
      </w:r>
      <w:r w:rsidRPr="00332BAF">
        <w:rPr>
          <w:rFonts w:eastAsia="Segoe UI"/>
        </w:rPr>
        <w:t>degree of certainty.</w:t>
      </w:r>
    </w:p>
    <w:p w14:paraId="422AADF4" w14:textId="408E4585" w:rsidR="00463CB7" w:rsidRDefault="00463CB7" w:rsidP="00682658">
      <w:pPr>
        <w:pStyle w:val="BodyText"/>
      </w:pPr>
      <w:r w:rsidRPr="00332BAF">
        <w:rPr>
          <w:u w:val="single"/>
        </w:rPr>
        <w:t xml:space="preserve">Note </w:t>
      </w:r>
      <w:r w:rsidR="009B5850" w:rsidRPr="00332BAF">
        <w:rPr>
          <w:u w:val="single"/>
        </w:rPr>
        <w:t>4</w:t>
      </w:r>
      <w:r w:rsidRPr="00332BAF">
        <w:t xml:space="preserve">: </w:t>
      </w:r>
      <w:r w:rsidR="00B666B5" w:rsidRPr="00332BAF">
        <w:t xml:space="preserve">Hazard protection features are those SSCs and design features that mitigate the effects of internal (e.g., fire, flooding, chemical release) or external (e.g., seismic </w:t>
      </w:r>
      <w:r w:rsidR="002F7E52" w:rsidRPr="00332BAF">
        <w:t>events</w:t>
      </w:r>
      <w:r w:rsidR="00B666B5" w:rsidRPr="00332BAF">
        <w:t xml:space="preserve">, fire, flooding, severe weather events) hazards. Findings associated with hazard protection features may also be screened using </w:t>
      </w:r>
      <w:r w:rsidR="00CD5CA2" w:rsidRPr="00332BAF">
        <w:t xml:space="preserve">Attachment </w:t>
      </w:r>
      <w:r w:rsidR="00C21EA6">
        <w:t>5</w:t>
      </w:r>
      <w:r w:rsidR="00B666B5" w:rsidRPr="00332BAF">
        <w:t xml:space="preserve"> if the severity and breadth of the issue </w:t>
      </w:r>
      <w:proofErr w:type="gramStart"/>
      <w:r w:rsidR="00B666B5" w:rsidRPr="00332BAF">
        <w:t>warrants</w:t>
      </w:r>
      <w:proofErr w:type="gramEnd"/>
      <w:r w:rsidR="00B666B5" w:rsidRPr="00332BAF">
        <w:t xml:space="preserve"> additional considerations.</w:t>
      </w:r>
    </w:p>
    <w:p w14:paraId="74E062F0" w14:textId="7470DD2C" w:rsidR="00682658" w:rsidRDefault="00682658" w:rsidP="00682658">
      <w:pPr>
        <w:widowControl/>
        <w:autoSpaceDE/>
        <w:autoSpaceDN/>
        <w:adjustRightInd/>
        <w:spacing w:after="220"/>
        <w:jc w:val="center"/>
        <w:rPr>
          <w:sz w:val="22"/>
          <w:szCs w:val="22"/>
        </w:rPr>
        <w:sectPr w:rsidR="00682658" w:rsidSect="009355C6">
          <w:headerReference w:type="even" r:id="rId48"/>
          <w:headerReference w:type="default" r:id="rId49"/>
          <w:footerReference w:type="default" r:id="rId50"/>
          <w:headerReference w:type="first" r:id="rId51"/>
          <w:pgSz w:w="12240" w:h="15840"/>
          <w:pgMar w:top="1440" w:right="1440" w:bottom="1440" w:left="1440" w:header="720" w:footer="720" w:gutter="0"/>
          <w:pgNumType w:start="1"/>
          <w:cols w:space="720"/>
          <w:noEndnote/>
          <w:docGrid w:linePitch="326"/>
        </w:sectPr>
      </w:pPr>
    </w:p>
    <w:p w14:paraId="65AEB6A2" w14:textId="5557C439" w:rsidR="00444AE9" w:rsidRPr="00047239" w:rsidRDefault="00410746" w:rsidP="00410746">
      <w:pPr>
        <w:pStyle w:val="attachmenttitle"/>
      </w:pPr>
      <w:bookmarkStart w:id="127" w:name="_Toc215583242"/>
      <w:bookmarkStart w:id="128" w:name="_Toc219293618"/>
      <w:r w:rsidRPr="00633BF1">
        <w:lastRenderedPageBreak/>
        <w:t xml:space="preserve">Attachment </w:t>
      </w:r>
      <w:r w:rsidR="00B22078">
        <w:t>4</w:t>
      </w:r>
      <w:r w:rsidRPr="00633BF1">
        <w:t>:</w:t>
      </w:r>
      <w:r w:rsidR="00B117D6">
        <w:t xml:space="preserve"> </w:t>
      </w:r>
      <w:r w:rsidRPr="00633BF1">
        <w:t xml:space="preserve">Process for Appealing an NRC </w:t>
      </w:r>
      <w:r w:rsidR="000A0377">
        <w:t xml:space="preserve">ARCOP </w:t>
      </w:r>
      <w:r w:rsidRPr="00633BF1">
        <w:t>SDP Determination</w:t>
      </w:r>
      <w:bookmarkEnd w:id="127"/>
      <w:bookmarkEnd w:id="128"/>
    </w:p>
    <w:p w14:paraId="633D5E90" w14:textId="55E00BE3" w:rsidR="00710A43" w:rsidRDefault="00410746" w:rsidP="00710A43">
      <w:pPr>
        <w:pStyle w:val="BodyText"/>
      </w:pPr>
      <w:r>
        <w:t>A</w:t>
      </w:r>
      <w:r w:rsidR="00444AE9" w:rsidRPr="00047239">
        <w:t xml:space="preserve"> licensee may appeal the staff’s final significance determination of an</w:t>
      </w:r>
      <w:r w:rsidR="008F040E">
        <w:t xml:space="preserve"> ARCOP</w:t>
      </w:r>
      <w:r w:rsidR="00444AE9" w:rsidRPr="00047239">
        <w:t xml:space="preserve"> inspection finding documented in an NRC inspection report or final significance determination letter as White </w:t>
      </w:r>
      <w:r w:rsidR="003E4E28">
        <w:t xml:space="preserve">or </w:t>
      </w:r>
      <w:r w:rsidR="00444AE9" w:rsidRPr="00047239">
        <w:t>Yellow. Consistent with the intent of the significance determination process (SDP) to assess significance in a timely manner using the best available information, the staff should be cautious to ensure that the appeal process does not become a protracted review requiring extensive staff resources.</w:t>
      </w:r>
      <w:r>
        <w:t xml:space="preserve"> </w:t>
      </w:r>
      <w:r w:rsidR="00843BE7">
        <w:t>This appeal process may be used by ARCOP licensees</w:t>
      </w:r>
      <w:r w:rsidR="00070FAA">
        <w:t>, permit holders, or project vendors</w:t>
      </w:r>
      <w:r w:rsidR="00843BE7">
        <w:t xml:space="preserve">. </w:t>
      </w:r>
    </w:p>
    <w:p w14:paraId="3D9DA9B8" w14:textId="77777777" w:rsidR="00710A43" w:rsidRDefault="00444AE9" w:rsidP="00710A43">
      <w:pPr>
        <w:pStyle w:val="BodyText"/>
      </w:pPr>
      <w:r w:rsidRPr="00047239">
        <w:t xml:space="preserve">It is assumed that prior to issuing the final significance determination and documenting this in an inspection report, including the SDP basis for significance, the staff </w:t>
      </w:r>
      <w:r w:rsidR="00C36207">
        <w:t>has</w:t>
      </w:r>
      <w:r w:rsidRPr="00047239">
        <w:t xml:space="preserve"> completed the following: </w:t>
      </w:r>
    </w:p>
    <w:p w14:paraId="6A362DED" w14:textId="7736BCA9" w:rsidR="00A641B4" w:rsidRDefault="008F040E" w:rsidP="00630B33">
      <w:pPr>
        <w:pStyle w:val="BodyText"/>
        <w:numPr>
          <w:ilvl w:val="0"/>
          <w:numId w:val="29"/>
        </w:numPr>
      </w:pPr>
      <w:r>
        <w:t xml:space="preserve">The </w:t>
      </w:r>
      <w:proofErr w:type="gramStart"/>
      <w:r>
        <w:t>responsible inspector</w:t>
      </w:r>
      <w:proofErr w:type="gramEnd"/>
      <w:r>
        <w:t>, a</w:t>
      </w:r>
      <w:r w:rsidR="00444AE9" w:rsidRPr="00047239">
        <w:t xml:space="preserve">pplying the best available information, </w:t>
      </w:r>
      <w:r>
        <w:t>has</w:t>
      </w:r>
      <w:r w:rsidR="00444AE9" w:rsidRPr="00047239">
        <w:t xml:space="preserve"> established the licensee’s </w:t>
      </w:r>
      <w:r w:rsidR="000709CD">
        <w:t>noncomp</w:t>
      </w:r>
      <w:r w:rsidR="003F54D0">
        <w:t>liance</w:t>
      </w:r>
      <w:r w:rsidR="00444AE9" w:rsidRPr="00047239">
        <w:t xml:space="preserve"> and characterized the finding as potentially greater than Green. Using the </w:t>
      </w:r>
      <w:r w:rsidR="00930018">
        <w:t>ARCOP</w:t>
      </w:r>
      <w:r w:rsidR="00444AE9" w:rsidRPr="00047239">
        <w:t xml:space="preserve"> SDP, the inspector </w:t>
      </w:r>
      <w:r w:rsidR="00A33988">
        <w:t>has</w:t>
      </w:r>
      <w:r w:rsidR="00444AE9" w:rsidRPr="00047239">
        <w:t xml:space="preserve"> determined the proposed preliminary color for the finding (White, Yellow, or Greater Than Green). </w:t>
      </w:r>
    </w:p>
    <w:p w14:paraId="09752441" w14:textId="39D11102" w:rsidR="00A641B4" w:rsidRDefault="00444AE9" w:rsidP="00630B33">
      <w:pPr>
        <w:pStyle w:val="BodyText"/>
        <w:numPr>
          <w:ilvl w:val="0"/>
          <w:numId w:val="29"/>
        </w:numPr>
      </w:pPr>
      <w:r w:rsidRPr="00A641B4">
        <w:t xml:space="preserve">Each finding that the staff’s significance determination has preliminarily characterized “White, Yellow, or Greater Than Green” </w:t>
      </w:r>
      <w:r w:rsidR="00A33988" w:rsidRPr="00A641B4">
        <w:t>has</w:t>
      </w:r>
      <w:r w:rsidRPr="00A641B4">
        <w:t xml:space="preserve"> been presented to and reviewed by the NRC Enforcement Review Panel. Subsequently, the staff </w:t>
      </w:r>
      <w:r w:rsidR="00A33988" w:rsidRPr="00A641B4">
        <w:t>has</w:t>
      </w:r>
      <w:r w:rsidRPr="00A641B4">
        <w:t xml:space="preserve"> informed the licensee of the preliminary characterization of the issue in a preliminary significance determination letter which included an invitation for the licensee </w:t>
      </w:r>
      <w:r w:rsidR="00A33988" w:rsidRPr="00A641B4">
        <w:t xml:space="preserve">or </w:t>
      </w:r>
      <w:r w:rsidR="007C68C5" w:rsidRPr="00A641B4">
        <w:t>project vendor</w:t>
      </w:r>
      <w:r w:rsidR="00A33988" w:rsidRPr="00A641B4">
        <w:t xml:space="preserve"> </w:t>
      </w:r>
      <w:r w:rsidRPr="00A641B4">
        <w:t>to present additional information.</w:t>
      </w:r>
    </w:p>
    <w:p w14:paraId="0959B5B3" w14:textId="73C9FA20" w:rsidR="00A641B4" w:rsidRDefault="00444AE9" w:rsidP="00630B33">
      <w:pPr>
        <w:pStyle w:val="BodyText"/>
        <w:numPr>
          <w:ilvl w:val="0"/>
          <w:numId w:val="29"/>
        </w:numPr>
      </w:pPr>
      <w:r w:rsidRPr="00A641B4">
        <w:t xml:space="preserve">If the licensee opted to present additional information to the staff either by meeting with </w:t>
      </w:r>
      <w:r w:rsidR="00BD36B6" w:rsidRPr="00A641B4">
        <w:t xml:space="preserve">NRC </w:t>
      </w:r>
      <w:r w:rsidRPr="00A641B4">
        <w:t xml:space="preserve">management at a Regulatory Conference or by submitting additional information in writing on the docket, </w:t>
      </w:r>
      <w:r w:rsidR="0091207D" w:rsidRPr="00A641B4">
        <w:t>this</w:t>
      </w:r>
      <w:r w:rsidRPr="00A641B4">
        <w:t xml:space="preserve"> information </w:t>
      </w:r>
      <w:r w:rsidR="0091207D" w:rsidRPr="00A641B4">
        <w:t>has</w:t>
      </w:r>
      <w:r w:rsidRPr="00A641B4">
        <w:t xml:space="preserve"> been reviewed and dispositioned by the staff. Additional information that the licensee indicated was not available to present at the Regulatory Conference should be received by the staff within a reasonable </w:t>
      </w:r>
      <w:r w:rsidR="0029616E" w:rsidRPr="00A641B4">
        <w:t>period</w:t>
      </w:r>
      <w:r w:rsidRPr="00A641B4">
        <w:t xml:space="preserve"> (agreed upon between the licensee and the staff, and documented), to allow the staff adequate time to review the information.</w:t>
      </w:r>
    </w:p>
    <w:p w14:paraId="55F67881" w14:textId="7CACD26E" w:rsidR="00444AE9" w:rsidRPr="00A641B4" w:rsidRDefault="00444AE9" w:rsidP="00630B33">
      <w:pPr>
        <w:pStyle w:val="BodyText"/>
        <w:numPr>
          <w:ilvl w:val="0"/>
          <w:numId w:val="29"/>
        </w:numPr>
      </w:pPr>
      <w:r w:rsidRPr="00A641B4">
        <w:t xml:space="preserve">The staff has sent the licensee a letter which states the staff’s final significance determination and broadly responds to the information provided by the licensee. </w:t>
      </w:r>
    </w:p>
    <w:p w14:paraId="07199854" w14:textId="0D11C56B" w:rsidR="00710A43" w:rsidRDefault="00444AE9" w:rsidP="004A4CDF">
      <w:pPr>
        <w:pStyle w:val="BodyText"/>
      </w:pPr>
      <w:r w:rsidRPr="00047239">
        <w:t xml:space="preserve">Once the above prerequisites have been met, licensee appeals to reduce the significance of an inspection finding will be considered as having sufficient merit for review by this appeal process only if the licensee’s </w:t>
      </w:r>
      <w:r w:rsidR="00C306CA">
        <w:t xml:space="preserve">or </w:t>
      </w:r>
      <w:r w:rsidR="0029616E">
        <w:t>project vendor</w:t>
      </w:r>
      <w:r w:rsidR="00C306CA">
        <w:t>’s</w:t>
      </w:r>
      <w:r w:rsidR="00C306CA" w:rsidRPr="00047239">
        <w:t xml:space="preserve"> </w:t>
      </w:r>
      <w:r w:rsidRPr="00047239">
        <w:t xml:space="preserve">contention falls into one of the following categories: </w:t>
      </w:r>
    </w:p>
    <w:p w14:paraId="2F52202F" w14:textId="4F36DF19" w:rsidR="00A641B4" w:rsidRDefault="00444AE9" w:rsidP="00630B33">
      <w:pPr>
        <w:pStyle w:val="BodyText"/>
        <w:numPr>
          <w:ilvl w:val="0"/>
          <w:numId w:val="30"/>
        </w:numPr>
      </w:pPr>
      <w:r w:rsidRPr="00047239">
        <w:t xml:space="preserve">The staff’s significance determination process was inconsistent with </w:t>
      </w:r>
      <w:r w:rsidR="00C306CA" w:rsidRPr="00C306CA">
        <w:t>ARCOP</w:t>
      </w:r>
      <w:r w:rsidRPr="00047239">
        <w:t xml:space="preserve"> SDP guidance or lacked justification. </w:t>
      </w:r>
    </w:p>
    <w:p w14:paraId="54B81C3A" w14:textId="14AEE2D1" w:rsidR="00444AE9" w:rsidRPr="00A641B4" w:rsidRDefault="00444AE9" w:rsidP="00630B33">
      <w:pPr>
        <w:pStyle w:val="BodyText"/>
        <w:numPr>
          <w:ilvl w:val="0"/>
          <w:numId w:val="30"/>
        </w:numPr>
      </w:pPr>
      <w:r w:rsidRPr="00A641B4">
        <w:t xml:space="preserve">A licensee submits new information which was not available at the time of the Regulatory Conference. New information will be considered only if the licensee informed the staff that additional information was under development prior to or during the Regulatory Conference, or in their written response to the preliminary significance determination. The information under development should have been received within a reasonable period (agreed upon between the licensee </w:t>
      </w:r>
      <w:r w:rsidR="00EF57F3" w:rsidRPr="00A641B4">
        <w:t xml:space="preserve">or manufacturer </w:t>
      </w:r>
      <w:r w:rsidRPr="00A641B4">
        <w:t xml:space="preserve">and the staff) for the staff to review it. </w:t>
      </w:r>
    </w:p>
    <w:p w14:paraId="2D074B15" w14:textId="2822871F" w:rsidR="00710A43" w:rsidRDefault="00444AE9" w:rsidP="004A4CDF">
      <w:pPr>
        <w:pStyle w:val="BodyText"/>
      </w:pPr>
      <w:r w:rsidRPr="00047239">
        <w:lastRenderedPageBreak/>
        <w:t>The following statement will be added to each inspection report cover letter or other official correspondence that transmits an inspection finding of White</w:t>
      </w:r>
      <w:r w:rsidR="00CC16F4">
        <w:t xml:space="preserve"> or</w:t>
      </w:r>
      <w:r w:rsidRPr="00047239">
        <w:t xml:space="preserve"> Yellow significance: “You have 30 calendar days from the date of this letter to </w:t>
      </w:r>
      <w:r w:rsidRPr="00332BAF">
        <w:t>appeal the staff’s determination of significance for the identified [white/yellow] finding[s]. Such appeals will be considered to have merit only if they meet the criteria given in NRC Inspection Manual Chapter 25</w:t>
      </w:r>
      <w:r w:rsidR="00CC16F4" w:rsidRPr="00332BAF">
        <w:t>71</w:t>
      </w:r>
      <w:r w:rsidRPr="00332BAF">
        <w:t xml:space="preserve">, </w:t>
      </w:r>
      <w:r w:rsidR="00252DB4" w:rsidRPr="00332BAF">
        <w:t xml:space="preserve">Attachment </w:t>
      </w:r>
      <w:r w:rsidR="000A0377">
        <w:t>4</w:t>
      </w:r>
      <w:r w:rsidRPr="00332BAF">
        <w:t>.”</w:t>
      </w:r>
      <w:r w:rsidRPr="00047239">
        <w:t xml:space="preserve"> </w:t>
      </w:r>
    </w:p>
    <w:p w14:paraId="44FDDA25" w14:textId="268DA21A" w:rsidR="00A641B4" w:rsidRDefault="00444AE9" w:rsidP="004A4CDF">
      <w:pPr>
        <w:pStyle w:val="BodyText"/>
      </w:pPr>
      <w:r w:rsidRPr="00047239">
        <w:t xml:space="preserve">The licensee must submit its letter of appeal to the </w:t>
      </w:r>
      <w:r w:rsidR="005A4695">
        <w:t xml:space="preserve">applicable </w:t>
      </w:r>
      <w:r w:rsidRPr="00047239">
        <w:t>Region</w:t>
      </w:r>
      <w:r>
        <w:t xml:space="preserve">al </w:t>
      </w:r>
      <w:r w:rsidRPr="00047239">
        <w:t xml:space="preserve">Administrator </w:t>
      </w:r>
      <w:r w:rsidR="005A4695">
        <w:t>(RA)</w:t>
      </w:r>
      <w:r w:rsidRPr="00047239">
        <w:t xml:space="preserve"> or to the NRC Office Director responsible for the inspection within 30 calendar days of the date of the transmittal letter.</w:t>
      </w:r>
      <w:r w:rsidR="005A4695">
        <w:t xml:space="preserve"> The applicable RA is the Region II RA if the finding was identified during an inspection led by Region II construction inspectors. Otherwise, the applicable RA is the RA of the host region. </w:t>
      </w:r>
    </w:p>
    <w:p w14:paraId="75538D58" w14:textId="0B339E88" w:rsidR="00444AE9" w:rsidRPr="00EF135A" w:rsidRDefault="00444AE9" w:rsidP="004A4CDF">
      <w:pPr>
        <w:pStyle w:val="BodyText"/>
      </w:pPr>
      <w:r w:rsidRPr="00EF135A">
        <w:t xml:space="preserve">The </w:t>
      </w:r>
      <w:r w:rsidR="006524A2">
        <w:t>applicable</w:t>
      </w:r>
      <w:r w:rsidRPr="00EF135A">
        <w:t xml:space="preserve"> </w:t>
      </w:r>
      <w:r w:rsidR="005A4695">
        <w:t>RA</w:t>
      </w:r>
      <w:r w:rsidRPr="00EF135A">
        <w:t xml:space="preserve"> or responsible NRC Office Director should determine within 30 calendar days of the receipt of the licensee’s appeal request whether the appeal meets the above </w:t>
      </w:r>
      <w:r>
        <w:t>limitations</w:t>
      </w:r>
      <w:r w:rsidRPr="00EF135A">
        <w:t xml:space="preserve">. Following the determination, but still within the 30 calendar days, the </w:t>
      </w:r>
      <w:r w:rsidR="005A4695">
        <w:t>RA</w:t>
      </w:r>
      <w:r w:rsidRPr="00EF135A">
        <w:t xml:space="preserve"> or responsible NRC Office Director should inform the licensee in writing of the decision and its basis.</w:t>
      </w:r>
    </w:p>
    <w:p w14:paraId="54952F52" w14:textId="0C56919D" w:rsidR="00444AE9" w:rsidRPr="00047239" w:rsidRDefault="00444AE9" w:rsidP="004A4CDF">
      <w:pPr>
        <w:pStyle w:val="BodyText"/>
      </w:pPr>
      <w:r w:rsidRPr="00047239">
        <w:t xml:space="preserve">If the appeal is accepted, the associated review and written notification to the licensee stating the results of the appeal review should be limited to 30 calendar days following the acceptance of the appeal. The </w:t>
      </w:r>
      <w:r w:rsidR="002A51ED">
        <w:t xml:space="preserve">applicable </w:t>
      </w:r>
      <w:r w:rsidRPr="00047239">
        <w:t xml:space="preserve">RA or responsible NRC Office Director will appoint an appeal panel consisting of, at a minimum, two technical experts in the cornerstone being discussed and an enforcement specialist. The </w:t>
      </w:r>
      <w:r w:rsidR="002A51ED">
        <w:t>applicable RA</w:t>
      </w:r>
      <w:r w:rsidRPr="00047239">
        <w:t xml:space="preserve"> or responsible NRC Office Director may also request representation by the Office of General Counsel. At least one panel member will not have had prior involvement with the significance determination under appeal. The principal purpose of the panel is to arrive at a consensus regarding the validity of the licensee’s appeal. </w:t>
      </w:r>
    </w:p>
    <w:p w14:paraId="7A453FD7" w14:textId="701CE5B6" w:rsidR="00444AE9" w:rsidRDefault="00444AE9" w:rsidP="004A4CDF">
      <w:pPr>
        <w:pStyle w:val="BodyText"/>
      </w:pPr>
      <w:r w:rsidRPr="00047239">
        <w:t xml:space="preserve">The appeal panel will review the inspection </w:t>
      </w:r>
      <w:proofErr w:type="gramStart"/>
      <w:r w:rsidRPr="00047239">
        <w:t>finding</w:t>
      </w:r>
      <w:proofErr w:type="gramEnd"/>
      <w:r w:rsidRPr="00047239">
        <w:t xml:space="preserve">, its significance characterization and basis, any new information that was being developed at the time of the Regulatory Conference, and the licensee’s points of contention. The panel may recommend one of the following: </w:t>
      </w:r>
    </w:p>
    <w:p w14:paraId="2A2F3822" w14:textId="77777777" w:rsidR="00A641B4" w:rsidRDefault="00444AE9" w:rsidP="00630B33">
      <w:pPr>
        <w:pStyle w:val="BodyText"/>
        <w:numPr>
          <w:ilvl w:val="0"/>
          <w:numId w:val="31"/>
        </w:numPr>
        <w:contextualSpacing/>
      </w:pPr>
      <w:r w:rsidRPr="00047239">
        <w:t xml:space="preserve">No further action and the significance determination is unchanged, or </w:t>
      </w:r>
    </w:p>
    <w:p w14:paraId="49945381" w14:textId="77777777" w:rsidR="00A641B4" w:rsidRDefault="00444AE9" w:rsidP="00630B33">
      <w:pPr>
        <w:pStyle w:val="BodyText"/>
        <w:numPr>
          <w:ilvl w:val="0"/>
          <w:numId w:val="31"/>
        </w:numPr>
        <w:contextualSpacing/>
      </w:pPr>
      <w:r w:rsidRPr="00A641B4">
        <w:t>More detailed justification of the basis for the significance determination is required, or</w:t>
      </w:r>
    </w:p>
    <w:p w14:paraId="74957D8D" w14:textId="1BE55FAE" w:rsidR="00444AE9" w:rsidRPr="00A641B4" w:rsidRDefault="00444AE9" w:rsidP="00630B33">
      <w:pPr>
        <w:pStyle w:val="BodyText"/>
        <w:numPr>
          <w:ilvl w:val="0"/>
          <w:numId w:val="31"/>
        </w:numPr>
      </w:pPr>
      <w:r w:rsidRPr="00A641B4">
        <w:t>Change the significance determination (either increase or decrease), as appropriate.</w:t>
      </w:r>
    </w:p>
    <w:p w14:paraId="6F502B02" w14:textId="741FD08E" w:rsidR="00710A43" w:rsidRDefault="00444AE9" w:rsidP="004A4CDF">
      <w:pPr>
        <w:pStyle w:val="BodyText"/>
      </w:pPr>
      <w:r w:rsidRPr="00047239">
        <w:t xml:space="preserve">The appeal panel will provide its conclusions to the </w:t>
      </w:r>
      <w:r w:rsidR="002A7C19">
        <w:t>Enforcement</w:t>
      </w:r>
      <w:r w:rsidR="006938B3">
        <w:t xml:space="preserve"> Review</w:t>
      </w:r>
      <w:r w:rsidR="002A7C19">
        <w:t xml:space="preserve"> Panel</w:t>
      </w:r>
      <w:r w:rsidRPr="00047239">
        <w:t xml:space="preserve"> in writing. Within 10 working days of the date of the appeal panel’s conclusions, the </w:t>
      </w:r>
      <w:r w:rsidR="002A7C19">
        <w:t>Enforcement</w:t>
      </w:r>
      <w:r w:rsidR="006938B3">
        <w:t xml:space="preserve"> Review</w:t>
      </w:r>
      <w:r w:rsidR="002A7C19">
        <w:t xml:space="preserve"> Panel</w:t>
      </w:r>
      <w:r w:rsidR="002A7C19" w:rsidRPr="00047239">
        <w:t xml:space="preserve"> </w:t>
      </w:r>
      <w:r w:rsidRPr="00047239">
        <w:t xml:space="preserve">will consider the results of the appeal panel. The </w:t>
      </w:r>
      <w:r w:rsidR="002A7C19">
        <w:t xml:space="preserve">Enforcement </w:t>
      </w:r>
      <w:r w:rsidR="006938B3">
        <w:t xml:space="preserve">Review </w:t>
      </w:r>
      <w:r w:rsidR="002A7C19">
        <w:t>Panel</w:t>
      </w:r>
      <w:r w:rsidRPr="00047239">
        <w:t xml:space="preserve"> will provide the results of their review to the RA and to the Director of NR</w:t>
      </w:r>
      <w:r w:rsidR="00321DB4">
        <w:t>R</w:t>
      </w:r>
      <w:r w:rsidRPr="00047239">
        <w:t xml:space="preserve">, or the Director of NSIR (for security or emergency planning), within 5 working days. </w:t>
      </w:r>
    </w:p>
    <w:p w14:paraId="490CFBA0" w14:textId="77777777" w:rsidR="00710A43" w:rsidRDefault="00444AE9" w:rsidP="004A4CDF">
      <w:pPr>
        <w:pStyle w:val="BodyText"/>
      </w:pPr>
      <w:r w:rsidRPr="00047239">
        <w:t>Within five working days of receiving the final recommendation memorandum, the Region</w:t>
      </w:r>
      <w:r>
        <w:t xml:space="preserve">al </w:t>
      </w:r>
      <w:r w:rsidRPr="00047239">
        <w:t>Administrator and the Director of NR</w:t>
      </w:r>
      <w:r w:rsidR="00321DB4">
        <w:t>R</w:t>
      </w:r>
      <w:r w:rsidRPr="00047239">
        <w:t xml:space="preserve">, or the Director of NSIR (for security or emergency planning) will confer and jointly agree on the final decision. Subsequently the RA or responsible NRC Office Director will notify the licensee in writing of the final agency position. </w:t>
      </w:r>
    </w:p>
    <w:p w14:paraId="31505C0F" w14:textId="3EF49BE2" w:rsidR="00444AE9" w:rsidRPr="00A11393" w:rsidRDefault="00444AE9" w:rsidP="004A4CDF">
      <w:pPr>
        <w:pStyle w:val="BodyText"/>
      </w:pPr>
      <w:r w:rsidRPr="00A11393">
        <w:t xml:space="preserve">The results of the appeal process are final with no further avenues for appeal within the significance determination process. </w:t>
      </w:r>
    </w:p>
    <w:p w14:paraId="3AB1D988" w14:textId="77777777" w:rsidR="00D35E13" w:rsidRDefault="00D35E13" w:rsidP="003A4C7F">
      <w:pPr>
        <w:pStyle w:val="attachmenttitle"/>
        <w:sectPr w:rsidR="00D35E13" w:rsidSect="00784945">
          <w:headerReference w:type="even" r:id="rId52"/>
          <w:headerReference w:type="default" r:id="rId53"/>
          <w:footerReference w:type="default" r:id="rId54"/>
          <w:headerReference w:type="first" r:id="rId55"/>
          <w:footerReference w:type="first" r:id="rId56"/>
          <w:pgSz w:w="12240" w:h="15840" w:code="1"/>
          <w:pgMar w:top="1440" w:right="1440" w:bottom="1440" w:left="1440" w:header="720" w:footer="720" w:gutter="0"/>
          <w:pgNumType w:start="1" w:chapStyle="1"/>
          <w:cols w:space="720"/>
          <w:docGrid w:linePitch="326"/>
        </w:sectPr>
      </w:pPr>
    </w:p>
    <w:p w14:paraId="732C9531" w14:textId="009CF28A" w:rsidR="00D8643E" w:rsidRPr="00621643" w:rsidRDefault="00CA5095" w:rsidP="00CA5095">
      <w:pPr>
        <w:pStyle w:val="attachmenttitle"/>
      </w:pPr>
      <w:bookmarkStart w:id="129" w:name="_Toc215583243"/>
      <w:bookmarkStart w:id="130" w:name="_Toc219293619"/>
      <w:r w:rsidRPr="00CA5095">
        <w:lastRenderedPageBreak/>
        <w:t xml:space="preserve">Attachment </w:t>
      </w:r>
      <w:r w:rsidR="00F355FB">
        <w:t>5</w:t>
      </w:r>
      <w:r w:rsidRPr="00CA5095">
        <w:t>:</w:t>
      </w:r>
      <w:r>
        <w:t xml:space="preserve"> </w:t>
      </w:r>
      <w:r w:rsidRPr="00CA5095">
        <w:t>Alternate Significance Determination</w:t>
      </w:r>
      <w:bookmarkEnd w:id="129"/>
      <w:bookmarkEnd w:id="130"/>
      <w:r w:rsidRPr="00CA5095">
        <w:t xml:space="preserve"> </w:t>
      </w:r>
    </w:p>
    <w:p w14:paraId="71B42E74" w14:textId="723173BE" w:rsidR="00710A43" w:rsidRDefault="002222DE" w:rsidP="004A4CDF">
      <w:pPr>
        <w:pStyle w:val="BodyText"/>
      </w:pPr>
      <w:r w:rsidRPr="00440824">
        <w:t xml:space="preserve">This </w:t>
      </w:r>
      <w:r w:rsidR="00CA5095">
        <w:t>attachment</w:t>
      </w:r>
      <w:r w:rsidRPr="00440824">
        <w:t xml:space="preserve"> provides guidance to NRC management and inspection staff for assessing significance of </w:t>
      </w:r>
      <w:r w:rsidR="00D95051">
        <w:t xml:space="preserve">advanced power reactor construction </w:t>
      </w:r>
      <w:r w:rsidRPr="00440824">
        <w:t xml:space="preserve">inspection findings when the </w:t>
      </w:r>
      <w:r w:rsidR="00D95051">
        <w:t xml:space="preserve">advanced reactor construction oversight program (ARCOP) </w:t>
      </w:r>
      <w:r w:rsidRPr="00440824">
        <w:t>significance determination process (SDP) guidance is not adequate to provide reasonable estimates of the significance of inspection findings within the established SDP timeliness goal of 90 days or less.</w:t>
      </w:r>
    </w:p>
    <w:p w14:paraId="37796FCC" w14:textId="77777777" w:rsidR="00710A43" w:rsidRDefault="002222DE" w:rsidP="004A4CDF">
      <w:pPr>
        <w:pStyle w:val="BodyText"/>
      </w:pPr>
      <w:r w:rsidRPr="00440824">
        <w:t xml:space="preserve">A relatively small number of inspection findings may challenge the staff in making timely </w:t>
      </w:r>
      <w:r w:rsidR="00D95051">
        <w:t>safety or security significance determinations</w:t>
      </w:r>
      <w:r w:rsidRPr="00440824">
        <w:t xml:space="preserve">. In these cases, the safety </w:t>
      </w:r>
      <w:r w:rsidR="00D95051">
        <w:t xml:space="preserve">or security </w:t>
      </w:r>
      <w:r w:rsidRPr="00440824">
        <w:t xml:space="preserve">significance of such findings should ultimately be determined using engineering judgement and regulatory oversight experience, which is acceptable in a risk-informed process. This </w:t>
      </w:r>
      <w:r w:rsidR="00E93964">
        <w:t>attachment</w:t>
      </w:r>
      <w:r w:rsidRPr="00440824">
        <w:t xml:space="preserve"> provides guidance to allow the NRC to apply a consistent process using risk-informed decision making.</w:t>
      </w:r>
    </w:p>
    <w:p w14:paraId="3F0C3E03" w14:textId="137EC50C" w:rsidR="00710A43" w:rsidRDefault="00F407EA" w:rsidP="004A4CDF">
      <w:pPr>
        <w:pStyle w:val="BodyText"/>
      </w:pPr>
      <w:r>
        <w:t xml:space="preserve">This </w:t>
      </w:r>
      <w:r w:rsidR="00CA5095">
        <w:t>attachment</w:t>
      </w:r>
      <w:r>
        <w:t xml:space="preserve"> is </w:t>
      </w:r>
      <w:r w:rsidR="00CA5095">
        <w:t>considered</w:t>
      </w:r>
      <w:r>
        <w:t xml:space="preserve"> only after initial </w:t>
      </w:r>
      <w:r w:rsidR="00C91F1A">
        <w:t xml:space="preserve">finding </w:t>
      </w:r>
      <w:r>
        <w:t xml:space="preserve">screening has been completed </w:t>
      </w:r>
      <w:r w:rsidR="00B31E1C">
        <w:t xml:space="preserve">in accordance with </w:t>
      </w:r>
      <w:r>
        <w:t xml:space="preserve">this IMC, </w:t>
      </w:r>
      <w:r w:rsidRPr="00332BAF">
        <w:t xml:space="preserve">including </w:t>
      </w:r>
      <w:r w:rsidR="00CD5CA2" w:rsidRPr="00332BAF">
        <w:t>Attachments 2 and 3</w:t>
      </w:r>
      <w:r w:rsidRPr="00332BAF">
        <w:t>. If, based on reasonable assumptions and engineering judgement, a significance conclusion cannot be obtained</w:t>
      </w:r>
      <w:r w:rsidR="00027E5C" w:rsidRPr="00332BAF">
        <w:t xml:space="preserve"> using the screening criteria in </w:t>
      </w:r>
      <w:r w:rsidR="00252DB4" w:rsidRPr="00332BAF">
        <w:t>Attachment 3</w:t>
      </w:r>
      <w:r w:rsidRPr="00332BAF">
        <w:t xml:space="preserve">, then this </w:t>
      </w:r>
      <w:r w:rsidR="00CA5095" w:rsidRPr="00332BAF">
        <w:t>attachment</w:t>
      </w:r>
      <w:r w:rsidRPr="00332BAF">
        <w:t xml:space="preserve"> aid</w:t>
      </w:r>
      <w:r w:rsidR="00CA5095" w:rsidRPr="00332BAF">
        <w:t>s</w:t>
      </w:r>
      <w:r w:rsidRPr="00332BAF">
        <w:t xml:space="preserve"> in determining the significance of the finding. </w:t>
      </w:r>
      <w:r w:rsidR="00DC1020" w:rsidRPr="00332BAF">
        <w:t>“Reasonable assumptions and engineering judgement” in this context mean</w:t>
      </w:r>
      <w:r w:rsidR="00027E5C" w:rsidRPr="00332BAF">
        <w:t>s</w:t>
      </w:r>
      <w:r w:rsidR="00DC1020" w:rsidRPr="00332BAF">
        <w:t xml:space="preserve"> that the staff </w:t>
      </w:r>
      <w:r w:rsidR="00027E5C" w:rsidRPr="00332BAF">
        <w:t xml:space="preserve">may not be </w:t>
      </w:r>
      <w:proofErr w:type="gramStart"/>
      <w:r w:rsidR="00DC1020" w:rsidRPr="00332BAF">
        <w:t>absolutely sure</w:t>
      </w:r>
      <w:proofErr w:type="gramEnd"/>
      <w:r w:rsidR="00DC1020" w:rsidRPr="00332BAF">
        <w:t xml:space="preserve"> of </w:t>
      </w:r>
      <w:r w:rsidR="002C654F" w:rsidRPr="00332BAF">
        <w:t>the assumptions</w:t>
      </w:r>
      <w:r w:rsidR="00027E5C" w:rsidRPr="00332BAF">
        <w:t xml:space="preserve"> and conclusions, and it is </w:t>
      </w:r>
      <w:r w:rsidR="002C654F" w:rsidRPr="00332BAF">
        <w:t xml:space="preserve">not the intent of this </w:t>
      </w:r>
      <w:r w:rsidR="002627F4" w:rsidRPr="00332BAF">
        <w:t>IMC that</w:t>
      </w:r>
      <w:r w:rsidR="002C654F" w:rsidRPr="00332BAF">
        <w:t xml:space="preserve"> </w:t>
      </w:r>
      <w:r w:rsidR="00027E5C" w:rsidRPr="00332BAF">
        <w:t>lengthy</w:t>
      </w:r>
      <w:r w:rsidR="002C654F" w:rsidRPr="00332BAF">
        <w:t xml:space="preserve"> calculations or analyses be performed.</w:t>
      </w:r>
      <w:r w:rsidR="002627F4" w:rsidRPr="00332BAF">
        <w:t xml:space="preserve"> </w:t>
      </w:r>
      <w:proofErr w:type="gramStart"/>
      <w:r w:rsidR="002627F4" w:rsidRPr="00332BAF">
        <w:t>The guidance</w:t>
      </w:r>
      <w:proofErr w:type="gramEnd"/>
      <w:r w:rsidR="002627F4" w:rsidRPr="00332BAF">
        <w:t xml:space="preserve"> in this </w:t>
      </w:r>
      <w:r w:rsidR="00E93964" w:rsidRPr="00332BAF">
        <w:t>attachment</w:t>
      </w:r>
      <w:r w:rsidR="002627F4" w:rsidRPr="00332BAF">
        <w:t xml:space="preserve"> should be applied when the SDP methods and tools in </w:t>
      </w:r>
      <w:r w:rsidR="00252DB4" w:rsidRPr="00332BAF">
        <w:t>Attachment 3</w:t>
      </w:r>
      <w:r w:rsidR="002627F4" w:rsidRPr="00332BAF">
        <w:t xml:space="preserve"> are not adequate to determine the significance of the finding within the established SDP timeliness goal of 90 days.</w:t>
      </w:r>
      <w:r w:rsidR="002C654F" w:rsidRPr="00332BAF">
        <w:t xml:space="preserve"> </w:t>
      </w:r>
    </w:p>
    <w:p w14:paraId="47096BBD" w14:textId="2C758DA8" w:rsidR="00710A43" w:rsidRDefault="00F87252" w:rsidP="004A4CDF">
      <w:pPr>
        <w:pStyle w:val="BodyText"/>
      </w:pPr>
      <w:r w:rsidRPr="00332BAF">
        <w:t>E</w:t>
      </w:r>
      <w:r w:rsidR="002222DE" w:rsidRPr="00332BAF">
        <w:t xml:space="preserve">valuate the </w:t>
      </w:r>
      <w:r w:rsidRPr="00332BAF">
        <w:t xml:space="preserve">decision </w:t>
      </w:r>
      <w:r w:rsidR="002222DE" w:rsidRPr="00332BAF">
        <w:t xml:space="preserve">attributes </w:t>
      </w:r>
      <w:r w:rsidRPr="00332BAF">
        <w:t xml:space="preserve">in </w:t>
      </w:r>
      <w:r w:rsidR="00B565E3">
        <w:t>T</w:t>
      </w:r>
      <w:r w:rsidR="00F8081E" w:rsidRPr="00332BAF">
        <w:t xml:space="preserve">able </w:t>
      </w:r>
      <w:r w:rsidR="00FD39AF">
        <w:t>5</w:t>
      </w:r>
      <w:r w:rsidR="00B565E3">
        <w:t>.</w:t>
      </w:r>
      <w:r w:rsidR="00CA5095" w:rsidRPr="00332BAF">
        <w:t>1</w:t>
      </w:r>
      <w:r w:rsidR="00F8081E" w:rsidRPr="00332BAF">
        <w:t xml:space="preserve"> </w:t>
      </w:r>
      <w:r w:rsidR="002222DE" w:rsidRPr="00332BAF">
        <w:t>to determine the significance of the finding.</w:t>
      </w:r>
      <w:r w:rsidR="00DF1CDA" w:rsidRPr="00332BAF">
        <w:t xml:space="preserve"> </w:t>
      </w:r>
      <w:r w:rsidR="002222DE" w:rsidRPr="00332BAF">
        <w:t xml:space="preserve">Consider only attributes which relate directly to the significance of the </w:t>
      </w:r>
      <w:r w:rsidR="00C828F4" w:rsidRPr="00332BAF">
        <w:t>finding</w:t>
      </w:r>
      <w:r w:rsidR="002222DE" w:rsidRPr="00332BAF">
        <w:t xml:space="preserve"> and document the basis for the</w:t>
      </w:r>
      <w:r w:rsidR="00DD1924" w:rsidRPr="00332BAF">
        <w:t>se</w:t>
      </w:r>
      <w:r w:rsidR="002222DE" w:rsidRPr="00332BAF">
        <w:t xml:space="preserve"> consideration</w:t>
      </w:r>
      <w:r w:rsidR="00DD1924" w:rsidRPr="00332BAF">
        <w:t>s</w:t>
      </w:r>
      <w:r w:rsidR="002222DE" w:rsidRPr="00332BAF">
        <w:t>.</w:t>
      </w:r>
      <w:r w:rsidR="00A85CD1" w:rsidRPr="00332BAF">
        <w:t xml:space="preserve"> </w:t>
      </w:r>
    </w:p>
    <w:p w14:paraId="13F44280" w14:textId="2AA996C2" w:rsidR="00CA5095" w:rsidRPr="00332BAF" w:rsidRDefault="0013050A" w:rsidP="00630B33">
      <w:pPr>
        <w:pStyle w:val="BodyText"/>
        <w:numPr>
          <w:ilvl w:val="0"/>
          <w:numId w:val="32"/>
        </w:numPr>
      </w:pPr>
      <w:r w:rsidRPr="00332BAF">
        <w:t>For Green findings, document the finding in accordance with IMC 0618</w:t>
      </w:r>
      <w:r w:rsidR="00B37833" w:rsidRPr="00332BAF">
        <w:t xml:space="preserve">. </w:t>
      </w:r>
    </w:p>
    <w:p w14:paraId="0429ECED" w14:textId="73BC003C" w:rsidR="002222DE" w:rsidRPr="00332BAF" w:rsidRDefault="0023758B" w:rsidP="00630B33">
      <w:pPr>
        <w:pStyle w:val="BodyText"/>
        <w:numPr>
          <w:ilvl w:val="0"/>
          <w:numId w:val="32"/>
        </w:numPr>
      </w:pPr>
      <w:r w:rsidRPr="00332BAF">
        <w:t>For finding</w:t>
      </w:r>
      <w:r w:rsidR="00F94D2D" w:rsidRPr="00332BAF">
        <w:t>s</w:t>
      </w:r>
      <w:r w:rsidRPr="00332BAF">
        <w:t xml:space="preserve"> that are screened as </w:t>
      </w:r>
      <w:r w:rsidR="0039546E" w:rsidRPr="00332BAF">
        <w:t>white</w:t>
      </w:r>
      <w:r w:rsidR="00975FAD" w:rsidRPr="00332BAF">
        <w:t xml:space="preserve"> or yellow</w:t>
      </w:r>
      <w:r w:rsidRPr="00332BAF">
        <w:t xml:space="preserve">, include the completed </w:t>
      </w:r>
      <w:r w:rsidR="00B565E3">
        <w:t>T</w:t>
      </w:r>
      <w:r w:rsidRPr="00332BAF">
        <w:t xml:space="preserve">able </w:t>
      </w:r>
      <w:r w:rsidR="006938B3">
        <w:t>5</w:t>
      </w:r>
      <w:r w:rsidR="00B565E3">
        <w:t>.</w:t>
      </w:r>
      <w:r w:rsidRPr="00332BAF">
        <w:t xml:space="preserve">1 </w:t>
      </w:r>
      <w:r w:rsidR="002222DE" w:rsidRPr="00332BAF">
        <w:t>in the Enforcement Review Panel package</w:t>
      </w:r>
      <w:r w:rsidRPr="00332BAF">
        <w:t>.</w:t>
      </w:r>
      <w:r w:rsidR="0039546E" w:rsidRPr="00332BAF">
        <w:t xml:space="preserve"> </w:t>
      </w:r>
    </w:p>
    <w:p w14:paraId="46AF5D76" w14:textId="6437B351" w:rsidR="002222DE" w:rsidRPr="00897E71" w:rsidRDefault="002222DE" w:rsidP="00113E5E">
      <w:pPr>
        <w:pStyle w:val="Caption"/>
        <w:pageBreakBefore/>
      </w:pPr>
      <w:bookmarkStart w:id="131" w:name="_Toc219293620"/>
      <w:r w:rsidRPr="00897E71">
        <w:lastRenderedPageBreak/>
        <w:t>T</w:t>
      </w:r>
      <w:r w:rsidR="00DE2663">
        <w:t>able</w:t>
      </w:r>
      <w:r w:rsidRPr="00897E71">
        <w:t xml:space="preserve"> </w:t>
      </w:r>
      <w:r w:rsidR="004F1C1A">
        <w:t>5</w:t>
      </w:r>
      <w:r w:rsidR="0056419B">
        <w:t>.</w:t>
      </w:r>
      <w:r w:rsidRPr="00897E71">
        <w:t>1</w:t>
      </w:r>
      <w:r w:rsidR="00DE2663">
        <w:t>:</w:t>
      </w:r>
      <w:r w:rsidR="00113E5E">
        <w:t xml:space="preserve"> </w:t>
      </w:r>
      <w:r w:rsidRPr="00897E71">
        <w:t>Decision-Making Attributes for NRC Management Review</w:t>
      </w:r>
      <w:bookmarkEnd w:id="131"/>
    </w:p>
    <w:tbl>
      <w:tblPr>
        <w:tblStyle w:val="IM"/>
        <w:tblW w:w="9359" w:type="dxa"/>
        <w:tblLayout w:type="fixed"/>
        <w:tblLook w:val="0000" w:firstRow="0" w:lastRow="0" w:firstColumn="0" w:lastColumn="0" w:noHBand="0" w:noVBand="0"/>
      </w:tblPr>
      <w:tblGrid>
        <w:gridCol w:w="3861"/>
        <w:gridCol w:w="1620"/>
        <w:gridCol w:w="3878"/>
      </w:tblGrid>
      <w:tr w:rsidR="002222DE" w:rsidRPr="00440824" w14:paraId="0DFB4FDF" w14:textId="77777777" w:rsidTr="00113E5E">
        <w:tc>
          <w:tcPr>
            <w:tcW w:w="3861" w:type="dxa"/>
          </w:tcPr>
          <w:p w14:paraId="56558F1C" w14:textId="77777777" w:rsidR="002222DE" w:rsidRPr="00440824" w:rsidRDefault="002222DE" w:rsidP="00EE062D">
            <w:pPr>
              <w:rPr>
                <w:sz w:val="22"/>
                <w:szCs w:val="22"/>
              </w:rPr>
            </w:pPr>
            <w:r w:rsidRPr="00440824">
              <w:rPr>
                <w:sz w:val="22"/>
                <w:szCs w:val="22"/>
              </w:rPr>
              <w:t>Decision Attribute</w:t>
            </w:r>
          </w:p>
        </w:tc>
        <w:tc>
          <w:tcPr>
            <w:tcW w:w="1620" w:type="dxa"/>
          </w:tcPr>
          <w:p w14:paraId="2B5FF918" w14:textId="77777777" w:rsidR="002222DE" w:rsidRPr="00440824" w:rsidRDefault="002222DE" w:rsidP="00EE062D">
            <w:pPr>
              <w:rPr>
                <w:sz w:val="22"/>
                <w:szCs w:val="22"/>
              </w:rPr>
            </w:pPr>
            <w:r w:rsidRPr="00440824">
              <w:rPr>
                <w:sz w:val="22"/>
                <w:szCs w:val="22"/>
              </w:rPr>
              <w:t>Applicable to Decision?</w:t>
            </w:r>
          </w:p>
        </w:tc>
        <w:tc>
          <w:tcPr>
            <w:tcW w:w="3878" w:type="dxa"/>
          </w:tcPr>
          <w:p w14:paraId="1BE3D1FB" w14:textId="1BB26639" w:rsidR="002222DE" w:rsidRPr="00440824" w:rsidRDefault="002222DE" w:rsidP="00EE062D">
            <w:pPr>
              <w:rPr>
                <w:sz w:val="22"/>
                <w:szCs w:val="22"/>
              </w:rPr>
            </w:pPr>
            <w:r w:rsidRPr="00440824">
              <w:rPr>
                <w:sz w:val="22"/>
                <w:szCs w:val="22"/>
              </w:rPr>
              <w:t xml:space="preserve">Basis for Input to Decision - Provide </w:t>
            </w:r>
            <w:r w:rsidR="00C9143C">
              <w:rPr>
                <w:sz w:val="22"/>
                <w:szCs w:val="22"/>
              </w:rPr>
              <w:t>relevant</w:t>
            </w:r>
            <w:r w:rsidRPr="00440824">
              <w:rPr>
                <w:sz w:val="22"/>
                <w:szCs w:val="22"/>
              </w:rPr>
              <w:t xml:space="preserve"> information for management review and decision making.</w:t>
            </w:r>
          </w:p>
        </w:tc>
      </w:tr>
      <w:tr w:rsidR="002222DE" w:rsidRPr="00440824" w14:paraId="5B2BA8BA" w14:textId="77777777" w:rsidTr="00113E5E">
        <w:tc>
          <w:tcPr>
            <w:tcW w:w="3861" w:type="dxa"/>
          </w:tcPr>
          <w:p w14:paraId="478B3EFF" w14:textId="1D0042C3" w:rsidR="002222DE" w:rsidRPr="002C4857" w:rsidRDefault="00F8081E" w:rsidP="00EE062D">
            <w:pPr>
              <w:rPr>
                <w:sz w:val="22"/>
                <w:szCs w:val="22"/>
                <w:highlight w:val="yellow"/>
              </w:rPr>
            </w:pPr>
            <w:r w:rsidRPr="00DE41AF">
              <w:rPr>
                <w:sz w:val="22"/>
                <w:szCs w:val="22"/>
              </w:rPr>
              <w:t xml:space="preserve">Partial effectiveness of any </w:t>
            </w:r>
            <w:r w:rsidR="00927CC6">
              <w:rPr>
                <w:sz w:val="22"/>
                <w:szCs w:val="22"/>
              </w:rPr>
              <w:t>safety-significant</w:t>
            </w:r>
            <w:r w:rsidRPr="00DE41AF">
              <w:rPr>
                <w:sz w:val="22"/>
                <w:szCs w:val="22"/>
              </w:rPr>
              <w:t xml:space="preserve"> SSCs or design features</w:t>
            </w:r>
            <w:r w:rsidR="003C3655" w:rsidRPr="00DE41AF">
              <w:rPr>
                <w:sz w:val="22"/>
                <w:szCs w:val="22"/>
              </w:rPr>
              <w:t xml:space="preserve"> providing defense in depth for a fundamental safety function</w:t>
            </w:r>
            <w:r w:rsidR="00B33A61" w:rsidRPr="00DE41AF">
              <w:rPr>
                <w:sz w:val="22"/>
                <w:szCs w:val="22"/>
              </w:rPr>
              <w:t xml:space="preserve"> (FSF)</w:t>
            </w:r>
            <w:r w:rsidRPr="00DE41AF">
              <w:rPr>
                <w:sz w:val="22"/>
                <w:szCs w:val="22"/>
              </w:rPr>
              <w:t xml:space="preserve">. </w:t>
            </w:r>
          </w:p>
        </w:tc>
        <w:tc>
          <w:tcPr>
            <w:tcW w:w="1620" w:type="dxa"/>
          </w:tcPr>
          <w:p w14:paraId="43FC992C" w14:textId="77777777" w:rsidR="002222DE" w:rsidRPr="00440824" w:rsidRDefault="002222DE" w:rsidP="00EE062D">
            <w:pPr>
              <w:rPr>
                <w:sz w:val="22"/>
                <w:szCs w:val="22"/>
              </w:rPr>
            </w:pPr>
          </w:p>
        </w:tc>
        <w:tc>
          <w:tcPr>
            <w:tcW w:w="3878" w:type="dxa"/>
          </w:tcPr>
          <w:p w14:paraId="4C8D1356" w14:textId="77777777" w:rsidR="002222DE" w:rsidRPr="00440824" w:rsidRDefault="002222DE" w:rsidP="00EE062D">
            <w:pPr>
              <w:rPr>
                <w:sz w:val="22"/>
                <w:szCs w:val="22"/>
              </w:rPr>
            </w:pPr>
          </w:p>
        </w:tc>
      </w:tr>
      <w:tr w:rsidR="002222DE" w:rsidRPr="00440824" w14:paraId="3E0DDFB8" w14:textId="77777777" w:rsidTr="00113E5E">
        <w:tc>
          <w:tcPr>
            <w:tcW w:w="3861" w:type="dxa"/>
          </w:tcPr>
          <w:p w14:paraId="34F4C349" w14:textId="42C91105" w:rsidR="002222DE" w:rsidRPr="002C4857" w:rsidRDefault="00F8081E" w:rsidP="00EE062D">
            <w:pPr>
              <w:rPr>
                <w:sz w:val="22"/>
                <w:szCs w:val="22"/>
                <w:highlight w:val="yellow"/>
              </w:rPr>
            </w:pPr>
            <w:r w:rsidRPr="00157C3F">
              <w:rPr>
                <w:sz w:val="22"/>
                <w:szCs w:val="22"/>
              </w:rPr>
              <w:t xml:space="preserve">The extent to which the finding affects other equipment (e.g., common cause results in widespread construction of </w:t>
            </w:r>
            <w:r w:rsidR="00157C3F" w:rsidRPr="00157C3F">
              <w:rPr>
                <w:sz w:val="22"/>
                <w:szCs w:val="22"/>
              </w:rPr>
              <w:t xml:space="preserve">degraded or </w:t>
            </w:r>
            <w:r w:rsidRPr="00157C3F">
              <w:rPr>
                <w:sz w:val="22"/>
                <w:szCs w:val="22"/>
              </w:rPr>
              <w:t>unknown quality</w:t>
            </w:r>
            <w:r w:rsidR="0029199B" w:rsidRPr="00157C3F">
              <w:rPr>
                <w:sz w:val="22"/>
                <w:szCs w:val="22"/>
              </w:rPr>
              <w:t xml:space="preserve"> for SSCs that </w:t>
            </w:r>
            <w:r w:rsidR="00B33A61" w:rsidRPr="00157C3F">
              <w:rPr>
                <w:sz w:val="22"/>
                <w:szCs w:val="22"/>
              </w:rPr>
              <w:t>support</w:t>
            </w:r>
            <w:r w:rsidR="0029199B" w:rsidRPr="00157C3F">
              <w:rPr>
                <w:sz w:val="22"/>
                <w:szCs w:val="22"/>
              </w:rPr>
              <w:t xml:space="preserve"> FSFs</w:t>
            </w:r>
            <w:r w:rsidRPr="00157C3F">
              <w:rPr>
                <w:sz w:val="22"/>
                <w:szCs w:val="22"/>
              </w:rPr>
              <w:t>)</w:t>
            </w:r>
            <w:r w:rsidR="002222DE" w:rsidRPr="00157C3F">
              <w:rPr>
                <w:sz w:val="22"/>
                <w:szCs w:val="22"/>
              </w:rPr>
              <w:t>.</w:t>
            </w:r>
          </w:p>
        </w:tc>
        <w:tc>
          <w:tcPr>
            <w:tcW w:w="1620" w:type="dxa"/>
          </w:tcPr>
          <w:p w14:paraId="2CF48796" w14:textId="77777777" w:rsidR="002222DE" w:rsidRPr="00440824" w:rsidRDefault="002222DE" w:rsidP="00EE062D">
            <w:pPr>
              <w:rPr>
                <w:sz w:val="22"/>
                <w:szCs w:val="22"/>
              </w:rPr>
            </w:pPr>
          </w:p>
        </w:tc>
        <w:tc>
          <w:tcPr>
            <w:tcW w:w="3878" w:type="dxa"/>
          </w:tcPr>
          <w:p w14:paraId="3C024495" w14:textId="77777777" w:rsidR="002222DE" w:rsidRPr="00440824" w:rsidRDefault="002222DE" w:rsidP="00EE062D">
            <w:pPr>
              <w:rPr>
                <w:sz w:val="22"/>
                <w:szCs w:val="22"/>
              </w:rPr>
            </w:pPr>
          </w:p>
        </w:tc>
      </w:tr>
      <w:tr w:rsidR="002222DE" w:rsidRPr="00440824" w14:paraId="13BB551A" w14:textId="77777777" w:rsidTr="00113E5E">
        <w:tc>
          <w:tcPr>
            <w:tcW w:w="3861" w:type="dxa"/>
          </w:tcPr>
          <w:p w14:paraId="354C7CA5" w14:textId="044725DC" w:rsidR="002222DE" w:rsidRPr="002C4857" w:rsidRDefault="00F8081E" w:rsidP="00EE062D">
            <w:pPr>
              <w:rPr>
                <w:sz w:val="22"/>
                <w:szCs w:val="22"/>
                <w:highlight w:val="yellow"/>
              </w:rPr>
            </w:pPr>
            <w:r w:rsidRPr="00157C3F">
              <w:rPr>
                <w:sz w:val="22"/>
                <w:szCs w:val="22"/>
              </w:rPr>
              <w:t xml:space="preserve">Period the </w:t>
            </w:r>
            <w:r w:rsidR="00C9143C" w:rsidRPr="00157C3F">
              <w:rPr>
                <w:sz w:val="22"/>
                <w:szCs w:val="22"/>
              </w:rPr>
              <w:t>condition</w:t>
            </w:r>
            <w:r w:rsidRPr="00157C3F">
              <w:rPr>
                <w:sz w:val="22"/>
                <w:szCs w:val="22"/>
              </w:rPr>
              <w:t xml:space="preserve"> existed and failed opportunities to identify the </w:t>
            </w:r>
            <w:r w:rsidR="00C9143C" w:rsidRPr="00157C3F">
              <w:rPr>
                <w:sz w:val="22"/>
                <w:szCs w:val="22"/>
              </w:rPr>
              <w:t>condition</w:t>
            </w:r>
            <w:r w:rsidRPr="00157C3F">
              <w:rPr>
                <w:sz w:val="22"/>
                <w:szCs w:val="22"/>
              </w:rPr>
              <w:t xml:space="preserve"> during this period (e.g., construction experience, licensee’s quality control program</w:t>
            </w:r>
            <w:r w:rsidR="00C9143C" w:rsidRPr="00157C3F">
              <w:rPr>
                <w:sz w:val="22"/>
                <w:szCs w:val="22"/>
              </w:rPr>
              <w:t>, etc.</w:t>
            </w:r>
            <w:r w:rsidRPr="00157C3F">
              <w:rPr>
                <w:sz w:val="22"/>
                <w:szCs w:val="22"/>
              </w:rPr>
              <w:t>).</w:t>
            </w:r>
          </w:p>
        </w:tc>
        <w:tc>
          <w:tcPr>
            <w:tcW w:w="1620" w:type="dxa"/>
          </w:tcPr>
          <w:p w14:paraId="5256A7DF" w14:textId="77777777" w:rsidR="002222DE" w:rsidRPr="00440824" w:rsidRDefault="002222DE" w:rsidP="00EE062D">
            <w:pPr>
              <w:rPr>
                <w:sz w:val="22"/>
                <w:szCs w:val="22"/>
              </w:rPr>
            </w:pPr>
          </w:p>
        </w:tc>
        <w:tc>
          <w:tcPr>
            <w:tcW w:w="3878" w:type="dxa"/>
          </w:tcPr>
          <w:p w14:paraId="6172FF5C" w14:textId="77777777" w:rsidR="002222DE" w:rsidRPr="00440824" w:rsidRDefault="002222DE" w:rsidP="00EE062D">
            <w:pPr>
              <w:rPr>
                <w:sz w:val="22"/>
                <w:szCs w:val="22"/>
              </w:rPr>
            </w:pPr>
          </w:p>
        </w:tc>
      </w:tr>
      <w:tr w:rsidR="002222DE" w:rsidRPr="00440824" w14:paraId="67C43375" w14:textId="77777777" w:rsidTr="00113E5E">
        <w:tc>
          <w:tcPr>
            <w:tcW w:w="3861" w:type="dxa"/>
          </w:tcPr>
          <w:p w14:paraId="14BC7068" w14:textId="0BAEF317" w:rsidR="002222DE" w:rsidRPr="002C4857" w:rsidRDefault="005D6623" w:rsidP="00EE062D">
            <w:pPr>
              <w:rPr>
                <w:sz w:val="22"/>
                <w:szCs w:val="22"/>
                <w:highlight w:val="yellow"/>
              </w:rPr>
            </w:pPr>
            <w:r w:rsidRPr="00157C3F">
              <w:rPr>
                <w:sz w:val="22"/>
                <w:szCs w:val="22"/>
              </w:rPr>
              <w:t xml:space="preserve">Potential </w:t>
            </w:r>
            <w:r w:rsidR="00F8081E" w:rsidRPr="00157C3F">
              <w:rPr>
                <w:sz w:val="22"/>
                <w:szCs w:val="22"/>
              </w:rPr>
              <w:t>QA backstops</w:t>
            </w:r>
            <w:r w:rsidRPr="00157C3F">
              <w:rPr>
                <w:sz w:val="22"/>
                <w:szCs w:val="22"/>
              </w:rPr>
              <w:t xml:space="preserve"> </w:t>
            </w:r>
            <w:proofErr w:type="gramStart"/>
            <w:r w:rsidRPr="00157C3F">
              <w:rPr>
                <w:sz w:val="22"/>
                <w:szCs w:val="22"/>
              </w:rPr>
              <w:t>not</w:t>
            </w:r>
            <w:proofErr w:type="gramEnd"/>
            <w:r w:rsidRPr="00157C3F">
              <w:rPr>
                <w:sz w:val="22"/>
                <w:szCs w:val="22"/>
              </w:rPr>
              <w:t xml:space="preserve"> credited in the </w:t>
            </w:r>
            <w:r w:rsidR="00252DB4">
              <w:rPr>
                <w:sz w:val="22"/>
                <w:szCs w:val="22"/>
              </w:rPr>
              <w:t>Attachment 3</w:t>
            </w:r>
            <w:r w:rsidRPr="00157C3F">
              <w:rPr>
                <w:sz w:val="22"/>
                <w:szCs w:val="22"/>
              </w:rPr>
              <w:t xml:space="preserve"> analysis</w:t>
            </w:r>
            <w:r w:rsidR="00157C3F">
              <w:rPr>
                <w:sz w:val="22"/>
                <w:szCs w:val="22"/>
              </w:rPr>
              <w:t>, including reason for not crediting them</w:t>
            </w:r>
            <w:r w:rsidR="00F8081E" w:rsidRPr="00157C3F">
              <w:rPr>
                <w:sz w:val="22"/>
                <w:szCs w:val="22"/>
              </w:rPr>
              <w:t>.</w:t>
            </w:r>
          </w:p>
        </w:tc>
        <w:tc>
          <w:tcPr>
            <w:tcW w:w="1620" w:type="dxa"/>
          </w:tcPr>
          <w:p w14:paraId="1C3114D5" w14:textId="77777777" w:rsidR="002222DE" w:rsidRPr="00440824" w:rsidRDefault="002222DE" w:rsidP="00EE062D">
            <w:pPr>
              <w:rPr>
                <w:sz w:val="22"/>
                <w:szCs w:val="22"/>
              </w:rPr>
            </w:pPr>
          </w:p>
        </w:tc>
        <w:tc>
          <w:tcPr>
            <w:tcW w:w="3878" w:type="dxa"/>
          </w:tcPr>
          <w:p w14:paraId="21F8FB0F" w14:textId="77777777" w:rsidR="002222DE" w:rsidRPr="00440824" w:rsidRDefault="002222DE" w:rsidP="00EE062D">
            <w:pPr>
              <w:rPr>
                <w:sz w:val="22"/>
                <w:szCs w:val="22"/>
              </w:rPr>
            </w:pPr>
          </w:p>
        </w:tc>
      </w:tr>
      <w:tr w:rsidR="002222DE" w:rsidRPr="00440824" w14:paraId="3C421867" w14:textId="77777777" w:rsidTr="00113E5E">
        <w:tc>
          <w:tcPr>
            <w:tcW w:w="3861" w:type="dxa"/>
          </w:tcPr>
          <w:p w14:paraId="6CF6F481" w14:textId="0146AD33" w:rsidR="002222DE" w:rsidRPr="002C4857" w:rsidRDefault="00FD4C44" w:rsidP="00EE062D">
            <w:pPr>
              <w:rPr>
                <w:sz w:val="22"/>
                <w:szCs w:val="22"/>
                <w:highlight w:val="yellow"/>
              </w:rPr>
            </w:pPr>
            <w:r w:rsidRPr="00157C3F">
              <w:rPr>
                <w:sz w:val="22"/>
                <w:szCs w:val="22"/>
              </w:rPr>
              <w:t>Other plant design features that mitigate the significance of the finding</w:t>
            </w:r>
            <w:r w:rsidR="00C9143C" w:rsidRPr="00157C3F">
              <w:rPr>
                <w:sz w:val="22"/>
                <w:szCs w:val="22"/>
              </w:rPr>
              <w:t>.</w:t>
            </w:r>
          </w:p>
        </w:tc>
        <w:tc>
          <w:tcPr>
            <w:tcW w:w="1620" w:type="dxa"/>
          </w:tcPr>
          <w:p w14:paraId="590EF35F" w14:textId="77777777" w:rsidR="002222DE" w:rsidRPr="00440824" w:rsidRDefault="002222DE" w:rsidP="00EE062D">
            <w:pPr>
              <w:rPr>
                <w:sz w:val="22"/>
                <w:szCs w:val="22"/>
              </w:rPr>
            </w:pPr>
          </w:p>
        </w:tc>
        <w:tc>
          <w:tcPr>
            <w:tcW w:w="3878" w:type="dxa"/>
          </w:tcPr>
          <w:p w14:paraId="2D9B5CC1" w14:textId="77777777" w:rsidR="002222DE" w:rsidRPr="00440824" w:rsidRDefault="002222DE" w:rsidP="00EE062D">
            <w:pPr>
              <w:rPr>
                <w:sz w:val="22"/>
                <w:szCs w:val="22"/>
              </w:rPr>
            </w:pPr>
          </w:p>
        </w:tc>
      </w:tr>
      <w:tr w:rsidR="004D0CD2" w:rsidRPr="00440824" w14:paraId="5AD31487" w14:textId="77777777" w:rsidTr="00113E5E">
        <w:tc>
          <w:tcPr>
            <w:tcW w:w="3861" w:type="dxa"/>
          </w:tcPr>
          <w:p w14:paraId="44F99302" w14:textId="4C8EEAC4" w:rsidR="004D0CD2" w:rsidRPr="002C4857" w:rsidRDefault="004D0CD2" w:rsidP="00EE062D">
            <w:pPr>
              <w:rPr>
                <w:sz w:val="22"/>
                <w:szCs w:val="22"/>
                <w:highlight w:val="yellow"/>
              </w:rPr>
            </w:pPr>
            <w:r w:rsidRPr="00157C3F">
              <w:rPr>
                <w:sz w:val="22"/>
                <w:szCs w:val="22"/>
              </w:rPr>
              <w:t>Any other relevant information impacting significance</w:t>
            </w:r>
            <w:r w:rsidR="000D73B5">
              <w:rPr>
                <w:sz w:val="22"/>
                <w:szCs w:val="22"/>
              </w:rPr>
              <w:t xml:space="preserve">, such as a probabilistic risk </w:t>
            </w:r>
            <w:r w:rsidR="000053D6">
              <w:rPr>
                <w:sz w:val="22"/>
                <w:szCs w:val="22"/>
              </w:rPr>
              <w:t>assessment</w:t>
            </w:r>
            <w:r w:rsidR="000D73B5">
              <w:rPr>
                <w:sz w:val="22"/>
                <w:szCs w:val="22"/>
              </w:rPr>
              <w:t xml:space="preserve"> (PRA) if available</w:t>
            </w:r>
            <w:r w:rsidRPr="00157C3F">
              <w:rPr>
                <w:sz w:val="22"/>
                <w:szCs w:val="22"/>
              </w:rPr>
              <w:t>.</w:t>
            </w:r>
            <w:r w:rsidR="000D73B5">
              <w:rPr>
                <w:sz w:val="22"/>
                <w:szCs w:val="22"/>
              </w:rPr>
              <w:t xml:space="preserve"> Note that </w:t>
            </w:r>
            <w:r w:rsidR="00A85729">
              <w:rPr>
                <w:sz w:val="22"/>
                <w:szCs w:val="22"/>
              </w:rPr>
              <w:t>a</w:t>
            </w:r>
            <w:r w:rsidR="000D73B5">
              <w:rPr>
                <w:sz w:val="22"/>
                <w:szCs w:val="22"/>
              </w:rPr>
              <w:t xml:space="preserve"> PRA is not required and should not be requested of the licensee. </w:t>
            </w:r>
          </w:p>
        </w:tc>
        <w:tc>
          <w:tcPr>
            <w:tcW w:w="1620" w:type="dxa"/>
          </w:tcPr>
          <w:p w14:paraId="35898579" w14:textId="77777777" w:rsidR="004D0CD2" w:rsidRPr="00440824" w:rsidRDefault="004D0CD2" w:rsidP="00EE062D">
            <w:pPr>
              <w:rPr>
                <w:sz w:val="22"/>
                <w:szCs w:val="22"/>
              </w:rPr>
            </w:pPr>
          </w:p>
        </w:tc>
        <w:tc>
          <w:tcPr>
            <w:tcW w:w="3878" w:type="dxa"/>
          </w:tcPr>
          <w:p w14:paraId="77D25350" w14:textId="77777777" w:rsidR="004D0CD2" w:rsidRPr="00440824" w:rsidRDefault="004D0CD2" w:rsidP="00EE062D">
            <w:pPr>
              <w:rPr>
                <w:sz w:val="22"/>
                <w:szCs w:val="22"/>
              </w:rPr>
            </w:pPr>
          </w:p>
        </w:tc>
      </w:tr>
    </w:tbl>
    <w:p w14:paraId="4EAEFB69" w14:textId="77777777" w:rsidR="002222DE" w:rsidRPr="00440824" w:rsidRDefault="002222DE" w:rsidP="002222DE">
      <w:pPr>
        <w:rPr>
          <w:sz w:val="22"/>
          <w:szCs w:val="22"/>
        </w:rPr>
      </w:pPr>
    </w:p>
    <w:p w14:paraId="29EFDCBD" w14:textId="77777777" w:rsidR="002222DE" w:rsidRPr="00440824" w:rsidRDefault="002222DE" w:rsidP="002222DE">
      <w:pPr>
        <w:rPr>
          <w:sz w:val="22"/>
          <w:szCs w:val="22"/>
        </w:rPr>
      </w:pPr>
    </w:p>
    <w:p w14:paraId="71F40038" w14:textId="041899B6" w:rsidR="002222DE" w:rsidRPr="00440824" w:rsidRDefault="002222DE" w:rsidP="002222DE">
      <w:pPr>
        <w:rPr>
          <w:sz w:val="22"/>
          <w:szCs w:val="22"/>
          <w:u w:val="single"/>
        </w:rPr>
      </w:pPr>
      <w:r>
        <w:rPr>
          <w:noProof/>
          <w:sz w:val="22"/>
          <w:szCs w:val="22"/>
        </w:rPr>
        <mc:AlternateContent>
          <mc:Choice Requires="wps">
            <w:drawing>
              <wp:anchor distT="0" distB="0" distL="114300" distR="114300" simplePos="0" relativeHeight="251658242" behindDoc="0" locked="0" layoutInCell="1" allowOverlap="1" wp14:anchorId="4805F425" wp14:editId="27740F6D">
                <wp:simplePos x="0" y="0"/>
                <wp:positionH relativeFrom="column">
                  <wp:posOffset>2832735</wp:posOffset>
                </wp:positionH>
                <wp:positionV relativeFrom="paragraph">
                  <wp:posOffset>159385</wp:posOffset>
                </wp:positionV>
                <wp:extent cx="1676400" cy="0"/>
                <wp:effectExtent l="13335" t="8255" r="571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B4E96" id="Straight Connector 1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12.55pt" to="355.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dKsAEAAEgDAAAOAAAAZHJzL2Uyb0RvYy54bWysU8Fu2zAMvQ/YPwi6L3aCNd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"/>
            </w:pict>
          </mc:Fallback>
        </mc:AlternateContent>
      </w:r>
      <w:r w:rsidRPr="00440824">
        <w:rPr>
          <w:sz w:val="22"/>
          <w:szCs w:val="22"/>
        </w:rPr>
        <w:t>Result of management review (COLOR):</w:t>
      </w:r>
      <w:r w:rsidR="00756FA4">
        <w:rPr>
          <w:sz w:val="22"/>
          <w:szCs w:val="22"/>
        </w:rPr>
        <w:t xml:space="preserve"> </w:t>
      </w:r>
    </w:p>
    <w:p w14:paraId="407B98A1" w14:textId="3971BCC7" w:rsidR="00DF6658" w:rsidRDefault="00DF6658" w:rsidP="00113E5E">
      <w:pPr>
        <w:pStyle w:val="BodyText"/>
      </w:pPr>
    </w:p>
    <w:p w14:paraId="5682DED3" w14:textId="77777777" w:rsidR="00D8643E" w:rsidRPr="00621643" w:rsidRDefault="00D8643E" w:rsidP="00D8643E">
      <w:pPr>
        <w:rPr>
          <w:sz w:val="22"/>
          <w:szCs w:val="22"/>
        </w:rPr>
      </w:pPr>
    </w:p>
    <w:p w14:paraId="75AB3A70" w14:textId="77777777" w:rsidR="00D8643E" w:rsidRPr="00621643" w:rsidRDefault="00D8643E" w:rsidP="00D8643E">
      <w:pPr>
        <w:pStyle w:val="Heading2"/>
        <w:ind w:firstLine="0"/>
        <w:rPr>
          <w:rFonts w:cs="Arial"/>
          <w:b/>
        </w:rPr>
        <w:sectPr w:rsidR="00D8643E" w:rsidRPr="00621643" w:rsidSect="009355C6">
          <w:headerReference w:type="even" r:id="rId57"/>
          <w:headerReference w:type="default" r:id="rId58"/>
          <w:footerReference w:type="default" r:id="rId59"/>
          <w:headerReference w:type="first" r:id="rId60"/>
          <w:pgSz w:w="12240" w:h="15840"/>
          <w:pgMar w:top="1440" w:right="1440" w:bottom="1440" w:left="1440" w:header="720" w:footer="720" w:gutter="0"/>
          <w:pgNumType w:start="1"/>
          <w:cols w:space="720"/>
          <w:noEndnote/>
          <w:docGrid w:linePitch="326"/>
        </w:sectPr>
      </w:pPr>
    </w:p>
    <w:p w14:paraId="21B4A337" w14:textId="099A9CD4" w:rsidR="001A0D72" w:rsidRPr="00E02AB6" w:rsidRDefault="00954989" w:rsidP="003A4C7F">
      <w:pPr>
        <w:pStyle w:val="attachmenttitle"/>
      </w:pPr>
      <w:bookmarkStart w:id="132" w:name="_Toc215583244"/>
      <w:bookmarkStart w:id="133" w:name="_Toc219293621"/>
      <w:r w:rsidRPr="00E02AB6">
        <w:lastRenderedPageBreak/>
        <w:t>A</w:t>
      </w:r>
      <w:r w:rsidR="00425F55" w:rsidRPr="007642C4">
        <w:t>ttachment</w:t>
      </w:r>
      <w:r w:rsidRPr="009B0DD3">
        <w:t xml:space="preserve"> </w:t>
      </w:r>
      <w:r w:rsidR="004F1C1A">
        <w:t>6</w:t>
      </w:r>
      <w:r w:rsidRPr="009F4869">
        <w:t xml:space="preserve">: </w:t>
      </w:r>
      <w:r w:rsidR="00425F55" w:rsidRPr="00E02AB6">
        <w:t xml:space="preserve">Revision History </w:t>
      </w:r>
      <w:r w:rsidR="00425F55" w:rsidRPr="007642C4">
        <w:t>f</w:t>
      </w:r>
      <w:r w:rsidR="00425F55" w:rsidRPr="009B0DD3">
        <w:t>or</w:t>
      </w:r>
      <w:r w:rsidRPr="00E93F27">
        <w:t xml:space="preserve"> IMC </w:t>
      </w:r>
      <w:r w:rsidR="00354DAE">
        <w:t>2571</w:t>
      </w:r>
      <w:bookmarkEnd w:id="132"/>
      <w:bookmarkEnd w:id="133"/>
    </w:p>
    <w:tbl>
      <w:tblPr>
        <w:tblStyle w:val="IM"/>
        <w:tblW w:w="0" w:type="auto"/>
        <w:tblLook w:val="04A0" w:firstRow="1" w:lastRow="0" w:firstColumn="1" w:lastColumn="0" w:noHBand="0" w:noVBand="1"/>
      </w:tblPr>
      <w:tblGrid>
        <w:gridCol w:w="1435"/>
        <w:gridCol w:w="1710"/>
        <w:gridCol w:w="5220"/>
        <w:gridCol w:w="2160"/>
        <w:gridCol w:w="2425"/>
      </w:tblGrid>
      <w:tr w:rsidR="00A91446" w:rsidRPr="00A91446" w14:paraId="1C90D170" w14:textId="77777777" w:rsidTr="00630B33">
        <w:tc>
          <w:tcPr>
            <w:tcW w:w="1435" w:type="dxa"/>
          </w:tcPr>
          <w:p w14:paraId="018DB9B6"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Commitment Tracking Number</w:t>
            </w:r>
          </w:p>
        </w:tc>
        <w:tc>
          <w:tcPr>
            <w:tcW w:w="1710" w:type="dxa"/>
          </w:tcPr>
          <w:p w14:paraId="351A22E8"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Accession Number</w:t>
            </w:r>
          </w:p>
          <w:p w14:paraId="46B9E311"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Issue Date</w:t>
            </w:r>
          </w:p>
          <w:p w14:paraId="6448DEC6"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Change Notice</w:t>
            </w:r>
          </w:p>
        </w:tc>
        <w:tc>
          <w:tcPr>
            <w:tcW w:w="5220" w:type="dxa"/>
          </w:tcPr>
          <w:p w14:paraId="5A97411F"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Description of Change</w:t>
            </w:r>
          </w:p>
        </w:tc>
        <w:tc>
          <w:tcPr>
            <w:tcW w:w="2160" w:type="dxa"/>
          </w:tcPr>
          <w:p w14:paraId="77AA3161"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Description of Training Required and Completion Date</w:t>
            </w:r>
          </w:p>
        </w:tc>
        <w:tc>
          <w:tcPr>
            <w:tcW w:w="2425" w:type="dxa"/>
          </w:tcPr>
          <w:p w14:paraId="57353E63"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Comment Resolution and Closed Feedback Form Accession Number</w:t>
            </w:r>
          </w:p>
          <w:p w14:paraId="30A74863" w14:textId="77777777" w:rsidR="00A91446" w:rsidRPr="00A91446" w:rsidRDefault="00A91446" w:rsidP="00A91446">
            <w:pPr>
              <w:widowControl/>
              <w:autoSpaceDE/>
              <w:autoSpaceDN/>
              <w:adjustRightInd/>
              <w:rPr>
                <w:rFonts w:eastAsia="Calibri" w:cs="Times New Roman"/>
                <w:sz w:val="22"/>
                <w:szCs w:val="22"/>
              </w:rPr>
            </w:pPr>
            <w:r w:rsidRPr="00A91446">
              <w:rPr>
                <w:rFonts w:eastAsia="Calibri" w:cs="Times New Roman"/>
                <w:sz w:val="22"/>
                <w:szCs w:val="22"/>
              </w:rPr>
              <w:t>(Pre-Decisional Non-Public Information)</w:t>
            </w:r>
          </w:p>
        </w:tc>
      </w:tr>
      <w:tr w:rsidR="00043C05" w:rsidRPr="00A91446" w14:paraId="0D776DFB" w14:textId="77777777" w:rsidTr="00630B33">
        <w:tc>
          <w:tcPr>
            <w:tcW w:w="1435" w:type="dxa"/>
          </w:tcPr>
          <w:p w14:paraId="7ABF767F" w14:textId="2F0BA5A9" w:rsidR="00043C05" w:rsidRPr="00804CE9" w:rsidRDefault="00043C05" w:rsidP="00043C05">
            <w:pPr>
              <w:widowControl/>
              <w:autoSpaceDE/>
              <w:autoSpaceDN/>
              <w:adjustRightInd/>
              <w:rPr>
                <w:rFonts w:eastAsia="Calibri" w:cs="Times New Roman"/>
                <w:sz w:val="22"/>
                <w:szCs w:val="22"/>
              </w:rPr>
            </w:pPr>
            <w:r w:rsidRPr="00804CE9">
              <w:rPr>
                <w:sz w:val="22"/>
                <w:szCs w:val="22"/>
              </w:rPr>
              <w:t>N/A</w:t>
            </w:r>
          </w:p>
        </w:tc>
        <w:tc>
          <w:tcPr>
            <w:tcW w:w="1710" w:type="dxa"/>
          </w:tcPr>
          <w:p w14:paraId="1E31EAE9" w14:textId="1258EA7D" w:rsidR="00043C05" w:rsidRPr="00804CE9" w:rsidRDefault="00043C05" w:rsidP="00043C0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eastAsia="Calibri" w:cs="Times New Roman"/>
                <w:sz w:val="22"/>
                <w:szCs w:val="22"/>
              </w:rPr>
            </w:pPr>
            <w:r w:rsidRPr="00804CE9">
              <w:rPr>
                <w:sz w:val="22"/>
                <w:szCs w:val="22"/>
              </w:rPr>
              <w:t>ML25210A579</w:t>
            </w:r>
          </w:p>
        </w:tc>
        <w:tc>
          <w:tcPr>
            <w:tcW w:w="5220" w:type="dxa"/>
          </w:tcPr>
          <w:p w14:paraId="348C3224" w14:textId="751763CC" w:rsidR="00043C05" w:rsidRPr="00804CE9" w:rsidRDefault="00043C05" w:rsidP="00043C0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sz w:val="22"/>
                <w:szCs w:val="22"/>
              </w:rPr>
            </w:pPr>
            <w:r w:rsidRPr="00804CE9">
              <w:rPr>
                <w:sz w:val="22"/>
                <w:szCs w:val="22"/>
              </w:rPr>
              <w:t>Draft IMC for public comment</w:t>
            </w:r>
            <w:r w:rsidR="005C25BD" w:rsidRPr="00804CE9">
              <w:rPr>
                <w:sz w:val="22"/>
                <w:szCs w:val="22"/>
              </w:rPr>
              <w:t>.</w:t>
            </w:r>
          </w:p>
          <w:p w14:paraId="7C0DC163" w14:textId="7270440D" w:rsidR="00043C05" w:rsidRPr="00804CE9" w:rsidRDefault="00043C05" w:rsidP="00043C05">
            <w:pPr>
              <w:widowControl/>
              <w:autoSpaceDE/>
              <w:autoSpaceDN/>
              <w:adjustRightInd/>
              <w:rPr>
                <w:rFonts w:eastAsia="Calibri" w:cs="Times New Roman"/>
                <w:sz w:val="22"/>
                <w:szCs w:val="22"/>
              </w:rPr>
            </w:pPr>
          </w:p>
        </w:tc>
        <w:tc>
          <w:tcPr>
            <w:tcW w:w="2160" w:type="dxa"/>
          </w:tcPr>
          <w:p w14:paraId="36C0DD84" w14:textId="33CBB608" w:rsidR="00043C05" w:rsidRPr="00804CE9" w:rsidRDefault="00043C05" w:rsidP="00043C05">
            <w:pPr>
              <w:widowControl/>
              <w:autoSpaceDE/>
              <w:autoSpaceDN/>
              <w:adjustRightInd/>
              <w:rPr>
                <w:rFonts w:eastAsia="Calibri" w:cs="Times New Roman"/>
                <w:sz w:val="22"/>
                <w:szCs w:val="22"/>
              </w:rPr>
            </w:pPr>
            <w:r w:rsidRPr="00804CE9">
              <w:rPr>
                <w:sz w:val="22"/>
                <w:szCs w:val="22"/>
              </w:rPr>
              <w:t>N/A</w:t>
            </w:r>
          </w:p>
        </w:tc>
        <w:tc>
          <w:tcPr>
            <w:tcW w:w="2425" w:type="dxa"/>
          </w:tcPr>
          <w:p w14:paraId="1FFECFD2" w14:textId="5DB251B3" w:rsidR="00043C05" w:rsidRPr="00804CE9" w:rsidRDefault="00043C05" w:rsidP="00043C05">
            <w:pPr>
              <w:widowControl/>
              <w:autoSpaceDE/>
              <w:autoSpaceDN/>
              <w:adjustRightInd/>
              <w:rPr>
                <w:rFonts w:eastAsia="Calibri" w:cs="Times New Roman"/>
                <w:sz w:val="22"/>
                <w:szCs w:val="22"/>
              </w:rPr>
            </w:pPr>
            <w:r w:rsidRPr="00804CE9">
              <w:rPr>
                <w:sz w:val="22"/>
                <w:szCs w:val="22"/>
              </w:rPr>
              <w:t>N/A</w:t>
            </w:r>
          </w:p>
        </w:tc>
      </w:tr>
      <w:tr w:rsidR="00626AAE" w:rsidRPr="00A91446" w14:paraId="7EC2E8BD" w14:textId="77777777" w:rsidTr="00630B33">
        <w:tc>
          <w:tcPr>
            <w:tcW w:w="1435" w:type="dxa"/>
          </w:tcPr>
          <w:p w14:paraId="39C2DC9F" w14:textId="7346817F" w:rsidR="00626AAE" w:rsidRPr="00804CE9" w:rsidRDefault="00626AAE" w:rsidP="0036063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eastAsia="Calibri" w:cs="Times New Roman"/>
                <w:sz w:val="22"/>
                <w:szCs w:val="22"/>
              </w:rPr>
            </w:pPr>
            <w:r w:rsidRPr="00804CE9">
              <w:rPr>
                <w:sz w:val="22"/>
                <w:szCs w:val="22"/>
              </w:rPr>
              <w:t>N/A</w:t>
            </w:r>
          </w:p>
        </w:tc>
        <w:tc>
          <w:tcPr>
            <w:tcW w:w="1710" w:type="dxa"/>
          </w:tcPr>
          <w:p w14:paraId="01776E06" w14:textId="77777777" w:rsidR="00626AAE" w:rsidRDefault="00626AAE" w:rsidP="00626AAE">
            <w:pPr>
              <w:widowControl/>
              <w:autoSpaceDE/>
              <w:autoSpaceDN/>
              <w:adjustRightInd/>
              <w:rPr>
                <w:sz w:val="22"/>
                <w:szCs w:val="22"/>
              </w:rPr>
            </w:pPr>
            <w:r w:rsidRPr="00804CE9">
              <w:rPr>
                <w:sz w:val="22"/>
                <w:szCs w:val="22"/>
              </w:rPr>
              <w:t>ML</w:t>
            </w:r>
            <w:r w:rsidR="0007045D" w:rsidRPr="00804CE9">
              <w:rPr>
                <w:sz w:val="22"/>
                <w:szCs w:val="22"/>
              </w:rPr>
              <w:t>25336A294</w:t>
            </w:r>
          </w:p>
          <w:p w14:paraId="68617A68" w14:textId="77777777" w:rsidR="00B83784" w:rsidRDefault="00B83784" w:rsidP="00626AAE">
            <w:pPr>
              <w:widowControl/>
              <w:autoSpaceDE/>
              <w:autoSpaceDN/>
              <w:adjustRightInd/>
            </w:pPr>
            <w:r>
              <w:t>02/05/26</w:t>
            </w:r>
          </w:p>
          <w:p w14:paraId="0396A093" w14:textId="22F264B7" w:rsidR="00B83784" w:rsidRPr="00804CE9" w:rsidRDefault="00B83784" w:rsidP="00626AAE">
            <w:pPr>
              <w:widowControl/>
              <w:autoSpaceDE/>
              <w:autoSpaceDN/>
              <w:adjustRightInd/>
              <w:rPr>
                <w:rFonts w:eastAsia="Calibri" w:cs="Times New Roman"/>
                <w:sz w:val="22"/>
                <w:szCs w:val="22"/>
              </w:rPr>
            </w:pPr>
            <w:r>
              <w:t>CN 26-004</w:t>
            </w:r>
          </w:p>
        </w:tc>
        <w:tc>
          <w:tcPr>
            <w:tcW w:w="5220" w:type="dxa"/>
          </w:tcPr>
          <w:p w14:paraId="449ACE97" w14:textId="6E455694" w:rsidR="00626AAE" w:rsidRPr="00804CE9" w:rsidRDefault="00626AAE" w:rsidP="00626AAE">
            <w:pPr>
              <w:widowControl/>
              <w:autoSpaceDE/>
              <w:autoSpaceDN/>
              <w:adjustRightInd/>
              <w:rPr>
                <w:rFonts w:eastAsia="Calibri" w:cs="Times New Roman"/>
                <w:sz w:val="22"/>
                <w:szCs w:val="22"/>
              </w:rPr>
            </w:pPr>
            <w:r w:rsidRPr="00804CE9">
              <w:rPr>
                <w:sz w:val="22"/>
                <w:szCs w:val="22"/>
              </w:rPr>
              <w:t>Initial Issuance</w:t>
            </w:r>
            <w:r w:rsidR="005C25BD" w:rsidRPr="00804CE9">
              <w:rPr>
                <w:sz w:val="22"/>
                <w:szCs w:val="22"/>
              </w:rPr>
              <w:t>.</w:t>
            </w:r>
          </w:p>
        </w:tc>
        <w:tc>
          <w:tcPr>
            <w:tcW w:w="2160" w:type="dxa"/>
          </w:tcPr>
          <w:p w14:paraId="01F450A0" w14:textId="138F2BAE" w:rsidR="00626AAE" w:rsidRPr="00804CE9" w:rsidRDefault="00626AAE" w:rsidP="00626AAE">
            <w:pPr>
              <w:widowControl/>
              <w:autoSpaceDE/>
              <w:autoSpaceDN/>
              <w:adjustRightInd/>
              <w:rPr>
                <w:rFonts w:eastAsia="Calibri" w:cs="Times New Roman"/>
                <w:sz w:val="22"/>
                <w:szCs w:val="22"/>
              </w:rPr>
            </w:pPr>
            <w:r w:rsidRPr="00804CE9">
              <w:rPr>
                <w:sz w:val="22"/>
                <w:szCs w:val="22"/>
              </w:rPr>
              <w:t xml:space="preserve">Construction Inspector, supervisor and PM ARCOP training </w:t>
            </w:r>
          </w:p>
        </w:tc>
        <w:tc>
          <w:tcPr>
            <w:tcW w:w="2425" w:type="dxa"/>
          </w:tcPr>
          <w:p w14:paraId="217C8540" w14:textId="77777777" w:rsidR="00626AAE" w:rsidRPr="00804CE9" w:rsidRDefault="00626AAE" w:rsidP="00626AAE">
            <w:pPr>
              <w:widowControl/>
              <w:autoSpaceDE/>
              <w:autoSpaceDN/>
              <w:adjustRightInd/>
              <w:rPr>
                <w:sz w:val="22"/>
                <w:szCs w:val="22"/>
              </w:rPr>
            </w:pPr>
            <w:r w:rsidRPr="00804CE9">
              <w:rPr>
                <w:sz w:val="22"/>
                <w:szCs w:val="22"/>
              </w:rPr>
              <w:t>ML</w:t>
            </w:r>
            <w:r w:rsidR="0007045D" w:rsidRPr="00804CE9">
              <w:rPr>
                <w:sz w:val="22"/>
                <w:szCs w:val="22"/>
              </w:rPr>
              <w:t>25336A292</w:t>
            </w:r>
          </w:p>
          <w:p w14:paraId="14C5AE78" w14:textId="368F4614" w:rsidR="0007045D" w:rsidRPr="00804CE9" w:rsidRDefault="0007045D" w:rsidP="00626AAE">
            <w:pPr>
              <w:widowControl/>
              <w:autoSpaceDE/>
              <w:autoSpaceDN/>
              <w:adjustRightInd/>
              <w:rPr>
                <w:rFonts w:eastAsia="Calibri" w:cs="Times New Roman"/>
                <w:sz w:val="22"/>
                <w:szCs w:val="22"/>
              </w:rPr>
            </w:pPr>
          </w:p>
        </w:tc>
      </w:tr>
    </w:tbl>
    <w:p w14:paraId="2DB274C0" w14:textId="3235B787" w:rsidR="00A91446" w:rsidRDefault="00A91446" w:rsidP="00360633">
      <w:pPr>
        <w:pStyle w:val="BodyText"/>
      </w:pPr>
    </w:p>
    <w:sectPr w:rsidR="00A91446" w:rsidSect="00CA5095">
      <w:headerReference w:type="even" r:id="rId61"/>
      <w:headerReference w:type="default" r:id="rId62"/>
      <w:headerReference w:type="first" r:id="rId63"/>
      <w:footerReference w:type="first" r:id="rId64"/>
      <w:pgSz w:w="15840" w:h="12240" w:orient="landscape" w:code="1"/>
      <w:pgMar w:top="1440" w:right="1440" w:bottom="1440" w:left="1440"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CB2A" w14:textId="77777777" w:rsidR="005946AC" w:rsidRDefault="005946AC">
      <w:r>
        <w:separator/>
      </w:r>
    </w:p>
  </w:endnote>
  <w:endnote w:type="continuationSeparator" w:id="0">
    <w:p w14:paraId="18EFA3FB" w14:textId="77777777" w:rsidR="005946AC" w:rsidRDefault="005946AC">
      <w:r>
        <w:continuationSeparator/>
      </w:r>
    </w:p>
  </w:endnote>
  <w:endnote w:type="continuationNotice" w:id="1">
    <w:p w14:paraId="12C5194F" w14:textId="77777777" w:rsidR="005946AC" w:rsidRDefault="00594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5567"/>
      <w:docPartObj>
        <w:docPartGallery w:val="Page Numbers (Bottom of Page)"/>
        <w:docPartUnique/>
      </w:docPartObj>
    </w:sdtPr>
    <w:sdtEndPr/>
    <w:sdtContent>
      <w:p w14:paraId="115E8DFA" w14:textId="0568A75E" w:rsidR="009A6DA7" w:rsidRPr="0040713B" w:rsidRDefault="009A6DA7" w:rsidP="0040713B">
        <w:pPr>
          <w:pStyle w:val="Footer"/>
        </w:pPr>
        <w:r w:rsidRPr="0040713B">
          <w:t>Issue Date:</w:t>
        </w:r>
        <w:r w:rsidR="00BF5AE9">
          <w:t xml:space="preserve"> </w:t>
        </w:r>
        <w:r w:rsidR="005E2099">
          <w:t>02/05/26</w:t>
        </w:r>
        <w:r>
          <w:tab/>
        </w:r>
        <w:r w:rsidR="006A5E1E">
          <w:t>i</w:t>
        </w:r>
        <w:r w:rsidRPr="0040713B">
          <w:tab/>
        </w:r>
        <w:r w:rsidR="002C6096">
          <w:t>2571</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729901"/>
      <w:docPartObj>
        <w:docPartGallery w:val="Page Numbers (Bottom of Page)"/>
        <w:docPartUnique/>
      </w:docPartObj>
    </w:sdtPr>
    <w:sdtEndPr/>
    <w:sdtContent>
      <w:p w14:paraId="320531C7" w14:textId="04591F31" w:rsidR="00410746" w:rsidRPr="00410746" w:rsidRDefault="00410746" w:rsidP="00410746">
        <w:pPr>
          <w:pStyle w:val="Footer"/>
        </w:pPr>
        <w:r w:rsidRPr="0040713B">
          <w:t>Issue Date:</w:t>
        </w:r>
        <w:r w:rsidR="00784945">
          <w:t xml:space="preserve"> 02/05/26</w:t>
        </w:r>
        <w:r>
          <w:tab/>
        </w:r>
        <w:r w:rsidRPr="00E243C6">
          <w:t>Att</w:t>
        </w:r>
        <w:r w:rsidR="00784945">
          <w:t>4</w:t>
        </w:r>
        <w:r>
          <w:t>-</w:t>
        </w:r>
        <w:r w:rsidRPr="002E2E7B">
          <w:fldChar w:fldCharType="begin"/>
        </w:r>
        <w:r w:rsidRPr="002E2E7B">
          <w:instrText xml:space="preserve"> PAGE   \* MERGEFORMAT </w:instrText>
        </w:r>
        <w:r w:rsidRPr="002E2E7B">
          <w:fldChar w:fldCharType="separate"/>
        </w:r>
        <w:r>
          <w:t>12</w:t>
        </w:r>
        <w:r w:rsidRPr="002E2E7B">
          <w:rPr>
            <w:noProof/>
          </w:rPr>
          <w:fldChar w:fldCharType="end"/>
        </w:r>
        <w:r w:rsidRPr="0040713B">
          <w:tab/>
        </w:r>
        <w:r>
          <w:t>2571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122877"/>
      <w:docPartObj>
        <w:docPartGallery w:val="Page Numbers (Bottom of Page)"/>
        <w:docPartUnique/>
      </w:docPartObj>
    </w:sdtPr>
    <w:sdtEndPr/>
    <w:sdtContent>
      <w:p w14:paraId="32F2D159" w14:textId="26C3BFB9" w:rsidR="00D8643E" w:rsidRPr="00CA5095" w:rsidRDefault="00CA5095" w:rsidP="00CA5095">
        <w:pPr>
          <w:pStyle w:val="Footer"/>
        </w:pPr>
        <w:r w:rsidRPr="0040713B">
          <w:t>Issue Date:</w:t>
        </w:r>
        <w:r w:rsidR="00784945">
          <w:t xml:space="preserve"> 02/05/26</w:t>
        </w:r>
        <w:r>
          <w:tab/>
        </w:r>
        <w:r w:rsidRPr="00E243C6">
          <w:t>Att</w:t>
        </w:r>
        <w:r w:rsidR="00784945">
          <w:t>5</w:t>
        </w:r>
        <w:r>
          <w:t>-</w:t>
        </w:r>
        <w:r w:rsidRPr="002E2E7B">
          <w:fldChar w:fldCharType="begin"/>
        </w:r>
        <w:r w:rsidRPr="002E2E7B">
          <w:instrText xml:space="preserve"> PAGE   \* MERGEFORMAT </w:instrText>
        </w:r>
        <w:r w:rsidRPr="002E2E7B">
          <w:fldChar w:fldCharType="separate"/>
        </w:r>
        <w:r>
          <w:t>3</w:t>
        </w:r>
        <w:r w:rsidRPr="002E2E7B">
          <w:rPr>
            <w:noProof/>
          </w:rPr>
          <w:fldChar w:fldCharType="end"/>
        </w:r>
        <w:r w:rsidRPr="0040713B">
          <w:tab/>
        </w:r>
        <w:r>
          <w:t>2571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4FA7" w14:textId="25877631" w:rsidR="009A6DA7" w:rsidRPr="00E243C6" w:rsidRDefault="009A6DA7" w:rsidP="00253A96">
    <w:pPr>
      <w:tabs>
        <w:tab w:val="center" w:pos="6480"/>
        <w:tab w:val="right" w:pos="12960"/>
      </w:tabs>
      <w:rPr>
        <w:sz w:val="22"/>
        <w:szCs w:val="22"/>
      </w:rPr>
    </w:pPr>
    <w:r w:rsidRPr="00E243C6">
      <w:rPr>
        <w:sz w:val="22"/>
        <w:szCs w:val="22"/>
      </w:rPr>
      <w:t xml:space="preserve">Issue Date: </w:t>
    </w:r>
    <w:r w:rsidR="00784945">
      <w:t>02/05/26</w:t>
    </w:r>
    <w:r w:rsidRPr="00E243C6">
      <w:rPr>
        <w:sz w:val="22"/>
        <w:szCs w:val="22"/>
      </w:rPr>
      <w:tab/>
      <w:t>Att</w:t>
    </w:r>
    <w:r w:rsidR="00784945">
      <w:rPr>
        <w:sz w:val="22"/>
        <w:szCs w:val="22"/>
      </w:rPr>
      <w:t>6</w:t>
    </w:r>
    <w:r w:rsidRPr="00E243C6">
      <w:rPr>
        <w:sz w:val="22"/>
        <w:szCs w:val="22"/>
      </w:rPr>
      <w:t>-</w:t>
    </w:r>
    <w:r w:rsidR="00CA5095" w:rsidRPr="00CA5095">
      <w:rPr>
        <w:sz w:val="22"/>
        <w:szCs w:val="22"/>
      </w:rPr>
      <w:fldChar w:fldCharType="begin"/>
    </w:r>
    <w:r w:rsidR="00CA5095" w:rsidRPr="00CA5095">
      <w:rPr>
        <w:sz w:val="22"/>
        <w:szCs w:val="22"/>
      </w:rPr>
      <w:instrText xml:space="preserve"> PAGE   \* MERGEFORMAT </w:instrText>
    </w:r>
    <w:r w:rsidR="00CA5095" w:rsidRPr="00CA5095">
      <w:rPr>
        <w:sz w:val="22"/>
        <w:szCs w:val="22"/>
      </w:rPr>
      <w:fldChar w:fldCharType="separate"/>
    </w:r>
    <w:r w:rsidR="00CA5095" w:rsidRPr="00CA5095">
      <w:rPr>
        <w:noProof/>
        <w:sz w:val="22"/>
        <w:szCs w:val="22"/>
      </w:rPr>
      <w:t>1</w:t>
    </w:r>
    <w:r w:rsidR="00CA5095" w:rsidRPr="00CA5095">
      <w:rPr>
        <w:noProof/>
        <w:sz w:val="22"/>
        <w:szCs w:val="22"/>
      </w:rPr>
      <w:fldChar w:fldCharType="end"/>
    </w:r>
    <w:r w:rsidRPr="00E243C6">
      <w:rPr>
        <w:sz w:val="22"/>
        <w:szCs w:val="22"/>
      </w:rPr>
      <w:tab/>
    </w:r>
    <w:r w:rsidR="00CA5095">
      <w:rPr>
        <w:sz w:val="22"/>
        <w:szCs w:val="22"/>
      </w:rPr>
      <w:t>2571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94771"/>
      <w:docPartObj>
        <w:docPartGallery w:val="Page Numbers (Bottom of Page)"/>
        <w:docPartUnique/>
      </w:docPartObj>
    </w:sdtPr>
    <w:sdtEndPr/>
    <w:sdtContent>
      <w:p w14:paraId="6CE5E26D" w14:textId="08A37255" w:rsidR="006A5E1E" w:rsidRPr="0040713B" w:rsidRDefault="006A5E1E" w:rsidP="0040713B">
        <w:pPr>
          <w:pStyle w:val="Footer"/>
        </w:pPr>
        <w:r w:rsidRPr="0040713B">
          <w:t>Issue Date:</w:t>
        </w:r>
        <w:r>
          <w:t xml:space="preserve"> </w:t>
        </w:r>
        <w:r w:rsidR="005E2099">
          <w:t>02/05/26</w:t>
        </w:r>
        <w:r>
          <w:tab/>
        </w:r>
        <w:r w:rsidR="0078280B" w:rsidRPr="0078280B">
          <w:fldChar w:fldCharType="begin"/>
        </w:r>
        <w:r w:rsidR="0078280B" w:rsidRPr="0078280B">
          <w:instrText xml:space="preserve"> PAGE   \* MERGEFORMAT </w:instrText>
        </w:r>
        <w:r w:rsidR="0078280B" w:rsidRPr="0078280B">
          <w:fldChar w:fldCharType="separate"/>
        </w:r>
        <w:r w:rsidR="0078280B" w:rsidRPr="0078280B">
          <w:rPr>
            <w:noProof/>
          </w:rPr>
          <w:t>1</w:t>
        </w:r>
        <w:r w:rsidR="0078280B" w:rsidRPr="0078280B">
          <w:rPr>
            <w:noProof/>
          </w:rPr>
          <w:fldChar w:fldCharType="end"/>
        </w:r>
        <w:r w:rsidRPr="0040713B">
          <w:tab/>
        </w:r>
        <w:r>
          <w:t>2571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1840" w14:textId="142642BC" w:rsidR="009361C8" w:rsidRPr="003A2BF9" w:rsidRDefault="003A2BF9" w:rsidP="003A2BF9">
    <w:pPr>
      <w:tabs>
        <w:tab w:val="center" w:pos="6480"/>
        <w:tab w:val="right" w:pos="12960"/>
      </w:tabs>
      <w:rPr>
        <w:sz w:val="22"/>
        <w:szCs w:val="22"/>
      </w:rPr>
    </w:pPr>
    <w:r w:rsidRPr="00E243C6">
      <w:rPr>
        <w:sz w:val="22"/>
        <w:szCs w:val="22"/>
      </w:rPr>
      <w:t xml:space="preserve">Issue Date: </w:t>
    </w:r>
    <w:r w:rsidR="003A3408">
      <w:t>02/05/26</w:t>
    </w:r>
    <w:r w:rsidRPr="00E243C6">
      <w:rPr>
        <w:sz w:val="22"/>
        <w:szCs w:val="22"/>
      </w:rPr>
      <w:tab/>
    </w:r>
    <w:r w:rsidR="00530534" w:rsidRPr="00530534">
      <w:rPr>
        <w:sz w:val="22"/>
        <w:szCs w:val="22"/>
      </w:rPr>
      <w:fldChar w:fldCharType="begin"/>
    </w:r>
    <w:r w:rsidR="00530534" w:rsidRPr="00530534">
      <w:rPr>
        <w:sz w:val="22"/>
        <w:szCs w:val="22"/>
      </w:rPr>
      <w:instrText xml:space="preserve"> PAGE   \* MERGEFORMAT </w:instrText>
    </w:r>
    <w:r w:rsidR="00530534" w:rsidRPr="00530534">
      <w:rPr>
        <w:sz w:val="22"/>
        <w:szCs w:val="22"/>
      </w:rPr>
      <w:fldChar w:fldCharType="separate"/>
    </w:r>
    <w:r w:rsidR="00530534" w:rsidRPr="00530534">
      <w:rPr>
        <w:noProof/>
        <w:sz w:val="22"/>
        <w:szCs w:val="22"/>
      </w:rPr>
      <w:t>1</w:t>
    </w:r>
    <w:r w:rsidR="00530534" w:rsidRPr="00530534">
      <w:rPr>
        <w:noProof/>
        <w:sz w:val="22"/>
        <w:szCs w:val="22"/>
      </w:rPr>
      <w:fldChar w:fldCharType="end"/>
    </w:r>
    <w:r w:rsidRPr="00E243C6">
      <w:rPr>
        <w:sz w:val="22"/>
        <w:szCs w:val="22"/>
      </w:rPr>
      <w:tab/>
    </w:r>
    <w:r>
      <w:rPr>
        <w:sz w:val="22"/>
        <w:szCs w:val="22"/>
      </w:rPr>
      <w:t>2571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473976"/>
      <w:docPartObj>
        <w:docPartGallery w:val="Page Numbers (Bottom of Page)"/>
        <w:docPartUnique/>
      </w:docPartObj>
    </w:sdtPr>
    <w:sdtEndPr/>
    <w:sdtContent>
      <w:p w14:paraId="79F2D669" w14:textId="78F1849F" w:rsidR="003A2BF9" w:rsidRPr="003A2BF9" w:rsidRDefault="003A2BF9" w:rsidP="003A2BF9">
        <w:pPr>
          <w:pStyle w:val="Footer"/>
        </w:pPr>
        <w:r w:rsidRPr="0040713B">
          <w:t>Issue Date:</w:t>
        </w:r>
        <w:r w:rsidR="00530534">
          <w:t xml:space="preserve"> 02/05/26</w:t>
        </w:r>
        <w:r>
          <w:tab/>
        </w:r>
        <w:r w:rsidR="00981A5F">
          <w:fldChar w:fldCharType="begin"/>
        </w:r>
        <w:r w:rsidR="00981A5F">
          <w:instrText xml:space="preserve"> PAGE   \* MERGEFORMAT </w:instrText>
        </w:r>
        <w:r w:rsidR="00981A5F">
          <w:fldChar w:fldCharType="separate"/>
        </w:r>
        <w:r w:rsidR="00981A5F">
          <w:rPr>
            <w:noProof/>
          </w:rPr>
          <w:t>1</w:t>
        </w:r>
        <w:r w:rsidR="00981A5F">
          <w:rPr>
            <w:noProof/>
          </w:rPr>
          <w:fldChar w:fldCharType="end"/>
        </w:r>
        <w:r w:rsidRPr="0040713B">
          <w:tab/>
        </w:r>
        <w:r>
          <w:t>2571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134206"/>
      <w:docPartObj>
        <w:docPartGallery w:val="Page Numbers (Bottom of Page)"/>
        <w:docPartUnique/>
      </w:docPartObj>
    </w:sdtPr>
    <w:sdtEndPr/>
    <w:sdtContent>
      <w:p w14:paraId="3FAE0FC8" w14:textId="6F9043D5" w:rsidR="002E2E7B" w:rsidRPr="003A2BF9" w:rsidRDefault="002E2E7B" w:rsidP="003A2BF9">
        <w:pPr>
          <w:pStyle w:val="Footer"/>
        </w:pPr>
        <w:r w:rsidRPr="0040713B">
          <w:t>Issue Date:</w:t>
        </w:r>
        <w:r w:rsidR="0030170E">
          <w:t xml:space="preserve"> 02/05/26</w:t>
        </w:r>
        <w:r>
          <w:tab/>
        </w:r>
        <w:r w:rsidRPr="002E2E7B">
          <w:fldChar w:fldCharType="begin"/>
        </w:r>
        <w:r w:rsidRPr="002E2E7B">
          <w:instrText xml:space="preserve"> PAGE   \* MERGEFORMAT </w:instrText>
        </w:r>
        <w:r w:rsidRPr="002E2E7B">
          <w:fldChar w:fldCharType="separate"/>
        </w:r>
        <w:r w:rsidRPr="002E2E7B">
          <w:rPr>
            <w:noProof/>
          </w:rPr>
          <w:t>1</w:t>
        </w:r>
        <w:r w:rsidRPr="002E2E7B">
          <w:rPr>
            <w:noProof/>
          </w:rPr>
          <w:fldChar w:fldCharType="end"/>
        </w:r>
        <w:r w:rsidRPr="0040713B">
          <w:tab/>
        </w:r>
        <w:r>
          <w:t>2571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738001"/>
      <w:docPartObj>
        <w:docPartGallery w:val="Page Numbers (Bottom of Page)"/>
        <w:docPartUnique/>
      </w:docPartObj>
    </w:sdtPr>
    <w:sdtEndPr/>
    <w:sdtContent>
      <w:p w14:paraId="4D6C32E1" w14:textId="28CC1A1A" w:rsidR="009B0978" w:rsidRPr="003A2BF9" w:rsidRDefault="009B0978" w:rsidP="003A2BF9">
        <w:pPr>
          <w:pStyle w:val="Footer"/>
        </w:pPr>
        <w:r w:rsidRPr="0040713B">
          <w:t>Issue Date:</w:t>
        </w:r>
        <w:r w:rsidR="00256877">
          <w:t xml:space="preserve"> 02/05/26</w:t>
        </w:r>
        <w:r>
          <w:tab/>
        </w:r>
        <w:r w:rsidRPr="00E243C6">
          <w:t>Att</w:t>
        </w:r>
        <w:r>
          <w:t>1-</w:t>
        </w:r>
        <w:r w:rsidRPr="002E2E7B">
          <w:fldChar w:fldCharType="begin"/>
        </w:r>
        <w:r w:rsidRPr="002E2E7B">
          <w:instrText xml:space="preserve"> PAGE   \* MERGEFORMAT </w:instrText>
        </w:r>
        <w:r w:rsidRPr="002E2E7B">
          <w:fldChar w:fldCharType="separate"/>
        </w:r>
        <w:r w:rsidRPr="002E2E7B">
          <w:rPr>
            <w:noProof/>
          </w:rPr>
          <w:t>1</w:t>
        </w:r>
        <w:r w:rsidRPr="002E2E7B">
          <w:rPr>
            <w:noProof/>
          </w:rPr>
          <w:fldChar w:fldCharType="end"/>
        </w:r>
        <w:r w:rsidRPr="0040713B">
          <w:tab/>
        </w:r>
        <w:r>
          <w:t>2571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625571"/>
      <w:docPartObj>
        <w:docPartGallery w:val="Page Numbers (Bottom of Page)"/>
        <w:docPartUnique/>
      </w:docPartObj>
    </w:sdtPr>
    <w:sdtEndPr/>
    <w:sdtContent>
      <w:p w14:paraId="51694B7D" w14:textId="503B0D76" w:rsidR="009B0978" w:rsidRPr="003A2BF9" w:rsidRDefault="009B0978" w:rsidP="003A2BF9">
        <w:pPr>
          <w:pStyle w:val="Footer"/>
        </w:pPr>
        <w:r w:rsidRPr="0040713B">
          <w:t>Issue Date:</w:t>
        </w:r>
        <w:r w:rsidR="00256877">
          <w:t xml:space="preserve"> 02/05/26</w:t>
        </w:r>
        <w:r>
          <w:tab/>
        </w:r>
        <w:r w:rsidRPr="00E243C6">
          <w:t>Att</w:t>
        </w:r>
        <w:r>
          <w:t>2-</w:t>
        </w:r>
        <w:r w:rsidRPr="002E2E7B">
          <w:fldChar w:fldCharType="begin"/>
        </w:r>
        <w:r w:rsidRPr="002E2E7B">
          <w:instrText xml:space="preserve"> PAGE   \* MERGEFORMAT </w:instrText>
        </w:r>
        <w:r w:rsidRPr="002E2E7B">
          <w:fldChar w:fldCharType="separate"/>
        </w:r>
        <w:r w:rsidRPr="002E2E7B">
          <w:rPr>
            <w:noProof/>
          </w:rPr>
          <w:t>1</w:t>
        </w:r>
        <w:r w:rsidRPr="002E2E7B">
          <w:rPr>
            <w:noProof/>
          </w:rPr>
          <w:fldChar w:fldCharType="end"/>
        </w:r>
        <w:r w:rsidRPr="0040713B">
          <w:tab/>
        </w:r>
        <w:r>
          <w:t>2571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757969"/>
      <w:docPartObj>
        <w:docPartGallery w:val="Page Numbers (Bottom of Page)"/>
        <w:docPartUnique/>
      </w:docPartObj>
    </w:sdtPr>
    <w:sdtEndPr/>
    <w:sdtContent>
      <w:p w14:paraId="16121073" w14:textId="47A34FF1" w:rsidR="003D6554" w:rsidRPr="003A2BF9" w:rsidRDefault="003D6554" w:rsidP="003A2BF9">
        <w:pPr>
          <w:pStyle w:val="Footer"/>
        </w:pPr>
        <w:r w:rsidRPr="0040713B">
          <w:t>Issue Date:</w:t>
        </w:r>
        <w:r w:rsidR="00784945">
          <w:t xml:space="preserve"> 02/05/26</w:t>
        </w:r>
        <w:r>
          <w:tab/>
        </w:r>
        <w:r w:rsidRPr="00E243C6">
          <w:t>Att</w:t>
        </w:r>
        <w:r w:rsidR="00682658">
          <w:t>3</w:t>
        </w:r>
        <w:r>
          <w:t>-</w:t>
        </w:r>
        <w:r w:rsidRPr="002E2E7B">
          <w:fldChar w:fldCharType="begin"/>
        </w:r>
        <w:r w:rsidRPr="002E2E7B">
          <w:instrText xml:space="preserve"> PAGE   \* MERGEFORMAT </w:instrText>
        </w:r>
        <w:r w:rsidRPr="002E2E7B">
          <w:fldChar w:fldCharType="separate"/>
        </w:r>
        <w:r w:rsidRPr="002E2E7B">
          <w:rPr>
            <w:noProof/>
          </w:rPr>
          <w:t>1</w:t>
        </w:r>
        <w:r w:rsidRPr="002E2E7B">
          <w:rPr>
            <w:noProof/>
          </w:rPr>
          <w:fldChar w:fldCharType="end"/>
        </w:r>
        <w:r w:rsidRPr="0040713B">
          <w:tab/>
        </w:r>
        <w:r>
          <w:t>2571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071023"/>
      <w:docPartObj>
        <w:docPartGallery w:val="Page Numbers (Bottom of Page)"/>
        <w:docPartUnique/>
      </w:docPartObj>
    </w:sdtPr>
    <w:sdtEndPr/>
    <w:sdtContent>
      <w:p w14:paraId="3021EF44" w14:textId="3DA2E2A4" w:rsidR="00252DB4" w:rsidRPr="003A2BF9" w:rsidRDefault="00252DB4" w:rsidP="003A2BF9">
        <w:pPr>
          <w:pStyle w:val="Footer"/>
        </w:pPr>
        <w:r w:rsidRPr="0040713B">
          <w:t>Issue Date:</w:t>
        </w:r>
        <w:r w:rsidR="00784945">
          <w:t xml:space="preserve"> 02/05/26</w:t>
        </w:r>
        <w:r>
          <w:tab/>
        </w:r>
        <w:r w:rsidRPr="00E243C6">
          <w:t>Att</w:t>
        </w:r>
        <w:r w:rsidR="00784945">
          <w:t>4</w:t>
        </w:r>
        <w:r>
          <w:t>-</w:t>
        </w:r>
        <w:r w:rsidRPr="002E2E7B">
          <w:fldChar w:fldCharType="begin"/>
        </w:r>
        <w:r w:rsidRPr="002E2E7B">
          <w:instrText xml:space="preserve"> PAGE   \* MERGEFORMAT </w:instrText>
        </w:r>
        <w:r w:rsidRPr="002E2E7B">
          <w:fldChar w:fldCharType="separate"/>
        </w:r>
        <w:r w:rsidRPr="002E2E7B">
          <w:rPr>
            <w:noProof/>
          </w:rPr>
          <w:t>1</w:t>
        </w:r>
        <w:r w:rsidRPr="002E2E7B">
          <w:rPr>
            <w:noProof/>
          </w:rPr>
          <w:fldChar w:fldCharType="end"/>
        </w:r>
        <w:r w:rsidRPr="0040713B">
          <w:tab/>
        </w:r>
        <w:r>
          <w:t>2571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5AB7" w14:textId="77777777" w:rsidR="005946AC" w:rsidRDefault="005946AC">
      <w:r>
        <w:rPr>
          <w:rStyle w:val="PageNumber"/>
        </w:rPr>
        <w:fldChar w:fldCharType="begin"/>
      </w:r>
      <w:r>
        <w:rPr>
          <w:rStyle w:val="PageNumber"/>
        </w:rPr>
        <w:instrText xml:space="preserve"> NUMPAGES </w:instrText>
      </w:r>
      <w:r>
        <w:rPr>
          <w:rStyle w:val="PageNumber"/>
        </w:rPr>
        <w:fldChar w:fldCharType="separate"/>
      </w:r>
      <w:r>
        <w:rPr>
          <w:rStyle w:val="PageNumber"/>
          <w:noProof/>
        </w:rPr>
        <w:t>72</w:t>
      </w:r>
      <w:r>
        <w:rPr>
          <w:rStyle w:val="PageNumber"/>
        </w:rPr>
        <w:fldChar w:fldCharType="end"/>
      </w:r>
      <w:r>
        <w:separator/>
      </w:r>
    </w:p>
  </w:footnote>
  <w:footnote w:type="continuationSeparator" w:id="0">
    <w:p w14:paraId="27103691" w14:textId="77777777" w:rsidR="005946AC" w:rsidRDefault="005946AC">
      <w:r>
        <w:continuationSeparator/>
      </w:r>
    </w:p>
  </w:footnote>
  <w:footnote w:type="continuationNotice" w:id="1">
    <w:p w14:paraId="03C2A057" w14:textId="77777777" w:rsidR="005946AC" w:rsidRDefault="00594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27D4" w14:textId="77777777" w:rsidR="00126A37" w:rsidRDefault="00126A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AE22" w14:textId="77777777" w:rsidR="00126A37" w:rsidRDefault="00126A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DCEC" w14:textId="77777777" w:rsidR="00126A37" w:rsidRDefault="00126A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8B99" w14:textId="77777777" w:rsidR="00126A37" w:rsidRDefault="00126A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6019" w14:textId="77777777" w:rsidR="00126A37" w:rsidRDefault="00126A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FF72" w14:textId="77777777" w:rsidR="00126A37" w:rsidRDefault="00126A3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C83F" w14:textId="77777777" w:rsidR="00126A37" w:rsidRDefault="00126A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41A8" w14:textId="77777777" w:rsidR="00126A37" w:rsidRDefault="00126A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25B" w14:textId="77777777" w:rsidR="00126A37" w:rsidRDefault="00126A3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EAC3" w14:textId="77777777" w:rsidR="00126A37" w:rsidRDefault="00126A3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5C0D" w14:textId="77777777" w:rsidR="00126A37" w:rsidRDefault="00126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6C00" w14:textId="77777777" w:rsidR="00126A37" w:rsidRDefault="00126A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7A82" w14:textId="77777777" w:rsidR="00126A37" w:rsidRDefault="00126A3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2B5" w14:textId="77777777" w:rsidR="00126A37" w:rsidRDefault="00126A3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C7FD" w14:textId="77777777" w:rsidR="00126A37" w:rsidRDefault="00126A3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F5E8" w14:textId="77777777" w:rsidR="00126A37" w:rsidRDefault="00126A3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7BDD" w14:textId="77777777" w:rsidR="00126A37" w:rsidRDefault="00126A3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A1C6" w14:textId="77777777" w:rsidR="00126A37" w:rsidRDefault="00126A3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C66" w14:textId="77777777" w:rsidR="00126A37" w:rsidRDefault="00126A3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844F" w14:textId="77777777" w:rsidR="00126A37" w:rsidRDefault="00126A3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044F" w14:textId="77777777" w:rsidR="00126A37" w:rsidRDefault="00126A3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7084" w14:textId="77777777" w:rsidR="00126A37" w:rsidRDefault="00126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5E6" w14:textId="77777777" w:rsidR="00126A37" w:rsidRDefault="00126A3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C186" w14:textId="77777777" w:rsidR="00126A37" w:rsidRDefault="00126A3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505" w14:textId="77777777" w:rsidR="00126A37" w:rsidRDefault="00126A3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3DD7" w14:textId="77777777" w:rsidR="00126A37" w:rsidRDefault="00126A3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A1E3" w14:textId="77777777" w:rsidR="00126A37" w:rsidRDefault="00126A3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89E7" w14:textId="77777777" w:rsidR="00126A37" w:rsidRDefault="00126A3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9EC5" w14:textId="77777777" w:rsidR="00126A37" w:rsidRDefault="00126A3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56CA" w14:textId="77777777" w:rsidR="00126A37" w:rsidRDefault="00126A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DEE8" w14:textId="77777777" w:rsidR="00126A37" w:rsidRDefault="00126A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7450" w14:textId="7F4E4679" w:rsidR="006A5E1E" w:rsidRDefault="006A5E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3ADC" w14:textId="77777777" w:rsidR="00126A37" w:rsidRDefault="00126A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9D5A" w14:textId="77777777" w:rsidR="00126A37" w:rsidRDefault="00126A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E8CD" w14:textId="77777777" w:rsidR="00126A37" w:rsidRDefault="00126A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5ED6" w14:textId="77777777" w:rsidR="00126A37" w:rsidRDefault="0012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884BDD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6C34662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1"/>
    <w:multiLevelType w:val="multilevel"/>
    <w:tmpl w:val="00000000"/>
    <w:name w:val="AutoList16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6"/>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3A51F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00AF5F20"/>
    <w:multiLevelType w:val="hybridMultilevel"/>
    <w:tmpl w:val="21BEDBFC"/>
    <w:name w:val="AutoList2"/>
    <w:lvl w:ilvl="0" w:tplc="BB82FD64">
      <w:start w:val="1"/>
      <w:numFmt w:val="bullet"/>
      <w:lvlText w:val=""/>
      <w:lvlJc w:val="left"/>
      <w:pPr>
        <w:tabs>
          <w:tab w:val="num" w:pos="1440"/>
        </w:tabs>
        <w:ind w:left="1440" w:hanging="360"/>
      </w:pPr>
      <w:rPr>
        <w:rFonts w:ascii="Symbol" w:hAnsi="Symbol" w:hint="default"/>
      </w:rPr>
    </w:lvl>
    <w:lvl w:ilvl="1" w:tplc="90CA1B64" w:tentative="1">
      <w:start w:val="1"/>
      <w:numFmt w:val="bullet"/>
      <w:lvlText w:val="o"/>
      <w:lvlJc w:val="left"/>
      <w:pPr>
        <w:tabs>
          <w:tab w:val="num" w:pos="2160"/>
        </w:tabs>
        <w:ind w:left="2160" w:hanging="360"/>
      </w:pPr>
      <w:rPr>
        <w:rFonts w:ascii="Courier New" w:hAnsi="Courier New" w:cs="Courier New" w:hint="default"/>
      </w:rPr>
    </w:lvl>
    <w:lvl w:ilvl="2" w:tplc="0E02C6D6" w:tentative="1">
      <w:start w:val="1"/>
      <w:numFmt w:val="bullet"/>
      <w:lvlText w:val=""/>
      <w:lvlJc w:val="left"/>
      <w:pPr>
        <w:tabs>
          <w:tab w:val="num" w:pos="2880"/>
        </w:tabs>
        <w:ind w:left="2880" w:hanging="360"/>
      </w:pPr>
      <w:rPr>
        <w:rFonts w:ascii="Wingdings" w:hAnsi="Wingdings" w:hint="default"/>
      </w:rPr>
    </w:lvl>
    <w:lvl w:ilvl="3" w:tplc="8A427B8E" w:tentative="1">
      <w:start w:val="1"/>
      <w:numFmt w:val="bullet"/>
      <w:lvlText w:val=""/>
      <w:lvlJc w:val="left"/>
      <w:pPr>
        <w:tabs>
          <w:tab w:val="num" w:pos="3600"/>
        </w:tabs>
        <w:ind w:left="3600" w:hanging="360"/>
      </w:pPr>
      <w:rPr>
        <w:rFonts w:ascii="Symbol" w:hAnsi="Symbol" w:hint="default"/>
      </w:rPr>
    </w:lvl>
    <w:lvl w:ilvl="4" w:tplc="74123674" w:tentative="1">
      <w:start w:val="1"/>
      <w:numFmt w:val="bullet"/>
      <w:lvlText w:val="o"/>
      <w:lvlJc w:val="left"/>
      <w:pPr>
        <w:tabs>
          <w:tab w:val="num" w:pos="4320"/>
        </w:tabs>
        <w:ind w:left="4320" w:hanging="360"/>
      </w:pPr>
      <w:rPr>
        <w:rFonts w:ascii="Courier New" w:hAnsi="Courier New" w:cs="Courier New" w:hint="default"/>
      </w:rPr>
    </w:lvl>
    <w:lvl w:ilvl="5" w:tplc="8CC61570" w:tentative="1">
      <w:start w:val="1"/>
      <w:numFmt w:val="bullet"/>
      <w:lvlText w:val=""/>
      <w:lvlJc w:val="left"/>
      <w:pPr>
        <w:tabs>
          <w:tab w:val="num" w:pos="5040"/>
        </w:tabs>
        <w:ind w:left="5040" w:hanging="360"/>
      </w:pPr>
      <w:rPr>
        <w:rFonts w:ascii="Wingdings" w:hAnsi="Wingdings" w:hint="default"/>
      </w:rPr>
    </w:lvl>
    <w:lvl w:ilvl="6" w:tplc="AB1A6E28" w:tentative="1">
      <w:start w:val="1"/>
      <w:numFmt w:val="bullet"/>
      <w:lvlText w:val=""/>
      <w:lvlJc w:val="left"/>
      <w:pPr>
        <w:tabs>
          <w:tab w:val="num" w:pos="5760"/>
        </w:tabs>
        <w:ind w:left="5760" w:hanging="360"/>
      </w:pPr>
      <w:rPr>
        <w:rFonts w:ascii="Symbol" w:hAnsi="Symbol" w:hint="default"/>
      </w:rPr>
    </w:lvl>
    <w:lvl w:ilvl="7" w:tplc="578E72FE" w:tentative="1">
      <w:start w:val="1"/>
      <w:numFmt w:val="bullet"/>
      <w:lvlText w:val="o"/>
      <w:lvlJc w:val="left"/>
      <w:pPr>
        <w:tabs>
          <w:tab w:val="num" w:pos="6480"/>
        </w:tabs>
        <w:ind w:left="6480" w:hanging="360"/>
      </w:pPr>
      <w:rPr>
        <w:rFonts w:ascii="Courier New" w:hAnsi="Courier New" w:cs="Courier New" w:hint="default"/>
      </w:rPr>
    </w:lvl>
    <w:lvl w:ilvl="8" w:tplc="0EFC58E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1204720"/>
    <w:multiLevelType w:val="hybridMultilevel"/>
    <w:tmpl w:val="3A3A0C58"/>
    <w:name w:val="AutoList165"/>
    <w:lvl w:ilvl="0" w:tplc="C46E513A">
      <w:start w:val="1"/>
      <w:numFmt w:val="lowerLetter"/>
      <w:lvlText w:val="%1."/>
      <w:lvlJc w:val="left"/>
      <w:pPr>
        <w:tabs>
          <w:tab w:val="num" w:pos="1166"/>
        </w:tabs>
        <w:ind w:left="1166" w:hanging="360"/>
      </w:pPr>
    </w:lvl>
    <w:lvl w:ilvl="1" w:tplc="7DD60CBC" w:tentative="1">
      <w:start w:val="1"/>
      <w:numFmt w:val="lowerLetter"/>
      <w:lvlText w:val="%2."/>
      <w:lvlJc w:val="left"/>
      <w:pPr>
        <w:tabs>
          <w:tab w:val="num" w:pos="1800"/>
        </w:tabs>
        <w:ind w:left="1800" w:hanging="360"/>
      </w:pPr>
    </w:lvl>
    <w:lvl w:ilvl="2" w:tplc="DFF8D27C" w:tentative="1">
      <w:start w:val="1"/>
      <w:numFmt w:val="lowerRoman"/>
      <w:lvlText w:val="%3."/>
      <w:lvlJc w:val="right"/>
      <w:pPr>
        <w:tabs>
          <w:tab w:val="num" w:pos="2520"/>
        </w:tabs>
        <w:ind w:left="2520" w:hanging="180"/>
      </w:pPr>
    </w:lvl>
    <w:lvl w:ilvl="3" w:tplc="58D8C8F0" w:tentative="1">
      <w:start w:val="1"/>
      <w:numFmt w:val="decimal"/>
      <w:lvlText w:val="%4."/>
      <w:lvlJc w:val="left"/>
      <w:pPr>
        <w:tabs>
          <w:tab w:val="num" w:pos="3240"/>
        </w:tabs>
        <w:ind w:left="3240" w:hanging="360"/>
      </w:pPr>
    </w:lvl>
    <w:lvl w:ilvl="4" w:tplc="48C64D16" w:tentative="1">
      <w:start w:val="1"/>
      <w:numFmt w:val="lowerLetter"/>
      <w:lvlText w:val="%5."/>
      <w:lvlJc w:val="left"/>
      <w:pPr>
        <w:tabs>
          <w:tab w:val="num" w:pos="3960"/>
        </w:tabs>
        <w:ind w:left="3960" w:hanging="360"/>
      </w:pPr>
    </w:lvl>
    <w:lvl w:ilvl="5" w:tplc="D680A612" w:tentative="1">
      <w:start w:val="1"/>
      <w:numFmt w:val="lowerRoman"/>
      <w:lvlText w:val="%6."/>
      <w:lvlJc w:val="right"/>
      <w:pPr>
        <w:tabs>
          <w:tab w:val="num" w:pos="4680"/>
        </w:tabs>
        <w:ind w:left="4680" w:hanging="180"/>
      </w:pPr>
    </w:lvl>
    <w:lvl w:ilvl="6" w:tplc="84228B06" w:tentative="1">
      <w:start w:val="1"/>
      <w:numFmt w:val="decimal"/>
      <w:lvlText w:val="%7."/>
      <w:lvlJc w:val="left"/>
      <w:pPr>
        <w:tabs>
          <w:tab w:val="num" w:pos="5400"/>
        </w:tabs>
        <w:ind w:left="5400" w:hanging="360"/>
      </w:pPr>
    </w:lvl>
    <w:lvl w:ilvl="7" w:tplc="DB2A5F64" w:tentative="1">
      <w:start w:val="1"/>
      <w:numFmt w:val="lowerLetter"/>
      <w:lvlText w:val="%8."/>
      <w:lvlJc w:val="left"/>
      <w:pPr>
        <w:tabs>
          <w:tab w:val="num" w:pos="6120"/>
        </w:tabs>
        <w:ind w:left="6120" w:hanging="360"/>
      </w:pPr>
    </w:lvl>
    <w:lvl w:ilvl="8" w:tplc="0B728E58" w:tentative="1">
      <w:start w:val="1"/>
      <w:numFmt w:val="lowerRoman"/>
      <w:lvlText w:val="%9."/>
      <w:lvlJc w:val="right"/>
      <w:pPr>
        <w:tabs>
          <w:tab w:val="num" w:pos="6840"/>
        </w:tabs>
        <w:ind w:left="6840" w:hanging="180"/>
      </w:pPr>
    </w:lvl>
  </w:abstractNum>
  <w:abstractNum w:abstractNumId="7" w15:restartNumberingAfterBreak="0">
    <w:nsid w:val="0224479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075330D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07770AE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0A6877CB"/>
    <w:multiLevelType w:val="hybridMultilevel"/>
    <w:tmpl w:val="E4785776"/>
    <w:lvl w:ilvl="0" w:tplc="D110D74E">
      <w:start w:val="1"/>
      <w:numFmt w:val="decimal"/>
      <w:lvlText w:val="%1."/>
      <w:lvlJc w:val="left"/>
      <w:pPr>
        <w:ind w:left="1800" w:hanging="360"/>
      </w:pPr>
    </w:lvl>
    <w:lvl w:ilvl="1" w:tplc="4F888B42">
      <w:start w:val="1"/>
      <w:numFmt w:val="decimal"/>
      <w:lvlText w:val="%2."/>
      <w:lvlJc w:val="left"/>
      <w:pPr>
        <w:ind w:left="1800" w:hanging="360"/>
      </w:pPr>
    </w:lvl>
    <w:lvl w:ilvl="2" w:tplc="DAD82CEC">
      <w:start w:val="1"/>
      <w:numFmt w:val="decimal"/>
      <w:lvlText w:val="%3."/>
      <w:lvlJc w:val="left"/>
      <w:pPr>
        <w:ind w:left="1800" w:hanging="360"/>
      </w:pPr>
    </w:lvl>
    <w:lvl w:ilvl="3" w:tplc="C9E4B5E6">
      <w:start w:val="1"/>
      <w:numFmt w:val="decimal"/>
      <w:lvlText w:val="%4."/>
      <w:lvlJc w:val="left"/>
      <w:pPr>
        <w:ind w:left="1800" w:hanging="360"/>
      </w:pPr>
    </w:lvl>
    <w:lvl w:ilvl="4" w:tplc="DD545F46">
      <w:start w:val="1"/>
      <w:numFmt w:val="decimal"/>
      <w:lvlText w:val="%5."/>
      <w:lvlJc w:val="left"/>
      <w:pPr>
        <w:ind w:left="1800" w:hanging="360"/>
      </w:pPr>
    </w:lvl>
    <w:lvl w:ilvl="5" w:tplc="708C073C">
      <w:start w:val="1"/>
      <w:numFmt w:val="decimal"/>
      <w:lvlText w:val="%6."/>
      <w:lvlJc w:val="left"/>
      <w:pPr>
        <w:ind w:left="1800" w:hanging="360"/>
      </w:pPr>
    </w:lvl>
    <w:lvl w:ilvl="6" w:tplc="E610ACC4">
      <w:start w:val="1"/>
      <w:numFmt w:val="decimal"/>
      <w:lvlText w:val="%7."/>
      <w:lvlJc w:val="left"/>
      <w:pPr>
        <w:ind w:left="1800" w:hanging="360"/>
      </w:pPr>
    </w:lvl>
    <w:lvl w:ilvl="7" w:tplc="5E62368A">
      <w:start w:val="1"/>
      <w:numFmt w:val="decimal"/>
      <w:lvlText w:val="%8."/>
      <w:lvlJc w:val="left"/>
      <w:pPr>
        <w:ind w:left="1800" w:hanging="360"/>
      </w:pPr>
    </w:lvl>
    <w:lvl w:ilvl="8" w:tplc="A7028FE2">
      <w:start w:val="1"/>
      <w:numFmt w:val="decimal"/>
      <w:lvlText w:val="%9."/>
      <w:lvlJc w:val="left"/>
      <w:pPr>
        <w:ind w:left="1800" w:hanging="360"/>
      </w:pPr>
    </w:lvl>
  </w:abstractNum>
  <w:abstractNum w:abstractNumId="11" w15:restartNumberingAfterBreak="0">
    <w:nsid w:val="0D2B5444"/>
    <w:multiLevelType w:val="hybridMultilevel"/>
    <w:tmpl w:val="15B64DF4"/>
    <w:lvl w:ilvl="0" w:tplc="FF98F9E4">
      <w:start w:val="1"/>
      <w:numFmt w:val="decimal"/>
      <w:lvlText w:val="%1."/>
      <w:lvlJc w:val="left"/>
      <w:pPr>
        <w:ind w:left="1800" w:hanging="360"/>
      </w:pPr>
    </w:lvl>
    <w:lvl w:ilvl="1" w:tplc="42566AA8">
      <w:start w:val="1"/>
      <w:numFmt w:val="decimal"/>
      <w:lvlText w:val="%2."/>
      <w:lvlJc w:val="left"/>
      <w:pPr>
        <w:ind w:left="1800" w:hanging="360"/>
      </w:pPr>
    </w:lvl>
    <w:lvl w:ilvl="2" w:tplc="1DBE8DB6">
      <w:start w:val="1"/>
      <w:numFmt w:val="decimal"/>
      <w:lvlText w:val="%3."/>
      <w:lvlJc w:val="left"/>
      <w:pPr>
        <w:ind w:left="1800" w:hanging="360"/>
      </w:pPr>
    </w:lvl>
    <w:lvl w:ilvl="3" w:tplc="1526A998">
      <w:start w:val="1"/>
      <w:numFmt w:val="decimal"/>
      <w:lvlText w:val="%4."/>
      <w:lvlJc w:val="left"/>
      <w:pPr>
        <w:ind w:left="1800" w:hanging="360"/>
      </w:pPr>
    </w:lvl>
    <w:lvl w:ilvl="4" w:tplc="C2ACBA2A">
      <w:start w:val="1"/>
      <w:numFmt w:val="decimal"/>
      <w:lvlText w:val="%5."/>
      <w:lvlJc w:val="left"/>
      <w:pPr>
        <w:ind w:left="1800" w:hanging="360"/>
      </w:pPr>
    </w:lvl>
    <w:lvl w:ilvl="5" w:tplc="6168423C">
      <w:start w:val="1"/>
      <w:numFmt w:val="decimal"/>
      <w:lvlText w:val="%6."/>
      <w:lvlJc w:val="left"/>
      <w:pPr>
        <w:ind w:left="1800" w:hanging="360"/>
      </w:pPr>
    </w:lvl>
    <w:lvl w:ilvl="6" w:tplc="7AF459C8">
      <w:start w:val="1"/>
      <w:numFmt w:val="decimal"/>
      <w:lvlText w:val="%7."/>
      <w:lvlJc w:val="left"/>
      <w:pPr>
        <w:ind w:left="1800" w:hanging="360"/>
      </w:pPr>
    </w:lvl>
    <w:lvl w:ilvl="7" w:tplc="BFD03F78">
      <w:start w:val="1"/>
      <w:numFmt w:val="decimal"/>
      <w:lvlText w:val="%8."/>
      <w:lvlJc w:val="left"/>
      <w:pPr>
        <w:ind w:left="1800" w:hanging="360"/>
      </w:pPr>
    </w:lvl>
    <w:lvl w:ilvl="8" w:tplc="615A3A0E">
      <w:start w:val="1"/>
      <w:numFmt w:val="decimal"/>
      <w:lvlText w:val="%9."/>
      <w:lvlJc w:val="left"/>
      <w:pPr>
        <w:ind w:left="1800" w:hanging="360"/>
      </w:pPr>
    </w:lvl>
  </w:abstractNum>
  <w:abstractNum w:abstractNumId="12" w15:restartNumberingAfterBreak="0">
    <w:nsid w:val="1F646D33"/>
    <w:multiLevelType w:val="hybridMultilevel"/>
    <w:tmpl w:val="141C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D40C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2448197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2B8959E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2EB8114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2EB93011"/>
    <w:multiLevelType w:val="hybridMultilevel"/>
    <w:tmpl w:val="8040B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C9296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374A527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38DC001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3D831A57"/>
    <w:multiLevelType w:val="multilevel"/>
    <w:tmpl w:val="0D7A842A"/>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450031E"/>
    <w:multiLevelType w:val="hybridMultilevel"/>
    <w:tmpl w:val="0409000F"/>
    <w:styleLink w:val="IMCNumberStructure"/>
    <w:lvl w:ilvl="0" w:tplc="0409000F">
      <w:start w:val="1"/>
      <w:numFmt w:val="decimal"/>
      <w:lvlText w:val="%1."/>
      <w:lvlJc w:val="left"/>
      <w:pPr>
        <w:tabs>
          <w:tab w:val="num" w:pos="720"/>
        </w:tabs>
        <w:ind w:left="720" w:hanging="360"/>
      </w:pPr>
      <w:rPr>
        <w:rFonts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D518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4BEA10DE"/>
    <w:multiLevelType w:val="multilevel"/>
    <w:tmpl w:val="BA2E2490"/>
    <w:name w:val="Bullet List2"/>
    <w:lvl w:ilvl="0">
      <w:start w:val="1"/>
      <w:numFmt w:val="lowerLetter"/>
      <w:lvlText w:val="%1."/>
      <w:lvlJc w:val="left"/>
      <w:pPr>
        <w:tabs>
          <w:tab w:val="num" w:pos="806"/>
        </w:tabs>
        <w:ind w:left="806" w:hanging="532"/>
      </w:pPr>
      <w:rPr>
        <w:rFonts w:hint="default"/>
        <w:b w:val="0"/>
        <w:i w:val="0"/>
        <w:sz w:val="24"/>
        <w:szCs w:val="24"/>
      </w:rPr>
    </w:lvl>
    <w:lvl w:ilvl="1">
      <w:start w:val="1"/>
      <w:numFmt w:val="decimal"/>
      <w:lvlText w:val="%2."/>
      <w:lvlJc w:val="left"/>
      <w:pPr>
        <w:tabs>
          <w:tab w:val="num" w:pos="1440"/>
        </w:tabs>
        <w:ind w:left="1440" w:hanging="634"/>
      </w:pPr>
      <w:rPr>
        <w:rFonts w:hint="default"/>
        <w:b w:val="0"/>
        <w:i w:val="0"/>
        <w:sz w:val="24"/>
        <w:szCs w:val="24"/>
      </w:rPr>
    </w:lvl>
    <w:lvl w:ilvl="2">
      <w:start w:val="1"/>
      <w:numFmt w:val="lowerLetter"/>
      <w:lvlText w:val="(%3)"/>
      <w:lvlJc w:val="left"/>
      <w:pPr>
        <w:tabs>
          <w:tab w:val="num" w:pos="2074"/>
        </w:tabs>
        <w:ind w:left="2074" w:hanging="634"/>
      </w:pPr>
      <w:rPr>
        <w:rFonts w:hint="default"/>
        <w:b w:val="0"/>
        <w:i w:val="0"/>
        <w:sz w:val="24"/>
        <w:szCs w:val="24"/>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25" w15:restartNumberingAfterBreak="0">
    <w:nsid w:val="52A5553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5963636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7" w15:restartNumberingAfterBreak="0">
    <w:nsid w:val="5BF75DE1"/>
    <w:multiLevelType w:val="hybridMultilevel"/>
    <w:tmpl w:val="8D9656E0"/>
    <w:lvl w:ilvl="0" w:tplc="308E25FE">
      <w:start w:val="1"/>
      <w:numFmt w:val="bullet"/>
      <w:pStyle w:val="ListBullet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107E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62B63C9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0" w15:restartNumberingAfterBreak="0">
    <w:nsid w:val="647772D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1" w15:restartNumberingAfterBreak="0">
    <w:nsid w:val="68555C9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2" w15:restartNumberingAfterBreak="0">
    <w:nsid w:val="685C66E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3" w15:restartNumberingAfterBreak="0">
    <w:nsid w:val="69785DC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4" w15:restartNumberingAfterBreak="0">
    <w:nsid w:val="6BCA696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5" w15:restartNumberingAfterBreak="0">
    <w:nsid w:val="6EFD224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6" w15:restartNumberingAfterBreak="0">
    <w:nsid w:val="722E10C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7" w15:restartNumberingAfterBreak="0">
    <w:nsid w:val="7D8D70C7"/>
    <w:multiLevelType w:val="hybridMultilevel"/>
    <w:tmpl w:val="1994BC56"/>
    <w:lvl w:ilvl="0" w:tplc="7C72A214">
      <w:start w:val="1"/>
      <w:numFmt w:val="decimal"/>
      <w:lvlText w:val="(%1)"/>
      <w:lvlJc w:val="left"/>
      <w:pPr>
        <w:ind w:left="3530" w:hanging="360"/>
      </w:pPr>
      <w:rPr>
        <w:rFonts w:hint="default"/>
      </w:rPr>
    </w:lvl>
    <w:lvl w:ilvl="1" w:tplc="04090019" w:tentative="1">
      <w:start w:val="1"/>
      <w:numFmt w:val="lowerLetter"/>
      <w:lvlText w:val="%2."/>
      <w:lvlJc w:val="left"/>
      <w:pPr>
        <w:ind w:left="4250" w:hanging="360"/>
      </w:pPr>
    </w:lvl>
    <w:lvl w:ilvl="2" w:tplc="0409001B" w:tentative="1">
      <w:start w:val="1"/>
      <w:numFmt w:val="lowerRoman"/>
      <w:lvlText w:val="%3."/>
      <w:lvlJc w:val="right"/>
      <w:pPr>
        <w:ind w:left="4970" w:hanging="180"/>
      </w:pPr>
    </w:lvl>
    <w:lvl w:ilvl="3" w:tplc="0409000F" w:tentative="1">
      <w:start w:val="1"/>
      <w:numFmt w:val="decimal"/>
      <w:lvlText w:val="%4."/>
      <w:lvlJc w:val="left"/>
      <w:pPr>
        <w:ind w:left="5690" w:hanging="360"/>
      </w:pPr>
    </w:lvl>
    <w:lvl w:ilvl="4" w:tplc="04090019" w:tentative="1">
      <w:start w:val="1"/>
      <w:numFmt w:val="lowerLetter"/>
      <w:lvlText w:val="%5."/>
      <w:lvlJc w:val="left"/>
      <w:pPr>
        <w:ind w:left="6410" w:hanging="360"/>
      </w:pPr>
    </w:lvl>
    <w:lvl w:ilvl="5" w:tplc="0409001B" w:tentative="1">
      <w:start w:val="1"/>
      <w:numFmt w:val="lowerRoman"/>
      <w:lvlText w:val="%6."/>
      <w:lvlJc w:val="right"/>
      <w:pPr>
        <w:ind w:left="7130" w:hanging="180"/>
      </w:pPr>
    </w:lvl>
    <w:lvl w:ilvl="6" w:tplc="0409000F" w:tentative="1">
      <w:start w:val="1"/>
      <w:numFmt w:val="decimal"/>
      <w:lvlText w:val="%7."/>
      <w:lvlJc w:val="left"/>
      <w:pPr>
        <w:ind w:left="7850" w:hanging="360"/>
      </w:pPr>
    </w:lvl>
    <w:lvl w:ilvl="7" w:tplc="04090019" w:tentative="1">
      <w:start w:val="1"/>
      <w:numFmt w:val="lowerLetter"/>
      <w:lvlText w:val="%8."/>
      <w:lvlJc w:val="left"/>
      <w:pPr>
        <w:ind w:left="8570" w:hanging="360"/>
      </w:pPr>
    </w:lvl>
    <w:lvl w:ilvl="8" w:tplc="0409001B" w:tentative="1">
      <w:start w:val="1"/>
      <w:numFmt w:val="lowerRoman"/>
      <w:lvlText w:val="%9."/>
      <w:lvlJc w:val="right"/>
      <w:pPr>
        <w:ind w:left="9290" w:hanging="180"/>
      </w:pPr>
    </w:lvl>
  </w:abstractNum>
  <w:abstractNum w:abstractNumId="38" w15:restartNumberingAfterBreak="0">
    <w:nsid w:val="7DF62D7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9" w15:restartNumberingAfterBreak="0">
    <w:nsid w:val="7FCB62D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771897624">
    <w:abstractNumId w:val="22"/>
  </w:num>
  <w:num w:numId="2" w16cid:durableId="1419476910">
    <w:abstractNumId w:val="1"/>
  </w:num>
  <w:num w:numId="3" w16cid:durableId="1707633540">
    <w:abstractNumId w:val="0"/>
  </w:num>
  <w:num w:numId="4" w16cid:durableId="1050768099">
    <w:abstractNumId w:val="21"/>
  </w:num>
  <w:num w:numId="5" w16cid:durableId="2083479869">
    <w:abstractNumId w:val="17"/>
  </w:num>
  <w:num w:numId="6" w16cid:durableId="1021857042">
    <w:abstractNumId w:val="37"/>
  </w:num>
  <w:num w:numId="7" w16cid:durableId="1510022267">
    <w:abstractNumId w:val="27"/>
  </w:num>
  <w:num w:numId="8" w16cid:durableId="697781072">
    <w:abstractNumId w:val="9"/>
  </w:num>
  <w:num w:numId="9" w16cid:durableId="326370761">
    <w:abstractNumId w:val="7"/>
  </w:num>
  <w:num w:numId="10" w16cid:durableId="1908881846">
    <w:abstractNumId w:val="34"/>
  </w:num>
  <w:num w:numId="11" w16cid:durableId="932590175">
    <w:abstractNumId w:val="29"/>
  </w:num>
  <w:num w:numId="12" w16cid:durableId="1042245347">
    <w:abstractNumId w:val="35"/>
  </w:num>
  <w:num w:numId="13" w16cid:durableId="310793769">
    <w:abstractNumId w:val="30"/>
  </w:num>
  <w:num w:numId="14" w16cid:durableId="1375234177">
    <w:abstractNumId w:val="15"/>
  </w:num>
  <w:num w:numId="15" w16cid:durableId="1708598735">
    <w:abstractNumId w:val="28"/>
  </w:num>
  <w:num w:numId="16" w16cid:durableId="1059787075">
    <w:abstractNumId w:val="20"/>
  </w:num>
  <w:num w:numId="17" w16cid:durableId="617416360">
    <w:abstractNumId w:val="16"/>
  </w:num>
  <w:num w:numId="18" w16cid:durableId="1161316842">
    <w:abstractNumId w:val="18"/>
  </w:num>
  <w:num w:numId="19" w16cid:durableId="1684819907">
    <w:abstractNumId w:val="19"/>
  </w:num>
  <w:num w:numId="20" w16cid:durableId="1849976291">
    <w:abstractNumId w:val="36"/>
  </w:num>
  <w:num w:numId="21" w16cid:durableId="920482349">
    <w:abstractNumId w:val="31"/>
  </w:num>
  <w:num w:numId="22" w16cid:durableId="133259969">
    <w:abstractNumId w:val="23"/>
  </w:num>
  <w:num w:numId="23" w16cid:durableId="714233387">
    <w:abstractNumId w:val="33"/>
  </w:num>
  <w:num w:numId="24" w16cid:durableId="1270165528">
    <w:abstractNumId w:val="4"/>
  </w:num>
  <w:num w:numId="25" w16cid:durableId="1974938896">
    <w:abstractNumId w:val="26"/>
  </w:num>
  <w:num w:numId="26" w16cid:durableId="1528178277">
    <w:abstractNumId w:val="38"/>
  </w:num>
  <w:num w:numId="27" w16cid:durableId="590430250">
    <w:abstractNumId w:val="25"/>
  </w:num>
  <w:num w:numId="28" w16cid:durableId="1999921803">
    <w:abstractNumId w:val="39"/>
  </w:num>
  <w:num w:numId="29" w16cid:durableId="111553854">
    <w:abstractNumId w:val="14"/>
  </w:num>
  <w:num w:numId="30" w16cid:durableId="1987003025">
    <w:abstractNumId w:val="32"/>
  </w:num>
  <w:num w:numId="31" w16cid:durableId="333341141">
    <w:abstractNumId w:val="13"/>
  </w:num>
  <w:num w:numId="32" w16cid:durableId="2003894817">
    <w:abstractNumId w:val="8"/>
  </w:num>
  <w:num w:numId="33" w16cid:durableId="959458318">
    <w:abstractNumId w:val="10"/>
  </w:num>
  <w:num w:numId="34" w16cid:durableId="1523974253">
    <w:abstractNumId w:val="11"/>
  </w:num>
  <w:num w:numId="35" w16cid:durableId="1055356869">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TrueTypeFonts/>
  <w:saveSubsetFonts/>
  <w:bordersDoNotSurroundHeader/>
  <w:bordersDoNotSurroundFooter/>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oNotTrackFormatting/>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A1"/>
    <w:rsid w:val="00000005"/>
    <w:rsid w:val="00000493"/>
    <w:rsid w:val="000004BB"/>
    <w:rsid w:val="000007BB"/>
    <w:rsid w:val="00000B49"/>
    <w:rsid w:val="00000DD0"/>
    <w:rsid w:val="00000F07"/>
    <w:rsid w:val="00000FDE"/>
    <w:rsid w:val="000010BD"/>
    <w:rsid w:val="000015A7"/>
    <w:rsid w:val="00001E37"/>
    <w:rsid w:val="0000219E"/>
    <w:rsid w:val="000025DA"/>
    <w:rsid w:val="00002820"/>
    <w:rsid w:val="0000284F"/>
    <w:rsid w:val="0000289A"/>
    <w:rsid w:val="00002B17"/>
    <w:rsid w:val="00002B5C"/>
    <w:rsid w:val="00002F84"/>
    <w:rsid w:val="000030EB"/>
    <w:rsid w:val="0000312E"/>
    <w:rsid w:val="00003434"/>
    <w:rsid w:val="00003847"/>
    <w:rsid w:val="0000387C"/>
    <w:rsid w:val="00003906"/>
    <w:rsid w:val="0000397C"/>
    <w:rsid w:val="00003D9E"/>
    <w:rsid w:val="00003F4B"/>
    <w:rsid w:val="00003FC9"/>
    <w:rsid w:val="000040B0"/>
    <w:rsid w:val="000049AA"/>
    <w:rsid w:val="000053D6"/>
    <w:rsid w:val="000054C2"/>
    <w:rsid w:val="00005A02"/>
    <w:rsid w:val="00005E29"/>
    <w:rsid w:val="00006033"/>
    <w:rsid w:val="000060EF"/>
    <w:rsid w:val="00006153"/>
    <w:rsid w:val="00006292"/>
    <w:rsid w:val="000068D6"/>
    <w:rsid w:val="00006A90"/>
    <w:rsid w:val="000072A9"/>
    <w:rsid w:val="000073CB"/>
    <w:rsid w:val="0000782D"/>
    <w:rsid w:val="00007D35"/>
    <w:rsid w:val="00010301"/>
    <w:rsid w:val="00010560"/>
    <w:rsid w:val="000106BF"/>
    <w:rsid w:val="000107FA"/>
    <w:rsid w:val="00010A05"/>
    <w:rsid w:val="00010C87"/>
    <w:rsid w:val="00010CD8"/>
    <w:rsid w:val="00011078"/>
    <w:rsid w:val="00011215"/>
    <w:rsid w:val="000114CE"/>
    <w:rsid w:val="00011553"/>
    <w:rsid w:val="00011C05"/>
    <w:rsid w:val="00011E61"/>
    <w:rsid w:val="00012051"/>
    <w:rsid w:val="000120EE"/>
    <w:rsid w:val="00012320"/>
    <w:rsid w:val="00012339"/>
    <w:rsid w:val="0001248C"/>
    <w:rsid w:val="00012498"/>
    <w:rsid w:val="000125B4"/>
    <w:rsid w:val="000129EF"/>
    <w:rsid w:val="00012BE6"/>
    <w:rsid w:val="00012E76"/>
    <w:rsid w:val="00013A8E"/>
    <w:rsid w:val="0001414C"/>
    <w:rsid w:val="00014278"/>
    <w:rsid w:val="000146D1"/>
    <w:rsid w:val="0001497A"/>
    <w:rsid w:val="00014C07"/>
    <w:rsid w:val="00014E19"/>
    <w:rsid w:val="00015624"/>
    <w:rsid w:val="00015A51"/>
    <w:rsid w:val="00015BB2"/>
    <w:rsid w:val="00015BE0"/>
    <w:rsid w:val="00015E35"/>
    <w:rsid w:val="00015FF4"/>
    <w:rsid w:val="000161D5"/>
    <w:rsid w:val="00016597"/>
    <w:rsid w:val="000165E5"/>
    <w:rsid w:val="00016A95"/>
    <w:rsid w:val="000170E7"/>
    <w:rsid w:val="000174E5"/>
    <w:rsid w:val="000174F8"/>
    <w:rsid w:val="000176E7"/>
    <w:rsid w:val="00017E7F"/>
    <w:rsid w:val="00017F41"/>
    <w:rsid w:val="000200B6"/>
    <w:rsid w:val="000200DE"/>
    <w:rsid w:val="000201AC"/>
    <w:rsid w:val="0002023A"/>
    <w:rsid w:val="00020353"/>
    <w:rsid w:val="00020963"/>
    <w:rsid w:val="00020D1D"/>
    <w:rsid w:val="00020D1F"/>
    <w:rsid w:val="00020EE8"/>
    <w:rsid w:val="00020F0E"/>
    <w:rsid w:val="0002117D"/>
    <w:rsid w:val="0002167E"/>
    <w:rsid w:val="00021994"/>
    <w:rsid w:val="00022130"/>
    <w:rsid w:val="00022137"/>
    <w:rsid w:val="000221A2"/>
    <w:rsid w:val="00022C6A"/>
    <w:rsid w:val="00022E23"/>
    <w:rsid w:val="00023811"/>
    <w:rsid w:val="00023B72"/>
    <w:rsid w:val="00023D96"/>
    <w:rsid w:val="000241EF"/>
    <w:rsid w:val="0002464C"/>
    <w:rsid w:val="00024E39"/>
    <w:rsid w:val="00024EAF"/>
    <w:rsid w:val="00024F38"/>
    <w:rsid w:val="000260ED"/>
    <w:rsid w:val="00026232"/>
    <w:rsid w:val="00026498"/>
    <w:rsid w:val="00026665"/>
    <w:rsid w:val="0002672D"/>
    <w:rsid w:val="00026D37"/>
    <w:rsid w:val="00026FF7"/>
    <w:rsid w:val="0002755C"/>
    <w:rsid w:val="00027DEC"/>
    <w:rsid w:val="00027E5C"/>
    <w:rsid w:val="00030094"/>
    <w:rsid w:val="000304DB"/>
    <w:rsid w:val="000304EE"/>
    <w:rsid w:val="000306D2"/>
    <w:rsid w:val="00030B60"/>
    <w:rsid w:val="00030ED8"/>
    <w:rsid w:val="00030EF9"/>
    <w:rsid w:val="0003123F"/>
    <w:rsid w:val="00031689"/>
    <w:rsid w:val="000316E7"/>
    <w:rsid w:val="000316EF"/>
    <w:rsid w:val="00031741"/>
    <w:rsid w:val="00031941"/>
    <w:rsid w:val="00031A83"/>
    <w:rsid w:val="00031CC5"/>
    <w:rsid w:val="000321DE"/>
    <w:rsid w:val="000327CC"/>
    <w:rsid w:val="00032C1B"/>
    <w:rsid w:val="00032CD7"/>
    <w:rsid w:val="00032E56"/>
    <w:rsid w:val="00032F8F"/>
    <w:rsid w:val="0003301F"/>
    <w:rsid w:val="00033790"/>
    <w:rsid w:val="00033D3F"/>
    <w:rsid w:val="0003460D"/>
    <w:rsid w:val="00034AC5"/>
    <w:rsid w:val="0003555E"/>
    <w:rsid w:val="00035582"/>
    <w:rsid w:val="00035ADF"/>
    <w:rsid w:val="00035F23"/>
    <w:rsid w:val="00036253"/>
    <w:rsid w:val="00036279"/>
    <w:rsid w:val="00036447"/>
    <w:rsid w:val="0003647F"/>
    <w:rsid w:val="00036995"/>
    <w:rsid w:val="00036D05"/>
    <w:rsid w:val="00036D43"/>
    <w:rsid w:val="00036DFE"/>
    <w:rsid w:val="000370AE"/>
    <w:rsid w:val="000374AB"/>
    <w:rsid w:val="00037611"/>
    <w:rsid w:val="000378CB"/>
    <w:rsid w:val="00037A16"/>
    <w:rsid w:val="00037AA8"/>
    <w:rsid w:val="00037E00"/>
    <w:rsid w:val="00037EF7"/>
    <w:rsid w:val="00040442"/>
    <w:rsid w:val="00040A31"/>
    <w:rsid w:val="00040A4E"/>
    <w:rsid w:val="00040A8D"/>
    <w:rsid w:val="00040B00"/>
    <w:rsid w:val="00040DEE"/>
    <w:rsid w:val="00040E4F"/>
    <w:rsid w:val="000410B1"/>
    <w:rsid w:val="000412E1"/>
    <w:rsid w:val="00041440"/>
    <w:rsid w:val="000416BF"/>
    <w:rsid w:val="0004179A"/>
    <w:rsid w:val="00041B41"/>
    <w:rsid w:val="00041DE7"/>
    <w:rsid w:val="000421F9"/>
    <w:rsid w:val="0004256E"/>
    <w:rsid w:val="0004260C"/>
    <w:rsid w:val="000426E1"/>
    <w:rsid w:val="00042D1F"/>
    <w:rsid w:val="000434D0"/>
    <w:rsid w:val="00043C05"/>
    <w:rsid w:val="00043F35"/>
    <w:rsid w:val="000442B7"/>
    <w:rsid w:val="00044758"/>
    <w:rsid w:val="0004483B"/>
    <w:rsid w:val="00044B66"/>
    <w:rsid w:val="00044F65"/>
    <w:rsid w:val="000455C7"/>
    <w:rsid w:val="0004587B"/>
    <w:rsid w:val="00045F2F"/>
    <w:rsid w:val="000462A4"/>
    <w:rsid w:val="000471DE"/>
    <w:rsid w:val="0004739A"/>
    <w:rsid w:val="000473D4"/>
    <w:rsid w:val="00047876"/>
    <w:rsid w:val="00047B4A"/>
    <w:rsid w:val="00047DBF"/>
    <w:rsid w:val="00050063"/>
    <w:rsid w:val="000501F4"/>
    <w:rsid w:val="000502BA"/>
    <w:rsid w:val="00050601"/>
    <w:rsid w:val="00050825"/>
    <w:rsid w:val="00050D80"/>
    <w:rsid w:val="00050F8D"/>
    <w:rsid w:val="00051204"/>
    <w:rsid w:val="000513D7"/>
    <w:rsid w:val="000513D9"/>
    <w:rsid w:val="00051493"/>
    <w:rsid w:val="0005181E"/>
    <w:rsid w:val="0005198E"/>
    <w:rsid w:val="00051C3F"/>
    <w:rsid w:val="00051CF9"/>
    <w:rsid w:val="00051DF0"/>
    <w:rsid w:val="000520DD"/>
    <w:rsid w:val="000523BD"/>
    <w:rsid w:val="00052A61"/>
    <w:rsid w:val="00052C61"/>
    <w:rsid w:val="00052EFF"/>
    <w:rsid w:val="00052FB1"/>
    <w:rsid w:val="00053127"/>
    <w:rsid w:val="000532AA"/>
    <w:rsid w:val="00053350"/>
    <w:rsid w:val="00053650"/>
    <w:rsid w:val="00053B5E"/>
    <w:rsid w:val="00053CE3"/>
    <w:rsid w:val="000540F4"/>
    <w:rsid w:val="000542AC"/>
    <w:rsid w:val="0005432B"/>
    <w:rsid w:val="0005434B"/>
    <w:rsid w:val="00054398"/>
    <w:rsid w:val="000546E5"/>
    <w:rsid w:val="0005475A"/>
    <w:rsid w:val="00055420"/>
    <w:rsid w:val="00055A2C"/>
    <w:rsid w:val="00055A6C"/>
    <w:rsid w:val="00055DE0"/>
    <w:rsid w:val="00055F5B"/>
    <w:rsid w:val="00055F94"/>
    <w:rsid w:val="00056056"/>
    <w:rsid w:val="000560EC"/>
    <w:rsid w:val="00056276"/>
    <w:rsid w:val="000562B5"/>
    <w:rsid w:val="000562C1"/>
    <w:rsid w:val="0005657B"/>
    <w:rsid w:val="00056592"/>
    <w:rsid w:val="00056919"/>
    <w:rsid w:val="00056B0A"/>
    <w:rsid w:val="00056C66"/>
    <w:rsid w:val="00057153"/>
    <w:rsid w:val="000573C6"/>
    <w:rsid w:val="00057553"/>
    <w:rsid w:val="000576AB"/>
    <w:rsid w:val="0006004C"/>
    <w:rsid w:val="000601B9"/>
    <w:rsid w:val="000604DC"/>
    <w:rsid w:val="00060585"/>
    <w:rsid w:val="00060A87"/>
    <w:rsid w:val="00061090"/>
    <w:rsid w:val="0006124F"/>
    <w:rsid w:val="000612E0"/>
    <w:rsid w:val="0006158E"/>
    <w:rsid w:val="000616A3"/>
    <w:rsid w:val="000617FE"/>
    <w:rsid w:val="000618B9"/>
    <w:rsid w:val="000623B8"/>
    <w:rsid w:val="0006254B"/>
    <w:rsid w:val="00062BD2"/>
    <w:rsid w:val="00063185"/>
    <w:rsid w:val="00063237"/>
    <w:rsid w:val="00063259"/>
    <w:rsid w:val="000632A0"/>
    <w:rsid w:val="0006361E"/>
    <w:rsid w:val="0006363A"/>
    <w:rsid w:val="00063C0D"/>
    <w:rsid w:val="00063C19"/>
    <w:rsid w:val="00063D67"/>
    <w:rsid w:val="00063DD8"/>
    <w:rsid w:val="00064181"/>
    <w:rsid w:val="00064692"/>
    <w:rsid w:val="00064D67"/>
    <w:rsid w:val="00064ED4"/>
    <w:rsid w:val="000650F1"/>
    <w:rsid w:val="000653A2"/>
    <w:rsid w:val="000653DE"/>
    <w:rsid w:val="000654A6"/>
    <w:rsid w:val="00065B0B"/>
    <w:rsid w:val="00065DB7"/>
    <w:rsid w:val="00066513"/>
    <w:rsid w:val="0006688E"/>
    <w:rsid w:val="000668C8"/>
    <w:rsid w:val="00066BCD"/>
    <w:rsid w:val="00067377"/>
    <w:rsid w:val="000678D3"/>
    <w:rsid w:val="00067E5B"/>
    <w:rsid w:val="00067EAA"/>
    <w:rsid w:val="00067FA4"/>
    <w:rsid w:val="00067FA5"/>
    <w:rsid w:val="0007045D"/>
    <w:rsid w:val="00070597"/>
    <w:rsid w:val="000705CE"/>
    <w:rsid w:val="000709CD"/>
    <w:rsid w:val="00070ACE"/>
    <w:rsid w:val="00070B02"/>
    <w:rsid w:val="00070FAA"/>
    <w:rsid w:val="00070FB5"/>
    <w:rsid w:val="000710A6"/>
    <w:rsid w:val="0007193C"/>
    <w:rsid w:val="00071AC2"/>
    <w:rsid w:val="00071DE8"/>
    <w:rsid w:val="00071FFC"/>
    <w:rsid w:val="0007243E"/>
    <w:rsid w:val="00072571"/>
    <w:rsid w:val="0007290C"/>
    <w:rsid w:val="00072967"/>
    <w:rsid w:val="00072B91"/>
    <w:rsid w:val="00073008"/>
    <w:rsid w:val="000733C9"/>
    <w:rsid w:val="00073564"/>
    <w:rsid w:val="000735CA"/>
    <w:rsid w:val="00073760"/>
    <w:rsid w:val="0007385F"/>
    <w:rsid w:val="0007392A"/>
    <w:rsid w:val="00073930"/>
    <w:rsid w:val="00073ADF"/>
    <w:rsid w:val="00073E3C"/>
    <w:rsid w:val="00073EAA"/>
    <w:rsid w:val="000740DD"/>
    <w:rsid w:val="0007412B"/>
    <w:rsid w:val="000742AD"/>
    <w:rsid w:val="00074363"/>
    <w:rsid w:val="000743E4"/>
    <w:rsid w:val="0007468E"/>
    <w:rsid w:val="00075874"/>
    <w:rsid w:val="000758FD"/>
    <w:rsid w:val="00075ABB"/>
    <w:rsid w:val="00075B35"/>
    <w:rsid w:val="00075B4E"/>
    <w:rsid w:val="00075CF2"/>
    <w:rsid w:val="00075E92"/>
    <w:rsid w:val="000767D5"/>
    <w:rsid w:val="0007685D"/>
    <w:rsid w:val="00076920"/>
    <w:rsid w:val="000770DB"/>
    <w:rsid w:val="00077160"/>
    <w:rsid w:val="000771B1"/>
    <w:rsid w:val="000772B2"/>
    <w:rsid w:val="00077529"/>
    <w:rsid w:val="0007768C"/>
    <w:rsid w:val="00077761"/>
    <w:rsid w:val="00077911"/>
    <w:rsid w:val="00077968"/>
    <w:rsid w:val="00077982"/>
    <w:rsid w:val="00077ADD"/>
    <w:rsid w:val="00077EB3"/>
    <w:rsid w:val="000800AB"/>
    <w:rsid w:val="00080195"/>
    <w:rsid w:val="00080381"/>
    <w:rsid w:val="0008043B"/>
    <w:rsid w:val="000813EE"/>
    <w:rsid w:val="00081527"/>
    <w:rsid w:val="000817DF"/>
    <w:rsid w:val="00081A59"/>
    <w:rsid w:val="00081A9F"/>
    <w:rsid w:val="00081ACF"/>
    <w:rsid w:val="00081E11"/>
    <w:rsid w:val="00081FD1"/>
    <w:rsid w:val="00082120"/>
    <w:rsid w:val="00082470"/>
    <w:rsid w:val="000825C4"/>
    <w:rsid w:val="0008270A"/>
    <w:rsid w:val="000827F8"/>
    <w:rsid w:val="0008281C"/>
    <w:rsid w:val="00082854"/>
    <w:rsid w:val="00082A5C"/>
    <w:rsid w:val="00082CEE"/>
    <w:rsid w:val="00082D19"/>
    <w:rsid w:val="00082FD9"/>
    <w:rsid w:val="0008331C"/>
    <w:rsid w:val="00083D6E"/>
    <w:rsid w:val="000845EB"/>
    <w:rsid w:val="0008471A"/>
    <w:rsid w:val="00084D6E"/>
    <w:rsid w:val="00084D76"/>
    <w:rsid w:val="000854AB"/>
    <w:rsid w:val="00085517"/>
    <w:rsid w:val="000857BC"/>
    <w:rsid w:val="00085969"/>
    <w:rsid w:val="00085AAD"/>
    <w:rsid w:val="0008645D"/>
    <w:rsid w:val="000866F0"/>
    <w:rsid w:val="00086B22"/>
    <w:rsid w:val="00086FDE"/>
    <w:rsid w:val="00087446"/>
    <w:rsid w:val="000876A5"/>
    <w:rsid w:val="00087A96"/>
    <w:rsid w:val="00087B85"/>
    <w:rsid w:val="00087F8F"/>
    <w:rsid w:val="0009013B"/>
    <w:rsid w:val="000901E9"/>
    <w:rsid w:val="000905E7"/>
    <w:rsid w:val="000908E2"/>
    <w:rsid w:val="00090A08"/>
    <w:rsid w:val="00090B83"/>
    <w:rsid w:val="00090CE7"/>
    <w:rsid w:val="000912BC"/>
    <w:rsid w:val="000912BE"/>
    <w:rsid w:val="0009167D"/>
    <w:rsid w:val="00091AC4"/>
    <w:rsid w:val="00091C77"/>
    <w:rsid w:val="00091D2D"/>
    <w:rsid w:val="00091E9F"/>
    <w:rsid w:val="0009289F"/>
    <w:rsid w:val="00092AE8"/>
    <w:rsid w:val="00092CCD"/>
    <w:rsid w:val="00092FFC"/>
    <w:rsid w:val="000939B8"/>
    <w:rsid w:val="00093AF8"/>
    <w:rsid w:val="00093B40"/>
    <w:rsid w:val="00093EC7"/>
    <w:rsid w:val="00093F02"/>
    <w:rsid w:val="0009423F"/>
    <w:rsid w:val="00094286"/>
    <w:rsid w:val="000942AC"/>
    <w:rsid w:val="00094430"/>
    <w:rsid w:val="00094484"/>
    <w:rsid w:val="000945BE"/>
    <w:rsid w:val="00094AD4"/>
    <w:rsid w:val="00094DCB"/>
    <w:rsid w:val="00095043"/>
    <w:rsid w:val="00095176"/>
    <w:rsid w:val="0009524E"/>
    <w:rsid w:val="00095B69"/>
    <w:rsid w:val="00095C08"/>
    <w:rsid w:val="00095C73"/>
    <w:rsid w:val="00096024"/>
    <w:rsid w:val="0009615E"/>
    <w:rsid w:val="00096333"/>
    <w:rsid w:val="0009633D"/>
    <w:rsid w:val="0009638B"/>
    <w:rsid w:val="000963C8"/>
    <w:rsid w:val="00096AB1"/>
    <w:rsid w:val="00096AF2"/>
    <w:rsid w:val="000970AF"/>
    <w:rsid w:val="00097515"/>
    <w:rsid w:val="00097B77"/>
    <w:rsid w:val="00097CF7"/>
    <w:rsid w:val="00097E39"/>
    <w:rsid w:val="000A0377"/>
    <w:rsid w:val="000A0729"/>
    <w:rsid w:val="000A07CA"/>
    <w:rsid w:val="000A0CBA"/>
    <w:rsid w:val="000A101B"/>
    <w:rsid w:val="000A1C41"/>
    <w:rsid w:val="000A1C49"/>
    <w:rsid w:val="000A1CDC"/>
    <w:rsid w:val="000A246C"/>
    <w:rsid w:val="000A2A5A"/>
    <w:rsid w:val="000A2D39"/>
    <w:rsid w:val="000A2F7D"/>
    <w:rsid w:val="000A329E"/>
    <w:rsid w:val="000A3315"/>
    <w:rsid w:val="000A3321"/>
    <w:rsid w:val="000A333B"/>
    <w:rsid w:val="000A337E"/>
    <w:rsid w:val="000A3C22"/>
    <w:rsid w:val="000A3CBF"/>
    <w:rsid w:val="000A3EAE"/>
    <w:rsid w:val="000A4075"/>
    <w:rsid w:val="000A44FD"/>
    <w:rsid w:val="000A46EC"/>
    <w:rsid w:val="000A4B95"/>
    <w:rsid w:val="000A4E1A"/>
    <w:rsid w:val="000A5AFB"/>
    <w:rsid w:val="000A5BFD"/>
    <w:rsid w:val="000A5E1F"/>
    <w:rsid w:val="000A5FA5"/>
    <w:rsid w:val="000A641F"/>
    <w:rsid w:val="000A6830"/>
    <w:rsid w:val="000A6B4A"/>
    <w:rsid w:val="000A6EE9"/>
    <w:rsid w:val="000A7602"/>
    <w:rsid w:val="000A7ADC"/>
    <w:rsid w:val="000B01F1"/>
    <w:rsid w:val="000B0776"/>
    <w:rsid w:val="000B0923"/>
    <w:rsid w:val="000B092C"/>
    <w:rsid w:val="000B0977"/>
    <w:rsid w:val="000B0BA0"/>
    <w:rsid w:val="000B0C46"/>
    <w:rsid w:val="000B0E68"/>
    <w:rsid w:val="000B1793"/>
    <w:rsid w:val="000B1ECC"/>
    <w:rsid w:val="000B2424"/>
    <w:rsid w:val="000B25C8"/>
    <w:rsid w:val="000B25F9"/>
    <w:rsid w:val="000B2601"/>
    <w:rsid w:val="000B2A09"/>
    <w:rsid w:val="000B2CDB"/>
    <w:rsid w:val="000B3589"/>
    <w:rsid w:val="000B3663"/>
    <w:rsid w:val="000B371C"/>
    <w:rsid w:val="000B3763"/>
    <w:rsid w:val="000B3844"/>
    <w:rsid w:val="000B3A58"/>
    <w:rsid w:val="000B3BBE"/>
    <w:rsid w:val="000B3EF8"/>
    <w:rsid w:val="000B425D"/>
    <w:rsid w:val="000B454B"/>
    <w:rsid w:val="000B476E"/>
    <w:rsid w:val="000B481B"/>
    <w:rsid w:val="000B54FC"/>
    <w:rsid w:val="000B592C"/>
    <w:rsid w:val="000B5CA8"/>
    <w:rsid w:val="000B5DEB"/>
    <w:rsid w:val="000B5F0C"/>
    <w:rsid w:val="000B6119"/>
    <w:rsid w:val="000B63B2"/>
    <w:rsid w:val="000B63EE"/>
    <w:rsid w:val="000B66AA"/>
    <w:rsid w:val="000B66C7"/>
    <w:rsid w:val="000B6755"/>
    <w:rsid w:val="000B6768"/>
    <w:rsid w:val="000B67FC"/>
    <w:rsid w:val="000B6B8C"/>
    <w:rsid w:val="000B705A"/>
    <w:rsid w:val="000B728A"/>
    <w:rsid w:val="000B75CA"/>
    <w:rsid w:val="000B761C"/>
    <w:rsid w:val="000B792A"/>
    <w:rsid w:val="000B7C29"/>
    <w:rsid w:val="000B7E2B"/>
    <w:rsid w:val="000B7EAB"/>
    <w:rsid w:val="000C01EA"/>
    <w:rsid w:val="000C02B0"/>
    <w:rsid w:val="000C0D92"/>
    <w:rsid w:val="000C1039"/>
    <w:rsid w:val="000C11B0"/>
    <w:rsid w:val="000C129E"/>
    <w:rsid w:val="000C1508"/>
    <w:rsid w:val="000C1B37"/>
    <w:rsid w:val="000C1B47"/>
    <w:rsid w:val="000C1D93"/>
    <w:rsid w:val="000C209A"/>
    <w:rsid w:val="000C2697"/>
    <w:rsid w:val="000C2A4A"/>
    <w:rsid w:val="000C2B79"/>
    <w:rsid w:val="000C2B7F"/>
    <w:rsid w:val="000C2C41"/>
    <w:rsid w:val="000C2FEB"/>
    <w:rsid w:val="000C361A"/>
    <w:rsid w:val="000C3765"/>
    <w:rsid w:val="000C3791"/>
    <w:rsid w:val="000C387B"/>
    <w:rsid w:val="000C3AB6"/>
    <w:rsid w:val="000C459C"/>
    <w:rsid w:val="000C467C"/>
    <w:rsid w:val="000C4708"/>
    <w:rsid w:val="000C515A"/>
    <w:rsid w:val="000C55C4"/>
    <w:rsid w:val="000C579C"/>
    <w:rsid w:val="000C5845"/>
    <w:rsid w:val="000C599A"/>
    <w:rsid w:val="000C61B1"/>
    <w:rsid w:val="000C61B6"/>
    <w:rsid w:val="000C68E7"/>
    <w:rsid w:val="000C6DFE"/>
    <w:rsid w:val="000C6EAC"/>
    <w:rsid w:val="000C6F58"/>
    <w:rsid w:val="000C712D"/>
    <w:rsid w:val="000D0343"/>
    <w:rsid w:val="000D0DF8"/>
    <w:rsid w:val="000D0E98"/>
    <w:rsid w:val="000D14B2"/>
    <w:rsid w:val="000D1689"/>
    <w:rsid w:val="000D18D3"/>
    <w:rsid w:val="000D19F6"/>
    <w:rsid w:val="000D1A6D"/>
    <w:rsid w:val="000D1F3D"/>
    <w:rsid w:val="000D20F4"/>
    <w:rsid w:val="000D254E"/>
    <w:rsid w:val="000D26F6"/>
    <w:rsid w:val="000D2843"/>
    <w:rsid w:val="000D2929"/>
    <w:rsid w:val="000D301D"/>
    <w:rsid w:val="000D3108"/>
    <w:rsid w:val="000D3155"/>
    <w:rsid w:val="000D325B"/>
    <w:rsid w:val="000D33BB"/>
    <w:rsid w:val="000D355D"/>
    <w:rsid w:val="000D357B"/>
    <w:rsid w:val="000D371C"/>
    <w:rsid w:val="000D38C6"/>
    <w:rsid w:val="000D3A36"/>
    <w:rsid w:val="000D3C8C"/>
    <w:rsid w:val="000D3D57"/>
    <w:rsid w:val="000D3F42"/>
    <w:rsid w:val="000D3FBF"/>
    <w:rsid w:val="000D4ADA"/>
    <w:rsid w:val="000D4EDF"/>
    <w:rsid w:val="000D4FB7"/>
    <w:rsid w:val="000D5148"/>
    <w:rsid w:val="000D52A5"/>
    <w:rsid w:val="000D59A9"/>
    <w:rsid w:val="000D59CF"/>
    <w:rsid w:val="000D5AE0"/>
    <w:rsid w:val="000D5BAE"/>
    <w:rsid w:val="000D5BD2"/>
    <w:rsid w:val="000D5E59"/>
    <w:rsid w:val="000D60C7"/>
    <w:rsid w:val="000D62C5"/>
    <w:rsid w:val="000D635E"/>
    <w:rsid w:val="000D63C4"/>
    <w:rsid w:val="000D6424"/>
    <w:rsid w:val="000D6579"/>
    <w:rsid w:val="000D6645"/>
    <w:rsid w:val="000D68D2"/>
    <w:rsid w:val="000D6ADD"/>
    <w:rsid w:val="000D6AFA"/>
    <w:rsid w:val="000D6D84"/>
    <w:rsid w:val="000D7204"/>
    <w:rsid w:val="000D73B5"/>
    <w:rsid w:val="000D7A68"/>
    <w:rsid w:val="000D7B2B"/>
    <w:rsid w:val="000D7E10"/>
    <w:rsid w:val="000D7E9D"/>
    <w:rsid w:val="000E023C"/>
    <w:rsid w:val="000E033C"/>
    <w:rsid w:val="000E0690"/>
    <w:rsid w:val="000E0B2D"/>
    <w:rsid w:val="000E0B4D"/>
    <w:rsid w:val="000E0C47"/>
    <w:rsid w:val="000E10E4"/>
    <w:rsid w:val="000E1727"/>
    <w:rsid w:val="000E177A"/>
    <w:rsid w:val="000E1D1B"/>
    <w:rsid w:val="000E1F2C"/>
    <w:rsid w:val="000E2074"/>
    <w:rsid w:val="000E24F0"/>
    <w:rsid w:val="000E2513"/>
    <w:rsid w:val="000E27D4"/>
    <w:rsid w:val="000E2845"/>
    <w:rsid w:val="000E29E4"/>
    <w:rsid w:val="000E2ADA"/>
    <w:rsid w:val="000E2C69"/>
    <w:rsid w:val="000E307C"/>
    <w:rsid w:val="000E30DA"/>
    <w:rsid w:val="000E339D"/>
    <w:rsid w:val="000E3A33"/>
    <w:rsid w:val="000E3A69"/>
    <w:rsid w:val="000E3B58"/>
    <w:rsid w:val="000E4307"/>
    <w:rsid w:val="000E4809"/>
    <w:rsid w:val="000E4AEA"/>
    <w:rsid w:val="000E4F74"/>
    <w:rsid w:val="000E516A"/>
    <w:rsid w:val="000E5480"/>
    <w:rsid w:val="000E58C8"/>
    <w:rsid w:val="000E5A1F"/>
    <w:rsid w:val="000E5B7B"/>
    <w:rsid w:val="000E5BC3"/>
    <w:rsid w:val="000E5D61"/>
    <w:rsid w:val="000E5E65"/>
    <w:rsid w:val="000E5FA1"/>
    <w:rsid w:val="000E62C5"/>
    <w:rsid w:val="000E62C6"/>
    <w:rsid w:val="000E6453"/>
    <w:rsid w:val="000E6FAC"/>
    <w:rsid w:val="000E71F5"/>
    <w:rsid w:val="000E746F"/>
    <w:rsid w:val="000E754C"/>
    <w:rsid w:val="000E7644"/>
    <w:rsid w:val="000E7AD1"/>
    <w:rsid w:val="000E7AD6"/>
    <w:rsid w:val="000E7BA1"/>
    <w:rsid w:val="000E7BF2"/>
    <w:rsid w:val="000F0237"/>
    <w:rsid w:val="000F0653"/>
    <w:rsid w:val="000F0660"/>
    <w:rsid w:val="000F0C88"/>
    <w:rsid w:val="000F0F74"/>
    <w:rsid w:val="000F0FD1"/>
    <w:rsid w:val="000F1537"/>
    <w:rsid w:val="000F17FC"/>
    <w:rsid w:val="000F1A23"/>
    <w:rsid w:val="000F1FFB"/>
    <w:rsid w:val="000F20A9"/>
    <w:rsid w:val="000F27A5"/>
    <w:rsid w:val="000F2E98"/>
    <w:rsid w:val="000F31BE"/>
    <w:rsid w:val="000F3383"/>
    <w:rsid w:val="000F37E8"/>
    <w:rsid w:val="000F3CC1"/>
    <w:rsid w:val="000F3E31"/>
    <w:rsid w:val="000F4712"/>
    <w:rsid w:val="000F473F"/>
    <w:rsid w:val="000F4AEB"/>
    <w:rsid w:val="000F4BE9"/>
    <w:rsid w:val="000F4D49"/>
    <w:rsid w:val="000F5008"/>
    <w:rsid w:val="000F5191"/>
    <w:rsid w:val="000F5363"/>
    <w:rsid w:val="000F5551"/>
    <w:rsid w:val="000F5BA9"/>
    <w:rsid w:val="000F5CAB"/>
    <w:rsid w:val="000F5D8E"/>
    <w:rsid w:val="000F6044"/>
    <w:rsid w:val="000F63E9"/>
    <w:rsid w:val="000F6434"/>
    <w:rsid w:val="000F6671"/>
    <w:rsid w:val="000F6996"/>
    <w:rsid w:val="000F6A3F"/>
    <w:rsid w:val="000F6B28"/>
    <w:rsid w:val="000F6C3A"/>
    <w:rsid w:val="000F713B"/>
    <w:rsid w:val="000F73DC"/>
    <w:rsid w:val="000F744F"/>
    <w:rsid w:val="000F7C4D"/>
    <w:rsid w:val="000F7C57"/>
    <w:rsid w:val="00100058"/>
    <w:rsid w:val="00100146"/>
    <w:rsid w:val="001002D1"/>
    <w:rsid w:val="00100439"/>
    <w:rsid w:val="0010084A"/>
    <w:rsid w:val="0010091B"/>
    <w:rsid w:val="00100CA1"/>
    <w:rsid w:val="001014C8"/>
    <w:rsid w:val="0010168D"/>
    <w:rsid w:val="00101B81"/>
    <w:rsid w:val="0010200E"/>
    <w:rsid w:val="0010265C"/>
    <w:rsid w:val="001028A5"/>
    <w:rsid w:val="00102FCA"/>
    <w:rsid w:val="0010319D"/>
    <w:rsid w:val="0010390F"/>
    <w:rsid w:val="00103B58"/>
    <w:rsid w:val="00103FDD"/>
    <w:rsid w:val="0010414D"/>
    <w:rsid w:val="00104290"/>
    <w:rsid w:val="00104356"/>
    <w:rsid w:val="0010438D"/>
    <w:rsid w:val="001043F3"/>
    <w:rsid w:val="00104649"/>
    <w:rsid w:val="001046A2"/>
    <w:rsid w:val="001048DA"/>
    <w:rsid w:val="00104924"/>
    <w:rsid w:val="00104DB9"/>
    <w:rsid w:val="00104DD1"/>
    <w:rsid w:val="00105202"/>
    <w:rsid w:val="001053E6"/>
    <w:rsid w:val="00105431"/>
    <w:rsid w:val="001054CA"/>
    <w:rsid w:val="0010577C"/>
    <w:rsid w:val="0010580D"/>
    <w:rsid w:val="001059B1"/>
    <w:rsid w:val="00105E84"/>
    <w:rsid w:val="001061BA"/>
    <w:rsid w:val="0010632F"/>
    <w:rsid w:val="001064D1"/>
    <w:rsid w:val="00106655"/>
    <w:rsid w:val="00106944"/>
    <w:rsid w:val="00106CF8"/>
    <w:rsid w:val="00106DB4"/>
    <w:rsid w:val="00107411"/>
    <w:rsid w:val="001074EA"/>
    <w:rsid w:val="001101A5"/>
    <w:rsid w:val="0011072B"/>
    <w:rsid w:val="00110A6D"/>
    <w:rsid w:val="00110A7A"/>
    <w:rsid w:val="00110AE8"/>
    <w:rsid w:val="00110EB1"/>
    <w:rsid w:val="00110F20"/>
    <w:rsid w:val="001114F5"/>
    <w:rsid w:val="00111542"/>
    <w:rsid w:val="001118E5"/>
    <w:rsid w:val="00111D37"/>
    <w:rsid w:val="00111F5D"/>
    <w:rsid w:val="00111F6D"/>
    <w:rsid w:val="0011223B"/>
    <w:rsid w:val="001122C4"/>
    <w:rsid w:val="00112B1C"/>
    <w:rsid w:val="00112CFD"/>
    <w:rsid w:val="001133FB"/>
    <w:rsid w:val="0011376A"/>
    <w:rsid w:val="001139F1"/>
    <w:rsid w:val="00113DF4"/>
    <w:rsid w:val="00113E5E"/>
    <w:rsid w:val="00114159"/>
    <w:rsid w:val="00114204"/>
    <w:rsid w:val="00114AC0"/>
    <w:rsid w:val="00114BE0"/>
    <w:rsid w:val="001150A7"/>
    <w:rsid w:val="00115639"/>
    <w:rsid w:val="00115702"/>
    <w:rsid w:val="00115B99"/>
    <w:rsid w:val="00115BC4"/>
    <w:rsid w:val="00115DCB"/>
    <w:rsid w:val="00115EBE"/>
    <w:rsid w:val="001161EE"/>
    <w:rsid w:val="001163AA"/>
    <w:rsid w:val="0011641D"/>
    <w:rsid w:val="00116C21"/>
    <w:rsid w:val="00117781"/>
    <w:rsid w:val="001178ED"/>
    <w:rsid w:val="00117EC2"/>
    <w:rsid w:val="001204EF"/>
    <w:rsid w:val="001205BB"/>
    <w:rsid w:val="00120C44"/>
    <w:rsid w:val="00120CBE"/>
    <w:rsid w:val="00120ED0"/>
    <w:rsid w:val="001213AE"/>
    <w:rsid w:val="00121645"/>
    <w:rsid w:val="00121648"/>
    <w:rsid w:val="0012165C"/>
    <w:rsid w:val="0012194B"/>
    <w:rsid w:val="001220DA"/>
    <w:rsid w:val="0012259B"/>
    <w:rsid w:val="00122882"/>
    <w:rsid w:val="0012298C"/>
    <w:rsid w:val="00122AC0"/>
    <w:rsid w:val="0012333C"/>
    <w:rsid w:val="001233C8"/>
    <w:rsid w:val="00123514"/>
    <w:rsid w:val="00123A17"/>
    <w:rsid w:val="00123C6B"/>
    <w:rsid w:val="0012420D"/>
    <w:rsid w:val="0012434E"/>
    <w:rsid w:val="00124B70"/>
    <w:rsid w:val="00124E49"/>
    <w:rsid w:val="00124F0B"/>
    <w:rsid w:val="00125045"/>
    <w:rsid w:val="001251CA"/>
    <w:rsid w:val="001255AA"/>
    <w:rsid w:val="00125801"/>
    <w:rsid w:val="00125A7F"/>
    <w:rsid w:val="00125BEE"/>
    <w:rsid w:val="00125F22"/>
    <w:rsid w:val="00125F8C"/>
    <w:rsid w:val="00125FF6"/>
    <w:rsid w:val="0012641C"/>
    <w:rsid w:val="00126502"/>
    <w:rsid w:val="00126509"/>
    <w:rsid w:val="00126755"/>
    <w:rsid w:val="00126A37"/>
    <w:rsid w:val="00126C6F"/>
    <w:rsid w:val="00126DF9"/>
    <w:rsid w:val="00127596"/>
    <w:rsid w:val="001276C7"/>
    <w:rsid w:val="001276F8"/>
    <w:rsid w:val="0012783D"/>
    <w:rsid w:val="00127C83"/>
    <w:rsid w:val="001302E4"/>
    <w:rsid w:val="0013041F"/>
    <w:rsid w:val="001304D1"/>
    <w:rsid w:val="0013050A"/>
    <w:rsid w:val="001305BC"/>
    <w:rsid w:val="001305F1"/>
    <w:rsid w:val="00130643"/>
    <w:rsid w:val="00130777"/>
    <w:rsid w:val="001308EA"/>
    <w:rsid w:val="001309F1"/>
    <w:rsid w:val="00130B9F"/>
    <w:rsid w:val="00130CB6"/>
    <w:rsid w:val="00130F2C"/>
    <w:rsid w:val="00131993"/>
    <w:rsid w:val="00131C94"/>
    <w:rsid w:val="00131D57"/>
    <w:rsid w:val="00131E46"/>
    <w:rsid w:val="001327D8"/>
    <w:rsid w:val="0013291D"/>
    <w:rsid w:val="00132D71"/>
    <w:rsid w:val="00132D89"/>
    <w:rsid w:val="00132EF4"/>
    <w:rsid w:val="001330F5"/>
    <w:rsid w:val="001344E4"/>
    <w:rsid w:val="00134C7F"/>
    <w:rsid w:val="00134CD2"/>
    <w:rsid w:val="00135149"/>
    <w:rsid w:val="00135898"/>
    <w:rsid w:val="00136169"/>
    <w:rsid w:val="001362E2"/>
    <w:rsid w:val="001363CC"/>
    <w:rsid w:val="00136454"/>
    <w:rsid w:val="001367CE"/>
    <w:rsid w:val="001367D6"/>
    <w:rsid w:val="00136B1B"/>
    <w:rsid w:val="00136E4B"/>
    <w:rsid w:val="00136FC8"/>
    <w:rsid w:val="0013743A"/>
    <w:rsid w:val="001377CF"/>
    <w:rsid w:val="00137AA2"/>
    <w:rsid w:val="00137BD1"/>
    <w:rsid w:val="00137E34"/>
    <w:rsid w:val="00140198"/>
    <w:rsid w:val="00140328"/>
    <w:rsid w:val="0014087A"/>
    <w:rsid w:val="00140E2A"/>
    <w:rsid w:val="001411A9"/>
    <w:rsid w:val="001415E4"/>
    <w:rsid w:val="00141BDB"/>
    <w:rsid w:val="0014226B"/>
    <w:rsid w:val="0014247F"/>
    <w:rsid w:val="00142907"/>
    <w:rsid w:val="0014318B"/>
    <w:rsid w:val="00143347"/>
    <w:rsid w:val="001434B1"/>
    <w:rsid w:val="00143515"/>
    <w:rsid w:val="00143551"/>
    <w:rsid w:val="001436D4"/>
    <w:rsid w:val="001439EF"/>
    <w:rsid w:val="00143B7D"/>
    <w:rsid w:val="00144776"/>
    <w:rsid w:val="0014482E"/>
    <w:rsid w:val="001448DB"/>
    <w:rsid w:val="00144DA1"/>
    <w:rsid w:val="001451AA"/>
    <w:rsid w:val="001457EF"/>
    <w:rsid w:val="00145D20"/>
    <w:rsid w:val="00145F3E"/>
    <w:rsid w:val="0014670B"/>
    <w:rsid w:val="00146A4B"/>
    <w:rsid w:val="00146C0A"/>
    <w:rsid w:val="00146D37"/>
    <w:rsid w:val="00146D5A"/>
    <w:rsid w:val="00146EE6"/>
    <w:rsid w:val="00147055"/>
    <w:rsid w:val="00147057"/>
    <w:rsid w:val="0014726D"/>
    <w:rsid w:val="001473DA"/>
    <w:rsid w:val="00147673"/>
    <w:rsid w:val="00147AE0"/>
    <w:rsid w:val="00147BB4"/>
    <w:rsid w:val="00147ECC"/>
    <w:rsid w:val="00147FC0"/>
    <w:rsid w:val="00150247"/>
    <w:rsid w:val="0015034D"/>
    <w:rsid w:val="00150864"/>
    <w:rsid w:val="001508EC"/>
    <w:rsid w:val="0015099E"/>
    <w:rsid w:val="00150AEF"/>
    <w:rsid w:val="00150DFF"/>
    <w:rsid w:val="001510A0"/>
    <w:rsid w:val="001512D0"/>
    <w:rsid w:val="0015143F"/>
    <w:rsid w:val="001514C0"/>
    <w:rsid w:val="00151563"/>
    <w:rsid w:val="00151612"/>
    <w:rsid w:val="00151858"/>
    <w:rsid w:val="0015190F"/>
    <w:rsid w:val="0015195A"/>
    <w:rsid w:val="00151B86"/>
    <w:rsid w:val="00151D2F"/>
    <w:rsid w:val="00151D95"/>
    <w:rsid w:val="00152088"/>
    <w:rsid w:val="001520DF"/>
    <w:rsid w:val="0015250C"/>
    <w:rsid w:val="00152704"/>
    <w:rsid w:val="00152919"/>
    <w:rsid w:val="00152B30"/>
    <w:rsid w:val="00153513"/>
    <w:rsid w:val="00153AD5"/>
    <w:rsid w:val="00154185"/>
    <w:rsid w:val="001543C0"/>
    <w:rsid w:val="001543E7"/>
    <w:rsid w:val="0015452B"/>
    <w:rsid w:val="00154B7D"/>
    <w:rsid w:val="001551B3"/>
    <w:rsid w:val="001554E3"/>
    <w:rsid w:val="00155B72"/>
    <w:rsid w:val="00155D1F"/>
    <w:rsid w:val="00155D42"/>
    <w:rsid w:val="001561CA"/>
    <w:rsid w:val="00156392"/>
    <w:rsid w:val="00156739"/>
    <w:rsid w:val="00156D8E"/>
    <w:rsid w:val="00156EE6"/>
    <w:rsid w:val="00157355"/>
    <w:rsid w:val="00157B22"/>
    <w:rsid w:val="00157C3F"/>
    <w:rsid w:val="00157C45"/>
    <w:rsid w:val="00157E0C"/>
    <w:rsid w:val="00160024"/>
    <w:rsid w:val="00160853"/>
    <w:rsid w:val="001608C6"/>
    <w:rsid w:val="00160AC5"/>
    <w:rsid w:val="0016175D"/>
    <w:rsid w:val="00161ED0"/>
    <w:rsid w:val="00162018"/>
    <w:rsid w:val="001620C2"/>
    <w:rsid w:val="001622BE"/>
    <w:rsid w:val="001622C7"/>
    <w:rsid w:val="00162371"/>
    <w:rsid w:val="001623CE"/>
    <w:rsid w:val="001623D6"/>
    <w:rsid w:val="00162735"/>
    <w:rsid w:val="00162AE7"/>
    <w:rsid w:val="001631DC"/>
    <w:rsid w:val="00163947"/>
    <w:rsid w:val="0016397D"/>
    <w:rsid w:val="001639AF"/>
    <w:rsid w:val="00163C2D"/>
    <w:rsid w:val="0016426D"/>
    <w:rsid w:val="001647AE"/>
    <w:rsid w:val="00164A59"/>
    <w:rsid w:val="00164E02"/>
    <w:rsid w:val="00165042"/>
    <w:rsid w:val="0016506D"/>
    <w:rsid w:val="0016564D"/>
    <w:rsid w:val="0016592F"/>
    <w:rsid w:val="001659BC"/>
    <w:rsid w:val="00165C00"/>
    <w:rsid w:val="00166006"/>
    <w:rsid w:val="001663C9"/>
    <w:rsid w:val="00166677"/>
    <w:rsid w:val="00166790"/>
    <w:rsid w:val="00166A7F"/>
    <w:rsid w:val="00166AF3"/>
    <w:rsid w:val="00166B30"/>
    <w:rsid w:val="0016721F"/>
    <w:rsid w:val="00167453"/>
    <w:rsid w:val="00170207"/>
    <w:rsid w:val="0017032A"/>
    <w:rsid w:val="001704AD"/>
    <w:rsid w:val="001707D3"/>
    <w:rsid w:val="00170898"/>
    <w:rsid w:val="00170BF7"/>
    <w:rsid w:val="00170C8B"/>
    <w:rsid w:val="001714A0"/>
    <w:rsid w:val="0017162D"/>
    <w:rsid w:val="00171D1B"/>
    <w:rsid w:val="00171E4C"/>
    <w:rsid w:val="00171E83"/>
    <w:rsid w:val="0017205C"/>
    <w:rsid w:val="00172167"/>
    <w:rsid w:val="0017242E"/>
    <w:rsid w:val="001724B0"/>
    <w:rsid w:val="001724C8"/>
    <w:rsid w:val="00172637"/>
    <w:rsid w:val="001727FB"/>
    <w:rsid w:val="0017291F"/>
    <w:rsid w:val="001729C7"/>
    <w:rsid w:val="00172A92"/>
    <w:rsid w:val="00172BAC"/>
    <w:rsid w:val="00172D1B"/>
    <w:rsid w:val="00172E68"/>
    <w:rsid w:val="00173716"/>
    <w:rsid w:val="00173863"/>
    <w:rsid w:val="001740B5"/>
    <w:rsid w:val="00174660"/>
    <w:rsid w:val="001747CE"/>
    <w:rsid w:val="001748AC"/>
    <w:rsid w:val="001748FC"/>
    <w:rsid w:val="00174AC5"/>
    <w:rsid w:val="00174BB5"/>
    <w:rsid w:val="00174BEE"/>
    <w:rsid w:val="00174EBD"/>
    <w:rsid w:val="0017527B"/>
    <w:rsid w:val="00175608"/>
    <w:rsid w:val="00175C74"/>
    <w:rsid w:val="00176355"/>
    <w:rsid w:val="00176466"/>
    <w:rsid w:val="001767F1"/>
    <w:rsid w:val="0017706C"/>
    <w:rsid w:val="00177B60"/>
    <w:rsid w:val="00177BE4"/>
    <w:rsid w:val="00177BF4"/>
    <w:rsid w:val="00177D1F"/>
    <w:rsid w:val="00180226"/>
    <w:rsid w:val="00180337"/>
    <w:rsid w:val="00180877"/>
    <w:rsid w:val="00180A43"/>
    <w:rsid w:val="00180B4A"/>
    <w:rsid w:val="00180E10"/>
    <w:rsid w:val="0018119E"/>
    <w:rsid w:val="0018135A"/>
    <w:rsid w:val="0018145A"/>
    <w:rsid w:val="00181E2A"/>
    <w:rsid w:val="00182725"/>
    <w:rsid w:val="001828B0"/>
    <w:rsid w:val="00182981"/>
    <w:rsid w:val="00182DF3"/>
    <w:rsid w:val="00182F2F"/>
    <w:rsid w:val="00183028"/>
    <w:rsid w:val="001831EA"/>
    <w:rsid w:val="0018370C"/>
    <w:rsid w:val="0018396E"/>
    <w:rsid w:val="00183D96"/>
    <w:rsid w:val="0018426B"/>
    <w:rsid w:val="001843D7"/>
    <w:rsid w:val="0018463A"/>
    <w:rsid w:val="00184750"/>
    <w:rsid w:val="0018496B"/>
    <w:rsid w:val="00184FCB"/>
    <w:rsid w:val="0018523A"/>
    <w:rsid w:val="00185974"/>
    <w:rsid w:val="00185FA3"/>
    <w:rsid w:val="001860E2"/>
    <w:rsid w:val="001862D3"/>
    <w:rsid w:val="00186D5A"/>
    <w:rsid w:val="001873B0"/>
    <w:rsid w:val="0018744A"/>
    <w:rsid w:val="00187B64"/>
    <w:rsid w:val="00187F0E"/>
    <w:rsid w:val="00187FB9"/>
    <w:rsid w:val="00190015"/>
    <w:rsid w:val="00190B64"/>
    <w:rsid w:val="00190BF5"/>
    <w:rsid w:val="00190C46"/>
    <w:rsid w:val="00190D16"/>
    <w:rsid w:val="00190D45"/>
    <w:rsid w:val="00190D85"/>
    <w:rsid w:val="00190E3F"/>
    <w:rsid w:val="0019181E"/>
    <w:rsid w:val="00191928"/>
    <w:rsid w:val="00191BDF"/>
    <w:rsid w:val="00192140"/>
    <w:rsid w:val="00192281"/>
    <w:rsid w:val="0019253A"/>
    <w:rsid w:val="00192864"/>
    <w:rsid w:val="001929E9"/>
    <w:rsid w:val="00192F9B"/>
    <w:rsid w:val="00193106"/>
    <w:rsid w:val="001934D0"/>
    <w:rsid w:val="001937B8"/>
    <w:rsid w:val="0019383F"/>
    <w:rsid w:val="00193A74"/>
    <w:rsid w:val="00193B0A"/>
    <w:rsid w:val="00193F51"/>
    <w:rsid w:val="00194264"/>
    <w:rsid w:val="001942E5"/>
    <w:rsid w:val="00194500"/>
    <w:rsid w:val="00194659"/>
    <w:rsid w:val="00194671"/>
    <w:rsid w:val="00194939"/>
    <w:rsid w:val="00194B52"/>
    <w:rsid w:val="00194D8B"/>
    <w:rsid w:val="00194E2A"/>
    <w:rsid w:val="00194E2F"/>
    <w:rsid w:val="00194F9F"/>
    <w:rsid w:val="00194FF5"/>
    <w:rsid w:val="00195102"/>
    <w:rsid w:val="001951B5"/>
    <w:rsid w:val="00195469"/>
    <w:rsid w:val="0019568A"/>
    <w:rsid w:val="00195808"/>
    <w:rsid w:val="00195976"/>
    <w:rsid w:val="00195C0C"/>
    <w:rsid w:val="00195D5D"/>
    <w:rsid w:val="00195E2B"/>
    <w:rsid w:val="00195E33"/>
    <w:rsid w:val="00196070"/>
    <w:rsid w:val="00196542"/>
    <w:rsid w:val="00196CDA"/>
    <w:rsid w:val="0019704C"/>
    <w:rsid w:val="001975E0"/>
    <w:rsid w:val="00197702"/>
    <w:rsid w:val="00197915"/>
    <w:rsid w:val="00197C13"/>
    <w:rsid w:val="00197CF3"/>
    <w:rsid w:val="00197DF2"/>
    <w:rsid w:val="00197EAB"/>
    <w:rsid w:val="00197F61"/>
    <w:rsid w:val="001A0871"/>
    <w:rsid w:val="001A0A86"/>
    <w:rsid w:val="001A0D72"/>
    <w:rsid w:val="001A0DCD"/>
    <w:rsid w:val="001A0E83"/>
    <w:rsid w:val="001A1251"/>
    <w:rsid w:val="001A1378"/>
    <w:rsid w:val="001A16A6"/>
    <w:rsid w:val="001A16F5"/>
    <w:rsid w:val="001A17C7"/>
    <w:rsid w:val="001A1B29"/>
    <w:rsid w:val="001A1C1A"/>
    <w:rsid w:val="001A20C7"/>
    <w:rsid w:val="001A23F7"/>
    <w:rsid w:val="001A23FB"/>
    <w:rsid w:val="001A2913"/>
    <w:rsid w:val="001A2933"/>
    <w:rsid w:val="001A2A4B"/>
    <w:rsid w:val="001A2DD2"/>
    <w:rsid w:val="001A2E53"/>
    <w:rsid w:val="001A2EF8"/>
    <w:rsid w:val="001A3091"/>
    <w:rsid w:val="001A31FE"/>
    <w:rsid w:val="001A3433"/>
    <w:rsid w:val="001A381E"/>
    <w:rsid w:val="001A3D10"/>
    <w:rsid w:val="001A3DCD"/>
    <w:rsid w:val="001A4397"/>
    <w:rsid w:val="001A4EF7"/>
    <w:rsid w:val="001A4F36"/>
    <w:rsid w:val="001A54FB"/>
    <w:rsid w:val="001A5865"/>
    <w:rsid w:val="001A599A"/>
    <w:rsid w:val="001A5CC5"/>
    <w:rsid w:val="001A5CED"/>
    <w:rsid w:val="001A5D65"/>
    <w:rsid w:val="001A60CF"/>
    <w:rsid w:val="001A6481"/>
    <w:rsid w:val="001A6DC9"/>
    <w:rsid w:val="001A6FC0"/>
    <w:rsid w:val="001A701B"/>
    <w:rsid w:val="001A71BB"/>
    <w:rsid w:val="001A754B"/>
    <w:rsid w:val="001A757A"/>
    <w:rsid w:val="001A76D8"/>
    <w:rsid w:val="001A77F8"/>
    <w:rsid w:val="001A7985"/>
    <w:rsid w:val="001A7A41"/>
    <w:rsid w:val="001A7B7C"/>
    <w:rsid w:val="001A7FF8"/>
    <w:rsid w:val="001B09AB"/>
    <w:rsid w:val="001B09BC"/>
    <w:rsid w:val="001B0CB0"/>
    <w:rsid w:val="001B11CA"/>
    <w:rsid w:val="001B1A10"/>
    <w:rsid w:val="001B1D10"/>
    <w:rsid w:val="001B1D7C"/>
    <w:rsid w:val="001B1DB0"/>
    <w:rsid w:val="001B213B"/>
    <w:rsid w:val="001B22FD"/>
    <w:rsid w:val="001B249C"/>
    <w:rsid w:val="001B267B"/>
    <w:rsid w:val="001B274E"/>
    <w:rsid w:val="001B2B70"/>
    <w:rsid w:val="001B2E99"/>
    <w:rsid w:val="001B2ECF"/>
    <w:rsid w:val="001B35FE"/>
    <w:rsid w:val="001B39EB"/>
    <w:rsid w:val="001B485B"/>
    <w:rsid w:val="001B4A6A"/>
    <w:rsid w:val="001B4EF3"/>
    <w:rsid w:val="001B529C"/>
    <w:rsid w:val="001B52F3"/>
    <w:rsid w:val="001B5946"/>
    <w:rsid w:val="001B5CB1"/>
    <w:rsid w:val="001B5D54"/>
    <w:rsid w:val="001B5F1A"/>
    <w:rsid w:val="001B6012"/>
    <w:rsid w:val="001B6225"/>
    <w:rsid w:val="001B6551"/>
    <w:rsid w:val="001B6DDE"/>
    <w:rsid w:val="001B6E5D"/>
    <w:rsid w:val="001B6ED7"/>
    <w:rsid w:val="001B6EFB"/>
    <w:rsid w:val="001B6F78"/>
    <w:rsid w:val="001B7182"/>
    <w:rsid w:val="001B721C"/>
    <w:rsid w:val="001B7671"/>
    <w:rsid w:val="001B7860"/>
    <w:rsid w:val="001B7A11"/>
    <w:rsid w:val="001B7B4D"/>
    <w:rsid w:val="001B7B7A"/>
    <w:rsid w:val="001B7E01"/>
    <w:rsid w:val="001B7F33"/>
    <w:rsid w:val="001C0260"/>
    <w:rsid w:val="001C05AA"/>
    <w:rsid w:val="001C0937"/>
    <w:rsid w:val="001C0B43"/>
    <w:rsid w:val="001C0C94"/>
    <w:rsid w:val="001C1B05"/>
    <w:rsid w:val="001C1DE3"/>
    <w:rsid w:val="001C2045"/>
    <w:rsid w:val="001C2050"/>
    <w:rsid w:val="001C210D"/>
    <w:rsid w:val="001C242E"/>
    <w:rsid w:val="001C26BA"/>
    <w:rsid w:val="001C2944"/>
    <w:rsid w:val="001C2D52"/>
    <w:rsid w:val="001C326D"/>
    <w:rsid w:val="001C3439"/>
    <w:rsid w:val="001C3E98"/>
    <w:rsid w:val="001C3F33"/>
    <w:rsid w:val="001C43B9"/>
    <w:rsid w:val="001C47BB"/>
    <w:rsid w:val="001C4E6C"/>
    <w:rsid w:val="001C5340"/>
    <w:rsid w:val="001C562E"/>
    <w:rsid w:val="001C5B3A"/>
    <w:rsid w:val="001C5DC1"/>
    <w:rsid w:val="001C5E11"/>
    <w:rsid w:val="001C6767"/>
    <w:rsid w:val="001C6BB8"/>
    <w:rsid w:val="001C6C3B"/>
    <w:rsid w:val="001C70FC"/>
    <w:rsid w:val="001C7109"/>
    <w:rsid w:val="001C715B"/>
    <w:rsid w:val="001C739E"/>
    <w:rsid w:val="001C7955"/>
    <w:rsid w:val="001C7AD6"/>
    <w:rsid w:val="001C7CC3"/>
    <w:rsid w:val="001D0637"/>
    <w:rsid w:val="001D074D"/>
    <w:rsid w:val="001D08AE"/>
    <w:rsid w:val="001D0B17"/>
    <w:rsid w:val="001D0BC5"/>
    <w:rsid w:val="001D0C06"/>
    <w:rsid w:val="001D0F46"/>
    <w:rsid w:val="001D1688"/>
    <w:rsid w:val="001D35F5"/>
    <w:rsid w:val="001D392C"/>
    <w:rsid w:val="001D3CAE"/>
    <w:rsid w:val="001D3DF3"/>
    <w:rsid w:val="001D3FAA"/>
    <w:rsid w:val="001D43A7"/>
    <w:rsid w:val="001D44C8"/>
    <w:rsid w:val="001D4904"/>
    <w:rsid w:val="001D4AD1"/>
    <w:rsid w:val="001D4C88"/>
    <w:rsid w:val="001D4E0D"/>
    <w:rsid w:val="001D4E29"/>
    <w:rsid w:val="001D4EC2"/>
    <w:rsid w:val="001D5191"/>
    <w:rsid w:val="001D567B"/>
    <w:rsid w:val="001D5C9A"/>
    <w:rsid w:val="001D5F81"/>
    <w:rsid w:val="001D6032"/>
    <w:rsid w:val="001D60A1"/>
    <w:rsid w:val="001D6337"/>
    <w:rsid w:val="001D68F1"/>
    <w:rsid w:val="001D75DB"/>
    <w:rsid w:val="001D765A"/>
    <w:rsid w:val="001D776E"/>
    <w:rsid w:val="001D7904"/>
    <w:rsid w:val="001D7FA4"/>
    <w:rsid w:val="001E02DC"/>
    <w:rsid w:val="001E04EF"/>
    <w:rsid w:val="001E074D"/>
    <w:rsid w:val="001E0A08"/>
    <w:rsid w:val="001E19F0"/>
    <w:rsid w:val="001E1B79"/>
    <w:rsid w:val="001E1CB5"/>
    <w:rsid w:val="001E1D66"/>
    <w:rsid w:val="001E2208"/>
    <w:rsid w:val="001E2315"/>
    <w:rsid w:val="001E25A8"/>
    <w:rsid w:val="001E268D"/>
    <w:rsid w:val="001E28C9"/>
    <w:rsid w:val="001E30CF"/>
    <w:rsid w:val="001E385F"/>
    <w:rsid w:val="001E39C7"/>
    <w:rsid w:val="001E420C"/>
    <w:rsid w:val="001E4554"/>
    <w:rsid w:val="001E49C0"/>
    <w:rsid w:val="001E4C5E"/>
    <w:rsid w:val="001E4E42"/>
    <w:rsid w:val="001E5641"/>
    <w:rsid w:val="001E569B"/>
    <w:rsid w:val="001E57F4"/>
    <w:rsid w:val="001E5D4C"/>
    <w:rsid w:val="001E5DFD"/>
    <w:rsid w:val="001E6505"/>
    <w:rsid w:val="001E6618"/>
    <w:rsid w:val="001E66C3"/>
    <w:rsid w:val="001E6AE4"/>
    <w:rsid w:val="001E72A7"/>
    <w:rsid w:val="001E7466"/>
    <w:rsid w:val="001E786E"/>
    <w:rsid w:val="001E795B"/>
    <w:rsid w:val="001E79E9"/>
    <w:rsid w:val="001F007B"/>
    <w:rsid w:val="001F0205"/>
    <w:rsid w:val="001F03FB"/>
    <w:rsid w:val="001F0460"/>
    <w:rsid w:val="001F0715"/>
    <w:rsid w:val="001F07E4"/>
    <w:rsid w:val="001F0967"/>
    <w:rsid w:val="001F0E56"/>
    <w:rsid w:val="001F0EE9"/>
    <w:rsid w:val="001F113C"/>
    <w:rsid w:val="001F13EA"/>
    <w:rsid w:val="001F16DE"/>
    <w:rsid w:val="001F19E3"/>
    <w:rsid w:val="001F1ED9"/>
    <w:rsid w:val="001F21BC"/>
    <w:rsid w:val="001F2505"/>
    <w:rsid w:val="001F29B9"/>
    <w:rsid w:val="001F2C85"/>
    <w:rsid w:val="001F2EFA"/>
    <w:rsid w:val="001F30B1"/>
    <w:rsid w:val="001F3745"/>
    <w:rsid w:val="001F3831"/>
    <w:rsid w:val="001F387E"/>
    <w:rsid w:val="001F39D6"/>
    <w:rsid w:val="001F3F64"/>
    <w:rsid w:val="001F4BFB"/>
    <w:rsid w:val="001F4CC1"/>
    <w:rsid w:val="001F4D56"/>
    <w:rsid w:val="001F4F2F"/>
    <w:rsid w:val="001F51AF"/>
    <w:rsid w:val="001F5332"/>
    <w:rsid w:val="001F5F98"/>
    <w:rsid w:val="001F600D"/>
    <w:rsid w:val="001F6748"/>
    <w:rsid w:val="001F679B"/>
    <w:rsid w:val="001F685A"/>
    <w:rsid w:val="001F6C1B"/>
    <w:rsid w:val="001F6C49"/>
    <w:rsid w:val="001F6C7A"/>
    <w:rsid w:val="001F6C96"/>
    <w:rsid w:val="001F6E3B"/>
    <w:rsid w:val="001F6FE0"/>
    <w:rsid w:val="001F709F"/>
    <w:rsid w:val="001F7168"/>
    <w:rsid w:val="001F7263"/>
    <w:rsid w:val="001F7350"/>
    <w:rsid w:val="001F77C6"/>
    <w:rsid w:val="001F77DE"/>
    <w:rsid w:val="001F78E7"/>
    <w:rsid w:val="0020017E"/>
    <w:rsid w:val="0020033A"/>
    <w:rsid w:val="00200365"/>
    <w:rsid w:val="00200392"/>
    <w:rsid w:val="0020064F"/>
    <w:rsid w:val="00200739"/>
    <w:rsid w:val="0020073C"/>
    <w:rsid w:val="002009E2"/>
    <w:rsid w:val="00200A3B"/>
    <w:rsid w:val="00200BEF"/>
    <w:rsid w:val="00200CFF"/>
    <w:rsid w:val="00200E4F"/>
    <w:rsid w:val="0020136C"/>
    <w:rsid w:val="002018A0"/>
    <w:rsid w:val="00201F6C"/>
    <w:rsid w:val="002025A1"/>
    <w:rsid w:val="0020291E"/>
    <w:rsid w:val="00202DDC"/>
    <w:rsid w:val="0020304A"/>
    <w:rsid w:val="00203295"/>
    <w:rsid w:val="00203998"/>
    <w:rsid w:val="00203D24"/>
    <w:rsid w:val="00203D47"/>
    <w:rsid w:val="00203DE8"/>
    <w:rsid w:val="00203E63"/>
    <w:rsid w:val="0020409F"/>
    <w:rsid w:val="002043CD"/>
    <w:rsid w:val="00204557"/>
    <w:rsid w:val="00204C8E"/>
    <w:rsid w:val="002050CC"/>
    <w:rsid w:val="00205222"/>
    <w:rsid w:val="0020551A"/>
    <w:rsid w:val="00205628"/>
    <w:rsid w:val="0020568F"/>
    <w:rsid w:val="00205AB3"/>
    <w:rsid w:val="00205C2E"/>
    <w:rsid w:val="00206217"/>
    <w:rsid w:val="00206282"/>
    <w:rsid w:val="00206C4B"/>
    <w:rsid w:val="00206F91"/>
    <w:rsid w:val="00207231"/>
    <w:rsid w:val="00207251"/>
    <w:rsid w:val="002079EB"/>
    <w:rsid w:val="00207A97"/>
    <w:rsid w:val="00207C10"/>
    <w:rsid w:val="00207F01"/>
    <w:rsid w:val="00210440"/>
    <w:rsid w:val="00210535"/>
    <w:rsid w:val="00210B80"/>
    <w:rsid w:val="002110CD"/>
    <w:rsid w:val="00211396"/>
    <w:rsid w:val="00211798"/>
    <w:rsid w:val="002117F8"/>
    <w:rsid w:val="0021182F"/>
    <w:rsid w:val="00211ED4"/>
    <w:rsid w:val="00212241"/>
    <w:rsid w:val="00212270"/>
    <w:rsid w:val="002122BD"/>
    <w:rsid w:val="002124D2"/>
    <w:rsid w:val="002128C6"/>
    <w:rsid w:val="00212D2A"/>
    <w:rsid w:val="00213514"/>
    <w:rsid w:val="00213690"/>
    <w:rsid w:val="002141BE"/>
    <w:rsid w:val="002145D3"/>
    <w:rsid w:val="002145D4"/>
    <w:rsid w:val="00214B07"/>
    <w:rsid w:val="00214F1C"/>
    <w:rsid w:val="002151BF"/>
    <w:rsid w:val="002153E9"/>
    <w:rsid w:val="0021549E"/>
    <w:rsid w:val="00215963"/>
    <w:rsid w:val="00215CBB"/>
    <w:rsid w:val="0021655B"/>
    <w:rsid w:val="002165B6"/>
    <w:rsid w:val="0021665F"/>
    <w:rsid w:val="002176C2"/>
    <w:rsid w:val="002179E1"/>
    <w:rsid w:val="00217CD0"/>
    <w:rsid w:val="00217F8D"/>
    <w:rsid w:val="00217FB6"/>
    <w:rsid w:val="00220017"/>
    <w:rsid w:val="002204D3"/>
    <w:rsid w:val="002207E3"/>
    <w:rsid w:val="00220DF7"/>
    <w:rsid w:val="00220E31"/>
    <w:rsid w:val="00220FE2"/>
    <w:rsid w:val="0022107A"/>
    <w:rsid w:val="00221123"/>
    <w:rsid w:val="0022112E"/>
    <w:rsid w:val="0022186D"/>
    <w:rsid w:val="00221EAC"/>
    <w:rsid w:val="00222190"/>
    <w:rsid w:val="002222DE"/>
    <w:rsid w:val="002222EB"/>
    <w:rsid w:val="0022241F"/>
    <w:rsid w:val="00222628"/>
    <w:rsid w:val="00222730"/>
    <w:rsid w:val="0022275D"/>
    <w:rsid w:val="00222926"/>
    <w:rsid w:val="00222A2C"/>
    <w:rsid w:val="00222C9C"/>
    <w:rsid w:val="00222CA7"/>
    <w:rsid w:val="00223158"/>
    <w:rsid w:val="002235ED"/>
    <w:rsid w:val="0022367B"/>
    <w:rsid w:val="0022373E"/>
    <w:rsid w:val="00223B8B"/>
    <w:rsid w:val="00223CD0"/>
    <w:rsid w:val="00223D23"/>
    <w:rsid w:val="00223EBA"/>
    <w:rsid w:val="002241C7"/>
    <w:rsid w:val="00224220"/>
    <w:rsid w:val="0022442A"/>
    <w:rsid w:val="0022477F"/>
    <w:rsid w:val="00224C17"/>
    <w:rsid w:val="00225733"/>
    <w:rsid w:val="002257A5"/>
    <w:rsid w:val="00225B21"/>
    <w:rsid w:val="00225EF9"/>
    <w:rsid w:val="002261D3"/>
    <w:rsid w:val="00227892"/>
    <w:rsid w:val="00227DD6"/>
    <w:rsid w:val="0023087E"/>
    <w:rsid w:val="00230BAF"/>
    <w:rsid w:val="00231659"/>
    <w:rsid w:val="002319FF"/>
    <w:rsid w:val="00231C9E"/>
    <w:rsid w:val="00231EA0"/>
    <w:rsid w:val="00232130"/>
    <w:rsid w:val="002327FC"/>
    <w:rsid w:val="00232882"/>
    <w:rsid w:val="00232992"/>
    <w:rsid w:val="002329B3"/>
    <w:rsid w:val="00232C78"/>
    <w:rsid w:val="00232F35"/>
    <w:rsid w:val="00232F43"/>
    <w:rsid w:val="002331D8"/>
    <w:rsid w:val="00233222"/>
    <w:rsid w:val="0023351D"/>
    <w:rsid w:val="00233595"/>
    <w:rsid w:val="00233846"/>
    <w:rsid w:val="00233B3F"/>
    <w:rsid w:val="00233B85"/>
    <w:rsid w:val="00233F36"/>
    <w:rsid w:val="00234319"/>
    <w:rsid w:val="00234EA3"/>
    <w:rsid w:val="00235791"/>
    <w:rsid w:val="002359DE"/>
    <w:rsid w:val="00235B95"/>
    <w:rsid w:val="00235DBE"/>
    <w:rsid w:val="00236034"/>
    <w:rsid w:val="00236D0A"/>
    <w:rsid w:val="00236FDA"/>
    <w:rsid w:val="00237577"/>
    <w:rsid w:val="0023758B"/>
    <w:rsid w:val="00237DB4"/>
    <w:rsid w:val="00237F3C"/>
    <w:rsid w:val="00237F47"/>
    <w:rsid w:val="00240210"/>
    <w:rsid w:val="002406E9"/>
    <w:rsid w:val="00240BA7"/>
    <w:rsid w:val="00241A82"/>
    <w:rsid w:val="00241CAF"/>
    <w:rsid w:val="00241E3A"/>
    <w:rsid w:val="00241E40"/>
    <w:rsid w:val="00241EE5"/>
    <w:rsid w:val="00242077"/>
    <w:rsid w:val="0024218D"/>
    <w:rsid w:val="00242312"/>
    <w:rsid w:val="00242574"/>
    <w:rsid w:val="002425C2"/>
    <w:rsid w:val="002428CB"/>
    <w:rsid w:val="00242C91"/>
    <w:rsid w:val="002432C2"/>
    <w:rsid w:val="00243489"/>
    <w:rsid w:val="002435D8"/>
    <w:rsid w:val="0024366D"/>
    <w:rsid w:val="00243928"/>
    <w:rsid w:val="0024393C"/>
    <w:rsid w:val="00243FBC"/>
    <w:rsid w:val="00244368"/>
    <w:rsid w:val="00244406"/>
    <w:rsid w:val="002446CC"/>
    <w:rsid w:val="002449DA"/>
    <w:rsid w:val="00244A53"/>
    <w:rsid w:val="00244C93"/>
    <w:rsid w:val="00245072"/>
    <w:rsid w:val="00245204"/>
    <w:rsid w:val="002454F2"/>
    <w:rsid w:val="00246006"/>
    <w:rsid w:val="0024605F"/>
    <w:rsid w:val="002462FA"/>
    <w:rsid w:val="00246731"/>
    <w:rsid w:val="0024692B"/>
    <w:rsid w:val="00246AC8"/>
    <w:rsid w:val="00246C75"/>
    <w:rsid w:val="00246CE1"/>
    <w:rsid w:val="00246F36"/>
    <w:rsid w:val="00247124"/>
    <w:rsid w:val="00247279"/>
    <w:rsid w:val="00247411"/>
    <w:rsid w:val="00247D05"/>
    <w:rsid w:val="002501E1"/>
    <w:rsid w:val="002501E9"/>
    <w:rsid w:val="002502A9"/>
    <w:rsid w:val="0025045E"/>
    <w:rsid w:val="002504CA"/>
    <w:rsid w:val="00250599"/>
    <w:rsid w:val="002506FF"/>
    <w:rsid w:val="00250A97"/>
    <w:rsid w:val="00250ACE"/>
    <w:rsid w:val="002515F7"/>
    <w:rsid w:val="0025169B"/>
    <w:rsid w:val="002516F3"/>
    <w:rsid w:val="0025175B"/>
    <w:rsid w:val="002517EF"/>
    <w:rsid w:val="00251A12"/>
    <w:rsid w:val="00251B98"/>
    <w:rsid w:val="002520A1"/>
    <w:rsid w:val="002521D7"/>
    <w:rsid w:val="0025234B"/>
    <w:rsid w:val="002523A9"/>
    <w:rsid w:val="0025264D"/>
    <w:rsid w:val="00252A6D"/>
    <w:rsid w:val="00252B2A"/>
    <w:rsid w:val="00252B91"/>
    <w:rsid w:val="00252DB4"/>
    <w:rsid w:val="00252F30"/>
    <w:rsid w:val="00252FD9"/>
    <w:rsid w:val="00253443"/>
    <w:rsid w:val="0025376D"/>
    <w:rsid w:val="00253A96"/>
    <w:rsid w:val="00253EBA"/>
    <w:rsid w:val="00253F76"/>
    <w:rsid w:val="00253F8D"/>
    <w:rsid w:val="0025460D"/>
    <w:rsid w:val="0025464B"/>
    <w:rsid w:val="00254815"/>
    <w:rsid w:val="00255047"/>
    <w:rsid w:val="0025612F"/>
    <w:rsid w:val="0025632E"/>
    <w:rsid w:val="002566DB"/>
    <w:rsid w:val="00256877"/>
    <w:rsid w:val="00256DC0"/>
    <w:rsid w:val="00257084"/>
    <w:rsid w:val="002573A6"/>
    <w:rsid w:val="00257A79"/>
    <w:rsid w:val="00257E2A"/>
    <w:rsid w:val="002600B5"/>
    <w:rsid w:val="0026016A"/>
    <w:rsid w:val="0026018A"/>
    <w:rsid w:val="00260330"/>
    <w:rsid w:val="002609C7"/>
    <w:rsid w:val="00260BC9"/>
    <w:rsid w:val="0026114D"/>
    <w:rsid w:val="002614CF"/>
    <w:rsid w:val="0026194B"/>
    <w:rsid w:val="00261DBA"/>
    <w:rsid w:val="00261F29"/>
    <w:rsid w:val="002620CD"/>
    <w:rsid w:val="00262233"/>
    <w:rsid w:val="00262258"/>
    <w:rsid w:val="00262283"/>
    <w:rsid w:val="002622CE"/>
    <w:rsid w:val="002623A5"/>
    <w:rsid w:val="002627F4"/>
    <w:rsid w:val="0026287C"/>
    <w:rsid w:val="00262950"/>
    <w:rsid w:val="00262DAB"/>
    <w:rsid w:val="00262E6C"/>
    <w:rsid w:val="00263B8F"/>
    <w:rsid w:val="00263BFE"/>
    <w:rsid w:val="00263F09"/>
    <w:rsid w:val="002642F5"/>
    <w:rsid w:val="00264673"/>
    <w:rsid w:val="00264BD4"/>
    <w:rsid w:val="00265AAA"/>
    <w:rsid w:val="00265EF9"/>
    <w:rsid w:val="00265FF9"/>
    <w:rsid w:val="00266389"/>
    <w:rsid w:val="00266446"/>
    <w:rsid w:val="00266511"/>
    <w:rsid w:val="002665E9"/>
    <w:rsid w:val="002667CA"/>
    <w:rsid w:val="00266A6F"/>
    <w:rsid w:val="00266CD9"/>
    <w:rsid w:val="00266D7A"/>
    <w:rsid w:val="002670F2"/>
    <w:rsid w:val="00267118"/>
    <w:rsid w:val="00267796"/>
    <w:rsid w:val="00267F0A"/>
    <w:rsid w:val="00267F9E"/>
    <w:rsid w:val="00270057"/>
    <w:rsid w:val="00270254"/>
    <w:rsid w:val="002702DB"/>
    <w:rsid w:val="002703C3"/>
    <w:rsid w:val="002704EA"/>
    <w:rsid w:val="00270573"/>
    <w:rsid w:val="00270712"/>
    <w:rsid w:val="00270A39"/>
    <w:rsid w:val="00270BBA"/>
    <w:rsid w:val="00270DF6"/>
    <w:rsid w:val="00270E75"/>
    <w:rsid w:val="00271261"/>
    <w:rsid w:val="00271787"/>
    <w:rsid w:val="00271C0B"/>
    <w:rsid w:val="00271E7D"/>
    <w:rsid w:val="0027203B"/>
    <w:rsid w:val="002728BB"/>
    <w:rsid w:val="00272963"/>
    <w:rsid w:val="002729A3"/>
    <w:rsid w:val="00272A8B"/>
    <w:rsid w:val="0027332A"/>
    <w:rsid w:val="002733B5"/>
    <w:rsid w:val="00273967"/>
    <w:rsid w:val="00273AE8"/>
    <w:rsid w:val="00273C26"/>
    <w:rsid w:val="00273E75"/>
    <w:rsid w:val="00274323"/>
    <w:rsid w:val="00274451"/>
    <w:rsid w:val="00274F34"/>
    <w:rsid w:val="0027518D"/>
    <w:rsid w:val="00275220"/>
    <w:rsid w:val="002754B9"/>
    <w:rsid w:val="00275536"/>
    <w:rsid w:val="00275631"/>
    <w:rsid w:val="00275769"/>
    <w:rsid w:val="00275827"/>
    <w:rsid w:val="002758E0"/>
    <w:rsid w:val="00275CF2"/>
    <w:rsid w:val="00275D99"/>
    <w:rsid w:val="00276B13"/>
    <w:rsid w:val="002771F1"/>
    <w:rsid w:val="002775F0"/>
    <w:rsid w:val="0027762B"/>
    <w:rsid w:val="00277BC8"/>
    <w:rsid w:val="00277C02"/>
    <w:rsid w:val="00277C7B"/>
    <w:rsid w:val="00277D91"/>
    <w:rsid w:val="00277F35"/>
    <w:rsid w:val="00280543"/>
    <w:rsid w:val="00280A43"/>
    <w:rsid w:val="00280C33"/>
    <w:rsid w:val="00280EBA"/>
    <w:rsid w:val="00280EE0"/>
    <w:rsid w:val="002810B4"/>
    <w:rsid w:val="0028133D"/>
    <w:rsid w:val="002814B3"/>
    <w:rsid w:val="002815C2"/>
    <w:rsid w:val="00281D43"/>
    <w:rsid w:val="00282643"/>
    <w:rsid w:val="00282B61"/>
    <w:rsid w:val="00282FB6"/>
    <w:rsid w:val="00282FEB"/>
    <w:rsid w:val="00283224"/>
    <w:rsid w:val="0028348D"/>
    <w:rsid w:val="002834BF"/>
    <w:rsid w:val="002834E0"/>
    <w:rsid w:val="00283696"/>
    <w:rsid w:val="00283ACE"/>
    <w:rsid w:val="00283BF2"/>
    <w:rsid w:val="00283C55"/>
    <w:rsid w:val="002848AA"/>
    <w:rsid w:val="002848F1"/>
    <w:rsid w:val="00284AF7"/>
    <w:rsid w:val="00285270"/>
    <w:rsid w:val="00285503"/>
    <w:rsid w:val="00285586"/>
    <w:rsid w:val="00285DFA"/>
    <w:rsid w:val="00285E99"/>
    <w:rsid w:val="00285ED9"/>
    <w:rsid w:val="00285FA1"/>
    <w:rsid w:val="00286003"/>
    <w:rsid w:val="00286032"/>
    <w:rsid w:val="00286309"/>
    <w:rsid w:val="00286E5B"/>
    <w:rsid w:val="00286F32"/>
    <w:rsid w:val="00286F8E"/>
    <w:rsid w:val="002873BF"/>
    <w:rsid w:val="00287430"/>
    <w:rsid w:val="00287C9E"/>
    <w:rsid w:val="00290379"/>
    <w:rsid w:val="00290382"/>
    <w:rsid w:val="00290F19"/>
    <w:rsid w:val="00291216"/>
    <w:rsid w:val="002912A5"/>
    <w:rsid w:val="002912B9"/>
    <w:rsid w:val="00291595"/>
    <w:rsid w:val="002916DE"/>
    <w:rsid w:val="0029185B"/>
    <w:rsid w:val="0029199B"/>
    <w:rsid w:val="00291A6D"/>
    <w:rsid w:val="00291A91"/>
    <w:rsid w:val="00291E6E"/>
    <w:rsid w:val="00291F55"/>
    <w:rsid w:val="00292394"/>
    <w:rsid w:val="002923A4"/>
    <w:rsid w:val="002923CE"/>
    <w:rsid w:val="00292702"/>
    <w:rsid w:val="00292874"/>
    <w:rsid w:val="00292930"/>
    <w:rsid w:val="00292A76"/>
    <w:rsid w:val="00292E63"/>
    <w:rsid w:val="0029313B"/>
    <w:rsid w:val="00293292"/>
    <w:rsid w:val="002938F3"/>
    <w:rsid w:val="00293DCE"/>
    <w:rsid w:val="002942EA"/>
    <w:rsid w:val="002944C8"/>
    <w:rsid w:val="002946AA"/>
    <w:rsid w:val="002948A8"/>
    <w:rsid w:val="00294C5C"/>
    <w:rsid w:val="0029535D"/>
    <w:rsid w:val="002953F5"/>
    <w:rsid w:val="00295574"/>
    <w:rsid w:val="00296149"/>
    <w:rsid w:val="0029616E"/>
    <w:rsid w:val="002965C9"/>
    <w:rsid w:val="0029679F"/>
    <w:rsid w:val="00296D9B"/>
    <w:rsid w:val="002973C9"/>
    <w:rsid w:val="00297E5C"/>
    <w:rsid w:val="00297EA5"/>
    <w:rsid w:val="00297F12"/>
    <w:rsid w:val="002A00E3"/>
    <w:rsid w:val="002A0177"/>
    <w:rsid w:val="002A0BC0"/>
    <w:rsid w:val="002A0C51"/>
    <w:rsid w:val="002A0DF6"/>
    <w:rsid w:val="002A1378"/>
    <w:rsid w:val="002A1867"/>
    <w:rsid w:val="002A1945"/>
    <w:rsid w:val="002A1F46"/>
    <w:rsid w:val="002A2214"/>
    <w:rsid w:val="002A2628"/>
    <w:rsid w:val="002A2F07"/>
    <w:rsid w:val="002A305B"/>
    <w:rsid w:val="002A3A44"/>
    <w:rsid w:val="002A3BE1"/>
    <w:rsid w:val="002A3C21"/>
    <w:rsid w:val="002A3D61"/>
    <w:rsid w:val="002A3F5D"/>
    <w:rsid w:val="002A3F64"/>
    <w:rsid w:val="002A424E"/>
    <w:rsid w:val="002A42D6"/>
    <w:rsid w:val="002A4719"/>
    <w:rsid w:val="002A4D73"/>
    <w:rsid w:val="002A50D2"/>
    <w:rsid w:val="002A51ED"/>
    <w:rsid w:val="002A5718"/>
    <w:rsid w:val="002A580D"/>
    <w:rsid w:val="002A5A2A"/>
    <w:rsid w:val="002A5D32"/>
    <w:rsid w:val="002A645C"/>
    <w:rsid w:val="002A6875"/>
    <w:rsid w:val="002A68FE"/>
    <w:rsid w:val="002A6D39"/>
    <w:rsid w:val="002A7087"/>
    <w:rsid w:val="002A70DA"/>
    <w:rsid w:val="002A7574"/>
    <w:rsid w:val="002A7AFE"/>
    <w:rsid w:val="002A7C19"/>
    <w:rsid w:val="002A7C99"/>
    <w:rsid w:val="002A7F6B"/>
    <w:rsid w:val="002B07E5"/>
    <w:rsid w:val="002B089E"/>
    <w:rsid w:val="002B0919"/>
    <w:rsid w:val="002B0A90"/>
    <w:rsid w:val="002B0C2E"/>
    <w:rsid w:val="002B10C9"/>
    <w:rsid w:val="002B1178"/>
    <w:rsid w:val="002B11AE"/>
    <w:rsid w:val="002B1408"/>
    <w:rsid w:val="002B15BA"/>
    <w:rsid w:val="002B1B6F"/>
    <w:rsid w:val="002B2A87"/>
    <w:rsid w:val="002B2B5A"/>
    <w:rsid w:val="002B2BA6"/>
    <w:rsid w:val="002B2BB6"/>
    <w:rsid w:val="002B30A7"/>
    <w:rsid w:val="002B32E9"/>
    <w:rsid w:val="002B3962"/>
    <w:rsid w:val="002B3976"/>
    <w:rsid w:val="002B3984"/>
    <w:rsid w:val="002B3A6D"/>
    <w:rsid w:val="002B3B48"/>
    <w:rsid w:val="002B3B9A"/>
    <w:rsid w:val="002B3DCF"/>
    <w:rsid w:val="002B3F02"/>
    <w:rsid w:val="002B432D"/>
    <w:rsid w:val="002B444D"/>
    <w:rsid w:val="002B4C4B"/>
    <w:rsid w:val="002B58D2"/>
    <w:rsid w:val="002B5C71"/>
    <w:rsid w:val="002B5DD2"/>
    <w:rsid w:val="002B5F80"/>
    <w:rsid w:val="002B64FC"/>
    <w:rsid w:val="002B6FD1"/>
    <w:rsid w:val="002B75EC"/>
    <w:rsid w:val="002B7699"/>
    <w:rsid w:val="002B7A3E"/>
    <w:rsid w:val="002B7AB7"/>
    <w:rsid w:val="002B7F16"/>
    <w:rsid w:val="002C0086"/>
    <w:rsid w:val="002C0A6F"/>
    <w:rsid w:val="002C0E90"/>
    <w:rsid w:val="002C14B8"/>
    <w:rsid w:val="002C167F"/>
    <w:rsid w:val="002C1766"/>
    <w:rsid w:val="002C1D39"/>
    <w:rsid w:val="002C1FA7"/>
    <w:rsid w:val="002C2A81"/>
    <w:rsid w:val="002C2F67"/>
    <w:rsid w:val="002C34B8"/>
    <w:rsid w:val="002C359A"/>
    <w:rsid w:val="002C359C"/>
    <w:rsid w:val="002C3613"/>
    <w:rsid w:val="002C3794"/>
    <w:rsid w:val="002C3929"/>
    <w:rsid w:val="002C3E28"/>
    <w:rsid w:val="002C3F08"/>
    <w:rsid w:val="002C41DD"/>
    <w:rsid w:val="002C41DF"/>
    <w:rsid w:val="002C44AC"/>
    <w:rsid w:val="002C4653"/>
    <w:rsid w:val="002C4857"/>
    <w:rsid w:val="002C4E22"/>
    <w:rsid w:val="002C4F4E"/>
    <w:rsid w:val="002C52F4"/>
    <w:rsid w:val="002C573F"/>
    <w:rsid w:val="002C5866"/>
    <w:rsid w:val="002C59A5"/>
    <w:rsid w:val="002C5A57"/>
    <w:rsid w:val="002C5CF5"/>
    <w:rsid w:val="002C5D4E"/>
    <w:rsid w:val="002C5D52"/>
    <w:rsid w:val="002C6096"/>
    <w:rsid w:val="002C6192"/>
    <w:rsid w:val="002C63B3"/>
    <w:rsid w:val="002C653E"/>
    <w:rsid w:val="002C654F"/>
    <w:rsid w:val="002C67FC"/>
    <w:rsid w:val="002C6A8A"/>
    <w:rsid w:val="002C6BFA"/>
    <w:rsid w:val="002C6D97"/>
    <w:rsid w:val="002C70A9"/>
    <w:rsid w:val="002C748B"/>
    <w:rsid w:val="002C7695"/>
    <w:rsid w:val="002C76FF"/>
    <w:rsid w:val="002C7D26"/>
    <w:rsid w:val="002C7E74"/>
    <w:rsid w:val="002D019A"/>
    <w:rsid w:val="002D04F3"/>
    <w:rsid w:val="002D1B54"/>
    <w:rsid w:val="002D1C88"/>
    <w:rsid w:val="002D2188"/>
    <w:rsid w:val="002D228C"/>
    <w:rsid w:val="002D275D"/>
    <w:rsid w:val="002D2C82"/>
    <w:rsid w:val="002D2F8B"/>
    <w:rsid w:val="002D2FD3"/>
    <w:rsid w:val="002D3D8A"/>
    <w:rsid w:val="002D3E31"/>
    <w:rsid w:val="002D3F2C"/>
    <w:rsid w:val="002D4235"/>
    <w:rsid w:val="002D4353"/>
    <w:rsid w:val="002D455A"/>
    <w:rsid w:val="002D4676"/>
    <w:rsid w:val="002D46EA"/>
    <w:rsid w:val="002D47DC"/>
    <w:rsid w:val="002D499A"/>
    <w:rsid w:val="002D4B07"/>
    <w:rsid w:val="002D4B31"/>
    <w:rsid w:val="002D4D10"/>
    <w:rsid w:val="002D4D35"/>
    <w:rsid w:val="002D4EBC"/>
    <w:rsid w:val="002D4F29"/>
    <w:rsid w:val="002D501B"/>
    <w:rsid w:val="002D5368"/>
    <w:rsid w:val="002D5B1F"/>
    <w:rsid w:val="002D5DE6"/>
    <w:rsid w:val="002D6138"/>
    <w:rsid w:val="002D64B2"/>
    <w:rsid w:val="002D652C"/>
    <w:rsid w:val="002D6824"/>
    <w:rsid w:val="002D6A3E"/>
    <w:rsid w:val="002D6AE9"/>
    <w:rsid w:val="002D71A8"/>
    <w:rsid w:val="002D71BD"/>
    <w:rsid w:val="002D7351"/>
    <w:rsid w:val="002D753C"/>
    <w:rsid w:val="002D75AC"/>
    <w:rsid w:val="002D769B"/>
    <w:rsid w:val="002D7EED"/>
    <w:rsid w:val="002E048B"/>
    <w:rsid w:val="002E0AFB"/>
    <w:rsid w:val="002E0B46"/>
    <w:rsid w:val="002E0E1B"/>
    <w:rsid w:val="002E120E"/>
    <w:rsid w:val="002E15BC"/>
    <w:rsid w:val="002E17C2"/>
    <w:rsid w:val="002E1826"/>
    <w:rsid w:val="002E1E8D"/>
    <w:rsid w:val="002E268C"/>
    <w:rsid w:val="002E2A95"/>
    <w:rsid w:val="002E2E17"/>
    <w:rsid w:val="002E2E7B"/>
    <w:rsid w:val="002E3178"/>
    <w:rsid w:val="002E31D4"/>
    <w:rsid w:val="002E33D8"/>
    <w:rsid w:val="002E37CB"/>
    <w:rsid w:val="002E3EB0"/>
    <w:rsid w:val="002E49B8"/>
    <w:rsid w:val="002E49F5"/>
    <w:rsid w:val="002E4C3C"/>
    <w:rsid w:val="002E4CD2"/>
    <w:rsid w:val="002E4E15"/>
    <w:rsid w:val="002E4FCB"/>
    <w:rsid w:val="002E547D"/>
    <w:rsid w:val="002E59EF"/>
    <w:rsid w:val="002E5E48"/>
    <w:rsid w:val="002E6224"/>
    <w:rsid w:val="002E65D5"/>
    <w:rsid w:val="002E6759"/>
    <w:rsid w:val="002E6784"/>
    <w:rsid w:val="002E6C48"/>
    <w:rsid w:val="002E6D87"/>
    <w:rsid w:val="002E75B9"/>
    <w:rsid w:val="002E7DC6"/>
    <w:rsid w:val="002E7F54"/>
    <w:rsid w:val="002F0027"/>
    <w:rsid w:val="002F01E3"/>
    <w:rsid w:val="002F08FA"/>
    <w:rsid w:val="002F094A"/>
    <w:rsid w:val="002F0A4C"/>
    <w:rsid w:val="002F0AE5"/>
    <w:rsid w:val="002F0C19"/>
    <w:rsid w:val="002F0E9F"/>
    <w:rsid w:val="002F1390"/>
    <w:rsid w:val="002F14FF"/>
    <w:rsid w:val="002F1C3A"/>
    <w:rsid w:val="002F203B"/>
    <w:rsid w:val="002F2091"/>
    <w:rsid w:val="002F21C3"/>
    <w:rsid w:val="002F23F5"/>
    <w:rsid w:val="002F243C"/>
    <w:rsid w:val="002F252C"/>
    <w:rsid w:val="002F278D"/>
    <w:rsid w:val="002F27CF"/>
    <w:rsid w:val="002F282D"/>
    <w:rsid w:val="002F28EA"/>
    <w:rsid w:val="002F2A03"/>
    <w:rsid w:val="002F2C90"/>
    <w:rsid w:val="002F2D44"/>
    <w:rsid w:val="002F2DCB"/>
    <w:rsid w:val="002F2EFE"/>
    <w:rsid w:val="002F35C0"/>
    <w:rsid w:val="002F3BBC"/>
    <w:rsid w:val="002F3F74"/>
    <w:rsid w:val="002F455D"/>
    <w:rsid w:val="002F46FA"/>
    <w:rsid w:val="002F4D6E"/>
    <w:rsid w:val="002F4E1D"/>
    <w:rsid w:val="002F4E5F"/>
    <w:rsid w:val="002F514D"/>
    <w:rsid w:val="002F543F"/>
    <w:rsid w:val="002F5650"/>
    <w:rsid w:val="002F56A7"/>
    <w:rsid w:val="002F5AA8"/>
    <w:rsid w:val="002F64D0"/>
    <w:rsid w:val="002F67C7"/>
    <w:rsid w:val="002F6993"/>
    <w:rsid w:val="002F69EC"/>
    <w:rsid w:val="002F6F6F"/>
    <w:rsid w:val="002F7023"/>
    <w:rsid w:val="002F7263"/>
    <w:rsid w:val="002F74B8"/>
    <w:rsid w:val="002F7A19"/>
    <w:rsid w:val="002F7D5D"/>
    <w:rsid w:val="002F7E52"/>
    <w:rsid w:val="002F7E57"/>
    <w:rsid w:val="002F7E76"/>
    <w:rsid w:val="002F7F90"/>
    <w:rsid w:val="0030023F"/>
    <w:rsid w:val="003003C0"/>
    <w:rsid w:val="003005F7"/>
    <w:rsid w:val="00300843"/>
    <w:rsid w:val="00300B26"/>
    <w:rsid w:val="00300C42"/>
    <w:rsid w:val="00300D96"/>
    <w:rsid w:val="003013A9"/>
    <w:rsid w:val="0030152D"/>
    <w:rsid w:val="0030170E"/>
    <w:rsid w:val="00301B4D"/>
    <w:rsid w:val="00301BAA"/>
    <w:rsid w:val="00301E12"/>
    <w:rsid w:val="00301FB3"/>
    <w:rsid w:val="0030201A"/>
    <w:rsid w:val="00302240"/>
    <w:rsid w:val="0030260C"/>
    <w:rsid w:val="00302CF2"/>
    <w:rsid w:val="00303015"/>
    <w:rsid w:val="00303395"/>
    <w:rsid w:val="00303C79"/>
    <w:rsid w:val="00303F63"/>
    <w:rsid w:val="00303FFB"/>
    <w:rsid w:val="00304836"/>
    <w:rsid w:val="003048EE"/>
    <w:rsid w:val="00304A24"/>
    <w:rsid w:val="00304BC5"/>
    <w:rsid w:val="00304D8F"/>
    <w:rsid w:val="00304E83"/>
    <w:rsid w:val="00304F62"/>
    <w:rsid w:val="00305154"/>
    <w:rsid w:val="00305177"/>
    <w:rsid w:val="0030610E"/>
    <w:rsid w:val="00306352"/>
    <w:rsid w:val="003064AE"/>
    <w:rsid w:val="0030656A"/>
    <w:rsid w:val="00306584"/>
    <w:rsid w:val="00306628"/>
    <w:rsid w:val="003068EC"/>
    <w:rsid w:val="00306A3A"/>
    <w:rsid w:val="00306ABE"/>
    <w:rsid w:val="0030716C"/>
    <w:rsid w:val="00307365"/>
    <w:rsid w:val="0030774B"/>
    <w:rsid w:val="00310081"/>
    <w:rsid w:val="003102C2"/>
    <w:rsid w:val="00310429"/>
    <w:rsid w:val="00310B77"/>
    <w:rsid w:val="00310CBE"/>
    <w:rsid w:val="00310CFA"/>
    <w:rsid w:val="00311439"/>
    <w:rsid w:val="00311600"/>
    <w:rsid w:val="00311673"/>
    <w:rsid w:val="003118DD"/>
    <w:rsid w:val="00311C32"/>
    <w:rsid w:val="00311C9D"/>
    <w:rsid w:val="00311F33"/>
    <w:rsid w:val="00312061"/>
    <w:rsid w:val="00312109"/>
    <w:rsid w:val="003121CB"/>
    <w:rsid w:val="003121F3"/>
    <w:rsid w:val="003122A8"/>
    <w:rsid w:val="00312884"/>
    <w:rsid w:val="003128A0"/>
    <w:rsid w:val="00313197"/>
    <w:rsid w:val="0031358D"/>
    <w:rsid w:val="0031398C"/>
    <w:rsid w:val="00313FDF"/>
    <w:rsid w:val="003142D7"/>
    <w:rsid w:val="003142DC"/>
    <w:rsid w:val="00314385"/>
    <w:rsid w:val="00314461"/>
    <w:rsid w:val="00314921"/>
    <w:rsid w:val="00314B80"/>
    <w:rsid w:val="00314EAC"/>
    <w:rsid w:val="00315182"/>
    <w:rsid w:val="0031524F"/>
    <w:rsid w:val="003154D4"/>
    <w:rsid w:val="00315513"/>
    <w:rsid w:val="003158EA"/>
    <w:rsid w:val="00316093"/>
    <w:rsid w:val="00316282"/>
    <w:rsid w:val="00316BA6"/>
    <w:rsid w:val="0031715A"/>
    <w:rsid w:val="003172AB"/>
    <w:rsid w:val="0031736B"/>
    <w:rsid w:val="0031746B"/>
    <w:rsid w:val="00317650"/>
    <w:rsid w:val="003176DA"/>
    <w:rsid w:val="00317712"/>
    <w:rsid w:val="0031772A"/>
    <w:rsid w:val="003178D3"/>
    <w:rsid w:val="00317ABF"/>
    <w:rsid w:val="00317ED3"/>
    <w:rsid w:val="0032023F"/>
    <w:rsid w:val="0032029F"/>
    <w:rsid w:val="00320B3F"/>
    <w:rsid w:val="003210C7"/>
    <w:rsid w:val="0032157A"/>
    <w:rsid w:val="0032161D"/>
    <w:rsid w:val="0032193A"/>
    <w:rsid w:val="003219EA"/>
    <w:rsid w:val="00321DB4"/>
    <w:rsid w:val="00321E7E"/>
    <w:rsid w:val="00322290"/>
    <w:rsid w:val="003222AA"/>
    <w:rsid w:val="003222DC"/>
    <w:rsid w:val="00322441"/>
    <w:rsid w:val="00322A26"/>
    <w:rsid w:val="00322B81"/>
    <w:rsid w:val="003230A7"/>
    <w:rsid w:val="0032336E"/>
    <w:rsid w:val="0032380B"/>
    <w:rsid w:val="00323841"/>
    <w:rsid w:val="00323D8A"/>
    <w:rsid w:val="003247C5"/>
    <w:rsid w:val="003250A3"/>
    <w:rsid w:val="0032527D"/>
    <w:rsid w:val="0032548C"/>
    <w:rsid w:val="00325723"/>
    <w:rsid w:val="00325EA9"/>
    <w:rsid w:val="00326744"/>
    <w:rsid w:val="00326838"/>
    <w:rsid w:val="00326884"/>
    <w:rsid w:val="003269FE"/>
    <w:rsid w:val="00326B54"/>
    <w:rsid w:val="00326BFF"/>
    <w:rsid w:val="00326F35"/>
    <w:rsid w:val="003273C8"/>
    <w:rsid w:val="003274EC"/>
    <w:rsid w:val="003276E2"/>
    <w:rsid w:val="0032786A"/>
    <w:rsid w:val="00327A16"/>
    <w:rsid w:val="00327F93"/>
    <w:rsid w:val="0033014F"/>
    <w:rsid w:val="003308F1"/>
    <w:rsid w:val="00330B44"/>
    <w:rsid w:val="00330CA6"/>
    <w:rsid w:val="00330F29"/>
    <w:rsid w:val="003317F3"/>
    <w:rsid w:val="00331833"/>
    <w:rsid w:val="00331C3C"/>
    <w:rsid w:val="00331CF9"/>
    <w:rsid w:val="003320BE"/>
    <w:rsid w:val="00332228"/>
    <w:rsid w:val="003325EE"/>
    <w:rsid w:val="00332605"/>
    <w:rsid w:val="00332758"/>
    <w:rsid w:val="003327CF"/>
    <w:rsid w:val="00332945"/>
    <w:rsid w:val="00332BAF"/>
    <w:rsid w:val="00332C15"/>
    <w:rsid w:val="00332EC9"/>
    <w:rsid w:val="0033361B"/>
    <w:rsid w:val="003337B6"/>
    <w:rsid w:val="003339AC"/>
    <w:rsid w:val="003340A0"/>
    <w:rsid w:val="003341FB"/>
    <w:rsid w:val="0033427B"/>
    <w:rsid w:val="0033429B"/>
    <w:rsid w:val="00334566"/>
    <w:rsid w:val="00334F80"/>
    <w:rsid w:val="00335175"/>
    <w:rsid w:val="0033557A"/>
    <w:rsid w:val="00335CB3"/>
    <w:rsid w:val="00336145"/>
    <w:rsid w:val="00336244"/>
    <w:rsid w:val="003362B7"/>
    <w:rsid w:val="00336783"/>
    <w:rsid w:val="00336817"/>
    <w:rsid w:val="00336894"/>
    <w:rsid w:val="0033699F"/>
    <w:rsid w:val="003378A2"/>
    <w:rsid w:val="003379DA"/>
    <w:rsid w:val="00337AA4"/>
    <w:rsid w:val="00337B39"/>
    <w:rsid w:val="00337CAA"/>
    <w:rsid w:val="00340317"/>
    <w:rsid w:val="0034043E"/>
    <w:rsid w:val="0034067D"/>
    <w:rsid w:val="00340CE3"/>
    <w:rsid w:val="00340E62"/>
    <w:rsid w:val="00340FBD"/>
    <w:rsid w:val="00341057"/>
    <w:rsid w:val="00341533"/>
    <w:rsid w:val="00341FF4"/>
    <w:rsid w:val="003427DA"/>
    <w:rsid w:val="00342D31"/>
    <w:rsid w:val="00342DBE"/>
    <w:rsid w:val="00343342"/>
    <w:rsid w:val="00343AAA"/>
    <w:rsid w:val="00343B7C"/>
    <w:rsid w:val="00343BD3"/>
    <w:rsid w:val="00343E9E"/>
    <w:rsid w:val="0034402D"/>
    <w:rsid w:val="003443C9"/>
    <w:rsid w:val="0034450A"/>
    <w:rsid w:val="003447EA"/>
    <w:rsid w:val="003448A7"/>
    <w:rsid w:val="00344DED"/>
    <w:rsid w:val="00344F69"/>
    <w:rsid w:val="00344F81"/>
    <w:rsid w:val="00345054"/>
    <w:rsid w:val="003454E1"/>
    <w:rsid w:val="00345535"/>
    <w:rsid w:val="003455FC"/>
    <w:rsid w:val="00345819"/>
    <w:rsid w:val="00345A5A"/>
    <w:rsid w:val="00345DBD"/>
    <w:rsid w:val="00345F81"/>
    <w:rsid w:val="003460BD"/>
    <w:rsid w:val="003461DA"/>
    <w:rsid w:val="003462C3"/>
    <w:rsid w:val="0034630B"/>
    <w:rsid w:val="00346492"/>
    <w:rsid w:val="00346505"/>
    <w:rsid w:val="003465E2"/>
    <w:rsid w:val="00347155"/>
    <w:rsid w:val="003471B9"/>
    <w:rsid w:val="00347274"/>
    <w:rsid w:val="00347692"/>
    <w:rsid w:val="00347881"/>
    <w:rsid w:val="0034792D"/>
    <w:rsid w:val="00347B82"/>
    <w:rsid w:val="00347D6E"/>
    <w:rsid w:val="00347D8C"/>
    <w:rsid w:val="00347EDC"/>
    <w:rsid w:val="00350039"/>
    <w:rsid w:val="00350480"/>
    <w:rsid w:val="003504B3"/>
    <w:rsid w:val="00350A3F"/>
    <w:rsid w:val="00350A6E"/>
    <w:rsid w:val="00350C18"/>
    <w:rsid w:val="00351640"/>
    <w:rsid w:val="003516DB"/>
    <w:rsid w:val="00351B12"/>
    <w:rsid w:val="00351D85"/>
    <w:rsid w:val="0035225F"/>
    <w:rsid w:val="00352A0A"/>
    <w:rsid w:val="00352D25"/>
    <w:rsid w:val="003537FF"/>
    <w:rsid w:val="00353CF4"/>
    <w:rsid w:val="0035415C"/>
    <w:rsid w:val="003543E3"/>
    <w:rsid w:val="00354895"/>
    <w:rsid w:val="00354AE5"/>
    <w:rsid w:val="00354BB2"/>
    <w:rsid w:val="00354DAE"/>
    <w:rsid w:val="00354EBD"/>
    <w:rsid w:val="0035563B"/>
    <w:rsid w:val="003558BE"/>
    <w:rsid w:val="0035596A"/>
    <w:rsid w:val="00355E0B"/>
    <w:rsid w:val="0035690A"/>
    <w:rsid w:val="0035702E"/>
    <w:rsid w:val="00357062"/>
    <w:rsid w:val="003577F7"/>
    <w:rsid w:val="003579EE"/>
    <w:rsid w:val="00357C57"/>
    <w:rsid w:val="00360633"/>
    <w:rsid w:val="00360858"/>
    <w:rsid w:val="00360AF9"/>
    <w:rsid w:val="00360B01"/>
    <w:rsid w:val="00360E57"/>
    <w:rsid w:val="00361071"/>
    <w:rsid w:val="003613B4"/>
    <w:rsid w:val="0036160C"/>
    <w:rsid w:val="003619CB"/>
    <w:rsid w:val="00361CE6"/>
    <w:rsid w:val="00361EE3"/>
    <w:rsid w:val="0036231F"/>
    <w:rsid w:val="0036238E"/>
    <w:rsid w:val="00362A3B"/>
    <w:rsid w:val="00363639"/>
    <w:rsid w:val="00363AAD"/>
    <w:rsid w:val="003643A6"/>
    <w:rsid w:val="00364587"/>
    <w:rsid w:val="003645AB"/>
    <w:rsid w:val="00364A71"/>
    <w:rsid w:val="00364C7F"/>
    <w:rsid w:val="00364D10"/>
    <w:rsid w:val="00364D3D"/>
    <w:rsid w:val="00364EAA"/>
    <w:rsid w:val="003651D9"/>
    <w:rsid w:val="003653B1"/>
    <w:rsid w:val="0036593B"/>
    <w:rsid w:val="00365C43"/>
    <w:rsid w:val="0036610B"/>
    <w:rsid w:val="00366490"/>
    <w:rsid w:val="003669CD"/>
    <w:rsid w:val="00366C00"/>
    <w:rsid w:val="00366D0F"/>
    <w:rsid w:val="00366D4D"/>
    <w:rsid w:val="00366E62"/>
    <w:rsid w:val="003674C6"/>
    <w:rsid w:val="00367600"/>
    <w:rsid w:val="003678A3"/>
    <w:rsid w:val="00367B2C"/>
    <w:rsid w:val="00367E2C"/>
    <w:rsid w:val="00367EA0"/>
    <w:rsid w:val="00370217"/>
    <w:rsid w:val="003706B9"/>
    <w:rsid w:val="003707DE"/>
    <w:rsid w:val="003708F0"/>
    <w:rsid w:val="00370BEA"/>
    <w:rsid w:val="003710F2"/>
    <w:rsid w:val="0037194B"/>
    <w:rsid w:val="00371B6B"/>
    <w:rsid w:val="00371E45"/>
    <w:rsid w:val="003720EC"/>
    <w:rsid w:val="003722B9"/>
    <w:rsid w:val="00372985"/>
    <w:rsid w:val="00372A45"/>
    <w:rsid w:val="00372A87"/>
    <w:rsid w:val="00372C07"/>
    <w:rsid w:val="00372FFD"/>
    <w:rsid w:val="00373860"/>
    <w:rsid w:val="00373EA9"/>
    <w:rsid w:val="00373F52"/>
    <w:rsid w:val="003744D9"/>
    <w:rsid w:val="003750CB"/>
    <w:rsid w:val="00375B6B"/>
    <w:rsid w:val="00375C88"/>
    <w:rsid w:val="00375F32"/>
    <w:rsid w:val="0037629A"/>
    <w:rsid w:val="0037663D"/>
    <w:rsid w:val="00376999"/>
    <w:rsid w:val="00376BE6"/>
    <w:rsid w:val="0037704B"/>
    <w:rsid w:val="00377758"/>
    <w:rsid w:val="00377DAA"/>
    <w:rsid w:val="00377EBB"/>
    <w:rsid w:val="0038003F"/>
    <w:rsid w:val="0038015E"/>
    <w:rsid w:val="0038030D"/>
    <w:rsid w:val="0038035D"/>
    <w:rsid w:val="003804DC"/>
    <w:rsid w:val="0038061A"/>
    <w:rsid w:val="00380B63"/>
    <w:rsid w:val="00380F50"/>
    <w:rsid w:val="00381046"/>
    <w:rsid w:val="003810A6"/>
    <w:rsid w:val="003810A8"/>
    <w:rsid w:val="00381554"/>
    <w:rsid w:val="003815B1"/>
    <w:rsid w:val="0038187E"/>
    <w:rsid w:val="00381DB3"/>
    <w:rsid w:val="00382645"/>
    <w:rsid w:val="0038275E"/>
    <w:rsid w:val="0038284D"/>
    <w:rsid w:val="00382991"/>
    <w:rsid w:val="00382B35"/>
    <w:rsid w:val="003832ED"/>
    <w:rsid w:val="00383BB3"/>
    <w:rsid w:val="003841CE"/>
    <w:rsid w:val="0038420E"/>
    <w:rsid w:val="003842BE"/>
    <w:rsid w:val="003849CB"/>
    <w:rsid w:val="00384EC7"/>
    <w:rsid w:val="00384EF7"/>
    <w:rsid w:val="003850F5"/>
    <w:rsid w:val="003851DC"/>
    <w:rsid w:val="00385697"/>
    <w:rsid w:val="003856A3"/>
    <w:rsid w:val="00385A98"/>
    <w:rsid w:val="00385B89"/>
    <w:rsid w:val="00385E8F"/>
    <w:rsid w:val="00385F12"/>
    <w:rsid w:val="00386204"/>
    <w:rsid w:val="003865DF"/>
    <w:rsid w:val="00386BDF"/>
    <w:rsid w:val="00386BE3"/>
    <w:rsid w:val="00386D1A"/>
    <w:rsid w:val="00386E6F"/>
    <w:rsid w:val="003871B5"/>
    <w:rsid w:val="00387226"/>
    <w:rsid w:val="00387257"/>
    <w:rsid w:val="00387DCF"/>
    <w:rsid w:val="00390034"/>
    <w:rsid w:val="0039005A"/>
    <w:rsid w:val="00390171"/>
    <w:rsid w:val="00390531"/>
    <w:rsid w:val="00390864"/>
    <w:rsid w:val="003908E4"/>
    <w:rsid w:val="00390C93"/>
    <w:rsid w:val="00391276"/>
    <w:rsid w:val="00391CA3"/>
    <w:rsid w:val="00392209"/>
    <w:rsid w:val="0039254E"/>
    <w:rsid w:val="003928CC"/>
    <w:rsid w:val="003929D3"/>
    <w:rsid w:val="00392B21"/>
    <w:rsid w:val="00392F37"/>
    <w:rsid w:val="00392F9C"/>
    <w:rsid w:val="003933D8"/>
    <w:rsid w:val="003935F4"/>
    <w:rsid w:val="003938D6"/>
    <w:rsid w:val="0039395B"/>
    <w:rsid w:val="00393C93"/>
    <w:rsid w:val="00393CD2"/>
    <w:rsid w:val="00393ED0"/>
    <w:rsid w:val="00393F36"/>
    <w:rsid w:val="00394275"/>
    <w:rsid w:val="0039472B"/>
    <w:rsid w:val="00394AF3"/>
    <w:rsid w:val="0039529B"/>
    <w:rsid w:val="00395394"/>
    <w:rsid w:val="0039546E"/>
    <w:rsid w:val="0039572D"/>
    <w:rsid w:val="003959AA"/>
    <w:rsid w:val="00395A61"/>
    <w:rsid w:val="00395E32"/>
    <w:rsid w:val="003962B4"/>
    <w:rsid w:val="003962E3"/>
    <w:rsid w:val="0039668B"/>
    <w:rsid w:val="003966E8"/>
    <w:rsid w:val="00396719"/>
    <w:rsid w:val="00396C6B"/>
    <w:rsid w:val="003970B4"/>
    <w:rsid w:val="0039712A"/>
    <w:rsid w:val="0039734D"/>
    <w:rsid w:val="0039761C"/>
    <w:rsid w:val="003976E6"/>
    <w:rsid w:val="00397D29"/>
    <w:rsid w:val="003A0740"/>
    <w:rsid w:val="003A1397"/>
    <w:rsid w:val="003A1D0D"/>
    <w:rsid w:val="003A1DBC"/>
    <w:rsid w:val="003A237E"/>
    <w:rsid w:val="003A2617"/>
    <w:rsid w:val="003A271B"/>
    <w:rsid w:val="003A294B"/>
    <w:rsid w:val="003A2BF9"/>
    <w:rsid w:val="003A2F27"/>
    <w:rsid w:val="003A3408"/>
    <w:rsid w:val="003A3A2A"/>
    <w:rsid w:val="003A3F35"/>
    <w:rsid w:val="003A4086"/>
    <w:rsid w:val="003A4237"/>
    <w:rsid w:val="003A440D"/>
    <w:rsid w:val="003A4521"/>
    <w:rsid w:val="003A45CA"/>
    <w:rsid w:val="003A4C7F"/>
    <w:rsid w:val="003A4CB3"/>
    <w:rsid w:val="003A5705"/>
    <w:rsid w:val="003A5B67"/>
    <w:rsid w:val="003A5C3B"/>
    <w:rsid w:val="003A5DAA"/>
    <w:rsid w:val="003A5E81"/>
    <w:rsid w:val="003A5EAA"/>
    <w:rsid w:val="003A6540"/>
    <w:rsid w:val="003A6763"/>
    <w:rsid w:val="003A6CD2"/>
    <w:rsid w:val="003A6D1E"/>
    <w:rsid w:val="003A7174"/>
    <w:rsid w:val="003A7207"/>
    <w:rsid w:val="003A745D"/>
    <w:rsid w:val="003A76C8"/>
    <w:rsid w:val="003A77F6"/>
    <w:rsid w:val="003A7D3C"/>
    <w:rsid w:val="003A7F7A"/>
    <w:rsid w:val="003B000C"/>
    <w:rsid w:val="003B0123"/>
    <w:rsid w:val="003B08A6"/>
    <w:rsid w:val="003B0ACE"/>
    <w:rsid w:val="003B0BC4"/>
    <w:rsid w:val="003B0F3F"/>
    <w:rsid w:val="003B1374"/>
    <w:rsid w:val="003B2116"/>
    <w:rsid w:val="003B2ABC"/>
    <w:rsid w:val="003B357B"/>
    <w:rsid w:val="003B3FD6"/>
    <w:rsid w:val="003B40AD"/>
    <w:rsid w:val="003B412C"/>
    <w:rsid w:val="003B460E"/>
    <w:rsid w:val="003B4852"/>
    <w:rsid w:val="003B4B52"/>
    <w:rsid w:val="003B4C7F"/>
    <w:rsid w:val="003B4CE6"/>
    <w:rsid w:val="003B4D00"/>
    <w:rsid w:val="003B4E18"/>
    <w:rsid w:val="003B54E2"/>
    <w:rsid w:val="003B55A3"/>
    <w:rsid w:val="003B55C1"/>
    <w:rsid w:val="003B563C"/>
    <w:rsid w:val="003B56C0"/>
    <w:rsid w:val="003B6132"/>
    <w:rsid w:val="003B6175"/>
    <w:rsid w:val="003B6284"/>
    <w:rsid w:val="003B62E0"/>
    <w:rsid w:val="003B63CE"/>
    <w:rsid w:val="003B675B"/>
    <w:rsid w:val="003B68B4"/>
    <w:rsid w:val="003B69AF"/>
    <w:rsid w:val="003B7045"/>
    <w:rsid w:val="003B7735"/>
    <w:rsid w:val="003B776B"/>
    <w:rsid w:val="003B784D"/>
    <w:rsid w:val="003B7AE7"/>
    <w:rsid w:val="003B7DD4"/>
    <w:rsid w:val="003C007D"/>
    <w:rsid w:val="003C0444"/>
    <w:rsid w:val="003C04C5"/>
    <w:rsid w:val="003C068E"/>
    <w:rsid w:val="003C10F0"/>
    <w:rsid w:val="003C129A"/>
    <w:rsid w:val="003C1728"/>
    <w:rsid w:val="003C19E1"/>
    <w:rsid w:val="003C1CAF"/>
    <w:rsid w:val="003C1DA3"/>
    <w:rsid w:val="003C1E7F"/>
    <w:rsid w:val="003C1EA7"/>
    <w:rsid w:val="003C2228"/>
    <w:rsid w:val="003C22E2"/>
    <w:rsid w:val="003C27DF"/>
    <w:rsid w:val="003C2D97"/>
    <w:rsid w:val="003C2E47"/>
    <w:rsid w:val="003C2EA3"/>
    <w:rsid w:val="003C2ED2"/>
    <w:rsid w:val="003C35D9"/>
    <w:rsid w:val="003C3655"/>
    <w:rsid w:val="003C365A"/>
    <w:rsid w:val="003C38CD"/>
    <w:rsid w:val="003C42A4"/>
    <w:rsid w:val="003C4448"/>
    <w:rsid w:val="003C445B"/>
    <w:rsid w:val="003C449F"/>
    <w:rsid w:val="003C4832"/>
    <w:rsid w:val="003C4D9E"/>
    <w:rsid w:val="003C4E22"/>
    <w:rsid w:val="003C4F5C"/>
    <w:rsid w:val="003C5196"/>
    <w:rsid w:val="003C544C"/>
    <w:rsid w:val="003C56AD"/>
    <w:rsid w:val="003C575C"/>
    <w:rsid w:val="003C58EA"/>
    <w:rsid w:val="003C5BC0"/>
    <w:rsid w:val="003C6166"/>
    <w:rsid w:val="003C644A"/>
    <w:rsid w:val="003C6E25"/>
    <w:rsid w:val="003C6F57"/>
    <w:rsid w:val="003C752F"/>
    <w:rsid w:val="003C7581"/>
    <w:rsid w:val="003C7823"/>
    <w:rsid w:val="003C786D"/>
    <w:rsid w:val="003C7C01"/>
    <w:rsid w:val="003D047E"/>
    <w:rsid w:val="003D04F6"/>
    <w:rsid w:val="003D057E"/>
    <w:rsid w:val="003D0AA3"/>
    <w:rsid w:val="003D0E14"/>
    <w:rsid w:val="003D1374"/>
    <w:rsid w:val="003D159C"/>
    <w:rsid w:val="003D17F6"/>
    <w:rsid w:val="003D18FF"/>
    <w:rsid w:val="003D1B28"/>
    <w:rsid w:val="003D1EB4"/>
    <w:rsid w:val="003D1FF7"/>
    <w:rsid w:val="003D2542"/>
    <w:rsid w:val="003D2C2E"/>
    <w:rsid w:val="003D2E86"/>
    <w:rsid w:val="003D3518"/>
    <w:rsid w:val="003D3689"/>
    <w:rsid w:val="003D393E"/>
    <w:rsid w:val="003D3B58"/>
    <w:rsid w:val="003D3C5B"/>
    <w:rsid w:val="003D3DB5"/>
    <w:rsid w:val="003D3E32"/>
    <w:rsid w:val="003D3FB9"/>
    <w:rsid w:val="003D4120"/>
    <w:rsid w:val="003D450E"/>
    <w:rsid w:val="003D46A4"/>
    <w:rsid w:val="003D4816"/>
    <w:rsid w:val="003D4860"/>
    <w:rsid w:val="003D4B91"/>
    <w:rsid w:val="003D4BDE"/>
    <w:rsid w:val="003D5500"/>
    <w:rsid w:val="003D57F5"/>
    <w:rsid w:val="003D5D98"/>
    <w:rsid w:val="003D5DD7"/>
    <w:rsid w:val="003D60C2"/>
    <w:rsid w:val="003D6554"/>
    <w:rsid w:val="003D6BA0"/>
    <w:rsid w:val="003D6D47"/>
    <w:rsid w:val="003D72D1"/>
    <w:rsid w:val="003D76B5"/>
    <w:rsid w:val="003D783C"/>
    <w:rsid w:val="003D7920"/>
    <w:rsid w:val="003D7AEA"/>
    <w:rsid w:val="003D7B55"/>
    <w:rsid w:val="003E0182"/>
    <w:rsid w:val="003E03DD"/>
    <w:rsid w:val="003E06DF"/>
    <w:rsid w:val="003E0C6E"/>
    <w:rsid w:val="003E0D94"/>
    <w:rsid w:val="003E11C7"/>
    <w:rsid w:val="003E14A5"/>
    <w:rsid w:val="003E1DF3"/>
    <w:rsid w:val="003E1F7C"/>
    <w:rsid w:val="003E1F8C"/>
    <w:rsid w:val="003E2755"/>
    <w:rsid w:val="003E2CA0"/>
    <w:rsid w:val="003E2D58"/>
    <w:rsid w:val="003E2E4A"/>
    <w:rsid w:val="003E2FAB"/>
    <w:rsid w:val="003E3310"/>
    <w:rsid w:val="003E3AA8"/>
    <w:rsid w:val="003E3AF4"/>
    <w:rsid w:val="003E3C70"/>
    <w:rsid w:val="003E3DEE"/>
    <w:rsid w:val="003E40F3"/>
    <w:rsid w:val="003E434D"/>
    <w:rsid w:val="003E43FA"/>
    <w:rsid w:val="003E48BA"/>
    <w:rsid w:val="003E4A34"/>
    <w:rsid w:val="003E4A4E"/>
    <w:rsid w:val="003E4AC3"/>
    <w:rsid w:val="003E4E28"/>
    <w:rsid w:val="003E5B0B"/>
    <w:rsid w:val="003E5CC5"/>
    <w:rsid w:val="003E63DC"/>
    <w:rsid w:val="003E6509"/>
    <w:rsid w:val="003E694B"/>
    <w:rsid w:val="003E6A15"/>
    <w:rsid w:val="003E71E7"/>
    <w:rsid w:val="003E7383"/>
    <w:rsid w:val="003E746B"/>
    <w:rsid w:val="003E7E2D"/>
    <w:rsid w:val="003E7FAB"/>
    <w:rsid w:val="003F031A"/>
    <w:rsid w:val="003F07D0"/>
    <w:rsid w:val="003F0A51"/>
    <w:rsid w:val="003F0B32"/>
    <w:rsid w:val="003F0B96"/>
    <w:rsid w:val="003F0FEE"/>
    <w:rsid w:val="003F1113"/>
    <w:rsid w:val="003F121F"/>
    <w:rsid w:val="003F13FC"/>
    <w:rsid w:val="003F1599"/>
    <w:rsid w:val="003F1B26"/>
    <w:rsid w:val="003F1D4E"/>
    <w:rsid w:val="003F1EDC"/>
    <w:rsid w:val="003F204E"/>
    <w:rsid w:val="003F2248"/>
    <w:rsid w:val="003F2320"/>
    <w:rsid w:val="003F2EA2"/>
    <w:rsid w:val="003F2EED"/>
    <w:rsid w:val="003F30BB"/>
    <w:rsid w:val="003F3391"/>
    <w:rsid w:val="003F33FB"/>
    <w:rsid w:val="003F346E"/>
    <w:rsid w:val="003F3501"/>
    <w:rsid w:val="003F3806"/>
    <w:rsid w:val="003F3DAB"/>
    <w:rsid w:val="003F3EA1"/>
    <w:rsid w:val="003F41BA"/>
    <w:rsid w:val="003F4249"/>
    <w:rsid w:val="003F446B"/>
    <w:rsid w:val="003F4604"/>
    <w:rsid w:val="003F4AA7"/>
    <w:rsid w:val="003F5100"/>
    <w:rsid w:val="003F5175"/>
    <w:rsid w:val="003F51FF"/>
    <w:rsid w:val="003F54C0"/>
    <w:rsid w:val="003F54D0"/>
    <w:rsid w:val="003F54D7"/>
    <w:rsid w:val="003F55B2"/>
    <w:rsid w:val="003F580A"/>
    <w:rsid w:val="003F5B9A"/>
    <w:rsid w:val="003F5EBC"/>
    <w:rsid w:val="003F676C"/>
    <w:rsid w:val="003F69BF"/>
    <w:rsid w:val="003F6F56"/>
    <w:rsid w:val="003F6FA3"/>
    <w:rsid w:val="003F718E"/>
    <w:rsid w:val="003F7675"/>
    <w:rsid w:val="00400310"/>
    <w:rsid w:val="0040065A"/>
    <w:rsid w:val="0040087C"/>
    <w:rsid w:val="004008E2"/>
    <w:rsid w:val="00400D8F"/>
    <w:rsid w:val="004011D3"/>
    <w:rsid w:val="00401331"/>
    <w:rsid w:val="00401574"/>
    <w:rsid w:val="00401971"/>
    <w:rsid w:val="00401C3E"/>
    <w:rsid w:val="00401F64"/>
    <w:rsid w:val="00402680"/>
    <w:rsid w:val="00402758"/>
    <w:rsid w:val="004027A7"/>
    <w:rsid w:val="00402961"/>
    <w:rsid w:val="00402E84"/>
    <w:rsid w:val="00402FDD"/>
    <w:rsid w:val="004033AC"/>
    <w:rsid w:val="00403493"/>
    <w:rsid w:val="004034EF"/>
    <w:rsid w:val="00403651"/>
    <w:rsid w:val="00403D9A"/>
    <w:rsid w:val="00403ED9"/>
    <w:rsid w:val="00403F38"/>
    <w:rsid w:val="0040440D"/>
    <w:rsid w:val="00404837"/>
    <w:rsid w:val="00404908"/>
    <w:rsid w:val="0040504E"/>
    <w:rsid w:val="00405145"/>
    <w:rsid w:val="004055C1"/>
    <w:rsid w:val="00405631"/>
    <w:rsid w:val="0040567D"/>
    <w:rsid w:val="00405844"/>
    <w:rsid w:val="00405DB3"/>
    <w:rsid w:val="00405DC2"/>
    <w:rsid w:val="00405EBE"/>
    <w:rsid w:val="0040638F"/>
    <w:rsid w:val="004064E0"/>
    <w:rsid w:val="0040713B"/>
    <w:rsid w:val="004075AF"/>
    <w:rsid w:val="00407685"/>
    <w:rsid w:val="0041059A"/>
    <w:rsid w:val="00410618"/>
    <w:rsid w:val="00410746"/>
    <w:rsid w:val="00410B18"/>
    <w:rsid w:val="00411071"/>
    <w:rsid w:val="004110C6"/>
    <w:rsid w:val="004112E1"/>
    <w:rsid w:val="00411327"/>
    <w:rsid w:val="004118B6"/>
    <w:rsid w:val="00411AE2"/>
    <w:rsid w:val="00411B17"/>
    <w:rsid w:val="00411C4B"/>
    <w:rsid w:val="00411D0F"/>
    <w:rsid w:val="00412306"/>
    <w:rsid w:val="0041250B"/>
    <w:rsid w:val="00412BEF"/>
    <w:rsid w:val="00412D56"/>
    <w:rsid w:val="00412D9C"/>
    <w:rsid w:val="00412DC1"/>
    <w:rsid w:val="00412DE5"/>
    <w:rsid w:val="00412EEE"/>
    <w:rsid w:val="004134D7"/>
    <w:rsid w:val="00413A9E"/>
    <w:rsid w:val="00413CE5"/>
    <w:rsid w:val="00413D3F"/>
    <w:rsid w:val="00413E42"/>
    <w:rsid w:val="00413EF1"/>
    <w:rsid w:val="00414088"/>
    <w:rsid w:val="0041454D"/>
    <w:rsid w:val="00414752"/>
    <w:rsid w:val="00414D05"/>
    <w:rsid w:val="00414D6E"/>
    <w:rsid w:val="0041561A"/>
    <w:rsid w:val="004157E2"/>
    <w:rsid w:val="00415A14"/>
    <w:rsid w:val="00415A8C"/>
    <w:rsid w:val="00415B3B"/>
    <w:rsid w:val="00415F3A"/>
    <w:rsid w:val="00416176"/>
    <w:rsid w:val="004162F2"/>
    <w:rsid w:val="004163A9"/>
    <w:rsid w:val="004163DC"/>
    <w:rsid w:val="00416A8D"/>
    <w:rsid w:val="00416CC6"/>
    <w:rsid w:val="00416CD6"/>
    <w:rsid w:val="00416D3A"/>
    <w:rsid w:val="00416D7F"/>
    <w:rsid w:val="0041708E"/>
    <w:rsid w:val="004172DF"/>
    <w:rsid w:val="004173FF"/>
    <w:rsid w:val="00417443"/>
    <w:rsid w:val="00417501"/>
    <w:rsid w:val="004179D6"/>
    <w:rsid w:val="00417DFD"/>
    <w:rsid w:val="004201ED"/>
    <w:rsid w:val="00420549"/>
    <w:rsid w:val="004207BD"/>
    <w:rsid w:val="004211B4"/>
    <w:rsid w:val="00421278"/>
    <w:rsid w:val="00421304"/>
    <w:rsid w:val="00421650"/>
    <w:rsid w:val="00421BDB"/>
    <w:rsid w:val="00421D35"/>
    <w:rsid w:val="00421E39"/>
    <w:rsid w:val="00421FA7"/>
    <w:rsid w:val="00422067"/>
    <w:rsid w:val="004222BF"/>
    <w:rsid w:val="00422716"/>
    <w:rsid w:val="00423715"/>
    <w:rsid w:val="0042383B"/>
    <w:rsid w:val="00423E5F"/>
    <w:rsid w:val="00424327"/>
    <w:rsid w:val="0042467B"/>
    <w:rsid w:val="00424ABA"/>
    <w:rsid w:val="00424DA3"/>
    <w:rsid w:val="004250A4"/>
    <w:rsid w:val="004256E7"/>
    <w:rsid w:val="004258A9"/>
    <w:rsid w:val="00425C93"/>
    <w:rsid w:val="00425DC8"/>
    <w:rsid w:val="00425F55"/>
    <w:rsid w:val="0042647C"/>
    <w:rsid w:val="004266DC"/>
    <w:rsid w:val="00426B4A"/>
    <w:rsid w:val="00426C4B"/>
    <w:rsid w:val="00426FA6"/>
    <w:rsid w:val="004270A9"/>
    <w:rsid w:val="004271E8"/>
    <w:rsid w:val="0042789B"/>
    <w:rsid w:val="00427D45"/>
    <w:rsid w:val="00427E0A"/>
    <w:rsid w:val="00427EE1"/>
    <w:rsid w:val="004300D9"/>
    <w:rsid w:val="004301EA"/>
    <w:rsid w:val="00430335"/>
    <w:rsid w:val="00430363"/>
    <w:rsid w:val="00430440"/>
    <w:rsid w:val="00430AE2"/>
    <w:rsid w:val="00430AFB"/>
    <w:rsid w:val="00430D3C"/>
    <w:rsid w:val="00430F1E"/>
    <w:rsid w:val="004312EF"/>
    <w:rsid w:val="00431514"/>
    <w:rsid w:val="00431646"/>
    <w:rsid w:val="004316DA"/>
    <w:rsid w:val="00431759"/>
    <w:rsid w:val="00431978"/>
    <w:rsid w:val="00431CE8"/>
    <w:rsid w:val="0043218B"/>
    <w:rsid w:val="004321B2"/>
    <w:rsid w:val="004324CC"/>
    <w:rsid w:val="00432C01"/>
    <w:rsid w:val="00432FDC"/>
    <w:rsid w:val="00433000"/>
    <w:rsid w:val="00433207"/>
    <w:rsid w:val="0043327B"/>
    <w:rsid w:val="004333CB"/>
    <w:rsid w:val="0043370E"/>
    <w:rsid w:val="00433A7F"/>
    <w:rsid w:val="00433AE0"/>
    <w:rsid w:val="0043412A"/>
    <w:rsid w:val="00434527"/>
    <w:rsid w:val="00434C82"/>
    <w:rsid w:val="00434CD5"/>
    <w:rsid w:val="00435750"/>
    <w:rsid w:val="0043581E"/>
    <w:rsid w:val="0043589C"/>
    <w:rsid w:val="00435ACC"/>
    <w:rsid w:val="00435B95"/>
    <w:rsid w:val="004360EF"/>
    <w:rsid w:val="00436120"/>
    <w:rsid w:val="0043615F"/>
    <w:rsid w:val="004361E3"/>
    <w:rsid w:val="00436754"/>
    <w:rsid w:val="0043682E"/>
    <w:rsid w:val="00436D31"/>
    <w:rsid w:val="004370E5"/>
    <w:rsid w:val="0043711F"/>
    <w:rsid w:val="00437189"/>
    <w:rsid w:val="00437364"/>
    <w:rsid w:val="0043781F"/>
    <w:rsid w:val="0043795D"/>
    <w:rsid w:val="00437CDD"/>
    <w:rsid w:val="00437E4A"/>
    <w:rsid w:val="0044001B"/>
    <w:rsid w:val="00440235"/>
    <w:rsid w:val="0044047A"/>
    <w:rsid w:val="004408B2"/>
    <w:rsid w:val="00441500"/>
    <w:rsid w:val="00441C97"/>
    <w:rsid w:val="004421AD"/>
    <w:rsid w:val="004422A1"/>
    <w:rsid w:val="004426D0"/>
    <w:rsid w:val="004426FF"/>
    <w:rsid w:val="0044290B"/>
    <w:rsid w:val="00443060"/>
    <w:rsid w:val="00443193"/>
    <w:rsid w:val="0044339B"/>
    <w:rsid w:val="0044359A"/>
    <w:rsid w:val="004436B9"/>
    <w:rsid w:val="00443780"/>
    <w:rsid w:val="00443D46"/>
    <w:rsid w:val="00443DC5"/>
    <w:rsid w:val="00444491"/>
    <w:rsid w:val="00444AC3"/>
    <w:rsid w:val="00444AE9"/>
    <w:rsid w:val="00445319"/>
    <w:rsid w:val="00445488"/>
    <w:rsid w:val="004455AB"/>
    <w:rsid w:val="0044577B"/>
    <w:rsid w:val="00445878"/>
    <w:rsid w:val="004459EF"/>
    <w:rsid w:val="00445B8F"/>
    <w:rsid w:val="0044653F"/>
    <w:rsid w:val="00446964"/>
    <w:rsid w:val="00446B0A"/>
    <w:rsid w:val="00446D61"/>
    <w:rsid w:val="00446DA7"/>
    <w:rsid w:val="00447372"/>
    <w:rsid w:val="004474B8"/>
    <w:rsid w:val="004477BC"/>
    <w:rsid w:val="00450007"/>
    <w:rsid w:val="00450075"/>
    <w:rsid w:val="0045029B"/>
    <w:rsid w:val="00450940"/>
    <w:rsid w:val="00450D07"/>
    <w:rsid w:val="00450EF8"/>
    <w:rsid w:val="004511D1"/>
    <w:rsid w:val="004513D9"/>
    <w:rsid w:val="00451514"/>
    <w:rsid w:val="0045157C"/>
    <w:rsid w:val="00451874"/>
    <w:rsid w:val="00451E2E"/>
    <w:rsid w:val="00451F56"/>
    <w:rsid w:val="00452344"/>
    <w:rsid w:val="004529AE"/>
    <w:rsid w:val="00452E7B"/>
    <w:rsid w:val="00453368"/>
    <w:rsid w:val="004533F1"/>
    <w:rsid w:val="0045382A"/>
    <w:rsid w:val="0045395F"/>
    <w:rsid w:val="00453D07"/>
    <w:rsid w:val="00453FD2"/>
    <w:rsid w:val="00454105"/>
    <w:rsid w:val="00454177"/>
    <w:rsid w:val="0045465A"/>
    <w:rsid w:val="00454F8D"/>
    <w:rsid w:val="00455007"/>
    <w:rsid w:val="004554CE"/>
    <w:rsid w:val="004555B6"/>
    <w:rsid w:val="00455741"/>
    <w:rsid w:val="00455BA2"/>
    <w:rsid w:val="00455C34"/>
    <w:rsid w:val="00455F81"/>
    <w:rsid w:val="004563BE"/>
    <w:rsid w:val="004568B2"/>
    <w:rsid w:val="004569AC"/>
    <w:rsid w:val="00456A28"/>
    <w:rsid w:val="00456C90"/>
    <w:rsid w:val="00456CC0"/>
    <w:rsid w:val="00456F42"/>
    <w:rsid w:val="00457061"/>
    <w:rsid w:val="004574F0"/>
    <w:rsid w:val="00457511"/>
    <w:rsid w:val="00457794"/>
    <w:rsid w:val="004577B9"/>
    <w:rsid w:val="00457AA3"/>
    <w:rsid w:val="0046005D"/>
    <w:rsid w:val="00460587"/>
    <w:rsid w:val="004609A0"/>
    <w:rsid w:val="00460EEA"/>
    <w:rsid w:val="004616F4"/>
    <w:rsid w:val="004619CE"/>
    <w:rsid w:val="00461B27"/>
    <w:rsid w:val="00461FF0"/>
    <w:rsid w:val="00462055"/>
    <w:rsid w:val="0046224C"/>
    <w:rsid w:val="0046227F"/>
    <w:rsid w:val="004622B9"/>
    <w:rsid w:val="00462940"/>
    <w:rsid w:val="00462A87"/>
    <w:rsid w:val="00462C54"/>
    <w:rsid w:val="004631AD"/>
    <w:rsid w:val="00463989"/>
    <w:rsid w:val="00463A90"/>
    <w:rsid w:val="00463CB7"/>
    <w:rsid w:val="00463CD3"/>
    <w:rsid w:val="00463F83"/>
    <w:rsid w:val="00464046"/>
    <w:rsid w:val="004640D5"/>
    <w:rsid w:val="00464130"/>
    <w:rsid w:val="004641E1"/>
    <w:rsid w:val="00464E15"/>
    <w:rsid w:val="00464E94"/>
    <w:rsid w:val="00465C49"/>
    <w:rsid w:val="00465D76"/>
    <w:rsid w:val="004660BE"/>
    <w:rsid w:val="004660FF"/>
    <w:rsid w:val="00466196"/>
    <w:rsid w:val="004665F2"/>
    <w:rsid w:val="004667FF"/>
    <w:rsid w:val="00466983"/>
    <w:rsid w:val="00466F53"/>
    <w:rsid w:val="0046704C"/>
    <w:rsid w:val="0046739E"/>
    <w:rsid w:val="0046778C"/>
    <w:rsid w:val="004679D5"/>
    <w:rsid w:val="00467AA4"/>
    <w:rsid w:val="00467ACB"/>
    <w:rsid w:val="00467BC4"/>
    <w:rsid w:val="00467E4F"/>
    <w:rsid w:val="00470041"/>
    <w:rsid w:val="0047077B"/>
    <w:rsid w:val="00470A7A"/>
    <w:rsid w:val="00471516"/>
    <w:rsid w:val="00471618"/>
    <w:rsid w:val="00471B30"/>
    <w:rsid w:val="0047235E"/>
    <w:rsid w:val="004724F0"/>
    <w:rsid w:val="0047264E"/>
    <w:rsid w:val="004728EA"/>
    <w:rsid w:val="00472DF1"/>
    <w:rsid w:val="00473033"/>
    <w:rsid w:val="00473284"/>
    <w:rsid w:val="00473438"/>
    <w:rsid w:val="004734AE"/>
    <w:rsid w:val="00473894"/>
    <w:rsid w:val="00473948"/>
    <w:rsid w:val="00473A64"/>
    <w:rsid w:val="00473AD1"/>
    <w:rsid w:val="00473B02"/>
    <w:rsid w:val="00473B18"/>
    <w:rsid w:val="00473CBB"/>
    <w:rsid w:val="00473F18"/>
    <w:rsid w:val="00473FC0"/>
    <w:rsid w:val="00474351"/>
    <w:rsid w:val="00474876"/>
    <w:rsid w:val="00474912"/>
    <w:rsid w:val="00474C9C"/>
    <w:rsid w:val="0047506F"/>
    <w:rsid w:val="00475254"/>
    <w:rsid w:val="004752E0"/>
    <w:rsid w:val="004753EC"/>
    <w:rsid w:val="004755E5"/>
    <w:rsid w:val="0047560C"/>
    <w:rsid w:val="0047590F"/>
    <w:rsid w:val="00475E91"/>
    <w:rsid w:val="004764BC"/>
    <w:rsid w:val="0047655D"/>
    <w:rsid w:val="004802F1"/>
    <w:rsid w:val="00480695"/>
    <w:rsid w:val="00480917"/>
    <w:rsid w:val="00480D58"/>
    <w:rsid w:val="00481289"/>
    <w:rsid w:val="004812FE"/>
    <w:rsid w:val="0048183B"/>
    <w:rsid w:val="00481BA4"/>
    <w:rsid w:val="00481D0C"/>
    <w:rsid w:val="00482084"/>
    <w:rsid w:val="00482563"/>
    <w:rsid w:val="004829EA"/>
    <w:rsid w:val="00482AAB"/>
    <w:rsid w:val="00482F2D"/>
    <w:rsid w:val="00483195"/>
    <w:rsid w:val="00483332"/>
    <w:rsid w:val="0048343C"/>
    <w:rsid w:val="00483515"/>
    <w:rsid w:val="00483BEF"/>
    <w:rsid w:val="00483CFA"/>
    <w:rsid w:val="00484010"/>
    <w:rsid w:val="004840FC"/>
    <w:rsid w:val="004841CC"/>
    <w:rsid w:val="00484857"/>
    <w:rsid w:val="00484943"/>
    <w:rsid w:val="00484CD4"/>
    <w:rsid w:val="00484E08"/>
    <w:rsid w:val="00485170"/>
    <w:rsid w:val="00485354"/>
    <w:rsid w:val="004853CD"/>
    <w:rsid w:val="00485705"/>
    <w:rsid w:val="00485AAD"/>
    <w:rsid w:val="00485C73"/>
    <w:rsid w:val="00485CDE"/>
    <w:rsid w:val="00485E70"/>
    <w:rsid w:val="00486106"/>
    <w:rsid w:val="004861D3"/>
    <w:rsid w:val="004862A5"/>
    <w:rsid w:val="004863B6"/>
    <w:rsid w:val="00486BA0"/>
    <w:rsid w:val="00486C42"/>
    <w:rsid w:val="00486E97"/>
    <w:rsid w:val="00486FDB"/>
    <w:rsid w:val="00487180"/>
    <w:rsid w:val="00487517"/>
    <w:rsid w:val="004878EC"/>
    <w:rsid w:val="00487E21"/>
    <w:rsid w:val="0049008D"/>
    <w:rsid w:val="00490399"/>
    <w:rsid w:val="00490457"/>
    <w:rsid w:val="00490546"/>
    <w:rsid w:val="004906AA"/>
    <w:rsid w:val="00490F13"/>
    <w:rsid w:val="004914D3"/>
    <w:rsid w:val="004915EE"/>
    <w:rsid w:val="00491A3F"/>
    <w:rsid w:val="00491F72"/>
    <w:rsid w:val="004926F6"/>
    <w:rsid w:val="00492777"/>
    <w:rsid w:val="00492BAC"/>
    <w:rsid w:val="00492C51"/>
    <w:rsid w:val="00492D19"/>
    <w:rsid w:val="00492D2D"/>
    <w:rsid w:val="00493624"/>
    <w:rsid w:val="00493676"/>
    <w:rsid w:val="00494930"/>
    <w:rsid w:val="00494D45"/>
    <w:rsid w:val="00494E65"/>
    <w:rsid w:val="004952C8"/>
    <w:rsid w:val="004953AB"/>
    <w:rsid w:val="00495491"/>
    <w:rsid w:val="00495719"/>
    <w:rsid w:val="00495735"/>
    <w:rsid w:val="00496077"/>
    <w:rsid w:val="00496501"/>
    <w:rsid w:val="00496704"/>
    <w:rsid w:val="0049674E"/>
    <w:rsid w:val="004967A5"/>
    <w:rsid w:val="004967E2"/>
    <w:rsid w:val="00496E65"/>
    <w:rsid w:val="00496FB4"/>
    <w:rsid w:val="004972E8"/>
    <w:rsid w:val="00497421"/>
    <w:rsid w:val="00497826"/>
    <w:rsid w:val="004979F7"/>
    <w:rsid w:val="004A0172"/>
    <w:rsid w:val="004A029A"/>
    <w:rsid w:val="004A041A"/>
    <w:rsid w:val="004A04C3"/>
    <w:rsid w:val="004A0621"/>
    <w:rsid w:val="004A06D7"/>
    <w:rsid w:val="004A0A35"/>
    <w:rsid w:val="004A0C98"/>
    <w:rsid w:val="004A0E4A"/>
    <w:rsid w:val="004A0F51"/>
    <w:rsid w:val="004A0FF2"/>
    <w:rsid w:val="004A10B0"/>
    <w:rsid w:val="004A1B5C"/>
    <w:rsid w:val="004A1D2C"/>
    <w:rsid w:val="004A213A"/>
    <w:rsid w:val="004A2369"/>
    <w:rsid w:val="004A238D"/>
    <w:rsid w:val="004A23A8"/>
    <w:rsid w:val="004A23E0"/>
    <w:rsid w:val="004A265C"/>
    <w:rsid w:val="004A2892"/>
    <w:rsid w:val="004A28AA"/>
    <w:rsid w:val="004A29A4"/>
    <w:rsid w:val="004A29D7"/>
    <w:rsid w:val="004A2A41"/>
    <w:rsid w:val="004A2D78"/>
    <w:rsid w:val="004A31B2"/>
    <w:rsid w:val="004A337F"/>
    <w:rsid w:val="004A33A7"/>
    <w:rsid w:val="004A377E"/>
    <w:rsid w:val="004A38A7"/>
    <w:rsid w:val="004A3BAC"/>
    <w:rsid w:val="004A3F01"/>
    <w:rsid w:val="004A3F29"/>
    <w:rsid w:val="004A40A1"/>
    <w:rsid w:val="004A437E"/>
    <w:rsid w:val="004A4727"/>
    <w:rsid w:val="004A4A01"/>
    <w:rsid w:val="004A4AF9"/>
    <w:rsid w:val="004A4B93"/>
    <w:rsid w:val="004A4CC4"/>
    <w:rsid w:val="004A4CDA"/>
    <w:rsid w:val="004A4CDF"/>
    <w:rsid w:val="004A4E2A"/>
    <w:rsid w:val="004A4E84"/>
    <w:rsid w:val="004A4EBF"/>
    <w:rsid w:val="004A50E3"/>
    <w:rsid w:val="004A521B"/>
    <w:rsid w:val="004A5557"/>
    <w:rsid w:val="004A600E"/>
    <w:rsid w:val="004A6884"/>
    <w:rsid w:val="004A694E"/>
    <w:rsid w:val="004A697F"/>
    <w:rsid w:val="004A6F01"/>
    <w:rsid w:val="004A780A"/>
    <w:rsid w:val="004A7BFE"/>
    <w:rsid w:val="004A7C41"/>
    <w:rsid w:val="004A7C4E"/>
    <w:rsid w:val="004B0299"/>
    <w:rsid w:val="004B03E3"/>
    <w:rsid w:val="004B055F"/>
    <w:rsid w:val="004B0CFE"/>
    <w:rsid w:val="004B0D1A"/>
    <w:rsid w:val="004B0D59"/>
    <w:rsid w:val="004B10F4"/>
    <w:rsid w:val="004B1280"/>
    <w:rsid w:val="004B1B13"/>
    <w:rsid w:val="004B2DA8"/>
    <w:rsid w:val="004B3324"/>
    <w:rsid w:val="004B3396"/>
    <w:rsid w:val="004B366E"/>
    <w:rsid w:val="004B38AB"/>
    <w:rsid w:val="004B3E55"/>
    <w:rsid w:val="004B4021"/>
    <w:rsid w:val="004B43FB"/>
    <w:rsid w:val="004B441D"/>
    <w:rsid w:val="004B4560"/>
    <w:rsid w:val="004B493C"/>
    <w:rsid w:val="004B4ADE"/>
    <w:rsid w:val="004B6273"/>
    <w:rsid w:val="004B6898"/>
    <w:rsid w:val="004B6A80"/>
    <w:rsid w:val="004B6F62"/>
    <w:rsid w:val="004B6FC8"/>
    <w:rsid w:val="004B7E46"/>
    <w:rsid w:val="004C03DD"/>
    <w:rsid w:val="004C05A6"/>
    <w:rsid w:val="004C0688"/>
    <w:rsid w:val="004C0F18"/>
    <w:rsid w:val="004C1128"/>
    <w:rsid w:val="004C113A"/>
    <w:rsid w:val="004C1254"/>
    <w:rsid w:val="004C12D9"/>
    <w:rsid w:val="004C175C"/>
    <w:rsid w:val="004C18C1"/>
    <w:rsid w:val="004C1AE5"/>
    <w:rsid w:val="004C1DAC"/>
    <w:rsid w:val="004C201C"/>
    <w:rsid w:val="004C21ED"/>
    <w:rsid w:val="004C2E64"/>
    <w:rsid w:val="004C2FFA"/>
    <w:rsid w:val="004C34BF"/>
    <w:rsid w:val="004C3866"/>
    <w:rsid w:val="004C4060"/>
    <w:rsid w:val="004C468E"/>
    <w:rsid w:val="004C488E"/>
    <w:rsid w:val="004C49BF"/>
    <w:rsid w:val="004C49D0"/>
    <w:rsid w:val="004C4D36"/>
    <w:rsid w:val="004C5112"/>
    <w:rsid w:val="004C530C"/>
    <w:rsid w:val="004C5333"/>
    <w:rsid w:val="004C5662"/>
    <w:rsid w:val="004C5DD1"/>
    <w:rsid w:val="004C5E3B"/>
    <w:rsid w:val="004C5E78"/>
    <w:rsid w:val="004C61AF"/>
    <w:rsid w:val="004C625B"/>
    <w:rsid w:val="004C62FA"/>
    <w:rsid w:val="004C6EEE"/>
    <w:rsid w:val="004C6FD0"/>
    <w:rsid w:val="004C74C0"/>
    <w:rsid w:val="004C755C"/>
    <w:rsid w:val="004C7562"/>
    <w:rsid w:val="004C7AFC"/>
    <w:rsid w:val="004C7EFC"/>
    <w:rsid w:val="004C7FC8"/>
    <w:rsid w:val="004D082F"/>
    <w:rsid w:val="004D0B33"/>
    <w:rsid w:val="004D0BE5"/>
    <w:rsid w:val="004D0CD2"/>
    <w:rsid w:val="004D111D"/>
    <w:rsid w:val="004D1298"/>
    <w:rsid w:val="004D1B82"/>
    <w:rsid w:val="004D2260"/>
    <w:rsid w:val="004D2267"/>
    <w:rsid w:val="004D227D"/>
    <w:rsid w:val="004D253A"/>
    <w:rsid w:val="004D2625"/>
    <w:rsid w:val="004D28D8"/>
    <w:rsid w:val="004D2A31"/>
    <w:rsid w:val="004D2F4E"/>
    <w:rsid w:val="004D30FB"/>
    <w:rsid w:val="004D328C"/>
    <w:rsid w:val="004D3757"/>
    <w:rsid w:val="004D38F3"/>
    <w:rsid w:val="004D39CC"/>
    <w:rsid w:val="004D3E92"/>
    <w:rsid w:val="004D41A0"/>
    <w:rsid w:val="004D430D"/>
    <w:rsid w:val="004D4712"/>
    <w:rsid w:val="004D4E06"/>
    <w:rsid w:val="004D519B"/>
    <w:rsid w:val="004D5299"/>
    <w:rsid w:val="004D52F9"/>
    <w:rsid w:val="004D5636"/>
    <w:rsid w:val="004D56F4"/>
    <w:rsid w:val="004D571F"/>
    <w:rsid w:val="004D588A"/>
    <w:rsid w:val="004D59BF"/>
    <w:rsid w:val="004D5C81"/>
    <w:rsid w:val="004D5D55"/>
    <w:rsid w:val="004D5E1F"/>
    <w:rsid w:val="004D626A"/>
    <w:rsid w:val="004D656D"/>
    <w:rsid w:val="004D74D0"/>
    <w:rsid w:val="004D750A"/>
    <w:rsid w:val="004D790A"/>
    <w:rsid w:val="004D7FC9"/>
    <w:rsid w:val="004E04BC"/>
    <w:rsid w:val="004E0CD2"/>
    <w:rsid w:val="004E0E5C"/>
    <w:rsid w:val="004E0EBA"/>
    <w:rsid w:val="004E1448"/>
    <w:rsid w:val="004E14C1"/>
    <w:rsid w:val="004E1695"/>
    <w:rsid w:val="004E169F"/>
    <w:rsid w:val="004E1A34"/>
    <w:rsid w:val="004E1CD3"/>
    <w:rsid w:val="004E1D2B"/>
    <w:rsid w:val="004E225A"/>
    <w:rsid w:val="004E2E4D"/>
    <w:rsid w:val="004E38D9"/>
    <w:rsid w:val="004E3BB0"/>
    <w:rsid w:val="004E3D93"/>
    <w:rsid w:val="004E3EB1"/>
    <w:rsid w:val="004E3FF9"/>
    <w:rsid w:val="004E401D"/>
    <w:rsid w:val="004E40D3"/>
    <w:rsid w:val="004E4239"/>
    <w:rsid w:val="004E4586"/>
    <w:rsid w:val="004E47DA"/>
    <w:rsid w:val="004E4E69"/>
    <w:rsid w:val="004E503A"/>
    <w:rsid w:val="004E564A"/>
    <w:rsid w:val="004E5E68"/>
    <w:rsid w:val="004E62E9"/>
    <w:rsid w:val="004E663E"/>
    <w:rsid w:val="004E718E"/>
    <w:rsid w:val="004E77B7"/>
    <w:rsid w:val="004E7B79"/>
    <w:rsid w:val="004F0119"/>
    <w:rsid w:val="004F0198"/>
    <w:rsid w:val="004F09F9"/>
    <w:rsid w:val="004F13D5"/>
    <w:rsid w:val="004F163D"/>
    <w:rsid w:val="004F1A0D"/>
    <w:rsid w:val="004F1A60"/>
    <w:rsid w:val="004F1C1A"/>
    <w:rsid w:val="004F1E0C"/>
    <w:rsid w:val="004F1FB9"/>
    <w:rsid w:val="004F279A"/>
    <w:rsid w:val="004F28A8"/>
    <w:rsid w:val="004F3064"/>
    <w:rsid w:val="004F35D3"/>
    <w:rsid w:val="004F3911"/>
    <w:rsid w:val="004F3AB0"/>
    <w:rsid w:val="004F3BB3"/>
    <w:rsid w:val="004F3D74"/>
    <w:rsid w:val="004F457F"/>
    <w:rsid w:val="004F48BB"/>
    <w:rsid w:val="004F48EB"/>
    <w:rsid w:val="004F4D56"/>
    <w:rsid w:val="004F4EC0"/>
    <w:rsid w:val="004F4FB9"/>
    <w:rsid w:val="004F522A"/>
    <w:rsid w:val="004F52BB"/>
    <w:rsid w:val="004F52D2"/>
    <w:rsid w:val="004F5678"/>
    <w:rsid w:val="004F5920"/>
    <w:rsid w:val="004F5C3F"/>
    <w:rsid w:val="004F5F94"/>
    <w:rsid w:val="004F600D"/>
    <w:rsid w:val="004F68CE"/>
    <w:rsid w:val="004F6D00"/>
    <w:rsid w:val="004F6FEE"/>
    <w:rsid w:val="004F70C6"/>
    <w:rsid w:val="004F71B4"/>
    <w:rsid w:val="004F739C"/>
    <w:rsid w:val="004F7820"/>
    <w:rsid w:val="004F7C98"/>
    <w:rsid w:val="0050039C"/>
    <w:rsid w:val="0050048A"/>
    <w:rsid w:val="00500674"/>
    <w:rsid w:val="005006EE"/>
    <w:rsid w:val="00500AFA"/>
    <w:rsid w:val="00501096"/>
    <w:rsid w:val="0050114B"/>
    <w:rsid w:val="00501365"/>
    <w:rsid w:val="005014B0"/>
    <w:rsid w:val="0050180E"/>
    <w:rsid w:val="0050182C"/>
    <w:rsid w:val="00501AE1"/>
    <w:rsid w:val="00501FB1"/>
    <w:rsid w:val="00502096"/>
    <w:rsid w:val="005020A1"/>
    <w:rsid w:val="005026D2"/>
    <w:rsid w:val="005026E4"/>
    <w:rsid w:val="00502AE3"/>
    <w:rsid w:val="005031DB"/>
    <w:rsid w:val="00503522"/>
    <w:rsid w:val="005038A3"/>
    <w:rsid w:val="0050398A"/>
    <w:rsid w:val="005047CF"/>
    <w:rsid w:val="00504904"/>
    <w:rsid w:val="00504BB2"/>
    <w:rsid w:val="00504CD9"/>
    <w:rsid w:val="00504F8A"/>
    <w:rsid w:val="005052C0"/>
    <w:rsid w:val="00505305"/>
    <w:rsid w:val="00505D49"/>
    <w:rsid w:val="00505F2F"/>
    <w:rsid w:val="00506042"/>
    <w:rsid w:val="0050624C"/>
    <w:rsid w:val="005062D9"/>
    <w:rsid w:val="005063E1"/>
    <w:rsid w:val="005064F0"/>
    <w:rsid w:val="0050685F"/>
    <w:rsid w:val="00506BBB"/>
    <w:rsid w:val="00506F2E"/>
    <w:rsid w:val="00507698"/>
    <w:rsid w:val="00507A13"/>
    <w:rsid w:val="00507BD6"/>
    <w:rsid w:val="00507F8A"/>
    <w:rsid w:val="00510069"/>
    <w:rsid w:val="005102DD"/>
    <w:rsid w:val="005103E3"/>
    <w:rsid w:val="00510488"/>
    <w:rsid w:val="00510933"/>
    <w:rsid w:val="005109B7"/>
    <w:rsid w:val="00510CA0"/>
    <w:rsid w:val="0051121A"/>
    <w:rsid w:val="0051128B"/>
    <w:rsid w:val="0051178C"/>
    <w:rsid w:val="005117DD"/>
    <w:rsid w:val="00511845"/>
    <w:rsid w:val="00511F9F"/>
    <w:rsid w:val="00512819"/>
    <w:rsid w:val="005128A9"/>
    <w:rsid w:val="005129CE"/>
    <w:rsid w:val="00512A03"/>
    <w:rsid w:val="00512DED"/>
    <w:rsid w:val="00512DF1"/>
    <w:rsid w:val="005130EF"/>
    <w:rsid w:val="005131C3"/>
    <w:rsid w:val="00513265"/>
    <w:rsid w:val="00513899"/>
    <w:rsid w:val="00513ADA"/>
    <w:rsid w:val="00513FCE"/>
    <w:rsid w:val="005141A0"/>
    <w:rsid w:val="00514307"/>
    <w:rsid w:val="0051451D"/>
    <w:rsid w:val="005146C6"/>
    <w:rsid w:val="00515242"/>
    <w:rsid w:val="005155B8"/>
    <w:rsid w:val="0051574E"/>
    <w:rsid w:val="00515998"/>
    <w:rsid w:val="00515A7E"/>
    <w:rsid w:val="00515DE4"/>
    <w:rsid w:val="00515FF0"/>
    <w:rsid w:val="0051611E"/>
    <w:rsid w:val="005163EA"/>
    <w:rsid w:val="00516A3E"/>
    <w:rsid w:val="00516D74"/>
    <w:rsid w:val="0051765A"/>
    <w:rsid w:val="0051793E"/>
    <w:rsid w:val="0051797A"/>
    <w:rsid w:val="00517EC8"/>
    <w:rsid w:val="00517FBA"/>
    <w:rsid w:val="00520FE7"/>
    <w:rsid w:val="0052103E"/>
    <w:rsid w:val="005212F4"/>
    <w:rsid w:val="0052130C"/>
    <w:rsid w:val="00521355"/>
    <w:rsid w:val="00521728"/>
    <w:rsid w:val="0052177B"/>
    <w:rsid w:val="00521B6C"/>
    <w:rsid w:val="00522A74"/>
    <w:rsid w:val="00522C43"/>
    <w:rsid w:val="00523056"/>
    <w:rsid w:val="005231BD"/>
    <w:rsid w:val="005238C1"/>
    <w:rsid w:val="00523B20"/>
    <w:rsid w:val="00523DFE"/>
    <w:rsid w:val="00523FE8"/>
    <w:rsid w:val="00524414"/>
    <w:rsid w:val="00524572"/>
    <w:rsid w:val="00524A55"/>
    <w:rsid w:val="00524A64"/>
    <w:rsid w:val="0052530A"/>
    <w:rsid w:val="0052543B"/>
    <w:rsid w:val="005256D6"/>
    <w:rsid w:val="005259CC"/>
    <w:rsid w:val="00525A3D"/>
    <w:rsid w:val="00525CE4"/>
    <w:rsid w:val="00526186"/>
    <w:rsid w:val="0052661D"/>
    <w:rsid w:val="005269D7"/>
    <w:rsid w:val="00526D59"/>
    <w:rsid w:val="00526F8D"/>
    <w:rsid w:val="00526FC9"/>
    <w:rsid w:val="00527098"/>
    <w:rsid w:val="00527326"/>
    <w:rsid w:val="0052761F"/>
    <w:rsid w:val="005278DF"/>
    <w:rsid w:val="00527971"/>
    <w:rsid w:val="00527980"/>
    <w:rsid w:val="00527B9B"/>
    <w:rsid w:val="00527C83"/>
    <w:rsid w:val="00527E9D"/>
    <w:rsid w:val="00527EA9"/>
    <w:rsid w:val="00530204"/>
    <w:rsid w:val="00530467"/>
    <w:rsid w:val="0053046E"/>
    <w:rsid w:val="00530534"/>
    <w:rsid w:val="005305C8"/>
    <w:rsid w:val="00530726"/>
    <w:rsid w:val="00530845"/>
    <w:rsid w:val="0053098B"/>
    <w:rsid w:val="005309BD"/>
    <w:rsid w:val="00530C1E"/>
    <w:rsid w:val="00530E84"/>
    <w:rsid w:val="00530EAA"/>
    <w:rsid w:val="00531053"/>
    <w:rsid w:val="00531238"/>
    <w:rsid w:val="005313E9"/>
    <w:rsid w:val="00531A93"/>
    <w:rsid w:val="00531EB9"/>
    <w:rsid w:val="005322E5"/>
    <w:rsid w:val="0053236A"/>
    <w:rsid w:val="00532BDE"/>
    <w:rsid w:val="00532FCC"/>
    <w:rsid w:val="00533216"/>
    <w:rsid w:val="00533233"/>
    <w:rsid w:val="00533664"/>
    <w:rsid w:val="005337B9"/>
    <w:rsid w:val="00533D89"/>
    <w:rsid w:val="00533DD5"/>
    <w:rsid w:val="00534037"/>
    <w:rsid w:val="005341F3"/>
    <w:rsid w:val="005343EA"/>
    <w:rsid w:val="00534493"/>
    <w:rsid w:val="005344E3"/>
    <w:rsid w:val="005348A5"/>
    <w:rsid w:val="00534C49"/>
    <w:rsid w:val="0053517A"/>
    <w:rsid w:val="00535264"/>
    <w:rsid w:val="00535609"/>
    <w:rsid w:val="00535633"/>
    <w:rsid w:val="00535A73"/>
    <w:rsid w:val="00535B79"/>
    <w:rsid w:val="00535BFD"/>
    <w:rsid w:val="0053646E"/>
    <w:rsid w:val="005365B0"/>
    <w:rsid w:val="00536DB3"/>
    <w:rsid w:val="00536E38"/>
    <w:rsid w:val="00536EBF"/>
    <w:rsid w:val="0053740C"/>
    <w:rsid w:val="00537A24"/>
    <w:rsid w:val="0054042A"/>
    <w:rsid w:val="0054048A"/>
    <w:rsid w:val="00541080"/>
    <w:rsid w:val="005410CD"/>
    <w:rsid w:val="0054128D"/>
    <w:rsid w:val="005414CA"/>
    <w:rsid w:val="00541884"/>
    <w:rsid w:val="00541B28"/>
    <w:rsid w:val="00541C15"/>
    <w:rsid w:val="00542022"/>
    <w:rsid w:val="0054221C"/>
    <w:rsid w:val="005426B8"/>
    <w:rsid w:val="00542785"/>
    <w:rsid w:val="005427ED"/>
    <w:rsid w:val="005428C4"/>
    <w:rsid w:val="005428E7"/>
    <w:rsid w:val="00542E7E"/>
    <w:rsid w:val="00542F69"/>
    <w:rsid w:val="00542F76"/>
    <w:rsid w:val="00543051"/>
    <w:rsid w:val="005433E2"/>
    <w:rsid w:val="00543DEB"/>
    <w:rsid w:val="00543FB9"/>
    <w:rsid w:val="00544107"/>
    <w:rsid w:val="00544111"/>
    <w:rsid w:val="005444D0"/>
    <w:rsid w:val="0054452A"/>
    <w:rsid w:val="005446A9"/>
    <w:rsid w:val="00544F7A"/>
    <w:rsid w:val="005452CE"/>
    <w:rsid w:val="00545396"/>
    <w:rsid w:val="005462C5"/>
    <w:rsid w:val="005462F4"/>
    <w:rsid w:val="00546384"/>
    <w:rsid w:val="00546519"/>
    <w:rsid w:val="00546BC0"/>
    <w:rsid w:val="00547675"/>
    <w:rsid w:val="00547859"/>
    <w:rsid w:val="00547C94"/>
    <w:rsid w:val="00547E61"/>
    <w:rsid w:val="00547F06"/>
    <w:rsid w:val="00547F0F"/>
    <w:rsid w:val="0055088E"/>
    <w:rsid w:val="00550AC5"/>
    <w:rsid w:val="00550D3A"/>
    <w:rsid w:val="00550D71"/>
    <w:rsid w:val="005510F9"/>
    <w:rsid w:val="0055112C"/>
    <w:rsid w:val="0055135C"/>
    <w:rsid w:val="00551C3B"/>
    <w:rsid w:val="00551D46"/>
    <w:rsid w:val="0055245A"/>
    <w:rsid w:val="00552665"/>
    <w:rsid w:val="00552BB4"/>
    <w:rsid w:val="00552D27"/>
    <w:rsid w:val="00552D3E"/>
    <w:rsid w:val="00552F14"/>
    <w:rsid w:val="0055307A"/>
    <w:rsid w:val="00553189"/>
    <w:rsid w:val="005537A8"/>
    <w:rsid w:val="005539E8"/>
    <w:rsid w:val="00553AA8"/>
    <w:rsid w:val="005544A1"/>
    <w:rsid w:val="00554681"/>
    <w:rsid w:val="00554831"/>
    <w:rsid w:val="00554A05"/>
    <w:rsid w:val="00554BCF"/>
    <w:rsid w:val="00554BF3"/>
    <w:rsid w:val="00554E01"/>
    <w:rsid w:val="005551FA"/>
    <w:rsid w:val="00555414"/>
    <w:rsid w:val="00555A1A"/>
    <w:rsid w:val="00555BDF"/>
    <w:rsid w:val="00555C00"/>
    <w:rsid w:val="00555D0D"/>
    <w:rsid w:val="005561F7"/>
    <w:rsid w:val="0055624A"/>
    <w:rsid w:val="0055688C"/>
    <w:rsid w:val="00556AED"/>
    <w:rsid w:val="0055700D"/>
    <w:rsid w:val="005573DC"/>
    <w:rsid w:val="0055788A"/>
    <w:rsid w:val="00557985"/>
    <w:rsid w:val="00560019"/>
    <w:rsid w:val="005602C6"/>
    <w:rsid w:val="005604D9"/>
    <w:rsid w:val="00560562"/>
    <w:rsid w:val="00560667"/>
    <w:rsid w:val="005606BA"/>
    <w:rsid w:val="005607E7"/>
    <w:rsid w:val="00560C2A"/>
    <w:rsid w:val="00560CE5"/>
    <w:rsid w:val="00560D16"/>
    <w:rsid w:val="00560DD0"/>
    <w:rsid w:val="00560EBC"/>
    <w:rsid w:val="00561076"/>
    <w:rsid w:val="0056147D"/>
    <w:rsid w:val="0056152E"/>
    <w:rsid w:val="00561EDA"/>
    <w:rsid w:val="0056228A"/>
    <w:rsid w:val="0056229D"/>
    <w:rsid w:val="0056298C"/>
    <w:rsid w:val="00562C72"/>
    <w:rsid w:val="00563045"/>
    <w:rsid w:val="00563458"/>
    <w:rsid w:val="00563A8A"/>
    <w:rsid w:val="0056419B"/>
    <w:rsid w:val="00564356"/>
    <w:rsid w:val="005643A1"/>
    <w:rsid w:val="0056440E"/>
    <w:rsid w:val="00564766"/>
    <w:rsid w:val="0056489D"/>
    <w:rsid w:val="00564BBC"/>
    <w:rsid w:val="00564DFC"/>
    <w:rsid w:val="00564EBD"/>
    <w:rsid w:val="00564F3B"/>
    <w:rsid w:val="0056502B"/>
    <w:rsid w:val="005652C1"/>
    <w:rsid w:val="005652CF"/>
    <w:rsid w:val="00565749"/>
    <w:rsid w:val="0056641A"/>
    <w:rsid w:val="005666A4"/>
    <w:rsid w:val="005667AB"/>
    <w:rsid w:val="0056689A"/>
    <w:rsid w:val="00566BC0"/>
    <w:rsid w:val="00567325"/>
    <w:rsid w:val="00567447"/>
    <w:rsid w:val="00567483"/>
    <w:rsid w:val="0056767B"/>
    <w:rsid w:val="00567972"/>
    <w:rsid w:val="005679D3"/>
    <w:rsid w:val="00567ABE"/>
    <w:rsid w:val="005701B3"/>
    <w:rsid w:val="005702B1"/>
    <w:rsid w:val="0057035E"/>
    <w:rsid w:val="00570FD2"/>
    <w:rsid w:val="00570FF9"/>
    <w:rsid w:val="00571136"/>
    <w:rsid w:val="00571256"/>
    <w:rsid w:val="005714B0"/>
    <w:rsid w:val="005717D5"/>
    <w:rsid w:val="00572112"/>
    <w:rsid w:val="0057214B"/>
    <w:rsid w:val="005721E8"/>
    <w:rsid w:val="00572923"/>
    <w:rsid w:val="00572EB0"/>
    <w:rsid w:val="00572F47"/>
    <w:rsid w:val="00572FC2"/>
    <w:rsid w:val="00573075"/>
    <w:rsid w:val="005735C6"/>
    <w:rsid w:val="005735E8"/>
    <w:rsid w:val="0057361E"/>
    <w:rsid w:val="00573CB8"/>
    <w:rsid w:val="00574437"/>
    <w:rsid w:val="005745FC"/>
    <w:rsid w:val="00574C12"/>
    <w:rsid w:val="00574C73"/>
    <w:rsid w:val="00574C8B"/>
    <w:rsid w:val="00575059"/>
    <w:rsid w:val="00575079"/>
    <w:rsid w:val="005751F6"/>
    <w:rsid w:val="0057525C"/>
    <w:rsid w:val="0057552A"/>
    <w:rsid w:val="00575951"/>
    <w:rsid w:val="00576331"/>
    <w:rsid w:val="005763F5"/>
    <w:rsid w:val="0057646F"/>
    <w:rsid w:val="00576855"/>
    <w:rsid w:val="005769D5"/>
    <w:rsid w:val="005772E1"/>
    <w:rsid w:val="005777E1"/>
    <w:rsid w:val="00577BA8"/>
    <w:rsid w:val="0058001C"/>
    <w:rsid w:val="005800A7"/>
    <w:rsid w:val="005800E4"/>
    <w:rsid w:val="005800EA"/>
    <w:rsid w:val="00580727"/>
    <w:rsid w:val="005807EF"/>
    <w:rsid w:val="00580861"/>
    <w:rsid w:val="005809D3"/>
    <w:rsid w:val="00580D52"/>
    <w:rsid w:val="00580EC3"/>
    <w:rsid w:val="00580F56"/>
    <w:rsid w:val="00580FCF"/>
    <w:rsid w:val="00581142"/>
    <w:rsid w:val="00581176"/>
    <w:rsid w:val="00581A8A"/>
    <w:rsid w:val="00581BE8"/>
    <w:rsid w:val="00581C50"/>
    <w:rsid w:val="00581DB8"/>
    <w:rsid w:val="0058258B"/>
    <w:rsid w:val="00582782"/>
    <w:rsid w:val="00582AC7"/>
    <w:rsid w:val="00582DEB"/>
    <w:rsid w:val="005832E2"/>
    <w:rsid w:val="0058369C"/>
    <w:rsid w:val="00583BC0"/>
    <w:rsid w:val="005842F0"/>
    <w:rsid w:val="0058495A"/>
    <w:rsid w:val="00584B88"/>
    <w:rsid w:val="0058557F"/>
    <w:rsid w:val="00585964"/>
    <w:rsid w:val="00585B8B"/>
    <w:rsid w:val="00585FB5"/>
    <w:rsid w:val="00586091"/>
    <w:rsid w:val="0058637A"/>
    <w:rsid w:val="005864F8"/>
    <w:rsid w:val="00586529"/>
    <w:rsid w:val="00586915"/>
    <w:rsid w:val="00586E5D"/>
    <w:rsid w:val="00586F23"/>
    <w:rsid w:val="00586F30"/>
    <w:rsid w:val="005870AD"/>
    <w:rsid w:val="005873A3"/>
    <w:rsid w:val="00587892"/>
    <w:rsid w:val="00587BBE"/>
    <w:rsid w:val="00587DE4"/>
    <w:rsid w:val="00587E5F"/>
    <w:rsid w:val="00587F13"/>
    <w:rsid w:val="005904CB"/>
    <w:rsid w:val="00590C3A"/>
    <w:rsid w:val="00590D27"/>
    <w:rsid w:val="00591229"/>
    <w:rsid w:val="0059180B"/>
    <w:rsid w:val="005919E5"/>
    <w:rsid w:val="005924D0"/>
    <w:rsid w:val="005924E3"/>
    <w:rsid w:val="005926D9"/>
    <w:rsid w:val="00592851"/>
    <w:rsid w:val="00592922"/>
    <w:rsid w:val="00592CD5"/>
    <w:rsid w:val="00592D0F"/>
    <w:rsid w:val="00592E71"/>
    <w:rsid w:val="00593D3B"/>
    <w:rsid w:val="00593F5E"/>
    <w:rsid w:val="005942F6"/>
    <w:rsid w:val="005946AC"/>
    <w:rsid w:val="00594937"/>
    <w:rsid w:val="00594FA7"/>
    <w:rsid w:val="00595146"/>
    <w:rsid w:val="00595284"/>
    <w:rsid w:val="005952D4"/>
    <w:rsid w:val="00595BD7"/>
    <w:rsid w:val="00596634"/>
    <w:rsid w:val="00596662"/>
    <w:rsid w:val="005967F2"/>
    <w:rsid w:val="005968D3"/>
    <w:rsid w:val="00596DCF"/>
    <w:rsid w:val="00596EE4"/>
    <w:rsid w:val="005971C5"/>
    <w:rsid w:val="005972EF"/>
    <w:rsid w:val="00597B2D"/>
    <w:rsid w:val="00597E44"/>
    <w:rsid w:val="00597E56"/>
    <w:rsid w:val="005A05EF"/>
    <w:rsid w:val="005A09E0"/>
    <w:rsid w:val="005A0BF9"/>
    <w:rsid w:val="005A0C3E"/>
    <w:rsid w:val="005A0FB0"/>
    <w:rsid w:val="005A13DB"/>
    <w:rsid w:val="005A1462"/>
    <w:rsid w:val="005A1FDF"/>
    <w:rsid w:val="005A2339"/>
    <w:rsid w:val="005A23BA"/>
    <w:rsid w:val="005A2651"/>
    <w:rsid w:val="005A27BA"/>
    <w:rsid w:val="005A309F"/>
    <w:rsid w:val="005A311B"/>
    <w:rsid w:val="005A352B"/>
    <w:rsid w:val="005A357A"/>
    <w:rsid w:val="005A358B"/>
    <w:rsid w:val="005A36B6"/>
    <w:rsid w:val="005A3993"/>
    <w:rsid w:val="005A3E6C"/>
    <w:rsid w:val="005A3F60"/>
    <w:rsid w:val="005A43E7"/>
    <w:rsid w:val="005A4695"/>
    <w:rsid w:val="005A46DF"/>
    <w:rsid w:val="005A4CAD"/>
    <w:rsid w:val="005A4D4B"/>
    <w:rsid w:val="005A562B"/>
    <w:rsid w:val="005A5A88"/>
    <w:rsid w:val="005A5C1C"/>
    <w:rsid w:val="005A5D14"/>
    <w:rsid w:val="005A5F42"/>
    <w:rsid w:val="005A67CC"/>
    <w:rsid w:val="005A6F43"/>
    <w:rsid w:val="005A6FB8"/>
    <w:rsid w:val="005A756E"/>
    <w:rsid w:val="005A766B"/>
    <w:rsid w:val="005A78D9"/>
    <w:rsid w:val="005A7B23"/>
    <w:rsid w:val="005A7C73"/>
    <w:rsid w:val="005A7DE2"/>
    <w:rsid w:val="005B02C5"/>
    <w:rsid w:val="005B075C"/>
    <w:rsid w:val="005B0828"/>
    <w:rsid w:val="005B0A67"/>
    <w:rsid w:val="005B0D58"/>
    <w:rsid w:val="005B0DDE"/>
    <w:rsid w:val="005B126A"/>
    <w:rsid w:val="005B19F7"/>
    <w:rsid w:val="005B1D6F"/>
    <w:rsid w:val="005B22F0"/>
    <w:rsid w:val="005B249B"/>
    <w:rsid w:val="005B27A5"/>
    <w:rsid w:val="005B27BE"/>
    <w:rsid w:val="005B2CB0"/>
    <w:rsid w:val="005B2EA0"/>
    <w:rsid w:val="005B32DC"/>
    <w:rsid w:val="005B36C7"/>
    <w:rsid w:val="005B3A88"/>
    <w:rsid w:val="005B3F37"/>
    <w:rsid w:val="005B4250"/>
    <w:rsid w:val="005B42B8"/>
    <w:rsid w:val="005B4777"/>
    <w:rsid w:val="005B4D77"/>
    <w:rsid w:val="005B50FE"/>
    <w:rsid w:val="005B5193"/>
    <w:rsid w:val="005B5649"/>
    <w:rsid w:val="005B5883"/>
    <w:rsid w:val="005B5C2B"/>
    <w:rsid w:val="005B6B1D"/>
    <w:rsid w:val="005B6BCB"/>
    <w:rsid w:val="005B6C4F"/>
    <w:rsid w:val="005B6C73"/>
    <w:rsid w:val="005B6F6C"/>
    <w:rsid w:val="005B7191"/>
    <w:rsid w:val="005B72E1"/>
    <w:rsid w:val="005B747D"/>
    <w:rsid w:val="005B7830"/>
    <w:rsid w:val="005B7954"/>
    <w:rsid w:val="005B7A97"/>
    <w:rsid w:val="005B7BFD"/>
    <w:rsid w:val="005C01D5"/>
    <w:rsid w:val="005C047B"/>
    <w:rsid w:val="005C0580"/>
    <w:rsid w:val="005C0683"/>
    <w:rsid w:val="005C0699"/>
    <w:rsid w:val="005C073D"/>
    <w:rsid w:val="005C0748"/>
    <w:rsid w:val="005C0914"/>
    <w:rsid w:val="005C0B23"/>
    <w:rsid w:val="005C12BA"/>
    <w:rsid w:val="005C159D"/>
    <w:rsid w:val="005C1BF5"/>
    <w:rsid w:val="005C20D2"/>
    <w:rsid w:val="005C2179"/>
    <w:rsid w:val="005C2189"/>
    <w:rsid w:val="005C22C3"/>
    <w:rsid w:val="005C25AD"/>
    <w:rsid w:val="005C25BD"/>
    <w:rsid w:val="005C299A"/>
    <w:rsid w:val="005C31F1"/>
    <w:rsid w:val="005C322B"/>
    <w:rsid w:val="005C3760"/>
    <w:rsid w:val="005C39CD"/>
    <w:rsid w:val="005C3A68"/>
    <w:rsid w:val="005C3CE0"/>
    <w:rsid w:val="005C3DE5"/>
    <w:rsid w:val="005C3E82"/>
    <w:rsid w:val="005C4684"/>
    <w:rsid w:val="005C479C"/>
    <w:rsid w:val="005C4B4D"/>
    <w:rsid w:val="005C4BF4"/>
    <w:rsid w:val="005C5104"/>
    <w:rsid w:val="005C538D"/>
    <w:rsid w:val="005C55CB"/>
    <w:rsid w:val="005C5738"/>
    <w:rsid w:val="005C5D19"/>
    <w:rsid w:val="005C5D64"/>
    <w:rsid w:val="005C5EB7"/>
    <w:rsid w:val="005C5F87"/>
    <w:rsid w:val="005C63E5"/>
    <w:rsid w:val="005C6A76"/>
    <w:rsid w:val="005C6AFE"/>
    <w:rsid w:val="005C6B2F"/>
    <w:rsid w:val="005C6D71"/>
    <w:rsid w:val="005C71B8"/>
    <w:rsid w:val="005C7A68"/>
    <w:rsid w:val="005C7A75"/>
    <w:rsid w:val="005C7E66"/>
    <w:rsid w:val="005D0214"/>
    <w:rsid w:val="005D04F7"/>
    <w:rsid w:val="005D0A4D"/>
    <w:rsid w:val="005D0C8E"/>
    <w:rsid w:val="005D0F0F"/>
    <w:rsid w:val="005D114A"/>
    <w:rsid w:val="005D120F"/>
    <w:rsid w:val="005D15DF"/>
    <w:rsid w:val="005D1781"/>
    <w:rsid w:val="005D182F"/>
    <w:rsid w:val="005D1E06"/>
    <w:rsid w:val="005D22B2"/>
    <w:rsid w:val="005D2F04"/>
    <w:rsid w:val="005D323E"/>
    <w:rsid w:val="005D3922"/>
    <w:rsid w:val="005D3C98"/>
    <w:rsid w:val="005D4451"/>
    <w:rsid w:val="005D45B8"/>
    <w:rsid w:val="005D47C3"/>
    <w:rsid w:val="005D480F"/>
    <w:rsid w:val="005D4A47"/>
    <w:rsid w:val="005D4A7D"/>
    <w:rsid w:val="005D4E5E"/>
    <w:rsid w:val="005D4E84"/>
    <w:rsid w:val="005D4F38"/>
    <w:rsid w:val="005D4F48"/>
    <w:rsid w:val="005D6124"/>
    <w:rsid w:val="005D6345"/>
    <w:rsid w:val="005D6623"/>
    <w:rsid w:val="005D6C11"/>
    <w:rsid w:val="005D6F18"/>
    <w:rsid w:val="005D6F91"/>
    <w:rsid w:val="005D70D0"/>
    <w:rsid w:val="005D7BF0"/>
    <w:rsid w:val="005D7F47"/>
    <w:rsid w:val="005E02AD"/>
    <w:rsid w:val="005E09FC"/>
    <w:rsid w:val="005E0B24"/>
    <w:rsid w:val="005E13E3"/>
    <w:rsid w:val="005E1405"/>
    <w:rsid w:val="005E1475"/>
    <w:rsid w:val="005E171E"/>
    <w:rsid w:val="005E1950"/>
    <w:rsid w:val="005E19BE"/>
    <w:rsid w:val="005E1CD5"/>
    <w:rsid w:val="005E1F2E"/>
    <w:rsid w:val="005E2099"/>
    <w:rsid w:val="005E34F0"/>
    <w:rsid w:val="005E3509"/>
    <w:rsid w:val="005E3CAE"/>
    <w:rsid w:val="005E3ED8"/>
    <w:rsid w:val="005E47C9"/>
    <w:rsid w:val="005E4B19"/>
    <w:rsid w:val="005E4F6A"/>
    <w:rsid w:val="005E5B09"/>
    <w:rsid w:val="005E5B96"/>
    <w:rsid w:val="005E5C37"/>
    <w:rsid w:val="005E5FFF"/>
    <w:rsid w:val="005E60CE"/>
    <w:rsid w:val="005E6356"/>
    <w:rsid w:val="005E6391"/>
    <w:rsid w:val="005E6B56"/>
    <w:rsid w:val="005E6CE1"/>
    <w:rsid w:val="005E6F15"/>
    <w:rsid w:val="005E711F"/>
    <w:rsid w:val="005E71EA"/>
    <w:rsid w:val="005E727C"/>
    <w:rsid w:val="005E767C"/>
    <w:rsid w:val="005E7EDB"/>
    <w:rsid w:val="005E7FEE"/>
    <w:rsid w:val="005F0069"/>
    <w:rsid w:val="005F0437"/>
    <w:rsid w:val="005F07A6"/>
    <w:rsid w:val="005F08B2"/>
    <w:rsid w:val="005F09EF"/>
    <w:rsid w:val="005F0B99"/>
    <w:rsid w:val="005F0C8B"/>
    <w:rsid w:val="005F0F38"/>
    <w:rsid w:val="005F1014"/>
    <w:rsid w:val="005F10E0"/>
    <w:rsid w:val="005F12B6"/>
    <w:rsid w:val="005F1AFE"/>
    <w:rsid w:val="005F1BC7"/>
    <w:rsid w:val="005F1DD3"/>
    <w:rsid w:val="005F223C"/>
    <w:rsid w:val="005F2772"/>
    <w:rsid w:val="005F2886"/>
    <w:rsid w:val="005F2E0B"/>
    <w:rsid w:val="005F313C"/>
    <w:rsid w:val="005F3203"/>
    <w:rsid w:val="005F3797"/>
    <w:rsid w:val="005F37E2"/>
    <w:rsid w:val="005F3C04"/>
    <w:rsid w:val="005F3D6E"/>
    <w:rsid w:val="005F3F33"/>
    <w:rsid w:val="005F3F7F"/>
    <w:rsid w:val="005F40E1"/>
    <w:rsid w:val="005F41FD"/>
    <w:rsid w:val="005F4537"/>
    <w:rsid w:val="005F45E8"/>
    <w:rsid w:val="005F4CDD"/>
    <w:rsid w:val="005F509D"/>
    <w:rsid w:val="005F5219"/>
    <w:rsid w:val="005F5325"/>
    <w:rsid w:val="005F5530"/>
    <w:rsid w:val="005F5A7F"/>
    <w:rsid w:val="005F6248"/>
    <w:rsid w:val="005F6467"/>
    <w:rsid w:val="005F662D"/>
    <w:rsid w:val="005F776B"/>
    <w:rsid w:val="005F7B98"/>
    <w:rsid w:val="0060002A"/>
    <w:rsid w:val="006001EC"/>
    <w:rsid w:val="006002C7"/>
    <w:rsid w:val="0060045F"/>
    <w:rsid w:val="0060067F"/>
    <w:rsid w:val="00600AA5"/>
    <w:rsid w:val="00600AB8"/>
    <w:rsid w:val="00601007"/>
    <w:rsid w:val="0060172B"/>
    <w:rsid w:val="0060181C"/>
    <w:rsid w:val="00601894"/>
    <w:rsid w:val="006019A5"/>
    <w:rsid w:val="00601E2E"/>
    <w:rsid w:val="0060211B"/>
    <w:rsid w:val="0060271A"/>
    <w:rsid w:val="00602795"/>
    <w:rsid w:val="00602960"/>
    <w:rsid w:val="00602CDE"/>
    <w:rsid w:val="00602CE9"/>
    <w:rsid w:val="00602D06"/>
    <w:rsid w:val="00602FF2"/>
    <w:rsid w:val="00603464"/>
    <w:rsid w:val="00603B8F"/>
    <w:rsid w:val="00603DED"/>
    <w:rsid w:val="00603ED3"/>
    <w:rsid w:val="0060408B"/>
    <w:rsid w:val="00604459"/>
    <w:rsid w:val="00604713"/>
    <w:rsid w:val="00604720"/>
    <w:rsid w:val="00604DB9"/>
    <w:rsid w:val="00604F9A"/>
    <w:rsid w:val="00605A45"/>
    <w:rsid w:val="006064A2"/>
    <w:rsid w:val="006066D4"/>
    <w:rsid w:val="00606759"/>
    <w:rsid w:val="00606F97"/>
    <w:rsid w:val="00607119"/>
    <w:rsid w:val="00607131"/>
    <w:rsid w:val="00607655"/>
    <w:rsid w:val="006076A2"/>
    <w:rsid w:val="006077CB"/>
    <w:rsid w:val="006077D8"/>
    <w:rsid w:val="00607C26"/>
    <w:rsid w:val="00607F7F"/>
    <w:rsid w:val="0061065D"/>
    <w:rsid w:val="0061141D"/>
    <w:rsid w:val="00611561"/>
    <w:rsid w:val="006116FF"/>
    <w:rsid w:val="00611F71"/>
    <w:rsid w:val="006121D9"/>
    <w:rsid w:val="00612505"/>
    <w:rsid w:val="00612596"/>
    <w:rsid w:val="006127ED"/>
    <w:rsid w:val="00612CDB"/>
    <w:rsid w:val="00612D1A"/>
    <w:rsid w:val="00612E8A"/>
    <w:rsid w:val="0061304B"/>
    <w:rsid w:val="006132F4"/>
    <w:rsid w:val="006134FD"/>
    <w:rsid w:val="00613513"/>
    <w:rsid w:val="00613A5D"/>
    <w:rsid w:val="00613ADC"/>
    <w:rsid w:val="00613EAB"/>
    <w:rsid w:val="006140FD"/>
    <w:rsid w:val="00614170"/>
    <w:rsid w:val="00614185"/>
    <w:rsid w:val="0061459F"/>
    <w:rsid w:val="006148E1"/>
    <w:rsid w:val="00614CE0"/>
    <w:rsid w:val="00614FA5"/>
    <w:rsid w:val="00615647"/>
    <w:rsid w:val="00615924"/>
    <w:rsid w:val="00615BF9"/>
    <w:rsid w:val="00615E7F"/>
    <w:rsid w:val="00615F50"/>
    <w:rsid w:val="00615F80"/>
    <w:rsid w:val="00616235"/>
    <w:rsid w:val="00616341"/>
    <w:rsid w:val="00616CC6"/>
    <w:rsid w:val="00617395"/>
    <w:rsid w:val="006177F5"/>
    <w:rsid w:val="006178C3"/>
    <w:rsid w:val="00617929"/>
    <w:rsid w:val="00617977"/>
    <w:rsid w:val="00617C66"/>
    <w:rsid w:val="00620191"/>
    <w:rsid w:val="00620437"/>
    <w:rsid w:val="00620C80"/>
    <w:rsid w:val="0062144D"/>
    <w:rsid w:val="00621643"/>
    <w:rsid w:val="00621CD9"/>
    <w:rsid w:val="00621EC7"/>
    <w:rsid w:val="00622101"/>
    <w:rsid w:val="006224AC"/>
    <w:rsid w:val="00622A63"/>
    <w:rsid w:val="00622C98"/>
    <w:rsid w:val="00622FD9"/>
    <w:rsid w:val="00623099"/>
    <w:rsid w:val="00623922"/>
    <w:rsid w:val="006240E7"/>
    <w:rsid w:val="00624A11"/>
    <w:rsid w:val="00624C81"/>
    <w:rsid w:val="00625C7E"/>
    <w:rsid w:val="00626003"/>
    <w:rsid w:val="0062611F"/>
    <w:rsid w:val="00626AAE"/>
    <w:rsid w:val="00626AC1"/>
    <w:rsid w:val="00626E36"/>
    <w:rsid w:val="006271A4"/>
    <w:rsid w:val="006272F2"/>
    <w:rsid w:val="006274DB"/>
    <w:rsid w:val="00627617"/>
    <w:rsid w:val="00627FA9"/>
    <w:rsid w:val="00630416"/>
    <w:rsid w:val="00630548"/>
    <w:rsid w:val="006305CF"/>
    <w:rsid w:val="00630740"/>
    <w:rsid w:val="006308A4"/>
    <w:rsid w:val="00630A37"/>
    <w:rsid w:val="00630B33"/>
    <w:rsid w:val="00630D92"/>
    <w:rsid w:val="00630FD9"/>
    <w:rsid w:val="00631583"/>
    <w:rsid w:val="006318F6"/>
    <w:rsid w:val="00631952"/>
    <w:rsid w:val="00632097"/>
    <w:rsid w:val="00632121"/>
    <w:rsid w:val="00632250"/>
    <w:rsid w:val="006329AF"/>
    <w:rsid w:val="00633155"/>
    <w:rsid w:val="00633BF1"/>
    <w:rsid w:val="006340C3"/>
    <w:rsid w:val="00634687"/>
    <w:rsid w:val="006349E4"/>
    <w:rsid w:val="00634ECC"/>
    <w:rsid w:val="00634F2A"/>
    <w:rsid w:val="006351E3"/>
    <w:rsid w:val="0063549D"/>
    <w:rsid w:val="0063592C"/>
    <w:rsid w:val="00635A5C"/>
    <w:rsid w:val="00635ACD"/>
    <w:rsid w:val="00635EFB"/>
    <w:rsid w:val="0063607D"/>
    <w:rsid w:val="006362E0"/>
    <w:rsid w:val="0063646A"/>
    <w:rsid w:val="006364D5"/>
    <w:rsid w:val="0063668A"/>
    <w:rsid w:val="006368AC"/>
    <w:rsid w:val="00636CA2"/>
    <w:rsid w:val="00636F8E"/>
    <w:rsid w:val="00636FA1"/>
    <w:rsid w:val="00636FD7"/>
    <w:rsid w:val="00637059"/>
    <w:rsid w:val="00637489"/>
    <w:rsid w:val="00637527"/>
    <w:rsid w:val="006375FB"/>
    <w:rsid w:val="0063786B"/>
    <w:rsid w:val="00637BA3"/>
    <w:rsid w:val="00637DDE"/>
    <w:rsid w:val="00640325"/>
    <w:rsid w:val="00640349"/>
    <w:rsid w:val="006406BB"/>
    <w:rsid w:val="00641157"/>
    <w:rsid w:val="0064188F"/>
    <w:rsid w:val="00641BD1"/>
    <w:rsid w:val="00641CB5"/>
    <w:rsid w:val="00641D3B"/>
    <w:rsid w:val="00641D66"/>
    <w:rsid w:val="00641FF0"/>
    <w:rsid w:val="0064208B"/>
    <w:rsid w:val="006425E4"/>
    <w:rsid w:val="00642842"/>
    <w:rsid w:val="00642BDB"/>
    <w:rsid w:val="00643706"/>
    <w:rsid w:val="00644001"/>
    <w:rsid w:val="006440ED"/>
    <w:rsid w:val="006440FD"/>
    <w:rsid w:val="00644122"/>
    <w:rsid w:val="006445BA"/>
    <w:rsid w:val="00644909"/>
    <w:rsid w:val="00644B9E"/>
    <w:rsid w:val="00644D91"/>
    <w:rsid w:val="006454D6"/>
    <w:rsid w:val="006455EF"/>
    <w:rsid w:val="00645F77"/>
    <w:rsid w:val="0064666A"/>
    <w:rsid w:val="006469BE"/>
    <w:rsid w:val="006469DE"/>
    <w:rsid w:val="00646AB2"/>
    <w:rsid w:val="00646B44"/>
    <w:rsid w:val="00646C22"/>
    <w:rsid w:val="00646EE4"/>
    <w:rsid w:val="006470D7"/>
    <w:rsid w:val="006470E9"/>
    <w:rsid w:val="006472D5"/>
    <w:rsid w:val="006474D8"/>
    <w:rsid w:val="00647C3C"/>
    <w:rsid w:val="00647CB2"/>
    <w:rsid w:val="00647E30"/>
    <w:rsid w:val="00647F54"/>
    <w:rsid w:val="006504DB"/>
    <w:rsid w:val="00650869"/>
    <w:rsid w:val="0065089F"/>
    <w:rsid w:val="006508CF"/>
    <w:rsid w:val="006509FF"/>
    <w:rsid w:val="00650AE9"/>
    <w:rsid w:val="00650D71"/>
    <w:rsid w:val="00650D8E"/>
    <w:rsid w:val="00651327"/>
    <w:rsid w:val="00651598"/>
    <w:rsid w:val="006519A5"/>
    <w:rsid w:val="00651A36"/>
    <w:rsid w:val="00651B17"/>
    <w:rsid w:val="00651F75"/>
    <w:rsid w:val="006524A2"/>
    <w:rsid w:val="00652A8B"/>
    <w:rsid w:val="00652B44"/>
    <w:rsid w:val="00652BE7"/>
    <w:rsid w:val="00652C76"/>
    <w:rsid w:val="00653670"/>
    <w:rsid w:val="00653907"/>
    <w:rsid w:val="00653C03"/>
    <w:rsid w:val="006543B2"/>
    <w:rsid w:val="0065479F"/>
    <w:rsid w:val="00654E61"/>
    <w:rsid w:val="00654FD5"/>
    <w:rsid w:val="00655079"/>
    <w:rsid w:val="00655088"/>
    <w:rsid w:val="00655224"/>
    <w:rsid w:val="0065544B"/>
    <w:rsid w:val="0065564E"/>
    <w:rsid w:val="00655B0A"/>
    <w:rsid w:val="00655EED"/>
    <w:rsid w:val="006562C0"/>
    <w:rsid w:val="00656480"/>
    <w:rsid w:val="00656956"/>
    <w:rsid w:val="0065699A"/>
    <w:rsid w:val="00656DBD"/>
    <w:rsid w:val="006571A7"/>
    <w:rsid w:val="006577E1"/>
    <w:rsid w:val="0066036B"/>
    <w:rsid w:val="0066055C"/>
    <w:rsid w:val="00660C6C"/>
    <w:rsid w:val="00660DBF"/>
    <w:rsid w:val="006612A4"/>
    <w:rsid w:val="00661308"/>
    <w:rsid w:val="00661329"/>
    <w:rsid w:val="0066158A"/>
    <w:rsid w:val="00661812"/>
    <w:rsid w:val="00661AC5"/>
    <w:rsid w:val="00661E1E"/>
    <w:rsid w:val="00661F78"/>
    <w:rsid w:val="00662106"/>
    <w:rsid w:val="00662A4B"/>
    <w:rsid w:val="00662C24"/>
    <w:rsid w:val="00662E96"/>
    <w:rsid w:val="00663A4E"/>
    <w:rsid w:val="00663E28"/>
    <w:rsid w:val="00663FA4"/>
    <w:rsid w:val="0066451E"/>
    <w:rsid w:val="00664641"/>
    <w:rsid w:val="00664D6A"/>
    <w:rsid w:val="00665459"/>
    <w:rsid w:val="0066552A"/>
    <w:rsid w:val="00665805"/>
    <w:rsid w:val="006658AA"/>
    <w:rsid w:val="00665BB9"/>
    <w:rsid w:val="00665FFA"/>
    <w:rsid w:val="00666285"/>
    <w:rsid w:val="00666B82"/>
    <w:rsid w:val="00666EB7"/>
    <w:rsid w:val="006678E4"/>
    <w:rsid w:val="00667C41"/>
    <w:rsid w:val="00667EC6"/>
    <w:rsid w:val="00670037"/>
    <w:rsid w:val="0067019D"/>
    <w:rsid w:val="00670760"/>
    <w:rsid w:val="00670CCE"/>
    <w:rsid w:val="00670F50"/>
    <w:rsid w:val="00670F77"/>
    <w:rsid w:val="0067161F"/>
    <w:rsid w:val="00671B55"/>
    <w:rsid w:val="00671CF5"/>
    <w:rsid w:val="00671EEE"/>
    <w:rsid w:val="006720EF"/>
    <w:rsid w:val="006721B0"/>
    <w:rsid w:val="00672454"/>
    <w:rsid w:val="00672467"/>
    <w:rsid w:val="00672507"/>
    <w:rsid w:val="0067279F"/>
    <w:rsid w:val="00672867"/>
    <w:rsid w:val="00672921"/>
    <w:rsid w:val="00672BAA"/>
    <w:rsid w:val="00673863"/>
    <w:rsid w:val="006738DF"/>
    <w:rsid w:val="00673A32"/>
    <w:rsid w:val="00673B6C"/>
    <w:rsid w:val="00673E23"/>
    <w:rsid w:val="00673F86"/>
    <w:rsid w:val="006746DC"/>
    <w:rsid w:val="00674DA6"/>
    <w:rsid w:val="00674FC1"/>
    <w:rsid w:val="00675EA6"/>
    <w:rsid w:val="00675EAE"/>
    <w:rsid w:val="00676484"/>
    <w:rsid w:val="00676493"/>
    <w:rsid w:val="0067685F"/>
    <w:rsid w:val="006768CE"/>
    <w:rsid w:val="00676A9D"/>
    <w:rsid w:val="00677276"/>
    <w:rsid w:val="00677463"/>
    <w:rsid w:val="00677C92"/>
    <w:rsid w:val="00680074"/>
    <w:rsid w:val="00680185"/>
    <w:rsid w:val="00680557"/>
    <w:rsid w:val="00680A96"/>
    <w:rsid w:val="00680B45"/>
    <w:rsid w:val="00680E67"/>
    <w:rsid w:val="00681018"/>
    <w:rsid w:val="006812DA"/>
    <w:rsid w:val="00681723"/>
    <w:rsid w:val="00681B07"/>
    <w:rsid w:val="00681CA1"/>
    <w:rsid w:val="00681CFE"/>
    <w:rsid w:val="00682535"/>
    <w:rsid w:val="00682658"/>
    <w:rsid w:val="00682A22"/>
    <w:rsid w:val="00682C28"/>
    <w:rsid w:val="00682EDB"/>
    <w:rsid w:val="0068319B"/>
    <w:rsid w:val="006831EC"/>
    <w:rsid w:val="006832DA"/>
    <w:rsid w:val="00683467"/>
    <w:rsid w:val="006841EF"/>
    <w:rsid w:val="00684368"/>
    <w:rsid w:val="00684567"/>
    <w:rsid w:val="00684AC8"/>
    <w:rsid w:val="00684AD6"/>
    <w:rsid w:val="00684B97"/>
    <w:rsid w:val="00684E6A"/>
    <w:rsid w:val="00684FE8"/>
    <w:rsid w:val="006852CB"/>
    <w:rsid w:val="0068563D"/>
    <w:rsid w:val="006859B7"/>
    <w:rsid w:val="00686035"/>
    <w:rsid w:val="006863F7"/>
    <w:rsid w:val="00686945"/>
    <w:rsid w:val="00686AAD"/>
    <w:rsid w:val="00686C79"/>
    <w:rsid w:val="00686D5A"/>
    <w:rsid w:val="00686E47"/>
    <w:rsid w:val="00687058"/>
    <w:rsid w:val="00687317"/>
    <w:rsid w:val="00687D07"/>
    <w:rsid w:val="00687D91"/>
    <w:rsid w:val="006901C1"/>
    <w:rsid w:val="00690AF6"/>
    <w:rsid w:val="00691741"/>
    <w:rsid w:val="0069176C"/>
    <w:rsid w:val="0069183A"/>
    <w:rsid w:val="00691BFB"/>
    <w:rsid w:val="00691D12"/>
    <w:rsid w:val="00691D7B"/>
    <w:rsid w:val="00691EE6"/>
    <w:rsid w:val="00691F9B"/>
    <w:rsid w:val="0069200B"/>
    <w:rsid w:val="006929F7"/>
    <w:rsid w:val="00692AE1"/>
    <w:rsid w:val="00692FE1"/>
    <w:rsid w:val="00693375"/>
    <w:rsid w:val="00693518"/>
    <w:rsid w:val="006938B3"/>
    <w:rsid w:val="00693A10"/>
    <w:rsid w:val="00693B09"/>
    <w:rsid w:val="00693E73"/>
    <w:rsid w:val="00693F54"/>
    <w:rsid w:val="00693FCA"/>
    <w:rsid w:val="006943A5"/>
    <w:rsid w:val="00694700"/>
    <w:rsid w:val="00694A9F"/>
    <w:rsid w:val="006953FA"/>
    <w:rsid w:val="0069541F"/>
    <w:rsid w:val="00695808"/>
    <w:rsid w:val="00695899"/>
    <w:rsid w:val="006958F7"/>
    <w:rsid w:val="0069599F"/>
    <w:rsid w:val="00695C16"/>
    <w:rsid w:val="0069602E"/>
    <w:rsid w:val="00696249"/>
    <w:rsid w:val="0069632C"/>
    <w:rsid w:val="0069730B"/>
    <w:rsid w:val="0069748A"/>
    <w:rsid w:val="006978F4"/>
    <w:rsid w:val="00697AD3"/>
    <w:rsid w:val="006A051E"/>
    <w:rsid w:val="006A068D"/>
    <w:rsid w:val="006A0EC3"/>
    <w:rsid w:val="006A155E"/>
    <w:rsid w:val="006A1590"/>
    <w:rsid w:val="006A1701"/>
    <w:rsid w:val="006A1B8C"/>
    <w:rsid w:val="006A22C9"/>
    <w:rsid w:val="006A2AE6"/>
    <w:rsid w:val="006A2EF8"/>
    <w:rsid w:val="006A3360"/>
    <w:rsid w:val="006A3363"/>
    <w:rsid w:val="006A3843"/>
    <w:rsid w:val="006A3934"/>
    <w:rsid w:val="006A3A2B"/>
    <w:rsid w:val="006A3A4F"/>
    <w:rsid w:val="006A3DA7"/>
    <w:rsid w:val="006A3DB3"/>
    <w:rsid w:val="006A41EE"/>
    <w:rsid w:val="006A46E1"/>
    <w:rsid w:val="006A4947"/>
    <w:rsid w:val="006A5223"/>
    <w:rsid w:val="006A52F8"/>
    <w:rsid w:val="006A536A"/>
    <w:rsid w:val="006A5818"/>
    <w:rsid w:val="006A5E1E"/>
    <w:rsid w:val="006A613B"/>
    <w:rsid w:val="006A64C9"/>
    <w:rsid w:val="006A6696"/>
    <w:rsid w:val="006A6B75"/>
    <w:rsid w:val="006A6C8E"/>
    <w:rsid w:val="006A6D2D"/>
    <w:rsid w:val="006A6D93"/>
    <w:rsid w:val="006A7132"/>
    <w:rsid w:val="006A73A4"/>
    <w:rsid w:val="006A7C4A"/>
    <w:rsid w:val="006A7D88"/>
    <w:rsid w:val="006B014D"/>
    <w:rsid w:val="006B01BF"/>
    <w:rsid w:val="006B0549"/>
    <w:rsid w:val="006B0676"/>
    <w:rsid w:val="006B0CF1"/>
    <w:rsid w:val="006B0DCF"/>
    <w:rsid w:val="006B154C"/>
    <w:rsid w:val="006B1551"/>
    <w:rsid w:val="006B15A1"/>
    <w:rsid w:val="006B16A3"/>
    <w:rsid w:val="006B1905"/>
    <w:rsid w:val="006B1A25"/>
    <w:rsid w:val="006B1B6E"/>
    <w:rsid w:val="006B2190"/>
    <w:rsid w:val="006B2222"/>
    <w:rsid w:val="006B2380"/>
    <w:rsid w:val="006B25D1"/>
    <w:rsid w:val="006B26FA"/>
    <w:rsid w:val="006B29A8"/>
    <w:rsid w:val="006B2D8F"/>
    <w:rsid w:val="006B2EC6"/>
    <w:rsid w:val="006B3238"/>
    <w:rsid w:val="006B3268"/>
    <w:rsid w:val="006B3273"/>
    <w:rsid w:val="006B342C"/>
    <w:rsid w:val="006B4034"/>
    <w:rsid w:val="006B409D"/>
    <w:rsid w:val="006B4490"/>
    <w:rsid w:val="006B4535"/>
    <w:rsid w:val="006B48CA"/>
    <w:rsid w:val="006B4BED"/>
    <w:rsid w:val="006B5493"/>
    <w:rsid w:val="006B55D9"/>
    <w:rsid w:val="006B59F6"/>
    <w:rsid w:val="006B5FAC"/>
    <w:rsid w:val="006B6099"/>
    <w:rsid w:val="006B6114"/>
    <w:rsid w:val="006B6526"/>
    <w:rsid w:val="006B65F9"/>
    <w:rsid w:val="006B668D"/>
    <w:rsid w:val="006B6B1B"/>
    <w:rsid w:val="006B6DC6"/>
    <w:rsid w:val="006B7994"/>
    <w:rsid w:val="006C032F"/>
    <w:rsid w:val="006C0AD5"/>
    <w:rsid w:val="006C0DC7"/>
    <w:rsid w:val="006C124C"/>
    <w:rsid w:val="006C159A"/>
    <w:rsid w:val="006C1853"/>
    <w:rsid w:val="006C20D7"/>
    <w:rsid w:val="006C23DB"/>
    <w:rsid w:val="006C2BFC"/>
    <w:rsid w:val="006C30BF"/>
    <w:rsid w:val="006C384E"/>
    <w:rsid w:val="006C3940"/>
    <w:rsid w:val="006C3AB4"/>
    <w:rsid w:val="006C3E56"/>
    <w:rsid w:val="006C40EF"/>
    <w:rsid w:val="006C41BE"/>
    <w:rsid w:val="006C4502"/>
    <w:rsid w:val="006C4658"/>
    <w:rsid w:val="006C47A8"/>
    <w:rsid w:val="006C4821"/>
    <w:rsid w:val="006C502E"/>
    <w:rsid w:val="006C5638"/>
    <w:rsid w:val="006C5712"/>
    <w:rsid w:val="006C5A0C"/>
    <w:rsid w:val="006C5BE8"/>
    <w:rsid w:val="006C629A"/>
    <w:rsid w:val="006C6327"/>
    <w:rsid w:val="006C648D"/>
    <w:rsid w:val="006C6705"/>
    <w:rsid w:val="006C67FB"/>
    <w:rsid w:val="006C6E5F"/>
    <w:rsid w:val="006C736B"/>
    <w:rsid w:val="006C7662"/>
    <w:rsid w:val="006C776D"/>
    <w:rsid w:val="006C796F"/>
    <w:rsid w:val="006C7AF5"/>
    <w:rsid w:val="006C7BF7"/>
    <w:rsid w:val="006D04B6"/>
    <w:rsid w:val="006D0D13"/>
    <w:rsid w:val="006D11FA"/>
    <w:rsid w:val="006D1475"/>
    <w:rsid w:val="006D15E2"/>
    <w:rsid w:val="006D1D99"/>
    <w:rsid w:val="006D1FC4"/>
    <w:rsid w:val="006D21A0"/>
    <w:rsid w:val="006D22DE"/>
    <w:rsid w:val="006D2C3D"/>
    <w:rsid w:val="006D3280"/>
    <w:rsid w:val="006D3CF8"/>
    <w:rsid w:val="006D4115"/>
    <w:rsid w:val="006D43D0"/>
    <w:rsid w:val="006D4E68"/>
    <w:rsid w:val="006D4ED1"/>
    <w:rsid w:val="006D4F5A"/>
    <w:rsid w:val="006D4FCE"/>
    <w:rsid w:val="006D5824"/>
    <w:rsid w:val="006D5D91"/>
    <w:rsid w:val="006D5EEB"/>
    <w:rsid w:val="006D608D"/>
    <w:rsid w:val="006D6183"/>
    <w:rsid w:val="006D63AC"/>
    <w:rsid w:val="006D64CE"/>
    <w:rsid w:val="006D68FE"/>
    <w:rsid w:val="006D7326"/>
    <w:rsid w:val="006D742A"/>
    <w:rsid w:val="006D7644"/>
    <w:rsid w:val="006D7A0C"/>
    <w:rsid w:val="006D7F04"/>
    <w:rsid w:val="006E011B"/>
    <w:rsid w:val="006E07B6"/>
    <w:rsid w:val="006E0C64"/>
    <w:rsid w:val="006E139C"/>
    <w:rsid w:val="006E1505"/>
    <w:rsid w:val="006E1509"/>
    <w:rsid w:val="006E1887"/>
    <w:rsid w:val="006E1937"/>
    <w:rsid w:val="006E1C90"/>
    <w:rsid w:val="006E1D55"/>
    <w:rsid w:val="006E1EDD"/>
    <w:rsid w:val="006E2095"/>
    <w:rsid w:val="006E22BB"/>
    <w:rsid w:val="006E2A99"/>
    <w:rsid w:val="006E2ACA"/>
    <w:rsid w:val="006E2C57"/>
    <w:rsid w:val="006E2F70"/>
    <w:rsid w:val="006E3063"/>
    <w:rsid w:val="006E34EA"/>
    <w:rsid w:val="006E3666"/>
    <w:rsid w:val="006E379D"/>
    <w:rsid w:val="006E38D9"/>
    <w:rsid w:val="006E3D50"/>
    <w:rsid w:val="006E4570"/>
    <w:rsid w:val="006E48C9"/>
    <w:rsid w:val="006E515F"/>
    <w:rsid w:val="006E52D9"/>
    <w:rsid w:val="006E54C3"/>
    <w:rsid w:val="006E55AB"/>
    <w:rsid w:val="006E5A08"/>
    <w:rsid w:val="006E5C34"/>
    <w:rsid w:val="006E61F4"/>
    <w:rsid w:val="006E62E2"/>
    <w:rsid w:val="006E6353"/>
    <w:rsid w:val="006E675F"/>
    <w:rsid w:val="006E67CA"/>
    <w:rsid w:val="006E6BA3"/>
    <w:rsid w:val="006E6E7D"/>
    <w:rsid w:val="006E72B2"/>
    <w:rsid w:val="006E75C6"/>
    <w:rsid w:val="006E778D"/>
    <w:rsid w:val="006E79ED"/>
    <w:rsid w:val="006E7BE1"/>
    <w:rsid w:val="006E7C0B"/>
    <w:rsid w:val="006E7C35"/>
    <w:rsid w:val="006E7C8D"/>
    <w:rsid w:val="006E7DEA"/>
    <w:rsid w:val="006E7F14"/>
    <w:rsid w:val="006F0092"/>
    <w:rsid w:val="006F01ED"/>
    <w:rsid w:val="006F06B6"/>
    <w:rsid w:val="006F0982"/>
    <w:rsid w:val="006F0E7B"/>
    <w:rsid w:val="006F1071"/>
    <w:rsid w:val="006F117E"/>
    <w:rsid w:val="006F11E2"/>
    <w:rsid w:val="006F120C"/>
    <w:rsid w:val="006F1830"/>
    <w:rsid w:val="006F18ED"/>
    <w:rsid w:val="006F1A12"/>
    <w:rsid w:val="006F203D"/>
    <w:rsid w:val="006F24DF"/>
    <w:rsid w:val="006F2FD0"/>
    <w:rsid w:val="006F3031"/>
    <w:rsid w:val="006F30E1"/>
    <w:rsid w:val="006F33CE"/>
    <w:rsid w:val="006F3854"/>
    <w:rsid w:val="006F4152"/>
    <w:rsid w:val="006F4263"/>
    <w:rsid w:val="006F43BB"/>
    <w:rsid w:val="006F46EB"/>
    <w:rsid w:val="006F47B3"/>
    <w:rsid w:val="006F48D5"/>
    <w:rsid w:val="006F4AFB"/>
    <w:rsid w:val="006F4BD3"/>
    <w:rsid w:val="006F50DE"/>
    <w:rsid w:val="006F51B7"/>
    <w:rsid w:val="006F5577"/>
    <w:rsid w:val="006F5589"/>
    <w:rsid w:val="006F56BB"/>
    <w:rsid w:val="006F5715"/>
    <w:rsid w:val="006F5720"/>
    <w:rsid w:val="006F5736"/>
    <w:rsid w:val="006F5A23"/>
    <w:rsid w:val="006F5A3A"/>
    <w:rsid w:val="006F5D7F"/>
    <w:rsid w:val="006F5EE1"/>
    <w:rsid w:val="006F629B"/>
    <w:rsid w:val="006F6460"/>
    <w:rsid w:val="006F6492"/>
    <w:rsid w:val="006F6746"/>
    <w:rsid w:val="006F6AE3"/>
    <w:rsid w:val="006F7198"/>
    <w:rsid w:val="006F74DC"/>
    <w:rsid w:val="006F77DD"/>
    <w:rsid w:val="006F7803"/>
    <w:rsid w:val="006F7818"/>
    <w:rsid w:val="006F79A8"/>
    <w:rsid w:val="006F7D88"/>
    <w:rsid w:val="006F7DCB"/>
    <w:rsid w:val="006F7F5A"/>
    <w:rsid w:val="00700033"/>
    <w:rsid w:val="00700097"/>
    <w:rsid w:val="00700311"/>
    <w:rsid w:val="007003D5"/>
    <w:rsid w:val="007003F7"/>
    <w:rsid w:val="0070062E"/>
    <w:rsid w:val="00700FC2"/>
    <w:rsid w:val="007010A9"/>
    <w:rsid w:val="00701201"/>
    <w:rsid w:val="00701229"/>
    <w:rsid w:val="00701260"/>
    <w:rsid w:val="00701403"/>
    <w:rsid w:val="007014E8"/>
    <w:rsid w:val="007017B0"/>
    <w:rsid w:val="00701A1C"/>
    <w:rsid w:val="00701C55"/>
    <w:rsid w:val="007021CE"/>
    <w:rsid w:val="007026EC"/>
    <w:rsid w:val="00702B04"/>
    <w:rsid w:val="007036B9"/>
    <w:rsid w:val="00703AE2"/>
    <w:rsid w:val="00703B28"/>
    <w:rsid w:val="00703C75"/>
    <w:rsid w:val="00704105"/>
    <w:rsid w:val="0070416A"/>
    <w:rsid w:val="007043D3"/>
    <w:rsid w:val="00704972"/>
    <w:rsid w:val="00705AFD"/>
    <w:rsid w:val="00705F40"/>
    <w:rsid w:val="00705FBA"/>
    <w:rsid w:val="00706153"/>
    <w:rsid w:val="007061E3"/>
    <w:rsid w:val="00706740"/>
    <w:rsid w:val="007067C2"/>
    <w:rsid w:val="007068FB"/>
    <w:rsid w:val="00707550"/>
    <w:rsid w:val="00707904"/>
    <w:rsid w:val="00707B81"/>
    <w:rsid w:val="00707C83"/>
    <w:rsid w:val="00707FA7"/>
    <w:rsid w:val="00710A43"/>
    <w:rsid w:val="00710B6F"/>
    <w:rsid w:val="00710D4F"/>
    <w:rsid w:val="00710E46"/>
    <w:rsid w:val="007110B3"/>
    <w:rsid w:val="00711385"/>
    <w:rsid w:val="007113F5"/>
    <w:rsid w:val="007115BA"/>
    <w:rsid w:val="00711B20"/>
    <w:rsid w:val="00711BC3"/>
    <w:rsid w:val="00711C96"/>
    <w:rsid w:val="00711DE9"/>
    <w:rsid w:val="00711FF2"/>
    <w:rsid w:val="0071207D"/>
    <w:rsid w:val="007121A2"/>
    <w:rsid w:val="0071226F"/>
    <w:rsid w:val="007123F3"/>
    <w:rsid w:val="00712426"/>
    <w:rsid w:val="007124B7"/>
    <w:rsid w:val="007124D7"/>
    <w:rsid w:val="00712BB8"/>
    <w:rsid w:val="00712C5E"/>
    <w:rsid w:val="00712F62"/>
    <w:rsid w:val="007130AC"/>
    <w:rsid w:val="0071323F"/>
    <w:rsid w:val="007137FE"/>
    <w:rsid w:val="00713E84"/>
    <w:rsid w:val="00714665"/>
    <w:rsid w:val="007148B7"/>
    <w:rsid w:val="00714B40"/>
    <w:rsid w:val="00714F20"/>
    <w:rsid w:val="00714FB5"/>
    <w:rsid w:val="00715179"/>
    <w:rsid w:val="00715414"/>
    <w:rsid w:val="00715613"/>
    <w:rsid w:val="0071588F"/>
    <w:rsid w:val="007159BE"/>
    <w:rsid w:val="00715CEE"/>
    <w:rsid w:val="00715DCB"/>
    <w:rsid w:val="00715F61"/>
    <w:rsid w:val="0071612F"/>
    <w:rsid w:val="007168CD"/>
    <w:rsid w:val="007169CB"/>
    <w:rsid w:val="00716C37"/>
    <w:rsid w:val="00716EB3"/>
    <w:rsid w:val="00717536"/>
    <w:rsid w:val="00717A9C"/>
    <w:rsid w:val="00717B53"/>
    <w:rsid w:val="0072044B"/>
    <w:rsid w:val="00720E24"/>
    <w:rsid w:val="00720E99"/>
    <w:rsid w:val="00720FA4"/>
    <w:rsid w:val="0072154F"/>
    <w:rsid w:val="00721778"/>
    <w:rsid w:val="0072177D"/>
    <w:rsid w:val="00721BC1"/>
    <w:rsid w:val="00721C65"/>
    <w:rsid w:val="00722538"/>
    <w:rsid w:val="00722778"/>
    <w:rsid w:val="00722EC8"/>
    <w:rsid w:val="0072315E"/>
    <w:rsid w:val="0072354A"/>
    <w:rsid w:val="00723828"/>
    <w:rsid w:val="00723B6C"/>
    <w:rsid w:val="00723C05"/>
    <w:rsid w:val="00723D3D"/>
    <w:rsid w:val="00723E11"/>
    <w:rsid w:val="00723F3E"/>
    <w:rsid w:val="00723FEE"/>
    <w:rsid w:val="007247EA"/>
    <w:rsid w:val="00724D27"/>
    <w:rsid w:val="00725274"/>
    <w:rsid w:val="0072528C"/>
    <w:rsid w:val="00725403"/>
    <w:rsid w:val="007256D2"/>
    <w:rsid w:val="0072586F"/>
    <w:rsid w:val="00725A9A"/>
    <w:rsid w:val="00725BE2"/>
    <w:rsid w:val="007260FF"/>
    <w:rsid w:val="00726182"/>
    <w:rsid w:val="007273DC"/>
    <w:rsid w:val="00727553"/>
    <w:rsid w:val="0072768A"/>
    <w:rsid w:val="0072797C"/>
    <w:rsid w:val="00727B6D"/>
    <w:rsid w:val="00727D70"/>
    <w:rsid w:val="007307E5"/>
    <w:rsid w:val="00730AA3"/>
    <w:rsid w:val="00730E57"/>
    <w:rsid w:val="0073187A"/>
    <w:rsid w:val="00731952"/>
    <w:rsid w:val="00732002"/>
    <w:rsid w:val="007320BE"/>
    <w:rsid w:val="007321A9"/>
    <w:rsid w:val="007326FF"/>
    <w:rsid w:val="00732C3D"/>
    <w:rsid w:val="00733113"/>
    <w:rsid w:val="00733194"/>
    <w:rsid w:val="00733244"/>
    <w:rsid w:val="00733669"/>
    <w:rsid w:val="007336DB"/>
    <w:rsid w:val="00733BC4"/>
    <w:rsid w:val="00733C34"/>
    <w:rsid w:val="00733D5F"/>
    <w:rsid w:val="007340D3"/>
    <w:rsid w:val="007341FE"/>
    <w:rsid w:val="007342D3"/>
    <w:rsid w:val="007342DF"/>
    <w:rsid w:val="007344CD"/>
    <w:rsid w:val="00734529"/>
    <w:rsid w:val="00734610"/>
    <w:rsid w:val="0073476B"/>
    <w:rsid w:val="007347D9"/>
    <w:rsid w:val="0073488D"/>
    <w:rsid w:val="0073520F"/>
    <w:rsid w:val="00735411"/>
    <w:rsid w:val="007355F2"/>
    <w:rsid w:val="00735B41"/>
    <w:rsid w:val="00735B64"/>
    <w:rsid w:val="00736005"/>
    <w:rsid w:val="00736258"/>
    <w:rsid w:val="00736299"/>
    <w:rsid w:val="0073638B"/>
    <w:rsid w:val="007363EC"/>
    <w:rsid w:val="007374FF"/>
    <w:rsid w:val="0073751F"/>
    <w:rsid w:val="00737888"/>
    <w:rsid w:val="00740351"/>
    <w:rsid w:val="007405C8"/>
    <w:rsid w:val="00740696"/>
    <w:rsid w:val="0074094C"/>
    <w:rsid w:val="00740B72"/>
    <w:rsid w:val="00740BE7"/>
    <w:rsid w:val="00740CE1"/>
    <w:rsid w:val="0074120A"/>
    <w:rsid w:val="0074129C"/>
    <w:rsid w:val="00741787"/>
    <w:rsid w:val="00741A72"/>
    <w:rsid w:val="00741DF4"/>
    <w:rsid w:val="00741E4D"/>
    <w:rsid w:val="00741FAF"/>
    <w:rsid w:val="0074224D"/>
    <w:rsid w:val="007422B8"/>
    <w:rsid w:val="00742316"/>
    <w:rsid w:val="00742FEA"/>
    <w:rsid w:val="0074300E"/>
    <w:rsid w:val="007434C1"/>
    <w:rsid w:val="00743E82"/>
    <w:rsid w:val="00743FEF"/>
    <w:rsid w:val="0074431C"/>
    <w:rsid w:val="00744C05"/>
    <w:rsid w:val="00744C32"/>
    <w:rsid w:val="0074507E"/>
    <w:rsid w:val="0074530D"/>
    <w:rsid w:val="00745326"/>
    <w:rsid w:val="007453D5"/>
    <w:rsid w:val="0074553A"/>
    <w:rsid w:val="007457D4"/>
    <w:rsid w:val="00745A25"/>
    <w:rsid w:val="00745BBE"/>
    <w:rsid w:val="00745D97"/>
    <w:rsid w:val="0074618D"/>
    <w:rsid w:val="00746289"/>
    <w:rsid w:val="007468CF"/>
    <w:rsid w:val="00746A50"/>
    <w:rsid w:val="00746CD7"/>
    <w:rsid w:val="007470CD"/>
    <w:rsid w:val="007477AD"/>
    <w:rsid w:val="00747A69"/>
    <w:rsid w:val="00750825"/>
    <w:rsid w:val="00750BFA"/>
    <w:rsid w:val="00750CE5"/>
    <w:rsid w:val="00750CFB"/>
    <w:rsid w:val="00750E71"/>
    <w:rsid w:val="007519AC"/>
    <w:rsid w:val="00751C04"/>
    <w:rsid w:val="00751C6F"/>
    <w:rsid w:val="00751CC2"/>
    <w:rsid w:val="00752187"/>
    <w:rsid w:val="007523F8"/>
    <w:rsid w:val="0075249F"/>
    <w:rsid w:val="00752658"/>
    <w:rsid w:val="00752A65"/>
    <w:rsid w:val="00752C85"/>
    <w:rsid w:val="00752EC6"/>
    <w:rsid w:val="00753261"/>
    <w:rsid w:val="0075328D"/>
    <w:rsid w:val="007537C0"/>
    <w:rsid w:val="00753811"/>
    <w:rsid w:val="00753FCA"/>
    <w:rsid w:val="00754411"/>
    <w:rsid w:val="007548E9"/>
    <w:rsid w:val="00754AA7"/>
    <w:rsid w:val="00755098"/>
    <w:rsid w:val="00755446"/>
    <w:rsid w:val="00755523"/>
    <w:rsid w:val="00755685"/>
    <w:rsid w:val="007557D5"/>
    <w:rsid w:val="00755D67"/>
    <w:rsid w:val="0075653A"/>
    <w:rsid w:val="0075676A"/>
    <w:rsid w:val="00756D3D"/>
    <w:rsid w:val="00756FA4"/>
    <w:rsid w:val="007572A6"/>
    <w:rsid w:val="00757421"/>
    <w:rsid w:val="0075755A"/>
    <w:rsid w:val="0075762E"/>
    <w:rsid w:val="00757882"/>
    <w:rsid w:val="00757931"/>
    <w:rsid w:val="00757B81"/>
    <w:rsid w:val="00757F89"/>
    <w:rsid w:val="00757FE1"/>
    <w:rsid w:val="007607AE"/>
    <w:rsid w:val="007608E5"/>
    <w:rsid w:val="00760AA0"/>
    <w:rsid w:val="00760B58"/>
    <w:rsid w:val="00760BF7"/>
    <w:rsid w:val="00760E1E"/>
    <w:rsid w:val="00760F7C"/>
    <w:rsid w:val="00761230"/>
    <w:rsid w:val="00761247"/>
    <w:rsid w:val="007613F3"/>
    <w:rsid w:val="007614D3"/>
    <w:rsid w:val="00761691"/>
    <w:rsid w:val="0076179A"/>
    <w:rsid w:val="007617A9"/>
    <w:rsid w:val="0076190B"/>
    <w:rsid w:val="00761C5A"/>
    <w:rsid w:val="007622A4"/>
    <w:rsid w:val="00762557"/>
    <w:rsid w:val="0076256D"/>
    <w:rsid w:val="00762957"/>
    <w:rsid w:val="00762C63"/>
    <w:rsid w:val="00762C72"/>
    <w:rsid w:val="0076369E"/>
    <w:rsid w:val="00763839"/>
    <w:rsid w:val="00764066"/>
    <w:rsid w:val="0076415D"/>
    <w:rsid w:val="007642C4"/>
    <w:rsid w:val="00764307"/>
    <w:rsid w:val="00764514"/>
    <w:rsid w:val="00764BE6"/>
    <w:rsid w:val="00764E76"/>
    <w:rsid w:val="00764FD7"/>
    <w:rsid w:val="00764FF9"/>
    <w:rsid w:val="00765471"/>
    <w:rsid w:val="0076581B"/>
    <w:rsid w:val="007659D1"/>
    <w:rsid w:val="00765AE1"/>
    <w:rsid w:val="00765CBD"/>
    <w:rsid w:val="00766BC7"/>
    <w:rsid w:val="00766DEA"/>
    <w:rsid w:val="00766F27"/>
    <w:rsid w:val="00766F5E"/>
    <w:rsid w:val="00766FA0"/>
    <w:rsid w:val="0076705B"/>
    <w:rsid w:val="0076767A"/>
    <w:rsid w:val="00767BF3"/>
    <w:rsid w:val="00770946"/>
    <w:rsid w:val="00770CF2"/>
    <w:rsid w:val="0077103D"/>
    <w:rsid w:val="007712F9"/>
    <w:rsid w:val="0077166D"/>
    <w:rsid w:val="00771A7E"/>
    <w:rsid w:val="00771B34"/>
    <w:rsid w:val="00771B89"/>
    <w:rsid w:val="007726EE"/>
    <w:rsid w:val="0077280B"/>
    <w:rsid w:val="007729A0"/>
    <w:rsid w:val="00772E53"/>
    <w:rsid w:val="007734E7"/>
    <w:rsid w:val="00773600"/>
    <w:rsid w:val="007737B8"/>
    <w:rsid w:val="00773B05"/>
    <w:rsid w:val="007743B1"/>
    <w:rsid w:val="00774561"/>
    <w:rsid w:val="007747FC"/>
    <w:rsid w:val="00774DC5"/>
    <w:rsid w:val="00775514"/>
    <w:rsid w:val="00775A0F"/>
    <w:rsid w:val="00775A17"/>
    <w:rsid w:val="00775BED"/>
    <w:rsid w:val="007762A3"/>
    <w:rsid w:val="007764CC"/>
    <w:rsid w:val="00776ADC"/>
    <w:rsid w:val="00776E97"/>
    <w:rsid w:val="0077730A"/>
    <w:rsid w:val="00777477"/>
    <w:rsid w:val="00777939"/>
    <w:rsid w:val="007802C4"/>
    <w:rsid w:val="007809D0"/>
    <w:rsid w:val="00780B47"/>
    <w:rsid w:val="00781176"/>
    <w:rsid w:val="007811A7"/>
    <w:rsid w:val="00781836"/>
    <w:rsid w:val="00781A01"/>
    <w:rsid w:val="0078256F"/>
    <w:rsid w:val="0078280B"/>
    <w:rsid w:val="00782EA9"/>
    <w:rsid w:val="00782F09"/>
    <w:rsid w:val="00783199"/>
    <w:rsid w:val="0078325B"/>
    <w:rsid w:val="00783503"/>
    <w:rsid w:val="00783BD9"/>
    <w:rsid w:val="00784650"/>
    <w:rsid w:val="00784720"/>
    <w:rsid w:val="00784945"/>
    <w:rsid w:val="00784B4C"/>
    <w:rsid w:val="00784C44"/>
    <w:rsid w:val="007854A5"/>
    <w:rsid w:val="00785834"/>
    <w:rsid w:val="007861A5"/>
    <w:rsid w:val="007862AD"/>
    <w:rsid w:val="007864CF"/>
    <w:rsid w:val="00786CC6"/>
    <w:rsid w:val="00786CD1"/>
    <w:rsid w:val="00786EF9"/>
    <w:rsid w:val="007870EB"/>
    <w:rsid w:val="00787106"/>
    <w:rsid w:val="00787803"/>
    <w:rsid w:val="00787E4B"/>
    <w:rsid w:val="00787F5B"/>
    <w:rsid w:val="007900C6"/>
    <w:rsid w:val="0079018C"/>
    <w:rsid w:val="0079020E"/>
    <w:rsid w:val="00790417"/>
    <w:rsid w:val="0079044A"/>
    <w:rsid w:val="007904BA"/>
    <w:rsid w:val="00790854"/>
    <w:rsid w:val="00790A7A"/>
    <w:rsid w:val="00790DB3"/>
    <w:rsid w:val="00791009"/>
    <w:rsid w:val="00791192"/>
    <w:rsid w:val="007911BC"/>
    <w:rsid w:val="0079134A"/>
    <w:rsid w:val="007917A8"/>
    <w:rsid w:val="0079199E"/>
    <w:rsid w:val="00791D73"/>
    <w:rsid w:val="00792194"/>
    <w:rsid w:val="00792221"/>
    <w:rsid w:val="00792344"/>
    <w:rsid w:val="007923E4"/>
    <w:rsid w:val="00792400"/>
    <w:rsid w:val="0079241D"/>
    <w:rsid w:val="0079260E"/>
    <w:rsid w:val="007929EF"/>
    <w:rsid w:val="00792A09"/>
    <w:rsid w:val="00792DD9"/>
    <w:rsid w:val="00792E4E"/>
    <w:rsid w:val="0079337C"/>
    <w:rsid w:val="00793449"/>
    <w:rsid w:val="007936B9"/>
    <w:rsid w:val="0079384C"/>
    <w:rsid w:val="00793935"/>
    <w:rsid w:val="00793A1E"/>
    <w:rsid w:val="007944F3"/>
    <w:rsid w:val="007947EB"/>
    <w:rsid w:val="00794937"/>
    <w:rsid w:val="00794B3C"/>
    <w:rsid w:val="00794BE5"/>
    <w:rsid w:val="00794C19"/>
    <w:rsid w:val="00794CE7"/>
    <w:rsid w:val="00794E76"/>
    <w:rsid w:val="00795DF7"/>
    <w:rsid w:val="007965B5"/>
    <w:rsid w:val="00796691"/>
    <w:rsid w:val="00796766"/>
    <w:rsid w:val="0079693E"/>
    <w:rsid w:val="0079747B"/>
    <w:rsid w:val="007976DA"/>
    <w:rsid w:val="007977D1"/>
    <w:rsid w:val="00797A64"/>
    <w:rsid w:val="00797A71"/>
    <w:rsid w:val="00797C6C"/>
    <w:rsid w:val="00797D20"/>
    <w:rsid w:val="00797D31"/>
    <w:rsid w:val="007A055F"/>
    <w:rsid w:val="007A0903"/>
    <w:rsid w:val="007A0BAE"/>
    <w:rsid w:val="007A1125"/>
    <w:rsid w:val="007A129F"/>
    <w:rsid w:val="007A178B"/>
    <w:rsid w:val="007A186F"/>
    <w:rsid w:val="007A1BED"/>
    <w:rsid w:val="007A1C93"/>
    <w:rsid w:val="007A205E"/>
    <w:rsid w:val="007A20B3"/>
    <w:rsid w:val="007A230C"/>
    <w:rsid w:val="007A25FD"/>
    <w:rsid w:val="007A2832"/>
    <w:rsid w:val="007A2EB0"/>
    <w:rsid w:val="007A303D"/>
    <w:rsid w:val="007A3076"/>
    <w:rsid w:val="007A3515"/>
    <w:rsid w:val="007A3EAB"/>
    <w:rsid w:val="007A3FD0"/>
    <w:rsid w:val="007A402E"/>
    <w:rsid w:val="007A40B4"/>
    <w:rsid w:val="007A4285"/>
    <w:rsid w:val="007A4881"/>
    <w:rsid w:val="007A4C22"/>
    <w:rsid w:val="007A4C80"/>
    <w:rsid w:val="007A4DE3"/>
    <w:rsid w:val="007A5317"/>
    <w:rsid w:val="007A611A"/>
    <w:rsid w:val="007A6583"/>
    <w:rsid w:val="007A676A"/>
    <w:rsid w:val="007A6C03"/>
    <w:rsid w:val="007A716C"/>
    <w:rsid w:val="007A71FC"/>
    <w:rsid w:val="007A739D"/>
    <w:rsid w:val="007A795A"/>
    <w:rsid w:val="007A7B25"/>
    <w:rsid w:val="007A7BED"/>
    <w:rsid w:val="007A7DA2"/>
    <w:rsid w:val="007B00EA"/>
    <w:rsid w:val="007B0295"/>
    <w:rsid w:val="007B0C2B"/>
    <w:rsid w:val="007B0E72"/>
    <w:rsid w:val="007B10B3"/>
    <w:rsid w:val="007B117C"/>
    <w:rsid w:val="007B135F"/>
    <w:rsid w:val="007B1774"/>
    <w:rsid w:val="007B1803"/>
    <w:rsid w:val="007B18C9"/>
    <w:rsid w:val="007B19BA"/>
    <w:rsid w:val="007B1BA5"/>
    <w:rsid w:val="007B23CA"/>
    <w:rsid w:val="007B2A28"/>
    <w:rsid w:val="007B2C2C"/>
    <w:rsid w:val="007B3278"/>
    <w:rsid w:val="007B32BC"/>
    <w:rsid w:val="007B3B15"/>
    <w:rsid w:val="007B3E51"/>
    <w:rsid w:val="007B42E5"/>
    <w:rsid w:val="007B4352"/>
    <w:rsid w:val="007B4784"/>
    <w:rsid w:val="007B491B"/>
    <w:rsid w:val="007B4E56"/>
    <w:rsid w:val="007B4FA2"/>
    <w:rsid w:val="007B5270"/>
    <w:rsid w:val="007B52B3"/>
    <w:rsid w:val="007B5AC5"/>
    <w:rsid w:val="007B5BBC"/>
    <w:rsid w:val="007B5EB9"/>
    <w:rsid w:val="007B5EEC"/>
    <w:rsid w:val="007B6140"/>
    <w:rsid w:val="007B61DA"/>
    <w:rsid w:val="007B6238"/>
    <w:rsid w:val="007B65EB"/>
    <w:rsid w:val="007B66C7"/>
    <w:rsid w:val="007B6713"/>
    <w:rsid w:val="007B7241"/>
    <w:rsid w:val="007B7246"/>
    <w:rsid w:val="007B74E9"/>
    <w:rsid w:val="007B756A"/>
    <w:rsid w:val="007B7B79"/>
    <w:rsid w:val="007B7EDB"/>
    <w:rsid w:val="007C02EC"/>
    <w:rsid w:val="007C0423"/>
    <w:rsid w:val="007C0CD3"/>
    <w:rsid w:val="007C1407"/>
    <w:rsid w:val="007C1429"/>
    <w:rsid w:val="007C1902"/>
    <w:rsid w:val="007C1C0C"/>
    <w:rsid w:val="007C1C8E"/>
    <w:rsid w:val="007C1D58"/>
    <w:rsid w:val="007C2BF6"/>
    <w:rsid w:val="007C3103"/>
    <w:rsid w:val="007C3586"/>
    <w:rsid w:val="007C4280"/>
    <w:rsid w:val="007C42AF"/>
    <w:rsid w:val="007C436A"/>
    <w:rsid w:val="007C45BD"/>
    <w:rsid w:val="007C4660"/>
    <w:rsid w:val="007C49D1"/>
    <w:rsid w:val="007C4AA9"/>
    <w:rsid w:val="007C4DC2"/>
    <w:rsid w:val="007C555E"/>
    <w:rsid w:val="007C58A9"/>
    <w:rsid w:val="007C63DF"/>
    <w:rsid w:val="007C67A4"/>
    <w:rsid w:val="007C68C5"/>
    <w:rsid w:val="007C68EE"/>
    <w:rsid w:val="007C690F"/>
    <w:rsid w:val="007C7291"/>
    <w:rsid w:val="007C7471"/>
    <w:rsid w:val="007C750D"/>
    <w:rsid w:val="007C75A3"/>
    <w:rsid w:val="007C770A"/>
    <w:rsid w:val="007C785B"/>
    <w:rsid w:val="007C7A5D"/>
    <w:rsid w:val="007C7AA3"/>
    <w:rsid w:val="007C7B5B"/>
    <w:rsid w:val="007D030C"/>
    <w:rsid w:val="007D07AE"/>
    <w:rsid w:val="007D0E54"/>
    <w:rsid w:val="007D1176"/>
    <w:rsid w:val="007D13C1"/>
    <w:rsid w:val="007D1429"/>
    <w:rsid w:val="007D1C79"/>
    <w:rsid w:val="007D29A8"/>
    <w:rsid w:val="007D2BF7"/>
    <w:rsid w:val="007D2FCD"/>
    <w:rsid w:val="007D320B"/>
    <w:rsid w:val="007D3927"/>
    <w:rsid w:val="007D397A"/>
    <w:rsid w:val="007D3BCE"/>
    <w:rsid w:val="007D3DC5"/>
    <w:rsid w:val="007D412F"/>
    <w:rsid w:val="007D4304"/>
    <w:rsid w:val="007D446F"/>
    <w:rsid w:val="007D5118"/>
    <w:rsid w:val="007D512E"/>
    <w:rsid w:val="007D5B01"/>
    <w:rsid w:val="007D5C14"/>
    <w:rsid w:val="007D5C8B"/>
    <w:rsid w:val="007D62AE"/>
    <w:rsid w:val="007D6404"/>
    <w:rsid w:val="007D662E"/>
    <w:rsid w:val="007D6699"/>
    <w:rsid w:val="007D681C"/>
    <w:rsid w:val="007D68F8"/>
    <w:rsid w:val="007D6AE2"/>
    <w:rsid w:val="007D6AEC"/>
    <w:rsid w:val="007D6B85"/>
    <w:rsid w:val="007D6DAD"/>
    <w:rsid w:val="007D71FE"/>
    <w:rsid w:val="007E044E"/>
    <w:rsid w:val="007E0628"/>
    <w:rsid w:val="007E0A07"/>
    <w:rsid w:val="007E0A51"/>
    <w:rsid w:val="007E0A63"/>
    <w:rsid w:val="007E1041"/>
    <w:rsid w:val="007E1173"/>
    <w:rsid w:val="007E16AE"/>
    <w:rsid w:val="007E18EF"/>
    <w:rsid w:val="007E1BB0"/>
    <w:rsid w:val="007E1CAA"/>
    <w:rsid w:val="007E1E85"/>
    <w:rsid w:val="007E1F96"/>
    <w:rsid w:val="007E235D"/>
    <w:rsid w:val="007E2D0D"/>
    <w:rsid w:val="007E32BE"/>
    <w:rsid w:val="007E3566"/>
    <w:rsid w:val="007E3934"/>
    <w:rsid w:val="007E3C62"/>
    <w:rsid w:val="007E3FA6"/>
    <w:rsid w:val="007E4061"/>
    <w:rsid w:val="007E410B"/>
    <w:rsid w:val="007E440E"/>
    <w:rsid w:val="007E460C"/>
    <w:rsid w:val="007E4A85"/>
    <w:rsid w:val="007E4B66"/>
    <w:rsid w:val="007E4D7A"/>
    <w:rsid w:val="007E4F22"/>
    <w:rsid w:val="007E4F8E"/>
    <w:rsid w:val="007E56EC"/>
    <w:rsid w:val="007E5745"/>
    <w:rsid w:val="007E592E"/>
    <w:rsid w:val="007E6042"/>
    <w:rsid w:val="007E60FC"/>
    <w:rsid w:val="007E61A5"/>
    <w:rsid w:val="007E6354"/>
    <w:rsid w:val="007E66DC"/>
    <w:rsid w:val="007E6A68"/>
    <w:rsid w:val="007E6F8B"/>
    <w:rsid w:val="007E7065"/>
    <w:rsid w:val="007E797C"/>
    <w:rsid w:val="007E7988"/>
    <w:rsid w:val="007E7B28"/>
    <w:rsid w:val="007E7BB7"/>
    <w:rsid w:val="007F0304"/>
    <w:rsid w:val="007F04A4"/>
    <w:rsid w:val="007F07F6"/>
    <w:rsid w:val="007F0901"/>
    <w:rsid w:val="007F09DC"/>
    <w:rsid w:val="007F0C57"/>
    <w:rsid w:val="007F11EC"/>
    <w:rsid w:val="007F15E4"/>
    <w:rsid w:val="007F176E"/>
    <w:rsid w:val="007F2063"/>
    <w:rsid w:val="007F240B"/>
    <w:rsid w:val="007F2AA9"/>
    <w:rsid w:val="007F2FBD"/>
    <w:rsid w:val="007F3054"/>
    <w:rsid w:val="007F3278"/>
    <w:rsid w:val="007F393C"/>
    <w:rsid w:val="007F40A2"/>
    <w:rsid w:val="007F4263"/>
    <w:rsid w:val="007F4550"/>
    <w:rsid w:val="007F4878"/>
    <w:rsid w:val="007F48C9"/>
    <w:rsid w:val="007F494E"/>
    <w:rsid w:val="007F4D8D"/>
    <w:rsid w:val="007F51AD"/>
    <w:rsid w:val="007F5442"/>
    <w:rsid w:val="007F54D9"/>
    <w:rsid w:val="007F56E2"/>
    <w:rsid w:val="007F58C8"/>
    <w:rsid w:val="007F5A8A"/>
    <w:rsid w:val="007F5C93"/>
    <w:rsid w:val="007F5D4A"/>
    <w:rsid w:val="007F5E20"/>
    <w:rsid w:val="007F6101"/>
    <w:rsid w:val="007F67A8"/>
    <w:rsid w:val="007F6901"/>
    <w:rsid w:val="007F6D82"/>
    <w:rsid w:val="007F761A"/>
    <w:rsid w:val="007F774B"/>
    <w:rsid w:val="007F775B"/>
    <w:rsid w:val="007F77FC"/>
    <w:rsid w:val="007F7953"/>
    <w:rsid w:val="007F7ED6"/>
    <w:rsid w:val="007F7EE5"/>
    <w:rsid w:val="00800023"/>
    <w:rsid w:val="0080030C"/>
    <w:rsid w:val="0080041F"/>
    <w:rsid w:val="00800793"/>
    <w:rsid w:val="00800939"/>
    <w:rsid w:val="00800A8C"/>
    <w:rsid w:val="00800EA6"/>
    <w:rsid w:val="00801176"/>
    <w:rsid w:val="0080142A"/>
    <w:rsid w:val="008014E7"/>
    <w:rsid w:val="00801D61"/>
    <w:rsid w:val="00802069"/>
    <w:rsid w:val="00802250"/>
    <w:rsid w:val="0080245A"/>
    <w:rsid w:val="008026EF"/>
    <w:rsid w:val="008034DB"/>
    <w:rsid w:val="008037BB"/>
    <w:rsid w:val="00803AF1"/>
    <w:rsid w:val="00803BC3"/>
    <w:rsid w:val="00804035"/>
    <w:rsid w:val="008041DB"/>
    <w:rsid w:val="00804236"/>
    <w:rsid w:val="00804393"/>
    <w:rsid w:val="0080456D"/>
    <w:rsid w:val="00804847"/>
    <w:rsid w:val="00804CE9"/>
    <w:rsid w:val="00804D14"/>
    <w:rsid w:val="00804FAA"/>
    <w:rsid w:val="00805418"/>
    <w:rsid w:val="008056DB"/>
    <w:rsid w:val="00805797"/>
    <w:rsid w:val="00805E7B"/>
    <w:rsid w:val="00806137"/>
    <w:rsid w:val="00806373"/>
    <w:rsid w:val="008068C4"/>
    <w:rsid w:val="00806981"/>
    <w:rsid w:val="00807443"/>
    <w:rsid w:val="008078E3"/>
    <w:rsid w:val="00807AB4"/>
    <w:rsid w:val="00807AF0"/>
    <w:rsid w:val="00807B32"/>
    <w:rsid w:val="00810338"/>
    <w:rsid w:val="00810939"/>
    <w:rsid w:val="00810976"/>
    <w:rsid w:val="008111CC"/>
    <w:rsid w:val="008114B5"/>
    <w:rsid w:val="0081162E"/>
    <w:rsid w:val="00811F16"/>
    <w:rsid w:val="0081201C"/>
    <w:rsid w:val="00812249"/>
    <w:rsid w:val="008123E3"/>
    <w:rsid w:val="008125CA"/>
    <w:rsid w:val="00812729"/>
    <w:rsid w:val="00812BDF"/>
    <w:rsid w:val="008133A7"/>
    <w:rsid w:val="008137EE"/>
    <w:rsid w:val="00813866"/>
    <w:rsid w:val="008139C1"/>
    <w:rsid w:val="00813C47"/>
    <w:rsid w:val="0081468D"/>
    <w:rsid w:val="008147C6"/>
    <w:rsid w:val="00814CC1"/>
    <w:rsid w:val="008151BC"/>
    <w:rsid w:val="008151C9"/>
    <w:rsid w:val="00815732"/>
    <w:rsid w:val="008157ED"/>
    <w:rsid w:val="008161F6"/>
    <w:rsid w:val="00816718"/>
    <w:rsid w:val="008169EF"/>
    <w:rsid w:val="0081784F"/>
    <w:rsid w:val="00817A84"/>
    <w:rsid w:val="00817B7D"/>
    <w:rsid w:val="00817CF4"/>
    <w:rsid w:val="008201FD"/>
    <w:rsid w:val="0082055A"/>
    <w:rsid w:val="0082070A"/>
    <w:rsid w:val="00820844"/>
    <w:rsid w:val="008209C8"/>
    <w:rsid w:val="00820BFA"/>
    <w:rsid w:val="0082138C"/>
    <w:rsid w:val="00821600"/>
    <w:rsid w:val="00821608"/>
    <w:rsid w:val="008217B5"/>
    <w:rsid w:val="008217E8"/>
    <w:rsid w:val="008218C3"/>
    <w:rsid w:val="0082192E"/>
    <w:rsid w:val="00821951"/>
    <w:rsid w:val="00822811"/>
    <w:rsid w:val="00822865"/>
    <w:rsid w:val="00822BE5"/>
    <w:rsid w:val="00822C51"/>
    <w:rsid w:val="00822D4B"/>
    <w:rsid w:val="00822EBD"/>
    <w:rsid w:val="00822FCF"/>
    <w:rsid w:val="00822FD8"/>
    <w:rsid w:val="00823269"/>
    <w:rsid w:val="00823441"/>
    <w:rsid w:val="00823832"/>
    <w:rsid w:val="008239A2"/>
    <w:rsid w:val="0082412D"/>
    <w:rsid w:val="00824224"/>
    <w:rsid w:val="00824488"/>
    <w:rsid w:val="00824965"/>
    <w:rsid w:val="00824B36"/>
    <w:rsid w:val="00825105"/>
    <w:rsid w:val="00825273"/>
    <w:rsid w:val="00825753"/>
    <w:rsid w:val="00825771"/>
    <w:rsid w:val="00825826"/>
    <w:rsid w:val="0082592E"/>
    <w:rsid w:val="00825CCE"/>
    <w:rsid w:val="00825EE9"/>
    <w:rsid w:val="008262D2"/>
    <w:rsid w:val="00826A81"/>
    <w:rsid w:val="00826ADA"/>
    <w:rsid w:val="00826DA5"/>
    <w:rsid w:val="00826ED0"/>
    <w:rsid w:val="00826F94"/>
    <w:rsid w:val="008270DC"/>
    <w:rsid w:val="0082714E"/>
    <w:rsid w:val="00827330"/>
    <w:rsid w:val="00827716"/>
    <w:rsid w:val="00827904"/>
    <w:rsid w:val="00827B7A"/>
    <w:rsid w:val="00827E1D"/>
    <w:rsid w:val="00830BA2"/>
    <w:rsid w:val="00830C4B"/>
    <w:rsid w:val="00830CC5"/>
    <w:rsid w:val="00830EDE"/>
    <w:rsid w:val="00830F1D"/>
    <w:rsid w:val="00831159"/>
    <w:rsid w:val="00831503"/>
    <w:rsid w:val="00831A4E"/>
    <w:rsid w:val="00832014"/>
    <w:rsid w:val="00832943"/>
    <w:rsid w:val="00832ACC"/>
    <w:rsid w:val="00832AE9"/>
    <w:rsid w:val="00832B15"/>
    <w:rsid w:val="00832DAD"/>
    <w:rsid w:val="00832E99"/>
    <w:rsid w:val="00833745"/>
    <w:rsid w:val="00833AD0"/>
    <w:rsid w:val="00833AF5"/>
    <w:rsid w:val="00833D9A"/>
    <w:rsid w:val="00834375"/>
    <w:rsid w:val="0083462E"/>
    <w:rsid w:val="00834AE5"/>
    <w:rsid w:val="00834AF0"/>
    <w:rsid w:val="00834BC8"/>
    <w:rsid w:val="00834BEB"/>
    <w:rsid w:val="008352F1"/>
    <w:rsid w:val="008353D0"/>
    <w:rsid w:val="00835761"/>
    <w:rsid w:val="00835A43"/>
    <w:rsid w:val="00835B20"/>
    <w:rsid w:val="00835F7F"/>
    <w:rsid w:val="008360B7"/>
    <w:rsid w:val="0083647E"/>
    <w:rsid w:val="00836561"/>
    <w:rsid w:val="00836D05"/>
    <w:rsid w:val="008373ED"/>
    <w:rsid w:val="00837787"/>
    <w:rsid w:val="008377B7"/>
    <w:rsid w:val="0084006F"/>
    <w:rsid w:val="008404EA"/>
    <w:rsid w:val="008408CE"/>
    <w:rsid w:val="00840B99"/>
    <w:rsid w:val="00840D78"/>
    <w:rsid w:val="00840F41"/>
    <w:rsid w:val="00841052"/>
    <w:rsid w:val="00841437"/>
    <w:rsid w:val="00841C19"/>
    <w:rsid w:val="00841F9F"/>
    <w:rsid w:val="00842024"/>
    <w:rsid w:val="008423DF"/>
    <w:rsid w:val="00842768"/>
    <w:rsid w:val="00842ABF"/>
    <w:rsid w:val="00842CCF"/>
    <w:rsid w:val="00843215"/>
    <w:rsid w:val="0084349E"/>
    <w:rsid w:val="00843B9D"/>
    <w:rsid w:val="00843BDB"/>
    <w:rsid w:val="00843BE7"/>
    <w:rsid w:val="00843EE1"/>
    <w:rsid w:val="00843F12"/>
    <w:rsid w:val="00844A59"/>
    <w:rsid w:val="00844B03"/>
    <w:rsid w:val="00844CC7"/>
    <w:rsid w:val="00844E06"/>
    <w:rsid w:val="008450F6"/>
    <w:rsid w:val="008454DB"/>
    <w:rsid w:val="00845699"/>
    <w:rsid w:val="0084571C"/>
    <w:rsid w:val="0084574E"/>
    <w:rsid w:val="008457D4"/>
    <w:rsid w:val="00845A0F"/>
    <w:rsid w:val="00845C2D"/>
    <w:rsid w:val="00845FD4"/>
    <w:rsid w:val="008461D4"/>
    <w:rsid w:val="00846316"/>
    <w:rsid w:val="00846326"/>
    <w:rsid w:val="0084647B"/>
    <w:rsid w:val="00846AF9"/>
    <w:rsid w:val="00846C32"/>
    <w:rsid w:val="00846D12"/>
    <w:rsid w:val="008473E9"/>
    <w:rsid w:val="008476D3"/>
    <w:rsid w:val="0084773A"/>
    <w:rsid w:val="00847933"/>
    <w:rsid w:val="00847CF3"/>
    <w:rsid w:val="00847EB9"/>
    <w:rsid w:val="00850101"/>
    <w:rsid w:val="008506A7"/>
    <w:rsid w:val="00850842"/>
    <w:rsid w:val="0085094C"/>
    <w:rsid w:val="00850F1A"/>
    <w:rsid w:val="008515EF"/>
    <w:rsid w:val="00851602"/>
    <w:rsid w:val="00851B43"/>
    <w:rsid w:val="0085223C"/>
    <w:rsid w:val="008524BB"/>
    <w:rsid w:val="0085268B"/>
    <w:rsid w:val="00852944"/>
    <w:rsid w:val="00852CFA"/>
    <w:rsid w:val="00852D18"/>
    <w:rsid w:val="0085315A"/>
    <w:rsid w:val="0085350A"/>
    <w:rsid w:val="00853672"/>
    <w:rsid w:val="00853749"/>
    <w:rsid w:val="00853991"/>
    <w:rsid w:val="00853E11"/>
    <w:rsid w:val="00853EFC"/>
    <w:rsid w:val="008542CA"/>
    <w:rsid w:val="0085459E"/>
    <w:rsid w:val="008549DB"/>
    <w:rsid w:val="00854A9C"/>
    <w:rsid w:val="00854AE7"/>
    <w:rsid w:val="00854CA7"/>
    <w:rsid w:val="00854CFA"/>
    <w:rsid w:val="00854D7B"/>
    <w:rsid w:val="00854EF5"/>
    <w:rsid w:val="0085535D"/>
    <w:rsid w:val="00855523"/>
    <w:rsid w:val="0085584B"/>
    <w:rsid w:val="0085590B"/>
    <w:rsid w:val="00855C3C"/>
    <w:rsid w:val="00855EEF"/>
    <w:rsid w:val="008560C7"/>
    <w:rsid w:val="0085612D"/>
    <w:rsid w:val="00856133"/>
    <w:rsid w:val="00856148"/>
    <w:rsid w:val="00856A34"/>
    <w:rsid w:val="00856AD0"/>
    <w:rsid w:val="0085719E"/>
    <w:rsid w:val="0085731E"/>
    <w:rsid w:val="0085794E"/>
    <w:rsid w:val="00857AB5"/>
    <w:rsid w:val="00857DE1"/>
    <w:rsid w:val="00857EB5"/>
    <w:rsid w:val="008600DB"/>
    <w:rsid w:val="008602AF"/>
    <w:rsid w:val="008604DA"/>
    <w:rsid w:val="00860B8B"/>
    <w:rsid w:val="00860BCF"/>
    <w:rsid w:val="0086142A"/>
    <w:rsid w:val="0086153B"/>
    <w:rsid w:val="00861679"/>
    <w:rsid w:val="0086221E"/>
    <w:rsid w:val="008623A7"/>
    <w:rsid w:val="00862451"/>
    <w:rsid w:val="0086264B"/>
    <w:rsid w:val="008627EE"/>
    <w:rsid w:val="008628DF"/>
    <w:rsid w:val="008629F7"/>
    <w:rsid w:val="0086315C"/>
    <w:rsid w:val="008631E6"/>
    <w:rsid w:val="0086347C"/>
    <w:rsid w:val="00863631"/>
    <w:rsid w:val="008637F7"/>
    <w:rsid w:val="00863AE1"/>
    <w:rsid w:val="00863D9A"/>
    <w:rsid w:val="00863E64"/>
    <w:rsid w:val="00863FFA"/>
    <w:rsid w:val="0086480D"/>
    <w:rsid w:val="00864A8C"/>
    <w:rsid w:val="00864AD8"/>
    <w:rsid w:val="00865007"/>
    <w:rsid w:val="008652A6"/>
    <w:rsid w:val="008652E9"/>
    <w:rsid w:val="0086540C"/>
    <w:rsid w:val="008655D5"/>
    <w:rsid w:val="008657B6"/>
    <w:rsid w:val="00865D70"/>
    <w:rsid w:val="00866057"/>
    <w:rsid w:val="00866366"/>
    <w:rsid w:val="008666D6"/>
    <w:rsid w:val="00866763"/>
    <w:rsid w:val="00866F5D"/>
    <w:rsid w:val="0086712C"/>
    <w:rsid w:val="0086723A"/>
    <w:rsid w:val="0086771D"/>
    <w:rsid w:val="008677F7"/>
    <w:rsid w:val="0086781E"/>
    <w:rsid w:val="00867943"/>
    <w:rsid w:val="00867CA1"/>
    <w:rsid w:val="00867FF4"/>
    <w:rsid w:val="0087014D"/>
    <w:rsid w:val="00870461"/>
    <w:rsid w:val="008705AC"/>
    <w:rsid w:val="0087084B"/>
    <w:rsid w:val="00870D4C"/>
    <w:rsid w:val="008711D5"/>
    <w:rsid w:val="00871250"/>
    <w:rsid w:val="00871494"/>
    <w:rsid w:val="00871DAE"/>
    <w:rsid w:val="00871E22"/>
    <w:rsid w:val="008721CB"/>
    <w:rsid w:val="008725E1"/>
    <w:rsid w:val="00872C6E"/>
    <w:rsid w:val="00872E8F"/>
    <w:rsid w:val="00873057"/>
    <w:rsid w:val="00873206"/>
    <w:rsid w:val="008736F1"/>
    <w:rsid w:val="008737EC"/>
    <w:rsid w:val="008738FF"/>
    <w:rsid w:val="00873B31"/>
    <w:rsid w:val="00873D48"/>
    <w:rsid w:val="00873FA8"/>
    <w:rsid w:val="0087400C"/>
    <w:rsid w:val="0087432B"/>
    <w:rsid w:val="00874841"/>
    <w:rsid w:val="0087492D"/>
    <w:rsid w:val="00874B3A"/>
    <w:rsid w:val="00874B66"/>
    <w:rsid w:val="00874D0D"/>
    <w:rsid w:val="00875009"/>
    <w:rsid w:val="008752CD"/>
    <w:rsid w:val="008757CC"/>
    <w:rsid w:val="008767A7"/>
    <w:rsid w:val="008768F0"/>
    <w:rsid w:val="00876916"/>
    <w:rsid w:val="00877082"/>
    <w:rsid w:val="008771EA"/>
    <w:rsid w:val="0087723E"/>
    <w:rsid w:val="008773AD"/>
    <w:rsid w:val="00877673"/>
    <w:rsid w:val="00877938"/>
    <w:rsid w:val="00877D43"/>
    <w:rsid w:val="00877DD6"/>
    <w:rsid w:val="00877ED5"/>
    <w:rsid w:val="00877F6E"/>
    <w:rsid w:val="0088029F"/>
    <w:rsid w:val="00880759"/>
    <w:rsid w:val="00881220"/>
    <w:rsid w:val="0088128C"/>
    <w:rsid w:val="00881821"/>
    <w:rsid w:val="00881BEA"/>
    <w:rsid w:val="00881D09"/>
    <w:rsid w:val="00882895"/>
    <w:rsid w:val="00882CE2"/>
    <w:rsid w:val="0088300B"/>
    <w:rsid w:val="0088313F"/>
    <w:rsid w:val="008833B6"/>
    <w:rsid w:val="008837D2"/>
    <w:rsid w:val="00883952"/>
    <w:rsid w:val="00883C37"/>
    <w:rsid w:val="00883C39"/>
    <w:rsid w:val="008840F0"/>
    <w:rsid w:val="00884150"/>
    <w:rsid w:val="00884390"/>
    <w:rsid w:val="008843A9"/>
    <w:rsid w:val="008846D1"/>
    <w:rsid w:val="00884F0E"/>
    <w:rsid w:val="00885527"/>
    <w:rsid w:val="008855B1"/>
    <w:rsid w:val="00885821"/>
    <w:rsid w:val="00885A77"/>
    <w:rsid w:val="00885B80"/>
    <w:rsid w:val="00885C64"/>
    <w:rsid w:val="00885ED8"/>
    <w:rsid w:val="0088648C"/>
    <w:rsid w:val="008869C3"/>
    <w:rsid w:val="00886F99"/>
    <w:rsid w:val="0088705A"/>
    <w:rsid w:val="0088715B"/>
    <w:rsid w:val="00887801"/>
    <w:rsid w:val="00887847"/>
    <w:rsid w:val="00887BEB"/>
    <w:rsid w:val="00887C40"/>
    <w:rsid w:val="0089019F"/>
    <w:rsid w:val="008903FE"/>
    <w:rsid w:val="008906B5"/>
    <w:rsid w:val="00890B5B"/>
    <w:rsid w:val="00890BA1"/>
    <w:rsid w:val="00890BA9"/>
    <w:rsid w:val="008910B3"/>
    <w:rsid w:val="008915CC"/>
    <w:rsid w:val="00891714"/>
    <w:rsid w:val="00891772"/>
    <w:rsid w:val="008919AA"/>
    <w:rsid w:val="00891A4E"/>
    <w:rsid w:val="00891A5E"/>
    <w:rsid w:val="00891AD0"/>
    <w:rsid w:val="00892B8C"/>
    <w:rsid w:val="00892B9B"/>
    <w:rsid w:val="00892C80"/>
    <w:rsid w:val="00892DD8"/>
    <w:rsid w:val="00892E5A"/>
    <w:rsid w:val="00893265"/>
    <w:rsid w:val="008933FE"/>
    <w:rsid w:val="00893CF6"/>
    <w:rsid w:val="00893D67"/>
    <w:rsid w:val="008942B0"/>
    <w:rsid w:val="00894671"/>
    <w:rsid w:val="00894696"/>
    <w:rsid w:val="008946B4"/>
    <w:rsid w:val="008948DA"/>
    <w:rsid w:val="00894923"/>
    <w:rsid w:val="00894BE9"/>
    <w:rsid w:val="00894D2D"/>
    <w:rsid w:val="00894F4D"/>
    <w:rsid w:val="008950F1"/>
    <w:rsid w:val="0089542F"/>
    <w:rsid w:val="00895734"/>
    <w:rsid w:val="008957AE"/>
    <w:rsid w:val="00895A35"/>
    <w:rsid w:val="00895F14"/>
    <w:rsid w:val="00895F83"/>
    <w:rsid w:val="00896370"/>
    <w:rsid w:val="0089659F"/>
    <w:rsid w:val="008967C7"/>
    <w:rsid w:val="008967D1"/>
    <w:rsid w:val="00896A19"/>
    <w:rsid w:val="00896A52"/>
    <w:rsid w:val="00896B1C"/>
    <w:rsid w:val="00896C4A"/>
    <w:rsid w:val="00896C87"/>
    <w:rsid w:val="00896CBA"/>
    <w:rsid w:val="00896D50"/>
    <w:rsid w:val="00897626"/>
    <w:rsid w:val="00897757"/>
    <w:rsid w:val="008979A8"/>
    <w:rsid w:val="00897B8E"/>
    <w:rsid w:val="00897D7D"/>
    <w:rsid w:val="00897DFD"/>
    <w:rsid w:val="00897E9C"/>
    <w:rsid w:val="008A0411"/>
    <w:rsid w:val="008A04C0"/>
    <w:rsid w:val="008A04D3"/>
    <w:rsid w:val="008A0589"/>
    <w:rsid w:val="008A129B"/>
    <w:rsid w:val="008A17AE"/>
    <w:rsid w:val="008A198E"/>
    <w:rsid w:val="008A248F"/>
    <w:rsid w:val="008A29FF"/>
    <w:rsid w:val="008A2F37"/>
    <w:rsid w:val="008A3058"/>
    <w:rsid w:val="008A33EA"/>
    <w:rsid w:val="008A34FE"/>
    <w:rsid w:val="008A3C95"/>
    <w:rsid w:val="008A3D4E"/>
    <w:rsid w:val="008A3EC0"/>
    <w:rsid w:val="008A43D9"/>
    <w:rsid w:val="008A4586"/>
    <w:rsid w:val="008A4AEF"/>
    <w:rsid w:val="008A4FC2"/>
    <w:rsid w:val="008A51E4"/>
    <w:rsid w:val="008A52F5"/>
    <w:rsid w:val="008A54FC"/>
    <w:rsid w:val="008A556E"/>
    <w:rsid w:val="008A5789"/>
    <w:rsid w:val="008A589C"/>
    <w:rsid w:val="008A59A7"/>
    <w:rsid w:val="008A5B9D"/>
    <w:rsid w:val="008A5CB0"/>
    <w:rsid w:val="008A5CC3"/>
    <w:rsid w:val="008A5DF7"/>
    <w:rsid w:val="008A5E49"/>
    <w:rsid w:val="008A601E"/>
    <w:rsid w:val="008A6734"/>
    <w:rsid w:val="008A70AF"/>
    <w:rsid w:val="008A7256"/>
    <w:rsid w:val="008A72A2"/>
    <w:rsid w:val="008A7AE6"/>
    <w:rsid w:val="008A7E2C"/>
    <w:rsid w:val="008B03FB"/>
    <w:rsid w:val="008B041F"/>
    <w:rsid w:val="008B0532"/>
    <w:rsid w:val="008B0B4F"/>
    <w:rsid w:val="008B1082"/>
    <w:rsid w:val="008B1239"/>
    <w:rsid w:val="008B1CD0"/>
    <w:rsid w:val="008B1E19"/>
    <w:rsid w:val="008B2011"/>
    <w:rsid w:val="008B222B"/>
    <w:rsid w:val="008B2242"/>
    <w:rsid w:val="008B2354"/>
    <w:rsid w:val="008B24EF"/>
    <w:rsid w:val="008B289E"/>
    <w:rsid w:val="008B2B21"/>
    <w:rsid w:val="008B2D08"/>
    <w:rsid w:val="008B3882"/>
    <w:rsid w:val="008B3BDE"/>
    <w:rsid w:val="008B4453"/>
    <w:rsid w:val="008B4560"/>
    <w:rsid w:val="008B471B"/>
    <w:rsid w:val="008B489A"/>
    <w:rsid w:val="008B4B78"/>
    <w:rsid w:val="008B4DB5"/>
    <w:rsid w:val="008B4EA6"/>
    <w:rsid w:val="008B5462"/>
    <w:rsid w:val="008B56A4"/>
    <w:rsid w:val="008B58E8"/>
    <w:rsid w:val="008B5DB0"/>
    <w:rsid w:val="008B63FE"/>
    <w:rsid w:val="008B64EA"/>
    <w:rsid w:val="008B6560"/>
    <w:rsid w:val="008B6608"/>
    <w:rsid w:val="008B7BBD"/>
    <w:rsid w:val="008C00B7"/>
    <w:rsid w:val="008C0852"/>
    <w:rsid w:val="008C0CD7"/>
    <w:rsid w:val="008C113F"/>
    <w:rsid w:val="008C1730"/>
    <w:rsid w:val="008C1731"/>
    <w:rsid w:val="008C17EC"/>
    <w:rsid w:val="008C1B15"/>
    <w:rsid w:val="008C1B9A"/>
    <w:rsid w:val="008C1BB8"/>
    <w:rsid w:val="008C1D70"/>
    <w:rsid w:val="008C217C"/>
    <w:rsid w:val="008C220A"/>
    <w:rsid w:val="008C2337"/>
    <w:rsid w:val="008C2464"/>
    <w:rsid w:val="008C2568"/>
    <w:rsid w:val="008C298E"/>
    <w:rsid w:val="008C301D"/>
    <w:rsid w:val="008C33B3"/>
    <w:rsid w:val="008C3480"/>
    <w:rsid w:val="008C37B9"/>
    <w:rsid w:val="008C3F0A"/>
    <w:rsid w:val="008C3F8A"/>
    <w:rsid w:val="008C41C7"/>
    <w:rsid w:val="008C4463"/>
    <w:rsid w:val="008C462F"/>
    <w:rsid w:val="008C4786"/>
    <w:rsid w:val="008C4871"/>
    <w:rsid w:val="008C4A64"/>
    <w:rsid w:val="008C4AB4"/>
    <w:rsid w:val="008C4E39"/>
    <w:rsid w:val="008C4F9D"/>
    <w:rsid w:val="008C514C"/>
    <w:rsid w:val="008C5366"/>
    <w:rsid w:val="008C5951"/>
    <w:rsid w:val="008C59D9"/>
    <w:rsid w:val="008C5C77"/>
    <w:rsid w:val="008C5E02"/>
    <w:rsid w:val="008C606D"/>
    <w:rsid w:val="008C6128"/>
    <w:rsid w:val="008C6303"/>
    <w:rsid w:val="008C6AE2"/>
    <w:rsid w:val="008C719E"/>
    <w:rsid w:val="008C71F4"/>
    <w:rsid w:val="008C72AF"/>
    <w:rsid w:val="008C72C7"/>
    <w:rsid w:val="008C748E"/>
    <w:rsid w:val="008C7E0B"/>
    <w:rsid w:val="008D01D1"/>
    <w:rsid w:val="008D0208"/>
    <w:rsid w:val="008D0221"/>
    <w:rsid w:val="008D03DA"/>
    <w:rsid w:val="008D048C"/>
    <w:rsid w:val="008D0623"/>
    <w:rsid w:val="008D06E4"/>
    <w:rsid w:val="008D082F"/>
    <w:rsid w:val="008D1352"/>
    <w:rsid w:val="008D13E9"/>
    <w:rsid w:val="008D1B57"/>
    <w:rsid w:val="008D1F0D"/>
    <w:rsid w:val="008D1F17"/>
    <w:rsid w:val="008D2AF7"/>
    <w:rsid w:val="008D2B8B"/>
    <w:rsid w:val="008D2C9C"/>
    <w:rsid w:val="008D3397"/>
    <w:rsid w:val="008D3452"/>
    <w:rsid w:val="008D380B"/>
    <w:rsid w:val="008D394E"/>
    <w:rsid w:val="008D3956"/>
    <w:rsid w:val="008D39B4"/>
    <w:rsid w:val="008D3ACA"/>
    <w:rsid w:val="008D407C"/>
    <w:rsid w:val="008D40CD"/>
    <w:rsid w:val="008D4574"/>
    <w:rsid w:val="008D4B13"/>
    <w:rsid w:val="008D5096"/>
    <w:rsid w:val="008D5246"/>
    <w:rsid w:val="008D5249"/>
    <w:rsid w:val="008D5731"/>
    <w:rsid w:val="008D5844"/>
    <w:rsid w:val="008D5DC6"/>
    <w:rsid w:val="008D60CB"/>
    <w:rsid w:val="008D6505"/>
    <w:rsid w:val="008D65F3"/>
    <w:rsid w:val="008D6693"/>
    <w:rsid w:val="008D6B83"/>
    <w:rsid w:val="008D6C70"/>
    <w:rsid w:val="008D701E"/>
    <w:rsid w:val="008D764B"/>
    <w:rsid w:val="008D7749"/>
    <w:rsid w:val="008D7758"/>
    <w:rsid w:val="008D79CD"/>
    <w:rsid w:val="008D7CA9"/>
    <w:rsid w:val="008E00AE"/>
    <w:rsid w:val="008E01F1"/>
    <w:rsid w:val="008E0334"/>
    <w:rsid w:val="008E08E9"/>
    <w:rsid w:val="008E0BFB"/>
    <w:rsid w:val="008E116C"/>
    <w:rsid w:val="008E1233"/>
    <w:rsid w:val="008E1259"/>
    <w:rsid w:val="008E12D7"/>
    <w:rsid w:val="008E1316"/>
    <w:rsid w:val="008E1342"/>
    <w:rsid w:val="008E150A"/>
    <w:rsid w:val="008E17C4"/>
    <w:rsid w:val="008E18A0"/>
    <w:rsid w:val="008E1D8C"/>
    <w:rsid w:val="008E208A"/>
    <w:rsid w:val="008E226B"/>
    <w:rsid w:val="008E2621"/>
    <w:rsid w:val="008E2768"/>
    <w:rsid w:val="008E278B"/>
    <w:rsid w:val="008E301B"/>
    <w:rsid w:val="008E307C"/>
    <w:rsid w:val="008E30DD"/>
    <w:rsid w:val="008E31ED"/>
    <w:rsid w:val="008E332D"/>
    <w:rsid w:val="008E3376"/>
    <w:rsid w:val="008E34FC"/>
    <w:rsid w:val="008E35C0"/>
    <w:rsid w:val="008E3AA5"/>
    <w:rsid w:val="008E3AD3"/>
    <w:rsid w:val="008E4116"/>
    <w:rsid w:val="008E41A8"/>
    <w:rsid w:val="008E4306"/>
    <w:rsid w:val="008E48E9"/>
    <w:rsid w:val="008E4CC8"/>
    <w:rsid w:val="008E50A0"/>
    <w:rsid w:val="008E51D9"/>
    <w:rsid w:val="008E5252"/>
    <w:rsid w:val="008E554E"/>
    <w:rsid w:val="008E562F"/>
    <w:rsid w:val="008E5971"/>
    <w:rsid w:val="008E5C52"/>
    <w:rsid w:val="008E655E"/>
    <w:rsid w:val="008E676A"/>
    <w:rsid w:val="008E6933"/>
    <w:rsid w:val="008E6D4B"/>
    <w:rsid w:val="008E6DD1"/>
    <w:rsid w:val="008E718C"/>
    <w:rsid w:val="008E7277"/>
    <w:rsid w:val="008E72C3"/>
    <w:rsid w:val="008E736D"/>
    <w:rsid w:val="008E73E7"/>
    <w:rsid w:val="008E7596"/>
    <w:rsid w:val="008E7765"/>
    <w:rsid w:val="008E7849"/>
    <w:rsid w:val="008E7EE6"/>
    <w:rsid w:val="008F010B"/>
    <w:rsid w:val="008F0167"/>
    <w:rsid w:val="008F040E"/>
    <w:rsid w:val="008F0470"/>
    <w:rsid w:val="008F0A73"/>
    <w:rsid w:val="008F18A1"/>
    <w:rsid w:val="008F1977"/>
    <w:rsid w:val="008F19A0"/>
    <w:rsid w:val="008F1C01"/>
    <w:rsid w:val="008F212B"/>
    <w:rsid w:val="008F2156"/>
    <w:rsid w:val="008F2378"/>
    <w:rsid w:val="008F29E5"/>
    <w:rsid w:val="008F2C87"/>
    <w:rsid w:val="008F2E84"/>
    <w:rsid w:val="008F2FF4"/>
    <w:rsid w:val="008F3083"/>
    <w:rsid w:val="008F3133"/>
    <w:rsid w:val="008F36D5"/>
    <w:rsid w:val="008F3F30"/>
    <w:rsid w:val="008F4278"/>
    <w:rsid w:val="008F4488"/>
    <w:rsid w:val="008F4502"/>
    <w:rsid w:val="008F477E"/>
    <w:rsid w:val="008F4862"/>
    <w:rsid w:val="008F4C23"/>
    <w:rsid w:val="008F50D2"/>
    <w:rsid w:val="008F52D2"/>
    <w:rsid w:val="008F56DB"/>
    <w:rsid w:val="008F59F4"/>
    <w:rsid w:val="008F5C18"/>
    <w:rsid w:val="008F5C4E"/>
    <w:rsid w:val="008F5CFB"/>
    <w:rsid w:val="008F5EAE"/>
    <w:rsid w:val="008F6C8D"/>
    <w:rsid w:val="008F6D07"/>
    <w:rsid w:val="008F6FF6"/>
    <w:rsid w:val="008F701B"/>
    <w:rsid w:val="008F721C"/>
    <w:rsid w:val="008F7254"/>
    <w:rsid w:val="008F731B"/>
    <w:rsid w:val="008F73B3"/>
    <w:rsid w:val="008F7655"/>
    <w:rsid w:val="008F7760"/>
    <w:rsid w:val="008F7944"/>
    <w:rsid w:val="008F7AB7"/>
    <w:rsid w:val="008F7C6B"/>
    <w:rsid w:val="00900007"/>
    <w:rsid w:val="00900ECD"/>
    <w:rsid w:val="00901238"/>
    <w:rsid w:val="009018EB"/>
    <w:rsid w:val="00901B53"/>
    <w:rsid w:val="00901EA7"/>
    <w:rsid w:val="00901F85"/>
    <w:rsid w:val="00902A93"/>
    <w:rsid w:val="0090332C"/>
    <w:rsid w:val="00903780"/>
    <w:rsid w:val="00903BCA"/>
    <w:rsid w:val="0090414C"/>
    <w:rsid w:val="009041E0"/>
    <w:rsid w:val="00904267"/>
    <w:rsid w:val="00904441"/>
    <w:rsid w:val="00904A06"/>
    <w:rsid w:val="00904C90"/>
    <w:rsid w:val="00904FA4"/>
    <w:rsid w:val="0090545A"/>
    <w:rsid w:val="00905487"/>
    <w:rsid w:val="00905488"/>
    <w:rsid w:val="009055A3"/>
    <w:rsid w:val="00905A38"/>
    <w:rsid w:val="00905A7A"/>
    <w:rsid w:val="0090675F"/>
    <w:rsid w:val="0090699F"/>
    <w:rsid w:val="00906B0B"/>
    <w:rsid w:val="00906E1B"/>
    <w:rsid w:val="009071CB"/>
    <w:rsid w:val="0090758D"/>
    <w:rsid w:val="0090762A"/>
    <w:rsid w:val="009077C2"/>
    <w:rsid w:val="00907945"/>
    <w:rsid w:val="00907A35"/>
    <w:rsid w:val="00907D3D"/>
    <w:rsid w:val="00907E24"/>
    <w:rsid w:val="00907E2D"/>
    <w:rsid w:val="009100A7"/>
    <w:rsid w:val="009103F8"/>
    <w:rsid w:val="00910833"/>
    <w:rsid w:val="00910962"/>
    <w:rsid w:val="00910B44"/>
    <w:rsid w:val="0091146C"/>
    <w:rsid w:val="00911526"/>
    <w:rsid w:val="009115AF"/>
    <w:rsid w:val="0091207D"/>
    <w:rsid w:val="00912406"/>
    <w:rsid w:val="00912516"/>
    <w:rsid w:val="009137CD"/>
    <w:rsid w:val="00913B6D"/>
    <w:rsid w:val="00913FA7"/>
    <w:rsid w:val="00914160"/>
    <w:rsid w:val="009142EE"/>
    <w:rsid w:val="0091479C"/>
    <w:rsid w:val="009149CA"/>
    <w:rsid w:val="00914CDD"/>
    <w:rsid w:val="00914E11"/>
    <w:rsid w:val="00914ECF"/>
    <w:rsid w:val="009150CB"/>
    <w:rsid w:val="009152C3"/>
    <w:rsid w:val="009153DD"/>
    <w:rsid w:val="00915463"/>
    <w:rsid w:val="00915822"/>
    <w:rsid w:val="009159A7"/>
    <w:rsid w:val="00916164"/>
    <w:rsid w:val="00916453"/>
    <w:rsid w:val="009165C6"/>
    <w:rsid w:val="009165E7"/>
    <w:rsid w:val="00916859"/>
    <w:rsid w:val="009168F9"/>
    <w:rsid w:val="00916916"/>
    <w:rsid w:val="00916CA7"/>
    <w:rsid w:val="009170DC"/>
    <w:rsid w:val="00917301"/>
    <w:rsid w:val="009173AE"/>
    <w:rsid w:val="009173AF"/>
    <w:rsid w:val="0091768C"/>
    <w:rsid w:val="00917A15"/>
    <w:rsid w:val="00917FF9"/>
    <w:rsid w:val="00920481"/>
    <w:rsid w:val="00920733"/>
    <w:rsid w:val="00921402"/>
    <w:rsid w:val="00921F9F"/>
    <w:rsid w:val="00921FBF"/>
    <w:rsid w:val="0092204F"/>
    <w:rsid w:val="009220CD"/>
    <w:rsid w:val="009223B7"/>
    <w:rsid w:val="00922646"/>
    <w:rsid w:val="00922664"/>
    <w:rsid w:val="00922A20"/>
    <w:rsid w:val="0092318F"/>
    <w:rsid w:val="009234FD"/>
    <w:rsid w:val="00923501"/>
    <w:rsid w:val="00923A66"/>
    <w:rsid w:val="00923CB6"/>
    <w:rsid w:val="00923D19"/>
    <w:rsid w:val="00923D88"/>
    <w:rsid w:val="00923DBC"/>
    <w:rsid w:val="0092409D"/>
    <w:rsid w:val="00924CBD"/>
    <w:rsid w:val="00924ECC"/>
    <w:rsid w:val="00925E8E"/>
    <w:rsid w:val="00926275"/>
    <w:rsid w:val="00926A38"/>
    <w:rsid w:val="00926A7A"/>
    <w:rsid w:val="00926AC6"/>
    <w:rsid w:val="00926BF2"/>
    <w:rsid w:val="009270A0"/>
    <w:rsid w:val="0092712C"/>
    <w:rsid w:val="009273E5"/>
    <w:rsid w:val="00927443"/>
    <w:rsid w:val="009276EC"/>
    <w:rsid w:val="00927745"/>
    <w:rsid w:val="0092779F"/>
    <w:rsid w:val="0092781F"/>
    <w:rsid w:val="00927BF5"/>
    <w:rsid w:val="00927C13"/>
    <w:rsid w:val="00927CC6"/>
    <w:rsid w:val="00927D61"/>
    <w:rsid w:val="00930018"/>
    <w:rsid w:val="00930199"/>
    <w:rsid w:val="00930299"/>
    <w:rsid w:val="0093064B"/>
    <w:rsid w:val="00930ED1"/>
    <w:rsid w:val="009311AD"/>
    <w:rsid w:val="009319E1"/>
    <w:rsid w:val="00931B2F"/>
    <w:rsid w:val="00931E51"/>
    <w:rsid w:val="009323EA"/>
    <w:rsid w:val="00932563"/>
    <w:rsid w:val="00932921"/>
    <w:rsid w:val="00932CB1"/>
    <w:rsid w:val="00933166"/>
    <w:rsid w:val="00933516"/>
    <w:rsid w:val="00933908"/>
    <w:rsid w:val="00934076"/>
    <w:rsid w:val="009340BD"/>
    <w:rsid w:val="009349BE"/>
    <w:rsid w:val="00934FD1"/>
    <w:rsid w:val="009350F7"/>
    <w:rsid w:val="00935106"/>
    <w:rsid w:val="009355C6"/>
    <w:rsid w:val="00935947"/>
    <w:rsid w:val="009359D8"/>
    <w:rsid w:val="00935C19"/>
    <w:rsid w:val="00935FD6"/>
    <w:rsid w:val="009361C8"/>
    <w:rsid w:val="0093631D"/>
    <w:rsid w:val="009368F1"/>
    <w:rsid w:val="00936A40"/>
    <w:rsid w:val="00936B70"/>
    <w:rsid w:val="00937C73"/>
    <w:rsid w:val="009400B7"/>
    <w:rsid w:val="009400BE"/>
    <w:rsid w:val="00940213"/>
    <w:rsid w:val="0094051C"/>
    <w:rsid w:val="009409B1"/>
    <w:rsid w:val="00940B7C"/>
    <w:rsid w:val="00940BD9"/>
    <w:rsid w:val="00940FBD"/>
    <w:rsid w:val="00940FE8"/>
    <w:rsid w:val="00941257"/>
    <w:rsid w:val="009413EB"/>
    <w:rsid w:val="00941494"/>
    <w:rsid w:val="0094166D"/>
    <w:rsid w:val="00941AB2"/>
    <w:rsid w:val="00941E75"/>
    <w:rsid w:val="00941EE1"/>
    <w:rsid w:val="00942017"/>
    <w:rsid w:val="0094275B"/>
    <w:rsid w:val="00942780"/>
    <w:rsid w:val="00942DF9"/>
    <w:rsid w:val="009438D3"/>
    <w:rsid w:val="00943931"/>
    <w:rsid w:val="0094397B"/>
    <w:rsid w:val="009440F1"/>
    <w:rsid w:val="009441C8"/>
    <w:rsid w:val="009442FF"/>
    <w:rsid w:val="00944532"/>
    <w:rsid w:val="0094455B"/>
    <w:rsid w:val="00944936"/>
    <w:rsid w:val="00944DD5"/>
    <w:rsid w:val="00944E0E"/>
    <w:rsid w:val="0094500B"/>
    <w:rsid w:val="00945328"/>
    <w:rsid w:val="00945334"/>
    <w:rsid w:val="00945430"/>
    <w:rsid w:val="0094560F"/>
    <w:rsid w:val="009457D5"/>
    <w:rsid w:val="00945987"/>
    <w:rsid w:val="00945E32"/>
    <w:rsid w:val="00946321"/>
    <w:rsid w:val="0094662C"/>
    <w:rsid w:val="009469D0"/>
    <w:rsid w:val="00946D5C"/>
    <w:rsid w:val="009471C4"/>
    <w:rsid w:val="009473F7"/>
    <w:rsid w:val="009475C3"/>
    <w:rsid w:val="009476C9"/>
    <w:rsid w:val="009479C5"/>
    <w:rsid w:val="00947A77"/>
    <w:rsid w:val="00947E30"/>
    <w:rsid w:val="009501F5"/>
    <w:rsid w:val="009502DA"/>
    <w:rsid w:val="00950349"/>
    <w:rsid w:val="00950981"/>
    <w:rsid w:val="00951219"/>
    <w:rsid w:val="0095150C"/>
    <w:rsid w:val="00951604"/>
    <w:rsid w:val="00951C18"/>
    <w:rsid w:val="00951CA2"/>
    <w:rsid w:val="00951D8F"/>
    <w:rsid w:val="0095212D"/>
    <w:rsid w:val="00952229"/>
    <w:rsid w:val="00952353"/>
    <w:rsid w:val="0095255F"/>
    <w:rsid w:val="00952CA1"/>
    <w:rsid w:val="00952ED6"/>
    <w:rsid w:val="00953567"/>
    <w:rsid w:val="00953CF8"/>
    <w:rsid w:val="00953D7B"/>
    <w:rsid w:val="00953F2E"/>
    <w:rsid w:val="00954144"/>
    <w:rsid w:val="00954182"/>
    <w:rsid w:val="009543E1"/>
    <w:rsid w:val="0095468B"/>
    <w:rsid w:val="00954803"/>
    <w:rsid w:val="0095483A"/>
    <w:rsid w:val="00954989"/>
    <w:rsid w:val="009550AF"/>
    <w:rsid w:val="009553B5"/>
    <w:rsid w:val="009553EE"/>
    <w:rsid w:val="0095553A"/>
    <w:rsid w:val="0095564F"/>
    <w:rsid w:val="00955A33"/>
    <w:rsid w:val="00955E10"/>
    <w:rsid w:val="00955E6D"/>
    <w:rsid w:val="00955F0E"/>
    <w:rsid w:val="00955F22"/>
    <w:rsid w:val="0095670F"/>
    <w:rsid w:val="009568DB"/>
    <w:rsid w:val="00956A29"/>
    <w:rsid w:val="00956B06"/>
    <w:rsid w:val="00956E2D"/>
    <w:rsid w:val="00956FFD"/>
    <w:rsid w:val="00957119"/>
    <w:rsid w:val="0095711F"/>
    <w:rsid w:val="0095716D"/>
    <w:rsid w:val="00957325"/>
    <w:rsid w:val="00957703"/>
    <w:rsid w:val="00957CDD"/>
    <w:rsid w:val="00957CE9"/>
    <w:rsid w:val="00957EBC"/>
    <w:rsid w:val="00957F3D"/>
    <w:rsid w:val="009600A2"/>
    <w:rsid w:val="0096021F"/>
    <w:rsid w:val="0096051D"/>
    <w:rsid w:val="00960701"/>
    <w:rsid w:val="00960DBA"/>
    <w:rsid w:val="0096100F"/>
    <w:rsid w:val="009612BF"/>
    <w:rsid w:val="00961335"/>
    <w:rsid w:val="009613D0"/>
    <w:rsid w:val="00961420"/>
    <w:rsid w:val="00961654"/>
    <w:rsid w:val="00961AAA"/>
    <w:rsid w:val="00961AE6"/>
    <w:rsid w:val="00961B79"/>
    <w:rsid w:val="00961E21"/>
    <w:rsid w:val="0096274A"/>
    <w:rsid w:val="00962B5E"/>
    <w:rsid w:val="0096339D"/>
    <w:rsid w:val="00963723"/>
    <w:rsid w:val="00963F77"/>
    <w:rsid w:val="00964794"/>
    <w:rsid w:val="0096488B"/>
    <w:rsid w:val="009650B0"/>
    <w:rsid w:val="0096523E"/>
    <w:rsid w:val="00965244"/>
    <w:rsid w:val="00965359"/>
    <w:rsid w:val="0096585E"/>
    <w:rsid w:val="009659D7"/>
    <w:rsid w:val="00965D52"/>
    <w:rsid w:val="00965FE2"/>
    <w:rsid w:val="00966157"/>
    <w:rsid w:val="00966915"/>
    <w:rsid w:val="00966B0F"/>
    <w:rsid w:val="00966B28"/>
    <w:rsid w:val="00966DE4"/>
    <w:rsid w:val="00967577"/>
    <w:rsid w:val="0096786B"/>
    <w:rsid w:val="00967A28"/>
    <w:rsid w:val="00967B79"/>
    <w:rsid w:val="009701E1"/>
    <w:rsid w:val="00970200"/>
    <w:rsid w:val="00970316"/>
    <w:rsid w:val="009704AF"/>
    <w:rsid w:val="00970CB4"/>
    <w:rsid w:val="00970DE4"/>
    <w:rsid w:val="00971117"/>
    <w:rsid w:val="00971441"/>
    <w:rsid w:val="009714A6"/>
    <w:rsid w:val="00971727"/>
    <w:rsid w:val="00971890"/>
    <w:rsid w:val="00971A66"/>
    <w:rsid w:val="00971A8E"/>
    <w:rsid w:val="00971E41"/>
    <w:rsid w:val="00971E5F"/>
    <w:rsid w:val="009723F7"/>
    <w:rsid w:val="00972659"/>
    <w:rsid w:val="009726A5"/>
    <w:rsid w:val="00972792"/>
    <w:rsid w:val="00972E9D"/>
    <w:rsid w:val="009731EF"/>
    <w:rsid w:val="00973333"/>
    <w:rsid w:val="009736AA"/>
    <w:rsid w:val="0097383B"/>
    <w:rsid w:val="0097388F"/>
    <w:rsid w:val="00973AFF"/>
    <w:rsid w:val="0097425F"/>
    <w:rsid w:val="009742A1"/>
    <w:rsid w:val="0097461D"/>
    <w:rsid w:val="009746C5"/>
    <w:rsid w:val="009747B7"/>
    <w:rsid w:val="00974916"/>
    <w:rsid w:val="00974942"/>
    <w:rsid w:val="00974970"/>
    <w:rsid w:val="009758C0"/>
    <w:rsid w:val="00975DB9"/>
    <w:rsid w:val="00975E9A"/>
    <w:rsid w:val="00975FAD"/>
    <w:rsid w:val="009763AE"/>
    <w:rsid w:val="009765DB"/>
    <w:rsid w:val="0097661D"/>
    <w:rsid w:val="00976684"/>
    <w:rsid w:val="00976770"/>
    <w:rsid w:val="0097695A"/>
    <w:rsid w:val="009771BE"/>
    <w:rsid w:val="00977285"/>
    <w:rsid w:val="00977326"/>
    <w:rsid w:val="009779FE"/>
    <w:rsid w:val="00980002"/>
    <w:rsid w:val="009802FD"/>
    <w:rsid w:val="00980466"/>
    <w:rsid w:val="00980AB3"/>
    <w:rsid w:val="00981175"/>
    <w:rsid w:val="009814A9"/>
    <w:rsid w:val="009817DF"/>
    <w:rsid w:val="0098182F"/>
    <w:rsid w:val="00981A14"/>
    <w:rsid w:val="00981A1D"/>
    <w:rsid w:val="00981A5F"/>
    <w:rsid w:val="00982104"/>
    <w:rsid w:val="00982446"/>
    <w:rsid w:val="009828E0"/>
    <w:rsid w:val="00982C17"/>
    <w:rsid w:val="00982C74"/>
    <w:rsid w:val="00982D58"/>
    <w:rsid w:val="009832E1"/>
    <w:rsid w:val="009836B0"/>
    <w:rsid w:val="009836BD"/>
    <w:rsid w:val="0098393F"/>
    <w:rsid w:val="00983DAA"/>
    <w:rsid w:val="00984101"/>
    <w:rsid w:val="009841FF"/>
    <w:rsid w:val="00984481"/>
    <w:rsid w:val="0098469C"/>
    <w:rsid w:val="009848B9"/>
    <w:rsid w:val="00984E0C"/>
    <w:rsid w:val="009851CF"/>
    <w:rsid w:val="00985264"/>
    <w:rsid w:val="00985F6C"/>
    <w:rsid w:val="0098631A"/>
    <w:rsid w:val="009863E4"/>
    <w:rsid w:val="00986495"/>
    <w:rsid w:val="0098659B"/>
    <w:rsid w:val="00986617"/>
    <w:rsid w:val="00986637"/>
    <w:rsid w:val="00986A4F"/>
    <w:rsid w:val="00987154"/>
    <w:rsid w:val="0098747B"/>
    <w:rsid w:val="00987592"/>
    <w:rsid w:val="0098764B"/>
    <w:rsid w:val="00987650"/>
    <w:rsid w:val="00987714"/>
    <w:rsid w:val="00987BA4"/>
    <w:rsid w:val="00987CD4"/>
    <w:rsid w:val="00987E41"/>
    <w:rsid w:val="00990373"/>
    <w:rsid w:val="009904E9"/>
    <w:rsid w:val="009907D4"/>
    <w:rsid w:val="00990A6A"/>
    <w:rsid w:val="0099112A"/>
    <w:rsid w:val="00991134"/>
    <w:rsid w:val="009916D1"/>
    <w:rsid w:val="00991A05"/>
    <w:rsid w:val="00991D14"/>
    <w:rsid w:val="0099228F"/>
    <w:rsid w:val="00992AF8"/>
    <w:rsid w:val="00992E13"/>
    <w:rsid w:val="00993819"/>
    <w:rsid w:val="00993A1B"/>
    <w:rsid w:val="009943BB"/>
    <w:rsid w:val="009953F1"/>
    <w:rsid w:val="00995779"/>
    <w:rsid w:val="009957C2"/>
    <w:rsid w:val="00995A6F"/>
    <w:rsid w:val="00995B49"/>
    <w:rsid w:val="00995C8D"/>
    <w:rsid w:val="00995DC8"/>
    <w:rsid w:val="009961C1"/>
    <w:rsid w:val="00996260"/>
    <w:rsid w:val="0099699F"/>
    <w:rsid w:val="00996B0A"/>
    <w:rsid w:val="00996E87"/>
    <w:rsid w:val="0099735F"/>
    <w:rsid w:val="00997A2A"/>
    <w:rsid w:val="00997E2B"/>
    <w:rsid w:val="00997E6E"/>
    <w:rsid w:val="009A04E3"/>
    <w:rsid w:val="009A0579"/>
    <w:rsid w:val="009A0BA1"/>
    <w:rsid w:val="009A1156"/>
    <w:rsid w:val="009A1828"/>
    <w:rsid w:val="009A1C19"/>
    <w:rsid w:val="009A1C31"/>
    <w:rsid w:val="009A1D4C"/>
    <w:rsid w:val="009A1D6E"/>
    <w:rsid w:val="009A1DD1"/>
    <w:rsid w:val="009A33F1"/>
    <w:rsid w:val="009A3610"/>
    <w:rsid w:val="009A3A51"/>
    <w:rsid w:val="009A3A5C"/>
    <w:rsid w:val="009A3D31"/>
    <w:rsid w:val="009A3E35"/>
    <w:rsid w:val="009A40AC"/>
    <w:rsid w:val="009A4493"/>
    <w:rsid w:val="009A473C"/>
    <w:rsid w:val="009A4889"/>
    <w:rsid w:val="009A55B7"/>
    <w:rsid w:val="009A56F2"/>
    <w:rsid w:val="009A5809"/>
    <w:rsid w:val="009A5A8D"/>
    <w:rsid w:val="009A5B41"/>
    <w:rsid w:val="009A5B45"/>
    <w:rsid w:val="009A60C8"/>
    <w:rsid w:val="009A6567"/>
    <w:rsid w:val="009A6CCD"/>
    <w:rsid w:val="009A6D47"/>
    <w:rsid w:val="009A6DA7"/>
    <w:rsid w:val="009A6E53"/>
    <w:rsid w:val="009A6F57"/>
    <w:rsid w:val="009A717B"/>
    <w:rsid w:val="009A7496"/>
    <w:rsid w:val="009A7619"/>
    <w:rsid w:val="009A7B80"/>
    <w:rsid w:val="009A7BB4"/>
    <w:rsid w:val="009A7DFF"/>
    <w:rsid w:val="009B0302"/>
    <w:rsid w:val="009B0569"/>
    <w:rsid w:val="009B0978"/>
    <w:rsid w:val="009B09C7"/>
    <w:rsid w:val="009B0CA3"/>
    <w:rsid w:val="009B0DD3"/>
    <w:rsid w:val="009B0DDD"/>
    <w:rsid w:val="009B0EE6"/>
    <w:rsid w:val="009B124D"/>
    <w:rsid w:val="009B1327"/>
    <w:rsid w:val="009B13E4"/>
    <w:rsid w:val="009B1444"/>
    <w:rsid w:val="009B1AB9"/>
    <w:rsid w:val="009B1B88"/>
    <w:rsid w:val="009B1DA5"/>
    <w:rsid w:val="009B1E74"/>
    <w:rsid w:val="009B1FC8"/>
    <w:rsid w:val="009B2338"/>
    <w:rsid w:val="009B2F67"/>
    <w:rsid w:val="009B3128"/>
    <w:rsid w:val="009B31DD"/>
    <w:rsid w:val="009B3307"/>
    <w:rsid w:val="009B3872"/>
    <w:rsid w:val="009B3F14"/>
    <w:rsid w:val="009B46D4"/>
    <w:rsid w:val="009B489D"/>
    <w:rsid w:val="009B4D84"/>
    <w:rsid w:val="009B513A"/>
    <w:rsid w:val="009B5286"/>
    <w:rsid w:val="009B532B"/>
    <w:rsid w:val="009B5850"/>
    <w:rsid w:val="009B59C1"/>
    <w:rsid w:val="009B5E8B"/>
    <w:rsid w:val="009B6132"/>
    <w:rsid w:val="009B642D"/>
    <w:rsid w:val="009B676B"/>
    <w:rsid w:val="009B6895"/>
    <w:rsid w:val="009B6C4C"/>
    <w:rsid w:val="009B6E59"/>
    <w:rsid w:val="009B7F03"/>
    <w:rsid w:val="009C02F8"/>
    <w:rsid w:val="009C0514"/>
    <w:rsid w:val="009C066C"/>
    <w:rsid w:val="009C071D"/>
    <w:rsid w:val="009C0A59"/>
    <w:rsid w:val="009C1131"/>
    <w:rsid w:val="009C1FFF"/>
    <w:rsid w:val="009C2021"/>
    <w:rsid w:val="009C21FF"/>
    <w:rsid w:val="009C274F"/>
    <w:rsid w:val="009C2B58"/>
    <w:rsid w:val="009C2CF5"/>
    <w:rsid w:val="009C2F16"/>
    <w:rsid w:val="009C2F9E"/>
    <w:rsid w:val="009C3488"/>
    <w:rsid w:val="009C34CE"/>
    <w:rsid w:val="009C34DC"/>
    <w:rsid w:val="009C38DA"/>
    <w:rsid w:val="009C3913"/>
    <w:rsid w:val="009C3ADC"/>
    <w:rsid w:val="009C3EF2"/>
    <w:rsid w:val="009C3FB9"/>
    <w:rsid w:val="009C4242"/>
    <w:rsid w:val="009C481B"/>
    <w:rsid w:val="009C49BF"/>
    <w:rsid w:val="009C4D49"/>
    <w:rsid w:val="009C4E2A"/>
    <w:rsid w:val="009C4EB9"/>
    <w:rsid w:val="009C538A"/>
    <w:rsid w:val="009C5534"/>
    <w:rsid w:val="009C553D"/>
    <w:rsid w:val="009C5995"/>
    <w:rsid w:val="009C6283"/>
    <w:rsid w:val="009C66EF"/>
    <w:rsid w:val="009C6701"/>
    <w:rsid w:val="009C685B"/>
    <w:rsid w:val="009C6AF5"/>
    <w:rsid w:val="009C6D61"/>
    <w:rsid w:val="009C709F"/>
    <w:rsid w:val="009C730D"/>
    <w:rsid w:val="009C796B"/>
    <w:rsid w:val="009C7A8B"/>
    <w:rsid w:val="009C7B6E"/>
    <w:rsid w:val="009D0116"/>
    <w:rsid w:val="009D05E5"/>
    <w:rsid w:val="009D05EE"/>
    <w:rsid w:val="009D0995"/>
    <w:rsid w:val="009D127A"/>
    <w:rsid w:val="009D1A00"/>
    <w:rsid w:val="009D2027"/>
    <w:rsid w:val="009D2195"/>
    <w:rsid w:val="009D2208"/>
    <w:rsid w:val="009D2563"/>
    <w:rsid w:val="009D2705"/>
    <w:rsid w:val="009D28FD"/>
    <w:rsid w:val="009D2ACF"/>
    <w:rsid w:val="009D30F7"/>
    <w:rsid w:val="009D37E3"/>
    <w:rsid w:val="009D40C7"/>
    <w:rsid w:val="009D4418"/>
    <w:rsid w:val="009D4436"/>
    <w:rsid w:val="009D44CD"/>
    <w:rsid w:val="009D4531"/>
    <w:rsid w:val="009D48D1"/>
    <w:rsid w:val="009D4A70"/>
    <w:rsid w:val="009D4E75"/>
    <w:rsid w:val="009D5093"/>
    <w:rsid w:val="009D53CE"/>
    <w:rsid w:val="009D542B"/>
    <w:rsid w:val="009D61BE"/>
    <w:rsid w:val="009D6313"/>
    <w:rsid w:val="009D6AEB"/>
    <w:rsid w:val="009D6DE3"/>
    <w:rsid w:val="009D6E6E"/>
    <w:rsid w:val="009D7066"/>
    <w:rsid w:val="009D74C2"/>
    <w:rsid w:val="009D762E"/>
    <w:rsid w:val="009D7969"/>
    <w:rsid w:val="009D7D23"/>
    <w:rsid w:val="009E0B4F"/>
    <w:rsid w:val="009E0B99"/>
    <w:rsid w:val="009E0DE7"/>
    <w:rsid w:val="009E10EA"/>
    <w:rsid w:val="009E1211"/>
    <w:rsid w:val="009E1360"/>
    <w:rsid w:val="009E17AD"/>
    <w:rsid w:val="009E1B7F"/>
    <w:rsid w:val="009E1C05"/>
    <w:rsid w:val="009E1E06"/>
    <w:rsid w:val="009E1E9D"/>
    <w:rsid w:val="009E2237"/>
    <w:rsid w:val="009E2673"/>
    <w:rsid w:val="009E2793"/>
    <w:rsid w:val="009E27DD"/>
    <w:rsid w:val="009E2A72"/>
    <w:rsid w:val="009E2C42"/>
    <w:rsid w:val="009E2F3D"/>
    <w:rsid w:val="009E363A"/>
    <w:rsid w:val="009E372D"/>
    <w:rsid w:val="009E3831"/>
    <w:rsid w:val="009E3A76"/>
    <w:rsid w:val="009E3B67"/>
    <w:rsid w:val="009E3EA9"/>
    <w:rsid w:val="009E3EDC"/>
    <w:rsid w:val="009E406E"/>
    <w:rsid w:val="009E4336"/>
    <w:rsid w:val="009E4430"/>
    <w:rsid w:val="009E4499"/>
    <w:rsid w:val="009E44AC"/>
    <w:rsid w:val="009E477F"/>
    <w:rsid w:val="009E4B47"/>
    <w:rsid w:val="009E506B"/>
    <w:rsid w:val="009E52CE"/>
    <w:rsid w:val="009E58F7"/>
    <w:rsid w:val="009E5A81"/>
    <w:rsid w:val="009E5B47"/>
    <w:rsid w:val="009E5EB7"/>
    <w:rsid w:val="009E5FC0"/>
    <w:rsid w:val="009E6204"/>
    <w:rsid w:val="009E644F"/>
    <w:rsid w:val="009E6570"/>
    <w:rsid w:val="009E6973"/>
    <w:rsid w:val="009E6C2B"/>
    <w:rsid w:val="009E6DD9"/>
    <w:rsid w:val="009E6E16"/>
    <w:rsid w:val="009E6E53"/>
    <w:rsid w:val="009E6E61"/>
    <w:rsid w:val="009E6E72"/>
    <w:rsid w:val="009E729E"/>
    <w:rsid w:val="009E75F9"/>
    <w:rsid w:val="009E7765"/>
    <w:rsid w:val="009E7A0C"/>
    <w:rsid w:val="009E7D1F"/>
    <w:rsid w:val="009F03A4"/>
    <w:rsid w:val="009F054E"/>
    <w:rsid w:val="009F0AEA"/>
    <w:rsid w:val="009F0F6F"/>
    <w:rsid w:val="009F0F7E"/>
    <w:rsid w:val="009F1056"/>
    <w:rsid w:val="009F13D8"/>
    <w:rsid w:val="009F154B"/>
    <w:rsid w:val="009F1BC0"/>
    <w:rsid w:val="009F1C12"/>
    <w:rsid w:val="009F1F47"/>
    <w:rsid w:val="009F1F50"/>
    <w:rsid w:val="009F208A"/>
    <w:rsid w:val="009F263E"/>
    <w:rsid w:val="009F27AE"/>
    <w:rsid w:val="009F2836"/>
    <w:rsid w:val="009F2A28"/>
    <w:rsid w:val="009F2ADB"/>
    <w:rsid w:val="009F2E17"/>
    <w:rsid w:val="009F3803"/>
    <w:rsid w:val="009F3826"/>
    <w:rsid w:val="009F38C4"/>
    <w:rsid w:val="009F395E"/>
    <w:rsid w:val="009F39D8"/>
    <w:rsid w:val="009F3ECF"/>
    <w:rsid w:val="009F3FC7"/>
    <w:rsid w:val="009F438F"/>
    <w:rsid w:val="009F43C9"/>
    <w:rsid w:val="009F446B"/>
    <w:rsid w:val="009F4536"/>
    <w:rsid w:val="009F4543"/>
    <w:rsid w:val="009F46DF"/>
    <w:rsid w:val="009F4869"/>
    <w:rsid w:val="009F4904"/>
    <w:rsid w:val="009F4DBA"/>
    <w:rsid w:val="009F50CC"/>
    <w:rsid w:val="009F5AB1"/>
    <w:rsid w:val="009F5D13"/>
    <w:rsid w:val="009F5FE9"/>
    <w:rsid w:val="009F60E8"/>
    <w:rsid w:val="009F630C"/>
    <w:rsid w:val="009F64C3"/>
    <w:rsid w:val="009F67C0"/>
    <w:rsid w:val="009F6CA5"/>
    <w:rsid w:val="009F7014"/>
    <w:rsid w:val="009F7096"/>
    <w:rsid w:val="009F74CB"/>
    <w:rsid w:val="009F7BD6"/>
    <w:rsid w:val="009F7C68"/>
    <w:rsid w:val="009F7D7C"/>
    <w:rsid w:val="009F7E72"/>
    <w:rsid w:val="00A00151"/>
    <w:rsid w:val="00A00381"/>
    <w:rsid w:val="00A0049F"/>
    <w:rsid w:val="00A0062B"/>
    <w:rsid w:val="00A00907"/>
    <w:rsid w:val="00A00BCA"/>
    <w:rsid w:val="00A01103"/>
    <w:rsid w:val="00A012DB"/>
    <w:rsid w:val="00A0149F"/>
    <w:rsid w:val="00A016BE"/>
    <w:rsid w:val="00A01BD3"/>
    <w:rsid w:val="00A01C42"/>
    <w:rsid w:val="00A01F93"/>
    <w:rsid w:val="00A02133"/>
    <w:rsid w:val="00A023C0"/>
    <w:rsid w:val="00A02618"/>
    <w:rsid w:val="00A029C0"/>
    <w:rsid w:val="00A02AC0"/>
    <w:rsid w:val="00A02BD1"/>
    <w:rsid w:val="00A02BF8"/>
    <w:rsid w:val="00A02EC2"/>
    <w:rsid w:val="00A02EEF"/>
    <w:rsid w:val="00A02F22"/>
    <w:rsid w:val="00A03322"/>
    <w:rsid w:val="00A035B4"/>
    <w:rsid w:val="00A03777"/>
    <w:rsid w:val="00A03886"/>
    <w:rsid w:val="00A03964"/>
    <w:rsid w:val="00A03AAF"/>
    <w:rsid w:val="00A03E9B"/>
    <w:rsid w:val="00A0405D"/>
    <w:rsid w:val="00A04094"/>
    <w:rsid w:val="00A0413E"/>
    <w:rsid w:val="00A04249"/>
    <w:rsid w:val="00A043E6"/>
    <w:rsid w:val="00A046AE"/>
    <w:rsid w:val="00A051E5"/>
    <w:rsid w:val="00A05AF1"/>
    <w:rsid w:val="00A0600D"/>
    <w:rsid w:val="00A0627B"/>
    <w:rsid w:val="00A063DB"/>
    <w:rsid w:val="00A064EF"/>
    <w:rsid w:val="00A06502"/>
    <w:rsid w:val="00A06993"/>
    <w:rsid w:val="00A06AA4"/>
    <w:rsid w:val="00A06B20"/>
    <w:rsid w:val="00A06B29"/>
    <w:rsid w:val="00A06BA1"/>
    <w:rsid w:val="00A06EF8"/>
    <w:rsid w:val="00A072E4"/>
    <w:rsid w:val="00A0742A"/>
    <w:rsid w:val="00A07796"/>
    <w:rsid w:val="00A07DC1"/>
    <w:rsid w:val="00A07EAE"/>
    <w:rsid w:val="00A07EE7"/>
    <w:rsid w:val="00A102E7"/>
    <w:rsid w:val="00A104C4"/>
    <w:rsid w:val="00A10AD1"/>
    <w:rsid w:val="00A10CB6"/>
    <w:rsid w:val="00A10CE8"/>
    <w:rsid w:val="00A10D81"/>
    <w:rsid w:val="00A10F68"/>
    <w:rsid w:val="00A110E1"/>
    <w:rsid w:val="00A112B1"/>
    <w:rsid w:val="00A115AA"/>
    <w:rsid w:val="00A11A93"/>
    <w:rsid w:val="00A11EB7"/>
    <w:rsid w:val="00A121DE"/>
    <w:rsid w:val="00A12621"/>
    <w:rsid w:val="00A1264C"/>
    <w:rsid w:val="00A129C6"/>
    <w:rsid w:val="00A12CF4"/>
    <w:rsid w:val="00A12F60"/>
    <w:rsid w:val="00A12F77"/>
    <w:rsid w:val="00A131E7"/>
    <w:rsid w:val="00A1364E"/>
    <w:rsid w:val="00A13894"/>
    <w:rsid w:val="00A13E7E"/>
    <w:rsid w:val="00A1418C"/>
    <w:rsid w:val="00A141AD"/>
    <w:rsid w:val="00A1420C"/>
    <w:rsid w:val="00A14316"/>
    <w:rsid w:val="00A14341"/>
    <w:rsid w:val="00A14389"/>
    <w:rsid w:val="00A1457E"/>
    <w:rsid w:val="00A1465E"/>
    <w:rsid w:val="00A149E7"/>
    <w:rsid w:val="00A14D83"/>
    <w:rsid w:val="00A14FA1"/>
    <w:rsid w:val="00A150B2"/>
    <w:rsid w:val="00A152F0"/>
    <w:rsid w:val="00A1550F"/>
    <w:rsid w:val="00A15A1A"/>
    <w:rsid w:val="00A161A2"/>
    <w:rsid w:val="00A162C6"/>
    <w:rsid w:val="00A16542"/>
    <w:rsid w:val="00A16792"/>
    <w:rsid w:val="00A1683A"/>
    <w:rsid w:val="00A1687C"/>
    <w:rsid w:val="00A16B22"/>
    <w:rsid w:val="00A173AA"/>
    <w:rsid w:val="00A17649"/>
    <w:rsid w:val="00A17D75"/>
    <w:rsid w:val="00A17E89"/>
    <w:rsid w:val="00A200BE"/>
    <w:rsid w:val="00A204CE"/>
    <w:rsid w:val="00A208DF"/>
    <w:rsid w:val="00A20A49"/>
    <w:rsid w:val="00A20AB3"/>
    <w:rsid w:val="00A20BBE"/>
    <w:rsid w:val="00A21118"/>
    <w:rsid w:val="00A2128F"/>
    <w:rsid w:val="00A21F59"/>
    <w:rsid w:val="00A21F68"/>
    <w:rsid w:val="00A22132"/>
    <w:rsid w:val="00A22176"/>
    <w:rsid w:val="00A22244"/>
    <w:rsid w:val="00A22501"/>
    <w:rsid w:val="00A22591"/>
    <w:rsid w:val="00A225F5"/>
    <w:rsid w:val="00A2268D"/>
    <w:rsid w:val="00A22721"/>
    <w:rsid w:val="00A22DA1"/>
    <w:rsid w:val="00A23207"/>
    <w:rsid w:val="00A23724"/>
    <w:rsid w:val="00A239AE"/>
    <w:rsid w:val="00A23CF9"/>
    <w:rsid w:val="00A24437"/>
    <w:rsid w:val="00A2456C"/>
    <w:rsid w:val="00A24AA7"/>
    <w:rsid w:val="00A24AF1"/>
    <w:rsid w:val="00A24CAE"/>
    <w:rsid w:val="00A24E76"/>
    <w:rsid w:val="00A24F70"/>
    <w:rsid w:val="00A25499"/>
    <w:rsid w:val="00A25975"/>
    <w:rsid w:val="00A25ADD"/>
    <w:rsid w:val="00A25B53"/>
    <w:rsid w:val="00A25CED"/>
    <w:rsid w:val="00A25E51"/>
    <w:rsid w:val="00A25EE2"/>
    <w:rsid w:val="00A26447"/>
    <w:rsid w:val="00A26456"/>
    <w:rsid w:val="00A265CA"/>
    <w:rsid w:val="00A2687F"/>
    <w:rsid w:val="00A26C13"/>
    <w:rsid w:val="00A26EEC"/>
    <w:rsid w:val="00A26F64"/>
    <w:rsid w:val="00A2707A"/>
    <w:rsid w:val="00A27296"/>
    <w:rsid w:val="00A2744B"/>
    <w:rsid w:val="00A274C7"/>
    <w:rsid w:val="00A275C7"/>
    <w:rsid w:val="00A276CB"/>
    <w:rsid w:val="00A2780A"/>
    <w:rsid w:val="00A27EE2"/>
    <w:rsid w:val="00A27FEF"/>
    <w:rsid w:val="00A30434"/>
    <w:rsid w:val="00A30B06"/>
    <w:rsid w:val="00A30CD0"/>
    <w:rsid w:val="00A30EE6"/>
    <w:rsid w:val="00A30F38"/>
    <w:rsid w:val="00A31067"/>
    <w:rsid w:val="00A310FC"/>
    <w:rsid w:val="00A31334"/>
    <w:rsid w:val="00A314B6"/>
    <w:rsid w:val="00A315BD"/>
    <w:rsid w:val="00A316EE"/>
    <w:rsid w:val="00A3183B"/>
    <w:rsid w:val="00A31A1D"/>
    <w:rsid w:val="00A31EB7"/>
    <w:rsid w:val="00A3200B"/>
    <w:rsid w:val="00A32387"/>
    <w:rsid w:val="00A323BD"/>
    <w:rsid w:val="00A324C3"/>
    <w:rsid w:val="00A324C4"/>
    <w:rsid w:val="00A329EC"/>
    <w:rsid w:val="00A32F53"/>
    <w:rsid w:val="00A3306E"/>
    <w:rsid w:val="00A3330A"/>
    <w:rsid w:val="00A33988"/>
    <w:rsid w:val="00A33F35"/>
    <w:rsid w:val="00A34320"/>
    <w:rsid w:val="00A346C6"/>
    <w:rsid w:val="00A34A5F"/>
    <w:rsid w:val="00A34D00"/>
    <w:rsid w:val="00A35079"/>
    <w:rsid w:val="00A3527D"/>
    <w:rsid w:val="00A35314"/>
    <w:rsid w:val="00A35796"/>
    <w:rsid w:val="00A3595E"/>
    <w:rsid w:val="00A36157"/>
    <w:rsid w:val="00A36593"/>
    <w:rsid w:val="00A366BC"/>
    <w:rsid w:val="00A36BD6"/>
    <w:rsid w:val="00A36FCA"/>
    <w:rsid w:val="00A371CA"/>
    <w:rsid w:val="00A37712"/>
    <w:rsid w:val="00A378D3"/>
    <w:rsid w:val="00A37C5D"/>
    <w:rsid w:val="00A37E45"/>
    <w:rsid w:val="00A406F2"/>
    <w:rsid w:val="00A40C6A"/>
    <w:rsid w:val="00A40D40"/>
    <w:rsid w:val="00A4123F"/>
    <w:rsid w:val="00A4151B"/>
    <w:rsid w:val="00A418E1"/>
    <w:rsid w:val="00A4198C"/>
    <w:rsid w:val="00A41E81"/>
    <w:rsid w:val="00A41FB9"/>
    <w:rsid w:val="00A42473"/>
    <w:rsid w:val="00A426E3"/>
    <w:rsid w:val="00A4279A"/>
    <w:rsid w:val="00A42941"/>
    <w:rsid w:val="00A42AA6"/>
    <w:rsid w:val="00A42B96"/>
    <w:rsid w:val="00A42C5F"/>
    <w:rsid w:val="00A42D0C"/>
    <w:rsid w:val="00A42D80"/>
    <w:rsid w:val="00A4316C"/>
    <w:rsid w:val="00A43A6D"/>
    <w:rsid w:val="00A43BF5"/>
    <w:rsid w:val="00A43F43"/>
    <w:rsid w:val="00A43FB5"/>
    <w:rsid w:val="00A4444F"/>
    <w:rsid w:val="00A445F7"/>
    <w:rsid w:val="00A447FE"/>
    <w:rsid w:val="00A449B8"/>
    <w:rsid w:val="00A44A06"/>
    <w:rsid w:val="00A44CE1"/>
    <w:rsid w:val="00A45156"/>
    <w:rsid w:val="00A45CD5"/>
    <w:rsid w:val="00A46402"/>
    <w:rsid w:val="00A46C97"/>
    <w:rsid w:val="00A4712E"/>
    <w:rsid w:val="00A47276"/>
    <w:rsid w:val="00A4744D"/>
    <w:rsid w:val="00A474A7"/>
    <w:rsid w:val="00A477BF"/>
    <w:rsid w:val="00A47949"/>
    <w:rsid w:val="00A47952"/>
    <w:rsid w:val="00A47996"/>
    <w:rsid w:val="00A47EB4"/>
    <w:rsid w:val="00A47F41"/>
    <w:rsid w:val="00A47F57"/>
    <w:rsid w:val="00A5009E"/>
    <w:rsid w:val="00A50508"/>
    <w:rsid w:val="00A50652"/>
    <w:rsid w:val="00A50762"/>
    <w:rsid w:val="00A50903"/>
    <w:rsid w:val="00A5094A"/>
    <w:rsid w:val="00A509CE"/>
    <w:rsid w:val="00A51BB4"/>
    <w:rsid w:val="00A51BDC"/>
    <w:rsid w:val="00A51ECD"/>
    <w:rsid w:val="00A52434"/>
    <w:rsid w:val="00A52A9C"/>
    <w:rsid w:val="00A52B62"/>
    <w:rsid w:val="00A52F3D"/>
    <w:rsid w:val="00A5324F"/>
    <w:rsid w:val="00A532F2"/>
    <w:rsid w:val="00A53315"/>
    <w:rsid w:val="00A5375B"/>
    <w:rsid w:val="00A5384C"/>
    <w:rsid w:val="00A53CC8"/>
    <w:rsid w:val="00A53DA3"/>
    <w:rsid w:val="00A53E6C"/>
    <w:rsid w:val="00A53E9D"/>
    <w:rsid w:val="00A54141"/>
    <w:rsid w:val="00A54422"/>
    <w:rsid w:val="00A545AB"/>
    <w:rsid w:val="00A54D4B"/>
    <w:rsid w:val="00A555DD"/>
    <w:rsid w:val="00A55760"/>
    <w:rsid w:val="00A55D80"/>
    <w:rsid w:val="00A55F91"/>
    <w:rsid w:val="00A563CA"/>
    <w:rsid w:val="00A563D1"/>
    <w:rsid w:val="00A56480"/>
    <w:rsid w:val="00A5697F"/>
    <w:rsid w:val="00A56C59"/>
    <w:rsid w:val="00A57684"/>
    <w:rsid w:val="00A57939"/>
    <w:rsid w:val="00A57CA0"/>
    <w:rsid w:val="00A57E0B"/>
    <w:rsid w:val="00A57E51"/>
    <w:rsid w:val="00A6005F"/>
    <w:rsid w:val="00A605CD"/>
    <w:rsid w:val="00A60677"/>
    <w:rsid w:val="00A60B13"/>
    <w:rsid w:val="00A60C83"/>
    <w:rsid w:val="00A616A6"/>
    <w:rsid w:val="00A617AF"/>
    <w:rsid w:val="00A62265"/>
    <w:rsid w:val="00A625A5"/>
    <w:rsid w:val="00A62686"/>
    <w:rsid w:val="00A62889"/>
    <w:rsid w:val="00A62CB4"/>
    <w:rsid w:val="00A632B1"/>
    <w:rsid w:val="00A63453"/>
    <w:rsid w:val="00A63699"/>
    <w:rsid w:val="00A63837"/>
    <w:rsid w:val="00A63C07"/>
    <w:rsid w:val="00A63E85"/>
    <w:rsid w:val="00A641B4"/>
    <w:rsid w:val="00A641D9"/>
    <w:rsid w:val="00A6422F"/>
    <w:rsid w:val="00A64728"/>
    <w:rsid w:val="00A64C7B"/>
    <w:rsid w:val="00A64EEA"/>
    <w:rsid w:val="00A65038"/>
    <w:rsid w:val="00A65730"/>
    <w:rsid w:val="00A65CDA"/>
    <w:rsid w:val="00A65F12"/>
    <w:rsid w:val="00A66056"/>
    <w:rsid w:val="00A66AF6"/>
    <w:rsid w:val="00A66B1E"/>
    <w:rsid w:val="00A66DCE"/>
    <w:rsid w:val="00A66DDC"/>
    <w:rsid w:val="00A671B2"/>
    <w:rsid w:val="00A67BAF"/>
    <w:rsid w:val="00A701EF"/>
    <w:rsid w:val="00A702AC"/>
    <w:rsid w:val="00A710A6"/>
    <w:rsid w:val="00A71119"/>
    <w:rsid w:val="00A71431"/>
    <w:rsid w:val="00A7164F"/>
    <w:rsid w:val="00A71840"/>
    <w:rsid w:val="00A71ADE"/>
    <w:rsid w:val="00A71C7C"/>
    <w:rsid w:val="00A71FE1"/>
    <w:rsid w:val="00A72259"/>
    <w:rsid w:val="00A725BF"/>
    <w:rsid w:val="00A7273A"/>
    <w:rsid w:val="00A7296F"/>
    <w:rsid w:val="00A729A2"/>
    <w:rsid w:val="00A73900"/>
    <w:rsid w:val="00A73DA3"/>
    <w:rsid w:val="00A744F4"/>
    <w:rsid w:val="00A747CE"/>
    <w:rsid w:val="00A7484D"/>
    <w:rsid w:val="00A74AB7"/>
    <w:rsid w:val="00A74C7E"/>
    <w:rsid w:val="00A752DB"/>
    <w:rsid w:val="00A75550"/>
    <w:rsid w:val="00A7630B"/>
    <w:rsid w:val="00A764B5"/>
    <w:rsid w:val="00A7656D"/>
    <w:rsid w:val="00A766DB"/>
    <w:rsid w:val="00A769AE"/>
    <w:rsid w:val="00A76C7A"/>
    <w:rsid w:val="00A76C87"/>
    <w:rsid w:val="00A77109"/>
    <w:rsid w:val="00A77B97"/>
    <w:rsid w:val="00A77FD7"/>
    <w:rsid w:val="00A80364"/>
    <w:rsid w:val="00A80400"/>
    <w:rsid w:val="00A80526"/>
    <w:rsid w:val="00A80E38"/>
    <w:rsid w:val="00A8146F"/>
    <w:rsid w:val="00A81794"/>
    <w:rsid w:val="00A8191B"/>
    <w:rsid w:val="00A81DFF"/>
    <w:rsid w:val="00A823CC"/>
    <w:rsid w:val="00A8290A"/>
    <w:rsid w:val="00A82D6B"/>
    <w:rsid w:val="00A8352D"/>
    <w:rsid w:val="00A835E9"/>
    <w:rsid w:val="00A83C30"/>
    <w:rsid w:val="00A84C85"/>
    <w:rsid w:val="00A84CA7"/>
    <w:rsid w:val="00A852EC"/>
    <w:rsid w:val="00A85522"/>
    <w:rsid w:val="00A85683"/>
    <w:rsid w:val="00A856B8"/>
    <w:rsid w:val="00A85726"/>
    <w:rsid w:val="00A85729"/>
    <w:rsid w:val="00A858BA"/>
    <w:rsid w:val="00A85995"/>
    <w:rsid w:val="00A85CD1"/>
    <w:rsid w:val="00A86007"/>
    <w:rsid w:val="00A863F5"/>
    <w:rsid w:val="00A86912"/>
    <w:rsid w:val="00A86A1C"/>
    <w:rsid w:val="00A86BD9"/>
    <w:rsid w:val="00A86D3F"/>
    <w:rsid w:val="00A86DE6"/>
    <w:rsid w:val="00A86FC6"/>
    <w:rsid w:val="00A8707A"/>
    <w:rsid w:val="00A871B0"/>
    <w:rsid w:val="00A87487"/>
    <w:rsid w:val="00A876CD"/>
    <w:rsid w:val="00A877DE"/>
    <w:rsid w:val="00A87AB9"/>
    <w:rsid w:val="00A87EF0"/>
    <w:rsid w:val="00A900C1"/>
    <w:rsid w:val="00A90170"/>
    <w:rsid w:val="00A9021A"/>
    <w:rsid w:val="00A9024F"/>
    <w:rsid w:val="00A90355"/>
    <w:rsid w:val="00A90466"/>
    <w:rsid w:val="00A910A6"/>
    <w:rsid w:val="00A91446"/>
    <w:rsid w:val="00A91724"/>
    <w:rsid w:val="00A91940"/>
    <w:rsid w:val="00A919B5"/>
    <w:rsid w:val="00A91D9C"/>
    <w:rsid w:val="00A91E27"/>
    <w:rsid w:val="00A91EAF"/>
    <w:rsid w:val="00A9214D"/>
    <w:rsid w:val="00A92494"/>
    <w:rsid w:val="00A927B1"/>
    <w:rsid w:val="00A92FFA"/>
    <w:rsid w:val="00A93159"/>
    <w:rsid w:val="00A93EE6"/>
    <w:rsid w:val="00A93F0E"/>
    <w:rsid w:val="00A9405C"/>
    <w:rsid w:val="00A94061"/>
    <w:rsid w:val="00A940D7"/>
    <w:rsid w:val="00A9455F"/>
    <w:rsid w:val="00A9499F"/>
    <w:rsid w:val="00A94AF2"/>
    <w:rsid w:val="00A94C29"/>
    <w:rsid w:val="00A94D49"/>
    <w:rsid w:val="00A94D8F"/>
    <w:rsid w:val="00A95073"/>
    <w:rsid w:val="00A95255"/>
    <w:rsid w:val="00A956B5"/>
    <w:rsid w:val="00A956BF"/>
    <w:rsid w:val="00A958F4"/>
    <w:rsid w:val="00A95C5B"/>
    <w:rsid w:val="00A95DF8"/>
    <w:rsid w:val="00A95FDA"/>
    <w:rsid w:val="00A96618"/>
    <w:rsid w:val="00A966A7"/>
    <w:rsid w:val="00A966E9"/>
    <w:rsid w:val="00A96746"/>
    <w:rsid w:val="00A96A03"/>
    <w:rsid w:val="00A96F85"/>
    <w:rsid w:val="00A96FB5"/>
    <w:rsid w:val="00A971EB"/>
    <w:rsid w:val="00A972F5"/>
    <w:rsid w:val="00A9749B"/>
    <w:rsid w:val="00A97D61"/>
    <w:rsid w:val="00AA0B06"/>
    <w:rsid w:val="00AA0FEA"/>
    <w:rsid w:val="00AA0FFD"/>
    <w:rsid w:val="00AA129B"/>
    <w:rsid w:val="00AA12CE"/>
    <w:rsid w:val="00AA1705"/>
    <w:rsid w:val="00AA1BBF"/>
    <w:rsid w:val="00AA24A8"/>
    <w:rsid w:val="00AA2796"/>
    <w:rsid w:val="00AA27FD"/>
    <w:rsid w:val="00AA29BC"/>
    <w:rsid w:val="00AA2ACF"/>
    <w:rsid w:val="00AA2F35"/>
    <w:rsid w:val="00AA3C15"/>
    <w:rsid w:val="00AA3ED4"/>
    <w:rsid w:val="00AA4169"/>
    <w:rsid w:val="00AA491F"/>
    <w:rsid w:val="00AA494E"/>
    <w:rsid w:val="00AA4958"/>
    <w:rsid w:val="00AA4D7D"/>
    <w:rsid w:val="00AA4F68"/>
    <w:rsid w:val="00AA50C8"/>
    <w:rsid w:val="00AA513F"/>
    <w:rsid w:val="00AA52F7"/>
    <w:rsid w:val="00AA57A3"/>
    <w:rsid w:val="00AA59E8"/>
    <w:rsid w:val="00AA5BE3"/>
    <w:rsid w:val="00AA5EE7"/>
    <w:rsid w:val="00AA5FA1"/>
    <w:rsid w:val="00AA636C"/>
    <w:rsid w:val="00AA69C6"/>
    <w:rsid w:val="00AA6BC7"/>
    <w:rsid w:val="00AA7564"/>
    <w:rsid w:val="00AA772F"/>
    <w:rsid w:val="00AA77B4"/>
    <w:rsid w:val="00AA7E7F"/>
    <w:rsid w:val="00AB0258"/>
    <w:rsid w:val="00AB02ED"/>
    <w:rsid w:val="00AB0474"/>
    <w:rsid w:val="00AB0AC5"/>
    <w:rsid w:val="00AB1061"/>
    <w:rsid w:val="00AB10DC"/>
    <w:rsid w:val="00AB11C1"/>
    <w:rsid w:val="00AB1265"/>
    <w:rsid w:val="00AB1659"/>
    <w:rsid w:val="00AB19BD"/>
    <w:rsid w:val="00AB1B14"/>
    <w:rsid w:val="00AB1FA1"/>
    <w:rsid w:val="00AB24AF"/>
    <w:rsid w:val="00AB26A4"/>
    <w:rsid w:val="00AB290C"/>
    <w:rsid w:val="00AB2D2A"/>
    <w:rsid w:val="00AB2F8A"/>
    <w:rsid w:val="00AB3072"/>
    <w:rsid w:val="00AB36B9"/>
    <w:rsid w:val="00AB370C"/>
    <w:rsid w:val="00AB3790"/>
    <w:rsid w:val="00AB3CF3"/>
    <w:rsid w:val="00AB3F9D"/>
    <w:rsid w:val="00AB3FCB"/>
    <w:rsid w:val="00AB40DD"/>
    <w:rsid w:val="00AB4140"/>
    <w:rsid w:val="00AB43B2"/>
    <w:rsid w:val="00AB46AA"/>
    <w:rsid w:val="00AB4B8B"/>
    <w:rsid w:val="00AB4EEB"/>
    <w:rsid w:val="00AB50C2"/>
    <w:rsid w:val="00AB59F2"/>
    <w:rsid w:val="00AB5BC2"/>
    <w:rsid w:val="00AB5EF2"/>
    <w:rsid w:val="00AB5FB9"/>
    <w:rsid w:val="00AB65C0"/>
    <w:rsid w:val="00AB747A"/>
    <w:rsid w:val="00AB79DC"/>
    <w:rsid w:val="00AC015C"/>
    <w:rsid w:val="00AC0521"/>
    <w:rsid w:val="00AC0641"/>
    <w:rsid w:val="00AC06E4"/>
    <w:rsid w:val="00AC0C34"/>
    <w:rsid w:val="00AC113A"/>
    <w:rsid w:val="00AC1183"/>
    <w:rsid w:val="00AC1748"/>
    <w:rsid w:val="00AC1848"/>
    <w:rsid w:val="00AC1A50"/>
    <w:rsid w:val="00AC1C46"/>
    <w:rsid w:val="00AC2200"/>
    <w:rsid w:val="00AC275D"/>
    <w:rsid w:val="00AC28A2"/>
    <w:rsid w:val="00AC2DD8"/>
    <w:rsid w:val="00AC3173"/>
    <w:rsid w:val="00AC424D"/>
    <w:rsid w:val="00AC42B3"/>
    <w:rsid w:val="00AC43AA"/>
    <w:rsid w:val="00AC4810"/>
    <w:rsid w:val="00AC4A53"/>
    <w:rsid w:val="00AC4C7E"/>
    <w:rsid w:val="00AC4F6F"/>
    <w:rsid w:val="00AC5045"/>
    <w:rsid w:val="00AC549F"/>
    <w:rsid w:val="00AC54FF"/>
    <w:rsid w:val="00AC5906"/>
    <w:rsid w:val="00AC598E"/>
    <w:rsid w:val="00AC5AF1"/>
    <w:rsid w:val="00AC5C25"/>
    <w:rsid w:val="00AC5CB7"/>
    <w:rsid w:val="00AC5FB5"/>
    <w:rsid w:val="00AC646A"/>
    <w:rsid w:val="00AC6745"/>
    <w:rsid w:val="00AC67B6"/>
    <w:rsid w:val="00AC6A67"/>
    <w:rsid w:val="00AC6B8D"/>
    <w:rsid w:val="00AC6C81"/>
    <w:rsid w:val="00AC6C85"/>
    <w:rsid w:val="00AC6CFF"/>
    <w:rsid w:val="00AC71BE"/>
    <w:rsid w:val="00AC77A8"/>
    <w:rsid w:val="00AC7D38"/>
    <w:rsid w:val="00AD0377"/>
    <w:rsid w:val="00AD03A7"/>
    <w:rsid w:val="00AD0413"/>
    <w:rsid w:val="00AD0513"/>
    <w:rsid w:val="00AD0665"/>
    <w:rsid w:val="00AD080A"/>
    <w:rsid w:val="00AD0C11"/>
    <w:rsid w:val="00AD0D13"/>
    <w:rsid w:val="00AD1151"/>
    <w:rsid w:val="00AD1944"/>
    <w:rsid w:val="00AD2145"/>
    <w:rsid w:val="00AD2293"/>
    <w:rsid w:val="00AD269C"/>
    <w:rsid w:val="00AD2AAD"/>
    <w:rsid w:val="00AD2BB8"/>
    <w:rsid w:val="00AD2CC5"/>
    <w:rsid w:val="00AD2E35"/>
    <w:rsid w:val="00AD2F0E"/>
    <w:rsid w:val="00AD308F"/>
    <w:rsid w:val="00AD3698"/>
    <w:rsid w:val="00AD380F"/>
    <w:rsid w:val="00AD3E51"/>
    <w:rsid w:val="00AD426E"/>
    <w:rsid w:val="00AD46EF"/>
    <w:rsid w:val="00AD524D"/>
    <w:rsid w:val="00AD5505"/>
    <w:rsid w:val="00AD56D0"/>
    <w:rsid w:val="00AD5779"/>
    <w:rsid w:val="00AD58C5"/>
    <w:rsid w:val="00AD5B35"/>
    <w:rsid w:val="00AD609B"/>
    <w:rsid w:val="00AD62F6"/>
    <w:rsid w:val="00AD657C"/>
    <w:rsid w:val="00AD6711"/>
    <w:rsid w:val="00AD6DA0"/>
    <w:rsid w:val="00AD6EC5"/>
    <w:rsid w:val="00AD6F2A"/>
    <w:rsid w:val="00AD7252"/>
    <w:rsid w:val="00AD72DD"/>
    <w:rsid w:val="00AD73A6"/>
    <w:rsid w:val="00AD740D"/>
    <w:rsid w:val="00AD76FE"/>
    <w:rsid w:val="00AD792D"/>
    <w:rsid w:val="00AD7E88"/>
    <w:rsid w:val="00AD7F1F"/>
    <w:rsid w:val="00AE01B1"/>
    <w:rsid w:val="00AE0252"/>
    <w:rsid w:val="00AE05B6"/>
    <w:rsid w:val="00AE0A2A"/>
    <w:rsid w:val="00AE0E80"/>
    <w:rsid w:val="00AE1652"/>
    <w:rsid w:val="00AE170D"/>
    <w:rsid w:val="00AE172D"/>
    <w:rsid w:val="00AE1965"/>
    <w:rsid w:val="00AE1AFD"/>
    <w:rsid w:val="00AE211D"/>
    <w:rsid w:val="00AE2226"/>
    <w:rsid w:val="00AE2257"/>
    <w:rsid w:val="00AE2BF0"/>
    <w:rsid w:val="00AE2E7B"/>
    <w:rsid w:val="00AE3455"/>
    <w:rsid w:val="00AE3DC5"/>
    <w:rsid w:val="00AE40B4"/>
    <w:rsid w:val="00AE43CF"/>
    <w:rsid w:val="00AE4460"/>
    <w:rsid w:val="00AE466E"/>
    <w:rsid w:val="00AE4723"/>
    <w:rsid w:val="00AE48D2"/>
    <w:rsid w:val="00AE49A6"/>
    <w:rsid w:val="00AE4C1D"/>
    <w:rsid w:val="00AE5115"/>
    <w:rsid w:val="00AE5219"/>
    <w:rsid w:val="00AE5532"/>
    <w:rsid w:val="00AE5591"/>
    <w:rsid w:val="00AE5DF1"/>
    <w:rsid w:val="00AE603A"/>
    <w:rsid w:val="00AE6097"/>
    <w:rsid w:val="00AE60F7"/>
    <w:rsid w:val="00AE6DA3"/>
    <w:rsid w:val="00AE720C"/>
    <w:rsid w:val="00AE725A"/>
    <w:rsid w:val="00AE7538"/>
    <w:rsid w:val="00AE75C0"/>
    <w:rsid w:val="00AE7B4C"/>
    <w:rsid w:val="00AE7C7F"/>
    <w:rsid w:val="00AE7EEF"/>
    <w:rsid w:val="00AF0175"/>
    <w:rsid w:val="00AF024F"/>
    <w:rsid w:val="00AF071F"/>
    <w:rsid w:val="00AF0837"/>
    <w:rsid w:val="00AF09A3"/>
    <w:rsid w:val="00AF09EA"/>
    <w:rsid w:val="00AF0DF2"/>
    <w:rsid w:val="00AF0E66"/>
    <w:rsid w:val="00AF131C"/>
    <w:rsid w:val="00AF14CB"/>
    <w:rsid w:val="00AF163D"/>
    <w:rsid w:val="00AF1750"/>
    <w:rsid w:val="00AF1853"/>
    <w:rsid w:val="00AF1E0F"/>
    <w:rsid w:val="00AF1E40"/>
    <w:rsid w:val="00AF22CA"/>
    <w:rsid w:val="00AF27E9"/>
    <w:rsid w:val="00AF2A85"/>
    <w:rsid w:val="00AF2D42"/>
    <w:rsid w:val="00AF2DBE"/>
    <w:rsid w:val="00AF2E04"/>
    <w:rsid w:val="00AF2EC7"/>
    <w:rsid w:val="00AF302C"/>
    <w:rsid w:val="00AF310B"/>
    <w:rsid w:val="00AF33E0"/>
    <w:rsid w:val="00AF3732"/>
    <w:rsid w:val="00AF3D45"/>
    <w:rsid w:val="00AF3FDE"/>
    <w:rsid w:val="00AF3FF3"/>
    <w:rsid w:val="00AF408A"/>
    <w:rsid w:val="00AF4198"/>
    <w:rsid w:val="00AF4637"/>
    <w:rsid w:val="00AF4683"/>
    <w:rsid w:val="00AF4D57"/>
    <w:rsid w:val="00AF544E"/>
    <w:rsid w:val="00AF5845"/>
    <w:rsid w:val="00AF599C"/>
    <w:rsid w:val="00AF5E9E"/>
    <w:rsid w:val="00AF60AD"/>
    <w:rsid w:val="00AF648E"/>
    <w:rsid w:val="00AF6C40"/>
    <w:rsid w:val="00AF7126"/>
    <w:rsid w:val="00AF71FB"/>
    <w:rsid w:val="00AF72C1"/>
    <w:rsid w:val="00AF76F5"/>
    <w:rsid w:val="00AF79E8"/>
    <w:rsid w:val="00B00C7E"/>
    <w:rsid w:val="00B00F75"/>
    <w:rsid w:val="00B01354"/>
    <w:rsid w:val="00B01371"/>
    <w:rsid w:val="00B01558"/>
    <w:rsid w:val="00B01563"/>
    <w:rsid w:val="00B0158E"/>
    <w:rsid w:val="00B01986"/>
    <w:rsid w:val="00B01A64"/>
    <w:rsid w:val="00B023A0"/>
    <w:rsid w:val="00B02874"/>
    <w:rsid w:val="00B028D2"/>
    <w:rsid w:val="00B02B56"/>
    <w:rsid w:val="00B02CEF"/>
    <w:rsid w:val="00B0335A"/>
    <w:rsid w:val="00B038F3"/>
    <w:rsid w:val="00B03A57"/>
    <w:rsid w:val="00B03C78"/>
    <w:rsid w:val="00B03D52"/>
    <w:rsid w:val="00B04455"/>
    <w:rsid w:val="00B04646"/>
    <w:rsid w:val="00B04A17"/>
    <w:rsid w:val="00B04D74"/>
    <w:rsid w:val="00B04EA5"/>
    <w:rsid w:val="00B05108"/>
    <w:rsid w:val="00B05157"/>
    <w:rsid w:val="00B05301"/>
    <w:rsid w:val="00B05361"/>
    <w:rsid w:val="00B054CA"/>
    <w:rsid w:val="00B0551A"/>
    <w:rsid w:val="00B05578"/>
    <w:rsid w:val="00B0584A"/>
    <w:rsid w:val="00B05CC3"/>
    <w:rsid w:val="00B063DE"/>
    <w:rsid w:val="00B0654A"/>
    <w:rsid w:val="00B065A6"/>
    <w:rsid w:val="00B0678C"/>
    <w:rsid w:val="00B067AB"/>
    <w:rsid w:val="00B069A2"/>
    <w:rsid w:val="00B06C54"/>
    <w:rsid w:val="00B06F90"/>
    <w:rsid w:val="00B06FEC"/>
    <w:rsid w:val="00B07063"/>
    <w:rsid w:val="00B07B2A"/>
    <w:rsid w:val="00B07CE1"/>
    <w:rsid w:val="00B07ED7"/>
    <w:rsid w:val="00B106F7"/>
    <w:rsid w:val="00B10D36"/>
    <w:rsid w:val="00B10DD8"/>
    <w:rsid w:val="00B1116C"/>
    <w:rsid w:val="00B112AB"/>
    <w:rsid w:val="00B11569"/>
    <w:rsid w:val="00B1176D"/>
    <w:rsid w:val="00B117D6"/>
    <w:rsid w:val="00B1188D"/>
    <w:rsid w:val="00B11A7D"/>
    <w:rsid w:val="00B11B5A"/>
    <w:rsid w:val="00B12489"/>
    <w:rsid w:val="00B12647"/>
    <w:rsid w:val="00B12814"/>
    <w:rsid w:val="00B12BB1"/>
    <w:rsid w:val="00B12FF3"/>
    <w:rsid w:val="00B1334A"/>
    <w:rsid w:val="00B1342F"/>
    <w:rsid w:val="00B13702"/>
    <w:rsid w:val="00B13937"/>
    <w:rsid w:val="00B13ACE"/>
    <w:rsid w:val="00B13B80"/>
    <w:rsid w:val="00B140E1"/>
    <w:rsid w:val="00B1439E"/>
    <w:rsid w:val="00B143C0"/>
    <w:rsid w:val="00B1484C"/>
    <w:rsid w:val="00B148D6"/>
    <w:rsid w:val="00B148FE"/>
    <w:rsid w:val="00B1498D"/>
    <w:rsid w:val="00B149A0"/>
    <w:rsid w:val="00B14D27"/>
    <w:rsid w:val="00B150E7"/>
    <w:rsid w:val="00B15262"/>
    <w:rsid w:val="00B15417"/>
    <w:rsid w:val="00B15BB2"/>
    <w:rsid w:val="00B15CCB"/>
    <w:rsid w:val="00B15E4C"/>
    <w:rsid w:val="00B15EBF"/>
    <w:rsid w:val="00B16BA9"/>
    <w:rsid w:val="00B16CE1"/>
    <w:rsid w:val="00B16EC0"/>
    <w:rsid w:val="00B17605"/>
    <w:rsid w:val="00B179D9"/>
    <w:rsid w:val="00B17AA4"/>
    <w:rsid w:val="00B17C93"/>
    <w:rsid w:val="00B17F89"/>
    <w:rsid w:val="00B201B8"/>
    <w:rsid w:val="00B204B3"/>
    <w:rsid w:val="00B208ED"/>
    <w:rsid w:val="00B20C29"/>
    <w:rsid w:val="00B20C89"/>
    <w:rsid w:val="00B2128B"/>
    <w:rsid w:val="00B213E6"/>
    <w:rsid w:val="00B218F3"/>
    <w:rsid w:val="00B21EAA"/>
    <w:rsid w:val="00B21F3F"/>
    <w:rsid w:val="00B22078"/>
    <w:rsid w:val="00B22263"/>
    <w:rsid w:val="00B229EA"/>
    <w:rsid w:val="00B22DD9"/>
    <w:rsid w:val="00B2303F"/>
    <w:rsid w:val="00B23273"/>
    <w:rsid w:val="00B24269"/>
    <w:rsid w:val="00B2457F"/>
    <w:rsid w:val="00B24964"/>
    <w:rsid w:val="00B2499A"/>
    <w:rsid w:val="00B24F3C"/>
    <w:rsid w:val="00B252AE"/>
    <w:rsid w:val="00B25380"/>
    <w:rsid w:val="00B2571E"/>
    <w:rsid w:val="00B25DA4"/>
    <w:rsid w:val="00B262FF"/>
    <w:rsid w:val="00B26C82"/>
    <w:rsid w:val="00B26DA9"/>
    <w:rsid w:val="00B26E4A"/>
    <w:rsid w:val="00B26E72"/>
    <w:rsid w:val="00B271F8"/>
    <w:rsid w:val="00B2742B"/>
    <w:rsid w:val="00B27B37"/>
    <w:rsid w:val="00B27B9E"/>
    <w:rsid w:val="00B301F5"/>
    <w:rsid w:val="00B30446"/>
    <w:rsid w:val="00B30949"/>
    <w:rsid w:val="00B30C0E"/>
    <w:rsid w:val="00B310BD"/>
    <w:rsid w:val="00B31612"/>
    <w:rsid w:val="00B316BC"/>
    <w:rsid w:val="00B31716"/>
    <w:rsid w:val="00B3186F"/>
    <w:rsid w:val="00B318C2"/>
    <w:rsid w:val="00B31AEC"/>
    <w:rsid w:val="00B31D61"/>
    <w:rsid w:val="00B31E1C"/>
    <w:rsid w:val="00B31F14"/>
    <w:rsid w:val="00B31F2D"/>
    <w:rsid w:val="00B3209B"/>
    <w:rsid w:val="00B325D8"/>
    <w:rsid w:val="00B3264C"/>
    <w:rsid w:val="00B32748"/>
    <w:rsid w:val="00B328A5"/>
    <w:rsid w:val="00B32A7A"/>
    <w:rsid w:val="00B3328E"/>
    <w:rsid w:val="00B334D3"/>
    <w:rsid w:val="00B33733"/>
    <w:rsid w:val="00B33A61"/>
    <w:rsid w:val="00B33BA1"/>
    <w:rsid w:val="00B341A6"/>
    <w:rsid w:val="00B3448A"/>
    <w:rsid w:val="00B346DC"/>
    <w:rsid w:val="00B3496B"/>
    <w:rsid w:val="00B34C8E"/>
    <w:rsid w:val="00B35145"/>
    <w:rsid w:val="00B35329"/>
    <w:rsid w:val="00B3538E"/>
    <w:rsid w:val="00B35390"/>
    <w:rsid w:val="00B3550F"/>
    <w:rsid w:val="00B35832"/>
    <w:rsid w:val="00B35B05"/>
    <w:rsid w:val="00B362A3"/>
    <w:rsid w:val="00B36761"/>
    <w:rsid w:val="00B367D8"/>
    <w:rsid w:val="00B36B11"/>
    <w:rsid w:val="00B3709F"/>
    <w:rsid w:val="00B370D1"/>
    <w:rsid w:val="00B37119"/>
    <w:rsid w:val="00B37415"/>
    <w:rsid w:val="00B37641"/>
    <w:rsid w:val="00B3769C"/>
    <w:rsid w:val="00B37833"/>
    <w:rsid w:val="00B37879"/>
    <w:rsid w:val="00B37AE6"/>
    <w:rsid w:val="00B37B5D"/>
    <w:rsid w:val="00B37C05"/>
    <w:rsid w:val="00B37F1F"/>
    <w:rsid w:val="00B40000"/>
    <w:rsid w:val="00B402FE"/>
    <w:rsid w:val="00B404F7"/>
    <w:rsid w:val="00B4065D"/>
    <w:rsid w:val="00B410A7"/>
    <w:rsid w:val="00B4143E"/>
    <w:rsid w:val="00B41924"/>
    <w:rsid w:val="00B41C6D"/>
    <w:rsid w:val="00B41D99"/>
    <w:rsid w:val="00B422D6"/>
    <w:rsid w:val="00B424EC"/>
    <w:rsid w:val="00B42DDC"/>
    <w:rsid w:val="00B42DFC"/>
    <w:rsid w:val="00B42F37"/>
    <w:rsid w:val="00B42F3E"/>
    <w:rsid w:val="00B43450"/>
    <w:rsid w:val="00B438C0"/>
    <w:rsid w:val="00B438FE"/>
    <w:rsid w:val="00B43979"/>
    <w:rsid w:val="00B43EA8"/>
    <w:rsid w:val="00B4427C"/>
    <w:rsid w:val="00B44409"/>
    <w:rsid w:val="00B44A2E"/>
    <w:rsid w:val="00B44A98"/>
    <w:rsid w:val="00B44CE8"/>
    <w:rsid w:val="00B455A6"/>
    <w:rsid w:val="00B4595E"/>
    <w:rsid w:val="00B45AC4"/>
    <w:rsid w:val="00B46080"/>
    <w:rsid w:val="00B46269"/>
    <w:rsid w:val="00B462C4"/>
    <w:rsid w:val="00B46777"/>
    <w:rsid w:val="00B46ADC"/>
    <w:rsid w:val="00B46D1F"/>
    <w:rsid w:val="00B473EB"/>
    <w:rsid w:val="00B47433"/>
    <w:rsid w:val="00B4783C"/>
    <w:rsid w:val="00B479B7"/>
    <w:rsid w:val="00B47F36"/>
    <w:rsid w:val="00B47F50"/>
    <w:rsid w:val="00B5015B"/>
    <w:rsid w:val="00B501EB"/>
    <w:rsid w:val="00B51254"/>
    <w:rsid w:val="00B512B4"/>
    <w:rsid w:val="00B5151E"/>
    <w:rsid w:val="00B517A3"/>
    <w:rsid w:val="00B517A6"/>
    <w:rsid w:val="00B517B1"/>
    <w:rsid w:val="00B51E37"/>
    <w:rsid w:val="00B5276B"/>
    <w:rsid w:val="00B52817"/>
    <w:rsid w:val="00B5294A"/>
    <w:rsid w:val="00B52BDA"/>
    <w:rsid w:val="00B52CB8"/>
    <w:rsid w:val="00B52D37"/>
    <w:rsid w:val="00B52E60"/>
    <w:rsid w:val="00B52F22"/>
    <w:rsid w:val="00B52F91"/>
    <w:rsid w:val="00B53077"/>
    <w:rsid w:val="00B53178"/>
    <w:rsid w:val="00B531CA"/>
    <w:rsid w:val="00B54061"/>
    <w:rsid w:val="00B54135"/>
    <w:rsid w:val="00B54472"/>
    <w:rsid w:val="00B549E0"/>
    <w:rsid w:val="00B54ED8"/>
    <w:rsid w:val="00B5539F"/>
    <w:rsid w:val="00B5541A"/>
    <w:rsid w:val="00B55466"/>
    <w:rsid w:val="00B55481"/>
    <w:rsid w:val="00B55952"/>
    <w:rsid w:val="00B55A0F"/>
    <w:rsid w:val="00B55AAA"/>
    <w:rsid w:val="00B55C58"/>
    <w:rsid w:val="00B56075"/>
    <w:rsid w:val="00B561DF"/>
    <w:rsid w:val="00B563AE"/>
    <w:rsid w:val="00B564E2"/>
    <w:rsid w:val="00B565E3"/>
    <w:rsid w:val="00B5661C"/>
    <w:rsid w:val="00B56AB5"/>
    <w:rsid w:val="00B56B94"/>
    <w:rsid w:val="00B56E7B"/>
    <w:rsid w:val="00B57086"/>
    <w:rsid w:val="00B577BC"/>
    <w:rsid w:val="00B57961"/>
    <w:rsid w:val="00B57AB2"/>
    <w:rsid w:val="00B57C8E"/>
    <w:rsid w:val="00B57D99"/>
    <w:rsid w:val="00B57E40"/>
    <w:rsid w:val="00B6009A"/>
    <w:rsid w:val="00B6018C"/>
    <w:rsid w:val="00B60AD1"/>
    <w:rsid w:val="00B60DFD"/>
    <w:rsid w:val="00B60E6B"/>
    <w:rsid w:val="00B61465"/>
    <w:rsid w:val="00B6151E"/>
    <w:rsid w:val="00B61648"/>
    <w:rsid w:val="00B61656"/>
    <w:rsid w:val="00B616A1"/>
    <w:rsid w:val="00B61814"/>
    <w:rsid w:val="00B61877"/>
    <w:rsid w:val="00B61BC7"/>
    <w:rsid w:val="00B61D07"/>
    <w:rsid w:val="00B6225D"/>
    <w:rsid w:val="00B62334"/>
    <w:rsid w:val="00B625F6"/>
    <w:rsid w:val="00B62F19"/>
    <w:rsid w:val="00B630B0"/>
    <w:rsid w:val="00B630E2"/>
    <w:rsid w:val="00B63223"/>
    <w:rsid w:val="00B63312"/>
    <w:rsid w:val="00B6338D"/>
    <w:rsid w:val="00B63917"/>
    <w:rsid w:val="00B63B52"/>
    <w:rsid w:val="00B64185"/>
    <w:rsid w:val="00B64336"/>
    <w:rsid w:val="00B64D7B"/>
    <w:rsid w:val="00B64F68"/>
    <w:rsid w:val="00B6532B"/>
    <w:rsid w:val="00B6551C"/>
    <w:rsid w:val="00B6590F"/>
    <w:rsid w:val="00B65934"/>
    <w:rsid w:val="00B6598D"/>
    <w:rsid w:val="00B65BFB"/>
    <w:rsid w:val="00B65D22"/>
    <w:rsid w:val="00B65DB0"/>
    <w:rsid w:val="00B65F6B"/>
    <w:rsid w:val="00B66277"/>
    <w:rsid w:val="00B663A9"/>
    <w:rsid w:val="00B66477"/>
    <w:rsid w:val="00B66656"/>
    <w:rsid w:val="00B666B5"/>
    <w:rsid w:val="00B669EA"/>
    <w:rsid w:val="00B66C95"/>
    <w:rsid w:val="00B6707F"/>
    <w:rsid w:val="00B6709E"/>
    <w:rsid w:val="00B67121"/>
    <w:rsid w:val="00B67321"/>
    <w:rsid w:val="00B67575"/>
    <w:rsid w:val="00B67755"/>
    <w:rsid w:val="00B6780D"/>
    <w:rsid w:val="00B67EB3"/>
    <w:rsid w:val="00B70422"/>
    <w:rsid w:val="00B709A9"/>
    <w:rsid w:val="00B70F6F"/>
    <w:rsid w:val="00B71524"/>
    <w:rsid w:val="00B716E9"/>
    <w:rsid w:val="00B71A3B"/>
    <w:rsid w:val="00B72023"/>
    <w:rsid w:val="00B721FC"/>
    <w:rsid w:val="00B726CB"/>
    <w:rsid w:val="00B72B80"/>
    <w:rsid w:val="00B72B92"/>
    <w:rsid w:val="00B72CB0"/>
    <w:rsid w:val="00B7313A"/>
    <w:rsid w:val="00B731BE"/>
    <w:rsid w:val="00B733BA"/>
    <w:rsid w:val="00B7344E"/>
    <w:rsid w:val="00B73652"/>
    <w:rsid w:val="00B737C6"/>
    <w:rsid w:val="00B73A43"/>
    <w:rsid w:val="00B73D90"/>
    <w:rsid w:val="00B74183"/>
    <w:rsid w:val="00B745FB"/>
    <w:rsid w:val="00B7469B"/>
    <w:rsid w:val="00B74814"/>
    <w:rsid w:val="00B749BD"/>
    <w:rsid w:val="00B7521B"/>
    <w:rsid w:val="00B753C4"/>
    <w:rsid w:val="00B7573F"/>
    <w:rsid w:val="00B75A79"/>
    <w:rsid w:val="00B76455"/>
    <w:rsid w:val="00B7668A"/>
    <w:rsid w:val="00B76881"/>
    <w:rsid w:val="00B76A24"/>
    <w:rsid w:val="00B76A63"/>
    <w:rsid w:val="00B76AB0"/>
    <w:rsid w:val="00B77A8C"/>
    <w:rsid w:val="00B77AB0"/>
    <w:rsid w:val="00B77AC6"/>
    <w:rsid w:val="00B77BFE"/>
    <w:rsid w:val="00B77F1A"/>
    <w:rsid w:val="00B800AB"/>
    <w:rsid w:val="00B80289"/>
    <w:rsid w:val="00B8042D"/>
    <w:rsid w:val="00B8059C"/>
    <w:rsid w:val="00B80FC3"/>
    <w:rsid w:val="00B8102C"/>
    <w:rsid w:val="00B81868"/>
    <w:rsid w:val="00B818FA"/>
    <w:rsid w:val="00B81992"/>
    <w:rsid w:val="00B81BBE"/>
    <w:rsid w:val="00B8209A"/>
    <w:rsid w:val="00B82668"/>
    <w:rsid w:val="00B82A49"/>
    <w:rsid w:val="00B832A3"/>
    <w:rsid w:val="00B83784"/>
    <w:rsid w:val="00B8391E"/>
    <w:rsid w:val="00B83AE9"/>
    <w:rsid w:val="00B83B98"/>
    <w:rsid w:val="00B83BFF"/>
    <w:rsid w:val="00B83C2A"/>
    <w:rsid w:val="00B843E6"/>
    <w:rsid w:val="00B84604"/>
    <w:rsid w:val="00B84A47"/>
    <w:rsid w:val="00B85485"/>
    <w:rsid w:val="00B859A2"/>
    <w:rsid w:val="00B85C5F"/>
    <w:rsid w:val="00B85FC3"/>
    <w:rsid w:val="00B866FB"/>
    <w:rsid w:val="00B86976"/>
    <w:rsid w:val="00B86A52"/>
    <w:rsid w:val="00B86A74"/>
    <w:rsid w:val="00B86C4E"/>
    <w:rsid w:val="00B86C7D"/>
    <w:rsid w:val="00B86F97"/>
    <w:rsid w:val="00B87526"/>
    <w:rsid w:val="00B907E6"/>
    <w:rsid w:val="00B9083D"/>
    <w:rsid w:val="00B90A3C"/>
    <w:rsid w:val="00B90DB6"/>
    <w:rsid w:val="00B9122C"/>
    <w:rsid w:val="00B915B3"/>
    <w:rsid w:val="00B91637"/>
    <w:rsid w:val="00B91668"/>
    <w:rsid w:val="00B921EC"/>
    <w:rsid w:val="00B92A17"/>
    <w:rsid w:val="00B92B65"/>
    <w:rsid w:val="00B92C48"/>
    <w:rsid w:val="00B92DF3"/>
    <w:rsid w:val="00B92F53"/>
    <w:rsid w:val="00B93239"/>
    <w:rsid w:val="00B9354B"/>
    <w:rsid w:val="00B93B70"/>
    <w:rsid w:val="00B93D63"/>
    <w:rsid w:val="00B93DF3"/>
    <w:rsid w:val="00B93EF0"/>
    <w:rsid w:val="00B940D0"/>
    <w:rsid w:val="00B944F6"/>
    <w:rsid w:val="00B9471E"/>
    <w:rsid w:val="00B947DD"/>
    <w:rsid w:val="00B94AAF"/>
    <w:rsid w:val="00B94AEF"/>
    <w:rsid w:val="00B94EA4"/>
    <w:rsid w:val="00B94EA7"/>
    <w:rsid w:val="00B9521C"/>
    <w:rsid w:val="00B9557E"/>
    <w:rsid w:val="00B95926"/>
    <w:rsid w:val="00B959DE"/>
    <w:rsid w:val="00B95A40"/>
    <w:rsid w:val="00B95C0D"/>
    <w:rsid w:val="00B95E2B"/>
    <w:rsid w:val="00B961D6"/>
    <w:rsid w:val="00B96239"/>
    <w:rsid w:val="00B965B1"/>
    <w:rsid w:val="00B96951"/>
    <w:rsid w:val="00B96A05"/>
    <w:rsid w:val="00B96C79"/>
    <w:rsid w:val="00B96E02"/>
    <w:rsid w:val="00B96FF9"/>
    <w:rsid w:val="00B972E3"/>
    <w:rsid w:val="00B9753E"/>
    <w:rsid w:val="00B9758B"/>
    <w:rsid w:val="00B975D4"/>
    <w:rsid w:val="00B9770C"/>
    <w:rsid w:val="00B9788A"/>
    <w:rsid w:val="00B97A4B"/>
    <w:rsid w:val="00B97BE2"/>
    <w:rsid w:val="00B97BE4"/>
    <w:rsid w:val="00BA065D"/>
    <w:rsid w:val="00BA093F"/>
    <w:rsid w:val="00BA09C1"/>
    <w:rsid w:val="00BA0C76"/>
    <w:rsid w:val="00BA16B2"/>
    <w:rsid w:val="00BA1EA0"/>
    <w:rsid w:val="00BA1EBA"/>
    <w:rsid w:val="00BA21AC"/>
    <w:rsid w:val="00BA21B0"/>
    <w:rsid w:val="00BA2322"/>
    <w:rsid w:val="00BA2335"/>
    <w:rsid w:val="00BA2380"/>
    <w:rsid w:val="00BA2CCD"/>
    <w:rsid w:val="00BA2D4E"/>
    <w:rsid w:val="00BA2DA2"/>
    <w:rsid w:val="00BA3297"/>
    <w:rsid w:val="00BA4023"/>
    <w:rsid w:val="00BA421C"/>
    <w:rsid w:val="00BA4364"/>
    <w:rsid w:val="00BA4769"/>
    <w:rsid w:val="00BA4B93"/>
    <w:rsid w:val="00BA4EA0"/>
    <w:rsid w:val="00BA4FD6"/>
    <w:rsid w:val="00BA528B"/>
    <w:rsid w:val="00BA5CDA"/>
    <w:rsid w:val="00BA62A9"/>
    <w:rsid w:val="00BA6437"/>
    <w:rsid w:val="00BA6547"/>
    <w:rsid w:val="00BA6BD2"/>
    <w:rsid w:val="00BA6BEA"/>
    <w:rsid w:val="00BA6CE5"/>
    <w:rsid w:val="00BA7009"/>
    <w:rsid w:val="00BA7114"/>
    <w:rsid w:val="00BA7296"/>
    <w:rsid w:val="00BA7635"/>
    <w:rsid w:val="00BA7A70"/>
    <w:rsid w:val="00BA7B39"/>
    <w:rsid w:val="00BA7D79"/>
    <w:rsid w:val="00BA7EBF"/>
    <w:rsid w:val="00BB076C"/>
    <w:rsid w:val="00BB0CCE"/>
    <w:rsid w:val="00BB12C0"/>
    <w:rsid w:val="00BB1658"/>
    <w:rsid w:val="00BB1675"/>
    <w:rsid w:val="00BB1709"/>
    <w:rsid w:val="00BB1794"/>
    <w:rsid w:val="00BB1A4D"/>
    <w:rsid w:val="00BB219F"/>
    <w:rsid w:val="00BB2A7C"/>
    <w:rsid w:val="00BB313D"/>
    <w:rsid w:val="00BB3163"/>
    <w:rsid w:val="00BB3188"/>
    <w:rsid w:val="00BB34F0"/>
    <w:rsid w:val="00BB35B8"/>
    <w:rsid w:val="00BB3E71"/>
    <w:rsid w:val="00BB3F8E"/>
    <w:rsid w:val="00BB4067"/>
    <w:rsid w:val="00BB43B8"/>
    <w:rsid w:val="00BB4747"/>
    <w:rsid w:val="00BB4A74"/>
    <w:rsid w:val="00BB5427"/>
    <w:rsid w:val="00BB5686"/>
    <w:rsid w:val="00BB576D"/>
    <w:rsid w:val="00BB5997"/>
    <w:rsid w:val="00BB59BF"/>
    <w:rsid w:val="00BB5C2F"/>
    <w:rsid w:val="00BB60D3"/>
    <w:rsid w:val="00BB63F9"/>
    <w:rsid w:val="00BB69C0"/>
    <w:rsid w:val="00BB7362"/>
    <w:rsid w:val="00BB75A1"/>
    <w:rsid w:val="00BB772C"/>
    <w:rsid w:val="00BB7B89"/>
    <w:rsid w:val="00BB7E82"/>
    <w:rsid w:val="00BC0244"/>
    <w:rsid w:val="00BC04A7"/>
    <w:rsid w:val="00BC0906"/>
    <w:rsid w:val="00BC0AF6"/>
    <w:rsid w:val="00BC0F5C"/>
    <w:rsid w:val="00BC0FF0"/>
    <w:rsid w:val="00BC10C3"/>
    <w:rsid w:val="00BC1255"/>
    <w:rsid w:val="00BC12DA"/>
    <w:rsid w:val="00BC12F9"/>
    <w:rsid w:val="00BC14B0"/>
    <w:rsid w:val="00BC1BF9"/>
    <w:rsid w:val="00BC20E2"/>
    <w:rsid w:val="00BC24EC"/>
    <w:rsid w:val="00BC25C5"/>
    <w:rsid w:val="00BC28D0"/>
    <w:rsid w:val="00BC2F0A"/>
    <w:rsid w:val="00BC3348"/>
    <w:rsid w:val="00BC361A"/>
    <w:rsid w:val="00BC372F"/>
    <w:rsid w:val="00BC3CB8"/>
    <w:rsid w:val="00BC3CBA"/>
    <w:rsid w:val="00BC3DF0"/>
    <w:rsid w:val="00BC3FA9"/>
    <w:rsid w:val="00BC4198"/>
    <w:rsid w:val="00BC43A6"/>
    <w:rsid w:val="00BC44F6"/>
    <w:rsid w:val="00BC4651"/>
    <w:rsid w:val="00BC4C40"/>
    <w:rsid w:val="00BC5118"/>
    <w:rsid w:val="00BC5482"/>
    <w:rsid w:val="00BC5C49"/>
    <w:rsid w:val="00BC65EF"/>
    <w:rsid w:val="00BC6674"/>
    <w:rsid w:val="00BC673C"/>
    <w:rsid w:val="00BC678F"/>
    <w:rsid w:val="00BC698F"/>
    <w:rsid w:val="00BC6CED"/>
    <w:rsid w:val="00BC6F24"/>
    <w:rsid w:val="00BC7607"/>
    <w:rsid w:val="00BC78E2"/>
    <w:rsid w:val="00BC7909"/>
    <w:rsid w:val="00BC7AA6"/>
    <w:rsid w:val="00BC7CB0"/>
    <w:rsid w:val="00BD074C"/>
    <w:rsid w:val="00BD0BD1"/>
    <w:rsid w:val="00BD0E7D"/>
    <w:rsid w:val="00BD1123"/>
    <w:rsid w:val="00BD11A0"/>
    <w:rsid w:val="00BD122B"/>
    <w:rsid w:val="00BD1771"/>
    <w:rsid w:val="00BD17E9"/>
    <w:rsid w:val="00BD1978"/>
    <w:rsid w:val="00BD1979"/>
    <w:rsid w:val="00BD23AC"/>
    <w:rsid w:val="00BD2942"/>
    <w:rsid w:val="00BD2C2E"/>
    <w:rsid w:val="00BD2CA5"/>
    <w:rsid w:val="00BD2D24"/>
    <w:rsid w:val="00BD3384"/>
    <w:rsid w:val="00BD33EB"/>
    <w:rsid w:val="00BD3666"/>
    <w:rsid w:val="00BD368E"/>
    <w:rsid w:val="00BD36B6"/>
    <w:rsid w:val="00BD37C1"/>
    <w:rsid w:val="00BD39EB"/>
    <w:rsid w:val="00BD3C2E"/>
    <w:rsid w:val="00BD3C65"/>
    <w:rsid w:val="00BD3D98"/>
    <w:rsid w:val="00BD59FE"/>
    <w:rsid w:val="00BD5F4A"/>
    <w:rsid w:val="00BD608F"/>
    <w:rsid w:val="00BD63F1"/>
    <w:rsid w:val="00BD640A"/>
    <w:rsid w:val="00BD699C"/>
    <w:rsid w:val="00BD6D43"/>
    <w:rsid w:val="00BD7456"/>
    <w:rsid w:val="00BD75DF"/>
    <w:rsid w:val="00BD7A63"/>
    <w:rsid w:val="00BD7C23"/>
    <w:rsid w:val="00BD7F5A"/>
    <w:rsid w:val="00BE0103"/>
    <w:rsid w:val="00BE01F1"/>
    <w:rsid w:val="00BE03BE"/>
    <w:rsid w:val="00BE0801"/>
    <w:rsid w:val="00BE0C69"/>
    <w:rsid w:val="00BE0CDD"/>
    <w:rsid w:val="00BE0DE4"/>
    <w:rsid w:val="00BE14D8"/>
    <w:rsid w:val="00BE19AC"/>
    <w:rsid w:val="00BE1A62"/>
    <w:rsid w:val="00BE1ADD"/>
    <w:rsid w:val="00BE210B"/>
    <w:rsid w:val="00BE22F4"/>
    <w:rsid w:val="00BE2446"/>
    <w:rsid w:val="00BE26FB"/>
    <w:rsid w:val="00BE27A4"/>
    <w:rsid w:val="00BE27C9"/>
    <w:rsid w:val="00BE2BE1"/>
    <w:rsid w:val="00BE2CFB"/>
    <w:rsid w:val="00BE31EE"/>
    <w:rsid w:val="00BE32CC"/>
    <w:rsid w:val="00BE32D6"/>
    <w:rsid w:val="00BE340D"/>
    <w:rsid w:val="00BE3815"/>
    <w:rsid w:val="00BE38E5"/>
    <w:rsid w:val="00BE3AE9"/>
    <w:rsid w:val="00BE3DF9"/>
    <w:rsid w:val="00BE3F81"/>
    <w:rsid w:val="00BE3FD4"/>
    <w:rsid w:val="00BE4190"/>
    <w:rsid w:val="00BE443D"/>
    <w:rsid w:val="00BE445C"/>
    <w:rsid w:val="00BE54F5"/>
    <w:rsid w:val="00BE5C22"/>
    <w:rsid w:val="00BE5DA3"/>
    <w:rsid w:val="00BE5F81"/>
    <w:rsid w:val="00BE6144"/>
    <w:rsid w:val="00BE6220"/>
    <w:rsid w:val="00BE638B"/>
    <w:rsid w:val="00BE680C"/>
    <w:rsid w:val="00BE6E48"/>
    <w:rsid w:val="00BE6FB7"/>
    <w:rsid w:val="00BE75DA"/>
    <w:rsid w:val="00BE79BD"/>
    <w:rsid w:val="00BE7DFC"/>
    <w:rsid w:val="00BF022E"/>
    <w:rsid w:val="00BF0A03"/>
    <w:rsid w:val="00BF0F52"/>
    <w:rsid w:val="00BF1084"/>
    <w:rsid w:val="00BF18F9"/>
    <w:rsid w:val="00BF1AFE"/>
    <w:rsid w:val="00BF1B0D"/>
    <w:rsid w:val="00BF1B30"/>
    <w:rsid w:val="00BF1CB9"/>
    <w:rsid w:val="00BF1DCB"/>
    <w:rsid w:val="00BF216A"/>
    <w:rsid w:val="00BF22A4"/>
    <w:rsid w:val="00BF22B7"/>
    <w:rsid w:val="00BF2470"/>
    <w:rsid w:val="00BF2AE5"/>
    <w:rsid w:val="00BF2BFE"/>
    <w:rsid w:val="00BF31C1"/>
    <w:rsid w:val="00BF3452"/>
    <w:rsid w:val="00BF3BC0"/>
    <w:rsid w:val="00BF3C3B"/>
    <w:rsid w:val="00BF3D07"/>
    <w:rsid w:val="00BF3EF0"/>
    <w:rsid w:val="00BF4352"/>
    <w:rsid w:val="00BF4383"/>
    <w:rsid w:val="00BF4451"/>
    <w:rsid w:val="00BF49C3"/>
    <w:rsid w:val="00BF4CB8"/>
    <w:rsid w:val="00BF5AE9"/>
    <w:rsid w:val="00BF5CBC"/>
    <w:rsid w:val="00BF6190"/>
    <w:rsid w:val="00BF660E"/>
    <w:rsid w:val="00BF678F"/>
    <w:rsid w:val="00BF67C5"/>
    <w:rsid w:val="00BF6839"/>
    <w:rsid w:val="00BF73E9"/>
    <w:rsid w:val="00BF77DC"/>
    <w:rsid w:val="00BF791E"/>
    <w:rsid w:val="00BF7B9C"/>
    <w:rsid w:val="00BF7C8F"/>
    <w:rsid w:val="00BF7CFA"/>
    <w:rsid w:val="00BF7E55"/>
    <w:rsid w:val="00C00055"/>
    <w:rsid w:val="00C0015F"/>
    <w:rsid w:val="00C002ED"/>
    <w:rsid w:val="00C0055E"/>
    <w:rsid w:val="00C00882"/>
    <w:rsid w:val="00C00A16"/>
    <w:rsid w:val="00C00B90"/>
    <w:rsid w:val="00C00F07"/>
    <w:rsid w:val="00C010AE"/>
    <w:rsid w:val="00C012DA"/>
    <w:rsid w:val="00C0143F"/>
    <w:rsid w:val="00C017A6"/>
    <w:rsid w:val="00C01958"/>
    <w:rsid w:val="00C019A9"/>
    <w:rsid w:val="00C01F90"/>
    <w:rsid w:val="00C0231F"/>
    <w:rsid w:val="00C0232E"/>
    <w:rsid w:val="00C02909"/>
    <w:rsid w:val="00C029EB"/>
    <w:rsid w:val="00C02A8F"/>
    <w:rsid w:val="00C02B83"/>
    <w:rsid w:val="00C02BE3"/>
    <w:rsid w:val="00C02C44"/>
    <w:rsid w:val="00C02CDD"/>
    <w:rsid w:val="00C02E0C"/>
    <w:rsid w:val="00C03186"/>
    <w:rsid w:val="00C031E3"/>
    <w:rsid w:val="00C032AC"/>
    <w:rsid w:val="00C0362F"/>
    <w:rsid w:val="00C036BE"/>
    <w:rsid w:val="00C03894"/>
    <w:rsid w:val="00C03A5C"/>
    <w:rsid w:val="00C03B7A"/>
    <w:rsid w:val="00C03C0A"/>
    <w:rsid w:val="00C03C4B"/>
    <w:rsid w:val="00C03D85"/>
    <w:rsid w:val="00C04345"/>
    <w:rsid w:val="00C044C4"/>
    <w:rsid w:val="00C04952"/>
    <w:rsid w:val="00C04A55"/>
    <w:rsid w:val="00C04CBB"/>
    <w:rsid w:val="00C0514A"/>
    <w:rsid w:val="00C05404"/>
    <w:rsid w:val="00C0540C"/>
    <w:rsid w:val="00C05472"/>
    <w:rsid w:val="00C055BF"/>
    <w:rsid w:val="00C05982"/>
    <w:rsid w:val="00C05D86"/>
    <w:rsid w:val="00C05FB0"/>
    <w:rsid w:val="00C06266"/>
    <w:rsid w:val="00C06346"/>
    <w:rsid w:val="00C068E7"/>
    <w:rsid w:val="00C06F16"/>
    <w:rsid w:val="00C0724D"/>
    <w:rsid w:val="00C07493"/>
    <w:rsid w:val="00C07619"/>
    <w:rsid w:val="00C078EB"/>
    <w:rsid w:val="00C07B42"/>
    <w:rsid w:val="00C07B93"/>
    <w:rsid w:val="00C07D5E"/>
    <w:rsid w:val="00C07E36"/>
    <w:rsid w:val="00C07ECA"/>
    <w:rsid w:val="00C10004"/>
    <w:rsid w:val="00C10391"/>
    <w:rsid w:val="00C10496"/>
    <w:rsid w:val="00C10499"/>
    <w:rsid w:val="00C10637"/>
    <w:rsid w:val="00C10649"/>
    <w:rsid w:val="00C10860"/>
    <w:rsid w:val="00C10DE7"/>
    <w:rsid w:val="00C110E5"/>
    <w:rsid w:val="00C11181"/>
    <w:rsid w:val="00C11591"/>
    <w:rsid w:val="00C1170E"/>
    <w:rsid w:val="00C1182C"/>
    <w:rsid w:val="00C118B6"/>
    <w:rsid w:val="00C11925"/>
    <w:rsid w:val="00C11DA0"/>
    <w:rsid w:val="00C11EB5"/>
    <w:rsid w:val="00C11F5A"/>
    <w:rsid w:val="00C1217B"/>
    <w:rsid w:val="00C12216"/>
    <w:rsid w:val="00C12740"/>
    <w:rsid w:val="00C127DA"/>
    <w:rsid w:val="00C128D2"/>
    <w:rsid w:val="00C12AC0"/>
    <w:rsid w:val="00C12BC5"/>
    <w:rsid w:val="00C12D65"/>
    <w:rsid w:val="00C12E13"/>
    <w:rsid w:val="00C12FE2"/>
    <w:rsid w:val="00C131E0"/>
    <w:rsid w:val="00C134D2"/>
    <w:rsid w:val="00C13758"/>
    <w:rsid w:val="00C137B6"/>
    <w:rsid w:val="00C13902"/>
    <w:rsid w:val="00C139D0"/>
    <w:rsid w:val="00C13D06"/>
    <w:rsid w:val="00C14280"/>
    <w:rsid w:val="00C14FB8"/>
    <w:rsid w:val="00C15003"/>
    <w:rsid w:val="00C15052"/>
    <w:rsid w:val="00C151A7"/>
    <w:rsid w:val="00C1529F"/>
    <w:rsid w:val="00C157A3"/>
    <w:rsid w:val="00C15C1F"/>
    <w:rsid w:val="00C15EB3"/>
    <w:rsid w:val="00C164E6"/>
    <w:rsid w:val="00C166DE"/>
    <w:rsid w:val="00C16808"/>
    <w:rsid w:val="00C169BB"/>
    <w:rsid w:val="00C17168"/>
    <w:rsid w:val="00C171CA"/>
    <w:rsid w:val="00C1743F"/>
    <w:rsid w:val="00C17525"/>
    <w:rsid w:val="00C1759B"/>
    <w:rsid w:val="00C17721"/>
    <w:rsid w:val="00C17989"/>
    <w:rsid w:val="00C179F8"/>
    <w:rsid w:val="00C17BB8"/>
    <w:rsid w:val="00C17BDD"/>
    <w:rsid w:val="00C17C83"/>
    <w:rsid w:val="00C2020A"/>
    <w:rsid w:val="00C20816"/>
    <w:rsid w:val="00C20A18"/>
    <w:rsid w:val="00C20FC8"/>
    <w:rsid w:val="00C211E8"/>
    <w:rsid w:val="00C213BC"/>
    <w:rsid w:val="00C21708"/>
    <w:rsid w:val="00C21749"/>
    <w:rsid w:val="00C219EF"/>
    <w:rsid w:val="00C21EA6"/>
    <w:rsid w:val="00C21EE3"/>
    <w:rsid w:val="00C221B0"/>
    <w:rsid w:val="00C22522"/>
    <w:rsid w:val="00C226E5"/>
    <w:rsid w:val="00C22917"/>
    <w:rsid w:val="00C22A6E"/>
    <w:rsid w:val="00C22E6E"/>
    <w:rsid w:val="00C230E2"/>
    <w:rsid w:val="00C230F5"/>
    <w:rsid w:val="00C23125"/>
    <w:rsid w:val="00C2344B"/>
    <w:rsid w:val="00C234AE"/>
    <w:rsid w:val="00C236A8"/>
    <w:rsid w:val="00C23AF1"/>
    <w:rsid w:val="00C23F76"/>
    <w:rsid w:val="00C2425C"/>
    <w:rsid w:val="00C249FF"/>
    <w:rsid w:val="00C24B74"/>
    <w:rsid w:val="00C24B99"/>
    <w:rsid w:val="00C24C7E"/>
    <w:rsid w:val="00C24EF4"/>
    <w:rsid w:val="00C250CF"/>
    <w:rsid w:val="00C25123"/>
    <w:rsid w:val="00C252A0"/>
    <w:rsid w:val="00C254D4"/>
    <w:rsid w:val="00C25AFE"/>
    <w:rsid w:val="00C25B43"/>
    <w:rsid w:val="00C25CB2"/>
    <w:rsid w:val="00C25FFD"/>
    <w:rsid w:val="00C26135"/>
    <w:rsid w:val="00C265DF"/>
    <w:rsid w:val="00C26908"/>
    <w:rsid w:val="00C26AD0"/>
    <w:rsid w:val="00C26B8F"/>
    <w:rsid w:val="00C26DA9"/>
    <w:rsid w:val="00C271A9"/>
    <w:rsid w:val="00C271D9"/>
    <w:rsid w:val="00C27768"/>
    <w:rsid w:val="00C27BA2"/>
    <w:rsid w:val="00C27CC3"/>
    <w:rsid w:val="00C27D83"/>
    <w:rsid w:val="00C27E70"/>
    <w:rsid w:val="00C27F7E"/>
    <w:rsid w:val="00C3005A"/>
    <w:rsid w:val="00C306CA"/>
    <w:rsid w:val="00C306DA"/>
    <w:rsid w:val="00C30C5E"/>
    <w:rsid w:val="00C30CF0"/>
    <w:rsid w:val="00C30DD3"/>
    <w:rsid w:val="00C30EDB"/>
    <w:rsid w:val="00C30FEA"/>
    <w:rsid w:val="00C31065"/>
    <w:rsid w:val="00C31687"/>
    <w:rsid w:val="00C31744"/>
    <w:rsid w:val="00C31A28"/>
    <w:rsid w:val="00C31D10"/>
    <w:rsid w:val="00C32344"/>
    <w:rsid w:val="00C32470"/>
    <w:rsid w:val="00C325A0"/>
    <w:rsid w:val="00C3275D"/>
    <w:rsid w:val="00C32821"/>
    <w:rsid w:val="00C32B7D"/>
    <w:rsid w:val="00C330E9"/>
    <w:rsid w:val="00C3333F"/>
    <w:rsid w:val="00C3352F"/>
    <w:rsid w:val="00C33A9A"/>
    <w:rsid w:val="00C33C10"/>
    <w:rsid w:val="00C33E98"/>
    <w:rsid w:val="00C33F17"/>
    <w:rsid w:val="00C340CA"/>
    <w:rsid w:val="00C3449C"/>
    <w:rsid w:val="00C345DF"/>
    <w:rsid w:val="00C34967"/>
    <w:rsid w:val="00C34FA9"/>
    <w:rsid w:val="00C3564C"/>
    <w:rsid w:val="00C35A47"/>
    <w:rsid w:val="00C35AB7"/>
    <w:rsid w:val="00C35C49"/>
    <w:rsid w:val="00C35E1B"/>
    <w:rsid w:val="00C3619B"/>
    <w:rsid w:val="00C36207"/>
    <w:rsid w:val="00C3627D"/>
    <w:rsid w:val="00C3641D"/>
    <w:rsid w:val="00C36875"/>
    <w:rsid w:val="00C36916"/>
    <w:rsid w:val="00C36F43"/>
    <w:rsid w:val="00C36FD8"/>
    <w:rsid w:val="00C37011"/>
    <w:rsid w:val="00C374BE"/>
    <w:rsid w:val="00C375D6"/>
    <w:rsid w:val="00C376E1"/>
    <w:rsid w:val="00C37932"/>
    <w:rsid w:val="00C37E66"/>
    <w:rsid w:val="00C40495"/>
    <w:rsid w:val="00C4053A"/>
    <w:rsid w:val="00C409A6"/>
    <w:rsid w:val="00C40A11"/>
    <w:rsid w:val="00C40A20"/>
    <w:rsid w:val="00C40B5B"/>
    <w:rsid w:val="00C40EC0"/>
    <w:rsid w:val="00C41279"/>
    <w:rsid w:val="00C4131B"/>
    <w:rsid w:val="00C41391"/>
    <w:rsid w:val="00C4199B"/>
    <w:rsid w:val="00C41D5D"/>
    <w:rsid w:val="00C4214C"/>
    <w:rsid w:val="00C421BE"/>
    <w:rsid w:val="00C422CC"/>
    <w:rsid w:val="00C42B03"/>
    <w:rsid w:val="00C4399C"/>
    <w:rsid w:val="00C440ED"/>
    <w:rsid w:val="00C445BB"/>
    <w:rsid w:val="00C44AE6"/>
    <w:rsid w:val="00C45509"/>
    <w:rsid w:val="00C455D9"/>
    <w:rsid w:val="00C45614"/>
    <w:rsid w:val="00C456D6"/>
    <w:rsid w:val="00C458C3"/>
    <w:rsid w:val="00C45B7E"/>
    <w:rsid w:val="00C45C1F"/>
    <w:rsid w:val="00C45CAE"/>
    <w:rsid w:val="00C45FDF"/>
    <w:rsid w:val="00C4609C"/>
    <w:rsid w:val="00C46461"/>
    <w:rsid w:val="00C464D0"/>
    <w:rsid w:val="00C4651C"/>
    <w:rsid w:val="00C46712"/>
    <w:rsid w:val="00C47501"/>
    <w:rsid w:val="00C477A6"/>
    <w:rsid w:val="00C47859"/>
    <w:rsid w:val="00C47962"/>
    <w:rsid w:val="00C47B51"/>
    <w:rsid w:val="00C47B6E"/>
    <w:rsid w:val="00C47FC1"/>
    <w:rsid w:val="00C50142"/>
    <w:rsid w:val="00C50413"/>
    <w:rsid w:val="00C50AD0"/>
    <w:rsid w:val="00C51102"/>
    <w:rsid w:val="00C51200"/>
    <w:rsid w:val="00C5165A"/>
    <w:rsid w:val="00C519CF"/>
    <w:rsid w:val="00C51ABC"/>
    <w:rsid w:val="00C525C5"/>
    <w:rsid w:val="00C526AC"/>
    <w:rsid w:val="00C526E3"/>
    <w:rsid w:val="00C52E42"/>
    <w:rsid w:val="00C53358"/>
    <w:rsid w:val="00C53450"/>
    <w:rsid w:val="00C536D0"/>
    <w:rsid w:val="00C54066"/>
    <w:rsid w:val="00C540C0"/>
    <w:rsid w:val="00C54340"/>
    <w:rsid w:val="00C544FE"/>
    <w:rsid w:val="00C54C05"/>
    <w:rsid w:val="00C54D5B"/>
    <w:rsid w:val="00C54E15"/>
    <w:rsid w:val="00C5548D"/>
    <w:rsid w:val="00C5566F"/>
    <w:rsid w:val="00C556AE"/>
    <w:rsid w:val="00C55741"/>
    <w:rsid w:val="00C55B26"/>
    <w:rsid w:val="00C55E70"/>
    <w:rsid w:val="00C55E79"/>
    <w:rsid w:val="00C5642D"/>
    <w:rsid w:val="00C566C2"/>
    <w:rsid w:val="00C569B6"/>
    <w:rsid w:val="00C56CB7"/>
    <w:rsid w:val="00C56DED"/>
    <w:rsid w:val="00C56F52"/>
    <w:rsid w:val="00C5717D"/>
    <w:rsid w:val="00C572D3"/>
    <w:rsid w:val="00C574C6"/>
    <w:rsid w:val="00C574E2"/>
    <w:rsid w:val="00C57995"/>
    <w:rsid w:val="00C57BDC"/>
    <w:rsid w:val="00C57E52"/>
    <w:rsid w:val="00C60014"/>
    <w:rsid w:val="00C6018A"/>
    <w:rsid w:val="00C60793"/>
    <w:rsid w:val="00C60868"/>
    <w:rsid w:val="00C60B56"/>
    <w:rsid w:val="00C60CB7"/>
    <w:rsid w:val="00C6134A"/>
    <w:rsid w:val="00C6138C"/>
    <w:rsid w:val="00C61412"/>
    <w:rsid w:val="00C6192D"/>
    <w:rsid w:val="00C61A43"/>
    <w:rsid w:val="00C61D25"/>
    <w:rsid w:val="00C62330"/>
    <w:rsid w:val="00C629E7"/>
    <w:rsid w:val="00C62B45"/>
    <w:rsid w:val="00C62B75"/>
    <w:rsid w:val="00C62E6B"/>
    <w:rsid w:val="00C63164"/>
    <w:rsid w:val="00C6322A"/>
    <w:rsid w:val="00C63B30"/>
    <w:rsid w:val="00C63BB4"/>
    <w:rsid w:val="00C63C0D"/>
    <w:rsid w:val="00C64109"/>
    <w:rsid w:val="00C658C0"/>
    <w:rsid w:val="00C65BB8"/>
    <w:rsid w:val="00C65C7B"/>
    <w:rsid w:val="00C65CDE"/>
    <w:rsid w:val="00C66950"/>
    <w:rsid w:val="00C66B7D"/>
    <w:rsid w:val="00C66BD5"/>
    <w:rsid w:val="00C66CD0"/>
    <w:rsid w:val="00C67D65"/>
    <w:rsid w:val="00C70597"/>
    <w:rsid w:val="00C71169"/>
    <w:rsid w:val="00C712DD"/>
    <w:rsid w:val="00C712F9"/>
    <w:rsid w:val="00C71374"/>
    <w:rsid w:val="00C7153B"/>
    <w:rsid w:val="00C71BF0"/>
    <w:rsid w:val="00C71F8E"/>
    <w:rsid w:val="00C720D3"/>
    <w:rsid w:val="00C72222"/>
    <w:rsid w:val="00C72344"/>
    <w:rsid w:val="00C72DDC"/>
    <w:rsid w:val="00C72FCF"/>
    <w:rsid w:val="00C732E3"/>
    <w:rsid w:val="00C736A2"/>
    <w:rsid w:val="00C739BA"/>
    <w:rsid w:val="00C73A22"/>
    <w:rsid w:val="00C73B9E"/>
    <w:rsid w:val="00C73C47"/>
    <w:rsid w:val="00C74324"/>
    <w:rsid w:val="00C7460B"/>
    <w:rsid w:val="00C74644"/>
    <w:rsid w:val="00C749FF"/>
    <w:rsid w:val="00C74BD9"/>
    <w:rsid w:val="00C753CC"/>
    <w:rsid w:val="00C75485"/>
    <w:rsid w:val="00C75851"/>
    <w:rsid w:val="00C75FAD"/>
    <w:rsid w:val="00C76184"/>
    <w:rsid w:val="00C762DB"/>
    <w:rsid w:val="00C76569"/>
    <w:rsid w:val="00C76A7B"/>
    <w:rsid w:val="00C76B07"/>
    <w:rsid w:val="00C76C88"/>
    <w:rsid w:val="00C76DAC"/>
    <w:rsid w:val="00C77270"/>
    <w:rsid w:val="00C77418"/>
    <w:rsid w:val="00C774A1"/>
    <w:rsid w:val="00C77942"/>
    <w:rsid w:val="00C77A0E"/>
    <w:rsid w:val="00C77CCE"/>
    <w:rsid w:val="00C80BD9"/>
    <w:rsid w:val="00C80E22"/>
    <w:rsid w:val="00C80F4D"/>
    <w:rsid w:val="00C81BDB"/>
    <w:rsid w:val="00C821D1"/>
    <w:rsid w:val="00C821D8"/>
    <w:rsid w:val="00C82697"/>
    <w:rsid w:val="00C828F4"/>
    <w:rsid w:val="00C82921"/>
    <w:rsid w:val="00C82DC4"/>
    <w:rsid w:val="00C82FE4"/>
    <w:rsid w:val="00C8327A"/>
    <w:rsid w:val="00C83360"/>
    <w:rsid w:val="00C837F4"/>
    <w:rsid w:val="00C83D98"/>
    <w:rsid w:val="00C83DBE"/>
    <w:rsid w:val="00C84599"/>
    <w:rsid w:val="00C846C9"/>
    <w:rsid w:val="00C84E1C"/>
    <w:rsid w:val="00C84F20"/>
    <w:rsid w:val="00C8510B"/>
    <w:rsid w:val="00C85287"/>
    <w:rsid w:val="00C85395"/>
    <w:rsid w:val="00C854BA"/>
    <w:rsid w:val="00C855A3"/>
    <w:rsid w:val="00C85602"/>
    <w:rsid w:val="00C85797"/>
    <w:rsid w:val="00C857B0"/>
    <w:rsid w:val="00C85DEA"/>
    <w:rsid w:val="00C85E3C"/>
    <w:rsid w:val="00C86117"/>
    <w:rsid w:val="00C86867"/>
    <w:rsid w:val="00C8730D"/>
    <w:rsid w:val="00C87342"/>
    <w:rsid w:val="00C87452"/>
    <w:rsid w:val="00C874F4"/>
    <w:rsid w:val="00C8764D"/>
    <w:rsid w:val="00C87980"/>
    <w:rsid w:val="00C87FF5"/>
    <w:rsid w:val="00C903A3"/>
    <w:rsid w:val="00C90515"/>
    <w:rsid w:val="00C90585"/>
    <w:rsid w:val="00C911C8"/>
    <w:rsid w:val="00C912BC"/>
    <w:rsid w:val="00C9143C"/>
    <w:rsid w:val="00C917F8"/>
    <w:rsid w:val="00C9187B"/>
    <w:rsid w:val="00C91986"/>
    <w:rsid w:val="00C91AD8"/>
    <w:rsid w:val="00C91BBD"/>
    <w:rsid w:val="00C91BCB"/>
    <w:rsid w:val="00C91C20"/>
    <w:rsid w:val="00C91E18"/>
    <w:rsid w:val="00C91F1A"/>
    <w:rsid w:val="00C921C6"/>
    <w:rsid w:val="00C921DD"/>
    <w:rsid w:val="00C9241E"/>
    <w:rsid w:val="00C92B15"/>
    <w:rsid w:val="00C92D85"/>
    <w:rsid w:val="00C93474"/>
    <w:rsid w:val="00C93542"/>
    <w:rsid w:val="00C9398C"/>
    <w:rsid w:val="00C94112"/>
    <w:rsid w:val="00C941C8"/>
    <w:rsid w:val="00C942A1"/>
    <w:rsid w:val="00C945D3"/>
    <w:rsid w:val="00C949EB"/>
    <w:rsid w:val="00C94B10"/>
    <w:rsid w:val="00C94E82"/>
    <w:rsid w:val="00C95A5A"/>
    <w:rsid w:val="00C95E6B"/>
    <w:rsid w:val="00C95F58"/>
    <w:rsid w:val="00C95FD7"/>
    <w:rsid w:val="00C96D6B"/>
    <w:rsid w:val="00C970B0"/>
    <w:rsid w:val="00C97933"/>
    <w:rsid w:val="00C97A5D"/>
    <w:rsid w:val="00C97F38"/>
    <w:rsid w:val="00CA034D"/>
    <w:rsid w:val="00CA065B"/>
    <w:rsid w:val="00CA0706"/>
    <w:rsid w:val="00CA0A86"/>
    <w:rsid w:val="00CA0CD8"/>
    <w:rsid w:val="00CA0DD3"/>
    <w:rsid w:val="00CA1031"/>
    <w:rsid w:val="00CA11EB"/>
    <w:rsid w:val="00CA1328"/>
    <w:rsid w:val="00CA14B4"/>
    <w:rsid w:val="00CA19F4"/>
    <w:rsid w:val="00CA1A55"/>
    <w:rsid w:val="00CA1BFF"/>
    <w:rsid w:val="00CA1E50"/>
    <w:rsid w:val="00CA205E"/>
    <w:rsid w:val="00CA2758"/>
    <w:rsid w:val="00CA299B"/>
    <w:rsid w:val="00CA2C4C"/>
    <w:rsid w:val="00CA2F0B"/>
    <w:rsid w:val="00CA2F8F"/>
    <w:rsid w:val="00CA31AD"/>
    <w:rsid w:val="00CA3307"/>
    <w:rsid w:val="00CA356C"/>
    <w:rsid w:val="00CA3662"/>
    <w:rsid w:val="00CA4413"/>
    <w:rsid w:val="00CA4515"/>
    <w:rsid w:val="00CA460E"/>
    <w:rsid w:val="00CA4631"/>
    <w:rsid w:val="00CA478F"/>
    <w:rsid w:val="00CA47D7"/>
    <w:rsid w:val="00CA4892"/>
    <w:rsid w:val="00CA4B05"/>
    <w:rsid w:val="00CA4BF3"/>
    <w:rsid w:val="00CA5095"/>
    <w:rsid w:val="00CA5624"/>
    <w:rsid w:val="00CA56C9"/>
    <w:rsid w:val="00CA57B6"/>
    <w:rsid w:val="00CA58BE"/>
    <w:rsid w:val="00CA5AA9"/>
    <w:rsid w:val="00CA5BB8"/>
    <w:rsid w:val="00CA6100"/>
    <w:rsid w:val="00CA6637"/>
    <w:rsid w:val="00CA69C6"/>
    <w:rsid w:val="00CA6CE7"/>
    <w:rsid w:val="00CA6E90"/>
    <w:rsid w:val="00CA7558"/>
    <w:rsid w:val="00CA75B3"/>
    <w:rsid w:val="00CB0652"/>
    <w:rsid w:val="00CB089B"/>
    <w:rsid w:val="00CB0ADE"/>
    <w:rsid w:val="00CB0DE1"/>
    <w:rsid w:val="00CB0F0C"/>
    <w:rsid w:val="00CB0F8F"/>
    <w:rsid w:val="00CB12E2"/>
    <w:rsid w:val="00CB177A"/>
    <w:rsid w:val="00CB1C77"/>
    <w:rsid w:val="00CB1DC8"/>
    <w:rsid w:val="00CB1F9B"/>
    <w:rsid w:val="00CB1FA6"/>
    <w:rsid w:val="00CB3092"/>
    <w:rsid w:val="00CB329A"/>
    <w:rsid w:val="00CB3482"/>
    <w:rsid w:val="00CB3489"/>
    <w:rsid w:val="00CB35FE"/>
    <w:rsid w:val="00CB40D1"/>
    <w:rsid w:val="00CB4538"/>
    <w:rsid w:val="00CB4699"/>
    <w:rsid w:val="00CB4C19"/>
    <w:rsid w:val="00CB4D64"/>
    <w:rsid w:val="00CB5037"/>
    <w:rsid w:val="00CB5106"/>
    <w:rsid w:val="00CB5130"/>
    <w:rsid w:val="00CB5480"/>
    <w:rsid w:val="00CB548A"/>
    <w:rsid w:val="00CB54D2"/>
    <w:rsid w:val="00CB5680"/>
    <w:rsid w:val="00CB5915"/>
    <w:rsid w:val="00CB592F"/>
    <w:rsid w:val="00CB594A"/>
    <w:rsid w:val="00CB63E0"/>
    <w:rsid w:val="00CB63EC"/>
    <w:rsid w:val="00CB648C"/>
    <w:rsid w:val="00CB6936"/>
    <w:rsid w:val="00CB69A1"/>
    <w:rsid w:val="00CB69E3"/>
    <w:rsid w:val="00CB6EA9"/>
    <w:rsid w:val="00CB737A"/>
    <w:rsid w:val="00CB73D8"/>
    <w:rsid w:val="00CC0759"/>
    <w:rsid w:val="00CC10F3"/>
    <w:rsid w:val="00CC1288"/>
    <w:rsid w:val="00CC1316"/>
    <w:rsid w:val="00CC152F"/>
    <w:rsid w:val="00CC16F4"/>
    <w:rsid w:val="00CC178E"/>
    <w:rsid w:val="00CC1B75"/>
    <w:rsid w:val="00CC204F"/>
    <w:rsid w:val="00CC21C8"/>
    <w:rsid w:val="00CC2433"/>
    <w:rsid w:val="00CC285F"/>
    <w:rsid w:val="00CC29DB"/>
    <w:rsid w:val="00CC3680"/>
    <w:rsid w:val="00CC36B7"/>
    <w:rsid w:val="00CC3B1C"/>
    <w:rsid w:val="00CC3B80"/>
    <w:rsid w:val="00CC3F80"/>
    <w:rsid w:val="00CC3FBC"/>
    <w:rsid w:val="00CC4477"/>
    <w:rsid w:val="00CC461B"/>
    <w:rsid w:val="00CC4D83"/>
    <w:rsid w:val="00CC4DA5"/>
    <w:rsid w:val="00CC4FA7"/>
    <w:rsid w:val="00CC56C1"/>
    <w:rsid w:val="00CC59B7"/>
    <w:rsid w:val="00CC5ACD"/>
    <w:rsid w:val="00CC5CF3"/>
    <w:rsid w:val="00CC5EFA"/>
    <w:rsid w:val="00CC5FAD"/>
    <w:rsid w:val="00CC623F"/>
    <w:rsid w:val="00CC63F1"/>
    <w:rsid w:val="00CC66A9"/>
    <w:rsid w:val="00CC6752"/>
    <w:rsid w:val="00CC6841"/>
    <w:rsid w:val="00CC6990"/>
    <w:rsid w:val="00CC6B5D"/>
    <w:rsid w:val="00CC6DE2"/>
    <w:rsid w:val="00CC727E"/>
    <w:rsid w:val="00CC7314"/>
    <w:rsid w:val="00CC74BF"/>
    <w:rsid w:val="00CC7AAA"/>
    <w:rsid w:val="00CC7ACF"/>
    <w:rsid w:val="00CC7AD7"/>
    <w:rsid w:val="00CC7E28"/>
    <w:rsid w:val="00CD0681"/>
    <w:rsid w:val="00CD0E5C"/>
    <w:rsid w:val="00CD1084"/>
    <w:rsid w:val="00CD1200"/>
    <w:rsid w:val="00CD1259"/>
    <w:rsid w:val="00CD13A0"/>
    <w:rsid w:val="00CD1777"/>
    <w:rsid w:val="00CD17FD"/>
    <w:rsid w:val="00CD1B47"/>
    <w:rsid w:val="00CD233D"/>
    <w:rsid w:val="00CD25DC"/>
    <w:rsid w:val="00CD2795"/>
    <w:rsid w:val="00CD2868"/>
    <w:rsid w:val="00CD2F21"/>
    <w:rsid w:val="00CD2F78"/>
    <w:rsid w:val="00CD3043"/>
    <w:rsid w:val="00CD307D"/>
    <w:rsid w:val="00CD328D"/>
    <w:rsid w:val="00CD3301"/>
    <w:rsid w:val="00CD38F4"/>
    <w:rsid w:val="00CD3D03"/>
    <w:rsid w:val="00CD3E40"/>
    <w:rsid w:val="00CD408F"/>
    <w:rsid w:val="00CD4284"/>
    <w:rsid w:val="00CD4670"/>
    <w:rsid w:val="00CD4870"/>
    <w:rsid w:val="00CD4B06"/>
    <w:rsid w:val="00CD4BAA"/>
    <w:rsid w:val="00CD4DF7"/>
    <w:rsid w:val="00CD4EC5"/>
    <w:rsid w:val="00CD5317"/>
    <w:rsid w:val="00CD5524"/>
    <w:rsid w:val="00CD56AF"/>
    <w:rsid w:val="00CD5A2A"/>
    <w:rsid w:val="00CD5CA2"/>
    <w:rsid w:val="00CD5E83"/>
    <w:rsid w:val="00CD64ED"/>
    <w:rsid w:val="00CD674A"/>
    <w:rsid w:val="00CD6A36"/>
    <w:rsid w:val="00CD6E9F"/>
    <w:rsid w:val="00CD7612"/>
    <w:rsid w:val="00CD7835"/>
    <w:rsid w:val="00CE01B2"/>
    <w:rsid w:val="00CE033A"/>
    <w:rsid w:val="00CE05B0"/>
    <w:rsid w:val="00CE0836"/>
    <w:rsid w:val="00CE0BF6"/>
    <w:rsid w:val="00CE0C88"/>
    <w:rsid w:val="00CE0CD2"/>
    <w:rsid w:val="00CE0EB7"/>
    <w:rsid w:val="00CE0F76"/>
    <w:rsid w:val="00CE0FE2"/>
    <w:rsid w:val="00CE11A8"/>
    <w:rsid w:val="00CE1201"/>
    <w:rsid w:val="00CE1570"/>
    <w:rsid w:val="00CE16B2"/>
    <w:rsid w:val="00CE18AA"/>
    <w:rsid w:val="00CE194E"/>
    <w:rsid w:val="00CE1A44"/>
    <w:rsid w:val="00CE1D38"/>
    <w:rsid w:val="00CE1E23"/>
    <w:rsid w:val="00CE2075"/>
    <w:rsid w:val="00CE20D4"/>
    <w:rsid w:val="00CE229B"/>
    <w:rsid w:val="00CE241F"/>
    <w:rsid w:val="00CE2AC8"/>
    <w:rsid w:val="00CE2B57"/>
    <w:rsid w:val="00CE2B85"/>
    <w:rsid w:val="00CE30B0"/>
    <w:rsid w:val="00CE3245"/>
    <w:rsid w:val="00CE32FA"/>
    <w:rsid w:val="00CE3310"/>
    <w:rsid w:val="00CE33C9"/>
    <w:rsid w:val="00CE3473"/>
    <w:rsid w:val="00CE36C2"/>
    <w:rsid w:val="00CE3825"/>
    <w:rsid w:val="00CE3850"/>
    <w:rsid w:val="00CE46E2"/>
    <w:rsid w:val="00CE4A36"/>
    <w:rsid w:val="00CE4C84"/>
    <w:rsid w:val="00CE4D4F"/>
    <w:rsid w:val="00CE5008"/>
    <w:rsid w:val="00CE53C2"/>
    <w:rsid w:val="00CE550F"/>
    <w:rsid w:val="00CE5831"/>
    <w:rsid w:val="00CE5CA0"/>
    <w:rsid w:val="00CE6074"/>
    <w:rsid w:val="00CE6245"/>
    <w:rsid w:val="00CE6523"/>
    <w:rsid w:val="00CE6699"/>
    <w:rsid w:val="00CE6897"/>
    <w:rsid w:val="00CE6AB2"/>
    <w:rsid w:val="00CE76C5"/>
    <w:rsid w:val="00CE7DD0"/>
    <w:rsid w:val="00CF0DD5"/>
    <w:rsid w:val="00CF0EDD"/>
    <w:rsid w:val="00CF135D"/>
    <w:rsid w:val="00CF179D"/>
    <w:rsid w:val="00CF1FD3"/>
    <w:rsid w:val="00CF2456"/>
    <w:rsid w:val="00CF25CF"/>
    <w:rsid w:val="00CF2620"/>
    <w:rsid w:val="00CF2C34"/>
    <w:rsid w:val="00CF2DFB"/>
    <w:rsid w:val="00CF2E0F"/>
    <w:rsid w:val="00CF31BD"/>
    <w:rsid w:val="00CF31D0"/>
    <w:rsid w:val="00CF32B3"/>
    <w:rsid w:val="00CF36B5"/>
    <w:rsid w:val="00CF3898"/>
    <w:rsid w:val="00CF3936"/>
    <w:rsid w:val="00CF393E"/>
    <w:rsid w:val="00CF3DF1"/>
    <w:rsid w:val="00CF3EC3"/>
    <w:rsid w:val="00CF4107"/>
    <w:rsid w:val="00CF4AEF"/>
    <w:rsid w:val="00CF4E33"/>
    <w:rsid w:val="00CF50A0"/>
    <w:rsid w:val="00CF54E1"/>
    <w:rsid w:val="00CF54FA"/>
    <w:rsid w:val="00CF580D"/>
    <w:rsid w:val="00CF583F"/>
    <w:rsid w:val="00CF5C48"/>
    <w:rsid w:val="00CF6D59"/>
    <w:rsid w:val="00CF717A"/>
    <w:rsid w:val="00CF7263"/>
    <w:rsid w:val="00CF7502"/>
    <w:rsid w:val="00CF7BDF"/>
    <w:rsid w:val="00CF7E54"/>
    <w:rsid w:val="00CF7EDB"/>
    <w:rsid w:val="00CF7FC6"/>
    <w:rsid w:val="00D004D8"/>
    <w:rsid w:val="00D008E4"/>
    <w:rsid w:val="00D011CA"/>
    <w:rsid w:val="00D01393"/>
    <w:rsid w:val="00D013D8"/>
    <w:rsid w:val="00D01CD8"/>
    <w:rsid w:val="00D01EC5"/>
    <w:rsid w:val="00D01ED1"/>
    <w:rsid w:val="00D01FAD"/>
    <w:rsid w:val="00D0265F"/>
    <w:rsid w:val="00D02D83"/>
    <w:rsid w:val="00D02EB1"/>
    <w:rsid w:val="00D0307B"/>
    <w:rsid w:val="00D03162"/>
    <w:rsid w:val="00D03881"/>
    <w:rsid w:val="00D03963"/>
    <w:rsid w:val="00D03B2A"/>
    <w:rsid w:val="00D03FC0"/>
    <w:rsid w:val="00D04023"/>
    <w:rsid w:val="00D04317"/>
    <w:rsid w:val="00D0477F"/>
    <w:rsid w:val="00D04788"/>
    <w:rsid w:val="00D047E6"/>
    <w:rsid w:val="00D04A1B"/>
    <w:rsid w:val="00D04BDC"/>
    <w:rsid w:val="00D050AB"/>
    <w:rsid w:val="00D05140"/>
    <w:rsid w:val="00D05231"/>
    <w:rsid w:val="00D052ED"/>
    <w:rsid w:val="00D053A4"/>
    <w:rsid w:val="00D053E0"/>
    <w:rsid w:val="00D05767"/>
    <w:rsid w:val="00D05FB0"/>
    <w:rsid w:val="00D05FB6"/>
    <w:rsid w:val="00D06391"/>
    <w:rsid w:val="00D06478"/>
    <w:rsid w:val="00D0666A"/>
    <w:rsid w:val="00D06BF3"/>
    <w:rsid w:val="00D0758D"/>
    <w:rsid w:val="00D07827"/>
    <w:rsid w:val="00D078FD"/>
    <w:rsid w:val="00D07B24"/>
    <w:rsid w:val="00D07BAE"/>
    <w:rsid w:val="00D07D86"/>
    <w:rsid w:val="00D10015"/>
    <w:rsid w:val="00D10230"/>
    <w:rsid w:val="00D10AAF"/>
    <w:rsid w:val="00D117BE"/>
    <w:rsid w:val="00D11A19"/>
    <w:rsid w:val="00D11B16"/>
    <w:rsid w:val="00D11B3E"/>
    <w:rsid w:val="00D11C27"/>
    <w:rsid w:val="00D11FCB"/>
    <w:rsid w:val="00D11FF3"/>
    <w:rsid w:val="00D1202A"/>
    <w:rsid w:val="00D121AB"/>
    <w:rsid w:val="00D123D7"/>
    <w:rsid w:val="00D124FA"/>
    <w:rsid w:val="00D12A48"/>
    <w:rsid w:val="00D12A4E"/>
    <w:rsid w:val="00D12AB6"/>
    <w:rsid w:val="00D12C45"/>
    <w:rsid w:val="00D12C64"/>
    <w:rsid w:val="00D12E6E"/>
    <w:rsid w:val="00D1346A"/>
    <w:rsid w:val="00D139C2"/>
    <w:rsid w:val="00D13AB1"/>
    <w:rsid w:val="00D13B36"/>
    <w:rsid w:val="00D13DA3"/>
    <w:rsid w:val="00D14031"/>
    <w:rsid w:val="00D14384"/>
    <w:rsid w:val="00D14722"/>
    <w:rsid w:val="00D1497A"/>
    <w:rsid w:val="00D14A31"/>
    <w:rsid w:val="00D14A89"/>
    <w:rsid w:val="00D14C75"/>
    <w:rsid w:val="00D158A9"/>
    <w:rsid w:val="00D159F4"/>
    <w:rsid w:val="00D16294"/>
    <w:rsid w:val="00D16450"/>
    <w:rsid w:val="00D16512"/>
    <w:rsid w:val="00D16FC9"/>
    <w:rsid w:val="00D176D8"/>
    <w:rsid w:val="00D17CC2"/>
    <w:rsid w:val="00D20604"/>
    <w:rsid w:val="00D209AA"/>
    <w:rsid w:val="00D20E08"/>
    <w:rsid w:val="00D21071"/>
    <w:rsid w:val="00D21459"/>
    <w:rsid w:val="00D216F5"/>
    <w:rsid w:val="00D21844"/>
    <w:rsid w:val="00D220E1"/>
    <w:rsid w:val="00D2216F"/>
    <w:rsid w:val="00D2233C"/>
    <w:rsid w:val="00D2236A"/>
    <w:rsid w:val="00D223CF"/>
    <w:rsid w:val="00D22627"/>
    <w:rsid w:val="00D2264E"/>
    <w:rsid w:val="00D22CD7"/>
    <w:rsid w:val="00D22E10"/>
    <w:rsid w:val="00D2303D"/>
    <w:rsid w:val="00D2316D"/>
    <w:rsid w:val="00D2337B"/>
    <w:rsid w:val="00D23484"/>
    <w:rsid w:val="00D236D1"/>
    <w:rsid w:val="00D236DA"/>
    <w:rsid w:val="00D23911"/>
    <w:rsid w:val="00D23CCF"/>
    <w:rsid w:val="00D23D14"/>
    <w:rsid w:val="00D24070"/>
    <w:rsid w:val="00D252A4"/>
    <w:rsid w:val="00D25874"/>
    <w:rsid w:val="00D25BC6"/>
    <w:rsid w:val="00D25F8A"/>
    <w:rsid w:val="00D2614B"/>
    <w:rsid w:val="00D26B98"/>
    <w:rsid w:val="00D26C18"/>
    <w:rsid w:val="00D26C97"/>
    <w:rsid w:val="00D26E60"/>
    <w:rsid w:val="00D274D5"/>
    <w:rsid w:val="00D27C6B"/>
    <w:rsid w:val="00D30248"/>
    <w:rsid w:val="00D30651"/>
    <w:rsid w:val="00D3099A"/>
    <w:rsid w:val="00D31241"/>
    <w:rsid w:val="00D31364"/>
    <w:rsid w:val="00D320CB"/>
    <w:rsid w:val="00D32753"/>
    <w:rsid w:val="00D327B3"/>
    <w:rsid w:val="00D32BA4"/>
    <w:rsid w:val="00D32BD7"/>
    <w:rsid w:val="00D32D9A"/>
    <w:rsid w:val="00D339FE"/>
    <w:rsid w:val="00D33C67"/>
    <w:rsid w:val="00D33CF1"/>
    <w:rsid w:val="00D3400B"/>
    <w:rsid w:val="00D3423E"/>
    <w:rsid w:val="00D34416"/>
    <w:rsid w:val="00D347DA"/>
    <w:rsid w:val="00D34839"/>
    <w:rsid w:val="00D34983"/>
    <w:rsid w:val="00D34E66"/>
    <w:rsid w:val="00D34FCB"/>
    <w:rsid w:val="00D34FCE"/>
    <w:rsid w:val="00D351C0"/>
    <w:rsid w:val="00D352FD"/>
    <w:rsid w:val="00D35491"/>
    <w:rsid w:val="00D35AFA"/>
    <w:rsid w:val="00D35B43"/>
    <w:rsid w:val="00D35E13"/>
    <w:rsid w:val="00D35E7D"/>
    <w:rsid w:val="00D35FFE"/>
    <w:rsid w:val="00D3605E"/>
    <w:rsid w:val="00D3679D"/>
    <w:rsid w:val="00D369B8"/>
    <w:rsid w:val="00D36AD5"/>
    <w:rsid w:val="00D36FF3"/>
    <w:rsid w:val="00D37207"/>
    <w:rsid w:val="00D37447"/>
    <w:rsid w:val="00D3762B"/>
    <w:rsid w:val="00D37FDF"/>
    <w:rsid w:val="00D402C1"/>
    <w:rsid w:val="00D40502"/>
    <w:rsid w:val="00D4060A"/>
    <w:rsid w:val="00D40C9B"/>
    <w:rsid w:val="00D41038"/>
    <w:rsid w:val="00D416A1"/>
    <w:rsid w:val="00D41A37"/>
    <w:rsid w:val="00D41A88"/>
    <w:rsid w:val="00D41EC0"/>
    <w:rsid w:val="00D42187"/>
    <w:rsid w:val="00D42320"/>
    <w:rsid w:val="00D423F3"/>
    <w:rsid w:val="00D4240A"/>
    <w:rsid w:val="00D424C8"/>
    <w:rsid w:val="00D4275D"/>
    <w:rsid w:val="00D42B65"/>
    <w:rsid w:val="00D42C69"/>
    <w:rsid w:val="00D43020"/>
    <w:rsid w:val="00D43634"/>
    <w:rsid w:val="00D439AD"/>
    <w:rsid w:val="00D43B10"/>
    <w:rsid w:val="00D4400A"/>
    <w:rsid w:val="00D4422A"/>
    <w:rsid w:val="00D44257"/>
    <w:rsid w:val="00D442CE"/>
    <w:rsid w:val="00D4459A"/>
    <w:rsid w:val="00D445DA"/>
    <w:rsid w:val="00D4468D"/>
    <w:rsid w:val="00D44D6D"/>
    <w:rsid w:val="00D44D7F"/>
    <w:rsid w:val="00D4503F"/>
    <w:rsid w:val="00D4505F"/>
    <w:rsid w:val="00D45239"/>
    <w:rsid w:val="00D45527"/>
    <w:rsid w:val="00D45781"/>
    <w:rsid w:val="00D457B7"/>
    <w:rsid w:val="00D4581C"/>
    <w:rsid w:val="00D45C36"/>
    <w:rsid w:val="00D45D3E"/>
    <w:rsid w:val="00D461B7"/>
    <w:rsid w:val="00D47103"/>
    <w:rsid w:val="00D4733C"/>
    <w:rsid w:val="00D47597"/>
    <w:rsid w:val="00D47C22"/>
    <w:rsid w:val="00D50010"/>
    <w:rsid w:val="00D50541"/>
    <w:rsid w:val="00D509D1"/>
    <w:rsid w:val="00D50F65"/>
    <w:rsid w:val="00D510C5"/>
    <w:rsid w:val="00D51104"/>
    <w:rsid w:val="00D51549"/>
    <w:rsid w:val="00D5154E"/>
    <w:rsid w:val="00D51A49"/>
    <w:rsid w:val="00D51BEA"/>
    <w:rsid w:val="00D5206C"/>
    <w:rsid w:val="00D52134"/>
    <w:rsid w:val="00D52FFC"/>
    <w:rsid w:val="00D530FA"/>
    <w:rsid w:val="00D53796"/>
    <w:rsid w:val="00D5391B"/>
    <w:rsid w:val="00D53E37"/>
    <w:rsid w:val="00D5414E"/>
    <w:rsid w:val="00D541F3"/>
    <w:rsid w:val="00D54256"/>
    <w:rsid w:val="00D545B4"/>
    <w:rsid w:val="00D54737"/>
    <w:rsid w:val="00D547D6"/>
    <w:rsid w:val="00D548A0"/>
    <w:rsid w:val="00D54EB4"/>
    <w:rsid w:val="00D55045"/>
    <w:rsid w:val="00D558D0"/>
    <w:rsid w:val="00D55CB1"/>
    <w:rsid w:val="00D561AF"/>
    <w:rsid w:val="00D5655F"/>
    <w:rsid w:val="00D57028"/>
    <w:rsid w:val="00D572B7"/>
    <w:rsid w:val="00D574A3"/>
    <w:rsid w:val="00D574E4"/>
    <w:rsid w:val="00D577F6"/>
    <w:rsid w:val="00D57CF2"/>
    <w:rsid w:val="00D601F8"/>
    <w:rsid w:val="00D608CE"/>
    <w:rsid w:val="00D60AAF"/>
    <w:rsid w:val="00D615D4"/>
    <w:rsid w:val="00D618D5"/>
    <w:rsid w:val="00D618F0"/>
    <w:rsid w:val="00D61BC4"/>
    <w:rsid w:val="00D61D57"/>
    <w:rsid w:val="00D62C61"/>
    <w:rsid w:val="00D62CAE"/>
    <w:rsid w:val="00D633DC"/>
    <w:rsid w:val="00D6343F"/>
    <w:rsid w:val="00D63511"/>
    <w:rsid w:val="00D6371D"/>
    <w:rsid w:val="00D63932"/>
    <w:rsid w:val="00D63D7F"/>
    <w:rsid w:val="00D64957"/>
    <w:rsid w:val="00D64B47"/>
    <w:rsid w:val="00D64EA2"/>
    <w:rsid w:val="00D6545E"/>
    <w:rsid w:val="00D65691"/>
    <w:rsid w:val="00D66442"/>
    <w:rsid w:val="00D66497"/>
    <w:rsid w:val="00D6672B"/>
    <w:rsid w:val="00D66EC8"/>
    <w:rsid w:val="00D66F4E"/>
    <w:rsid w:val="00D6742C"/>
    <w:rsid w:val="00D67A26"/>
    <w:rsid w:val="00D67C4D"/>
    <w:rsid w:val="00D67E0F"/>
    <w:rsid w:val="00D704A5"/>
    <w:rsid w:val="00D7060A"/>
    <w:rsid w:val="00D70664"/>
    <w:rsid w:val="00D71119"/>
    <w:rsid w:val="00D71E96"/>
    <w:rsid w:val="00D71F37"/>
    <w:rsid w:val="00D71FD4"/>
    <w:rsid w:val="00D7286C"/>
    <w:rsid w:val="00D728B8"/>
    <w:rsid w:val="00D72C75"/>
    <w:rsid w:val="00D72CFA"/>
    <w:rsid w:val="00D73325"/>
    <w:rsid w:val="00D73404"/>
    <w:rsid w:val="00D7358F"/>
    <w:rsid w:val="00D738E8"/>
    <w:rsid w:val="00D73D3F"/>
    <w:rsid w:val="00D7420D"/>
    <w:rsid w:val="00D742DD"/>
    <w:rsid w:val="00D74CCD"/>
    <w:rsid w:val="00D7547D"/>
    <w:rsid w:val="00D75F62"/>
    <w:rsid w:val="00D75FE4"/>
    <w:rsid w:val="00D7665F"/>
    <w:rsid w:val="00D7695C"/>
    <w:rsid w:val="00D76B52"/>
    <w:rsid w:val="00D76D20"/>
    <w:rsid w:val="00D7720B"/>
    <w:rsid w:val="00D776AF"/>
    <w:rsid w:val="00D77895"/>
    <w:rsid w:val="00D779E5"/>
    <w:rsid w:val="00D77A4E"/>
    <w:rsid w:val="00D8039B"/>
    <w:rsid w:val="00D805B4"/>
    <w:rsid w:val="00D8079D"/>
    <w:rsid w:val="00D80F31"/>
    <w:rsid w:val="00D8104A"/>
    <w:rsid w:val="00D810A8"/>
    <w:rsid w:val="00D819FF"/>
    <w:rsid w:val="00D81AC8"/>
    <w:rsid w:val="00D81E1E"/>
    <w:rsid w:val="00D81E9F"/>
    <w:rsid w:val="00D821B0"/>
    <w:rsid w:val="00D82454"/>
    <w:rsid w:val="00D82B21"/>
    <w:rsid w:val="00D82CE2"/>
    <w:rsid w:val="00D82D48"/>
    <w:rsid w:val="00D8307D"/>
    <w:rsid w:val="00D833BB"/>
    <w:rsid w:val="00D83624"/>
    <w:rsid w:val="00D83883"/>
    <w:rsid w:val="00D84006"/>
    <w:rsid w:val="00D84165"/>
    <w:rsid w:val="00D8456F"/>
    <w:rsid w:val="00D847CA"/>
    <w:rsid w:val="00D848B6"/>
    <w:rsid w:val="00D848D2"/>
    <w:rsid w:val="00D84A7A"/>
    <w:rsid w:val="00D84AC2"/>
    <w:rsid w:val="00D84DC7"/>
    <w:rsid w:val="00D84E40"/>
    <w:rsid w:val="00D85351"/>
    <w:rsid w:val="00D85D20"/>
    <w:rsid w:val="00D85DE2"/>
    <w:rsid w:val="00D86318"/>
    <w:rsid w:val="00D8643E"/>
    <w:rsid w:val="00D867F1"/>
    <w:rsid w:val="00D86A21"/>
    <w:rsid w:val="00D8705F"/>
    <w:rsid w:val="00D878A5"/>
    <w:rsid w:val="00D879A5"/>
    <w:rsid w:val="00D87E83"/>
    <w:rsid w:val="00D9032B"/>
    <w:rsid w:val="00D90550"/>
    <w:rsid w:val="00D905E1"/>
    <w:rsid w:val="00D9065C"/>
    <w:rsid w:val="00D90790"/>
    <w:rsid w:val="00D9081F"/>
    <w:rsid w:val="00D9099C"/>
    <w:rsid w:val="00D90B1B"/>
    <w:rsid w:val="00D90F64"/>
    <w:rsid w:val="00D913D7"/>
    <w:rsid w:val="00D91AA3"/>
    <w:rsid w:val="00D92124"/>
    <w:rsid w:val="00D9234C"/>
    <w:rsid w:val="00D923C6"/>
    <w:rsid w:val="00D92427"/>
    <w:rsid w:val="00D925EE"/>
    <w:rsid w:val="00D9268E"/>
    <w:rsid w:val="00D92929"/>
    <w:rsid w:val="00D92C86"/>
    <w:rsid w:val="00D92D27"/>
    <w:rsid w:val="00D92FC7"/>
    <w:rsid w:val="00D93486"/>
    <w:rsid w:val="00D93AE7"/>
    <w:rsid w:val="00D93C49"/>
    <w:rsid w:val="00D9431D"/>
    <w:rsid w:val="00D9436A"/>
    <w:rsid w:val="00D94406"/>
    <w:rsid w:val="00D945B7"/>
    <w:rsid w:val="00D946E5"/>
    <w:rsid w:val="00D94769"/>
    <w:rsid w:val="00D9478C"/>
    <w:rsid w:val="00D94998"/>
    <w:rsid w:val="00D95051"/>
    <w:rsid w:val="00D9518E"/>
    <w:rsid w:val="00D95531"/>
    <w:rsid w:val="00D95630"/>
    <w:rsid w:val="00D9568C"/>
    <w:rsid w:val="00D95CC0"/>
    <w:rsid w:val="00D963C5"/>
    <w:rsid w:val="00D9662A"/>
    <w:rsid w:val="00D967EF"/>
    <w:rsid w:val="00D970CC"/>
    <w:rsid w:val="00D9733F"/>
    <w:rsid w:val="00D9770F"/>
    <w:rsid w:val="00D97A33"/>
    <w:rsid w:val="00D97C95"/>
    <w:rsid w:val="00DA005C"/>
    <w:rsid w:val="00DA0203"/>
    <w:rsid w:val="00DA063F"/>
    <w:rsid w:val="00DA0688"/>
    <w:rsid w:val="00DA0692"/>
    <w:rsid w:val="00DA07D0"/>
    <w:rsid w:val="00DA09B2"/>
    <w:rsid w:val="00DA0BF6"/>
    <w:rsid w:val="00DA0E6E"/>
    <w:rsid w:val="00DA10F5"/>
    <w:rsid w:val="00DA13AC"/>
    <w:rsid w:val="00DA1C67"/>
    <w:rsid w:val="00DA2044"/>
    <w:rsid w:val="00DA230D"/>
    <w:rsid w:val="00DA2356"/>
    <w:rsid w:val="00DA23B1"/>
    <w:rsid w:val="00DA25DD"/>
    <w:rsid w:val="00DA26C7"/>
    <w:rsid w:val="00DA270A"/>
    <w:rsid w:val="00DA27C6"/>
    <w:rsid w:val="00DA2C7C"/>
    <w:rsid w:val="00DA2D79"/>
    <w:rsid w:val="00DA2ED4"/>
    <w:rsid w:val="00DA31F6"/>
    <w:rsid w:val="00DA3640"/>
    <w:rsid w:val="00DA37BA"/>
    <w:rsid w:val="00DA3CF0"/>
    <w:rsid w:val="00DA3E27"/>
    <w:rsid w:val="00DA4152"/>
    <w:rsid w:val="00DA44B4"/>
    <w:rsid w:val="00DA44DD"/>
    <w:rsid w:val="00DA45F1"/>
    <w:rsid w:val="00DA4A62"/>
    <w:rsid w:val="00DA4CB7"/>
    <w:rsid w:val="00DA4FEB"/>
    <w:rsid w:val="00DA59A7"/>
    <w:rsid w:val="00DA5A5D"/>
    <w:rsid w:val="00DA5C09"/>
    <w:rsid w:val="00DA5E47"/>
    <w:rsid w:val="00DA672A"/>
    <w:rsid w:val="00DA6993"/>
    <w:rsid w:val="00DA6C21"/>
    <w:rsid w:val="00DA6CC9"/>
    <w:rsid w:val="00DA7409"/>
    <w:rsid w:val="00DA7694"/>
    <w:rsid w:val="00DA79E5"/>
    <w:rsid w:val="00DA7BBB"/>
    <w:rsid w:val="00DA7DC1"/>
    <w:rsid w:val="00DA7EB0"/>
    <w:rsid w:val="00DB01A8"/>
    <w:rsid w:val="00DB04FF"/>
    <w:rsid w:val="00DB0B06"/>
    <w:rsid w:val="00DB0D38"/>
    <w:rsid w:val="00DB1A9D"/>
    <w:rsid w:val="00DB1DBA"/>
    <w:rsid w:val="00DB1DF0"/>
    <w:rsid w:val="00DB21BB"/>
    <w:rsid w:val="00DB25DD"/>
    <w:rsid w:val="00DB28DB"/>
    <w:rsid w:val="00DB2E61"/>
    <w:rsid w:val="00DB30C8"/>
    <w:rsid w:val="00DB3174"/>
    <w:rsid w:val="00DB3453"/>
    <w:rsid w:val="00DB414B"/>
    <w:rsid w:val="00DB4229"/>
    <w:rsid w:val="00DB46A1"/>
    <w:rsid w:val="00DB4A43"/>
    <w:rsid w:val="00DB4B1D"/>
    <w:rsid w:val="00DB4B95"/>
    <w:rsid w:val="00DB5567"/>
    <w:rsid w:val="00DB58A6"/>
    <w:rsid w:val="00DB5942"/>
    <w:rsid w:val="00DB5A0B"/>
    <w:rsid w:val="00DB5BCC"/>
    <w:rsid w:val="00DB5DCD"/>
    <w:rsid w:val="00DB5EF8"/>
    <w:rsid w:val="00DB63EE"/>
    <w:rsid w:val="00DB6723"/>
    <w:rsid w:val="00DB67EE"/>
    <w:rsid w:val="00DB69DC"/>
    <w:rsid w:val="00DB6C54"/>
    <w:rsid w:val="00DB6FED"/>
    <w:rsid w:val="00DB76DA"/>
    <w:rsid w:val="00DB77D1"/>
    <w:rsid w:val="00DB7C1F"/>
    <w:rsid w:val="00DB7DB5"/>
    <w:rsid w:val="00DB7E3C"/>
    <w:rsid w:val="00DC018B"/>
    <w:rsid w:val="00DC01B4"/>
    <w:rsid w:val="00DC0248"/>
    <w:rsid w:val="00DC06D3"/>
    <w:rsid w:val="00DC0749"/>
    <w:rsid w:val="00DC0C58"/>
    <w:rsid w:val="00DC1020"/>
    <w:rsid w:val="00DC136E"/>
    <w:rsid w:val="00DC158E"/>
    <w:rsid w:val="00DC15B3"/>
    <w:rsid w:val="00DC1889"/>
    <w:rsid w:val="00DC2372"/>
    <w:rsid w:val="00DC2A94"/>
    <w:rsid w:val="00DC302F"/>
    <w:rsid w:val="00DC3249"/>
    <w:rsid w:val="00DC332B"/>
    <w:rsid w:val="00DC34E1"/>
    <w:rsid w:val="00DC3747"/>
    <w:rsid w:val="00DC3834"/>
    <w:rsid w:val="00DC3FFC"/>
    <w:rsid w:val="00DC4849"/>
    <w:rsid w:val="00DC4B80"/>
    <w:rsid w:val="00DC4CDA"/>
    <w:rsid w:val="00DC5095"/>
    <w:rsid w:val="00DC5AF8"/>
    <w:rsid w:val="00DC6161"/>
    <w:rsid w:val="00DC6584"/>
    <w:rsid w:val="00DC67D5"/>
    <w:rsid w:val="00DC6B41"/>
    <w:rsid w:val="00DC6B96"/>
    <w:rsid w:val="00DC6FE4"/>
    <w:rsid w:val="00DC703F"/>
    <w:rsid w:val="00DC708C"/>
    <w:rsid w:val="00DC73E4"/>
    <w:rsid w:val="00DC76A6"/>
    <w:rsid w:val="00DC78AA"/>
    <w:rsid w:val="00DC7EB0"/>
    <w:rsid w:val="00DC7EBD"/>
    <w:rsid w:val="00DC7F0D"/>
    <w:rsid w:val="00DD000F"/>
    <w:rsid w:val="00DD034F"/>
    <w:rsid w:val="00DD04D8"/>
    <w:rsid w:val="00DD0669"/>
    <w:rsid w:val="00DD0834"/>
    <w:rsid w:val="00DD09CE"/>
    <w:rsid w:val="00DD1148"/>
    <w:rsid w:val="00DD1442"/>
    <w:rsid w:val="00DD184C"/>
    <w:rsid w:val="00DD1924"/>
    <w:rsid w:val="00DD1A6E"/>
    <w:rsid w:val="00DD1E14"/>
    <w:rsid w:val="00DD1E50"/>
    <w:rsid w:val="00DD2216"/>
    <w:rsid w:val="00DD24BA"/>
    <w:rsid w:val="00DD2A39"/>
    <w:rsid w:val="00DD2DB7"/>
    <w:rsid w:val="00DD2E8E"/>
    <w:rsid w:val="00DD2F7C"/>
    <w:rsid w:val="00DD3B50"/>
    <w:rsid w:val="00DD4176"/>
    <w:rsid w:val="00DD4865"/>
    <w:rsid w:val="00DD4887"/>
    <w:rsid w:val="00DD4B71"/>
    <w:rsid w:val="00DD4D09"/>
    <w:rsid w:val="00DD5396"/>
    <w:rsid w:val="00DD5A8E"/>
    <w:rsid w:val="00DD61EE"/>
    <w:rsid w:val="00DD636C"/>
    <w:rsid w:val="00DD68F4"/>
    <w:rsid w:val="00DD69E1"/>
    <w:rsid w:val="00DD70B5"/>
    <w:rsid w:val="00DD7653"/>
    <w:rsid w:val="00DD79C5"/>
    <w:rsid w:val="00DE01B1"/>
    <w:rsid w:val="00DE0560"/>
    <w:rsid w:val="00DE0B29"/>
    <w:rsid w:val="00DE1051"/>
    <w:rsid w:val="00DE10DD"/>
    <w:rsid w:val="00DE135D"/>
    <w:rsid w:val="00DE137C"/>
    <w:rsid w:val="00DE17C4"/>
    <w:rsid w:val="00DE17E8"/>
    <w:rsid w:val="00DE19B8"/>
    <w:rsid w:val="00DE2181"/>
    <w:rsid w:val="00DE25EF"/>
    <w:rsid w:val="00DE2663"/>
    <w:rsid w:val="00DE2719"/>
    <w:rsid w:val="00DE27E9"/>
    <w:rsid w:val="00DE28E3"/>
    <w:rsid w:val="00DE2BD5"/>
    <w:rsid w:val="00DE2E81"/>
    <w:rsid w:val="00DE30CD"/>
    <w:rsid w:val="00DE34FB"/>
    <w:rsid w:val="00DE3751"/>
    <w:rsid w:val="00DE3D28"/>
    <w:rsid w:val="00DE3D72"/>
    <w:rsid w:val="00DE41AF"/>
    <w:rsid w:val="00DE46BA"/>
    <w:rsid w:val="00DE4A04"/>
    <w:rsid w:val="00DE4A51"/>
    <w:rsid w:val="00DE4AB8"/>
    <w:rsid w:val="00DE4C00"/>
    <w:rsid w:val="00DE4E8B"/>
    <w:rsid w:val="00DE5095"/>
    <w:rsid w:val="00DE536B"/>
    <w:rsid w:val="00DE5C0D"/>
    <w:rsid w:val="00DE5CF0"/>
    <w:rsid w:val="00DE6026"/>
    <w:rsid w:val="00DE6092"/>
    <w:rsid w:val="00DE62C4"/>
    <w:rsid w:val="00DE63AF"/>
    <w:rsid w:val="00DE6943"/>
    <w:rsid w:val="00DE6A2B"/>
    <w:rsid w:val="00DE72CA"/>
    <w:rsid w:val="00DE795E"/>
    <w:rsid w:val="00DE7ADA"/>
    <w:rsid w:val="00DF010C"/>
    <w:rsid w:val="00DF0296"/>
    <w:rsid w:val="00DF0398"/>
    <w:rsid w:val="00DF069E"/>
    <w:rsid w:val="00DF0933"/>
    <w:rsid w:val="00DF09B8"/>
    <w:rsid w:val="00DF0CE5"/>
    <w:rsid w:val="00DF0FE0"/>
    <w:rsid w:val="00DF1204"/>
    <w:rsid w:val="00DF14DE"/>
    <w:rsid w:val="00DF1558"/>
    <w:rsid w:val="00DF15EC"/>
    <w:rsid w:val="00DF1A46"/>
    <w:rsid w:val="00DF1B98"/>
    <w:rsid w:val="00DF1CDA"/>
    <w:rsid w:val="00DF1D59"/>
    <w:rsid w:val="00DF1DBD"/>
    <w:rsid w:val="00DF1EC5"/>
    <w:rsid w:val="00DF2195"/>
    <w:rsid w:val="00DF22C3"/>
    <w:rsid w:val="00DF260D"/>
    <w:rsid w:val="00DF33BE"/>
    <w:rsid w:val="00DF35A8"/>
    <w:rsid w:val="00DF35C7"/>
    <w:rsid w:val="00DF35F7"/>
    <w:rsid w:val="00DF3777"/>
    <w:rsid w:val="00DF38AB"/>
    <w:rsid w:val="00DF39DD"/>
    <w:rsid w:val="00DF3B2F"/>
    <w:rsid w:val="00DF3C9D"/>
    <w:rsid w:val="00DF3F4E"/>
    <w:rsid w:val="00DF3F78"/>
    <w:rsid w:val="00DF45BE"/>
    <w:rsid w:val="00DF466B"/>
    <w:rsid w:val="00DF4918"/>
    <w:rsid w:val="00DF491D"/>
    <w:rsid w:val="00DF493F"/>
    <w:rsid w:val="00DF4B66"/>
    <w:rsid w:val="00DF5463"/>
    <w:rsid w:val="00DF57C6"/>
    <w:rsid w:val="00DF59B6"/>
    <w:rsid w:val="00DF5B20"/>
    <w:rsid w:val="00DF5BFE"/>
    <w:rsid w:val="00DF5D36"/>
    <w:rsid w:val="00DF61ED"/>
    <w:rsid w:val="00DF650E"/>
    <w:rsid w:val="00DF65C2"/>
    <w:rsid w:val="00DF6658"/>
    <w:rsid w:val="00DF6855"/>
    <w:rsid w:val="00DF68EF"/>
    <w:rsid w:val="00DF6BD0"/>
    <w:rsid w:val="00DF6CF1"/>
    <w:rsid w:val="00DF6F62"/>
    <w:rsid w:val="00DF7090"/>
    <w:rsid w:val="00DF71B0"/>
    <w:rsid w:val="00DF79FE"/>
    <w:rsid w:val="00DF7E32"/>
    <w:rsid w:val="00DF7FCD"/>
    <w:rsid w:val="00E0021C"/>
    <w:rsid w:val="00E00236"/>
    <w:rsid w:val="00E002FD"/>
    <w:rsid w:val="00E004FD"/>
    <w:rsid w:val="00E00931"/>
    <w:rsid w:val="00E00AEF"/>
    <w:rsid w:val="00E00DB9"/>
    <w:rsid w:val="00E01140"/>
    <w:rsid w:val="00E01279"/>
    <w:rsid w:val="00E01458"/>
    <w:rsid w:val="00E015C9"/>
    <w:rsid w:val="00E01EAC"/>
    <w:rsid w:val="00E01F82"/>
    <w:rsid w:val="00E02174"/>
    <w:rsid w:val="00E0227E"/>
    <w:rsid w:val="00E02357"/>
    <w:rsid w:val="00E023A0"/>
    <w:rsid w:val="00E02AB6"/>
    <w:rsid w:val="00E02CF9"/>
    <w:rsid w:val="00E03833"/>
    <w:rsid w:val="00E03F96"/>
    <w:rsid w:val="00E041E8"/>
    <w:rsid w:val="00E04302"/>
    <w:rsid w:val="00E045C3"/>
    <w:rsid w:val="00E04B40"/>
    <w:rsid w:val="00E04CF0"/>
    <w:rsid w:val="00E04D45"/>
    <w:rsid w:val="00E04E77"/>
    <w:rsid w:val="00E05175"/>
    <w:rsid w:val="00E052A7"/>
    <w:rsid w:val="00E0541A"/>
    <w:rsid w:val="00E05AA2"/>
    <w:rsid w:val="00E05ED7"/>
    <w:rsid w:val="00E0677E"/>
    <w:rsid w:val="00E0683D"/>
    <w:rsid w:val="00E06A3B"/>
    <w:rsid w:val="00E070D7"/>
    <w:rsid w:val="00E07169"/>
    <w:rsid w:val="00E07B66"/>
    <w:rsid w:val="00E07DE7"/>
    <w:rsid w:val="00E07FB4"/>
    <w:rsid w:val="00E07FDE"/>
    <w:rsid w:val="00E10683"/>
    <w:rsid w:val="00E1078A"/>
    <w:rsid w:val="00E1079E"/>
    <w:rsid w:val="00E1090D"/>
    <w:rsid w:val="00E10B33"/>
    <w:rsid w:val="00E10E9C"/>
    <w:rsid w:val="00E1110C"/>
    <w:rsid w:val="00E112E6"/>
    <w:rsid w:val="00E11934"/>
    <w:rsid w:val="00E11999"/>
    <w:rsid w:val="00E11D17"/>
    <w:rsid w:val="00E126AB"/>
    <w:rsid w:val="00E12A8C"/>
    <w:rsid w:val="00E12B61"/>
    <w:rsid w:val="00E12BA9"/>
    <w:rsid w:val="00E12DF4"/>
    <w:rsid w:val="00E13256"/>
    <w:rsid w:val="00E132D2"/>
    <w:rsid w:val="00E13534"/>
    <w:rsid w:val="00E13658"/>
    <w:rsid w:val="00E136F4"/>
    <w:rsid w:val="00E13CB2"/>
    <w:rsid w:val="00E13E64"/>
    <w:rsid w:val="00E14A0E"/>
    <w:rsid w:val="00E14B07"/>
    <w:rsid w:val="00E14C01"/>
    <w:rsid w:val="00E15F21"/>
    <w:rsid w:val="00E16033"/>
    <w:rsid w:val="00E16444"/>
    <w:rsid w:val="00E1696B"/>
    <w:rsid w:val="00E16AD3"/>
    <w:rsid w:val="00E16B71"/>
    <w:rsid w:val="00E17B31"/>
    <w:rsid w:val="00E17D55"/>
    <w:rsid w:val="00E200F3"/>
    <w:rsid w:val="00E20169"/>
    <w:rsid w:val="00E20862"/>
    <w:rsid w:val="00E20E7C"/>
    <w:rsid w:val="00E20EA3"/>
    <w:rsid w:val="00E21048"/>
    <w:rsid w:val="00E2118A"/>
    <w:rsid w:val="00E212E8"/>
    <w:rsid w:val="00E21490"/>
    <w:rsid w:val="00E21A57"/>
    <w:rsid w:val="00E22161"/>
    <w:rsid w:val="00E22210"/>
    <w:rsid w:val="00E22482"/>
    <w:rsid w:val="00E22494"/>
    <w:rsid w:val="00E227BE"/>
    <w:rsid w:val="00E22D01"/>
    <w:rsid w:val="00E22ED7"/>
    <w:rsid w:val="00E233F1"/>
    <w:rsid w:val="00E23507"/>
    <w:rsid w:val="00E235B1"/>
    <w:rsid w:val="00E23A7F"/>
    <w:rsid w:val="00E23E89"/>
    <w:rsid w:val="00E243C6"/>
    <w:rsid w:val="00E249DE"/>
    <w:rsid w:val="00E24A37"/>
    <w:rsid w:val="00E24CE1"/>
    <w:rsid w:val="00E250B9"/>
    <w:rsid w:val="00E251E2"/>
    <w:rsid w:val="00E256CA"/>
    <w:rsid w:val="00E25B6A"/>
    <w:rsid w:val="00E25C9C"/>
    <w:rsid w:val="00E25E2F"/>
    <w:rsid w:val="00E25F57"/>
    <w:rsid w:val="00E266D3"/>
    <w:rsid w:val="00E26728"/>
    <w:rsid w:val="00E2675E"/>
    <w:rsid w:val="00E26888"/>
    <w:rsid w:val="00E26E0F"/>
    <w:rsid w:val="00E26E4F"/>
    <w:rsid w:val="00E27182"/>
    <w:rsid w:val="00E2749E"/>
    <w:rsid w:val="00E277D9"/>
    <w:rsid w:val="00E27976"/>
    <w:rsid w:val="00E30065"/>
    <w:rsid w:val="00E3007A"/>
    <w:rsid w:val="00E30109"/>
    <w:rsid w:val="00E30227"/>
    <w:rsid w:val="00E30311"/>
    <w:rsid w:val="00E3074F"/>
    <w:rsid w:val="00E3078A"/>
    <w:rsid w:val="00E30805"/>
    <w:rsid w:val="00E31332"/>
    <w:rsid w:val="00E31430"/>
    <w:rsid w:val="00E31979"/>
    <w:rsid w:val="00E31D43"/>
    <w:rsid w:val="00E31F68"/>
    <w:rsid w:val="00E3259C"/>
    <w:rsid w:val="00E329F2"/>
    <w:rsid w:val="00E32BCF"/>
    <w:rsid w:val="00E3340A"/>
    <w:rsid w:val="00E33411"/>
    <w:rsid w:val="00E33479"/>
    <w:rsid w:val="00E33655"/>
    <w:rsid w:val="00E337F9"/>
    <w:rsid w:val="00E33D71"/>
    <w:rsid w:val="00E33F53"/>
    <w:rsid w:val="00E34578"/>
    <w:rsid w:val="00E34669"/>
    <w:rsid w:val="00E349A5"/>
    <w:rsid w:val="00E34C8E"/>
    <w:rsid w:val="00E34D62"/>
    <w:rsid w:val="00E34F85"/>
    <w:rsid w:val="00E3506F"/>
    <w:rsid w:val="00E35600"/>
    <w:rsid w:val="00E35D1A"/>
    <w:rsid w:val="00E35D93"/>
    <w:rsid w:val="00E35D9D"/>
    <w:rsid w:val="00E35DD1"/>
    <w:rsid w:val="00E36163"/>
    <w:rsid w:val="00E361A7"/>
    <w:rsid w:val="00E3690D"/>
    <w:rsid w:val="00E36A9C"/>
    <w:rsid w:val="00E36BAF"/>
    <w:rsid w:val="00E36E31"/>
    <w:rsid w:val="00E36EE9"/>
    <w:rsid w:val="00E371E3"/>
    <w:rsid w:val="00E376B6"/>
    <w:rsid w:val="00E378DD"/>
    <w:rsid w:val="00E379BB"/>
    <w:rsid w:val="00E37A90"/>
    <w:rsid w:val="00E4040F"/>
    <w:rsid w:val="00E405F0"/>
    <w:rsid w:val="00E40604"/>
    <w:rsid w:val="00E40636"/>
    <w:rsid w:val="00E40C13"/>
    <w:rsid w:val="00E40E22"/>
    <w:rsid w:val="00E40FAB"/>
    <w:rsid w:val="00E415AD"/>
    <w:rsid w:val="00E41615"/>
    <w:rsid w:val="00E41799"/>
    <w:rsid w:val="00E4180F"/>
    <w:rsid w:val="00E41946"/>
    <w:rsid w:val="00E41ABF"/>
    <w:rsid w:val="00E41B97"/>
    <w:rsid w:val="00E41F6D"/>
    <w:rsid w:val="00E420E1"/>
    <w:rsid w:val="00E42136"/>
    <w:rsid w:val="00E427FB"/>
    <w:rsid w:val="00E42849"/>
    <w:rsid w:val="00E42CED"/>
    <w:rsid w:val="00E42E0C"/>
    <w:rsid w:val="00E436F1"/>
    <w:rsid w:val="00E437E1"/>
    <w:rsid w:val="00E44054"/>
    <w:rsid w:val="00E444C5"/>
    <w:rsid w:val="00E44590"/>
    <w:rsid w:val="00E44BC7"/>
    <w:rsid w:val="00E44D53"/>
    <w:rsid w:val="00E44F16"/>
    <w:rsid w:val="00E457EA"/>
    <w:rsid w:val="00E45AE5"/>
    <w:rsid w:val="00E4666D"/>
    <w:rsid w:val="00E4667C"/>
    <w:rsid w:val="00E46832"/>
    <w:rsid w:val="00E46991"/>
    <w:rsid w:val="00E469BF"/>
    <w:rsid w:val="00E46BE7"/>
    <w:rsid w:val="00E46D11"/>
    <w:rsid w:val="00E46F52"/>
    <w:rsid w:val="00E4706E"/>
    <w:rsid w:val="00E471CB"/>
    <w:rsid w:val="00E47585"/>
    <w:rsid w:val="00E47726"/>
    <w:rsid w:val="00E4782A"/>
    <w:rsid w:val="00E478A7"/>
    <w:rsid w:val="00E47B4C"/>
    <w:rsid w:val="00E47CE8"/>
    <w:rsid w:val="00E47D14"/>
    <w:rsid w:val="00E47D8B"/>
    <w:rsid w:val="00E500D1"/>
    <w:rsid w:val="00E505FE"/>
    <w:rsid w:val="00E50629"/>
    <w:rsid w:val="00E50654"/>
    <w:rsid w:val="00E50A9D"/>
    <w:rsid w:val="00E50FA4"/>
    <w:rsid w:val="00E512C4"/>
    <w:rsid w:val="00E51417"/>
    <w:rsid w:val="00E51789"/>
    <w:rsid w:val="00E51A46"/>
    <w:rsid w:val="00E51C85"/>
    <w:rsid w:val="00E5202A"/>
    <w:rsid w:val="00E52389"/>
    <w:rsid w:val="00E525B0"/>
    <w:rsid w:val="00E52646"/>
    <w:rsid w:val="00E52D08"/>
    <w:rsid w:val="00E52FC4"/>
    <w:rsid w:val="00E533C0"/>
    <w:rsid w:val="00E538A1"/>
    <w:rsid w:val="00E53FB6"/>
    <w:rsid w:val="00E54798"/>
    <w:rsid w:val="00E54928"/>
    <w:rsid w:val="00E5501A"/>
    <w:rsid w:val="00E5563A"/>
    <w:rsid w:val="00E5567C"/>
    <w:rsid w:val="00E55ABB"/>
    <w:rsid w:val="00E55CCF"/>
    <w:rsid w:val="00E56275"/>
    <w:rsid w:val="00E567BA"/>
    <w:rsid w:val="00E56B0D"/>
    <w:rsid w:val="00E56D00"/>
    <w:rsid w:val="00E56F4A"/>
    <w:rsid w:val="00E571CE"/>
    <w:rsid w:val="00E5737F"/>
    <w:rsid w:val="00E5748A"/>
    <w:rsid w:val="00E5757C"/>
    <w:rsid w:val="00E57E1C"/>
    <w:rsid w:val="00E57EB8"/>
    <w:rsid w:val="00E6029B"/>
    <w:rsid w:val="00E604DF"/>
    <w:rsid w:val="00E60C4B"/>
    <w:rsid w:val="00E60D61"/>
    <w:rsid w:val="00E615AC"/>
    <w:rsid w:val="00E61999"/>
    <w:rsid w:val="00E61ADB"/>
    <w:rsid w:val="00E61C8E"/>
    <w:rsid w:val="00E61C92"/>
    <w:rsid w:val="00E61E31"/>
    <w:rsid w:val="00E625DB"/>
    <w:rsid w:val="00E62637"/>
    <w:rsid w:val="00E629FE"/>
    <w:rsid w:val="00E62EEA"/>
    <w:rsid w:val="00E630E3"/>
    <w:rsid w:val="00E63306"/>
    <w:rsid w:val="00E63488"/>
    <w:rsid w:val="00E63668"/>
    <w:rsid w:val="00E6399C"/>
    <w:rsid w:val="00E63A34"/>
    <w:rsid w:val="00E63C06"/>
    <w:rsid w:val="00E63EC7"/>
    <w:rsid w:val="00E64904"/>
    <w:rsid w:val="00E64A8D"/>
    <w:rsid w:val="00E64F91"/>
    <w:rsid w:val="00E64FCA"/>
    <w:rsid w:val="00E65168"/>
    <w:rsid w:val="00E65C69"/>
    <w:rsid w:val="00E65D1A"/>
    <w:rsid w:val="00E6605E"/>
    <w:rsid w:val="00E661DF"/>
    <w:rsid w:val="00E663C6"/>
    <w:rsid w:val="00E66499"/>
    <w:rsid w:val="00E66ED4"/>
    <w:rsid w:val="00E66F89"/>
    <w:rsid w:val="00E66FB5"/>
    <w:rsid w:val="00E67383"/>
    <w:rsid w:val="00E6766D"/>
    <w:rsid w:val="00E678FC"/>
    <w:rsid w:val="00E679E7"/>
    <w:rsid w:val="00E67A1A"/>
    <w:rsid w:val="00E67B3F"/>
    <w:rsid w:val="00E67C23"/>
    <w:rsid w:val="00E67EC3"/>
    <w:rsid w:val="00E701B4"/>
    <w:rsid w:val="00E7045E"/>
    <w:rsid w:val="00E70ADC"/>
    <w:rsid w:val="00E70DE8"/>
    <w:rsid w:val="00E70E09"/>
    <w:rsid w:val="00E70E67"/>
    <w:rsid w:val="00E70E9F"/>
    <w:rsid w:val="00E70EAF"/>
    <w:rsid w:val="00E70FF7"/>
    <w:rsid w:val="00E71044"/>
    <w:rsid w:val="00E71151"/>
    <w:rsid w:val="00E7128F"/>
    <w:rsid w:val="00E7139B"/>
    <w:rsid w:val="00E71438"/>
    <w:rsid w:val="00E71AE8"/>
    <w:rsid w:val="00E71B84"/>
    <w:rsid w:val="00E71E46"/>
    <w:rsid w:val="00E71F48"/>
    <w:rsid w:val="00E72021"/>
    <w:rsid w:val="00E72318"/>
    <w:rsid w:val="00E727AE"/>
    <w:rsid w:val="00E72851"/>
    <w:rsid w:val="00E72B8D"/>
    <w:rsid w:val="00E72BD4"/>
    <w:rsid w:val="00E72D52"/>
    <w:rsid w:val="00E732E4"/>
    <w:rsid w:val="00E73342"/>
    <w:rsid w:val="00E734E4"/>
    <w:rsid w:val="00E735E6"/>
    <w:rsid w:val="00E736C2"/>
    <w:rsid w:val="00E7399C"/>
    <w:rsid w:val="00E73EED"/>
    <w:rsid w:val="00E741DF"/>
    <w:rsid w:val="00E742F5"/>
    <w:rsid w:val="00E74F51"/>
    <w:rsid w:val="00E74F71"/>
    <w:rsid w:val="00E75407"/>
    <w:rsid w:val="00E758FA"/>
    <w:rsid w:val="00E75DF5"/>
    <w:rsid w:val="00E76141"/>
    <w:rsid w:val="00E7668A"/>
    <w:rsid w:val="00E7698F"/>
    <w:rsid w:val="00E76E27"/>
    <w:rsid w:val="00E7711A"/>
    <w:rsid w:val="00E776D9"/>
    <w:rsid w:val="00E77A45"/>
    <w:rsid w:val="00E77E30"/>
    <w:rsid w:val="00E77EC5"/>
    <w:rsid w:val="00E8012E"/>
    <w:rsid w:val="00E8024E"/>
    <w:rsid w:val="00E804D6"/>
    <w:rsid w:val="00E80802"/>
    <w:rsid w:val="00E80925"/>
    <w:rsid w:val="00E812F7"/>
    <w:rsid w:val="00E81432"/>
    <w:rsid w:val="00E8176E"/>
    <w:rsid w:val="00E81801"/>
    <w:rsid w:val="00E8191B"/>
    <w:rsid w:val="00E81AD7"/>
    <w:rsid w:val="00E81C2E"/>
    <w:rsid w:val="00E81D46"/>
    <w:rsid w:val="00E81F06"/>
    <w:rsid w:val="00E82543"/>
    <w:rsid w:val="00E8265C"/>
    <w:rsid w:val="00E83091"/>
    <w:rsid w:val="00E83308"/>
    <w:rsid w:val="00E83947"/>
    <w:rsid w:val="00E839F5"/>
    <w:rsid w:val="00E83C92"/>
    <w:rsid w:val="00E8400B"/>
    <w:rsid w:val="00E840D1"/>
    <w:rsid w:val="00E840F2"/>
    <w:rsid w:val="00E8466F"/>
    <w:rsid w:val="00E848C6"/>
    <w:rsid w:val="00E84D63"/>
    <w:rsid w:val="00E84DB3"/>
    <w:rsid w:val="00E84E85"/>
    <w:rsid w:val="00E85120"/>
    <w:rsid w:val="00E85161"/>
    <w:rsid w:val="00E8517E"/>
    <w:rsid w:val="00E8535B"/>
    <w:rsid w:val="00E86254"/>
    <w:rsid w:val="00E86463"/>
    <w:rsid w:val="00E867C6"/>
    <w:rsid w:val="00E86927"/>
    <w:rsid w:val="00E86A58"/>
    <w:rsid w:val="00E86CE0"/>
    <w:rsid w:val="00E86FF6"/>
    <w:rsid w:val="00E872EC"/>
    <w:rsid w:val="00E9024D"/>
    <w:rsid w:val="00E90305"/>
    <w:rsid w:val="00E90609"/>
    <w:rsid w:val="00E906BC"/>
    <w:rsid w:val="00E90A1A"/>
    <w:rsid w:val="00E90AD2"/>
    <w:rsid w:val="00E90F59"/>
    <w:rsid w:val="00E90FBA"/>
    <w:rsid w:val="00E9135B"/>
    <w:rsid w:val="00E915C1"/>
    <w:rsid w:val="00E917D3"/>
    <w:rsid w:val="00E9190D"/>
    <w:rsid w:val="00E92135"/>
    <w:rsid w:val="00E925C5"/>
    <w:rsid w:val="00E92667"/>
    <w:rsid w:val="00E92684"/>
    <w:rsid w:val="00E92751"/>
    <w:rsid w:val="00E927DA"/>
    <w:rsid w:val="00E929B5"/>
    <w:rsid w:val="00E92D4C"/>
    <w:rsid w:val="00E92DA6"/>
    <w:rsid w:val="00E92F63"/>
    <w:rsid w:val="00E9305F"/>
    <w:rsid w:val="00E932E8"/>
    <w:rsid w:val="00E938CF"/>
    <w:rsid w:val="00E93964"/>
    <w:rsid w:val="00E93CDE"/>
    <w:rsid w:val="00E93F27"/>
    <w:rsid w:val="00E93F5D"/>
    <w:rsid w:val="00E93FF7"/>
    <w:rsid w:val="00E94090"/>
    <w:rsid w:val="00E942FA"/>
    <w:rsid w:val="00E945D2"/>
    <w:rsid w:val="00E94680"/>
    <w:rsid w:val="00E94745"/>
    <w:rsid w:val="00E947BF"/>
    <w:rsid w:val="00E94805"/>
    <w:rsid w:val="00E9495C"/>
    <w:rsid w:val="00E95072"/>
    <w:rsid w:val="00E95139"/>
    <w:rsid w:val="00E95197"/>
    <w:rsid w:val="00E957A9"/>
    <w:rsid w:val="00E9588F"/>
    <w:rsid w:val="00E958E9"/>
    <w:rsid w:val="00E96269"/>
    <w:rsid w:val="00E96B55"/>
    <w:rsid w:val="00E96B87"/>
    <w:rsid w:val="00E96BD8"/>
    <w:rsid w:val="00E96BE3"/>
    <w:rsid w:val="00E96D8B"/>
    <w:rsid w:val="00E9719D"/>
    <w:rsid w:val="00E971B4"/>
    <w:rsid w:val="00E9758F"/>
    <w:rsid w:val="00E97BEE"/>
    <w:rsid w:val="00E97EE6"/>
    <w:rsid w:val="00EA03C5"/>
    <w:rsid w:val="00EA0436"/>
    <w:rsid w:val="00EA0E72"/>
    <w:rsid w:val="00EA1417"/>
    <w:rsid w:val="00EA14D9"/>
    <w:rsid w:val="00EA1517"/>
    <w:rsid w:val="00EA1588"/>
    <w:rsid w:val="00EA1CD8"/>
    <w:rsid w:val="00EA20E3"/>
    <w:rsid w:val="00EA213A"/>
    <w:rsid w:val="00EA29A5"/>
    <w:rsid w:val="00EA2EF9"/>
    <w:rsid w:val="00EA2FDD"/>
    <w:rsid w:val="00EA3305"/>
    <w:rsid w:val="00EA3608"/>
    <w:rsid w:val="00EA3A25"/>
    <w:rsid w:val="00EA3D56"/>
    <w:rsid w:val="00EA41AE"/>
    <w:rsid w:val="00EA4278"/>
    <w:rsid w:val="00EA43C6"/>
    <w:rsid w:val="00EA43FC"/>
    <w:rsid w:val="00EA4604"/>
    <w:rsid w:val="00EA4819"/>
    <w:rsid w:val="00EA48B4"/>
    <w:rsid w:val="00EA4AF6"/>
    <w:rsid w:val="00EA4B27"/>
    <w:rsid w:val="00EA4BBB"/>
    <w:rsid w:val="00EA4FDA"/>
    <w:rsid w:val="00EA507B"/>
    <w:rsid w:val="00EA5B3C"/>
    <w:rsid w:val="00EA5BCC"/>
    <w:rsid w:val="00EA5F1C"/>
    <w:rsid w:val="00EA5F21"/>
    <w:rsid w:val="00EA62FB"/>
    <w:rsid w:val="00EA65D6"/>
    <w:rsid w:val="00EA687C"/>
    <w:rsid w:val="00EA6DFB"/>
    <w:rsid w:val="00EA6EFD"/>
    <w:rsid w:val="00EA6FC6"/>
    <w:rsid w:val="00EA74F7"/>
    <w:rsid w:val="00EA7CD5"/>
    <w:rsid w:val="00EB028B"/>
    <w:rsid w:val="00EB0334"/>
    <w:rsid w:val="00EB0CD5"/>
    <w:rsid w:val="00EB0F01"/>
    <w:rsid w:val="00EB107E"/>
    <w:rsid w:val="00EB12C6"/>
    <w:rsid w:val="00EB1623"/>
    <w:rsid w:val="00EB1F6F"/>
    <w:rsid w:val="00EB1FD5"/>
    <w:rsid w:val="00EB1FF7"/>
    <w:rsid w:val="00EB2384"/>
    <w:rsid w:val="00EB2637"/>
    <w:rsid w:val="00EB27F3"/>
    <w:rsid w:val="00EB28CB"/>
    <w:rsid w:val="00EB2BAB"/>
    <w:rsid w:val="00EB2DB0"/>
    <w:rsid w:val="00EB3004"/>
    <w:rsid w:val="00EB304D"/>
    <w:rsid w:val="00EB32DD"/>
    <w:rsid w:val="00EB358D"/>
    <w:rsid w:val="00EB392B"/>
    <w:rsid w:val="00EB3933"/>
    <w:rsid w:val="00EB4184"/>
    <w:rsid w:val="00EB4567"/>
    <w:rsid w:val="00EB4F16"/>
    <w:rsid w:val="00EB52C0"/>
    <w:rsid w:val="00EB54AA"/>
    <w:rsid w:val="00EB5955"/>
    <w:rsid w:val="00EB59B7"/>
    <w:rsid w:val="00EB5CFE"/>
    <w:rsid w:val="00EB5DD9"/>
    <w:rsid w:val="00EB6005"/>
    <w:rsid w:val="00EB6171"/>
    <w:rsid w:val="00EB634C"/>
    <w:rsid w:val="00EB67F3"/>
    <w:rsid w:val="00EB68D0"/>
    <w:rsid w:val="00EB69A3"/>
    <w:rsid w:val="00EB6B50"/>
    <w:rsid w:val="00EB7059"/>
    <w:rsid w:val="00EB75CB"/>
    <w:rsid w:val="00EB7C59"/>
    <w:rsid w:val="00EB7DF9"/>
    <w:rsid w:val="00EC00C0"/>
    <w:rsid w:val="00EC0382"/>
    <w:rsid w:val="00EC04CC"/>
    <w:rsid w:val="00EC0885"/>
    <w:rsid w:val="00EC090A"/>
    <w:rsid w:val="00EC0A3E"/>
    <w:rsid w:val="00EC0EBB"/>
    <w:rsid w:val="00EC0FD6"/>
    <w:rsid w:val="00EC0FE5"/>
    <w:rsid w:val="00EC1225"/>
    <w:rsid w:val="00EC1376"/>
    <w:rsid w:val="00EC137D"/>
    <w:rsid w:val="00EC1466"/>
    <w:rsid w:val="00EC1AC7"/>
    <w:rsid w:val="00EC2396"/>
    <w:rsid w:val="00EC2932"/>
    <w:rsid w:val="00EC2C50"/>
    <w:rsid w:val="00EC318C"/>
    <w:rsid w:val="00EC33BE"/>
    <w:rsid w:val="00EC3691"/>
    <w:rsid w:val="00EC3943"/>
    <w:rsid w:val="00EC39C2"/>
    <w:rsid w:val="00EC3AA7"/>
    <w:rsid w:val="00EC3B6E"/>
    <w:rsid w:val="00EC42CE"/>
    <w:rsid w:val="00EC4499"/>
    <w:rsid w:val="00EC44E1"/>
    <w:rsid w:val="00EC4908"/>
    <w:rsid w:val="00EC550D"/>
    <w:rsid w:val="00EC5513"/>
    <w:rsid w:val="00EC57C0"/>
    <w:rsid w:val="00EC5A19"/>
    <w:rsid w:val="00EC5AD3"/>
    <w:rsid w:val="00EC6DB9"/>
    <w:rsid w:val="00EC6F0F"/>
    <w:rsid w:val="00EC6FAA"/>
    <w:rsid w:val="00EC7152"/>
    <w:rsid w:val="00EC719C"/>
    <w:rsid w:val="00EC7AB4"/>
    <w:rsid w:val="00EC7C36"/>
    <w:rsid w:val="00ED017A"/>
    <w:rsid w:val="00ED0556"/>
    <w:rsid w:val="00ED075C"/>
    <w:rsid w:val="00ED09D1"/>
    <w:rsid w:val="00ED0BC9"/>
    <w:rsid w:val="00ED0F71"/>
    <w:rsid w:val="00ED0FDF"/>
    <w:rsid w:val="00ED0FFC"/>
    <w:rsid w:val="00ED1626"/>
    <w:rsid w:val="00ED1831"/>
    <w:rsid w:val="00ED1D25"/>
    <w:rsid w:val="00ED1ECD"/>
    <w:rsid w:val="00ED20FF"/>
    <w:rsid w:val="00ED2233"/>
    <w:rsid w:val="00ED2333"/>
    <w:rsid w:val="00ED262B"/>
    <w:rsid w:val="00ED27CF"/>
    <w:rsid w:val="00ED2825"/>
    <w:rsid w:val="00ED2B92"/>
    <w:rsid w:val="00ED2E33"/>
    <w:rsid w:val="00ED36E1"/>
    <w:rsid w:val="00ED37E3"/>
    <w:rsid w:val="00ED3AAB"/>
    <w:rsid w:val="00ED3EF3"/>
    <w:rsid w:val="00ED4086"/>
    <w:rsid w:val="00ED40F5"/>
    <w:rsid w:val="00ED428F"/>
    <w:rsid w:val="00ED43F3"/>
    <w:rsid w:val="00ED4412"/>
    <w:rsid w:val="00ED44F5"/>
    <w:rsid w:val="00ED453F"/>
    <w:rsid w:val="00ED4C38"/>
    <w:rsid w:val="00ED5358"/>
    <w:rsid w:val="00ED53EB"/>
    <w:rsid w:val="00ED54D4"/>
    <w:rsid w:val="00ED5732"/>
    <w:rsid w:val="00ED5DA8"/>
    <w:rsid w:val="00ED6146"/>
    <w:rsid w:val="00ED63C1"/>
    <w:rsid w:val="00ED65E9"/>
    <w:rsid w:val="00ED670E"/>
    <w:rsid w:val="00ED680E"/>
    <w:rsid w:val="00ED697A"/>
    <w:rsid w:val="00ED6A1E"/>
    <w:rsid w:val="00ED6DCE"/>
    <w:rsid w:val="00ED6E90"/>
    <w:rsid w:val="00ED7170"/>
    <w:rsid w:val="00ED728F"/>
    <w:rsid w:val="00ED75F2"/>
    <w:rsid w:val="00ED7618"/>
    <w:rsid w:val="00ED7CD7"/>
    <w:rsid w:val="00EE0055"/>
    <w:rsid w:val="00EE01A8"/>
    <w:rsid w:val="00EE03AD"/>
    <w:rsid w:val="00EE062D"/>
    <w:rsid w:val="00EE064C"/>
    <w:rsid w:val="00EE078D"/>
    <w:rsid w:val="00EE0D5E"/>
    <w:rsid w:val="00EE0DE7"/>
    <w:rsid w:val="00EE1484"/>
    <w:rsid w:val="00EE1565"/>
    <w:rsid w:val="00EE15F1"/>
    <w:rsid w:val="00EE1907"/>
    <w:rsid w:val="00EE1AD9"/>
    <w:rsid w:val="00EE1C96"/>
    <w:rsid w:val="00EE1CC6"/>
    <w:rsid w:val="00EE1E36"/>
    <w:rsid w:val="00EE1F98"/>
    <w:rsid w:val="00EE217B"/>
    <w:rsid w:val="00EE21A3"/>
    <w:rsid w:val="00EE2336"/>
    <w:rsid w:val="00EE2BC6"/>
    <w:rsid w:val="00EE2BE6"/>
    <w:rsid w:val="00EE2F9C"/>
    <w:rsid w:val="00EE3082"/>
    <w:rsid w:val="00EE31BB"/>
    <w:rsid w:val="00EE32FD"/>
    <w:rsid w:val="00EE35F0"/>
    <w:rsid w:val="00EE36A0"/>
    <w:rsid w:val="00EE3939"/>
    <w:rsid w:val="00EE3BE5"/>
    <w:rsid w:val="00EE4CA2"/>
    <w:rsid w:val="00EE4DAA"/>
    <w:rsid w:val="00EE4F1C"/>
    <w:rsid w:val="00EE4FE3"/>
    <w:rsid w:val="00EE50CF"/>
    <w:rsid w:val="00EE5265"/>
    <w:rsid w:val="00EE5546"/>
    <w:rsid w:val="00EE5E5E"/>
    <w:rsid w:val="00EE61BC"/>
    <w:rsid w:val="00EE6ABF"/>
    <w:rsid w:val="00EE6F2D"/>
    <w:rsid w:val="00EE6FB0"/>
    <w:rsid w:val="00EE6FE8"/>
    <w:rsid w:val="00EE7A2E"/>
    <w:rsid w:val="00EE7A87"/>
    <w:rsid w:val="00EE7DB5"/>
    <w:rsid w:val="00EE7DFC"/>
    <w:rsid w:val="00EE7F8B"/>
    <w:rsid w:val="00EF07C9"/>
    <w:rsid w:val="00EF0B10"/>
    <w:rsid w:val="00EF0F07"/>
    <w:rsid w:val="00EF10BB"/>
    <w:rsid w:val="00EF12A4"/>
    <w:rsid w:val="00EF12D9"/>
    <w:rsid w:val="00EF145E"/>
    <w:rsid w:val="00EF169C"/>
    <w:rsid w:val="00EF1BCA"/>
    <w:rsid w:val="00EF1C6D"/>
    <w:rsid w:val="00EF1DD4"/>
    <w:rsid w:val="00EF239E"/>
    <w:rsid w:val="00EF2518"/>
    <w:rsid w:val="00EF294E"/>
    <w:rsid w:val="00EF2966"/>
    <w:rsid w:val="00EF2E61"/>
    <w:rsid w:val="00EF32FE"/>
    <w:rsid w:val="00EF354B"/>
    <w:rsid w:val="00EF358D"/>
    <w:rsid w:val="00EF3654"/>
    <w:rsid w:val="00EF3776"/>
    <w:rsid w:val="00EF37F4"/>
    <w:rsid w:val="00EF39AA"/>
    <w:rsid w:val="00EF3F7F"/>
    <w:rsid w:val="00EF4369"/>
    <w:rsid w:val="00EF43BB"/>
    <w:rsid w:val="00EF4635"/>
    <w:rsid w:val="00EF48FE"/>
    <w:rsid w:val="00EF4A88"/>
    <w:rsid w:val="00EF50A3"/>
    <w:rsid w:val="00EF513F"/>
    <w:rsid w:val="00EF577E"/>
    <w:rsid w:val="00EF57F3"/>
    <w:rsid w:val="00EF5ADC"/>
    <w:rsid w:val="00EF5B75"/>
    <w:rsid w:val="00EF5D22"/>
    <w:rsid w:val="00EF5DB3"/>
    <w:rsid w:val="00EF644E"/>
    <w:rsid w:val="00EF67CF"/>
    <w:rsid w:val="00EF6F68"/>
    <w:rsid w:val="00EF6FE6"/>
    <w:rsid w:val="00EF723F"/>
    <w:rsid w:val="00EF74E5"/>
    <w:rsid w:val="00EF78E3"/>
    <w:rsid w:val="00EF7C91"/>
    <w:rsid w:val="00EF7D52"/>
    <w:rsid w:val="00EF7E5D"/>
    <w:rsid w:val="00F005DC"/>
    <w:rsid w:val="00F006CB"/>
    <w:rsid w:val="00F009BE"/>
    <w:rsid w:val="00F00BCF"/>
    <w:rsid w:val="00F00C17"/>
    <w:rsid w:val="00F01402"/>
    <w:rsid w:val="00F01944"/>
    <w:rsid w:val="00F01966"/>
    <w:rsid w:val="00F01C5D"/>
    <w:rsid w:val="00F02222"/>
    <w:rsid w:val="00F024CA"/>
    <w:rsid w:val="00F02525"/>
    <w:rsid w:val="00F0298E"/>
    <w:rsid w:val="00F02C4D"/>
    <w:rsid w:val="00F02ED3"/>
    <w:rsid w:val="00F02ED6"/>
    <w:rsid w:val="00F0302E"/>
    <w:rsid w:val="00F0309B"/>
    <w:rsid w:val="00F0370B"/>
    <w:rsid w:val="00F03779"/>
    <w:rsid w:val="00F03A0E"/>
    <w:rsid w:val="00F03B2D"/>
    <w:rsid w:val="00F03BC5"/>
    <w:rsid w:val="00F03C28"/>
    <w:rsid w:val="00F03C9D"/>
    <w:rsid w:val="00F0494B"/>
    <w:rsid w:val="00F04FB7"/>
    <w:rsid w:val="00F0547A"/>
    <w:rsid w:val="00F054C7"/>
    <w:rsid w:val="00F06053"/>
    <w:rsid w:val="00F061C7"/>
    <w:rsid w:val="00F064C0"/>
    <w:rsid w:val="00F06515"/>
    <w:rsid w:val="00F06684"/>
    <w:rsid w:val="00F06943"/>
    <w:rsid w:val="00F06DE3"/>
    <w:rsid w:val="00F073E0"/>
    <w:rsid w:val="00F07778"/>
    <w:rsid w:val="00F07A66"/>
    <w:rsid w:val="00F07BCC"/>
    <w:rsid w:val="00F07BE3"/>
    <w:rsid w:val="00F100B7"/>
    <w:rsid w:val="00F10311"/>
    <w:rsid w:val="00F104DF"/>
    <w:rsid w:val="00F105CE"/>
    <w:rsid w:val="00F105F8"/>
    <w:rsid w:val="00F10DE4"/>
    <w:rsid w:val="00F11582"/>
    <w:rsid w:val="00F11E31"/>
    <w:rsid w:val="00F121AA"/>
    <w:rsid w:val="00F12327"/>
    <w:rsid w:val="00F12593"/>
    <w:rsid w:val="00F12A58"/>
    <w:rsid w:val="00F12E86"/>
    <w:rsid w:val="00F13005"/>
    <w:rsid w:val="00F130F3"/>
    <w:rsid w:val="00F134D0"/>
    <w:rsid w:val="00F13852"/>
    <w:rsid w:val="00F13AA3"/>
    <w:rsid w:val="00F13B40"/>
    <w:rsid w:val="00F13BB7"/>
    <w:rsid w:val="00F13C40"/>
    <w:rsid w:val="00F14756"/>
    <w:rsid w:val="00F147C5"/>
    <w:rsid w:val="00F151DA"/>
    <w:rsid w:val="00F157AC"/>
    <w:rsid w:val="00F159CD"/>
    <w:rsid w:val="00F15E10"/>
    <w:rsid w:val="00F16048"/>
    <w:rsid w:val="00F161E7"/>
    <w:rsid w:val="00F1689B"/>
    <w:rsid w:val="00F16AAD"/>
    <w:rsid w:val="00F16BC7"/>
    <w:rsid w:val="00F16BF9"/>
    <w:rsid w:val="00F16D2D"/>
    <w:rsid w:val="00F174DB"/>
    <w:rsid w:val="00F178A8"/>
    <w:rsid w:val="00F17C3D"/>
    <w:rsid w:val="00F17CF0"/>
    <w:rsid w:val="00F200AD"/>
    <w:rsid w:val="00F20557"/>
    <w:rsid w:val="00F2062D"/>
    <w:rsid w:val="00F20A35"/>
    <w:rsid w:val="00F20A48"/>
    <w:rsid w:val="00F20F94"/>
    <w:rsid w:val="00F21081"/>
    <w:rsid w:val="00F210F0"/>
    <w:rsid w:val="00F212F2"/>
    <w:rsid w:val="00F21415"/>
    <w:rsid w:val="00F2147F"/>
    <w:rsid w:val="00F21B85"/>
    <w:rsid w:val="00F21E4F"/>
    <w:rsid w:val="00F22053"/>
    <w:rsid w:val="00F221B2"/>
    <w:rsid w:val="00F224FA"/>
    <w:rsid w:val="00F2259E"/>
    <w:rsid w:val="00F22BEC"/>
    <w:rsid w:val="00F22E35"/>
    <w:rsid w:val="00F22E8F"/>
    <w:rsid w:val="00F22ED0"/>
    <w:rsid w:val="00F230F8"/>
    <w:rsid w:val="00F23835"/>
    <w:rsid w:val="00F23AF0"/>
    <w:rsid w:val="00F23D18"/>
    <w:rsid w:val="00F245B9"/>
    <w:rsid w:val="00F24EA2"/>
    <w:rsid w:val="00F2506E"/>
    <w:rsid w:val="00F254F6"/>
    <w:rsid w:val="00F256F6"/>
    <w:rsid w:val="00F26138"/>
    <w:rsid w:val="00F264C1"/>
    <w:rsid w:val="00F2684B"/>
    <w:rsid w:val="00F268A0"/>
    <w:rsid w:val="00F26C2D"/>
    <w:rsid w:val="00F27206"/>
    <w:rsid w:val="00F27529"/>
    <w:rsid w:val="00F27556"/>
    <w:rsid w:val="00F2758D"/>
    <w:rsid w:val="00F27721"/>
    <w:rsid w:val="00F27751"/>
    <w:rsid w:val="00F27C10"/>
    <w:rsid w:val="00F27D4D"/>
    <w:rsid w:val="00F301BA"/>
    <w:rsid w:val="00F30207"/>
    <w:rsid w:val="00F304D4"/>
    <w:rsid w:val="00F3074E"/>
    <w:rsid w:val="00F30834"/>
    <w:rsid w:val="00F308C1"/>
    <w:rsid w:val="00F308F3"/>
    <w:rsid w:val="00F30F78"/>
    <w:rsid w:val="00F30FE7"/>
    <w:rsid w:val="00F311CE"/>
    <w:rsid w:val="00F313AA"/>
    <w:rsid w:val="00F3224F"/>
    <w:rsid w:val="00F324A0"/>
    <w:rsid w:val="00F3356B"/>
    <w:rsid w:val="00F336AE"/>
    <w:rsid w:val="00F336D7"/>
    <w:rsid w:val="00F337CE"/>
    <w:rsid w:val="00F33ABC"/>
    <w:rsid w:val="00F33E96"/>
    <w:rsid w:val="00F341F1"/>
    <w:rsid w:val="00F342C9"/>
    <w:rsid w:val="00F344E5"/>
    <w:rsid w:val="00F347E7"/>
    <w:rsid w:val="00F355FB"/>
    <w:rsid w:val="00F35688"/>
    <w:rsid w:val="00F35827"/>
    <w:rsid w:val="00F359FC"/>
    <w:rsid w:val="00F35DF3"/>
    <w:rsid w:val="00F35F6D"/>
    <w:rsid w:val="00F35F83"/>
    <w:rsid w:val="00F36076"/>
    <w:rsid w:val="00F36309"/>
    <w:rsid w:val="00F36388"/>
    <w:rsid w:val="00F3653C"/>
    <w:rsid w:val="00F37D05"/>
    <w:rsid w:val="00F37D3B"/>
    <w:rsid w:val="00F37E42"/>
    <w:rsid w:val="00F37ED2"/>
    <w:rsid w:val="00F401F0"/>
    <w:rsid w:val="00F403E5"/>
    <w:rsid w:val="00F405BD"/>
    <w:rsid w:val="00F407EA"/>
    <w:rsid w:val="00F4087D"/>
    <w:rsid w:val="00F40CAC"/>
    <w:rsid w:val="00F40F42"/>
    <w:rsid w:val="00F40FF3"/>
    <w:rsid w:val="00F41A23"/>
    <w:rsid w:val="00F420D0"/>
    <w:rsid w:val="00F4222C"/>
    <w:rsid w:val="00F42367"/>
    <w:rsid w:val="00F4261A"/>
    <w:rsid w:val="00F42A39"/>
    <w:rsid w:val="00F42A61"/>
    <w:rsid w:val="00F42DEA"/>
    <w:rsid w:val="00F42F86"/>
    <w:rsid w:val="00F431B8"/>
    <w:rsid w:val="00F432DC"/>
    <w:rsid w:val="00F43418"/>
    <w:rsid w:val="00F434C0"/>
    <w:rsid w:val="00F43613"/>
    <w:rsid w:val="00F4365D"/>
    <w:rsid w:val="00F43A11"/>
    <w:rsid w:val="00F43C7B"/>
    <w:rsid w:val="00F44135"/>
    <w:rsid w:val="00F4415E"/>
    <w:rsid w:val="00F44442"/>
    <w:rsid w:val="00F4479C"/>
    <w:rsid w:val="00F44AFD"/>
    <w:rsid w:val="00F44D34"/>
    <w:rsid w:val="00F44D7D"/>
    <w:rsid w:val="00F45245"/>
    <w:rsid w:val="00F456B4"/>
    <w:rsid w:val="00F45766"/>
    <w:rsid w:val="00F45794"/>
    <w:rsid w:val="00F45BDF"/>
    <w:rsid w:val="00F45ECD"/>
    <w:rsid w:val="00F46340"/>
    <w:rsid w:val="00F465B9"/>
    <w:rsid w:val="00F4684E"/>
    <w:rsid w:val="00F469E0"/>
    <w:rsid w:val="00F46B88"/>
    <w:rsid w:val="00F46CB6"/>
    <w:rsid w:val="00F46FE2"/>
    <w:rsid w:val="00F474E9"/>
    <w:rsid w:val="00F47837"/>
    <w:rsid w:val="00F47A73"/>
    <w:rsid w:val="00F47B99"/>
    <w:rsid w:val="00F47ECE"/>
    <w:rsid w:val="00F500AC"/>
    <w:rsid w:val="00F50145"/>
    <w:rsid w:val="00F50263"/>
    <w:rsid w:val="00F50418"/>
    <w:rsid w:val="00F507C7"/>
    <w:rsid w:val="00F50816"/>
    <w:rsid w:val="00F50F05"/>
    <w:rsid w:val="00F50F5B"/>
    <w:rsid w:val="00F5123A"/>
    <w:rsid w:val="00F51266"/>
    <w:rsid w:val="00F5149E"/>
    <w:rsid w:val="00F51CF4"/>
    <w:rsid w:val="00F52436"/>
    <w:rsid w:val="00F52E9E"/>
    <w:rsid w:val="00F536F7"/>
    <w:rsid w:val="00F53ACB"/>
    <w:rsid w:val="00F53E1D"/>
    <w:rsid w:val="00F542A8"/>
    <w:rsid w:val="00F54384"/>
    <w:rsid w:val="00F54438"/>
    <w:rsid w:val="00F54B39"/>
    <w:rsid w:val="00F54C04"/>
    <w:rsid w:val="00F54FEE"/>
    <w:rsid w:val="00F55501"/>
    <w:rsid w:val="00F559E6"/>
    <w:rsid w:val="00F55E52"/>
    <w:rsid w:val="00F55ED8"/>
    <w:rsid w:val="00F56090"/>
    <w:rsid w:val="00F5645E"/>
    <w:rsid w:val="00F564BD"/>
    <w:rsid w:val="00F566C5"/>
    <w:rsid w:val="00F56B2A"/>
    <w:rsid w:val="00F56D5A"/>
    <w:rsid w:val="00F56D7F"/>
    <w:rsid w:val="00F57AC3"/>
    <w:rsid w:val="00F57BD4"/>
    <w:rsid w:val="00F57D31"/>
    <w:rsid w:val="00F57E2D"/>
    <w:rsid w:val="00F57F13"/>
    <w:rsid w:val="00F600B8"/>
    <w:rsid w:val="00F607E6"/>
    <w:rsid w:val="00F60B57"/>
    <w:rsid w:val="00F60DD1"/>
    <w:rsid w:val="00F60DFB"/>
    <w:rsid w:val="00F61381"/>
    <w:rsid w:val="00F6198A"/>
    <w:rsid w:val="00F6198E"/>
    <w:rsid w:val="00F6201C"/>
    <w:rsid w:val="00F622C5"/>
    <w:rsid w:val="00F62717"/>
    <w:rsid w:val="00F6294D"/>
    <w:rsid w:val="00F62CF0"/>
    <w:rsid w:val="00F62DA8"/>
    <w:rsid w:val="00F62E55"/>
    <w:rsid w:val="00F63221"/>
    <w:rsid w:val="00F63E65"/>
    <w:rsid w:val="00F640D7"/>
    <w:rsid w:val="00F64296"/>
    <w:rsid w:val="00F6487D"/>
    <w:rsid w:val="00F648DC"/>
    <w:rsid w:val="00F64A40"/>
    <w:rsid w:val="00F64A68"/>
    <w:rsid w:val="00F64A80"/>
    <w:rsid w:val="00F64D3E"/>
    <w:rsid w:val="00F65194"/>
    <w:rsid w:val="00F6541B"/>
    <w:rsid w:val="00F65B76"/>
    <w:rsid w:val="00F65C1B"/>
    <w:rsid w:val="00F65E4E"/>
    <w:rsid w:val="00F66107"/>
    <w:rsid w:val="00F66396"/>
    <w:rsid w:val="00F663D6"/>
    <w:rsid w:val="00F6656D"/>
    <w:rsid w:val="00F66628"/>
    <w:rsid w:val="00F6689D"/>
    <w:rsid w:val="00F669F2"/>
    <w:rsid w:val="00F66CAB"/>
    <w:rsid w:val="00F66D38"/>
    <w:rsid w:val="00F66D9B"/>
    <w:rsid w:val="00F66E0A"/>
    <w:rsid w:val="00F6749D"/>
    <w:rsid w:val="00F677D5"/>
    <w:rsid w:val="00F67928"/>
    <w:rsid w:val="00F67B18"/>
    <w:rsid w:val="00F67BBF"/>
    <w:rsid w:val="00F67C31"/>
    <w:rsid w:val="00F67E06"/>
    <w:rsid w:val="00F70127"/>
    <w:rsid w:val="00F7025A"/>
    <w:rsid w:val="00F7027C"/>
    <w:rsid w:val="00F70746"/>
    <w:rsid w:val="00F7075F"/>
    <w:rsid w:val="00F70888"/>
    <w:rsid w:val="00F70B97"/>
    <w:rsid w:val="00F70D66"/>
    <w:rsid w:val="00F71A27"/>
    <w:rsid w:val="00F71B75"/>
    <w:rsid w:val="00F71EA8"/>
    <w:rsid w:val="00F721A5"/>
    <w:rsid w:val="00F722C0"/>
    <w:rsid w:val="00F72370"/>
    <w:rsid w:val="00F72672"/>
    <w:rsid w:val="00F72CA1"/>
    <w:rsid w:val="00F72CE0"/>
    <w:rsid w:val="00F72FE1"/>
    <w:rsid w:val="00F735C1"/>
    <w:rsid w:val="00F7390C"/>
    <w:rsid w:val="00F73BE3"/>
    <w:rsid w:val="00F73CE2"/>
    <w:rsid w:val="00F740B7"/>
    <w:rsid w:val="00F7432F"/>
    <w:rsid w:val="00F743A6"/>
    <w:rsid w:val="00F750F7"/>
    <w:rsid w:val="00F75489"/>
    <w:rsid w:val="00F75543"/>
    <w:rsid w:val="00F75B93"/>
    <w:rsid w:val="00F75FDE"/>
    <w:rsid w:val="00F7687E"/>
    <w:rsid w:val="00F76908"/>
    <w:rsid w:val="00F7695A"/>
    <w:rsid w:val="00F769D6"/>
    <w:rsid w:val="00F76D50"/>
    <w:rsid w:val="00F76EF3"/>
    <w:rsid w:val="00F77220"/>
    <w:rsid w:val="00F772E5"/>
    <w:rsid w:val="00F7765A"/>
    <w:rsid w:val="00F7776F"/>
    <w:rsid w:val="00F77984"/>
    <w:rsid w:val="00F77D2E"/>
    <w:rsid w:val="00F8081E"/>
    <w:rsid w:val="00F809C3"/>
    <w:rsid w:val="00F809ED"/>
    <w:rsid w:val="00F80AA5"/>
    <w:rsid w:val="00F80C1C"/>
    <w:rsid w:val="00F80E11"/>
    <w:rsid w:val="00F80E97"/>
    <w:rsid w:val="00F81419"/>
    <w:rsid w:val="00F8145B"/>
    <w:rsid w:val="00F816F6"/>
    <w:rsid w:val="00F8192B"/>
    <w:rsid w:val="00F82B60"/>
    <w:rsid w:val="00F82EBB"/>
    <w:rsid w:val="00F83012"/>
    <w:rsid w:val="00F83584"/>
    <w:rsid w:val="00F839C9"/>
    <w:rsid w:val="00F839F9"/>
    <w:rsid w:val="00F83F44"/>
    <w:rsid w:val="00F83FC3"/>
    <w:rsid w:val="00F83FE1"/>
    <w:rsid w:val="00F83FFD"/>
    <w:rsid w:val="00F841FF"/>
    <w:rsid w:val="00F84212"/>
    <w:rsid w:val="00F84275"/>
    <w:rsid w:val="00F842F4"/>
    <w:rsid w:val="00F844B7"/>
    <w:rsid w:val="00F8461D"/>
    <w:rsid w:val="00F847D0"/>
    <w:rsid w:val="00F84951"/>
    <w:rsid w:val="00F849B3"/>
    <w:rsid w:val="00F85013"/>
    <w:rsid w:val="00F85027"/>
    <w:rsid w:val="00F85074"/>
    <w:rsid w:val="00F85377"/>
    <w:rsid w:val="00F85600"/>
    <w:rsid w:val="00F8568A"/>
    <w:rsid w:val="00F85A35"/>
    <w:rsid w:val="00F85B48"/>
    <w:rsid w:val="00F85C3E"/>
    <w:rsid w:val="00F85DAB"/>
    <w:rsid w:val="00F86286"/>
    <w:rsid w:val="00F864AC"/>
    <w:rsid w:val="00F86563"/>
    <w:rsid w:val="00F86570"/>
    <w:rsid w:val="00F86750"/>
    <w:rsid w:val="00F86EF0"/>
    <w:rsid w:val="00F86F1E"/>
    <w:rsid w:val="00F87102"/>
    <w:rsid w:val="00F87252"/>
    <w:rsid w:val="00F8796E"/>
    <w:rsid w:val="00F87B92"/>
    <w:rsid w:val="00F87CD4"/>
    <w:rsid w:val="00F87D99"/>
    <w:rsid w:val="00F87E9A"/>
    <w:rsid w:val="00F9037C"/>
    <w:rsid w:val="00F904BF"/>
    <w:rsid w:val="00F906AC"/>
    <w:rsid w:val="00F90725"/>
    <w:rsid w:val="00F90892"/>
    <w:rsid w:val="00F90C57"/>
    <w:rsid w:val="00F90DF0"/>
    <w:rsid w:val="00F90E24"/>
    <w:rsid w:val="00F90E5C"/>
    <w:rsid w:val="00F90E60"/>
    <w:rsid w:val="00F9103B"/>
    <w:rsid w:val="00F9107B"/>
    <w:rsid w:val="00F91A3C"/>
    <w:rsid w:val="00F91D35"/>
    <w:rsid w:val="00F9205C"/>
    <w:rsid w:val="00F924EB"/>
    <w:rsid w:val="00F926C2"/>
    <w:rsid w:val="00F92A1C"/>
    <w:rsid w:val="00F92A91"/>
    <w:rsid w:val="00F93A90"/>
    <w:rsid w:val="00F93BF0"/>
    <w:rsid w:val="00F93DBA"/>
    <w:rsid w:val="00F93F34"/>
    <w:rsid w:val="00F942E3"/>
    <w:rsid w:val="00F946B5"/>
    <w:rsid w:val="00F947F1"/>
    <w:rsid w:val="00F94899"/>
    <w:rsid w:val="00F94D2D"/>
    <w:rsid w:val="00F94DFA"/>
    <w:rsid w:val="00F95180"/>
    <w:rsid w:val="00F9556A"/>
    <w:rsid w:val="00F9568D"/>
    <w:rsid w:val="00F95DE3"/>
    <w:rsid w:val="00F95F5B"/>
    <w:rsid w:val="00F9605F"/>
    <w:rsid w:val="00F961F9"/>
    <w:rsid w:val="00F9637D"/>
    <w:rsid w:val="00F963FD"/>
    <w:rsid w:val="00F96402"/>
    <w:rsid w:val="00F96467"/>
    <w:rsid w:val="00F96893"/>
    <w:rsid w:val="00F969CF"/>
    <w:rsid w:val="00F96A88"/>
    <w:rsid w:val="00F96E85"/>
    <w:rsid w:val="00F96EFF"/>
    <w:rsid w:val="00F973E6"/>
    <w:rsid w:val="00F97680"/>
    <w:rsid w:val="00F977F8"/>
    <w:rsid w:val="00FA0B50"/>
    <w:rsid w:val="00FA0B6B"/>
    <w:rsid w:val="00FA0DD9"/>
    <w:rsid w:val="00FA12AE"/>
    <w:rsid w:val="00FA132E"/>
    <w:rsid w:val="00FA167A"/>
    <w:rsid w:val="00FA174D"/>
    <w:rsid w:val="00FA17B3"/>
    <w:rsid w:val="00FA1C46"/>
    <w:rsid w:val="00FA1F89"/>
    <w:rsid w:val="00FA2CB9"/>
    <w:rsid w:val="00FA2FF9"/>
    <w:rsid w:val="00FA3730"/>
    <w:rsid w:val="00FA3A42"/>
    <w:rsid w:val="00FA3DD3"/>
    <w:rsid w:val="00FA415E"/>
    <w:rsid w:val="00FA4554"/>
    <w:rsid w:val="00FA4648"/>
    <w:rsid w:val="00FA4B99"/>
    <w:rsid w:val="00FA4BBB"/>
    <w:rsid w:val="00FA4F9D"/>
    <w:rsid w:val="00FA523F"/>
    <w:rsid w:val="00FA5424"/>
    <w:rsid w:val="00FA54AF"/>
    <w:rsid w:val="00FA5743"/>
    <w:rsid w:val="00FA578A"/>
    <w:rsid w:val="00FA5792"/>
    <w:rsid w:val="00FA5AB4"/>
    <w:rsid w:val="00FA5E50"/>
    <w:rsid w:val="00FA5E53"/>
    <w:rsid w:val="00FA6015"/>
    <w:rsid w:val="00FA611B"/>
    <w:rsid w:val="00FA6134"/>
    <w:rsid w:val="00FA65FB"/>
    <w:rsid w:val="00FA6DBA"/>
    <w:rsid w:val="00FA7017"/>
    <w:rsid w:val="00FA70EB"/>
    <w:rsid w:val="00FA716D"/>
    <w:rsid w:val="00FA72B1"/>
    <w:rsid w:val="00FA7413"/>
    <w:rsid w:val="00FA778D"/>
    <w:rsid w:val="00FA7ECD"/>
    <w:rsid w:val="00FB0336"/>
    <w:rsid w:val="00FB03D8"/>
    <w:rsid w:val="00FB04AF"/>
    <w:rsid w:val="00FB05DF"/>
    <w:rsid w:val="00FB062A"/>
    <w:rsid w:val="00FB0699"/>
    <w:rsid w:val="00FB079A"/>
    <w:rsid w:val="00FB0852"/>
    <w:rsid w:val="00FB0AF5"/>
    <w:rsid w:val="00FB0DA8"/>
    <w:rsid w:val="00FB0E62"/>
    <w:rsid w:val="00FB0EE0"/>
    <w:rsid w:val="00FB187F"/>
    <w:rsid w:val="00FB18EC"/>
    <w:rsid w:val="00FB1B1D"/>
    <w:rsid w:val="00FB1BCC"/>
    <w:rsid w:val="00FB22DA"/>
    <w:rsid w:val="00FB24E4"/>
    <w:rsid w:val="00FB2694"/>
    <w:rsid w:val="00FB2BA3"/>
    <w:rsid w:val="00FB319A"/>
    <w:rsid w:val="00FB3254"/>
    <w:rsid w:val="00FB347F"/>
    <w:rsid w:val="00FB34D2"/>
    <w:rsid w:val="00FB3955"/>
    <w:rsid w:val="00FB3A6F"/>
    <w:rsid w:val="00FB3CC1"/>
    <w:rsid w:val="00FB3E3D"/>
    <w:rsid w:val="00FB490B"/>
    <w:rsid w:val="00FB4989"/>
    <w:rsid w:val="00FB5128"/>
    <w:rsid w:val="00FB52AA"/>
    <w:rsid w:val="00FB5677"/>
    <w:rsid w:val="00FB5957"/>
    <w:rsid w:val="00FB5EC4"/>
    <w:rsid w:val="00FB5F46"/>
    <w:rsid w:val="00FB60E0"/>
    <w:rsid w:val="00FB68B3"/>
    <w:rsid w:val="00FB6917"/>
    <w:rsid w:val="00FB694F"/>
    <w:rsid w:val="00FB6DB1"/>
    <w:rsid w:val="00FB6E80"/>
    <w:rsid w:val="00FB6EA3"/>
    <w:rsid w:val="00FB7111"/>
    <w:rsid w:val="00FB73B9"/>
    <w:rsid w:val="00FB750D"/>
    <w:rsid w:val="00FB764D"/>
    <w:rsid w:val="00FB785E"/>
    <w:rsid w:val="00FB7A17"/>
    <w:rsid w:val="00FB7B20"/>
    <w:rsid w:val="00FB7EC9"/>
    <w:rsid w:val="00FC0090"/>
    <w:rsid w:val="00FC071F"/>
    <w:rsid w:val="00FC0B65"/>
    <w:rsid w:val="00FC1A86"/>
    <w:rsid w:val="00FC1D95"/>
    <w:rsid w:val="00FC211D"/>
    <w:rsid w:val="00FC23CE"/>
    <w:rsid w:val="00FC316A"/>
    <w:rsid w:val="00FC342A"/>
    <w:rsid w:val="00FC379D"/>
    <w:rsid w:val="00FC4134"/>
    <w:rsid w:val="00FC438E"/>
    <w:rsid w:val="00FC43E8"/>
    <w:rsid w:val="00FC4626"/>
    <w:rsid w:val="00FC48BB"/>
    <w:rsid w:val="00FC49C5"/>
    <w:rsid w:val="00FC4C40"/>
    <w:rsid w:val="00FC4D2E"/>
    <w:rsid w:val="00FC5181"/>
    <w:rsid w:val="00FC5415"/>
    <w:rsid w:val="00FC5583"/>
    <w:rsid w:val="00FC57D2"/>
    <w:rsid w:val="00FC5B37"/>
    <w:rsid w:val="00FC5D52"/>
    <w:rsid w:val="00FC6173"/>
    <w:rsid w:val="00FC6300"/>
    <w:rsid w:val="00FC6407"/>
    <w:rsid w:val="00FC6522"/>
    <w:rsid w:val="00FC6AA7"/>
    <w:rsid w:val="00FC7C92"/>
    <w:rsid w:val="00FD0125"/>
    <w:rsid w:val="00FD01DE"/>
    <w:rsid w:val="00FD03D1"/>
    <w:rsid w:val="00FD07BA"/>
    <w:rsid w:val="00FD0B34"/>
    <w:rsid w:val="00FD0F92"/>
    <w:rsid w:val="00FD1B8B"/>
    <w:rsid w:val="00FD1B9C"/>
    <w:rsid w:val="00FD1BC8"/>
    <w:rsid w:val="00FD1DBF"/>
    <w:rsid w:val="00FD1F10"/>
    <w:rsid w:val="00FD25A0"/>
    <w:rsid w:val="00FD26B1"/>
    <w:rsid w:val="00FD26FA"/>
    <w:rsid w:val="00FD2727"/>
    <w:rsid w:val="00FD2867"/>
    <w:rsid w:val="00FD2999"/>
    <w:rsid w:val="00FD2C37"/>
    <w:rsid w:val="00FD2F27"/>
    <w:rsid w:val="00FD2F60"/>
    <w:rsid w:val="00FD3368"/>
    <w:rsid w:val="00FD343E"/>
    <w:rsid w:val="00FD3451"/>
    <w:rsid w:val="00FD381A"/>
    <w:rsid w:val="00FD39AF"/>
    <w:rsid w:val="00FD3A1C"/>
    <w:rsid w:val="00FD3A4D"/>
    <w:rsid w:val="00FD3D30"/>
    <w:rsid w:val="00FD4348"/>
    <w:rsid w:val="00FD4549"/>
    <w:rsid w:val="00FD4B1F"/>
    <w:rsid w:val="00FD4C44"/>
    <w:rsid w:val="00FD5E32"/>
    <w:rsid w:val="00FD5E7F"/>
    <w:rsid w:val="00FD6233"/>
    <w:rsid w:val="00FD6ADE"/>
    <w:rsid w:val="00FD6AF1"/>
    <w:rsid w:val="00FD6D09"/>
    <w:rsid w:val="00FD6E00"/>
    <w:rsid w:val="00FD6E91"/>
    <w:rsid w:val="00FD752A"/>
    <w:rsid w:val="00FD75BD"/>
    <w:rsid w:val="00FD7B2A"/>
    <w:rsid w:val="00FD7EAD"/>
    <w:rsid w:val="00FD7FFC"/>
    <w:rsid w:val="00FE02D2"/>
    <w:rsid w:val="00FE0333"/>
    <w:rsid w:val="00FE0AA8"/>
    <w:rsid w:val="00FE0CE6"/>
    <w:rsid w:val="00FE0FF4"/>
    <w:rsid w:val="00FE1035"/>
    <w:rsid w:val="00FE1426"/>
    <w:rsid w:val="00FE1543"/>
    <w:rsid w:val="00FE16C7"/>
    <w:rsid w:val="00FE16DF"/>
    <w:rsid w:val="00FE1F10"/>
    <w:rsid w:val="00FE2781"/>
    <w:rsid w:val="00FE2791"/>
    <w:rsid w:val="00FE2825"/>
    <w:rsid w:val="00FE2897"/>
    <w:rsid w:val="00FE2A75"/>
    <w:rsid w:val="00FE2AEA"/>
    <w:rsid w:val="00FE2F76"/>
    <w:rsid w:val="00FE3012"/>
    <w:rsid w:val="00FE332B"/>
    <w:rsid w:val="00FE35BA"/>
    <w:rsid w:val="00FE36F7"/>
    <w:rsid w:val="00FE40A0"/>
    <w:rsid w:val="00FE4979"/>
    <w:rsid w:val="00FE497A"/>
    <w:rsid w:val="00FE4B0D"/>
    <w:rsid w:val="00FE4C1D"/>
    <w:rsid w:val="00FE529E"/>
    <w:rsid w:val="00FE531D"/>
    <w:rsid w:val="00FE5646"/>
    <w:rsid w:val="00FE56AC"/>
    <w:rsid w:val="00FE57E7"/>
    <w:rsid w:val="00FE59A2"/>
    <w:rsid w:val="00FE5AC2"/>
    <w:rsid w:val="00FE5D31"/>
    <w:rsid w:val="00FE5D69"/>
    <w:rsid w:val="00FE5DCC"/>
    <w:rsid w:val="00FE5F81"/>
    <w:rsid w:val="00FE6000"/>
    <w:rsid w:val="00FE60AB"/>
    <w:rsid w:val="00FE611E"/>
    <w:rsid w:val="00FE62F8"/>
    <w:rsid w:val="00FE6371"/>
    <w:rsid w:val="00FE6E2D"/>
    <w:rsid w:val="00FE6F7D"/>
    <w:rsid w:val="00FE732A"/>
    <w:rsid w:val="00FE74B0"/>
    <w:rsid w:val="00FE7D3C"/>
    <w:rsid w:val="00FF0214"/>
    <w:rsid w:val="00FF0883"/>
    <w:rsid w:val="00FF0A2A"/>
    <w:rsid w:val="00FF0A9E"/>
    <w:rsid w:val="00FF1340"/>
    <w:rsid w:val="00FF148E"/>
    <w:rsid w:val="00FF1D36"/>
    <w:rsid w:val="00FF1DF8"/>
    <w:rsid w:val="00FF27D7"/>
    <w:rsid w:val="00FF28A8"/>
    <w:rsid w:val="00FF2AF3"/>
    <w:rsid w:val="00FF2DE8"/>
    <w:rsid w:val="00FF31A4"/>
    <w:rsid w:val="00FF38E9"/>
    <w:rsid w:val="00FF3AB1"/>
    <w:rsid w:val="00FF3E3A"/>
    <w:rsid w:val="00FF3EA7"/>
    <w:rsid w:val="00FF45DD"/>
    <w:rsid w:val="00FF4651"/>
    <w:rsid w:val="00FF4E2A"/>
    <w:rsid w:val="00FF4EBB"/>
    <w:rsid w:val="00FF5444"/>
    <w:rsid w:val="00FF553A"/>
    <w:rsid w:val="00FF5557"/>
    <w:rsid w:val="00FF55AE"/>
    <w:rsid w:val="00FF5612"/>
    <w:rsid w:val="00FF5DF0"/>
    <w:rsid w:val="00FF5E67"/>
    <w:rsid w:val="00FF5FB0"/>
    <w:rsid w:val="00FF6667"/>
    <w:rsid w:val="00FF6B20"/>
    <w:rsid w:val="00FF6DAE"/>
    <w:rsid w:val="00FF7373"/>
    <w:rsid w:val="00FF765D"/>
    <w:rsid w:val="00FF777B"/>
    <w:rsid w:val="0132E8DB"/>
    <w:rsid w:val="02334055"/>
    <w:rsid w:val="02BD18C3"/>
    <w:rsid w:val="0613D62F"/>
    <w:rsid w:val="06545D6E"/>
    <w:rsid w:val="06BD128D"/>
    <w:rsid w:val="09DD842B"/>
    <w:rsid w:val="0A673F38"/>
    <w:rsid w:val="0C27EDBF"/>
    <w:rsid w:val="0D63BD1D"/>
    <w:rsid w:val="13931192"/>
    <w:rsid w:val="14D2890F"/>
    <w:rsid w:val="1586B7A3"/>
    <w:rsid w:val="17452EAA"/>
    <w:rsid w:val="1780D36B"/>
    <w:rsid w:val="190EC2F4"/>
    <w:rsid w:val="1B55C48A"/>
    <w:rsid w:val="1BB12834"/>
    <w:rsid w:val="1CDD364D"/>
    <w:rsid w:val="1F129BCC"/>
    <w:rsid w:val="1F276D10"/>
    <w:rsid w:val="1FA11C36"/>
    <w:rsid w:val="2199DCF3"/>
    <w:rsid w:val="272A5F99"/>
    <w:rsid w:val="2807EF87"/>
    <w:rsid w:val="2A07A0B0"/>
    <w:rsid w:val="2BC15B64"/>
    <w:rsid w:val="2EF144D8"/>
    <w:rsid w:val="31100CCC"/>
    <w:rsid w:val="359C8154"/>
    <w:rsid w:val="3689FDA5"/>
    <w:rsid w:val="38E8EAF2"/>
    <w:rsid w:val="39100FDC"/>
    <w:rsid w:val="3B91594F"/>
    <w:rsid w:val="3DCB8792"/>
    <w:rsid w:val="3DCCB682"/>
    <w:rsid w:val="3FF4D80F"/>
    <w:rsid w:val="411B5DA6"/>
    <w:rsid w:val="424CB866"/>
    <w:rsid w:val="4387017D"/>
    <w:rsid w:val="43DAEC5D"/>
    <w:rsid w:val="4433D8AA"/>
    <w:rsid w:val="47934CEA"/>
    <w:rsid w:val="490749CD"/>
    <w:rsid w:val="492C8C9A"/>
    <w:rsid w:val="4CE99ECC"/>
    <w:rsid w:val="4EDBAEA4"/>
    <w:rsid w:val="4F28DD8E"/>
    <w:rsid w:val="521D809A"/>
    <w:rsid w:val="525A255C"/>
    <w:rsid w:val="540CC03A"/>
    <w:rsid w:val="544AB671"/>
    <w:rsid w:val="589E4AF9"/>
    <w:rsid w:val="5C0F0BF7"/>
    <w:rsid w:val="5E59B7B0"/>
    <w:rsid w:val="601A33B1"/>
    <w:rsid w:val="61234423"/>
    <w:rsid w:val="63152F66"/>
    <w:rsid w:val="63B63A6D"/>
    <w:rsid w:val="65B8BCB3"/>
    <w:rsid w:val="664C38B0"/>
    <w:rsid w:val="66C8AA5D"/>
    <w:rsid w:val="67311DB1"/>
    <w:rsid w:val="686A7699"/>
    <w:rsid w:val="6B376233"/>
    <w:rsid w:val="6CF851C7"/>
    <w:rsid w:val="6CFFD9AB"/>
    <w:rsid w:val="6EB39425"/>
    <w:rsid w:val="70663E57"/>
    <w:rsid w:val="77935BA7"/>
    <w:rsid w:val="787E125A"/>
    <w:rsid w:val="7B6B4A93"/>
    <w:rsid w:val="7CD7C2C5"/>
    <w:rsid w:val="7DAC7E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4D98EC0"/>
  <w15:docId w15:val="{E2933A35-0B7E-464D-AD96-86299EAE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17"/>
    <w:pPr>
      <w:widowControl w:val="0"/>
      <w:autoSpaceDE w:val="0"/>
      <w:autoSpaceDN w:val="0"/>
      <w:adjustRightInd w:val="0"/>
    </w:pPr>
    <w:rPr>
      <w:rFonts w:ascii="Arial" w:hAnsi="Arial" w:cs="Arial"/>
      <w:sz w:val="24"/>
      <w:szCs w:val="24"/>
    </w:rPr>
  </w:style>
  <w:style w:type="paragraph" w:styleId="Heading1">
    <w:name w:val="heading 1"/>
    <w:next w:val="BodyText"/>
    <w:link w:val="Heading1Char"/>
    <w:qFormat/>
    <w:rsid w:val="00CB5130"/>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A95DF8"/>
    <w:pPr>
      <w:keepNext/>
      <w:spacing w:before="220"/>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CB5130"/>
    <w:pPr>
      <w:outlineLvl w:val="2"/>
    </w:pPr>
  </w:style>
  <w:style w:type="paragraph" w:styleId="Heading4">
    <w:name w:val="heading 4"/>
    <w:basedOn w:val="Normal"/>
    <w:next w:val="Normal"/>
    <w:link w:val="Heading4Char"/>
    <w:qFormat/>
    <w:rsid w:val="00224C17"/>
    <w:pPr>
      <w:jc w:val="center"/>
      <w:outlineLvl w:val="3"/>
    </w:pPr>
    <w:rPr>
      <w:b/>
    </w:rPr>
  </w:style>
  <w:style w:type="paragraph" w:styleId="Heading5">
    <w:name w:val="heading 5"/>
    <w:basedOn w:val="Normal"/>
    <w:next w:val="Normal"/>
    <w:link w:val="Heading5Char"/>
    <w:unhideWhenUsed/>
    <w:qFormat/>
    <w:rsid w:val="009E0DE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65CBD"/>
    <w:pPr>
      <w:widowControl/>
      <w:spacing w:before="240" w:after="60"/>
      <w:outlineLvl w:val="5"/>
    </w:pPr>
    <w:rPr>
      <w:rFonts w:cs="Times New Roman"/>
      <w:b/>
      <w:bCs/>
      <w:sz w:val="22"/>
      <w:szCs w:val="22"/>
    </w:rPr>
  </w:style>
  <w:style w:type="paragraph" w:styleId="Heading7">
    <w:name w:val="heading 7"/>
    <w:basedOn w:val="Normal"/>
    <w:next w:val="Normal"/>
    <w:link w:val="Heading7Char"/>
    <w:qFormat/>
    <w:rsid w:val="00765CBD"/>
    <w:pPr>
      <w:widowControl/>
      <w:spacing w:before="240" w:after="60"/>
      <w:outlineLvl w:val="6"/>
    </w:pPr>
    <w:rPr>
      <w:rFonts w:cs="Times New Roman"/>
    </w:rPr>
  </w:style>
  <w:style w:type="paragraph" w:styleId="Heading8">
    <w:name w:val="heading 8"/>
    <w:basedOn w:val="Normal"/>
    <w:next w:val="Normal"/>
    <w:link w:val="Heading8Char"/>
    <w:qFormat/>
    <w:rsid w:val="002F7D5D"/>
    <w:pPr>
      <w:widowControl/>
      <w:tabs>
        <w:tab w:val="num" w:pos="1440"/>
      </w:tabs>
      <w:spacing w:before="240" w:after="60"/>
      <w:ind w:left="1440" w:hanging="432"/>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75A0F"/>
    <w:pPr>
      <w:widowControl w:val="0"/>
      <w:autoSpaceDE w:val="0"/>
      <w:autoSpaceDN w:val="0"/>
      <w:adjustRightInd w:val="0"/>
      <w:ind w:left="720"/>
      <w:jc w:val="both"/>
    </w:pPr>
    <w:rPr>
      <w:sz w:val="24"/>
      <w:szCs w:val="24"/>
    </w:rPr>
  </w:style>
  <w:style w:type="paragraph" w:customStyle="1" w:styleId="Level2">
    <w:name w:val="Level 2"/>
    <w:rsid w:val="00775A0F"/>
    <w:pPr>
      <w:widowControl w:val="0"/>
      <w:autoSpaceDE w:val="0"/>
      <w:autoSpaceDN w:val="0"/>
      <w:adjustRightInd w:val="0"/>
      <w:ind w:left="1440"/>
      <w:jc w:val="both"/>
    </w:pPr>
    <w:rPr>
      <w:sz w:val="24"/>
      <w:szCs w:val="24"/>
    </w:rPr>
  </w:style>
  <w:style w:type="paragraph" w:customStyle="1" w:styleId="Level3">
    <w:name w:val="Level 3"/>
    <w:rsid w:val="00775A0F"/>
    <w:pPr>
      <w:widowControl w:val="0"/>
      <w:autoSpaceDE w:val="0"/>
      <w:autoSpaceDN w:val="0"/>
      <w:adjustRightInd w:val="0"/>
      <w:ind w:left="2160"/>
      <w:jc w:val="both"/>
    </w:pPr>
    <w:rPr>
      <w:sz w:val="24"/>
      <w:szCs w:val="24"/>
    </w:rPr>
  </w:style>
  <w:style w:type="paragraph" w:customStyle="1" w:styleId="Level4">
    <w:name w:val="Level 4"/>
    <w:rsid w:val="00775A0F"/>
    <w:pPr>
      <w:widowControl w:val="0"/>
      <w:autoSpaceDE w:val="0"/>
      <w:autoSpaceDN w:val="0"/>
      <w:adjustRightInd w:val="0"/>
      <w:ind w:left="2880"/>
      <w:jc w:val="both"/>
    </w:pPr>
    <w:rPr>
      <w:sz w:val="24"/>
      <w:szCs w:val="24"/>
    </w:rPr>
  </w:style>
  <w:style w:type="paragraph" w:customStyle="1" w:styleId="Level5">
    <w:name w:val="Level 5"/>
    <w:rsid w:val="00775A0F"/>
    <w:pPr>
      <w:widowControl w:val="0"/>
      <w:autoSpaceDE w:val="0"/>
      <w:autoSpaceDN w:val="0"/>
      <w:adjustRightInd w:val="0"/>
      <w:ind w:left="3600"/>
      <w:jc w:val="both"/>
    </w:pPr>
    <w:rPr>
      <w:sz w:val="24"/>
      <w:szCs w:val="24"/>
    </w:rPr>
  </w:style>
  <w:style w:type="paragraph" w:customStyle="1" w:styleId="Level6">
    <w:name w:val="Level 6"/>
    <w:rsid w:val="00775A0F"/>
    <w:pPr>
      <w:widowControl w:val="0"/>
      <w:autoSpaceDE w:val="0"/>
      <w:autoSpaceDN w:val="0"/>
      <w:adjustRightInd w:val="0"/>
      <w:ind w:left="4320"/>
      <w:jc w:val="both"/>
    </w:pPr>
    <w:rPr>
      <w:sz w:val="24"/>
      <w:szCs w:val="24"/>
    </w:rPr>
  </w:style>
  <w:style w:type="paragraph" w:customStyle="1" w:styleId="Level7">
    <w:name w:val="Level 7"/>
    <w:rsid w:val="00775A0F"/>
    <w:pPr>
      <w:widowControl w:val="0"/>
      <w:autoSpaceDE w:val="0"/>
      <w:autoSpaceDN w:val="0"/>
      <w:adjustRightInd w:val="0"/>
      <w:ind w:left="5040"/>
      <w:jc w:val="both"/>
    </w:pPr>
    <w:rPr>
      <w:sz w:val="24"/>
      <w:szCs w:val="24"/>
    </w:rPr>
  </w:style>
  <w:style w:type="paragraph" w:customStyle="1" w:styleId="Level8">
    <w:name w:val="Level 8"/>
    <w:rsid w:val="00775A0F"/>
    <w:pPr>
      <w:widowControl w:val="0"/>
      <w:autoSpaceDE w:val="0"/>
      <w:autoSpaceDN w:val="0"/>
      <w:adjustRightInd w:val="0"/>
      <w:ind w:left="5760"/>
      <w:jc w:val="both"/>
    </w:pPr>
    <w:rPr>
      <w:sz w:val="24"/>
      <w:szCs w:val="24"/>
    </w:rPr>
  </w:style>
  <w:style w:type="paragraph" w:customStyle="1" w:styleId="Level9">
    <w:name w:val="Level 9"/>
    <w:rsid w:val="00775A0F"/>
    <w:pPr>
      <w:widowControl w:val="0"/>
      <w:autoSpaceDE w:val="0"/>
      <w:autoSpaceDN w:val="0"/>
      <w:adjustRightInd w:val="0"/>
      <w:ind w:left="6480"/>
      <w:jc w:val="both"/>
    </w:pPr>
    <w:rPr>
      <w:sz w:val="24"/>
      <w:szCs w:val="24"/>
    </w:rPr>
  </w:style>
  <w:style w:type="paragraph" w:customStyle="1" w:styleId="BodyText4">
    <w:name w:val="Body Text 4"/>
    <w:basedOn w:val="BodyText3"/>
    <w:qFormat/>
    <w:rsid w:val="002D6824"/>
    <w:pPr>
      <w:ind w:left="1080"/>
    </w:pPr>
  </w:style>
  <w:style w:type="paragraph" w:customStyle="1" w:styleId="BodyText5">
    <w:name w:val="Body Text 5"/>
    <w:basedOn w:val="BodyText4"/>
    <w:qFormat/>
    <w:rsid w:val="002D6824"/>
    <w:pPr>
      <w:ind w:left="1440"/>
    </w:pPr>
  </w:style>
  <w:style w:type="paragraph" w:customStyle="1" w:styleId="Example">
    <w:name w:val="Example"/>
    <w:basedOn w:val="BodyText"/>
    <w:qFormat/>
    <w:rsid w:val="00916453"/>
    <w:pPr>
      <w:keepNext/>
      <w:pBdr>
        <w:top w:val="single" w:sz="4" w:space="9" w:color="auto"/>
        <w:bottom w:val="single" w:sz="4" w:space="9" w:color="auto"/>
      </w:pBdr>
      <w:spacing w:before="440"/>
    </w:pPr>
  </w:style>
  <w:style w:type="paragraph" w:styleId="Header">
    <w:name w:val="header"/>
    <w:basedOn w:val="Normal"/>
    <w:link w:val="HeaderChar"/>
    <w:rsid w:val="001D60A1"/>
    <w:pPr>
      <w:tabs>
        <w:tab w:val="center" w:pos="4320"/>
        <w:tab w:val="right" w:pos="8640"/>
      </w:tabs>
    </w:pPr>
  </w:style>
  <w:style w:type="paragraph" w:styleId="Footer">
    <w:name w:val="footer"/>
    <w:link w:val="FooterChar"/>
    <w:uiPriority w:val="99"/>
    <w:unhideWhenUsed/>
    <w:rsid w:val="00F23AF0"/>
    <w:pPr>
      <w:tabs>
        <w:tab w:val="center" w:pos="4680"/>
        <w:tab w:val="right" w:pos="9360"/>
      </w:tabs>
    </w:pPr>
    <w:rPr>
      <w:rFonts w:ascii="Arial" w:eastAsiaTheme="minorHAnsi" w:hAnsi="Arial" w:cs="Arial"/>
      <w:sz w:val="22"/>
      <w:szCs w:val="22"/>
    </w:rPr>
  </w:style>
  <w:style w:type="paragraph" w:styleId="BalloonText">
    <w:name w:val="Balloon Text"/>
    <w:basedOn w:val="Normal"/>
    <w:link w:val="BalloonTextChar"/>
    <w:semiHidden/>
    <w:rsid w:val="00904C90"/>
    <w:rPr>
      <w:rFonts w:ascii="Tahoma" w:hAnsi="Tahoma" w:cs="Tahoma"/>
      <w:sz w:val="16"/>
      <w:szCs w:val="16"/>
    </w:rPr>
  </w:style>
  <w:style w:type="character" w:styleId="PageNumber">
    <w:name w:val="page number"/>
    <w:basedOn w:val="DefaultParagraphFont"/>
    <w:rsid w:val="00385E8F"/>
    <w:rPr>
      <w:rFonts w:cs="Times New Roman"/>
    </w:rPr>
  </w:style>
  <w:style w:type="character" w:customStyle="1" w:styleId="Heading2Char">
    <w:name w:val="Heading 2 Char"/>
    <w:basedOn w:val="DefaultParagraphFont"/>
    <w:link w:val="Heading2"/>
    <w:locked/>
    <w:rsid w:val="00A95DF8"/>
    <w:rPr>
      <w:rFonts w:ascii="Arial" w:eastAsiaTheme="majorEastAsia" w:hAnsi="Arial" w:cstheme="majorBidi"/>
      <w:sz w:val="22"/>
      <w:szCs w:val="22"/>
    </w:rPr>
  </w:style>
  <w:style w:type="paragraph" w:styleId="TOC1">
    <w:name w:val="toc 1"/>
    <w:basedOn w:val="Normal"/>
    <w:next w:val="Normal"/>
    <w:autoRedefine/>
    <w:uiPriority w:val="39"/>
    <w:qFormat/>
    <w:rsid w:val="00246AC8"/>
    <w:pPr>
      <w:tabs>
        <w:tab w:val="right" w:pos="1440"/>
        <w:tab w:val="right" w:leader="dot" w:pos="9350"/>
      </w:tabs>
      <w:spacing w:after="120" w:line="259" w:lineRule="auto"/>
      <w:ind w:left="994" w:hanging="994"/>
      <w:contextualSpacing/>
    </w:pPr>
    <w:rPr>
      <w:bCs/>
      <w:sz w:val="22"/>
      <w:szCs w:val="20"/>
    </w:rPr>
  </w:style>
  <w:style w:type="paragraph" w:styleId="TOC2">
    <w:name w:val="toc 2"/>
    <w:basedOn w:val="TOC1"/>
    <w:next w:val="BodyText"/>
    <w:autoRedefine/>
    <w:uiPriority w:val="39"/>
    <w:qFormat/>
    <w:rsid w:val="00246AC8"/>
    <w:pPr>
      <w:ind w:left="1138"/>
    </w:pPr>
    <w:rPr>
      <w:noProof/>
    </w:rPr>
  </w:style>
  <w:style w:type="character" w:styleId="Hyperlink">
    <w:name w:val="Hyperlink"/>
    <w:basedOn w:val="DefaultParagraphFont"/>
    <w:uiPriority w:val="99"/>
    <w:rsid w:val="006E61F4"/>
    <w:rPr>
      <w:rFonts w:cs="Times New Roman"/>
      <w:color w:val="0000FF"/>
      <w:u w:val="single"/>
    </w:rPr>
  </w:style>
  <w:style w:type="character" w:customStyle="1" w:styleId="Heading1Char">
    <w:name w:val="Heading 1 Char"/>
    <w:basedOn w:val="DefaultParagraphFont"/>
    <w:link w:val="Heading1"/>
    <w:locked/>
    <w:rsid w:val="00CB5130"/>
    <w:rPr>
      <w:rFonts w:ascii="Arial" w:eastAsiaTheme="majorEastAsia" w:hAnsi="Arial" w:cstheme="majorBidi"/>
      <w:caps/>
      <w:sz w:val="22"/>
      <w:szCs w:val="22"/>
    </w:rPr>
  </w:style>
  <w:style w:type="table" w:styleId="TableGrid">
    <w:name w:val="Table Grid"/>
    <w:basedOn w:val="TableNormal"/>
    <w:uiPriority w:val="59"/>
    <w:rsid w:val="008040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A3DD3"/>
    <w:pPr>
      <w:widowControl/>
      <w:autoSpaceDE/>
      <w:autoSpaceDN/>
      <w:adjustRightInd/>
    </w:pPr>
    <w:rPr>
      <w:rFonts w:ascii="Courier New" w:hAnsi="Courier New" w:cs="Courier New"/>
    </w:rPr>
  </w:style>
  <w:style w:type="character" w:styleId="CommentReference">
    <w:name w:val="annotation reference"/>
    <w:basedOn w:val="DefaultParagraphFont"/>
    <w:uiPriority w:val="99"/>
    <w:semiHidden/>
    <w:rsid w:val="00E21490"/>
    <w:rPr>
      <w:sz w:val="16"/>
      <w:szCs w:val="16"/>
    </w:rPr>
  </w:style>
  <w:style w:type="paragraph" w:styleId="CommentText">
    <w:name w:val="annotation text"/>
    <w:basedOn w:val="Normal"/>
    <w:link w:val="CommentTextChar"/>
    <w:uiPriority w:val="99"/>
    <w:rsid w:val="00E21490"/>
  </w:style>
  <w:style w:type="paragraph" w:styleId="DocumentMap">
    <w:name w:val="Document Map"/>
    <w:basedOn w:val="Normal"/>
    <w:link w:val="DocumentMapChar"/>
    <w:semiHidden/>
    <w:rsid w:val="00CA69C6"/>
    <w:pPr>
      <w:shd w:val="clear" w:color="auto" w:fill="000080"/>
    </w:pPr>
    <w:rPr>
      <w:rFonts w:ascii="Tahoma" w:hAnsi="Tahoma" w:cs="Tahoma"/>
    </w:rPr>
  </w:style>
  <w:style w:type="character" w:styleId="FollowedHyperlink">
    <w:name w:val="FollowedHyperlink"/>
    <w:basedOn w:val="DefaultParagraphFont"/>
    <w:rsid w:val="00792194"/>
    <w:rPr>
      <w:color w:val="800080"/>
      <w:u w:val="single"/>
    </w:rPr>
  </w:style>
  <w:style w:type="character" w:customStyle="1" w:styleId="Hypertext">
    <w:name w:val="Hypertext"/>
    <w:rsid w:val="001363CC"/>
    <w:rPr>
      <w:color w:val="0000FF"/>
      <w:u w:val="single"/>
    </w:rPr>
  </w:style>
  <w:style w:type="character" w:styleId="Strong">
    <w:name w:val="Strong"/>
    <w:basedOn w:val="DefaultParagraphFont"/>
    <w:qFormat/>
    <w:rsid w:val="006E3063"/>
    <w:rPr>
      <w:b/>
      <w:bCs/>
    </w:rPr>
  </w:style>
  <w:style w:type="character" w:customStyle="1" w:styleId="sensecontent1">
    <w:name w:val="sense_content1"/>
    <w:basedOn w:val="DefaultParagraphFont"/>
    <w:rsid w:val="006E3063"/>
    <w:rPr>
      <w:rFonts w:ascii="Times New Roman" w:hAnsi="Times New Roman" w:cs="Times New Roman" w:hint="default"/>
      <w:b w:val="0"/>
      <w:bCs w:val="0"/>
    </w:rPr>
  </w:style>
  <w:style w:type="paragraph" w:styleId="NormalWeb">
    <w:name w:val="Normal (Web)"/>
    <w:basedOn w:val="Normal"/>
    <w:uiPriority w:val="99"/>
    <w:rsid w:val="008E655E"/>
    <w:pPr>
      <w:widowControl/>
      <w:autoSpaceDE/>
      <w:autoSpaceDN/>
      <w:adjustRightInd/>
      <w:spacing w:before="100" w:beforeAutospacing="1" w:after="100" w:afterAutospacing="1"/>
    </w:pPr>
    <w:rPr>
      <w:rFonts w:ascii="Verdana" w:hAnsi="Verdana"/>
      <w:color w:val="000000"/>
      <w:sz w:val="18"/>
      <w:szCs w:val="18"/>
    </w:rPr>
  </w:style>
  <w:style w:type="character" w:customStyle="1" w:styleId="sensebreak1">
    <w:name w:val="sense_break1"/>
    <w:basedOn w:val="DefaultParagraphFont"/>
    <w:rsid w:val="001A20C7"/>
    <w:rPr>
      <w:vanish w:val="0"/>
      <w:webHidden w:val="0"/>
      <w:specVanish w:val="0"/>
    </w:rPr>
  </w:style>
  <w:style w:type="character" w:customStyle="1" w:styleId="senselabelstart">
    <w:name w:val="sense_label start"/>
    <w:basedOn w:val="DefaultParagraphFont"/>
    <w:rsid w:val="001A20C7"/>
  </w:style>
  <w:style w:type="paragraph" w:styleId="FootnoteText">
    <w:name w:val="footnote text"/>
    <w:basedOn w:val="Normal"/>
    <w:link w:val="FootnoteTextChar"/>
    <w:rsid w:val="00A25ADD"/>
    <w:pPr>
      <w:widowControl/>
      <w:autoSpaceDE/>
      <w:autoSpaceDN/>
      <w:adjustRightInd/>
    </w:pPr>
    <w:rPr>
      <w:rFonts w:eastAsia="Calibri"/>
      <w:sz w:val="20"/>
      <w:szCs w:val="20"/>
    </w:rPr>
  </w:style>
  <w:style w:type="paragraph" w:customStyle="1" w:styleId="subparagraph">
    <w:name w:val="sub paragraph"/>
    <w:basedOn w:val="Normal"/>
    <w:rsid w:val="00C17525"/>
    <w:pPr>
      <w:tabs>
        <w:tab w:val="left" w:pos="274"/>
        <w:tab w:val="left" w:pos="806"/>
        <w:tab w:val="left" w:pos="1440"/>
        <w:tab w:val="left" w:pos="2074"/>
        <w:tab w:val="left" w:pos="2707"/>
        <w:tab w:val="left" w:pos="3240"/>
        <w:tab w:val="left" w:pos="3874"/>
        <w:tab w:val="left" w:pos="4507"/>
        <w:tab w:val="left" w:pos="5040"/>
        <w:tab w:val="left" w:pos="5674"/>
        <w:tab w:val="left" w:pos="6307"/>
      </w:tabs>
      <w:jc w:val="both"/>
    </w:pPr>
  </w:style>
  <w:style w:type="paragraph" w:customStyle="1" w:styleId="Style">
    <w:name w:val="Style"/>
    <w:basedOn w:val="Normal"/>
    <w:rsid w:val="006E139C"/>
    <w:pPr>
      <w:widowControl/>
      <w:autoSpaceDE/>
      <w:autoSpaceDN/>
      <w:adjustRightInd/>
      <w:jc w:val="center"/>
    </w:pPr>
    <w:rPr>
      <w:rFonts w:cs="Times New Roman"/>
      <w:sz w:val="16"/>
      <w:szCs w:val="20"/>
    </w:rPr>
  </w:style>
  <w:style w:type="paragraph" w:customStyle="1" w:styleId="numberedparagraph">
    <w:name w:val="numbered paragraph"/>
    <w:basedOn w:val="Normal"/>
    <w:rsid w:val="006831EC"/>
    <w:pPr>
      <w:tabs>
        <w:tab w:val="left" w:pos="274"/>
        <w:tab w:val="left" w:pos="806"/>
        <w:tab w:val="left" w:pos="1440"/>
        <w:tab w:val="left" w:pos="2074"/>
        <w:tab w:val="left" w:pos="2707"/>
        <w:tab w:val="left" w:pos="3240"/>
        <w:tab w:val="left" w:pos="3874"/>
        <w:tab w:val="left" w:pos="4507"/>
        <w:tab w:val="left" w:pos="5040"/>
        <w:tab w:val="left" w:pos="5674"/>
        <w:tab w:val="left" w:pos="6307"/>
      </w:tabs>
      <w:ind w:left="810" w:hanging="810"/>
      <w:jc w:val="both"/>
    </w:pPr>
  </w:style>
  <w:style w:type="paragraph" w:styleId="CommentSubject">
    <w:name w:val="annotation subject"/>
    <w:basedOn w:val="CommentText"/>
    <w:next w:val="CommentText"/>
    <w:link w:val="CommentSubjectChar"/>
    <w:semiHidden/>
    <w:rsid w:val="00C22E6E"/>
    <w:rPr>
      <w:b/>
      <w:bCs/>
      <w:sz w:val="20"/>
      <w:szCs w:val="20"/>
    </w:rPr>
  </w:style>
  <w:style w:type="paragraph" w:customStyle="1" w:styleId="Style1">
    <w:name w:val="Style1"/>
    <w:basedOn w:val="Normal"/>
    <w:rsid w:val="00681723"/>
    <w:pPr>
      <w:tabs>
        <w:tab w:val="left" w:pos="1350"/>
      </w:tabs>
      <w:ind w:left="1350" w:hanging="1350"/>
    </w:pPr>
  </w:style>
  <w:style w:type="paragraph" w:styleId="TOC3">
    <w:name w:val="toc 3"/>
    <w:basedOn w:val="Normal"/>
    <w:next w:val="Normal"/>
    <w:autoRedefine/>
    <w:uiPriority w:val="39"/>
    <w:qFormat/>
    <w:rsid w:val="006C67FB"/>
    <w:pPr>
      <w:spacing w:after="120"/>
      <w:ind w:left="432"/>
      <w:contextualSpacing/>
    </w:pPr>
    <w:rPr>
      <w:rFonts w:asciiTheme="minorHAnsi" w:hAnsiTheme="minorHAnsi"/>
      <w:sz w:val="22"/>
      <w:szCs w:val="20"/>
    </w:rPr>
  </w:style>
  <w:style w:type="character" w:customStyle="1" w:styleId="FootnoteTextChar">
    <w:name w:val="Footnote Text Char"/>
    <w:basedOn w:val="DefaultParagraphFont"/>
    <w:link w:val="FootnoteText"/>
    <w:rsid w:val="002E75B9"/>
    <w:rPr>
      <w:rFonts w:ascii="Arial" w:eastAsia="Calibri" w:hAnsi="Arial" w:cs="Arial"/>
    </w:rPr>
  </w:style>
  <w:style w:type="paragraph" w:styleId="Revision">
    <w:name w:val="Revision"/>
    <w:hidden/>
    <w:uiPriority w:val="99"/>
    <w:semiHidden/>
    <w:rsid w:val="004A5557"/>
    <w:rPr>
      <w:rFonts w:ascii="Arial" w:hAnsi="Arial" w:cs="Arial"/>
      <w:sz w:val="24"/>
      <w:szCs w:val="24"/>
    </w:rPr>
  </w:style>
  <w:style w:type="character" w:customStyle="1" w:styleId="Heading5Char">
    <w:name w:val="Heading 5 Char"/>
    <w:basedOn w:val="DefaultParagraphFont"/>
    <w:link w:val="Heading5"/>
    <w:rsid w:val="009E0DE7"/>
    <w:rPr>
      <w:rFonts w:asciiTheme="majorHAnsi" w:eastAsiaTheme="majorEastAsia" w:hAnsiTheme="majorHAnsi" w:cstheme="majorBidi"/>
      <w:color w:val="243F60" w:themeColor="accent1" w:themeShade="7F"/>
      <w:sz w:val="24"/>
      <w:szCs w:val="24"/>
    </w:rPr>
  </w:style>
  <w:style w:type="paragraph" w:customStyle="1" w:styleId="StyleHeading2Underline">
    <w:name w:val="Style Heading 2 + Underline"/>
    <w:basedOn w:val="Heading2"/>
    <w:next w:val="Normal"/>
    <w:link w:val="StyleHeading2UnderlineChar"/>
    <w:rsid w:val="009E0DE7"/>
    <w:pPr>
      <w:tabs>
        <w:tab w:val="left" w:pos="810"/>
      </w:tabs>
      <w:spacing w:before="240"/>
    </w:pPr>
    <w:rPr>
      <w:u w:val="single"/>
    </w:rPr>
  </w:style>
  <w:style w:type="character" w:customStyle="1" w:styleId="StyleHeading2UnderlineChar">
    <w:name w:val="Style Heading 2 + Underline Char"/>
    <w:basedOn w:val="Heading2Char"/>
    <w:link w:val="StyleHeading2Underline"/>
    <w:rsid w:val="009E0DE7"/>
    <w:rPr>
      <w:rFonts w:ascii="Arial" w:eastAsiaTheme="majorEastAsia" w:hAnsi="Arial" w:cstheme="majorBidi"/>
      <w:sz w:val="22"/>
      <w:szCs w:val="22"/>
      <w:u w:val="single"/>
    </w:rPr>
  </w:style>
  <w:style w:type="paragraph" w:styleId="ListParagraph">
    <w:name w:val="List Paragraph"/>
    <w:basedOn w:val="Normal"/>
    <w:uiPriority w:val="1"/>
    <w:qFormat/>
    <w:rsid w:val="00DA6C21"/>
    <w:pPr>
      <w:ind w:left="720"/>
      <w:contextualSpacing/>
    </w:pPr>
  </w:style>
  <w:style w:type="character" w:customStyle="1" w:styleId="Heading6Char">
    <w:name w:val="Heading 6 Char"/>
    <w:basedOn w:val="DefaultParagraphFont"/>
    <w:link w:val="Heading6"/>
    <w:rsid w:val="00765CBD"/>
    <w:rPr>
      <w:rFonts w:ascii="Arial" w:hAnsi="Arial"/>
      <w:b/>
      <w:bCs/>
      <w:sz w:val="22"/>
      <w:szCs w:val="22"/>
    </w:rPr>
  </w:style>
  <w:style w:type="character" w:customStyle="1" w:styleId="Heading7Char">
    <w:name w:val="Heading 7 Char"/>
    <w:basedOn w:val="DefaultParagraphFont"/>
    <w:link w:val="Heading7"/>
    <w:rsid w:val="00765CBD"/>
    <w:rPr>
      <w:rFonts w:ascii="Arial" w:hAnsi="Arial"/>
      <w:sz w:val="24"/>
      <w:szCs w:val="24"/>
    </w:rPr>
  </w:style>
  <w:style w:type="character" w:customStyle="1" w:styleId="Heading3Char">
    <w:name w:val="Heading 3 Char"/>
    <w:basedOn w:val="DefaultParagraphFont"/>
    <w:link w:val="Heading3"/>
    <w:rsid w:val="00CB5130"/>
    <w:rPr>
      <w:rFonts w:ascii="Arial" w:eastAsiaTheme="majorEastAsia" w:hAnsi="Arial" w:cstheme="majorBidi"/>
      <w:sz w:val="22"/>
      <w:szCs w:val="22"/>
    </w:rPr>
  </w:style>
  <w:style w:type="character" w:customStyle="1" w:styleId="Heading4Char">
    <w:name w:val="Heading 4 Char"/>
    <w:basedOn w:val="DefaultParagraphFont"/>
    <w:link w:val="Heading4"/>
    <w:rsid w:val="00765CBD"/>
    <w:rPr>
      <w:rFonts w:ascii="Arial" w:hAnsi="Arial" w:cs="Arial"/>
      <w:b/>
      <w:sz w:val="24"/>
      <w:szCs w:val="24"/>
    </w:rPr>
  </w:style>
  <w:style w:type="character" w:styleId="FootnoteReference">
    <w:name w:val="footnote reference"/>
    <w:rsid w:val="00765CBD"/>
  </w:style>
  <w:style w:type="character" w:customStyle="1" w:styleId="QuickFormat1">
    <w:name w:val="QuickFormat1"/>
    <w:rsid w:val="00765CBD"/>
    <w:rPr>
      <w:rFonts w:ascii="Arial" w:hAnsi="Arial" w:cs="Arial"/>
      <w:color w:val="0000FF"/>
      <w:sz w:val="24"/>
      <w:szCs w:val="24"/>
    </w:rPr>
  </w:style>
  <w:style w:type="character" w:customStyle="1" w:styleId="QuickFormat3">
    <w:name w:val="QuickFormat3"/>
    <w:rsid w:val="00765CBD"/>
    <w:rPr>
      <w:rFonts w:ascii="Arial" w:hAnsi="Arial" w:cs="Arial"/>
      <w:color w:val="0000FF"/>
      <w:sz w:val="24"/>
      <w:szCs w:val="24"/>
    </w:rPr>
  </w:style>
  <w:style w:type="character" w:customStyle="1" w:styleId="HeaderChar">
    <w:name w:val="Header Char"/>
    <w:basedOn w:val="DefaultParagraphFont"/>
    <w:link w:val="Header"/>
    <w:rsid w:val="00765CBD"/>
    <w:rPr>
      <w:rFonts w:ascii="Arial" w:hAnsi="Arial" w:cs="Arial"/>
      <w:sz w:val="24"/>
      <w:szCs w:val="24"/>
    </w:rPr>
  </w:style>
  <w:style w:type="character" w:customStyle="1" w:styleId="FooterChar">
    <w:name w:val="Footer Char"/>
    <w:basedOn w:val="DefaultParagraphFont"/>
    <w:link w:val="Footer"/>
    <w:uiPriority w:val="99"/>
    <w:rsid w:val="00F23AF0"/>
    <w:rPr>
      <w:rFonts w:ascii="Arial" w:eastAsiaTheme="minorHAnsi" w:hAnsi="Arial" w:cs="Arial"/>
      <w:sz w:val="22"/>
      <w:szCs w:val="22"/>
    </w:rPr>
  </w:style>
  <w:style w:type="character" w:customStyle="1" w:styleId="CommentTextChar">
    <w:name w:val="Comment Text Char"/>
    <w:basedOn w:val="DefaultParagraphFont"/>
    <w:link w:val="CommentText"/>
    <w:uiPriority w:val="99"/>
    <w:rsid w:val="00765CBD"/>
    <w:rPr>
      <w:rFonts w:ascii="Arial" w:hAnsi="Arial" w:cs="Arial"/>
      <w:sz w:val="24"/>
      <w:szCs w:val="24"/>
    </w:rPr>
  </w:style>
  <w:style w:type="character" w:customStyle="1" w:styleId="BalloonTextChar">
    <w:name w:val="Balloon Text Char"/>
    <w:basedOn w:val="DefaultParagraphFont"/>
    <w:link w:val="BalloonText"/>
    <w:semiHidden/>
    <w:rsid w:val="00765CBD"/>
    <w:rPr>
      <w:rFonts w:ascii="Tahoma" w:hAnsi="Tahoma" w:cs="Tahoma"/>
      <w:sz w:val="16"/>
      <w:szCs w:val="16"/>
    </w:rPr>
  </w:style>
  <w:style w:type="character" w:customStyle="1" w:styleId="CommentSubjectChar">
    <w:name w:val="Comment Subject Char"/>
    <w:basedOn w:val="CommentTextChar"/>
    <w:link w:val="CommentSubject"/>
    <w:semiHidden/>
    <w:rsid w:val="00765CBD"/>
    <w:rPr>
      <w:rFonts w:ascii="Arial" w:hAnsi="Arial" w:cs="Arial"/>
      <w:b/>
      <w:bCs/>
      <w:sz w:val="24"/>
      <w:szCs w:val="24"/>
    </w:rPr>
  </w:style>
  <w:style w:type="character" w:customStyle="1" w:styleId="DocumentMapChar">
    <w:name w:val="Document Map Char"/>
    <w:basedOn w:val="DefaultParagraphFont"/>
    <w:link w:val="DocumentMap"/>
    <w:semiHidden/>
    <w:rsid w:val="00765CBD"/>
    <w:rPr>
      <w:rFonts w:ascii="Tahoma" w:hAnsi="Tahoma" w:cs="Tahoma"/>
      <w:sz w:val="24"/>
      <w:szCs w:val="24"/>
      <w:shd w:val="clear" w:color="auto" w:fill="000080"/>
    </w:rPr>
  </w:style>
  <w:style w:type="paragraph" w:styleId="List">
    <w:name w:val="List"/>
    <w:basedOn w:val="Normal"/>
    <w:rsid w:val="00765CBD"/>
    <w:pPr>
      <w:widowControl/>
      <w:spacing w:before="240"/>
      <w:ind w:left="360" w:hanging="360"/>
    </w:pPr>
    <w:rPr>
      <w:rFonts w:cs="Times New Roman"/>
    </w:rPr>
  </w:style>
  <w:style w:type="paragraph" w:styleId="List2">
    <w:name w:val="List 2"/>
    <w:basedOn w:val="Normal"/>
    <w:rsid w:val="00765CBD"/>
    <w:pPr>
      <w:widowControl/>
      <w:spacing w:before="240"/>
      <w:ind w:left="720" w:hanging="360"/>
    </w:pPr>
    <w:rPr>
      <w:rFonts w:cs="Times New Roman"/>
    </w:rPr>
  </w:style>
  <w:style w:type="paragraph" w:styleId="Title">
    <w:name w:val="Title"/>
    <w:next w:val="BodyText"/>
    <w:link w:val="TitleChar"/>
    <w:qFormat/>
    <w:rsid w:val="00CB5130"/>
    <w:pPr>
      <w:spacing w:before="220" w:after="220"/>
      <w:jc w:val="center"/>
    </w:pPr>
    <w:rPr>
      <w:rFonts w:ascii="Arial" w:hAnsi="Arial" w:cs="Arial"/>
      <w:sz w:val="22"/>
      <w:szCs w:val="22"/>
    </w:rPr>
  </w:style>
  <w:style w:type="character" w:customStyle="1" w:styleId="TitleChar">
    <w:name w:val="Title Char"/>
    <w:basedOn w:val="DefaultParagraphFont"/>
    <w:link w:val="Title"/>
    <w:rsid w:val="00CB5130"/>
    <w:rPr>
      <w:rFonts w:ascii="Arial" w:hAnsi="Arial" w:cs="Arial"/>
      <w:sz w:val="22"/>
      <w:szCs w:val="22"/>
    </w:rPr>
  </w:style>
  <w:style w:type="paragraph" w:styleId="BodyText">
    <w:name w:val="Body Text"/>
    <w:link w:val="BodyTextChar"/>
    <w:rsid w:val="00CB5130"/>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CB5130"/>
    <w:rPr>
      <w:rFonts w:ascii="Arial" w:eastAsiaTheme="minorHAnsi" w:hAnsi="Arial" w:cs="Arial"/>
      <w:sz w:val="22"/>
      <w:szCs w:val="22"/>
    </w:rPr>
  </w:style>
  <w:style w:type="paragraph" w:styleId="Subtitle">
    <w:name w:val="Subtitle"/>
    <w:basedOn w:val="Normal"/>
    <w:link w:val="SubtitleChar"/>
    <w:qFormat/>
    <w:rsid w:val="00765CBD"/>
    <w:pPr>
      <w:widowControl/>
      <w:spacing w:before="240" w:after="60"/>
      <w:jc w:val="center"/>
      <w:outlineLvl w:val="1"/>
    </w:pPr>
  </w:style>
  <w:style w:type="character" w:customStyle="1" w:styleId="SubtitleChar">
    <w:name w:val="Subtitle Char"/>
    <w:basedOn w:val="DefaultParagraphFont"/>
    <w:link w:val="Subtitle"/>
    <w:rsid w:val="00765CBD"/>
    <w:rPr>
      <w:rFonts w:ascii="Arial" w:hAnsi="Arial" w:cs="Arial"/>
      <w:sz w:val="24"/>
      <w:szCs w:val="24"/>
    </w:rPr>
  </w:style>
  <w:style w:type="paragraph" w:customStyle="1" w:styleId="StyleTOC3Left1Hanging025">
    <w:name w:val="Style TOC 3 + Left:  1&quot; Hanging:  0.25&quot;"/>
    <w:basedOn w:val="TOC3"/>
    <w:autoRedefine/>
    <w:rsid w:val="00765CBD"/>
    <w:pPr>
      <w:widowControl/>
      <w:tabs>
        <w:tab w:val="left" w:pos="1800"/>
      </w:tabs>
      <w:ind w:left="1800" w:hanging="360"/>
    </w:pPr>
    <w:rPr>
      <w:rFonts w:ascii="Calibri" w:hAnsi="Calibri" w:cs="Times New Roman"/>
      <w:i/>
      <w:iCs/>
      <w:noProof/>
    </w:rPr>
  </w:style>
  <w:style w:type="paragraph" w:styleId="TOC4">
    <w:name w:val="toc 4"/>
    <w:basedOn w:val="Normal"/>
    <w:next w:val="Normal"/>
    <w:autoRedefine/>
    <w:uiPriority w:val="39"/>
    <w:rsid w:val="00765CBD"/>
    <w:pPr>
      <w:ind w:left="720"/>
    </w:pPr>
    <w:rPr>
      <w:rFonts w:asciiTheme="minorHAnsi" w:hAnsiTheme="minorHAnsi"/>
      <w:sz w:val="20"/>
      <w:szCs w:val="20"/>
    </w:rPr>
  </w:style>
  <w:style w:type="paragraph" w:styleId="TOC5">
    <w:name w:val="toc 5"/>
    <w:basedOn w:val="Normal"/>
    <w:next w:val="Normal"/>
    <w:autoRedefine/>
    <w:uiPriority w:val="39"/>
    <w:rsid w:val="00765CBD"/>
    <w:pPr>
      <w:ind w:left="960"/>
    </w:pPr>
    <w:rPr>
      <w:rFonts w:asciiTheme="minorHAnsi" w:hAnsiTheme="minorHAnsi"/>
      <w:sz w:val="20"/>
      <w:szCs w:val="20"/>
    </w:rPr>
  </w:style>
  <w:style w:type="paragraph" w:styleId="TOC6">
    <w:name w:val="toc 6"/>
    <w:basedOn w:val="Normal"/>
    <w:next w:val="Normal"/>
    <w:autoRedefine/>
    <w:uiPriority w:val="39"/>
    <w:rsid w:val="00765CBD"/>
    <w:pPr>
      <w:ind w:left="1200"/>
    </w:pPr>
    <w:rPr>
      <w:rFonts w:asciiTheme="minorHAnsi" w:hAnsiTheme="minorHAnsi"/>
      <w:sz w:val="20"/>
      <w:szCs w:val="20"/>
    </w:rPr>
  </w:style>
  <w:style w:type="paragraph" w:styleId="TOC7">
    <w:name w:val="toc 7"/>
    <w:basedOn w:val="Normal"/>
    <w:next w:val="Normal"/>
    <w:autoRedefine/>
    <w:uiPriority w:val="39"/>
    <w:rsid w:val="00765CBD"/>
    <w:pPr>
      <w:ind w:left="1440"/>
    </w:pPr>
    <w:rPr>
      <w:rFonts w:asciiTheme="minorHAnsi" w:hAnsiTheme="minorHAnsi"/>
      <w:sz w:val="20"/>
      <w:szCs w:val="20"/>
    </w:rPr>
  </w:style>
  <w:style w:type="paragraph" w:styleId="TOC8">
    <w:name w:val="toc 8"/>
    <w:basedOn w:val="Normal"/>
    <w:next w:val="Normal"/>
    <w:autoRedefine/>
    <w:uiPriority w:val="39"/>
    <w:rsid w:val="00765CBD"/>
    <w:pPr>
      <w:ind w:left="1680"/>
    </w:pPr>
    <w:rPr>
      <w:rFonts w:asciiTheme="minorHAnsi" w:hAnsiTheme="minorHAnsi"/>
      <w:sz w:val="20"/>
      <w:szCs w:val="20"/>
    </w:rPr>
  </w:style>
  <w:style w:type="paragraph" w:styleId="TOC9">
    <w:name w:val="toc 9"/>
    <w:basedOn w:val="Normal"/>
    <w:next w:val="Normal"/>
    <w:autoRedefine/>
    <w:uiPriority w:val="39"/>
    <w:rsid w:val="00765CBD"/>
    <w:pPr>
      <w:ind w:left="1920"/>
    </w:pPr>
    <w:rPr>
      <w:rFonts w:asciiTheme="minorHAnsi" w:hAnsiTheme="minorHAnsi"/>
      <w:sz w:val="20"/>
      <w:szCs w:val="20"/>
    </w:rPr>
  </w:style>
  <w:style w:type="paragraph" w:customStyle="1" w:styleId="Heading2body">
    <w:name w:val="Heading 2 body"/>
    <w:basedOn w:val="Heading2"/>
    <w:rsid w:val="00765CBD"/>
    <w:pPr>
      <w:tabs>
        <w:tab w:val="left" w:pos="810"/>
      </w:tabs>
      <w:spacing w:before="240"/>
      <w:ind w:left="810"/>
    </w:pPr>
    <w:rPr>
      <w:bCs/>
      <w:iCs/>
    </w:rPr>
  </w:style>
  <w:style w:type="paragraph" w:styleId="TOCHeading">
    <w:name w:val="TOC Heading"/>
    <w:basedOn w:val="Heading1"/>
    <w:next w:val="Normal"/>
    <w:uiPriority w:val="39"/>
    <w:qFormat/>
    <w:rsid w:val="0040087C"/>
    <w:pPr>
      <w:widowControl/>
      <w:autoSpaceDE/>
      <w:autoSpaceDN/>
      <w:adjustRightInd/>
      <w:spacing w:before="0" w:after="120"/>
      <w:ind w:left="0" w:firstLine="0"/>
      <w:jc w:val="center"/>
      <w:outlineLvl w:val="9"/>
    </w:pPr>
    <w:rPr>
      <w:rFonts w:cs="Times New Roman"/>
      <w:bCs/>
      <w:szCs w:val="28"/>
    </w:rPr>
  </w:style>
  <w:style w:type="paragraph" w:customStyle="1" w:styleId="Numbered">
    <w:name w:val="Numbered"/>
    <w:basedOn w:val="Normal"/>
    <w:rsid w:val="00C80F4D"/>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1440" w:hanging="1440"/>
      <w:jc w:val="both"/>
    </w:pPr>
  </w:style>
  <w:style w:type="character" w:customStyle="1" w:styleId="Heading8Char">
    <w:name w:val="Heading 8 Char"/>
    <w:basedOn w:val="DefaultParagraphFont"/>
    <w:link w:val="Heading8"/>
    <w:rsid w:val="002F7D5D"/>
    <w:rPr>
      <w:i/>
      <w:iCs/>
      <w:sz w:val="24"/>
      <w:szCs w:val="24"/>
    </w:rPr>
  </w:style>
  <w:style w:type="paragraph" w:styleId="List3">
    <w:name w:val="List 3"/>
    <w:basedOn w:val="Normal"/>
    <w:rsid w:val="002F7D5D"/>
    <w:pPr>
      <w:widowControl/>
      <w:spacing w:before="240"/>
      <w:ind w:left="1080" w:hanging="360"/>
    </w:pPr>
    <w:rPr>
      <w:rFonts w:cs="Times New Roman"/>
    </w:rPr>
  </w:style>
  <w:style w:type="paragraph" w:styleId="List4">
    <w:name w:val="List 4"/>
    <w:basedOn w:val="Normal"/>
    <w:rsid w:val="002F7D5D"/>
    <w:pPr>
      <w:widowControl/>
      <w:spacing w:before="240"/>
      <w:ind w:left="1440" w:hanging="360"/>
    </w:pPr>
    <w:rPr>
      <w:rFonts w:cs="Times New Roman"/>
    </w:rPr>
  </w:style>
  <w:style w:type="paragraph" w:styleId="ListBullet2">
    <w:name w:val="List Bullet 2"/>
    <w:basedOn w:val="BodyText"/>
    <w:rsid w:val="00BE14D8"/>
    <w:pPr>
      <w:numPr>
        <w:numId w:val="7"/>
      </w:numPr>
    </w:pPr>
  </w:style>
  <w:style w:type="paragraph" w:styleId="BodyTextIndent">
    <w:name w:val="Body Text Indent"/>
    <w:basedOn w:val="Normal"/>
    <w:link w:val="BodyTextIndentChar"/>
    <w:rsid w:val="002F7D5D"/>
    <w:pPr>
      <w:widowControl/>
      <w:spacing w:before="240" w:after="120"/>
      <w:ind w:left="360"/>
    </w:pPr>
    <w:rPr>
      <w:rFonts w:cs="Times New Roman"/>
    </w:rPr>
  </w:style>
  <w:style w:type="character" w:customStyle="1" w:styleId="BodyTextIndentChar">
    <w:name w:val="Body Text Indent Char"/>
    <w:basedOn w:val="DefaultParagraphFont"/>
    <w:link w:val="BodyTextIndent"/>
    <w:rsid w:val="002F7D5D"/>
    <w:rPr>
      <w:rFonts w:ascii="Arial" w:hAnsi="Arial"/>
      <w:sz w:val="24"/>
      <w:szCs w:val="24"/>
    </w:rPr>
  </w:style>
  <w:style w:type="paragraph" w:customStyle="1" w:styleId="Enclosure">
    <w:name w:val="Enclosure"/>
    <w:basedOn w:val="Normal"/>
    <w:rsid w:val="002F7D5D"/>
    <w:pPr>
      <w:widowControl/>
      <w:spacing w:before="240"/>
    </w:pPr>
    <w:rPr>
      <w:rFonts w:cs="Times New Roman"/>
    </w:rPr>
  </w:style>
  <w:style w:type="paragraph" w:styleId="BodyTextFirstIndent2">
    <w:name w:val="Body Text First Indent 2"/>
    <w:basedOn w:val="BodyTextIndent"/>
    <w:link w:val="BodyTextFirstIndent2Char"/>
    <w:rsid w:val="002F7D5D"/>
    <w:pPr>
      <w:ind w:firstLine="210"/>
    </w:pPr>
  </w:style>
  <w:style w:type="character" w:customStyle="1" w:styleId="BodyTextFirstIndent2Char">
    <w:name w:val="Body Text First Indent 2 Char"/>
    <w:basedOn w:val="BodyTextIndentChar"/>
    <w:link w:val="BodyTextFirstIndent2"/>
    <w:rsid w:val="002F7D5D"/>
    <w:rPr>
      <w:rFonts w:ascii="Arial" w:hAnsi="Arial"/>
      <w:sz w:val="24"/>
      <w:szCs w:val="24"/>
    </w:rPr>
  </w:style>
  <w:style w:type="paragraph" w:customStyle="1" w:styleId="Normal2">
    <w:name w:val="Normal 2"/>
    <w:basedOn w:val="Normal"/>
    <w:autoRedefine/>
    <w:rsid w:val="002F7D5D"/>
    <w:pPr>
      <w:widowControl/>
      <w:spacing w:before="240"/>
      <w:ind w:left="720"/>
    </w:pPr>
    <w:rPr>
      <w:rFonts w:cs="Times New Roman"/>
    </w:rPr>
  </w:style>
  <w:style w:type="paragraph" w:customStyle="1" w:styleId="Normal1">
    <w:name w:val="Normal 1"/>
    <w:basedOn w:val="Normal"/>
    <w:rsid w:val="002F7D5D"/>
    <w:pPr>
      <w:widowControl/>
      <w:spacing w:before="240"/>
      <w:jc w:val="both"/>
    </w:pPr>
  </w:style>
  <w:style w:type="paragraph" w:customStyle="1" w:styleId="StyleHeading2Bold">
    <w:name w:val="Style Heading 2 + Bold"/>
    <w:basedOn w:val="Heading2"/>
    <w:autoRedefine/>
    <w:rsid w:val="002F7D5D"/>
    <w:pPr>
      <w:numPr>
        <w:ilvl w:val="1"/>
      </w:numPr>
      <w:tabs>
        <w:tab w:val="left" w:pos="810"/>
        <w:tab w:val="num" w:pos="1440"/>
      </w:tabs>
      <w:spacing w:before="240"/>
      <w:ind w:left="720" w:hanging="720"/>
    </w:pPr>
    <w:rPr>
      <w:b/>
      <w:bCs/>
    </w:rPr>
  </w:style>
  <w:style w:type="paragraph" w:customStyle="1" w:styleId="StyleHeading2Bold1">
    <w:name w:val="Style Heading 2 + Bold1"/>
    <w:basedOn w:val="Heading2"/>
    <w:next w:val="Normal2"/>
    <w:rsid w:val="002F7D5D"/>
    <w:pPr>
      <w:numPr>
        <w:ilvl w:val="1"/>
      </w:numPr>
      <w:tabs>
        <w:tab w:val="left" w:pos="810"/>
        <w:tab w:val="num" w:pos="1440"/>
      </w:tabs>
      <w:spacing w:before="240"/>
      <w:ind w:left="720" w:hanging="720"/>
    </w:pPr>
    <w:rPr>
      <w:b/>
      <w:bCs/>
    </w:rPr>
  </w:style>
  <w:style w:type="paragraph" w:styleId="Caption">
    <w:name w:val="caption"/>
    <w:basedOn w:val="Normal"/>
    <w:next w:val="Normal"/>
    <w:qFormat/>
    <w:rsid w:val="00A24E76"/>
    <w:pPr>
      <w:keepNext/>
      <w:keepLines/>
      <w:spacing w:after="220"/>
      <w:jc w:val="center"/>
      <w:outlineLvl w:val="2"/>
    </w:pPr>
    <w:rPr>
      <w:rFonts w:cs="Times New Roman"/>
      <w:sz w:val="22"/>
      <w:szCs w:val="22"/>
      <w:u w:val="single"/>
    </w:rPr>
  </w:style>
  <w:style w:type="paragraph" w:customStyle="1" w:styleId="Normal11pt">
    <w:name w:val="Normal + 11 pt"/>
    <w:basedOn w:val="Normal"/>
    <w:rsid w:val="002F7D5D"/>
    <w:pPr>
      <w:widowControl/>
      <w:spacing w:beforeLines="60" w:afterLines="60"/>
    </w:pPr>
    <w:rPr>
      <w:rFonts w:cs="Times New Roman"/>
      <w:sz w:val="22"/>
      <w:szCs w:val="22"/>
    </w:rPr>
  </w:style>
  <w:style w:type="numbering" w:customStyle="1" w:styleId="IMCNumberStructure">
    <w:name w:val="IMC Number Structure"/>
    <w:rsid w:val="002F7D5D"/>
    <w:pPr>
      <w:numPr>
        <w:numId w:val="1"/>
      </w:numPr>
    </w:pPr>
  </w:style>
  <w:style w:type="paragraph" w:customStyle="1" w:styleId="msolistparagraph0">
    <w:name w:val="msolistparagraph"/>
    <w:basedOn w:val="Normal"/>
    <w:rsid w:val="002F7D5D"/>
    <w:pPr>
      <w:widowControl/>
      <w:autoSpaceDE/>
      <w:autoSpaceDN/>
      <w:adjustRightInd/>
      <w:ind w:left="720"/>
    </w:pPr>
    <w:rPr>
      <w:rFonts w:ascii="Calibri" w:eastAsia="Calibri" w:hAnsi="Calibri" w:cs="Times New Roman"/>
      <w:sz w:val="22"/>
      <w:szCs w:val="22"/>
    </w:rPr>
  </w:style>
  <w:style w:type="paragraph" w:customStyle="1" w:styleId="StyleCaption11ptTopSinglesolidlineAuto05ptLine">
    <w:name w:val="Style Caption + 11 pt Top: (Single solid line Auto  0.5 pt Line ..."/>
    <w:basedOn w:val="Caption"/>
    <w:rsid w:val="002F7D5D"/>
    <w:pPr>
      <w:pBdr>
        <w:top w:val="single" w:sz="4" w:space="1" w:color="auto"/>
      </w:pBdr>
    </w:pPr>
  </w:style>
  <w:style w:type="character" w:styleId="LineNumber">
    <w:name w:val="line number"/>
    <w:basedOn w:val="DefaultParagraphFont"/>
    <w:rsid w:val="00EC1AC7"/>
  </w:style>
  <w:style w:type="paragraph" w:customStyle="1" w:styleId="Default">
    <w:name w:val="Default"/>
    <w:rsid w:val="00306584"/>
    <w:pPr>
      <w:autoSpaceDE w:val="0"/>
      <w:autoSpaceDN w:val="0"/>
      <w:adjustRightInd w:val="0"/>
    </w:pPr>
    <w:rPr>
      <w:rFonts w:ascii="Arial" w:hAnsi="Arial" w:cs="Arial"/>
      <w:color w:val="000000"/>
      <w:sz w:val="24"/>
      <w:szCs w:val="24"/>
    </w:rPr>
  </w:style>
  <w:style w:type="paragraph" w:customStyle="1" w:styleId="Lettered">
    <w:name w:val="Lettered"/>
    <w:basedOn w:val="Normal"/>
    <w:rsid w:val="00D77A4E"/>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806" w:hanging="806"/>
      <w:jc w:val="both"/>
    </w:pPr>
  </w:style>
  <w:style w:type="character" w:styleId="Emphasis">
    <w:name w:val="Emphasis"/>
    <w:basedOn w:val="DefaultParagraphFont"/>
    <w:qFormat/>
    <w:rsid w:val="004E3EB1"/>
    <w:rPr>
      <w:i/>
      <w:iCs/>
    </w:rPr>
  </w:style>
  <w:style w:type="paragraph" w:customStyle="1" w:styleId="Applicability">
    <w:name w:val="Applicability"/>
    <w:basedOn w:val="BodyText"/>
    <w:qFormat/>
    <w:rsid w:val="00CB5130"/>
    <w:pPr>
      <w:spacing w:before="440"/>
      <w:ind w:left="2160" w:hanging="2160"/>
    </w:pPr>
  </w:style>
  <w:style w:type="paragraph" w:customStyle="1" w:styleId="attachmenttitle">
    <w:name w:val="attachment title"/>
    <w:next w:val="BodyText"/>
    <w:qFormat/>
    <w:rsid w:val="00CB5130"/>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CB5130"/>
    <w:rPr>
      <w:rFonts w:ascii="Arial" w:eastAsiaTheme="minorHAnsi" w:hAnsi="Arial" w:cstheme="minorBidi"/>
      <w:sz w:val="22"/>
      <w:szCs w:val="22"/>
    </w:rPr>
  </w:style>
  <w:style w:type="paragraph" w:styleId="BodyText2">
    <w:name w:val="Body Text 2"/>
    <w:link w:val="BodyText2Char"/>
    <w:rsid w:val="00CB5130"/>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CB5130"/>
    <w:rPr>
      <w:rFonts w:ascii="Arial" w:eastAsiaTheme="majorEastAsia" w:hAnsi="Arial" w:cstheme="majorBidi"/>
      <w:sz w:val="22"/>
      <w:szCs w:val="22"/>
    </w:rPr>
  </w:style>
  <w:style w:type="paragraph" w:styleId="BodyText3">
    <w:name w:val="Body Text 3"/>
    <w:basedOn w:val="BodyText"/>
    <w:link w:val="BodyText3Char"/>
    <w:rsid w:val="00CB5130"/>
    <w:pPr>
      <w:ind w:left="720"/>
    </w:pPr>
    <w:rPr>
      <w:rFonts w:eastAsiaTheme="majorEastAsia" w:cstheme="majorBidi"/>
    </w:rPr>
  </w:style>
  <w:style w:type="character" w:customStyle="1" w:styleId="BodyText3Char">
    <w:name w:val="Body Text 3 Char"/>
    <w:basedOn w:val="DefaultParagraphFont"/>
    <w:link w:val="BodyText3"/>
    <w:rsid w:val="00CB5130"/>
    <w:rPr>
      <w:rFonts w:ascii="Arial" w:eastAsiaTheme="majorEastAsia" w:hAnsi="Arial" w:cstheme="majorBidi"/>
      <w:sz w:val="22"/>
      <w:szCs w:val="22"/>
    </w:rPr>
  </w:style>
  <w:style w:type="character" w:customStyle="1" w:styleId="Commitment">
    <w:name w:val="Commitment"/>
    <w:basedOn w:val="BodyTextChar"/>
    <w:uiPriority w:val="1"/>
    <w:qFormat/>
    <w:rsid w:val="00CB5130"/>
    <w:rPr>
      <w:rFonts w:ascii="Arial" w:eastAsiaTheme="minorHAnsi" w:hAnsi="Arial" w:cs="Arial"/>
      <w:i/>
      <w:iCs/>
      <w:sz w:val="22"/>
      <w:szCs w:val="22"/>
    </w:rPr>
  </w:style>
  <w:style w:type="paragraph" w:customStyle="1" w:styleId="CornerstoneBases">
    <w:name w:val="Cornerstone / Bases"/>
    <w:basedOn w:val="BodyText"/>
    <w:qFormat/>
    <w:rsid w:val="00CB5130"/>
    <w:pPr>
      <w:ind w:left="2160" w:hanging="2160"/>
    </w:pPr>
  </w:style>
  <w:style w:type="paragraph" w:customStyle="1" w:styleId="EffectiveDate">
    <w:name w:val="Effective Date"/>
    <w:next w:val="BodyText"/>
    <w:qFormat/>
    <w:rsid w:val="00CB5130"/>
    <w:pPr>
      <w:spacing w:before="220" w:after="440"/>
      <w:jc w:val="center"/>
    </w:pPr>
    <w:rPr>
      <w:rFonts w:ascii="Arial" w:hAnsi="Arial" w:cs="Arial"/>
      <w:sz w:val="22"/>
      <w:szCs w:val="22"/>
    </w:rPr>
  </w:style>
  <w:style w:type="paragraph" w:customStyle="1" w:styleId="END">
    <w:name w:val="END"/>
    <w:next w:val="BodyText"/>
    <w:qFormat/>
    <w:rsid w:val="00CB5130"/>
    <w:pPr>
      <w:autoSpaceDE w:val="0"/>
      <w:autoSpaceDN w:val="0"/>
      <w:adjustRightInd w:val="0"/>
      <w:spacing w:before="440" w:after="440"/>
      <w:jc w:val="center"/>
    </w:pPr>
    <w:rPr>
      <w:rFonts w:ascii="Arial" w:hAnsi="Arial" w:cs="Arial"/>
      <w:sz w:val="22"/>
      <w:szCs w:val="22"/>
    </w:rPr>
  </w:style>
  <w:style w:type="table" w:customStyle="1" w:styleId="IM">
    <w:name w:val="IM"/>
    <w:basedOn w:val="TableNormal"/>
    <w:uiPriority w:val="99"/>
    <w:rsid w:val="00CB5130"/>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table" w:customStyle="1" w:styleId="IMHx">
    <w:name w:val="IM Hx"/>
    <w:basedOn w:val="TableNormal"/>
    <w:uiPriority w:val="99"/>
    <w:rsid w:val="00804035"/>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CB5130"/>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customStyle="1" w:styleId="Lista">
    <w:name w:val="List a"/>
    <w:basedOn w:val="BodyText"/>
    <w:rsid w:val="00E02AB6"/>
    <w:pPr>
      <w:widowControl w:val="0"/>
      <w:autoSpaceDE w:val="0"/>
      <w:autoSpaceDN w:val="0"/>
      <w:adjustRightInd w:val="0"/>
    </w:pPr>
    <w:rPr>
      <w:rFonts w:eastAsia="Times New Roman" w:cs="Times New Roman"/>
      <w:szCs w:val="20"/>
    </w:rPr>
  </w:style>
  <w:style w:type="paragraph" w:customStyle="1" w:styleId="NRCINSPECTIONMANUAL">
    <w:name w:val="NRC INSPECTION MANUAL"/>
    <w:next w:val="BodyText"/>
    <w:link w:val="NRCINSPECTIONMANUALChar"/>
    <w:qFormat/>
    <w:rsid w:val="00CB5130"/>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CB5130"/>
    <w:rPr>
      <w:rFonts w:ascii="Arial" w:eastAsiaTheme="minorHAnsi" w:hAnsi="Arial" w:cs="Arial"/>
      <w:szCs w:val="22"/>
    </w:rPr>
  </w:style>
  <w:style w:type="paragraph" w:customStyle="1" w:styleId="Requirement">
    <w:name w:val="Requirement"/>
    <w:basedOn w:val="BodyText3"/>
    <w:qFormat/>
    <w:rsid w:val="00804035"/>
    <w:pPr>
      <w:keepNext/>
    </w:pPr>
    <w:rPr>
      <w:b/>
      <w:bCs/>
    </w:rPr>
  </w:style>
  <w:style w:type="paragraph" w:customStyle="1" w:styleId="Guidance">
    <w:name w:val="Guidance"/>
    <w:basedOn w:val="BodyText3"/>
    <w:qFormat/>
    <w:rsid w:val="004A0621"/>
    <w:pPr>
      <w:keepNext/>
      <w:keepLines/>
      <w:widowControl w:val="0"/>
      <w:ind w:left="0"/>
    </w:pPr>
    <w:rPr>
      <w:u w:val="single"/>
    </w:rPr>
  </w:style>
  <w:style w:type="character" w:customStyle="1" w:styleId="highlight">
    <w:name w:val="highlight"/>
    <w:basedOn w:val="DefaultParagraphFont"/>
    <w:rsid w:val="001D0F46"/>
  </w:style>
  <w:style w:type="paragraph" w:customStyle="1" w:styleId="BodyText-Quote">
    <w:name w:val="Body Text - Quote"/>
    <w:basedOn w:val="BodyText3"/>
    <w:next w:val="BodyText3"/>
    <w:qFormat/>
    <w:rsid w:val="00740CE1"/>
    <w:pPr>
      <w:ind w:left="1210" w:right="720" w:hanging="40"/>
    </w:pPr>
  </w:style>
  <w:style w:type="paragraph" w:styleId="ListBullet3">
    <w:name w:val="List Bullet 3"/>
    <w:unhideWhenUsed/>
    <w:rsid w:val="008E226B"/>
    <w:pPr>
      <w:numPr>
        <w:numId w:val="2"/>
      </w:numPr>
      <w:spacing w:after="220"/>
    </w:pPr>
    <w:rPr>
      <w:rFonts w:ascii="Arial" w:hAnsi="Arial" w:cs="Arial"/>
      <w:sz w:val="22"/>
      <w:szCs w:val="24"/>
    </w:rPr>
  </w:style>
  <w:style w:type="paragraph" w:customStyle="1" w:styleId="BodyText25indent">
    <w:name w:val="Body Text .25 indent"/>
    <w:basedOn w:val="BodyText"/>
    <w:next w:val="BodyText3"/>
    <w:qFormat/>
    <w:rsid w:val="00022130"/>
    <w:pPr>
      <w:keepNext/>
      <w:ind w:left="360"/>
    </w:pPr>
    <w:rPr>
      <w:u w:val="single"/>
    </w:rPr>
  </w:style>
  <w:style w:type="paragraph" w:customStyle="1" w:styleId="BodyTextindent1">
    <w:name w:val="Body Text indent 1&quot;"/>
    <w:basedOn w:val="BodyText"/>
    <w:qFormat/>
    <w:rsid w:val="005B0DD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pPr>
    <w:rPr>
      <w:u w:val="single"/>
    </w:rPr>
  </w:style>
  <w:style w:type="paragraph" w:styleId="ListBullet5">
    <w:name w:val="List Bullet 5"/>
    <w:basedOn w:val="BodyText"/>
    <w:unhideWhenUsed/>
    <w:rsid w:val="005B0DDE"/>
    <w:pPr>
      <w:numPr>
        <w:numId w:val="3"/>
      </w:numPr>
    </w:pPr>
  </w:style>
  <w:style w:type="table" w:customStyle="1" w:styleId="TableGrid1">
    <w:name w:val="Table Grid1"/>
    <w:basedOn w:val="TableNormal"/>
    <w:next w:val="TableGrid"/>
    <w:uiPriority w:val="39"/>
    <w:rsid w:val="00DA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659D7"/>
    <w:rPr>
      <w:rFonts w:ascii="Segoe UI" w:hAnsi="Segoe UI" w:cs="Segoe UI" w:hint="default"/>
      <w:sz w:val="18"/>
      <w:szCs w:val="18"/>
    </w:rPr>
  </w:style>
  <w:style w:type="table" w:styleId="PlainTable4">
    <w:name w:val="Plain Table 4"/>
    <w:basedOn w:val="TableNormal"/>
    <w:uiPriority w:val="44"/>
    <w:rsid w:val="003D45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5123A"/>
    <w:rPr>
      <w:color w:val="605E5C"/>
      <w:shd w:val="clear" w:color="auto" w:fill="E1DFDD"/>
    </w:rPr>
  </w:style>
  <w:style w:type="numbering" w:customStyle="1" w:styleId="CurrentList1">
    <w:name w:val="Current List1"/>
    <w:uiPriority w:val="99"/>
    <w:rsid w:val="00DA59A7"/>
    <w:pPr>
      <w:numPr>
        <w:numId w:val="4"/>
      </w:numPr>
    </w:pPr>
  </w:style>
  <w:style w:type="character" w:customStyle="1" w:styleId="Header01Char">
    <w:name w:val="Header 01 Char"/>
    <w:basedOn w:val="DefaultParagraphFont"/>
    <w:link w:val="Header01"/>
    <w:rsid w:val="00A80526"/>
    <w:rPr>
      <w:rFonts w:ascii="Arial" w:hAnsi="Arial" w:cs="Arial"/>
      <w:sz w:val="24"/>
      <w:szCs w:val="24"/>
    </w:rPr>
  </w:style>
  <w:style w:type="paragraph" w:customStyle="1" w:styleId="Header01">
    <w:name w:val="Header 01"/>
    <w:basedOn w:val="Normal"/>
    <w:link w:val="Header01Char"/>
    <w:rsid w:val="00A80526"/>
    <w:pPr>
      <w:widowControl/>
      <w:tabs>
        <w:tab w:val="left" w:pos="274"/>
        <w:tab w:val="left" w:pos="806"/>
        <w:tab w:val="left" w:pos="1440"/>
        <w:tab w:val="left" w:pos="2074"/>
        <w:tab w:val="left" w:pos="2707"/>
      </w:tabs>
      <w:autoSpaceDE/>
      <w:autoSpaceDN/>
      <w:adjustRightInd/>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876">
      <w:bodyDiv w:val="1"/>
      <w:marLeft w:val="0"/>
      <w:marRight w:val="0"/>
      <w:marTop w:val="0"/>
      <w:marBottom w:val="0"/>
      <w:divBdr>
        <w:top w:val="none" w:sz="0" w:space="0" w:color="auto"/>
        <w:left w:val="none" w:sz="0" w:space="0" w:color="auto"/>
        <w:bottom w:val="none" w:sz="0" w:space="0" w:color="auto"/>
        <w:right w:val="none" w:sz="0" w:space="0" w:color="auto"/>
      </w:divBdr>
    </w:div>
    <w:div w:id="258031777">
      <w:bodyDiv w:val="1"/>
      <w:marLeft w:val="0"/>
      <w:marRight w:val="0"/>
      <w:marTop w:val="0"/>
      <w:marBottom w:val="0"/>
      <w:divBdr>
        <w:top w:val="none" w:sz="0" w:space="0" w:color="auto"/>
        <w:left w:val="none" w:sz="0" w:space="0" w:color="auto"/>
        <w:bottom w:val="none" w:sz="0" w:space="0" w:color="auto"/>
        <w:right w:val="none" w:sz="0" w:space="0" w:color="auto"/>
      </w:divBdr>
    </w:div>
    <w:div w:id="835613489">
      <w:bodyDiv w:val="1"/>
      <w:marLeft w:val="0"/>
      <w:marRight w:val="0"/>
      <w:marTop w:val="0"/>
      <w:marBottom w:val="0"/>
      <w:divBdr>
        <w:top w:val="none" w:sz="0" w:space="0" w:color="auto"/>
        <w:left w:val="none" w:sz="0" w:space="0" w:color="auto"/>
        <w:bottom w:val="none" w:sz="0" w:space="0" w:color="auto"/>
        <w:right w:val="none" w:sz="0" w:space="0" w:color="auto"/>
      </w:divBdr>
    </w:div>
    <w:div w:id="1057435713">
      <w:bodyDiv w:val="1"/>
      <w:marLeft w:val="0"/>
      <w:marRight w:val="0"/>
      <w:marTop w:val="0"/>
      <w:marBottom w:val="0"/>
      <w:divBdr>
        <w:top w:val="none" w:sz="0" w:space="0" w:color="auto"/>
        <w:left w:val="none" w:sz="0" w:space="0" w:color="auto"/>
        <w:bottom w:val="none" w:sz="0" w:space="0" w:color="auto"/>
        <w:right w:val="none" w:sz="0" w:space="0" w:color="auto"/>
      </w:divBdr>
    </w:div>
    <w:div w:id="1090468608">
      <w:bodyDiv w:val="1"/>
      <w:marLeft w:val="0"/>
      <w:marRight w:val="0"/>
      <w:marTop w:val="0"/>
      <w:marBottom w:val="0"/>
      <w:divBdr>
        <w:top w:val="none" w:sz="0" w:space="0" w:color="auto"/>
        <w:left w:val="none" w:sz="0" w:space="0" w:color="auto"/>
        <w:bottom w:val="none" w:sz="0" w:space="0" w:color="auto"/>
        <w:right w:val="none" w:sz="0" w:space="0" w:color="auto"/>
      </w:divBdr>
      <w:divsChild>
        <w:div w:id="1034577812">
          <w:marLeft w:val="360"/>
          <w:marRight w:val="0"/>
          <w:marTop w:val="0"/>
          <w:marBottom w:val="0"/>
          <w:divBdr>
            <w:top w:val="none" w:sz="0" w:space="0" w:color="auto"/>
            <w:left w:val="none" w:sz="0" w:space="0" w:color="auto"/>
            <w:bottom w:val="none" w:sz="0" w:space="0" w:color="auto"/>
            <w:right w:val="none" w:sz="0" w:space="0" w:color="auto"/>
          </w:divBdr>
        </w:div>
      </w:divsChild>
    </w:div>
    <w:div w:id="1214849395">
      <w:bodyDiv w:val="1"/>
      <w:marLeft w:val="0"/>
      <w:marRight w:val="0"/>
      <w:marTop w:val="0"/>
      <w:marBottom w:val="0"/>
      <w:divBdr>
        <w:top w:val="none" w:sz="0" w:space="0" w:color="auto"/>
        <w:left w:val="none" w:sz="0" w:space="0" w:color="auto"/>
        <w:bottom w:val="none" w:sz="0" w:space="0" w:color="auto"/>
        <w:right w:val="none" w:sz="0" w:space="0" w:color="auto"/>
      </w:divBdr>
      <w:divsChild>
        <w:div w:id="1206143150">
          <w:marLeft w:val="0"/>
          <w:marRight w:val="0"/>
          <w:marTop w:val="0"/>
          <w:marBottom w:val="0"/>
          <w:divBdr>
            <w:top w:val="none" w:sz="0" w:space="0" w:color="auto"/>
            <w:left w:val="none" w:sz="0" w:space="0" w:color="auto"/>
            <w:bottom w:val="none" w:sz="0" w:space="0" w:color="auto"/>
            <w:right w:val="none" w:sz="0" w:space="0" w:color="auto"/>
          </w:divBdr>
          <w:divsChild>
            <w:div w:id="1361472885">
              <w:marLeft w:val="0"/>
              <w:marRight w:val="0"/>
              <w:marTop w:val="0"/>
              <w:marBottom w:val="0"/>
              <w:divBdr>
                <w:top w:val="none" w:sz="0" w:space="0" w:color="auto"/>
                <w:left w:val="none" w:sz="0" w:space="0" w:color="auto"/>
                <w:bottom w:val="none" w:sz="0" w:space="0" w:color="auto"/>
                <w:right w:val="none" w:sz="0" w:space="0" w:color="auto"/>
              </w:divBdr>
              <w:divsChild>
                <w:div w:id="724987437">
                  <w:marLeft w:val="0"/>
                  <w:marRight w:val="0"/>
                  <w:marTop w:val="0"/>
                  <w:marBottom w:val="0"/>
                  <w:divBdr>
                    <w:top w:val="none" w:sz="0" w:space="0" w:color="auto"/>
                    <w:left w:val="none" w:sz="0" w:space="0" w:color="auto"/>
                    <w:bottom w:val="none" w:sz="0" w:space="0" w:color="auto"/>
                    <w:right w:val="none" w:sz="0" w:space="0" w:color="auto"/>
                  </w:divBdr>
                  <w:divsChild>
                    <w:div w:id="2034962598">
                      <w:marLeft w:val="0"/>
                      <w:marRight w:val="0"/>
                      <w:marTop w:val="0"/>
                      <w:marBottom w:val="0"/>
                      <w:divBdr>
                        <w:top w:val="none" w:sz="0" w:space="0" w:color="auto"/>
                        <w:left w:val="none" w:sz="0" w:space="0" w:color="auto"/>
                        <w:bottom w:val="none" w:sz="0" w:space="0" w:color="auto"/>
                        <w:right w:val="none" w:sz="0" w:space="0" w:color="auto"/>
                      </w:divBdr>
                      <w:divsChild>
                        <w:div w:id="16884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773414">
      <w:bodyDiv w:val="1"/>
      <w:marLeft w:val="0"/>
      <w:marRight w:val="0"/>
      <w:marTop w:val="0"/>
      <w:marBottom w:val="0"/>
      <w:divBdr>
        <w:top w:val="none" w:sz="0" w:space="0" w:color="auto"/>
        <w:left w:val="none" w:sz="0" w:space="0" w:color="auto"/>
        <w:bottom w:val="none" w:sz="0" w:space="0" w:color="auto"/>
        <w:right w:val="none" w:sz="0" w:space="0" w:color="auto"/>
      </w:divBdr>
    </w:div>
    <w:div w:id="1707020189">
      <w:bodyDiv w:val="1"/>
      <w:marLeft w:val="0"/>
      <w:marRight w:val="0"/>
      <w:marTop w:val="0"/>
      <w:marBottom w:val="0"/>
      <w:divBdr>
        <w:top w:val="none" w:sz="0" w:space="0" w:color="auto"/>
        <w:left w:val="none" w:sz="0" w:space="0" w:color="auto"/>
        <w:bottom w:val="none" w:sz="0" w:space="0" w:color="auto"/>
        <w:right w:val="none" w:sz="0" w:space="0" w:color="auto"/>
      </w:divBdr>
    </w:div>
    <w:div w:id="1814788636">
      <w:bodyDiv w:val="1"/>
      <w:marLeft w:val="0"/>
      <w:marRight w:val="0"/>
      <w:marTop w:val="0"/>
      <w:marBottom w:val="0"/>
      <w:divBdr>
        <w:top w:val="none" w:sz="0" w:space="0" w:color="auto"/>
        <w:left w:val="none" w:sz="0" w:space="0" w:color="auto"/>
        <w:bottom w:val="none" w:sz="0" w:space="0" w:color="auto"/>
        <w:right w:val="none" w:sz="0" w:space="0" w:color="auto"/>
      </w:divBdr>
    </w:div>
    <w:div w:id="1827818764">
      <w:bodyDiv w:val="1"/>
      <w:marLeft w:val="0"/>
      <w:marRight w:val="0"/>
      <w:marTop w:val="0"/>
      <w:marBottom w:val="0"/>
      <w:divBdr>
        <w:top w:val="none" w:sz="0" w:space="0" w:color="auto"/>
        <w:left w:val="none" w:sz="0" w:space="0" w:color="auto"/>
        <w:bottom w:val="none" w:sz="0" w:space="0" w:color="auto"/>
        <w:right w:val="none" w:sz="0" w:space="0" w:color="auto"/>
      </w:divBdr>
    </w:div>
    <w:div w:id="1886597511">
      <w:bodyDiv w:val="1"/>
      <w:marLeft w:val="0"/>
      <w:marRight w:val="0"/>
      <w:marTop w:val="0"/>
      <w:marBottom w:val="0"/>
      <w:divBdr>
        <w:top w:val="none" w:sz="0" w:space="0" w:color="auto"/>
        <w:left w:val="none" w:sz="0" w:space="0" w:color="auto"/>
        <w:bottom w:val="none" w:sz="0" w:space="0" w:color="auto"/>
        <w:right w:val="none" w:sz="0" w:space="0" w:color="auto"/>
      </w:divBdr>
    </w:div>
    <w:div w:id="2023893474">
      <w:bodyDiv w:val="1"/>
      <w:marLeft w:val="0"/>
      <w:marRight w:val="0"/>
      <w:marTop w:val="0"/>
      <w:marBottom w:val="0"/>
      <w:divBdr>
        <w:top w:val="none" w:sz="0" w:space="0" w:color="auto"/>
        <w:left w:val="none" w:sz="0" w:space="0" w:color="auto"/>
        <w:bottom w:val="none" w:sz="0" w:space="0" w:color="auto"/>
        <w:right w:val="none" w:sz="0" w:space="0" w:color="auto"/>
      </w:divBdr>
      <w:divsChild>
        <w:div w:id="1429229363">
          <w:marLeft w:val="0"/>
          <w:marRight w:val="0"/>
          <w:marTop w:val="0"/>
          <w:marBottom w:val="0"/>
          <w:divBdr>
            <w:top w:val="none" w:sz="0" w:space="0" w:color="auto"/>
            <w:left w:val="none" w:sz="0" w:space="0" w:color="auto"/>
            <w:bottom w:val="none" w:sz="0" w:space="0" w:color="auto"/>
            <w:right w:val="none" w:sz="0" w:space="0" w:color="auto"/>
          </w:divBdr>
          <w:divsChild>
            <w:div w:id="572202602">
              <w:marLeft w:val="0"/>
              <w:marRight w:val="0"/>
              <w:marTop w:val="0"/>
              <w:marBottom w:val="0"/>
              <w:divBdr>
                <w:top w:val="none" w:sz="0" w:space="0" w:color="auto"/>
                <w:left w:val="none" w:sz="0" w:space="0" w:color="auto"/>
                <w:bottom w:val="none" w:sz="0" w:space="0" w:color="auto"/>
                <w:right w:val="none" w:sz="0" w:space="0" w:color="auto"/>
              </w:divBdr>
              <w:divsChild>
                <w:div w:id="1184443316">
                  <w:marLeft w:val="0"/>
                  <w:marRight w:val="0"/>
                  <w:marTop w:val="2550"/>
                  <w:marBottom w:val="0"/>
                  <w:divBdr>
                    <w:top w:val="none" w:sz="0" w:space="0" w:color="auto"/>
                    <w:left w:val="none" w:sz="0" w:space="0" w:color="auto"/>
                    <w:bottom w:val="none" w:sz="0" w:space="0" w:color="auto"/>
                    <w:right w:val="none" w:sz="0" w:space="0" w:color="auto"/>
                  </w:divBdr>
                  <w:divsChild>
                    <w:div w:id="433862455">
                      <w:marLeft w:val="0"/>
                      <w:marRight w:val="0"/>
                      <w:marTop w:val="0"/>
                      <w:marBottom w:val="0"/>
                      <w:divBdr>
                        <w:top w:val="none" w:sz="0" w:space="0" w:color="auto"/>
                        <w:left w:val="none" w:sz="0" w:space="0" w:color="auto"/>
                        <w:bottom w:val="none" w:sz="0" w:space="0" w:color="auto"/>
                        <w:right w:val="none" w:sz="0" w:space="0" w:color="auto"/>
                      </w:divBdr>
                      <w:divsChild>
                        <w:div w:id="1790588972">
                          <w:marLeft w:val="0"/>
                          <w:marRight w:val="0"/>
                          <w:marTop w:val="0"/>
                          <w:marBottom w:val="0"/>
                          <w:divBdr>
                            <w:top w:val="none" w:sz="0" w:space="0" w:color="auto"/>
                            <w:left w:val="none" w:sz="0" w:space="0" w:color="auto"/>
                            <w:bottom w:val="none" w:sz="0" w:space="0" w:color="auto"/>
                            <w:right w:val="none" w:sz="0" w:space="0" w:color="auto"/>
                          </w:divBdr>
                          <w:divsChild>
                            <w:div w:id="767000571">
                              <w:marLeft w:val="90"/>
                              <w:marRight w:val="150"/>
                              <w:marTop w:val="0"/>
                              <w:marBottom w:val="0"/>
                              <w:divBdr>
                                <w:top w:val="none" w:sz="0" w:space="0" w:color="auto"/>
                                <w:left w:val="none" w:sz="0" w:space="0" w:color="auto"/>
                                <w:bottom w:val="none" w:sz="0" w:space="0" w:color="auto"/>
                                <w:right w:val="none" w:sz="0" w:space="0" w:color="auto"/>
                              </w:divBdr>
                              <w:divsChild>
                                <w:div w:id="725564358">
                                  <w:marLeft w:val="360"/>
                                  <w:marRight w:val="270"/>
                                  <w:marTop w:val="0"/>
                                  <w:marBottom w:val="0"/>
                                  <w:divBdr>
                                    <w:top w:val="none" w:sz="0" w:space="0" w:color="auto"/>
                                    <w:left w:val="none" w:sz="0" w:space="0" w:color="auto"/>
                                    <w:bottom w:val="none" w:sz="0" w:space="0" w:color="auto"/>
                                    <w:right w:val="none" w:sz="0" w:space="0" w:color="auto"/>
                                  </w:divBdr>
                                  <w:divsChild>
                                    <w:div w:id="903371650">
                                      <w:marLeft w:val="0"/>
                                      <w:marRight w:val="0"/>
                                      <w:marTop w:val="0"/>
                                      <w:marBottom w:val="210"/>
                                      <w:divBdr>
                                        <w:top w:val="none" w:sz="0" w:space="0" w:color="auto"/>
                                        <w:left w:val="none" w:sz="0" w:space="0" w:color="auto"/>
                                        <w:bottom w:val="none" w:sz="0" w:space="0" w:color="auto"/>
                                        <w:right w:val="none" w:sz="0" w:space="0" w:color="auto"/>
                                      </w:divBdr>
                                      <w:divsChild>
                                        <w:div w:id="143931005">
                                          <w:marLeft w:val="0"/>
                                          <w:marRight w:val="0"/>
                                          <w:marTop w:val="0"/>
                                          <w:marBottom w:val="0"/>
                                          <w:divBdr>
                                            <w:top w:val="none" w:sz="0" w:space="0" w:color="auto"/>
                                            <w:left w:val="none" w:sz="0" w:space="0" w:color="auto"/>
                                            <w:bottom w:val="none" w:sz="0" w:space="0" w:color="auto"/>
                                            <w:right w:val="none" w:sz="0" w:space="0" w:color="auto"/>
                                          </w:divBdr>
                                          <w:divsChild>
                                            <w:div w:id="523135067">
                                              <w:marLeft w:val="0"/>
                                              <w:marRight w:val="-150"/>
                                              <w:marTop w:val="165"/>
                                              <w:marBottom w:val="165"/>
                                              <w:divBdr>
                                                <w:top w:val="none" w:sz="0" w:space="0" w:color="auto"/>
                                                <w:left w:val="single" w:sz="6" w:space="15" w:color="BAC0C4"/>
                                                <w:bottom w:val="none" w:sz="0" w:space="0" w:color="auto"/>
                                                <w:right w:val="none" w:sz="0" w:space="0" w:color="auto"/>
                                              </w:divBdr>
                                            </w:div>
                                          </w:divsChild>
                                        </w:div>
                                        <w:div w:id="294144598">
                                          <w:marLeft w:val="0"/>
                                          <w:marRight w:val="0"/>
                                          <w:marTop w:val="0"/>
                                          <w:marBottom w:val="0"/>
                                          <w:divBdr>
                                            <w:top w:val="none" w:sz="0" w:space="0" w:color="auto"/>
                                            <w:left w:val="none" w:sz="0" w:space="0" w:color="auto"/>
                                            <w:bottom w:val="none" w:sz="0" w:space="0" w:color="auto"/>
                                            <w:right w:val="none" w:sz="0" w:space="0" w:color="auto"/>
                                          </w:divBdr>
                                        </w:div>
                                        <w:div w:id="443118226">
                                          <w:marLeft w:val="0"/>
                                          <w:marRight w:val="0"/>
                                          <w:marTop w:val="0"/>
                                          <w:marBottom w:val="0"/>
                                          <w:divBdr>
                                            <w:top w:val="single" w:sz="6" w:space="0" w:color="BAC0C4"/>
                                            <w:left w:val="none" w:sz="0" w:space="0" w:color="auto"/>
                                            <w:bottom w:val="none" w:sz="0" w:space="0" w:color="auto"/>
                                            <w:right w:val="none" w:sz="0" w:space="0" w:color="auto"/>
                                          </w:divBdr>
                                          <w:divsChild>
                                            <w:div w:id="197818860">
                                              <w:marLeft w:val="180"/>
                                              <w:marRight w:val="180"/>
                                              <w:marTop w:val="0"/>
                                              <w:marBottom w:val="180"/>
                                              <w:divBdr>
                                                <w:top w:val="none" w:sz="0" w:space="0" w:color="auto"/>
                                                <w:left w:val="none" w:sz="0" w:space="0" w:color="auto"/>
                                                <w:bottom w:val="none" w:sz="0" w:space="0" w:color="auto"/>
                                                <w:right w:val="none" w:sz="0" w:space="0" w:color="auto"/>
                                              </w:divBdr>
                                            </w:div>
                                            <w:div w:id="542131983">
                                              <w:marLeft w:val="0"/>
                                              <w:marRight w:val="0"/>
                                              <w:marTop w:val="0"/>
                                              <w:marBottom w:val="0"/>
                                              <w:divBdr>
                                                <w:top w:val="none" w:sz="0" w:space="0" w:color="auto"/>
                                                <w:left w:val="none" w:sz="0" w:space="0" w:color="auto"/>
                                                <w:bottom w:val="none" w:sz="0" w:space="0" w:color="auto"/>
                                                <w:right w:val="none" w:sz="0" w:space="0" w:color="auto"/>
                                              </w:divBdr>
                                            </w:div>
                                            <w:div w:id="1615749494">
                                              <w:marLeft w:val="0"/>
                                              <w:marRight w:val="0"/>
                                              <w:marTop w:val="120"/>
                                              <w:marBottom w:val="180"/>
                                              <w:divBdr>
                                                <w:top w:val="none" w:sz="0" w:space="0" w:color="auto"/>
                                                <w:left w:val="none" w:sz="0" w:space="0" w:color="auto"/>
                                                <w:bottom w:val="none" w:sz="0" w:space="0" w:color="auto"/>
                                                <w:right w:val="none" w:sz="0" w:space="0" w:color="auto"/>
                                              </w:divBdr>
                                            </w:div>
                                            <w:div w:id="1828939604">
                                              <w:marLeft w:val="0"/>
                                              <w:marRight w:val="0"/>
                                              <w:marTop w:val="0"/>
                                              <w:marBottom w:val="0"/>
                                              <w:divBdr>
                                                <w:top w:val="none" w:sz="0" w:space="0" w:color="auto"/>
                                                <w:left w:val="none" w:sz="0" w:space="0" w:color="auto"/>
                                                <w:bottom w:val="none" w:sz="0" w:space="0" w:color="auto"/>
                                                <w:right w:val="none" w:sz="0" w:space="0" w:color="auto"/>
                                              </w:divBdr>
                                            </w:div>
                                          </w:divsChild>
                                        </w:div>
                                        <w:div w:id="12887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image" Target="media/image5.png"/><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8.xml"/><Relationship Id="rId55" Type="http://schemas.openxmlformats.org/officeDocument/2006/relationships/header" Target="header30.xml"/><Relationship Id="rId63"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footer" Target="footer6.xml"/><Relationship Id="rId54" Type="http://schemas.openxmlformats.org/officeDocument/2006/relationships/footer" Target="footer9.xml"/><Relationship Id="rId62"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image" Target="media/image3.png"/><Relationship Id="rId37" Type="http://schemas.openxmlformats.org/officeDocument/2006/relationships/footer" Target="footer5.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2.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2.png"/><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1.xml"/><Relationship Id="rId61" Type="http://schemas.openxmlformats.org/officeDocument/2006/relationships/header" Target="header34.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15.xm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header" Target="header33.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image" Target="media/image6.png"/><Relationship Id="rId48" Type="http://schemas.openxmlformats.org/officeDocument/2006/relationships/header" Target="header25.xml"/><Relationship Id="rId56" Type="http://schemas.openxmlformats.org/officeDocument/2006/relationships/footer" Target="footer10.xml"/><Relationship Id="rId64"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image" Target="media/image4.png"/><Relationship Id="rId38" Type="http://schemas.openxmlformats.org/officeDocument/2006/relationships/header" Target="header18.xml"/><Relationship Id="rId46" Type="http://schemas.openxmlformats.org/officeDocument/2006/relationships/footer" Target="footer7.xml"/><Relationship Id="rId59"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3767E-DE7B-417B-8E00-18C0ABF4C48F}">
  <ds:schemaRefs>
    <ds:schemaRef ds:uri="http://schemas.openxmlformats.org/officeDocument/2006/bibliography"/>
  </ds:schemaRefs>
</ds:datastoreItem>
</file>

<file path=customXml/itemProps2.xml><?xml version="1.0" encoding="utf-8"?>
<ds:datastoreItem xmlns:ds="http://schemas.openxmlformats.org/officeDocument/2006/customXml" ds:itemID="{E04FE3FB-4FB6-47C9-B214-5B826028A568}">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4ebc427b-1bcf-4856-a750-efc6bf2bcca6"/>
    <ds:schemaRef ds:uri="bd536709-b854-4f3b-a247-393f1123cff3"/>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41214D2-B4FC-4C1B-AFC3-C6AB565799F2}">
  <ds:schemaRefs>
    <ds:schemaRef ds:uri="http://schemas.microsoft.com/sharepoint/v3/contenttype/forms"/>
  </ds:schemaRefs>
</ds:datastoreItem>
</file>

<file path=customXml/itemProps4.xml><?xml version="1.0" encoding="utf-8"?>
<ds:datastoreItem xmlns:ds="http://schemas.openxmlformats.org/officeDocument/2006/customXml" ds:itemID="{921B0A9B-8E01-4F6A-A73F-55574CDA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42</Pages>
  <Words>12256</Words>
  <Characters>73670</Characters>
  <Application>Microsoft Office Word</Application>
  <DocSecurity>2</DocSecurity>
  <Lines>1416</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85234</CharactersWithSpaces>
  <SharedDoc>false</SharedDoc>
  <HLinks>
    <vt:vector size="342" baseType="variant">
      <vt:variant>
        <vt:i4>1900601</vt:i4>
      </vt:variant>
      <vt:variant>
        <vt:i4>335</vt:i4>
      </vt:variant>
      <vt:variant>
        <vt:i4>0</vt:i4>
      </vt:variant>
      <vt:variant>
        <vt:i4>5</vt:i4>
      </vt:variant>
      <vt:variant>
        <vt:lpwstr/>
      </vt:variant>
      <vt:variant>
        <vt:lpwstr>_Toc216082593</vt:lpwstr>
      </vt:variant>
      <vt:variant>
        <vt:i4>1900601</vt:i4>
      </vt:variant>
      <vt:variant>
        <vt:i4>329</vt:i4>
      </vt:variant>
      <vt:variant>
        <vt:i4>0</vt:i4>
      </vt:variant>
      <vt:variant>
        <vt:i4>5</vt:i4>
      </vt:variant>
      <vt:variant>
        <vt:lpwstr/>
      </vt:variant>
      <vt:variant>
        <vt:lpwstr>_Toc216082592</vt:lpwstr>
      </vt:variant>
      <vt:variant>
        <vt:i4>1900601</vt:i4>
      </vt:variant>
      <vt:variant>
        <vt:i4>323</vt:i4>
      </vt:variant>
      <vt:variant>
        <vt:i4>0</vt:i4>
      </vt:variant>
      <vt:variant>
        <vt:i4>5</vt:i4>
      </vt:variant>
      <vt:variant>
        <vt:lpwstr/>
      </vt:variant>
      <vt:variant>
        <vt:lpwstr>_Toc216082591</vt:lpwstr>
      </vt:variant>
      <vt:variant>
        <vt:i4>1900601</vt:i4>
      </vt:variant>
      <vt:variant>
        <vt:i4>317</vt:i4>
      </vt:variant>
      <vt:variant>
        <vt:i4>0</vt:i4>
      </vt:variant>
      <vt:variant>
        <vt:i4>5</vt:i4>
      </vt:variant>
      <vt:variant>
        <vt:lpwstr/>
      </vt:variant>
      <vt:variant>
        <vt:lpwstr>_Toc216082590</vt:lpwstr>
      </vt:variant>
      <vt:variant>
        <vt:i4>1835065</vt:i4>
      </vt:variant>
      <vt:variant>
        <vt:i4>311</vt:i4>
      </vt:variant>
      <vt:variant>
        <vt:i4>0</vt:i4>
      </vt:variant>
      <vt:variant>
        <vt:i4>5</vt:i4>
      </vt:variant>
      <vt:variant>
        <vt:lpwstr/>
      </vt:variant>
      <vt:variant>
        <vt:lpwstr>_Toc216082589</vt:lpwstr>
      </vt:variant>
      <vt:variant>
        <vt:i4>1835065</vt:i4>
      </vt:variant>
      <vt:variant>
        <vt:i4>305</vt:i4>
      </vt:variant>
      <vt:variant>
        <vt:i4>0</vt:i4>
      </vt:variant>
      <vt:variant>
        <vt:i4>5</vt:i4>
      </vt:variant>
      <vt:variant>
        <vt:lpwstr/>
      </vt:variant>
      <vt:variant>
        <vt:lpwstr>_Toc216082588</vt:lpwstr>
      </vt:variant>
      <vt:variant>
        <vt:i4>1835065</vt:i4>
      </vt:variant>
      <vt:variant>
        <vt:i4>299</vt:i4>
      </vt:variant>
      <vt:variant>
        <vt:i4>0</vt:i4>
      </vt:variant>
      <vt:variant>
        <vt:i4>5</vt:i4>
      </vt:variant>
      <vt:variant>
        <vt:lpwstr/>
      </vt:variant>
      <vt:variant>
        <vt:lpwstr>_Toc216082587</vt:lpwstr>
      </vt:variant>
      <vt:variant>
        <vt:i4>1835065</vt:i4>
      </vt:variant>
      <vt:variant>
        <vt:i4>293</vt:i4>
      </vt:variant>
      <vt:variant>
        <vt:i4>0</vt:i4>
      </vt:variant>
      <vt:variant>
        <vt:i4>5</vt:i4>
      </vt:variant>
      <vt:variant>
        <vt:lpwstr/>
      </vt:variant>
      <vt:variant>
        <vt:lpwstr>_Toc216082586</vt:lpwstr>
      </vt:variant>
      <vt:variant>
        <vt:i4>1835065</vt:i4>
      </vt:variant>
      <vt:variant>
        <vt:i4>287</vt:i4>
      </vt:variant>
      <vt:variant>
        <vt:i4>0</vt:i4>
      </vt:variant>
      <vt:variant>
        <vt:i4>5</vt:i4>
      </vt:variant>
      <vt:variant>
        <vt:lpwstr/>
      </vt:variant>
      <vt:variant>
        <vt:lpwstr>_Toc216082585</vt:lpwstr>
      </vt:variant>
      <vt:variant>
        <vt:i4>1835065</vt:i4>
      </vt:variant>
      <vt:variant>
        <vt:i4>281</vt:i4>
      </vt:variant>
      <vt:variant>
        <vt:i4>0</vt:i4>
      </vt:variant>
      <vt:variant>
        <vt:i4>5</vt:i4>
      </vt:variant>
      <vt:variant>
        <vt:lpwstr/>
      </vt:variant>
      <vt:variant>
        <vt:lpwstr>_Toc216082584</vt:lpwstr>
      </vt:variant>
      <vt:variant>
        <vt:i4>1835065</vt:i4>
      </vt:variant>
      <vt:variant>
        <vt:i4>275</vt:i4>
      </vt:variant>
      <vt:variant>
        <vt:i4>0</vt:i4>
      </vt:variant>
      <vt:variant>
        <vt:i4>5</vt:i4>
      </vt:variant>
      <vt:variant>
        <vt:lpwstr/>
      </vt:variant>
      <vt:variant>
        <vt:lpwstr>_Toc216082583</vt:lpwstr>
      </vt:variant>
      <vt:variant>
        <vt:i4>1835065</vt:i4>
      </vt:variant>
      <vt:variant>
        <vt:i4>269</vt:i4>
      </vt:variant>
      <vt:variant>
        <vt:i4>0</vt:i4>
      </vt:variant>
      <vt:variant>
        <vt:i4>5</vt:i4>
      </vt:variant>
      <vt:variant>
        <vt:lpwstr/>
      </vt:variant>
      <vt:variant>
        <vt:lpwstr>_Toc216082582</vt:lpwstr>
      </vt:variant>
      <vt:variant>
        <vt:i4>1835065</vt:i4>
      </vt:variant>
      <vt:variant>
        <vt:i4>263</vt:i4>
      </vt:variant>
      <vt:variant>
        <vt:i4>0</vt:i4>
      </vt:variant>
      <vt:variant>
        <vt:i4>5</vt:i4>
      </vt:variant>
      <vt:variant>
        <vt:lpwstr/>
      </vt:variant>
      <vt:variant>
        <vt:lpwstr>_Toc216082581</vt:lpwstr>
      </vt:variant>
      <vt:variant>
        <vt:i4>1835065</vt:i4>
      </vt:variant>
      <vt:variant>
        <vt:i4>257</vt:i4>
      </vt:variant>
      <vt:variant>
        <vt:i4>0</vt:i4>
      </vt:variant>
      <vt:variant>
        <vt:i4>5</vt:i4>
      </vt:variant>
      <vt:variant>
        <vt:lpwstr/>
      </vt:variant>
      <vt:variant>
        <vt:lpwstr>_Toc216082580</vt:lpwstr>
      </vt:variant>
      <vt:variant>
        <vt:i4>1245241</vt:i4>
      </vt:variant>
      <vt:variant>
        <vt:i4>251</vt:i4>
      </vt:variant>
      <vt:variant>
        <vt:i4>0</vt:i4>
      </vt:variant>
      <vt:variant>
        <vt:i4>5</vt:i4>
      </vt:variant>
      <vt:variant>
        <vt:lpwstr/>
      </vt:variant>
      <vt:variant>
        <vt:lpwstr>_Toc216082579</vt:lpwstr>
      </vt:variant>
      <vt:variant>
        <vt:i4>1245241</vt:i4>
      </vt:variant>
      <vt:variant>
        <vt:i4>245</vt:i4>
      </vt:variant>
      <vt:variant>
        <vt:i4>0</vt:i4>
      </vt:variant>
      <vt:variant>
        <vt:i4>5</vt:i4>
      </vt:variant>
      <vt:variant>
        <vt:lpwstr/>
      </vt:variant>
      <vt:variant>
        <vt:lpwstr>_Toc216082578</vt:lpwstr>
      </vt:variant>
      <vt:variant>
        <vt:i4>1245241</vt:i4>
      </vt:variant>
      <vt:variant>
        <vt:i4>239</vt:i4>
      </vt:variant>
      <vt:variant>
        <vt:i4>0</vt:i4>
      </vt:variant>
      <vt:variant>
        <vt:i4>5</vt:i4>
      </vt:variant>
      <vt:variant>
        <vt:lpwstr/>
      </vt:variant>
      <vt:variant>
        <vt:lpwstr>_Toc216082577</vt:lpwstr>
      </vt:variant>
      <vt:variant>
        <vt:i4>1245241</vt:i4>
      </vt:variant>
      <vt:variant>
        <vt:i4>233</vt:i4>
      </vt:variant>
      <vt:variant>
        <vt:i4>0</vt:i4>
      </vt:variant>
      <vt:variant>
        <vt:i4>5</vt:i4>
      </vt:variant>
      <vt:variant>
        <vt:lpwstr/>
      </vt:variant>
      <vt:variant>
        <vt:lpwstr>_Toc216082576</vt:lpwstr>
      </vt:variant>
      <vt:variant>
        <vt:i4>1245241</vt:i4>
      </vt:variant>
      <vt:variant>
        <vt:i4>227</vt:i4>
      </vt:variant>
      <vt:variant>
        <vt:i4>0</vt:i4>
      </vt:variant>
      <vt:variant>
        <vt:i4>5</vt:i4>
      </vt:variant>
      <vt:variant>
        <vt:lpwstr/>
      </vt:variant>
      <vt:variant>
        <vt:lpwstr>_Toc216082575</vt:lpwstr>
      </vt:variant>
      <vt:variant>
        <vt:i4>1245241</vt:i4>
      </vt:variant>
      <vt:variant>
        <vt:i4>221</vt:i4>
      </vt:variant>
      <vt:variant>
        <vt:i4>0</vt:i4>
      </vt:variant>
      <vt:variant>
        <vt:i4>5</vt:i4>
      </vt:variant>
      <vt:variant>
        <vt:lpwstr/>
      </vt:variant>
      <vt:variant>
        <vt:lpwstr>_Toc216082574</vt:lpwstr>
      </vt:variant>
      <vt:variant>
        <vt:i4>1245241</vt:i4>
      </vt:variant>
      <vt:variant>
        <vt:i4>215</vt:i4>
      </vt:variant>
      <vt:variant>
        <vt:i4>0</vt:i4>
      </vt:variant>
      <vt:variant>
        <vt:i4>5</vt:i4>
      </vt:variant>
      <vt:variant>
        <vt:lpwstr/>
      </vt:variant>
      <vt:variant>
        <vt:lpwstr>_Toc216082573</vt:lpwstr>
      </vt:variant>
      <vt:variant>
        <vt:i4>1245241</vt:i4>
      </vt:variant>
      <vt:variant>
        <vt:i4>209</vt:i4>
      </vt:variant>
      <vt:variant>
        <vt:i4>0</vt:i4>
      </vt:variant>
      <vt:variant>
        <vt:i4>5</vt:i4>
      </vt:variant>
      <vt:variant>
        <vt:lpwstr/>
      </vt:variant>
      <vt:variant>
        <vt:lpwstr>_Toc216082572</vt:lpwstr>
      </vt:variant>
      <vt:variant>
        <vt:i4>1245241</vt:i4>
      </vt:variant>
      <vt:variant>
        <vt:i4>203</vt:i4>
      </vt:variant>
      <vt:variant>
        <vt:i4>0</vt:i4>
      </vt:variant>
      <vt:variant>
        <vt:i4>5</vt:i4>
      </vt:variant>
      <vt:variant>
        <vt:lpwstr/>
      </vt:variant>
      <vt:variant>
        <vt:lpwstr>_Toc216082571</vt:lpwstr>
      </vt:variant>
      <vt:variant>
        <vt:i4>1245241</vt:i4>
      </vt:variant>
      <vt:variant>
        <vt:i4>197</vt:i4>
      </vt:variant>
      <vt:variant>
        <vt:i4>0</vt:i4>
      </vt:variant>
      <vt:variant>
        <vt:i4>5</vt:i4>
      </vt:variant>
      <vt:variant>
        <vt:lpwstr/>
      </vt:variant>
      <vt:variant>
        <vt:lpwstr>_Toc216082570</vt:lpwstr>
      </vt:variant>
      <vt:variant>
        <vt:i4>1179705</vt:i4>
      </vt:variant>
      <vt:variant>
        <vt:i4>191</vt:i4>
      </vt:variant>
      <vt:variant>
        <vt:i4>0</vt:i4>
      </vt:variant>
      <vt:variant>
        <vt:i4>5</vt:i4>
      </vt:variant>
      <vt:variant>
        <vt:lpwstr/>
      </vt:variant>
      <vt:variant>
        <vt:lpwstr>_Toc216082569</vt:lpwstr>
      </vt:variant>
      <vt:variant>
        <vt:i4>1179705</vt:i4>
      </vt:variant>
      <vt:variant>
        <vt:i4>185</vt:i4>
      </vt:variant>
      <vt:variant>
        <vt:i4>0</vt:i4>
      </vt:variant>
      <vt:variant>
        <vt:i4>5</vt:i4>
      </vt:variant>
      <vt:variant>
        <vt:lpwstr/>
      </vt:variant>
      <vt:variant>
        <vt:lpwstr>_Toc216082568</vt:lpwstr>
      </vt:variant>
      <vt:variant>
        <vt:i4>1179705</vt:i4>
      </vt:variant>
      <vt:variant>
        <vt:i4>179</vt:i4>
      </vt:variant>
      <vt:variant>
        <vt:i4>0</vt:i4>
      </vt:variant>
      <vt:variant>
        <vt:i4>5</vt:i4>
      </vt:variant>
      <vt:variant>
        <vt:lpwstr/>
      </vt:variant>
      <vt:variant>
        <vt:lpwstr>_Toc216082567</vt:lpwstr>
      </vt:variant>
      <vt:variant>
        <vt:i4>1179705</vt:i4>
      </vt:variant>
      <vt:variant>
        <vt:i4>173</vt:i4>
      </vt:variant>
      <vt:variant>
        <vt:i4>0</vt:i4>
      </vt:variant>
      <vt:variant>
        <vt:i4>5</vt:i4>
      </vt:variant>
      <vt:variant>
        <vt:lpwstr/>
      </vt:variant>
      <vt:variant>
        <vt:lpwstr>_Toc216082566</vt:lpwstr>
      </vt:variant>
      <vt:variant>
        <vt:i4>1179705</vt:i4>
      </vt:variant>
      <vt:variant>
        <vt:i4>167</vt:i4>
      </vt:variant>
      <vt:variant>
        <vt:i4>0</vt:i4>
      </vt:variant>
      <vt:variant>
        <vt:i4>5</vt:i4>
      </vt:variant>
      <vt:variant>
        <vt:lpwstr/>
      </vt:variant>
      <vt:variant>
        <vt:lpwstr>_Toc216082565</vt:lpwstr>
      </vt:variant>
      <vt:variant>
        <vt:i4>1179705</vt:i4>
      </vt:variant>
      <vt:variant>
        <vt:i4>161</vt:i4>
      </vt:variant>
      <vt:variant>
        <vt:i4>0</vt:i4>
      </vt:variant>
      <vt:variant>
        <vt:i4>5</vt:i4>
      </vt:variant>
      <vt:variant>
        <vt:lpwstr/>
      </vt:variant>
      <vt:variant>
        <vt:lpwstr>_Toc216082564</vt:lpwstr>
      </vt:variant>
      <vt:variant>
        <vt:i4>1179705</vt:i4>
      </vt:variant>
      <vt:variant>
        <vt:i4>155</vt:i4>
      </vt:variant>
      <vt:variant>
        <vt:i4>0</vt:i4>
      </vt:variant>
      <vt:variant>
        <vt:i4>5</vt:i4>
      </vt:variant>
      <vt:variant>
        <vt:lpwstr/>
      </vt:variant>
      <vt:variant>
        <vt:lpwstr>_Toc216082563</vt:lpwstr>
      </vt:variant>
      <vt:variant>
        <vt:i4>1179705</vt:i4>
      </vt:variant>
      <vt:variant>
        <vt:i4>149</vt:i4>
      </vt:variant>
      <vt:variant>
        <vt:i4>0</vt:i4>
      </vt:variant>
      <vt:variant>
        <vt:i4>5</vt:i4>
      </vt:variant>
      <vt:variant>
        <vt:lpwstr/>
      </vt:variant>
      <vt:variant>
        <vt:lpwstr>_Toc216082562</vt:lpwstr>
      </vt:variant>
      <vt:variant>
        <vt:i4>1179705</vt:i4>
      </vt:variant>
      <vt:variant>
        <vt:i4>143</vt:i4>
      </vt:variant>
      <vt:variant>
        <vt:i4>0</vt:i4>
      </vt:variant>
      <vt:variant>
        <vt:i4>5</vt:i4>
      </vt:variant>
      <vt:variant>
        <vt:lpwstr/>
      </vt:variant>
      <vt:variant>
        <vt:lpwstr>_Toc216082561</vt:lpwstr>
      </vt:variant>
      <vt:variant>
        <vt:i4>1179705</vt:i4>
      </vt:variant>
      <vt:variant>
        <vt:i4>137</vt:i4>
      </vt:variant>
      <vt:variant>
        <vt:i4>0</vt:i4>
      </vt:variant>
      <vt:variant>
        <vt:i4>5</vt:i4>
      </vt:variant>
      <vt:variant>
        <vt:lpwstr/>
      </vt:variant>
      <vt:variant>
        <vt:lpwstr>_Toc216082560</vt:lpwstr>
      </vt:variant>
      <vt:variant>
        <vt:i4>1114169</vt:i4>
      </vt:variant>
      <vt:variant>
        <vt:i4>131</vt:i4>
      </vt:variant>
      <vt:variant>
        <vt:i4>0</vt:i4>
      </vt:variant>
      <vt:variant>
        <vt:i4>5</vt:i4>
      </vt:variant>
      <vt:variant>
        <vt:lpwstr/>
      </vt:variant>
      <vt:variant>
        <vt:lpwstr>_Toc216082559</vt:lpwstr>
      </vt:variant>
      <vt:variant>
        <vt:i4>1114169</vt:i4>
      </vt:variant>
      <vt:variant>
        <vt:i4>125</vt:i4>
      </vt:variant>
      <vt:variant>
        <vt:i4>0</vt:i4>
      </vt:variant>
      <vt:variant>
        <vt:i4>5</vt:i4>
      </vt:variant>
      <vt:variant>
        <vt:lpwstr/>
      </vt:variant>
      <vt:variant>
        <vt:lpwstr>_Toc216082558</vt:lpwstr>
      </vt:variant>
      <vt:variant>
        <vt:i4>1114169</vt:i4>
      </vt:variant>
      <vt:variant>
        <vt:i4>119</vt:i4>
      </vt:variant>
      <vt:variant>
        <vt:i4>0</vt:i4>
      </vt:variant>
      <vt:variant>
        <vt:i4>5</vt:i4>
      </vt:variant>
      <vt:variant>
        <vt:lpwstr/>
      </vt:variant>
      <vt:variant>
        <vt:lpwstr>_Toc216082557</vt:lpwstr>
      </vt:variant>
      <vt:variant>
        <vt:i4>1114169</vt:i4>
      </vt:variant>
      <vt:variant>
        <vt:i4>113</vt:i4>
      </vt:variant>
      <vt:variant>
        <vt:i4>0</vt:i4>
      </vt:variant>
      <vt:variant>
        <vt:i4>5</vt:i4>
      </vt:variant>
      <vt:variant>
        <vt:lpwstr/>
      </vt:variant>
      <vt:variant>
        <vt:lpwstr>_Toc216082556</vt:lpwstr>
      </vt:variant>
      <vt:variant>
        <vt:i4>1114169</vt:i4>
      </vt:variant>
      <vt:variant>
        <vt:i4>107</vt:i4>
      </vt:variant>
      <vt:variant>
        <vt:i4>0</vt:i4>
      </vt:variant>
      <vt:variant>
        <vt:i4>5</vt:i4>
      </vt:variant>
      <vt:variant>
        <vt:lpwstr/>
      </vt:variant>
      <vt:variant>
        <vt:lpwstr>_Toc216082555</vt:lpwstr>
      </vt:variant>
      <vt:variant>
        <vt:i4>1114169</vt:i4>
      </vt:variant>
      <vt:variant>
        <vt:i4>101</vt:i4>
      </vt:variant>
      <vt:variant>
        <vt:i4>0</vt:i4>
      </vt:variant>
      <vt:variant>
        <vt:i4>5</vt:i4>
      </vt:variant>
      <vt:variant>
        <vt:lpwstr/>
      </vt:variant>
      <vt:variant>
        <vt:lpwstr>_Toc216082554</vt:lpwstr>
      </vt:variant>
      <vt:variant>
        <vt:i4>1114169</vt:i4>
      </vt:variant>
      <vt:variant>
        <vt:i4>95</vt:i4>
      </vt:variant>
      <vt:variant>
        <vt:i4>0</vt:i4>
      </vt:variant>
      <vt:variant>
        <vt:i4>5</vt:i4>
      </vt:variant>
      <vt:variant>
        <vt:lpwstr/>
      </vt:variant>
      <vt:variant>
        <vt:lpwstr>_Toc216082553</vt:lpwstr>
      </vt:variant>
      <vt:variant>
        <vt:i4>1114169</vt:i4>
      </vt:variant>
      <vt:variant>
        <vt:i4>89</vt:i4>
      </vt:variant>
      <vt:variant>
        <vt:i4>0</vt:i4>
      </vt:variant>
      <vt:variant>
        <vt:i4>5</vt:i4>
      </vt:variant>
      <vt:variant>
        <vt:lpwstr/>
      </vt:variant>
      <vt:variant>
        <vt:lpwstr>_Toc216082552</vt:lpwstr>
      </vt:variant>
      <vt:variant>
        <vt:i4>1114169</vt:i4>
      </vt:variant>
      <vt:variant>
        <vt:i4>83</vt:i4>
      </vt:variant>
      <vt:variant>
        <vt:i4>0</vt:i4>
      </vt:variant>
      <vt:variant>
        <vt:i4>5</vt:i4>
      </vt:variant>
      <vt:variant>
        <vt:lpwstr/>
      </vt:variant>
      <vt:variant>
        <vt:lpwstr>_Toc216082551</vt:lpwstr>
      </vt:variant>
      <vt:variant>
        <vt:i4>1114169</vt:i4>
      </vt:variant>
      <vt:variant>
        <vt:i4>77</vt:i4>
      </vt:variant>
      <vt:variant>
        <vt:i4>0</vt:i4>
      </vt:variant>
      <vt:variant>
        <vt:i4>5</vt:i4>
      </vt:variant>
      <vt:variant>
        <vt:lpwstr/>
      </vt:variant>
      <vt:variant>
        <vt:lpwstr>_Toc216082550</vt:lpwstr>
      </vt:variant>
      <vt:variant>
        <vt:i4>1048633</vt:i4>
      </vt:variant>
      <vt:variant>
        <vt:i4>71</vt:i4>
      </vt:variant>
      <vt:variant>
        <vt:i4>0</vt:i4>
      </vt:variant>
      <vt:variant>
        <vt:i4>5</vt:i4>
      </vt:variant>
      <vt:variant>
        <vt:lpwstr/>
      </vt:variant>
      <vt:variant>
        <vt:lpwstr>_Toc216082549</vt:lpwstr>
      </vt:variant>
      <vt:variant>
        <vt:i4>1048633</vt:i4>
      </vt:variant>
      <vt:variant>
        <vt:i4>65</vt:i4>
      </vt:variant>
      <vt:variant>
        <vt:i4>0</vt:i4>
      </vt:variant>
      <vt:variant>
        <vt:i4>5</vt:i4>
      </vt:variant>
      <vt:variant>
        <vt:lpwstr/>
      </vt:variant>
      <vt:variant>
        <vt:lpwstr>_Toc216082548</vt:lpwstr>
      </vt:variant>
      <vt:variant>
        <vt:i4>1048633</vt:i4>
      </vt:variant>
      <vt:variant>
        <vt:i4>59</vt:i4>
      </vt:variant>
      <vt:variant>
        <vt:i4>0</vt:i4>
      </vt:variant>
      <vt:variant>
        <vt:i4>5</vt:i4>
      </vt:variant>
      <vt:variant>
        <vt:lpwstr/>
      </vt:variant>
      <vt:variant>
        <vt:lpwstr>_Toc216082547</vt:lpwstr>
      </vt:variant>
      <vt:variant>
        <vt:i4>1048633</vt:i4>
      </vt:variant>
      <vt:variant>
        <vt:i4>53</vt:i4>
      </vt:variant>
      <vt:variant>
        <vt:i4>0</vt:i4>
      </vt:variant>
      <vt:variant>
        <vt:i4>5</vt:i4>
      </vt:variant>
      <vt:variant>
        <vt:lpwstr/>
      </vt:variant>
      <vt:variant>
        <vt:lpwstr>_Toc216082546</vt:lpwstr>
      </vt:variant>
      <vt:variant>
        <vt:i4>1048633</vt:i4>
      </vt:variant>
      <vt:variant>
        <vt:i4>47</vt:i4>
      </vt:variant>
      <vt:variant>
        <vt:i4>0</vt:i4>
      </vt:variant>
      <vt:variant>
        <vt:i4>5</vt:i4>
      </vt:variant>
      <vt:variant>
        <vt:lpwstr/>
      </vt:variant>
      <vt:variant>
        <vt:lpwstr>_Toc216082545</vt:lpwstr>
      </vt:variant>
      <vt:variant>
        <vt:i4>1048633</vt:i4>
      </vt:variant>
      <vt:variant>
        <vt:i4>41</vt:i4>
      </vt:variant>
      <vt:variant>
        <vt:i4>0</vt:i4>
      </vt:variant>
      <vt:variant>
        <vt:i4>5</vt:i4>
      </vt:variant>
      <vt:variant>
        <vt:lpwstr/>
      </vt:variant>
      <vt:variant>
        <vt:lpwstr>_Toc216082544</vt:lpwstr>
      </vt:variant>
      <vt:variant>
        <vt:i4>1048633</vt:i4>
      </vt:variant>
      <vt:variant>
        <vt:i4>35</vt:i4>
      </vt:variant>
      <vt:variant>
        <vt:i4>0</vt:i4>
      </vt:variant>
      <vt:variant>
        <vt:i4>5</vt:i4>
      </vt:variant>
      <vt:variant>
        <vt:lpwstr/>
      </vt:variant>
      <vt:variant>
        <vt:lpwstr>_Toc216082543</vt:lpwstr>
      </vt:variant>
      <vt:variant>
        <vt:i4>1048633</vt:i4>
      </vt:variant>
      <vt:variant>
        <vt:i4>29</vt:i4>
      </vt:variant>
      <vt:variant>
        <vt:i4>0</vt:i4>
      </vt:variant>
      <vt:variant>
        <vt:i4>5</vt:i4>
      </vt:variant>
      <vt:variant>
        <vt:lpwstr/>
      </vt:variant>
      <vt:variant>
        <vt:lpwstr>_Toc216082542</vt:lpwstr>
      </vt:variant>
      <vt:variant>
        <vt:i4>1048633</vt:i4>
      </vt:variant>
      <vt:variant>
        <vt:i4>23</vt:i4>
      </vt:variant>
      <vt:variant>
        <vt:i4>0</vt:i4>
      </vt:variant>
      <vt:variant>
        <vt:i4>5</vt:i4>
      </vt:variant>
      <vt:variant>
        <vt:lpwstr/>
      </vt:variant>
      <vt:variant>
        <vt:lpwstr>_Toc216082541</vt:lpwstr>
      </vt:variant>
      <vt:variant>
        <vt:i4>1048633</vt:i4>
      </vt:variant>
      <vt:variant>
        <vt:i4>17</vt:i4>
      </vt:variant>
      <vt:variant>
        <vt:i4>0</vt:i4>
      </vt:variant>
      <vt:variant>
        <vt:i4>5</vt:i4>
      </vt:variant>
      <vt:variant>
        <vt:lpwstr/>
      </vt:variant>
      <vt:variant>
        <vt:lpwstr>_Toc216082540</vt:lpwstr>
      </vt:variant>
      <vt:variant>
        <vt:i4>1507385</vt:i4>
      </vt:variant>
      <vt:variant>
        <vt:i4>11</vt:i4>
      </vt:variant>
      <vt:variant>
        <vt:i4>0</vt:i4>
      </vt:variant>
      <vt:variant>
        <vt:i4>5</vt:i4>
      </vt:variant>
      <vt:variant>
        <vt:lpwstr/>
      </vt:variant>
      <vt:variant>
        <vt:lpwstr>_Toc216082539</vt:lpwstr>
      </vt:variant>
      <vt:variant>
        <vt:i4>1507385</vt:i4>
      </vt:variant>
      <vt:variant>
        <vt:i4>5</vt:i4>
      </vt:variant>
      <vt:variant>
        <vt:i4>0</vt:i4>
      </vt:variant>
      <vt:variant>
        <vt:i4>5</vt:i4>
      </vt:variant>
      <vt:variant>
        <vt:lpwstr/>
      </vt:variant>
      <vt:variant>
        <vt:lpwstr>_Toc216082538</vt:lpwstr>
      </vt:variant>
      <vt:variant>
        <vt:i4>5439562</vt:i4>
      </vt:variant>
      <vt:variant>
        <vt:i4>0</vt:i4>
      </vt:variant>
      <vt:variant>
        <vt:i4>0</vt:i4>
      </vt:variant>
      <vt:variant>
        <vt:i4>5</vt:i4>
      </vt:variant>
      <vt:variant>
        <vt:lpwstr>https://adamsxt.nrc.gov/idmws/ViewDocByAccession.asp?AccessionNumber=ML25336A292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2026-02-04T15:59:00Z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450da379-1f6e-4b21-a535-dd21e47d91fc</vt:lpwstr>
  </property>
</Properties>
</file>