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CC0" w:rsidRDefault="00944CC0" w:rsidP="00C46D97">
      <w:pPr>
        <w:widowControl/>
        <w:jc w:val="center"/>
        <w:rPr>
          <w:rFonts w:cs="Arial"/>
          <w:b/>
          <w:bCs/>
          <w:sz w:val="22"/>
          <w:szCs w:val="22"/>
        </w:rPr>
      </w:pPr>
      <w:r w:rsidRPr="00944CC0">
        <w:rPr>
          <w:rFonts w:cs="Arial"/>
          <w:b/>
          <w:bCs/>
          <w:sz w:val="22"/>
          <w:szCs w:val="22"/>
        </w:rPr>
        <w:t xml:space="preserve">Safeguards Information - Modified Handling Categorization, Change for Materials Facilities </w:t>
      </w:r>
    </w:p>
    <w:p w:rsidR="00C46D97" w:rsidRDefault="00944CC0" w:rsidP="00C46D97">
      <w:pPr>
        <w:widowControl/>
        <w:jc w:val="center"/>
        <w:rPr>
          <w:rFonts w:cs="Arial"/>
          <w:b/>
          <w:bCs/>
          <w:sz w:val="22"/>
          <w:szCs w:val="22"/>
        </w:rPr>
      </w:pPr>
      <w:r w:rsidRPr="00944CC0">
        <w:rPr>
          <w:rFonts w:cs="Arial"/>
          <w:b/>
          <w:bCs/>
          <w:sz w:val="22"/>
          <w:szCs w:val="22"/>
        </w:rPr>
        <w:t>10 CFR Parts 30, 37, 73, and 150</w:t>
      </w:r>
    </w:p>
    <w:p w:rsidR="00E759C4" w:rsidRDefault="00944CC0" w:rsidP="00135E94">
      <w:pPr>
        <w:widowControl/>
        <w:tabs>
          <w:tab w:val="center" w:pos="7020"/>
        </w:tabs>
        <w:jc w:val="center"/>
        <w:rPr>
          <w:rFonts w:cs="Arial"/>
          <w:b/>
          <w:sz w:val="22"/>
          <w:szCs w:val="22"/>
        </w:rPr>
      </w:pPr>
      <w:r w:rsidRPr="00785F1A">
        <w:rPr>
          <w:rFonts w:cs="Arial"/>
          <w:b/>
          <w:sz w:val="22"/>
          <w:szCs w:val="22"/>
        </w:rPr>
        <w:t xml:space="preserve"> </w:t>
      </w:r>
      <w:r w:rsidR="00A97596" w:rsidRPr="00785F1A">
        <w:rPr>
          <w:rFonts w:cs="Arial"/>
          <w:b/>
          <w:sz w:val="22"/>
          <w:szCs w:val="22"/>
        </w:rPr>
        <w:t>(</w:t>
      </w:r>
      <w:r w:rsidR="00740EF8" w:rsidRPr="00740EF8">
        <w:rPr>
          <w:rFonts w:cs="Arial"/>
          <w:b/>
          <w:sz w:val="22"/>
          <w:szCs w:val="22"/>
        </w:rPr>
        <w:t xml:space="preserve">79 FR </w:t>
      </w:r>
      <w:r w:rsidRPr="00944CC0">
        <w:rPr>
          <w:rFonts w:cs="Arial"/>
          <w:b/>
          <w:sz w:val="22"/>
          <w:szCs w:val="22"/>
        </w:rPr>
        <w:t>58664</w:t>
      </w:r>
      <w:r w:rsidR="00A97596" w:rsidRPr="00785F1A">
        <w:rPr>
          <w:rFonts w:cs="Arial"/>
          <w:b/>
          <w:sz w:val="22"/>
          <w:szCs w:val="22"/>
        </w:rPr>
        <w:t xml:space="preserve">, Published </w:t>
      </w:r>
      <w:r w:rsidR="004A0A79" w:rsidRPr="004A0A79">
        <w:rPr>
          <w:rFonts w:cs="Arial"/>
          <w:b/>
          <w:sz w:val="22"/>
          <w:szCs w:val="22"/>
        </w:rPr>
        <w:t xml:space="preserve">September </w:t>
      </w:r>
      <w:r w:rsidR="00554415">
        <w:rPr>
          <w:rFonts w:cs="Arial"/>
          <w:b/>
          <w:sz w:val="22"/>
          <w:szCs w:val="22"/>
        </w:rPr>
        <w:t>30</w:t>
      </w:r>
      <w:r w:rsidR="004A0A79" w:rsidRPr="004A0A79">
        <w:rPr>
          <w:rFonts w:cs="Arial"/>
          <w:b/>
          <w:sz w:val="22"/>
          <w:szCs w:val="22"/>
        </w:rPr>
        <w:t>, 2014</w:t>
      </w:r>
      <w:r w:rsidR="0080629D">
        <w:rPr>
          <w:rFonts w:cs="Arial"/>
          <w:b/>
          <w:sz w:val="22"/>
          <w:szCs w:val="22"/>
        </w:rPr>
        <w:t xml:space="preserve">:  </w:t>
      </w:r>
      <w:r w:rsidR="0080629D" w:rsidRPr="0080629D">
        <w:rPr>
          <w:rFonts w:cs="Arial"/>
          <w:b/>
          <w:sz w:val="22"/>
          <w:szCs w:val="22"/>
        </w:rPr>
        <w:t>80</w:t>
      </w:r>
      <w:r w:rsidR="00E759C4" w:rsidRPr="0080629D">
        <w:rPr>
          <w:rFonts w:cs="Arial"/>
          <w:b/>
          <w:sz w:val="22"/>
          <w:szCs w:val="22"/>
        </w:rPr>
        <w:t xml:space="preserve"> FR </w:t>
      </w:r>
      <w:r w:rsidR="0080629D" w:rsidRPr="0080629D">
        <w:rPr>
          <w:rFonts w:cs="Arial"/>
          <w:b/>
          <w:sz w:val="22"/>
          <w:szCs w:val="22"/>
        </w:rPr>
        <w:t>3865</w:t>
      </w:r>
      <w:r w:rsidR="00E759C4" w:rsidRPr="0080629D">
        <w:rPr>
          <w:rFonts w:cs="Arial"/>
          <w:b/>
          <w:sz w:val="22"/>
          <w:szCs w:val="22"/>
        </w:rPr>
        <w:t xml:space="preserve">, Confirmation of Effective Date Published </w:t>
      </w:r>
      <w:r w:rsidR="0080629D" w:rsidRPr="0080629D">
        <w:rPr>
          <w:rFonts w:cs="Arial"/>
          <w:b/>
          <w:sz w:val="22"/>
          <w:szCs w:val="22"/>
        </w:rPr>
        <w:t>January</w:t>
      </w:r>
      <w:r w:rsidR="0080629D">
        <w:rPr>
          <w:rFonts w:cs="Arial"/>
          <w:b/>
          <w:sz w:val="22"/>
          <w:szCs w:val="22"/>
        </w:rPr>
        <w:t xml:space="preserve"> 26, 2015)</w:t>
      </w:r>
      <w:r w:rsidR="00A97596" w:rsidRPr="00785F1A">
        <w:rPr>
          <w:rFonts w:cs="Arial"/>
          <w:b/>
          <w:sz w:val="22"/>
          <w:szCs w:val="22"/>
        </w:rPr>
        <w:t xml:space="preserve"> </w:t>
      </w:r>
    </w:p>
    <w:p w:rsidR="00A97596" w:rsidRDefault="00A97596" w:rsidP="00135E94">
      <w:pPr>
        <w:widowControl/>
        <w:tabs>
          <w:tab w:val="center" w:pos="7020"/>
        </w:tabs>
        <w:jc w:val="center"/>
        <w:rPr>
          <w:rFonts w:cs="Arial"/>
          <w:b/>
          <w:bCs/>
          <w:sz w:val="22"/>
          <w:szCs w:val="22"/>
        </w:rPr>
      </w:pPr>
      <w:r w:rsidRPr="00785F1A">
        <w:rPr>
          <w:rFonts w:cs="Arial"/>
          <w:b/>
          <w:bCs/>
          <w:sz w:val="22"/>
          <w:szCs w:val="22"/>
        </w:rPr>
        <w:t xml:space="preserve">RATS ID: </w:t>
      </w:r>
      <w:r w:rsidR="00740EF8">
        <w:rPr>
          <w:rFonts w:cs="Arial"/>
          <w:b/>
          <w:bCs/>
          <w:sz w:val="22"/>
          <w:szCs w:val="22"/>
        </w:rPr>
        <w:t>201</w:t>
      </w:r>
      <w:r w:rsidR="00E55182">
        <w:rPr>
          <w:rFonts w:cs="Arial"/>
          <w:b/>
          <w:bCs/>
          <w:sz w:val="22"/>
          <w:szCs w:val="22"/>
        </w:rPr>
        <w:t>5</w:t>
      </w:r>
      <w:r w:rsidR="00740EF8">
        <w:rPr>
          <w:rFonts w:cs="Arial"/>
          <w:b/>
          <w:bCs/>
          <w:sz w:val="22"/>
          <w:szCs w:val="22"/>
        </w:rPr>
        <w:t>-</w:t>
      </w:r>
      <w:r w:rsidR="00944CC0">
        <w:rPr>
          <w:rFonts w:cs="Arial"/>
          <w:b/>
          <w:bCs/>
          <w:sz w:val="22"/>
          <w:szCs w:val="22"/>
        </w:rPr>
        <w:t>2</w:t>
      </w:r>
    </w:p>
    <w:p w:rsidR="00A97596" w:rsidRDefault="00A97596" w:rsidP="00135E94">
      <w:pPr>
        <w:widowControl/>
        <w:tabs>
          <w:tab w:val="center" w:pos="7020"/>
        </w:tabs>
        <w:jc w:val="center"/>
        <w:rPr>
          <w:rFonts w:cs="Arial"/>
          <w:b/>
          <w:sz w:val="22"/>
          <w:szCs w:val="22"/>
        </w:rPr>
      </w:pPr>
      <w:r w:rsidRPr="00785F1A">
        <w:rPr>
          <w:rFonts w:cs="Arial"/>
          <w:b/>
          <w:sz w:val="22"/>
          <w:szCs w:val="22"/>
        </w:rPr>
        <w:t>Effective</w:t>
      </w:r>
      <w:r>
        <w:rPr>
          <w:rFonts w:cs="Arial"/>
          <w:b/>
          <w:sz w:val="22"/>
          <w:szCs w:val="22"/>
        </w:rPr>
        <w:t xml:space="preserve"> Date</w:t>
      </w:r>
      <w:r w:rsidRPr="00785F1A">
        <w:rPr>
          <w:rFonts w:cs="Arial"/>
          <w:b/>
          <w:sz w:val="22"/>
          <w:szCs w:val="22"/>
        </w:rPr>
        <w:t xml:space="preserve">:  </w:t>
      </w:r>
      <w:r w:rsidR="004A0A79" w:rsidRPr="004A0A79">
        <w:rPr>
          <w:rFonts w:cs="Arial"/>
          <w:b/>
          <w:sz w:val="22"/>
          <w:szCs w:val="22"/>
        </w:rPr>
        <w:t>January 2</w:t>
      </w:r>
      <w:r w:rsidR="00944CC0">
        <w:rPr>
          <w:rFonts w:cs="Arial"/>
          <w:b/>
          <w:sz w:val="22"/>
          <w:szCs w:val="22"/>
        </w:rPr>
        <w:t>8</w:t>
      </w:r>
      <w:r w:rsidR="004A0A79" w:rsidRPr="004A0A79">
        <w:rPr>
          <w:rFonts w:cs="Arial"/>
          <w:b/>
          <w:sz w:val="22"/>
          <w:szCs w:val="22"/>
        </w:rPr>
        <w:t>, 201</w:t>
      </w:r>
      <w:r w:rsidR="004A0A79">
        <w:rPr>
          <w:rFonts w:cs="Arial"/>
          <w:b/>
          <w:sz w:val="22"/>
          <w:szCs w:val="22"/>
        </w:rPr>
        <w:t>5</w:t>
      </w:r>
    </w:p>
    <w:p w:rsidR="00A97596" w:rsidRPr="00785F1A" w:rsidRDefault="00A97596" w:rsidP="00135E94">
      <w:pPr>
        <w:jc w:val="center"/>
        <w:rPr>
          <w:rFonts w:cs="Arial"/>
          <w:sz w:val="22"/>
          <w:szCs w:val="22"/>
        </w:rPr>
      </w:pPr>
      <w:r w:rsidRPr="00785F1A">
        <w:rPr>
          <w:rFonts w:cs="Arial"/>
          <w:b/>
          <w:bCs/>
          <w:sz w:val="22"/>
          <w:szCs w:val="22"/>
        </w:rPr>
        <w:t xml:space="preserve">Date Due for State Adoption:  </w:t>
      </w:r>
      <w:r w:rsidR="004A0A79" w:rsidRPr="004A0A79">
        <w:rPr>
          <w:rFonts w:cs="Arial"/>
          <w:b/>
          <w:bCs/>
          <w:sz w:val="22"/>
          <w:szCs w:val="22"/>
        </w:rPr>
        <w:t>January 2</w:t>
      </w:r>
      <w:r w:rsidR="00944CC0">
        <w:rPr>
          <w:rFonts w:cs="Arial"/>
          <w:b/>
          <w:bCs/>
          <w:sz w:val="22"/>
          <w:szCs w:val="22"/>
        </w:rPr>
        <w:t>8</w:t>
      </w:r>
      <w:r w:rsidR="004A0A79" w:rsidRPr="004A0A79">
        <w:rPr>
          <w:rFonts w:cs="Arial"/>
          <w:b/>
          <w:bCs/>
          <w:sz w:val="22"/>
          <w:szCs w:val="22"/>
        </w:rPr>
        <w:t>, 2018</w:t>
      </w:r>
    </w:p>
    <w:p w:rsidR="00A97596" w:rsidRPr="00785F1A" w:rsidRDefault="00A97596" w:rsidP="00135E94">
      <w:pPr>
        <w:widowControl/>
        <w:rPr>
          <w:rFonts w:cs="Arial"/>
          <w:sz w:val="22"/>
          <w:szCs w:val="22"/>
        </w:rPr>
      </w:pPr>
    </w:p>
    <w:p w:rsidR="00A97596" w:rsidRDefault="00A97596">
      <w:pPr>
        <w:widowControl/>
        <w:rPr>
          <w:rFonts w:cs="Arial"/>
          <w:sz w:val="22"/>
          <w:szCs w:val="22"/>
        </w:rPr>
      </w:pPr>
    </w:p>
    <w:tbl>
      <w:tblPr>
        <w:tblW w:w="14377" w:type="dxa"/>
        <w:jc w:val="right"/>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CellMar>
          <w:left w:w="120" w:type="dxa"/>
          <w:right w:w="120" w:type="dxa"/>
        </w:tblCellMar>
        <w:tblLook w:val="0000" w:firstRow="0" w:lastRow="0" w:firstColumn="0" w:lastColumn="0" w:noHBand="0" w:noVBand="0"/>
      </w:tblPr>
      <w:tblGrid>
        <w:gridCol w:w="1695"/>
        <w:gridCol w:w="1994"/>
        <w:gridCol w:w="1035"/>
        <w:gridCol w:w="1634"/>
        <w:gridCol w:w="3960"/>
        <w:gridCol w:w="1316"/>
        <w:gridCol w:w="1365"/>
        <w:gridCol w:w="1378"/>
      </w:tblGrid>
      <w:tr w:rsidR="00A97596" w:rsidTr="00C70966">
        <w:trPr>
          <w:tblHeader/>
          <w:jc w:val="right"/>
        </w:trPr>
        <w:tc>
          <w:tcPr>
            <w:tcW w:w="1695" w:type="dxa"/>
            <w:tcBorders>
              <w:top w:val="double" w:sz="6" w:space="0" w:color="000000"/>
              <w:bottom w:val="double" w:sz="6" w:space="0" w:color="000000"/>
            </w:tcBorders>
          </w:tcPr>
          <w:p w:rsidR="00A97596" w:rsidRPr="00314644" w:rsidRDefault="00A97596" w:rsidP="00A75598">
            <w:pPr>
              <w:jc w:val="center"/>
              <w:rPr>
                <w:rFonts w:cs="Arial"/>
                <w:sz w:val="22"/>
                <w:szCs w:val="22"/>
              </w:rPr>
            </w:pPr>
          </w:p>
          <w:p w:rsidR="00A97596" w:rsidRPr="00314644" w:rsidRDefault="00A97596" w:rsidP="00A75598">
            <w:pPr>
              <w:widowControl/>
              <w:jc w:val="center"/>
              <w:rPr>
                <w:rFonts w:cs="Arial"/>
                <w:b/>
                <w:bCs/>
                <w:sz w:val="22"/>
                <w:szCs w:val="22"/>
              </w:rPr>
            </w:pPr>
            <w:r w:rsidRPr="00314644">
              <w:rPr>
                <w:rFonts w:cs="Arial"/>
                <w:b/>
                <w:bCs/>
                <w:sz w:val="22"/>
                <w:szCs w:val="22"/>
              </w:rPr>
              <w:t>Change to NRC</w:t>
            </w:r>
          </w:p>
          <w:p w:rsidR="00A97596" w:rsidRPr="00314644" w:rsidRDefault="00A97596" w:rsidP="00A75598">
            <w:pPr>
              <w:widowControl/>
              <w:jc w:val="center"/>
              <w:rPr>
                <w:rFonts w:cs="Arial"/>
                <w:b/>
                <w:bCs/>
                <w:sz w:val="22"/>
                <w:szCs w:val="22"/>
              </w:rPr>
            </w:pPr>
            <w:r w:rsidRPr="00314644">
              <w:rPr>
                <w:rFonts w:cs="Arial"/>
                <w:b/>
                <w:bCs/>
                <w:sz w:val="22"/>
                <w:szCs w:val="22"/>
              </w:rPr>
              <w:t>Section</w:t>
            </w:r>
          </w:p>
        </w:tc>
        <w:tc>
          <w:tcPr>
            <w:tcW w:w="1994" w:type="dxa"/>
            <w:tcBorders>
              <w:top w:val="double" w:sz="6" w:space="0" w:color="000000"/>
              <w:bottom w:val="double" w:sz="6" w:space="0" w:color="000000"/>
            </w:tcBorders>
          </w:tcPr>
          <w:p w:rsidR="00A97596" w:rsidRPr="00314644" w:rsidRDefault="00A97596" w:rsidP="00A75598">
            <w:pPr>
              <w:jc w:val="center"/>
              <w:rPr>
                <w:rFonts w:cs="Arial"/>
                <w:b/>
                <w:bCs/>
                <w:sz w:val="22"/>
                <w:szCs w:val="22"/>
              </w:rPr>
            </w:pPr>
          </w:p>
          <w:p w:rsidR="00A97596" w:rsidRPr="00314644" w:rsidRDefault="00A97596" w:rsidP="00A75598">
            <w:pPr>
              <w:widowControl/>
              <w:tabs>
                <w:tab w:val="center" w:pos="735"/>
              </w:tabs>
              <w:jc w:val="center"/>
              <w:rPr>
                <w:rFonts w:cs="Arial"/>
                <w:b/>
                <w:bCs/>
                <w:sz w:val="22"/>
                <w:szCs w:val="22"/>
              </w:rPr>
            </w:pPr>
            <w:r w:rsidRPr="00314644">
              <w:rPr>
                <w:rFonts w:cs="Arial"/>
                <w:b/>
                <w:bCs/>
                <w:sz w:val="22"/>
                <w:szCs w:val="22"/>
              </w:rPr>
              <w:t>Title</w:t>
            </w:r>
          </w:p>
        </w:tc>
        <w:tc>
          <w:tcPr>
            <w:tcW w:w="0" w:type="auto"/>
            <w:tcBorders>
              <w:top w:val="double" w:sz="6" w:space="0" w:color="000000"/>
              <w:bottom w:val="double" w:sz="6" w:space="0" w:color="000000"/>
            </w:tcBorders>
          </w:tcPr>
          <w:p w:rsidR="00A97596" w:rsidRPr="00314644" w:rsidRDefault="00A97596" w:rsidP="00A75598">
            <w:pPr>
              <w:jc w:val="center"/>
              <w:rPr>
                <w:rFonts w:cs="Arial"/>
                <w:b/>
                <w:bCs/>
                <w:sz w:val="22"/>
                <w:szCs w:val="22"/>
              </w:rPr>
            </w:pPr>
          </w:p>
          <w:p w:rsidR="00A97596" w:rsidRPr="00314644" w:rsidRDefault="00A97596" w:rsidP="00A75598">
            <w:pPr>
              <w:widowControl/>
              <w:tabs>
                <w:tab w:val="center" w:pos="465"/>
              </w:tabs>
              <w:jc w:val="center"/>
              <w:rPr>
                <w:rFonts w:cs="Arial"/>
                <w:b/>
                <w:bCs/>
                <w:sz w:val="22"/>
                <w:szCs w:val="22"/>
              </w:rPr>
            </w:pPr>
            <w:r w:rsidRPr="00314644">
              <w:rPr>
                <w:rFonts w:cs="Arial"/>
                <w:b/>
                <w:bCs/>
                <w:sz w:val="22"/>
                <w:szCs w:val="22"/>
              </w:rPr>
              <w:t xml:space="preserve">State </w:t>
            </w:r>
          </w:p>
          <w:p w:rsidR="00A97596" w:rsidRPr="00314644" w:rsidRDefault="00A97596" w:rsidP="00A75598">
            <w:pPr>
              <w:widowControl/>
              <w:jc w:val="center"/>
              <w:rPr>
                <w:rFonts w:cs="Arial"/>
                <w:b/>
                <w:bCs/>
                <w:sz w:val="22"/>
                <w:szCs w:val="22"/>
              </w:rPr>
            </w:pPr>
            <w:r w:rsidRPr="00314644">
              <w:rPr>
                <w:rFonts w:cs="Arial"/>
                <w:b/>
                <w:bCs/>
                <w:sz w:val="22"/>
                <w:szCs w:val="22"/>
              </w:rPr>
              <w:t>Section</w:t>
            </w:r>
          </w:p>
        </w:tc>
        <w:tc>
          <w:tcPr>
            <w:tcW w:w="0" w:type="auto"/>
            <w:tcBorders>
              <w:top w:val="double" w:sz="6" w:space="0" w:color="000000"/>
              <w:bottom w:val="double" w:sz="6" w:space="0" w:color="000000"/>
            </w:tcBorders>
          </w:tcPr>
          <w:p w:rsidR="00A97596" w:rsidRPr="00314644" w:rsidRDefault="00A97596" w:rsidP="00A75598">
            <w:pPr>
              <w:jc w:val="center"/>
              <w:rPr>
                <w:rFonts w:cs="Arial"/>
                <w:b/>
                <w:bCs/>
                <w:sz w:val="22"/>
                <w:szCs w:val="22"/>
              </w:rPr>
            </w:pPr>
          </w:p>
          <w:p w:rsidR="00A97596" w:rsidRPr="00314644" w:rsidRDefault="00A97596" w:rsidP="00A75598">
            <w:pPr>
              <w:widowControl/>
              <w:jc w:val="center"/>
              <w:rPr>
                <w:rFonts w:cs="Arial"/>
                <w:b/>
                <w:bCs/>
                <w:sz w:val="22"/>
                <w:szCs w:val="22"/>
              </w:rPr>
            </w:pPr>
            <w:r w:rsidRPr="00314644">
              <w:rPr>
                <w:rFonts w:cs="Arial"/>
                <w:b/>
                <w:bCs/>
                <w:sz w:val="22"/>
                <w:szCs w:val="22"/>
              </w:rPr>
              <w:t xml:space="preserve">Compatibility </w:t>
            </w:r>
          </w:p>
          <w:p w:rsidR="00A97596" w:rsidRPr="00314644" w:rsidRDefault="00A97596" w:rsidP="00A75598">
            <w:pPr>
              <w:widowControl/>
              <w:jc w:val="center"/>
              <w:rPr>
                <w:rFonts w:cs="Arial"/>
                <w:b/>
                <w:bCs/>
                <w:sz w:val="22"/>
                <w:szCs w:val="22"/>
              </w:rPr>
            </w:pPr>
            <w:r w:rsidRPr="00314644">
              <w:rPr>
                <w:rFonts w:cs="Arial"/>
                <w:b/>
                <w:bCs/>
                <w:sz w:val="22"/>
                <w:szCs w:val="22"/>
              </w:rPr>
              <w:t>Category</w:t>
            </w:r>
          </w:p>
        </w:tc>
        <w:tc>
          <w:tcPr>
            <w:tcW w:w="0" w:type="auto"/>
            <w:tcBorders>
              <w:top w:val="double" w:sz="6" w:space="0" w:color="000000"/>
              <w:bottom w:val="double" w:sz="6" w:space="0" w:color="000000"/>
            </w:tcBorders>
          </w:tcPr>
          <w:p w:rsidR="00A97596" w:rsidRPr="00314644" w:rsidRDefault="00A97596" w:rsidP="00A75598">
            <w:pPr>
              <w:jc w:val="center"/>
              <w:rPr>
                <w:rFonts w:cs="Arial"/>
                <w:b/>
                <w:bCs/>
                <w:sz w:val="22"/>
                <w:szCs w:val="22"/>
              </w:rPr>
            </w:pPr>
          </w:p>
          <w:p w:rsidR="00A97596" w:rsidRPr="00314644" w:rsidRDefault="00A97596" w:rsidP="00A75598">
            <w:pPr>
              <w:widowControl/>
              <w:tabs>
                <w:tab w:val="center" w:pos="1860"/>
              </w:tabs>
              <w:jc w:val="center"/>
              <w:rPr>
                <w:rFonts w:cs="Arial"/>
                <w:sz w:val="22"/>
                <w:szCs w:val="22"/>
              </w:rPr>
            </w:pPr>
            <w:r w:rsidRPr="00314644">
              <w:rPr>
                <w:rFonts w:cs="Arial"/>
                <w:b/>
                <w:bCs/>
                <w:sz w:val="22"/>
                <w:szCs w:val="22"/>
              </w:rPr>
              <w:t>Summary of Change to CFR</w:t>
            </w:r>
          </w:p>
          <w:p w:rsidR="00A97596" w:rsidRPr="00314644" w:rsidRDefault="00A97596" w:rsidP="00A75598">
            <w:pPr>
              <w:widowControl/>
              <w:tabs>
                <w:tab w:val="right" w:pos="3720"/>
              </w:tabs>
              <w:ind w:firstLine="2880"/>
              <w:jc w:val="center"/>
              <w:rPr>
                <w:rFonts w:cs="Arial"/>
                <w:sz w:val="22"/>
                <w:szCs w:val="22"/>
              </w:rPr>
            </w:pPr>
            <w:r w:rsidRPr="00314644">
              <w:rPr>
                <w:rFonts w:cs="Arial"/>
                <w:sz w:val="22"/>
                <w:szCs w:val="22"/>
              </w:rPr>
              <w:tab/>
            </w:r>
          </w:p>
        </w:tc>
        <w:tc>
          <w:tcPr>
            <w:tcW w:w="0" w:type="auto"/>
            <w:tcBorders>
              <w:top w:val="double" w:sz="6" w:space="0" w:color="000000"/>
              <w:bottom w:val="double" w:sz="6" w:space="0" w:color="000000"/>
            </w:tcBorders>
          </w:tcPr>
          <w:p w:rsidR="00A97596" w:rsidRPr="00314644" w:rsidRDefault="00A97596" w:rsidP="00A75598">
            <w:pPr>
              <w:jc w:val="center"/>
              <w:rPr>
                <w:rFonts w:cs="Arial"/>
                <w:sz w:val="22"/>
                <w:szCs w:val="22"/>
              </w:rPr>
            </w:pPr>
          </w:p>
          <w:p w:rsidR="00A97596" w:rsidRPr="00314644" w:rsidRDefault="00A97596" w:rsidP="00A75598">
            <w:pPr>
              <w:widowControl/>
              <w:jc w:val="center"/>
              <w:rPr>
                <w:rFonts w:cs="Arial"/>
                <w:b/>
                <w:bCs/>
                <w:sz w:val="22"/>
                <w:szCs w:val="22"/>
              </w:rPr>
            </w:pPr>
            <w:r w:rsidRPr="00314644">
              <w:rPr>
                <w:rFonts w:cs="Arial"/>
                <w:b/>
                <w:bCs/>
                <w:sz w:val="22"/>
                <w:szCs w:val="22"/>
              </w:rPr>
              <w:t>Difference</w:t>
            </w:r>
          </w:p>
          <w:p w:rsidR="00A97596" w:rsidRPr="00314644" w:rsidRDefault="00A97596" w:rsidP="00A75598">
            <w:pPr>
              <w:widowControl/>
              <w:jc w:val="center"/>
              <w:rPr>
                <w:rFonts w:cs="Arial"/>
                <w:b/>
                <w:bCs/>
                <w:sz w:val="22"/>
                <w:szCs w:val="22"/>
              </w:rPr>
            </w:pPr>
            <w:r w:rsidRPr="00314644">
              <w:rPr>
                <w:rFonts w:cs="Arial"/>
                <w:b/>
                <w:bCs/>
                <w:sz w:val="22"/>
                <w:szCs w:val="22"/>
              </w:rPr>
              <w:t>Yes/No</w:t>
            </w:r>
          </w:p>
        </w:tc>
        <w:tc>
          <w:tcPr>
            <w:tcW w:w="0" w:type="auto"/>
            <w:tcBorders>
              <w:top w:val="double" w:sz="6" w:space="0" w:color="000000"/>
              <w:bottom w:val="double" w:sz="6" w:space="0" w:color="000000"/>
            </w:tcBorders>
          </w:tcPr>
          <w:p w:rsidR="00A97596" w:rsidRPr="00314644" w:rsidRDefault="00A97596" w:rsidP="00A75598">
            <w:pPr>
              <w:jc w:val="center"/>
              <w:rPr>
                <w:rFonts w:cs="Arial"/>
                <w:b/>
                <w:bCs/>
                <w:sz w:val="22"/>
                <w:szCs w:val="22"/>
              </w:rPr>
            </w:pPr>
          </w:p>
          <w:p w:rsidR="00A97596" w:rsidRPr="00314644" w:rsidRDefault="00A97596" w:rsidP="00A75598">
            <w:pPr>
              <w:widowControl/>
              <w:jc w:val="center"/>
              <w:rPr>
                <w:rFonts w:cs="Arial"/>
                <w:b/>
                <w:bCs/>
                <w:sz w:val="22"/>
                <w:szCs w:val="22"/>
              </w:rPr>
            </w:pPr>
            <w:r w:rsidRPr="00314644">
              <w:rPr>
                <w:rFonts w:cs="Arial"/>
                <w:b/>
                <w:bCs/>
                <w:sz w:val="22"/>
                <w:szCs w:val="22"/>
              </w:rPr>
              <w:t>Significant</w:t>
            </w:r>
          </w:p>
          <w:p w:rsidR="00A97596" w:rsidRPr="00314644" w:rsidRDefault="00A97596" w:rsidP="00A75598">
            <w:pPr>
              <w:widowControl/>
              <w:jc w:val="center"/>
              <w:rPr>
                <w:rFonts w:cs="Arial"/>
                <w:b/>
                <w:bCs/>
                <w:sz w:val="22"/>
                <w:szCs w:val="22"/>
              </w:rPr>
            </w:pPr>
            <w:r w:rsidRPr="00314644">
              <w:rPr>
                <w:rFonts w:cs="Arial"/>
                <w:b/>
                <w:bCs/>
                <w:sz w:val="22"/>
                <w:szCs w:val="22"/>
              </w:rPr>
              <w:t>Yes/No</w:t>
            </w:r>
          </w:p>
        </w:tc>
        <w:tc>
          <w:tcPr>
            <w:tcW w:w="0" w:type="auto"/>
            <w:tcBorders>
              <w:top w:val="double" w:sz="6" w:space="0" w:color="000000"/>
              <w:bottom w:val="double" w:sz="6" w:space="0" w:color="000000"/>
            </w:tcBorders>
          </w:tcPr>
          <w:p w:rsidR="00A97596" w:rsidRPr="00314644" w:rsidRDefault="00A97596" w:rsidP="00A75598">
            <w:pPr>
              <w:jc w:val="center"/>
              <w:rPr>
                <w:rFonts w:cs="Arial"/>
                <w:b/>
                <w:bCs/>
                <w:sz w:val="22"/>
                <w:szCs w:val="22"/>
              </w:rPr>
            </w:pPr>
          </w:p>
          <w:p w:rsidR="00A97596" w:rsidRPr="00314644" w:rsidRDefault="00A97596" w:rsidP="00656616">
            <w:pPr>
              <w:widowControl/>
              <w:jc w:val="center"/>
              <w:rPr>
                <w:rFonts w:cs="Arial"/>
                <w:b/>
                <w:bCs/>
                <w:sz w:val="22"/>
                <w:szCs w:val="22"/>
              </w:rPr>
            </w:pPr>
            <w:r w:rsidRPr="00314644">
              <w:rPr>
                <w:rFonts w:cs="Arial"/>
                <w:b/>
                <w:bCs/>
                <w:sz w:val="22"/>
                <w:szCs w:val="22"/>
              </w:rPr>
              <w:t>If Difference, Why or Why Not Was a Comment Generated</w:t>
            </w:r>
          </w:p>
        </w:tc>
      </w:tr>
      <w:tr w:rsidR="00A97596" w:rsidTr="00C70966">
        <w:trPr>
          <w:jc w:val="right"/>
        </w:trPr>
        <w:tc>
          <w:tcPr>
            <w:tcW w:w="1695" w:type="dxa"/>
          </w:tcPr>
          <w:p w:rsidR="00A97596" w:rsidRPr="00C26F0C" w:rsidRDefault="00A97596" w:rsidP="00FE3046">
            <w:pPr>
              <w:widowControl/>
              <w:rPr>
                <w:rFonts w:cs="Arial"/>
                <w:sz w:val="22"/>
                <w:szCs w:val="22"/>
              </w:rPr>
            </w:pPr>
            <w:r w:rsidRPr="00C26F0C">
              <w:rPr>
                <w:rFonts w:cs="Arial"/>
                <w:sz w:val="22"/>
                <w:szCs w:val="22"/>
              </w:rPr>
              <w:t>§</w:t>
            </w:r>
            <w:r w:rsidR="00572D5C">
              <w:rPr>
                <w:rFonts w:cs="Arial"/>
                <w:sz w:val="22"/>
                <w:szCs w:val="22"/>
              </w:rPr>
              <w:t xml:space="preserve"> </w:t>
            </w:r>
            <w:r w:rsidR="00272F4A" w:rsidRPr="00272F4A">
              <w:rPr>
                <w:rFonts w:cs="Arial"/>
                <w:bCs/>
                <w:sz w:val="22"/>
                <w:szCs w:val="22"/>
              </w:rPr>
              <w:t>30.4</w:t>
            </w:r>
          </w:p>
        </w:tc>
        <w:tc>
          <w:tcPr>
            <w:tcW w:w="1994" w:type="dxa"/>
          </w:tcPr>
          <w:p w:rsidR="00A97596" w:rsidRPr="00C26F0C" w:rsidRDefault="00272F4A" w:rsidP="00272F4A">
            <w:pPr>
              <w:widowControl/>
              <w:rPr>
                <w:rFonts w:cs="Arial"/>
                <w:sz w:val="22"/>
                <w:szCs w:val="22"/>
              </w:rPr>
            </w:pPr>
            <w:r w:rsidRPr="00272F4A">
              <w:rPr>
                <w:rFonts w:cs="Arial"/>
                <w:bCs/>
                <w:sz w:val="22"/>
                <w:szCs w:val="22"/>
              </w:rPr>
              <w:t>Definition</w:t>
            </w:r>
            <w:r>
              <w:rPr>
                <w:rFonts w:cs="Arial"/>
                <w:bCs/>
                <w:sz w:val="22"/>
                <w:szCs w:val="22"/>
              </w:rPr>
              <w:t>s</w:t>
            </w:r>
            <w:r w:rsidRPr="00272F4A">
              <w:rPr>
                <w:rFonts w:cs="Arial"/>
                <w:bCs/>
                <w:sz w:val="22"/>
                <w:szCs w:val="22"/>
              </w:rPr>
              <w:t xml:space="preserve"> </w:t>
            </w:r>
          </w:p>
        </w:tc>
        <w:tc>
          <w:tcPr>
            <w:tcW w:w="0" w:type="auto"/>
          </w:tcPr>
          <w:p w:rsidR="00A97596" w:rsidRPr="00C26F0C" w:rsidRDefault="00A97596" w:rsidP="00A75598">
            <w:pPr>
              <w:widowControl/>
              <w:rPr>
                <w:rFonts w:cs="Arial"/>
                <w:sz w:val="22"/>
                <w:szCs w:val="22"/>
              </w:rPr>
            </w:pPr>
          </w:p>
        </w:tc>
        <w:tc>
          <w:tcPr>
            <w:tcW w:w="0" w:type="auto"/>
          </w:tcPr>
          <w:p w:rsidR="00A97596" w:rsidRPr="00C26F0C" w:rsidRDefault="00272F4A" w:rsidP="004F0640">
            <w:pPr>
              <w:widowControl/>
              <w:jc w:val="center"/>
              <w:rPr>
                <w:rFonts w:cs="Arial"/>
                <w:sz w:val="22"/>
                <w:szCs w:val="22"/>
              </w:rPr>
            </w:pPr>
            <w:r>
              <w:rPr>
                <w:rFonts w:cs="Arial"/>
                <w:sz w:val="22"/>
                <w:szCs w:val="22"/>
              </w:rPr>
              <w:t>NR</w:t>
            </w:r>
            <w:r w:rsidR="004A0A79">
              <w:rPr>
                <w:rFonts w:cs="Arial"/>
                <w:sz w:val="22"/>
                <w:szCs w:val="22"/>
              </w:rPr>
              <w:t>C</w:t>
            </w:r>
          </w:p>
        </w:tc>
        <w:tc>
          <w:tcPr>
            <w:tcW w:w="0" w:type="auto"/>
          </w:tcPr>
          <w:p w:rsidR="004A0A79" w:rsidRDefault="00272F4A" w:rsidP="004A0A79">
            <w:pPr>
              <w:widowControl/>
              <w:rPr>
                <w:rFonts w:cs="Arial"/>
                <w:sz w:val="22"/>
                <w:szCs w:val="22"/>
              </w:rPr>
            </w:pPr>
            <w:r w:rsidRPr="00272F4A">
              <w:rPr>
                <w:rFonts w:cs="Arial"/>
                <w:b/>
                <w:sz w:val="22"/>
                <w:szCs w:val="22"/>
              </w:rPr>
              <w:t>In § 30.4, remove the definition for “Quantities of Concern.”</w:t>
            </w:r>
          </w:p>
          <w:p w:rsidR="00A97596" w:rsidRDefault="004A0A79" w:rsidP="004A0A79">
            <w:pPr>
              <w:widowControl/>
              <w:rPr>
                <w:rFonts w:cs="Arial"/>
                <w:sz w:val="22"/>
                <w:szCs w:val="22"/>
              </w:rPr>
            </w:pPr>
            <w:r w:rsidRPr="004A0A79">
              <w:rPr>
                <w:rFonts w:cs="Arial"/>
                <w:sz w:val="22"/>
                <w:szCs w:val="22"/>
              </w:rPr>
              <w:tab/>
            </w:r>
          </w:p>
          <w:p w:rsidR="004A0A79" w:rsidRPr="0083401E" w:rsidRDefault="004A0A79" w:rsidP="004A0A79">
            <w:pPr>
              <w:widowControl/>
              <w:rPr>
                <w:rFonts w:cs="Arial"/>
                <w:sz w:val="22"/>
                <w:szCs w:val="22"/>
              </w:rPr>
            </w:pPr>
          </w:p>
        </w:tc>
        <w:tc>
          <w:tcPr>
            <w:tcW w:w="0" w:type="auto"/>
          </w:tcPr>
          <w:p w:rsidR="00A97596" w:rsidRPr="00314644" w:rsidRDefault="00A97596" w:rsidP="00A75598">
            <w:pPr>
              <w:widowControl/>
              <w:rPr>
                <w:rFonts w:cs="Arial"/>
                <w:sz w:val="22"/>
                <w:szCs w:val="22"/>
              </w:rPr>
            </w:pPr>
          </w:p>
        </w:tc>
        <w:tc>
          <w:tcPr>
            <w:tcW w:w="0" w:type="auto"/>
          </w:tcPr>
          <w:p w:rsidR="00A97596" w:rsidRPr="00314644" w:rsidRDefault="00A97596" w:rsidP="00A75598">
            <w:pPr>
              <w:widowControl/>
              <w:rPr>
                <w:rFonts w:cs="Arial"/>
                <w:sz w:val="22"/>
                <w:szCs w:val="22"/>
              </w:rPr>
            </w:pPr>
          </w:p>
        </w:tc>
        <w:tc>
          <w:tcPr>
            <w:tcW w:w="0" w:type="auto"/>
          </w:tcPr>
          <w:p w:rsidR="00A97596" w:rsidRPr="00314644" w:rsidRDefault="00A97596" w:rsidP="00A75598">
            <w:pPr>
              <w:widowControl/>
              <w:rPr>
                <w:rFonts w:cs="Arial"/>
                <w:sz w:val="22"/>
                <w:szCs w:val="22"/>
              </w:rPr>
            </w:pPr>
          </w:p>
        </w:tc>
      </w:tr>
      <w:tr w:rsidR="00572D5C" w:rsidTr="00C70966">
        <w:trPr>
          <w:jc w:val="right"/>
        </w:trPr>
        <w:tc>
          <w:tcPr>
            <w:tcW w:w="1695" w:type="dxa"/>
          </w:tcPr>
          <w:p w:rsidR="00572D5C" w:rsidRPr="00623E8E" w:rsidRDefault="00572D5C" w:rsidP="00FE3046">
            <w:pPr>
              <w:rPr>
                <w:rFonts w:cs="Arial"/>
                <w:sz w:val="22"/>
                <w:szCs w:val="22"/>
              </w:rPr>
            </w:pPr>
            <w:r w:rsidRPr="00C26F0C">
              <w:rPr>
                <w:rFonts w:cs="Arial"/>
                <w:sz w:val="22"/>
                <w:szCs w:val="22"/>
              </w:rPr>
              <w:t>§</w:t>
            </w:r>
            <w:r>
              <w:rPr>
                <w:rFonts w:cs="Arial"/>
                <w:sz w:val="22"/>
                <w:szCs w:val="22"/>
              </w:rPr>
              <w:t xml:space="preserve"> </w:t>
            </w:r>
            <w:r w:rsidRPr="00623E8E">
              <w:rPr>
                <w:rFonts w:cs="Arial"/>
                <w:sz w:val="22"/>
                <w:szCs w:val="22"/>
              </w:rPr>
              <w:t>30.32(k)</w:t>
            </w:r>
          </w:p>
        </w:tc>
        <w:tc>
          <w:tcPr>
            <w:tcW w:w="1994" w:type="dxa"/>
          </w:tcPr>
          <w:p w:rsidR="00572D5C" w:rsidRPr="00623E8E" w:rsidRDefault="00572D5C" w:rsidP="001768F1">
            <w:pPr>
              <w:rPr>
                <w:rFonts w:cs="Arial"/>
                <w:sz w:val="22"/>
                <w:szCs w:val="22"/>
              </w:rPr>
            </w:pPr>
            <w:r w:rsidRPr="00623E8E">
              <w:rPr>
                <w:rFonts w:cs="Arial"/>
                <w:bCs/>
                <w:sz w:val="22"/>
                <w:szCs w:val="22"/>
              </w:rPr>
              <w:t>Application for specific licenses</w:t>
            </w:r>
          </w:p>
        </w:tc>
        <w:tc>
          <w:tcPr>
            <w:tcW w:w="0" w:type="auto"/>
          </w:tcPr>
          <w:p w:rsidR="00572D5C" w:rsidRPr="00314644" w:rsidRDefault="00572D5C" w:rsidP="00A75598">
            <w:pPr>
              <w:widowControl/>
              <w:jc w:val="center"/>
              <w:rPr>
                <w:rFonts w:cs="Arial"/>
                <w:sz w:val="22"/>
                <w:szCs w:val="22"/>
              </w:rPr>
            </w:pPr>
          </w:p>
        </w:tc>
        <w:tc>
          <w:tcPr>
            <w:tcW w:w="0" w:type="auto"/>
          </w:tcPr>
          <w:p w:rsidR="00572D5C" w:rsidRDefault="00572D5C" w:rsidP="003B283E">
            <w:pPr>
              <w:widowControl/>
              <w:jc w:val="center"/>
              <w:rPr>
                <w:rFonts w:cs="Arial"/>
                <w:sz w:val="22"/>
                <w:szCs w:val="22"/>
              </w:rPr>
            </w:pPr>
            <w:r>
              <w:rPr>
                <w:rFonts w:cs="Arial"/>
                <w:sz w:val="22"/>
                <w:szCs w:val="22"/>
              </w:rPr>
              <w:t>NRC</w:t>
            </w:r>
          </w:p>
        </w:tc>
        <w:tc>
          <w:tcPr>
            <w:tcW w:w="0" w:type="auto"/>
          </w:tcPr>
          <w:p w:rsidR="00572D5C" w:rsidRPr="00F11067" w:rsidRDefault="00F11067" w:rsidP="00595E87">
            <w:pPr>
              <w:widowControl/>
              <w:rPr>
                <w:rFonts w:cs="Arial"/>
                <w:b/>
                <w:sz w:val="22"/>
                <w:szCs w:val="22"/>
              </w:rPr>
            </w:pPr>
            <w:r w:rsidRPr="00F11067">
              <w:rPr>
                <w:rFonts w:cs="Arial"/>
                <w:b/>
                <w:sz w:val="22"/>
                <w:szCs w:val="22"/>
              </w:rPr>
              <w:t>In § 30.32, remove paragraph (k).</w:t>
            </w:r>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r>
      <w:tr w:rsidR="00572D5C" w:rsidTr="00C70966">
        <w:trPr>
          <w:jc w:val="right"/>
        </w:trPr>
        <w:tc>
          <w:tcPr>
            <w:tcW w:w="1695" w:type="dxa"/>
          </w:tcPr>
          <w:p w:rsidR="00572D5C" w:rsidRPr="00623E8E" w:rsidRDefault="00572D5C" w:rsidP="00FE3046">
            <w:pPr>
              <w:rPr>
                <w:rFonts w:cs="Arial"/>
                <w:sz w:val="22"/>
                <w:szCs w:val="22"/>
              </w:rPr>
            </w:pPr>
            <w:r w:rsidRPr="00C26F0C">
              <w:rPr>
                <w:rFonts w:cs="Arial"/>
                <w:sz w:val="22"/>
                <w:szCs w:val="22"/>
              </w:rPr>
              <w:t>§</w:t>
            </w:r>
            <w:r>
              <w:rPr>
                <w:rFonts w:cs="Arial"/>
                <w:sz w:val="22"/>
                <w:szCs w:val="22"/>
              </w:rPr>
              <w:t xml:space="preserve"> </w:t>
            </w:r>
            <w:r w:rsidRPr="00623E8E">
              <w:rPr>
                <w:rFonts w:cs="Arial"/>
                <w:sz w:val="22"/>
                <w:szCs w:val="22"/>
              </w:rPr>
              <w:t>30.34(l)</w:t>
            </w:r>
          </w:p>
        </w:tc>
        <w:tc>
          <w:tcPr>
            <w:tcW w:w="1994" w:type="dxa"/>
          </w:tcPr>
          <w:p w:rsidR="00572D5C" w:rsidRPr="00623E8E" w:rsidRDefault="00572D5C" w:rsidP="001768F1">
            <w:pPr>
              <w:rPr>
                <w:rFonts w:cs="Arial"/>
                <w:bCs/>
                <w:sz w:val="22"/>
                <w:szCs w:val="22"/>
              </w:rPr>
            </w:pPr>
            <w:r w:rsidRPr="00623E8E">
              <w:rPr>
                <w:rFonts w:cs="Arial"/>
                <w:bCs/>
                <w:sz w:val="22"/>
                <w:szCs w:val="22"/>
              </w:rPr>
              <w:t>Terms and conditions of licenses</w:t>
            </w:r>
          </w:p>
        </w:tc>
        <w:tc>
          <w:tcPr>
            <w:tcW w:w="0" w:type="auto"/>
          </w:tcPr>
          <w:p w:rsidR="00572D5C" w:rsidRPr="00314644" w:rsidRDefault="00572D5C" w:rsidP="00A75598">
            <w:pPr>
              <w:widowControl/>
              <w:jc w:val="center"/>
              <w:rPr>
                <w:rFonts w:cs="Arial"/>
                <w:sz w:val="22"/>
                <w:szCs w:val="22"/>
              </w:rPr>
            </w:pPr>
          </w:p>
        </w:tc>
        <w:tc>
          <w:tcPr>
            <w:tcW w:w="0" w:type="auto"/>
          </w:tcPr>
          <w:p w:rsidR="00572D5C" w:rsidRDefault="00572D5C" w:rsidP="003B283E">
            <w:pPr>
              <w:widowControl/>
              <w:jc w:val="center"/>
              <w:rPr>
                <w:rFonts w:cs="Arial"/>
                <w:sz w:val="22"/>
                <w:szCs w:val="22"/>
              </w:rPr>
            </w:pPr>
            <w:r>
              <w:rPr>
                <w:rFonts w:cs="Arial"/>
                <w:sz w:val="22"/>
                <w:szCs w:val="22"/>
              </w:rPr>
              <w:t>NRC</w:t>
            </w:r>
          </w:p>
        </w:tc>
        <w:tc>
          <w:tcPr>
            <w:tcW w:w="0" w:type="auto"/>
          </w:tcPr>
          <w:p w:rsidR="00F11067" w:rsidRPr="00F11067" w:rsidRDefault="00F11067" w:rsidP="00F11067">
            <w:pPr>
              <w:keepNext/>
              <w:keepLines/>
              <w:widowControl/>
              <w:numPr>
                <w:ilvl w:val="12"/>
                <w:numId w:val="0"/>
              </w:numPr>
              <w:autoSpaceDE/>
              <w:autoSpaceDN/>
              <w:adjustRightInd/>
              <w:spacing w:line="480" w:lineRule="auto"/>
              <w:rPr>
                <w:rFonts w:eastAsiaTheme="minorHAnsi" w:cs="Arial"/>
                <w:b/>
                <w:bCs/>
                <w:sz w:val="22"/>
                <w:szCs w:val="22"/>
              </w:rPr>
            </w:pPr>
            <w:r w:rsidRPr="00F11067">
              <w:rPr>
                <w:rFonts w:eastAsiaTheme="minorHAnsi" w:cs="Arial"/>
                <w:b/>
                <w:bCs/>
                <w:sz w:val="22"/>
                <w:szCs w:val="22"/>
              </w:rPr>
              <w:t>In § 30.34, remove paragraph (l).</w:t>
            </w:r>
          </w:p>
          <w:p w:rsidR="00572D5C" w:rsidRPr="00ED2556" w:rsidRDefault="00572D5C" w:rsidP="00595E87">
            <w:pPr>
              <w:widowControl/>
              <w:rPr>
                <w:rFonts w:cs="Arial"/>
                <w:sz w:val="22"/>
                <w:szCs w:val="22"/>
              </w:rPr>
            </w:pPr>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r>
      <w:tr w:rsidR="00572D5C" w:rsidTr="00C70966">
        <w:trPr>
          <w:jc w:val="right"/>
        </w:trPr>
        <w:tc>
          <w:tcPr>
            <w:tcW w:w="1695" w:type="dxa"/>
          </w:tcPr>
          <w:p w:rsidR="00572D5C" w:rsidRPr="00BC03DF" w:rsidRDefault="00572D5C" w:rsidP="00FE3046">
            <w:pPr>
              <w:rPr>
                <w:rFonts w:cs="Arial"/>
                <w:sz w:val="22"/>
                <w:szCs w:val="22"/>
              </w:rPr>
            </w:pPr>
            <w:r w:rsidRPr="00C26F0C">
              <w:rPr>
                <w:rFonts w:cs="Arial"/>
                <w:sz w:val="22"/>
                <w:szCs w:val="22"/>
              </w:rPr>
              <w:lastRenderedPageBreak/>
              <w:t>§</w:t>
            </w:r>
            <w:r>
              <w:rPr>
                <w:rFonts w:cs="Arial"/>
                <w:sz w:val="22"/>
                <w:szCs w:val="22"/>
              </w:rPr>
              <w:t xml:space="preserve"> </w:t>
            </w:r>
            <w:r w:rsidRPr="006B394B">
              <w:rPr>
                <w:rFonts w:cs="Arial"/>
                <w:sz w:val="22"/>
                <w:szCs w:val="22"/>
              </w:rPr>
              <w:t>37.29(a)(10)</w:t>
            </w:r>
          </w:p>
        </w:tc>
        <w:tc>
          <w:tcPr>
            <w:tcW w:w="1994" w:type="dxa"/>
          </w:tcPr>
          <w:p w:rsidR="00572D5C" w:rsidRPr="006B394B" w:rsidRDefault="00572D5C" w:rsidP="00F11067">
            <w:pPr>
              <w:rPr>
                <w:rFonts w:cs="Arial"/>
                <w:bCs/>
                <w:sz w:val="22"/>
                <w:szCs w:val="22"/>
              </w:rPr>
            </w:pPr>
            <w:r w:rsidRPr="00BC03DF">
              <w:rPr>
                <w:rFonts w:cs="Arial"/>
                <w:bCs/>
                <w:sz w:val="22"/>
                <w:szCs w:val="22"/>
              </w:rPr>
              <w:t>Relief from fingerprinting, identification, and criminal history records checks and other elements of background investigations for designated categories of individuals permitted unescorted access to certain radioactive materials</w:t>
            </w:r>
          </w:p>
        </w:tc>
        <w:tc>
          <w:tcPr>
            <w:tcW w:w="0" w:type="auto"/>
          </w:tcPr>
          <w:p w:rsidR="00572D5C" w:rsidRPr="00314644" w:rsidRDefault="00572D5C" w:rsidP="00A75598">
            <w:pPr>
              <w:widowControl/>
              <w:jc w:val="center"/>
              <w:rPr>
                <w:rFonts w:cs="Arial"/>
                <w:sz w:val="22"/>
                <w:szCs w:val="22"/>
              </w:rPr>
            </w:pPr>
          </w:p>
        </w:tc>
        <w:tc>
          <w:tcPr>
            <w:tcW w:w="0" w:type="auto"/>
          </w:tcPr>
          <w:p w:rsidR="00572D5C" w:rsidRDefault="00572D5C" w:rsidP="003B283E">
            <w:pPr>
              <w:widowControl/>
              <w:jc w:val="center"/>
              <w:rPr>
                <w:rFonts w:cs="Arial"/>
                <w:sz w:val="22"/>
                <w:szCs w:val="22"/>
              </w:rPr>
            </w:pPr>
            <w:r>
              <w:rPr>
                <w:rFonts w:cs="Arial"/>
                <w:sz w:val="22"/>
                <w:szCs w:val="22"/>
              </w:rPr>
              <w:t>B</w:t>
            </w:r>
          </w:p>
        </w:tc>
        <w:tc>
          <w:tcPr>
            <w:tcW w:w="0" w:type="auto"/>
          </w:tcPr>
          <w:p w:rsidR="00572D5C" w:rsidRDefault="00F11067" w:rsidP="00595E87">
            <w:pPr>
              <w:widowControl/>
              <w:rPr>
                <w:rFonts w:cs="Arial"/>
                <w:b/>
                <w:sz w:val="22"/>
                <w:szCs w:val="22"/>
              </w:rPr>
            </w:pPr>
            <w:r w:rsidRPr="00F11067">
              <w:rPr>
                <w:rFonts w:cs="Arial"/>
                <w:b/>
                <w:sz w:val="22"/>
                <w:szCs w:val="22"/>
              </w:rPr>
              <w:t>In § 37.29, revise paragraph (a)(10) to read as follows:</w:t>
            </w:r>
          </w:p>
          <w:p w:rsidR="00F11067" w:rsidRDefault="00F11067" w:rsidP="00595E87">
            <w:pPr>
              <w:widowControl/>
              <w:rPr>
                <w:rFonts w:cs="Arial"/>
                <w:b/>
                <w:sz w:val="22"/>
                <w:szCs w:val="22"/>
              </w:rPr>
            </w:pPr>
          </w:p>
          <w:p w:rsidR="00F11067" w:rsidRPr="00F11067" w:rsidRDefault="00F11067" w:rsidP="00F11067">
            <w:pPr>
              <w:widowControl/>
              <w:rPr>
                <w:rFonts w:cs="Arial"/>
                <w:sz w:val="22"/>
                <w:szCs w:val="22"/>
              </w:rPr>
            </w:pPr>
            <w:r w:rsidRPr="00F11067">
              <w:rPr>
                <w:rFonts w:cs="Arial"/>
                <w:sz w:val="22"/>
                <w:szCs w:val="22"/>
              </w:rPr>
              <w:t>(a) *   *   *</w:t>
            </w:r>
          </w:p>
          <w:p w:rsidR="00F11067" w:rsidRPr="00F11067" w:rsidRDefault="00F11067" w:rsidP="00F11067">
            <w:pPr>
              <w:widowControl/>
              <w:rPr>
                <w:rFonts w:cs="Arial"/>
                <w:sz w:val="22"/>
                <w:szCs w:val="22"/>
              </w:rPr>
            </w:pPr>
            <w:r>
              <w:rPr>
                <w:rFonts w:cs="Arial"/>
                <w:sz w:val="22"/>
                <w:szCs w:val="22"/>
              </w:rPr>
              <w:t xml:space="preserve">    </w:t>
            </w:r>
            <w:r w:rsidRPr="00F11067">
              <w:rPr>
                <w:rFonts w:cs="Arial"/>
                <w:sz w:val="22"/>
                <w:szCs w:val="22"/>
              </w:rPr>
              <w:t>(10) Commercial vehicle drivers for road shipments of category 1 and category 2 quantities of radioactive material;</w:t>
            </w:r>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r>
      <w:tr w:rsidR="00572D5C" w:rsidTr="00C70966">
        <w:trPr>
          <w:jc w:val="right"/>
        </w:trPr>
        <w:tc>
          <w:tcPr>
            <w:tcW w:w="1695" w:type="dxa"/>
          </w:tcPr>
          <w:p w:rsidR="00572D5C" w:rsidRDefault="00572D5C" w:rsidP="00FE3046">
            <w:pPr>
              <w:rPr>
                <w:rFonts w:cs="Arial"/>
                <w:sz w:val="22"/>
                <w:szCs w:val="22"/>
              </w:rPr>
            </w:pPr>
            <w:r w:rsidRPr="00C26F0C">
              <w:rPr>
                <w:rFonts w:cs="Arial"/>
                <w:sz w:val="22"/>
                <w:szCs w:val="22"/>
              </w:rPr>
              <w:t>§</w:t>
            </w:r>
            <w:r>
              <w:rPr>
                <w:rFonts w:cs="Arial"/>
                <w:sz w:val="22"/>
                <w:szCs w:val="22"/>
              </w:rPr>
              <w:t xml:space="preserve"> 37.43(d)(1)</w:t>
            </w:r>
          </w:p>
        </w:tc>
        <w:tc>
          <w:tcPr>
            <w:tcW w:w="1994" w:type="dxa"/>
          </w:tcPr>
          <w:p w:rsidR="00572D5C" w:rsidRPr="00FC6A4B" w:rsidRDefault="00572D5C" w:rsidP="00F11067">
            <w:pPr>
              <w:rPr>
                <w:rFonts w:cs="Arial"/>
                <w:bCs/>
                <w:sz w:val="22"/>
                <w:szCs w:val="22"/>
              </w:rPr>
            </w:pPr>
            <w:r w:rsidRPr="00572D5C">
              <w:rPr>
                <w:rFonts w:cs="Arial"/>
                <w:bCs/>
                <w:sz w:val="22"/>
                <w:szCs w:val="22"/>
              </w:rPr>
              <w:t xml:space="preserve">General security program </w:t>
            </w:r>
            <w:r w:rsidRPr="00572D5C">
              <w:rPr>
                <w:rFonts w:cs="Arial"/>
                <w:bCs/>
                <w:sz w:val="22"/>
                <w:szCs w:val="22"/>
              </w:rPr>
              <w:lastRenderedPageBreak/>
              <w:t>requirements</w:t>
            </w:r>
          </w:p>
        </w:tc>
        <w:tc>
          <w:tcPr>
            <w:tcW w:w="0" w:type="auto"/>
          </w:tcPr>
          <w:p w:rsidR="00572D5C" w:rsidRPr="00314644" w:rsidRDefault="00572D5C" w:rsidP="00A75598">
            <w:pPr>
              <w:widowControl/>
              <w:jc w:val="center"/>
              <w:rPr>
                <w:rFonts w:cs="Arial"/>
                <w:sz w:val="22"/>
                <w:szCs w:val="22"/>
              </w:rPr>
            </w:pPr>
          </w:p>
        </w:tc>
        <w:tc>
          <w:tcPr>
            <w:tcW w:w="0" w:type="auto"/>
          </w:tcPr>
          <w:p w:rsidR="00572D5C" w:rsidRDefault="0008156F" w:rsidP="003B283E">
            <w:pPr>
              <w:widowControl/>
              <w:jc w:val="center"/>
              <w:rPr>
                <w:rFonts w:cs="Arial"/>
                <w:sz w:val="22"/>
                <w:szCs w:val="22"/>
              </w:rPr>
            </w:pPr>
            <w:r>
              <w:rPr>
                <w:rFonts w:cs="Arial"/>
                <w:sz w:val="22"/>
                <w:szCs w:val="22"/>
              </w:rPr>
              <w:t>C</w:t>
            </w:r>
          </w:p>
        </w:tc>
        <w:tc>
          <w:tcPr>
            <w:tcW w:w="0" w:type="auto"/>
          </w:tcPr>
          <w:p w:rsidR="00572D5C" w:rsidRDefault="00F11067" w:rsidP="00F11067">
            <w:pPr>
              <w:widowControl/>
              <w:rPr>
                <w:rFonts w:cs="Arial"/>
                <w:b/>
                <w:sz w:val="22"/>
                <w:szCs w:val="22"/>
              </w:rPr>
            </w:pPr>
            <w:r w:rsidRPr="00F11067">
              <w:rPr>
                <w:rFonts w:cs="Arial"/>
                <w:b/>
                <w:sz w:val="22"/>
                <w:szCs w:val="22"/>
              </w:rPr>
              <w:t>In § 37.43, revise paragraph (d)(1) to read as follows:</w:t>
            </w:r>
          </w:p>
          <w:p w:rsidR="00FE3046" w:rsidRDefault="00FE3046" w:rsidP="00F11067">
            <w:pPr>
              <w:widowControl/>
              <w:rPr>
                <w:rFonts w:cs="Arial"/>
                <w:b/>
                <w:sz w:val="22"/>
                <w:szCs w:val="22"/>
              </w:rPr>
            </w:pPr>
          </w:p>
          <w:p w:rsidR="00FE3046" w:rsidRDefault="00FE3046" w:rsidP="00F11067">
            <w:pPr>
              <w:widowControl/>
              <w:rPr>
                <w:rFonts w:cs="Arial"/>
                <w:sz w:val="22"/>
                <w:szCs w:val="22"/>
              </w:rPr>
            </w:pPr>
            <w:r w:rsidRPr="00FE3046">
              <w:rPr>
                <w:rFonts w:cs="Arial"/>
                <w:sz w:val="22"/>
                <w:szCs w:val="22"/>
              </w:rPr>
              <w:t xml:space="preserve">(d) Protection of information. </w:t>
            </w:r>
          </w:p>
          <w:p w:rsidR="00FE3046" w:rsidRDefault="00FE3046" w:rsidP="00F11067">
            <w:pPr>
              <w:widowControl/>
              <w:rPr>
                <w:rFonts w:cs="Arial"/>
                <w:sz w:val="22"/>
                <w:szCs w:val="22"/>
              </w:rPr>
            </w:pPr>
            <w:r>
              <w:rPr>
                <w:rFonts w:cs="Arial"/>
                <w:sz w:val="22"/>
                <w:szCs w:val="22"/>
              </w:rPr>
              <w:t xml:space="preserve">    </w:t>
            </w:r>
            <w:r w:rsidRPr="00FE3046">
              <w:rPr>
                <w:rFonts w:cs="Arial"/>
                <w:sz w:val="22"/>
                <w:szCs w:val="22"/>
              </w:rPr>
              <w:t xml:space="preserve"> (1) Licensees authorized to possess category 1 or category 2 quantities of radioactive material shall limit access to and unauthorized disclosure of their security plan, implementing procedures, and the list of individuals that have been approved for unescorted access.</w:t>
            </w:r>
          </w:p>
          <w:p w:rsidR="00FE3046" w:rsidRPr="00FE3046" w:rsidRDefault="00FE3046" w:rsidP="00F11067">
            <w:pPr>
              <w:widowControl/>
              <w:rPr>
                <w:rFonts w:cs="Arial"/>
                <w:sz w:val="22"/>
                <w:szCs w:val="22"/>
              </w:rPr>
            </w:pPr>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r>
      <w:tr w:rsidR="00572D5C" w:rsidTr="00C70966">
        <w:trPr>
          <w:jc w:val="right"/>
        </w:trPr>
        <w:tc>
          <w:tcPr>
            <w:tcW w:w="1695" w:type="dxa"/>
          </w:tcPr>
          <w:p w:rsidR="00572D5C" w:rsidRPr="00623E8E" w:rsidRDefault="00572D5C" w:rsidP="00FE3046">
            <w:pPr>
              <w:rPr>
                <w:rFonts w:cs="Arial"/>
                <w:sz w:val="22"/>
                <w:szCs w:val="22"/>
              </w:rPr>
            </w:pPr>
            <w:r w:rsidRPr="00C26F0C">
              <w:rPr>
                <w:rFonts w:cs="Arial"/>
                <w:sz w:val="22"/>
                <w:szCs w:val="22"/>
              </w:rPr>
              <w:t>§</w:t>
            </w:r>
            <w:r>
              <w:rPr>
                <w:rFonts w:cs="Arial"/>
                <w:sz w:val="22"/>
                <w:szCs w:val="22"/>
              </w:rPr>
              <w:t xml:space="preserve"> 37.43(d)(9)</w:t>
            </w:r>
          </w:p>
        </w:tc>
        <w:tc>
          <w:tcPr>
            <w:tcW w:w="1994" w:type="dxa"/>
          </w:tcPr>
          <w:p w:rsidR="00572D5C" w:rsidRPr="00FC6A4B" w:rsidRDefault="00572D5C" w:rsidP="00F11067">
            <w:pPr>
              <w:rPr>
                <w:rFonts w:cs="Arial"/>
                <w:bCs/>
                <w:sz w:val="22"/>
                <w:szCs w:val="22"/>
              </w:rPr>
            </w:pPr>
            <w:r w:rsidRPr="00FC6A4B">
              <w:rPr>
                <w:rFonts w:cs="Arial"/>
                <w:bCs/>
                <w:sz w:val="22"/>
                <w:szCs w:val="22"/>
              </w:rPr>
              <w:t>General security program requirements</w:t>
            </w:r>
          </w:p>
        </w:tc>
        <w:tc>
          <w:tcPr>
            <w:tcW w:w="0" w:type="auto"/>
          </w:tcPr>
          <w:p w:rsidR="00572D5C" w:rsidRPr="00314644" w:rsidRDefault="00572D5C" w:rsidP="00A75598">
            <w:pPr>
              <w:widowControl/>
              <w:jc w:val="center"/>
              <w:rPr>
                <w:rFonts w:cs="Arial"/>
                <w:sz w:val="22"/>
                <w:szCs w:val="22"/>
              </w:rPr>
            </w:pPr>
          </w:p>
        </w:tc>
        <w:tc>
          <w:tcPr>
            <w:tcW w:w="0" w:type="auto"/>
          </w:tcPr>
          <w:p w:rsidR="00572D5C" w:rsidRDefault="00572D5C" w:rsidP="003B283E">
            <w:pPr>
              <w:widowControl/>
              <w:jc w:val="center"/>
              <w:rPr>
                <w:rFonts w:cs="Arial"/>
                <w:sz w:val="22"/>
                <w:szCs w:val="22"/>
              </w:rPr>
            </w:pPr>
            <w:r>
              <w:rPr>
                <w:rFonts w:cs="Arial"/>
                <w:sz w:val="22"/>
                <w:szCs w:val="22"/>
              </w:rPr>
              <w:t>NRC</w:t>
            </w:r>
          </w:p>
        </w:tc>
        <w:tc>
          <w:tcPr>
            <w:tcW w:w="0" w:type="auto"/>
          </w:tcPr>
          <w:p w:rsidR="00572D5C" w:rsidRDefault="00F11067" w:rsidP="00F11067">
            <w:pPr>
              <w:widowControl/>
              <w:rPr>
                <w:rFonts w:cs="Arial"/>
                <w:b/>
                <w:sz w:val="22"/>
                <w:szCs w:val="22"/>
              </w:rPr>
            </w:pPr>
            <w:r w:rsidRPr="00F11067">
              <w:rPr>
                <w:rFonts w:cs="Arial"/>
                <w:b/>
                <w:sz w:val="22"/>
                <w:szCs w:val="22"/>
              </w:rPr>
              <w:t>In § 37.43, remove paragraph (d</w:t>
            </w:r>
            <w:proofErr w:type="gramStart"/>
            <w:r w:rsidRPr="00F11067">
              <w:rPr>
                <w:rFonts w:cs="Arial"/>
                <w:b/>
                <w:sz w:val="22"/>
                <w:szCs w:val="22"/>
              </w:rPr>
              <w:t>)(</w:t>
            </w:r>
            <w:proofErr w:type="gramEnd"/>
            <w:r w:rsidRPr="00F11067">
              <w:rPr>
                <w:rFonts w:cs="Arial"/>
                <w:b/>
                <w:sz w:val="22"/>
                <w:szCs w:val="22"/>
              </w:rPr>
              <w:t>9).</w:t>
            </w:r>
          </w:p>
          <w:p w:rsidR="00974750" w:rsidRDefault="00974750" w:rsidP="00F11067">
            <w:pPr>
              <w:widowControl/>
              <w:rPr>
                <w:rFonts w:cs="Arial"/>
                <w:b/>
                <w:sz w:val="22"/>
                <w:szCs w:val="22"/>
              </w:rPr>
            </w:pPr>
          </w:p>
          <w:p w:rsidR="00974750" w:rsidRPr="00F11067" w:rsidRDefault="00974750" w:rsidP="00F11067">
            <w:pPr>
              <w:widowControl/>
              <w:rPr>
                <w:rFonts w:cs="Arial"/>
                <w:b/>
                <w:sz w:val="22"/>
                <w:szCs w:val="22"/>
              </w:rPr>
            </w:pPr>
            <w:r>
              <w:rPr>
                <w:rFonts w:ascii="Consolas" w:hAnsi="Consolas" w:cs="Consolas"/>
                <w:color w:val="1C2D3D"/>
                <w:sz w:val="20"/>
                <w:szCs w:val="20"/>
                <w:lang w:val="en"/>
              </w:rPr>
              <w:t>[</w:t>
            </w:r>
            <w:r w:rsidRPr="00CA6D83">
              <w:rPr>
                <w:rFonts w:ascii="Consolas" w:hAnsi="Consolas" w:cs="Consolas"/>
                <w:color w:val="1C2D3D"/>
                <w:sz w:val="20"/>
                <w:szCs w:val="20"/>
                <w:lang w:val="en"/>
              </w:rPr>
              <w:t>(9) Licensees that possess safeguards</w:t>
            </w:r>
            <w:r>
              <w:rPr>
                <w:rFonts w:ascii="Consolas" w:hAnsi="Consolas" w:cs="Consolas"/>
                <w:color w:val="1C2D3D"/>
                <w:sz w:val="20"/>
                <w:szCs w:val="20"/>
                <w:lang w:val="en"/>
              </w:rPr>
              <w:t xml:space="preserve"> </w:t>
            </w:r>
            <w:r w:rsidRPr="00CA6D83">
              <w:rPr>
                <w:rFonts w:ascii="Consolas" w:hAnsi="Consolas" w:cs="Consolas"/>
                <w:color w:val="1C2D3D"/>
                <w:sz w:val="20"/>
                <w:szCs w:val="20"/>
                <w:lang w:val="en"/>
              </w:rPr>
              <w:t>information or safeguards information-</w:t>
            </w:r>
            <w:r w:rsidRPr="00CA6D83">
              <w:rPr>
                <w:rFonts w:ascii="Consolas" w:hAnsi="Consolas" w:cs="Consolas"/>
                <w:color w:val="1C2D3D"/>
                <w:sz w:val="20"/>
                <w:szCs w:val="20"/>
                <w:lang w:val="en"/>
              </w:rPr>
              <w:tab/>
            </w:r>
            <w:r w:rsidRPr="00CA6D83">
              <w:rPr>
                <w:rFonts w:ascii="Consolas" w:hAnsi="Consolas" w:cs="Consolas"/>
                <w:color w:val="1C2D3D"/>
                <w:sz w:val="20"/>
                <w:szCs w:val="20"/>
                <w:lang w:val="en"/>
              </w:rPr>
              <w:tab/>
              <w:t xml:space="preserve"> modified handling are subject to the</w:t>
            </w:r>
            <w:r>
              <w:rPr>
                <w:rFonts w:ascii="Consolas" w:hAnsi="Consolas" w:cs="Consolas"/>
                <w:color w:val="1C2D3D"/>
                <w:sz w:val="20"/>
                <w:szCs w:val="20"/>
                <w:lang w:val="en"/>
              </w:rPr>
              <w:t xml:space="preserve"> </w:t>
            </w:r>
            <w:r w:rsidRPr="00CA6D83">
              <w:rPr>
                <w:rFonts w:ascii="Consolas" w:hAnsi="Consolas" w:cs="Consolas"/>
                <w:color w:val="1C2D3D"/>
                <w:sz w:val="20"/>
                <w:szCs w:val="20"/>
                <w:lang w:val="en"/>
              </w:rPr>
              <w:t xml:space="preserve">requirements of §73.21 of this </w:t>
            </w:r>
            <w:proofErr w:type="spellStart"/>
            <w:r w:rsidRPr="00CA6D83">
              <w:rPr>
                <w:rFonts w:ascii="Consolas" w:hAnsi="Consolas" w:cs="Consolas"/>
                <w:color w:val="1C2D3D"/>
                <w:sz w:val="20"/>
                <w:szCs w:val="20"/>
                <w:lang w:val="en"/>
              </w:rPr>
              <w:t>chapter,and</w:t>
            </w:r>
            <w:proofErr w:type="spellEnd"/>
            <w:r w:rsidRPr="00CA6D83">
              <w:rPr>
                <w:rFonts w:ascii="Consolas" w:hAnsi="Consolas" w:cs="Consolas"/>
                <w:color w:val="1C2D3D"/>
                <w:sz w:val="20"/>
                <w:szCs w:val="20"/>
                <w:lang w:val="en"/>
              </w:rPr>
              <w:t xml:space="preserve"> sha</w:t>
            </w:r>
            <w:r>
              <w:rPr>
                <w:rFonts w:ascii="Consolas" w:hAnsi="Consolas" w:cs="Consolas"/>
                <w:color w:val="1C2D3D"/>
                <w:sz w:val="20"/>
                <w:szCs w:val="20"/>
                <w:lang w:val="en"/>
              </w:rPr>
              <w:t>ll protect any safeguards informa</w:t>
            </w:r>
            <w:r w:rsidRPr="00CA6D83">
              <w:rPr>
                <w:rFonts w:ascii="Consolas" w:hAnsi="Consolas" w:cs="Consolas"/>
                <w:color w:val="1C2D3D"/>
                <w:sz w:val="20"/>
                <w:szCs w:val="20"/>
                <w:lang w:val="en"/>
              </w:rPr>
              <w:t>tion   or  safeguards  information- modified handling in accordance with</w:t>
            </w:r>
            <w:r w:rsidRPr="00CA6D83">
              <w:rPr>
                <w:rFonts w:ascii="Consolas" w:hAnsi="Consolas" w:cs="Consolas"/>
                <w:color w:val="1C2D3D"/>
                <w:sz w:val="20"/>
                <w:szCs w:val="20"/>
                <w:lang w:val="en"/>
              </w:rPr>
              <w:tab/>
              <w:t xml:space="preserve"> the requirements of that section.</w:t>
            </w:r>
            <w:r>
              <w:rPr>
                <w:rFonts w:ascii="Consolas" w:hAnsi="Consolas" w:cs="Consolas"/>
                <w:color w:val="1C2D3D"/>
                <w:sz w:val="20"/>
                <w:szCs w:val="20"/>
                <w:lang w:val="en"/>
              </w:rPr>
              <w:t>]</w:t>
            </w:r>
            <w:bookmarkStart w:id="0" w:name="_GoBack"/>
            <w:bookmarkEnd w:id="0"/>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r>
      <w:tr w:rsidR="00572D5C" w:rsidTr="00C70966">
        <w:trPr>
          <w:jc w:val="right"/>
        </w:trPr>
        <w:tc>
          <w:tcPr>
            <w:tcW w:w="1695" w:type="dxa"/>
          </w:tcPr>
          <w:p w:rsidR="00572D5C" w:rsidRPr="00623E8E" w:rsidRDefault="00572D5C" w:rsidP="00FE3046">
            <w:pPr>
              <w:rPr>
                <w:rFonts w:cs="Arial"/>
                <w:sz w:val="22"/>
                <w:szCs w:val="22"/>
              </w:rPr>
            </w:pPr>
            <w:r w:rsidRPr="00C26F0C">
              <w:rPr>
                <w:rFonts w:cs="Arial"/>
                <w:sz w:val="22"/>
                <w:szCs w:val="22"/>
              </w:rPr>
              <w:t>§</w:t>
            </w:r>
            <w:r>
              <w:rPr>
                <w:rFonts w:cs="Arial"/>
                <w:sz w:val="22"/>
                <w:szCs w:val="22"/>
              </w:rPr>
              <w:t xml:space="preserve"> 37.77(f)</w:t>
            </w:r>
          </w:p>
        </w:tc>
        <w:tc>
          <w:tcPr>
            <w:tcW w:w="1994" w:type="dxa"/>
          </w:tcPr>
          <w:p w:rsidR="00572D5C" w:rsidRPr="00FC6A4B" w:rsidRDefault="00572D5C" w:rsidP="00F11067">
            <w:pPr>
              <w:rPr>
                <w:rFonts w:cs="Arial"/>
                <w:bCs/>
                <w:sz w:val="22"/>
                <w:szCs w:val="22"/>
              </w:rPr>
            </w:pPr>
            <w:r w:rsidRPr="00FC6A4B">
              <w:rPr>
                <w:rFonts w:cs="Arial"/>
                <w:bCs/>
                <w:sz w:val="22"/>
                <w:szCs w:val="22"/>
              </w:rPr>
              <w:t xml:space="preserve">Advance notification of shipment of category 1 quantities of </w:t>
            </w:r>
            <w:r w:rsidRPr="00FC6A4B">
              <w:rPr>
                <w:rFonts w:cs="Arial"/>
                <w:bCs/>
                <w:sz w:val="22"/>
                <w:szCs w:val="22"/>
              </w:rPr>
              <w:lastRenderedPageBreak/>
              <w:t>radioactive material</w:t>
            </w:r>
          </w:p>
        </w:tc>
        <w:tc>
          <w:tcPr>
            <w:tcW w:w="0" w:type="auto"/>
          </w:tcPr>
          <w:p w:rsidR="00572D5C" w:rsidRPr="00314644" w:rsidRDefault="00572D5C" w:rsidP="00A75598">
            <w:pPr>
              <w:widowControl/>
              <w:jc w:val="center"/>
              <w:rPr>
                <w:rFonts w:cs="Arial"/>
                <w:sz w:val="22"/>
                <w:szCs w:val="22"/>
              </w:rPr>
            </w:pPr>
          </w:p>
        </w:tc>
        <w:tc>
          <w:tcPr>
            <w:tcW w:w="0" w:type="auto"/>
          </w:tcPr>
          <w:p w:rsidR="00572D5C" w:rsidRDefault="00572D5C" w:rsidP="003B283E">
            <w:pPr>
              <w:widowControl/>
              <w:jc w:val="center"/>
              <w:rPr>
                <w:rFonts w:cs="Arial"/>
                <w:sz w:val="22"/>
                <w:szCs w:val="22"/>
              </w:rPr>
            </w:pPr>
            <w:r>
              <w:rPr>
                <w:rFonts w:cs="Arial"/>
                <w:sz w:val="22"/>
                <w:szCs w:val="22"/>
              </w:rPr>
              <w:t>C</w:t>
            </w:r>
          </w:p>
        </w:tc>
        <w:tc>
          <w:tcPr>
            <w:tcW w:w="0" w:type="auto"/>
          </w:tcPr>
          <w:p w:rsidR="00572D5C" w:rsidRDefault="00FE3046" w:rsidP="00595E87">
            <w:pPr>
              <w:widowControl/>
              <w:rPr>
                <w:rFonts w:cs="Arial"/>
                <w:b/>
                <w:sz w:val="22"/>
                <w:szCs w:val="22"/>
              </w:rPr>
            </w:pPr>
            <w:r w:rsidRPr="00FE3046">
              <w:rPr>
                <w:rFonts w:cs="Arial"/>
                <w:b/>
                <w:sz w:val="22"/>
                <w:szCs w:val="22"/>
              </w:rPr>
              <w:t>In § 37.77, revise paragraph (f) to read as follows:</w:t>
            </w:r>
          </w:p>
          <w:p w:rsidR="00FE3046" w:rsidRDefault="00FE3046" w:rsidP="00595E87">
            <w:pPr>
              <w:widowControl/>
              <w:rPr>
                <w:rFonts w:cs="Arial"/>
                <w:b/>
                <w:sz w:val="22"/>
                <w:szCs w:val="22"/>
              </w:rPr>
            </w:pPr>
          </w:p>
          <w:p w:rsidR="00FE3046" w:rsidRDefault="00FE3046" w:rsidP="00595E87">
            <w:pPr>
              <w:widowControl/>
              <w:rPr>
                <w:rFonts w:cs="Arial"/>
                <w:sz w:val="22"/>
                <w:szCs w:val="22"/>
              </w:rPr>
            </w:pPr>
            <w:r w:rsidRPr="00FE3046">
              <w:rPr>
                <w:rFonts w:cs="Arial"/>
                <w:sz w:val="22"/>
                <w:szCs w:val="22"/>
              </w:rPr>
              <w:t xml:space="preserve">(f) Protection of information.  State officials, State employees, and other </w:t>
            </w:r>
            <w:r w:rsidRPr="00FE3046">
              <w:rPr>
                <w:rFonts w:cs="Arial"/>
                <w:sz w:val="22"/>
                <w:szCs w:val="22"/>
              </w:rPr>
              <w:lastRenderedPageBreak/>
              <w:t>individuals, whether or not licensees of the Commission or an Agreement State, who receive schedule information of the kind specified in §</w:t>
            </w:r>
            <w:r>
              <w:t> </w:t>
            </w:r>
            <w:r w:rsidRPr="00FE3046">
              <w:rPr>
                <w:rFonts w:cs="Arial"/>
                <w:sz w:val="22"/>
                <w:szCs w:val="22"/>
              </w:rPr>
              <w:t>37.77(b) shall protect that information against unauthorized disclosure as specified in § 37.43(d) of this part.</w:t>
            </w:r>
          </w:p>
          <w:p w:rsidR="00FE3046" w:rsidRPr="00FE3046" w:rsidRDefault="00FE3046" w:rsidP="00595E87">
            <w:pPr>
              <w:widowControl/>
              <w:rPr>
                <w:rFonts w:cs="Arial"/>
                <w:sz w:val="22"/>
                <w:szCs w:val="22"/>
              </w:rPr>
            </w:pPr>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r>
      <w:tr w:rsidR="00572D5C" w:rsidTr="00C70966">
        <w:trPr>
          <w:jc w:val="right"/>
        </w:trPr>
        <w:tc>
          <w:tcPr>
            <w:tcW w:w="1695" w:type="dxa"/>
          </w:tcPr>
          <w:p w:rsidR="00572D5C" w:rsidRPr="00623E8E" w:rsidRDefault="00572D5C" w:rsidP="00FE3046">
            <w:pPr>
              <w:rPr>
                <w:rFonts w:cs="Arial"/>
                <w:sz w:val="22"/>
                <w:szCs w:val="22"/>
              </w:rPr>
            </w:pPr>
            <w:r w:rsidRPr="00C26F0C">
              <w:rPr>
                <w:rFonts w:cs="Arial"/>
                <w:sz w:val="22"/>
                <w:szCs w:val="22"/>
              </w:rPr>
              <w:t>§</w:t>
            </w:r>
            <w:r>
              <w:rPr>
                <w:rFonts w:cs="Arial"/>
                <w:sz w:val="22"/>
                <w:szCs w:val="22"/>
              </w:rPr>
              <w:t xml:space="preserve"> 73.2</w:t>
            </w:r>
          </w:p>
        </w:tc>
        <w:tc>
          <w:tcPr>
            <w:tcW w:w="1994" w:type="dxa"/>
          </w:tcPr>
          <w:p w:rsidR="00572D5C" w:rsidRPr="00623E8E" w:rsidRDefault="00572D5C" w:rsidP="00F11067">
            <w:pPr>
              <w:rPr>
                <w:rFonts w:cs="Arial"/>
                <w:bCs/>
                <w:sz w:val="22"/>
                <w:szCs w:val="22"/>
              </w:rPr>
            </w:pPr>
            <w:r>
              <w:rPr>
                <w:rFonts w:cs="Arial"/>
                <w:bCs/>
                <w:sz w:val="22"/>
                <w:szCs w:val="22"/>
              </w:rPr>
              <w:t>Definition</w:t>
            </w:r>
            <w:r w:rsidR="00F11067">
              <w:rPr>
                <w:rFonts w:cs="Arial"/>
                <w:bCs/>
                <w:sz w:val="22"/>
                <w:szCs w:val="22"/>
              </w:rPr>
              <w:t>s</w:t>
            </w:r>
            <w:r>
              <w:rPr>
                <w:rFonts w:cs="Arial"/>
                <w:bCs/>
                <w:sz w:val="22"/>
                <w:szCs w:val="22"/>
              </w:rPr>
              <w:t xml:space="preserve"> </w:t>
            </w:r>
          </w:p>
        </w:tc>
        <w:tc>
          <w:tcPr>
            <w:tcW w:w="0" w:type="auto"/>
          </w:tcPr>
          <w:p w:rsidR="00572D5C" w:rsidRPr="00314644" w:rsidRDefault="00572D5C" w:rsidP="00A75598">
            <w:pPr>
              <w:widowControl/>
              <w:jc w:val="center"/>
              <w:rPr>
                <w:rFonts w:cs="Arial"/>
                <w:sz w:val="22"/>
                <w:szCs w:val="22"/>
              </w:rPr>
            </w:pPr>
          </w:p>
        </w:tc>
        <w:tc>
          <w:tcPr>
            <w:tcW w:w="0" w:type="auto"/>
          </w:tcPr>
          <w:p w:rsidR="00572D5C" w:rsidRDefault="00572D5C" w:rsidP="003B283E">
            <w:pPr>
              <w:widowControl/>
              <w:jc w:val="center"/>
              <w:rPr>
                <w:rFonts w:cs="Arial"/>
                <w:sz w:val="22"/>
                <w:szCs w:val="22"/>
              </w:rPr>
            </w:pPr>
            <w:r>
              <w:rPr>
                <w:rFonts w:cs="Arial"/>
                <w:sz w:val="22"/>
                <w:szCs w:val="22"/>
              </w:rPr>
              <w:t>NRC</w:t>
            </w:r>
          </w:p>
        </w:tc>
        <w:tc>
          <w:tcPr>
            <w:tcW w:w="0" w:type="auto"/>
          </w:tcPr>
          <w:p w:rsidR="00572D5C" w:rsidRPr="00FE3046" w:rsidRDefault="00FE3046" w:rsidP="00595E87">
            <w:pPr>
              <w:widowControl/>
              <w:rPr>
                <w:rFonts w:cs="Arial"/>
                <w:b/>
                <w:sz w:val="22"/>
                <w:szCs w:val="22"/>
              </w:rPr>
            </w:pPr>
            <w:r w:rsidRPr="00FE3046">
              <w:rPr>
                <w:rFonts w:cs="Arial"/>
                <w:b/>
                <w:sz w:val="22"/>
                <w:szCs w:val="22"/>
              </w:rPr>
              <w:t>In § 73.2, remove the definition for “Quantities of Concern.”</w:t>
            </w:r>
          </w:p>
          <w:p w:rsidR="00FE3046" w:rsidRPr="00ED2556" w:rsidRDefault="00FE3046" w:rsidP="00595E87">
            <w:pPr>
              <w:widowControl/>
              <w:rPr>
                <w:rFonts w:cs="Arial"/>
                <w:sz w:val="22"/>
                <w:szCs w:val="22"/>
              </w:rPr>
            </w:pPr>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r>
      <w:tr w:rsidR="00572D5C" w:rsidTr="00C70966">
        <w:trPr>
          <w:jc w:val="right"/>
        </w:trPr>
        <w:tc>
          <w:tcPr>
            <w:tcW w:w="1695" w:type="dxa"/>
          </w:tcPr>
          <w:p w:rsidR="00572D5C" w:rsidRPr="00623E8E" w:rsidRDefault="00572D5C" w:rsidP="00FE3046">
            <w:pPr>
              <w:rPr>
                <w:rFonts w:cs="Arial"/>
                <w:sz w:val="22"/>
                <w:szCs w:val="22"/>
              </w:rPr>
            </w:pPr>
            <w:r w:rsidRPr="00C26F0C">
              <w:rPr>
                <w:rFonts w:cs="Arial"/>
                <w:sz w:val="22"/>
                <w:szCs w:val="22"/>
              </w:rPr>
              <w:t>§</w:t>
            </w:r>
            <w:r>
              <w:rPr>
                <w:rFonts w:cs="Arial"/>
                <w:sz w:val="22"/>
                <w:szCs w:val="22"/>
              </w:rPr>
              <w:t xml:space="preserve"> </w:t>
            </w:r>
            <w:r w:rsidRPr="00623E8E">
              <w:rPr>
                <w:rFonts w:cs="Arial"/>
                <w:sz w:val="22"/>
                <w:szCs w:val="22"/>
              </w:rPr>
              <w:t>73.21</w:t>
            </w:r>
          </w:p>
        </w:tc>
        <w:tc>
          <w:tcPr>
            <w:tcW w:w="1994" w:type="dxa"/>
          </w:tcPr>
          <w:p w:rsidR="00572D5C" w:rsidRPr="00623E8E" w:rsidRDefault="00572D5C" w:rsidP="00F11067">
            <w:pPr>
              <w:rPr>
                <w:rFonts w:cs="Arial"/>
                <w:sz w:val="22"/>
                <w:szCs w:val="22"/>
              </w:rPr>
            </w:pPr>
            <w:r>
              <w:rPr>
                <w:rFonts w:cs="Arial"/>
                <w:bCs/>
                <w:sz w:val="22"/>
                <w:szCs w:val="22"/>
              </w:rPr>
              <w:t>Protection of safeguards i</w:t>
            </w:r>
            <w:r w:rsidRPr="00623E8E">
              <w:rPr>
                <w:rFonts w:cs="Arial"/>
                <w:bCs/>
                <w:sz w:val="22"/>
                <w:szCs w:val="22"/>
              </w:rPr>
              <w:t xml:space="preserve">nformation: </w:t>
            </w:r>
            <w:r>
              <w:rPr>
                <w:rFonts w:cs="Arial"/>
                <w:bCs/>
                <w:sz w:val="22"/>
                <w:szCs w:val="22"/>
              </w:rPr>
              <w:t xml:space="preserve"> p</w:t>
            </w:r>
            <w:r w:rsidRPr="00623E8E">
              <w:rPr>
                <w:rFonts w:cs="Arial"/>
                <w:bCs/>
                <w:sz w:val="22"/>
                <w:szCs w:val="22"/>
              </w:rPr>
              <w:t xml:space="preserve">erformance </w:t>
            </w:r>
            <w:r>
              <w:rPr>
                <w:rFonts w:cs="Arial"/>
                <w:bCs/>
                <w:sz w:val="22"/>
                <w:szCs w:val="22"/>
              </w:rPr>
              <w:t>r</w:t>
            </w:r>
            <w:r w:rsidRPr="00623E8E">
              <w:rPr>
                <w:rFonts w:cs="Arial"/>
                <w:bCs/>
                <w:sz w:val="22"/>
                <w:szCs w:val="22"/>
              </w:rPr>
              <w:t>equirements</w:t>
            </w:r>
          </w:p>
        </w:tc>
        <w:tc>
          <w:tcPr>
            <w:tcW w:w="0" w:type="auto"/>
          </w:tcPr>
          <w:p w:rsidR="00572D5C" w:rsidRPr="00314644" w:rsidRDefault="00572D5C" w:rsidP="00A75598">
            <w:pPr>
              <w:widowControl/>
              <w:jc w:val="center"/>
              <w:rPr>
                <w:rFonts w:cs="Arial"/>
                <w:sz w:val="22"/>
                <w:szCs w:val="22"/>
              </w:rPr>
            </w:pPr>
          </w:p>
        </w:tc>
        <w:tc>
          <w:tcPr>
            <w:tcW w:w="0" w:type="auto"/>
          </w:tcPr>
          <w:p w:rsidR="00572D5C" w:rsidRDefault="00572D5C" w:rsidP="003B283E">
            <w:pPr>
              <w:widowControl/>
              <w:jc w:val="center"/>
              <w:rPr>
                <w:rFonts w:cs="Arial"/>
                <w:sz w:val="22"/>
                <w:szCs w:val="22"/>
              </w:rPr>
            </w:pPr>
            <w:r>
              <w:rPr>
                <w:rFonts w:cs="Arial"/>
                <w:sz w:val="22"/>
                <w:szCs w:val="22"/>
              </w:rPr>
              <w:t>NRC</w:t>
            </w:r>
          </w:p>
        </w:tc>
        <w:tc>
          <w:tcPr>
            <w:tcW w:w="0" w:type="auto"/>
          </w:tcPr>
          <w:p w:rsidR="00572D5C" w:rsidRDefault="00FE3046" w:rsidP="00595E87">
            <w:pPr>
              <w:widowControl/>
              <w:rPr>
                <w:rFonts w:cs="Arial"/>
                <w:b/>
                <w:sz w:val="22"/>
                <w:szCs w:val="22"/>
              </w:rPr>
            </w:pPr>
            <w:r w:rsidRPr="00FE3046">
              <w:rPr>
                <w:rFonts w:cs="Arial"/>
                <w:b/>
                <w:sz w:val="22"/>
                <w:szCs w:val="22"/>
              </w:rPr>
              <w:t>In § 73.21, revise paragraph (a)(1)(ii) to read as follows:</w:t>
            </w:r>
          </w:p>
          <w:p w:rsidR="00FE3046" w:rsidRDefault="00FE3046" w:rsidP="00595E87">
            <w:pPr>
              <w:widowControl/>
              <w:rPr>
                <w:rFonts w:cs="Arial"/>
                <w:b/>
                <w:sz w:val="22"/>
                <w:szCs w:val="22"/>
              </w:rPr>
            </w:pPr>
          </w:p>
          <w:p w:rsidR="00FE3046" w:rsidRPr="00FE3046" w:rsidRDefault="00FE3046" w:rsidP="00FE3046">
            <w:pPr>
              <w:widowControl/>
              <w:rPr>
                <w:rFonts w:cs="Arial"/>
                <w:sz w:val="22"/>
                <w:szCs w:val="22"/>
              </w:rPr>
            </w:pPr>
            <w:r w:rsidRPr="00FE3046">
              <w:rPr>
                <w:rFonts w:cs="Arial"/>
                <w:sz w:val="22"/>
                <w:szCs w:val="22"/>
              </w:rPr>
              <w:t>(a) *   *   *</w:t>
            </w:r>
          </w:p>
          <w:p w:rsidR="00FE3046" w:rsidRPr="00FE3046" w:rsidRDefault="00FE3046" w:rsidP="00FE3046">
            <w:pPr>
              <w:widowControl/>
              <w:rPr>
                <w:rFonts w:cs="Arial"/>
                <w:sz w:val="22"/>
                <w:szCs w:val="22"/>
              </w:rPr>
            </w:pPr>
            <w:r>
              <w:rPr>
                <w:rFonts w:cs="Arial"/>
                <w:sz w:val="22"/>
                <w:szCs w:val="22"/>
              </w:rPr>
              <w:t xml:space="preserve">     </w:t>
            </w:r>
            <w:r w:rsidRPr="00FE3046">
              <w:rPr>
                <w:rFonts w:cs="Arial"/>
                <w:sz w:val="22"/>
                <w:szCs w:val="22"/>
              </w:rPr>
              <w:t>(1) *   *   *</w:t>
            </w:r>
          </w:p>
          <w:p w:rsidR="00FE3046" w:rsidRDefault="00FE3046" w:rsidP="00FE3046">
            <w:pPr>
              <w:widowControl/>
              <w:rPr>
                <w:rFonts w:cs="Arial"/>
                <w:sz w:val="22"/>
                <w:szCs w:val="22"/>
              </w:rPr>
            </w:pPr>
            <w:r w:rsidRPr="00FE3046">
              <w:rPr>
                <w:rFonts w:cs="Arial"/>
                <w:sz w:val="22"/>
                <w:szCs w:val="22"/>
              </w:rPr>
              <w:lastRenderedPageBreak/>
              <w:tab/>
              <w:t>(ii) Establish, implement, and maintain an information protection system that includes the applicable measures for Safeguards Information specified in § 73.23 related to:  research and test reactors that possess special nuclear material of moderate strategic significance or special nuclear material of low strategic significance.</w:t>
            </w:r>
          </w:p>
          <w:p w:rsidR="00FE3046" w:rsidRPr="00FE3046" w:rsidRDefault="00FE3046" w:rsidP="00FE3046">
            <w:pPr>
              <w:widowControl/>
              <w:rPr>
                <w:rFonts w:cs="Arial"/>
                <w:sz w:val="22"/>
                <w:szCs w:val="22"/>
              </w:rPr>
            </w:pPr>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r>
      <w:tr w:rsidR="00572D5C" w:rsidTr="00C70966">
        <w:trPr>
          <w:jc w:val="right"/>
        </w:trPr>
        <w:tc>
          <w:tcPr>
            <w:tcW w:w="1695" w:type="dxa"/>
          </w:tcPr>
          <w:p w:rsidR="00572D5C" w:rsidRPr="00A77E98" w:rsidRDefault="00572D5C" w:rsidP="00FE3046">
            <w:pPr>
              <w:rPr>
                <w:rFonts w:cs="Arial"/>
                <w:sz w:val="22"/>
                <w:szCs w:val="22"/>
              </w:rPr>
            </w:pPr>
            <w:r w:rsidRPr="00C26F0C">
              <w:rPr>
                <w:rFonts w:cs="Arial"/>
                <w:sz w:val="22"/>
                <w:szCs w:val="22"/>
              </w:rPr>
              <w:t>§</w:t>
            </w:r>
            <w:r>
              <w:rPr>
                <w:rFonts w:cs="Arial"/>
                <w:sz w:val="22"/>
                <w:szCs w:val="22"/>
              </w:rPr>
              <w:t xml:space="preserve"> </w:t>
            </w:r>
            <w:r w:rsidRPr="00A77E98">
              <w:rPr>
                <w:rFonts w:cs="Arial"/>
                <w:sz w:val="22"/>
                <w:szCs w:val="22"/>
              </w:rPr>
              <w:t>73.23</w:t>
            </w:r>
          </w:p>
        </w:tc>
        <w:tc>
          <w:tcPr>
            <w:tcW w:w="1994" w:type="dxa"/>
          </w:tcPr>
          <w:p w:rsidR="00572D5C" w:rsidRPr="00A77E98" w:rsidRDefault="00572D5C" w:rsidP="00F11067">
            <w:pPr>
              <w:rPr>
                <w:rFonts w:cs="Arial"/>
                <w:sz w:val="22"/>
                <w:szCs w:val="22"/>
              </w:rPr>
            </w:pPr>
            <w:r>
              <w:rPr>
                <w:rFonts w:cs="Arial"/>
                <w:bCs/>
                <w:sz w:val="22"/>
                <w:szCs w:val="22"/>
              </w:rPr>
              <w:t>Protection of safeguards i</w:t>
            </w:r>
            <w:r w:rsidRPr="00A77E98">
              <w:rPr>
                <w:rFonts w:cs="Arial"/>
                <w:bCs/>
                <w:sz w:val="22"/>
                <w:szCs w:val="22"/>
              </w:rPr>
              <w:t>nformation-</w:t>
            </w:r>
            <w:r>
              <w:rPr>
                <w:rFonts w:cs="Arial"/>
                <w:bCs/>
                <w:sz w:val="22"/>
                <w:szCs w:val="22"/>
              </w:rPr>
              <w:t>m</w:t>
            </w:r>
            <w:r w:rsidRPr="00A77E98">
              <w:rPr>
                <w:rFonts w:cs="Arial"/>
                <w:bCs/>
                <w:sz w:val="22"/>
                <w:szCs w:val="22"/>
              </w:rPr>
              <w:t xml:space="preserve">odified </w:t>
            </w:r>
            <w:r>
              <w:rPr>
                <w:rFonts w:cs="Arial"/>
                <w:bCs/>
                <w:sz w:val="22"/>
                <w:szCs w:val="22"/>
              </w:rPr>
              <w:t>h</w:t>
            </w:r>
            <w:r w:rsidRPr="00A77E98">
              <w:rPr>
                <w:rFonts w:cs="Arial"/>
                <w:bCs/>
                <w:sz w:val="22"/>
                <w:szCs w:val="22"/>
              </w:rPr>
              <w:t xml:space="preserve">andling: </w:t>
            </w:r>
            <w:r>
              <w:rPr>
                <w:rFonts w:cs="Arial"/>
                <w:bCs/>
                <w:sz w:val="22"/>
                <w:szCs w:val="22"/>
              </w:rPr>
              <w:t xml:space="preserve"> s</w:t>
            </w:r>
            <w:r w:rsidRPr="00A77E98">
              <w:rPr>
                <w:rFonts w:cs="Arial"/>
                <w:bCs/>
                <w:sz w:val="22"/>
                <w:szCs w:val="22"/>
              </w:rPr>
              <w:t xml:space="preserve">pecific </w:t>
            </w:r>
            <w:r>
              <w:rPr>
                <w:rFonts w:cs="Arial"/>
                <w:bCs/>
                <w:sz w:val="22"/>
                <w:szCs w:val="22"/>
              </w:rPr>
              <w:t>r</w:t>
            </w:r>
            <w:r w:rsidRPr="00A77E98">
              <w:rPr>
                <w:rFonts w:cs="Arial"/>
                <w:bCs/>
                <w:sz w:val="22"/>
                <w:szCs w:val="22"/>
              </w:rPr>
              <w:t>equirements</w:t>
            </w:r>
          </w:p>
        </w:tc>
        <w:tc>
          <w:tcPr>
            <w:tcW w:w="0" w:type="auto"/>
          </w:tcPr>
          <w:p w:rsidR="00572D5C" w:rsidRPr="00314644" w:rsidRDefault="00572D5C" w:rsidP="00A75598">
            <w:pPr>
              <w:widowControl/>
              <w:jc w:val="center"/>
              <w:rPr>
                <w:rFonts w:cs="Arial"/>
                <w:sz w:val="22"/>
                <w:szCs w:val="22"/>
              </w:rPr>
            </w:pPr>
          </w:p>
        </w:tc>
        <w:tc>
          <w:tcPr>
            <w:tcW w:w="0" w:type="auto"/>
          </w:tcPr>
          <w:p w:rsidR="00572D5C" w:rsidRDefault="00572D5C" w:rsidP="003B283E">
            <w:pPr>
              <w:widowControl/>
              <w:jc w:val="center"/>
              <w:rPr>
                <w:rFonts w:cs="Arial"/>
                <w:sz w:val="22"/>
                <w:szCs w:val="22"/>
              </w:rPr>
            </w:pPr>
            <w:r>
              <w:rPr>
                <w:rFonts w:cs="Arial"/>
                <w:sz w:val="22"/>
                <w:szCs w:val="22"/>
              </w:rPr>
              <w:t>NRC</w:t>
            </w:r>
          </w:p>
        </w:tc>
        <w:tc>
          <w:tcPr>
            <w:tcW w:w="0" w:type="auto"/>
          </w:tcPr>
          <w:p w:rsidR="00572D5C" w:rsidRDefault="00FE3046" w:rsidP="00595E87">
            <w:pPr>
              <w:widowControl/>
              <w:rPr>
                <w:rFonts w:cs="Arial"/>
                <w:b/>
                <w:sz w:val="22"/>
                <w:szCs w:val="22"/>
              </w:rPr>
            </w:pPr>
            <w:r w:rsidRPr="00FE3046">
              <w:rPr>
                <w:rFonts w:cs="Arial"/>
                <w:b/>
                <w:sz w:val="22"/>
                <w:szCs w:val="22"/>
              </w:rPr>
              <w:t>In § 73.23, revise the introductory text and paragraph (a)(2) to read as follows:</w:t>
            </w:r>
          </w:p>
          <w:p w:rsidR="00FE3046" w:rsidRDefault="00FE3046" w:rsidP="00595E87">
            <w:pPr>
              <w:widowControl/>
              <w:rPr>
                <w:rFonts w:cs="Arial"/>
                <w:sz w:val="22"/>
                <w:szCs w:val="22"/>
              </w:rPr>
            </w:pPr>
            <w:r w:rsidRPr="00FE3046">
              <w:rPr>
                <w:rFonts w:cs="Arial"/>
                <w:sz w:val="22"/>
                <w:szCs w:val="22"/>
              </w:rPr>
              <w:t xml:space="preserve">This section contains specific requirements for the protection of Safeguards Information in the hands of any person subject to the requirements of § 73.21(a)(1)(ii) and research and </w:t>
            </w:r>
            <w:r w:rsidRPr="00FE3046">
              <w:rPr>
                <w:rFonts w:cs="Arial"/>
                <w:sz w:val="22"/>
                <w:szCs w:val="22"/>
              </w:rPr>
              <w:lastRenderedPageBreak/>
              <w:t>test reactors that possess special nuclear material of moderate strategic significance or special nuclear material of low strategic significance.  The requirements of this section distinguish Safeguards Information requiring modified handling requirements (SGI–M) from the specific Safeguards Information handling requirements applicable to facilities and materials needing a higher level of protection, as set forth in § 73.22.</w:t>
            </w:r>
          </w:p>
          <w:p w:rsidR="00FE3046" w:rsidRPr="00FE3046" w:rsidRDefault="00FE3046" w:rsidP="00FE3046">
            <w:pPr>
              <w:widowControl/>
              <w:rPr>
                <w:rFonts w:cs="Arial"/>
                <w:sz w:val="22"/>
                <w:szCs w:val="22"/>
              </w:rPr>
            </w:pPr>
            <w:r w:rsidRPr="00FE3046">
              <w:rPr>
                <w:rFonts w:cs="Arial"/>
                <w:sz w:val="22"/>
                <w:szCs w:val="22"/>
              </w:rPr>
              <w:t>(a) *   *   *</w:t>
            </w:r>
          </w:p>
          <w:p w:rsidR="00FE3046" w:rsidRDefault="00FE3046" w:rsidP="00FE3046">
            <w:pPr>
              <w:widowControl/>
              <w:rPr>
                <w:rFonts w:cs="Arial"/>
                <w:sz w:val="22"/>
                <w:szCs w:val="22"/>
              </w:rPr>
            </w:pPr>
            <w:r>
              <w:rPr>
                <w:rFonts w:cs="Arial"/>
                <w:sz w:val="22"/>
                <w:szCs w:val="22"/>
              </w:rPr>
              <w:t xml:space="preserve">    </w:t>
            </w:r>
            <w:r w:rsidRPr="00FE3046">
              <w:rPr>
                <w:rFonts w:cs="Arial"/>
                <w:sz w:val="22"/>
                <w:szCs w:val="22"/>
              </w:rPr>
              <w:t xml:space="preserve">(2) Physical protection in transit.  Information not classified as Restricted Data or National Security Information related to the physical protection of shipments of special nuclear material in less than a formula quantity (except </w:t>
            </w:r>
            <w:r w:rsidRPr="00FE3046">
              <w:rPr>
                <w:rFonts w:cs="Arial"/>
                <w:sz w:val="22"/>
                <w:szCs w:val="22"/>
              </w:rPr>
              <w:lastRenderedPageBreak/>
              <w:t>for those materials covered under § 73.22), including:</w:t>
            </w:r>
          </w:p>
          <w:p w:rsidR="00FE3046" w:rsidRPr="00FE3046" w:rsidRDefault="00FE3046" w:rsidP="00595E87">
            <w:pPr>
              <w:widowControl/>
              <w:rPr>
                <w:rFonts w:cs="Arial"/>
                <w:sz w:val="22"/>
                <w:szCs w:val="22"/>
              </w:rPr>
            </w:pPr>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r>
      <w:tr w:rsidR="00572D5C" w:rsidTr="00C70966">
        <w:trPr>
          <w:jc w:val="right"/>
        </w:trPr>
        <w:tc>
          <w:tcPr>
            <w:tcW w:w="1695" w:type="dxa"/>
          </w:tcPr>
          <w:p w:rsidR="00572D5C" w:rsidRPr="00A77E98" w:rsidRDefault="00572D5C" w:rsidP="00FE3046">
            <w:pPr>
              <w:rPr>
                <w:rFonts w:cs="Arial"/>
                <w:sz w:val="22"/>
                <w:szCs w:val="22"/>
              </w:rPr>
            </w:pPr>
            <w:r>
              <w:rPr>
                <w:rFonts w:cs="Arial"/>
                <w:sz w:val="22"/>
                <w:szCs w:val="22"/>
              </w:rPr>
              <w:lastRenderedPageBreak/>
              <w:t>Appendix I</w:t>
            </w:r>
            <w:r w:rsidR="00FE3046">
              <w:rPr>
                <w:rFonts w:cs="Arial"/>
                <w:sz w:val="22"/>
                <w:szCs w:val="22"/>
              </w:rPr>
              <w:t>, Part 73</w:t>
            </w:r>
          </w:p>
        </w:tc>
        <w:tc>
          <w:tcPr>
            <w:tcW w:w="1994" w:type="dxa"/>
          </w:tcPr>
          <w:p w:rsidR="00572D5C" w:rsidRDefault="00572D5C" w:rsidP="00F11067">
            <w:pPr>
              <w:rPr>
                <w:rFonts w:cs="Arial"/>
                <w:bCs/>
                <w:sz w:val="22"/>
                <w:szCs w:val="22"/>
              </w:rPr>
            </w:pPr>
            <w:r>
              <w:rPr>
                <w:rFonts w:cs="Arial"/>
                <w:bCs/>
                <w:sz w:val="22"/>
                <w:szCs w:val="22"/>
              </w:rPr>
              <w:t>Category 1 and category 2 radioactive materials</w:t>
            </w:r>
          </w:p>
          <w:p w:rsidR="00747BA5" w:rsidRPr="00A77E98" w:rsidRDefault="00747BA5" w:rsidP="00F11067">
            <w:pPr>
              <w:rPr>
                <w:rFonts w:cs="Arial"/>
                <w:bCs/>
                <w:sz w:val="22"/>
                <w:szCs w:val="22"/>
              </w:rPr>
            </w:pPr>
          </w:p>
        </w:tc>
        <w:tc>
          <w:tcPr>
            <w:tcW w:w="0" w:type="auto"/>
          </w:tcPr>
          <w:p w:rsidR="00572D5C" w:rsidRPr="00314644" w:rsidRDefault="00572D5C" w:rsidP="00A75598">
            <w:pPr>
              <w:widowControl/>
              <w:jc w:val="center"/>
              <w:rPr>
                <w:rFonts w:cs="Arial"/>
                <w:sz w:val="22"/>
                <w:szCs w:val="22"/>
              </w:rPr>
            </w:pPr>
          </w:p>
        </w:tc>
        <w:tc>
          <w:tcPr>
            <w:tcW w:w="0" w:type="auto"/>
          </w:tcPr>
          <w:p w:rsidR="00572D5C" w:rsidRDefault="00572D5C" w:rsidP="003B283E">
            <w:pPr>
              <w:widowControl/>
              <w:jc w:val="center"/>
              <w:rPr>
                <w:rFonts w:cs="Arial"/>
                <w:sz w:val="22"/>
                <w:szCs w:val="22"/>
              </w:rPr>
            </w:pPr>
            <w:r>
              <w:rPr>
                <w:rFonts w:cs="Arial"/>
                <w:sz w:val="22"/>
                <w:szCs w:val="22"/>
              </w:rPr>
              <w:t>NRC</w:t>
            </w:r>
          </w:p>
        </w:tc>
        <w:tc>
          <w:tcPr>
            <w:tcW w:w="0" w:type="auto"/>
          </w:tcPr>
          <w:p w:rsidR="00572D5C" w:rsidRPr="00FE3046" w:rsidRDefault="00FE3046" w:rsidP="00595E87">
            <w:pPr>
              <w:widowControl/>
              <w:rPr>
                <w:rFonts w:cs="Arial"/>
                <w:b/>
                <w:sz w:val="22"/>
                <w:szCs w:val="22"/>
              </w:rPr>
            </w:pPr>
            <w:r>
              <w:rPr>
                <w:rFonts w:cs="Arial"/>
                <w:b/>
                <w:sz w:val="22"/>
                <w:szCs w:val="22"/>
              </w:rPr>
              <w:t>Remove Appendix I to P</w:t>
            </w:r>
            <w:r w:rsidRPr="00FE3046">
              <w:rPr>
                <w:rFonts w:cs="Arial"/>
                <w:b/>
                <w:sz w:val="22"/>
                <w:szCs w:val="22"/>
              </w:rPr>
              <w:t>art 73, Table of Quantities of Concern Threshold Limits.</w:t>
            </w:r>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r>
      <w:tr w:rsidR="00572D5C" w:rsidTr="00C70966">
        <w:trPr>
          <w:jc w:val="right"/>
        </w:trPr>
        <w:tc>
          <w:tcPr>
            <w:tcW w:w="1695" w:type="dxa"/>
          </w:tcPr>
          <w:p w:rsidR="00572D5C" w:rsidRPr="004F0640" w:rsidRDefault="00572D5C" w:rsidP="00FE3046">
            <w:pPr>
              <w:widowControl/>
              <w:rPr>
                <w:rFonts w:cs="Arial"/>
                <w:sz w:val="22"/>
                <w:szCs w:val="22"/>
              </w:rPr>
            </w:pPr>
            <w:r w:rsidRPr="00C26F0C">
              <w:rPr>
                <w:rFonts w:cs="Arial"/>
                <w:sz w:val="22"/>
                <w:szCs w:val="22"/>
              </w:rPr>
              <w:t>§</w:t>
            </w:r>
            <w:r>
              <w:rPr>
                <w:rFonts w:cs="Arial"/>
                <w:sz w:val="22"/>
                <w:szCs w:val="22"/>
              </w:rPr>
              <w:t xml:space="preserve"> </w:t>
            </w:r>
            <w:r w:rsidRPr="00572D5C">
              <w:rPr>
                <w:rFonts w:cs="Arial"/>
                <w:sz w:val="22"/>
                <w:szCs w:val="22"/>
              </w:rPr>
              <w:t>150.15(a)(9)</w:t>
            </w:r>
          </w:p>
        </w:tc>
        <w:tc>
          <w:tcPr>
            <w:tcW w:w="1994" w:type="dxa"/>
          </w:tcPr>
          <w:p w:rsidR="00572D5C" w:rsidRPr="00662976" w:rsidRDefault="00572D5C" w:rsidP="00F11067">
            <w:pPr>
              <w:widowControl/>
              <w:rPr>
                <w:rFonts w:cs="Arial"/>
                <w:sz w:val="22"/>
                <w:szCs w:val="22"/>
              </w:rPr>
            </w:pPr>
            <w:r w:rsidRPr="00572D5C">
              <w:rPr>
                <w:rFonts w:cs="Arial"/>
                <w:sz w:val="22"/>
                <w:szCs w:val="22"/>
              </w:rPr>
              <w:t>Persons not exempt</w:t>
            </w:r>
          </w:p>
        </w:tc>
        <w:tc>
          <w:tcPr>
            <w:tcW w:w="0" w:type="auto"/>
          </w:tcPr>
          <w:p w:rsidR="00572D5C" w:rsidRPr="00314644" w:rsidRDefault="00572D5C" w:rsidP="00A75598">
            <w:pPr>
              <w:widowControl/>
              <w:jc w:val="center"/>
              <w:rPr>
                <w:rFonts w:cs="Arial"/>
                <w:sz w:val="22"/>
                <w:szCs w:val="22"/>
              </w:rPr>
            </w:pPr>
          </w:p>
        </w:tc>
        <w:tc>
          <w:tcPr>
            <w:tcW w:w="0" w:type="auto"/>
          </w:tcPr>
          <w:p w:rsidR="00572D5C" w:rsidRDefault="00572D5C" w:rsidP="003B283E">
            <w:pPr>
              <w:widowControl/>
              <w:jc w:val="center"/>
              <w:rPr>
                <w:rFonts w:cs="Arial"/>
                <w:sz w:val="22"/>
                <w:szCs w:val="22"/>
              </w:rPr>
            </w:pPr>
            <w:r>
              <w:rPr>
                <w:rFonts w:cs="Arial"/>
                <w:sz w:val="22"/>
                <w:szCs w:val="22"/>
              </w:rPr>
              <w:t>NRC</w:t>
            </w:r>
          </w:p>
        </w:tc>
        <w:tc>
          <w:tcPr>
            <w:tcW w:w="0" w:type="auto"/>
          </w:tcPr>
          <w:p w:rsidR="00572D5C" w:rsidRDefault="00FE3046" w:rsidP="00595E87">
            <w:pPr>
              <w:widowControl/>
              <w:rPr>
                <w:rFonts w:cs="Arial"/>
                <w:b/>
                <w:sz w:val="22"/>
                <w:szCs w:val="22"/>
              </w:rPr>
            </w:pPr>
            <w:r w:rsidRPr="00FE3046">
              <w:rPr>
                <w:rFonts w:cs="Arial"/>
                <w:b/>
                <w:sz w:val="22"/>
                <w:szCs w:val="22"/>
              </w:rPr>
              <w:t>In § 150.15, remove paragraph (a</w:t>
            </w:r>
            <w:proofErr w:type="gramStart"/>
            <w:r w:rsidRPr="00FE3046">
              <w:rPr>
                <w:rFonts w:cs="Arial"/>
                <w:b/>
                <w:sz w:val="22"/>
                <w:szCs w:val="22"/>
              </w:rPr>
              <w:t>)(</w:t>
            </w:r>
            <w:proofErr w:type="gramEnd"/>
            <w:r w:rsidRPr="00FE3046">
              <w:rPr>
                <w:rFonts w:cs="Arial"/>
                <w:b/>
                <w:sz w:val="22"/>
                <w:szCs w:val="22"/>
              </w:rPr>
              <w:t>9).</w:t>
            </w:r>
          </w:p>
          <w:p w:rsidR="00747BA5" w:rsidRPr="00FE3046" w:rsidRDefault="00747BA5" w:rsidP="00595E87">
            <w:pPr>
              <w:widowControl/>
              <w:rPr>
                <w:rFonts w:cs="Arial"/>
                <w:b/>
                <w:sz w:val="22"/>
                <w:szCs w:val="22"/>
              </w:rPr>
            </w:pPr>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c>
          <w:tcPr>
            <w:tcW w:w="0" w:type="auto"/>
          </w:tcPr>
          <w:p w:rsidR="00572D5C" w:rsidRPr="00314644" w:rsidRDefault="00572D5C" w:rsidP="00A75598">
            <w:pPr>
              <w:widowControl/>
              <w:rPr>
                <w:rFonts w:cs="Arial"/>
                <w:sz w:val="22"/>
                <w:szCs w:val="22"/>
              </w:rPr>
            </w:pPr>
          </w:p>
        </w:tc>
      </w:tr>
    </w:tbl>
    <w:p w:rsidR="00DC465C" w:rsidRDefault="00DC465C" w:rsidP="00A97596">
      <w:pPr>
        <w:widowControl/>
        <w:jc w:val="center"/>
        <w:rPr>
          <w:rFonts w:cs="Arial"/>
          <w:sz w:val="22"/>
          <w:szCs w:val="22"/>
        </w:rPr>
      </w:pPr>
    </w:p>
    <w:sectPr w:rsidR="00DC465C" w:rsidSect="00A75598">
      <w:footerReference w:type="default" r:id="rId8"/>
      <w:pgSz w:w="15838" w:h="12240" w:orient="landscape"/>
      <w:pgMar w:top="1080" w:right="720" w:bottom="576" w:left="1296" w:header="1080" w:footer="79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293" w:rsidRDefault="00A90293">
      <w:r>
        <w:separator/>
      </w:r>
    </w:p>
  </w:endnote>
  <w:endnote w:type="continuationSeparator" w:id="0">
    <w:p w:rsidR="00A90293" w:rsidRDefault="00A9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46" w:rsidRDefault="00FA5946" w:rsidP="002728A4">
    <w:pPr>
      <w:pStyle w:val="Footer"/>
      <w:tabs>
        <w:tab w:val="clear" w:pos="8640"/>
        <w:tab w:val="right" w:pos="12870"/>
      </w:tabs>
      <w:jc w:val="center"/>
      <w:rPr>
        <w:noProof/>
      </w:rPr>
    </w:pPr>
    <w:r>
      <w:fldChar w:fldCharType="begin"/>
    </w:r>
    <w:r>
      <w:instrText xml:space="preserve"> PAGE   \* MERGEFORMAT </w:instrText>
    </w:r>
    <w:r>
      <w:fldChar w:fldCharType="separate"/>
    </w:r>
    <w:r w:rsidR="00974750">
      <w:rPr>
        <w:noProof/>
      </w:rPr>
      <w:t>5</w:t>
    </w:r>
    <w:r>
      <w:rPr>
        <w:noProof/>
      </w:rPr>
      <w:fldChar w:fldCharType="end"/>
    </w:r>
  </w:p>
  <w:p w:rsidR="00FA5946" w:rsidRPr="002728A4" w:rsidRDefault="00FA5946" w:rsidP="002728A4">
    <w:pPr>
      <w:pStyle w:val="Footer"/>
      <w:tabs>
        <w:tab w:val="clear" w:pos="8640"/>
        <w:tab w:val="right" w:pos="12870"/>
      </w:tabs>
      <w:jc w:val="right"/>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293" w:rsidRDefault="00A90293">
      <w:r>
        <w:separator/>
      </w:r>
    </w:p>
  </w:footnote>
  <w:footnote w:type="continuationSeparator" w:id="0">
    <w:p w:rsidR="00A90293" w:rsidRDefault="00A902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38E542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name w:val="1"/>
    <w:lvl w:ilvl="0">
      <w:start w:val="1"/>
      <w:numFmt w:val="decimal"/>
      <w:pStyle w:val="17"/>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8C3285"/>
    <w:multiLevelType w:val="hybridMultilevel"/>
    <w:tmpl w:val="D0E0D2C6"/>
    <w:lvl w:ilvl="0" w:tplc="24148B20">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285268"/>
    <w:multiLevelType w:val="hybridMultilevel"/>
    <w:tmpl w:val="7F08F4B6"/>
    <w:lvl w:ilvl="0" w:tplc="43604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F57D1"/>
    <w:multiLevelType w:val="hybridMultilevel"/>
    <w:tmpl w:val="1E8E97C0"/>
    <w:lvl w:ilvl="0" w:tplc="06A09678">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12B4F"/>
    <w:multiLevelType w:val="hybridMultilevel"/>
    <w:tmpl w:val="90F22C88"/>
    <w:lvl w:ilvl="0" w:tplc="338CD180">
      <w:start w:val="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DE44A7"/>
    <w:multiLevelType w:val="hybridMultilevel"/>
    <w:tmpl w:val="7108A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D1A97"/>
    <w:multiLevelType w:val="hybridMultilevel"/>
    <w:tmpl w:val="784EBC84"/>
    <w:lvl w:ilvl="0" w:tplc="1C508332">
      <w:start w:val="3"/>
      <w:numFmt w:val="bullet"/>
      <w:lvlText w:val=""/>
      <w:lvlJc w:val="left"/>
      <w:pPr>
        <w:ind w:left="1500" w:hanging="360"/>
      </w:pPr>
      <w:rPr>
        <w:rFonts w:ascii="Symbol" w:eastAsia="Times New Roman" w:hAnsi="Symbo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4D114DA7"/>
    <w:multiLevelType w:val="hybridMultilevel"/>
    <w:tmpl w:val="53AA270A"/>
    <w:lvl w:ilvl="0" w:tplc="1B0C00C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7E393F"/>
    <w:multiLevelType w:val="hybridMultilevel"/>
    <w:tmpl w:val="13B2FB24"/>
    <w:lvl w:ilvl="0" w:tplc="F31C071C">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41C20"/>
    <w:multiLevelType w:val="hybridMultilevel"/>
    <w:tmpl w:val="EF400336"/>
    <w:lvl w:ilvl="0" w:tplc="082AA47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9E2ADD"/>
    <w:multiLevelType w:val="hybridMultilevel"/>
    <w:tmpl w:val="166CAE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lvlOverride w:ilvl="0">
      <w:startOverride w:val="1"/>
      <w:lvl w:ilvl="0">
        <w:start w:val="1"/>
        <w:numFmt w:val="decimal"/>
        <w:pStyle w:val="17"/>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num>
  <w:num w:numId="5">
    <w:abstractNumId w:val="5"/>
  </w:num>
  <w:num w:numId="6">
    <w:abstractNumId w:val="10"/>
  </w:num>
  <w:num w:numId="7">
    <w:abstractNumId w:val="7"/>
  </w:num>
  <w:num w:numId="8">
    <w:abstractNumId w:val="8"/>
  </w:num>
  <w:num w:numId="9">
    <w:abstractNumId w:val="9"/>
  </w:num>
  <w:num w:numId="10">
    <w:abstractNumId w:val="1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CBF"/>
    <w:rsid w:val="00002FA1"/>
    <w:rsid w:val="0001728D"/>
    <w:rsid w:val="000214BD"/>
    <w:rsid w:val="00024168"/>
    <w:rsid w:val="00026934"/>
    <w:rsid w:val="00030B7D"/>
    <w:rsid w:val="00034BE5"/>
    <w:rsid w:val="0003754C"/>
    <w:rsid w:val="00040E97"/>
    <w:rsid w:val="00042976"/>
    <w:rsid w:val="0004387C"/>
    <w:rsid w:val="00045AA8"/>
    <w:rsid w:val="00050AA0"/>
    <w:rsid w:val="00053A52"/>
    <w:rsid w:val="000669C1"/>
    <w:rsid w:val="00067E00"/>
    <w:rsid w:val="00077593"/>
    <w:rsid w:val="0008156F"/>
    <w:rsid w:val="00086F0D"/>
    <w:rsid w:val="0009275E"/>
    <w:rsid w:val="00093C95"/>
    <w:rsid w:val="000950D3"/>
    <w:rsid w:val="0009545E"/>
    <w:rsid w:val="000972AB"/>
    <w:rsid w:val="000A6962"/>
    <w:rsid w:val="000A78D7"/>
    <w:rsid w:val="000A7921"/>
    <w:rsid w:val="000B7375"/>
    <w:rsid w:val="000C15B3"/>
    <w:rsid w:val="000C1B0D"/>
    <w:rsid w:val="000C637E"/>
    <w:rsid w:val="000C6545"/>
    <w:rsid w:val="000D5AD9"/>
    <w:rsid w:val="000E17DD"/>
    <w:rsid w:val="000E2332"/>
    <w:rsid w:val="000F59B6"/>
    <w:rsid w:val="000F5E9E"/>
    <w:rsid w:val="000F5F45"/>
    <w:rsid w:val="00102931"/>
    <w:rsid w:val="0012518A"/>
    <w:rsid w:val="00125EA3"/>
    <w:rsid w:val="00135537"/>
    <w:rsid w:val="00135E94"/>
    <w:rsid w:val="00140492"/>
    <w:rsid w:val="001502C0"/>
    <w:rsid w:val="00152E11"/>
    <w:rsid w:val="001643B7"/>
    <w:rsid w:val="00164974"/>
    <w:rsid w:val="001763F5"/>
    <w:rsid w:val="001768F1"/>
    <w:rsid w:val="00177511"/>
    <w:rsid w:val="001832FA"/>
    <w:rsid w:val="00183A85"/>
    <w:rsid w:val="00185A13"/>
    <w:rsid w:val="001942B1"/>
    <w:rsid w:val="001948F0"/>
    <w:rsid w:val="001A1823"/>
    <w:rsid w:val="001A4C85"/>
    <w:rsid w:val="001A7CBF"/>
    <w:rsid w:val="001B2456"/>
    <w:rsid w:val="001B6A8E"/>
    <w:rsid w:val="001D24AE"/>
    <w:rsid w:val="001D3C8F"/>
    <w:rsid w:val="001D4505"/>
    <w:rsid w:val="001D6F79"/>
    <w:rsid w:val="001E3252"/>
    <w:rsid w:val="001E48A1"/>
    <w:rsid w:val="001F1D39"/>
    <w:rsid w:val="001F2158"/>
    <w:rsid w:val="001F346B"/>
    <w:rsid w:val="001F6ACE"/>
    <w:rsid w:val="0020228B"/>
    <w:rsid w:val="00204A6D"/>
    <w:rsid w:val="002057B1"/>
    <w:rsid w:val="002119AB"/>
    <w:rsid w:val="002240EC"/>
    <w:rsid w:val="0023179E"/>
    <w:rsid w:val="00237956"/>
    <w:rsid w:val="00240272"/>
    <w:rsid w:val="002403A8"/>
    <w:rsid w:val="00246BD4"/>
    <w:rsid w:val="00253CC2"/>
    <w:rsid w:val="00254595"/>
    <w:rsid w:val="0025694A"/>
    <w:rsid w:val="0025728D"/>
    <w:rsid w:val="002579DA"/>
    <w:rsid w:val="002611F2"/>
    <w:rsid w:val="00262084"/>
    <w:rsid w:val="002639BF"/>
    <w:rsid w:val="002728A4"/>
    <w:rsid w:val="00272F4A"/>
    <w:rsid w:val="002732EB"/>
    <w:rsid w:val="00286BDC"/>
    <w:rsid w:val="00287D12"/>
    <w:rsid w:val="00295A99"/>
    <w:rsid w:val="002A05FE"/>
    <w:rsid w:val="002A0E5F"/>
    <w:rsid w:val="002B271A"/>
    <w:rsid w:val="002B3130"/>
    <w:rsid w:val="002C6E8D"/>
    <w:rsid w:val="002D2FDF"/>
    <w:rsid w:val="002D5A53"/>
    <w:rsid w:val="002F2DCE"/>
    <w:rsid w:val="002F6288"/>
    <w:rsid w:val="00315CF1"/>
    <w:rsid w:val="00321E77"/>
    <w:rsid w:val="00322BDB"/>
    <w:rsid w:val="00332425"/>
    <w:rsid w:val="00340C2E"/>
    <w:rsid w:val="00346F5E"/>
    <w:rsid w:val="00353375"/>
    <w:rsid w:val="00356C06"/>
    <w:rsid w:val="003576F5"/>
    <w:rsid w:val="0036043C"/>
    <w:rsid w:val="00366125"/>
    <w:rsid w:val="003664DD"/>
    <w:rsid w:val="003709DE"/>
    <w:rsid w:val="0038557C"/>
    <w:rsid w:val="00385D75"/>
    <w:rsid w:val="003B283E"/>
    <w:rsid w:val="003B2C98"/>
    <w:rsid w:val="003B3C5F"/>
    <w:rsid w:val="003C09C9"/>
    <w:rsid w:val="003C560C"/>
    <w:rsid w:val="003C7B04"/>
    <w:rsid w:val="003D4E6E"/>
    <w:rsid w:val="003D543D"/>
    <w:rsid w:val="003D5589"/>
    <w:rsid w:val="003E01FF"/>
    <w:rsid w:val="003E52AE"/>
    <w:rsid w:val="003F73B8"/>
    <w:rsid w:val="00400C8C"/>
    <w:rsid w:val="004022BE"/>
    <w:rsid w:val="00402BBB"/>
    <w:rsid w:val="004165C2"/>
    <w:rsid w:val="00432C7B"/>
    <w:rsid w:val="00435207"/>
    <w:rsid w:val="00437D8F"/>
    <w:rsid w:val="0044512F"/>
    <w:rsid w:val="00450A35"/>
    <w:rsid w:val="00452468"/>
    <w:rsid w:val="00452A8D"/>
    <w:rsid w:val="00464543"/>
    <w:rsid w:val="00470A8F"/>
    <w:rsid w:val="00470E0F"/>
    <w:rsid w:val="004747A3"/>
    <w:rsid w:val="004749ED"/>
    <w:rsid w:val="0048103A"/>
    <w:rsid w:val="00490C09"/>
    <w:rsid w:val="00496AE5"/>
    <w:rsid w:val="00497114"/>
    <w:rsid w:val="0049731F"/>
    <w:rsid w:val="004A0A79"/>
    <w:rsid w:val="004A5FCC"/>
    <w:rsid w:val="004B3805"/>
    <w:rsid w:val="004C0F33"/>
    <w:rsid w:val="004C2B4D"/>
    <w:rsid w:val="004C2C4D"/>
    <w:rsid w:val="004D428D"/>
    <w:rsid w:val="004D578F"/>
    <w:rsid w:val="004E1531"/>
    <w:rsid w:val="004E22AE"/>
    <w:rsid w:val="004E47FD"/>
    <w:rsid w:val="004E4AB6"/>
    <w:rsid w:val="004F0640"/>
    <w:rsid w:val="004F5F2C"/>
    <w:rsid w:val="004F796E"/>
    <w:rsid w:val="00500AAC"/>
    <w:rsid w:val="00501423"/>
    <w:rsid w:val="00503F19"/>
    <w:rsid w:val="005205F0"/>
    <w:rsid w:val="00523309"/>
    <w:rsid w:val="00524690"/>
    <w:rsid w:val="0052687A"/>
    <w:rsid w:val="00526973"/>
    <w:rsid w:val="005300D1"/>
    <w:rsid w:val="00533A8B"/>
    <w:rsid w:val="00535206"/>
    <w:rsid w:val="00545BA1"/>
    <w:rsid w:val="00554415"/>
    <w:rsid w:val="005620F2"/>
    <w:rsid w:val="00562B49"/>
    <w:rsid w:val="00572D5C"/>
    <w:rsid w:val="0057741C"/>
    <w:rsid w:val="005832A0"/>
    <w:rsid w:val="00585ACF"/>
    <w:rsid w:val="0058664E"/>
    <w:rsid w:val="00590DC4"/>
    <w:rsid w:val="00592650"/>
    <w:rsid w:val="00592E1B"/>
    <w:rsid w:val="00595E87"/>
    <w:rsid w:val="00596DB8"/>
    <w:rsid w:val="00597EF7"/>
    <w:rsid w:val="005A50AE"/>
    <w:rsid w:val="005A5649"/>
    <w:rsid w:val="005C189C"/>
    <w:rsid w:val="005D39FC"/>
    <w:rsid w:val="005E1577"/>
    <w:rsid w:val="005E4635"/>
    <w:rsid w:val="005E4949"/>
    <w:rsid w:val="005E4BFF"/>
    <w:rsid w:val="005F2938"/>
    <w:rsid w:val="00603956"/>
    <w:rsid w:val="00604EE1"/>
    <w:rsid w:val="00615C71"/>
    <w:rsid w:val="00617F52"/>
    <w:rsid w:val="006379FA"/>
    <w:rsid w:val="00641492"/>
    <w:rsid w:val="00641569"/>
    <w:rsid w:val="00645F0B"/>
    <w:rsid w:val="00656616"/>
    <w:rsid w:val="0065739E"/>
    <w:rsid w:val="006630C7"/>
    <w:rsid w:val="00663FD4"/>
    <w:rsid w:val="006707E5"/>
    <w:rsid w:val="00680133"/>
    <w:rsid w:val="00681E60"/>
    <w:rsid w:val="0068711F"/>
    <w:rsid w:val="00696B04"/>
    <w:rsid w:val="006970BA"/>
    <w:rsid w:val="006970F1"/>
    <w:rsid w:val="006A1312"/>
    <w:rsid w:val="006A4001"/>
    <w:rsid w:val="006B30FC"/>
    <w:rsid w:val="006B4AD9"/>
    <w:rsid w:val="006B4ADD"/>
    <w:rsid w:val="006B4D24"/>
    <w:rsid w:val="006C7C1B"/>
    <w:rsid w:val="006D1A7A"/>
    <w:rsid w:val="006D37D2"/>
    <w:rsid w:val="006D73E5"/>
    <w:rsid w:val="006F3848"/>
    <w:rsid w:val="006F3DF3"/>
    <w:rsid w:val="006F662C"/>
    <w:rsid w:val="00710C25"/>
    <w:rsid w:val="007165BF"/>
    <w:rsid w:val="007315B0"/>
    <w:rsid w:val="00731991"/>
    <w:rsid w:val="00740EF8"/>
    <w:rsid w:val="00747BA5"/>
    <w:rsid w:val="00770A3C"/>
    <w:rsid w:val="00771A07"/>
    <w:rsid w:val="0077448A"/>
    <w:rsid w:val="00774733"/>
    <w:rsid w:val="00776DB7"/>
    <w:rsid w:val="00777C2E"/>
    <w:rsid w:val="00780C0B"/>
    <w:rsid w:val="00796396"/>
    <w:rsid w:val="007A152E"/>
    <w:rsid w:val="007A1CA6"/>
    <w:rsid w:val="007A2945"/>
    <w:rsid w:val="007A6D7C"/>
    <w:rsid w:val="007A7653"/>
    <w:rsid w:val="007B485C"/>
    <w:rsid w:val="007B4872"/>
    <w:rsid w:val="007B5828"/>
    <w:rsid w:val="007C1886"/>
    <w:rsid w:val="007C293C"/>
    <w:rsid w:val="007D3929"/>
    <w:rsid w:val="007D49CD"/>
    <w:rsid w:val="007D4D57"/>
    <w:rsid w:val="007D7C86"/>
    <w:rsid w:val="007E009D"/>
    <w:rsid w:val="007E3622"/>
    <w:rsid w:val="007E3F83"/>
    <w:rsid w:val="007F2939"/>
    <w:rsid w:val="007F572D"/>
    <w:rsid w:val="007F7D69"/>
    <w:rsid w:val="008002D8"/>
    <w:rsid w:val="00800576"/>
    <w:rsid w:val="00803B05"/>
    <w:rsid w:val="008045AB"/>
    <w:rsid w:val="0080629D"/>
    <w:rsid w:val="00810AA2"/>
    <w:rsid w:val="00812ABA"/>
    <w:rsid w:val="0083401E"/>
    <w:rsid w:val="00837788"/>
    <w:rsid w:val="0084172F"/>
    <w:rsid w:val="00844BEF"/>
    <w:rsid w:val="0085489D"/>
    <w:rsid w:val="00856CED"/>
    <w:rsid w:val="008668BA"/>
    <w:rsid w:val="00872278"/>
    <w:rsid w:val="00896146"/>
    <w:rsid w:val="008A4BFF"/>
    <w:rsid w:val="008A7D41"/>
    <w:rsid w:val="008C1011"/>
    <w:rsid w:val="008C131A"/>
    <w:rsid w:val="008C7A16"/>
    <w:rsid w:val="008D304A"/>
    <w:rsid w:val="008D4AD4"/>
    <w:rsid w:val="008E010A"/>
    <w:rsid w:val="008E1CCB"/>
    <w:rsid w:val="008E5A2F"/>
    <w:rsid w:val="008F3411"/>
    <w:rsid w:val="008F5384"/>
    <w:rsid w:val="008F6CA6"/>
    <w:rsid w:val="009004EF"/>
    <w:rsid w:val="00907686"/>
    <w:rsid w:val="00911E39"/>
    <w:rsid w:val="00921A9E"/>
    <w:rsid w:val="00922F0A"/>
    <w:rsid w:val="00926D79"/>
    <w:rsid w:val="00931B21"/>
    <w:rsid w:val="00932F4E"/>
    <w:rsid w:val="00941E02"/>
    <w:rsid w:val="009421A9"/>
    <w:rsid w:val="00944B74"/>
    <w:rsid w:val="00944CC0"/>
    <w:rsid w:val="00945CF8"/>
    <w:rsid w:val="00946BB9"/>
    <w:rsid w:val="00952A2A"/>
    <w:rsid w:val="0095409B"/>
    <w:rsid w:val="009600E3"/>
    <w:rsid w:val="00961936"/>
    <w:rsid w:val="00962AFA"/>
    <w:rsid w:val="00974750"/>
    <w:rsid w:val="009772A4"/>
    <w:rsid w:val="0098494E"/>
    <w:rsid w:val="00984CB4"/>
    <w:rsid w:val="0099064D"/>
    <w:rsid w:val="00994F43"/>
    <w:rsid w:val="009952A4"/>
    <w:rsid w:val="009A6D27"/>
    <w:rsid w:val="009B2072"/>
    <w:rsid w:val="009B248D"/>
    <w:rsid w:val="009D3E67"/>
    <w:rsid w:val="009D50EF"/>
    <w:rsid w:val="009D57FE"/>
    <w:rsid w:val="009D783B"/>
    <w:rsid w:val="009E0D2A"/>
    <w:rsid w:val="009E0F6E"/>
    <w:rsid w:val="009E1893"/>
    <w:rsid w:val="009E1A44"/>
    <w:rsid w:val="009E23BD"/>
    <w:rsid w:val="009E7C20"/>
    <w:rsid w:val="00A0228E"/>
    <w:rsid w:val="00A043FD"/>
    <w:rsid w:val="00A12ACF"/>
    <w:rsid w:val="00A207A4"/>
    <w:rsid w:val="00A23A0D"/>
    <w:rsid w:val="00A243DE"/>
    <w:rsid w:val="00A302DB"/>
    <w:rsid w:val="00A360CF"/>
    <w:rsid w:val="00A3700A"/>
    <w:rsid w:val="00A37FA9"/>
    <w:rsid w:val="00A40982"/>
    <w:rsid w:val="00A427F0"/>
    <w:rsid w:val="00A428F7"/>
    <w:rsid w:val="00A55850"/>
    <w:rsid w:val="00A6716E"/>
    <w:rsid w:val="00A718CF"/>
    <w:rsid w:val="00A72584"/>
    <w:rsid w:val="00A74FCD"/>
    <w:rsid w:val="00A751C2"/>
    <w:rsid w:val="00A75598"/>
    <w:rsid w:val="00A87B34"/>
    <w:rsid w:val="00A90293"/>
    <w:rsid w:val="00A97596"/>
    <w:rsid w:val="00A975E6"/>
    <w:rsid w:val="00A9799F"/>
    <w:rsid w:val="00AA190D"/>
    <w:rsid w:val="00AA70FE"/>
    <w:rsid w:val="00AA7482"/>
    <w:rsid w:val="00AD23F0"/>
    <w:rsid w:val="00AD7D8E"/>
    <w:rsid w:val="00AE3745"/>
    <w:rsid w:val="00AF32D3"/>
    <w:rsid w:val="00AF530A"/>
    <w:rsid w:val="00AF7561"/>
    <w:rsid w:val="00B00A15"/>
    <w:rsid w:val="00B03DF5"/>
    <w:rsid w:val="00B25730"/>
    <w:rsid w:val="00B4465D"/>
    <w:rsid w:val="00B4573A"/>
    <w:rsid w:val="00B51490"/>
    <w:rsid w:val="00B54501"/>
    <w:rsid w:val="00B55D15"/>
    <w:rsid w:val="00B57904"/>
    <w:rsid w:val="00B61611"/>
    <w:rsid w:val="00B61CD0"/>
    <w:rsid w:val="00B644BB"/>
    <w:rsid w:val="00B66096"/>
    <w:rsid w:val="00BB0358"/>
    <w:rsid w:val="00BB2EEE"/>
    <w:rsid w:val="00BB4932"/>
    <w:rsid w:val="00BD45D6"/>
    <w:rsid w:val="00BD5B57"/>
    <w:rsid w:val="00BD6642"/>
    <w:rsid w:val="00BE02A2"/>
    <w:rsid w:val="00BE0708"/>
    <w:rsid w:val="00BF3B8A"/>
    <w:rsid w:val="00BF4CD1"/>
    <w:rsid w:val="00C0168C"/>
    <w:rsid w:val="00C1001E"/>
    <w:rsid w:val="00C100B1"/>
    <w:rsid w:val="00C1060C"/>
    <w:rsid w:val="00C20468"/>
    <w:rsid w:val="00C23AD9"/>
    <w:rsid w:val="00C3153E"/>
    <w:rsid w:val="00C35396"/>
    <w:rsid w:val="00C36569"/>
    <w:rsid w:val="00C46D97"/>
    <w:rsid w:val="00C47998"/>
    <w:rsid w:val="00C51533"/>
    <w:rsid w:val="00C520D0"/>
    <w:rsid w:val="00C56FDC"/>
    <w:rsid w:val="00C57AC4"/>
    <w:rsid w:val="00C60BFE"/>
    <w:rsid w:val="00C667BA"/>
    <w:rsid w:val="00C70966"/>
    <w:rsid w:val="00C73382"/>
    <w:rsid w:val="00C74739"/>
    <w:rsid w:val="00C82805"/>
    <w:rsid w:val="00C86465"/>
    <w:rsid w:val="00C87B8A"/>
    <w:rsid w:val="00C91349"/>
    <w:rsid w:val="00C91E6E"/>
    <w:rsid w:val="00C959C5"/>
    <w:rsid w:val="00CA0878"/>
    <w:rsid w:val="00CA3735"/>
    <w:rsid w:val="00CA3788"/>
    <w:rsid w:val="00CA43B5"/>
    <w:rsid w:val="00CA63BD"/>
    <w:rsid w:val="00CC719C"/>
    <w:rsid w:val="00CD53ED"/>
    <w:rsid w:val="00CD56B9"/>
    <w:rsid w:val="00CD7CD9"/>
    <w:rsid w:val="00CE4557"/>
    <w:rsid w:val="00CF1826"/>
    <w:rsid w:val="00D0369D"/>
    <w:rsid w:val="00D1293D"/>
    <w:rsid w:val="00D12F5D"/>
    <w:rsid w:val="00D22589"/>
    <w:rsid w:val="00D24B6C"/>
    <w:rsid w:val="00D27602"/>
    <w:rsid w:val="00D30BBC"/>
    <w:rsid w:val="00D417EA"/>
    <w:rsid w:val="00D46512"/>
    <w:rsid w:val="00D468B7"/>
    <w:rsid w:val="00D52821"/>
    <w:rsid w:val="00D66AB4"/>
    <w:rsid w:val="00D7105A"/>
    <w:rsid w:val="00D755B2"/>
    <w:rsid w:val="00D8073C"/>
    <w:rsid w:val="00D86E09"/>
    <w:rsid w:val="00DA700A"/>
    <w:rsid w:val="00DC0C43"/>
    <w:rsid w:val="00DC112C"/>
    <w:rsid w:val="00DC2C6F"/>
    <w:rsid w:val="00DC465C"/>
    <w:rsid w:val="00DD09C5"/>
    <w:rsid w:val="00DD22D2"/>
    <w:rsid w:val="00DD3140"/>
    <w:rsid w:val="00DD431A"/>
    <w:rsid w:val="00DE09B6"/>
    <w:rsid w:val="00DE57F0"/>
    <w:rsid w:val="00DF35D2"/>
    <w:rsid w:val="00DF5769"/>
    <w:rsid w:val="00DF7B99"/>
    <w:rsid w:val="00E07CF4"/>
    <w:rsid w:val="00E11751"/>
    <w:rsid w:val="00E3052A"/>
    <w:rsid w:val="00E329C7"/>
    <w:rsid w:val="00E4166F"/>
    <w:rsid w:val="00E41B69"/>
    <w:rsid w:val="00E43203"/>
    <w:rsid w:val="00E450D1"/>
    <w:rsid w:val="00E5071F"/>
    <w:rsid w:val="00E52D3A"/>
    <w:rsid w:val="00E55182"/>
    <w:rsid w:val="00E5799D"/>
    <w:rsid w:val="00E605D1"/>
    <w:rsid w:val="00E634C5"/>
    <w:rsid w:val="00E759C4"/>
    <w:rsid w:val="00E75E1F"/>
    <w:rsid w:val="00E7766C"/>
    <w:rsid w:val="00E837FD"/>
    <w:rsid w:val="00E8585B"/>
    <w:rsid w:val="00EA3AA3"/>
    <w:rsid w:val="00EA6865"/>
    <w:rsid w:val="00EB40AD"/>
    <w:rsid w:val="00EB5531"/>
    <w:rsid w:val="00EB599E"/>
    <w:rsid w:val="00EC17AD"/>
    <w:rsid w:val="00ED06BC"/>
    <w:rsid w:val="00ED5A70"/>
    <w:rsid w:val="00EE3D60"/>
    <w:rsid w:val="00EF1C57"/>
    <w:rsid w:val="00F06614"/>
    <w:rsid w:val="00F11067"/>
    <w:rsid w:val="00F21E50"/>
    <w:rsid w:val="00F22C21"/>
    <w:rsid w:val="00F24CE3"/>
    <w:rsid w:val="00F25783"/>
    <w:rsid w:val="00F272F0"/>
    <w:rsid w:val="00F32197"/>
    <w:rsid w:val="00F32AB1"/>
    <w:rsid w:val="00F34855"/>
    <w:rsid w:val="00F34AAC"/>
    <w:rsid w:val="00F37BA4"/>
    <w:rsid w:val="00F42580"/>
    <w:rsid w:val="00F4544B"/>
    <w:rsid w:val="00F6072E"/>
    <w:rsid w:val="00F64DDD"/>
    <w:rsid w:val="00F6771D"/>
    <w:rsid w:val="00F7277F"/>
    <w:rsid w:val="00F81B49"/>
    <w:rsid w:val="00F8348A"/>
    <w:rsid w:val="00F85F39"/>
    <w:rsid w:val="00F919B8"/>
    <w:rsid w:val="00FA0134"/>
    <w:rsid w:val="00FA2CC2"/>
    <w:rsid w:val="00FA5946"/>
    <w:rsid w:val="00FA67B1"/>
    <w:rsid w:val="00FA6D8E"/>
    <w:rsid w:val="00FA7800"/>
    <w:rsid w:val="00FB480B"/>
    <w:rsid w:val="00FB497D"/>
    <w:rsid w:val="00FB509E"/>
    <w:rsid w:val="00FC0579"/>
    <w:rsid w:val="00FC1045"/>
    <w:rsid w:val="00FC3A58"/>
    <w:rsid w:val="00FC502C"/>
    <w:rsid w:val="00FC7643"/>
    <w:rsid w:val="00FE3046"/>
    <w:rsid w:val="00FE6379"/>
    <w:rsid w:val="00FF06B2"/>
    <w:rsid w:val="00FF110A"/>
    <w:rsid w:val="00FF2104"/>
    <w:rsid w:val="00FF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7C70C1C-B7E1-470B-AD8A-30C95546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B04"/>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DF5769"/>
    <w:pPr>
      <w:keepNext/>
      <w:spacing w:before="240" w:after="60"/>
      <w:outlineLvl w:val="0"/>
    </w:pPr>
    <w:rPr>
      <w:rFonts w:cs="Arial"/>
      <w:b/>
      <w:bCs/>
      <w:kern w:val="32"/>
      <w:sz w:val="32"/>
      <w:szCs w:val="32"/>
    </w:rPr>
  </w:style>
  <w:style w:type="paragraph" w:styleId="Heading2">
    <w:name w:val="heading 2"/>
    <w:basedOn w:val="Normal"/>
    <w:next w:val="Normal"/>
    <w:qFormat/>
    <w:rsid w:val="00DF576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96B04"/>
  </w:style>
  <w:style w:type="character" w:customStyle="1" w:styleId="Hypertext">
    <w:name w:val="Hypertext"/>
    <w:rsid w:val="00696B04"/>
    <w:rPr>
      <w:color w:val="0000FF"/>
      <w:u w:val="single"/>
    </w:rPr>
  </w:style>
  <w:style w:type="table" w:styleId="TableGrid">
    <w:name w:val="Table Grid"/>
    <w:basedOn w:val="TableNormal"/>
    <w:rsid w:val="00C31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C3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Footer">
    <w:name w:val="footer"/>
    <w:basedOn w:val="Normal"/>
    <w:link w:val="FooterChar"/>
    <w:uiPriority w:val="99"/>
    <w:rsid w:val="002057B1"/>
    <w:pPr>
      <w:tabs>
        <w:tab w:val="center" w:pos="4320"/>
        <w:tab w:val="right" w:pos="8640"/>
      </w:tabs>
    </w:pPr>
  </w:style>
  <w:style w:type="character" w:styleId="PageNumber">
    <w:name w:val="page number"/>
    <w:basedOn w:val="DefaultParagraphFont"/>
    <w:rsid w:val="002057B1"/>
  </w:style>
  <w:style w:type="paragraph" w:styleId="BalloonText">
    <w:name w:val="Balloon Text"/>
    <w:basedOn w:val="Normal"/>
    <w:semiHidden/>
    <w:rsid w:val="000D5AD9"/>
    <w:rPr>
      <w:rFonts w:ascii="Tahoma" w:hAnsi="Tahoma" w:cs="Tahoma"/>
      <w:sz w:val="16"/>
      <w:szCs w:val="16"/>
    </w:rPr>
  </w:style>
  <w:style w:type="paragraph" w:styleId="List2">
    <w:name w:val="List 2"/>
    <w:basedOn w:val="Normal"/>
    <w:rsid w:val="00DF5769"/>
    <w:pPr>
      <w:ind w:left="720" w:hanging="360"/>
    </w:pPr>
  </w:style>
  <w:style w:type="paragraph" w:styleId="ListBullet2">
    <w:name w:val="List Bullet 2"/>
    <w:basedOn w:val="Normal"/>
    <w:rsid w:val="00DF5769"/>
    <w:pPr>
      <w:numPr>
        <w:numId w:val="2"/>
      </w:numPr>
    </w:pPr>
  </w:style>
  <w:style w:type="paragraph" w:styleId="Title">
    <w:name w:val="Title"/>
    <w:basedOn w:val="Normal"/>
    <w:qFormat/>
    <w:rsid w:val="00DF5769"/>
    <w:pPr>
      <w:spacing w:before="240" w:after="60"/>
      <w:jc w:val="center"/>
      <w:outlineLvl w:val="0"/>
    </w:pPr>
    <w:rPr>
      <w:rFonts w:cs="Arial"/>
      <w:b/>
      <w:bCs/>
      <w:kern w:val="28"/>
      <w:sz w:val="32"/>
      <w:szCs w:val="32"/>
    </w:rPr>
  </w:style>
  <w:style w:type="paragraph" w:styleId="BodyText">
    <w:name w:val="Body Text"/>
    <w:basedOn w:val="Normal"/>
    <w:rsid w:val="00DF5769"/>
    <w:pPr>
      <w:spacing w:after="120"/>
    </w:pPr>
  </w:style>
  <w:style w:type="character" w:styleId="Hyperlink">
    <w:name w:val="Hyperlink"/>
    <w:basedOn w:val="DefaultParagraphFont"/>
    <w:rsid w:val="00DF5769"/>
    <w:rPr>
      <w:color w:val="0000FF"/>
      <w:u w:val="single"/>
    </w:rPr>
  </w:style>
  <w:style w:type="paragraph" w:styleId="BodyTextFirstIndent">
    <w:name w:val="Body Text First Indent"/>
    <w:basedOn w:val="BodyText"/>
    <w:rsid w:val="00DF5769"/>
    <w:pPr>
      <w:ind w:firstLine="210"/>
    </w:pPr>
  </w:style>
  <w:style w:type="paragraph" w:styleId="Header">
    <w:name w:val="header"/>
    <w:basedOn w:val="Normal"/>
    <w:rsid w:val="002D5A53"/>
    <w:pPr>
      <w:tabs>
        <w:tab w:val="center" w:pos="4320"/>
        <w:tab w:val="right" w:pos="8640"/>
      </w:tabs>
    </w:pPr>
  </w:style>
  <w:style w:type="paragraph" w:customStyle="1" w:styleId="Default">
    <w:name w:val="Default"/>
    <w:rsid w:val="00F06614"/>
    <w:pPr>
      <w:autoSpaceDE w:val="0"/>
      <w:autoSpaceDN w:val="0"/>
      <w:adjustRightInd w:val="0"/>
    </w:pPr>
    <w:rPr>
      <w:rFonts w:ascii="Arial" w:hAnsi="Arial" w:cs="Arial"/>
      <w:color w:val="000000"/>
      <w:sz w:val="24"/>
      <w:szCs w:val="24"/>
    </w:rPr>
  </w:style>
  <w:style w:type="paragraph" w:customStyle="1" w:styleId="17">
    <w:name w:val="_17"/>
    <w:basedOn w:val="Normal"/>
    <w:rsid w:val="00A75598"/>
    <w:pPr>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hAnsi="Times New Roman"/>
    </w:rPr>
  </w:style>
  <w:style w:type="character" w:customStyle="1" w:styleId="FooterChar">
    <w:name w:val="Footer Char"/>
    <w:basedOn w:val="DefaultParagraphFont"/>
    <w:link w:val="Footer"/>
    <w:uiPriority w:val="99"/>
    <w:rsid w:val="00A75598"/>
    <w:rPr>
      <w:rFonts w:ascii="Arial" w:hAnsi="Arial"/>
      <w:sz w:val="24"/>
      <w:szCs w:val="24"/>
    </w:rPr>
  </w:style>
  <w:style w:type="paragraph" w:styleId="FootnoteText">
    <w:name w:val="footnote text"/>
    <w:basedOn w:val="Normal"/>
    <w:link w:val="FootnoteTextChar"/>
    <w:rsid w:val="00B4465D"/>
    <w:rPr>
      <w:sz w:val="20"/>
      <w:szCs w:val="20"/>
    </w:rPr>
  </w:style>
  <w:style w:type="character" w:customStyle="1" w:styleId="FootnoteTextChar">
    <w:name w:val="Footnote Text Char"/>
    <w:basedOn w:val="DefaultParagraphFont"/>
    <w:link w:val="FootnoteText"/>
    <w:rsid w:val="00B4465D"/>
    <w:rPr>
      <w:rFonts w:ascii="Arial" w:hAnsi="Arial"/>
    </w:rPr>
  </w:style>
  <w:style w:type="character" w:styleId="CommentReference">
    <w:name w:val="annotation reference"/>
    <w:basedOn w:val="DefaultParagraphFont"/>
    <w:rsid w:val="001948F0"/>
    <w:rPr>
      <w:sz w:val="16"/>
      <w:szCs w:val="16"/>
    </w:rPr>
  </w:style>
  <w:style w:type="paragraph" w:styleId="CommentText">
    <w:name w:val="annotation text"/>
    <w:basedOn w:val="Normal"/>
    <w:link w:val="CommentTextChar"/>
    <w:rsid w:val="001948F0"/>
    <w:rPr>
      <w:sz w:val="20"/>
      <w:szCs w:val="20"/>
    </w:rPr>
  </w:style>
  <w:style w:type="character" w:customStyle="1" w:styleId="CommentTextChar">
    <w:name w:val="Comment Text Char"/>
    <w:basedOn w:val="DefaultParagraphFont"/>
    <w:link w:val="CommentText"/>
    <w:rsid w:val="001948F0"/>
    <w:rPr>
      <w:rFonts w:ascii="Arial" w:hAnsi="Arial"/>
    </w:rPr>
  </w:style>
  <w:style w:type="paragraph" w:styleId="CommentSubject">
    <w:name w:val="annotation subject"/>
    <w:basedOn w:val="CommentText"/>
    <w:next w:val="CommentText"/>
    <w:link w:val="CommentSubjectChar"/>
    <w:rsid w:val="001948F0"/>
    <w:rPr>
      <w:b/>
      <w:bCs/>
    </w:rPr>
  </w:style>
  <w:style w:type="character" w:customStyle="1" w:styleId="CommentSubjectChar">
    <w:name w:val="Comment Subject Char"/>
    <w:basedOn w:val="CommentTextChar"/>
    <w:link w:val="CommentSubject"/>
    <w:rsid w:val="001948F0"/>
    <w:rPr>
      <w:rFonts w:ascii="Arial" w:hAnsi="Arial"/>
      <w:b/>
      <w:bCs/>
    </w:rPr>
  </w:style>
  <w:style w:type="paragraph" w:styleId="ListParagraph">
    <w:name w:val="List Paragraph"/>
    <w:basedOn w:val="Normal"/>
    <w:uiPriority w:val="34"/>
    <w:qFormat/>
    <w:rsid w:val="00777C2E"/>
    <w:pPr>
      <w:ind w:left="720"/>
      <w:contextualSpacing/>
    </w:pPr>
  </w:style>
  <w:style w:type="character" w:styleId="FollowedHyperlink">
    <w:name w:val="FollowedHyperlink"/>
    <w:basedOn w:val="DefaultParagraphFont"/>
    <w:rsid w:val="00F24CE3"/>
    <w:rPr>
      <w:color w:val="800080" w:themeColor="followedHyperlink"/>
      <w:u w:val="single"/>
    </w:rPr>
  </w:style>
  <w:style w:type="character" w:styleId="LineNumber">
    <w:name w:val="line number"/>
    <w:basedOn w:val="DefaultParagraphFont"/>
    <w:rsid w:val="00176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051A3-F01C-460F-96E6-035085C62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671</Words>
  <Characters>3825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ALL AGREEMENT STATES, MICHIGAN, NEW JERSEY, PENNSYLVANIA, VIRGINIA</vt:lpstr>
    </vt:vector>
  </TitlesOfParts>
  <Company>USNRC</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AGREEMENT STATES, MICHIGAN, NEW JERSEY, PENNSYLVANIA, VIRGINIA</dc:title>
  <dc:creator>MLO1</dc:creator>
  <cp:lastModifiedBy>Beardsley, Michelle</cp:lastModifiedBy>
  <cp:revision>2</cp:revision>
  <cp:lastPrinted>2014-11-06T19:16:00Z</cp:lastPrinted>
  <dcterms:created xsi:type="dcterms:W3CDTF">2018-04-05T15:53:00Z</dcterms:created>
  <dcterms:modified xsi:type="dcterms:W3CDTF">2018-04-05T15:53:00Z</dcterms:modified>
</cp:coreProperties>
</file>