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D1" w:rsidRPr="00303ED1" w:rsidRDefault="00303ED1" w:rsidP="00303ED1">
      <w:pPr>
        <w:widowControl/>
        <w:jc w:val="center"/>
        <w:rPr>
          <w:rFonts w:cs="Arial"/>
          <w:b/>
          <w:bCs/>
        </w:rPr>
      </w:pPr>
      <w:r w:rsidRPr="00303ED1">
        <w:rPr>
          <w:rFonts w:cs="Arial"/>
          <w:b/>
          <w:bCs/>
        </w:rPr>
        <w:t>Medical Use of Byproduct Material—Authorized User Clarification</w:t>
      </w:r>
      <w:r>
        <w:rPr>
          <w:rFonts w:cs="Arial"/>
          <w:b/>
          <w:bCs/>
        </w:rPr>
        <w:t>, Part 35</w:t>
      </w:r>
    </w:p>
    <w:p w:rsidR="009A6636" w:rsidRDefault="009A6636" w:rsidP="009A663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(7</w:t>
      </w:r>
      <w:r w:rsidR="00303ED1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 FR </w:t>
      </w:r>
      <w:r w:rsidR="00303ED1" w:rsidRPr="00303ED1">
        <w:rPr>
          <w:rFonts w:cs="Arial"/>
          <w:b/>
          <w:bCs/>
        </w:rPr>
        <w:t>33901</w:t>
      </w:r>
      <w:r>
        <w:rPr>
          <w:rFonts w:cs="Arial"/>
          <w:b/>
          <w:bCs/>
        </w:rPr>
        <w:t>) RATS ID # 200</w:t>
      </w:r>
      <w:r w:rsidR="00303ED1">
        <w:rPr>
          <w:rFonts w:cs="Arial"/>
          <w:b/>
          <w:bCs/>
        </w:rPr>
        <w:t>9</w:t>
      </w:r>
      <w:r>
        <w:rPr>
          <w:rFonts w:cs="Arial"/>
          <w:b/>
          <w:bCs/>
        </w:rPr>
        <w:t>-1 Effective date 0</w:t>
      </w:r>
      <w:r w:rsidR="00303ED1">
        <w:rPr>
          <w:rFonts w:cs="Arial"/>
          <w:b/>
          <w:bCs/>
        </w:rPr>
        <w:t>9</w:t>
      </w:r>
      <w:r>
        <w:rPr>
          <w:rFonts w:cs="Arial"/>
          <w:b/>
          <w:bCs/>
        </w:rPr>
        <w:t>/</w:t>
      </w:r>
      <w:r w:rsidR="00303ED1">
        <w:rPr>
          <w:rFonts w:cs="Arial"/>
          <w:b/>
          <w:bCs/>
        </w:rPr>
        <w:t>28</w:t>
      </w:r>
      <w:r>
        <w:rPr>
          <w:rFonts w:cs="Arial"/>
          <w:b/>
          <w:bCs/>
        </w:rPr>
        <w:t>/0</w:t>
      </w:r>
      <w:r w:rsidR="00303ED1">
        <w:rPr>
          <w:rFonts w:cs="Arial"/>
          <w:b/>
          <w:bCs/>
        </w:rPr>
        <w:t>9</w:t>
      </w:r>
    </w:p>
    <w:p w:rsidR="001E4066" w:rsidRDefault="001E4066" w:rsidP="00303ED1">
      <w:pPr>
        <w:jc w:val="center"/>
      </w:pPr>
      <w:r w:rsidRPr="002C6E8D">
        <w:rPr>
          <w:rFonts w:cs="Arial"/>
          <w:b/>
          <w:bCs/>
        </w:rPr>
        <w:t>Date Due for State Adoption</w:t>
      </w:r>
      <w:r>
        <w:rPr>
          <w:rFonts w:cs="Arial"/>
          <w:b/>
          <w:bCs/>
        </w:rPr>
        <w:t xml:space="preserve"> </w:t>
      </w:r>
      <w:r w:rsidR="00303ED1">
        <w:rPr>
          <w:rFonts w:cs="Arial"/>
          <w:b/>
          <w:bCs/>
        </w:rPr>
        <w:t>09/28/12</w:t>
      </w:r>
    </w:p>
    <w:p w:rsidR="001E4066" w:rsidRDefault="001E4066"/>
    <w:tbl>
      <w:tblPr>
        <w:tblStyle w:val="TableGrid"/>
        <w:tblW w:w="14940" w:type="dxa"/>
        <w:tblInd w:w="-7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1E0"/>
      </w:tblPr>
      <w:tblGrid>
        <w:gridCol w:w="1260"/>
        <w:gridCol w:w="1440"/>
        <w:gridCol w:w="1080"/>
        <w:gridCol w:w="2160"/>
        <w:gridCol w:w="3240"/>
        <w:gridCol w:w="1440"/>
        <w:gridCol w:w="1440"/>
        <w:gridCol w:w="2880"/>
      </w:tblGrid>
      <w:tr w:rsidR="004F5F2C">
        <w:trPr>
          <w:tblHeader/>
        </w:trPr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Change to NRC</w:t>
            </w: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tabs>
                <w:tab w:val="center" w:pos="82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tabs>
                <w:tab w:val="center" w:pos="37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State</w:t>
            </w: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16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Compatibility</w:t>
            </w: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2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tabs>
                <w:tab w:val="center" w:pos="172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Difference</w:t>
            </w: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Significant</w:t>
            </w: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88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4F5F2C" w:rsidRPr="001E4066" w:rsidRDefault="004F5F2C" w:rsidP="001E406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4066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4F5F2C" w:rsidRPr="007A6D7C">
        <w:tc>
          <w:tcPr>
            <w:tcW w:w="1260" w:type="dxa"/>
            <w:tcBorders>
              <w:top w:val="double" w:sz="6" w:space="0" w:color="auto"/>
            </w:tcBorders>
          </w:tcPr>
          <w:p w:rsidR="004F5F2C" w:rsidRPr="00303ED1" w:rsidRDefault="00303ED1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bCs/>
                <w:sz w:val="22"/>
                <w:szCs w:val="22"/>
              </w:rPr>
              <w:t>§ 35.50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4F5F2C" w:rsidRPr="001E4066" w:rsidRDefault="00303ED1" w:rsidP="00303ED1">
            <w:pPr>
              <w:pStyle w:val="HTMLPreformatted"/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303ED1">
              <w:rPr>
                <w:rFonts w:ascii="Arial" w:hAnsi="Arial" w:cs="Arial"/>
                <w:bCs/>
                <w:sz w:val="22"/>
                <w:szCs w:val="22"/>
              </w:rPr>
              <w:t>Training for Radiation Safety</w:t>
            </w:r>
            <w:r w:rsidR="00295C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Officer</w:t>
            </w:r>
            <w:r w:rsidRPr="001E4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double" w:sz="6" w:space="0" w:color="auto"/>
            </w:tcBorders>
          </w:tcPr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</w:tcPr>
          <w:p w:rsidR="004F5F2C" w:rsidRPr="00AD2122" w:rsidRDefault="00211A6D" w:rsidP="00303ED1">
            <w:pPr>
              <w:spacing w:before="100" w:beforeAutospacing="1"/>
              <w:jc w:val="center"/>
              <w:rPr>
                <w:rFonts w:cs="Arial"/>
                <w:sz w:val="22"/>
                <w:szCs w:val="22"/>
              </w:rPr>
            </w:pPr>
            <w:r w:rsidRPr="00AD2122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  <w:tcBorders>
              <w:top w:val="double" w:sz="6" w:space="0" w:color="auto"/>
            </w:tcBorders>
          </w:tcPr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b/>
                <w:sz w:val="22"/>
                <w:szCs w:val="22"/>
              </w:rPr>
            </w:pPr>
            <w:r w:rsidRPr="00303ED1">
              <w:rPr>
                <w:rFonts w:cs="Arial"/>
                <w:b/>
                <w:sz w:val="22"/>
                <w:szCs w:val="22"/>
              </w:rPr>
              <w:t>In § 35.50, paragraph (a)(2)(ii)(B) is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b/>
                <w:sz w:val="22"/>
                <w:szCs w:val="22"/>
              </w:rPr>
            </w:pPr>
            <w:r w:rsidRPr="00303ED1">
              <w:rPr>
                <w:rFonts w:cs="Arial"/>
                <w:b/>
                <w:sz w:val="22"/>
                <w:szCs w:val="22"/>
              </w:rPr>
              <w:t>revised to read as follows: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b/>
                <w:bCs/>
                <w:sz w:val="22"/>
                <w:szCs w:val="22"/>
              </w:rPr>
            </w:pP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* * * * *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(a) * * *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(2) * * *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(ii) * * *</w:t>
            </w:r>
          </w:p>
          <w:p w:rsidR="00303ED1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(B) In clinical nuclear medicine</w:t>
            </w:r>
          </w:p>
          <w:p w:rsidR="004749ED" w:rsidRPr="00303ED1" w:rsidRDefault="00303ED1" w:rsidP="00303ED1">
            <w:pPr>
              <w:widowControl/>
              <w:spacing w:before="100" w:beforeAutospacing="1"/>
              <w:rPr>
                <w:rFonts w:cs="Arial"/>
                <w:sz w:val="22"/>
                <w:szCs w:val="22"/>
              </w:rPr>
            </w:pPr>
            <w:r w:rsidRPr="00303ED1">
              <w:rPr>
                <w:rFonts w:cs="Arial"/>
                <w:sz w:val="22"/>
                <w:szCs w:val="22"/>
              </w:rPr>
              <w:t>facilities providing diagnostic and/or</w:t>
            </w:r>
            <w:r w:rsidR="00211A6D">
              <w:rPr>
                <w:rFonts w:cs="Arial"/>
                <w:sz w:val="22"/>
                <w:szCs w:val="22"/>
              </w:rPr>
              <w:t xml:space="preserve"> </w:t>
            </w:r>
            <w:r w:rsidRPr="00303ED1">
              <w:rPr>
                <w:rFonts w:cs="Arial"/>
                <w:sz w:val="22"/>
                <w:szCs w:val="22"/>
              </w:rPr>
              <w:t>therapeutic services under the direction</w:t>
            </w:r>
            <w:r w:rsidR="00211A6D">
              <w:rPr>
                <w:rFonts w:cs="Arial"/>
                <w:sz w:val="22"/>
                <w:szCs w:val="22"/>
              </w:rPr>
              <w:t xml:space="preserve"> </w:t>
            </w:r>
            <w:r w:rsidRPr="00303ED1">
              <w:rPr>
                <w:rFonts w:cs="Arial"/>
                <w:sz w:val="22"/>
                <w:szCs w:val="22"/>
              </w:rPr>
              <w:t>of physicians who meet the</w:t>
            </w:r>
            <w:r w:rsidR="00211A6D">
              <w:rPr>
                <w:rFonts w:cs="Arial"/>
                <w:sz w:val="22"/>
                <w:szCs w:val="22"/>
              </w:rPr>
              <w:t xml:space="preserve"> </w:t>
            </w:r>
            <w:r w:rsidRPr="00303ED1">
              <w:rPr>
                <w:rFonts w:cs="Arial"/>
                <w:sz w:val="22"/>
                <w:szCs w:val="22"/>
              </w:rPr>
              <w:t>requirements for authorized users in</w:t>
            </w:r>
            <w:r w:rsidR="00211A6D">
              <w:rPr>
                <w:rFonts w:cs="Arial"/>
                <w:sz w:val="22"/>
                <w:szCs w:val="22"/>
              </w:rPr>
              <w:t xml:space="preserve"> </w:t>
            </w:r>
            <w:r w:rsidRPr="00303ED1">
              <w:rPr>
                <w:rFonts w:cs="Arial"/>
                <w:sz w:val="22"/>
                <w:szCs w:val="22"/>
              </w:rPr>
              <w:t>§§ 35.57, 35.290, or 35.390;</w:t>
            </w:r>
          </w:p>
          <w:p w:rsidR="004F5F2C" w:rsidRPr="001E4066" w:rsidRDefault="004F5F2C" w:rsidP="00303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</w:tcBorders>
          </w:tcPr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  <w:p w:rsidR="004F5F2C" w:rsidRPr="001E4066" w:rsidRDefault="004F5F2C" w:rsidP="00303ED1">
            <w:pPr>
              <w:spacing w:before="100" w:beforeAutospacing="1"/>
              <w:rPr>
                <w:rFonts w:cs="Arial"/>
                <w:sz w:val="22"/>
                <w:szCs w:val="22"/>
              </w:rPr>
            </w:pPr>
          </w:p>
        </w:tc>
      </w:tr>
      <w:tr w:rsidR="004F5F2C" w:rsidRPr="007A6D7C">
        <w:tc>
          <w:tcPr>
            <w:tcW w:w="1260" w:type="dxa"/>
          </w:tcPr>
          <w:p w:rsidR="004F5F2C" w:rsidRPr="00211A6D" w:rsidRDefault="00211A6D" w:rsidP="001E4066">
            <w:pPr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bCs/>
                <w:sz w:val="22"/>
                <w:szCs w:val="22"/>
              </w:rPr>
              <w:t xml:space="preserve">§ 35.51 </w:t>
            </w:r>
          </w:p>
        </w:tc>
        <w:tc>
          <w:tcPr>
            <w:tcW w:w="1440" w:type="dxa"/>
          </w:tcPr>
          <w:p w:rsidR="00211A6D" w:rsidRPr="00211A6D" w:rsidRDefault="00211A6D" w:rsidP="00211A6D">
            <w:pPr>
              <w:widowControl/>
              <w:rPr>
                <w:rFonts w:cs="Arial"/>
                <w:bCs/>
                <w:sz w:val="22"/>
                <w:szCs w:val="22"/>
              </w:rPr>
            </w:pPr>
            <w:r w:rsidRPr="00211A6D">
              <w:rPr>
                <w:rFonts w:cs="Arial"/>
                <w:bCs/>
                <w:sz w:val="22"/>
                <w:szCs w:val="22"/>
              </w:rPr>
              <w:t>Training for an authorized medical</w:t>
            </w:r>
          </w:p>
          <w:p w:rsidR="00211A6D" w:rsidRPr="00211A6D" w:rsidRDefault="00211A6D" w:rsidP="00211A6D">
            <w:pPr>
              <w:widowControl/>
              <w:rPr>
                <w:rFonts w:cs="Arial"/>
                <w:bCs/>
                <w:sz w:val="22"/>
                <w:szCs w:val="22"/>
              </w:rPr>
            </w:pPr>
            <w:proofErr w:type="gramStart"/>
            <w:r w:rsidRPr="00211A6D">
              <w:rPr>
                <w:rFonts w:cs="Arial"/>
                <w:bCs/>
                <w:sz w:val="22"/>
                <w:szCs w:val="22"/>
              </w:rPr>
              <w:t>physicist</w:t>
            </w:r>
            <w:proofErr w:type="gramEnd"/>
            <w:r w:rsidRPr="00211A6D">
              <w:rPr>
                <w:rFonts w:cs="Arial"/>
                <w:bCs/>
                <w:sz w:val="22"/>
                <w:szCs w:val="22"/>
              </w:rPr>
              <w:t>.</w:t>
            </w:r>
          </w:p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F5F2C" w:rsidRPr="001E4066" w:rsidRDefault="00211A6D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211A6D" w:rsidRPr="00211A6D" w:rsidRDefault="00211A6D" w:rsidP="00211A6D">
            <w:pPr>
              <w:widowControl/>
              <w:rPr>
                <w:rFonts w:cs="Arial"/>
                <w:b/>
                <w:sz w:val="22"/>
                <w:szCs w:val="22"/>
              </w:rPr>
            </w:pPr>
            <w:r w:rsidRPr="00211A6D">
              <w:rPr>
                <w:rFonts w:cs="Arial"/>
                <w:b/>
                <w:sz w:val="22"/>
                <w:szCs w:val="22"/>
              </w:rPr>
              <w:t>In § 35.51, paragraphs (a)(2)(ii) and (b)(2) are revised to read as follows:</w:t>
            </w:r>
          </w:p>
          <w:p w:rsidR="00B4050A" w:rsidRDefault="00B4050A" w:rsidP="00211A6D">
            <w:pPr>
              <w:widowControl/>
              <w:rPr>
                <w:rFonts w:cs="Arial"/>
                <w:sz w:val="22"/>
                <w:szCs w:val="22"/>
              </w:rPr>
            </w:pP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(a) * * *</w:t>
            </w: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(2) * * *</w:t>
            </w: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(ii) In clinical radiation facilities</w:t>
            </w: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 xml:space="preserve">providing high-energy, external </w:t>
            </w:r>
            <w:r w:rsidRPr="00211A6D">
              <w:rPr>
                <w:rFonts w:cs="Arial"/>
                <w:sz w:val="22"/>
                <w:szCs w:val="22"/>
              </w:rPr>
              <w:lastRenderedPageBreak/>
              <w:t>beam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therapy (photons and electrons with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energies greater than or equal to 1 million electron volts) 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brachytherapy services under 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direction of physicians who meet 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requirements in § 35.57, 35.490, 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35.690; 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* * * * *</w:t>
            </w: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(b) * * *</w:t>
            </w:r>
          </w:p>
          <w:p w:rsidR="00211A6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(2) Has obtained written attestation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that the individual has satisfactorily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completed the requirements 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paragraphs (c) and (a</w:t>
            </w:r>
            <w:proofErr w:type="gramStart"/>
            <w:r w:rsidRPr="00211A6D">
              <w:rPr>
                <w:rFonts w:cs="Arial"/>
                <w:sz w:val="22"/>
                <w:szCs w:val="22"/>
              </w:rPr>
              <w:t>)(</w:t>
            </w:r>
            <w:proofErr w:type="gramEnd"/>
            <w:r w:rsidRPr="00211A6D">
              <w:rPr>
                <w:rFonts w:cs="Arial"/>
                <w:sz w:val="22"/>
                <w:szCs w:val="22"/>
              </w:rPr>
              <w:t>1) and (a)(2), 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(b)(1) and (c) of this section, and has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achieved a level of competency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sufficient to function independently as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an authorized medical physicist for each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type of therapeutic medical unit for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which the individual is requesting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authorized medical physicist status. 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written attestation must be signed by 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preceptor authorized medical physicist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who meets the requirements in §§ 35.51,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35.57, or equivalent Agreement State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requirements for an authorized medical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 xml:space="preserve">physicist for each type of </w:t>
            </w:r>
            <w:r w:rsidRPr="00211A6D">
              <w:rPr>
                <w:rFonts w:cs="Arial"/>
                <w:sz w:val="22"/>
                <w:szCs w:val="22"/>
              </w:rPr>
              <w:lastRenderedPageBreak/>
              <w:t>therapeutic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medical unit for which the individual is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requesting authorized medical physicist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1A6D">
              <w:rPr>
                <w:rFonts w:cs="Arial"/>
                <w:sz w:val="22"/>
                <w:szCs w:val="22"/>
              </w:rPr>
              <w:t>status; and</w:t>
            </w:r>
          </w:p>
          <w:p w:rsidR="009B248D" w:rsidRPr="00211A6D" w:rsidRDefault="00211A6D" w:rsidP="00211A6D">
            <w:pPr>
              <w:widowControl/>
              <w:rPr>
                <w:rFonts w:cs="Arial"/>
                <w:sz w:val="22"/>
                <w:szCs w:val="22"/>
              </w:rPr>
            </w:pPr>
            <w:r w:rsidRPr="00211A6D">
              <w:rPr>
                <w:rFonts w:cs="Arial"/>
                <w:sz w:val="22"/>
                <w:szCs w:val="22"/>
              </w:rPr>
              <w:t>* * * * *</w:t>
            </w:r>
          </w:p>
          <w:p w:rsidR="009B248D" w:rsidRPr="001E4066" w:rsidRDefault="009B248D" w:rsidP="001E4066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4F5F2C" w:rsidRPr="007A6D7C">
        <w:tc>
          <w:tcPr>
            <w:tcW w:w="1260" w:type="dxa"/>
          </w:tcPr>
          <w:p w:rsidR="004F5F2C" w:rsidRPr="00B4050A" w:rsidRDefault="00254E58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35.57</w:t>
            </w:r>
          </w:p>
        </w:tc>
        <w:tc>
          <w:tcPr>
            <w:tcW w:w="1440" w:type="dxa"/>
          </w:tcPr>
          <w:p w:rsidR="00254E58" w:rsidRPr="00C44FE6" w:rsidRDefault="00254E58" w:rsidP="00254E58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C44FE6">
              <w:rPr>
                <w:rFonts w:cs="Helvetica-Bold"/>
                <w:bCs/>
                <w:sz w:val="22"/>
                <w:szCs w:val="22"/>
              </w:rPr>
              <w:t>Training for experienced Radiation</w:t>
            </w:r>
            <w:r w:rsidR="00C44FE6">
              <w:rPr>
                <w:rFonts w:cs="Helvetica-Bold"/>
                <w:bCs/>
                <w:sz w:val="22"/>
                <w:szCs w:val="22"/>
              </w:rPr>
              <w:t xml:space="preserve"> </w:t>
            </w:r>
            <w:r w:rsidRPr="00C44FE6">
              <w:rPr>
                <w:rFonts w:cs="Helvetica-Bold"/>
                <w:bCs/>
                <w:sz w:val="22"/>
                <w:szCs w:val="22"/>
              </w:rPr>
              <w:t>Safety Officer, teletherapy or medical</w:t>
            </w:r>
          </w:p>
          <w:p w:rsidR="00254E58" w:rsidRPr="00C44FE6" w:rsidRDefault="00254E58" w:rsidP="00254E58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C44FE6">
              <w:rPr>
                <w:rFonts w:cs="Helvetica-Bold"/>
                <w:bCs/>
                <w:sz w:val="22"/>
                <w:szCs w:val="22"/>
              </w:rPr>
              <w:t>physicist, authorized medical physicist,</w:t>
            </w:r>
          </w:p>
          <w:p w:rsidR="00254E58" w:rsidRPr="00C44FE6" w:rsidRDefault="00254E58" w:rsidP="00254E58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C44FE6">
              <w:rPr>
                <w:rFonts w:cs="Helvetica-Bold"/>
                <w:bCs/>
                <w:sz w:val="22"/>
                <w:szCs w:val="22"/>
              </w:rPr>
              <w:t>authorized user, nuclear pharmacist, and</w:t>
            </w:r>
          </w:p>
          <w:p w:rsidR="004F5F2C" w:rsidRPr="001E4066" w:rsidRDefault="00254E58" w:rsidP="00254E58">
            <w:pPr>
              <w:rPr>
                <w:rFonts w:cs="Arial"/>
                <w:sz w:val="22"/>
                <w:szCs w:val="22"/>
              </w:rPr>
            </w:pPr>
            <w:proofErr w:type="gramStart"/>
            <w:r w:rsidRPr="00C44FE6">
              <w:rPr>
                <w:rFonts w:cs="Helvetica-Bold"/>
                <w:bCs/>
                <w:sz w:val="22"/>
                <w:szCs w:val="22"/>
              </w:rPr>
              <w:t>authorized</w:t>
            </w:r>
            <w:proofErr w:type="gramEnd"/>
            <w:r w:rsidRPr="00C44FE6">
              <w:rPr>
                <w:rFonts w:cs="Helvetica-Bold"/>
                <w:bCs/>
                <w:sz w:val="22"/>
                <w:szCs w:val="22"/>
              </w:rPr>
              <w:t xml:space="preserve"> nuclear pharmacist</w:t>
            </w:r>
            <w:r w:rsidRPr="00593B45">
              <w:rPr>
                <w:rFonts w:cs="Helvetica-Bol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F5F2C" w:rsidRPr="001E4066" w:rsidRDefault="00C44FE6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9B248D" w:rsidRPr="00C44FE6" w:rsidRDefault="00C44FE6" w:rsidP="00C44FE6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44FE6">
              <w:rPr>
                <w:rFonts w:cs="Melior"/>
                <w:b/>
                <w:sz w:val="22"/>
                <w:szCs w:val="22"/>
              </w:rPr>
              <w:t>In § 35.57, a new paragraph (c) is</w:t>
            </w:r>
            <w:r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b/>
                <w:sz w:val="22"/>
                <w:szCs w:val="22"/>
              </w:rPr>
              <w:t>added to read as follows:</w:t>
            </w:r>
          </w:p>
          <w:p w:rsidR="00C44FE6" w:rsidRPr="00C44FE6" w:rsidRDefault="00C44FE6" w:rsidP="00C44FE6">
            <w:pPr>
              <w:widowControl/>
              <w:rPr>
                <w:rFonts w:cs="Melior"/>
                <w:b/>
                <w:sz w:val="22"/>
                <w:szCs w:val="22"/>
              </w:rPr>
            </w:pPr>
          </w:p>
          <w:p w:rsidR="00C44FE6" w:rsidRPr="00C44FE6" w:rsidRDefault="00C44FE6" w:rsidP="00C44FE6">
            <w:pPr>
              <w:widowControl/>
              <w:rPr>
                <w:rFonts w:cs="Arial"/>
                <w:b/>
                <w:sz w:val="22"/>
                <w:szCs w:val="22"/>
              </w:rPr>
            </w:pPr>
          </w:p>
          <w:p w:rsidR="001E4066" w:rsidRPr="001E4066" w:rsidRDefault="00C44FE6" w:rsidP="00C44FE6">
            <w:pPr>
              <w:widowControl/>
              <w:rPr>
                <w:rFonts w:cs="Arial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(c) Individuals who need not comply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with training requirements as described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in this section may serve as preceptors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for, and supervisors of, applicants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seeking authorization on NRC licenses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for the same uses for which these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individuals are authorized.</w:t>
            </w: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4F5F2C" w:rsidRPr="007A6D7C">
        <w:tc>
          <w:tcPr>
            <w:tcW w:w="1260" w:type="dxa"/>
          </w:tcPr>
          <w:p w:rsidR="004F5F2C" w:rsidRPr="00C44FE6" w:rsidRDefault="00C44FE6" w:rsidP="001E4066">
            <w:pPr>
              <w:rPr>
                <w:rFonts w:cs="Arial"/>
                <w:sz w:val="22"/>
                <w:szCs w:val="22"/>
              </w:rPr>
            </w:pPr>
            <w:r w:rsidRPr="00C44FE6">
              <w:rPr>
                <w:rFonts w:cs="Helvetica-Bold"/>
                <w:bCs/>
                <w:sz w:val="22"/>
                <w:szCs w:val="22"/>
              </w:rPr>
              <w:t>§ 35.190</w:t>
            </w:r>
          </w:p>
        </w:tc>
        <w:tc>
          <w:tcPr>
            <w:tcW w:w="1440" w:type="dxa"/>
          </w:tcPr>
          <w:p w:rsidR="00C44FE6" w:rsidRPr="00C44FE6" w:rsidRDefault="00C44FE6" w:rsidP="00C44FE6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C44FE6">
              <w:rPr>
                <w:rFonts w:cs="Helvetica-Bold"/>
                <w:bCs/>
                <w:sz w:val="22"/>
                <w:szCs w:val="22"/>
              </w:rPr>
              <w:t>Training for uptake, dilution, and</w:t>
            </w:r>
            <w:r>
              <w:rPr>
                <w:rFonts w:cs="Helvetica-Bold"/>
                <w:bCs/>
                <w:sz w:val="22"/>
                <w:szCs w:val="22"/>
              </w:rPr>
              <w:t xml:space="preserve"> </w:t>
            </w:r>
            <w:r w:rsidRPr="00C44FE6">
              <w:rPr>
                <w:rFonts w:cs="Helvetica-Bold"/>
                <w:bCs/>
                <w:sz w:val="22"/>
                <w:szCs w:val="22"/>
              </w:rPr>
              <w:t>excretion studies.</w:t>
            </w:r>
          </w:p>
          <w:p w:rsidR="004F5F2C" w:rsidRPr="00C44FE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749ED" w:rsidRPr="00C44FE6" w:rsidRDefault="00C44FE6" w:rsidP="001E4066">
            <w:pPr>
              <w:jc w:val="center"/>
              <w:rPr>
                <w:rFonts w:cs="Arial"/>
                <w:sz w:val="22"/>
                <w:szCs w:val="22"/>
              </w:rPr>
            </w:pPr>
            <w:r w:rsidRPr="00C44FE6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C44FE6" w:rsidRPr="00C44FE6" w:rsidRDefault="00C44FE6" w:rsidP="00C44FE6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44FE6">
              <w:rPr>
                <w:rFonts w:cs="Melior"/>
                <w:b/>
                <w:sz w:val="22"/>
                <w:szCs w:val="22"/>
              </w:rPr>
              <w:t>In § 35.190, the introductory text of</w:t>
            </w:r>
            <w:r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b/>
                <w:sz w:val="22"/>
                <w:szCs w:val="22"/>
              </w:rPr>
              <w:t>paragraph (c)(1)(ii) and paragraph (c)(2)</w:t>
            </w:r>
            <w:r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b/>
                <w:sz w:val="22"/>
                <w:szCs w:val="22"/>
              </w:rPr>
              <w:t>are revised to read as follows:</w:t>
            </w:r>
          </w:p>
          <w:p w:rsidR="00B4050A" w:rsidRDefault="00B4050A" w:rsidP="00C44FE6">
            <w:pPr>
              <w:widowControl/>
              <w:rPr>
                <w:rFonts w:cs="Melior"/>
                <w:sz w:val="22"/>
                <w:szCs w:val="22"/>
              </w:rPr>
            </w:pPr>
          </w:p>
          <w:p w:rsidR="00C44FE6" w:rsidRPr="00C44FE6" w:rsidRDefault="00C44FE6" w:rsidP="00C44FE6">
            <w:pPr>
              <w:widowControl/>
              <w:rPr>
                <w:rFonts w:cs="Melior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(c)(1) * * *</w:t>
            </w:r>
          </w:p>
          <w:p w:rsidR="00C44FE6" w:rsidRPr="00C44FE6" w:rsidRDefault="00C44FE6" w:rsidP="00C44FE6">
            <w:pPr>
              <w:widowControl/>
              <w:rPr>
                <w:rFonts w:cs="Melior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(ii) Work experience, under the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 xml:space="preserve">supervision of an authorized </w:t>
            </w:r>
            <w:r w:rsidRPr="00C44FE6">
              <w:rPr>
                <w:rFonts w:cs="Melior"/>
                <w:sz w:val="22"/>
                <w:szCs w:val="22"/>
              </w:rPr>
              <w:lastRenderedPageBreak/>
              <w:t>user who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meets the requirements in §§ 35.57,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35.190, 35.290, 35.390, or equivalent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C44FE6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C44FE6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44FE6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C44FE6">
              <w:rPr>
                <w:rFonts w:cs="Melior"/>
                <w:sz w:val="22"/>
                <w:szCs w:val="22"/>
              </w:rPr>
              <w:t xml:space="preserve"> requirements,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involving—</w:t>
            </w:r>
          </w:p>
          <w:p w:rsidR="00C44FE6" w:rsidRPr="00C44FE6" w:rsidRDefault="00C44FE6" w:rsidP="00C44FE6">
            <w:pPr>
              <w:widowControl/>
              <w:rPr>
                <w:rFonts w:cs="Melior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* * * * *</w:t>
            </w:r>
          </w:p>
          <w:p w:rsidR="00B4050A" w:rsidRDefault="00C44FE6" w:rsidP="00C44FE6">
            <w:pPr>
              <w:widowControl/>
              <w:rPr>
                <w:rFonts w:cs="Melior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(2) Has obtained written attestation,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signed by a preceptor authorized user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who meets the requirements in §§ 35.57,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35.190, 35.290, or 35.390, or equivalent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Agreement State requirements, that the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individual has satisfactorily completed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the requirements in paragraph (a)(1) or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(c)(1) of this section and has achieved a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level of competency sufficient to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function independently as an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authorized user for the medical uses</w:t>
            </w:r>
            <w:r>
              <w:rPr>
                <w:rFonts w:cs="Melior"/>
                <w:sz w:val="22"/>
                <w:szCs w:val="22"/>
              </w:rPr>
              <w:t xml:space="preserve"> </w:t>
            </w:r>
            <w:r w:rsidRPr="00C44FE6">
              <w:rPr>
                <w:rFonts w:cs="Melior"/>
                <w:sz w:val="22"/>
                <w:szCs w:val="22"/>
              </w:rPr>
              <w:t>authorized under</w:t>
            </w:r>
          </w:p>
          <w:p w:rsidR="002D5A53" w:rsidRPr="001E4066" w:rsidRDefault="00C44FE6" w:rsidP="00C44FE6">
            <w:pPr>
              <w:widowControl/>
              <w:rPr>
                <w:rFonts w:cs="Arial"/>
                <w:sz w:val="22"/>
                <w:szCs w:val="22"/>
              </w:rPr>
            </w:pPr>
            <w:r w:rsidRPr="00C44FE6">
              <w:rPr>
                <w:rFonts w:cs="Melior"/>
                <w:sz w:val="22"/>
                <w:szCs w:val="22"/>
              </w:rPr>
              <w:t>§ 35.100.</w:t>
            </w: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4F5F2C" w:rsidRPr="007A6D7C">
        <w:tc>
          <w:tcPr>
            <w:tcW w:w="1260" w:type="dxa"/>
          </w:tcPr>
          <w:p w:rsidR="004F5F2C" w:rsidRPr="00B4050A" w:rsidRDefault="00B4050A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35.290</w:t>
            </w:r>
          </w:p>
        </w:tc>
        <w:tc>
          <w:tcPr>
            <w:tcW w:w="1440" w:type="dxa"/>
          </w:tcPr>
          <w:p w:rsidR="00502C13" w:rsidRPr="00B4050A" w:rsidRDefault="00502C13" w:rsidP="00502C13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imaging and</w:t>
            </w:r>
          </w:p>
          <w:p w:rsidR="00502C13" w:rsidRPr="00B4050A" w:rsidRDefault="00502C13" w:rsidP="00502C13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localization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 xml:space="preserve"> studies.</w:t>
            </w:r>
          </w:p>
          <w:p w:rsidR="004F5F2C" w:rsidRPr="00B4050A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5F2C" w:rsidRPr="00B4050A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4F5F2C" w:rsidRPr="00B4050A" w:rsidRDefault="00B4050A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B4050A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B4050A">
              <w:rPr>
                <w:rFonts w:cs="Melior"/>
                <w:b/>
                <w:sz w:val="22"/>
                <w:szCs w:val="22"/>
              </w:rPr>
              <w:t>In § 35.290, the introductory text of</w:t>
            </w:r>
            <w:r w:rsidR="00B4050A" w:rsidRPr="00B4050A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b/>
                <w:sz w:val="22"/>
                <w:szCs w:val="22"/>
              </w:rPr>
              <w:t>paragraph (c)(1)(ii) and paragraph (c)(2)</w:t>
            </w:r>
          </w:p>
          <w:p w:rsidR="00502C13" w:rsidRPr="00B4050A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B4050A">
              <w:rPr>
                <w:rFonts w:cs="Melior"/>
                <w:b/>
                <w:sz w:val="22"/>
                <w:szCs w:val="22"/>
              </w:rPr>
              <w:t>are revised to read as follows: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 xml:space="preserve"> (c)(1)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(ii) Work experience, under the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supervision of an authorized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user who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35.290, or 35.390 and 35.290(c)(1)(ii)(G),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or equivalent Agreement State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requirements, involving—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4F5F2C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obtained written attestation,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signed by a preceptor authorized user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who meets the requirements in §§ 35.57,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35.290, or 35.390 and 35.290(c)(1)(ii)(G),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or equivalent Agreement State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requirements, that the individual has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satisfactorily completed the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paragraph (a)(1) or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(c)(1) of this section and has achieved a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level of competency sufficient to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function independently as an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 for the medical uses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under §§ 35.100 and 35.200.</w:t>
            </w: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4F5F2C" w:rsidRPr="001E4066" w:rsidRDefault="004F5F2C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B4050A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35.390</w:t>
            </w:r>
          </w:p>
        </w:tc>
        <w:tc>
          <w:tcPr>
            <w:tcW w:w="1440" w:type="dxa"/>
          </w:tcPr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use of unsealed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byproduct material for which a written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directive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 xml:space="preserve"> is </w:t>
            </w: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required.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B4050A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B4050A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B4050A">
              <w:rPr>
                <w:rFonts w:cs="Melior"/>
                <w:b/>
                <w:sz w:val="22"/>
                <w:szCs w:val="22"/>
              </w:rPr>
              <w:t>In § 35.390, the introductory text of</w:t>
            </w:r>
            <w:r w:rsidR="00B4050A" w:rsidRPr="00B4050A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b/>
                <w:sz w:val="22"/>
                <w:szCs w:val="22"/>
              </w:rPr>
              <w:t>paragraph (b)(1)(ii) and paragraph (b)(2)</w:t>
            </w:r>
            <w:r w:rsidR="00B4050A" w:rsidRPr="00B4050A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b/>
                <w:sz w:val="22"/>
                <w:szCs w:val="22"/>
              </w:rPr>
              <w:t>are revised to read as follows: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(b)(1) * * *</w:t>
            </w:r>
          </w:p>
          <w:p w:rsid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(ii) Work experience, under the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supervision of an authorized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user who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35.390, or equivalent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requirements. A supervising authorized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user, who meets the requirements in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35.390(b), must also have experience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 administering dosages in the same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dosage category or categories (</w:t>
            </w:r>
            <w:r w:rsidRPr="00B4050A">
              <w:rPr>
                <w:rFonts w:cs="Melior-Italic"/>
                <w:iCs/>
                <w:sz w:val="22"/>
                <w:szCs w:val="22"/>
              </w:rPr>
              <w:t>i.e.</w:t>
            </w:r>
            <w:r w:rsidRPr="00B4050A">
              <w:rPr>
                <w:rFonts w:cs="Melior"/>
                <w:sz w:val="22"/>
                <w:szCs w:val="22"/>
              </w:rPr>
              <w:t>,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1)(ii)(G)) as the individual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requesting authorized user status. The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work experience must involve—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obtained written attestation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that the individual has satisfactorily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completed the requirements in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paragraphs (a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 and (b)(1)(ii)(G) or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(b)(1) of this section, and has achieved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 level of competency sufficient to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function independently as an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 for the medical uses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under § 35.300. The written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attestation must be signed by a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preceptor authorized user who meets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requirements in §§ 35.57, 35.390, or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equivalent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lastRenderedPageBreak/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requirements. The preceptor authorized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user, who meets the requirements in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35.390(b) must have experience in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administering dosages in the same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dosage category or categories (</w:t>
            </w:r>
            <w:r w:rsidRPr="00B4050A">
              <w:rPr>
                <w:rFonts w:cs="Melior-Italic"/>
                <w:iCs/>
                <w:sz w:val="22"/>
                <w:szCs w:val="22"/>
              </w:rPr>
              <w:t>i.e.</w:t>
            </w:r>
            <w:r w:rsidRPr="00B4050A">
              <w:rPr>
                <w:rFonts w:cs="Melior"/>
                <w:sz w:val="22"/>
                <w:szCs w:val="22"/>
              </w:rPr>
              <w:t>,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1)(ii)(G)) as the individual</w:t>
            </w:r>
            <w:r w:rsid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requesting authorized user status.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B4050A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35.392</w:t>
            </w:r>
          </w:p>
        </w:tc>
        <w:tc>
          <w:tcPr>
            <w:tcW w:w="1440" w:type="dxa"/>
          </w:tcPr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the oral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administration of sodium iodide I-131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requiring a written directive in quantities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less than or equal to 1.22 gigabecquerels</w:t>
            </w:r>
          </w:p>
          <w:p w:rsidR="00B4050A" w:rsidRPr="00B4050A" w:rsidRDefault="00B4050A" w:rsidP="00B4050A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(33 millicuries).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B4050A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C0504F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0504F">
              <w:rPr>
                <w:rFonts w:cs="Melior"/>
                <w:b/>
                <w:sz w:val="22"/>
                <w:szCs w:val="22"/>
              </w:rPr>
              <w:t>In § 35.392, the introductory text of</w:t>
            </w:r>
            <w:r w:rsidR="00B4050A" w:rsidRPr="00C0504F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0504F">
              <w:rPr>
                <w:rFonts w:cs="Melior"/>
                <w:b/>
                <w:sz w:val="22"/>
                <w:szCs w:val="22"/>
              </w:rPr>
              <w:t>paragraph (c)(2) and paragraph (c)(3) are</w:t>
            </w:r>
            <w:r w:rsidR="00B4050A" w:rsidRPr="00C0504F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0504F">
              <w:rPr>
                <w:rFonts w:cs="Melior"/>
                <w:b/>
                <w:sz w:val="22"/>
                <w:szCs w:val="22"/>
              </w:rPr>
              <w:t>revised to read as follows: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(c)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work experience, under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supervision of an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35.390, 35.392, 35.394, or equivalent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requirements. A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supervising authorized user who meets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requirements in § 35.390(b) must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also have experience in administering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dosages as specified in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§§ 35.390(b)(1)(ii)(G)(1) or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1)(ii)(G)(2). The work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must involve—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lastRenderedPageBreak/>
              <w:t>* * * * *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(3) Has obtained written attestation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that the individual has satisfactorily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completed the requirements in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paragraphs (c)(1) and (c)(2) of this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section, and has achieved a level of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competency sufficient to function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independently as an authorized user for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medical uses authorized under 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35.300.</w:t>
            </w:r>
            <w:r w:rsidR="00C0504F">
              <w:rPr>
                <w:rFonts w:cs="Melior"/>
                <w:sz w:val="22"/>
                <w:szCs w:val="22"/>
              </w:rPr>
              <w:t xml:space="preserve">  </w:t>
            </w:r>
            <w:r w:rsidRPr="00B4050A">
              <w:rPr>
                <w:rFonts w:cs="Melior"/>
                <w:sz w:val="22"/>
                <w:szCs w:val="22"/>
              </w:rPr>
              <w:t>The written attestation must be signed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by a preceptor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35.390, 35.392, 35.394, or equivalent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requirements. A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preceptor authorized user, who meets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requirement in § 35.390(b), must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also have experience in administering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dosages as specified in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§§ 35.390(b)(1)(ii)(G)(1) or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1)(ii)(G)(</w:t>
            </w:r>
            <w:r w:rsidRPr="00B4050A">
              <w:rPr>
                <w:rFonts w:cs="Melior-Italic"/>
                <w:iCs/>
                <w:sz w:val="22"/>
                <w:szCs w:val="22"/>
              </w:rPr>
              <w:t>2</w:t>
            </w:r>
            <w:r w:rsidRPr="00B4050A">
              <w:rPr>
                <w:rFonts w:cs="Melior"/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C0504F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35.394</w:t>
            </w:r>
          </w:p>
        </w:tc>
        <w:tc>
          <w:tcPr>
            <w:tcW w:w="1440" w:type="dxa"/>
          </w:tcPr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the oral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administration of sodium iodide I-131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requiring a written directive in quantities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greater than 1.22 gigabecquerels (33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millicuries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>).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AD2122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C0504F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0504F">
              <w:rPr>
                <w:rFonts w:cs="Melior"/>
                <w:b/>
                <w:sz w:val="22"/>
                <w:szCs w:val="22"/>
              </w:rPr>
              <w:t>In § 35.394, the introductory text of</w:t>
            </w:r>
            <w:r w:rsidR="00C0504F" w:rsidRPr="00C0504F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0504F">
              <w:rPr>
                <w:rFonts w:cs="Melior"/>
                <w:b/>
                <w:sz w:val="22"/>
                <w:szCs w:val="22"/>
              </w:rPr>
              <w:t>paragraph (c)(2) and paragraph (c)(3) are</w:t>
            </w:r>
          </w:p>
          <w:p w:rsidR="00502C13" w:rsidRPr="00C0504F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0504F">
              <w:rPr>
                <w:rFonts w:cs="Melior"/>
                <w:b/>
                <w:sz w:val="22"/>
                <w:szCs w:val="22"/>
              </w:rPr>
              <w:t>revised to read as follows:</w:t>
            </w:r>
          </w:p>
          <w:p w:rsidR="00C0504F" w:rsidRPr="00B4050A" w:rsidRDefault="00C0504F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(c)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lastRenderedPageBreak/>
              <w:t>(2) Has work experience, under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supervision of an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 xml:space="preserve">35.390, 35.394, or equivalent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="00C0504F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requirements. A supervising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user, who meets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requirements in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35.390(b), must also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have experience in administering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dosages as specified in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1)(ii)(G)(2). The work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must involve—</w:t>
            </w:r>
          </w:p>
          <w:p w:rsidR="00C44FE6" w:rsidRPr="00B4050A" w:rsidRDefault="00502C13" w:rsidP="00502C13">
            <w:pPr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(3) Has obtained written attestation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that the individual has satisfactorily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completed the requirements in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paragraphs (c)(1) and (c)(2) of this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section, and has achieved a level of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competency sufficient to function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independently as an authorized user for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medical uses authorized under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35.300.</w:t>
            </w:r>
            <w:r w:rsidR="00C0504F">
              <w:rPr>
                <w:rFonts w:cs="Melior"/>
                <w:sz w:val="22"/>
                <w:szCs w:val="22"/>
              </w:rPr>
              <w:t xml:space="preserve">  </w:t>
            </w:r>
            <w:r w:rsidRPr="00B4050A">
              <w:rPr>
                <w:rFonts w:cs="Melior"/>
                <w:sz w:val="22"/>
                <w:szCs w:val="22"/>
              </w:rPr>
              <w:t>The written attestation must be signed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by a preceptor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35.390, 35.394, or equivalent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="00C0504F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requirements. A preceptor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user, who meets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§ 35.390(b), must also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have experience in administering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osages as specified in</w:t>
            </w:r>
          </w:p>
          <w:p w:rsidR="00502C13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 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1)(ii)(G)(</w:t>
            </w:r>
            <w:r w:rsidRPr="00B4050A">
              <w:rPr>
                <w:rFonts w:cs="Melior-Italic"/>
                <w:iCs/>
                <w:sz w:val="22"/>
                <w:szCs w:val="22"/>
              </w:rPr>
              <w:t>2</w:t>
            </w:r>
            <w:r w:rsidRPr="00B4050A">
              <w:rPr>
                <w:rFonts w:cs="Melior"/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C0504F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35.396</w:t>
            </w:r>
          </w:p>
        </w:tc>
        <w:tc>
          <w:tcPr>
            <w:tcW w:w="1440" w:type="dxa"/>
          </w:tcPr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the parenteral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administration of unsealed byproduct</w:t>
            </w:r>
          </w:p>
          <w:p w:rsidR="00C0504F" w:rsidRPr="00B4050A" w:rsidRDefault="00C0504F" w:rsidP="00C0504F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material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 xml:space="preserve"> requiring a written directive.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AD2122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C0504F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C0504F">
              <w:rPr>
                <w:rFonts w:cs="Melior"/>
                <w:b/>
                <w:sz w:val="22"/>
                <w:szCs w:val="22"/>
              </w:rPr>
              <w:t>In § 35.396, the introductory text</w:t>
            </w:r>
            <w:r w:rsidR="00C0504F" w:rsidRPr="00C0504F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0504F">
              <w:rPr>
                <w:rFonts w:cs="Melior"/>
                <w:b/>
                <w:sz w:val="22"/>
                <w:szCs w:val="22"/>
              </w:rPr>
              <w:t>of paragraph (d)(2) and paragraph (d)(3)</w:t>
            </w:r>
            <w:r w:rsidR="00C0504F" w:rsidRPr="00C0504F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C0504F">
              <w:rPr>
                <w:rFonts w:cs="Melior"/>
                <w:b/>
                <w:sz w:val="22"/>
                <w:szCs w:val="22"/>
              </w:rPr>
              <w:t>are revised to read as follows: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(d)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work experience, under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supervision of an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35.390, 35.396, or equivalent Agreement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State requirements, in the parenteral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administration, for which a written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directive is required, of any beta emitter,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or any photon-emitting radionuclide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with a photon energy less than 150 keV,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and/or parenteral administration of any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other radionuclide for which a written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directive is required. A supervising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 who meets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§ 35.390 must have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experience in administering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dosages as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specified in §§ 35.390(b</w:t>
            </w:r>
            <w:proofErr w:type="gramStart"/>
            <w:r w:rsidRPr="00B4050A">
              <w:rPr>
                <w:rFonts w:cs="Melior"/>
                <w:sz w:val="22"/>
                <w:szCs w:val="22"/>
              </w:rPr>
              <w:t>)(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>1)(ii)(G)(3)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and/or 35.390(b)(1)(ii)(G)(4). The work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must involve—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C0504F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(3) Has obtained written attestation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that the individual has satisfactorily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completed the requirements in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 (b) or (c) of this section, and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has achieved a level of competency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sufficient to function independently as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an authorized user for the parenteral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administration of unsealed byproduct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material requiring a written directive.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written attestation must be signed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by a preceptor authorized user who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meets the requirements in §§ 35.57,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35.390, 35.396, or equivalent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="00C0504F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requirements. A preceptor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user, who meets the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§ 35.390, must have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in administering dosages as</w:t>
            </w:r>
            <w:r w:rsidR="00C0504F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specified in 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§§ 35.390(b)(1)(ii)(G)(3)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proofErr w:type="gramStart"/>
            <w:r w:rsidRPr="00B4050A">
              <w:rPr>
                <w:rFonts w:cs="Melior"/>
                <w:sz w:val="22"/>
                <w:szCs w:val="22"/>
              </w:rPr>
              <w:t>and/or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 xml:space="preserve"> 35.390(b)(1)(ii)(G)(</w:t>
            </w:r>
            <w:r w:rsidRPr="00B4050A">
              <w:rPr>
                <w:rFonts w:cs="Melior-Italic"/>
                <w:iCs/>
                <w:sz w:val="22"/>
                <w:szCs w:val="22"/>
              </w:rPr>
              <w:t>4</w:t>
            </w:r>
            <w:r w:rsidRPr="00B4050A">
              <w:rPr>
                <w:rFonts w:cs="Melior"/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ED5DCB" w:rsidRDefault="00ED5DCB" w:rsidP="001E4066">
            <w:pPr>
              <w:rPr>
                <w:rFonts w:cs="Helvetica-Bold"/>
                <w:bCs/>
                <w:sz w:val="22"/>
                <w:szCs w:val="22"/>
              </w:rPr>
            </w:pPr>
          </w:p>
          <w:p w:rsidR="00C44FE6" w:rsidRPr="00B4050A" w:rsidRDefault="00ED5DCB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35.490</w:t>
            </w:r>
          </w:p>
        </w:tc>
        <w:tc>
          <w:tcPr>
            <w:tcW w:w="1440" w:type="dxa"/>
          </w:tcPr>
          <w:p w:rsidR="00ED5DCB" w:rsidRDefault="00ED5DCB" w:rsidP="00ED5DCB">
            <w:pPr>
              <w:widowControl/>
              <w:rPr>
                <w:rFonts w:cs="Helvetica-Bold"/>
                <w:bCs/>
                <w:sz w:val="22"/>
                <w:szCs w:val="22"/>
              </w:rPr>
            </w:pPr>
          </w:p>
          <w:p w:rsidR="00ED5DCB" w:rsidRPr="00B4050A" w:rsidRDefault="00ED5DCB" w:rsidP="00ED5DCB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Training for use of manual</w:t>
            </w:r>
          </w:p>
          <w:p w:rsidR="00ED5DCB" w:rsidRPr="00B4050A" w:rsidRDefault="00ED5DCB" w:rsidP="00ED5DCB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brachytherapy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 xml:space="preserve"> sources.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Default="00C44FE6" w:rsidP="001E40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D5DCB" w:rsidRPr="00B4050A" w:rsidRDefault="00ED5DCB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B</w:t>
            </w:r>
          </w:p>
        </w:tc>
        <w:tc>
          <w:tcPr>
            <w:tcW w:w="3240" w:type="dxa"/>
          </w:tcPr>
          <w:p w:rsidR="00ED5DCB" w:rsidRDefault="00ED5DCB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ED5DCB">
              <w:rPr>
                <w:rFonts w:cs="Melior"/>
                <w:b/>
                <w:sz w:val="22"/>
                <w:szCs w:val="22"/>
              </w:rPr>
              <w:lastRenderedPageBreak/>
              <w:t>In § 35.490, the introductory text</w:t>
            </w:r>
            <w:r w:rsidR="00ED5DCB" w:rsidRPr="00ED5DCB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D5DCB">
              <w:rPr>
                <w:rFonts w:cs="Melior"/>
                <w:b/>
                <w:sz w:val="22"/>
                <w:szCs w:val="22"/>
              </w:rPr>
              <w:t>of paragraph (b)(1)(ii) and paragraphs</w:t>
            </w:r>
            <w:r w:rsidR="00ED5DCB" w:rsidRPr="00ED5DCB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D5DCB">
              <w:rPr>
                <w:rFonts w:cs="Melior"/>
                <w:b/>
                <w:sz w:val="22"/>
                <w:szCs w:val="22"/>
              </w:rPr>
              <w:t>(b)(2) and (b)(3) are revised to read as</w:t>
            </w:r>
            <w:r w:rsidR="00ED5DCB" w:rsidRPr="00ED5DCB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D5DCB">
              <w:rPr>
                <w:rFonts w:cs="Melior"/>
                <w:b/>
                <w:sz w:val="22"/>
                <w:szCs w:val="22"/>
              </w:rPr>
              <w:t>follows</w:t>
            </w:r>
            <w:r w:rsidRPr="00B4050A">
              <w:rPr>
                <w:rFonts w:cs="Melior"/>
                <w:sz w:val="22"/>
                <w:szCs w:val="22"/>
              </w:rPr>
              <w:t>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(b)(1)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(ii) 500 hours of work experience,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under the supervision of an authorized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 who meets the requirements in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§§ 35.57, 35.490, or equivalent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 at a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medical institution, involving—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completed 3 years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supervised clinical experience in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radiation oncology, under an authorized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 who meets the requirements in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§§ 35.57, 35.490, or equivalent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Agreement State requirements, as part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 formal training program approved by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Residency Review Committee for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Radiation Oncology of the Accreditation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Council for Graduate Medical Education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proofErr w:type="gramStart"/>
            <w:r w:rsidRPr="00B4050A">
              <w:rPr>
                <w:rFonts w:cs="Melior"/>
                <w:sz w:val="22"/>
                <w:szCs w:val="22"/>
              </w:rPr>
              <w:t>or</w:t>
            </w:r>
            <w:proofErr w:type="gramEnd"/>
            <w:r w:rsidRPr="00B4050A">
              <w:rPr>
                <w:rFonts w:cs="Melior"/>
                <w:sz w:val="22"/>
                <w:szCs w:val="22"/>
              </w:rPr>
              <w:t xml:space="preserve"> the </w:t>
            </w:r>
            <w:smartTag w:uri="urn:schemas-microsoft-com:office:smarttags" w:element="PlaceName">
              <w:r w:rsidRPr="00B4050A">
                <w:rPr>
                  <w:rFonts w:cs="Melior"/>
                  <w:sz w:val="22"/>
                  <w:szCs w:val="22"/>
                </w:rPr>
                <w:t>Royal</w:t>
              </w:r>
            </w:smartTag>
            <w:r w:rsidRPr="00B4050A"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B4050A">
                <w:rPr>
                  <w:rFonts w:cs="Melior"/>
                  <w:sz w:val="22"/>
                  <w:szCs w:val="22"/>
                </w:rPr>
                <w:t>College</w:t>
              </w:r>
            </w:smartTag>
            <w:r w:rsidRPr="00B4050A">
              <w:rPr>
                <w:rFonts w:cs="Melior"/>
                <w:sz w:val="22"/>
                <w:szCs w:val="22"/>
              </w:rPr>
              <w:t xml:space="preserve"> of Physicians and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Surgeons of </w:t>
            </w:r>
            <w:smartTag w:uri="urn:schemas-microsoft-com:office:smarttags" w:element="place">
              <w:smartTag w:uri="urn:schemas-microsoft-com:office:smarttags" w:element="country-region">
                <w:r w:rsidRPr="00B4050A">
                  <w:rPr>
                    <w:rFonts w:cs="Melior"/>
                    <w:sz w:val="22"/>
                    <w:szCs w:val="22"/>
                  </w:rPr>
                  <w:lastRenderedPageBreak/>
                  <w:t>Canada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or the Committee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on Postdoctoral Training of the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American Osteopathic Association. This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may be obtained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concurrently with the supervised work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required by paragraph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(b)(1)(ii) of this section; and</w:t>
            </w:r>
          </w:p>
          <w:p w:rsidR="00ED5DCB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(3) Has obtained written attestation,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signed by a preceptor authorized user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who meets the requirements in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§§ 35.57,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35.490, or equivalent Agreement State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requirements, that the individual has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satisfactorily completed the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paragraph (a)(1), or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paragraphs (b)(1) and (b)(2), of this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section and has achieved a level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competency sufficient to function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independently as an authorized user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manual brachytherapy sources for the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medical uses authorized under § 35.400.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ED5DCB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35.491</w:t>
            </w:r>
          </w:p>
        </w:tc>
        <w:tc>
          <w:tcPr>
            <w:tcW w:w="1440" w:type="dxa"/>
          </w:tcPr>
          <w:p w:rsidR="00ED5DCB" w:rsidRPr="00B4050A" w:rsidRDefault="00ED5DCB" w:rsidP="00ED5DCB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ophthalmic use of</w:t>
            </w:r>
          </w:p>
          <w:p w:rsidR="00ED5DCB" w:rsidRPr="00B4050A" w:rsidRDefault="00ED5DCB" w:rsidP="00ED5DCB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strontium-90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>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AD2122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ED5DCB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ED5DCB">
              <w:rPr>
                <w:rFonts w:cs="Melior"/>
                <w:b/>
                <w:sz w:val="22"/>
                <w:szCs w:val="22"/>
              </w:rPr>
              <w:t>In § 35.491, paragraph (b)(3) is</w:t>
            </w:r>
            <w:r w:rsidR="00ED5DCB" w:rsidRPr="00ED5DCB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D5DCB">
              <w:rPr>
                <w:rFonts w:cs="Melior"/>
                <w:b/>
                <w:sz w:val="22"/>
                <w:szCs w:val="22"/>
              </w:rPr>
              <w:t>revised to read as follows: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(b) * * *</w:t>
            </w:r>
          </w:p>
          <w:p w:rsidR="00ED5DCB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 xml:space="preserve">(3) Has obtained written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attestation,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signed by a preceptor authorized user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who meets the requirements in 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§§ 35.57,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35.490, 35.491, or equivalent Agreement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State requirements, that the individual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has satisfactorily completed the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in paragraph (b) of this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section and has achieved a level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competency sufficient to function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independently as an authorized user of</w:t>
            </w:r>
            <w:r w:rsidR="00ED5DCB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strontium-90 for ophthalmic use.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  <w:tr w:rsidR="00C44FE6" w:rsidRPr="007A6D7C">
        <w:tc>
          <w:tcPr>
            <w:tcW w:w="1260" w:type="dxa"/>
          </w:tcPr>
          <w:p w:rsidR="00C44FE6" w:rsidRPr="00B4050A" w:rsidRDefault="00E833A9" w:rsidP="001E4066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lastRenderedPageBreak/>
              <w:t>§ 35.690</w:t>
            </w:r>
          </w:p>
        </w:tc>
        <w:tc>
          <w:tcPr>
            <w:tcW w:w="1440" w:type="dxa"/>
          </w:tcPr>
          <w:p w:rsidR="00E833A9" w:rsidRPr="00B4050A" w:rsidRDefault="00E833A9" w:rsidP="00E833A9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Training for use of remote</w:t>
            </w:r>
          </w:p>
          <w:p w:rsidR="00E833A9" w:rsidRPr="00B4050A" w:rsidRDefault="00E833A9" w:rsidP="00E833A9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r w:rsidRPr="00B4050A">
              <w:rPr>
                <w:rFonts w:cs="Helvetica-Bold"/>
                <w:bCs/>
                <w:sz w:val="22"/>
                <w:szCs w:val="22"/>
              </w:rPr>
              <w:t>afterloader units, teletherapy units, and</w:t>
            </w:r>
          </w:p>
          <w:p w:rsidR="00E833A9" w:rsidRPr="00B4050A" w:rsidRDefault="00E833A9" w:rsidP="00E833A9">
            <w:pPr>
              <w:widowControl/>
              <w:rPr>
                <w:rFonts w:cs="Helvetica-Bold"/>
                <w:bCs/>
                <w:sz w:val="22"/>
                <w:szCs w:val="22"/>
              </w:rPr>
            </w:pPr>
            <w:proofErr w:type="gramStart"/>
            <w:r w:rsidRPr="00B4050A">
              <w:rPr>
                <w:rFonts w:cs="Helvetica-Bold"/>
                <w:bCs/>
                <w:sz w:val="22"/>
                <w:szCs w:val="22"/>
              </w:rPr>
              <w:t>gamma</w:t>
            </w:r>
            <w:proofErr w:type="gramEnd"/>
            <w:r w:rsidRPr="00B4050A">
              <w:rPr>
                <w:rFonts w:cs="Helvetica-Bold"/>
                <w:bCs/>
                <w:sz w:val="22"/>
                <w:szCs w:val="22"/>
              </w:rPr>
              <w:t xml:space="preserve"> stereotactic radiosurgery units.</w:t>
            </w:r>
          </w:p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C44FE6" w:rsidRPr="00B4050A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C44FE6" w:rsidRPr="00B4050A" w:rsidRDefault="00AD2122" w:rsidP="001E40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240" w:type="dxa"/>
          </w:tcPr>
          <w:p w:rsidR="00502C13" w:rsidRPr="00E833A9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  <w:r w:rsidRPr="00E833A9">
              <w:rPr>
                <w:rFonts w:cs="Melior"/>
                <w:b/>
                <w:sz w:val="22"/>
                <w:szCs w:val="22"/>
              </w:rPr>
              <w:t>In § 35.690, the introductory text</w:t>
            </w:r>
            <w:r w:rsidR="00E833A9" w:rsidRPr="00E833A9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833A9">
              <w:rPr>
                <w:rFonts w:cs="Melior"/>
                <w:b/>
                <w:sz w:val="22"/>
                <w:szCs w:val="22"/>
              </w:rPr>
              <w:t>of paragraph (b)(1)(ii) and paragraphs</w:t>
            </w:r>
            <w:r w:rsidR="00E833A9" w:rsidRPr="00E833A9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833A9">
              <w:rPr>
                <w:rFonts w:cs="Melior"/>
                <w:b/>
                <w:sz w:val="22"/>
                <w:szCs w:val="22"/>
              </w:rPr>
              <w:t>(b)(2) and (b)(3) are revised to read as</w:t>
            </w:r>
            <w:r w:rsidR="00E833A9" w:rsidRPr="00E833A9">
              <w:rPr>
                <w:rFonts w:cs="Melior"/>
                <w:b/>
                <w:sz w:val="22"/>
                <w:szCs w:val="22"/>
              </w:rPr>
              <w:t xml:space="preserve"> </w:t>
            </w:r>
            <w:r w:rsidRPr="00E833A9">
              <w:rPr>
                <w:rFonts w:cs="Melior"/>
                <w:b/>
                <w:sz w:val="22"/>
                <w:szCs w:val="22"/>
              </w:rPr>
              <w:t>follows:</w:t>
            </w:r>
          </w:p>
          <w:p w:rsidR="00502C13" w:rsidRPr="00E833A9" w:rsidRDefault="00502C13" w:rsidP="00502C13">
            <w:pPr>
              <w:widowControl/>
              <w:rPr>
                <w:rFonts w:cs="Melior"/>
                <w:b/>
                <w:sz w:val="22"/>
                <w:szCs w:val="22"/>
              </w:rPr>
            </w:pP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(b)(1)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(ii) 500 hours of work experience,</w:t>
            </w:r>
            <w:r w:rsidR="00E833A9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under the supervision of an authorized</w:t>
            </w:r>
            <w:r w:rsidR="00E833A9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 who meets the requirements in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§§ 35.57, 35.690, or equivalent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B4050A">
                  <w:rPr>
                    <w:rFonts w:cs="Melior"/>
                    <w:sz w:val="22"/>
                    <w:szCs w:val="22"/>
                  </w:rPr>
                  <w:t>Agreement</w:t>
                </w:r>
              </w:smartTag>
              <w:r w:rsidRPr="00B4050A">
                <w:rPr>
                  <w:rFonts w:cs="Melior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050A">
                  <w:rPr>
                    <w:rFonts w:cs="Melior"/>
                    <w:sz w:val="22"/>
                    <w:szCs w:val="22"/>
                  </w:rPr>
                  <w:t>State</w:t>
                </w:r>
              </w:smartTag>
            </w:smartTag>
            <w:r w:rsidRPr="00B4050A">
              <w:rPr>
                <w:rFonts w:cs="Melior"/>
                <w:sz w:val="22"/>
                <w:szCs w:val="22"/>
              </w:rPr>
              <w:t xml:space="preserve"> requirements at a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medical institution, involving—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* * * * *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(2) Has completed 3 years of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supervised clinical experience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in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radiation therapy, under an authorized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user who meets the requirements in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§§ 35.57, 35.690, or equivalent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Agreement State requirements, as part of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 formal training program approved by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 Residency Review Committee for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Radiation Oncology of the Accreditation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Council for Graduate Medical Education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or the Royal College of Physicians and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Surgeons of Canada or the Committee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on Postdoctoral Training of the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American Osteopathic Association. This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may be obtained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concurrently with the supervised work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experience required by paragraph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(b)(1)(ii) of this section; and</w:t>
            </w:r>
          </w:p>
          <w:p w:rsidR="00502C13" w:rsidRPr="00B4050A" w:rsidRDefault="00502C13" w:rsidP="00502C13">
            <w:pPr>
              <w:widowControl/>
              <w:rPr>
                <w:rFonts w:cs="Melior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(3) Has obtained written attestation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that the individual has satisfactorily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completed the requirements in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paragraph (a)(1) or paragraphs (b)(1) and</w:t>
            </w:r>
          </w:p>
          <w:p w:rsidR="00C44FE6" w:rsidRPr="00B4050A" w:rsidRDefault="00502C13" w:rsidP="00502C13">
            <w:pPr>
              <w:rPr>
                <w:rFonts w:cs="Arial"/>
                <w:sz w:val="22"/>
                <w:szCs w:val="22"/>
              </w:rPr>
            </w:pPr>
            <w:r w:rsidRPr="00B4050A">
              <w:rPr>
                <w:rFonts w:cs="Melior"/>
                <w:sz w:val="22"/>
                <w:szCs w:val="22"/>
              </w:rPr>
              <w:t>(b)(2), and paragraph (c), of this section,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and has achieved a level of competency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sufficient to function independently as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 xml:space="preserve">an </w:t>
            </w:r>
            <w:r w:rsidRPr="00B4050A">
              <w:rPr>
                <w:rFonts w:cs="Melior"/>
                <w:sz w:val="22"/>
                <w:szCs w:val="22"/>
              </w:rPr>
              <w:lastRenderedPageBreak/>
              <w:t>authorized user of each type of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therapeutic medical unit for which the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individual is requesting authorized user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status. The written attestation must be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signed by a preceptor authorized user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who meets the requirements in §§ 35.57,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35.690, or equivalent Agreement State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requirements for an authorized user for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each type of therapeutic medical unit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for which the individual is requesting</w:t>
            </w:r>
            <w:r w:rsidR="007A21F6">
              <w:rPr>
                <w:rFonts w:cs="Melior"/>
                <w:sz w:val="22"/>
                <w:szCs w:val="22"/>
              </w:rPr>
              <w:t xml:space="preserve"> </w:t>
            </w:r>
            <w:r w:rsidRPr="00B4050A">
              <w:rPr>
                <w:rFonts w:cs="Melior"/>
                <w:sz w:val="22"/>
                <w:szCs w:val="22"/>
              </w:rPr>
              <w:t>authorized user status; and</w:t>
            </w: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44FE6" w:rsidRPr="001E4066" w:rsidRDefault="00C44FE6" w:rsidP="001E406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A7CBF" w:rsidRPr="004749ED" w:rsidRDefault="001A7CBF" w:rsidP="004749ED">
      <w:pPr>
        <w:sectPr w:rsidR="001A7CBF" w:rsidRPr="004749ED" w:rsidSect="002D5A53">
          <w:headerReference w:type="default" r:id="rId7"/>
          <w:footerReference w:type="default" r:id="rId8"/>
          <w:pgSz w:w="15838" w:h="12240" w:orient="landscape"/>
          <w:pgMar w:top="1080" w:right="907" w:bottom="792" w:left="1440" w:header="1080" w:footer="792" w:gutter="0"/>
          <w:pgNumType w:start="1"/>
          <w:cols w:space="720"/>
          <w:noEndnote/>
        </w:sectPr>
      </w:pPr>
    </w:p>
    <w:p w:rsidR="00C3153E" w:rsidRDefault="00C3153E" w:rsidP="00C3153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  <w:sz w:val="22"/>
          <w:szCs w:val="22"/>
        </w:rPr>
      </w:pPr>
    </w:p>
    <w:sectPr w:rsidR="00C3153E" w:rsidSect="00164974">
      <w:type w:val="continuous"/>
      <w:pgSz w:w="15838" w:h="12240" w:orient="landscape"/>
      <w:pgMar w:top="1080" w:right="720" w:bottom="576" w:left="1296" w:header="1080" w:footer="79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0F" w:rsidRDefault="0087290F">
      <w:r>
        <w:separator/>
      </w:r>
    </w:p>
  </w:endnote>
  <w:endnote w:type="continuationSeparator" w:id="0">
    <w:p w:rsidR="0087290F" w:rsidRDefault="0087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22" w:rsidRDefault="00AD2122">
    <w:pPr>
      <w:spacing w:line="240" w:lineRule="exact"/>
    </w:pPr>
  </w:p>
  <w:p w:rsidR="00AD2122" w:rsidRDefault="00AD2122" w:rsidP="002D5A53">
    <w:pPr>
      <w:framePr w:wrap="around" w:vAnchor="text" w:hAnchor="margin" w:xAlign="center" w:y="1"/>
      <w:rPr>
        <w:rFonts w:cs="Arial"/>
        <w:sz w:val="22"/>
        <w:szCs w:val="22"/>
      </w:rPr>
    </w:pPr>
    <w:r>
      <w:rPr>
        <w:rFonts w:cs="Arial"/>
        <w:sz w:val="22"/>
        <w:szCs w:val="22"/>
      </w:rPr>
      <w:fldChar w:fldCharType="begin"/>
    </w:r>
    <w:r>
      <w:rPr>
        <w:rFonts w:cs="Arial"/>
        <w:sz w:val="22"/>
        <w:szCs w:val="22"/>
      </w:rPr>
      <w:instrText xml:space="preserve">PAGE </w:instrText>
    </w:r>
    <w:r>
      <w:rPr>
        <w:rFonts w:cs="Arial"/>
        <w:sz w:val="22"/>
        <w:szCs w:val="22"/>
      </w:rPr>
      <w:fldChar w:fldCharType="separate"/>
    </w:r>
    <w:r w:rsidR="00DC46DE">
      <w:rPr>
        <w:rFonts w:cs="Arial"/>
        <w:noProof/>
        <w:sz w:val="22"/>
        <w:szCs w:val="22"/>
      </w:rPr>
      <w:t>1</w:t>
    </w:r>
    <w:r>
      <w:rPr>
        <w:rFonts w:cs="Arial"/>
        <w:sz w:val="22"/>
        <w:szCs w:val="22"/>
      </w:rPr>
      <w:fldChar w:fldCharType="end"/>
    </w:r>
  </w:p>
  <w:p w:rsidR="00AD2122" w:rsidRDefault="00AD2122">
    <w:pPr>
      <w:ind w:left="630" w:right="54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0F" w:rsidRDefault="0087290F">
      <w:r>
        <w:separator/>
      </w:r>
    </w:p>
  </w:footnote>
  <w:footnote w:type="continuationSeparator" w:id="0">
    <w:p w:rsidR="0087290F" w:rsidRDefault="00872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22" w:rsidRDefault="00AD21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38E54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8C3285"/>
    <w:multiLevelType w:val="hybridMultilevel"/>
    <w:tmpl w:val="D0E0D2C6"/>
    <w:lvl w:ilvl="0" w:tplc="24148B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bordersDoNotSurroundHeader/>
  <w:bordersDoNotSurroundFooter/>
  <w:proofState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A7CBF"/>
    <w:rsid w:val="00040E97"/>
    <w:rsid w:val="00041E35"/>
    <w:rsid w:val="00045AA8"/>
    <w:rsid w:val="00067E00"/>
    <w:rsid w:val="000950D3"/>
    <w:rsid w:val="000972AB"/>
    <w:rsid w:val="000C637E"/>
    <w:rsid w:val="000C6545"/>
    <w:rsid w:val="000D5AD9"/>
    <w:rsid w:val="000E2332"/>
    <w:rsid w:val="000F0CC4"/>
    <w:rsid w:val="000F59B6"/>
    <w:rsid w:val="00125EA3"/>
    <w:rsid w:val="00136953"/>
    <w:rsid w:val="00152E11"/>
    <w:rsid w:val="00164974"/>
    <w:rsid w:val="00183A85"/>
    <w:rsid w:val="001A7CBF"/>
    <w:rsid w:val="001E4066"/>
    <w:rsid w:val="001E48A1"/>
    <w:rsid w:val="001F2158"/>
    <w:rsid w:val="001F6ACE"/>
    <w:rsid w:val="002057B1"/>
    <w:rsid w:val="00211A6D"/>
    <w:rsid w:val="00254E58"/>
    <w:rsid w:val="0025694A"/>
    <w:rsid w:val="0025728D"/>
    <w:rsid w:val="00286BDC"/>
    <w:rsid w:val="00295A99"/>
    <w:rsid w:val="00295C0C"/>
    <w:rsid w:val="002A05FE"/>
    <w:rsid w:val="002A0E5F"/>
    <w:rsid w:val="002C6E8D"/>
    <w:rsid w:val="002C71FF"/>
    <w:rsid w:val="002D5A53"/>
    <w:rsid w:val="00303ED1"/>
    <w:rsid w:val="00322BDB"/>
    <w:rsid w:val="00340C2E"/>
    <w:rsid w:val="00346F5E"/>
    <w:rsid w:val="003576F5"/>
    <w:rsid w:val="003664DD"/>
    <w:rsid w:val="0038557C"/>
    <w:rsid w:val="00385D75"/>
    <w:rsid w:val="003B2C98"/>
    <w:rsid w:val="003C560C"/>
    <w:rsid w:val="003D4E6E"/>
    <w:rsid w:val="004022BE"/>
    <w:rsid w:val="00432C7B"/>
    <w:rsid w:val="00435207"/>
    <w:rsid w:val="00437D8F"/>
    <w:rsid w:val="00452A8D"/>
    <w:rsid w:val="00470A8F"/>
    <w:rsid w:val="00470E0F"/>
    <w:rsid w:val="004747A3"/>
    <w:rsid w:val="004749ED"/>
    <w:rsid w:val="00486C7C"/>
    <w:rsid w:val="00496AE5"/>
    <w:rsid w:val="00497114"/>
    <w:rsid w:val="004A5FCC"/>
    <w:rsid w:val="004C2C4D"/>
    <w:rsid w:val="004F5F2C"/>
    <w:rsid w:val="00502C13"/>
    <w:rsid w:val="00503F19"/>
    <w:rsid w:val="005205F0"/>
    <w:rsid w:val="00524690"/>
    <w:rsid w:val="00526973"/>
    <w:rsid w:val="005516BE"/>
    <w:rsid w:val="0057741C"/>
    <w:rsid w:val="00593B45"/>
    <w:rsid w:val="00596DB8"/>
    <w:rsid w:val="005A50AE"/>
    <w:rsid w:val="005D39FC"/>
    <w:rsid w:val="005E4BFF"/>
    <w:rsid w:val="005F2938"/>
    <w:rsid w:val="00641492"/>
    <w:rsid w:val="0065739E"/>
    <w:rsid w:val="00663FD4"/>
    <w:rsid w:val="0068138F"/>
    <w:rsid w:val="00697C39"/>
    <w:rsid w:val="006A4001"/>
    <w:rsid w:val="006B4ADD"/>
    <w:rsid w:val="006D37D2"/>
    <w:rsid w:val="006F3848"/>
    <w:rsid w:val="007315B0"/>
    <w:rsid w:val="00731991"/>
    <w:rsid w:val="007A1CA6"/>
    <w:rsid w:val="007A21F6"/>
    <w:rsid w:val="007A6D7C"/>
    <w:rsid w:val="007A7653"/>
    <w:rsid w:val="007B4872"/>
    <w:rsid w:val="007B5828"/>
    <w:rsid w:val="007E3622"/>
    <w:rsid w:val="007E3F83"/>
    <w:rsid w:val="007F2939"/>
    <w:rsid w:val="008002D8"/>
    <w:rsid w:val="00812ABA"/>
    <w:rsid w:val="00844BEF"/>
    <w:rsid w:val="0085489D"/>
    <w:rsid w:val="008668BA"/>
    <w:rsid w:val="0087290F"/>
    <w:rsid w:val="00873B3F"/>
    <w:rsid w:val="008A4BFF"/>
    <w:rsid w:val="008C131A"/>
    <w:rsid w:val="008D4AD4"/>
    <w:rsid w:val="008E1CCB"/>
    <w:rsid w:val="008F3411"/>
    <w:rsid w:val="00921A9E"/>
    <w:rsid w:val="00926D79"/>
    <w:rsid w:val="00932F4E"/>
    <w:rsid w:val="00934189"/>
    <w:rsid w:val="00941E02"/>
    <w:rsid w:val="009421A9"/>
    <w:rsid w:val="00961936"/>
    <w:rsid w:val="009772A4"/>
    <w:rsid w:val="0099064D"/>
    <w:rsid w:val="00994064"/>
    <w:rsid w:val="009A6636"/>
    <w:rsid w:val="009B248D"/>
    <w:rsid w:val="009D50EF"/>
    <w:rsid w:val="009D57FE"/>
    <w:rsid w:val="009E0D2A"/>
    <w:rsid w:val="009E0F6E"/>
    <w:rsid w:val="009E1A44"/>
    <w:rsid w:val="00A207A4"/>
    <w:rsid w:val="00A243DE"/>
    <w:rsid w:val="00A360CF"/>
    <w:rsid w:val="00A3700A"/>
    <w:rsid w:val="00A427F0"/>
    <w:rsid w:val="00A72584"/>
    <w:rsid w:val="00A92A9B"/>
    <w:rsid w:val="00A975E6"/>
    <w:rsid w:val="00AD2122"/>
    <w:rsid w:val="00AD23F0"/>
    <w:rsid w:val="00AF530A"/>
    <w:rsid w:val="00B00A15"/>
    <w:rsid w:val="00B01ADF"/>
    <w:rsid w:val="00B2458B"/>
    <w:rsid w:val="00B4050A"/>
    <w:rsid w:val="00B4573A"/>
    <w:rsid w:val="00B55D15"/>
    <w:rsid w:val="00B61611"/>
    <w:rsid w:val="00BB0358"/>
    <w:rsid w:val="00BC69C1"/>
    <w:rsid w:val="00BD45D6"/>
    <w:rsid w:val="00BF3B8A"/>
    <w:rsid w:val="00C0168C"/>
    <w:rsid w:val="00C0504F"/>
    <w:rsid w:val="00C1001E"/>
    <w:rsid w:val="00C3153E"/>
    <w:rsid w:val="00C35396"/>
    <w:rsid w:val="00C36569"/>
    <w:rsid w:val="00C44FE6"/>
    <w:rsid w:val="00C46855"/>
    <w:rsid w:val="00C53B3E"/>
    <w:rsid w:val="00C73382"/>
    <w:rsid w:val="00CA3735"/>
    <w:rsid w:val="00CA63BD"/>
    <w:rsid w:val="00CF1826"/>
    <w:rsid w:val="00D1293D"/>
    <w:rsid w:val="00D12F5D"/>
    <w:rsid w:val="00D24B6C"/>
    <w:rsid w:val="00D30BBC"/>
    <w:rsid w:val="00D468B7"/>
    <w:rsid w:val="00D8073C"/>
    <w:rsid w:val="00DA700A"/>
    <w:rsid w:val="00DC112C"/>
    <w:rsid w:val="00DC46DE"/>
    <w:rsid w:val="00DE09B6"/>
    <w:rsid w:val="00DF5769"/>
    <w:rsid w:val="00E43203"/>
    <w:rsid w:val="00E52D3A"/>
    <w:rsid w:val="00E605D1"/>
    <w:rsid w:val="00E833A9"/>
    <w:rsid w:val="00EB40AD"/>
    <w:rsid w:val="00ED5DCB"/>
    <w:rsid w:val="00EE3D60"/>
    <w:rsid w:val="00F32AB1"/>
    <w:rsid w:val="00F4544B"/>
    <w:rsid w:val="00F55339"/>
    <w:rsid w:val="00F64DDD"/>
    <w:rsid w:val="00F6771D"/>
    <w:rsid w:val="00F7656A"/>
    <w:rsid w:val="00F85F39"/>
    <w:rsid w:val="00F905C1"/>
    <w:rsid w:val="00FA0134"/>
    <w:rsid w:val="00FA67B1"/>
    <w:rsid w:val="00FA6D8E"/>
    <w:rsid w:val="00FC1045"/>
    <w:rsid w:val="00FE493C"/>
    <w:rsid w:val="00FF110A"/>
    <w:rsid w:val="00FF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F57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5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character" w:customStyle="1" w:styleId="Hypertext">
    <w:name w:val="Hypertext"/>
    <w:rPr>
      <w:color w:val="0000FF"/>
      <w:u w:val="single"/>
    </w:rPr>
  </w:style>
  <w:style w:type="table" w:styleId="TableGrid">
    <w:name w:val="Table Grid"/>
    <w:basedOn w:val="TableNormal"/>
    <w:rsid w:val="00C31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C31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205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7B1"/>
  </w:style>
  <w:style w:type="paragraph" w:styleId="BalloonText">
    <w:name w:val="Balloon Text"/>
    <w:basedOn w:val="Normal"/>
    <w:semiHidden/>
    <w:rsid w:val="000D5AD9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DF5769"/>
    <w:pPr>
      <w:ind w:left="720" w:hanging="360"/>
    </w:pPr>
  </w:style>
  <w:style w:type="paragraph" w:styleId="ListBullet2">
    <w:name w:val="List Bullet 2"/>
    <w:basedOn w:val="Normal"/>
    <w:rsid w:val="00DF5769"/>
    <w:pPr>
      <w:numPr>
        <w:numId w:val="2"/>
      </w:numPr>
    </w:pPr>
  </w:style>
  <w:style w:type="paragraph" w:styleId="Title">
    <w:name w:val="Title"/>
    <w:basedOn w:val="Normal"/>
    <w:qFormat/>
    <w:rsid w:val="00DF57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DF5769"/>
    <w:pPr>
      <w:spacing w:after="120"/>
    </w:pPr>
  </w:style>
  <w:style w:type="character" w:styleId="Hyperlink">
    <w:name w:val="Hyperlink"/>
    <w:basedOn w:val="DefaultParagraphFont"/>
    <w:rsid w:val="00DF5769"/>
    <w:rPr>
      <w:color w:val="0000FF"/>
      <w:u w:val="single"/>
    </w:rPr>
  </w:style>
  <w:style w:type="paragraph" w:styleId="BodyTextFirstIndent">
    <w:name w:val="Body Text First Indent"/>
    <w:basedOn w:val="BodyText"/>
    <w:rsid w:val="00DF5769"/>
    <w:pPr>
      <w:ind w:firstLine="210"/>
    </w:pPr>
  </w:style>
  <w:style w:type="paragraph" w:styleId="Header">
    <w:name w:val="header"/>
    <w:basedOn w:val="Normal"/>
    <w:rsid w:val="002D5A5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AGREEMENT STATES, MICHIGAN, NEW JERSEY, PENNSYLVANIA, VIRGINIA</vt:lpstr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AGREEMENT STATES, MICHIGAN, NEW JERSEY, PENNSYLVANIA, VIRGINIA</dc:title>
  <dc:subject/>
  <dc:creator>MLO1</dc:creator>
  <cp:keywords/>
  <dc:description/>
  <cp:lastModifiedBy>KNM1</cp:lastModifiedBy>
  <cp:revision>2</cp:revision>
  <cp:lastPrinted>2007-12-26T14:58:00Z</cp:lastPrinted>
  <dcterms:created xsi:type="dcterms:W3CDTF">2011-05-02T15:29:00Z</dcterms:created>
  <dcterms:modified xsi:type="dcterms:W3CDTF">2011-05-02T15:29:00Z</dcterms:modified>
</cp:coreProperties>
</file>