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66" w:rsidRDefault="001E4066" w:rsidP="001E4066">
      <w:pPr>
        <w:jc w:val="center"/>
        <w:rPr>
          <w:rFonts w:cs="Arial"/>
          <w:b/>
          <w:bCs/>
        </w:rPr>
      </w:pPr>
      <w:r>
        <w:rPr>
          <w:rFonts w:cs="Arial"/>
          <w:b/>
          <w:bCs/>
        </w:rPr>
        <w:t xml:space="preserve">   Occupational Dose Records, Labeling Containers, and the Total Effective Dose Equivalent Parts – 19 and 20</w:t>
      </w:r>
    </w:p>
    <w:p w:rsidR="009A6636" w:rsidRDefault="009A6636" w:rsidP="009A6636">
      <w:pPr>
        <w:jc w:val="center"/>
        <w:rPr>
          <w:rFonts w:cs="Arial"/>
          <w:b/>
          <w:bCs/>
        </w:rPr>
      </w:pPr>
      <w:r>
        <w:rPr>
          <w:rFonts w:cs="Arial"/>
          <w:b/>
          <w:bCs/>
        </w:rPr>
        <w:t>(72 FR 68043) RATS ID # 2008-1 Effective date 02/15/08</w:t>
      </w:r>
    </w:p>
    <w:p w:rsidR="001E4066" w:rsidRDefault="001E4066" w:rsidP="001E4066">
      <w:pPr>
        <w:jc w:val="center"/>
        <w:rPr>
          <w:rFonts w:ascii="Shruti" w:hAnsi="Shruti" w:cs="Shruti"/>
          <w:szCs w:val="22"/>
        </w:rPr>
      </w:pPr>
      <w:r w:rsidRPr="002C6E8D">
        <w:rPr>
          <w:rFonts w:cs="Arial"/>
          <w:b/>
          <w:bCs/>
        </w:rPr>
        <w:t>Date Due for State Adoption</w:t>
      </w:r>
      <w:r>
        <w:rPr>
          <w:rFonts w:cs="Arial"/>
          <w:b/>
          <w:bCs/>
        </w:rPr>
        <w:t xml:space="preserve"> 02/15/11</w:t>
      </w:r>
    </w:p>
    <w:p w:rsidR="001E4066" w:rsidRDefault="001E4066"/>
    <w:p w:rsidR="001E4066" w:rsidRDefault="001E4066"/>
    <w:tbl>
      <w:tblPr>
        <w:tblStyle w:val="TableGrid"/>
        <w:tblW w:w="14940" w:type="dxa"/>
        <w:tblInd w:w="-792" w:type="dxa"/>
        <w:tblBorders>
          <w:top w:val="double" w:sz="6" w:space="0" w:color="auto"/>
          <w:left w:val="double" w:sz="6" w:space="0" w:color="auto"/>
          <w:bottom w:val="double" w:sz="6" w:space="0" w:color="auto"/>
          <w:right w:val="double" w:sz="6" w:space="0" w:color="auto"/>
        </w:tblBorders>
        <w:tblLayout w:type="fixed"/>
        <w:tblLook w:val="01E0"/>
      </w:tblPr>
      <w:tblGrid>
        <w:gridCol w:w="1260"/>
        <w:gridCol w:w="1440"/>
        <w:gridCol w:w="1080"/>
        <w:gridCol w:w="2160"/>
        <w:gridCol w:w="3240"/>
        <w:gridCol w:w="1440"/>
        <w:gridCol w:w="1440"/>
        <w:gridCol w:w="2880"/>
      </w:tblGrid>
      <w:tr w:rsidR="004F5F2C" w:rsidTr="001E4066">
        <w:trPr>
          <w:tblHeader/>
        </w:trPr>
        <w:tc>
          <w:tcPr>
            <w:tcW w:w="1260" w:type="dxa"/>
            <w:tcBorders>
              <w:top w:val="double" w:sz="6" w:space="0" w:color="auto"/>
              <w:bottom w:val="double" w:sz="6" w:space="0" w:color="auto"/>
            </w:tcBorders>
            <w:shd w:val="clear" w:color="auto" w:fill="auto"/>
          </w:tcPr>
          <w:p w:rsidR="004F5F2C" w:rsidRPr="001E4066" w:rsidRDefault="004F5F2C" w:rsidP="001E4066">
            <w:pPr>
              <w:jc w:val="center"/>
              <w:rPr>
                <w:rFonts w:cs="Arial"/>
                <w:sz w:val="22"/>
                <w:szCs w:val="22"/>
              </w:rPr>
            </w:pPr>
          </w:p>
          <w:p w:rsidR="004F5F2C" w:rsidRPr="001E4066" w:rsidRDefault="004F5F2C" w:rsidP="001E4066">
            <w:pPr>
              <w:jc w:val="center"/>
              <w:rPr>
                <w:rFonts w:cs="Arial"/>
                <w:b/>
                <w:bCs/>
                <w:sz w:val="22"/>
                <w:szCs w:val="22"/>
              </w:rPr>
            </w:pPr>
            <w:r w:rsidRPr="001E4066">
              <w:rPr>
                <w:rFonts w:cs="Arial"/>
                <w:b/>
                <w:bCs/>
                <w:sz w:val="22"/>
                <w:szCs w:val="22"/>
              </w:rPr>
              <w:t>Change to NRC</w:t>
            </w:r>
          </w:p>
          <w:p w:rsidR="004F5F2C" w:rsidRPr="001E4066" w:rsidRDefault="004F5F2C" w:rsidP="001E4066">
            <w:pPr>
              <w:jc w:val="center"/>
              <w:rPr>
                <w:rFonts w:cs="Arial"/>
                <w:b/>
                <w:bCs/>
                <w:sz w:val="22"/>
                <w:szCs w:val="22"/>
              </w:rPr>
            </w:pPr>
            <w:r w:rsidRPr="001E4066">
              <w:rPr>
                <w:rFonts w:cs="Arial"/>
                <w:b/>
                <w:bCs/>
                <w:sz w:val="22"/>
                <w:szCs w:val="22"/>
              </w:rPr>
              <w:t>Section</w:t>
            </w:r>
          </w:p>
        </w:tc>
        <w:tc>
          <w:tcPr>
            <w:tcW w:w="144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tabs>
                <w:tab w:val="center" w:pos="825"/>
              </w:tabs>
              <w:jc w:val="center"/>
              <w:rPr>
                <w:rFonts w:cs="Arial"/>
                <w:b/>
                <w:bCs/>
                <w:sz w:val="22"/>
                <w:szCs w:val="22"/>
              </w:rPr>
            </w:pPr>
            <w:r w:rsidRPr="001E4066">
              <w:rPr>
                <w:rFonts w:cs="Arial"/>
                <w:b/>
                <w:bCs/>
                <w:sz w:val="22"/>
                <w:szCs w:val="22"/>
              </w:rPr>
              <w:t>Title</w:t>
            </w:r>
          </w:p>
        </w:tc>
        <w:tc>
          <w:tcPr>
            <w:tcW w:w="108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tabs>
                <w:tab w:val="center" w:pos="375"/>
              </w:tabs>
              <w:jc w:val="center"/>
              <w:rPr>
                <w:rFonts w:cs="Arial"/>
                <w:b/>
                <w:bCs/>
                <w:sz w:val="22"/>
                <w:szCs w:val="22"/>
              </w:rPr>
            </w:pPr>
            <w:r w:rsidRPr="001E4066">
              <w:rPr>
                <w:rFonts w:cs="Arial"/>
                <w:b/>
                <w:bCs/>
                <w:sz w:val="22"/>
                <w:szCs w:val="22"/>
              </w:rPr>
              <w:t>State</w:t>
            </w:r>
          </w:p>
          <w:p w:rsidR="004F5F2C" w:rsidRPr="001E4066" w:rsidRDefault="004F5F2C" w:rsidP="001E4066">
            <w:pPr>
              <w:jc w:val="center"/>
              <w:rPr>
                <w:rFonts w:cs="Arial"/>
                <w:b/>
                <w:bCs/>
                <w:sz w:val="22"/>
                <w:szCs w:val="22"/>
              </w:rPr>
            </w:pPr>
            <w:r w:rsidRPr="001E4066">
              <w:rPr>
                <w:rFonts w:cs="Arial"/>
                <w:b/>
                <w:bCs/>
                <w:sz w:val="22"/>
                <w:szCs w:val="22"/>
              </w:rPr>
              <w:t>Section</w:t>
            </w:r>
          </w:p>
        </w:tc>
        <w:tc>
          <w:tcPr>
            <w:tcW w:w="216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jc w:val="center"/>
              <w:rPr>
                <w:rFonts w:cs="Arial"/>
                <w:b/>
                <w:bCs/>
                <w:sz w:val="22"/>
                <w:szCs w:val="22"/>
              </w:rPr>
            </w:pPr>
            <w:r w:rsidRPr="001E4066">
              <w:rPr>
                <w:rFonts w:cs="Arial"/>
                <w:b/>
                <w:bCs/>
                <w:sz w:val="22"/>
                <w:szCs w:val="22"/>
              </w:rPr>
              <w:t>Compatibility</w:t>
            </w:r>
          </w:p>
          <w:p w:rsidR="004F5F2C" w:rsidRPr="001E4066" w:rsidRDefault="004F5F2C" w:rsidP="001E4066">
            <w:pPr>
              <w:jc w:val="center"/>
              <w:rPr>
                <w:rFonts w:cs="Arial"/>
                <w:b/>
                <w:bCs/>
                <w:sz w:val="22"/>
                <w:szCs w:val="22"/>
              </w:rPr>
            </w:pPr>
            <w:r w:rsidRPr="001E4066">
              <w:rPr>
                <w:rFonts w:cs="Arial"/>
                <w:b/>
                <w:bCs/>
                <w:sz w:val="22"/>
                <w:szCs w:val="22"/>
              </w:rPr>
              <w:t>Category</w:t>
            </w:r>
          </w:p>
        </w:tc>
        <w:tc>
          <w:tcPr>
            <w:tcW w:w="324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tabs>
                <w:tab w:val="center" w:pos="1725"/>
              </w:tabs>
              <w:jc w:val="center"/>
              <w:rPr>
                <w:rFonts w:cs="Arial"/>
                <w:b/>
                <w:bCs/>
                <w:sz w:val="22"/>
                <w:szCs w:val="22"/>
              </w:rPr>
            </w:pPr>
            <w:r w:rsidRPr="001E4066">
              <w:rPr>
                <w:rFonts w:cs="Arial"/>
                <w:b/>
                <w:bCs/>
                <w:sz w:val="22"/>
                <w:szCs w:val="22"/>
              </w:rPr>
              <w:t>Summary of Change to CFR</w:t>
            </w:r>
          </w:p>
        </w:tc>
        <w:tc>
          <w:tcPr>
            <w:tcW w:w="144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jc w:val="center"/>
              <w:rPr>
                <w:rFonts w:cs="Arial"/>
                <w:b/>
                <w:bCs/>
                <w:sz w:val="22"/>
                <w:szCs w:val="22"/>
              </w:rPr>
            </w:pPr>
            <w:r w:rsidRPr="001E4066">
              <w:rPr>
                <w:rFonts w:cs="Arial"/>
                <w:b/>
                <w:bCs/>
                <w:sz w:val="22"/>
                <w:szCs w:val="22"/>
              </w:rPr>
              <w:t>Difference</w:t>
            </w:r>
          </w:p>
          <w:p w:rsidR="004F5F2C" w:rsidRPr="001E4066" w:rsidRDefault="004F5F2C" w:rsidP="001E4066">
            <w:pPr>
              <w:jc w:val="center"/>
              <w:rPr>
                <w:rFonts w:cs="Arial"/>
                <w:b/>
                <w:bCs/>
                <w:sz w:val="22"/>
                <w:szCs w:val="22"/>
              </w:rPr>
            </w:pPr>
            <w:r w:rsidRPr="001E4066">
              <w:rPr>
                <w:rFonts w:cs="Arial"/>
                <w:b/>
                <w:bCs/>
                <w:sz w:val="22"/>
                <w:szCs w:val="22"/>
              </w:rPr>
              <w:t>Yes/No</w:t>
            </w:r>
          </w:p>
        </w:tc>
        <w:tc>
          <w:tcPr>
            <w:tcW w:w="144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jc w:val="center"/>
              <w:rPr>
                <w:rFonts w:cs="Arial"/>
                <w:b/>
                <w:bCs/>
                <w:sz w:val="22"/>
                <w:szCs w:val="22"/>
              </w:rPr>
            </w:pPr>
            <w:r w:rsidRPr="001E4066">
              <w:rPr>
                <w:rFonts w:cs="Arial"/>
                <w:b/>
                <w:bCs/>
                <w:sz w:val="22"/>
                <w:szCs w:val="22"/>
              </w:rPr>
              <w:t>Significant</w:t>
            </w:r>
          </w:p>
          <w:p w:rsidR="004F5F2C" w:rsidRPr="001E4066" w:rsidRDefault="004F5F2C" w:rsidP="001E4066">
            <w:pPr>
              <w:jc w:val="center"/>
              <w:rPr>
                <w:rFonts w:cs="Arial"/>
                <w:b/>
                <w:bCs/>
                <w:sz w:val="22"/>
                <w:szCs w:val="22"/>
              </w:rPr>
            </w:pPr>
            <w:r w:rsidRPr="001E4066">
              <w:rPr>
                <w:rFonts w:cs="Arial"/>
                <w:b/>
                <w:bCs/>
                <w:sz w:val="22"/>
                <w:szCs w:val="22"/>
              </w:rPr>
              <w:t>Yes/No</w:t>
            </w:r>
          </w:p>
        </w:tc>
        <w:tc>
          <w:tcPr>
            <w:tcW w:w="2880" w:type="dxa"/>
            <w:tcBorders>
              <w:top w:val="double" w:sz="6" w:space="0" w:color="auto"/>
              <w:bottom w:val="double" w:sz="6" w:space="0" w:color="auto"/>
            </w:tcBorders>
            <w:shd w:val="clear" w:color="auto" w:fill="auto"/>
          </w:tcPr>
          <w:p w:rsidR="004F5F2C" w:rsidRPr="001E4066" w:rsidRDefault="004F5F2C" w:rsidP="001E4066">
            <w:pPr>
              <w:jc w:val="center"/>
              <w:rPr>
                <w:rFonts w:cs="Arial"/>
                <w:b/>
                <w:bCs/>
                <w:sz w:val="22"/>
                <w:szCs w:val="22"/>
              </w:rPr>
            </w:pPr>
          </w:p>
          <w:p w:rsidR="004F5F2C" w:rsidRPr="001E4066" w:rsidRDefault="004F5F2C" w:rsidP="001E4066">
            <w:pPr>
              <w:jc w:val="center"/>
              <w:rPr>
                <w:rFonts w:cs="Arial"/>
                <w:b/>
                <w:bCs/>
                <w:sz w:val="22"/>
                <w:szCs w:val="22"/>
              </w:rPr>
            </w:pPr>
            <w:r w:rsidRPr="001E4066">
              <w:rPr>
                <w:rFonts w:cs="Arial"/>
                <w:b/>
                <w:bCs/>
                <w:sz w:val="22"/>
                <w:szCs w:val="22"/>
              </w:rPr>
              <w:t>If Difference, Why or Why Not Was a Comment Generated</w:t>
            </w:r>
          </w:p>
        </w:tc>
      </w:tr>
      <w:tr w:rsidR="004F5F2C" w:rsidRPr="007A6D7C" w:rsidTr="001E4066">
        <w:tc>
          <w:tcPr>
            <w:tcW w:w="1260" w:type="dxa"/>
            <w:tcBorders>
              <w:top w:val="double" w:sz="6" w:space="0" w:color="auto"/>
            </w:tcBorders>
          </w:tcPr>
          <w:p w:rsidR="004F5F2C" w:rsidRPr="001E4066" w:rsidRDefault="004F5F2C" w:rsidP="001E4066">
            <w:pPr>
              <w:rPr>
                <w:rFonts w:cs="Arial"/>
                <w:sz w:val="22"/>
                <w:szCs w:val="22"/>
              </w:rPr>
            </w:pPr>
            <w:r w:rsidRPr="001E4066">
              <w:rPr>
                <w:rFonts w:cs="Arial"/>
                <w:sz w:val="22"/>
                <w:szCs w:val="22"/>
              </w:rPr>
              <w:sym w:font="WP TypographicSymbols" w:char="0027"/>
            </w:r>
            <w:r w:rsidR="00596DB8" w:rsidRPr="001E4066">
              <w:rPr>
                <w:rFonts w:cs="Arial"/>
                <w:sz w:val="22"/>
                <w:szCs w:val="22"/>
              </w:rPr>
              <w:t>19.13</w:t>
            </w:r>
          </w:p>
        </w:tc>
        <w:tc>
          <w:tcPr>
            <w:tcW w:w="1440" w:type="dxa"/>
            <w:tcBorders>
              <w:top w:val="double" w:sz="6" w:space="0" w:color="auto"/>
            </w:tcBorders>
          </w:tcPr>
          <w:p w:rsidR="00596DB8" w:rsidRPr="001E4066" w:rsidRDefault="00596DB8" w:rsidP="001E4066">
            <w:pPr>
              <w:rPr>
                <w:rFonts w:cs="Arial"/>
                <w:sz w:val="22"/>
                <w:szCs w:val="22"/>
              </w:rPr>
            </w:pPr>
            <w:r w:rsidRPr="001E4066">
              <w:rPr>
                <w:rFonts w:cs="Arial"/>
                <w:sz w:val="22"/>
                <w:szCs w:val="22"/>
              </w:rPr>
              <w:t>Notification and reports to individuals</w:t>
            </w:r>
          </w:p>
          <w:p w:rsidR="004F5F2C" w:rsidRPr="001E4066" w:rsidRDefault="004F5F2C" w:rsidP="001E4066">
            <w:pPr>
              <w:pStyle w:val="HTMLPreformatted"/>
              <w:rPr>
                <w:rFonts w:ascii="Arial" w:hAnsi="Arial" w:cs="Arial"/>
                <w:sz w:val="22"/>
                <w:szCs w:val="22"/>
              </w:rPr>
            </w:pPr>
          </w:p>
        </w:tc>
        <w:tc>
          <w:tcPr>
            <w:tcW w:w="1080" w:type="dxa"/>
            <w:tcBorders>
              <w:top w:val="double" w:sz="6" w:space="0" w:color="auto"/>
            </w:tcBorders>
          </w:tcPr>
          <w:p w:rsidR="004F5F2C" w:rsidRPr="001E4066" w:rsidRDefault="004F5F2C" w:rsidP="001E4066">
            <w:pPr>
              <w:rPr>
                <w:rFonts w:cs="Arial"/>
                <w:sz w:val="22"/>
                <w:szCs w:val="22"/>
              </w:rPr>
            </w:pPr>
          </w:p>
          <w:p w:rsidR="004F5F2C" w:rsidRPr="001E4066" w:rsidRDefault="004F5F2C" w:rsidP="001E4066">
            <w:pPr>
              <w:rPr>
                <w:rFonts w:cs="Arial"/>
                <w:sz w:val="22"/>
                <w:szCs w:val="22"/>
              </w:rPr>
            </w:pPr>
          </w:p>
        </w:tc>
        <w:tc>
          <w:tcPr>
            <w:tcW w:w="2160" w:type="dxa"/>
            <w:tcBorders>
              <w:top w:val="double" w:sz="6" w:space="0" w:color="auto"/>
            </w:tcBorders>
          </w:tcPr>
          <w:p w:rsidR="004F5F2C" w:rsidRPr="001E4066" w:rsidRDefault="00596DB8" w:rsidP="001E4066">
            <w:pPr>
              <w:jc w:val="center"/>
              <w:rPr>
                <w:rFonts w:cs="Arial"/>
                <w:b/>
                <w:sz w:val="22"/>
                <w:szCs w:val="22"/>
              </w:rPr>
            </w:pPr>
            <w:r w:rsidRPr="001E4066">
              <w:rPr>
                <w:rFonts w:cs="Arial"/>
                <w:sz w:val="22"/>
                <w:szCs w:val="22"/>
              </w:rPr>
              <w:t>C</w:t>
            </w:r>
          </w:p>
        </w:tc>
        <w:tc>
          <w:tcPr>
            <w:tcW w:w="3240" w:type="dxa"/>
            <w:tcBorders>
              <w:top w:val="double" w:sz="6" w:space="0" w:color="auto"/>
            </w:tcBorders>
          </w:tcPr>
          <w:p w:rsidR="004F5F2C" w:rsidRPr="001E4066" w:rsidRDefault="00596DB8" w:rsidP="001E4066">
            <w:pPr>
              <w:widowControl/>
              <w:rPr>
                <w:rFonts w:cs="Arial"/>
                <w:b/>
                <w:sz w:val="22"/>
                <w:szCs w:val="22"/>
              </w:rPr>
            </w:pPr>
            <w:r w:rsidRPr="001E4066">
              <w:rPr>
                <w:rFonts w:cs="Arial"/>
                <w:b/>
                <w:sz w:val="22"/>
                <w:szCs w:val="22"/>
              </w:rPr>
              <w:t>In § 19.13, paragraphs (b) and (d)</w:t>
            </w:r>
            <w:r w:rsidR="00D30BBC" w:rsidRPr="001E4066">
              <w:rPr>
                <w:rFonts w:cs="Arial"/>
                <w:b/>
                <w:sz w:val="22"/>
                <w:szCs w:val="22"/>
              </w:rPr>
              <w:t xml:space="preserve"> </w:t>
            </w:r>
            <w:r w:rsidRPr="001E4066">
              <w:rPr>
                <w:rFonts w:cs="Arial"/>
                <w:b/>
                <w:sz w:val="22"/>
                <w:szCs w:val="22"/>
              </w:rPr>
              <w:t>are revised to read as follows:</w:t>
            </w:r>
          </w:p>
          <w:p w:rsidR="00596DB8" w:rsidRPr="001E4066" w:rsidRDefault="00596DB8" w:rsidP="001E4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p>
          <w:p w:rsidR="00596DB8" w:rsidRPr="001E4066" w:rsidRDefault="00596DB8" w:rsidP="001E4066">
            <w:pPr>
              <w:widowControl/>
              <w:rPr>
                <w:rFonts w:cs="Arial"/>
                <w:sz w:val="22"/>
                <w:szCs w:val="22"/>
              </w:rPr>
            </w:pPr>
            <w:r w:rsidRPr="001E4066">
              <w:rPr>
                <w:rFonts w:cs="Arial"/>
                <w:sz w:val="22"/>
                <w:szCs w:val="22"/>
              </w:rPr>
              <w:t>(b) Each licensee shall make dose</w:t>
            </w:r>
            <w:r w:rsidR="00F55339" w:rsidRPr="001E4066">
              <w:rPr>
                <w:rFonts w:cs="Arial"/>
                <w:sz w:val="22"/>
                <w:szCs w:val="22"/>
              </w:rPr>
              <w:t xml:space="preserve"> </w:t>
            </w:r>
            <w:r w:rsidRPr="001E4066">
              <w:rPr>
                <w:rFonts w:cs="Arial"/>
                <w:sz w:val="22"/>
                <w:szCs w:val="22"/>
              </w:rPr>
              <w:t>information available to workers as</w:t>
            </w:r>
            <w:r w:rsidR="00F55339" w:rsidRPr="001E4066">
              <w:rPr>
                <w:rFonts w:cs="Arial"/>
                <w:sz w:val="22"/>
                <w:szCs w:val="22"/>
              </w:rPr>
              <w:t xml:space="preserve"> </w:t>
            </w:r>
            <w:r w:rsidRPr="001E4066">
              <w:rPr>
                <w:rFonts w:cs="Arial"/>
                <w:sz w:val="22"/>
                <w:szCs w:val="22"/>
              </w:rPr>
              <w:t>shown in records maintained by the licensee under the provisions of 10 CFR 20.2106. The licensee shall provide an annual report to each individual monitored under 10 CFR 20.1502 of the dose received in that monitoring year if:</w:t>
            </w:r>
          </w:p>
          <w:p w:rsidR="00596DB8" w:rsidRPr="001E4066" w:rsidRDefault="00596DB8" w:rsidP="001E4066">
            <w:pPr>
              <w:widowControl/>
              <w:rPr>
                <w:rFonts w:cs="Arial"/>
                <w:sz w:val="22"/>
                <w:szCs w:val="22"/>
              </w:rPr>
            </w:pPr>
            <w:r w:rsidRPr="001E4066">
              <w:rPr>
                <w:rFonts w:cs="Arial"/>
                <w:sz w:val="22"/>
                <w:szCs w:val="22"/>
              </w:rPr>
              <w:t>(1) The individual’s occupational</w:t>
            </w:r>
          </w:p>
          <w:p w:rsidR="00596DB8" w:rsidRPr="001E4066" w:rsidRDefault="00596DB8" w:rsidP="001E4066">
            <w:pPr>
              <w:widowControl/>
              <w:rPr>
                <w:rFonts w:cs="Arial"/>
                <w:sz w:val="22"/>
                <w:szCs w:val="22"/>
              </w:rPr>
            </w:pPr>
            <w:r w:rsidRPr="001E4066">
              <w:rPr>
                <w:rFonts w:cs="Arial"/>
                <w:sz w:val="22"/>
                <w:szCs w:val="22"/>
              </w:rPr>
              <w:t>dose exceeds 1 mSv (100 mrem) TEDE or 1 mSv (100 mrem) to any individual organ or tissue; or</w:t>
            </w:r>
          </w:p>
          <w:p w:rsidR="00596DB8" w:rsidRPr="001E4066" w:rsidRDefault="00596DB8" w:rsidP="001E4066">
            <w:pPr>
              <w:widowControl/>
              <w:rPr>
                <w:rFonts w:cs="Arial"/>
                <w:sz w:val="22"/>
                <w:szCs w:val="22"/>
              </w:rPr>
            </w:pPr>
            <w:r w:rsidRPr="001E4066">
              <w:rPr>
                <w:rFonts w:cs="Arial"/>
                <w:sz w:val="22"/>
                <w:szCs w:val="22"/>
              </w:rPr>
              <w:t>(2) The individual requests his or her annual dose report.</w:t>
            </w:r>
          </w:p>
          <w:p w:rsidR="00596DB8" w:rsidRPr="001E4066" w:rsidRDefault="00596DB8" w:rsidP="001E4066">
            <w:pPr>
              <w:widowControl/>
              <w:rPr>
                <w:rFonts w:cs="Arial"/>
                <w:sz w:val="22"/>
                <w:szCs w:val="22"/>
              </w:rPr>
            </w:pPr>
            <w:r w:rsidRPr="001E4066">
              <w:rPr>
                <w:rFonts w:cs="Arial"/>
                <w:sz w:val="22"/>
                <w:szCs w:val="22"/>
              </w:rPr>
              <w:t>* * * * *</w:t>
            </w:r>
          </w:p>
          <w:p w:rsidR="00596DB8" w:rsidRPr="001E4066" w:rsidRDefault="00596DB8" w:rsidP="001E4066">
            <w:pPr>
              <w:widowControl/>
              <w:rPr>
                <w:rFonts w:cs="Arial"/>
                <w:sz w:val="22"/>
                <w:szCs w:val="22"/>
              </w:rPr>
            </w:pPr>
            <w:r w:rsidRPr="001E4066">
              <w:rPr>
                <w:rFonts w:cs="Arial"/>
                <w:sz w:val="22"/>
                <w:szCs w:val="22"/>
              </w:rPr>
              <w:t>(d) When a licensee is required by</w:t>
            </w:r>
          </w:p>
          <w:p w:rsidR="00596DB8" w:rsidRPr="001E4066" w:rsidRDefault="00596DB8" w:rsidP="001E4066">
            <w:pPr>
              <w:widowControl/>
              <w:rPr>
                <w:rFonts w:cs="Arial"/>
                <w:sz w:val="22"/>
                <w:szCs w:val="22"/>
              </w:rPr>
            </w:pPr>
            <w:r w:rsidRPr="001E4066">
              <w:rPr>
                <w:rFonts w:cs="Arial"/>
                <w:sz w:val="22"/>
                <w:szCs w:val="22"/>
              </w:rPr>
              <w:t xml:space="preserve">§§ 20.2202, 20.2203 or 20.2204 of this chapter to </w:t>
            </w:r>
            <w:r w:rsidRPr="001E4066">
              <w:rPr>
                <w:rFonts w:cs="Arial"/>
                <w:sz w:val="22"/>
                <w:szCs w:val="22"/>
              </w:rPr>
              <w:lastRenderedPageBreak/>
              <w:t>report to the Commission any exposure of an individual to radiation or radioactive material, the licensee shall also provide the individual a report on his or her exposure data included in the report to the Commission. This report must be transmitted no later than the transmittal to the Commission.</w:t>
            </w:r>
          </w:p>
          <w:p w:rsidR="004749ED" w:rsidRPr="001E4066" w:rsidRDefault="004749ED" w:rsidP="001E4066">
            <w:pPr>
              <w:widowControl/>
              <w:rPr>
                <w:rFonts w:cs="Arial"/>
                <w:sz w:val="22"/>
                <w:szCs w:val="22"/>
              </w:rPr>
            </w:pPr>
          </w:p>
          <w:p w:rsidR="004F5F2C" w:rsidRPr="001E4066" w:rsidRDefault="004F5F2C" w:rsidP="001E4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p>
        </w:tc>
        <w:tc>
          <w:tcPr>
            <w:tcW w:w="1440" w:type="dxa"/>
            <w:tcBorders>
              <w:top w:val="double" w:sz="6" w:space="0" w:color="auto"/>
            </w:tcBorders>
          </w:tcPr>
          <w:p w:rsidR="004F5F2C" w:rsidRPr="001E4066" w:rsidRDefault="004F5F2C" w:rsidP="001E4066">
            <w:pPr>
              <w:rPr>
                <w:rFonts w:cs="Arial"/>
                <w:sz w:val="22"/>
                <w:szCs w:val="22"/>
              </w:rPr>
            </w:pPr>
          </w:p>
          <w:p w:rsidR="004F5F2C" w:rsidRPr="001E4066" w:rsidRDefault="004F5F2C" w:rsidP="001E4066">
            <w:pPr>
              <w:rPr>
                <w:rFonts w:cs="Arial"/>
                <w:sz w:val="22"/>
                <w:szCs w:val="22"/>
              </w:rPr>
            </w:pPr>
          </w:p>
        </w:tc>
        <w:tc>
          <w:tcPr>
            <w:tcW w:w="1440" w:type="dxa"/>
            <w:tcBorders>
              <w:top w:val="double" w:sz="6" w:space="0" w:color="auto"/>
            </w:tcBorders>
          </w:tcPr>
          <w:p w:rsidR="004F5F2C" w:rsidRPr="001E4066" w:rsidRDefault="004F5F2C" w:rsidP="001E4066">
            <w:pPr>
              <w:rPr>
                <w:rFonts w:cs="Arial"/>
                <w:sz w:val="22"/>
                <w:szCs w:val="22"/>
              </w:rPr>
            </w:pPr>
          </w:p>
          <w:p w:rsidR="004F5F2C" w:rsidRPr="001E4066" w:rsidRDefault="004F5F2C" w:rsidP="001E4066">
            <w:pPr>
              <w:rPr>
                <w:rFonts w:cs="Arial"/>
                <w:sz w:val="22"/>
                <w:szCs w:val="22"/>
              </w:rPr>
            </w:pPr>
          </w:p>
        </w:tc>
        <w:tc>
          <w:tcPr>
            <w:tcW w:w="2880" w:type="dxa"/>
            <w:tcBorders>
              <w:top w:val="double" w:sz="6" w:space="0" w:color="auto"/>
            </w:tcBorders>
          </w:tcPr>
          <w:p w:rsidR="004F5F2C" w:rsidRPr="001E4066" w:rsidRDefault="004F5F2C" w:rsidP="001E4066">
            <w:pPr>
              <w:rPr>
                <w:rFonts w:cs="Arial"/>
                <w:sz w:val="22"/>
                <w:szCs w:val="22"/>
              </w:rPr>
            </w:pPr>
          </w:p>
          <w:p w:rsidR="004F5F2C" w:rsidRPr="001E4066" w:rsidRDefault="004F5F2C" w:rsidP="001E4066">
            <w:pPr>
              <w:rPr>
                <w:rFonts w:cs="Arial"/>
                <w:sz w:val="22"/>
                <w:szCs w:val="22"/>
              </w:rPr>
            </w:pPr>
          </w:p>
        </w:tc>
      </w:tr>
      <w:tr w:rsidR="004F5F2C" w:rsidRPr="007A6D7C" w:rsidTr="001E4066">
        <w:tc>
          <w:tcPr>
            <w:tcW w:w="1260" w:type="dxa"/>
          </w:tcPr>
          <w:p w:rsidR="004F5F2C" w:rsidRPr="001E4066" w:rsidRDefault="004F5F2C" w:rsidP="001E4066">
            <w:pPr>
              <w:rPr>
                <w:rFonts w:cs="Arial"/>
                <w:sz w:val="22"/>
                <w:szCs w:val="22"/>
              </w:rPr>
            </w:pPr>
            <w:r w:rsidRPr="001E4066">
              <w:rPr>
                <w:rFonts w:cs="Arial"/>
                <w:sz w:val="22"/>
                <w:szCs w:val="22"/>
              </w:rPr>
              <w:lastRenderedPageBreak/>
              <w:sym w:font="WP TypographicSymbols" w:char="0027"/>
            </w:r>
            <w:r w:rsidRPr="001E4066">
              <w:rPr>
                <w:rFonts w:cs="Arial"/>
                <w:sz w:val="22"/>
                <w:szCs w:val="22"/>
              </w:rPr>
              <w:t>20.1003</w:t>
            </w:r>
          </w:p>
        </w:tc>
        <w:tc>
          <w:tcPr>
            <w:tcW w:w="1440" w:type="dxa"/>
          </w:tcPr>
          <w:p w:rsidR="004F5F2C" w:rsidRPr="001E4066" w:rsidRDefault="004F5F2C" w:rsidP="001E4066">
            <w:pPr>
              <w:rPr>
                <w:rFonts w:cs="Arial"/>
                <w:sz w:val="22"/>
                <w:szCs w:val="22"/>
              </w:rPr>
            </w:pPr>
            <w:r w:rsidRPr="001E4066">
              <w:rPr>
                <w:rFonts w:cs="Arial"/>
                <w:sz w:val="22"/>
                <w:szCs w:val="22"/>
              </w:rPr>
              <w:t xml:space="preserve">Definition: </w:t>
            </w:r>
            <w:r w:rsidR="009B248D" w:rsidRPr="001E4066">
              <w:rPr>
                <w:rFonts w:cs="Arial"/>
                <w:sz w:val="22"/>
                <w:szCs w:val="22"/>
              </w:rPr>
              <w:t>Total Effective Dose Equivalent (TEDE)</w:t>
            </w:r>
          </w:p>
        </w:tc>
        <w:tc>
          <w:tcPr>
            <w:tcW w:w="1080" w:type="dxa"/>
          </w:tcPr>
          <w:p w:rsidR="004F5F2C" w:rsidRPr="001E4066" w:rsidRDefault="004F5F2C" w:rsidP="001E4066">
            <w:pPr>
              <w:rPr>
                <w:rFonts w:cs="Arial"/>
                <w:sz w:val="22"/>
                <w:szCs w:val="22"/>
              </w:rPr>
            </w:pPr>
          </w:p>
        </w:tc>
        <w:tc>
          <w:tcPr>
            <w:tcW w:w="2160" w:type="dxa"/>
          </w:tcPr>
          <w:p w:rsidR="004F5F2C" w:rsidRPr="001E4066" w:rsidRDefault="009B248D" w:rsidP="001E4066">
            <w:pPr>
              <w:jc w:val="center"/>
              <w:rPr>
                <w:rFonts w:cs="Arial"/>
                <w:sz w:val="22"/>
                <w:szCs w:val="22"/>
              </w:rPr>
            </w:pPr>
            <w:r w:rsidRPr="001E4066">
              <w:rPr>
                <w:rFonts w:cs="Arial"/>
                <w:sz w:val="22"/>
                <w:szCs w:val="22"/>
              </w:rPr>
              <w:t>A</w:t>
            </w:r>
          </w:p>
        </w:tc>
        <w:tc>
          <w:tcPr>
            <w:tcW w:w="3240" w:type="dxa"/>
          </w:tcPr>
          <w:p w:rsidR="004F5F2C" w:rsidRPr="001E4066" w:rsidRDefault="004F5F2C" w:rsidP="001E4066">
            <w:pPr>
              <w:rPr>
                <w:rFonts w:cs="Arial"/>
                <w:b/>
                <w:sz w:val="22"/>
                <w:szCs w:val="22"/>
              </w:rPr>
            </w:pPr>
            <w:r w:rsidRPr="001E4066">
              <w:rPr>
                <w:rFonts w:cs="Arial"/>
                <w:b/>
                <w:sz w:val="22"/>
                <w:szCs w:val="22"/>
              </w:rPr>
              <w:t>In § 20.1003, the definition of</w:t>
            </w:r>
          </w:p>
          <w:p w:rsidR="004F5F2C" w:rsidRPr="001E4066" w:rsidRDefault="009B248D" w:rsidP="001E4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r w:rsidRPr="001E4066">
              <w:rPr>
                <w:rFonts w:cs="Arial"/>
                <w:b/>
                <w:i/>
                <w:iCs/>
                <w:sz w:val="22"/>
                <w:szCs w:val="22"/>
              </w:rPr>
              <w:t>Total Effective Dose Equivalent (TEDE)</w:t>
            </w:r>
            <w:r w:rsidR="004F5F2C" w:rsidRPr="001E4066">
              <w:rPr>
                <w:rFonts w:cs="Arial"/>
                <w:b/>
                <w:i/>
                <w:iCs/>
                <w:sz w:val="22"/>
                <w:szCs w:val="22"/>
              </w:rPr>
              <w:t xml:space="preserve"> </w:t>
            </w:r>
            <w:r w:rsidR="004F5F2C" w:rsidRPr="001E4066">
              <w:rPr>
                <w:rFonts w:cs="Arial"/>
                <w:b/>
                <w:sz w:val="22"/>
                <w:szCs w:val="22"/>
              </w:rPr>
              <w:t>is revised to read as follows:</w:t>
            </w:r>
          </w:p>
          <w:p w:rsidR="009B248D" w:rsidRPr="001E4066" w:rsidRDefault="009B248D" w:rsidP="001E4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p>
          <w:p w:rsidR="009B248D" w:rsidRPr="001E4066" w:rsidRDefault="009B248D" w:rsidP="001E4066">
            <w:pPr>
              <w:widowControl/>
              <w:rPr>
                <w:rFonts w:cs="Arial"/>
                <w:i/>
                <w:iCs/>
                <w:sz w:val="22"/>
                <w:szCs w:val="22"/>
              </w:rPr>
            </w:pPr>
            <w:r w:rsidRPr="001E4066">
              <w:rPr>
                <w:rFonts w:cs="Arial"/>
                <w:i/>
                <w:iCs/>
                <w:sz w:val="22"/>
                <w:szCs w:val="22"/>
              </w:rPr>
              <w:t>Total Effective Dose Equivalent</w:t>
            </w:r>
          </w:p>
          <w:p w:rsidR="009B248D" w:rsidRPr="001E4066" w:rsidRDefault="009B248D" w:rsidP="001E4066">
            <w:pPr>
              <w:widowControl/>
              <w:rPr>
                <w:rFonts w:cs="Arial"/>
                <w:sz w:val="22"/>
                <w:szCs w:val="22"/>
              </w:rPr>
            </w:pPr>
            <w:r w:rsidRPr="001E4066">
              <w:rPr>
                <w:rFonts w:cs="Arial"/>
                <w:sz w:val="22"/>
                <w:szCs w:val="22"/>
              </w:rPr>
              <w:t>(TEDE) means the sum of the effective dose equivalent (for external exposures) and the committed effective dose equivalent (for internal exposures).</w:t>
            </w:r>
          </w:p>
          <w:p w:rsidR="009B248D" w:rsidRPr="001E4066" w:rsidRDefault="009B248D" w:rsidP="001E4066">
            <w:pPr>
              <w:widowControl/>
              <w:rPr>
                <w:rFonts w:cs="Arial"/>
                <w:sz w:val="22"/>
                <w:szCs w:val="22"/>
              </w:rPr>
            </w:pPr>
          </w:p>
        </w:tc>
        <w:tc>
          <w:tcPr>
            <w:tcW w:w="1440" w:type="dxa"/>
          </w:tcPr>
          <w:p w:rsidR="004F5F2C" w:rsidRPr="001E4066" w:rsidRDefault="004F5F2C" w:rsidP="001E4066">
            <w:pPr>
              <w:rPr>
                <w:rFonts w:cs="Arial"/>
                <w:sz w:val="22"/>
                <w:szCs w:val="22"/>
              </w:rPr>
            </w:pPr>
          </w:p>
        </w:tc>
        <w:tc>
          <w:tcPr>
            <w:tcW w:w="1440" w:type="dxa"/>
          </w:tcPr>
          <w:p w:rsidR="004F5F2C" w:rsidRPr="001E4066" w:rsidRDefault="004F5F2C" w:rsidP="001E4066">
            <w:pPr>
              <w:rPr>
                <w:rFonts w:cs="Arial"/>
                <w:sz w:val="22"/>
                <w:szCs w:val="22"/>
              </w:rPr>
            </w:pPr>
          </w:p>
        </w:tc>
        <w:tc>
          <w:tcPr>
            <w:tcW w:w="2880" w:type="dxa"/>
          </w:tcPr>
          <w:p w:rsidR="004F5F2C" w:rsidRPr="001E4066" w:rsidRDefault="004F5F2C" w:rsidP="001E4066">
            <w:pPr>
              <w:rPr>
                <w:rFonts w:cs="Arial"/>
                <w:sz w:val="22"/>
                <w:szCs w:val="22"/>
              </w:rPr>
            </w:pPr>
          </w:p>
        </w:tc>
      </w:tr>
      <w:tr w:rsidR="004F5F2C" w:rsidRPr="007A6D7C" w:rsidTr="001E4066">
        <w:tc>
          <w:tcPr>
            <w:tcW w:w="1260" w:type="dxa"/>
          </w:tcPr>
          <w:p w:rsidR="004F5F2C" w:rsidRPr="001E4066" w:rsidRDefault="004F5F2C" w:rsidP="001E4066">
            <w:pPr>
              <w:rPr>
                <w:rFonts w:cs="Arial"/>
                <w:sz w:val="22"/>
                <w:szCs w:val="22"/>
              </w:rPr>
            </w:pPr>
            <w:r w:rsidRPr="001E4066">
              <w:rPr>
                <w:rFonts w:cs="Arial"/>
                <w:sz w:val="22"/>
                <w:szCs w:val="22"/>
              </w:rPr>
              <w:sym w:font="WP TypographicSymbols" w:char="0027"/>
            </w:r>
            <w:r w:rsidR="009B248D" w:rsidRPr="001E4066">
              <w:rPr>
                <w:rFonts w:cs="Arial"/>
                <w:sz w:val="22"/>
                <w:szCs w:val="22"/>
              </w:rPr>
              <w:t>20.1201</w:t>
            </w:r>
          </w:p>
        </w:tc>
        <w:tc>
          <w:tcPr>
            <w:tcW w:w="1440" w:type="dxa"/>
          </w:tcPr>
          <w:p w:rsidR="004F5F2C" w:rsidRPr="001E4066" w:rsidRDefault="009B248D" w:rsidP="001E4066">
            <w:pPr>
              <w:rPr>
                <w:rFonts w:cs="Arial"/>
                <w:sz w:val="22"/>
                <w:szCs w:val="22"/>
              </w:rPr>
            </w:pPr>
            <w:r w:rsidRPr="001E4066">
              <w:rPr>
                <w:rFonts w:cs="Arial"/>
                <w:sz w:val="22"/>
                <w:szCs w:val="22"/>
              </w:rPr>
              <w:t>Occupational Dose Limits for Adults</w:t>
            </w:r>
          </w:p>
        </w:tc>
        <w:tc>
          <w:tcPr>
            <w:tcW w:w="1080" w:type="dxa"/>
          </w:tcPr>
          <w:p w:rsidR="004F5F2C" w:rsidRPr="001E4066" w:rsidRDefault="004F5F2C" w:rsidP="001E4066">
            <w:pPr>
              <w:rPr>
                <w:rFonts w:cs="Arial"/>
                <w:sz w:val="22"/>
                <w:szCs w:val="22"/>
              </w:rPr>
            </w:pPr>
          </w:p>
        </w:tc>
        <w:tc>
          <w:tcPr>
            <w:tcW w:w="2160" w:type="dxa"/>
          </w:tcPr>
          <w:p w:rsidR="004F5F2C" w:rsidRPr="001E4066" w:rsidRDefault="009B248D" w:rsidP="001E4066">
            <w:pPr>
              <w:jc w:val="center"/>
              <w:rPr>
                <w:rFonts w:cs="Arial"/>
                <w:sz w:val="22"/>
                <w:szCs w:val="22"/>
              </w:rPr>
            </w:pPr>
            <w:r w:rsidRPr="001E4066">
              <w:rPr>
                <w:rFonts w:cs="Arial"/>
                <w:sz w:val="22"/>
                <w:szCs w:val="22"/>
              </w:rPr>
              <w:t>A</w:t>
            </w:r>
          </w:p>
        </w:tc>
        <w:tc>
          <w:tcPr>
            <w:tcW w:w="3240" w:type="dxa"/>
          </w:tcPr>
          <w:p w:rsidR="004F5F2C" w:rsidRPr="001E4066" w:rsidRDefault="009B248D" w:rsidP="001E4066">
            <w:pPr>
              <w:widowControl/>
              <w:rPr>
                <w:rFonts w:cs="Arial"/>
                <w:b/>
                <w:sz w:val="22"/>
                <w:szCs w:val="22"/>
              </w:rPr>
            </w:pPr>
            <w:r w:rsidRPr="001E4066">
              <w:rPr>
                <w:rFonts w:cs="Arial"/>
                <w:b/>
                <w:sz w:val="22"/>
                <w:szCs w:val="22"/>
              </w:rPr>
              <w:t>In § 20.1201, paragraph (c) is revised to read as follows:</w:t>
            </w:r>
          </w:p>
          <w:p w:rsidR="009B248D" w:rsidRPr="001E4066" w:rsidRDefault="009B248D" w:rsidP="001E4066">
            <w:pPr>
              <w:widowControl/>
              <w:rPr>
                <w:rFonts w:cs="Arial"/>
                <w:b/>
                <w:sz w:val="22"/>
                <w:szCs w:val="22"/>
              </w:rPr>
            </w:pPr>
          </w:p>
          <w:p w:rsidR="009B248D" w:rsidRDefault="009B248D" w:rsidP="001E4066">
            <w:pPr>
              <w:widowControl/>
              <w:rPr>
                <w:rFonts w:cs="Arial"/>
                <w:sz w:val="22"/>
                <w:szCs w:val="22"/>
              </w:rPr>
            </w:pPr>
            <w:r w:rsidRPr="001E4066">
              <w:rPr>
                <w:rFonts w:cs="Arial"/>
                <w:sz w:val="22"/>
                <w:szCs w:val="22"/>
              </w:rPr>
              <w:t xml:space="preserve">(c) When the external exposure is determined by measurement with an external </w:t>
            </w:r>
            <w:r w:rsidRPr="001E4066">
              <w:rPr>
                <w:rFonts w:cs="Arial"/>
                <w:sz w:val="22"/>
                <w:szCs w:val="22"/>
              </w:rPr>
              <w:lastRenderedPageBreak/>
              <w:t>personal monitoring device, the deep-dose equivalent must be used in place of the effective dose equivalent, unless the effective dose equivalent is determined by a dosimetry method approved by the NRC. The assigned deep-dose equivalent must be for the part of the body receiving the highest exposure. The assigned shallow-dose equivalent must be the dose averaged over the contiguous 10 square centimeters of skin receiving the highest exposure. The deep-dose equivalent, lens dose equivalent, and shallow-dose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1E4066" w:rsidRDefault="001E4066" w:rsidP="001E4066">
            <w:pPr>
              <w:widowControl/>
              <w:rPr>
                <w:rFonts w:cs="Arial"/>
                <w:sz w:val="22"/>
                <w:szCs w:val="22"/>
              </w:rPr>
            </w:pPr>
          </w:p>
          <w:p w:rsidR="001E4066" w:rsidRPr="001E4066" w:rsidRDefault="001E4066" w:rsidP="001E4066">
            <w:pPr>
              <w:widowControl/>
              <w:rPr>
                <w:rFonts w:cs="Arial"/>
                <w:sz w:val="22"/>
                <w:szCs w:val="22"/>
              </w:rPr>
            </w:pPr>
          </w:p>
        </w:tc>
        <w:tc>
          <w:tcPr>
            <w:tcW w:w="1440" w:type="dxa"/>
          </w:tcPr>
          <w:p w:rsidR="004F5F2C" w:rsidRPr="001E4066" w:rsidRDefault="004F5F2C" w:rsidP="001E4066">
            <w:pPr>
              <w:rPr>
                <w:rFonts w:cs="Arial"/>
                <w:sz w:val="22"/>
                <w:szCs w:val="22"/>
              </w:rPr>
            </w:pPr>
          </w:p>
        </w:tc>
        <w:tc>
          <w:tcPr>
            <w:tcW w:w="1440" w:type="dxa"/>
          </w:tcPr>
          <w:p w:rsidR="004F5F2C" w:rsidRPr="001E4066" w:rsidRDefault="004F5F2C" w:rsidP="001E4066">
            <w:pPr>
              <w:rPr>
                <w:rFonts w:cs="Arial"/>
                <w:sz w:val="22"/>
                <w:szCs w:val="22"/>
              </w:rPr>
            </w:pPr>
          </w:p>
        </w:tc>
        <w:tc>
          <w:tcPr>
            <w:tcW w:w="2880" w:type="dxa"/>
          </w:tcPr>
          <w:p w:rsidR="004F5F2C" w:rsidRPr="001E4066" w:rsidRDefault="004F5F2C" w:rsidP="001E4066">
            <w:pPr>
              <w:rPr>
                <w:rFonts w:cs="Arial"/>
                <w:sz w:val="22"/>
                <w:szCs w:val="22"/>
              </w:rPr>
            </w:pPr>
          </w:p>
        </w:tc>
      </w:tr>
      <w:tr w:rsidR="004F5F2C" w:rsidRPr="007A6D7C" w:rsidTr="001E4066">
        <w:tc>
          <w:tcPr>
            <w:tcW w:w="1260" w:type="dxa"/>
          </w:tcPr>
          <w:p w:rsidR="004F5F2C" w:rsidRPr="001E4066" w:rsidRDefault="004F5F2C" w:rsidP="001E4066">
            <w:pPr>
              <w:rPr>
                <w:rFonts w:cs="Arial"/>
                <w:sz w:val="22"/>
                <w:szCs w:val="22"/>
              </w:rPr>
            </w:pPr>
            <w:r w:rsidRPr="001E4066">
              <w:rPr>
                <w:rFonts w:cs="Arial"/>
                <w:sz w:val="22"/>
                <w:szCs w:val="22"/>
              </w:rPr>
              <w:lastRenderedPageBreak/>
              <w:sym w:font="WP TypographicSymbols" w:char="0027"/>
            </w:r>
            <w:r w:rsidR="009B248D" w:rsidRPr="001E4066">
              <w:rPr>
                <w:rFonts w:cs="Arial"/>
                <w:sz w:val="22"/>
                <w:szCs w:val="22"/>
              </w:rPr>
              <w:t xml:space="preserve">20.1905 </w:t>
            </w:r>
            <w:r w:rsidR="009B248D" w:rsidRPr="001E4066">
              <w:rPr>
                <w:rFonts w:cs="Arial"/>
                <w:sz w:val="22"/>
                <w:szCs w:val="22"/>
              </w:rPr>
              <w:lastRenderedPageBreak/>
              <w:t>(g)</w:t>
            </w:r>
          </w:p>
        </w:tc>
        <w:tc>
          <w:tcPr>
            <w:tcW w:w="1440" w:type="dxa"/>
          </w:tcPr>
          <w:p w:rsidR="004F5F2C" w:rsidRPr="001E4066" w:rsidRDefault="009B248D" w:rsidP="001E4066">
            <w:pPr>
              <w:rPr>
                <w:rFonts w:cs="Arial"/>
                <w:sz w:val="22"/>
                <w:szCs w:val="22"/>
              </w:rPr>
            </w:pPr>
            <w:r w:rsidRPr="001E4066">
              <w:rPr>
                <w:rFonts w:cs="Arial"/>
                <w:sz w:val="22"/>
                <w:szCs w:val="22"/>
              </w:rPr>
              <w:lastRenderedPageBreak/>
              <w:t xml:space="preserve">Exemptions </w:t>
            </w:r>
            <w:r w:rsidRPr="001E4066">
              <w:rPr>
                <w:rFonts w:cs="Arial"/>
                <w:sz w:val="22"/>
                <w:szCs w:val="22"/>
              </w:rPr>
              <w:lastRenderedPageBreak/>
              <w:t>to Labeling Requirements</w:t>
            </w:r>
          </w:p>
        </w:tc>
        <w:tc>
          <w:tcPr>
            <w:tcW w:w="1080" w:type="dxa"/>
          </w:tcPr>
          <w:p w:rsidR="004F5F2C" w:rsidRPr="001E4066" w:rsidRDefault="004F5F2C" w:rsidP="001E4066">
            <w:pPr>
              <w:rPr>
                <w:rFonts w:cs="Arial"/>
                <w:sz w:val="22"/>
                <w:szCs w:val="22"/>
              </w:rPr>
            </w:pPr>
          </w:p>
        </w:tc>
        <w:tc>
          <w:tcPr>
            <w:tcW w:w="2160" w:type="dxa"/>
          </w:tcPr>
          <w:p w:rsidR="004F5F2C" w:rsidRPr="001E4066" w:rsidRDefault="009B248D" w:rsidP="001E4066">
            <w:pPr>
              <w:jc w:val="center"/>
              <w:rPr>
                <w:rFonts w:cs="Arial"/>
                <w:sz w:val="22"/>
                <w:szCs w:val="22"/>
              </w:rPr>
            </w:pPr>
            <w:r w:rsidRPr="001E4066">
              <w:rPr>
                <w:rFonts w:cs="Arial"/>
                <w:sz w:val="22"/>
                <w:szCs w:val="22"/>
              </w:rPr>
              <w:t>NRC</w:t>
            </w:r>
          </w:p>
          <w:p w:rsidR="009B248D" w:rsidRPr="001E4066" w:rsidRDefault="009B248D" w:rsidP="001E4066">
            <w:pPr>
              <w:jc w:val="center"/>
              <w:rPr>
                <w:rFonts w:cs="Arial"/>
                <w:sz w:val="22"/>
                <w:szCs w:val="22"/>
              </w:rPr>
            </w:pPr>
          </w:p>
          <w:p w:rsidR="009B248D" w:rsidRPr="001E4066" w:rsidRDefault="009B248D" w:rsidP="001E4066">
            <w:pPr>
              <w:jc w:val="center"/>
              <w:rPr>
                <w:rFonts w:cs="Arial"/>
                <w:b/>
                <w:sz w:val="22"/>
                <w:szCs w:val="22"/>
              </w:rPr>
            </w:pPr>
            <w:r w:rsidRPr="001E4066">
              <w:rPr>
                <w:rFonts w:cs="Arial"/>
                <w:sz w:val="22"/>
                <w:szCs w:val="22"/>
              </w:rPr>
              <w:t>(</w:t>
            </w:r>
            <w:r w:rsidRPr="001E4066">
              <w:rPr>
                <w:rFonts w:cs="Arial"/>
                <w:b/>
                <w:sz w:val="22"/>
                <w:szCs w:val="22"/>
              </w:rPr>
              <w:t>***please note Part 20.1905 (a) – (f) still remains a Compatibility Category A</w:t>
            </w:r>
            <w:r w:rsidR="004749ED" w:rsidRPr="001E4066">
              <w:rPr>
                <w:rFonts w:cs="Arial"/>
                <w:b/>
                <w:sz w:val="22"/>
                <w:szCs w:val="22"/>
              </w:rPr>
              <w:t xml:space="preserve"> only the newly added paragraph (g) is a Compatibility Category NRC)</w:t>
            </w:r>
          </w:p>
          <w:p w:rsidR="004749ED" w:rsidRPr="001E4066" w:rsidRDefault="004749ED" w:rsidP="001E4066">
            <w:pPr>
              <w:jc w:val="center"/>
              <w:rPr>
                <w:rFonts w:cs="Arial"/>
                <w:b/>
                <w:sz w:val="22"/>
                <w:szCs w:val="22"/>
              </w:rPr>
            </w:pPr>
          </w:p>
        </w:tc>
        <w:tc>
          <w:tcPr>
            <w:tcW w:w="3240" w:type="dxa"/>
          </w:tcPr>
          <w:p w:rsidR="002D5A53" w:rsidRPr="001E4066" w:rsidRDefault="002D5A53" w:rsidP="001E4066">
            <w:pPr>
              <w:widowControl/>
              <w:rPr>
                <w:rFonts w:cs="Arial"/>
                <w:b/>
                <w:sz w:val="22"/>
                <w:szCs w:val="22"/>
              </w:rPr>
            </w:pPr>
            <w:r w:rsidRPr="001E4066">
              <w:rPr>
                <w:rFonts w:cs="Arial"/>
                <w:b/>
                <w:sz w:val="22"/>
                <w:szCs w:val="22"/>
              </w:rPr>
              <w:lastRenderedPageBreak/>
              <w:t xml:space="preserve">In § 20.1905 paragraph (g) is </w:t>
            </w:r>
            <w:r w:rsidRPr="001E4066">
              <w:rPr>
                <w:rFonts w:cs="Arial"/>
                <w:b/>
                <w:sz w:val="22"/>
                <w:szCs w:val="22"/>
              </w:rPr>
              <w:lastRenderedPageBreak/>
              <w:t>added to read as follows:</w:t>
            </w:r>
          </w:p>
          <w:p w:rsidR="002D5A53" w:rsidRPr="001E4066" w:rsidRDefault="002D5A53" w:rsidP="001E4066">
            <w:pPr>
              <w:rPr>
                <w:rFonts w:cs="Arial"/>
                <w:sz w:val="22"/>
                <w:szCs w:val="22"/>
              </w:rPr>
            </w:pPr>
          </w:p>
          <w:p w:rsidR="002D5A53" w:rsidRPr="001E4066" w:rsidRDefault="002D5A53" w:rsidP="001E4066">
            <w:pPr>
              <w:widowControl/>
              <w:rPr>
                <w:rFonts w:cs="Arial"/>
                <w:sz w:val="22"/>
                <w:szCs w:val="22"/>
              </w:rPr>
            </w:pPr>
            <w:r w:rsidRPr="001E4066">
              <w:rPr>
                <w:rFonts w:cs="Arial"/>
                <w:sz w:val="22"/>
                <w:szCs w:val="22"/>
              </w:rPr>
              <w:t>(g) Containers holding licensed</w:t>
            </w:r>
          </w:p>
          <w:p w:rsidR="002D5A53" w:rsidRPr="001E4066" w:rsidRDefault="002D5A53" w:rsidP="001E4066">
            <w:pPr>
              <w:widowControl/>
              <w:rPr>
                <w:rFonts w:cs="Arial"/>
                <w:sz w:val="22"/>
                <w:szCs w:val="22"/>
              </w:rPr>
            </w:pPr>
            <w:r w:rsidRPr="001E4066">
              <w:rPr>
                <w:rFonts w:cs="Arial"/>
                <w:sz w:val="22"/>
                <w:szCs w:val="22"/>
              </w:rPr>
              <w:t>material (other than sealed sources that are either specifically or generally licensed) at a facility licensed under Parts 50 or 52 of this chapter, not including non-power reactors, that are within an area posted under the requirements in § 20.1902 if the</w:t>
            </w:r>
            <w:r w:rsidR="001E4066">
              <w:rPr>
                <w:rFonts w:cs="Arial"/>
                <w:sz w:val="22"/>
                <w:szCs w:val="22"/>
              </w:rPr>
              <w:t xml:space="preserve"> </w:t>
            </w:r>
            <w:r w:rsidRPr="001E4066">
              <w:rPr>
                <w:rFonts w:cs="Arial"/>
                <w:sz w:val="22"/>
                <w:szCs w:val="22"/>
              </w:rPr>
              <w:t>containers are:</w:t>
            </w:r>
          </w:p>
          <w:p w:rsidR="002D5A53" w:rsidRPr="001E4066" w:rsidRDefault="002D5A53" w:rsidP="001E4066">
            <w:pPr>
              <w:widowControl/>
              <w:rPr>
                <w:rFonts w:cs="Arial"/>
                <w:sz w:val="22"/>
                <w:szCs w:val="22"/>
              </w:rPr>
            </w:pPr>
            <w:r w:rsidRPr="001E4066">
              <w:rPr>
                <w:rFonts w:cs="Arial"/>
                <w:sz w:val="22"/>
                <w:szCs w:val="22"/>
              </w:rPr>
              <w:t>(1) Conspicuously marked (such as by providing a system of color coding of containers) commensurate with the radiological hazard;</w:t>
            </w:r>
          </w:p>
          <w:p w:rsidR="002D5A53" w:rsidRPr="001E4066" w:rsidRDefault="002D5A53" w:rsidP="001E4066">
            <w:pPr>
              <w:widowControl/>
              <w:rPr>
                <w:rFonts w:cs="Arial"/>
                <w:sz w:val="22"/>
                <w:szCs w:val="22"/>
              </w:rPr>
            </w:pPr>
            <w:r w:rsidRPr="001E4066">
              <w:rPr>
                <w:rFonts w:cs="Arial"/>
                <w:sz w:val="22"/>
                <w:szCs w:val="22"/>
              </w:rPr>
              <w:t>(2) Accessible only to individuals</w:t>
            </w:r>
            <w:r w:rsidR="001E4066">
              <w:rPr>
                <w:rFonts w:cs="Arial"/>
                <w:sz w:val="22"/>
                <w:szCs w:val="22"/>
              </w:rPr>
              <w:t xml:space="preserve"> </w:t>
            </w:r>
            <w:r w:rsidRPr="001E4066">
              <w:rPr>
                <w:rFonts w:cs="Arial"/>
                <w:sz w:val="22"/>
                <w:szCs w:val="22"/>
              </w:rPr>
              <w:t>who have sufficient instruction to</w:t>
            </w:r>
            <w:r w:rsidR="001E4066">
              <w:rPr>
                <w:rFonts w:cs="Arial"/>
                <w:sz w:val="22"/>
                <w:szCs w:val="22"/>
              </w:rPr>
              <w:t xml:space="preserve"> </w:t>
            </w:r>
            <w:r w:rsidRPr="001E4066">
              <w:rPr>
                <w:rFonts w:cs="Arial"/>
                <w:sz w:val="22"/>
                <w:szCs w:val="22"/>
              </w:rPr>
              <w:t>minimize radiation exposure while</w:t>
            </w:r>
            <w:r w:rsidR="001E4066">
              <w:rPr>
                <w:rFonts w:cs="Arial"/>
                <w:sz w:val="22"/>
                <w:szCs w:val="22"/>
              </w:rPr>
              <w:t xml:space="preserve"> </w:t>
            </w:r>
            <w:r w:rsidRPr="001E4066">
              <w:rPr>
                <w:rFonts w:cs="Arial"/>
                <w:sz w:val="22"/>
                <w:szCs w:val="22"/>
              </w:rPr>
              <w:t>handling or working in the vicinity of the containers; and</w:t>
            </w:r>
          </w:p>
          <w:p w:rsidR="002D5A53" w:rsidRPr="001E4066" w:rsidRDefault="002D5A53" w:rsidP="001E4066">
            <w:pPr>
              <w:widowControl/>
              <w:rPr>
                <w:rFonts w:cs="Arial"/>
                <w:sz w:val="22"/>
                <w:szCs w:val="22"/>
              </w:rPr>
            </w:pPr>
            <w:r w:rsidRPr="001E4066">
              <w:rPr>
                <w:rFonts w:cs="Arial"/>
                <w:sz w:val="22"/>
                <w:szCs w:val="22"/>
              </w:rPr>
              <w:t>(3) Subject to plant procedures to</w:t>
            </w:r>
            <w:r w:rsidR="001E4066">
              <w:rPr>
                <w:rFonts w:cs="Arial"/>
                <w:sz w:val="22"/>
                <w:szCs w:val="22"/>
              </w:rPr>
              <w:t xml:space="preserve"> </w:t>
            </w:r>
            <w:r w:rsidRPr="001E4066">
              <w:rPr>
                <w:rFonts w:cs="Arial"/>
                <w:sz w:val="22"/>
                <w:szCs w:val="22"/>
              </w:rPr>
              <w:t>ensure they are appropriately labeled, as specified at § 20.1904 before being removed from the posted area.</w:t>
            </w:r>
          </w:p>
          <w:p w:rsidR="002D5A53" w:rsidRPr="001E4066" w:rsidRDefault="002D5A53" w:rsidP="001E4066">
            <w:pPr>
              <w:widowControl/>
              <w:rPr>
                <w:rFonts w:cs="Arial"/>
                <w:sz w:val="22"/>
                <w:szCs w:val="22"/>
              </w:rPr>
            </w:pPr>
          </w:p>
        </w:tc>
        <w:tc>
          <w:tcPr>
            <w:tcW w:w="1440" w:type="dxa"/>
          </w:tcPr>
          <w:p w:rsidR="004F5F2C" w:rsidRPr="001E4066" w:rsidRDefault="004F5F2C" w:rsidP="001E4066">
            <w:pPr>
              <w:rPr>
                <w:rFonts w:cs="Arial"/>
                <w:sz w:val="22"/>
                <w:szCs w:val="22"/>
              </w:rPr>
            </w:pPr>
          </w:p>
        </w:tc>
        <w:tc>
          <w:tcPr>
            <w:tcW w:w="1440" w:type="dxa"/>
          </w:tcPr>
          <w:p w:rsidR="004F5F2C" w:rsidRPr="001E4066" w:rsidRDefault="004F5F2C" w:rsidP="001E4066">
            <w:pPr>
              <w:rPr>
                <w:rFonts w:cs="Arial"/>
                <w:sz w:val="22"/>
                <w:szCs w:val="22"/>
              </w:rPr>
            </w:pPr>
          </w:p>
        </w:tc>
        <w:tc>
          <w:tcPr>
            <w:tcW w:w="2880" w:type="dxa"/>
          </w:tcPr>
          <w:p w:rsidR="004F5F2C" w:rsidRPr="001E4066" w:rsidRDefault="004F5F2C" w:rsidP="001E4066">
            <w:pPr>
              <w:rPr>
                <w:rFonts w:cs="Arial"/>
                <w:sz w:val="22"/>
                <w:szCs w:val="22"/>
              </w:rPr>
            </w:pPr>
          </w:p>
        </w:tc>
      </w:tr>
      <w:tr w:rsidR="004F5F2C" w:rsidRPr="007A6D7C" w:rsidTr="001E4066">
        <w:tc>
          <w:tcPr>
            <w:tcW w:w="1260" w:type="dxa"/>
          </w:tcPr>
          <w:p w:rsidR="004F5F2C" w:rsidRPr="001E4066" w:rsidRDefault="004F5F2C" w:rsidP="001E4066">
            <w:pPr>
              <w:rPr>
                <w:rFonts w:cs="Arial"/>
                <w:sz w:val="22"/>
                <w:szCs w:val="22"/>
              </w:rPr>
            </w:pPr>
            <w:r w:rsidRPr="001E4066">
              <w:rPr>
                <w:rFonts w:cs="Arial"/>
                <w:sz w:val="22"/>
                <w:szCs w:val="22"/>
              </w:rPr>
              <w:lastRenderedPageBreak/>
              <w:sym w:font="WP TypographicSymbols" w:char="0027"/>
            </w:r>
            <w:r w:rsidRPr="001E4066">
              <w:rPr>
                <w:rFonts w:cs="Arial"/>
                <w:sz w:val="22"/>
                <w:szCs w:val="22"/>
              </w:rPr>
              <w:t>20.</w:t>
            </w:r>
            <w:r w:rsidR="004749ED" w:rsidRPr="001E4066">
              <w:rPr>
                <w:rFonts w:cs="Arial"/>
                <w:sz w:val="22"/>
                <w:szCs w:val="22"/>
              </w:rPr>
              <w:t>2104</w:t>
            </w:r>
          </w:p>
        </w:tc>
        <w:tc>
          <w:tcPr>
            <w:tcW w:w="1440" w:type="dxa"/>
          </w:tcPr>
          <w:p w:rsidR="004F5F2C" w:rsidRPr="001E4066" w:rsidRDefault="004749ED" w:rsidP="001E4066">
            <w:pPr>
              <w:rPr>
                <w:rFonts w:cs="Arial"/>
                <w:sz w:val="22"/>
                <w:szCs w:val="22"/>
              </w:rPr>
            </w:pPr>
            <w:r w:rsidRPr="001E4066">
              <w:rPr>
                <w:rFonts w:cs="Arial"/>
                <w:sz w:val="22"/>
                <w:szCs w:val="22"/>
              </w:rPr>
              <w:t xml:space="preserve">Determination of Prior </w:t>
            </w:r>
            <w:r w:rsidRPr="001E4066">
              <w:rPr>
                <w:rFonts w:cs="Arial"/>
                <w:sz w:val="22"/>
                <w:szCs w:val="22"/>
              </w:rPr>
              <w:lastRenderedPageBreak/>
              <w:t>Occupational Dose</w:t>
            </w:r>
          </w:p>
        </w:tc>
        <w:tc>
          <w:tcPr>
            <w:tcW w:w="1080" w:type="dxa"/>
          </w:tcPr>
          <w:p w:rsidR="004F5F2C" w:rsidRPr="001E4066" w:rsidRDefault="004F5F2C" w:rsidP="001E4066">
            <w:pPr>
              <w:rPr>
                <w:rFonts w:cs="Arial"/>
                <w:sz w:val="22"/>
                <w:szCs w:val="22"/>
              </w:rPr>
            </w:pPr>
          </w:p>
        </w:tc>
        <w:tc>
          <w:tcPr>
            <w:tcW w:w="2160" w:type="dxa"/>
          </w:tcPr>
          <w:p w:rsidR="004F5F2C" w:rsidRPr="001E4066" w:rsidRDefault="004749ED" w:rsidP="001E4066">
            <w:pPr>
              <w:jc w:val="center"/>
              <w:rPr>
                <w:rFonts w:cs="Arial"/>
                <w:sz w:val="22"/>
                <w:szCs w:val="22"/>
              </w:rPr>
            </w:pPr>
            <w:r w:rsidRPr="001E4066">
              <w:rPr>
                <w:rFonts w:cs="Arial"/>
                <w:sz w:val="22"/>
                <w:szCs w:val="22"/>
              </w:rPr>
              <w:t>D</w:t>
            </w:r>
          </w:p>
        </w:tc>
        <w:tc>
          <w:tcPr>
            <w:tcW w:w="3240" w:type="dxa"/>
          </w:tcPr>
          <w:p w:rsidR="004F5F2C" w:rsidRPr="001E4066" w:rsidRDefault="004749ED" w:rsidP="001E4066">
            <w:pPr>
              <w:rPr>
                <w:rFonts w:cs="Arial"/>
                <w:sz w:val="22"/>
                <w:szCs w:val="22"/>
              </w:rPr>
            </w:pPr>
            <w:r w:rsidRPr="001E4066">
              <w:rPr>
                <w:rFonts w:cs="Arial"/>
                <w:sz w:val="22"/>
                <w:szCs w:val="22"/>
              </w:rPr>
              <w:t>N/A</w:t>
            </w:r>
          </w:p>
        </w:tc>
        <w:tc>
          <w:tcPr>
            <w:tcW w:w="1440" w:type="dxa"/>
          </w:tcPr>
          <w:p w:rsidR="004F5F2C" w:rsidRPr="001E4066" w:rsidRDefault="004749ED" w:rsidP="001E4066">
            <w:pPr>
              <w:rPr>
                <w:rFonts w:cs="Arial"/>
                <w:sz w:val="22"/>
                <w:szCs w:val="22"/>
              </w:rPr>
            </w:pPr>
            <w:r w:rsidRPr="001E4066">
              <w:rPr>
                <w:rFonts w:cs="Arial"/>
                <w:sz w:val="22"/>
                <w:szCs w:val="22"/>
              </w:rPr>
              <w:t>N/A</w:t>
            </w:r>
          </w:p>
        </w:tc>
        <w:tc>
          <w:tcPr>
            <w:tcW w:w="1440" w:type="dxa"/>
          </w:tcPr>
          <w:p w:rsidR="004F5F2C" w:rsidRPr="001E4066" w:rsidRDefault="004F5F2C" w:rsidP="001E4066">
            <w:pPr>
              <w:rPr>
                <w:rFonts w:cs="Arial"/>
                <w:sz w:val="22"/>
                <w:szCs w:val="22"/>
              </w:rPr>
            </w:pPr>
          </w:p>
        </w:tc>
        <w:tc>
          <w:tcPr>
            <w:tcW w:w="2880" w:type="dxa"/>
          </w:tcPr>
          <w:p w:rsidR="004F5F2C" w:rsidRPr="001E4066" w:rsidRDefault="004F5F2C" w:rsidP="001E4066">
            <w:pPr>
              <w:rPr>
                <w:rFonts w:cs="Arial"/>
                <w:sz w:val="22"/>
                <w:szCs w:val="22"/>
              </w:rPr>
            </w:pPr>
          </w:p>
        </w:tc>
      </w:tr>
      <w:tr w:rsidR="004F5F2C" w:rsidRPr="007A6D7C" w:rsidTr="001E4066">
        <w:tc>
          <w:tcPr>
            <w:tcW w:w="1260" w:type="dxa"/>
          </w:tcPr>
          <w:p w:rsidR="004F5F2C" w:rsidRPr="001E4066" w:rsidRDefault="004F5F2C" w:rsidP="001E4066">
            <w:pPr>
              <w:rPr>
                <w:rFonts w:cs="Arial"/>
                <w:sz w:val="22"/>
                <w:szCs w:val="22"/>
              </w:rPr>
            </w:pPr>
            <w:r w:rsidRPr="001E4066">
              <w:rPr>
                <w:rFonts w:cs="Arial"/>
                <w:sz w:val="22"/>
                <w:szCs w:val="22"/>
              </w:rPr>
              <w:lastRenderedPageBreak/>
              <w:sym w:font="WP TypographicSymbols" w:char="0027"/>
            </w:r>
            <w:r w:rsidR="004749ED" w:rsidRPr="001E4066">
              <w:rPr>
                <w:rFonts w:cs="Arial"/>
                <w:sz w:val="22"/>
                <w:szCs w:val="22"/>
              </w:rPr>
              <w:t>20.2205</w:t>
            </w:r>
          </w:p>
        </w:tc>
        <w:tc>
          <w:tcPr>
            <w:tcW w:w="1440" w:type="dxa"/>
          </w:tcPr>
          <w:p w:rsidR="004F5F2C" w:rsidRPr="001E4066" w:rsidRDefault="004749ED" w:rsidP="001E4066">
            <w:pPr>
              <w:rPr>
                <w:rFonts w:cs="Arial"/>
                <w:sz w:val="22"/>
                <w:szCs w:val="22"/>
              </w:rPr>
            </w:pPr>
            <w:r w:rsidRPr="001E4066">
              <w:rPr>
                <w:rFonts w:cs="Arial"/>
                <w:sz w:val="22"/>
                <w:szCs w:val="22"/>
              </w:rPr>
              <w:t>Reports to Individuals of Exceeding Dose Limits</w:t>
            </w:r>
          </w:p>
          <w:p w:rsidR="004F5F2C" w:rsidRPr="001E4066" w:rsidRDefault="004F5F2C" w:rsidP="001E4066">
            <w:pPr>
              <w:rPr>
                <w:rFonts w:cs="Arial"/>
                <w:sz w:val="22"/>
                <w:szCs w:val="22"/>
              </w:rPr>
            </w:pPr>
          </w:p>
        </w:tc>
        <w:tc>
          <w:tcPr>
            <w:tcW w:w="1080" w:type="dxa"/>
          </w:tcPr>
          <w:p w:rsidR="004F5F2C" w:rsidRPr="001E4066" w:rsidRDefault="004F5F2C" w:rsidP="001E4066">
            <w:pPr>
              <w:jc w:val="center"/>
              <w:rPr>
                <w:rFonts w:cs="Arial"/>
                <w:sz w:val="22"/>
                <w:szCs w:val="22"/>
              </w:rPr>
            </w:pPr>
          </w:p>
        </w:tc>
        <w:tc>
          <w:tcPr>
            <w:tcW w:w="2160" w:type="dxa"/>
          </w:tcPr>
          <w:p w:rsidR="004F5F2C" w:rsidRPr="001E4066" w:rsidRDefault="004749ED" w:rsidP="001E4066">
            <w:pPr>
              <w:jc w:val="center"/>
              <w:rPr>
                <w:rFonts w:cs="Arial"/>
                <w:sz w:val="22"/>
                <w:szCs w:val="22"/>
              </w:rPr>
            </w:pPr>
            <w:r w:rsidRPr="001E4066">
              <w:rPr>
                <w:rFonts w:cs="Arial"/>
                <w:sz w:val="22"/>
                <w:szCs w:val="22"/>
              </w:rPr>
              <w:t>C</w:t>
            </w:r>
          </w:p>
        </w:tc>
        <w:tc>
          <w:tcPr>
            <w:tcW w:w="3240" w:type="dxa"/>
          </w:tcPr>
          <w:p w:rsidR="004F5F2C" w:rsidRPr="001E4066" w:rsidRDefault="004749ED" w:rsidP="001E4066">
            <w:pPr>
              <w:widowControl/>
              <w:rPr>
                <w:rFonts w:cs="Arial"/>
                <w:b/>
                <w:sz w:val="22"/>
                <w:szCs w:val="22"/>
              </w:rPr>
            </w:pPr>
            <w:r w:rsidRPr="001E4066">
              <w:rPr>
                <w:rFonts w:cs="Arial"/>
                <w:b/>
                <w:sz w:val="22"/>
                <w:szCs w:val="22"/>
              </w:rPr>
              <w:t>Section 20.2205 is revised to read as follows:</w:t>
            </w:r>
          </w:p>
          <w:p w:rsidR="004749ED" w:rsidRPr="001E4066" w:rsidRDefault="004749ED" w:rsidP="001E4066">
            <w:pPr>
              <w:widowControl/>
              <w:rPr>
                <w:rFonts w:cs="Arial"/>
                <w:b/>
                <w:sz w:val="22"/>
                <w:szCs w:val="22"/>
              </w:rPr>
            </w:pPr>
          </w:p>
          <w:p w:rsidR="004749ED" w:rsidRPr="001E4066" w:rsidRDefault="004749ED" w:rsidP="001E4066">
            <w:pPr>
              <w:widowControl/>
              <w:rPr>
                <w:rFonts w:cs="Arial"/>
                <w:sz w:val="22"/>
                <w:szCs w:val="22"/>
              </w:rPr>
            </w:pPr>
            <w:r w:rsidRPr="001E4066">
              <w:rPr>
                <w:rFonts w:cs="Arial"/>
                <w:sz w:val="22"/>
                <w:szCs w:val="22"/>
              </w:rPr>
              <w:t>When a licensee is required by</w:t>
            </w:r>
          </w:p>
          <w:p w:rsidR="004749ED" w:rsidRPr="001E4066" w:rsidRDefault="004749ED" w:rsidP="001E4066">
            <w:pPr>
              <w:widowControl/>
              <w:rPr>
                <w:rFonts w:cs="Arial"/>
                <w:sz w:val="22"/>
                <w:szCs w:val="22"/>
              </w:rPr>
            </w:pPr>
            <w:r w:rsidRPr="001E4066">
              <w:rPr>
                <w:rFonts w:cs="Arial"/>
                <w:sz w:val="22"/>
                <w:szCs w:val="22"/>
              </w:rPr>
              <w:t>§§ 20.2203 or 20.2204 to report to the Commission any exposure of an identified occupationally exposed individual, or an identified member of the public, to radiation or radioactive material, the licensee shall also provide the individual a report on his or her exposure data included in the report to Commission. This report must be transmitted no later than the transmittal to the Commission.</w:t>
            </w:r>
          </w:p>
          <w:p w:rsidR="004749ED" w:rsidRPr="001E4066" w:rsidRDefault="004749ED" w:rsidP="001E4066">
            <w:pPr>
              <w:widowControl/>
              <w:rPr>
                <w:rFonts w:cs="Arial"/>
                <w:sz w:val="22"/>
                <w:szCs w:val="22"/>
              </w:rPr>
            </w:pPr>
          </w:p>
        </w:tc>
        <w:tc>
          <w:tcPr>
            <w:tcW w:w="1440" w:type="dxa"/>
          </w:tcPr>
          <w:p w:rsidR="004F5F2C" w:rsidRPr="001E4066" w:rsidRDefault="004F5F2C" w:rsidP="001E4066">
            <w:pPr>
              <w:rPr>
                <w:rFonts w:cs="Arial"/>
                <w:sz w:val="22"/>
                <w:szCs w:val="22"/>
              </w:rPr>
            </w:pPr>
          </w:p>
        </w:tc>
        <w:tc>
          <w:tcPr>
            <w:tcW w:w="1440" w:type="dxa"/>
          </w:tcPr>
          <w:p w:rsidR="004F5F2C" w:rsidRPr="001E4066" w:rsidRDefault="004F5F2C" w:rsidP="001E4066">
            <w:pPr>
              <w:rPr>
                <w:rFonts w:cs="Arial"/>
                <w:sz w:val="22"/>
                <w:szCs w:val="22"/>
              </w:rPr>
            </w:pPr>
          </w:p>
        </w:tc>
        <w:tc>
          <w:tcPr>
            <w:tcW w:w="2880" w:type="dxa"/>
          </w:tcPr>
          <w:p w:rsidR="004F5F2C" w:rsidRPr="001E4066" w:rsidRDefault="004F5F2C" w:rsidP="001E4066">
            <w:pPr>
              <w:rPr>
                <w:rFonts w:cs="Arial"/>
                <w:sz w:val="22"/>
                <w:szCs w:val="22"/>
              </w:rPr>
            </w:pPr>
          </w:p>
        </w:tc>
      </w:tr>
    </w:tbl>
    <w:p w:rsidR="001A7CBF" w:rsidRPr="004749ED" w:rsidRDefault="001A7CBF" w:rsidP="004749ED">
      <w:pPr>
        <w:sectPr w:rsidR="001A7CBF" w:rsidRPr="004749ED" w:rsidSect="002D5A53">
          <w:headerReference w:type="default" r:id="rId7"/>
          <w:footerReference w:type="default" r:id="rId8"/>
          <w:pgSz w:w="15838" w:h="12240" w:orient="landscape"/>
          <w:pgMar w:top="1080" w:right="907" w:bottom="792" w:left="1440" w:header="1080" w:footer="792" w:gutter="0"/>
          <w:pgNumType w:start="1"/>
          <w:cols w:space="720"/>
          <w:noEndnote/>
        </w:sectPr>
      </w:pPr>
    </w:p>
    <w:p w:rsidR="00C3153E" w:rsidRDefault="00C3153E" w:rsidP="00C315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sectPr w:rsidR="00C3153E" w:rsidSect="00164974">
      <w:type w:val="continuous"/>
      <w:pgSz w:w="15838" w:h="12240" w:orient="landscape"/>
      <w:pgMar w:top="1080" w:right="720" w:bottom="576" w:left="1296" w:header="1080" w:footer="79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6BE" w:rsidRDefault="005516BE">
      <w:r>
        <w:separator/>
      </w:r>
    </w:p>
  </w:endnote>
  <w:endnote w:type="continuationSeparator" w:id="0">
    <w:p w:rsidR="005516BE" w:rsidRDefault="005516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36" w:rsidRDefault="009A6636">
    <w:pPr>
      <w:spacing w:line="240" w:lineRule="exact"/>
    </w:pPr>
  </w:p>
  <w:p w:rsidR="009A6636" w:rsidRDefault="009A6636" w:rsidP="002D5A53">
    <w:pPr>
      <w:framePr w:wrap="around" w:vAnchor="text" w:hAnchor="margin" w:xAlign="center" w:y="1"/>
      <w:rPr>
        <w:rFonts w:cs="Arial"/>
        <w:sz w:val="22"/>
        <w:szCs w:val="22"/>
      </w:rPr>
    </w:pPr>
    <w:r>
      <w:rPr>
        <w:rFonts w:cs="Arial"/>
        <w:sz w:val="22"/>
        <w:szCs w:val="22"/>
      </w:rPr>
      <w:fldChar w:fldCharType="begin"/>
    </w:r>
    <w:r>
      <w:rPr>
        <w:rFonts w:cs="Arial"/>
        <w:sz w:val="22"/>
        <w:szCs w:val="22"/>
      </w:rPr>
      <w:instrText xml:space="preserve">PAGE </w:instrText>
    </w:r>
    <w:r>
      <w:rPr>
        <w:rFonts w:cs="Arial"/>
        <w:sz w:val="22"/>
        <w:szCs w:val="22"/>
      </w:rPr>
      <w:fldChar w:fldCharType="separate"/>
    </w:r>
    <w:r w:rsidR="00095D1C">
      <w:rPr>
        <w:rFonts w:cs="Arial"/>
        <w:noProof/>
        <w:sz w:val="22"/>
        <w:szCs w:val="22"/>
      </w:rPr>
      <w:t>1</w:t>
    </w:r>
    <w:r>
      <w:rPr>
        <w:rFonts w:cs="Arial"/>
        <w:sz w:val="22"/>
        <w:szCs w:val="22"/>
      </w:rPr>
      <w:fldChar w:fldCharType="end"/>
    </w:r>
  </w:p>
  <w:p w:rsidR="009A6636" w:rsidRDefault="009A6636">
    <w:pPr>
      <w:ind w:left="630" w:right="540"/>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6BE" w:rsidRDefault="005516BE">
      <w:r>
        <w:separator/>
      </w:r>
    </w:p>
  </w:footnote>
  <w:footnote w:type="continuationSeparator" w:id="0">
    <w:p w:rsidR="005516BE" w:rsidRDefault="00551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636" w:rsidRDefault="009A66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A7CBF"/>
    <w:rsid w:val="00040E97"/>
    <w:rsid w:val="00041E35"/>
    <w:rsid w:val="00045AA8"/>
    <w:rsid w:val="00067E00"/>
    <w:rsid w:val="000950D3"/>
    <w:rsid w:val="00095D1C"/>
    <w:rsid w:val="000972AB"/>
    <w:rsid w:val="000C637E"/>
    <w:rsid w:val="000C6545"/>
    <w:rsid w:val="000D5AD9"/>
    <w:rsid w:val="000E2332"/>
    <w:rsid w:val="000F59B6"/>
    <w:rsid w:val="00125EA3"/>
    <w:rsid w:val="00136953"/>
    <w:rsid w:val="00152E11"/>
    <w:rsid w:val="00164974"/>
    <w:rsid w:val="00183A85"/>
    <w:rsid w:val="001A7CBF"/>
    <w:rsid w:val="001E4066"/>
    <w:rsid w:val="001E48A1"/>
    <w:rsid w:val="001F2158"/>
    <w:rsid w:val="001F6ACE"/>
    <w:rsid w:val="002057B1"/>
    <w:rsid w:val="0025694A"/>
    <w:rsid w:val="0025728D"/>
    <w:rsid w:val="00286BDC"/>
    <w:rsid w:val="00295A99"/>
    <w:rsid w:val="002A05FE"/>
    <w:rsid w:val="002A0E5F"/>
    <w:rsid w:val="002C6E8D"/>
    <w:rsid w:val="002C71FF"/>
    <w:rsid w:val="002D5A53"/>
    <w:rsid w:val="00322BDB"/>
    <w:rsid w:val="00340C2E"/>
    <w:rsid w:val="00346F5E"/>
    <w:rsid w:val="003576F5"/>
    <w:rsid w:val="003664DD"/>
    <w:rsid w:val="0038557C"/>
    <w:rsid w:val="00385D75"/>
    <w:rsid w:val="003B2C98"/>
    <w:rsid w:val="003C560C"/>
    <w:rsid w:val="003D4E6E"/>
    <w:rsid w:val="004022BE"/>
    <w:rsid w:val="00432C7B"/>
    <w:rsid w:val="00435207"/>
    <w:rsid w:val="00437D8F"/>
    <w:rsid w:val="00452A8D"/>
    <w:rsid w:val="00470A8F"/>
    <w:rsid w:val="00470E0F"/>
    <w:rsid w:val="004747A3"/>
    <w:rsid w:val="004749ED"/>
    <w:rsid w:val="00496AE5"/>
    <w:rsid w:val="00497114"/>
    <w:rsid w:val="004A5FCC"/>
    <w:rsid w:val="004C2C4D"/>
    <w:rsid w:val="004F5F2C"/>
    <w:rsid w:val="00503F19"/>
    <w:rsid w:val="005205F0"/>
    <w:rsid w:val="00524690"/>
    <w:rsid w:val="00526973"/>
    <w:rsid w:val="005516BE"/>
    <w:rsid w:val="0057741C"/>
    <w:rsid w:val="00596DB8"/>
    <w:rsid w:val="005A50AE"/>
    <w:rsid w:val="005D39FC"/>
    <w:rsid w:val="005E4BFF"/>
    <w:rsid w:val="005F2938"/>
    <w:rsid w:val="00641492"/>
    <w:rsid w:val="0065739E"/>
    <w:rsid w:val="00663FD4"/>
    <w:rsid w:val="00697C39"/>
    <w:rsid w:val="006A4001"/>
    <w:rsid w:val="006B4ADD"/>
    <w:rsid w:val="006D37D2"/>
    <w:rsid w:val="006F3848"/>
    <w:rsid w:val="007315B0"/>
    <w:rsid w:val="00731991"/>
    <w:rsid w:val="007A1CA6"/>
    <w:rsid w:val="007A6D7C"/>
    <w:rsid w:val="007A7653"/>
    <w:rsid w:val="007B4872"/>
    <w:rsid w:val="007B5828"/>
    <w:rsid w:val="007E3622"/>
    <w:rsid w:val="007E3F83"/>
    <w:rsid w:val="007F2939"/>
    <w:rsid w:val="008002D8"/>
    <w:rsid w:val="00812ABA"/>
    <w:rsid w:val="00844BEF"/>
    <w:rsid w:val="0085489D"/>
    <w:rsid w:val="008668BA"/>
    <w:rsid w:val="00873B3F"/>
    <w:rsid w:val="008A4BFF"/>
    <w:rsid w:val="008C131A"/>
    <w:rsid w:val="008D4AD4"/>
    <w:rsid w:val="008E1CCB"/>
    <w:rsid w:val="008F3411"/>
    <w:rsid w:val="00921A9E"/>
    <w:rsid w:val="00926D79"/>
    <w:rsid w:val="00932F4E"/>
    <w:rsid w:val="00934189"/>
    <w:rsid w:val="00941E02"/>
    <w:rsid w:val="009421A9"/>
    <w:rsid w:val="00961936"/>
    <w:rsid w:val="009772A4"/>
    <w:rsid w:val="0099064D"/>
    <w:rsid w:val="00994064"/>
    <w:rsid w:val="009A6636"/>
    <w:rsid w:val="009B248D"/>
    <w:rsid w:val="009D50EF"/>
    <w:rsid w:val="009D57FE"/>
    <w:rsid w:val="009E0D2A"/>
    <w:rsid w:val="009E0F6E"/>
    <w:rsid w:val="009E1A44"/>
    <w:rsid w:val="00A207A4"/>
    <w:rsid w:val="00A243DE"/>
    <w:rsid w:val="00A360CF"/>
    <w:rsid w:val="00A3700A"/>
    <w:rsid w:val="00A427F0"/>
    <w:rsid w:val="00A72584"/>
    <w:rsid w:val="00A92A9B"/>
    <w:rsid w:val="00A975E6"/>
    <w:rsid w:val="00AD23F0"/>
    <w:rsid w:val="00AF530A"/>
    <w:rsid w:val="00B00A15"/>
    <w:rsid w:val="00B4573A"/>
    <w:rsid w:val="00B55D15"/>
    <w:rsid w:val="00B61611"/>
    <w:rsid w:val="00BB0358"/>
    <w:rsid w:val="00BC69C1"/>
    <w:rsid w:val="00BD45D6"/>
    <w:rsid w:val="00BF3B8A"/>
    <w:rsid w:val="00C0168C"/>
    <w:rsid w:val="00C1001E"/>
    <w:rsid w:val="00C3153E"/>
    <w:rsid w:val="00C35396"/>
    <w:rsid w:val="00C36569"/>
    <w:rsid w:val="00C53B3E"/>
    <w:rsid w:val="00C73382"/>
    <w:rsid w:val="00CA3735"/>
    <w:rsid w:val="00CA63BD"/>
    <w:rsid w:val="00CF1826"/>
    <w:rsid w:val="00D1293D"/>
    <w:rsid w:val="00D12F5D"/>
    <w:rsid w:val="00D24B6C"/>
    <w:rsid w:val="00D30BBC"/>
    <w:rsid w:val="00D468B7"/>
    <w:rsid w:val="00D8073C"/>
    <w:rsid w:val="00DA700A"/>
    <w:rsid w:val="00DC112C"/>
    <w:rsid w:val="00DE09B6"/>
    <w:rsid w:val="00DF5769"/>
    <w:rsid w:val="00E43203"/>
    <w:rsid w:val="00E52D3A"/>
    <w:rsid w:val="00E605D1"/>
    <w:rsid w:val="00EB40AD"/>
    <w:rsid w:val="00EE3D60"/>
    <w:rsid w:val="00F32AB1"/>
    <w:rsid w:val="00F4544B"/>
    <w:rsid w:val="00F55339"/>
    <w:rsid w:val="00F64DDD"/>
    <w:rsid w:val="00F6771D"/>
    <w:rsid w:val="00F7656A"/>
    <w:rsid w:val="00F85F39"/>
    <w:rsid w:val="00F905C1"/>
    <w:rsid w:val="00FA0134"/>
    <w:rsid w:val="00FA67B1"/>
    <w:rsid w:val="00FA6D8E"/>
    <w:rsid w:val="00FC1045"/>
    <w:rsid w:val="00FE493C"/>
    <w:rsid w:val="00FF110A"/>
    <w:rsid w:val="00FF2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table" w:styleId="TableGrid">
    <w:name w:val="Table Grid"/>
    <w:basedOn w:val="TableNormal"/>
    <w:rsid w:val="00C31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subject/>
  <dc:creator>MLO1</dc:creator>
  <cp:keywords/>
  <dc:description/>
  <cp:lastModifiedBy>KNM1</cp:lastModifiedBy>
  <cp:revision>2</cp:revision>
  <cp:lastPrinted>2007-12-26T14:58:00Z</cp:lastPrinted>
  <dcterms:created xsi:type="dcterms:W3CDTF">2011-05-02T15:29:00Z</dcterms:created>
  <dcterms:modified xsi:type="dcterms:W3CDTF">2011-05-02T15:29:00Z</dcterms:modified>
</cp:coreProperties>
</file>