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8D6" w:rsidRDefault="006F18D6"/>
    <w:p w:rsidR="006F18D6" w:rsidRDefault="006F18D6"/>
    <w:p w:rsidR="006F18D6" w:rsidRDefault="006F18D6" w:rsidP="006F18D6">
      <w:pPr>
        <w:jc w:val="center"/>
        <w:rPr>
          <w:rFonts w:cs="Arial"/>
          <w:b/>
          <w:bCs/>
        </w:rPr>
      </w:pPr>
      <w:r>
        <w:rPr>
          <w:rFonts w:cs="Arial"/>
          <w:b/>
          <w:bCs/>
        </w:rPr>
        <w:t>Medical Use of Byproduct Material - Minor Corrections and Clarifications 10 CFR Parts 32 and 35</w:t>
      </w:r>
    </w:p>
    <w:p w:rsidR="006F18D6" w:rsidRDefault="006F18D6" w:rsidP="006F18D6">
      <w:pPr>
        <w:jc w:val="center"/>
        <w:rPr>
          <w:rFonts w:cs="Arial"/>
          <w:b/>
          <w:bCs/>
        </w:rPr>
      </w:pPr>
      <w:r>
        <w:rPr>
          <w:rFonts w:cs="Arial"/>
          <w:b/>
          <w:bCs/>
        </w:rPr>
        <w:t>(72 FR 45147, 54207) RATS ID # 2007-1 Effective date 10/29/07</w:t>
      </w:r>
    </w:p>
    <w:p w:rsidR="006F18D6" w:rsidRDefault="006F18D6" w:rsidP="006F18D6">
      <w:pPr>
        <w:jc w:val="center"/>
        <w:rPr>
          <w:rFonts w:ascii="Shruti" w:hAnsi="Shruti" w:cs="Shruti"/>
          <w:szCs w:val="22"/>
        </w:rPr>
      </w:pPr>
      <w:r>
        <w:rPr>
          <w:rFonts w:cs="Arial"/>
          <w:b/>
          <w:bCs/>
        </w:rPr>
        <w:t>Date Due for State Adoption 10/29/10</w:t>
      </w:r>
    </w:p>
    <w:p w:rsidR="006F18D6" w:rsidRDefault="006F18D6"/>
    <w:p w:rsidR="006F18D6" w:rsidRDefault="006F18D6"/>
    <w:tbl>
      <w:tblPr>
        <w:tblStyle w:val="TableGrid"/>
        <w:tblW w:w="14585" w:type="dxa"/>
        <w:tblInd w:w="-750" w:type="dxa"/>
        <w:tblBorders>
          <w:top w:val="double" w:sz="6" w:space="0" w:color="auto"/>
          <w:left w:val="double" w:sz="6" w:space="0" w:color="auto"/>
          <w:bottom w:val="double" w:sz="6" w:space="0" w:color="auto"/>
          <w:right w:val="double" w:sz="6" w:space="0" w:color="auto"/>
        </w:tblBorders>
        <w:tblLook w:val="01E0"/>
      </w:tblPr>
      <w:tblGrid>
        <w:gridCol w:w="1415"/>
        <w:gridCol w:w="1926"/>
        <w:gridCol w:w="1011"/>
        <w:gridCol w:w="1610"/>
        <w:gridCol w:w="2996"/>
        <w:gridCol w:w="1440"/>
        <w:gridCol w:w="1341"/>
        <w:gridCol w:w="2846"/>
      </w:tblGrid>
      <w:tr w:rsidR="008B56FC" w:rsidTr="006F18D6">
        <w:trPr>
          <w:tblHeader/>
        </w:trPr>
        <w:tc>
          <w:tcPr>
            <w:tcW w:w="1415" w:type="dxa"/>
            <w:shd w:val="clear" w:color="auto" w:fill="auto"/>
          </w:tcPr>
          <w:p w:rsidR="00474B66" w:rsidRPr="006F18D6" w:rsidRDefault="00474B66" w:rsidP="006F18D6">
            <w:pPr>
              <w:jc w:val="center"/>
              <w:rPr>
                <w:rFonts w:cs="Arial"/>
                <w:szCs w:val="22"/>
              </w:rPr>
            </w:pPr>
          </w:p>
          <w:p w:rsidR="00474B66" w:rsidRPr="006F18D6" w:rsidRDefault="00474B66" w:rsidP="006F18D6">
            <w:pPr>
              <w:jc w:val="center"/>
              <w:rPr>
                <w:rFonts w:cs="Arial"/>
                <w:b/>
                <w:bCs/>
                <w:szCs w:val="22"/>
              </w:rPr>
            </w:pPr>
            <w:r w:rsidRPr="006F18D6">
              <w:rPr>
                <w:rFonts w:cs="Arial"/>
                <w:b/>
                <w:bCs/>
                <w:szCs w:val="22"/>
              </w:rPr>
              <w:t>Change to NRC</w:t>
            </w:r>
          </w:p>
          <w:p w:rsidR="00474B66" w:rsidRPr="006F18D6" w:rsidRDefault="00474B66" w:rsidP="006F18D6">
            <w:pPr>
              <w:jc w:val="center"/>
              <w:rPr>
                <w:rFonts w:cs="Arial"/>
                <w:b/>
                <w:bCs/>
                <w:szCs w:val="22"/>
              </w:rPr>
            </w:pPr>
            <w:r w:rsidRPr="006F18D6">
              <w:rPr>
                <w:rFonts w:cs="Arial"/>
                <w:b/>
                <w:bCs/>
                <w:szCs w:val="22"/>
              </w:rPr>
              <w:t>Section</w:t>
            </w:r>
          </w:p>
        </w:tc>
        <w:tc>
          <w:tcPr>
            <w:tcW w:w="1926" w:type="dxa"/>
            <w:shd w:val="clear" w:color="auto" w:fill="auto"/>
          </w:tcPr>
          <w:p w:rsidR="00474B66" w:rsidRPr="006F18D6" w:rsidRDefault="00474B66" w:rsidP="006F18D6">
            <w:pPr>
              <w:jc w:val="center"/>
              <w:rPr>
                <w:rFonts w:cs="Arial"/>
                <w:b/>
                <w:bCs/>
                <w:szCs w:val="22"/>
              </w:rPr>
            </w:pPr>
          </w:p>
          <w:p w:rsidR="00474B66" w:rsidRPr="006F18D6" w:rsidRDefault="00474B66" w:rsidP="006F18D6">
            <w:pPr>
              <w:tabs>
                <w:tab w:val="center" w:pos="825"/>
              </w:tabs>
              <w:jc w:val="center"/>
              <w:rPr>
                <w:rFonts w:cs="Arial"/>
                <w:b/>
                <w:bCs/>
                <w:szCs w:val="22"/>
              </w:rPr>
            </w:pPr>
            <w:r w:rsidRPr="006F18D6">
              <w:rPr>
                <w:rFonts w:cs="Arial"/>
                <w:b/>
                <w:bCs/>
                <w:szCs w:val="22"/>
              </w:rPr>
              <w:t>Title</w:t>
            </w:r>
          </w:p>
        </w:tc>
        <w:tc>
          <w:tcPr>
            <w:tcW w:w="1011" w:type="dxa"/>
            <w:shd w:val="clear" w:color="auto" w:fill="auto"/>
          </w:tcPr>
          <w:p w:rsidR="00474B66" w:rsidRPr="006F18D6" w:rsidRDefault="00474B66" w:rsidP="006F18D6">
            <w:pPr>
              <w:jc w:val="center"/>
              <w:rPr>
                <w:rFonts w:cs="Arial"/>
                <w:b/>
                <w:bCs/>
                <w:szCs w:val="22"/>
              </w:rPr>
            </w:pPr>
          </w:p>
          <w:p w:rsidR="00474B66" w:rsidRPr="006F18D6" w:rsidRDefault="00474B66" w:rsidP="006F18D6">
            <w:pPr>
              <w:tabs>
                <w:tab w:val="center" w:pos="375"/>
              </w:tabs>
              <w:jc w:val="center"/>
              <w:rPr>
                <w:rFonts w:cs="Arial"/>
                <w:b/>
                <w:bCs/>
                <w:szCs w:val="22"/>
              </w:rPr>
            </w:pPr>
            <w:r w:rsidRPr="006F18D6">
              <w:rPr>
                <w:rFonts w:cs="Arial"/>
                <w:b/>
                <w:bCs/>
                <w:szCs w:val="22"/>
              </w:rPr>
              <w:t>State</w:t>
            </w:r>
          </w:p>
          <w:p w:rsidR="00474B66" w:rsidRPr="006F18D6" w:rsidRDefault="00474B66" w:rsidP="006F18D6">
            <w:pPr>
              <w:jc w:val="center"/>
              <w:rPr>
                <w:rFonts w:cs="Arial"/>
                <w:b/>
                <w:bCs/>
                <w:szCs w:val="22"/>
              </w:rPr>
            </w:pPr>
            <w:r w:rsidRPr="006F18D6">
              <w:rPr>
                <w:rFonts w:cs="Arial"/>
                <w:b/>
                <w:bCs/>
                <w:szCs w:val="22"/>
              </w:rPr>
              <w:t>Section</w:t>
            </w:r>
          </w:p>
        </w:tc>
        <w:tc>
          <w:tcPr>
            <w:tcW w:w="1610" w:type="dxa"/>
            <w:shd w:val="clear" w:color="auto" w:fill="auto"/>
          </w:tcPr>
          <w:p w:rsidR="00474B66" w:rsidRPr="006F18D6" w:rsidRDefault="00474B66" w:rsidP="006F18D6">
            <w:pPr>
              <w:jc w:val="center"/>
              <w:rPr>
                <w:rFonts w:cs="Arial"/>
                <w:b/>
                <w:bCs/>
                <w:szCs w:val="22"/>
              </w:rPr>
            </w:pPr>
          </w:p>
          <w:p w:rsidR="00474B66" w:rsidRPr="006F18D6" w:rsidRDefault="00474B66" w:rsidP="006F18D6">
            <w:pPr>
              <w:jc w:val="center"/>
              <w:rPr>
                <w:rFonts w:cs="Arial"/>
                <w:b/>
                <w:bCs/>
                <w:szCs w:val="22"/>
              </w:rPr>
            </w:pPr>
            <w:r w:rsidRPr="006F18D6">
              <w:rPr>
                <w:rFonts w:cs="Arial"/>
                <w:b/>
                <w:bCs/>
                <w:szCs w:val="22"/>
              </w:rPr>
              <w:t>Compatibility</w:t>
            </w:r>
          </w:p>
          <w:p w:rsidR="00474B66" w:rsidRPr="006F18D6" w:rsidRDefault="00474B66" w:rsidP="006F18D6">
            <w:pPr>
              <w:jc w:val="center"/>
              <w:rPr>
                <w:rFonts w:cs="Arial"/>
                <w:b/>
                <w:bCs/>
                <w:szCs w:val="22"/>
              </w:rPr>
            </w:pPr>
            <w:r w:rsidRPr="006F18D6">
              <w:rPr>
                <w:rFonts w:cs="Arial"/>
                <w:b/>
                <w:bCs/>
                <w:szCs w:val="22"/>
              </w:rPr>
              <w:t>Category</w:t>
            </w:r>
          </w:p>
        </w:tc>
        <w:tc>
          <w:tcPr>
            <w:tcW w:w="2996" w:type="dxa"/>
            <w:shd w:val="clear" w:color="auto" w:fill="auto"/>
          </w:tcPr>
          <w:p w:rsidR="00474B66" w:rsidRPr="006F18D6" w:rsidRDefault="00474B66" w:rsidP="006F18D6">
            <w:pPr>
              <w:jc w:val="center"/>
              <w:rPr>
                <w:rFonts w:cs="Arial"/>
                <w:b/>
                <w:bCs/>
                <w:szCs w:val="22"/>
              </w:rPr>
            </w:pPr>
          </w:p>
          <w:p w:rsidR="00474B66" w:rsidRPr="006F18D6" w:rsidRDefault="00474B66" w:rsidP="006F18D6">
            <w:pPr>
              <w:tabs>
                <w:tab w:val="center" w:pos="1725"/>
              </w:tabs>
              <w:jc w:val="center"/>
              <w:rPr>
                <w:rFonts w:cs="Arial"/>
                <w:b/>
                <w:bCs/>
                <w:szCs w:val="22"/>
              </w:rPr>
            </w:pPr>
            <w:r w:rsidRPr="006F18D6">
              <w:rPr>
                <w:rFonts w:cs="Arial"/>
                <w:b/>
                <w:bCs/>
                <w:szCs w:val="22"/>
              </w:rPr>
              <w:t>Summary of Change to CFR</w:t>
            </w:r>
          </w:p>
        </w:tc>
        <w:tc>
          <w:tcPr>
            <w:tcW w:w="1440" w:type="dxa"/>
            <w:shd w:val="clear" w:color="auto" w:fill="auto"/>
          </w:tcPr>
          <w:p w:rsidR="00474B66" w:rsidRPr="006F18D6" w:rsidRDefault="00474B66" w:rsidP="006F18D6">
            <w:pPr>
              <w:jc w:val="center"/>
              <w:rPr>
                <w:rFonts w:cs="Arial"/>
                <w:b/>
                <w:bCs/>
                <w:szCs w:val="22"/>
              </w:rPr>
            </w:pPr>
          </w:p>
          <w:p w:rsidR="00474B66" w:rsidRPr="006F18D6" w:rsidRDefault="00474B66" w:rsidP="006F18D6">
            <w:pPr>
              <w:jc w:val="center"/>
              <w:rPr>
                <w:rFonts w:cs="Arial"/>
                <w:b/>
                <w:bCs/>
                <w:szCs w:val="22"/>
              </w:rPr>
            </w:pPr>
            <w:r w:rsidRPr="006F18D6">
              <w:rPr>
                <w:rFonts w:cs="Arial"/>
                <w:b/>
                <w:bCs/>
                <w:szCs w:val="22"/>
              </w:rPr>
              <w:t>Difference</w:t>
            </w:r>
          </w:p>
          <w:p w:rsidR="00474B66" w:rsidRPr="006F18D6" w:rsidRDefault="00474B66" w:rsidP="006F18D6">
            <w:pPr>
              <w:jc w:val="center"/>
              <w:rPr>
                <w:rFonts w:cs="Arial"/>
                <w:b/>
                <w:bCs/>
                <w:szCs w:val="22"/>
              </w:rPr>
            </w:pPr>
            <w:r w:rsidRPr="006F18D6">
              <w:rPr>
                <w:rFonts w:cs="Arial"/>
                <w:b/>
                <w:bCs/>
                <w:szCs w:val="22"/>
              </w:rPr>
              <w:t>Yes/No</w:t>
            </w:r>
          </w:p>
        </w:tc>
        <w:tc>
          <w:tcPr>
            <w:tcW w:w="1341" w:type="dxa"/>
            <w:shd w:val="clear" w:color="auto" w:fill="auto"/>
          </w:tcPr>
          <w:p w:rsidR="00474B66" w:rsidRPr="006F18D6" w:rsidRDefault="00474B66" w:rsidP="006F18D6">
            <w:pPr>
              <w:jc w:val="center"/>
              <w:rPr>
                <w:rFonts w:cs="Arial"/>
                <w:b/>
                <w:bCs/>
                <w:szCs w:val="22"/>
              </w:rPr>
            </w:pPr>
          </w:p>
          <w:p w:rsidR="00474B66" w:rsidRPr="006F18D6" w:rsidRDefault="00474B66" w:rsidP="006F18D6">
            <w:pPr>
              <w:jc w:val="center"/>
              <w:rPr>
                <w:rFonts w:cs="Arial"/>
                <w:b/>
                <w:bCs/>
                <w:szCs w:val="22"/>
              </w:rPr>
            </w:pPr>
            <w:r w:rsidRPr="006F18D6">
              <w:rPr>
                <w:rFonts w:cs="Arial"/>
                <w:b/>
                <w:bCs/>
                <w:szCs w:val="22"/>
              </w:rPr>
              <w:t>Significant</w:t>
            </w:r>
          </w:p>
          <w:p w:rsidR="00474B66" w:rsidRPr="006F18D6" w:rsidRDefault="00474B66" w:rsidP="006F18D6">
            <w:pPr>
              <w:jc w:val="center"/>
              <w:rPr>
                <w:rFonts w:cs="Arial"/>
                <w:b/>
                <w:bCs/>
                <w:szCs w:val="22"/>
              </w:rPr>
            </w:pPr>
            <w:r w:rsidRPr="006F18D6">
              <w:rPr>
                <w:rFonts w:cs="Arial"/>
                <w:b/>
                <w:bCs/>
                <w:szCs w:val="22"/>
              </w:rPr>
              <w:t>Yes/No</w:t>
            </w:r>
          </w:p>
        </w:tc>
        <w:tc>
          <w:tcPr>
            <w:tcW w:w="2846" w:type="dxa"/>
            <w:shd w:val="clear" w:color="auto" w:fill="auto"/>
          </w:tcPr>
          <w:p w:rsidR="00474B66" w:rsidRPr="006F18D6" w:rsidRDefault="00474B66" w:rsidP="006F18D6">
            <w:pPr>
              <w:jc w:val="center"/>
              <w:rPr>
                <w:rFonts w:cs="Arial"/>
                <w:b/>
                <w:bCs/>
                <w:szCs w:val="22"/>
              </w:rPr>
            </w:pPr>
          </w:p>
          <w:p w:rsidR="00474B66" w:rsidRPr="006F18D6" w:rsidRDefault="00474B66" w:rsidP="006F18D6">
            <w:pPr>
              <w:jc w:val="center"/>
              <w:rPr>
                <w:rFonts w:cs="Arial"/>
                <w:b/>
                <w:bCs/>
                <w:szCs w:val="22"/>
              </w:rPr>
            </w:pPr>
            <w:r w:rsidRPr="006F18D6">
              <w:rPr>
                <w:rFonts w:cs="Arial"/>
                <w:b/>
                <w:bCs/>
                <w:szCs w:val="22"/>
              </w:rPr>
              <w:t>If Difference, Why or Why Not Was a Comment Generated</w:t>
            </w:r>
          </w:p>
        </w:tc>
      </w:tr>
      <w:tr w:rsidR="008B56FC" w:rsidTr="006F18D6">
        <w:tc>
          <w:tcPr>
            <w:tcW w:w="1415" w:type="dxa"/>
          </w:tcPr>
          <w:p w:rsidR="00474B66" w:rsidRPr="006F18D6" w:rsidRDefault="00474B66" w:rsidP="006F18D6">
            <w:pPr>
              <w:rPr>
                <w:rFonts w:cs="Arial"/>
                <w:b/>
                <w:bCs/>
                <w:szCs w:val="22"/>
              </w:rPr>
            </w:pPr>
          </w:p>
          <w:p w:rsidR="00474B66" w:rsidRPr="006F18D6" w:rsidRDefault="00474B66" w:rsidP="006F18D6">
            <w:pPr>
              <w:jc w:val="center"/>
              <w:rPr>
                <w:rFonts w:cs="Arial"/>
                <w:szCs w:val="22"/>
              </w:rPr>
            </w:pPr>
            <w:r w:rsidRPr="006F18D6">
              <w:rPr>
                <w:rFonts w:cs="Arial"/>
                <w:szCs w:val="22"/>
              </w:rPr>
              <w:sym w:font="WP TypographicSymbols" w:char="0027"/>
            </w:r>
            <w:r w:rsidRPr="006F18D6">
              <w:rPr>
                <w:rFonts w:cs="Arial"/>
                <w:szCs w:val="22"/>
              </w:rPr>
              <w:t>32.72</w:t>
            </w:r>
          </w:p>
          <w:p w:rsidR="00474B66" w:rsidRPr="006F18D6" w:rsidRDefault="00474B66" w:rsidP="006F18D6">
            <w:pPr>
              <w:jc w:val="center"/>
              <w:rPr>
                <w:rFonts w:cs="Arial"/>
                <w:szCs w:val="22"/>
              </w:rPr>
            </w:pPr>
            <w:r w:rsidRPr="006F18D6">
              <w:rPr>
                <w:rFonts w:cs="Arial"/>
                <w:szCs w:val="22"/>
              </w:rPr>
              <w:t>(b)(5)</w:t>
            </w:r>
          </w:p>
        </w:tc>
        <w:tc>
          <w:tcPr>
            <w:tcW w:w="1926" w:type="dxa"/>
          </w:tcPr>
          <w:p w:rsidR="00474B66" w:rsidRPr="006F18D6" w:rsidRDefault="00474B66" w:rsidP="006F18D6">
            <w:pPr>
              <w:rPr>
                <w:rFonts w:cs="Arial"/>
                <w:szCs w:val="22"/>
              </w:rPr>
            </w:pPr>
          </w:p>
          <w:p w:rsidR="00474B66" w:rsidRPr="006F18D6" w:rsidRDefault="00474B66" w:rsidP="006F18D6">
            <w:pPr>
              <w:pStyle w:val="HTMLPreformatted"/>
              <w:rPr>
                <w:rFonts w:ascii="Arial" w:hAnsi="Arial" w:cs="Arial"/>
                <w:sz w:val="22"/>
                <w:szCs w:val="22"/>
              </w:rPr>
            </w:pPr>
            <w:r w:rsidRPr="006F18D6">
              <w:rPr>
                <w:rFonts w:ascii="Arial" w:hAnsi="Arial" w:cs="Arial"/>
                <w:sz w:val="22"/>
                <w:szCs w:val="22"/>
              </w:rPr>
              <w:t>Manufacture, preparation, or transfer for       commercial distribution of radioactive drugs containing byproduct material for medical use under Part 35.</w:t>
            </w:r>
          </w:p>
          <w:p w:rsidR="00474B66" w:rsidRPr="006F18D6" w:rsidRDefault="00474B66" w:rsidP="006F18D6">
            <w:pPr>
              <w:rPr>
                <w:rFonts w:cs="Arial"/>
                <w:szCs w:val="22"/>
              </w:rPr>
            </w:pPr>
          </w:p>
        </w:tc>
        <w:tc>
          <w:tcPr>
            <w:tcW w:w="1011" w:type="dxa"/>
          </w:tcPr>
          <w:p w:rsidR="00474B66" w:rsidRPr="006F18D6" w:rsidRDefault="00474B66" w:rsidP="006F18D6">
            <w:pPr>
              <w:rPr>
                <w:rFonts w:cs="Arial"/>
                <w:szCs w:val="22"/>
              </w:rPr>
            </w:pPr>
          </w:p>
          <w:p w:rsidR="00474B66" w:rsidRPr="006F18D6" w:rsidRDefault="00474B66" w:rsidP="006F18D6">
            <w:pPr>
              <w:jc w:val="center"/>
              <w:rPr>
                <w:rFonts w:cs="Arial"/>
                <w:szCs w:val="22"/>
              </w:rPr>
            </w:pPr>
          </w:p>
        </w:tc>
        <w:tc>
          <w:tcPr>
            <w:tcW w:w="1610" w:type="dxa"/>
          </w:tcPr>
          <w:p w:rsidR="00474B66" w:rsidRPr="006F18D6" w:rsidRDefault="00474B66" w:rsidP="006F18D6">
            <w:pPr>
              <w:rPr>
                <w:rFonts w:cs="Arial"/>
                <w:szCs w:val="22"/>
              </w:rPr>
            </w:pPr>
          </w:p>
          <w:p w:rsidR="00474B66" w:rsidRPr="006F18D6" w:rsidRDefault="00474B66" w:rsidP="006F18D6">
            <w:pPr>
              <w:jc w:val="center"/>
              <w:rPr>
                <w:rFonts w:cs="Arial"/>
                <w:szCs w:val="22"/>
              </w:rPr>
            </w:pPr>
            <w:r w:rsidRPr="006F18D6">
              <w:rPr>
                <w:rFonts w:cs="Arial"/>
                <w:szCs w:val="22"/>
              </w:rPr>
              <w:t>B</w:t>
            </w:r>
          </w:p>
        </w:tc>
        <w:tc>
          <w:tcPr>
            <w:tcW w:w="2996" w:type="dxa"/>
          </w:tcPr>
          <w:p w:rsidR="00474B66" w:rsidRPr="006F18D6" w:rsidRDefault="00474B66" w:rsidP="006F18D6">
            <w:pPr>
              <w:rPr>
                <w:rFonts w:cs="Arial"/>
                <w:szCs w:val="22"/>
              </w:rPr>
            </w:pPr>
          </w:p>
          <w:p w:rsidR="00474B66" w:rsidRPr="006F18D6" w:rsidRDefault="00474B66" w:rsidP="006F18D6">
            <w:pPr>
              <w:rPr>
                <w:rFonts w:cs="Arial"/>
                <w:b/>
                <w:szCs w:val="22"/>
              </w:rPr>
            </w:pPr>
            <w:r w:rsidRPr="006F18D6">
              <w:rPr>
                <w:rFonts w:cs="Arial"/>
                <w:b/>
                <w:szCs w:val="22"/>
              </w:rPr>
              <w:t>In Sec.  32.72, paragraph (b)(5) is revised to read as follows:</w:t>
            </w:r>
          </w:p>
          <w:p w:rsidR="00474B66" w:rsidRPr="006F18D6" w:rsidRDefault="00474B66" w:rsidP="006F18D6">
            <w:pPr>
              <w:rPr>
                <w:rFonts w:cs="Arial"/>
                <w:b/>
                <w:szCs w:val="22"/>
              </w:rPr>
            </w:pPr>
          </w:p>
          <w:p w:rsidR="00474B66" w:rsidRPr="006F18D6" w:rsidRDefault="00474B66" w:rsidP="006F1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2"/>
              </w:rPr>
            </w:pPr>
            <w:r w:rsidRPr="006F18D6">
              <w:rPr>
                <w:rFonts w:cs="Arial"/>
                <w:szCs w:val="22"/>
              </w:rPr>
              <w:t>(b) * * *</w:t>
            </w:r>
          </w:p>
          <w:p w:rsidR="00474B66" w:rsidRPr="006F18D6" w:rsidRDefault="00474B66" w:rsidP="006F1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2"/>
              </w:rPr>
            </w:pPr>
            <w:r w:rsidRPr="006F18D6">
              <w:rPr>
                <w:rFonts w:cs="Arial"/>
                <w:szCs w:val="22"/>
              </w:rPr>
              <w:t xml:space="preserve">    (5) Shall provide to the Commission a copy of each individual's:</w:t>
            </w:r>
          </w:p>
          <w:p w:rsidR="00474B66" w:rsidRPr="006F18D6" w:rsidRDefault="00474B66" w:rsidP="006F1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2"/>
              </w:rPr>
            </w:pPr>
            <w:r w:rsidRPr="006F18D6">
              <w:rPr>
                <w:rFonts w:cs="Arial"/>
                <w:szCs w:val="22"/>
              </w:rPr>
              <w:t xml:space="preserve">    (i)(A) Certification by a specialty board whose certification process has been recognized by the Commission or an </w:t>
            </w:r>
            <w:smartTag w:uri="urn:schemas-microsoft-com:office:smarttags" w:element="place">
              <w:smartTag w:uri="urn:schemas-microsoft-com:office:smarttags" w:element="PlaceName">
                <w:r w:rsidRPr="006F18D6">
                  <w:rPr>
                    <w:rFonts w:cs="Arial"/>
                    <w:szCs w:val="22"/>
                  </w:rPr>
                  <w:t>Agreement</w:t>
                </w:r>
              </w:smartTag>
              <w:r w:rsidRPr="006F18D6">
                <w:rPr>
                  <w:rFonts w:cs="Arial"/>
                  <w:szCs w:val="22"/>
                </w:rPr>
                <w:t xml:space="preserve"> </w:t>
              </w:r>
              <w:smartTag w:uri="urn:schemas-microsoft-com:office:smarttags" w:element="PlaceType">
                <w:r w:rsidRPr="006F18D6">
                  <w:rPr>
                    <w:rFonts w:cs="Arial"/>
                    <w:szCs w:val="22"/>
                  </w:rPr>
                  <w:t>State</w:t>
                </w:r>
              </w:smartTag>
            </w:smartTag>
            <w:r w:rsidRPr="006F18D6">
              <w:rPr>
                <w:rFonts w:cs="Arial"/>
                <w:szCs w:val="22"/>
              </w:rPr>
              <w:t xml:space="preserve"> as specified in Sec.  35.55(a) of this chapter with the written attestation signed by a preceptor as required by Sec.  35.55(b)(2) of this chapter; or</w:t>
            </w:r>
          </w:p>
          <w:p w:rsidR="00474B66" w:rsidRPr="006F18D6" w:rsidRDefault="00474B66" w:rsidP="006F1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2"/>
              </w:rPr>
            </w:pPr>
            <w:r w:rsidRPr="006F18D6">
              <w:rPr>
                <w:rFonts w:cs="Arial"/>
                <w:szCs w:val="22"/>
              </w:rPr>
              <w:t xml:space="preserve">    (B) The Commission or </w:t>
            </w:r>
            <w:smartTag w:uri="urn:schemas-microsoft-com:office:smarttags" w:element="place">
              <w:smartTag w:uri="urn:schemas-microsoft-com:office:smarttags" w:element="PlaceName">
                <w:r w:rsidRPr="006F18D6">
                  <w:rPr>
                    <w:rFonts w:cs="Arial"/>
                    <w:szCs w:val="22"/>
                  </w:rPr>
                  <w:t>Agreement</w:t>
                </w:r>
              </w:smartTag>
              <w:r w:rsidRPr="006F18D6">
                <w:rPr>
                  <w:rFonts w:cs="Arial"/>
                  <w:szCs w:val="22"/>
                </w:rPr>
                <w:t xml:space="preserve"> </w:t>
              </w:r>
              <w:smartTag w:uri="urn:schemas-microsoft-com:office:smarttags" w:element="PlaceType">
                <w:r w:rsidRPr="006F18D6">
                  <w:rPr>
                    <w:rFonts w:cs="Arial"/>
                    <w:szCs w:val="22"/>
                  </w:rPr>
                  <w:t>State</w:t>
                </w:r>
              </w:smartTag>
            </w:smartTag>
            <w:r w:rsidRPr="006F18D6">
              <w:rPr>
                <w:rFonts w:cs="Arial"/>
                <w:szCs w:val="22"/>
              </w:rPr>
              <w:t xml:space="preserve"> license; or</w:t>
            </w:r>
          </w:p>
          <w:p w:rsidR="00474B66" w:rsidRPr="006F18D6" w:rsidRDefault="00474B66" w:rsidP="006F1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2"/>
              </w:rPr>
            </w:pPr>
            <w:r w:rsidRPr="006F18D6">
              <w:rPr>
                <w:rFonts w:cs="Arial"/>
                <w:szCs w:val="22"/>
              </w:rPr>
              <w:t xml:space="preserve">    (C) The permit issued by a licensee of broad scope; and</w:t>
            </w:r>
          </w:p>
          <w:p w:rsidR="00474B66" w:rsidRPr="006F18D6" w:rsidRDefault="00474B66" w:rsidP="006F1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2"/>
              </w:rPr>
            </w:pPr>
            <w:r w:rsidRPr="006F18D6">
              <w:rPr>
                <w:rFonts w:cs="Arial"/>
                <w:szCs w:val="22"/>
              </w:rPr>
              <w:t xml:space="preserve">    (ii) State pharmacy licensure or registration, no </w:t>
            </w:r>
            <w:r w:rsidRPr="006F18D6">
              <w:rPr>
                <w:rFonts w:cs="Arial"/>
                <w:szCs w:val="22"/>
              </w:rPr>
              <w:lastRenderedPageBreak/>
              <w:t>later than 30 days after the date that the licensee allows, under paragraphs (b)(2)(i) and (b)(2)(iii) of this section, the individual to work as a</w:t>
            </w:r>
            <w:r w:rsidR="008B56FC" w:rsidRPr="006F18D6">
              <w:rPr>
                <w:rFonts w:cs="Arial"/>
                <w:szCs w:val="22"/>
              </w:rPr>
              <w:t>n authorized nuclear pharmacist.</w:t>
            </w:r>
          </w:p>
        </w:tc>
        <w:tc>
          <w:tcPr>
            <w:tcW w:w="1440" w:type="dxa"/>
          </w:tcPr>
          <w:p w:rsidR="00474B66" w:rsidRPr="006F18D6" w:rsidRDefault="00474B66" w:rsidP="006F18D6">
            <w:pPr>
              <w:rPr>
                <w:rFonts w:cs="Arial"/>
                <w:szCs w:val="22"/>
              </w:rPr>
            </w:pPr>
          </w:p>
          <w:p w:rsidR="00474B66" w:rsidRPr="006F18D6" w:rsidRDefault="00474B66" w:rsidP="006F18D6">
            <w:pPr>
              <w:rPr>
                <w:rFonts w:cs="Arial"/>
                <w:szCs w:val="22"/>
              </w:rPr>
            </w:pPr>
          </w:p>
        </w:tc>
        <w:tc>
          <w:tcPr>
            <w:tcW w:w="1341" w:type="dxa"/>
          </w:tcPr>
          <w:p w:rsidR="00474B66" w:rsidRPr="006F18D6" w:rsidRDefault="00474B66" w:rsidP="006F18D6">
            <w:pPr>
              <w:rPr>
                <w:rFonts w:cs="Arial"/>
                <w:szCs w:val="22"/>
              </w:rPr>
            </w:pPr>
          </w:p>
          <w:p w:rsidR="00474B66" w:rsidRPr="006F18D6" w:rsidRDefault="00474B66" w:rsidP="006F18D6">
            <w:pPr>
              <w:rPr>
                <w:rFonts w:cs="Arial"/>
                <w:szCs w:val="22"/>
              </w:rPr>
            </w:pPr>
          </w:p>
        </w:tc>
        <w:tc>
          <w:tcPr>
            <w:tcW w:w="2846" w:type="dxa"/>
          </w:tcPr>
          <w:p w:rsidR="00474B66" w:rsidRPr="006F18D6" w:rsidRDefault="00474B66" w:rsidP="006F18D6">
            <w:pPr>
              <w:rPr>
                <w:rFonts w:cs="Arial"/>
                <w:szCs w:val="22"/>
              </w:rPr>
            </w:pPr>
          </w:p>
          <w:p w:rsidR="00474B66" w:rsidRPr="006F18D6" w:rsidRDefault="00474B66" w:rsidP="006F18D6">
            <w:pPr>
              <w:rPr>
                <w:rFonts w:cs="Arial"/>
                <w:szCs w:val="22"/>
              </w:rPr>
            </w:pPr>
          </w:p>
        </w:tc>
      </w:tr>
      <w:tr w:rsidR="008B56FC" w:rsidTr="006F18D6">
        <w:tc>
          <w:tcPr>
            <w:tcW w:w="1415" w:type="dxa"/>
          </w:tcPr>
          <w:p w:rsidR="008B56FC" w:rsidRPr="006F18D6" w:rsidRDefault="008B56FC" w:rsidP="006F18D6">
            <w:pPr>
              <w:rPr>
                <w:rFonts w:cs="Arial"/>
                <w:szCs w:val="22"/>
              </w:rPr>
            </w:pPr>
          </w:p>
          <w:p w:rsidR="00474B66" w:rsidRPr="006F18D6" w:rsidRDefault="008B56FC" w:rsidP="006F18D6">
            <w:pPr>
              <w:rPr>
                <w:rFonts w:cs="Arial"/>
                <w:szCs w:val="22"/>
              </w:rPr>
            </w:pPr>
            <w:r w:rsidRPr="006F18D6">
              <w:rPr>
                <w:rFonts w:cs="Arial"/>
                <w:szCs w:val="22"/>
              </w:rPr>
              <w:sym w:font="WP TypographicSymbols" w:char="0027"/>
            </w:r>
            <w:r w:rsidRPr="006F18D6">
              <w:rPr>
                <w:rFonts w:cs="Arial"/>
                <w:szCs w:val="22"/>
              </w:rPr>
              <w:t>32.74(a)</w:t>
            </w:r>
          </w:p>
        </w:tc>
        <w:tc>
          <w:tcPr>
            <w:tcW w:w="1926" w:type="dxa"/>
          </w:tcPr>
          <w:p w:rsidR="008B56FC" w:rsidRPr="006F18D6" w:rsidRDefault="008B56FC" w:rsidP="006F18D6">
            <w:pPr>
              <w:rPr>
                <w:rFonts w:cs="Arial"/>
                <w:szCs w:val="22"/>
              </w:rPr>
            </w:pPr>
          </w:p>
          <w:p w:rsidR="00474B66" w:rsidRPr="006F18D6" w:rsidRDefault="008B56FC" w:rsidP="006F18D6">
            <w:pPr>
              <w:rPr>
                <w:rFonts w:cs="Arial"/>
                <w:szCs w:val="22"/>
              </w:rPr>
            </w:pPr>
            <w:r w:rsidRPr="006F18D6">
              <w:rPr>
                <w:rFonts w:cs="Arial"/>
                <w:szCs w:val="22"/>
              </w:rPr>
              <w:t>Manufacture and distribution of sources or devices containing byproduct material for medical use</w:t>
            </w:r>
          </w:p>
        </w:tc>
        <w:tc>
          <w:tcPr>
            <w:tcW w:w="1011" w:type="dxa"/>
          </w:tcPr>
          <w:p w:rsidR="00474B66" w:rsidRPr="006F18D6" w:rsidRDefault="00474B66" w:rsidP="006F18D6">
            <w:pPr>
              <w:rPr>
                <w:rFonts w:cs="Arial"/>
                <w:szCs w:val="22"/>
              </w:rPr>
            </w:pPr>
          </w:p>
        </w:tc>
        <w:tc>
          <w:tcPr>
            <w:tcW w:w="1610" w:type="dxa"/>
          </w:tcPr>
          <w:p w:rsidR="008B56FC" w:rsidRPr="006F18D6" w:rsidRDefault="008B56FC" w:rsidP="006F18D6">
            <w:pPr>
              <w:jc w:val="center"/>
              <w:rPr>
                <w:rFonts w:cs="Arial"/>
                <w:szCs w:val="22"/>
              </w:rPr>
            </w:pPr>
          </w:p>
          <w:p w:rsidR="00474B66" w:rsidRPr="006F18D6" w:rsidRDefault="008B56FC" w:rsidP="006F18D6">
            <w:pPr>
              <w:jc w:val="center"/>
              <w:rPr>
                <w:rFonts w:cs="Arial"/>
                <w:szCs w:val="22"/>
              </w:rPr>
            </w:pPr>
            <w:r w:rsidRPr="006F18D6">
              <w:rPr>
                <w:rFonts w:cs="Arial"/>
                <w:szCs w:val="22"/>
              </w:rPr>
              <w:t>B</w:t>
            </w:r>
          </w:p>
        </w:tc>
        <w:tc>
          <w:tcPr>
            <w:tcW w:w="2996" w:type="dxa"/>
          </w:tcPr>
          <w:p w:rsidR="00474B66" w:rsidRPr="006F18D6" w:rsidRDefault="00474B66" w:rsidP="006F18D6">
            <w:pPr>
              <w:rPr>
                <w:rFonts w:cs="Arial"/>
                <w:b/>
                <w:szCs w:val="22"/>
              </w:rPr>
            </w:pPr>
          </w:p>
          <w:p w:rsidR="008B56FC" w:rsidRPr="006F18D6" w:rsidRDefault="008B56FC" w:rsidP="006F18D6">
            <w:pPr>
              <w:pStyle w:val="HTMLPreformatted"/>
              <w:rPr>
                <w:rFonts w:ascii="Arial" w:hAnsi="Arial" w:cs="Arial"/>
                <w:b/>
                <w:sz w:val="22"/>
                <w:szCs w:val="22"/>
              </w:rPr>
            </w:pPr>
            <w:r w:rsidRPr="006F18D6">
              <w:rPr>
                <w:rFonts w:ascii="Arial" w:hAnsi="Arial" w:cs="Arial"/>
                <w:b/>
                <w:sz w:val="22"/>
                <w:szCs w:val="22"/>
              </w:rPr>
              <w:t>In Sec.  32.74, the introductory text of paragraph (a) is revised to read as follows:</w:t>
            </w:r>
          </w:p>
          <w:p w:rsidR="008B56FC" w:rsidRPr="006F18D6" w:rsidRDefault="008B56FC" w:rsidP="006F18D6">
            <w:pPr>
              <w:pStyle w:val="HTMLPreformatted"/>
              <w:rPr>
                <w:rFonts w:ascii="Arial" w:hAnsi="Arial" w:cs="Arial"/>
                <w:b/>
                <w:sz w:val="22"/>
                <w:szCs w:val="22"/>
              </w:rPr>
            </w:pPr>
          </w:p>
          <w:p w:rsidR="008B56FC" w:rsidRPr="006F18D6" w:rsidRDefault="008B56FC" w:rsidP="006F18D6">
            <w:pPr>
              <w:pStyle w:val="HTMLPreformatted"/>
              <w:rPr>
                <w:rFonts w:ascii="Arial" w:hAnsi="Arial" w:cs="Arial"/>
                <w:sz w:val="22"/>
                <w:szCs w:val="22"/>
              </w:rPr>
            </w:pPr>
            <w:r w:rsidRPr="006F18D6">
              <w:rPr>
                <w:rFonts w:ascii="Arial" w:hAnsi="Arial" w:cs="Arial"/>
                <w:sz w:val="22"/>
                <w:szCs w:val="22"/>
              </w:rPr>
              <w:t>(a) An application for a specific license to manufacture and distribute sources and devices containing byproduct material to persons licensed under part 35 of this chapter for use as a calibration, transmission, or reference source or for the uses listed in Sec. Sec. 35.400, 35.500, 35.600, and 35.1000 of this chapter will be approved if:</w:t>
            </w:r>
          </w:p>
          <w:p w:rsidR="008B56FC" w:rsidRPr="006F18D6" w:rsidRDefault="008B56FC" w:rsidP="006F18D6">
            <w:pPr>
              <w:pStyle w:val="HTMLPreformatted"/>
              <w:rPr>
                <w:rFonts w:ascii="Arial" w:hAnsi="Arial" w:cs="Arial"/>
                <w:sz w:val="22"/>
                <w:szCs w:val="22"/>
              </w:rPr>
            </w:pPr>
            <w:r w:rsidRPr="006F18D6">
              <w:t>* * * * *</w:t>
            </w:r>
          </w:p>
        </w:tc>
        <w:tc>
          <w:tcPr>
            <w:tcW w:w="1440" w:type="dxa"/>
          </w:tcPr>
          <w:p w:rsidR="00474B66" w:rsidRPr="006F18D6" w:rsidRDefault="00474B66" w:rsidP="006F18D6">
            <w:pPr>
              <w:rPr>
                <w:rFonts w:cs="Arial"/>
                <w:szCs w:val="22"/>
              </w:rPr>
            </w:pPr>
          </w:p>
        </w:tc>
        <w:tc>
          <w:tcPr>
            <w:tcW w:w="1341" w:type="dxa"/>
          </w:tcPr>
          <w:p w:rsidR="00474B66" w:rsidRPr="006F18D6" w:rsidRDefault="00474B66" w:rsidP="006F18D6">
            <w:pPr>
              <w:rPr>
                <w:rFonts w:cs="Arial"/>
                <w:szCs w:val="22"/>
              </w:rPr>
            </w:pPr>
          </w:p>
        </w:tc>
        <w:tc>
          <w:tcPr>
            <w:tcW w:w="2846" w:type="dxa"/>
          </w:tcPr>
          <w:p w:rsidR="00474B66" w:rsidRPr="006F18D6" w:rsidRDefault="00474B66" w:rsidP="006F18D6">
            <w:pPr>
              <w:rPr>
                <w:rFonts w:cs="Arial"/>
                <w:szCs w:val="22"/>
              </w:rPr>
            </w:pPr>
          </w:p>
        </w:tc>
      </w:tr>
      <w:tr w:rsidR="008B56FC" w:rsidTr="006F18D6">
        <w:tc>
          <w:tcPr>
            <w:tcW w:w="1415" w:type="dxa"/>
          </w:tcPr>
          <w:p w:rsidR="00474B66" w:rsidRPr="006F18D6" w:rsidRDefault="008B56FC" w:rsidP="006F18D6">
            <w:pPr>
              <w:rPr>
                <w:rFonts w:cs="Arial"/>
                <w:szCs w:val="22"/>
              </w:rPr>
            </w:pPr>
            <w:r w:rsidRPr="006F18D6">
              <w:rPr>
                <w:rFonts w:cs="Arial"/>
                <w:szCs w:val="22"/>
              </w:rPr>
              <w:sym w:font="WP TypographicSymbols" w:char="0027"/>
            </w:r>
            <w:r w:rsidRPr="006F18D6">
              <w:rPr>
                <w:rFonts w:cs="Arial"/>
                <w:szCs w:val="22"/>
              </w:rPr>
              <w:t>35.2</w:t>
            </w:r>
          </w:p>
        </w:tc>
        <w:tc>
          <w:tcPr>
            <w:tcW w:w="1926" w:type="dxa"/>
          </w:tcPr>
          <w:p w:rsidR="00474B66" w:rsidRPr="006F18D6" w:rsidRDefault="008B56FC" w:rsidP="006F18D6">
            <w:pPr>
              <w:rPr>
                <w:rFonts w:cs="Arial"/>
                <w:szCs w:val="22"/>
              </w:rPr>
            </w:pPr>
            <w:r w:rsidRPr="006F18D6">
              <w:rPr>
                <w:rFonts w:cs="Arial"/>
                <w:szCs w:val="22"/>
              </w:rPr>
              <w:t>Definitions: Medium dose-rate remote afterloader</w:t>
            </w:r>
          </w:p>
          <w:p w:rsidR="008B56FC" w:rsidRPr="006F18D6" w:rsidRDefault="008B56FC" w:rsidP="006F18D6">
            <w:pPr>
              <w:rPr>
                <w:rFonts w:cs="Arial"/>
                <w:szCs w:val="22"/>
              </w:rPr>
            </w:pPr>
          </w:p>
        </w:tc>
        <w:tc>
          <w:tcPr>
            <w:tcW w:w="1011" w:type="dxa"/>
          </w:tcPr>
          <w:p w:rsidR="00474B66" w:rsidRPr="006F18D6" w:rsidRDefault="00474B66" w:rsidP="006F18D6">
            <w:pPr>
              <w:rPr>
                <w:rFonts w:cs="Arial"/>
                <w:szCs w:val="22"/>
              </w:rPr>
            </w:pPr>
          </w:p>
        </w:tc>
        <w:tc>
          <w:tcPr>
            <w:tcW w:w="1610" w:type="dxa"/>
          </w:tcPr>
          <w:p w:rsidR="00474B66" w:rsidRPr="006F18D6" w:rsidRDefault="008B56FC" w:rsidP="006F18D6">
            <w:pPr>
              <w:jc w:val="center"/>
              <w:rPr>
                <w:rFonts w:cs="Arial"/>
                <w:szCs w:val="22"/>
              </w:rPr>
            </w:pPr>
            <w:r w:rsidRPr="006F18D6">
              <w:rPr>
                <w:rFonts w:cs="Arial"/>
                <w:szCs w:val="22"/>
              </w:rPr>
              <w:t>D</w:t>
            </w:r>
          </w:p>
        </w:tc>
        <w:tc>
          <w:tcPr>
            <w:tcW w:w="2996" w:type="dxa"/>
          </w:tcPr>
          <w:p w:rsidR="00474B66" w:rsidRPr="006F18D6" w:rsidRDefault="008B56FC" w:rsidP="006F18D6">
            <w:pPr>
              <w:rPr>
                <w:rFonts w:cs="Arial"/>
                <w:szCs w:val="22"/>
              </w:rPr>
            </w:pPr>
            <w:r w:rsidRPr="006F18D6">
              <w:rPr>
                <w:rFonts w:cs="Arial"/>
                <w:szCs w:val="22"/>
              </w:rPr>
              <w:t>N/A</w:t>
            </w:r>
          </w:p>
        </w:tc>
        <w:tc>
          <w:tcPr>
            <w:tcW w:w="1440" w:type="dxa"/>
          </w:tcPr>
          <w:p w:rsidR="00474B66" w:rsidRPr="006F18D6" w:rsidRDefault="008B56FC" w:rsidP="006F18D6">
            <w:pPr>
              <w:rPr>
                <w:rFonts w:cs="Arial"/>
                <w:szCs w:val="22"/>
              </w:rPr>
            </w:pPr>
            <w:r w:rsidRPr="006F18D6">
              <w:rPr>
                <w:rFonts w:cs="Arial"/>
                <w:szCs w:val="22"/>
              </w:rPr>
              <w:t>N/A</w:t>
            </w:r>
          </w:p>
        </w:tc>
        <w:tc>
          <w:tcPr>
            <w:tcW w:w="1341" w:type="dxa"/>
          </w:tcPr>
          <w:p w:rsidR="00474B66" w:rsidRPr="006F18D6" w:rsidRDefault="00474B66" w:rsidP="006F18D6">
            <w:pPr>
              <w:rPr>
                <w:rFonts w:cs="Arial"/>
                <w:szCs w:val="22"/>
              </w:rPr>
            </w:pPr>
          </w:p>
        </w:tc>
        <w:tc>
          <w:tcPr>
            <w:tcW w:w="2846" w:type="dxa"/>
          </w:tcPr>
          <w:p w:rsidR="00474B66" w:rsidRPr="006F18D6" w:rsidRDefault="00474B66" w:rsidP="006F18D6">
            <w:pPr>
              <w:rPr>
                <w:rFonts w:cs="Arial"/>
                <w:szCs w:val="22"/>
              </w:rPr>
            </w:pPr>
          </w:p>
        </w:tc>
      </w:tr>
      <w:tr w:rsidR="008B56FC" w:rsidTr="006F18D6">
        <w:tc>
          <w:tcPr>
            <w:tcW w:w="1415" w:type="dxa"/>
          </w:tcPr>
          <w:p w:rsidR="00474B66" w:rsidRPr="006F18D6" w:rsidRDefault="008B56FC" w:rsidP="006F18D6">
            <w:pPr>
              <w:rPr>
                <w:rFonts w:cs="Arial"/>
                <w:szCs w:val="22"/>
              </w:rPr>
            </w:pPr>
            <w:r w:rsidRPr="006F18D6">
              <w:rPr>
                <w:rFonts w:cs="Arial"/>
                <w:szCs w:val="22"/>
              </w:rPr>
              <w:sym w:font="WP TypographicSymbols" w:char="0027"/>
            </w:r>
            <w:r w:rsidRPr="006F18D6">
              <w:rPr>
                <w:rFonts w:cs="Arial"/>
                <w:szCs w:val="22"/>
              </w:rPr>
              <w:t>35.41(b)(4)</w:t>
            </w:r>
          </w:p>
        </w:tc>
        <w:tc>
          <w:tcPr>
            <w:tcW w:w="1926" w:type="dxa"/>
          </w:tcPr>
          <w:p w:rsidR="00474B66" w:rsidRPr="006F18D6" w:rsidRDefault="008B56FC" w:rsidP="006F18D6">
            <w:pPr>
              <w:rPr>
                <w:rFonts w:cs="Arial"/>
                <w:szCs w:val="22"/>
              </w:rPr>
            </w:pPr>
            <w:r w:rsidRPr="006F18D6">
              <w:rPr>
                <w:rFonts w:cs="Arial"/>
                <w:szCs w:val="22"/>
              </w:rPr>
              <w:t xml:space="preserve">Procedures for administrations requiring a </w:t>
            </w:r>
            <w:r w:rsidRPr="006F18D6">
              <w:rPr>
                <w:rFonts w:cs="Arial"/>
                <w:szCs w:val="22"/>
              </w:rPr>
              <w:lastRenderedPageBreak/>
              <w:t>written directive</w:t>
            </w:r>
          </w:p>
        </w:tc>
        <w:tc>
          <w:tcPr>
            <w:tcW w:w="1011" w:type="dxa"/>
          </w:tcPr>
          <w:p w:rsidR="00474B66" w:rsidRPr="006F18D6" w:rsidRDefault="00474B66" w:rsidP="006F18D6">
            <w:pPr>
              <w:rPr>
                <w:rFonts w:cs="Arial"/>
                <w:szCs w:val="22"/>
              </w:rPr>
            </w:pPr>
          </w:p>
        </w:tc>
        <w:tc>
          <w:tcPr>
            <w:tcW w:w="1610" w:type="dxa"/>
          </w:tcPr>
          <w:p w:rsidR="00474B66" w:rsidRPr="006F18D6" w:rsidRDefault="008B56FC" w:rsidP="006F18D6">
            <w:pPr>
              <w:jc w:val="center"/>
              <w:rPr>
                <w:rFonts w:cs="Arial"/>
                <w:szCs w:val="22"/>
              </w:rPr>
            </w:pPr>
            <w:r w:rsidRPr="006F18D6">
              <w:rPr>
                <w:rFonts w:cs="Arial"/>
                <w:szCs w:val="22"/>
              </w:rPr>
              <w:t>D</w:t>
            </w:r>
          </w:p>
        </w:tc>
        <w:tc>
          <w:tcPr>
            <w:tcW w:w="2996" w:type="dxa"/>
          </w:tcPr>
          <w:p w:rsidR="00474B66" w:rsidRPr="006F18D6" w:rsidRDefault="008B56FC" w:rsidP="006F18D6">
            <w:pPr>
              <w:rPr>
                <w:rFonts w:cs="Arial"/>
                <w:szCs w:val="22"/>
              </w:rPr>
            </w:pPr>
            <w:r w:rsidRPr="006F18D6">
              <w:rPr>
                <w:rFonts w:cs="Arial"/>
                <w:szCs w:val="22"/>
              </w:rPr>
              <w:t>N/A</w:t>
            </w:r>
          </w:p>
        </w:tc>
        <w:tc>
          <w:tcPr>
            <w:tcW w:w="1440" w:type="dxa"/>
          </w:tcPr>
          <w:p w:rsidR="00474B66" w:rsidRPr="006F18D6" w:rsidRDefault="008B56FC" w:rsidP="006F18D6">
            <w:pPr>
              <w:rPr>
                <w:rFonts w:cs="Arial"/>
                <w:szCs w:val="22"/>
              </w:rPr>
            </w:pPr>
            <w:r w:rsidRPr="006F18D6">
              <w:rPr>
                <w:rFonts w:cs="Arial"/>
                <w:szCs w:val="22"/>
              </w:rPr>
              <w:t>N/A</w:t>
            </w:r>
          </w:p>
        </w:tc>
        <w:tc>
          <w:tcPr>
            <w:tcW w:w="1341" w:type="dxa"/>
          </w:tcPr>
          <w:p w:rsidR="00474B66" w:rsidRPr="006F18D6" w:rsidRDefault="00474B66" w:rsidP="006F18D6">
            <w:pPr>
              <w:rPr>
                <w:rFonts w:cs="Arial"/>
                <w:szCs w:val="22"/>
              </w:rPr>
            </w:pPr>
          </w:p>
        </w:tc>
        <w:tc>
          <w:tcPr>
            <w:tcW w:w="2846" w:type="dxa"/>
          </w:tcPr>
          <w:p w:rsidR="00474B66" w:rsidRPr="006F18D6" w:rsidRDefault="00474B66" w:rsidP="006F18D6">
            <w:pPr>
              <w:rPr>
                <w:rFonts w:cs="Arial"/>
                <w:szCs w:val="22"/>
              </w:rPr>
            </w:pPr>
          </w:p>
        </w:tc>
      </w:tr>
      <w:tr w:rsidR="008B56FC" w:rsidTr="006F18D6">
        <w:tc>
          <w:tcPr>
            <w:tcW w:w="1415" w:type="dxa"/>
          </w:tcPr>
          <w:p w:rsidR="00474B66" w:rsidRPr="006F18D6" w:rsidRDefault="008B56FC" w:rsidP="006F18D6">
            <w:pPr>
              <w:rPr>
                <w:rFonts w:cs="Arial"/>
                <w:szCs w:val="22"/>
              </w:rPr>
            </w:pPr>
            <w:r w:rsidRPr="006F18D6">
              <w:rPr>
                <w:rFonts w:cs="Arial"/>
                <w:szCs w:val="22"/>
              </w:rPr>
              <w:lastRenderedPageBreak/>
              <w:sym w:font="WP TypographicSymbols" w:char="0027"/>
            </w:r>
            <w:r w:rsidRPr="006F18D6">
              <w:rPr>
                <w:rFonts w:cs="Arial"/>
                <w:szCs w:val="22"/>
              </w:rPr>
              <w:t>35.75(a)</w:t>
            </w:r>
          </w:p>
        </w:tc>
        <w:tc>
          <w:tcPr>
            <w:tcW w:w="1926" w:type="dxa"/>
          </w:tcPr>
          <w:p w:rsidR="00474B66" w:rsidRPr="006F18D6" w:rsidRDefault="008B56FC" w:rsidP="006F18D6">
            <w:pPr>
              <w:rPr>
                <w:rFonts w:cs="Arial"/>
                <w:szCs w:val="22"/>
              </w:rPr>
            </w:pPr>
            <w:r w:rsidRPr="006F18D6">
              <w:rPr>
                <w:rFonts w:cs="Arial"/>
                <w:szCs w:val="22"/>
              </w:rPr>
              <w:t>Release of individuals containing unsealed byproduct material or implants containing byproduct material</w:t>
            </w:r>
          </w:p>
        </w:tc>
        <w:tc>
          <w:tcPr>
            <w:tcW w:w="1011" w:type="dxa"/>
          </w:tcPr>
          <w:p w:rsidR="00474B66" w:rsidRPr="006F18D6" w:rsidRDefault="00474B66" w:rsidP="006F18D6">
            <w:pPr>
              <w:rPr>
                <w:rFonts w:cs="Arial"/>
                <w:szCs w:val="22"/>
              </w:rPr>
            </w:pPr>
          </w:p>
        </w:tc>
        <w:tc>
          <w:tcPr>
            <w:tcW w:w="1610" w:type="dxa"/>
          </w:tcPr>
          <w:p w:rsidR="00474B66" w:rsidRPr="006F18D6" w:rsidRDefault="008B56FC" w:rsidP="006F18D6">
            <w:pPr>
              <w:jc w:val="center"/>
              <w:rPr>
                <w:rFonts w:cs="Arial"/>
                <w:szCs w:val="22"/>
              </w:rPr>
            </w:pPr>
            <w:r w:rsidRPr="006F18D6">
              <w:rPr>
                <w:rFonts w:cs="Arial"/>
                <w:szCs w:val="22"/>
              </w:rPr>
              <w:t>C</w:t>
            </w:r>
          </w:p>
        </w:tc>
        <w:tc>
          <w:tcPr>
            <w:tcW w:w="2996" w:type="dxa"/>
          </w:tcPr>
          <w:p w:rsidR="008B56FC" w:rsidRPr="006F18D6" w:rsidRDefault="008B56FC" w:rsidP="006F18D6">
            <w:pPr>
              <w:pStyle w:val="HTMLPreformatted"/>
              <w:rPr>
                <w:rFonts w:ascii="Arial" w:hAnsi="Arial" w:cs="Arial"/>
                <w:b/>
                <w:sz w:val="22"/>
                <w:szCs w:val="22"/>
              </w:rPr>
            </w:pPr>
            <w:r w:rsidRPr="006F18D6">
              <w:rPr>
                <w:rFonts w:ascii="Arial" w:hAnsi="Arial" w:cs="Arial"/>
                <w:b/>
                <w:sz w:val="22"/>
                <w:szCs w:val="22"/>
              </w:rPr>
              <w:t>In Sec.  35.75, the text of paragraph (a) is republished and footnote 1 is revised to read as follows:</w:t>
            </w:r>
          </w:p>
          <w:p w:rsidR="008B56FC" w:rsidRPr="006F18D6" w:rsidRDefault="008B56FC" w:rsidP="006F18D6">
            <w:pPr>
              <w:pStyle w:val="HTMLPreformatted"/>
              <w:rPr>
                <w:rFonts w:ascii="Arial" w:hAnsi="Arial" w:cs="Arial"/>
                <w:b/>
                <w:sz w:val="22"/>
                <w:szCs w:val="22"/>
              </w:rPr>
            </w:pPr>
          </w:p>
          <w:p w:rsidR="008B56FC" w:rsidRPr="006F18D6" w:rsidRDefault="008B56FC" w:rsidP="006F18D6">
            <w:pPr>
              <w:pStyle w:val="HTMLPreformatted"/>
              <w:rPr>
                <w:rFonts w:ascii="Arial" w:hAnsi="Arial" w:cs="Arial"/>
                <w:sz w:val="22"/>
                <w:szCs w:val="22"/>
              </w:rPr>
            </w:pPr>
            <w:r w:rsidRPr="006F18D6">
              <w:rPr>
                <w:rFonts w:ascii="Arial" w:hAnsi="Arial" w:cs="Arial"/>
                <w:sz w:val="22"/>
                <w:szCs w:val="22"/>
              </w:rPr>
              <w:t xml:space="preserve">a) A licensee may authorize the release from its control of any </w:t>
            </w:r>
          </w:p>
          <w:p w:rsidR="008B56FC" w:rsidRPr="006F18D6" w:rsidRDefault="008B56FC" w:rsidP="006F18D6">
            <w:pPr>
              <w:pStyle w:val="HTMLPreformatted"/>
              <w:rPr>
                <w:rFonts w:ascii="Arial" w:hAnsi="Arial" w:cs="Arial"/>
                <w:sz w:val="22"/>
                <w:szCs w:val="22"/>
              </w:rPr>
            </w:pPr>
            <w:r w:rsidRPr="006F18D6">
              <w:rPr>
                <w:rFonts w:ascii="Arial" w:hAnsi="Arial" w:cs="Arial"/>
                <w:sz w:val="22"/>
                <w:szCs w:val="22"/>
              </w:rPr>
              <w:t>individual who has been administered unsealed byproduct material or implants containing byproduct material if the total effective dose equivalent to any other individual from exposure to the released individual is not likely to exceed 5 mSv (0.5 rem).\1\</w:t>
            </w:r>
          </w:p>
          <w:p w:rsidR="008B56FC" w:rsidRPr="006F18D6" w:rsidRDefault="008B56FC" w:rsidP="006F18D6">
            <w:pPr>
              <w:pStyle w:val="HTMLPreformatted"/>
              <w:rPr>
                <w:rFonts w:ascii="Arial" w:hAnsi="Arial" w:cs="Arial"/>
                <w:sz w:val="22"/>
                <w:szCs w:val="22"/>
              </w:rPr>
            </w:pPr>
          </w:p>
          <w:p w:rsidR="008B56FC" w:rsidRPr="006F18D6" w:rsidRDefault="008B56FC" w:rsidP="006F18D6">
            <w:pPr>
              <w:pStyle w:val="HTMLPreformatted"/>
              <w:rPr>
                <w:rFonts w:ascii="Arial" w:hAnsi="Arial" w:cs="Arial"/>
                <w:sz w:val="22"/>
                <w:szCs w:val="22"/>
              </w:rPr>
            </w:pPr>
            <w:r w:rsidRPr="006F18D6">
              <w:rPr>
                <w:rFonts w:ascii="Arial" w:hAnsi="Arial" w:cs="Arial"/>
                <w:sz w:val="22"/>
                <w:szCs w:val="22"/>
              </w:rPr>
              <w:t>* * * * *</w:t>
            </w:r>
          </w:p>
          <w:p w:rsidR="008B56FC" w:rsidRPr="006F18D6" w:rsidRDefault="008B56FC" w:rsidP="006F18D6">
            <w:pPr>
              <w:pStyle w:val="HTMLPreformatted"/>
              <w:rPr>
                <w:rFonts w:ascii="Arial" w:hAnsi="Arial" w:cs="Arial"/>
                <w:sz w:val="22"/>
                <w:szCs w:val="22"/>
              </w:rPr>
            </w:pPr>
            <w:r w:rsidRPr="006F18D6">
              <w:rPr>
                <w:rFonts w:ascii="Arial" w:hAnsi="Arial" w:cs="Arial"/>
                <w:sz w:val="22"/>
                <w:szCs w:val="22"/>
              </w:rPr>
              <w:t xml:space="preserve">    \1\ The current revision of NUREG-1556, Vol. 9, ``Consolidated Guidance About Materials Licenses: Program-Specific Guidance About </w:t>
            </w:r>
          </w:p>
          <w:p w:rsidR="008B56FC" w:rsidRPr="006F18D6" w:rsidRDefault="008B56FC" w:rsidP="006F18D6">
            <w:pPr>
              <w:pStyle w:val="HTMLPreformatted"/>
              <w:rPr>
                <w:rFonts w:ascii="Arial" w:hAnsi="Arial" w:cs="Arial"/>
                <w:sz w:val="22"/>
                <w:szCs w:val="22"/>
              </w:rPr>
            </w:pPr>
            <w:r w:rsidRPr="006F18D6">
              <w:rPr>
                <w:rFonts w:ascii="Arial" w:hAnsi="Arial" w:cs="Arial"/>
                <w:sz w:val="22"/>
                <w:szCs w:val="22"/>
              </w:rPr>
              <w:t xml:space="preserve">Medical Licenses'' describes methods for calculating doses to other individuals and contains tables of activities not likely to cause doses exceeding 5 mSv (0.5 </w:t>
            </w:r>
            <w:r w:rsidRPr="006F18D6">
              <w:rPr>
                <w:rFonts w:ascii="Arial" w:hAnsi="Arial" w:cs="Arial"/>
                <w:sz w:val="22"/>
                <w:szCs w:val="22"/>
              </w:rPr>
              <w:lastRenderedPageBreak/>
              <w:t>rem).</w:t>
            </w:r>
          </w:p>
          <w:p w:rsidR="00474B66" w:rsidRPr="006F18D6" w:rsidRDefault="00474B66" w:rsidP="006F18D6">
            <w:pPr>
              <w:rPr>
                <w:rFonts w:cs="Arial"/>
                <w:szCs w:val="22"/>
              </w:rPr>
            </w:pPr>
          </w:p>
        </w:tc>
        <w:tc>
          <w:tcPr>
            <w:tcW w:w="1440" w:type="dxa"/>
          </w:tcPr>
          <w:p w:rsidR="00474B66" w:rsidRPr="006F18D6" w:rsidRDefault="00474B66" w:rsidP="006F18D6">
            <w:pPr>
              <w:rPr>
                <w:rFonts w:cs="Arial"/>
                <w:szCs w:val="22"/>
              </w:rPr>
            </w:pPr>
          </w:p>
        </w:tc>
        <w:tc>
          <w:tcPr>
            <w:tcW w:w="1341" w:type="dxa"/>
          </w:tcPr>
          <w:p w:rsidR="00474B66" w:rsidRPr="006F18D6" w:rsidRDefault="00474B66" w:rsidP="006F18D6">
            <w:pPr>
              <w:rPr>
                <w:rFonts w:cs="Arial"/>
                <w:szCs w:val="22"/>
              </w:rPr>
            </w:pPr>
          </w:p>
        </w:tc>
        <w:tc>
          <w:tcPr>
            <w:tcW w:w="2846" w:type="dxa"/>
          </w:tcPr>
          <w:p w:rsidR="00474B66" w:rsidRPr="006F18D6" w:rsidRDefault="00474B66" w:rsidP="006F18D6">
            <w:pPr>
              <w:rPr>
                <w:rFonts w:cs="Arial"/>
                <w:szCs w:val="22"/>
              </w:rPr>
            </w:pPr>
          </w:p>
        </w:tc>
      </w:tr>
      <w:tr w:rsidR="008B56FC" w:rsidTr="006F18D6">
        <w:tc>
          <w:tcPr>
            <w:tcW w:w="1415" w:type="dxa"/>
          </w:tcPr>
          <w:p w:rsidR="00474B66" w:rsidRPr="006F18D6" w:rsidRDefault="008B56FC" w:rsidP="006F18D6">
            <w:pPr>
              <w:rPr>
                <w:rFonts w:cs="Arial"/>
                <w:szCs w:val="22"/>
              </w:rPr>
            </w:pPr>
            <w:r w:rsidRPr="006F18D6">
              <w:rPr>
                <w:rFonts w:cs="Arial"/>
                <w:szCs w:val="22"/>
              </w:rPr>
              <w:lastRenderedPageBreak/>
              <w:sym w:font="WP TypographicSymbols" w:char="0027"/>
            </w:r>
            <w:r w:rsidRPr="006F18D6">
              <w:rPr>
                <w:rFonts w:cs="Arial"/>
                <w:szCs w:val="22"/>
              </w:rPr>
              <w:t>35.92</w:t>
            </w:r>
          </w:p>
        </w:tc>
        <w:tc>
          <w:tcPr>
            <w:tcW w:w="1926" w:type="dxa"/>
          </w:tcPr>
          <w:p w:rsidR="008B56FC" w:rsidRPr="006F18D6" w:rsidRDefault="008B56FC" w:rsidP="006F18D6">
            <w:pPr>
              <w:rPr>
                <w:rFonts w:cs="Arial"/>
                <w:szCs w:val="22"/>
              </w:rPr>
            </w:pPr>
            <w:r w:rsidRPr="006F18D6">
              <w:rPr>
                <w:rFonts w:cs="Arial"/>
                <w:szCs w:val="22"/>
              </w:rPr>
              <w:t>Decay-in-storage is an:</w:t>
            </w:r>
          </w:p>
          <w:p w:rsidR="00474B66" w:rsidRPr="006F18D6" w:rsidRDefault="008B56FC" w:rsidP="006F18D6">
            <w:pPr>
              <w:rPr>
                <w:rFonts w:cs="Arial"/>
                <w:szCs w:val="22"/>
              </w:rPr>
            </w:pPr>
            <w:r w:rsidRPr="006F18D6">
              <w:rPr>
                <w:rFonts w:cs="Arial"/>
                <w:szCs w:val="22"/>
              </w:rPr>
              <w:t xml:space="preserve">“H&amp;S” for States authorizing this activity and “D” for States that do not authorize this activity </w:t>
            </w:r>
          </w:p>
        </w:tc>
        <w:tc>
          <w:tcPr>
            <w:tcW w:w="1011" w:type="dxa"/>
          </w:tcPr>
          <w:p w:rsidR="00474B66" w:rsidRPr="006F18D6" w:rsidRDefault="008B56FC" w:rsidP="006F18D6">
            <w:pPr>
              <w:jc w:val="center"/>
              <w:rPr>
                <w:rFonts w:cs="Arial"/>
                <w:szCs w:val="22"/>
              </w:rPr>
            </w:pPr>
            <w:r w:rsidRPr="006F18D6">
              <w:rPr>
                <w:rFonts w:cs="Arial"/>
                <w:szCs w:val="22"/>
              </w:rPr>
              <w:t>H&amp;S</w:t>
            </w:r>
          </w:p>
        </w:tc>
        <w:tc>
          <w:tcPr>
            <w:tcW w:w="1610" w:type="dxa"/>
          </w:tcPr>
          <w:p w:rsidR="00474B66" w:rsidRPr="006F18D6" w:rsidRDefault="00474B66" w:rsidP="006F18D6">
            <w:pPr>
              <w:rPr>
                <w:rFonts w:cs="Arial"/>
                <w:szCs w:val="22"/>
              </w:rPr>
            </w:pPr>
          </w:p>
        </w:tc>
        <w:tc>
          <w:tcPr>
            <w:tcW w:w="2996" w:type="dxa"/>
          </w:tcPr>
          <w:p w:rsidR="008B56FC" w:rsidRPr="006F18D6" w:rsidRDefault="008B56FC" w:rsidP="006F18D6">
            <w:pPr>
              <w:pStyle w:val="HTMLPreformatted"/>
              <w:rPr>
                <w:rFonts w:ascii="Arial" w:hAnsi="Arial" w:cs="Arial"/>
                <w:b/>
                <w:sz w:val="22"/>
                <w:szCs w:val="22"/>
              </w:rPr>
            </w:pPr>
            <w:r w:rsidRPr="006F18D6">
              <w:rPr>
                <w:rFonts w:ascii="Arial" w:hAnsi="Arial" w:cs="Arial"/>
                <w:b/>
                <w:sz w:val="22"/>
                <w:szCs w:val="22"/>
              </w:rPr>
              <w:t xml:space="preserve">In Sec.  35.92, the introductory text of paragraph (a) is revised to </w:t>
            </w:r>
          </w:p>
          <w:p w:rsidR="008B56FC" w:rsidRPr="006F18D6" w:rsidRDefault="008B56FC" w:rsidP="006F18D6">
            <w:pPr>
              <w:pStyle w:val="HTMLPreformatted"/>
              <w:rPr>
                <w:rFonts w:ascii="Arial" w:hAnsi="Arial" w:cs="Arial"/>
                <w:b/>
                <w:sz w:val="22"/>
                <w:szCs w:val="22"/>
              </w:rPr>
            </w:pPr>
            <w:r w:rsidRPr="006F18D6">
              <w:rPr>
                <w:rFonts w:ascii="Arial" w:hAnsi="Arial" w:cs="Arial"/>
                <w:b/>
                <w:sz w:val="22"/>
                <w:szCs w:val="22"/>
              </w:rPr>
              <w:t>read as follows:</w:t>
            </w:r>
          </w:p>
          <w:p w:rsidR="008B56FC" w:rsidRPr="006F18D6" w:rsidRDefault="008B56FC" w:rsidP="006F18D6">
            <w:pPr>
              <w:pStyle w:val="HTMLPreformatted"/>
              <w:rPr>
                <w:rFonts w:ascii="Arial" w:hAnsi="Arial" w:cs="Arial"/>
                <w:b/>
                <w:sz w:val="22"/>
                <w:szCs w:val="22"/>
              </w:rPr>
            </w:pPr>
          </w:p>
          <w:p w:rsidR="008B56FC" w:rsidRPr="006F18D6" w:rsidRDefault="008B56FC" w:rsidP="006F18D6">
            <w:pPr>
              <w:pStyle w:val="HTMLPreformatted"/>
              <w:rPr>
                <w:rFonts w:ascii="Arial" w:hAnsi="Arial" w:cs="Arial"/>
                <w:sz w:val="22"/>
                <w:szCs w:val="22"/>
              </w:rPr>
            </w:pPr>
            <w:r w:rsidRPr="006F18D6">
              <w:rPr>
                <w:rFonts w:ascii="Arial" w:hAnsi="Arial" w:cs="Arial"/>
                <w:sz w:val="22"/>
                <w:szCs w:val="22"/>
              </w:rPr>
              <w:t xml:space="preserve">  (a) A licensee may hold byproduct material with a physical half-life of less than or equal to 120 days for decay-in-storage before disposal without regard to its radioactivity if it--</w:t>
            </w:r>
          </w:p>
          <w:p w:rsidR="00474B66" w:rsidRDefault="008B56FC" w:rsidP="006F18D6">
            <w:pPr>
              <w:pStyle w:val="HTMLPreformatted"/>
              <w:rPr>
                <w:rFonts w:ascii="Arial" w:hAnsi="Arial" w:cs="Arial"/>
                <w:sz w:val="22"/>
                <w:szCs w:val="22"/>
              </w:rPr>
            </w:pPr>
            <w:r w:rsidRPr="006F18D6">
              <w:rPr>
                <w:rFonts w:ascii="Arial" w:hAnsi="Arial" w:cs="Arial"/>
                <w:sz w:val="22"/>
                <w:szCs w:val="22"/>
              </w:rPr>
              <w:t>* * * * *</w:t>
            </w:r>
          </w:p>
          <w:p w:rsidR="006F18D6" w:rsidRDefault="006F18D6" w:rsidP="006F18D6">
            <w:pPr>
              <w:pStyle w:val="HTMLPreformatted"/>
              <w:rPr>
                <w:rFonts w:ascii="Arial" w:hAnsi="Arial" w:cs="Arial"/>
                <w:sz w:val="22"/>
                <w:szCs w:val="22"/>
              </w:rPr>
            </w:pPr>
          </w:p>
          <w:p w:rsidR="006F18D6" w:rsidRDefault="006F18D6" w:rsidP="006F18D6">
            <w:pPr>
              <w:pStyle w:val="HTMLPreformatted"/>
              <w:rPr>
                <w:rFonts w:ascii="Arial" w:hAnsi="Arial" w:cs="Arial"/>
                <w:sz w:val="22"/>
                <w:szCs w:val="22"/>
              </w:rPr>
            </w:pPr>
          </w:p>
          <w:p w:rsidR="006F18D6" w:rsidRPr="006F18D6" w:rsidRDefault="006F18D6" w:rsidP="006F18D6">
            <w:pPr>
              <w:pStyle w:val="HTMLPreformatted"/>
              <w:rPr>
                <w:rFonts w:ascii="Arial" w:hAnsi="Arial" w:cs="Arial"/>
                <w:sz w:val="22"/>
                <w:szCs w:val="22"/>
              </w:rPr>
            </w:pPr>
          </w:p>
        </w:tc>
        <w:tc>
          <w:tcPr>
            <w:tcW w:w="1440" w:type="dxa"/>
          </w:tcPr>
          <w:p w:rsidR="00474B66" w:rsidRPr="006F18D6" w:rsidRDefault="00474B66" w:rsidP="006F18D6">
            <w:pPr>
              <w:rPr>
                <w:rFonts w:cs="Arial"/>
                <w:szCs w:val="22"/>
              </w:rPr>
            </w:pPr>
          </w:p>
        </w:tc>
        <w:tc>
          <w:tcPr>
            <w:tcW w:w="1341" w:type="dxa"/>
          </w:tcPr>
          <w:p w:rsidR="00474B66" w:rsidRPr="006F18D6" w:rsidRDefault="00474B66" w:rsidP="006F18D6">
            <w:pPr>
              <w:rPr>
                <w:rFonts w:cs="Arial"/>
                <w:szCs w:val="22"/>
              </w:rPr>
            </w:pPr>
          </w:p>
        </w:tc>
        <w:tc>
          <w:tcPr>
            <w:tcW w:w="2846" w:type="dxa"/>
          </w:tcPr>
          <w:p w:rsidR="00474B66" w:rsidRPr="006F18D6" w:rsidRDefault="00474B66" w:rsidP="006F18D6">
            <w:pPr>
              <w:rPr>
                <w:rFonts w:cs="Arial"/>
                <w:szCs w:val="22"/>
              </w:rPr>
            </w:pPr>
          </w:p>
        </w:tc>
      </w:tr>
      <w:tr w:rsidR="008B56FC" w:rsidTr="006F18D6">
        <w:tc>
          <w:tcPr>
            <w:tcW w:w="1415" w:type="dxa"/>
          </w:tcPr>
          <w:p w:rsidR="00474B66" w:rsidRPr="006F18D6" w:rsidRDefault="008B56FC" w:rsidP="006F18D6">
            <w:pPr>
              <w:rPr>
                <w:rFonts w:cs="Arial"/>
                <w:szCs w:val="22"/>
              </w:rPr>
            </w:pPr>
            <w:r w:rsidRPr="006F18D6">
              <w:rPr>
                <w:rFonts w:cs="Arial"/>
                <w:szCs w:val="22"/>
              </w:rPr>
              <w:sym w:font="WP TypographicSymbols" w:char="0027"/>
            </w:r>
            <w:r w:rsidRPr="006F18D6">
              <w:rPr>
                <w:rFonts w:cs="Arial"/>
                <w:szCs w:val="22"/>
              </w:rPr>
              <w:t>35.190</w:t>
            </w:r>
          </w:p>
        </w:tc>
        <w:tc>
          <w:tcPr>
            <w:tcW w:w="1926" w:type="dxa"/>
          </w:tcPr>
          <w:p w:rsidR="00474B66" w:rsidRPr="006F18D6" w:rsidRDefault="008B56FC" w:rsidP="006F18D6">
            <w:pPr>
              <w:rPr>
                <w:rFonts w:cs="Arial"/>
                <w:szCs w:val="22"/>
              </w:rPr>
            </w:pPr>
            <w:r w:rsidRPr="006F18D6">
              <w:rPr>
                <w:rFonts w:cs="Arial"/>
                <w:szCs w:val="22"/>
              </w:rPr>
              <w:t>Training for uptake, dilution, and excretion studies</w:t>
            </w:r>
          </w:p>
        </w:tc>
        <w:tc>
          <w:tcPr>
            <w:tcW w:w="1011" w:type="dxa"/>
          </w:tcPr>
          <w:p w:rsidR="00474B66" w:rsidRPr="006F18D6" w:rsidRDefault="008B56FC" w:rsidP="006F18D6">
            <w:pPr>
              <w:jc w:val="center"/>
              <w:rPr>
                <w:rFonts w:cs="Arial"/>
                <w:szCs w:val="22"/>
              </w:rPr>
            </w:pPr>
            <w:r w:rsidRPr="006F18D6">
              <w:rPr>
                <w:rFonts w:cs="Arial"/>
                <w:szCs w:val="22"/>
              </w:rPr>
              <w:t>B</w:t>
            </w:r>
          </w:p>
        </w:tc>
        <w:tc>
          <w:tcPr>
            <w:tcW w:w="1610" w:type="dxa"/>
          </w:tcPr>
          <w:p w:rsidR="00474B66" w:rsidRPr="006F18D6" w:rsidRDefault="00474B66" w:rsidP="006F18D6">
            <w:pPr>
              <w:rPr>
                <w:rFonts w:cs="Arial"/>
                <w:szCs w:val="22"/>
              </w:rPr>
            </w:pPr>
          </w:p>
        </w:tc>
        <w:tc>
          <w:tcPr>
            <w:tcW w:w="2996" w:type="dxa"/>
          </w:tcPr>
          <w:p w:rsidR="008267DF" w:rsidRPr="006F18D6" w:rsidRDefault="008267DF" w:rsidP="006F18D6">
            <w:pPr>
              <w:pStyle w:val="HTMLPreformatted"/>
              <w:rPr>
                <w:rFonts w:ascii="Arial" w:hAnsi="Arial" w:cs="Arial"/>
                <w:b/>
                <w:sz w:val="22"/>
                <w:szCs w:val="22"/>
              </w:rPr>
            </w:pPr>
            <w:r w:rsidRPr="006F18D6">
              <w:rPr>
                <w:rFonts w:ascii="Arial" w:hAnsi="Arial" w:cs="Arial"/>
                <w:b/>
                <w:sz w:val="22"/>
                <w:szCs w:val="22"/>
              </w:rPr>
              <w:t>In Sec.  35.190, paragraph (a)(1) is revised to read as follows:</w:t>
            </w:r>
          </w:p>
          <w:p w:rsidR="008267DF" w:rsidRPr="006F18D6" w:rsidRDefault="008267DF" w:rsidP="006F18D6">
            <w:pPr>
              <w:pStyle w:val="HTMLPreformatted"/>
              <w:rPr>
                <w:rFonts w:ascii="Arial" w:hAnsi="Arial" w:cs="Arial"/>
                <w:b/>
                <w:sz w:val="22"/>
                <w:szCs w:val="22"/>
              </w:rPr>
            </w:pPr>
          </w:p>
          <w:p w:rsidR="008267DF" w:rsidRPr="006F18D6" w:rsidRDefault="008267DF" w:rsidP="006F18D6">
            <w:pPr>
              <w:pStyle w:val="HTMLPreformatted"/>
              <w:rPr>
                <w:rFonts w:ascii="Arial" w:hAnsi="Arial" w:cs="Arial"/>
                <w:sz w:val="22"/>
                <w:szCs w:val="22"/>
              </w:rPr>
            </w:pPr>
            <w:r w:rsidRPr="006F18D6">
              <w:rPr>
                <w:rFonts w:ascii="Arial" w:hAnsi="Arial" w:cs="Arial"/>
                <w:sz w:val="22"/>
                <w:szCs w:val="22"/>
              </w:rPr>
              <w:t>(a) * * *</w:t>
            </w:r>
          </w:p>
          <w:p w:rsidR="008267DF" w:rsidRPr="006F18D6" w:rsidRDefault="008267DF" w:rsidP="006F18D6">
            <w:pPr>
              <w:pStyle w:val="HTMLPreformatted"/>
              <w:rPr>
                <w:rFonts w:ascii="Arial" w:hAnsi="Arial" w:cs="Arial"/>
                <w:sz w:val="22"/>
                <w:szCs w:val="22"/>
              </w:rPr>
            </w:pPr>
            <w:r w:rsidRPr="006F18D6">
              <w:rPr>
                <w:rFonts w:ascii="Arial" w:hAnsi="Arial" w:cs="Arial"/>
                <w:sz w:val="22"/>
                <w:szCs w:val="22"/>
              </w:rPr>
              <w:t xml:space="preserve">    (1) Complete 60 hours of training and experience in basic </w:t>
            </w:r>
          </w:p>
          <w:p w:rsidR="008267DF" w:rsidRPr="006F18D6" w:rsidRDefault="008267DF" w:rsidP="006F18D6">
            <w:pPr>
              <w:pStyle w:val="HTMLPreformatted"/>
              <w:rPr>
                <w:rFonts w:ascii="Arial" w:hAnsi="Arial" w:cs="Arial"/>
                <w:sz w:val="22"/>
                <w:szCs w:val="22"/>
              </w:rPr>
            </w:pPr>
            <w:r w:rsidRPr="006F18D6">
              <w:rPr>
                <w:rFonts w:ascii="Arial" w:hAnsi="Arial" w:cs="Arial"/>
                <w:sz w:val="22"/>
                <w:szCs w:val="22"/>
              </w:rPr>
              <w:t xml:space="preserve">radionuclide handling techniques and radiation safety applicable to the medical use of unsealed byproduct material for uptake, dilution, and excretion studies as described in paragraphs (c)(1)(i) through </w:t>
            </w:r>
          </w:p>
          <w:p w:rsidR="008267DF" w:rsidRPr="006F18D6" w:rsidRDefault="008267DF" w:rsidP="006F18D6">
            <w:pPr>
              <w:pStyle w:val="HTMLPreformatted"/>
              <w:rPr>
                <w:rFonts w:ascii="Arial" w:hAnsi="Arial" w:cs="Arial"/>
                <w:sz w:val="22"/>
                <w:szCs w:val="22"/>
              </w:rPr>
            </w:pPr>
            <w:r w:rsidRPr="006F18D6">
              <w:rPr>
                <w:rFonts w:ascii="Arial" w:hAnsi="Arial" w:cs="Arial"/>
                <w:sz w:val="22"/>
                <w:szCs w:val="22"/>
              </w:rPr>
              <w:t>(c)(1)(ii)(F) of this section; and</w:t>
            </w:r>
          </w:p>
          <w:p w:rsidR="00474B66" w:rsidRPr="006F18D6" w:rsidRDefault="008267DF" w:rsidP="006F18D6">
            <w:pPr>
              <w:pStyle w:val="HTMLPreformatted"/>
              <w:rPr>
                <w:rFonts w:ascii="Arial" w:hAnsi="Arial" w:cs="Arial"/>
                <w:sz w:val="22"/>
                <w:szCs w:val="22"/>
              </w:rPr>
            </w:pPr>
            <w:r w:rsidRPr="006F18D6">
              <w:rPr>
                <w:rFonts w:ascii="Arial" w:hAnsi="Arial" w:cs="Arial"/>
              </w:rPr>
              <w:t>* * * * *</w:t>
            </w:r>
          </w:p>
        </w:tc>
        <w:tc>
          <w:tcPr>
            <w:tcW w:w="1440" w:type="dxa"/>
          </w:tcPr>
          <w:p w:rsidR="00474B66" w:rsidRPr="006F18D6" w:rsidRDefault="00474B66" w:rsidP="006F18D6">
            <w:pPr>
              <w:rPr>
                <w:rFonts w:cs="Arial"/>
                <w:szCs w:val="22"/>
              </w:rPr>
            </w:pPr>
          </w:p>
        </w:tc>
        <w:tc>
          <w:tcPr>
            <w:tcW w:w="1341" w:type="dxa"/>
          </w:tcPr>
          <w:p w:rsidR="00474B66" w:rsidRPr="006F18D6" w:rsidRDefault="00474B66" w:rsidP="006F18D6">
            <w:pPr>
              <w:rPr>
                <w:rFonts w:cs="Arial"/>
                <w:szCs w:val="22"/>
              </w:rPr>
            </w:pPr>
          </w:p>
        </w:tc>
        <w:tc>
          <w:tcPr>
            <w:tcW w:w="2846" w:type="dxa"/>
          </w:tcPr>
          <w:p w:rsidR="00474B66" w:rsidRPr="006F18D6" w:rsidRDefault="00474B66" w:rsidP="006F18D6">
            <w:pPr>
              <w:rPr>
                <w:rFonts w:cs="Arial"/>
                <w:szCs w:val="22"/>
              </w:rPr>
            </w:pPr>
          </w:p>
        </w:tc>
      </w:tr>
      <w:tr w:rsidR="008B56FC" w:rsidTr="006F18D6">
        <w:tc>
          <w:tcPr>
            <w:tcW w:w="1415" w:type="dxa"/>
          </w:tcPr>
          <w:p w:rsidR="008B56FC" w:rsidRPr="006F18D6" w:rsidRDefault="008B56FC" w:rsidP="006F18D6">
            <w:pPr>
              <w:rPr>
                <w:rFonts w:cs="Arial"/>
                <w:szCs w:val="22"/>
              </w:rPr>
            </w:pPr>
            <w:r w:rsidRPr="006F18D6">
              <w:rPr>
                <w:rFonts w:cs="Arial"/>
                <w:szCs w:val="22"/>
              </w:rPr>
              <w:sym w:font="WP TypographicSymbols" w:char="0027"/>
            </w:r>
            <w:r w:rsidRPr="006F18D6">
              <w:rPr>
                <w:rFonts w:cs="Arial"/>
                <w:szCs w:val="22"/>
              </w:rPr>
              <w:t>35.290</w:t>
            </w:r>
          </w:p>
        </w:tc>
        <w:tc>
          <w:tcPr>
            <w:tcW w:w="1926" w:type="dxa"/>
          </w:tcPr>
          <w:p w:rsidR="008B56FC" w:rsidRPr="006F18D6" w:rsidRDefault="008B56FC" w:rsidP="006F18D6">
            <w:pPr>
              <w:rPr>
                <w:rFonts w:cs="Arial"/>
                <w:szCs w:val="22"/>
              </w:rPr>
            </w:pPr>
            <w:r w:rsidRPr="006F18D6">
              <w:rPr>
                <w:rFonts w:cs="Arial"/>
                <w:szCs w:val="22"/>
              </w:rPr>
              <w:t>Training for imaging and localization studies</w:t>
            </w:r>
          </w:p>
        </w:tc>
        <w:tc>
          <w:tcPr>
            <w:tcW w:w="1011" w:type="dxa"/>
          </w:tcPr>
          <w:p w:rsidR="008B56FC" w:rsidRPr="006F18D6" w:rsidRDefault="008B56FC" w:rsidP="006F18D6">
            <w:pPr>
              <w:jc w:val="center"/>
              <w:rPr>
                <w:rFonts w:cs="Arial"/>
                <w:szCs w:val="22"/>
              </w:rPr>
            </w:pPr>
            <w:r w:rsidRPr="006F18D6">
              <w:rPr>
                <w:rFonts w:cs="Arial"/>
                <w:szCs w:val="22"/>
              </w:rPr>
              <w:t>B</w:t>
            </w:r>
          </w:p>
        </w:tc>
        <w:tc>
          <w:tcPr>
            <w:tcW w:w="1610" w:type="dxa"/>
          </w:tcPr>
          <w:p w:rsidR="008B56FC" w:rsidRPr="006F18D6" w:rsidRDefault="008B56FC" w:rsidP="006F18D6">
            <w:pPr>
              <w:rPr>
                <w:rFonts w:cs="Arial"/>
                <w:szCs w:val="22"/>
              </w:rPr>
            </w:pPr>
          </w:p>
        </w:tc>
        <w:tc>
          <w:tcPr>
            <w:tcW w:w="2996" w:type="dxa"/>
          </w:tcPr>
          <w:p w:rsidR="008267DF" w:rsidRPr="006F18D6" w:rsidRDefault="008267DF" w:rsidP="006F18D6">
            <w:pPr>
              <w:pStyle w:val="HTMLPreformatted"/>
              <w:rPr>
                <w:rFonts w:ascii="Arial" w:hAnsi="Arial" w:cs="Arial"/>
                <w:b/>
                <w:sz w:val="22"/>
                <w:szCs w:val="22"/>
              </w:rPr>
            </w:pPr>
            <w:r w:rsidRPr="006F18D6">
              <w:rPr>
                <w:rFonts w:ascii="Arial" w:hAnsi="Arial" w:cs="Arial"/>
                <w:b/>
                <w:sz w:val="22"/>
                <w:szCs w:val="22"/>
              </w:rPr>
              <w:t>10. In Sec.  35.290, paragraph (a)(1) is revised to read as follows:</w:t>
            </w:r>
          </w:p>
          <w:p w:rsidR="008267DF" w:rsidRPr="006F18D6" w:rsidRDefault="008267DF" w:rsidP="006F18D6">
            <w:pPr>
              <w:pStyle w:val="HTMLPreformatted"/>
              <w:rPr>
                <w:rFonts w:ascii="Arial" w:hAnsi="Arial" w:cs="Arial"/>
                <w:b/>
                <w:sz w:val="22"/>
                <w:szCs w:val="22"/>
              </w:rPr>
            </w:pPr>
          </w:p>
          <w:p w:rsidR="008267DF" w:rsidRPr="006F18D6" w:rsidRDefault="008267DF" w:rsidP="006F18D6">
            <w:pPr>
              <w:pStyle w:val="HTMLPreformatted"/>
              <w:rPr>
                <w:rFonts w:ascii="Arial" w:hAnsi="Arial" w:cs="Arial"/>
                <w:sz w:val="22"/>
                <w:szCs w:val="22"/>
              </w:rPr>
            </w:pPr>
            <w:r w:rsidRPr="006F18D6">
              <w:rPr>
                <w:rFonts w:ascii="Arial" w:hAnsi="Arial" w:cs="Arial"/>
                <w:sz w:val="22"/>
                <w:szCs w:val="22"/>
              </w:rPr>
              <w:t xml:space="preserve">   (a) * * *</w:t>
            </w:r>
          </w:p>
          <w:p w:rsidR="008267DF" w:rsidRPr="006F18D6" w:rsidRDefault="008267DF" w:rsidP="006F18D6">
            <w:pPr>
              <w:pStyle w:val="HTMLPreformatted"/>
              <w:rPr>
                <w:rFonts w:ascii="Arial" w:hAnsi="Arial" w:cs="Arial"/>
                <w:sz w:val="22"/>
                <w:szCs w:val="22"/>
              </w:rPr>
            </w:pPr>
            <w:r w:rsidRPr="006F18D6">
              <w:rPr>
                <w:rFonts w:ascii="Arial" w:hAnsi="Arial" w:cs="Arial"/>
                <w:sz w:val="22"/>
                <w:szCs w:val="22"/>
              </w:rPr>
              <w:t xml:space="preserve">    (1) Complete 700 hours of training and experience in basic </w:t>
            </w:r>
          </w:p>
          <w:p w:rsidR="008267DF" w:rsidRPr="006F18D6" w:rsidRDefault="008267DF" w:rsidP="006F18D6">
            <w:pPr>
              <w:pStyle w:val="HTMLPreformatted"/>
              <w:rPr>
                <w:rFonts w:ascii="Arial" w:hAnsi="Arial" w:cs="Arial"/>
                <w:sz w:val="22"/>
                <w:szCs w:val="22"/>
              </w:rPr>
            </w:pPr>
            <w:r w:rsidRPr="006F18D6">
              <w:rPr>
                <w:rFonts w:ascii="Arial" w:hAnsi="Arial" w:cs="Arial"/>
                <w:sz w:val="22"/>
                <w:szCs w:val="22"/>
              </w:rPr>
              <w:t xml:space="preserve">radionuclide handling techniques and radiation safety applicable to the medical use of unsealed byproduct material for imaging and localization studies as described in paragraphs (c)(1)(i) through (c)(1)(ii)(G) of </w:t>
            </w:r>
          </w:p>
          <w:p w:rsidR="008267DF" w:rsidRPr="006F18D6" w:rsidRDefault="008267DF" w:rsidP="006F18D6">
            <w:pPr>
              <w:pStyle w:val="HTMLPreformatted"/>
              <w:rPr>
                <w:rFonts w:ascii="Arial" w:hAnsi="Arial" w:cs="Arial"/>
                <w:sz w:val="22"/>
                <w:szCs w:val="22"/>
              </w:rPr>
            </w:pPr>
            <w:r w:rsidRPr="006F18D6">
              <w:rPr>
                <w:rFonts w:ascii="Arial" w:hAnsi="Arial" w:cs="Arial"/>
                <w:sz w:val="22"/>
                <w:szCs w:val="22"/>
              </w:rPr>
              <w:t>this section; and</w:t>
            </w:r>
          </w:p>
          <w:p w:rsidR="008B56FC" w:rsidRPr="006F18D6" w:rsidRDefault="008267DF" w:rsidP="006F18D6">
            <w:pPr>
              <w:pStyle w:val="HTMLPreformatted"/>
              <w:rPr>
                <w:rFonts w:ascii="Arial" w:hAnsi="Arial" w:cs="Arial"/>
                <w:sz w:val="22"/>
                <w:szCs w:val="22"/>
              </w:rPr>
            </w:pPr>
            <w:r w:rsidRPr="006F18D6">
              <w:rPr>
                <w:rFonts w:ascii="Arial" w:hAnsi="Arial" w:cs="Arial"/>
                <w:sz w:val="22"/>
                <w:szCs w:val="22"/>
              </w:rPr>
              <w:t>* * * * *</w:t>
            </w:r>
          </w:p>
        </w:tc>
        <w:tc>
          <w:tcPr>
            <w:tcW w:w="1440" w:type="dxa"/>
          </w:tcPr>
          <w:p w:rsidR="008B56FC" w:rsidRPr="006F18D6" w:rsidRDefault="008B56FC" w:rsidP="006F18D6">
            <w:pPr>
              <w:rPr>
                <w:rFonts w:cs="Arial"/>
                <w:szCs w:val="22"/>
              </w:rPr>
            </w:pPr>
          </w:p>
        </w:tc>
        <w:tc>
          <w:tcPr>
            <w:tcW w:w="1341" w:type="dxa"/>
          </w:tcPr>
          <w:p w:rsidR="008B56FC" w:rsidRPr="006F18D6" w:rsidRDefault="008B56FC" w:rsidP="006F18D6">
            <w:pPr>
              <w:rPr>
                <w:rFonts w:cs="Arial"/>
                <w:szCs w:val="22"/>
              </w:rPr>
            </w:pPr>
          </w:p>
        </w:tc>
        <w:tc>
          <w:tcPr>
            <w:tcW w:w="2846" w:type="dxa"/>
          </w:tcPr>
          <w:p w:rsidR="008B56FC" w:rsidRPr="006F18D6" w:rsidRDefault="008B56FC" w:rsidP="006F18D6">
            <w:pPr>
              <w:rPr>
                <w:rFonts w:cs="Arial"/>
                <w:szCs w:val="22"/>
              </w:rPr>
            </w:pPr>
          </w:p>
        </w:tc>
      </w:tr>
    </w:tbl>
    <w:p w:rsidR="00F06F36" w:rsidRDefault="00F06F36" w:rsidP="008267DF"/>
    <w:sectPr w:rsidR="00F06F36" w:rsidSect="00971E8B">
      <w:footerReference w:type="default" r:id="rId6"/>
      <w:pgSz w:w="15840" w:h="12240" w:orient="landscape" w:code="1"/>
      <w:pgMar w:top="288" w:right="1440" w:bottom="28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DCC" w:rsidRDefault="00EE5DCC" w:rsidP="00EE5DCC">
      <w:r>
        <w:separator/>
      </w:r>
    </w:p>
  </w:endnote>
  <w:endnote w:type="continuationSeparator" w:id="0">
    <w:p w:rsidR="00EE5DCC" w:rsidRDefault="00EE5DCC" w:rsidP="00EE5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DCC" w:rsidRDefault="00EE5DCC">
    <w:pPr>
      <w:pStyle w:val="Footer"/>
      <w:jc w:val="center"/>
    </w:pPr>
    <w:fldSimple w:instr=" PAGE   \* MERGEFORMAT ">
      <w:r>
        <w:rPr>
          <w:noProof/>
        </w:rPr>
        <w:t>1</w:t>
      </w:r>
    </w:fldSimple>
  </w:p>
  <w:p w:rsidR="00EE5DCC" w:rsidRDefault="00EE5D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DCC" w:rsidRDefault="00EE5DCC" w:rsidP="00EE5DCC">
      <w:r>
        <w:separator/>
      </w:r>
    </w:p>
  </w:footnote>
  <w:footnote w:type="continuationSeparator" w:id="0">
    <w:p w:rsidR="00EE5DCC" w:rsidRDefault="00EE5DCC" w:rsidP="00EE5D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474B66"/>
    <w:rsid w:val="00086F4C"/>
    <w:rsid w:val="00111C0A"/>
    <w:rsid w:val="00391CC1"/>
    <w:rsid w:val="00474B66"/>
    <w:rsid w:val="004A6B43"/>
    <w:rsid w:val="006F18D6"/>
    <w:rsid w:val="008267DF"/>
    <w:rsid w:val="008B56FC"/>
    <w:rsid w:val="009012B2"/>
    <w:rsid w:val="009315B5"/>
    <w:rsid w:val="00971E8B"/>
    <w:rsid w:val="00EE5DCC"/>
    <w:rsid w:val="00F04762"/>
    <w:rsid w:val="00F06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7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474B66"/>
  </w:style>
  <w:style w:type="paragraph" w:styleId="HTMLPreformatted">
    <w:name w:val="HTML Preformatted"/>
    <w:basedOn w:val="Normal"/>
    <w:rsid w:val="0047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EE5DCC"/>
    <w:pPr>
      <w:tabs>
        <w:tab w:val="center" w:pos="4680"/>
        <w:tab w:val="right" w:pos="9360"/>
      </w:tabs>
    </w:pPr>
  </w:style>
  <w:style w:type="character" w:customStyle="1" w:styleId="HeaderChar">
    <w:name w:val="Header Char"/>
    <w:basedOn w:val="DefaultParagraphFont"/>
    <w:link w:val="Header"/>
    <w:rsid w:val="00EE5DCC"/>
    <w:rPr>
      <w:rFonts w:ascii="Arial" w:hAnsi="Arial"/>
      <w:sz w:val="22"/>
      <w:szCs w:val="24"/>
    </w:rPr>
  </w:style>
  <w:style w:type="paragraph" w:styleId="Footer">
    <w:name w:val="footer"/>
    <w:basedOn w:val="Normal"/>
    <w:link w:val="FooterChar"/>
    <w:uiPriority w:val="99"/>
    <w:rsid w:val="00EE5DCC"/>
    <w:pPr>
      <w:tabs>
        <w:tab w:val="center" w:pos="4680"/>
        <w:tab w:val="right" w:pos="9360"/>
      </w:tabs>
    </w:pPr>
  </w:style>
  <w:style w:type="character" w:customStyle="1" w:styleId="FooterChar">
    <w:name w:val="Footer Char"/>
    <w:basedOn w:val="DefaultParagraphFont"/>
    <w:link w:val="Footer"/>
    <w:uiPriority w:val="99"/>
    <w:rsid w:val="00EE5DCC"/>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34815914">
      <w:bodyDiv w:val="1"/>
      <w:marLeft w:val="0"/>
      <w:marRight w:val="0"/>
      <w:marTop w:val="0"/>
      <w:marBottom w:val="0"/>
      <w:divBdr>
        <w:top w:val="none" w:sz="0" w:space="0" w:color="auto"/>
        <w:left w:val="none" w:sz="0" w:space="0" w:color="auto"/>
        <w:bottom w:val="none" w:sz="0" w:space="0" w:color="auto"/>
        <w:right w:val="none" w:sz="0" w:space="0" w:color="auto"/>
      </w:divBdr>
    </w:div>
    <w:div w:id="279192025">
      <w:bodyDiv w:val="1"/>
      <w:marLeft w:val="0"/>
      <w:marRight w:val="0"/>
      <w:marTop w:val="0"/>
      <w:marBottom w:val="0"/>
      <w:divBdr>
        <w:top w:val="none" w:sz="0" w:space="0" w:color="auto"/>
        <w:left w:val="none" w:sz="0" w:space="0" w:color="auto"/>
        <w:bottom w:val="none" w:sz="0" w:space="0" w:color="auto"/>
        <w:right w:val="none" w:sz="0" w:space="0" w:color="auto"/>
      </w:divBdr>
    </w:div>
    <w:div w:id="322241569">
      <w:bodyDiv w:val="1"/>
      <w:marLeft w:val="0"/>
      <w:marRight w:val="0"/>
      <w:marTop w:val="0"/>
      <w:marBottom w:val="0"/>
      <w:divBdr>
        <w:top w:val="none" w:sz="0" w:space="0" w:color="auto"/>
        <w:left w:val="none" w:sz="0" w:space="0" w:color="auto"/>
        <w:bottom w:val="none" w:sz="0" w:space="0" w:color="auto"/>
        <w:right w:val="none" w:sz="0" w:space="0" w:color="auto"/>
      </w:divBdr>
    </w:div>
    <w:div w:id="459306356">
      <w:bodyDiv w:val="1"/>
      <w:marLeft w:val="0"/>
      <w:marRight w:val="0"/>
      <w:marTop w:val="0"/>
      <w:marBottom w:val="0"/>
      <w:divBdr>
        <w:top w:val="none" w:sz="0" w:space="0" w:color="auto"/>
        <w:left w:val="none" w:sz="0" w:space="0" w:color="auto"/>
        <w:bottom w:val="none" w:sz="0" w:space="0" w:color="auto"/>
        <w:right w:val="none" w:sz="0" w:space="0" w:color="auto"/>
      </w:divBdr>
    </w:div>
    <w:div w:id="459809430">
      <w:bodyDiv w:val="1"/>
      <w:marLeft w:val="0"/>
      <w:marRight w:val="0"/>
      <w:marTop w:val="0"/>
      <w:marBottom w:val="0"/>
      <w:divBdr>
        <w:top w:val="none" w:sz="0" w:space="0" w:color="auto"/>
        <w:left w:val="none" w:sz="0" w:space="0" w:color="auto"/>
        <w:bottom w:val="none" w:sz="0" w:space="0" w:color="auto"/>
        <w:right w:val="none" w:sz="0" w:space="0" w:color="auto"/>
      </w:divBdr>
    </w:div>
    <w:div w:id="596596624">
      <w:bodyDiv w:val="1"/>
      <w:marLeft w:val="0"/>
      <w:marRight w:val="0"/>
      <w:marTop w:val="0"/>
      <w:marBottom w:val="0"/>
      <w:divBdr>
        <w:top w:val="none" w:sz="0" w:space="0" w:color="auto"/>
        <w:left w:val="none" w:sz="0" w:space="0" w:color="auto"/>
        <w:bottom w:val="none" w:sz="0" w:space="0" w:color="auto"/>
        <w:right w:val="none" w:sz="0" w:space="0" w:color="auto"/>
      </w:divBdr>
    </w:div>
    <w:div w:id="989821530">
      <w:bodyDiv w:val="1"/>
      <w:marLeft w:val="0"/>
      <w:marRight w:val="0"/>
      <w:marTop w:val="0"/>
      <w:marBottom w:val="0"/>
      <w:divBdr>
        <w:top w:val="none" w:sz="0" w:space="0" w:color="auto"/>
        <w:left w:val="none" w:sz="0" w:space="0" w:color="auto"/>
        <w:bottom w:val="none" w:sz="0" w:space="0" w:color="auto"/>
        <w:right w:val="none" w:sz="0" w:space="0" w:color="auto"/>
      </w:divBdr>
    </w:div>
    <w:div w:id="1047559293">
      <w:bodyDiv w:val="1"/>
      <w:marLeft w:val="0"/>
      <w:marRight w:val="0"/>
      <w:marTop w:val="0"/>
      <w:marBottom w:val="0"/>
      <w:divBdr>
        <w:top w:val="none" w:sz="0" w:space="0" w:color="auto"/>
        <w:left w:val="none" w:sz="0" w:space="0" w:color="auto"/>
        <w:bottom w:val="none" w:sz="0" w:space="0" w:color="auto"/>
        <w:right w:val="none" w:sz="0" w:space="0" w:color="auto"/>
      </w:divBdr>
    </w:div>
    <w:div w:id="1930114254">
      <w:bodyDiv w:val="1"/>
      <w:marLeft w:val="0"/>
      <w:marRight w:val="0"/>
      <w:marTop w:val="0"/>
      <w:marBottom w:val="0"/>
      <w:divBdr>
        <w:top w:val="none" w:sz="0" w:space="0" w:color="auto"/>
        <w:left w:val="none" w:sz="0" w:space="0" w:color="auto"/>
        <w:bottom w:val="none" w:sz="0" w:space="0" w:color="auto"/>
        <w:right w:val="none" w:sz="0" w:space="0" w:color="auto"/>
      </w:divBdr>
    </w:div>
    <w:div w:id="196218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Medical Use of Byproduct Material - Minor Corrections and Clarifications 10 CFR Parts 32 and 35</vt:lpstr>
    </vt:vector>
  </TitlesOfParts>
  <Company>USNRC</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Use of Byproduct Material - Minor Corrections and Clarifications 10 CFR Parts 32 and 35</dc:title>
  <dc:subject/>
  <dc:creator>MLO1</dc:creator>
  <cp:keywords/>
  <dc:description/>
  <cp:lastModifiedBy>KNM1</cp:lastModifiedBy>
  <cp:revision>2</cp:revision>
  <cp:lastPrinted>2007-10-03T17:57:00Z</cp:lastPrinted>
  <dcterms:created xsi:type="dcterms:W3CDTF">2011-05-02T15:27:00Z</dcterms:created>
  <dcterms:modified xsi:type="dcterms:W3CDTF">2011-05-02T15:27:00Z</dcterms:modified>
</cp:coreProperties>
</file>