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91" w:rsidRDefault="008C6991">
      <w:pPr>
        <w:widowControl/>
        <w:jc w:val="center"/>
        <w:rPr>
          <w:rFonts w:ascii="Arial" w:hAnsi="Arial" w:cs="Arial"/>
          <w:sz w:val="22"/>
          <w:szCs w:val="22"/>
        </w:rPr>
      </w:pPr>
    </w:p>
    <w:p w:rsidR="004E0F8E" w:rsidRPr="008C6991" w:rsidRDefault="004E0F8E">
      <w:pPr>
        <w:widowControl/>
        <w:jc w:val="center"/>
        <w:rPr>
          <w:rFonts w:ascii="Arial" w:hAnsi="Arial" w:cs="Arial"/>
          <w:b/>
          <w:sz w:val="22"/>
          <w:szCs w:val="22"/>
        </w:rPr>
      </w:pPr>
      <w:r w:rsidRPr="008C6991">
        <w:rPr>
          <w:rFonts w:ascii="Arial" w:hAnsi="Arial" w:cs="Arial"/>
          <w:b/>
          <w:sz w:val="22"/>
          <w:szCs w:val="22"/>
        </w:rPr>
        <w:t>National Source Tracking System - Serialization Requirements</w:t>
      </w:r>
    </w:p>
    <w:p w:rsidR="004E0F8E" w:rsidRPr="008C6991" w:rsidRDefault="004E0F8E">
      <w:pPr>
        <w:widowControl/>
        <w:jc w:val="center"/>
        <w:rPr>
          <w:rFonts w:ascii="Arial" w:hAnsi="Arial" w:cs="Arial"/>
          <w:b/>
          <w:sz w:val="22"/>
          <w:szCs w:val="22"/>
        </w:rPr>
      </w:pPr>
      <w:r w:rsidRPr="008C6991">
        <w:rPr>
          <w:rFonts w:ascii="Arial" w:hAnsi="Arial" w:cs="Arial"/>
          <w:b/>
          <w:sz w:val="22"/>
          <w:szCs w:val="22"/>
        </w:rPr>
        <w:t>(Part 32 with reference to Part 20 Appendix E)</w:t>
      </w:r>
    </w:p>
    <w:p w:rsidR="004E0F8E" w:rsidRPr="008C6991" w:rsidRDefault="004E0F8E">
      <w:pPr>
        <w:widowControl/>
        <w:jc w:val="center"/>
        <w:rPr>
          <w:rFonts w:ascii="Arial" w:hAnsi="Arial" w:cs="Arial"/>
          <w:b/>
          <w:sz w:val="22"/>
          <w:szCs w:val="22"/>
        </w:rPr>
      </w:pPr>
      <w:r w:rsidRPr="008C6991">
        <w:rPr>
          <w:rFonts w:ascii="Arial" w:hAnsi="Arial" w:cs="Arial"/>
          <w:b/>
          <w:sz w:val="22"/>
          <w:szCs w:val="22"/>
        </w:rPr>
        <w:t xml:space="preserve">(71 FR 65685; November 8, 2006) RATS ID </w:t>
      </w:r>
      <w:r w:rsidRPr="008C6991">
        <w:rPr>
          <w:rFonts w:ascii="Arial" w:hAnsi="Arial" w:cs="Arial"/>
          <w:b/>
          <w:bCs/>
          <w:sz w:val="22"/>
          <w:szCs w:val="22"/>
        </w:rPr>
        <w:t>2006-2</w:t>
      </w:r>
      <w:r w:rsidRPr="008C6991">
        <w:rPr>
          <w:rFonts w:ascii="Arial" w:hAnsi="Arial" w:cs="Arial"/>
          <w:b/>
          <w:sz w:val="22"/>
          <w:szCs w:val="22"/>
        </w:rPr>
        <w:t xml:space="preserve"> Effective 2/06/07</w:t>
      </w:r>
    </w:p>
    <w:p w:rsidR="004E0F8E" w:rsidRPr="008C6991" w:rsidRDefault="008C6991">
      <w:pPr>
        <w:widowControl/>
        <w:jc w:val="center"/>
        <w:rPr>
          <w:rFonts w:ascii="Arial" w:hAnsi="Arial" w:cs="Arial"/>
          <w:b/>
          <w:sz w:val="22"/>
          <w:szCs w:val="22"/>
        </w:rPr>
      </w:pPr>
      <w:r>
        <w:rPr>
          <w:rFonts w:ascii="Arial" w:hAnsi="Arial" w:cs="Arial"/>
          <w:b/>
          <w:sz w:val="22"/>
          <w:szCs w:val="22"/>
        </w:rPr>
        <w:t>Date due for State adoption</w:t>
      </w:r>
      <w:r w:rsidR="004E0F8E" w:rsidRPr="008C6991">
        <w:rPr>
          <w:rFonts w:ascii="Arial" w:hAnsi="Arial" w:cs="Arial"/>
          <w:b/>
          <w:sz w:val="22"/>
          <w:szCs w:val="22"/>
        </w:rPr>
        <w:t>: February 6, 2007</w:t>
      </w:r>
    </w:p>
    <w:p w:rsidR="008C6991" w:rsidRDefault="008C6991">
      <w:pPr>
        <w:widowControl/>
        <w:jc w:val="center"/>
        <w:rPr>
          <w:rFonts w:ascii="Arial" w:hAnsi="Arial" w:cs="Arial"/>
          <w:sz w:val="22"/>
          <w:szCs w:val="22"/>
        </w:rPr>
      </w:pPr>
    </w:p>
    <w:p w:rsidR="008C6991" w:rsidRDefault="008C6991">
      <w:pPr>
        <w:widowControl/>
        <w:jc w:val="center"/>
        <w:rPr>
          <w:rFonts w:ascii="Arial" w:hAnsi="Arial" w:cs="Arial"/>
          <w:sz w:val="22"/>
          <w:szCs w:val="22"/>
        </w:rPr>
      </w:pPr>
    </w:p>
    <w:tbl>
      <w:tblPr>
        <w:tblW w:w="0" w:type="auto"/>
        <w:tblInd w:w="-1022"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48" w:type="dxa"/>
          <w:right w:w="148" w:type="dxa"/>
        </w:tblCellMar>
        <w:tblLook w:val="0000"/>
      </w:tblPr>
      <w:tblGrid>
        <w:gridCol w:w="1260"/>
        <w:gridCol w:w="1530"/>
        <w:gridCol w:w="1170"/>
        <w:gridCol w:w="1710"/>
        <w:gridCol w:w="3510"/>
        <w:gridCol w:w="1440"/>
        <w:gridCol w:w="1440"/>
        <w:gridCol w:w="3150"/>
      </w:tblGrid>
      <w:tr w:rsidR="004E0F8E" w:rsidRPr="008C6991" w:rsidTr="008C6991">
        <w:tblPrEx>
          <w:tblCellMar>
            <w:top w:w="0" w:type="dxa"/>
            <w:bottom w:w="0" w:type="dxa"/>
          </w:tblCellMar>
        </w:tblPrEx>
        <w:trPr>
          <w:trHeight w:val="20"/>
          <w:tblHeader/>
        </w:trPr>
        <w:tc>
          <w:tcPr>
            <w:tcW w:w="1260" w:type="dxa"/>
            <w:tcBorders>
              <w:top w:val="double" w:sz="4" w:space="0" w:color="auto"/>
              <w:bottom w:val="double" w:sz="4" w:space="0" w:color="auto"/>
            </w:tcBorders>
          </w:tcPr>
          <w:p w:rsidR="004E0F8E" w:rsidRPr="008C6991" w:rsidRDefault="004E0F8E" w:rsidP="008C6991">
            <w:pPr>
              <w:jc w:val="center"/>
              <w:rPr>
                <w:rFonts w:ascii="Arial" w:hAnsi="Arial" w:cs="Arial"/>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 xml:space="preserve">NRC </w:t>
            </w: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Section</w:t>
            </w:r>
          </w:p>
        </w:tc>
        <w:tc>
          <w:tcPr>
            <w:tcW w:w="1530" w:type="dxa"/>
            <w:tcBorders>
              <w:top w:val="double" w:sz="4" w:space="0" w:color="auto"/>
              <w:bottom w:val="double" w:sz="4" w:space="0" w:color="auto"/>
            </w:tcBorders>
          </w:tcPr>
          <w:p w:rsidR="004E0F8E" w:rsidRPr="008C6991" w:rsidRDefault="004E0F8E" w:rsidP="008C6991">
            <w:pPr>
              <w:jc w:val="center"/>
              <w:rPr>
                <w:rFonts w:ascii="Arial" w:hAnsi="Arial" w:cs="Arial"/>
                <w:b/>
                <w:bCs/>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Section Title</w:t>
            </w:r>
          </w:p>
          <w:p w:rsidR="004E0F8E" w:rsidRPr="008C6991" w:rsidRDefault="004E0F8E" w:rsidP="008C6991">
            <w:pPr>
              <w:widowControl/>
              <w:jc w:val="center"/>
              <w:rPr>
                <w:rFonts w:ascii="Arial" w:hAnsi="Arial" w:cs="Arial"/>
                <w:b/>
                <w:bCs/>
                <w:sz w:val="22"/>
                <w:szCs w:val="22"/>
              </w:rPr>
            </w:pPr>
          </w:p>
        </w:tc>
        <w:tc>
          <w:tcPr>
            <w:tcW w:w="1170" w:type="dxa"/>
            <w:tcBorders>
              <w:top w:val="double" w:sz="4" w:space="0" w:color="auto"/>
              <w:bottom w:val="double" w:sz="4" w:space="0" w:color="auto"/>
            </w:tcBorders>
          </w:tcPr>
          <w:p w:rsidR="004E0F8E" w:rsidRPr="008C6991" w:rsidRDefault="004E0F8E" w:rsidP="008C6991">
            <w:pPr>
              <w:jc w:val="center"/>
              <w:rPr>
                <w:rFonts w:ascii="Arial" w:hAnsi="Arial" w:cs="Arial"/>
                <w:b/>
                <w:bCs/>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State</w:t>
            </w: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Section</w:t>
            </w:r>
          </w:p>
        </w:tc>
        <w:tc>
          <w:tcPr>
            <w:tcW w:w="1710" w:type="dxa"/>
            <w:tcBorders>
              <w:top w:val="double" w:sz="4" w:space="0" w:color="auto"/>
              <w:bottom w:val="double" w:sz="4" w:space="0" w:color="auto"/>
            </w:tcBorders>
          </w:tcPr>
          <w:p w:rsidR="004E0F8E" w:rsidRPr="008C6991" w:rsidRDefault="004E0F8E" w:rsidP="008C6991">
            <w:pPr>
              <w:jc w:val="center"/>
              <w:rPr>
                <w:rFonts w:ascii="Arial" w:hAnsi="Arial" w:cs="Arial"/>
                <w:b/>
                <w:bCs/>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Compatibility Category</w:t>
            </w:r>
          </w:p>
        </w:tc>
        <w:tc>
          <w:tcPr>
            <w:tcW w:w="3510" w:type="dxa"/>
            <w:tcBorders>
              <w:top w:val="double" w:sz="4" w:space="0" w:color="auto"/>
              <w:bottom w:val="double" w:sz="4" w:space="0" w:color="auto"/>
            </w:tcBorders>
          </w:tcPr>
          <w:p w:rsidR="004E0F8E" w:rsidRPr="008C6991" w:rsidRDefault="004E0F8E" w:rsidP="008C6991">
            <w:pPr>
              <w:jc w:val="center"/>
              <w:rPr>
                <w:rFonts w:ascii="Arial" w:hAnsi="Arial" w:cs="Arial"/>
                <w:b/>
                <w:bCs/>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Summary of Change to CFR</w:t>
            </w:r>
          </w:p>
        </w:tc>
        <w:tc>
          <w:tcPr>
            <w:tcW w:w="1440" w:type="dxa"/>
            <w:tcBorders>
              <w:top w:val="double" w:sz="4" w:space="0" w:color="auto"/>
              <w:bottom w:val="double" w:sz="4" w:space="0" w:color="auto"/>
            </w:tcBorders>
          </w:tcPr>
          <w:p w:rsidR="004E0F8E" w:rsidRPr="008C6991" w:rsidRDefault="004E0F8E" w:rsidP="008C6991">
            <w:pPr>
              <w:jc w:val="center"/>
              <w:rPr>
                <w:rFonts w:ascii="Arial" w:hAnsi="Arial" w:cs="Arial"/>
                <w:b/>
                <w:bCs/>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Difference</w:t>
            </w: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Yes/No</w:t>
            </w:r>
          </w:p>
        </w:tc>
        <w:tc>
          <w:tcPr>
            <w:tcW w:w="1440" w:type="dxa"/>
            <w:tcBorders>
              <w:top w:val="double" w:sz="4" w:space="0" w:color="auto"/>
              <w:bottom w:val="double" w:sz="4" w:space="0" w:color="auto"/>
            </w:tcBorders>
          </w:tcPr>
          <w:p w:rsidR="004E0F8E" w:rsidRPr="008C6991" w:rsidRDefault="004E0F8E" w:rsidP="008C6991">
            <w:pPr>
              <w:jc w:val="center"/>
              <w:rPr>
                <w:rFonts w:ascii="Arial" w:hAnsi="Arial" w:cs="Arial"/>
                <w:b/>
                <w:bCs/>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Significant</w:t>
            </w: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Yes/No</w:t>
            </w:r>
          </w:p>
        </w:tc>
        <w:tc>
          <w:tcPr>
            <w:tcW w:w="3150" w:type="dxa"/>
            <w:tcBorders>
              <w:top w:val="double" w:sz="4" w:space="0" w:color="auto"/>
              <w:bottom w:val="double" w:sz="4" w:space="0" w:color="auto"/>
            </w:tcBorders>
          </w:tcPr>
          <w:p w:rsidR="004E0F8E" w:rsidRPr="008C6991" w:rsidRDefault="004E0F8E" w:rsidP="008C6991">
            <w:pPr>
              <w:jc w:val="center"/>
              <w:rPr>
                <w:rFonts w:ascii="Arial" w:hAnsi="Arial" w:cs="Arial"/>
                <w:b/>
                <w:bCs/>
                <w:sz w:val="22"/>
                <w:szCs w:val="22"/>
              </w:rPr>
            </w:pPr>
          </w:p>
          <w:p w:rsidR="004E0F8E" w:rsidRPr="008C6991" w:rsidRDefault="004E0F8E" w:rsidP="008C6991">
            <w:pPr>
              <w:widowControl/>
              <w:jc w:val="center"/>
              <w:rPr>
                <w:rFonts w:ascii="Arial" w:hAnsi="Arial" w:cs="Arial"/>
                <w:b/>
                <w:bCs/>
                <w:sz w:val="22"/>
                <w:szCs w:val="22"/>
              </w:rPr>
            </w:pPr>
            <w:r w:rsidRPr="008C6991">
              <w:rPr>
                <w:rFonts w:ascii="Arial" w:hAnsi="Arial" w:cs="Arial"/>
                <w:b/>
                <w:bCs/>
                <w:sz w:val="22"/>
                <w:szCs w:val="22"/>
              </w:rPr>
              <w:t>If difference, why or why not comment generated</w:t>
            </w:r>
          </w:p>
        </w:tc>
      </w:tr>
      <w:tr w:rsidR="004E0F8E" w:rsidRPr="008C6991" w:rsidTr="008C6991">
        <w:tblPrEx>
          <w:tblCellMar>
            <w:top w:w="0" w:type="dxa"/>
            <w:bottom w:w="0" w:type="dxa"/>
          </w:tblCellMar>
        </w:tblPrEx>
        <w:trPr>
          <w:trHeight w:val="20"/>
        </w:trPr>
        <w:tc>
          <w:tcPr>
            <w:tcW w:w="1260" w:type="dxa"/>
            <w:tcBorders>
              <w:top w:val="double" w:sz="4" w:space="0" w:color="auto"/>
            </w:tcBorders>
          </w:tcPr>
          <w:p w:rsidR="004E0F8E" w:rsidRPr="008C6991" w:rsidRDefault="004E0F8E" w:rsidP="008C6991">
            <w:pPr>
              <w:rPr>
                <w:rFonts w:ascii="Arial" w:hAnsi="Arial" w:cs="Arial"/>
                <w:b/>
                <w:bCs/>
                <w:sz w:val="22"/>
                <w:szCs w:val="22"/>
              </w:rPr>
            </w:pPr>
          </w:p>
          <w:p w:rsidR="004E0F8E" w:rsidRPr="008C6991" w:rsidRDefault="004E0F8E" w:rsidP="008C6991">
            <w:pPr>
              <w:widowControl/>
              <w:jc w:val="center"/>
              <w:rPr>
                <w:rFonts w:ascii="Arial" w:hAnsi="Arial" w:cs="Arial"/>
                <w:sz w:val="22"/>
                <w:szCs w:val="22"/>
              </w:rPr>
            </w:pPr>
            <w:r w:rsidRPr="008C6991">
              <w:rPr>
                <w:rFonts w:ascii="Arial" w:hAnsi="Arial" w:cs="Arial"/>
                <w:sz w:val="22"/>
                <w:szCs w:val="22"/>
              </w:rPr>
              <w:sym w:font="WP TypographicSymbols" w:char="0027"/>
            </w:r>
            <w:r w:rsidRPr="008C6991">
              <w:rPr>
                <w:rFonts w:ascii="Arial" w:hAnsi="Arial" w:cs="Arial"/>
                <w:sz w:val="22"/>
                <w:szCs w:val="22"/>
              </w:rPr>
              <w:t>20 Appendix E</w:t>
            </w:r>
          </w:p>
        </w:tc>
        <w:tc>
          <w:tcPr>
            <w:tcW w:w="1530" w:type="dxa"/>
            <w:tcBorders>
              <w:top w:val="double" w:sz="4" w:space="0" w:color="auto"/>
            </w:tcBorders>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r w:rsidRPr="008C6991">
              <w:rPr>
                <w:rFonts w:ascii="Arial" w:hAnsi="Arial" w:cs="Arial"/>
                <w:sz w:val="22"/>
                <w:szCs w:val="22"/>
              </w:rPr>
              <w:t>Nationally tracked sources threshold</w:t>
            </w:r>
          </w:p>
        </w:tc>
        <w:tc>
          <w:tcPr>
            <w:tcW w:w="1170" w:type="dxa"/>
            <w:tcBorders>
              <w:top w:val="double" w:sz="4" w:space="0" w:color="auto"/>
            </w:tcBorders>
          </w:tcPr>
          <w:p w:rsidR="004E0F8E" w:rsidRPr="008C6991" w:rsidRDefault="004E0F8E" w:rsidP="008C6991">
            <w:pPr>
              <w:rPr>
                <w:rFonts w:ascii="Arial" w:hAnsi="Arial" w:cs="Arial"/>
                <w:sz w:val="22"/>
                <w:szCs w:val="22"/>
              </w:rPr>
            </w:pPr>
          </w:p>
          <w:p w:rsidR="004E0F8E" w:rsidRPr="008C6991" w:rsidRDefault="004E0F8E" w:rsidP="008C6991">
            <w:pPr>
              <w:widowControl/>
              <w:tabs>
                <w:tab w:val="right" w:pos="874"/>
              </w:tabs>
              <w:rPr>
                <w:rFonts w:ascii="Arial" w:hAnsi="Arial" w:cs="Arial"/>
                <w:sz w:val="22"/>
                <w:szCs w:val="22"/>
              </w:rPr>
            </w:pPr>
            <w:r w:rsidRPr="008C6991">
              <w:rPr>
                <w:rFonts w:ascii="Arial" w:hAnsi="Arial" w:cs="Arial"/>
                <w:sz w:val="22"/>
                <w:szCs w:val="22"/>
              </w:rPr>
              <w:tab/>
            </w:r>
          </w:p>
        </w:tc>
        <w:tc>
          <w:tcPr>
            <w:tcW w:w="1710" w:type="dxa"/>
            <w:tcBorders>
              <w:top w:val="double" w:sz="4" w:space="0" w:color="auto"/>
            </w:tcBorders>
          </w:tcPr>
          <w:p w:rsidR="004E0F8E" w:rsidRPr="008C6991" w:rsidRDefault="004E0F8E" w:rsidP="008C6991">
            <w:pPr>
              <w:rPr>
                <w:rFonts w:ascii="Arial" w:hAnsi="Arial" w:cs="Arial"/>
                <w:sz w:val="22"/>
                <w:szCs w:val="22"/>
              </w:rPr>
            </w:pPr>
          </w:p>
          <w:p w:rsidR="004E0F8E" w:rsidRPr="008C6991" w:rsidRDefault="004E0F8E" w:rsidP="008C6991">
            <w:pPr>
              <w:widowControl/>
              <w:jc w:val="center"/>
              <w:rPr>
                <w:rFonts w:ascii="Arial" w:hAnsi="Arial" w:cs="Arial"/>
                <w:sz w:val="22"/>
                <w:szCs w:val="22"/>
              </w:rPr>
            </w:pPr>
            <w:r w:rsidRPr="008C6991">
              <w:rPr>
                <w:rFonts w:ascii="Arial" w:hAnsi="Arial" w:cs="Arial"/>
                <w:sz w:val="22"/>
                <w:szCs w:val="22"/>
              </w:rPr>
              <w:t>B</w:t>
            </w:r>
          </w:p>
        </w:tc>
        <w:tc>
          <w:tcPr>
            <w:tcW w:w="3510" w:type="dxa"/>
            <w:tcBorders>
              <w:top w:val="double" w:sz="4" w:space="0" w:color="auto"/>
            </w:tcBorders>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r w:rsidRPr="008C6991">
              <w:rPr>
                <w:rFonts w:ascii="Arial" w:hAnsi="Arial" w:cs="Arial"/>
                <w:b/>
                <w:bCs/>
                <w:sz w:val="22"/>
                <w:szCs w:val="22"/>
              </w:rPr>
              <w:t>Added Appendix:</w:t>
            </w:r>
          </w:p>
          <w:p w:rsidR="004E0F8E" w:rsidRPr="008C6991" w:rsidRDefault="004E0F8E" w:rsidP="008C6991">
            <w:pPr>
              <w:widowControl/>
              <w:rPr>
                <w:rFonts w:ascii="Arial" w:hAnsi="Arial" w:cs="Arial"/>
                <w:sz w:val="22"/>
                <w:szCs w:val="22"/>
              </w:rPr>
            </w:pPr>
            <w:r w:rsidRPr="008C6991">
              <w:rPr>
                <w:rFonts w:ascii="Arial" w:hAnsi="Arial" w:cs="Arial"/>
                <w:sz w:val="22"/>
                <w:szCs w:val="22"/>
              </w:rPr>
              <w:t>See table at end of document</w:t>
            </w:r>
          </w:p>
        </w:tc>
        <w:tc>
          <w:tcPr>
            <w:tcW w:w="1440" w:type="dxa"/>
            <w:tcBorders>
              <w:top w:val="double" w:sz="4" w:space="0" w:color="auto"/>
            </w:tcBorders>
          </w:tcPr>
          <w:p w:rsidR="00595F70" w:rsidRPr="008C6991" w:rsidRDefault="00595F70" w:rsidP="008C6991">
            <w:pPr>
              <w:widowControl/>
              <w:rPr>
                <w:rFonts w:ascii="Arial" w:hAnsi="Arial" w:cs="Arial"/>
                <w:sz w:val="22"/>
                <w:szCs w:val="22"/>
              </w:rPr>
            </w:pPr>
          </w:p>
          <w:p w:rsidR="004E0F8E" w:rsidRPr="008C6991" w:rsidRDefault="004E0F8E" w:rsidP="008C6991">
            <w:pPr>
              <w:widowControl/>
              <w:rPr>
                <w:rFonts w:ascii="Arial" w:hAnsi="Arial" w:cs="Arial"/>
                <w:sz w:val="22"/>
                <w:szCs w:val="22"/>
              </w:rPr>
            </w:pPr>
          </w:p>
        </w:tc>
        <w:tc>
          <w:tcPr>
            <w:tcW w:w="1440" w:type="dxa"/>
            <w:tcBorders>
              <w:top w:val="double" w:sz="4" w:space="0" w:color="auto"/>
            </w:tcBorders>
          </w:tcPr>
          <w:p w:rsidR="004E0F8E" w:rsidRPr="008C6991" w:rsidRDefault="004E0F8E" w:rsidP="008C6991">
            <w:pPr>
              <w:widowControl/>
              <w:rPr>
                <w:rFonts w:ascii="Arial" w:hAnsi="Arial" w:cs="Arial"/>
                <w:sz w:val="22"/>
                <w:szCs w:val="22"/>
              </w:rPr>
            </w:pPr>
          </w:p>
          <w:p w:rsidR="00595F70" w:rsidRPr="008C6991" w:rsidRDefault="00595F70" w:rsidP="008C6991">
            <w:pPr>
              <w:widowControl/>
              <w:rPr>
                <w:rFonts w:ascii="Arial" w:hAnsi="Arial" w:cs="Arial"/>
                <w:sz w:val="22"/>
                <w:szCs w:val="22"/>
              </w:rPr>
            </w:pPr>
          </w:p>
        </w:tc>
        <w:tc>
          <w:tcPr>
            <w:tcW w:w="3150" w:type="dxa"/>
            <w:tcBorders>
              <w:top w:val="double" w:sz="4" w:space="0" w:color="auto"/>
            </w:tcBorders>
          </w:tcPr>
          <w:p w:rsidR="004E0F8E" w:rsidRPr="008C6991" w:rsidRDefault="004E0F8E" w:rsidP="008C6991">
            <w:pPr>
              <w:rPr>
                <w:rFonts w:ascii="Arial" w:hAnsi="Arial" w:cs="Arial"/>
                <w:sz w:val="22"/>
                <w:szCs w:val="22"/>
              </w:rPr>
            </w:pPr>
          </w:p>
          <w:p w:rsidR="00595F70" w:rsidRPr="008C6991" w:rsidRDefault="00595F70" w:rsidP="008C6991">
            <w:pPr>
              <w:widowControl/>
              <w:rPr>
                <w:rFonts w:ascii="Arial" w:hAnsi="Arial" w:cs="Arial"/>
                <w:sz w:val="22"/>
                <w:szCs w:val="22"/>
              </w:rPr>
            </w:pPr>
          </w:p>
        </w:tc>
      </w:tr>
      <w:tr w:rsidR="004E0F8E" w:rsidRPr="008C6991" w:rsidTr="008C6991">
        <w:tblPrEx>
          <w:tblCellMar>
            <w:top w:w="0" w:type="dxa"/>
            <w:bottom w:w="0" w:type="dxa"/>
          </w:tblCellMar>
        </w:tblPrEx>
        <w:trPr>
          <w:trHeight w:val="20"/>
        </w:trPr>
        <w:tc>
          <w:tcPr>
            <w:tcW w:w="1260" w:type="dxa"/>
          </w:tcPr>
          <w:p w:rsidR="004E0F8E" w:rsidRPr="008C6991" w:rsidRDefault="004E0F8E" w:rsidP="008C6991">
            <w:pPr>
              <w:rPr>
                <w:rFonts w:ascii="Arial" w:hAnsi="Arial" w:cs="Arial"/>
                <w:sz w:val="22"/>
                <w:szCs w:val="22"/>
              </w:rPr>
            </w:pPr>
          </w:p>
          <w:p w:rsidR="004E0F8E" w:rsidRPr="008C6991" w:rsidRDefault="004E0F8E" w:rsidP="008C6991">
            <w:pPr>
              <w:widowControl/>
              <w:jc w:val="center"/>
              <w:rPr>
                <w:rFonts w:ascii="Arial" w:hAnsi="Arial" w:cs="Arial"/>
                <w:sz w:val="22"/>
                <w:szCs w:val="22"/>
              </w:rPr>
            </w:pPr>
            <w:r w:rsidRPr="008C6991">
              <w:rPr>
                <w:rFonts w:ascii="Arial" w:hAnsi="Arial" w:cs="Arial"/>
                <w:sz w:val="22"/>
                <w:szCs w:val="22"/>
              </w:rPr>
              <w:sym w:font="WP TypographicSymbols" w:char="0027"/>
            </w:r>
            <w:r w:rsidRPr="008C6991">
              <w:rPr>
                <w:rFonts w:ascii="Arial" w:hAnsi="Arial" w:cs="Arial"/>
                <w:sz w:val="22"/>
                <w:szCs w:val="22"/>
              </w:rPr>
              <w:t>32.2</w:t>
            </w:r>
          </w:p>
        </w:tc>
        <w:tc>
          <w:tcPr>
            <w:tcW w:w="153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r w:rsidRPr="008C6991">
              <w:rPr>
                <w:rFonts w:ascii="Arial" w:hAnsi="Arial" w:cs="Arial"/>
                <w:sz w:val="22"/>
                <w:szCs w:val="22"/>
              </w:rPr>
              <w:t>Definitions-Nationally tracked sources</w:t>
            </w:r>
          </w:p>
        </w:tc>
        <w:tc>
          <w:tcPr>
            <w:tcW w:w="1170" w:type="dxa"/>
          </w:tcPr>
          <w:p w:rsidR="004E0F8E" w:rsidRPr="008C6991" w:rsidRDefault="004E0F8E" w:rsidP="008C6991">
            <w:pPr>
              <w:rPr>
                <w:rFonts w:ascii="Arial" w:hAnsi="Arial" w:cs="Arial"/>
                <w:sz w:val="22"/>
                <w:szCs w:val="22"/>
              </w:rPr>
            </w:pPr>
          </w:p>
          <w:p w:rsidR="004E0F8E" w:rsidRPr="008C6991" w:rsidRDefault="004E0F8E" w:rsidP="008C6991">
            <w:pPr>
              <w:widowControl/>
              <w:jc w:val="center"/>
              <w:rPr>
                <w:rFonts w:ascii="Arial" w:hAnsi="Arial" w:cs="Arial"/>
                <w:sz w:val="22"/>
                <w:szCs w:val="22"/>
              </w:rPr>
            </w:pPr>
          </w:p>
        </w:tc>
        <w:tc>
          <w:tcPr>
            <w:tcW w:w="1710" w:type="dxa"/>
          </w:tcPr>
          <w:p w:rsidR="004E0F8E" w:rsidRPr="008C6991" w:rsidRDefault="004E0F8E" w:rsidP="008C6991">
            <w:pPr>
              <w:rPr>
                <w:rFonts w:ascii="Arial" w:hAnsi="Arial" w:cs="Arial"/>
                <w:sz w:val="22"/>
                <w:szCs w:val="22"/>
              </w:rPr>
            </w:pPr>
          </w:p>
          <w:p w:rsidR="004E0F8E" w:rsidRPr="008C6991" w:rsidRDefault="004E0F8E" w:rsidP="008C6991">
            <w:pPr>
              <w:widowControl/>
              <w:jc w:val="center"/>
              <w:rPr>
                <w:rFonts w:ascii="Arial" w:hAnsi="Arial" w:cs="Arial"/>
                <w:sz w:val="22"/>
                <w:szCs w:val="22"/>
              </w:rPr>
            </w:pPr>
            <w:r w:rsidRPr="008C6991">
              <w:rPr>
                <w:rFonts w:ascii="Arial" w:hAnsi="Arial" w:cs="Arial"/>
                <w:sz w:val="22"/>
                <w:szCs w:val="22"/>
              </w:rPr>
              <w:t>B</w:t>
            </w:r>
          </w:p>
        </w:tc>
        <w:tc>
          <w:tcPr>
            <w:tcW w:w="351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r w:rsidRPr="008C6991">
              <w:rPr>
                <w:rFonts w:ascii="Arial" w:hAnsi="Arial" w:cs="Arial"/>
                <w:b/>
                <w:bCs/>
                <w:sz w:val="22"/>
                <w:szCs w:val="22"/>
              </w:rPr>
              <w:t>Added Definition:</w:t>
            </w:r>
          </w:p>
          <w:p w:rsidR="004E0F8E" w:rsidRPr="008C6991" w:rsidRDefault="004E0F8E" w:rsidP="008C6991">
            <w:pPr>
              <w:widowControl/>
              <w:rPr>
                <w:rFonts w:ascii="Arial" w:hAnsi="Arial" w:cs="Arial"/>
                <w:sz w:val="22"/>
                <w:szCs w:val="22"/>
              </w:rPr>
            </w:pPr>
            <w:r w:rsidRPr="008C6991">
              <w:rPr>
                <w:rFonts w:ascii="Arial" w:hAnsi="Arial" w:cs="Arial"/>
                <w:sz w:val="22"/>
                <w:szCs w:val="22"/>
              </w:rPr>
              <w:t xml:space="preserve">Nationally tracked source means a sealed source containing a quantity equal to or greater than Category 1 or 2 levels of any radioactive material listed in </w:t>
            </w:r>
            <w:r w:rsidR="002D2FF8" w:rsidRPr="002D2FF8">
              <w:rPr>
                <w:rFonts w:ascii="Arial" w:hAnsi="Arial" w:cs="Arial"/>
                <w:sz w:val="22"/>
                <w:szCs w:val="22"/>
              </w:rPr>
              <w:t>Appendix E to part 20 of this Chapter</w:t>
            </w:r>
            <w:r w:rsidRPr="008C6991">
              <w:rPr>
                <w:rFonts w:ascii="Arial" w:hAnsi="Arial" w:cs="Arial"/>
                <w:sz w:val="22"/>
                <w:szCs w:val="22"/>
              </w:rPr>
              <w:t xml:space="preserve">.  In this context a sealed source is defined as radioactive material that is sealed in a capsule or closely bonded, in a solid form and which is not exempt from regulatory control.  It does not mean material encapsulated solely for disposal, or nuclear material contained in any fuel assembly, subassembly, fuel rod, or fuel pellet.  Category 1 nationally tracked sources are those containing radioactive material at a quantity equal to or greater than the Category 1 threshold.  Category 2 nationally tracked sources are those containing radioactive material at </w:t>
            </w:r>
            <w:r w:rsidRPr="008C6991">
              <w:rPr>
                <w:rFonts w:ascii="Arial" w:hAnsi="Arial" w:cs="Arial"/>
                <w:sz w:val="22"/>
                <w:szCs w:val="22"/>
              </w:rPr>
              <w:lastRenderedPageBreak/>
              <w:t>a quantity equal to or greater than the Category 2 threshold but less than the Category 1 threshold.</w:t>
            </w:r>
          </w:p>
        </w:tc>
        <w:tc>
          <w:tcPr>
            <w:tcW w:w="144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p>
        </w:tc>
        <w:tc>
          <w:tcPr>
            <w:tcW w:w="1440" w:type="dxa"/>
          </w:tcPr>
          <w:p w:rsidR="004E0F8E" w:rsidRPr="008C6991" w:rsidRDefault="004E0F8E" w:rsidP="008C6991">
            <w:pPr>
              <w:widowControl/>
              <w:rPr>
                <w:rFonts w:ascii="Arial" w:hAnsi="Arial" w:cs="Arial"/>
                <w:sz w:val="22"/>
                <w:szCs w:val="22"/>
              </w:rPr>
            </w:pPr>
          </w:p>
          <w:p w:rsidR="0091721B" w:rsidRPr="008C6991" w:rsidRDefault="0091721B" w:rsidP="008C6991">
            <w:pPr>
              <w:widowControl/>
              <w:rPr>
                <w:rFonts w:ascii="Arial" w:hAnsi="Arial" w:cs="Arial"/>
                <w:sz w:val="22"/>
                <w:szCs w:val="22"/>
              </w:rPr>
            </w:pPr>
          </w:p>
        </w:tc>
        <w:tc>
          <w:tcPr>
            <w:tcW w:w="315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p>
        </w:tc>
      </w:tr>
      <w:tr w:rsidR="004E0F8E" w:rsidRPr="008C6991" w:rsidTr="008C6991">
        <w:tblPrEx>
          <w:tblCellMar>
            <w:top w:w="0" w:type="dxa"/>
            <w:bottom w:w="0" w:type="dxa"/>
          </w:tblCellMar>
        </w:tblPrEx>
        <w:trPr>
          <w:trHeight w:val="20"/>
        </w:trPr>
        <w:tc>
          <w:tcPr>
            <w:tcW w:w="1260" w:type="dxa"/>
          </w:tcPr>
          <w:p w:rsidR="004E0F8E" w:rsidRPr="008C6991" w:rsidRDefault="004E0F8E" w:rsidP="008C6991">
            <w:pPr>
              <w:rPr>
                <w:rFonts w:ascii="Arial" w:hAnsi="Arial" w:cs="Arial"/>
                <w:sz w:val="22"/>
                <w:szCs w:val="22"/>
              </w:rPr>
            </w:pPr>
          </w:p>
          <w:p w:rsidR="004E0F8E" w:rsidRPr="008C6991" w:rsidRDefault="004E0F8E" w:rsidP="008C6991">
            <w:pPr>
              <w:widowControl/>
              <w:jc w:val="center"/>
              <w:rPr>
                <w:rFonts w:ascii="Arial" w:hAnsi="Arial" w:cs="Arial"/>
                <w:sz w:val="22"/>
                <w:szCs w:val="22"/>
              </w:rPr>
            </w:pPr>
            <w:r w:rsidRPr="008C6991">
              <w:rPr>
                <w:rFonts w:ascii="Arial" w:hAnsi="Arial" w:cs="Arial"/>
                <w:sz w:val="22"/>
                <w:szCs w:val="22"/>
              </w:rPr>
              <w:sym w:font="WP TypographicSymbols" w:char="0027"/>
            </w:r>
            <w:r w:rsidRPr="008C6991">
              <w:rPr>
                <w:rFonts w:ascii="Arial" w:hAnsi="Arial" w:cs="Arial"/>
                <w:sz w:val="22"/>
                <w:szCs w:val="22"/>
              </w:rPr>
              <w:t>32.201</w:t>
            </w:r>
          </w:p>
        </w:tc>
        <w:tc>
          <w:tcPr>
            <w:tcW w:w="153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r w:rsidRPr="008C6991">
              <w:rPr>
                <w:rFonts w:ascii="Arial" w:hAnsi="Arial" w:cs="Arial"/>
                <w:sz w:val="22"/>
                <w:szCs w:val="22"/>
              </w:rPr>
              <w:t>Serialization of nationally tracked sources</w:t>
            </w:r>
          </w:p>
        </w:tc>
        <w:tc>
          <w:tcPr>
            <w:tcW w:w="1170" w:type="dxa"/>
          </w:tcPr>
          <w:p w:rsidR="004E0F8E" w:rsidRPr="008C6991" w:rsidRDefault="004E0F8E" w:rsidP="008C6991">
            <w:pPr>
              <w:rPr>
                <w:rFonts w:ascii="Arial" w:hAnsi="Arial" w:cs="Arial"/>
                <w:sz w:val="22"/>
                <w:szCs w:val="22"/>
              </w:rPr>
            </w:pPr>
          </w:p>
          <w:p w:rsidR="004E0F8E" w:rsidRPr="008C6991" w:rsidRDefault="004E0F8E" w:rsidP="008C6991">
            <w:pPr>
              <w:widowControl/>
              <w:jc w:val="center"/>
              <w:rPr>
                <w:rFonts w:ascii="Arial" w:hAnsi="Arial" w:cs="Arial"/>
                <w:sz w:val="22"/>
                <w:szCs w:val="22"/>
              </w:rPr>
            </w:pPr>
          </w:p>
        </w:tc>
        <w:tc>
          <w:tcPr>
            <w:tcW w:w="1710" w:type="dxa"/>
          </w:tcPr>
          <w:p w:rsidR="004E0F8E" w:rsidRPr="008C6991" w:rsidRDefault="004E0F8E" w:rsidP="008C6991">
            <w:pPr>
              <w:rPr>
                <w:rFonts w:ascii="Arial" w:hAnsi="Arial" w:cs="Arial"/>
                <w:sz w:val="22"/>
                <w:szCs w:val="22"/>
              </w:rPr>
            </w:pPr>
          </w:p>
          <w:p w:rsidR="004E0F8E" w:rsidRPr="008C6991" w:rsidRDefault="004E0F8E" w:rsidP="008C6991">
            <w:pPr>
              <w:widowControl/>
              <w:jc w:val="center"/>
              <w:rPr>
                <w:rFonts w:ascii="Arial" w:hAnsi="Arial" w:cs="Arial"/>
                <w:sz w:val="22"/>
                <w:szCs w:val="22"/>
              </w:rPr>
            </w:pPr>
            <w:r w:rsidRPr="008C6991">
              <w:rPr>
                <w:rFonts w:ascii="Arial" w:hAnsi="Arial" w:cs="Arial"/>
                <w:sz w:val="22"/>
                <w:szCs w:val="22"/>
              </w:rPr>
              <w:t>B</w:t>
            </w:r>
          </w:p>
        </w:tc>
        <w:tc>
          <w:tcPr>
            <w:tcW w:w="351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b/>
                <w:bCs/>
                <w:sz w:val="22"/>
                <w:szCs w:val="22"/>
              </w:rPr>
            </w:pPr>
            <w:r w:rsidRPr="008C6991">
              <w:rPr>
                <w:rFonts w:ascii="Arial" w:hAnsi="Arial" w:cs="Arial"/>
                <w:b/>
                <w:bCs/>
                <w:sz w:val="22"/>
                <w:szCs w:val="22"/>
              </w:rPr>
              <w:t>Added Section:</w:t>
            </w:r>
          </w:p>
          <w:p w:rsidR="004E0F8E" w:rsidRPr="008C6991" w:rsidRDefault="004E0F8E" w:rsidP="008C6991">
            <w:pPr>
              <w:widowControl/>
              <w:rPr>
                <w:rFonts w:ascii="Arial" w:hAnsi="Arial" w:cs="Arial"/>
                <w:sz w:val="22"/>
                <w:szCs w:val="22"/>
              </w:rPr>
            </w:pPr>
            <w:r w:rsidRPr="008C6991">
              <w:rPr>
                <w:rFonts w:ascii="Arial" w:hAnsi="Arial" w:cs="Arial"/>
                <w:sz w:val="22"/>
                <w:szCs w:val="22"/>
              </w:rPr>
              <w:t>Each licensee who manufactures a nationally tracked source after February 6, 2007 shall assign a unique serial number to each nationally tracked source.  Serial numbers must be composed only of alpha-numeric characters.</w:t>
            </w:r>
          </w:p>
        </w:tc>
        <w:tc>
          <w:tcPr>
            <w:tcW w:w="144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p>
        </w:tc>
        <w:tc>
          <w:tcPr>
            <w:tcW w:w="1440" w:type="dxa"/>
          </w:tcPr>
          <w:p w:rsidR="004E0F8E" w:rsidRPr="008C6991" w:rsidRDefault="004E0F8E" w:rsidP="008C6991">
            <w:pPr>
              <w:widowControl/>
              <w:rPr>
                <w:rFonts w:ascii="Arial" w:hAnsi="Arial" w:cs="Arial"/>
                <w:sz w:val="22"/>
                <w:szCs w:val="22"/>
              </w:rPr>
            </w:pPr>
          </w:p>
          <w:p w:rsidR="00B53F1A" w:rsidRPr="008C6991" w:rsidRDefault="00B53F1A" w:rsidP="008C6991">
            <w:pPr>
              <w:widowControl/>
              <w:rPr>
                <w:rFonts w:ascii="Arial" w:hAnsi="Arial" w:cs="Arial"/>
                <w:sz w:val="22"/>
                <w:szCs w:val="22"/>
              </w:rPr>
            </w:pPr>
          </w:p>
        </w:tc>
        <w:tc>
          <w:tcPr>
            <w:tcW w:w="3150" w:type="dxa"/>
          </w:tcPr>
          <w:p w:rsidR="004E0F8E" w:rsidRPr="008C6991" w:rsidRDefault="004E0F8E" w:rsidP="008C6991">
            <w:pPr>
              <w:rPr>
                <w:rFonts w:ascii="Arial" w:hAnsi="Arial" w:cs="Arial"/>
                <w:sz w:val="22"/>
                <w:szCs w:val="22"/>
              </w:rPr>
            </w:pPr>
          </w:p>
          <w:p w:rsidR="004E0F8E" w:rsidRPr="008C6991" w:rsidRDefault="004E0F8E" w:rsidP="008C6991">
            <w:pPr>
              <w:widowControl/>
              <w:rPr>
                <w:rFonts w:ascii="Arial" w:hAnsi="Arial" w:cs="Arial"/>
                <w:sz w:val="22"/>
                <w:szCs w:val="22"/>
              </w:rPr>
            </w:pPr>
          </w:p>
        </w:tc>
      </w:tr>
    </w:tbl>
    <w:p w:rsidR="004E0F8E" w:rsidRDefault="004E0F8E">
      <w:pPr>
        <w:widowControl/>
        <w:jc w:val="center"/>
        <w:rPr>
          <w:rFonts w:ascii="Arial" w:hAnsi="Arial" w:cs="Arial"/>
          <w:sz w:val="22"/>
          <w:szCs w:val="22"/>
        </w:rPr>
      </w:pPr>
    </w:p>
    <w:p w:rsidR="004E0F8E" w:rsidRDefault="004E0F8E">
      <w:pPr>
        <w:widowControl/>
        <w:jc w:val="center"/>
        <w:rPr>
          <w:rFonts w:ascii="Arial" w:hAnsi="Arial" w:cs="Arial"/>
          <w:sz w:val="22"/>
          <w:szCs w:val="22"/>
        </w:rPr>
      </w:pPr>
    </w:p>
    <w:p w:rsidR="004E0F8E" w:rsidRDefault="004E0F8E">
      <w:pPr>
        <w:widowControl/>
        <w:jc w:val="center"/>
        <w:rPr>
          <w:rFonts w:ascii="Arial" w:hAnsi="Arial" w:cs="Arial"/>
          <w:sz w:val="22"/>
          <w:szCs w:val="22"/>
        </w:rPr>
      </w:pPr>
    </w:p>
    <w:p w:rsidR="004E0F8E" w:rsidRDefault="004E0F8E">
      <w:pPr>
        <w:widowControl/>
        <w:jc w:val="center"/>
        <w:rPr>
          <w:rFonts w:ascii="Arial" w:hAnsi="Arial" w:cs="Arial"/>
          <w:b/>
          <w:bCs/>
          <w:sz w:val="26"/>
          <w:szCs w:val="26"/>
        </w:rPr>
      </w:pPr>
      <w:r>
        <w:rPr>
          <w:rFonts w:ascii="Arial" w:hAnsi="Arial" w:cs="Arial"/>
          <w:b/>
          <w:bCs/>
          <w:sz w:val="26"/>
          <w:szCs w:val="26"/>
        </w:rPr>
        <w:t>Appendix E Part 20-Nationally Tracked Source Thresholds</w:t>
      </w:r>
    </w:p>
    <w:p w:rsidR="002C4497" w:rsidRDefault="002C4497">
      <w:pPr>
        <w:widowControl/>
        <w:jc w:val="center"/>
        <w:rPr>
          <w:rFonts w:ascii="Arial" w:hAnsi="Arial" w:cs="Arial"/>
          <w:b/>
          <w:bCs/>
          <w:sz w:val="26"/>
          <w:szCs w:val="26"/>
        </w:rPr>
      </w:pPr>
    </w:p>
    <w:p w:rsidR="002C4497" w:rsidRPr="0018526D" w:rsidRDefault="002C4497" w:rsidP="002C44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18526D">
        <w:rPr>
          <w:rFonts w:ascii="Arial" w:hAnsi="Arial" w:cs="Arial"/>
          <w:sz w:val="22"/>
          <w:szCs w:val="22"/>
        </w:rPr>
        <w:t>The Terabecquerel (TBq) values are the regulatory standard. The curie (Ci) values specified are obtained by converting from the TBq value. The curie values are provided for practical usefulness only and are rounded after conversion.</w:t>
      </w:r>
    </w:p>
    <w:p w:rsidR="004E0F8E" w:rsidRDefault="004E0F8E">
      <w:pPr>
        <w:widowControl/>
        <w:jc w:val="center"/>
        <w:rPr>
          <w:rFonts w:ascii="Arial" w:hAnsi="Arial" w:cs="Arial"/>
          <w:sz w:val="22"/>
          <w:szCs w:val="22"/>
        </w:rPr>
      </w:pPr>
    </w:p>
    <w:p w:rsidR="004E0F8E" w:rsidRDefault="004E0F8E">
      <w:pPr>
        <w:widowControl/>
        <w:jc w:val="center"/>
        <w:rPr>
          <w:rFonts w:ascii="Arial" w:hAnsi="Arial" w:cs="Arial"/>
          <w:sz w:val="22"/>
          <w:szCs w:val="22"/>
        </w:rPr>
      </w:pPr>
    </w:p>
    <w:tbl>
      <w:tblPr>
        <w:tblW w:w="0" w:type="auto"/>
        <w:jc w:val="center"/>
        <w:tblLayout w:type="fixed"/>
        <w:tblCellMar>
          <w:left w:w="120" w:type="dxa"/>
          <w:right w:w="120" w:type="dxa"/>
        </w:tblCellMar>
        <w:tblLook w:val="0000"/>
      </w:tblPr>
      <w:tblGrid>
        <w:gridCol w:w="2592"/>
        <w:gridCol w:w="2592"/>
        <w:gridCol w:w="2592"/>
        <w:gridCol w:w="2592"/>
        <w:gridCol w:w="2592"/>
      </w:tblGrid>
      <w:tr w:rsidR="004E0F8E">
        <w:tblPrEx>
          <w:tblCellMar>
            <w:top w:w="0" w:type="dxa"/>
            <w:bottom w:w="0" w:type="dxa"/>
          </w:tblCellMar>
        </w:tblPrEx>
        <w:trPr>
          <w:jc w:val="center"/>
        </w:trPr>
        <w:tc>
          <w:tcPr>
            <w:tcW w:w="2592" w:type="dxa"/>
            <w:tcBorders>
              <w:top w:val="single" w:sz="7" w:space="0" w:color="000000"/>
              <w:left w:val="single" w:sz="7" w:space="0" w:color="000000"/>
              <w:bottom w:val="double" w:sz="7" w:space="0" w:color="000000"/>
              <w:right w:val="single" w:sz="7" w:space="0" w:color="000000"/>
            </w:tcBorders>
          </w:tcPr>
          <w:p w:rsidR="004E0F8E" w:rsidRDefault="004E0F8E">
            <w:pPr>
              <w:spacing w:line="120" w:lineRule="exact"/>
              <w:rPr>
                <w:rFonts w:ascii="Arial" w:hAnsi="Arial" w:cs="Arial"/>
                <w:sz w:val="22"/>
                <w:szCs w:val="22"/>
              </w:rPr>
            </w:pPr>
          </w:p>
          <w:p w:rsidR="004E0F8E" w:rsidRDefault="004E0F8E">
            <w:pPr>
              <w:widowControl/>
              <w:spacing w:after="58"/>
              <w:rPr>
                <w:rFonts w:ascii="Arial" w:hAnsi="Arial" w:cs="Arial"/>
                <w:b/>
                <w:bCs/>
                <w:sz w:val="22"/>
                <w:szCs w:val="22"/>
              </w:rPr>
            </w:pPr>
            <w:r>
              <w:rPr>
                <w:rFonts w:ascii="Arial" w:hAnsi="Arial" w:cs="Arial"/>
                <w:b/>
                <w:bCs/>
                <w:sz w:val="22"/>
                <w:szCs w:val="22"/>
              </w:rPr>
              <w:t>Radioactive Material</w:t>
            </w:r>
          </w:p>
        </w:tc>
        <w:tc>
          <w:tcPr>
            <w:tcW w:w="2592" w:type="dxa"/>
            <w:tcBorders>
              <w:top w:val="single" w:sz="7" w:space="0" w:color="000000"/>
              <w:left w:val="single" w:sz="7" w:space="0" w:color="000000"/>
              <w:bottom w:val="double" w:sz="7" w:space="0" w:color="000000"/>
              <w:right w:val="single" w:sz="7" w:space="0" w:color="000000"/>
            </w:tcBorders>
          </w:tcPr>
          <w:p w:rsidR="004E0F8E" w:rsidRDefault="004E0F8E">
            <w:pPr>
              <w:spacing w:line="120" w:lineRule="exact"/>
              <w:rPr>
                <w:rFonts w:ascii="Arial" w:hAnsi="Arial" w:cs="Arial"/>
                <w:b/>
                <w:bCs/>
                <w:sz w:val="22"/>
                <w:szCs w:val="22"/>
              </w:rPr>
            </w:pPr>
          </w:p>
          <w:p w:rsidR="004E0F8E" w:rsidRDefault="004E0F8E">
            <w:pPr>
              <w:widowControl/>
              <w:spacing w:after="58"/>
              <w:rPr>
                <w:rFonts w:ascii="Arial" w:hAnsi="Arial" w:cs="Arial"/>
                <w:b/>
                <w:bCs/>
                <w:sz w:val="22"/>
                <w:szCs w:val="22"/>
              </w:rPr>
            </w:pPr>
            <w:r>
              <w:rPr>
                <w:rFonts w:ascii="Arial" w:hAnsi="Arial" w:cs="Arial"/>
                <w:b/>
                <w:bCs/>
                <w:sz w:val="22"/>
                <w:szCs w:val="22"/>
              </w:rPr>
              <w:t>Category 1 (TBq)</w:t>
            </w:r>
          </w:p>
        </w:tc>
        <w:tc>
          <w:tcPr>
            <w:tcW w:w="2592" w:type="dxa"/>
            <w:tcBorders>
              <w:top w:val="single" w:sz="7" w:space="0" w:color="000000"/>
              <w:left w:val="single" w:sz="7" w:space="0" w:color="000000"/>
              <w:bottom w:val="double" w:sz="7" w:space="0" w:color="000000"/>
              <w:right w:val="single" w:sz="7" w:space="0" w:color="000000"/>
            </w:tcBorders>
          </w:tcPr>
          <w:p w:rsidR="004E0F8E" w:rsidRDefault="004E0F8E">
            <w:pPr>
              <w:spacing w:line="120" w:lineRule="exact"/>
              <w:rPr>
                <w:rFonts w:ascii="Arial" w:hAnsi="Arial" w:cs="Arial"/>
                <w:b/>
                <w:bCs/>
                <w:sz w:val="22"/>
                <w:szCs w:val="22"/>
              </w:rPr>
            </w:pPr>
          </w:p>
          <w:p w:rsidR="004E0F8E" w:rsidRDefault="004E0F8E">
            <w:pPr>
              <w:widowControl/>
              <w:spacing w:after="58"/>
              <w:rPr>
                <w:rFonts w:ascii="Arial" w:hAnsi="Arial" w:cs="Arial"/>
                <w:b/>
                <w:bCs/>
                <w:sz w:val="22"/>
                <w:szCs w:val="22"/>
              </w:rPr>
            </w:pPr>
            <w:r>
              <w:rPr>
                <w:rFonts w:ascii="Arial" w:hAnsi="Arial" w:cs="Arial"/>
                <w:b/>
                <w:bCs/>
                <w:sz w:val="22"/>
                <w:szCs w:val="22"/>
              </w:rPr>
              <w:t>Category 1 (Ci)</w:t>
            </w:r>
          </w:p>
        </w:tc>
        <w:tc>
          <w:tcPr>
            <w:tcW w:w="2592" w:type="dxa"/>
            <w:tcBorders>
              <w:top w:val="single" w:sz="7" w:space="0" w:color="000000"/>
              <w:left w:val="single" w:sz="7" w:space="0" w:color="000000"/>
              <w:bottom w:val="double" w:sz="7" w:space="0" w:color="000000"/>
              <w:right w:val="single" w:sz="7" w:space="0" w:color="000000"/>
            </w:tcBorders>
          </w:tcPr>
          <w:p w:rsidR="004E0F8E" w:rsidRDefault="004E0F8E">
            <w:pPr>
              <w:spacing w:line="120" w:lineRule="exact"/>
              <w:rPr>
                <w:rFonts w:ascii="Arial" w:hAnsi="Arial" w:cs="Arial"/>
                <w:b/>
                <w:bCs/>
                <w:sz w:val="22"/>
                <w:szCs w:val="22"/>
              </w:rPr>
            </w:pPr>
          </w:p>
          <w:p w:rsidR="004E0F8E" w:rsidRDefault="004E0F8E">
            <w:pPr>
              <w:widowControl/>
              <w:spacing w:after="58"/>
              <w:rPr>
                <w:rFonts w:ascii="Arial" w:hAnsi="Arial" w:cs="Arial"/>
                <w:b/>
                <w:bCs/>
                <w:sz w:val="22"/>
                <w:szCs w:val="22"/>
              </w:rPr>
            </w:pPr>
            <w:r>
              <w:rPr>
                <w:rFonts w:ascii="Arial" w:hAnsi="Arial" w:cs="Arial"/>
                <w:b/>
                <w:bCs/>
                <w:sz w:val="22"/>
                <w:szCs w:val="22"/>
              </w:rPr>
              <w:t>Category 2 (TBq)</w:t>
            </w:r>
          </w:p>
        </w:tc>
        <w:tc>
          <w:tcPr>
            <w:tcW w:w="2592" w:type="dxa"/>
            <w:tcBorders>
              <w:top w:val="single" w:sz="7" w:space="0" w:color="000000"/>
              <w:left w:val="single" w:sz="7" w:space="0" w:color="000000"/>
              <w:bottom w:val="double" w:sz="7" w:space="0" w:color="000000"/>
              <w:right w:val="single" w:sz="7" w:space="0" w:color="000000"/>
            </w:tcBorders>
          </w:tcPr>
          <w:p w:rsidR="004E0F8E" w:rsidRDefault="004E0F8E">
            <w:pPr>
              <w:spacing w:line="120" w:lineRule="exact"/>
              <w:rPr>
                <w:rFonts w:ascii="Arial" w:hAnsi="Arial" w:cs="Arial"/>
                <w:b/>
                <w:bCs/>
                <w:sz w:val="22"/>
                <w:szCs w:val="22"/>
              </w:rPr>
            </w:pPr>
          </w:p>
          <w:p w:rsidR="004E0F8E" w:rsidRDefault="004E0F8E">
            <w:pPr>
              <w:widowControl/>
              <w:spacing w:after="58"/>
              <w:rPr>
                <w:rFonts w:ascii="Arial" w:hAnsi="Arial" w:cs="Arial"/>
                <w:b/>
                <w:bCs/>
                <w:sz w:val="22"/>
                <w:szCs w:val="22"/>
              </w:rPr>
            </w:pPr>
            <w:r>
              <w:rPr>
                <w:rFonts w:ascii="Arial" w:hAnsi="Arial" w:cs="Arial"/>
                <w:b/>
                <w:bCs/>
                <w:sz w:val="22"/>
                <w:szCs w:val="22"/>
              </w:rPr>
              <w:t>Category 2 (Ci)</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b/>
                <w:bCs/>
                <w:sz w:val="22"/>
                <w:szCs w:val="22"/>
              </w:rPr>
            </w:pPr>
          </w:p>
          <w:p w:rsidR="004E0F8E" w:rsidRDefault="004E0F8E" w:rsidP="008C6991">
            <w:pPr>
              <w:widowControl/>
              <w:rPr>
                <w:rFonts w:ascii="Arial" w:hAnsi="Arial" w:cs="Arial"/>
                <w:sz w:val="22"/>
                <w:szCs w:val="22"/>
              </w:rPr>
            </w:pPr>
            <w:r>
              <w:rPr>
                <w:rFonts w:ascii="Arial" w:hAnsi="Arial" w:cs="Arial"/>
                <w:sz w:val="22"/>
                <w:szCs w:val="22"/>
              </w:rPr>
              <w:t>Actinium-227</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Americium-241</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Americium-241/Be</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Californium-252</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Cobalt-60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30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810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0.3</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8.1</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Curium-244</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1400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0.5</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14</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Cesium-137</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2700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27</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Gadolinium-153</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27000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270</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Iridium-192</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80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2200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0.8</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22</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8C6991" w:rsidRDefault="004E0F8E" w:rsidP="008C6991">
            <w:pPr>
              <w:widowControl/>
              <w:rPr>
                <w:rFonts w:ascii="Arial" w:hAnsi="Arial" w:cs="Arial"/>
                <w:sz w:val="22"/>
                <w:szCs w:val="22"/>
              </w:rPr>
            </w:pPr>
            <w:r>
              <w:rPr>
                <w:rFonts w:ascii="Arial" w:hAnsi="Arial" w:cs="Arial"/>
                <w:sz w:val="22"/>
                <w:szCs w:val="22"/>
              </w:rPr>
              <w:t>Plutonium-238</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Plutonium-239/Be</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Polonium-210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60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0.6</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16</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Promethium-147</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40000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1100000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400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11000</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Radium-226</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40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1100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0.4</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11</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Selenium-75</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Strontium-90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27000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10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270</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Thorium-228</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Thorium-229</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0.2</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Thulium-170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20000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540000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200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5400</w:t>
            </w:r>
          </w:p>
        </w:tc>
      </w:tr>
      <w:tr w:rsidR="004E0F8E">
        <w:tblPrEx>
          <w:tblCellMar>
            <w:top w:w="0" w:type="dxa"/>
            <w:bottom w:w="0" w:type="dxa"/>
          </w:tblCellMar>
        </w:tblPrEx>
        <w:trPr>
          <w:jc w:val="center"/>
        </w:trPr>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Ytterbium-169</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300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8100</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3</w:t>
            </w:r>
          </w:p>
        </w:tc>
        <w:tc>
          <w:tcPr>
            <w:tcW w:w="2592" w:type="dxa"/>
            <w:tcBorders>
              <w:top w:val="single" w:sz="7" w:space="0" w:color="000000"/>
              <w:left w:val="single" w:sz="7" w:space="0" w:color="000000"/>
              <w:bottom w:val="single" w:sz="7" w:space="0" w:color="000000"/>
              <w:right w:val="single" w:sz="7" w:space="0" w:color="000000"/>
            </w:tcBorders>
          </w:tcPr>
          <w:p w:rsidR="004E0F8E" w:rsidRDefault="004E0F8E" w:rsidP="008C6991">
            <w:pPr>
              <w:rPr>
                <w:rFonts w:ascii="Arial" w:hAnsi="Arial" w:cs="Arial"/>
                <w:sz w:val="22"/>
                <w:szCs w:val="22"/>
              </w:rPr>
            </w:pPr>
          </w:p>
          <w:p w:rsidR="004E0F8E" w:rsidRDefault="004E0F8E" w:rsidP="008C6991">
            <w:pPr>
              <w:widowControl/>
              <w:rPr>
                <w:rFonts w:ascii="Arial" w:hAnsi="Arial" w:cs="Arial"/>
                <w:sz w:val="22"/>
                <w:szCs w:val="22"/>
              </w:rPr>
            </w:pPr>
            <w:r>
              <w:rPr>
                <w:rFonts w:ascii="Arial" w:hAnsi="Arial" w:cs="Arial"/>
                <w:sz w:val="22"/>
                <w:szCs w:val="22"/>
              </w:rPr>
              <w:t>81</w:t>
            </w:r>
          </w:p>
        </w:tc>
      </w:tr>
    </w:tbl>
    <w:p w:rsidR="004E0F8E" w:rsidRDefault="004E0F8E">
      <w:pPr>
        <w:widowControl/>
        <w:jc w:val="center"/>
        <w:rPr>
          <w:rFonts w:ascii="Arial" w:hAnsi="Arial" w:cs="Arial"/>
          <w:sz w:val="22"/>
          <w:szCs w:val="22"/>
        </w:rPr>
      </w:pPr>
    </w:p>
    <w:p w:rsidR="004E0F8E" w:rsidRDefault="004E0F8E">
      <w:pPr>
        <w:widowControl/>
        <w:jc w:val="center"/>
        <w:rPr>
          <w:rFonts w:ascii="Arial" w:hAnsi="Arial" w:cs="Arial"/>
          <w:sz w:val="22"/>
          <w:szCs w:val="22"/>
        </w:rPr>
      </w:pPr>
    </w:p>
    <w:sectPr w:rsidR="004E0F8E" w:rsidSect="004E0F8E">
      <w:footerReference w:type="default" r:id="rId6"/>
      <w:pgSz w:w="15840" w:h="12240" w:orient="landscape"/>
      <w:pgMar w:top="270" w:right="1440" w:bottom="720" w:left="1440" w:header="27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7BF" w:rsidRDefault="00D957BF" w:rsidP="00D957BF">
      <w:r>
        <w:separator/>
      </w:r>
    </w:p>
  </w:endnote>
  <w:endnote w:type="continuationSeparator" w:id="0">
    <w:p w:rsidR="00D957BF" w:rsidRDefault="00D957BF" w:rsidP="00D95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7BF" w:rsidRDefault="00D957BF">
    <w:pPr>
      <w:pStyle w:val="Footer"/>
      <w:jc w:val="center"/>
    </w:pPr>
    <w:fldSimple w:instr=" PAGE   \* MERGEFORMAT ">
      <w:r>
        <w:rPr>
          <w:noProof/>
        </w:rPr>
        <w:t>1</w:t>
      </w:r>
    </w:fldSimple>
  </w:p>
  <w:p w:rsidR="00D957BF" w:rsidRDefault="00D95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7BF" w:rsidRDefault="00D957BF" w:rsidP="00D957BF">
      <w:r>
        <w:separator/>
      </w:r>
    </w:p>
  </w:footnote>
  <w:footnote w:type="continuationSeparator" w:id="0">
    <w:p w:rsidR="00D957BF" w:rsidRDefault="00D957BF" w:rsidP="00D957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E0F8E"/>
    <w:rsid w:val="002C4497"/>
    <w:rsid w:val="002D2FF8"/>
    <w:rsid w:val="003B6600"/>
    <w:rsid w:val="004E0F8E"/>
    <w:rsid w:val="00595F70"/>
    <w:rsid w:val="00771EFB"/>
    <w:rsid w:val="008C6991"/>
    <w:rsid w:val="0091721B"/>
    <w:rsid w:val="00B53F1A"/>
    <w:rsid w:val="00D95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D957BF"/>
    <w:pPr>
      <w:tabs>
        <w:tab w:val="center" w:pos="4680"/>
        <w:tab w:val="right" w:pos="9360"/>
      </w:tabs>
    </w:pPr>
  </w:style>
  <w:style w:type="character" w:customStyle="1" w:styleId="HeaderChar">
    <w:name w:val="Header Char"/>
    <w:basedOn w:val="DefaultParagraphFont"/>
    <w:link w:val="Header"/>
    <w:rsid w:val="00D957BF"/>
    <w:rPr>
      <w:sz w:val="24"/>
      <w:szCs w:val="24"/>
    </w:rPr>
  </w:style>
  <w:style w:type="paragraph" w:styleId="Footer">
    <w:name w:val="footer"/>
    <w:basedOn w:val="Normal"/>
    <w:link w:val="FooterChar"/>
    <w:uiPriority w:val="99"/>
    <w:rsid w:val="00D957BF"/>
    <w:pPr>
      <w:tabs>
        <w:tab w:val="center" w:pos="4680"/>
        <w:tab w:val="right" w:pos="9360"/>
      </w:tabs>
    </w:pPr>
  </w:style>
  <w:style w:type="character" w:customStyle="1" w:styleId="FooterChar">
    <w:name w:val="Footer Char"/>
    <w:basedOn w:val="DefaultParagraphFont"/>
    <w:link w:val="Footer"/>
    <w:uiPriority w:val="99"/>
    <w:rsid w:val="00D957B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National Source Tracking System - Serialization Requirements</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Source Tracking System - Serialization Requirements</dc:title>
  <dc:subject/>
  <dc:creator>MLO1</dc:creator>
  <cp:keywords/>
  <dc:description/>
  <cp:lastModifiedBy>KNM1</cp:lastModifiedBy>
  <cp:revision>2</cp:revision>
  <dcterms:created xsi:type="dcterms:W3CDTF">2011-05-02T15:26:00Z</dcterms:created>
  <dcterms:modified xsi:type="dcterms:W3CDTF">2011-05-02T15:26:00Z</dcterms:modified>
</cp:coreProperties>
</file>