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F4" w:rsidRDefault="00CF2B77">
      <w:pPr>
        <w:widowControl/>
        <w:tabs>
          <w:tab w:val="center" w:pos="6795"/>
        </w:tabs>
        <w:rPr>
          <w:rFonts w:ascii="Arial" w:hAnsi="Arial" w:cs="Arial"/>
          <w:b/>
          <w:bCs/>
          <w:sz w:val="22"/>
          <w:szCs w:val="22"/>
        </w:rPr>
      </w:pPr>
      <w:r>
        <w:rPr>
          <w:rFonts w:ascii="Arial" w:hAnsi="Arial" w:cs="Arial"/>
          <w:b/>
          <w:bCs/>
          <w:sz w:val="22"/>
          <w:szCs w:val="22"/>
        </w:rPr>
        <w:tab/>
      </w:r>
    </w:p>
    <w:p w:rsidR="00F301F4" w:rsidRDefault="00F301F4" w:rsidP="00F301F4">
      <w:pPr>
        <w:widowControl/>
        <w:tabs>
          <w:tab w:val="center" w:pos="6795"/>
        </w:tabs>
        <w:jc w:val="center"/>
        <w:rPr>
          <w:rFonts w:ascii="Arial" w:hAnsi="Arial" w:cs="Arial"/>
          <w:b/>
          <w:bCs/>
          <w:sz w:val="22"/>
          <w:szCs w:val="22"/>
        </w:rPr>
      </w:pPr>
    </w:p>
    <w:p w:rsidR="00CF2B77" w:rsidRPr="00F301F4" w:rsidRDefault="00CF2B77" w:rsidP="00F301F4">
      <w:pPr>
        <w:widowControl/>
        <w:tabs>
          <w:tab w:val="center" w:pos="6795"/>
        </w:tabs>
        <w:jc w:val="center"/>
        <w:rPr>
          <w:rFonts w:ascii="Arial" w:hAnsi="Arial" w:cs="Arial"/>
          <w:b/>
          <w:bCs/>
          <w:sz w:val="22"/>
          <w:szCs w:val="22"/>
        </w:rPr>
      </w:pPr>
      <w:r w:rsidRPr="00F301F4">
        <w:rPr>
          <w:rFonts w:ascii="Arial" w:hAnsi="Arial" w:cs="Arial"/>
          <w:b/>
          <w:bCs/>
          <w:sz w:val="22"/>
          <w:szCs w:val="22"/>
        </w:rPr>
        <w:t xml:space="preserve">Energy Compensation Sources for Well Logging and Other Regulatory Clarifications </w:t>
      </w:r>
      <w:r w:rsidRPr="00F301F4">
        <w:rPr>
          <w:rFonts w:ascii="Arial" w:hAnsi="Arial" w:cs="Arial"/>
          <w:b/>
          <w:bCs/>
          <w:sz w:val="22"/>
          <w:szCs w:val="22"/>
        </w:rPr>
        <w:sym w:font="WP TypographicSymbols" w:char="0042"/>
      </w:r>
      <w:r w:rsidRPr="00F301F4">
        <w:rPr>
          <w:rFonts w:ascii="Arial" w:hAnsi="Arial" w:cs="Arial"/>
          <w:b/>
          <w:bCs/>
          <w:sz w:val="22"/>
          <w:szCs w:val="22"/>
        </w:rPr>
        <w:t xml:space="preserve"> Part 39  </w:t>
      </w:r>
    </w:p>
    <w:p w:rsidR="00CF2B77" w:rsidRDefault="00CF2B77">
      <w:pPr>
        <w:widowControl/>
        <w:jc w:val="center"/>
        <w:rPr>
          <w:rFonts w:ascii="Arial" w:hAnsi="Arial" w:cs="Arial"/>
          <w:b/>
          <w:sz w:val="22"/>
          <w:szCs w:val="22"/>
        </w:rPr>
      </w:pPr>
      <w:r w:rsidRPr="00F301F4">
        <w:rPr>
          <w:rFonts w:ascii="Arial" w:hAnsi="Arial" w:cs="Arial"/>
          <w:b/>
          <w:sz w:val="22"/>
          <w:szCs w:val="22"/>
        </w:rPr>
        <w:t xml:space="preserve">(65 FR 20337; April 17, 2000) </w:t>
      </w:r>
      <w:r w:rsidR="00F301F4">
        <w:rPr>
          <w:rFonts w:ascii="Arial" w:hAnsi="Arial" w:cs="Arial"/>
          <w:b/>
          <w:bCs/>
          <w:sz w:val="22"/>
          <w:szCs w:val="22"/>
        </w:rPr>
        <w:t xml:space="preserve">RATS ID </w:t>
      </w:r>
      <w:r w:rsidRPr="00F301F4">
        <w:rPr>
          <w:rFonts w:ascii="Arial" w:hAnsi="Arial" w:cs="Arial"/>
          <w:b/>
          <w:bCs/>
          <w:sz w:val="22"/>
          <w:szCs w:val="22"/>
        </w:rPr>
        <w:t>2000</w:t>
      </w:r>
      <w:r w:rsidRPr="00F301F4">
        <w:rPr>
          <w:rFonts w:ascii="Arial" w:hAnsi="Arial" w:cs="Arial"/>
          <w:b/>
          <w:bCs/>
          <w:sz w:val="22"/>
          <w:szCs w:val="22"/>
        </w:rPr>
        <w:noBreakHyphen/>
        <w:t xml:space="preserve">1   </w:t>
      </w:r>
      <w:r w:rsidRPr="00F301F4">
        <w:rPr>
          <w:rFonts w:ascii="Arial" w:hAnsi="Arial" w:cs="Arial"/>
          <w:b/>
          <w:sz w:val="22"/>
          <w:szCs w:val="22"/>
        </w:rPr>
        <w:t>Effective 5/17/00</w:t>
      </w:r>
    </w:p>
    <w:p w:rsidR="00F301F4" w:rsidRPr="00F301F4" w:rsidRDefault="00F301F4">
      <w:pPr>
        <w:widowControl/>
        <w:jc w:val="center"/>
        <w:rPr>
          <w:rFonts w:ascii="Arial" w:hAnsi="Arial" w:cs="Arial"/>
          <w:b/>
          <w:sz w:val="22"/>
          <w:szCs w:val="22"/>
        </w:rPr>
      </w:pPr>
    </w:p>
    <w:p w:rsidR="00CF2B77" w:rsidRDefault="00CF2B77">
      <w:pPr>
        <w:widowControl/>
        <w:jc w:val="center"/>
        <w:rPr>
          <w:rFonts w:ascii="Arial" w:hAnsi="Arial" w:cs="Arial"/>
          <w:sz w:val="22"/>
          <w:szCs w:val="22"/>
        </w:rPr>
      </w:pPr>
    </w:p>
    <w:tbl>
      <w:tblPr>
        <w:tblW w:w="14310" w:type="dxa"/>
        <w:tblInd w:w="-6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3330"/>
        <w:gridCol w:w="1350"/>
        <w:gridCol w:w="1440"/>
        <w:gridCol w:w="2700"/>
      </w:tblGrid>
      <w:tr w:rsidR="00CF2B77" w:rsidTr="00F301F4">
        <w:trPr>
          <w:tblHeader/>
        </w:trPr>
        <w:tc>
          <w:tcPr>
            <w:tcW w:w="1170" w:type="dxa"/>
            <w:tcBorders>
              <w:top w:val="double" w:sz="6" w:space="0" w:color="000000"/>
              <w:bottom w:val="double" w:sz="6" w:space="0" w:color="000000"/>
            </w:tcBorders>
          </w:tcPr>
          <w:p w:rsidR="00CF2B77" w:rsidRPr="00F301F4" w:rsidRDefault="00CF2B77" w:rsidP="00F301F4">
            <w:pPr>
              <w:jc w:val="center"/>
              <w:rPr>
                <w:rFonts w:ascii="Arial" w:hAnsi="Arial" w:cs="Arial"/>
                <w:sz w:val="22"/>
                <w:szCs w:val="22"/>
              </w:rPr>
            </w:pP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Change to NRC</w:t>
            </w: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Section</w:t>
            </w:r>
          </w:p>
        </w:tc>
        <w:tc>
          <w:tcPr>
            <w:tcW w:w="1530" w:type="dxa"/>
            <w:tcBorders>
              <w:top w:val="double" w:sz="6" w:space="0" w:color="000000"/>
              <w:bottom w:val="double" w:sz="6" w:space="0" w:color="000000"/>
            </w:tcBorders>
          </w:tcPr>
          <w:p w:rsidR="00CF2B77" w:rsidRPr="00F301F4" w:rsidRDefault="00CF2B77" w:rsidP="00F301F4">
            <w:pPr>
              <w:jc w:val="center"/>
              <w:rPr>
                <w:rFonts w:ascii="Arial" w:hAnsi="Arial" w:cs="Arial"/>
                <w:b/>
                <w:bCs/>
                <w:sz w:val="22"/>
                <w:szCs w:val="22"/>
              </w:rPr>
            </w:pPr>
          </w:p>
          <w:p w:rsidR="00CF2B77" w:rsidRPr="00F301F4" w:rsidRDefault="00CF2B77" w:rsidP="00F301F4">
            <w:pPr>
              <w:widowControl/>
              <w:tabs>
                <w:tab w:val="center" w:pos="825"/>
              </w:tabs>
              <w:jc w:val="center"/>
              <w:rPr>
                <w:rFonts w:ascii="Arial" w:hAnsi="Arial" w:cs="Arial"/>
                <w:b/>
                <w:bCs/>
                <w:sz w:val="22"/>
                <w:szCs w:val="22"/>
              </w:rPr>
            </w:pPr>
            <w:r w:rsidRPr="00F301F4">
              <w:rPr>
                <w:rFonts w:ascii="Arial" w:hAnsi="Arial" w:cs="Arial"/>
                <w:b/>
                <w:bCs/>
                <w:sz w:val="22"/>
                <w:szCs w:val="22"/>
              </w:rPr>
              <w:t>Title</w:t>
            </w:r>
          </w:p>
        </w:tc>
        <w:tc>
          <w:tcPr>
            <w:tcW w:w="1080" w:type="dxa"/>
            <w:tcBorders>
              <w:top w:val="double" w:sz="6" w:space="0" w:color="000000"/>
              <w:bottom w:val="double" w:sz="6" w:space="0" w:color="000000"/>
            </w:tcBorders>
          </w:tcPr>
          <w:p w:rsidR="00CF2B77" w:rsidRPr="00F301F4" w:rsidRDefault="00CF2B77" w:rsidP="00F301F4">
            <w:pPr>
              <w:jc w:val="center"/>
              <w:rPr>
                <w:rFonts w:ascii="Arial" w:hAnsi="Arial" w:cs="Arial"/>
                <w:b/>
                <w:bCs/>
                <w:sz w:val="22"/>
                <w:szCs w:val="22"/>
              </w:rPr>
            </w:pPr>
          </w:p>
          <w:p w:rsidR="00CF2B77" w:rsidRPr="00F301F4" w:rsidRDefault="00CF2B77" w:rsidP="00F301F4">
            <w:pPr>
              <w:widowControl/>
              <w:tabs>
                <w:tab w:val="center" w:pos="375"/>
              </w:tabs>
              <w:jc w:val="center"/>
              <w:rPr>
                <w:rFonts w:ascii="Arial" w:hAnsi="Arial" w:cs="Arial"/>
                <w:b/>
                <w:bCs/>
                <w:sz w:val="22"/>
                <w:szCs w:val="22"/>
              </w:rPr>
            </w:pPr>
            <w:r w:rsidRPr="00F301F4">
              <w:rPr>
                <w:rFonts w:ascii="Arial" w:hAnsi="Arial" w:cs="Arial"/>
                <w:b/>
                <w:bCs/>
                <w:sz w:val="22"/>
                <w:szCs w:val="22"/>
              </w:rPr>
              <w:t xml:space="preserve">State </w:t>
            </w: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Section</w:t>
            </w:r>
          </w:p>
        </w:tc>
        <w:tc>
          <w:tcPr>
            <w:tcW w:w="1710" w:type="dxa"/>
            <w:tcBorders>
              <w:top w:val="double" w:sz="6" w:space="0" w:color="000000"/>
              <w:bottom w:val="double" w:sz="6" w:space="0" w:color="000000"/>
            </w:tcBorders>
          </w:tcPr>
          <w:p w:rsidR="00CF2B77" w:rsidRPr="00F301F4" w:rsidRDefault="00CF2B77" w:rsidP="00F301F4">
            <w:pPr>
              <w:jc w:val="center"/>
              <w:rPr>
                <w:rFonts w:ascii="Arial" w:hAnsi="Arial" w:cs="Arial"/>
                <w:b/>
                <w:bCs/>
                <w:sz w:val="22"/>
                <w:szCs w:val="22"/>
              </w:rPr>
            </w:pP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 xml:space="preserve">Compatibility </w:t>
            </w: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Category</w:t>
            </w:r>
          </w:p>
        </w:tc>
        <w:tc>
          <w:tcPr>
            <w:tcW w:w="3330" w:type="dxa"/>
            <w:tcBorders>
              <w:top w:val="double" w:sz="6" w:space="0" w:color="000000"/>
              <w:bottom w:val="double" w:sz="6" w:space="0" w:color="000000"/>
            </w:tcBorders>
          </w:tcPr>
          <w:p w:rsidR="00CF2B77" w:rsidRPr="00F301F4" w:rsidRDefault="00CF2B77" w:rsidP="00F301F4">
            <w:pPr>
              <w:jc w:val="center"/>
              <w:rPr>
                <w:rFonts w:ascii="Arial" w:hAnsi="Arial" w:cs="Arial"/>
                <w:b/>
                <w:bCs/>
                <w:sz w:val="22"/>
                <w:szCs w:val="22"/>
              </w:rPr>
            </w:pPr>
          </w:p>
          <w:p w:rsidR="00CF2B77" w:rsidRPr="00F301F4" w:rsidRDefault="00CF2B77" w:rsidP="00F301F4">
            <w:pPr>
              <w:widowControl/>
              <w:tabs>
                <w:tab w:val="center" w:pos="1725"/>
              </w:tabs>
              <w:jc w:val="center"/>
              <w:rPr>
                <w:rFonts w:ascii="Arial" w:hAnsi="Arial" w:cs="Arial"/>
                <w:b/>
                <w:bCs/>
                <w:sz w:val="22"/>
                <w:szCs w:val="22"/>
              </w:rPr>
            </w:pPr>
            <w:r w:rsidRPr="00F301F4">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CF2B77" w:rsidRPr="00F301F4" w:rsidRDefault="00CF2B77" w:rsidP="00F301F4">
            <w:pPr>
              <w:jc w:val="center"/>
              <w:rPr>
                <w:rFonts w:ascii="Arial" w:hAnsi="Arial" w:cs="Arial"/>
                <w:b/>
                <w:bCs/>
                <w:sz w:val="22"/>
                <w:szCs w:val="22"/>
              </w:rPr>
            </w:pP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Difference</w:t>
            </w: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Yes/No</w:t>
            </w:r>
          </w:p>
        </w:tc>
        <w:tc>
          <w:tcPr>
            <w:tcW w:w="1440" w:type="dxa"/>
            <w:tcBorders>
              <w:top w:val="double" w:sz="6" w:space="0" w:color="000000"/>
              <w:bottom w:val="double" w:sz="6" w:space="0" w:color="000000"/>
            </w:tcBorders>
          </w:tcPr>
          <w:p w:rsidR="00CF2B77" w:rsidRPr="00F301F4" w:rsidRDefault="00CF2B77" w:rsidP="00F301F4">
            <w:pPr>
              <w:jc w:val="center"/>
              <w:rPr>
                <w:rFonts w:ascii="Arial" w:hAnsi="Arial" w:cs="Arial"/>
                <w:b/>
                <w:bCs/>
                <w:sz w:val="22"/>
                <w:szCs w:val="22"/>
              </w:rPr>
            </w:pP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Significant</w:t>
            </w: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Yes/No</w:t>
            </w:r>
          </w:p>
        </w:tc>
        <w:tc>
          <w:tcPr>
            <w:tcW w:w="2700" w:type="dxa"/>
            <w:tcBorders>
              <w:top w:val="double" w:sz="6" w:space="0" w:color="000000"/>
              <w:bottom w:val="double" w:sz="6" w:space="0" w:color="000000"/>
            </w:tcBorders>
          </w:tcPr>
          <w:p w:rsidR="00CF2B77" w:rsidRPr="00F301F4" w:rsidRDefault="00CF2B77" w:rsidP="00F301F4">
            <w:pPr>
              <w:jc w:val="center"/>
              <w:rPr>
                <w:rFonts w:ascii="Arial" w:hAnsi="Arial" w:cs="Arial"/>
                <w:b/>
                <w:bCs/>
                <w:sz w:val="22"/>
                <w:szCs w:val="22"/>
              </w:rPr>
            </w:pPr>
          </w:p>
          <w:p w:rsidR="00CF2B77" w:rsidRPr="00F301F4" w:rsidRDefault="00CF2B77" w:rsidP="00F301F4">
            <w:pPr>
              <w:widowControl/>
              <w:jc w:val="center"/>
              <w:rPr>
                <w:rFonts w:ascii="Arial" w:hAnsi="Arial" w:cs="Arial"/>
                <w:b/>
                <w:bCs/>
                <w:sz w:val="22"/>
                <w:szCs w:val="22"/>
              </w:rPr>
            </w:pPr>
            <w:r w:rsidRPr="00F301F4">
              <w:rPr>
                <w:rFonts w:ascii="Arial" w:hAnsi="Arial" w:cs="Arial"/>
                <w:b/>
                <w:bCs/>
                <w:sz w:val="22"/>
                <w:szCs w:val="22"/>
              </w:rPr>
              <w:t>If Difference, Why or Why Not Was a Comment Generated</w:t>
            </w:r>
          </w:p>
        </w:tc>
      </w:tr>
      <w:tr w:rsidR="00CF2B77" w:rsidTr="00F301F4">
        <w:tc>
          <w:tcPr>
            <w:tcW w:w="1170" w:type="dxa"/>
            <w:tcBorders>
              <w:top w:val="double" w:sz="6" w:space="0" w:color="000000"/>
            </w:tcBorders>
          </w:tcPr>
          <w:p w:rsidR="00CF2B77" w:rsidRPr="00F301F4" w:rsidRDefault="00CF2B77" w:rsidP="00F301F4">
            <w:pPr>
              <w:rPr>
                <w:rFonts w:ascii="Arial" w:hAnsi="Arial" w:cs="Arial"/>
                <w:b/>
                <w:bCs/>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39.2</w:t>
            </w:r>
          </w:p>
        </w:tc>
        <w:tc>
          <w:tcPr>
            <w:tcW w:w="1530" w:type="dxa"/>
            <w:tcBorders>
              <w:top w:val="double" w:sz="6" w:space="0" w:color="000000"/>
            </w:tcBorders>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Definitions</w:t>
            </w:r>
          </w:p>
        </w:tc>
        <w:tc>
          <w:tcPr>
            <w:tcW w:w="1080" w:type="dxa"/>
            <w:tcBorders>
              <w:top w:val="double" w:sz="6" w:space="0" w:color="000000"/>
            </w:tcBorders>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Borders>
              <w:top w:val="double" w:sz="6" w:space="0" w:color="000000"/>
            </w:tcBorders>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B</w:t>
            </w:r>
          </w:p>
        </w:tc>
        <w:tc>
          <w:tcPr>
            <w:tcW w:w="3330" w:type="dxa"/>
            <w:tcBorders>
              <w:top w:val="double" w:sz="6" w:space="0" w:color="000000"/>
            </w:tcBorders>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Added Definition:</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Energy compensation source (ECS) means a small sealed source, with an activity not exceeding 3.7 </w:t>
            </w:r>
            <w:proofErr w:type="spellStart"/>
            <w:r w:rsidRPr="00F301F4">
              <w:rPr>
                <w:rFonts w:ascii="Arial" w:hAnsi="Arial" w:cs="Arial"/>
                <w:sz w:val="22"/>
                <w:szCs w:val="22"/>
              </w:rPr>
              <w:t>MBq</w:t>
            </w:r>
            <w:proofErr w:type="spellEnd"/>
            <w:r w:rsidRPr="00F301F4">
              <w:rPr>
                <w:rFonts w:ascii="Arial" w:hAnsi="Arial" w:cs="Arial"/>
                <w:sz w:val="22"/>
                <w:szCs w:val="22"/>
              </w:rPr>
              <w:t xml:space="preserve"> [100 </w:t>
            </w:r>
            <w:proofErr w:type="spellStart"/>
            <w:r w:rsidRPr="00F301F4">
              <w:rPr>
                <w:rFonts w:ascii="Arial" w:hAnsi="Arial" w:cs="Arial"/>
                <w:sz w:val="22"/>
                <w:szCs w:val="22"/>
              </w:rPr>
              <w:t>microcuri</w:t>
            </w:r>
            <w:r w:rsidR="00F301F4">
              <w:rPr>
                <w:rFonts w:ascii="Arial" w:hAnsi="Arial" w:cs="Arial"/>
                <w:sz w:val="22"/>
                <w:szCs w:val="22"/>
              </w:rPr>
              <w:t>es</w:t>
            </w:r>
            <w:proofErr w:type="spellEnd"/>
            <w:r w:rsidR="00F301F4">
              <w:rPr>
                <w:rFonts w:ascii="Arial" w:hAnsi="Arial" w:cs="Arial"/>
                <w:sz w:val="22"/>
                <w:szCs w:val="22"/>
              </w:rPr>
              <w:t>], used within a logging tool</w:t>
            </w:r>
            <w:r w:rsidRPr="00F301F4">
              <w:rPr>
                <w:rFonts w:ascii="Arial" w:hAnsi="Arial" w:cs="Arial"/>
                <w:sz w:val="22"/>
                <w:szCs w:val="22"/>
              </w:rPr>
              <w:t xml:space="preserve"> or other tool components, to provide a reference standard to maintain the tool's calibration when in use.</w:t>
            </w:r>
          </w:p>
        </w:tc>
        <w:tc>
          <w:tcPr>
            <w:tcW w:w="1350" w:type="dxa"/>
            <w:tcBorders>
              <w:top w:val="double" w:sz="6" w:space="0" w:color="000000"/>
            </w:tcBorders>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Borders>
              <w:top w:val="double" w:sz="6" w:space="0" w:color="000000"/>
            </w:tcBorders>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Borders>
              <w:top w:val="double" w:sz="6" w:space="0" w:color="000000"/>
            </w:tcBorders>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39.2</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Definitions</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B</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Added Definition:</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Tritium neutron generator target source means a tritium source used within a neutron generator tube to produce neutrons </w:t>
            </w: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39.15</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Agreement with well owner or operator</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C</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Revised Paragraphs (a)(5)(ii)&amp; intro(iii):</w:t>
            </w:r>
          </w:p>
          <w:p w:rsidR="00CF2B77" w:rsidRPr="00F301F4" w:rsidRDefault="00CF2B77" w:rsidP="00F301F4">
            <w:pPr>
              <w:widowControl/>
              <w:rPr>
                <w:rFonts w:ascii="Arial" w:hAnsi="Arial" w:cs="Arial"/>
                <w:sz w:val="22"/>
                <w:szCs w:val="22"/>
              </w:rPr>
            </w:pPr>
            <w:r w:rsidRPr="00F301F4">
              <w:rPr>
                <w:rFonts w:ascii="Arial" w:hAnsi="Arial" w:cs="Arial"/>
                <w:sz w:val="22"/>
                <w:szCs w:val="22"/>
              </w:rPr>
              <w:t>(a)(5)</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(ii) A means to prevent inadvertent intrusion on the source, unless the source is not accessible to any subsequent drilling operations; and   </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(iii) A permanent identification plaque, constructed of long </w:t>
            </w:r>
            <w:r w:rsidRPr="00F301F4">
              <w:rPr>
                <w:rFonts w:ascii="Arial" w:hAnsi="Arial" w:cs="Arial"/>
                <w:sz w:val="22"/>
                <w:szCs w:val="22"/>
              </w:rPr>
              <w:lastRenderedPageBreak/>
              <w:t xml:space="preserve">lasting material such as </w:t>
            </w:r>
            <w:r w:rsidR="00F301F4">
              <w:rPr>
                <w:rFonts w:ascii="Arial" w:hAnsi="Arial" w:cs="Arial"/>
                <w:sz w:val="22"/>
                <w:szCs w:val="22"/>
              </w:rPr>
              <w:t xml:space="preserve">stainless steel, brass, bronze, </w:t>
            </w:r>
            <w:r w:rsidRPr="00F301F4">
              <w:rPr>
                <w:rFonts w:ascii="Arial" w:hAnsi="Arial" w:cs="Arial"/>
                <w:sz w:val="22"/>
                <w:szCs w:val="22"/>
              </w:rPr>
              <w:t xml:space="preserve">or </w:t>
            </w:r>
            <w:proofErr w:type="spellStart"/>
            <w:r w:rsidRPr="00F301F4">
              <w:rPr>
                <w:rFonts w:ascii="Arial" w:hAnsi="Arial" w:cs="Arial"/>
                <w:sz w:val="22"/>
                <w:szCs w:val="22"/>
              </w:rPr>
              <w:t>monel</w:t>
            </w:r>
            <w:proofErr w:type="spellEnd"/>
            <w:r w:rsidRPr="00F301F4">
              <w:rPr>
                <w:rFonts w:ascii="Arial" w:hAnsi="Arial" w:cs="Arial"/>
                <w:sz w:val="22"/>
                <w:szCs w:val="22"/>
              </w:rPr>
              <w:t>, must be mounted at the surface of the well, unless the mounting of the plaque is not practical. The size of the plaque must be at least 17 cm [7 inches] square and 3 mm [1/8</w:t>
            </w:r>
            <w:r w:rsidRPr="00F301F4">
              <w:rPr>
                <w:rFonts w:ascii="Arial" w:hAnsi="Arial" w:cs="Arial"/>
                <w:sz w:val="22"/>
                <w:szCs w:val="22"/>
              </w:rPr>
              <w:noBreakHyphen/>
              <w:t>inch] thick. The plaque must contain</w:t>
            </w:r>
            <w:r w:rsidRPr="00F301F4">
              <w:rPr>
                <w:rFonts w:ascii="Arial" w:hAnsi="Arial" w:cs="Arial"/>
                <w:sz w:val="22"/>
                <w:szCs w:val="22"/>
              </w:rPr>
              <w:noBreakHyphen/>
            </w:r>
            <w:r w:rsidRPr="00F301F4">
              <w:rPr>
                <w:rFonts w:ascii="Arial" w:hAnsi="Arial" w:cs="Arial"/>
                <w:sz w:val="22"/>
                <w:szCs w:val="22"/>
              </w:rPr>
              <w:noBreakHyphen/>
            </w: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39.35</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Leak testing of sealed sources</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C</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b/>
                <w:bCs/>
                <w:sz w:val="22"/>
                <w:szCs w:val="22"/>
              </w:rPr>
            </w:pPr>
            <w:r w:rsidRPr="00F301F4">
              <w:rPr>
                <w:rFonts w:ascii="Arial" w:hAnsi="Arial" w:cs="Arial"/>
                <w:b/>
                <w:bCs/>
                <w:sz w:val="22"/>
                <w:szCs w:val="22"/>
              </w:rPr>
              <w:t xml:space="preserve">Amended paragraphs (b), (c), </w:t>
            </w: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(d)(1), (e)(1), (e)(4) and (e)(5):</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(b) Method of testing. The wipe of a sealed source must be performed using a leak test kit or method approved by the Commission or an </w:t>
            </w:r>
            <w:smartTag w:uri="urn:schemas-microsoft-com:office:smarttags" w:element="place">
              <w:smartTag w:uri="urn:schemas-microsoft-com:office:smarttags" w:element="PlaceName">
                <w:r w:rsidRPr="00F301F4">
                  <w:rPr>
                    <w:rFonts w:ascii="Arial" w:hAnsi="Arial" w:cs="Arial"/>
                    <w:sz w:val="22"/>
                    <w:szCs w:val="22"/>
                  </w:rPr>
                  <w:t>Agreement</w:t>
                </w:r>
              </w:smartTag>
              <w:r w:rsidRPr="00F301F4">
                <w:rPr>
                  <w:rFonts w:ascii="Arial" w:hAnsi="Arial" w:cs="Arial"/>
                  <w:sz w:val="22"/>
                  <w:szCs w:val="22"/>
                </w:rPr>
                <w:t xml:space="preserve"> </w:t>
              </w:r>
              <w:smartTag w:uri="urn:schemas-microsoft-com:office:smarttags" w:element="PlaceType">
                <w:r w:rsidRPr="00F301F4">
                  <w:rPr>
                    <w:rFonts w:ascii="Arial" w:hAnsi="Arial" w:cs="Arial"/>
                    <w:sz w:val="22"/>
                    <w:szCs w:val="22"/>
                  </w:rPr>
                  <w:t>State</w:t>
                </w:r>
              </w:smartTag>
            </w:smartTag>
            <w:r w:rsidRPr="00F301F4">
              <w:rPr>
                <w:rFonts w:ascii="Arial" w:hAnsi="Arial" w:cs="Arial"/>
                <w:sz w:val="22"/>
                <w:szCs w:val="22"/>
              </w:rPr>
              <w:t xml:space="preserve">. The wipe sample must be taken from the nearest accessible point to the sealed source where contamination might accumulate. The wipe sample must be analyzed for radioactive contamination. The analysis must be capable of detecting the presence -of 185 </w:t>
            </w:r>
            <w:proofErr w:type="spellStart"/>
            <w:r w:rsidRPr="00F301F4">
              <w:rPr>
                <w:rFonts w:ascii="Arial" w:hAnsi="Arial" w:cs="Arial"/>
                <w:sz w:val="22"/>
                <w:szCs w:val="22"/>
              </w:rPr>
              <w:t>Bq</w:t>
            </w:r>
            <w:proofErr w:type="spellEnd"/>
            <w:r w:rsidRPr="00F301F4">
              <w:rPr>
                <w:rFonts w:ascii="Arial" w:hAnsi="Arial" w:cs="Arial"/>
                <w:sz w:val="22"/>
                <w:szCs w:val="22"/>
              </w:rPr>
              <w:t xml:space="preserve"> [0.005 </w:t>
            </w:r>
            <w:proofErr w:type="spellStart"/>
            <w:r w:rsidRPr="00F301F4">
              <w:rPr>
                <w:rFonts w:ascii="Arial" w:hAnsi="Arial" w:cs="Arial"/>
                <w:sz w:val="22"/>
                <w:szCs w:val="22"/>
              </w:rPr>
              <w:t>microcuries</w:t>
            </w:r>
            <w:proofErr w:type="spellEnd"/>
            <w:r w:rsidRPr="00F301F4">
              <w:rPr>
                <w:rFonts w:ascii="Arial" w:hAnsi="Arial" w:cs="Arial"/>
                <w:sz w:val="22"/>
                <w:szCs w:val="22"/>
              </w:rPr>
              <w:t xml:space="preserve">] of radioactive material on the test sample and must be performed by a person approved by the Commission or an </w:t>
            </w:r>
            <w:smartTag w:uri="urn:schemas-microsoft-com:office:smarttags" w:element="place">
              <w:smartTag w:uri="urn:schemas-microsoft-com:office:smarttags" w:element="PlaceName">
                <w:r w:rsidRPr="00F301F4">
                  <w:rPr>
                    <w:rFonts w:ascii="Arial" w:hAnsi="Arial" w:cs="Arial"/>
                    <w:sz w:val="22"/>
                    <w:szCs w:val="22"/>
                  </w:rPr>
                  <w:t>Agreement</w:t>
                </w:r>
              </w:smartTag>
              <w:r w:rsidRPr="00F301F4">
                <w:rPr>
                  <w:rFonts w:ascii="Arial" w:hAnsi="Arial" w:cs="Arial"/>
                  <w:sz w:val="22"/>
                  <w:szCs w:val="22"/>
                </w:rPr>
                <w:t xml:space="preserve"> </w:t>
              </w:r>
              <w:smartTag w:uri="urn:schemas-microsoft-com:office:smarttags" w:element="PlaceType">
                <w:r w:rsidRPr="00F301F4">
                  <w:rPr>
                    <w:rFonts w:ascii="Arial" w:hAnsi="Arial" w:cs="Arial"/>
                    <w:sz w:val="22"/>
                    <w:szCs w:val="22"/>
                  </w:rPr>
                  <w:t>State</w:t>
                </w:r>
              </w:smartTag>
            </w:smartTag>
            <w:r w:rsidRPr="00F301F4">
              <w:rPr>
                <w:rFonts w:ascii="Arial" w:hAnsi="Arial" w:cs="Arial"/>
                <w:sz w:val="22"/>
                <w:szCs w:val="22"/>
              </w:rPr>
              <w:t xml:space="preserve"> to perform the analysis.</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(c) Test frequency. (1) Each sealed source (except an energy compensation source (ECS)) must be tested at </w:t>
            </w:r>
            <w:r w:rsidRPr="00F301F4">
              <w:rPr>
                <w:rFonts w:ascii="Arial" w:hAnsi="Arial" w:cs="Arial"/>
                <w:sz w:val="22"/>
                <w:szCs w:val="22"/>
              </w:rPr>
              <w:lastRenderedPageBreak/>
              <w:t>intervals not to exceed 6 months. In the absence of a certificate from a transferor that a test has been made within the 6 months before the transfer, the sealed source may not be used until tested.</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(2) Each ECS that is not exempt from testing in accordance with paragraph (e) of this section must be tested at intervals not to exceed 3 years. In the absence of a certificate from a transferor that a test has been made within the 3 years before the transfer, the ECS may not be used until tested.</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(d) Removal of leak</w:t>
            </w:r>
            <w:r w:rsidR="00F301F4">
              <w:rPr>
                <w:rFonts w:ascii="Arial" w:hAnsi="Arial" w:cs="Arial"/>
                <w:sz w:val="22"/>
                <w:szCs w:val="22"/>
              </w:rPr>
              <w:t>ing source from service. (1) If</w:t>
            </w:r>
            <w:r w:rsidRPr="00F301F4">
              <w:rPr>
                <w:rFonts w:ascii="Arial" w:hAnsi="Arial" w:cs="Arial"/>
                <w:sz w:val="22"/>
                <w:szCs w:val="22"/>
              </w:rPr>
              <w:t xml:space="preserve"> the test conducted pursuant to paragraphs (a) and (b) of this section reveals the presence of 185 </w:t>
            </w:r>
            <w:proofErr w:type="spellStart"/>
            <w:r w:rsidRPr="00F301F4">
              <w:rPr>
                <w:rFonts w:ascii="Arial" w:hAnsi="Arial" w:cs="Arial"/>
                <w:sz w:val="22"/>
                <w:szCs w:val="22"/>
              </w:rPr>
              <w:t>Bq</w:t>
            </w:r>
            <w:proofErr w:type="spellEnd"/>
            <w:r w:rsidRPr="00F301F4">
              <w:rPr>
                <w:rFonts w:ascii="Arial" w:hAnsi="Arial" w:cs="Arial"/>
                <w:sz w:val="22"/>
                <w:szCs w:val="22"/>
              </w:rPr>
              <w:t xml:space="preserve"> [0.005 </w:t>
            </w:r>
            <w:proofErr w:type="spellStart"/>
            <w:r w:rsidRPr="00F301F4">
              <w:rPr>
                <w:rFonts w:ascii="Arial" w:hAnsi="Arial" w:cs="Arial"/>
                <w:sz w:val="22"/>
                <w:szCs w:val="22"/>
              </w:rPr>
              <w:t>microcuries</w:t>
            </w:r>
            <w:proofErr w:type="spellEnd"/>
            <w:r w:rsidRPr="00F301F4">
              <w:rPr>
                <w:rFonts w:ascii="Arial" w:hAnsi="Arial" w:cs="Arial"/>
                <w:sz w:val="22"/>
                <w:szCs w:val="22"/>
              </w:rPr>
              <w:t xml:space="preserve">] or more of removable radioactive material, the licensee shall remove the sealed source from service immediately and have it decontaminated, repaired, or disposed of by an NRC or </w:t>
            </w:r>
            <w:smartTag w:uri="urn:schemas-microsoft-com:office:smarttags" w:element="place">
              <w:smartTag w:uri="urn:schemas-microsoft-com:office:smarttags" w:element="PlaceName">
                <w:r w:rsidRPr="00F301F4">
                  <w:rPr>
                    <w:rFonts w:ascii="Arial" w:hAnsi="Arial" w:cs="Arial"/>
                    <w:sz w:val="22"/>
                    <w:szCs w:val="22"/>
                  </w:rPr>
                  <w:t>Agreement</w:t>
                </w:r>
              </w:smartTag>
              <w:r w:rsidRPr="00F301F4">
                <w:rPr>
                  <w:rFonts w:ascii="Arial" w:hAnsi="Arial" w:cs="Arial"/>
                  <w:sz w:val="22"/>
                  <w:szCs w:val="22"/>
                </w:rPr>
                <w:t xml:space="preserve"> </w:t>
              </w:r>
              <w:smartTag w:uri="urn:schemas-microsoft-com:office:smarttags" w:element="PlaceType">
                <w:r w:rsidRPr="00F301F4">
                  <w:rPr>
                    <w:rFonts w:ascii="Arial" w:hAnsi="Arial" w:cs="Arial"/>
                    <w:sz w:val="22"/>
                    <w:szCs w:val="22"/>
                  </w:rPr>
                  <w:t>State</w:t>
                </w:r>
              </w:smartTag>
            </w:smartTag>
            <w:r w:rsidRPr="00F301F4">
              <w:rPr>
                <w:rFonts w:ascii="Arial" w:hAnsi="Arial" w:cs="Arial"/>
                <w:sz w:val="22"/>
                <w:szCs w:val="22"/>
              </w:rPr>
              <w:t xml:space="preserve"> licensee that is authorized to perform these functions. The licensee shall check the equipment associated with the leaking source for radioactive contamination and, if </w:t>
            </w:r>
            <w:r w:rsidRPr="00F301F4">
              <w:rPr>
                <w:rFonts w:ascii="Arial" w:hAnsi="Arial" w:cs="Arial"/>
                <w:sz w:val="22"/>
                <w:szCs w:val="22"/>
              </w:rPr>
              <w:lastRenderedPageBreak/>
              <w:t xml:space="preserve">contaminated, have it decontaminated or disposed of by an NRC or </w:t>
            </w:r>
            <w:smartTag w:uri="urn:schemas-microsoft-com:office:smarttags" w:element="place">
              <w:smartTag w:uri="urn:schemas-microsoft-com:office:smarttags" w:element="PlaceName">
                <w:r w:rsidRPr="00F301F4">
                  <w:rPr>
                    <w:rFonts w:ascii="Arial" w:hAnsi="Arial" w:cs="Arial"/>
                    <w:sz w:val="22"/>
                    <w:szCs w:val="22"/>
                  </w:rPr>
                  <w:t>Agreement</w:t>
                </w:r>
              </w:smartTag>
              <w:r w:rsidRPr="00F301F4">
                <w:rPr>
                  <w:rFonts w:ascii="Arial" w:hAnsi="Arial" w:cs="Arial"/>
                  <w:sz w:val="22"/>
                  <w:szCs w:val="22"/>
                </w:rPr>
                <w:t xml:space="preserve"> </w:t>
              </w:r>
              <w:smartTag w:uri="urn:schemas-microsoft-com:office:smarttags" w:element="PlaceType">
                <w:r w:rsidRPr="00F301F4">
                  <w:rPr>
                    <w:rFonts w:ascii="Arial" w:hAnsi="Arial" w:cs="Arial"/>
                    <w:sz w:val="22"/>
                    <w:szCs w:val="22"/>
                  </w:rPr>
                  <w:t>State</w:t>
                </w:r>
              </w:smartTag>
            </w:smartTag>
            <w:r w:rsidRPr="00F301F4">
              <w:rPr>
                <w:rFonts w:ascii="Arial" w:hAnsi="Arial" w:cs="Arial"/>
                <w:sz w:val="22"/>
                <w:szCs w:val="22"/>
              </w:rPr>
              <w:t xml:space="preserve"> licensee that is authorized to perform these functions.</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(e)(1) Hydrogen</w:t>
            </w:r>
            <w:r w:rsidRPr="00F301F4">
              <w:rPr>
                <w:rFonts w:ascii="Arial" w:hAnsi="Arial" w:cs="Arial"/>
                <w:sz w:val="22"/>
                <w:szCs w:val="22"/>
              </w:rPr>
              <w:noBreakHyphen/>
              <w:t>3 (tritium) sources;</w:t>
            </w:r>
          </w:p>
          <w:p w:rsidR="00CF2B77" w:rsidRPr="00F301F4" w:rsidRDefault="00CF2B77" w:rsidP="00F301F4">
            <w:pPr>
              <w:widowControl/>
              <w:rPr>
                <w:rFonts w:ascii="Arial" w:hAnsi="Arial" w:cs="Arial"/>
                <w:sz w:val="22"/>
                <w:szCs w:val="22"/>
              </w:rPr>
            </w:pPr>
            <w:r w:rsidRPr="00F301F4">
              <w:rPr>
                <w:rFonts w:ascii="Arial" w:hAnsi="Arial" w:cs="Arial"/>
                <w:sz w:val="22"/>
                <w:szCs w:val="22"/>
              </w:rPr>
              <w:t>(4) Sources of beta</w:t>
            </w:r>
            <w:r w:rsidRPr="00F301F4">
              <w:rPr>
                <w:rFonts w:ascii="Arial" w:hAnsi="Arial" w:cs="Arial"/>
                <w:sz w:val="22"/>
                <w:szCs w:val="22"/>
              </w:rPr>
              <w:noBreakHyphen/>
              <w:t xml:space="preserve"> or </w:t>
            </w:r>
            <w:proofErr w:type="spellStart"/>
            <w:r w:rsidRPr="00F301F4">
              <w:rPr>
                <w:rFonts w:ascii="Arial" w:hAnsi="Arial" w:cs="Arial"/>
                <w:sz w:val="22"/>
                <w:szCs w:val="22"/>
              </w:rPr>
              <w:t>gamma</w:t>
            </w:r>
            <w:r w:rsidRPr="00F301F4">
              <w:rPr>
                <w:rFonts w:ascii="Arial" w:hAnsi="Arial" w:cs="Arial"/>
                <w:sz w:val="22"/>
                <w:szCs w:val="22"/>
              </w:rPr>
              <w:noBreakHyphen/>
              <w:t>emitting</w:t>
            </w:r>
            <w:proofErr w:type="spellEnd"/>
            <w:r w:rsidRPr="00F301F4">
              <w:rPr>
                <w:rFonts w:ascii="Arial" w:hAnsi="Arial" w:cs="Arial"/>
                <w:sz w:val="22"/>
                <w:szCs w:val="22"/>
              </w:rPr>
              <w:t xml:space="preserve"> radioactive material with an activity of 3.7 </w:t>
            </w:r>
            <w:proofErr w:type="spellStart"/>
            <w:r w:rsidRPr="00F301F4">
              <w:rPr>
                <w:rFonts w:ascii="Arial" w:hAnsi="Arial" w:cs="Arial"/>
                <w:sz w:val="22"/>
                <w:szCs w:val="22"/>
              </w:rPr>
              <w:t>MBq</w:t>
            </w:r>
            <w:proofErr w:type="spellEnd"/>
            <w:r w:rsidRPr="00F301F4">
              <w:rPr>
                <w:rFonts w:ascii="Arial" w:hAnsi="Arial" w:cs="Arial"/>
                <w:sz w:val="22"/>
                <w:szCs w:val="22"/>
              </w:rPr>
              <w:t xml:space="preserve"> [100 </w:t>
            </w:r>
            <w:proofErr w:type="spellStart"/>
            <w:r w:rsidRPr="00F301F4">
              <w:rPr>
                <w:rFonts w:ascii="Arial" w:hAnsi="Arial" w:cs="Arial"/>
                <w:sz w:val="22"/>
                <w:szCs w:val="22"/>
              </w:rPr>
              <w:t>microcuries</w:t>
            </w:r>
            <w:proofErr w:type="spellEnd"/>
            <w:r w:rsidRPr="00F301F4">
              <w:rPr>
                <w:rFonts w:ascii="Arial" w:hAnsi="Arial" w:cs="Arial"/>
                <w:sz w:val="22"/>
                <w:szCs w:val="22"/>
              </w:rPr>
              <w:t>] or less; and</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(5) Sources of alpha</w:t>
            </w:r>
            <w:r w:rsidRPr="00F301F4">
              <w:rPr>
                <w:rFonts w:ascii="Arial" w:hAnsi="Arial" w:cs="Arial"/>
                <w:sz w:val="22"/>
                <w:szCs w:val="22"/>
              </w:rPr>
              <w:noBreakHyphen/>
              <w:t xml:space="preserve"> or </w:t>
            </w:r>
            <w:proofErr w:type="spellStart"/>
            <w:r w:rsidRPr="00F301F4">
              <w:rPr>
                <w:rFonts w:ascii="Arial" w:hAnsi="Arial" w:cs="Arial"/>
                <w:sz w:val="22"/>
                <w:szCs w:val="22"/>
              </w:rPr>
              <w:t>neutron</w:t>
            </w:r>
            <w:r w:rsidRPr="00F301F4">
              <w:rPr>
                <w:rFonts w:ascii="Arial" w:hAnsi="Arial" w:cs="Arial"/>
                <w:sz w:val="22"/>
                <w:szCs w:val="22"/>
              </w:rPr>
              <w:noBreakHyphen/>
              <w:t>emitting</w:t>
            </w:r>
            <w:proofErr w:type="spellEnd"/>
            <w:r w:rsidRPr="00F301F4">
              <w:rPr>
                <w:rFonts w:ascii="Arial" w:hAnsi="Arial" w:cs="Arial"/>
                <w:sz w:val="22"/>
                <w:szCs w:val="22"/>
              </w:rPr>
              <w:t xml:space="preserve"> radioactive material with an activity of 0.37 </w:t>
            </w:r>
            <w:proofErr w:type="spellStart"/>
            <w:r w:rsidRPr="00F301F4">
              <w:rPr>
                <w:rFonts w:ascii="Arial" w:hAnsi="Arial" w:cs="Arial"/>
                <w:sz w:val="22"/>
                <w:szCs w:val="22"/>
              </w:rPr>
              <w:t>MBq</w:t>
            </w:r>
            <w:proofErr w:type="spellEnd"/>
            <w:r w:rsidRPr="00F301F4">
              <w:rPr>
                <w:rFonts w:ascii="Arial" w:hAnsi="Arial" w:cs="Arial"/>
                <w:sz w:val="22"/>
                <w:szCs w:val="22"/>
              </w:rPr>
              <w:t xml:space="preserve"> [10 </w:t>
            </w:r>
            <w:proofErr w:type="spellStart"/>
            <w:r w:rsidRPr="00F301F4">
              <w:rPr>
                <w:rFonts w:ascii="Arial" w:hAnsi="Arial" w:cs="Arial"/>
                <w:sz w:val="22"/>
                <w:szCs w:val="22"/>
              </w:rPr>
              <w:t>microcuries</w:t>
            </w:r>
            <w:proofErr w:type="spellEnd"/>
            <w:r w:rsidRPr="00F301F4">
              <w:rPr>
                <w:rFonts w:ascii="Arial" w:hAnsi="Arial" w:cs="Arial"/>
                <w:sz w:val="22"/>
                <w:szCs w:val="22"/>
              </w:rPr>
              <w:t>] or less.</w:t>
            </w: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39.41</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Design and performance criteria for sources</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B</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Amended Section:</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(a) A licensee may use a sealed source for use in well logging applications if </w:t>
            </w:r>
            <w:r w:rsidRPr="00F301F4">
              <w:rPr>
                <w:rFonts w:ascii="Arial" w:hAnsi="Arial" w:cs="Arial"/>
                <w:sz w:val="22"/>
                <w:szCs w:val="22"/>
              </w:rPr>
              <w:noBreakHyphen/>
            </w:r>
            <w:r w:rsidRPr="00F301F4">
              <w:rPr>
                <w:rFonts w:ascii="Arial" w:hAnsi="Arial" w:cs="Arial"/>
                <w:sz w:val="22"/>
                <w:szCs w:val="22"/>
              </w:rPr>
              <w:noBreakHyphen/>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(1) The sealed source is doubly encapsulated;</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(2) The sealed source contains licensed material whose chemical and physical forms are as insoluble and </w:t>
            </w:r>
            <w:proofErr w:type="spellStart"/>
            <w:r w:rsidRPr="00F301F4">
              <w:rPr>
                <w:rFonts w:ascii="Arial" w:hAnsi="Arial" w:cs="Arial"/>
                <w:sz w:val="22"/>
                <w:szCs w:val="22"/>
              </w:rPr>
              <w:t>nondispersible</w:t>
            </w:r>
            <w:proofErr w:type="spellEnd"/>
            <w:r w:rsidRPr="00F301F4">
              <w:rPr>
                <w:rFonts w:ascii="Arial" w:hAnsi="Arial" w:cs="Arial"/>
                <w:sz w:val="22"/>
                <w:szCs w:val="22"/>
              </w:rPr>
              <w:t xml:space="preserve"> as practical; and</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(3) Meets the requirements of paragraph (b), (c), or (d) of this section.</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(b) For a sealed source manufactured on or before July 14, 1989, a licensee may use the sealed source, for use in well logging applications if it meets the requirements of </w:t>
            </w:r>
            <w:r w:rsidRPr="00F301F4">
              <w:rPr>
                <w:rFonts w:ascii="Arial" w:hAnsi="Arial" w:cs="Arial"/>
                <w:sz w:val="22"/>
                <w:szCs w:val="22"/>
              </w:rPr>
              <w:lastRenderedPageBreak/>
              <w:t>USASI N5.10</w:t>
            </w:r>
            <w:r w:rsidRPr="00F301F4">
              <w:rPr>
                <w:rFonts w:ascii="Arial" w:hAnsi="Arial" w:cs="Arial"/>
                <w:sz w:val="22"/>
                <w:szCs w:val="22"/>
              </w:rPr>
              <w:noBreakHyphen/>
              <w:t>1968, ``Classification of Sealed Radioactive Sources,'' or the requirements in paragraph (c) or (d) of this section.</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(c) For a sealed source manufactured after July 14, 1989, a licensee may use the sealed source, for use in well logging applications if it meets the </w:t>
            </w:r>
            <w:proofErr w:type="spellStart"/>
            <w:r w:rsidRPr="00F301F4">
              <w:rPr>
                <w:rFonts w:ascii="Arial" w:hAnsi="Arial" w:cs="Arial"/>
                <w:sz w:val="22"/>
                <w:szCs w:val="22"/>
              </w:rPr>
              <w:t>oil</w:t>
            </w:r>
            <w:r w:rsidRPr="00F301F4">
              <w:rPr>
                <w:rFonts w:ascii="Arial" w:hAnsi="Arial" w:cs="Arial"/>
                <w:sz w:val="22"/>
                <w:szCs w:val="22"/>
              </w:rPr>
              <w:noBreakHyphen/>
              <w:t>well</w:t>
            </w:r>
            <w:proofErr w:type="spellEnd"/>
            <w:r w:rsidRPr="00F301F4">
              <w:rPr>
                <w:rFonts w:ascii="Arial" w:hAnsi="Arial" w:cs="Arial"/>
                <w:sz w:val="22"/>
                <w:szCs w:val="22"/>
              </w:rPr>
              <w:t xml:space="preserve"> logging requirements of ANSI/HPS N43.6</w:t>
            </w:r>
            <w:r w:rsidRPr="00F301F4">
              <w:rPr>
                <w:rFonts w:ascii="Arial" w:hAnsi="Arial" w:cs="Arial"/>
                <w:sz w:val="22"/>
                <w:szCs w:val="22"/>
              </w:rPr>
              <w:noBreakHyphen/>
              <w:t xml:space="preserve">1997, ``Sealed Radioactive </w:t>
            </w:r>
            <w:proofErr w:type="spellStart"/>
            <w:r w:rsidRPr="00F301F4">
              <w:rPr>
                <w:rFonts w:ascii="Arial" w:hAnsi="Arial" w:cs="Arial"/>
                <w:sz w:val="22"/>
                <w:szCs w:val="22"/>
              </w:rPr>
              <w:t>Sources</w:t>
            </w:r>
            <w:r w:rsidRPr="00F301F4">
              <w:rPr>
                <w:rFonts w:ascii="Arial" w:hAnsi="Arial" w:cs="Arial"/>
                <w:sz w:val="22"/>
                <w:szCs w:val="22"/>
              </w:rPr>
              <w:noBreakHyphen/>
            </w:r>
            <w:r w:rsidRPr="00F301F4">
              <w:rPr>
                <w:rFonts w:ascii="Arial" w:hAnsi="Arial" w:cs="Arial"/>
                <w:sz w:val="22"/>
                <w:szCs w:val="22"/>
              </w:rPr>
              <w:noBreakHyphen/>
              <w:t>Classification</w:t>
            </w:r>
            <w:proofErr w:type="spellEnd"/>
            <w:r w:rsidRPr="00F301F4">
              <w:rPr>
                <w:rFonts w:ascii="Arial" w:hAnsi="Arial" w:cs="Arial"/>
                <w:sz w:val="22"/>
                <w:szCs w:val="22"/>
              </w:rPr>
              <w:t>.''</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(d) For a sealed source manufactured after July 14, 1989, a licensee may use the sealed source, for use in well logging applications, if</w:t>
            </w:r>
            <w:r w:rsidRPr="00F301F4">
              <w:rPr>
                <w:rFonts w:ascii="Arial" w:hAnsi="Arial" w:cs="Arial"/>
                <w:sz w:val="22"/>
                <w:szCs w:val="22"/>
              </w:rPr>
              <w:noBreakHyphen/>
            </w:r>
            <w:r w:rsidRPr="00F301F4">
              <w:rPr>
                <w:rFonts w:ascii="Arial" w:hAnsi="Arial" w:cs="Arial"/>
                <w:sz w:val="22"/>
                <w:szCs w:val="22"/>
              </w:rPr>
              <w:noBreakHyphen/>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(1) The sealed source's prototype has been tested and found to maintain its integrity after each of the following tests:    (</w:t>
            </w:r>
            <w:proofErr w:type="spellStart"/>
            <w:r w:rsidRPr="00F301F4">
              <w:rPr>
                <w:rFonts w:ascii="Arial" w:hAnsi="Arial" w:cs="Arial"/>
                <w:sz w:val="22"/>
                <w:szCs w:val="22"/>
              </w:rPr>
              <w:t>i</w:t>
            </w:r>
            <w:proofErr w:type="spellEnd"/>
            <w:r w:rsidRPr="00F301F4">
              <w:rPr>
                <w:rFonts w:ascii="Arial" w:hAnsi="Arial" w:cs="Arial"/>
                <w:sz w:val="22"/>
                <w:szCs w:val="22"/>
              </w:rPr>
              <w:t xml:space="preserve">) Temperature. The test source must be held at </w:t>
            </w:r>
            <w:r w:rsidRPr="00F301F4">
              <w:rPr>
                <w:rFonts w:ascii="Arial" w:hAnsi="Arial" w:cs="Arial"/>
                <w:sz w:val="22"/>
                <w:szCs w:val="22"/>
              </w:rPr>
              <w:noBreakHyphen/>
              <w:t>40 deg. C for 20 minutes, 600 deg. C for 1 hour, and then be subject to a thermal shock test with a temperature drop from 600 deg. C to 20 deg. C within 15 seconds.</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(ii) Impact test. A 5 kg steel hammer, 2.5 cm in diameter, must be dropped from a height of 1 m onto the test source.</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(iii) Vibration test. The test </w:t>
            </w:r>
            <w:r w:rsidRPr="00F301F4">
              <w:rPr>
                <w:rFonts w:ascii="Arial" w:hAnsi="Arial" w:cs="Arial"/>
                <w:sz w:val="22"/>
                <w:szCs w:val="22"/>
              </w:rPr>
              <w:lastRenderedPageBreak/>
              <w:t>source must be subject to a vibration from 25 Hz to 500 Hz at 5 g amplitude for 30 minutes.</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(iv) Puncture test. A 1 gram hammer and pin, 0.3 cm pin diameter, must be dropped from a height of 1 m onto the test source.</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(v) Pressure test. The test source must be subject to an external pressure of </w:t>
            </w:r>
            <w:r w:rsidR="00F301F4" w:rsidRPr="00F301F4">
              <w:rPr>
                <w:rFonts w:ascii="Arial" w:hAnsi="Arial" w:cs="Arial"/>
                <w:sz w:val="22"/>
                <w:szCs w:val="22"/>
              </w:rPr>
              <w:t xml:space="preserve">1.695 </w:t>
            </w:r>
            <w:proofErr w:type="gramStart"/>
            <w:r w:rsidR="00F301F4" w:rsidRPr="00F301F4">
              <w:rPr>
                <w:rFonts w:ascii="Arial" w:hAnsi="Arial" w:cs="Arial"/>
                <w:sz w:val="22"/>
                <w:szCs w:val="22"/>
              </w:rPr>
              <w:t>x</w:t>
            </w:r>
            <w:r w:rsidRPr="00F301F4">
              <w:rPr>
                <w:rFonts w:ascii="Arial" w:hAnsi="Arial" w:cs="Arial"/>
                <w:sz w:val="22"/>
                <w:szCs w:val="22"/>
              </w:rPr>
              <w:t xml:space="preserve">  10</w:t>
            </w:r>
            <w:r w:rsidRPr="00F301F4">
              <w:rPr>
                <w:rFonts w:ascii="Arial" w:hAnsi="Arial" w:cs="Arial"/>
                <w:sz w:val="22"/>
                <w:szCs w:val="22"/>
                <w:vertAlign w:val="superscript"/>
              </w:rPr>
              <w:t>7</w:t>
            </w:r>
            <w:proofErr w:type="gramEnd"/>
            <w:r w:rsidRPr="00F301F4">
              <w:rPr>
                <w:rFonts w:ascii="Arial" w:hAnsi="Arial" w:cs="Arial"/>
                <w:sz w:val="22"/>
                <w:szCs w:val="22"/>
              </w:rPr>
              <w:t xml:space="preserve"> </w:t>
            </w:r>
            <w:proofErr w:type="spellStart"/>
            <w:r w:rsidRPr="00F301F4">
              <w:rPr>
                <w:rFonts w:ascii="Arial" w:hAnsi="Arial" w:cs="Arial"/>
                <w:sz w:val="22"/>
                <w:szCs w:val="22"/>
              </w:rPr>
              <w:t>pascals</w:t>
            </w:r>
            <w:proofErr w:type="spellEnd"/>
            <w:r w:rsidRPr="00F301F4">
              <w:rPr>
                <w:rFonts w:ascii="Arial" w:hAnsi="Arial" w:cs="Arial"/>
                <w:sz w:val="22"/>
                <w:szCs w:val="22"/>
              </w:rPr>
              <w:t xml:space="preserve"> [24,600 pounds per square inch absolute].</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(e) The requirements in paragraphs (a), (b), (c), and (d) of this section do not apply to sealed sources that contain licensed material in gaseous form.</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(f) The requirements in paragraphs (a), (b), (c), and (d) of this section do not apply to energy compensation sources (ECS). ECSs must be registered with the Commission under Sec. 32.210 of this chapter or with an </w:t>
            </w:r>
            <w:smartTag w:uri="urn:schemas-microsoft-com:office:smarttags" w:element="place">
              <w:smartTag w:uri="urn:schemas-microsoft-com:office:smarttags" w:element="PlaceName">
                <w:r w:rsidRPr="00F301F4">
                  <w:rPr>
                    <w:rFonts w:ascii="Arial" w:hAnsi="Arial" w:cs="Arial"/>
                    <w:sz w:val="22"/>
                    <w:szCs w:val="22"/>
                  </w:rPr>
                  <w:t>Agreement</w:t>
                </w:r>
              </w:smartTag>
              <w:r w:rsidRPr="00F301F4">
                <w:rPr>
                  <w:rFonts w:ascii="Arial" w:hAnsi="Arial" w:cs="Arial"/>
                  <w:sz w:val="22"/>
                  <w:szCs w:val="22"/>
                </w:rPr>
                <w:t xml:space="preserve"> </w:t>
              </w:r>
              <w:smartTag w:uri="urn:schemas-microsoft-com:office:smarttags" w:element="PlaceType">
                <w:r w:rsidRPr="00F301F4">
                  <w:rPr>
                    <w:rFonts w:ascii="Arial" w:hAnsi="Arial" w:cs="Arial"/>
                    <w:sz w:val="22"/>
                    <w:szCs w:val="22"/>
                  </w:rPr>
                  <w:t>State</w:t>
                </w:r>
              </w:smartTag>
            </w:smartTag>
            <w:r w:rsidRPr="00F301F4">
              <w:rPr>
                <w:rFonts w:ascii="Arial" w:hAnsi="Arial" w:cs="Arial"/>
                <w:sz w:val="22"/>
                <w:szCs w:val="22"/>
              </w:rPr>
              <w:t>.</w:t>
            </w: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 xml:space="preserve">39.49 </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Uranium sinker bars</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C</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Revised Section:</w:t>
            </w:r>
          </w:p>
          <w:p w:rsidR="00CF2B77" w:rsidRPr="00F301F4" w:rsidRDefault="00CF2B77" w:rsidP="00F301F4">
            <w:pPr>
              <w:widowControl/>
              <w:rPr>
                <w:rFonts w:ascii="Arial" w:hAnsi="Arial" w:cs="Arial"/>
                <w:sz w:val="22"/>
                <w:szCs w:val="22"/>
              </w:rPr>
            </w:pPr>
            <w:r w:rsidRPr="00F301F4">
              <w:rPr>
                <w:rFonts w:ascii="Arial" w:hAnsi="Arial" w:cs="Arial"/>
                <w:sz w:val="22"/>
                <w:szCs w:val="22"/>
              </w:rPr>
              <w:t>The licensee may use a uranium sinker bar in well logging applications only if it is legibly impressed with the words ``CAUTION</w:t>
            </w:r>
            <w:r w:rsidRPr="00F301F4">
              <w:rPr>
                <w:rFonts w:ascii="Arial" w:hAnsi="Arial" w:cs="Arial"/>
                <w:sz w:val="22"/>
                <w:szCs w:val="22"/>
              </w:rPr>
              <w:noBreakHyphen/>
            </w:r>
            <w:r w:rsidRPr="00F301F4">
              <w:rPr>
                <w:rFonts w:ascii="Arial" w:hAnsi="Arial" w:cs="Arial"/>
                <w:sz w:val="22"/>
                <w:szCs w:val="22"/>
              </w:rPr>
              <w:noBreakHyphen/>
              <w:t>RADIOACTIVE</w:t>
            </w:r>
            <w:r w:rsidRPr="00F301F4">
              <w:rPr>
                <w:rFonts w:ascii="Arial" w:hAnsi="Arial" w:cs="Arial"/>
                <w:sz w:val="22"/>
                <w:szCs w:val="22"/>
              </w:rPr>
              <w:noBreakHyphen/>
              <w:t xml:space="preserve">DEPLETED URANIUM'' and </w:t>
            </w:r>
            <w:r w:rsidRPr="00F301F4">
              <w:rPr>
                <w:rFonts w:ascii="Arial" w:hAnsi="Arial" w:cs="Arial"/>
                <w:sz w:val="22"/>
                <w:szCs w:val="22"/>
              </w:rPr>
              <w:lastRenderedPageBreak/>
              <w:t>``NOTIFY CIVIL AUTHORITIES (or COMPANY NAME) IF FOUND.''</w:t>
            </w: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39.53</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Energy compensation source</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C</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Revised Section:</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The licensee may use an energy compensation source (ECS) which is contained within a logging tool, or other tool components, only if the ECS contains quantities of licensed material not exceeding 3.7 </w:t>
            </w:r>
            <w:proofErr w:type="spellStart"/>
            <w:r w:rsidRPr="00F301F4">
              <w:rPr>
                <w:rFonts w:ascii="Arial" w:hAnsi="Arial" w:cs="Arial"/>
                <w:sz w:val="22"/>
                <w:szCs w:val="22"/>
              </w:rPr>
              <w:t>MBq</w:t>
            </w:r>
            <w:proofErr w:type="spellEnd"/>
            <w:r w:rsidRPr="00F301F4">
              <w:rPr>
                <w:rFonts w:ascii="Arial" w:hAnsi="Arial" w:cs="Arial"/>
                <w:sz w:val="22"/>
                <w:szCs w:val="22"/>
              </w:rPr>
              <w:t xml:space="preserve"> [100 </w:t>
            </w:r>
            <w:proofErr w:type="spellStart"/>
            <w:r w:rsidRPr="00F301F4">
              <w:rPr>
                <w:rFonts w:ascii="Arial" w:hAnsi="Arial" w:cs="Arial"/>
                <w:sz w:val="22"/>
                <w:szCs w:val="22"/>
              </w:rPr>
              <w:t>microcuries</w:t>
            </w:r>
            <w:proofErr w:type="spellEnd"/>
            <w:r w:rsidRPr="00F301F4">
              <w:rPr>
                <w:rFonts w:ascii="Arial" w:hAnsi="Arial" w:cs="Arial"/>
                <w:sz w:val="22"/>
                <w:szCs w:val="22"/>
              </w:rPr>
              <w:t xml:space="preserve">].  </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(a) For well logging applications with a surface casing for protecting fresh water aquifers, use of the ECS is only subject to the requirements of </w:t>
            </w:r>
            <w:proofErr w:type="spellStart"/>
            <w:r w:rsidRPr="00F301F4">
              <w:rPr>
                <w:rFonts w:ascii="Arial" w:hAnsi="Arial" w:cs="Arial"/>
                <w:sz w:val="22"/>
                <w:szCs w:val="22"/>
              </w:rPr>
              <w:t>Secs</w:t>
            </w:r>
            <w:proofErr w:type="spellEnd"/>
            <w:r w:rsidRPr="00F301F4">
              <w:rPr>
                <w:rFonts w:ascii="Arial" w:hAnsi="Arial" w:cs="Arial"/>
                <w:sz w:val="22"/>
                <w:szCs w:val="22"/>
              </w:rPr>
              <w:t>. 39.35, 39.37 and 39.39.</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(b) For well logging applications without a surface casing for protecting fresh water aquifers, use of the ECS is only subject to the requirements of </w:t>
            </w:r>
            <w:proofErr w:type="spellStart"/>
            <w:r w:rsidRPr="00F301F4">
              <w:rPr>
                <w:rFonts w:ascii="Arial" w:hAnsi="Arial" w:cs="Arial"/>
                <w:sz w:val="22"/>
                <w:szCs w:val="22"/>
              </w:rPr>
              <w:t>Secs</w:t>
            </w:r>
            <w:proofErr w:type="spellEnd"/>
            <w:r w:rsidRPr="00F301F4">
              <w:rPr>
                <w:rFonts w:ascii="Arial" w:hAnsi="Arial" w:cs="Arial"/>
                <w:sz w:val="22"/>
                <w:szCs w:val="22"/>
              </w:rPr>
              <w:t>. 39.15, 39.35, 39.37, 39.39, 39.51, and 39.77.</w:t>
            </w: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39.55</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Tritium neutron generator target source</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C</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Revised Section:</w:t>
            </w:r>
          </w:p>
          <w:p w:rsidR="00CF2B77" w:rsidRDefault="00CF2B77" w:rsidP="00F301F4">
            <w:pPr>
              <w:widowControl/>
              <w:rPr>
                <w:rFonts w:ascii="Arial" w:hAnsi="Arial" w:cs="Arial"/>
                <w:sz w:val="22"/>
                <w:szCs w:val="22"/>
              </w:rPr>
            </w:pPr>
            <w:r w:rsidRPr="00F301F4">
              <w:rPr>
                <w:rFonts w:ascii="Arial" w:hAnsi="Arial" w:cs="Arial"/>
                <w:sz w:val="22"/>
                <w:szCs w:val="22"/>
              </w:rPr>
              <w:t xml:space="preserve">(a) Use of a tritium neutron generator target source, containing quantities not exceeding 1,110 </w:t>
            </w:r>
            <w:proofErr w:type="spellStart"/>
            <w:r w:rsidR="00857186">
              <w:rPr>
                <w:rFonts w:ascii="Arial" w:hAnsi="Arial" w:cs="Arial"/>
                <w:sz w:val="22"/>
                <w:szCs w:val="22"/>
              </w:rPr>
              <w:t>G</w:t>
            </w:r>
            <w:r w:rsidRPr="00F301F4">
              <w:rPr>
                <w:rFonts w:ascii="Arial" w:hAnsi="Arial" w:cs="Arial"/>
                <w:sz w:val="22"/>
                <w:szCs w:val="22"/>
              </w:rPr>
              <w:t>Bq</w:t>
            </w:r>
            <w:proofErr w:type="spellEnd"/>
            <w:r w:rsidRPr="00F301F4">
              <w:rPr>
                <w:rFonts w:ascii="Arial" w:hAnsi="Arial" w:cs="Arial"/>
                <w:sz w:val="22"/>
                <w:szCs w:val="22"/>
              </w:rPr>
              <w:t xml:space="preserve"> [30 curies] and in a well with a surface casing to protect fresh water aquifers, is subject to the </w:t>
            </w:r>
            <w:r w:rsidRPr="00F301F4">
              <w:rPr>
                <w:rFonts w:ascii="Arial" w:hAnsi="Arial" w:cs="Arial"/>
                <w:sz w:val="22"/>
                <w:szCs w:val="22"/>
              </w:rPr>
              <w:lastRenderedPageBreak/>
              <w:t xml:space="preserve">requirements of this part except </w:t>
            </w:r>
            <w:proofErr w:type="spellStart"/>
            <w:r w:rsidRPr="00F301F4">
              <w:rPr>
                <w:rFonts w:ascii="Arial" w:hAnsi="Arial" w:cs="Arial"/>
                <w:sz w:val="22"/>
                <w:szCs w:val="22"/>
              </w:rPr>
              <w:t>Secs</w:t>
            </w:r>
            <w:proofErr w:type="spellEnd"/>
            <w:r w:rsidRPr="00F301F4">
              <w:rPr>
                <w:rFonts w:ascii="Arial" w:hAnsi="Arial" w:cs="Arial"/>
                <w:sz w:val="22"/>
                <w:szCs w:val="22"/>
              </w:rPr>
              <w:t xml:space="preserve">. 39.15, 39.41, and 39.77.    (b) Use of a tritium neutron generator target source, containing quantities exceeding 1,110 </w:t>
            </w:r>
            <w:proofErr w:type="spellStart"/>
            <w:r w:rsidRPr="00F301F4">
              <w:rPr>
                <w:rFonts w:ascii="Arial" w:hAnsi="Arial" w:cs="Arial"/>
                <w:sz w:val="22"/>
                <w:szCs w:val="22"/>
              </w:rPr>
              <w:t>MBq</w:t>
            </w:r>
            <w:proofErr w:type="spellEnd"/>
            <w:r w:rsidRPr="00F301F4">
              <w:rPr>
                <w:rFonts w:ascii="Arial" w:hAnsi="Arial" w:cs="Arial"/>
                <w:sz w:val="22"/>
                <w:szCs w:val="22"/>
              </w:rPr>
              <w:t xml:space="preserve"> [30 curies] or in a well without a surface casing to protect fresh water aquifers, is subject to the requirements of this part except Sec. 39.41.</w:t>
            </w:r>
          </w:p>
          <w:p w:rsidR="00F301F4" w:rsidRDefault="00F301F4" w:rsidP="00F301F4">
            <w:pPr>
              <w:widowControl/>
              <w:rPr>
                <w:rFonts w:ascii="Arial" w:hAnsi="Arial" w:cs="Arial"/>
                <w:sz w:val="22"/>
                <w:szCs w:val="22"/>
              </w:rPr>
            </w:pPr>
          </w:p>
          <w:p w:rsidR="00F301F4" w:rsidRDefault="00F301F4" w:rsidP="00F301F4">
            <w:pPr>
              <w:widowControl/>
              <w:rPr>
                <w:rFonts w:ascii="Arial" w:hAnsi="Arial" w:cs="Arial"/>
                <w:sz w:val="22"/>
                <w:szCs w:val="22"/>
              </w:rPr>
            </w:pPr>
          </w:p>
          <w:p w:rsidR="00F301F4" w:rsidRDefault="00F301F4" w:rsidP="00F301F4">
            <w:pPr>
              <w:widowControl/>
              <w:rPr>
                <w:rFonts w:ascii="Arial" w:hAnsi="Arial" w:cs="Arial"/>
                <w:sz w:val="22"/>
                <w:szCs w:val="22"/>
              </w:rPr>
            </w:pPr>
          </w:p>
          <w:p w:rsidR="00F301F4" w:rsidRPr="00F301F4" w:rsidRDefault="00F301F4" w:rsidP="00F301F4">
            <w:pPr>
              <w:widowControl/>
              <w:rPr>
                <w:rFonts w:ascii="Arial" w:hAnsi="Arial" w:cs="Arial"/>
                <w:sz w:val="22"/>
                <w:szCs w:val="22"/>
              </w:rPr>
            </w:pP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r w:rsidR="00CF2B77" w:rsidTr="00F301F4">
        <w:tc>
          <w:tcPr>
            <w:tcW w:w="117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sym w:font="WP TypographicSymbols" w:char="0027"/>
            </w:r>
            <w:r w:rsidRPr="00F301F4">
              <w:rPr>
                <w:rFonts w:ascii="Arial" w:hAnsi="Arial" w:cs="Arial"/>
                <w:sz w:val="22"/>
                <w:szCs w:val="22"/>
              </w:rPr>
              <w:t>39.77</w:t>
            </w:r>
          </w:p>
        </w:tc>
        <w:tc>
          <w:tcPr>
            <w:tcW w:w="15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Notification of incidents and lost sources; abandonment </w:t>
            </w:r>
          </w:p>
          <w:p w:rsidR="00CF2B77" w:rsidRPr="00F301F4" w:rsidRDefault="00CF2B77" w:rsidP="00F301F4">
            <w:pPr>
              <w:widowControl/>
              <w:rPr>
                <w:rFonts w:ascii="Arial" w:hAnsi="Arial" w:cs="Arial"/>
                <w:sz w:val="22"/>
                <w:szCs w:val="22"/>
              </w:rPr>
            </w:pPr>
            <w:r w:rsidRPr="00F301F4">
              <w:rPr>
                <w:rFonts w:ascii="Arial" w:hAnsi="Arial" w:cs="Arial"/>
                <w:sz w:val="22"/>
                <w:szCs w:val="22"/>
              </w:rPr>
              <w:t>procedures for irretrievable sources</w:t>
            </w:r>
          </w:p>
        </w:tc>
        <w:tc>
          <w:tcPr>
            <w:tcW w:w="108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p>
        </w:tc>
        <w:tc>
          <w:tcPr>
            <w:tcW w:w="1710" w:type="dxa"/>
          </w:tcPr>
          <w:p w:rsidR="00CF2B77" w:rsidRPr="00F301F4" w:rsidRDefault="00CF2B77" w:rsidP="00F301F4">
            <w:pPr>
              <w:rPr>
                <w:rFonts w:ascii="Arial" w:hAnsi="Arial" w:cs="Arial"/>
                <w:sz w:val="22"/>
                <w:szCs w:val="22"/>
              </w:rPr>
            </w:pPr>
          </w:p>
          <w:p w:rsidR="00CF2B77" w:rsidRPr="00F301F4" w:rsidRDefault="00CF2B77" w:rsidP="00F301F4">
            <w:pPr>
              <w:widowControl/>
              <w:jc w:val="center"/>
              <w:rPr>
                <w:rFonts w:ascii="Arial" w:hAnsi="Arial" w:cs="Arial"/>
                <w:sz w:val="22"/>
                <w:szCs w:val="22"/>
              </w:rPr>
            </w:pPr>
            <w:r w:rsidRPr="00F301F4">
              <w:rPr>
                <w:rFonts w:ascii="Arial" w:hAnsi="Arial" w:cs="Arial"/>
                <w:sz w:val="22"/>
                <w:szCs w:val="22"/>
              </w:rPr>
              <w:t>C</w:t>
            </w:r>
          </w:p>
        </w:tc>
        <w:tc>
          <w:tcPr>
            <w:tcW w:w="333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b/>
                <w:bCs/>
                <w:sz w:val="22"/>
                <w:szCs w:val="22"/>
              </w:rPr>
              <w:t>Revised Paragraph (c)(1) and added paragraph (d)(9):</w:t>
            </w:r>
          </w:p>
          <w:p w:rsidR="00CF2B77" w:rsidRPr="00F301F4" w:rsidRDefault="00CF2B77" w:rsidP="00F301F4">
            <w:pPr>
              <w:widowControl/>
              <w:rPr>
                <w:rFonts w:ascii="Arial" w:hAnsi="Arial" w:cs="Arial"/>
                <w:sz w:val="22"/>
                <w:szCs w:val="22"/>
              </w:rPr>
            </w:pPr>
            <w:r w:rsidRPr="00F301F4">
              <w:rPr>
                <w:rFonts w:ascii="Arial" w:hAnsi="Arial" w:cs="Arial"/>
                <w:sz w:val="22"/>
                <w:szCs w:val="22"/>
              </w:rPr>
              <w:t>(c)(1) Notify the appropriate NRC Regional Office by telephone of the</w:t>
            </w:r>
          </w:p>
          <w:p w:rsidR="00CF2B77" w:rsidRPr="00F301F4" w:rsidRDefault="00CF2B77" w:rsidP="00F301F4">
            <w:pPr>
              <w:widowControl/>
              <w:rPr>
                <w:rFonts w:ascii="Arial" w:hAnsi="Arial" w:cs="Arial"/>
                <w:sz w:val="22"/>
                <w:szCs w:val="22"/>
              </w:rPr>
            </w:pPr>
            <w:r w:rsidRPr="00F301F4">
              <w:rPr>
                <w:rFonts w:ascii="Arial" w:hAnsi="Arial" w:cs="Arial"/>
                <w:sz w:val="22"/>
                <w:szCs w:val="22"/>
              </w:rPr>
              <w:t>circumstances that resulted in the inability to retrieve the source and</w:t>
            </w:r>
            <w:r w:rsidRPr="00F301F4">
              <w:rPr>
                <w:rFonts w:ascii="Arial" w:hAnsi="Arial" w:cs="Arial"/>
                <w:sz w:val="22"/>
                <w:szCs w:val="22"/>
              </w:rPr>
              <w:noBreakHyphen/>
            </w:r>
            <w:r w:rsidRPr="00F301F4">
              <w:rPr>
                <w:rFonts w:ascii="Arial" w:hAnsi="Arial" w:cs="Arial"/>
                <w:sz w:val="22"/>
                <w:szCs w:val="22"/>
              </w:rPr>
              <w:noBreakHyphen/>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w:t>
            </w:r>
            <w:proofErr w:type="spellStart"/>
            <w:r w:rsidRPr="00F301F4">
              <w:rPr>
                <w:rFonts w:ascii="Arial" w:hAnsi="Arial" w:cs="Arial"/>
                <w:sz w:val="22"/>
                <w:szCs w:val="22"/>
              </w:rPr>
              <w:t>i</w:t>
            </w:r>
            <w:proofErr w:type="spellEnd"/>
            <w:r w:rsidRPr="00F301F4">
              <w:rPr>
                <w:rFonts w:ascii="Arial" w:hAnsi="Arial" w:cs="Arial"/>
                <w:sz w:val="22"/>
                <w:szCs w:val="22"/>
              </w:rPr>
              <w:t>) Obtain NRC approval to implement abandonment procedures; or</w:t>
            </w: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    (ii) That the licensee implemented abandonment before receiving NRC approval because the licensee believed there was an immediate threat to public health and safety; and</w:t>
            </w:r>
          </w:p>
          <w:p w:rsidR="00CF2B77" w:rsidRPr="00F301F4" w:rsidRDefault="00CF2B77" w:rsidP="00F301F4">
            <w:pPr>
              <w:widowControl/>
              <w:rPr>
                <w:rFonts w:ascii="Arial" w:hAnsi="Arial" w:cs="Arial"/>
                <w:sz w:val="22"/>
                <w:szCs w:val="22"/>
              </w:rPr>
            </w:pPr>
          </w:p>
          <w:p w:rsidR="00CF2B77" w:rsidRPr="00F301F4" w:rsidRDefault="00CF2B77" w:rsidP="00F301F4">
            <w:pPr>
              <w:widowControl/>
              <w:rPr>
                <w:rFonts w:ascii="Arial" w:hAnsi="Arial" w:cs="Arial"/>
                <w:sz w:val="22"/>
                <w:szCs w:val="22"/>
              </w:rPr>
            </w:pPr>
            <w:r w:rsidRPr="00F301F4">
              <w:rPr>
                <w:rFonts w:ascii="Arial" w:hAnsi="Arial" w:cs="Arial"/>
                <w:sz w:val="22"/>
                <w:szCs w:val="22"/>
              </w:rPr>
              <w:t xml:space="preserve">(d)(9) The immediate threat to public health and safety justification for implementing abandonment if prior NRC </w:t>
            </w:r>
            <w:r w:rsidRPr="00F301F4">
              <w:rPr>
                <w:rFonts w:ascii="Arial" w:hAnsi="Arial" w:cs="Arial"/>
                <w:sz w:val="22"/>
                <w:szCs w:val="22"/>
              </w:rPr>
              <w:lastRenderedPageBreak/>
              <w:t>approval was not obtained in accordance with paragraph (c)(1)(ii) of this section;</w:t>
            </w:r>
          </w:p>
        </w:tc>
        <w:tc>
          <w:tcPr>
            <w:tcW w:w="135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144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c>
          <w:tcPr>
            <w:tcW w:w="2700" w:type="dxa"/>
          </w:tcPr>
          <w:p w:rsidR="00CF2B77" w:rsidRPr="00F301F4" w:rsidRDefault="00CF2B77" w:rsidP="00F301F4">
            <w:pPr>
              <w:rPr>
                <w:rFonts w:ascii="Arial" w:hAnsi="Arial" w:cs="Arial"/>
                <w:sz w:val="22"/>
                <w:szCs w:val="22"/>
              </w:rPr>
            </w:pPr>
          </w:p>
          <w:p w:rsidR="00CF2B77" w:rsidRPr="00F301F4" w:rsidRDefault="00CF2B77" w:rsidP="00F301F4">
            <w:pPr>
              <w:widowControl/>
              <w:rPr>
                <w:rFonts w:ascii="Arial" w:hAnsi="Arial" w:cs="Arial"/>
                <w:sz w:val="22"/>
                <w:szCs w:val="22"/>
              </w:rPr>
            </w:pPr>
          </w:p>
        </w:tc>
      </w:tr>
    </w:tbl>
    <w:p w:rsidR="00CF2B77" w:rsidRDefault="00CF2B77">
      <w:pPr>
        <w:widowControl/>
        <w:rPr>
          <w:rFonts w:ascii="Arial" w:hAnsi="Arial" w:cs="Arial"/>
          <w:sz w:val="22"/>
          <w:szCs w:val="22"/>
        </w:rPr>
      </w:pPr>
    </w:p>
    <w:sectPr w:rsidR="00CF2B77" w:rsidSect="00CF2B77">
      <w:footerReference w:type="default" r:id="rId9"/>
      <w:type w:val="continuous"/>
      <w:pgSz w:w="15840" w:h="12240" w:orient="landscape"/>
      <w:pgMar w:top="810" w:right="1440" w:bottom="270" w:left="81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77A" w:rsidRDefault="00AB477A" w:rsidP="00AB477A">
      <w:r>
        <w:separator/>
      </w:r>
    </w:p>
  </w:endnote>
  <w:endnote w:type="continuationSeparator" w:id="0">
    <w:p w:rsidR="00AB477A" w:rsidRDefault="00AB477A" w:rsidP="00AB4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5010101010101010101"/>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7A" w:rsidRDefault="0045562E">
    <w:pPr>
      <w:pStyle w:val="Footer"/>
      <w:jc w:val="center"/>
    </w:pPr>
    <w:fldSimple w:instr=" PAGE   \* MERGEFORMAT ">
      <w:r w:rsidR="00857186">
        <w:rPr>
          <w:noProof/>
        </w:rPr>
        <w:t>7</w:t>
      </w:r>
    </w:fldSimple>
  </w:p>
  <w:p w:rsidR="00AB477A" w:rsidRDefault="00AB4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77A" w:rsidRDefault="00AB477A" w:rsidP="00AB477A">
      <w:r>
        <w:separator/>
      </w:r>
    </w:p>
  </w:footnote>
  <w:footnote w:type="continuationSeparator" w:id="0">
    <w:p w:rsidR="00AB477A" w:rsidRDefault="00AB477A" w:rsidP="00AB4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F2B77"/>
    <w:rsid w:val="0045562E"/>
    <w:rsid w:val="00857186"/>
    <w:rsid w:val="00AB477A"/>
    <w:rsid w:val="00C35F34"/>
    <w:rsid w:val="00CF2B77"/>
    <w:rsid w:val="00F30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62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5562E"/>
  </w:style>
  <w:style w:type="paragraph" w:styleId="Header">
    <w:name w:val="header"/>
    <w:basedOn w:val="Normal"/>
    <w:link w:val="HeaderChar"/>
    <w:rsid w:val="00AB477A"/>
    <w:pPr>
      <w:tabs>
        <w:tab w:val="center" w:pos="4680"/>
        <w:tab w:val="right" w:pos="9360"/>
      </w:tabs>
    </w:pPr>
  </w:style>
  <w:style w:type="character" w:customStyle="1" w:styleId="HeaderChar">
    <w:name w:val="Header Char"/>
    <w:basedOn w:val="DefaultParagraphFont"/>
    <w:link w:val="Header"/>
    <w:rsid w:val="00AB477A"/>
    <w:rPr>
      <w:sz w:val="24"/>
      <w:szCs w:val="24"/>
    </w:rPr>
  </w:style>
  <w:style w:type="paragraph" w:styleId="Footer">
    <w:name w:val="footer"/>
    <w:basedOn w:val="Normal"/>
    <w:link w:val="FooterChar"/>
    <w:uiPriority w:val="99"/>
    <w:rsid w:val="00AB477A"/>
    <w:pPr>
      <w:tabs>
        <w:tab w:val="center" w:pos="4680"/>
        <w:tab w:val="right" w:pos="9360"/>
      </w:tabs>
    </w:pPr>
  </w:style>
  <w:style w:type="character" w:customStyle="1" w:styleId="FooterChar">
    <w:name w:val="Footer Char"/>
    <w:basedOn w:val="DefaultParagraphFont"/>
    <w:link w:val="Footer"/>
    <w:uiPriority w:val="99"/>
    <w:rsid w:val="00AB477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3C54C42AFB82408109D9664BF3C3C3" ma:contentTypeVersion="1" ma:contentTypeDescription="Create a new document." ma:contentTypeScope="" ma:versionID="c48cc9a8de463568e32470c1b479aa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B54A369-E3E2-4171-8D92-675D8B31C91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B473182-2596-4F43-8F00-98085F202E44}">
  <ds:schemaRefs>
    <ds:schemaRef ds:uri="http://schemas.microsoft.com/sharepoint/v3/contenttype/forms"/>
  </ds:schemaRefs>
</ds:datastoreItem>
</file>

<file path=customXml/itemProps3.xml><?xml version="1.0" encoding="utf-8"?>
<ds:datastoreItem xmlns:ds="http://schemas.openxmlformats.org/officeDocument/2006/customXml" ds:itemID="{64C58382-FD94-43A8-A7AC-5E3081D63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1330</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KNM1</dc:creator>
  <cp:keywords/>
  <dc:description/>
  <cp:lastModifiedBy>kxs</cp:lastModifiedBy>
  <cp:revision>2</cp:revision>
  <dcterms:created xsi:type="dcterms:W3CDTF">2012-08-17T13:57:00Z</dcterms:created>
  <dcterms:modified xsi:type="dcterms:W3CDTF">2012-08-17T13:57:00Z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0x010100FB3C54C42AFB82408109D9664BF3C3C3</vt:lpwstr>
  </property>
</Properties>
</file>