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68" w:rsidRPr="003861C1" w:rsidRDefault="00F17868">
      <w:pPr>
        <w:widowControl/>
        <w:jc w:val="center"/>
        <w:rPr>
          <w:rFonts w:ascii="Arial" w:hAnsi="Arial" w:cs="Arial"/>
          <w:b/>
          <w:bCs/>
          <w:sz w:val="22"/>
          <w:szCs w:val="22"/>
        </w:rPr>
      </w:pPr>
      <w:r w:rsidRPr="003861C1">
        <w:rPr>
          <w:rFonts w:ascii="Arial" w:hAnsi="Arial" w:cs="Arial"/>
          <w:b/>
          <w:bCs/>
          <w:sz w:val="22"/>
          <w:szCs w:val="22"/>
        </w:rPr>
        <w:t>Criteria for the Release of Individuals Administered Radioactive Material</w:t>
      </w:r>
    </w:p>
    <w:p w:rsidR="00F17868" w:rsidRDefault="00F17868">
      <w:pPr>
        <w:widowControl/>
        <w:jc w:val="center"/>
        <w:rPr>
          <w:rFonts w:ascii="Arial" w:hAnsi="Arial" w:cs="Arial"/>
          <w:b/>
          <w:sz w:val="22"/>
          <w:szCs w:val="22"/>
        </w:rPr>
      </w:pPr>
      <w:r w:rsidRPr="003861C1">
        <w:rPr>
          <w:rFonts w:ascii="Arial" w:hAnsi="Arial" w:cs="Arial"/>
          <w:b/>
          <w:bCs/>
          <w:sz w:val="22"/>
          <w:szCs w:val="22"/>
        </w:rPr>
        <w:t xml:space="preserve">  </w:t>
      </w:r>
      <w:r w:rsidRPr="003861C1">
        <w:rPr>
          <w:rFonts w:ascii="Arial" w:hAnsi="Arial" w:cs="Arial"/>
          <w:b/>
          <w:sz w:val="22"/>
          <w:szCs w:val="22"/>
        </w:rPr>
        <w:t xml:space="preserve">(62 FR 4120, January 29, 1997) </w:t>
      </w:r>
      <w:r w:rsidRPr="003861C1">
        <w:rPr>
          <w:rFonts w:ascii="Arial" w:hAnsi="Arial" w:cs="Arial"/>
          <w:b/>
          <w:bCs/>
          <w:sz w:val="22"/>
          <w:szCs w:val="22"/>
        </w:rPr>
        <w:t xml:space="preserve"> RATS ID 1997</w:t>
      </w:r>
      <w:r w:rsidRPr="003861C1">
        <w:rPr>
          <w:rFonts w:ascii="Arial" w:hAnsi="Arial" w:cs="Arial"/>
          <w:b/>
          <w:bCs/>
          <w:sz w:val="22"/>
          <w:szCs w:val="22"/>
        </w:rPr>
        <w:noBreakHyphen/>
        <w:t>3</w:t>
      </w:r>
      <w:r w:rsidRPr="003861C1">
        <w:rPr>
          <w:rFonts w:ascii="Arial" w:hAnsi="Arial" w:cs="Arial"/>
          <w:b/>
          <w:sz w:val="22"/>
          <w:szCs w:val="22"/>
        </w:rPr>
        <w:t xml:space="preserve"> Effective 5/29/97</w:t>
      </w:r>
    </w:p>
    <w:p w:rsidR="003861C1" w:rsidRPr="003861C1" w:rsidRDefault="003861C1">
      <w:pPr>
        <w:widowControl/>
        <w:jc w:val="center"/>
        <w:rPr>
          <w:rFonts w:ascii="Arial" w:hAnsi="Arial" w:cs="Arial"/>
          <w:b/>
          <w:sz w:val="22"/>
          <w:szCs w:val="22"/>
        </w:rPr>
      </w:pPr>
    </w:p>
    <w:p w:rsidR="00F17868" w:rsidRDefault="00F17868">
      <w:pPr>
        <w:widowControl/>
        <w:rPr>
          <w:rFonts w:ascii="Arial" w:hAnsi="Arial" w:cs="Arial"/>
          <w:sz w:val="22"/>
          <w:szCs w:val="22"/>
        </w:rPr>
      </w:pPr>
    </w:p>
    <w:tbl>
      <w:tblPr>
        <w:tblW w:w="14400" w:type="dxa"/>
        <w:tblInd w:w="39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330"/>
        <w:gridCol w:w="1350"/>
        <w:gridCol w:w="1440"/>
        <w:gridCol w:w="2790"/>
      </w:tblGrid>
      <w:tr w:rsidR="00F17868" w:rsidTr="003861C1">
        <w:tblPrEx>
          <w:tblCellMar>
            <w:top w:w="0" w:type="dxa"/>
            <w:bottom w:w="0" w:type="dxa"/>
          </w:tblCellMar>
        </w:tblPrEx>
        <w:trPr>
          <w:tblHeader/>
        </w:trPr>
        <w:tc>
          <w:tcPr>
            <w:tcW w:w="1170" w:type="dxa"/>
            <w:tcBorders>
              <w:top w:val="double" w:sz="6" w:space="0" w:color="000000"/>
              <w:bottom w:val="double" w:sz="6" w:space="0" w:color="000000"/>
            </w:tcBorders>
          </w:tcPr>
          <w:p w:rsidR="00F17868" w:rsidRPr="003861C1" w:rsidRDefault="00F17868" w:rsidP="003861C1">
            <w:pPr>
              <w:jc w:val="center"/>
              <w:rPr>
                <w:rFonts w:ascii="Arial" w:hAnsi="Arial" w:cs="Arial"/>
                <w:sz w:val="22"/>
                <w:szCs w:val="22"/>
              </w:rPr>
            </w:pP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Change to NRC</w:t>
            </w: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Section</w:t>
            </w:r>
          </w:p>
        </w:tc>
        <w:tc>
          <w:tcPr>
            <w:tcW w:w="153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tabs>
                <w:tab w:val="center" w:pos="825"/>
              </w:tabs>
              <w:jc w:val="center"/>
              <w:rPr>
                <w:rFonts w:ascii="Arial" w:hAnsi="Arial" w:cs="Arial"/>
                <w:b/>
                <w:bCs/>
                <w:sz w:val="22"/>
                <w:szCs w:val="22"/>
              </w:rPr>
            </w:pPr>
            <w:r w:rsidRPr="003861C1">
              <w:rPr>
                <w:rFonts w:ascii="Arial" w:hAnsi="Arial" w:cs="Arial"/>
                <w:b/>
                <w:bCs/>
                <w:sz w:val="22"/>
                <w:szCs w:val="22"/>
              </w:rPr>
              <w:t>Title</w:t>
            </w:r>
          </w:p>
        </w:tc>
        <w:tc>
          <w:tcPr>
            <w:tcW w:w="108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tabs>
                <w:tab w:val="center" w:pos="375"/>
              </w:tabs>
              <w:jc w:val="center"/>
              <w:rPr>
                <w:rFonts w:ascii="Arial" w:hAnsi="Arial" w:cs="Arial"/>
                <w:b/>
                <w:bCs/>
                <w:sz w:val="22"/>
                <w:szCs w:val="22"/>
              </w:rPr>
            </w:pPr>
            <w:r w:rsidRPr="003861C1">
              <w:rPr>
                <w:rFonts w:ascii="Arial" w:hAnsi="Arial" w:cs="Arial"/>
                <w:b/>
                <w:bCs/>
                <w:sz w:val="22"/>
                <w:szCs w:val="22"/>
              </w:rPr>
              <w:t xml:space="preserve">State </w:t>
            </w: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Section</w:t>
            </w:r>
          </w:p>
        </w:tc>
        <w:tc>
          <w:tcPr>
            <w:tcW w:w="171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 xml:space="preserve">Compatibility </w:t>
            </w: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Category</w:t>
            </w:r>
          </w:p>
        </w:tc>
        <w:tc>
          <w:tcPr>
            <w:tcW w:w="333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tabs>
                <w:tab w:val="center" w:pos="1815"/>
              </w:tabs>
              <w:jc w:val="center"/>
              <w:rPr>
                <w:rFonts w:ascii="Arial" w:hAnsi="Arial" w:cs="Arial"/>
                <w:b/>
                <w:bCs/>
                <w:sz w:val="22"/>
                <w:szCs w:val="22"/>
              </w:rPr>
            </w:pPr>
            <w:r w:rsidRPr="003861C1">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Difference</w:t>
            </w: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Yes/No</w:t>
            </w:r>
          </w:p>
        </w:tc>
        <w:tc>
          <w:tcPr>
            <w:tcW w:w="144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Significant</w:t>
            </w: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Yes/No</w:t>
            </w:r>
          </w:p>
        </w:tc>
        <w:tc>
          <w:tcPr>
            <w:tcW w:w="2790" w:type="dxa"/>
            <w:tcBorders>
              <w:top w:val="double" w:sz="6" w:space="0" w:color="000000"/>
              <w:bottom w:val="double" w:sz="6" w:space="0" w:color="000000"/>
            </w:tcBorders>
          </w:tcPr>
          <w:p w:rsidR="00F17868" w:rsidRPr="003861C1" w:rsidRDefault="00F17868" w:rsidP="003861C1">
            <w:pPr>
              <w:jc w:val="center"/>
              <w:rPr>
                <w:rFonts w:ascii="Arial" w:hAnsi="Arial" w:cs="Arial"/>
                <w:b/>
                <w:bCs/>
                <w:sz w:val="22"/>
                <w:szCs w:val="22"/>
              </w:rPr>
            </w:pPr>
          </w:p>
          <w:p w:rsidR="00F17868" w:rsidRPr="003861C1" w:rsidRDefault="00F17868" w:rsidP="003861C1">
            <w:pPr>
              <w:widowControl/>
              <w:jc w:val="center"/>
              <w:rPr>
                <w:rFonts w:ascii="Arial" w:hAnsi="Arial" w:cs="Arial"/>
                <w:b/>
                <w:bCs/>
                <w:sz w:val="22"/>
                <w:szCs w:val="22"/>
              </w:rPr>
            </w:pPr>
            <w:r w:rsidRPr="003861C1">
              <w:rPr>
                <w:rFonts w:ascii="Arial" w:hAnsi="Arial" w:cs="Arial"/>
                <w:b/>
                <w:bCs/>
                <w:sz w:val="22"/>
                <w:szCs w:val="22"/>
              </w:rPr>
              <w:t>If Difference, Why or Why Not Was a Comment Generated</w:t>
            </w:r>
          </w:p>
        </w:tc>
      </w:tr>
      <w:tr w:rsidR="00F17868" w:rsidTr="003861C1">
        <w:tblPrEx>
          <w:tblCellMar>
            <w:top w:w="0" w:type="dxa"/>
            <w:bottom w:w="0" w:type="dxa"/>
          </w:tblCellMar>
        </w:tblPrEx>
        <w:tc>
          <w:tcPr>
            <w:tcW w:w="1170" w:type="dxa"/>
            <w:tcBorders>
              <w:top w:val="double" w:sz="6" w:space="0" w:color="000000"/>
            </w:tcBorders>
          </w:tcPr>
          <w:p w:rsidR="00F17868" w:rsidRPr="003861C1" w:rsidRDefault="00F17868" w:rsidP="003861C1">
            <w:pPr>
              <w:rPr>
                <w:rFonts w:ascii="Arial" w:hAnsi="Arial" w:cs="Arial"/>
                <w:b/>
                <w:bCs/>
                <w:sz w:val="22"/>
                <w:szCs w:val="22"/>
              </w:rPr>
            </w:pPr>
          </w:p>
          <w:p w:rsidR="00F17868" w:rsidRPr="003861C1" w:rsidRDefault="00F17868" w:rsidP="003861C1">
            <w:pPr>
              <w:widowControl/>
              <w:jc w:val="center"/>
              <w:rPr>
                <w:rFonts w:ascii="Arial" w:hAnsi="Arial" w:cs="Arial"/>
                <w:sz w:val="22"/>
                <w:szCs w:val="22"/>
              </w:rPr>
            </w:pPr>
            <w:r w:rsidRPr="003861C1">
              <w:rPr>
                <w:rFonts w:ascii="Arial" w:hAnsi="Arial" w:cs="Arial"/>
                <w:sz w:val="22"/>
                <w:szCs w:val="22"/>
              </w:rPr>
              <w:sym w:font="WP TypographicSymbols" w:char="0027"/>
            </w:r>
            <w:r w:rsidRPr="003861C1">
              <w:rPr>
                <w:rFonts w:ascii="Arial" w:hAnsi="Arial" w:cs="Arial"/>
                <w:sz w:val="22"/>
                <w:szCs w:val="22"/>
              </w:rPr>
              <w:t>20.1003</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Definitions</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A</w:t>
            </w:r>
          </w:p>
        </w:tc>
        <w:tc>
          <w:tcPr>
            <w:tcW w:w="333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b/>
                <w:bCs/>
                <w:sz w:val="22"/>
                <w:szCs w:val="22"/>
              </w:rPr>
              <w:t>Amended Definition:</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Occupational dose: means the dose received by an individual in the course of employment in which the individual's assigned duties involve exposure to radiation or to radioactive material from licensed and unlicensed sources of radiation, whether in the possession of the licensee or other person. Occupational dose does not include dose received from background radiation, from any medical administration the individual has received, from exposure to individuals administered radioactive material and released in accordance with Sec. 35.75, from voluntary participation in medical research programs, or as a member of the public.</w:t>
            </w:r>
          </w:p>
        </w:tc>
        <w:tc>
          <w:tcPr>
            <w:tcW w:w="135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Borders>
              <w:top w:val="double" w:sz="6" w:space="0" w:color="000000"/>
            </w:tcBorders>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sym w:font="WP TypographicSymbols" w:char="0027"/>
            </w:r>
            <w:r w:rsidRPr="003861C1">
              <w:rPr>
                <w:rFonts w:ascii="Arial" w:hAnsi="Arial" w:cs="Arial"/>
                <w:sz w:val="22"/>
                <w:szCs w:val="22"/>
              </w:rPr>
              <w:t>20.1003</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Definitions</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A</w:t>
            </w:r>
          </w:p>
        </w:tc>
        <w:tc>
          <w:tcPr>
            <w:tcW w:w="33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b/>
                <w:bCs/>
                <w:sz w:val="22"/>
                <w:szCs w:val="22"/>
              </w:rPr>
              <w:t>Amended Definition:</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Public dose: means</w:t>
            </w:r>
            <w:r w:rsidRPr="003861C1">
              <w:rPr>
                <w:rFonts w:ascii="Arial" w:hAnsi="Arial" w:cs="Arial"/>
                <w:b/>
                <w:bCs/>
                <w:sz w:val="22"/>
                <w:szCs w:val="22"/>
              </w:rPr>
              <w:t xml:space="preserve"> </w:t>
            </w:r>
            <w:r w:rsidRPr="003861C1">
              <w:rPr>
                <w:rFonts w:ascii="Arial" w:hAnsi="Arial" w:cs="Arial"/>
                <w:sz w:val="22"/>
                <w:szCs w:val="22"/>
              </w:rPr>
              <w:t xml:space="preserve">the dose received by a member of the public from exposure to radiation or radioactive material released by a licensee, or to any other source of radiation under the control of a licensee. </w:t>
            </w:r>
            <w:r w:rsidRPr="003861C1">
              <w:rPr>
                <w:rFonts w:ascii="Arial" w:hAnsi="Arial" w:cs="Arial"/>
                <w:sz w:val="22"/>
                <w:szCs w:val="22"/>
              </w:rPr>
              <w:lastRenderedPageBreak/>
              <w:t>Public dose does not include occupational dose or doses received from background radiation, from any medical administration the individual has received, from exposure to individuals administered radioactive material and released in accordance with Sec. 35.75, or from voluntary participation in medical research programs.</w:t>
            </w: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sym w:font="WP TypographicSymbols" w:char="0027"/>
            </w:r>
            <w:r w:rsidRPr="003861C1">
              <w:rPr>
                <w:rFonts w:ascii="Arial" w:hAnsi="Arial" w:cs="Arial"/>
                <w:sz w:val="22"/>
                <w:szCs w:val="22"/>
              </w:rPr>
              <w:t>20.1301</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(a)</w:t>
            </w: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Dose limits for individual members of the public</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A</w:t>
            </w:r>
          </w:p>
        </w:tc>
        <w:tc>
          <w:tcPr>
            <w:tcW w:w="33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b/>
                <w:bCs/>
                <w:sz w:val="22"/>
                <w:szCs w:val="22"/>
              </w:rPr>
              <w:t>Amended Paragraph:</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 xml:space="preserve">(a) Each licensee shall conduct operations so that-- (1) The total effective dose equivalent to individual members of the public from the licensed operation does not exceed 0.1 rem (1 millisievert) in a year, exclusive of the dose contributions from background radiation, from any medical administration the individual has received, from exposure to individuals administered radioactive material and released in accordance with Sec. 35.75, from voluntary participation in medical research programs, and from the licensee's disposal of radioactive material into sanitary sewerage in accordance with Sec. 20.2003, and (2) The dose in any </w:t>
            </w:r>
            <w:r w:rsidRPr="003861C1">
              <w:rPr>
                <w:rFonts w:ascii="Arial" w:hAnsi="Arial" w:cs="Arial"/>
                <w:sz w:val="22"/>
                <w:szCs w:val="22"/>
              </w:rPr>
              <w:lastRenderedPageBreak/>
              <w:t xml:space="preserve">unrestricted area from external sources, exclusive of the dose contributions from patients administered radioactive material and released in accordance with Sec. 35.75, does not exceed 0.002 rem (0.02 millisievert) in any one hour. </w:t>
            </w: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sym w:font="WP TypographicSymbols" w:char="0027"/>
            </w:r>
            <w:r w:rsidRPr="003861C1">
              <w:rPr>
                <w:rFonts w:ascii="Arial" w:hAnsi="Arial" w:cs="Arial"/>
                <w:sz w:val="22"/>
                <w:szCs w:val="22"/>
              </w:rPr>
              <w:t>20.1903</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Exceptions to posting requirements</w:t>
            </w: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D</w:t>
            </w:r>
          </w:p>
        </w:tc>
        <w:tc>
          <w:tcPr>
            <w:tcW w:w="3330" w:type="dxa"/>
          </w:tcPr>
          <w:p w:rsidR="00F17868" w:rsidRPr="003861C1" w:rsidRDefault="00F17868" w:rsidP="003861C1">
            <w:pPr>
              <w:rPr>
                <w:rFonts w:ascii="Arial" w:hAnsi="Arial" w:cs="Arial"/>
                <w:sz w:val="22"/>
                <w:szCs w:val="22"/>
              </w:rPr>
            </w:pPr>
          </w:p>
          <w:p w:rsidR="00F17868"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350" w:type="dxa"/>
          </w:tcPr>
          <w:p w:rsidR="00F17868" w:rsidRPr="003861C1" w:rsidRDefault="00F17868" w:rsidP="003861C1">
            <w:pPr>
              <w:rPr>
                <w:rFonts w:ascii="Arial" w:hAnsi="Arial" w:cs="Arial"/>
                <w:sz w:val="22"/>
                <w:szCs w:val="22"/>
              </w:rPr>
            </w:pPr>
          </w:p>
          <w:p w:rsidR="00F17868"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rPr>
              <w:sym w:font="WP TypographicSymbols" w:char="0027"/>
            </w:r>
            <w:r w:rsidRPr="003861C1">
              <w:rPr>
                <w:rFonts w:ascii="Arial" w:hAnsi="Arial" w:cs="Arial"/>
                <w:sz w:val="22"/>
                <w:szCs w:val="22"/>
              </w:rPr>
              <w:t>35.75</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(a)</w:t>
            </w: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Release of individuals containing radiopharmaceuticals or permanent implants</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C</w:t>
            </w:r>
          </w:p>
        </w:tc>
        <w:tc>
          <w:tcPr>
            <w:tcW w:w="33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b/>
                <w:bCs/>
                <w:sz w:val="22"/>
                <w:szCs w:val="22"/>
              </w:rPr>
              <w:t>Amended Paragraph:</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(a) The licensee may authorize the release from its control of any individual who has been administered radiopharmaceuticals or permanent implants containing radioactive material if the total effective dose equivalent to any other individual from exposure to the released individual is not likely to exceed 5 millisieverts (0.5 rem).</w:t>
            </w:r>
            <w:r w:rsidRPr="003861C1">
              <w:rPr>
                <w:rFonts w:ascii="Arial" w:hAnsi="Arial" w:cs="Arial"/>
                <w:sz w:val="22"/>
                <w:szCs w:val="22"/>
                <w:vertAlign w:val="superscript"/>
              </w:rPr>
              <w:t>1</w:t>
            </w:r>
          </w:p>
          <w:p w:rsidR="00F17868"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vertAlign w:val="superscript"/>
              </w:rPr>
              <w:t>1</w:t>
            </w:r>
            <w:r w:rsidR="003861C1">
              <w:rPr>
                <w:rFonts w:ascii="Arial" w:hAnsi="Arial" w:cs="Arial"/>
                <w:sz w:val="22"/>
                <w:szCs w:val="22"/>
              </w:rPr>
              <w:t>Regulatory Guide 8.39, “</w:t>
            </w:r>
            <w:r w:rsidRPr="003861C1">
              <w:rPr>
                <w:rFonts w:ascii="Arial" w:hAnsi="Arial" w:cs="Arial"/>
                <w:sz w:val="22"/>
                <w:szCs w:val="22"/>
              </w:rPr>
              <w:t>Release of Patients Admin</w:t>
            </w:r>
            <w:r w:rsidR="003861C1">
              <w:rPr>
                <w:rFonts w:ascii="Arial" w:hAnsi="Arial" w:cs="Arial"/>
                <w:sz w:val="22"/>
                <w:szCs w:val="22"/>
              </w:rPr>
              <w:t xml:space="preserve">istered Radioactive Materials,” </w:t>
            </w:r>
            <w:r w:rsidRPr="003861C1">
              <w:rPr>
                <w:rFonts w:ascii="Arial" w:hAnsi="Arial" w:cs="Arial"/>
                <w:sz w:val="22"/>
                <w:szCs w:val="22"/>
              </w:rPr>
              <w:t>describes methods for calculating doses to other individuals and contains tables of activities not likely to cause doses exceeding 5 millisieverts (0.5 rem)</w:t>
            </w:r>
          </w:p>
          <w:p w:rsid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861C1"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rPr>
              <w:sym w:font="WP TypographicSymbols" w:char="0027"/>
            </w:r>
            <w:r w:rsidRPr="003861C1">
              <w:rPr>
                <w:rFonts w:ascii="Arial" w:hAnsi="Arial" w:cs="Arial"/>
                <w:sz w:val="22"/>
                <w:szCs w:val="22"/>
              </w:rPr>
              <w:t>35.7</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(b)</w:t>
            </w: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Release of individuals containing radiopharmaceuticals or permanent implants</w:t>
            </w: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H&amp;S</w:t>
            </w:r>
          </w:p>
        </w:tc>
        <w:tc>
          <w:tcPr>
            <w:tcW w:w="33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Amended Paragraph:</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 xml:space="preserve">(b) The licensee shall provide the released individual with instructions, including written instructions, on actions recommended to maintain doses to other individuals as low as is reasonably achievable if the total effective dose equivalent to any other individual is likely to exceed 1 millisievert (0.1 rem). If the dose to a breast- feeding infant or child could exceed 1 millisievert (0.1 rem) assuming there were no interruption of breast-feeding, the instructions shall also include: (1) Guidance on the interruption or discontinuation of breast- feeding and (2) Information on the consequences of failure to follow the guidance. </w:t>
            </w: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rPr>
              <w:sym w:font="WP TypographicSymbols" w:char="0027"/>
            </w:r>
            <w:r w:rsidRPr="003861C1">
              <w:rPr>
                <w:rFonts w:ascii="Arial" w:hAnsi="Arial" w:cs="Arial"/>
                <w:sz w:val="22"/>
                <w:szCs w:val="22"/>
              </w:rPr>
              <w:t>35.7</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(c)</w:t>
            </w:r>
            <w:r w:rsidR="003861C1">
              <w:rPr>
                <w:rFonts w:ascii="Arial" w:hAnsi="Arial" w:cs="Arial"/>
                <w:sz w:val="22"/>
                <w:szCs w:val="22"/>
              </w:rPr>
              <w:t xml:space="preserve"> &amp; </w:t>
            </w:r>
            <w:r w:rsidRPr="003861C1">
              <w:rPr>
                <w:rFonts w:ascii="Arial" w:hAnsi="Arial" w:cs="Arial"/>
                <w:sz w:val="22"/>
                <w:szCs w:val="22"/>
              </w:rPr>
              <w:t>(d)</w:t>
            </w: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Release of individuals containing radiopharmaceuticals or permanent implants</w:t>
            </w: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D</w:t>
            </w:r>
          </w:p>
        </w:tc>
        <w:tc>
          <w:tcPr>
            <w:tcW w:w="3330" w:type="dxa"/>
          </w:tcPr>
          <w:p w:rsidR="00F17868" w:rsidRPr="003861C1" w:rsidRDefault="00F17868" w:rsidP="003861C1">
            <w:pPr>
              <w:rPr>
                <w:rFonts w:ascii="Arial" w:hAnsi="Arial" w:cs="Arial"/>
                <w:sz w:val="22"/>
                <w:szCs w:val="22"/>
              </w:rPr>
            </w:pPr>
          </w:p>
          <w:p w:rsidR="00F17868"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r w:rsidR="00F17868" w:rsidRPr="003861C1">
              <w:rPr>
                <w:rFonts w:ascii="Arial" w:hAnsi="Arial" w:cs="Arial"/>
                <w:sz w:val="22"/>
                <w:szCs w:val="22"/>
              </w:rPr>
              <w:t xml:space="preserve"> </w:t>
            </w: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N/A</w:t>
            </w: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rPr>
              <w:sym w:font="WP TypographicSymbols" w:char="0027"/>
            </w:r>
            <w:r w:rsidRPr="003861C1">
              <w:rPr>
                <w:rFonts w:ascii="Arial" w:hAnsi="Arial" w:cs="Arial"/>
                <w:sz w:val="22"/>
                <w:szCs w:val="22"/>
              </w:rPr>
              <w:t>35.315</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Safety precautions</w:t>
            </w: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D</w:t>
            </w:r>
          </w:p>
        </w:tc>
        <w:tc>
          <w:tcPr>
            <w:tcW w:w="3330" w:type="dxa"/>
          </w:tcPr>
          <w:p w:rsidR="00F17868" w:rsidRPr="003861C1" w:rsidRDefault="00F17868" w:rsidP="003861C1">
            <w:pPr>
              <w:rPr>
                <w:rFonts w:ascii="Arial" w:hAnsi="Arial" w:cs="Arial"/>
                <w:sz w:val="22"/>
                <w:szCs w:val="22"/>
              </w:rPr>
            </w:pPr>
          </w:p>
          <w:p w:rsidR="00F17868"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Pr>
                <w:rFonts w:ascii="Arial" w:hAnsi="Arial" w:cs="Arial"/>
                <w:bCs/>
                <w:sz w:val="22"/>
                <w:szCs w:val="22"/>
              </w:rPr>
              <w:t>N/A</w:t>
            </w:r>
          </w:p>
        </w:tc>
        <w:tc>
          <w:tcPr>
            <w:tcW w:w="1350" w:type="dxa"/>
          </w:tcPr>
          <w:p w:rsidR="00F17868" w:rsidRPr="003861C1" w:rsidRDefault="00F17868" w:rsidP="003861C1">
            <w:pPr>
              <w:rPr>
                <w:rFonts w:ascii="Arial" w:hAnsi="Arial" w:cs="Arial"/>
                <w:b/>
                <w:bCs/>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N/A</w:t>
            </w: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F17868" w:rsidTr="003861C1">
        <w:tblPrEx>
          <w:tblCellMar>
            <w:top w:w="0" w:type="dxa"/>
            <w:bottom w:w="0" w:type="dxa"/>
          </w:tblCellMar>
        </w:tblPrEx>
        <w:tc>
          <w:tcPr>
            <w:tcW w:w="117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 xml:space="preserve"> </w:t>
            </w:r>
            <w:r w:rsidRPr="003861C1">
              <w:rPr>
                <w:rFonts w:ascii="Arial" w:hAnsi="Arial" w:cs="Arial"/>
                <w:sz w:val="22"/>
                <w:szCs w:val="22"/>
              </w:rPr>
              <w:sym w:font="WP TypographicSymbols" w:char="0027"/>
            </w:r>
            <w:r w:rsidRPr="003861C1">
              <w:rPr>
                <w:rFonts w:ascii="Arial" w:hAnsi="Arial" w:cs="Arial"/>
                <w:sz w:val="22"/>
                <w:szCs w:val="22"/>
              </w:rPr>
              <w:t>35.415</w:t>
            </w: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Safety precautions</w:t>
            </w:r>
          </w:p>
        </w:tc>
        <w:tc>
          <w:tcPr>
            <w:tcW w:w="108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3861C1">
              <w:rPr>
                <w:rFonts w:ascii="Arial" w:hAnsi="Arial" w:cs="Arial"/>
                <w:sz w:val="22"/>
                <w:szCs w:val="22"/>
              </w:rPr>
              <w:t>D</w:t>
            </w:r>
          </w:p>
        </w:tc>
        <w:tc>
          <w:tcPr>
            <w:tcW w:w="3330" w:type="dxa"/>
          </w:tcPr>
          <w:p w:rsidR="00F17868" w:rsidRPr="003861C1" w:rsidRDefault="00F17868" w:rsidP="003861C1">
            <w:pPr>
              <w:rPr>
                <w:rFonts w:ascii="Arial" w:hAnsi="Arial" w:cs="Arial"/>
                <w:sz w:val="22"/>
                <w:szCs w:val="22"/>
              </w:rPr>
            </w:pPr>
          </w:p>
          <w:p w:rsidR="00F17868" w:rsidRPr="003861C1" w:rsidRDefault="003861C1"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35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61C1">
              <w:rPr>
                <w:rFonts w:ascii="Arial" w:hAnsi="Arial" w:cs="Arial"/>
                <w:sz w:val="22"/>
                <w:szCs w:val="22"/>
              </w:rPr>
              <w:t>N/A</w:t>
            </w:r>
          </w:p>
        </w:tc>
        <w:tc>
          <w:tcPr>
            <w:tcW w:w="144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790" w:type="dxa"/>
          </w:tcPr>
          <w:p w:rsidR="00F17868" w:rsidRPr="003861C1" w:rsidRDefault="00F17868" w:rsidP="003861C1">
            <w:pPr>
              <w:rPr>
                <w:rFonts w:ascii="Arial" w:hAnsi="Arial" w:cs="Arial"/>
                <w:sz w:val="22"/>
                <w:szCs w:val="22"/>
              </w:rPr>
            </w:pPr>
          </w:p>
          <w:p w:rsidR="00F17868" w:rsidRPr="003861C1" w:rsidRDefault="00F17868" w:rsidP="003861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F17868" w:rsidRDefault="00F178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F17868" w:rsidSect="00F17868">
      <w:footerReference w:type="default" r:id="rId6"/>
      <w:type w:val="continuous"/>
      <w:pgSz w:w="15840" w:h="12240" w:orient="landscape"/>
      <w:pgMar w:top="810" w:right="1440" w:bottom="270" w:left="72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BB" w:rsidRDefault="003851BB" w:rsidP="003851BB">
      <w:r>
        <w:separator/>
      </w:r>
    </w:p>
  </w:endnote>
  <w:endnote w:type="continuationSeparator" w:id="0">
    <w:p w:rsidR="003851BB" w:rsidRDefault="003851BB" w:rsidP="00385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1BB" w:rsidRDefault="003851BB">
    <w:pPr>
      <w:pStyle w:val="Footer"/>
      <w:jc w:val="center"/>
    </w:pPr>
    <w:fldSimple w:instr=" PAGE   \* MERGEFORMAT ">
      <w:r>
        <w:rPr>
          <w:noProof/>
        </w:rPr>
        <w:t>1</w:t>
      </w:r>
    </w:fldSimple>
  </w:p>
  <w:p w:rsidR="003851BB" w:rsidRDefault="00385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BB" w:rsidRDefault="003851BB" w:rsidP="003851BB">
      <w:r>
        <w:separator/>
      </w:r>
    </w:p>
  </w:footnote>
  <w:footnote w:type="continuationSeparator" w:id="0">
    <w:p w:rsidR="003851BB" w:rsidRDefault="003851BB" w:rsidP="003851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17868"/>
    <w:rsid w:val="003851BB"/>
    <w:rsid w:val="003861C1"/>
    <w:rsid w:val="00666D3A"/>
    <w:rsid w:val="00F17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3851BB"/>
    <w:pPr>
      <w:tabs>
        <w:tab w:val="center" w:pos="4680"/>
        <w:tab w:val="right" w:pos="9360"/>
      </w:tabs>
    </w:pPr>
  </w:style>
  <w:style w:type="character" w:customStyle="1" w:styleId="HeaderChar">
    <w:name w:val="Header Char"/>
    <w:basedOn w:val="DefaultParagraphFont"/>
    <w:link w:val="Header"/>
    <w:rsid w:val="003851BB"/>
    <w:rPr>
      <w:sz w:val="24"/>
      <w:szCs w:val="24"/>
    </w:rPr>
  </w:style>
  <w:style w:type="paragraph" w:styleId="Footer">
    <w:name w:val="footer"/>
    <w:basedOn w:val="Normal"/>
    <w:link w:val="FooterChar"/>
    <w:uiPriority w:val="99"/>
    <w:rsid w:val="003851BB"/>
    <w:pPr>
      <w:tabs>
        <w:tab w:val="center" w:pos="4680"/>
        <w:tab w:val="right" w:pos="9360"/>
      </w:tabs>
    </w:pPr>
  </w:style>
  <w:style w:type="character" w:customStyle="1" w:styleId="FooterChar">
    <w:name w:val="Footer Char"/>
    <w:basedOn w:val="DefaultParagraphFont"/>
    <w:link w:val="Footer"/>
    <w:uiPriority w:val="99"/>
    <w:rsid w:val="003851B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Criteria for the Release of Individuals Administered Radioactive Material</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the Release of Individuals Administered Radioactive Material</dc:title>
  <dc:subject/>
  <dc:creator>KNM1</dc:creator>
  <cp:keywords/>
  <dc:description/>
  <cp:lastModifiedBy>KNM1</cp:lastModifiedBy>
  <cp:revision>2</cp:revision>
  <dcterms:created xsi:type="dcterms:W3CDTF">2011-05-02T15:17:00Z</dcterms:created>
  <dcterms:modified xsi:type="dcterms:W3CDTF">2011-05-02T15:17:00Z</dcterms:modified>
</cp:coreProperties>
</file>