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110" w:rsidRPr="00424090" w:rsidRDefault="00880110">
      <w:pPr>
        <w:widowControl/>
        <w:jc w:val="center"/>
        <w:rPr>
          <w:rFonts w:ascii="Arial" w:hAnsi="Arial" w:cs="Arial"/>
          <w:b/>
          <w:bCs/>
          <w:sz w:val="22"/>
          <w:szCs w:val="22"/>
        </w:rPr>
      </w:pPr>
      <w:r w:rsidRPr="00424090">
        <w:rPr>
          <w:rFonts w:ascii="Arial" w:hAnsi="Arial" w:cs="Arial"/>
          <w:b/>
          <w:bCs/>
          <w:sz w:val="22"/>
          <w:szCs w:val="22"/>
        </w:rPr>
        <w:t xml:space="preserve">Medical Administration of Radiation and Radioactive Materials   </w:t>
      </w:r>
    </w:p>
    <w:p w:rsidR="00880110" w:rsidRPr="00424090" w:rsidRDefault="00424090">
      <w:pPr>
        <w:widowControl/>
        <w:jc w:val="center"/>
        <w:rPr>
          <w:rFonts w:ascii="Arial" w:hAnsi="Arial" w:cs="Arial"/>
          <w:b/>
          <w:sz w:val="22"/>
          <w:szCs w:val="22"/>
        </w:rPr>
      </w:pPr>
      <w:r>
        <w:rPr>
          <w:rFonts w:ascii="Arial" w:hAnsi="Arial" w:cs="Arial"/>
          <w:b/>
          <w:sz w:val="22"/>
          <w:szCs w:val="22"/>
        </w:rPr>
        <w:t>(60 FR 48623)</w:t>
      </w:r>
      <w:r>
        <w:rPr>
          <w:rFonts w:ascii="Arial" w:hAnsi="Arial" w:cs="Arial"/>
          <w:b/>
          <w:bCs/>
          <w:sz w:val="22"/>
          <w:szCs w:val="22"/>
        </w:rPr>
        <w:t xml:space="preserve"> RATS ID </w:t>
      </w:r>
      <w:r w:rsidR="00880110" w:rsidRPr="00424090">
        <w:rPr>
          <w:rFonts w:ascii="Arial" w:hAnsi="Arial" w:cs="Arial"/>
          <w:b/>
          <w:bCs/>
          <w:sz w:val="22"/>
          <w:szCs w:val="22"/>
        </w:rPr>
        <w:t>1995</w:t>
      </w:r>
      <w:r w:rsidR="00880110" w:rsidRPr="00424090">
        <w:rPr>
          <w:rFonts w:ascii="Arial" w:hAnsi="Arial" w:cs="Arial"/>
          <w:b/>
          <w:bCs/>
          <w:sz w:val="22"/>
          <w:szCs w:val="22"/>
        </w:rPr>
        <w:noBreakHyphen/>
        <w:t xml:space="preserve">7 </w:t>
      </w:r>
      <w:r w:rsidR="00880110" w:rsidRPr="00424090">
        <w:rPr>
          <w:rFonts w:ascii="Arial" w:hAnsi="Arial" w:cs="Arial"/>
          <w:b/>
          <w:sz w:val="22"/>
          <w:szCs w:val="22"/>
        </w:rPr>
        <w:t>Effective October 20, 1995</w:t>
      </w:r>
    </w:p>
    <w:p w:rsidR="00880110" w:rsidRDefault="00880110">
      <w:pPr>
        <w:widowControl/>
        <w:ind w:firstLine="720"/>
        <w:rPr>
          <w:rFonts w:ascii="Arial" w:hAnsi="Arial" w:cs="Arial"/>
          <w:sz w:val="22"/>
          <w:szCs w:val="22"/>
        </w:rPr>
      </w:pPr>
    </w:p>
    <w:tbl>
      <w:tblPr>
        <w:tblW w:w="14801" w:type="dxa"/>
        <w:tblInd w:w="-1054"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0" w:type="dxa"/>
          <w:right w:w="0" w:type="dxa"/>
        </w:tblCellMar>
        <w:tblLook w:val="0000"/>
      </w:tblPr>
      <w:tblGrid>
        <w:gridCol w:w="1106"/>
        <w:gridCol w:w="1860"/>
        <w:gridCol w:w="1012"/>
        <w:gridCol w:w="1437"/>
        <w:gridCol w:w="3123"/>
        <w:gridCol w:w="2156"/>
        <w:gridCol w:w="1364"/>
        <w:gridCol w:w="2649"/>
        <w:gridCol w:w="94"/>
      </w:tblGrid>
      <w:tr w:rsidR="00256D8E" w:rsidTr="00424090">
        <w:tblPrEx>
          <w:tblCellMar>
            <w:top w:w="0" w:type="dxa"/>
            <w:left w:w="0" w:type="dxa"/>
            <w:bottom w:w="0" w:type="dxa"/>
            <w:right w:w="0" w:type="dxa"/>
          </w:tblCellMar>
        </w:tblPrEx>
        <w:trPr>
          <w:tblHeader/>
        </w:trPr>
        <w:tc>
          <w:tcPr>
            <w:tcW w:w="1106" w:type="dxa"/>
            <w:tcBorders>
              <w:top w:val="double" w:sz="6" w:space="0" w:color="000000"/>
              <w:bottom w:val="double" w:sz="6" w:space="0" w:color="000000"/>
            </w:tcBorders>
          </w:tcPr>
          <w:p w:rsidR="00880110" w:rsidRPr="00424090" w:rsidRDefault="00880110" w:rsidP="00424090">
            <w:pPr>
              <w:jc w:val="center"/>
              <w:rPr>
                <w:rFonts w:ascii="Arial" w:hAnsi="Arial" w:cs="Arial"/>
                <w:sz w:val="22"/>
                <w:szCs w:val="22"/>
              </w:rPr>
            </w:pPr>
          </w:p>
          <w:p w:rsidR="00880110" w:rsidRPr="00424090" w:rsidRDefault="00880110" w:rsidP="00424090">
            <w:pPr>
              <w:widowControl/>
              <w:jc w:val="center"/>
              <w:rPr>
                <w:rFonts w:ascii="Arial" w:hAnsi="Arial" w:cs="Arial"/>
                <w:b/>
                <w:bCs/>
                <w:sz w:val="22"/>
                <w:szCs w:val="22"/>
              </w:rPr>
            </w:pPr>
            <w:r w:rsidRPr="00424090">
              <w:rPr>
                <w:rFonts w:ascii="Arial" w:hAnsi="Arial" w:cs="Arial"/>
                <w:b/>
                <w:bCs/>
                <w:sz w:val="22"/>
                <w:szCs w:val="22"/>
              </w:rPr>
              <w:t xml:space="preserve">Change to </w:t>
            </w:r>
          </w:p>
          <w:p w:rsidR="00880110" w:rsidRPr="00424090" w:rsidRDefault="00880110" w:rsidP="00424090">
            <w:pPr>
              <w:widowControl/>
              <w:jc w:val="center"/>
              <w:rPr>
                <w:rFonts w:ascii="Arial" w:hAnsi="Arial" w:cs="Arial"/>
                <w:b/>
                <w:bCs/>
                <w:sz w:val="22"/>
                <w:szCs w:val="22"/>
              </w:rPr>
            </w:pPr>
            <w:r w:rsidRPr="00424090">
              <w:rPr>
                <w:rFonts w:ascii="Arial" w:hAnsi="Arial" w:cs="Arial"/>
                <w:b/>
                <w:bCs/>
                <w:sz w:val="22"/>
                <w:szCs w:val="22"/>
              </w:rPr>
              <w:t>NRC</w:t>
            </w:r>
          </w:p>
          <w:p w:rsidR="00880110" w:rsidRPr="00424090" w:rsidRDefault="00880110" w:rsidP="00424090">
            <w:pPr>
              <w:widowControl/>
              <w:jc w:val="center"/>
              <w:rPr>
                <w:rFonts w:ascii="Arial" w:hAnsi="Arial" w:cs="Arial"/>
                <w:sz w:val="22"/>
                <w:szCs w:val="22"/>
              </w:rPr>
            </w:pPr>
            <w:r w:rsidRPr="00424090">
              <w:rPr>
                <w:rFonts w:ascii="Arial" w:hAnsi="Arial" w:cs="Arial"/>
                <w:b/>
                <w:bCs/>
                <w:sz w:val="22"/>
                <w:szCs w:val="22"/>
              </w:rPr>
              <w:t>Section</w:t>
            </w:r>
          </w:p>
        </w:tc>
        <w:tc>
          <w:tcPr>
            <w:tcW w:w="1860" w:type="dxa"/>
            <w:tcBorders>
              <w:top w:val="double" w:sz="6" w:space="0" w:color="000000"/>
              <w:bottom w:val="double" w:sz="6" w:space="0" w:color="000000"/>
            </w:tcBorders>
          </w:tcPr>
          <w:p w:rsidR="00880110" w:rsidRPr="00424090" w:rsidRDefault="00880110" w:rsidP="00424090">
            <w:pPr>
              <w:jc w:val="center"/>
              <w:rPr>
                <w:rFonts w:ascii="Arial" w:hAnsi="Arial" w:cs="Arial"/>
                <w:sz w:val="22"/>
                <w:szCs w:val="22"/>
              </w:rPr>
            </w:pPr>
          </w:p>
          <w:p w:rsidR="00880110" w:rsidRPr="00424090" w:rsidRDefault="00880110" w:rsidP="00424090">
            <w:pPr>
              <w:widowControl/>
              <w:tabs>
                <w:tab w:val="center" w:pos="945"/>
              </w:tabs>
              <w:jc w:val="center"/>
              <w:rPr>
                <w:rFonts w:ascii="Arial" w:hAnsi="Arial" w:cs="Arial"/>
                <w:sz w:val="22"/>
                <w:szCs w:val="22"/>
              </w:rPr>
            </w:pPr>
            <w:r w:rsidRPr="00424090">
              <w:rPr>
                <w:rFonts w:ascii="Arial" w:hAnsi="Arial" w:cs="Arial"/>
                <w:b/>
                <w:bCs/>
                <w:sz w:val="22"/>
                <w:szCs w:val="22"/>
              </w:rPr>
              <w:t>Title</w:t>
            </w:r>
          </w:p>
        </w:tc>
        <w:tc>
          <w:tcPr>
            <w:tcW w:w="1012" w:type="dxa"/>
            <w:tcBorders>
              <w:top w:val="double" w:sz="6" w:space="0" w:color="000000"/>
              <w:bottom w:val="double" w:sz="6" w:space="0" w:color="000000"/>
            </w:tcBorders>
          </w:tcPr>
          <w:p w:rsidR="00880110" w:rsidRPr="00424090" w:rsidRDefault="00880110" w:rsidP="00424090">
            <w:pPr>
              <w:jc w:val="center"/>
              <w:rPr>
                <w:rFonts w:ascii="Arial" w:hAnsi="Arial" w:cs="Arial"/>
                <w:sz w:val="22"/>
                <w:szCs w:val="22"/>
              </w:rPr>
            </w:pPr>
          </w:p>
          <w:p w:rsidR="00880110" w:rsidRPr="00424090" w:rsidRDefault="00880110" w:rsidP="00424090">
            <w:pPr>
              <w:widowControl/>
              <w:tabs>
                <w:tab w:val="center" w:pos="540"/>
              </w:tabs>
              <w:jc w:val="center"/>
              <w:rPr>
                <w:rFonts w:ascii="Arial" w:hAnsi="Arial" w:cs="Arial"/>
                <w:b/>
                <w:bCs/>
                <w:sz w:val="22"/>
                <w:szCs w:val="22"/>
              </w:rPr>
            </w:pPr>
            <w:r w:rsidRPr="00424090">
              <w:rPr>
                <w:rFonts w:ascii="Arial" w:hAnsi="Arial" w:cs="Arial"/>
                <w:b/>
                <w:bCs/>
                <w:sz w:val="22"/>
                <w:szCs w:val="22"/>
              </w:rPr>
              <w:t xml:space="preserve">State </w:t>
            </w:r>
          </w:p>
          <w:p w:rsidR="00880110" w:rsidRPr="00424090" w:rsidRDefault="00880110" w:rsidP="00424090">
            <w:pPr>
              <w:widowControl/>
              <w:jc w:val="center"/>
              <w:rPr>
                <w:rFonts w:ascii="Arial" w:hAnsi="Arial" w:cs="Arial"/>
                <w:sz w:val="22"/>
                <w:szCs w:val="22"/>
              </w:rPr>
            </w:pPr>
            <w:r w:rsidRPr="00424090">
              <w:rPr>
                <w:rFonts w:ascii="Arial" w:hAnsi="Arial" w:cs="Arial"/>
                <w:b/>
                <w:bCs/>
                <w:sz w:val="22"/>
                <w:szCs w:val="22"/>
              </w:rPr>
              <w:t>Section</w:t>
            </w:r>
          </w:p>
        </w:tc>
        <w:tc>
          <w:tcPr>
            <w:tcW w:w="1437" w:type="dxa"/>
            <w:tcBorders>
              <w:top w:val="double" w:sz="6" w:space="0" w:color="000000"/>
              <w:bottom w:val="double" w:sz="6" w:space="0" w:color="000000"/>
            </w:tcBorders>
          </w:tcPr>
          <w:p w:rsidR="00880110" w:rsidRPr="00424090" w:rsidRDefault="00880110" w:rsidP="00424090">
            <w:pPr>
              <w:jc w:val="center"/>
              <w:rPr>
                <w:rFonts w:ascii="Arial" w:hAnsi="Arial" w:cs="Arial"/>
                <w:sz w:val="22"/>
                <w:szCs w:val="22"/>
              </w:rPr>
            </w:pPr>
          </w:p>
          <w:p w:rsidR="00880110" w:rsidRPr="00424090" w:rsidRDefault="00880110" w:rsidP="00424090">
            <w:pPr>
              <w:widowControl/>
              <w:jc w:val="center"/>
              <w:rPr>
                <w:rFonts w:ascii="Arial" w:hAnsi="Arial" w:cs="Arial"/>
                <w:sz w:val="22"/>
                <w:szCs w:val="22"/>
              </w:rPr>
            </w:pPr>
            <w:r w:rsidRPr="00424090">
              <w:rPr>
                <w:rFonts w:ascii="Arial" w:hAnsi="Arial" w:cs="Arial"/>
                <w:b/>
                <w:bCs/>
                <w:sz w:val="22"/>
                <w:szCs w:val="22"/>
              </w:rPr>
              <w:t>Compatibility</w:t>
            </w:r>
          </w:p>
          <w:p w:rsidR="00880110" w:rsidRPr="00424090" w:rsidRDefault="00880110" w:rsidP="00424090">
            <w:pPr>
              <w:widowControl/>
              <w:jc w:val="center"/>
              <w:rPr>
                <w:rFonts w:ascii="Arial" w:hAnsi="Arial" w:cs="Arial"/>
                <w:sz w:val="22"/>
                <w:szCs w:val="22"/>
              </w:rPr>
            </w:pPr>
            <w:r w:rsidRPr="00424090">
              <w:rPr>
                <w:rFonts w:ascii="Arial" w:hAnsi="Arial" w:cs="Arial"/>
                <w:b/>
                <w:bCs/>
                <w:sz w:val="22"/>
                <w:szCs w:val="22"/>
              </w:rPr>
              <w:t>Category</w:t>
            </w:r>
          </w:p>
        </w:tc>
        <w:tc>
          <w:tcPr>
            <w:tcW w:w="3123" w:type="dxa"/>
            <w:tcBorders>
              <w:top w:val="double" w:sz="6" w:space="0" w:color="000000"/>
              <w:bottom w:val="double" w:sz="6" w:space="0" w:color="000000"/>
            </w:tcBorders>
          </w:tcPr>
          <w:p w:rsidR="00880110" w:rsidRPr="00424090" w:rsidRDefault="00880110" w:rsidP="00424090">
            <w:pPr>
              <w:jc w:val="center"/>
              <w:rPr>
                <w:rFonts w:ascii="Arial" w:hAnsi="Arial" w:cs="Arial"/>
                <w:sz w:val="22"/>
                <w:szCs w:val="22"/>
              </w:rPr>
            </w:pPr>
          </w:p>
          <w:p w:rsidR="00880110" w:rsidRPr="00424090" w:rsidRDefault="00880110" w:rsidP="00424090">
            <w:pPr>
              <w:widowControl/>
              <w:tabs>
                <w:tab w:val="center" w:pos="1980"/>
              </w:tabs>
              <w:jc w:val="center"/>
              <w:rPr>
                <w:rFonts w:ascii="Arial" w:hAnsi="Arial" w:cs="Arial"/>
                <w:sz w:val="22"/>
                <w:szCs w:val="22"/>
              </w:rPr>
            </w:pPr>
            <w:r w:rsidRPr="00424090">
              <w:rPr>
                <w:rFonts w:ascii="Arial" w:hAnsi="Arial" w:cs="Arial"/>
                <w:b/>
                <w:bCs/>
                <w:sz w:val="22"/>
                <w:szCs w:val="22"/>
              </w:rPr>
              <w:t>Summary of Change</w:t>
            </w:r>
          </w:p>
        </w:tc>
        <w:tc>
          <w:tcPr>
            <w:tcW w:w="2156" w:type="dxa"/>
            <w:tcBorders>
              <w:top w:val="double" w:sz="6" w:space="0" w:color="000000"/>
              <w:bottom w:val="double" w:sz="6" w:space="0" w:color="000000"/>
            </w:tcBorders>
          </w:tcPr>
          <w:p w:rsidR="00880110" w:rsidRPr="00424090" w:rsidRDefault="00880110" w:rsidP="00424090">
            <w:pPr>
              <w:jc w:val="center"/>
              <w:rPr>
                <w:rFonts w:ascii="Arial" w:hAnsi="Arial" w:cs="Arial"/>
                <w:sz w:val="22"/>
                <w:szCs w:val="22"/>
              </w:rPr>
            </w:pPr>
          </w:p>
          <w:p w:rsidR="00880110" w:rsidRPr="00424090" w:rsidRDefault="00880110" w:rsidP="00424090">
            <w:pPr>
              <w:widowControl/>
              <w:jc w:val="center"/>
              <w:rPr>
                <w:rFonts w:ascii="Arial" w:hAnsi="Arial" w:cs="Arial"/>
                <w:b/>
                <w:bCs/>
                <w:sz w:val="22"/>
                <w:szCs w:val="22"/>
              </w:rPr>
            </w:pPr>
            <w:r w:rsidRPr="00424090">
              <w:rPr>
                <w:rFonts w:ascii="Arial" w:hAnsi="Arial" w:cs="Arial"/>
                <w:b/>
                <w:bCs/>
                <w:sz w:val="22"/>
                <w:szCs w:val="22"/>
              </w:rPr>
              <w:t>Difference</w:t>
            </w:r>
          </w:p>
          <w:p w:rsidR="00880110" w:rsidRPr="00424090" w:rsidRDefault="00880110" w:rsidP="00424090">
            <w:pPr>
              <w:widowControl/>
              <w:jc w:val="center"/>
              <w:rPr>
                <w:rFonts w:ascii="Arial" w:hAnsi="Arial" w:cs="Arial"/>
                <w:b/>
                <w:bCs/>
                <w:sz w:val="22"/>
                <w:szCs w:val="22"/>
              </w:rPr>
            </w:pPr>
            <w:r w:rsidRPr="00424090">
              <w:rPr>
                <w:rFonts w:ascii="Arial" w:hAnsi="Arial" w:cs="Arial"/>
                <w:b/>
                <w:bCs/>
                <w:sz w:val="22"/>
                <w:szCs w:val="22"/>
              </w:rPr>
              <w:t>Yes/No</w:t>
            </w:r>
          </w:p>
        </w:tc>
        <w:tc>
          <w:tcPr>
            <w:tcW w:w="1364" w:type="dxa"/>
            <w:tcBorders>
              <w:top w:val="double" w:sz="6" w:space="0" w:color="000000"/>
              <w:bottom w:val="double" w:sz="6" w:space="0" w:color="000000"/>
            </w:tcBorders>
          </w:tcPr>
          <w:p w:rsidR="00880110" w:rsidRPr="00424090" w:rsidRDefault="00880110" w:rsidP="00424090">
            <w:pPr>
              <w:jc w:val="center"/>
              <w:rPr>
                <w:rFonts w:ascii="Arial" w:hAnsi="Arial" w:cs="Arial"/>
                <w:b/>
                <w:bCs/>
                <w:sz w:val="22"/>
                <w:szCs w:val="22"/>
              </w:rPr>
            </w:pPr>
          </w:p>
          <w:p w:rsidR="00880110" w:rsidRPr="00424090" w:rsidRDefault="00880110" w:rsidP="00424090">
            <w:pPr>
              <w:widowControl/>
              <w:jc w:val="center"/>
              <w:rPr>
                <w:rFonts w:ascii="Arial" w:hAnsi="Arial" w:cs="Arial"/>
                <w:b/>
                <w:bCs/>
                <w:sz w:val="22"/>
                <w:szCs w:val="22"/>
              </w:rPr>
            </w:pPr>
            <w:r w:rsidRPr="00424090">
              <w:rPr>
                <w:rFonts w:ascii="Arial" w:hAnsi="Arial" w:cs="Arial"/>
                <w:b/>
                <w:bCs/>
                <w:sz w:val="22"/>
                <w:szCs w:val="22"/>
              </w:rPr>
              <w:t>Significant</w:t>
            </w:r>
          </w:p>
          <w:p w:rsidR="00880110" w:rsidRPr="00424090" w:rsidRDefault="00880110" w:rsidP="00424090">
            <w:pPr>
              <w:widowControl/>
              <w:jc w:val="center"/>
              <w:rPr>
                <w:rFonts w:ascii="Arial" w:hAnsi="Arial" w:cs="Arial"/>
                <w:b/>
                <w:bCs/>
                <w:sz w:val="22"/>
                <w:szCs w:val="22"/>
              </w:rPr>
            </w:pPr>
            <w:r w:rsidRPr="00424090">
              <w:rPr>
                <w:rFonts w:ascii="Arial" w:hAnsi="Arial" w:cs="Arial"/>
                <w:b/>
                <w:bCs/>
                <w:sz w:val="22"/>
                <w:szCs w:val="22"/>
              </w:rPr>
              <w:t>Yes/No</w:t>
            </w:r>
          </w:p>
        </w:tc>
        <w:tc>
          <w:tcPr>
            <w:tcW w:w="2743" w:type="dxa"/>
            <w:gridSpan w:val="2"/>
            <w:tcBorders>
              <w:top w:val="double" w:sz="6" w:space="0" w:color="000000"/>
              <w:bottom w:val="double" w:sz="6" w:space="0" w:color="000000"/>
            </w:tcBorders>
          </w:tcPr>
          <w:p w:rsidR="00880110" w:rsidRPr="00424090" w:rsidRDefault="00880110" w:rsidP="00424090">
            <w:pPr>
              <w:jc w:val="center"/>
              <w:rPr>
                <w:rFonts w:ascii="Arial" w:hAnsi="Arial" w:cs="Arial"/>
                <w:b/>
                <w:bCs/>
                <w:sz w:val="22"/>
                <w:szCs w:val="22"/>
              </w:rPr>
            </w:pPr>
          </w:p>
          <w:p w:rsidR="00880110" w:rsidRPr="00424090" w:rsidRDefault="00880110" w:rsidP="00424090">
            <w:pPr>
              <w:widowControl/>
              <w:jc w:val="center"/>
              <w:rPr>
                <w:rFonts w:ascii="Arial" w:hAnsi="Arial" w:cs="Arial"/>
                <w:sz w:val="22"/>
                <w:szCs w:val="22"/>
              </w:rPr>
            </w:pPr>
            <w:r w:rsidRPr="00424090">
              <w:rPr>
                <w:rFonts w:ascii="Arial" w:hAnsi="Arial" w:cs="Arial"/>
                <w:b/>
                <w:bCs/>
                <w:sz w:val="22"/>
                <w:szCs w:val="22"/>
              </w:rPr>
              <w:t>If Difference, Why or Why Not Was a Comment Generated</w:t>
            </w:r>
          </w:p>
        </w:tc>
      </w:tr>
      <w:tr w:rsidR="00256D8E" w:rsidTr="00424090">
        <w:tblPrEx>
          <w:tblCellMar>
            <w:top w:w="0" w:type="dxa"/>
            <w:left w:w="0" w:type="dxa"/>
            <w:bottom w:w="0" w:type="dxa"/>
            <w:right w:w="0" w:type="dxa"/>
          </w:tblCellMar>
        </w:tblPrEx>
        <w:tc>
          <w:tcPr>
            <w:tcW w:w="1106" w:type="dxa"/>
            <w:tcBorders>
              <w:top w:val="double" w:sz="6" w:space="0" w:color="000000"/>
            </w:tcBorders>
          </w:tcPr>
          <w:p w:rsidR="00880110" w:rsidRPr="00424090" w:rsidRDefault="00880110" w:rsidP="00424090">
            <w:pPr>
              <w:rPr>
                <w:rFonts w:ascii="Arial" w:hAnsi="Arial" w:cs="Arial"/>
                <w:sz w:val="22"/>
                <w:szCs w:val="22"/>
              </w:rPr>
            </w:pPr>
          </w:p>
          <w:p w:rsidR="00880110" w:rsidRPr="00424090" w:rsidRDefault="00880110" w:rsidP="00424090">
            <w:pPr>
              <w:widowControl/>
              <w:rPr>
                <w:rFonts w:ascii="Arial" w:hAnsi="Arial" w:cs="Arial"/>
                <w:sz w:val="22"/>
                <w:szCs w:val="22"/>
              </w:rPr>
            </w:pPr>
            <w:r w:rsidRPr="00424090">
              <w:rPr>
                <w:rFonts w:ascii="Arial" w:hAnsi="Arial" w:cs="Arial"/>
                <w:sz w:val="22"/>
                <w:szCs w:val="22"/>
              </w:rPr>
              <w:sym w:font="WP TypographicSymbols" w:char="0027"/>
            </w:r>
            <w:r w:rsidRPr="00424090">
              <w:rPr>
                <w:rFonts w:ascii="Arial" w:hAnsi="Arial" w:cs="Arial"/>
                <w:sz w:val="22"/>
                <w:szCs w:val="22"/>
              </w:rPr>
              <w:t>20.1003</w:t>
            </w:r>
          </w:p>
        </w:tc>
        <w:tc>
          <w:tcPr>
            <w:tcW w:w="1860" w:type="dxa"/>
            <w:tcBorders>
              <w:top w:val="double" w:sz="6" w:space="0" w:color="000000"/>
            </w:tcBorders>
          </w:tcPr>
          <w:p w:rsidR="00880110" w:rsidRPr="00424090" w:rsidRDefault="00880110" w:rsidP="00424090">
            <w:pPr>
              <w:rPr>
                <w:rFonts w:ascii="Arial" w:hAnsi="Arial" w:cs="Arial"/>
                <w:sz w:val="22"/>
                <w:szCs w:val="22"/>
              </w:rPr>
            </w:pPr>
          </w:p>
          <w:p w:rsidR="00880110" w:rsidRPr="00424090" w:rsidRDefault="00880110" w:rsidP="00424090">
            <w:pPr>
              <w:widowControl/>
              <w:rPr>
                <w:rFonts w:ascii="Arial" w:hAnsi="Arial" w:cs="Arial"/>
                <w:sz w:val="22"/>
                <w:szCs w:val="22"/>
              </w:rPr>
            </w:pPr>
            <w:r w:rsidRPr="00424090">
              <w:rPr>
                <w:rFonts w:ascii="Arial" w:hAnsi="Arial" w:cs="Arial"/>
                <w:sz w:val="22"/>
                <w:szCs w:val="22"/>
              </w:rPr>
              <w:t>Definitions</w:t>
            </w:r>
          </w:p>
        </w:tc>
        <w:tc>
          <w:tcPr>
            <w:tcW w:w="1012" w:type="dxa"/>
            <w:tcBorders>
              <w:top w:val="double" w:sz="6" w:space="0" w:color="000000"/>
            </w:tcBorders>
          </w:tcPr>
          <w:p w:rsidR="00880110" w:rsidRPr="00424090" w:rsidRDefault="00880110" w:rsidP="00424090">
            <w:pPr>
              <w:rPr>
                <w:rFonts w:ascii="Arial" w:hAnsi="Arial" w:cs="Arial"/>
                <w:sz w:val="22"/>
                <w:szCs w:val="22"/>
              </w:rPr>
            </w:pPr>
          </w:p>
          <w:p w:rsidR="00880110" w:rsidRPr="00424090" w:rsidRDefault="00880110" w:rsidP="00424090">
            <w:pPr>
              <w:widowControl/>
              <w:jc w:val="center"/>
              <w:rPr>
                <w:rFonts w:ascii="Arial" w:hAnsi="Arial" w:cs="Arial"/>
                <w:sz w:val="22"/>
                <w:szCs w:val="22"/>
              </w:rPr>
            </w:pPr>
          </w:p>
        </w:tc>
        <w:tc>
          <w:tcPr>
            <w:tcW w:w="1437" w:type="dxa"/>
            <w:tcBorders>
              <w:top w:val="double" w:sz="6" w:space="0" w:color="000000"/>
            </w:tcBorders>
          </w:tcPr>
          <w:p w:rsidR="00880110" w:rsidRPr="00424090" w:rsidRDefault="00880110" w:rsidP="00424090">
            <w:pPr>
              <w:rPr>
                <w:rFonts w:ascii="Arial" w:hAnsi="Arial" w:cs="Arial"/>
                <w:sz w:val="22"/>
                <w:szCs w:val="22"/>
              </w:rPr>
            </w:pPr>
          </w:p>
          <w:p w:rsidR="00880110" w:rsidRPr="00424090" w:rsidRDefault="00880110" w:rsidP="00424090">
            <w:pPr>
              <w:widowControl/>
              <w:jc w:val="center"/>
              <w:rPr>
                <w:rFonts w:ascii="Arial" w:hAnsi="Arial" w:cs="Arial"/>
                <w:sz w:val="22"/>
                <w:szCs w:val="22"/>
              </w:rPr>
            </w:pPr>
            <w:r w:rsidRPr="00424090">
              <w:rPr>
                <w:rFonts w:ascii="Arial" w:hAnsi="Arial" w:cs="Arial"/>
                <w:sz w:val="22"/>
                <w:szCs w:val="22"/>
              </w:rPr>
              <w:t>A</w:t>
            </w:r>
          </w:p>
        </w:tc>
        <w:tc>
          <w:tcPr>
            <w:tcW w:w="3123" w:type="dxa"/>
            <w:tcBorders>
              <w:top w:val="double" w:sz="6" w:space="0" w:color="000000"/>
            </w:tcBorders>
          </w:tcPr>
          <w:p w:rsidR="00880110" w:rsidRPr="00424090" w:rsidRDefault="00880110" w:rsidP="00424090">
            <w:pPr>
              <w:rPr>
                <w:rFonts w:ascii="Arial" w:hAnsi="Arial" w:cs="Arial"/>
                <w:sz w:val="22"/>
                <w:szCs w:val="22"/>
              </w:rPr>
            </w:pPr>
          </w:p>
          <w:p w:rsidR="00880110" w:rsidRPr="00424090" w:rsidRDefault="00880110" w:rsidP="00424090">
            <w:pPr>
              <w:widowControl/>
              <w:rPr>
                <w:rFonts w:ascii="Arial" w:hAnsi="Arial" w:cs="Arial"/>
                <w:sz w:val="22"/>
                <w:szCs w:val="22"/>
              </w:rPr>
            </w:pPr>
            <w:r w:rsidRPr="00424090">
              <w:rPr>
                <w:rFonts w:ascii="Arial" w:hAnsi="Arial" w:cs="Arial"/>
                <w:b/>
                <w:bCs/>
                <w:sz w:val="22"/>
                <w:szCs w:val="22"/>
              </w:rPr>
              <w:t>Amended Definition:</w:t>
            </w: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Occupational Dose: means the dose received by an individual in the course of employment in which the individual's assigned duties involve exposure to radiation or to radioactive material from licensed and unlicensed sources of radiation, whether in the possession of the licensee or other person. Occupational dose does not include doses received from background radiation, from any medical administration the individual has received, from exposure to individuals administered radioactive material and released under </w:t>
            </w:r>
            <w:r w:rsidRPr="00424090">
              <w:rPr>
                <w:rFonts w:ascii="Arial" w:hAnsi="Arial" w:cs="Arial"/>
                <w:sz w:val="22"/>
                <w:szCs w:val="22"/>
              </w:rPr>
              <w:sym w:font="WP TypographicSymbols" w:char="0027"/>
            </w:r>
            <w:r w:rsidRPr="00424090">
              <w:rPr>
                <w:rFonts w:ascii="Arial" w:hAnsi="Arial" w:cs="Arial"/>
                <w:sz w:val="22"/>
                <w:szCs w:val="22"/>
              </w:rPr>
              <w:t xml:space="preserve">35.75, from voluntary participation in medical research programs, or as a member of the public. </w:t>
            </w:r>
          </w:p>
        </w:tc>
        <w:tc>
          <w:tcPr>
            <w:tcW w:w="2156" w:type="dxa"/>
            <w:tcBorders>
              <w:top w:val="double" w:sz="6" w:space="0" w:color="000000"/>
            </w:tcBorders>
          </w:tcPr>
          <w:p w:rsidR="00880110" w:rsidRPr="00424090" w:rsidRDefault="00880110" w:rsidP="00424090">
            <w:pP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364" w:type="dxa"/>
            <w:tcBorders>
              <w:top w:val="double" w:sz="6" w:space="0" w:color="000000"/>
            </w:tcBorders>
          </w:tcPr>
          <w:p w:rsidR="00880110" w:rsidRPr="00424090" w:rsidRDefault="00880110" w:rsidP="00424090">
            <w:pP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743" w:type="dxa"/>
            <w:gridSpan w:val="2"/>
            <w:tcBorders>
              <w:top w:val="double" w:sz="6" w:space="0" w:color="000000"/>
            </w:tcBorders>
          </w:tcPr>
          <w:p w:rsidR="00880110" w:rsidRPr="00424090" w:rsidRDefault="00880110" w:rsidP="00424090">
            <w:pP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256D8E" w:rsidTr="00424090">
        <w:tblPrEx>
          <w:tblCellMar>
            <w:top w:w="0" w:type="dxa"/>
            <w:left w:w="0" w:type="dxa"/>
            <w:bottom w:w="0" w:type="dxa"/>
            <w:right w:w="0" w:type="dxa"/>
          </w:tblCellMar>
        </w:tblPrEx>
        <w:tc>
          <w:tcPr>
            <w:tcW w:w="1106" w:type="dxa"/>
          </w:tcPr>
          <w:p w:rsidR="00880110" w:rsidRPr="00424090" w:rsidRDefault="00880110" w:rsidP="00424090">
            <w:pP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sym w:font="WP TypographicSymbols" w:char="0027"/>
            </w:r>
            <w:r w:rsidRPr="00424090">
              <w:rPr>
                <w:rFonts w:ascii="Arial" w:hAnsi="Arial" w:cs="Arial"/>
                <w:sz w:val="22"/>
                <w:szCs w:val="22"/>
              </w:rPr>
              <w:t>20.1003</w:t>
            </w:r>
          </w:p>
        </w:tc>
        <w:tc>
          <w:tcPr>
            <w:tcW w:w="1860" w:type="dxa"/>
          </w:tcPr>
          <w:p w:rsidR="00880110" w:rsidRPr="00424090" w:rsidRDefault="00880110" w:rsidP="00424090">
            <w:pP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Definitions</w:t>
            </w:r>
          </w:p>
        </w:tc>
        <w:tc>
          <w:tcPr>
            <w:tcW w:w="1012" w:type="dxa"/>
          </w:tcPr>
          <w:p w:rsidR="00880110" w:rsidRPr="00424090" w:rsidRDefault="00880110" w:rsidP="00424090">
            <w:pP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37" w:type="dxa"/>
          </w:tcPr>
          <w:p w:rsidR="00880110" w:rsidRPr="00424090" w:rsidRDefault="00880110" w:rsidP="00424090">
            <w:pP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24090">
              <w:rPr>
                <w:rFonts w:ascii="Arial" w:hAnsi="Arial" w:cs="Arial"/>
                <w:sz w:val="22"/>
                <w:szCs w:val="22"/>
              </w:rPr>
              <w:t>A</w:t>
            </w: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3123" w:type="dxa"/>
          </w:tcPr>
          <w:p w:rsidR="00880110" w:rsidRPr="00424090" w:rsidRDefault="00880110" w:rsidP="00424090">
            <w:pP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b/>
                <w:bCs/>
                <w:sz w:val="22"/>
                <w:szCs w:val="22"/>
              </w:rPr>
              <w:t>Amended Definition:</w:t>
            </w: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Public dose: means the dose received by a member of the public from exposure to radiation and/or radioactive </w:t>
            </w:r>
            <w:r w:rsidRPr="00424090">
              <w:rPr>
                <w:rFonts w:ascii="Arial" w:hAnsi="Arial" w:cs="Arial"/>
                <w:sz w:val="22"/>
                <w:szCs w:val="22"/>
              </w:rPr>
              <w:lastRenderedPageBreak/>
              <w:t>material released by a licensee, or to any other source of radiation under the control of the licensee. Public dose does not include occupational dose or doses received from background radiation, from any medical administration the individual has received, or from voluntary participation in medical research programs.</w:t>
            </w:r>
          </w:p>
        </w:tc>
        <w:tc>
          <w:tcPr>
            <w:tcW w:w="2156" w:type="dxa"/>
          </w:tcPr>
          <w:p w:rsidR="00880110" w:rsidRPr="00424090" w:rsidRDefault="00880110" w:rsidP="00424090">
            <w:pP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364" w:type="dxa"/>
          </w:tcPr>
          <w:p w:rsidR="00880110" w:rsidRPr="00424090" w:rsidRDefault="00880110" w:rsidP="00424090">
            <w:pP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743" w:type="dxa"/>
            <w:gridSpan w:val="2"/>
          </w:tcPr>
          <w:p w:rsidR="00880110" w:rsidRPr="00424090" w:rsidRDefault="00880110" w:rsidP="00424090">
            <w:pPr>
              <w:rPr>
                <w:rFonts w:ascii="Arial" w:hAnsi="Arial" w:cs="Arial"/>
                <w:sz w:val="22"/>
                <w:szCs w:val="22"/>
              </w:rPr>
            </w:pPr>
          </w:p>
          <w:p w:rsidR="00880110" w:rsidRPr="00424090" w:rsidRDefault="0088011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424090" w:rsidRPr="00424090" w:rsidTr="00424090">
        <w:tblPrEx>
          <w:tblCellMar>
            <w:top w:w="0" w:type="dxa"/>
            <w:left w:w="0" w:type="dxa"/>
            <w:bottom w:w="0" w:type="dxa"/>
            <w:right w:w="0" w:type="dxa"/>
          </w:tblCellMar>
        </w:tblPrEx>
        <w:tc>
          <w:tcPr>
            <w:tcW w:w="1106"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sym w:font="WP TypographicSymbols" w:char="0027"/>
            </w:r>
            <w:r w:rsidRPr="00424090">
              <w:rPr>
                <w:rFonts w:ascii="Arial" w:hAnsi="Arial" w:cs="Arial"/>
                <w:sz w:val="22"/>
                <w:szCs w:val="22"/>
              </w:rPr>
              <w:t>20.1301</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(a) </w:t>
            </w:r>
          </w:p>
        </w:tc>
        <w:tc>
          <w:tcPr>
            <w:tcW w:w="1860"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Dose limits for individual members of the public.</w:t>
            </w:r>
          </w:p>
        </w:tc>
        <w:tc>
          <w:tcPr>
            <w:tcW w:w="1012"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37"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A</w:t>
            </w:r>
          </w:p>
        </w:tc>
        <w:tc>
          <w:tcPr>
            <w:tcW w:w="3123"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In Sec. 20.1301, paragraph (a)(1) is revised to read as follows:</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(a) * * *</w:t>
            </w:r>
          </w:p>
          <w:p w:rsid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(1) The total effective dose equivalent to individual members of the public from the licensed operation does not exceed 0.1 rem (1millisievert) in a year, exclusive of the dose contributions from background radiation, any medical administration the individual has received, voluntary participation in medical research programs, and the licensee's disposal of radioactive material into sanitary sewerage in accordance with Sec. 20.2003.</w:t>
            </w:r>
          </w:p>
          <w:p w:rsid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156" w:type="dxa"/>
          </w:tcPr>
          <w:p w:rsidR="00424090" w:rsidRPr="00424090" w:rsidRDefault="00424090" w:rsidP="00424090">
            <w:pPr>
              <w:rPr>
                <w:rFonts w:ascii="Arial" w:hAnsi="Arial" w:cs="Arial"/>
                <w:sz w:val="22"/>
                <w:szCs w:val="22"/>
              </w:rPr>
            </w:pPr>
          </w:p>
          <w:p w:rsidR="00424090" w:rsidRPr="00424090" w:rsidRDefault="00424090" w:rsidP="00424090">
            <w:pPr>
              <w:rPr>
                <w:rFonts w:ascii="Arial" w:hAnsi="Arial" w:cs="Arial"/>
                <w:sz w:val="22"/>
                <w:szCs w:val="22"/>
              </w:rPr>
            </w:pPr>
          </w:p>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364"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743" w:type="dxa"/>
            <w:gridSpan w:val="2"/>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424090" w:rsidRPr="00424090" w:rsidTr="00424090">
        <w:tblPrEx>
          <w:tblCellMar>
            <w:top w:w="0" w:type="dxa"/>
            <w:left w:w="0" w:type="dxa"/>
            <w:bottom w:w="0" w:type="dxa"/>
            <w:right w:w="0" w:type="dxa"/>
          </w:tblCellMar>
        </w:tblPrEx>
        <w:trPr>
          <w:gridAfter w:val="1"/>
          <w:wAfter w:w="94" w:type="dxa"/>
        </w:trPr>
        <w:tc>
          <w:tcPr>
            <w:tcW w:w="1106"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sym w:font="WP TypographicSymbols" w:char="0027"/>
            </w:r>
            <w:r w:rsidRPr="00424090">
              <w:rPr>
                <w:rFonts w:ascii="Arial" w:hAnsi="Arial" w:cs="Arial"/>
                <w:sz w:val="22"/>
                <w:szCs w:val="22"/>
              </w:rPr>
              <w:t>35.2</w:t>
            </w:r>
          </w:p>
        </w:tc>
        <w:tc>
          <w:tcPr>
            <w:tcW w:w="1860"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Definitions</w:t>
            </w:r>
          </w:p>
        </w:tc>
        <w:tc>
          <w:tcPr>
            <w:tcW w:w="1012"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37"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24090">
              <w:rPr>
                <w:rFonts w:ascii="Arial" w:hAnsi="Arial" w:cs="Arial"/>
                <w:sz w:val="22"/>
                <w:szCs w:val="22"/>
              </w:rPr>
              <w:t>C</w:t>
            </w:r>
          </w:p>
        </w:tc>
        <w:tc>
          <w:tcPr>
            <w:tcW w:w="3123"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b/>
                <w:bCs/>
                <w:sz w:val="22"/>
                <w:szCs w:val="22"/>
              </w:rPr>
              <w:t>Amended Definition:</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The definition for misadministration is amended by removing the term ``patient or human research subject'' and inserting the word ``individual.''</w:t>
            </w:r>
          </w:p>
        </w:tc>
        <w:tc>
          <w:tcPr>
            <w:tcW w:w="2156" w:type="dxa"/>
          </w:tcPr>
          <w:p w:rsidR="00424090" w:rsidRPr="00424090" w:rsidRDefault="00424090" w:rsidP="00424090">
            <w:pPr>
              <w:rPr>
                <w:rFonts w:ascii="Arial" w:hAnsi="Arial" w:cs="Arial"/>
                <w:sz w:val="22"/>
                <w:szCs w:val="22"/>
              </w:rPr>
            </w:pPr>
          </w:p>
          <w:p w:rsidR="00424090" w:rsidRPr="00424090" w:rsidRDefault="00424090" w:rsidP="00424090">
            <w:pPr>
              <w:rPr>
                <w:rFonts w:ascii="Arial" w:hAnsi="Arial" w:cs="Arial"/>
                <w:sz w:val="22"/>
                <w:szCs w:val="22"/>
              </w:rPr>
            </w:pPr>
          </w:p>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364"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649"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424090" w:rsidRPr="00424090" w:rsidTr="00424090">
        <w:tblPrEx>
          <w:tblCellMar>
            <w:top w:w="0" w:type="dxa"/>
            <w:left w:w="0" w:type="dxa"/>
            <w:bottom w:w="0" w:type="dxa"/>
            <w:right w:w="0" w:type="dxa"/>
          </w:tblCellMar>
        </w:tblPrEx>
        <w:trPr>
          <w:gridAfter w:val="1"/>
          <w:wAfter w:w="94" w:type="dxa"/>
        </w:trPr>
        <w:tc>
          <w:tcPr>
            <w:tcW w:w="1106"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sym w:font="WP TypographicSymbols" w:char="0027"/>
            </w:r>
            <w:r w:rsidRPr="00424090">
              <w:rPr>
                <w:rFonts w:ascii="Arial" w:hAnsi="Arial" w:cs="Arial"/>
                <w:sz w:val="22"/>
                <w:szCs w:val="22"/>
              </w:rPr>
              <w:t>35.33</w:t>
            </w:r>
          </w:p>
        </w:tc>
        <w:tc>
          <w:tcPr>
            <w:tcW w:w="1860"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Notifications, rep</w:t>
            </w:r>
            <w:r>
              <w:rPr>
                <w:rFonts w:ascii="Arial" w:hAnsi="Arial" w:cs="Arial"/>
                <w:sz w:val="22"/>
                <w:szCs w:val="22"/>
              </w:rPr>
              <w:t>orts, and records of mis</w:t>
            </w:r>
            <w:r w:rsidRPr="00424090">
              <w:rPr>
                <w:rFonts w:ascii="Arial" w:hAnsi="Arial" w:cs="Arial"/>
                <w:sz w:val="22"/>
                <w:szCs w:val="22"/>
              </w:rPr>
              <w:t>administrations</w:t>
            </w:r>
          </w:p>
        </w:tc>
        <w:tc>
          <w:tcPr>
            <w:tcW w:w="1012"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37"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24090">
              <w:rPr>
                <w:rFonts w:ascii="Arial" w:hAnsi="Arial" w:cs="Arial"/>
                <w:sz w:val="22"/>
                <w:szCs w:val="22"/>
              </w:rPr>
              <w:t>C</w:t>
            </w:r>
          </w:p>
        </w:tc>
        <w:tc>
          <w:tcPr>
            <w:tcW w:w="3123"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In Sec. 35.33, paragraphs (a)(2), (a)(3), (a)(4), (b), and (c) are revised to read as follows:</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(a) * *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(2) The licensee shall submit a written report to the appropriate NRC Regional Office listed in 10 CFR 30.6 within 15 days after discovery of the misadministration. The written report must include the licensee's name; the prescribing physician's name; a brief description of the event; why the event occurred; the effect on the individual who received the misadministration; what improvements are needed to prevent recurrence; actions taken to prevent recurrence; whether the licensee notified the individual (or the individual's responsible relative or </w:t>
            </w:r>
            <w:r w:rsidRPr="00424090">
              <w:rPr>
                <w:rFonts w:ascii="Arial" w:hAnsi="Arial" w:cs="Arial"/>
                <w:sz w:val="22"/>
                <w:szCs w:val="22"/>
              </w:rPr>
              <w:lastRenderedPageBreak/>
              <w:t>guardian), and if not, why not; and if there was notification, what information was provided. The report must not contain the individual's name or any other information that could lead to identification of the individual. To meet the requirements of this section, the notification of the individual receiving the misadministration may be made instead to that individual's responsible relative or guardian, when appropriate.</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(3) The licensee shall notify the referring physician and also notify the individual receiving the misadministration of the misadministration no later than 24 hours after its discovery, unless the referring physician personally informs the licensee either that he will inform the individual or that, based on medical judgement, telling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the individual would be harmful. The licensee is not required to notify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the individual without first consulting the referring physician. If the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referring physician or the individual receiving the misadministration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lastRenderedPageBreak/>
              <w:t xml:space="preserve">cannot be reached within 24 hours, the licensee shall notify the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individual as soon as possible thereafter. The licensee may not delay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any appropriate medical care for the individual, including any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necessary remedial care as a result of the misadministration, because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of any delay in notification.</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    (4) If the individual was notified, the licensee shall also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furnish, within 15 days after discovery of the misadministration, a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written report to the individual by sending either:</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    (i) A copy of the report that was submitted to the NRC; or</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    (ii) A brief description of both the event and the consequences as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they may affect the individual, provided a statement is included that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the report submitted to the NRC can be obtained from the licensee.</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lastRenderedPageBreak/>
              <w:t xml:space="preserve">    (b) Each licensee shall retain a record of each misadministration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for 5 years. The record must contain the names of all individuals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involved (including the prescribing physician, allied health personnel,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the individual who received the misadministration, and that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individual's referring physician, if applicable), the individual's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social security number or other identification number if one has been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assigned, a brief description of the misadministration, why it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occurred, the effect on the individual, improvements needed to prevent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recurrence, and the actions taken to prevent recurrence.</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    (c) Aside from the notification requirement, nothing in this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section affects any rights or duties of licensees and physicians in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 xml:space="preserve">relation to each other, to individuals receiving misadministrations, or </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24090">
              <w:rPr>
                <w:rFonts w:ascii="Arial" w:hAnsi="Arial" w:cs="Arial"/>
                <w:sz w:val="22"/>
                <w:szCs w:val="22"/>
              </w:rPr>
              <w:t>to that individual's responsible relatives or guardians.</w:t>
            </w: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156" w:type="dxa"/>
          </w:tcPr>
          <w:p w:rsidR="00424090" w:rsidRPr="00424090" w:rsidRDefault="00424090" w:rsidP="00424090">
            <w:pPr>
              <w:rPr>
                <w:rFonts w:ascii="Arial" w:hAnsi="Arial" w:cs="Arial"/>
                <w:sz w:val="22"/>
                <w:szCs w:val="22"/>
              </w:rPr>
            </w:pPr>
          </w:p>
          <w:p w:rsidR="00424090" w:rsidRPr="00424090" w:rsidRDefault="00424090" w:rsidP="00424090">
            <w:pPr>
              <w:rPr>
                <w:rFonts w:ascii="Arial" w:hAnsi="Arial" w:cs="Arial"/>
                <w:sz w:val="22"/>
                <w:szCs w:val="22"/>
              </w:rPr>
            </w:pPr>
          </w:p>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364"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649" w:type="dxa"/>
          </w:tcPr>
          <w:p w:rsidR="00424090" w:rsidRPr="00424090" w:rsidRDefault="00424090" w:rsidP="00424090">
            <w:pPr>
              <w:rPr>
                <w:rFonts w:ascii="Arial" w:hAnsi="Arial" w:cs="Arial"/>
                <w:sz w:val="22"/>
                <w:szCs w:val="22"/>
              </w:rPr>
            </w:pPr>
          </w:p>
          <w:p w:rsidR="00424090" w:rsidRPr="00424090" w:rsidRDefault="00424090" w:rsidP="00424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bl>
    <w:p w:rsidR="00880110" w:rsidRDefault="008801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sectPr w:rsidR="00880110" w:rsidSect="00880110">
      <w:footerReference w:type="default" r:id="rId7"/>
      <w:pgSz w:w="15840" w:h="12240" w:orient="landscape"/>
      <w:pgMar w:top="540" w:right="1440" w:bottom="1440" w:left="1440" w:header="5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42F" w:rsidRDefault="009E142F" w:rsidP="009E142F">
      <w:r>
        <w:separator/>
      </w:r>
    </w:p>
  </w:endnote>
  <w:endnote w:type="continuationSeparator" w:id="0">
    <w:p w:rsidR="009E142F" w:rsidRDefault="009E142F" w:rsidP="009E1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42F" w:rsidRDefault="009E142F">
    <w:pPr>
      <w:pStyle w:val="Footer"/>
      <w:jc w:val="center"/>
    </w:pPr>
    <w:fldSimple w:instr=" PAGE   \* MERGEFORMAT ">
      <w:r>
        <w:rPr>
          <w:noProof/>
        </w:rPr>
        <w:t>1</w:t>
      </w:r>
    </w:fldSimple>
  </w:p>
  <w:p w:rsidR="009E142F" w:rsidRDefault="009E14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42F" w:rsidRDefault="009E142F" w:rsidP="009E142F">
      <w:r>
        <w:separator/>
      </w:r>
    </w:p>
  </w:footnote>
  <w:footnote w:type="continuationSeparator" w:id="0">
    <w:p w:rsidR="009E142F" w:rsidRDefault="009E142F" w:rsidP="009E14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80110"/>
    <w:rsid w:val="00256D8E"/>
    <w:rsid w:val="00424090"/>
    <w:rsid w:val="00880110"/>
    <w:rsid w:val="009E142F"/>
    <w:rsid w:val="00BC3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9E142F"/>
    <w:pPr>
      <w:tabs>
        <w:tab w:val="center" w:pos="4680"/>
        <w:tab w:val="right" w:pos="9360"/>
      </w:tabs>
    </w:pPr>
  </w:style>
  <w:style w:type="character" w:customStyle="1" w:styleId="HeaderChar">
    <w:name w:val="Header Char"/>
    <w:basedOn w:val="DefaultParagraphFont"/>
    <w:link w:val="Header"/>
    <w:rsid w:val="009E142F"/>
    <w:rPr>
      <w:sz w:val="24"/>
      <w:szCs w:val="24"/>
    </w:rPr>
  </w:style>
  <w:style w:type="paragraph" w:styleId="Footer">
    <w:name w:val="footer"/>
    <w:basedOn w:val="Normal"/>
    <w:link w:val="FooterChar"/>
    <w:uiPriority w:val="99"/>
    <w:rsid w:val="009E142F"/>
    <w:pPr>
      <w:tabs>
        <w:tab w:val="center" w:pos="4680"/>
        <w:tab w:val="right" w:pos="9360"/>
      </w:tabs>
    </w:pPr>
  </w:style>
  <w:style w:type="character" w:customStyle="1" w:styleId="FooterChar">
    <w:name w:val="Footer Char"/>
    <w:basedOn w:val="DefaultParagraphFont"/>
    <w:link w:val="Footer"/>
    <w:uiPriority w:val="99"/>
    <w:rsid w:val="009E142F"/>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Medical Administration of Radiation and Radioactive Materials   </vt:lpstr>
    </vt:vector>
  </TitlesOfParts>
  <Company/>
  <LinksUpToDate>false</LinksUpToDate>
  <CharactersWithSpaces>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Administration of Radiation and Radioactive Materials   </dc:title>
  <dc:subject/>
  <dc:creator>KNM1</dc:creator>
  <cp:keywords/>
  <dc:description/>
  <cp:lastModifiedBy>KNM1</cp:lastModifiedBy>
  <cp:revision>2</cp:revision>
  <dcterms:created xsi:type="dcterms:W3CDTF">2011-05-02T15:15:00Z</dcterms:created>
  <dcterms:modified xsi:type="dcterms:W3CDTF">2011-05-02T15:15:00Z</dcterms:modified>
</cp:coreProperties>
</file>