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5E9" w:rsidRPr="00520DCA" w:rsidRDefault="00C165E9">
      <w:pPr>
        <w:widowControl/>
        <w:jc w:val="center"/>
        <w:rPr>
          <w:rFonts w:ascii="Arial" w:hAnsi="Arial" w:cs="Arial"/>
          <w:b/>
          <w:sz w:val="22"/>
          <w:szCs w:val="22"/>
        </w:rPr>
      </w:pPr>
      <w:r w:rsidRPr="00520DCA">
        <w:rPr>
          <w:rFonts w:ascii="Arial" w:hAnsi="Arial" w:cs="Arial"/>
          <w:b/>
          <w:bCs/>
          <w:sz w:val="22"/>
          <w:szCs w:val="22"/>
        </w:rPr>
        <w:t xml:space="preserve">Radiation Protection Requirements:  Amended Definitions and Criteria  </w:t>
      </w:r>
    </w:p>
    <w:p w:rsidR="00C165E9" w:rsidRPr="00520DCA" w:rsidRDefault="00520DCA">
      <w:pPr>
        <w:widowControl/>
        <w:jc w:val="center"/>
        <w:rPr>
          <w:rFonts w:ascii="Arial" w:hAnsi="Arial" w:cs="Arial"/>
          <w:b/>
          <w:sz w:val="22"/>
          <w:szCs w:val="22"/>
        </w:rPr>
      </w:pPr>
      <w:r>
        <w:rPr>
          <w:rFonts w:ascii="Arial" w:hAnsi="Arial" w:cs="Arial"/>
          <w:b/>
          <w:sz w:val="22"/>
          <w:szCs w:val="22"/>
        </w:rPr>
        <w:t xml:space="preserve"> (60 FR 36038) </w:t>
      </w:r>
      <w:r>
        <w:rPr>
          <w:rFonts w:ascii="Arial" w:hAnsi="Arial" w:cs="Arial"/>
          <w:b/>
          <w:bCs/>
          <w:sz w:val="22"/>
          <w:szCs w:val="22"/>
        </w:rPr>
        <w:t xml:space="preserve">RATS ID </w:t>
      </w:r>
      <w:r w:rsidR="00C165E9" w:rsidRPr="00520DCA">
        <w:rPr>
          <w:rFonts w:ascii="Arial" w:hAnsi="Arial" w:cs="Arial"/>
          <w:b/>
          <w:bCs/>
          <w:sz w:val="22"/>
          <w:szCs w:val="22"/>
        </w:rPr>
        <w:t>1995</w:t>
      </w:r>
      <w:r w:rsidR="00C165E9" w:rsidRPr="00520DCA">
        <w:rPr>
          <w:rFonts w:ascii="Arial" w:hAnsi="Arial" w:cs="Arial"/>
          <w:b/>
          <w:bCs/>
          <w:sz w:val="22"/>
          <w:szCs w:val="22"/>
        </w:rPr>
        <w:noBreakHyphen/>
        <w:t>5</w:t>
      </w:r>
      <w:r w:rsidR="00C165E9" w:rsidRPr="00520DCA">
        <w:rPr>
          <w:rFonts w:ascii="Arial" w:hAnsi="Arial" w:cs="Arial"/>
          <w:b/>
          <w:sz w:val="22"/>
          <w:szCs w:val="22"/>
        </w:rPr>
        <w:t xml:space="preserve"> 1/14/95</w:t>
      </w:r>
    </w:p>
    <w:p w:rsidR="00C165E9" w:rsidRDefault="00C165E9">
      <w:pPr>
        <w:widowControl/>
        <w:rPr>
          <w:rFonts w:ascii="Arial" w:hAnsi="Arial" w:cs="Arial"/>
          <w:sz w:val="22"/>
          <w:szCs w:val="22"/>
        </w:rPr>
      </w:pPr>
    </w:p>
    <w:tbl>
      <w:tblPr>
        <w:tblW w:w="14580" w:type="dxa"/>
        <w:tblInd w:w="300"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tblPr>
      <w:tblGrid>
        <w:gridCol w:w="1170"/>
        <w:gridCol w:w="1440"/>
        <w:gridCol w:w="1080"/>
        <w:gridCol w:w="1710"/>
        <w:gridCol w:w="3510"/>
        <w:gridCol w:w="1350"/>
        <w:gridCol w:w="1440"/>
        <w:gridCol w:w="2880"/>
      </w:tblGrid>
      <w:tr w:rsidR="00C165E9" w:rsidTr="00520DCA">
        <w:tblPrEx>
          <w:tblCellMar>
            <w:top w:w="0" w:type="dxa"/>
            <w:bottom w:w="0" w:type="dxa"/>
          </w:tblCellMar>
        </w:tblPrEx>
        <w:trPr>
          <w:tblHeader/>
        </w:trPr>
        <w:tc>
          <w:tcPr>
            <w:tcW w:w="1170" w:type="dxa"/>
            <w:tcBorders>
              <w:top w:val="double" w:sz="6" w:space="0" w:color="000000"/>
              <w:bottom w:val="double" w:sz="6" w:space="0" w:color="000000"/>
            </w:tcBorders>
          </w:tcPr>
          <w:p w:rsidR="00C165E9" w:rsidRPr="00520DCA" w:rsidRDefault="00C165E9" w:rsidP="00520DCA">
            <w:pPr>
              <w:jc w:val="center"/>
              <w:rPr>
                <w:rFonts w:ascii="Arial" w:hAnsi="Arial" w:cs="Arial"/>
                <w:sz w:val="22"/>
                <w:szCs w:val="22"/>
              </w:rPr>
            </w:pPr>
          </w:p>
          <w:p w:rsidR="00C165E9" w:rsidRPr="00520DCA" w:rsidRDefault="00C165E9" w:rsidP="00520DCA">
            <w:pPr>
              <w:widowControl/>
              <w:jc w:val="center"/>
              <w:rPr>
                <w:rFonts w:ascii="Arial" w:hAnsi="Arial" w:cs="Arial"/>
                <w:b/>
                <w:bCs/>
                <w:sz w:val="22"/>
                <w:szCs w:val="22"/>
              </w:rPr>
            </w:pPr>
            <w:r w:rsidRPr="00520DCA">
              <w:rPr>
                <w:rFonts w:ascii="Arial" w:hAnsi="Arial" w:cs="Arial"/>
                <w:b/>
                <w:bCs/>
                <w:sz w:val="22"/>
                <w:szCs w:val="22"/>
              </w:rPr>
              <w:t>Change to NRC</w:t>
            </w:r>
          </w:p>
          <w:p w:rsidR="00C165E9" w:rsidRPr="00520DCA" w:rsidRDefault="00C165E9" w:rsidP="00520DCA">
            <w:pPr>
              <w:widowControl/>
              <w:jc w:val="center"/>
              <w:rPr>
                <w:rFonts w:ascii="Arial" w:hAnsi="Arial" w:cs="Arial"/>
                <w:b/>
                <w:bCs/>
                <w:sz w:val="22"/>
                <w:szCs w:val="22"/>
              </w:rPr>
            </w:pPr>
            <w:r w:rsidRPr="00520DCA">
              <w:rPr>
                <w:rFonts w:ascii="Arial" w:hAnsi="Arial" w:cs="Arial"/>
                <w:b/>
                <w:bCs/>
                <w:sz w:val="22"/>
                <w:szCs w:val="22"/>
              </w:rPr>
              <w:t>Section</w:t>
            </w:r>
          </w:p>
        </w:tc>
        <w:tc>
          <w:tcPr>
            <w:tcW w:w="1440" w:type="dxa"/>
            <w:tcBorders>
              <w:top w:val="double" w:sz="6" w:space="0" w:color="000000"/>
              <w:bottom w:val="double" w:sz="6" w:space="0" w:color="000000"/>
            </w:tcBorders>
          </w:tcPr>
          <w:p w:rsidR="00C165E9" w:rsidRPr="00520DCA" w:rsidRDefault="00C165E9" w:rsidP="00520DCA">
            <w:pPr>
              <w:jc w:val="center"/>
              <w:rPr>
                <w:rFonts w:ascii="Arial" w:hAnsi="Arial" w:cs="Arial"/>
                <w:b/>
                <w:bCs/>
                <w:sz w:val="22"/>
                <w:szCs w:val="22"/>
              </w:rPr>
            </w:pPr>
          </w:p>
          <w:p w:rsidR="00C165E9" w:rsidRPr="00520DCA" w:rsidRDefault="00C165E9" w:rsidP="00520DCA">
            <w:pPr>
              <w:widowControl/>
              <w:tabs>
                <w:tab w:val="center" w:pos="825"/>
              </w:tabs>
              <w:jc w:val="center"/>
              <w:rPr>
                <w:rFonts w:ascii="Arial" w:hAnsi="Arial" w:cs="Arial"/>
                <w:b/>
                <w:bCs/>
                <w:sz w:val="22"/>
                <w:szCs w:val="22"/>
              </w:rPr>
            </w:pPr>
            <w:r w:rsidRPr="00520DCA">
              <w:rPr>
                <w:rFonts w:ascii="Arial" w:hAnsi="Arial" w:cs="Arial"/>
                <w:b/>
                <w:bCs/>
                <w:sz w:val="22"/>
                <w:szCs w:val="22"/>
              </w:rPr>
              <w:t>Title</w:t>
            </w:r>
          </w:p>
        </w:tc>
        <w:tc>
          <w:tcPr>
            <w:tcW w:w="1080" w:type="dxa"/>
            <w:tcBorders>
              <w:top w:val="double" w:sz="6" w:space="0" w:color="000000"/>
              <w:bottom w:val="double" w:sz="6" w:space="0" w:color="000000"/>
            </w:tcBorders>
          </w:tcPr>
          <w:p w:rsidR="00C165E9" w:rsidRPr="00520DCA" w:rsidRDefault="00C165E9" w:rsidP="00520DCA">
            <w:pPr>
              <w:jc w:val="center"/>
              <w:rPr>
                <w:rFonts w:ascii="Arial" w:hAnsi="Arial" w:cs="Arial"/>
                <w:b/>
                <w:bCs/>
                <w:sz w:val="22"/>
                <w:szCs w:val="22"/>
              </w:rPr>
            </w:pPr>
          </w:p>
          <w:p w:rsidR="00C165E9" w:rsidRPr="00520DCA" w:rsidRDefault="00C165E9" w:rsidP="00520DCA">
            <w:pPr>
              <w:widowControl/>
              <w:tabs>
                <w:tab w:val="center" w:pos="375"/>
              </w:tabs>
              <w:jc w:val="center"/>
              <w:rPr>
                <w:rFonts w:ascii="Arial" w:hAnsi="Arial" w:cs="Arial"/>
                <w:b/>
                <w:bCs/>
                <w:sz w:val="22"/>
                <w:szCs w:val="22"/>
              </w:rPr>
            </w:pPr>
            <w:r w:rsidRPr="00520DCA">
              <w:rPr>
                <w:rFonts w:ascii="Arial" w:hAnsi="Arial" w:cs="Arial"/>
                <w:b/>
                <w:bCs/>
                <w:sz w:val="22"/>
                <w:szCs w:val="22"/>
              </w:rPr>
              <w:t xml:space="preserve">State </w:t>
            </w:r>
          </w:p>
          <w:p w:rsidR="00C165E9" w:rsidRPr="00520DCA" w:rsidRDefault="00C165E9" w:rsidP="00520DCA">
            <w:pPr>
              <w:widowControl/>
              <w:jc w:val="center"/>
              <w:rPr>
                <w:rFonts w:ascii="Arial" w:hAnsi="Arial" w:cs="Arial"/>
                <w:b/>
                <w:bCs/>
                <w:sz w:val="22"/>
                <w:szCs w:val="22"/>
              </w:rPr>
            </w:pPr>
            <w:r w:rsidRPr="00520DCA">
              <w:rPr>
                <w:rFonts w:ascii="Arial" w:hAnsi="Arial" w:cs="Arial"/>
                <w:b/>
                <w:bCs/>
                <w:sz w:val="22"/>
                <w:szCs w:val="22"/>
              </w:rPr>
              <w:t>Section</w:t>
            </w:r>
          </w:p>
        </w:tc>
        <w:tc>
          <w:tcPr>
            <w:tcW w:w="1710" w:type="dxa"/>
            <w:tcBorders>
              <w:top w:val="double" w:sz="6" w:space="0" w:color="000000"/>
              <w:bottom w:val="double" w:sz="6" w:space="0" w:color="000000"/>
            </w:tcBorders>
          </w:tcPr>
          <w:p w:rsidR="00C165E9" w:rsidRPr="00520DCA" w:rsidRDefault="00C165E9" w:rsidP="00520DCA">
            <w:pPr>
              <w:jc w:val="center"/>
              <w:rPr>
                <w:rFonts w:ascii="Arial" w:hAnsi="Arial" w:cs="Arial"/>
                <w:b/>
                <w:bCs/>
                <w:sz w:val="22"/>
                <w:szCs w:val="22"/>
              </w:rPr>
            </w:pPr>
          </w:p>
          <w:p w:rsidR="00C165E9" w:rsidRPr="00520DCA" w:rsidRDefault="00C165E9" w:rsidP="00520DCA">
            <w:pPr>
              <w:widowControl/>
              <w:jc w:val="center"/>
              <w:rPr>
                <w:rFonts w:ascii="Arial" w:hAnsi="Arial" w:cs="Arial"/>
                <w:b/>
                <w:bCs/>
                <w:sz w:val="22"/>
                <w:szCs w:val="22"/>
              </w:rPr>
            </w:pPr>
            <w:r w:rsidRPr="00520DCA">
              <w:rPr>
                <w:rFonts w:ascii="Arial" w:hAnsi="Arial" w:cs="Arial"/>
                <w:b/>
                <w:bCs/>
                <w:sz w:val="22"/>
                <w:szCs w:val="22"/>
              </w:rPr>
              <w:t xml:space="preserve">Compatibility </w:t>
            </w:r>
          </w:p>
          <w:p w:rsidR="00C165E9" w:rsidRPr="00520DCA" w:rsidRDefault="00C165E9" w:rsidP="00520DCA">
            <w:pPr>
              <w:widowControl/>
              <w:jc w:val="center"/>
              <w:rPr>
                <w:rFonts w:ascii="Arial" w:hAnsi="Arial" w:cs="Arial"/>
                <w:b/>
                <w:bCs/>
                <w:sz w:val="22"/>
                <w:szCs w:val="22"/>
              </w:rPr>
            </w:pPr>
            <w:r w:rsidRPr="00520DCA">
              <w:rPr>
                <w:rFonts w:ascii="Arial" w:hAnsi="Arial" w:cs="Arial"/>
                <w:b/>
                <w:bCs/>
                <w:sz w:val="22"/>
                <w:szCs w:val="22"/>
              </w:rPr>
              <w:t>Category</w:t>
            </w:r>
          </w:p>
        </w:tc>
        <w:tc>
          <w:tcPr>
            <w:tcW w:w="3510" w:type="dxa"/>
            <w:tcBorders>
              <w:top w:val="double" w:sz="6" w:space="0" w:color="000000"/>
              <w:bottom w:val="double" w:sz="6" w:space="0" w:color="000000"/>
            </w:tcBorders>
          </w:tcPr>
          <w:p w:rsidR="00C165E9" w:rsidRPr="00520DCA" w:rsidRDefault="00C165E9" w:rsidP="00520DCA">
            <w:pPr>
              <w:jc w:val="center"/>
              <w:rPr>
                <w:rFonts w:ascii="Arial" w:hAnsi="Arial" w:cs="Arial"/>
                <w:b/>
                <w:bCs/>
                <w:sz w:val="22"/>
                <w:szCs w:val="22"/>
              </w:rPr>
            </w:pPr>
          </w:p>
          <w:p w:rsidR="00C165E9" w:rsidRPr="00520DCA" w:rsidRDefault="00C165E9" w:rsidP="00520DCA">
            <w:pPr>
              <w:widowControl/>
              <w:tabs>
                <w:tab w:val="center" w:pos="1815"/>
              </w:tabs>
              <w:jc w:val="center"/>
              <w:rPr>
                <w:rFonts w:ascii="Arial" w:hAnsi="Arial" w:cs="Arial"/>
                <w:b/>
                <w:bCs/>
                <w:sz w:val="22"/>
                <w:szCs w:val="22"/>
              </w:rPr>
            </w:pPr>
            <w:r w:rsidRPr="00520DCA">
              <w:rPr>
                <w:rFonts w:ascii="Arial" w:hAnsi="Arial" w:cs="Arial"/>
                <w:b/>
                <w:bCs/>
                <w:sz w:val="22"/>
                <w:szCs w:val="22"/>
              </w:rPr>
              <w:t>Summary of Change to CFR</w:t>
            </w:r>
          </w:p>
        </w:tc>
        <w:tc>
          <w:tcPr>
            <w:tcW w:w="1350" w:type="dxa"/>
            <w:tcBorders>
              <w:top w:val="double" w:sz="6" w:space="0" w:color="000000"/>
              <w:bottom w:val="double" w:sz="6" w:space="0" w:color="000000"/>
            </w:tcBorders>
          </w:tcPr>
          <w:p w:rsidR="00C165E9" w:rsidRPr="00520DCA" w:rsidRDefault="00C165E9" w:rsidP="00520DCA">
            <w:pPr>
              <w:jc w:val="center"/>
              <w:rPr>
                <w:rFonts w:ascii="Arial" w:hAnsi="Arial" w:cs="Arial"/>
                <w:b/>
                <w:bCs/>
                <w:sz w:val="22"/>
                <w:szCs w:val="22"/>
              </w:rPr>
            </w:pPr>
          </w:p>
          <w:p w:rsidR="00C165E9" w:rsidRPr="00520DCA" w:rsidRDefault="00C165E9" w:rsidP="00520DCA">
            <w:pPr>
              <w:widowControl/>
              <w:jc w:val="center"/>
              <w:rPr>
                <w:rFonts w:ascii="Arial" w:hAnsi="Arial" w:cs="Arial"/>
                <w:b/>
                <w:bCs/>
                <w:sz w:val="22"/>
                <w:szCs w:val="22"/>
              </w:rPr>
            </w:pPr>
            <w:r w:rsidRPr="00520DCA">
              <w:rPr>
                <w:rFonts w:ascii="Arial" w:hAnsi="Arial" w:cs="Arial"/>
                <w:b/>
                <w:bCs/>
                <w:sz w:val="22"/>
                <w:szCs w:val="22"/>
              </w:rPr>
              <w:t>Difference</w:t>
            </w:r>
          </w:p>
          <w:p w:rsidR="00C165E9" w:rsidRPr="00520DCA" w:rsidRDefault="00C165E9" w:rsidP="00520DCA">
            <w:pPr>
              <w:widowControl/>
              <w:jc w:val="center"/>
              <w:rPr>
                <w:rFonts w:ascii="Arial" w:hAnsi="Arial" w:cs="Arial"/>
                <w:b/>
                <w:bCs/>
                <w:sz w:val="22"/>
                <w:szCs w:val="22"/>
              </w:rPr>
            </w:pPr>
            <w:r w:rsidRPr="00520DCA">
              <w:rPr>
                <w:rFonts w:ascii="Arial" w:hAnsi="Arial" w:cs="Arial"/>
                <w:b/>
                <w:bCs/>
                <w:sz w:val="22"/>
                <w:szCs w:val="22"/>
              </w:rPr>
              <w:t>Yes/No</w:t>
            </w:r>
          </w:p>
        </w:tc>
        <w:tc>
          <w:tcPr>
            <w:tcW w:w="1440" w:type="dxa"/>
            <w:tcBorders>
              <w:top w:val="double" w:sz="6" w:space="0" w:color="000000"/>
              <w:bottom w:val="double" w:sz="6" w:space="0" w:color="000000"/>
            </w:tcBorders>
          </w:tcPr>
          <w:p w:rsidR="00C165E9" w:rsidRPr="00520DCA" w:rsidRDefault="00C165E9" w:rsidP="00520DCA">
            <w:pPr>
              <w:jc w:val="center"/>
              <w:rPr>
                <w:rFonts w:ascii="Arial" w:hAnsi="Arial" w:cs="Arial"/>
                <w:b/>
                <w:bCs/>
                <w:sz w:val="22"/>
                <w:szCs w:val="22"/>
              </w:rPr>
            </w:pPr>
          </w:p>
          <w:p w:rsidR="00C165E9" w:rsidRPr="00520DCA" w:rsidRDefault="00C165E9" w:rsidP="00520DCA">
            <w:pPr>
              <w:widowControl/>
              <w:jc w:val="center"/>
              <w:rPr>
                <w:rFonts w:ascii="Arial" w:hAnsi="Arial" w:cs="Arial"/>
                <w:b/>
                <w:bCs/>
                <w:sz w:val="22"/>
                <w:szCs w:val="22"/>
              </w:rPr>
            </w:pPr>
            <w:r w:rsidRPr="00520DCA">
              <w:rPr>
                <w:rFonts w:ascii="Arial" w:hAnsi="Arial" w:cs="Arial"/>
                <w:b/>
                <w:bCs/>
                <w:sz w:val="22"/>
                <w:szCs w:val="22"/>
              </w:rPr>
              <w:t>Significant</w:t>
            </w:r>
          </w:p>
          <w:p w:rsidR="00C165E9" w:rsidRPr="00520DCA" w:rsidRDefault="00C165E9" w:rsidP="00520DCA">
            <w:pPr>
              <w:widowControl/>
              <w:jc w:val="center"/>
              <w:rPr>
                <w:rFonts w:ascii="Arial" w:hAnsi="Arial" w:cs="Arial"/>
                <w:b/>
                <w:bCs/>
                <w:sz w:val="22"/>
                <w:szCs w:val="22"/>
              </w:rPr>
            </w:pPr>
            <w:r w:rsidRPr="00520DCA">
              <w:rPr>
                <w:rFonts w:ascii="Arial" w:hAnsi="Arial" w:cs="Arial"/>
                <w:b/>
                <w:bCs/>
                <w:sz w:val="22"/>
                <w:szCs w:val="22"/>
              </w:rPr>
              <w:t>Yes/No</w:t>
            </w:r>
          </w:p>
        </w:tc>
        <w:tc>
          <w:tcPr>
            <w:tcW w:w="2880" w:type="dxa"/>
            <w:tcBorders>
              <w:top w:val="double" w:sz="6" w:space="0" w:color="000000"/>
              <w:bottom w:val="double" w:sz="6" w:space="0" w:color="000000"/>
            </w:tcBorders>
          </w:tcPr>
          <w:p w:rsidR="00C165E9" w:rsidRPr="00520DCA" w:rsidRDefault="00C165E9" w:rsidP="00520DCA">
            <w:pPr>
              <w:jc w:val="center"/>
              <w:rPr>
                <w:rFonts w:ascii="Arial" w:hAnsi="Arial" w:cs="Arial"/>
                <w:b/>
                <w:bCs/>
                <w:sz w:val="22"/>
                <w:szCs w:val="22"/>
              </w:rPr>
            </w:pPr>
          </w:p>
          <w:p w:rsidR="00C165E9" w:rsidRPr="00520DCA" w:rsidRDefault="00C165E9" w:rsidP="00520DCA">
            <w:pPr>
              <w:widowControl/>
              <w:jc w:val="center"/>
              <w:rPr>
                <w:rFonts w:ascii="Arial" w:hAnsi="Arial" w:cs="Arial"/>
                <w:b/>
                <w:bCs/>
                <w:sz w:val="22"/>
                <w:szCs w:val="22"/>
              </w:rPr>
            </w:pPr>
            <w:r w:rsidRPr="00520DCA">
              <w:rPr>
                <w:rFonts w:ascii="Arial" w:hAnsi="Arial" w:cs="Arial"/>
                <w:b/>
                <w:bCs/>
                <w:sz w:val="22"/>
                <w:szCs w:val="22"/>
              </w:rPr>
              <w:t>If Difference, Why or Why Not Was a Comment Generated</w:t>
            </w:r>
          </w:p>
        </w:tc>
      </w:tr>
      <w:tr w:rsidR="00C165E9" w:rsidTr="00520DCA">
        <w:tblPrEx>
          <w:tblCellMar>
            <w:top w:w="0" w:type="dxa"/>
            <w:bottom w:w="0" w:type="dxa"/>
          </w:tblCellMar>
        </w:tblPrEx>
        <w:tc>
          <w:tcPr>
            <w:tcW w:w="1170" w:type="dxa"/>
            <w:tcBorders>
              <w:top w:val="double" w:sz="6" w:space="0" w:color="000000"/>
            </w:tcBorders>
          </w:tcPr>
          <w:p w:rsidR="00C165E9" w:rsidRPr="00520DCA" w:rsidRDefault="00C165E9" w:rsidP="00520DCA">
            <w:pPr>
              <w:rPr>
                <w:rFonts w:ascii="Arial" w:hAnsi="Arial" w:cs="Arial"/>
                <w:b/>
                <w:bCs/>
                <w:sz w:val="22"/>
                <w:szCs w:val="22"/>
              </w:rPr>
            </w:pPr>
          </w:p>
          <w:p w:rsidR="00C165E9" w:rsidRPr="00520DCA" w:rsidRDefault="00C165E9" w:rsidP="00520DCA">
            <w:pPr>
              <w:widowControl/>
              <w:jc w:val="center"/>
              <w:rPr>
                <w:rFonts w:ascii="Arial" w:hAnsi="Arial" w:cs="Arial"/>
                <w:sz w:val="22"/>
                <w:szCs w:val="22"/>
              </w:rPr>
            </w:pPr>
            <w:r w:rsidRPr="00520DCA">
              <w:rPr>
                <w:rFonts w:ascii="Arial" w:hAnsi="Arial" w:cs="Arial"/>
                <w:sz w:val="22"/>
                <w:szCs w:val="22"/>
              </w:rPr>
              <w:sym w:font="WP TypographicSymbols" w:char="0027"/>
            </w:r>
            <w:r w:rsidRPr="00520DCA">
              <w:rPr>
                <w:rFonts w:ascii="Arial" w:hAnsi="Arial" w:cs="Arial"/>
                <w:sz w:val="22"/>
                <w:szCs w:val="22"/>
              </w:rPr>
              <w:t>19.12</w:t>
            </w:r>
          </w:p>
        </w:tc>
        <w:tc>
          <w:tcPr>
            <w:tcW w:w="1440" w:type="dxa"/>
            <w:tcBorders>
              <w:top w:val="double" w:sz="6" w:space="0" w:color="000000"/>
            </w:tcBorders>
          </w:tcPr>
          <w:p w:rsidR="00C165E9" w:rsidRPr="00520DCA" w:rsidRDefault="00C165E9" w:rsidP="00520DCA">
            <w:pPr>
              <w:rPr>
                <w:rFonts w:ascii="Arial" w:hAnsi="Arial" w:cs="Arial"/>
                <w:sz w:val="22"/>
                <w:szCs w:val="22"/>
              </w:rPr>
            </w:pPr>
          </w:p>
          <w:p w:rsidR="00C165E9" w:rsidRPr="00520DCA" w:rsidRDefault="00C165E9" w:rsidP="00520DCA">
            <w:pPr>
              <w:widowControl/>
              <w:rPr>
                <w:rFonts w:ascii="Arial" w:hAnsi="Arial" w:cs="Arial"/>
                <w:sz w:val="22"/>
                <w:szCs w:val="22"/>
              </w:rPr>
            </w:pPr>
            <w:r w:rsidRPr="00520DCA">
              <w:rPr>
                <w:rFonts w:ascii="Arial" w:hAnsi="Arial" w:cs="Arial"/>
                <w:sz w:val="22"/>
                <w:szCs w:val="22"/>
              </w:rPr>
              <w:t>Instruction to workers</w:t>
            </w:r>
          </w:p>
        </w:tc>
        <w:tc>
          <w:tcPr>
            <w:tcW w:w="1080" w:type="dxa"/>
            <w:tcBorders>
              <w:top w:val="double" w:sz="6" w:space="0" w:color="000000"/>
            </w:tcBorders>
          </w:tcPr>
          <w:p w:rsidR="00C165E9" w:rsidRPr="00520DCA" w:rsidRDefault="00C165E9" w:rsidP="00520DCA">
            <w:pPr>
              <w:rPr>
                <w:rFonts w:ascii="Arial" w:hAnsi="Arial" w:cs="Arial"/>
                <w:sz w:val="22"/>
                <w:szCs w:val="22"/>
              </w:rPr>
            </w:pPr>
          </w:p>
          <w:p w:rsidR="00C165E9" w:rsidRPr="00520DCA" w:rsidRDefault="00C165E9" w:rsidP="00520DCA">
            <w:pPr>
              <w:widowControl/>
              <w:jc w:val="center"/>
              <w:rPr>
                <w:rFonts w:ascii="Arial" w:hAnsi="Arial" w:cs="Arial"/>
                <w:sz w:val="22"/>
                <w:szCs w:val="22"/>
              </w:rPr>
            </w:pPr>
          </w:p>
        </w:tc>
        <w:tc>
          <w:tcPr>
            <w:tcW w:w="1710" w:type="dxa"/>
            <w:tcBorders>
              <w:top w:val="double" w:sz="6" w:space="0" w:color="000000"/>
            </w:tcBorders>
          </w:tcPr>
          <w:p w:rsidR="00C165E9" w:rsidRPr="00520DCA" w:rsidRDefault="00C165E9" w:rsidP="00520DCA">
            <w:pPr>
              <w:rPr>
                <w:rFonts w:ascii="Arial" w:hAnsi="Arial" w:cs="Arial"/>
                <w:sz w:val="22"/>
                <w:szCs w:val="22"/>
              </w:rPr>
            </w:pPr>
          </w:p>
          <w:p w:rsidR="00C165E9" w:rsidRPr="00520DCA" w:rsidRDefault="00C165E9" w:rsidP="00520DCA">
            <w:pPr>
              <w:widowControl/>
              <w:jc w:val="center"/>
              <w:rPr>
                <w:rFonts w:ascii="Arial" w:hAnsi="Arial" w:cs="Arial"/>
                <w:sz w:val="22"/>
                <w:szCs w:val="22"/>
              </w:rPr>
            </w:pPr>
            <w:r w:rsidRPr="00520DCA">
              <w:rPr>
                <w:rFonts w:ascii="Arial" w:hAnsi="Arial" w:cs="Arial"/>
                <w:sz w:val="22"/>
                <w:szCs w:val="22"/>
              </w:rPr>
              <w:t>C</w:t>
            </w:r>
          </w:p>
        </w:tc>
        <w:tc>
          <w:tcPr>
            <w:tcW w:w="3510" w:type="dxa"/>
            <w:tcBorders>
              <w:top w:val="double" w:sz="6" w:space="0" w:color="000000"/>
            </w:tcBorders>
          </w:tcPr>
          <w:p w:rsidR="00C165E9" w:rsidRPr="00520DCA" w:rsidRDefault="00C165E9" w:rsidP="00520DCA">
            <w:pPr>
              <w:rPr>
                <w:rFonts w:ascii="Arial" w:hAnsi="Arial" w:cs="Arial"/>
                <w:sz w:val="22"/>
                <w:szCs w:val="22"/>
              </w:rPr>
            </w:pPr>
          </w:p>
          <w:p w:rsidR="00C165E9" w:rsidRPr="00520DCA" w:rsidRDefault="00C165E9" w:rsidP="00520DCA">
            <w:pPr>
              <w:widowControl/>
              <w:rPr>
                <w:rFonts w:ascii="Arial" w:hAnsi="Arial" w:cs="Arial"/>
                <w:sz w:val="22"/>
                <w:szCs w:val="22"/>
              </w:rPr>
            </w:pPr>
            <w:r w:rsidRPr="00520DCA">
              <w:rPr>
                <w:rFonts w:ascii="Arial" w:hAnsi="Arial" w:cs="Arial"/>
                <w:sz w:val="22"/>
                <w:szCs w:val="22"/>
              </w:rPr>
              <w:t>Section 19.12 is revised to read as follows Below:</w:t>
            </w:r>
          </w:p>
          <w:p w:rsidR="00C165E9" w:rsidRPr="00520DCA" w:rsidRDefault="00C165E9" w:rsidP="00520DCA">
            <w:pPr>
              <w:widowControl/>
              <w:rPr>
                <w:rFonts w:ascii="Arial" w:hAnsi="Arial" w:cs="Arial"/>
                <w:sz w:val="22"/>
                <w:szCs w:val="22"/>
              </w:rPr>
            </w:pPr>
          </w:p>
        </w:tc>
        <w:tc>
          <w:tcPr>
            <w:tcW w:w="1350" w:type="dxa"/>
            <w:tcBorders>
              <w:top w:val="double" w:sz="6" w:space="0" w:color="000000"/>
            </w:tcBorders>
          </w:tcPr>
          <w:p w:rsidR="00C165E9" w:rsidRPr="00520DCA" w:rsidRDefault="00C165E9" w:rsidP="00520DCA">
            <w:pPr>
              <w:rPr>
                <w:rFonts w:ascii="Arial" w:hAnsi="Arial" w:cs="Arial"/>
                <w:sz w:val="22"/>
                <w:szCs w:val="22"/>
              </w:rPr>
            </w:pPr>
          </w:p>
          <w:p w:rsidR="00C165E9" w:rsidRPr="00520DCA" w:rsidRDefault="00C165E9" w:rsidP="00520DCA">
            <w:pPr>
              <w:widowControl/>
              <w:rPr>
                <w:rFonts w:ascii="Arial" w:hAnsi="Arial" w:cs="Arial"/>
                <w:sz w:val="22"/>
                <w:szCs w:val="22"/>
              </w:rPr>
            </w:pPr>
          </w:p>
        </w:tc>
        <w:tc>
          <w:tcPr>
            <w:tcW w:w="1440" w:type="dxa"/>
            <w:tcBorders>
              <w:top w:val="double" w:sz="6" w:space="0" w:color="000000"/>
            </w:tcBorders>
          </w:tcPr>
          <w:p w:rsidR="00C165E9" w:rsidRPr="00520DCA" w:rsidRDefault="00C165E9" w:rsidP="00520DCA">
            <w:pPr>
              <w:rPr>
                <w:rFonts w:ascii="Arial" w:hAnsi="Arial" w:cs="Arial"/>
                <w:sz w:val="22"/>
                <w:szCs w:val="22"/>
              </w:rPr>
            </w:pPr>
          </w:p>
          <w:p w:rsidR="00C165E9" w:rsidRPr="00520DCA" w:rsidRDefault="00C165E9" w:rsidP="00520DCA">
            <w:pPr>
              <w:widowControl/>
              <w:rPr>
                <w:rFonts w:ascii="Arial" w:hAnsi="Arial" w:cs="Arial"/>
                <w:sz w:val="22"/>
                <w:szCs w:val="22"/>
              </w:rPr>
            </w:pPr>
          </w:p>
        </w:tc>
        <w:tc>
          <w:tcPr>
            <w:tcW w:w="2880" w:type="dxa"/>
            <w:tcBorders>
              <w:top w:val="double" w:sz="6" w:space="0" w:color="000000"/>
            </w:tcBorders>
          </w:tcPr>
          <w:p w:rsidR="00C165E9" w:rsidRPr="00520DCA" w:rsidRDefault="00C165E9" w:rsidP="00520DCA">
            <w:pPr>
              <w:rPr>
                <w:rFonts w:ascii="Arial" w:hAnsi="Arial" w:cs="Arial"/>
                <w:sz w:val="22"/>
                <w:szCs w:val="22"/>
              </w:rPr>
            </w:pPr>
          </w:p>
          <w:p w:rsidR="00C165E9" w:rsidRPr="00520DCA" w:rsidRDefault="00C165E9" w:rsidP="00520DCA">
            <w:pPr>
              <w:widowControl/>
              <w:rPr>
                <w:rFonts w:ascii="Arial" w:hAnsi="Arial" w:cs="Arial"/>
                <w:sz w:val="22"/>
                <w:szCs w:val="22"/>
              </w:rPr>
            </w:pPr>
          </w:p>
        </w:tc>
      </w:tr>
      <w:tr w:rsidR="00114082" w:rsidTr="00520DCA">
        <w:tblPrEx>
          <w:tblCellMar>
            <w:top w:w="0" w:type="dxa"/>
            <w:bottom w:w="0" w:type="dxa"/>
          </w:tblCellMar>
        </w:tblPrEx>
        <w:tc>
          <w:tcPr>
            <w:tcW w:w="1170" w:type="dxa"/>
          </w:tcPr>
          <w:p w:rsidR="00C165E9" w:rsidRPr="00520DCA" w:rsidRDefault="00C165E9" w:rsidP="00520DCA">
            <w:pPr>
              <w:rPr>
                <w:rFonts w:ascii="Arial" w:hAnsi="Arial" w:cs="Arial"/>
                <w:sz w:val="22"/>
                <w:szCs w:val="22"/>
              </w:rPr>
            </w:pPr>
          </w:p>
          <w:p w:rsidR="00C165E9" w:rsidRPr="00520DCA" w:rsidRDefault="00C165E9" w:rsidP="00520DCA">
            <w:pPr>
              <w:widowControl/>
              <w:jc w:val="center"/>
              <w:rPr>
                <w:rFonts w:ascii="Arial" w:hAnsi="Arial" w:cs="Arial"/>
                <w:sz w:val="22"/>
                <w:szCs w:val="22"/>
              </w:rPr>
            </w:pPr>
          </w:p>
        </w:tc>
        <w:tc>
          <w:tcPr>
            <w:tcW w:w="1440" w:type="dxa"/>
          </w:tcPr>
          <w:p w:rsidR="00C165E9" w:rsidRPr="00520DCA" w:rsidRDefault="00C165E9" w:rsidP="00520DCA">
            <w:pPr>
              <w:rPr>
                <w:rFonts w:ascii="Arial" w:hAnsi="Arial" w:cs="Arial"/>
                <w:sz w:val="22"/>
                <w:szCs w:val="22"/>
              </w:rPr>
            </w:pPr>
          </w:p>
          <w:p w:rsidR="00C165E9" w:rsidRPr="00520DCA" w:rsidRDefault="00C165E9" w:rsidP="00520DCA">
            <w:pPr>
              <w:widowControl/>
              <w:rPr>
                <w:rFonts w:ascii="Arial" w:hAnsi="Arial" w:cs="Arial"/>
                <w:sz w:val="22"/>
                <w:szCs w:val="22"/>
              </w:rPr>
            </w:pPr>
          </w:p>
        </w:tc>
        <w:tc>
          <w:tcPr>
            <w:tcW w:w="1080" w:type="dxa"/>
          </w:tcPr>
          <w:p w:rsidR="00C165E9" w:rsidRPr="00520DCA" w:rsidRDefault="00C165E9" w:rsidP="00520DCA">
            <w:pPr>
              <w:rPr>
                <w:rFonts w:ascii="Arial" w:hAnsi="Arial" w:cs="Arial"/>
                <w:sz w:val="22"/>
                <w:szCs w:val="22"/>
              </w:rPr>
            </w:pPr>
          </w:p>
          <w:p w:rsidR="00C165E9" w:rsidRPr="00520DCA" w:rsidRDefault="00C165E9" w:rsidP="00520DCA">
            <w:pPr>
              <w:widowControl/>
              <w:jc w:val="center"/>
              <w:rPr>
                <w:rFonts w:ascii="Arial" w:hAnsi="Arial" w:cs="Arial"/>
                <w:sz w:val="22"/>
                <w:szCs w:val="22"/>
              </w:rPr>
            </w:pPr>
          </w:p>
        </w:tc>
        <w:tc>
          <w:tcPr>
            <w:tcW w:w="1710" w:type="dxa"/>
          </w:tcPr>
          <w:p w:rsidR="00C165E9" w:rsidRPr="00520DCA" w:rsidRDefault="00C165E9" w:rsidP="00520DCA">
            <w:pPr>
              <w:rPr>
                <w:rFonts w:ascii="Arial" w:hAnsi="Arial" w:cs="Arial"/>
                <w:sz w:val="22"/>
                <w:szCs w:val="22"/>
              </w:rPr>
            </w:pPr>
          </w:p>
          <w:p w:rsidR="00C165E9" w:rsidRPr="00520DCA" w:rsidRDefault="00C165E9" w:rsidP="00520DCA">
            <w:pPr>
              <w:widowControl/>
              <w:jc w:val="center"/>
              <w:rPr>
                <w:rFonts w:ascii="Arial" w:hAnsi="Arial" w:cs="Arial"/>
                <w:sz w:val="22"/>
                <w:szCs w:val="22"/>
              </w:rPr>
            </w:pPr>
          </w:p>
        </w:tc>
        <w:tc>
          <w:tcPr>
            <w:tcW w:w="9180" w:type="dxa"/>
            <w:gridSpan w:val="4"/>
          </w:tcPr>
          <w:p w:rsidR="00C165E9" w:rsidRPr="00520DCA" w:rsidRDefault="00C165E9" w:rsidP="00520DCA">
            <w:pPr>
              <w:rPr>
                <w:rFonts w:ascii="Arial" w:hAnsi="Arial" w:cs="Arial"/>
                <w:sz w:val="22"/>
                <w:szCs w:val="22"/>
              </w:rPr>
            </w:pP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520DCA">
              <w:rPr>
                <w:rFonts w:ascii="Arial" w:hAnsi="Arial" w:cs="Arial"/>
                <w:sz w:val="22"/>
                <w:szCs w:val="22"/>
              </w:rPr>
              <w:fldChar w:fldCharType="begin"/>
            </w:r>
            <w:r w:rsidRPr="00520DCA">
              <w:rPr>
                <w:rFonts w:ascii="Arial" w:hAnsi="Arial" w:cs="Arial"/>
                <w:sz w:val="22"/>
                <w:szCs w:val="22"/>
              </w:rPr>
              <w:instrText>ADVANCE \d4</w:instrText>
            </w:r>
            <w:r w:rsidRPr="00520DCA">
              <w:rPr>
                <w:rFonts w:ascii="Arial" w:hAnsi="Arial" w:cs="Arial"/>
                <w:sz w:val="22"/>
                <w:szCs w:val="22"/>
              </w:rPr>
              <w:fldChar w:fldCharType="end"/>
            </w:r>
            <w:r w:rsidRPr="00520DCA">
              <w:rPr>
                <w:rFonts w:ascii="Arial" w:hAnsi="Arial" w:cs="Arial"/>
                <w:sz w:val="22"/>
                <w:szCs w:val="22"/>
              </w:rPr>
              <w:t>(a) All individuals who in the course of employment are likely to receive in a year an occupational dose in excess of 100 mrem (1 mSv) shall be</w:t>
            </w:r>
            <w:r w:rsidRPr="00520DCA">
              <w:rPr>
                <w:rFonts w:ascii="Arial" w:hAnsi="Arial" w:cs="Arial"/>
                <w:sz w:val="22"/>
                <w:szCs w:val="22"/>
              </w:rPr>
              <w:sym w:font="WP TypographicSymbols" w:char="0043"/>
            </w: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520DCA">
              <w:rPr>
                <w:rFonts w:ascii="Arial" w:hAnsi="Arial" w:cs="Arial"/>
                <w:sz w:val="22"/>
                <w:szCs w:val="22"/>
              </w:rPr>
              <w:t>(1) Kept informed of the storage, transfer, or use of radiation and/or radioactive material;</w:t>
            </w: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520DCA">
              <w:rPr>
                <w:rFonts w:ascii="Arial" w:hAnsi="Arial" w:cs="Arial"/>
                <w:sz w:val="22"/>
                <w:szCs w:val="22"/>
              </w:rPr>
              <w:fldChar w:fldCharType="begin"/>
            </w:r>
            <w:r w:rsidRPr="00520DCA">
              <w:rPr>
                <w:rFonts w:ascii="Arial" w:hAnsi="Arial" w:cs="Arial"/>
                <w:sz w:val="22"/>
                <w:szCs w:val="22"/>
              </w:rPr>
              <w:instrText>ADVANCE \d4</w:instrText>
            </w:r>
            <w:r w:rsidRPr="00520DCA">
              <w:rPr>
                <w:rFonts w:ascii="Arial" w:hAnsi="Arial" w:cs="Arial"/>
                <w:sz w:val="22"/>
                <w:szCs w:val="22"/>
              </w:rPr>
              <w:fldChar w:fldCharType="end"/>
            </w:r>
            <w:r w:rsidRPr="00520DCA">
              <w:rPr>
                <w:rFonts w:ascii="Arial" w:hAnsi="Arial" w:cs="Arial"/>
                <w:sz w:val="22"/>
                <w:szCs w:val="22"/>
              </w:rPr>
              <w:t>(2) Instructed in the health protection problems associated with exposure to radiation and/or radioactive material, in precautions or procedures to minimize exposure, and in the purposes and functions of protective devices employed;</w:t>
            </w: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520DCA">
              <w:rPr>
                <w:rFonts w:ascii="Arial" w:hAnsi="Arial" w:cs="Arial"/>
                <w:sz w:val="22"/>
                <w:szCs w:val="22"/>
              </w:rPr>
              <w:fldChar w:fldCharType="begin"/>
            </w:r>
            <w:r w:rsidRPr="00520DCA">
              <w:rPr>
                <w:rFonts w:ascii="Arial" w:hAnsi="Arial" w:cs="Arial"/>
                <w:sz w:val="22"/>
                <w:szCs w:val="22"/>
              </w:rPr>
              <w:instrText>ADVANCE \d4</w:instrText>
            </w:r>
            <w:r w:rsidRPr="00520DCA">
              <w:rPr>
                <w:rFonts w:ascii="Arial" w:hAnsi="Arial" w:cs="Arial"/>
                <w:sz w:val="22"/>
                <w:szCs w:val="22"/>
              </w:rPr>
              <w:fldChar w:fldCharType="end"/>
            </w:r>
            <w:r w:rsidRPr="00520DCA">
              <w:rPr>
                <w:rFonts w:ascii="Arial" w:hAnsi="Arial" w:cs="Arial"/>
                <w:sz w:val="22"/>
                <w:szCs w:val="22"/>
              </w:rPr>
              <w:t>(3) Instructed in, and required to observe, to the extent within the workers control, the applicable provisions of Commission regulations and licenses for the protection of personnel from exposure to radiation and/or radioactive material;</w:t>
            </w: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520DCA">
              <w:rPr>
                <w:rFonts w:ascii="Arial" w:hAnsi="Arial" w:cs="Arial"/>
                <w:sz w:val="22"/>
                <w:szCs w:val="22"/>
              </w:rPr>
              <w:fldChar w:fldCharType="begin"/>
            </w:r>
            <w:r w:rsidRPr="00520DCA">
              <w:rPr>
                <w:rFonts w:ascii="Arial" w:hAnsi="Arial" w:cs="Arial"/>
                <w:sz w:val="22"/>
                <w:szCs w:val="22"/>
              </w:rPr>
              <w:instrText>ADVANCE \d4</w:instrText>
            </w:r>
            <w:r w:rsidRPr="00520DCA">
              <w:rPr>
                <w:rFonts w:ascii="Arial" w:hAnsi="Arial" w:cs="Arial"/>
                <w:sz w:val="22"/>
                <w:szCs w:val="22"/>
              </w:rPr>
              <w:fldChar w:fldCharType="end"/>
            </w:r>
            <w:r w:rsidRPr="00520DCA">
              <w:rPr>
                <w:rFonts w:ascii="Arial" w:hAnsi="Arial" w:cs="Arial"/>
                <w:sz w:val="22"/>
                <w:szCs w:val="22"/>
              </w:rPr>
              <w:t>(4) Instructed of their responsibility to report promptly to the licensee any condition which may lead to or cause a violation of Commission regulations and licenses or unnecessary exposure to radiation and/or radioactive material;</w:t>
            </w: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520DCA">
              <w:rPr>
                <w:rFonts w:ascii="Arial" w:hAnsi="Arial" w:cs="Arial"/>
                <w:sz w:val="22"/>
                <w:szCs w:val="22"/>
              </w:rPr>
              <w:fldChar w:fldCharType="begin"/>
            </w:r>
            <w:r w:rsidRPr="00520DCA">
              <w:rPr>
                <w:rFonts w:ascii="Arial" w:hAnsi="Arial" w:cs="Arial"/>
                <w:sz w:val="22"/>
                <w:szCs w:val="22"/>
              </w:rPr>
              <w:instrText>ADVANCE \d4</w:instrText>
            </w:r>
            <w:r w:rsidRPr="00520DCA">
              <w:rPr>
                <w:rFonts w:ascii="Arial" w:hAnsi="Arial" w:cs="Arial"/>
                <w:sz w:val="22"/>
                <w:szCs w:val="22"/>
              </w:rPr>
              <w:fldChar w:fldCharType="end"/>
            </w:r>
            <w:r w:rsidRPr="00520DCA">
              <w:rPr>
                <w:rFonts w:ascii="Arial" w:hAnsi="Arial" w:cs="Arial"/>
                <w:sz w:val="22"/>
                <w:szCs w:val="22"/>
              </w:rPr>
              <w:t>(5) Instructed in the appropriate response to warnings made in the event of any unusual occurrence or malfunction that may involve exposure to radiation and/or radioactive material; and</w:t>
            </w: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520DCA">
              <w:rPr>
                <w:rFonts w:ascii="Arial" w:hAnsi="Arial" w:cs="Arial"/>
                <w:sz w:val="22"/>
                <w:szCs w:val="22"/>
              </w:rPr>
              <w:fldChar w:fldCharType="begin"/>
            </w:r>
            <w:r w:rsidRPr="00520DCA">
              <w:rPr>
                <w:rFonts w:ascii="Arial" w:hAnsi="Arial" w:cs="Arial"/>
                <w:sz w:val="22"/>
                <w:szCs w:val="22"/>
              </w:rPr>
              <w:instrText>ADVANCE \d4</w:instrText>
            </w:r>
            <w:r w:rsidRPr="00520DCA">
              <w:rPr>
                <w:rFonts w:ascii="Arial" w:hAnsi="Arial" w:cs="Arial"/>
                <w:sz w:val="22"/>
                <w:szCs w:val="22"/>
              </w:rPr>
              <w:fldChar w:fldCharType="end"/>
            </w:r>
            <w:r w:rsidRPr="00520DCA">
              <w:rPr>
                <w:rFonts w:ascii="Arial" w:hAnsi="Arial" w:cs="Arial"/>
                <w:sz w:val="22"/>
                <w:szCs w:val="22"/>
              </w:rPr>
              <w:t xml:space="preserve">(6) Advised as to the radiation exposure reports which workers may request pursuant to </w:t>
            </w:r>
            <w:r w:rsidRPr="00520DCA">
              <w:rPr>
                <w:rFonts w:ascii="Arial" w:hAnsi="Arial" w:cs="Arial"/>
                <w:sz w:val="22"/>
                <w:szCs w:val="22"/>
              </w:rPr>
              <w:sym w:font="WP TypographicSymbols" w:char="0027"/>
            </w:r>
            <w:r w:rsidRPr="00520DCA">
              <w:rPr>
                <w:rFonts w:ascii="Arial" w:hAnsi="Arial" w:cs="Arial"/>
                <w:sz w:val="22"/>
                <w:szCs w:val="22"/>
              </w:rPr>
              <w:t>19.13.</w:t>
            </w:r>
          </w:p>
          <w:p w:rsidR="00C165E9"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520DCA">
              <w:rPr>
                <w:rFonts w:ascii="Arial" w:hAnsi="Arial" w:cs="Arial"/>
                <w:sz w:val="22"/>
                <w:szCs w:val="22"/>
              </w:rPr>
              <w:fldChar w:fldCharType="begin"/>
            </w:r>
            <w:r w:rsidRPr="00520DCA">
              <w:rPr>
                <w:rFonts w:ascii="Arial" w:hAnsi="Arial" w:cs="Arial"/>
                <w:sz w:val="22"/>
                <w:szCs w:val="22"/>
              </w:rPr>
              <w:instrText>ADVANCE \d4</w:instrText>
            </w:r>
            <w:r w:rsidRPr="00520DCA">
              <w:rPr>
                <w:rFonts w:ascii="Arial" w:hAnsi="Arial" w:cs="Arial"/>
                <w:sz w:val="22"/>
                <w:szCs w:val="22"/>
              </w:rPr>
              <w:fldChar w:fldCharType="end"/>
            </w:r>
            <w:r w:rsidRPr="00520DCA">
              <w:rPr>
                <w:rFonts w:ascii="Arial" w:hAnsi="Arial" w:cs="Arial"/>
                <w:sz w:val="22"/>
                <w:szCs w:val="22"/>
              </w:rPr>
              <w:t>(b) In determining those individuals subject to the requirements of paragraph (a) of this section, licensees must take into consideration assigned activities during normal and abnormal situations involving exposure to radiation and/or radioactive material which can reasonably be expected to occur during the life of a licensed facility. The extent of these instructions must be commensurate with potential radiological health protection problems present in the work place.</w:t>
            </w:r>
          </w:p>
          <w:p w:rsidR="00520DCA" w:rsidRDefault="00520DCA"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520DCA" w:rsidRDefault="00520DCA"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520DCA" w:rsidRDefault="00520DCA"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520DCA" w:rsidRDefault="00520DCA"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520DCA" w:rsidRDefault="00520DCA"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520DCA" w:rsidRPr="00520DCA" w:rsidRDefault="00520DCA"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C165E9" w:rsidTr="00520DCA">
        <w:tblPrEx>
          <w:tblCellMar>
            <w:top w:w="0" w:type="dxa"/>
            <w:bottom w:w="0" w:type="dxa"/>
          </w:tblCellMar>
        </w:tblPrEx>
        <w:tc>
          <w:tcPr>
            <w:tcW w:w="1170" w:type="dxa"/>
          </w:tcPr>
          <w:p w:rsidR="00C165E9" w:rsidRPr="00520DCA" w:rsidRDefault="00C165E9" w:rsidP="00520DCA">
            <w:pPr>
              <w:rPr>
                <w:rFonts w:ascii="Arial" w:hAnsi="Arial" w:cs="Arial"/>
                <w:sz w:val="22"/>
                <w:szCs w:val="22"/>
              </w:rPr>
            </w:pP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520DCA">
              <w:rPr>
                <w:rFonts w:ascii="Arial" w:hAnsi="Arial" w:cs="Arial"/>
                <w:sz w:val="22"/>
                <w:szCs w:val="22"/>
              </w:rPr>
              <w:sym w:font="WP TypographicSymbols" w:char="0027"/>
            </w:r>
            <w:r w:rsidRPr="00520DCA">
              <w:rPr>
                <w:rFonts w:ascii="Arial" w:hAnsi="Arial" w:cs="Arial"/>
                <w:sz w:val="22"/>
                <w:szCs w:val="22"/>
              </w:rPr>
              <w:t>20.1003</w:t>
            </w:r>
          </w:p>
        </w:tc>
        <w:tc>
          <w:tcPr>
            <w:tcW w:w="1440" w:type="dxa"/>
          </w:tcPr>
          <w:p w:rsidR="00C165E9" w:rsidRPr="00520DCA" w:rsidRDefault="00C165E9" w:rsidP="00520DCA">
            <w:pPr>
              <w:rPr>
                <w:rFonts w:ascii="Arial" w:hAnsi="Arial" w:cs="Arial"/>
                <w:sz w:val="22"/>
                <w:szCs w:val="22"/>
              </w:rPr>
            </w:pP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520DCA">
              <w:rPr>
                <w:rFonts w:ascii="Arial" w:hAnsi="Arial" w:cs="Arial"/>
                <w:sz w:val="22"/>
                <w:szCs w:val="22"/>
              </w:rPr>
              <w:t>Definitions</w:t>
            </w:r>
          </w:p>
        </w:tc>
        <w:tc>
          <w:tcPr>
            <w:tcW w:w="1080" w:type="dxa"/>
          </w:tcPr>
          <w:p w:rsidR="00C165E9" w:rsidRPr="00520DCA" w:rsidRDefault="00C165E9" w:rsidP="00520DCA">
            <w:pPr>
              <w:rPr>
                <w:rFonts w:ascii="Arial" w:hAnsi="Arial" w:cs="Arial"/>
                <w:sz w:val="22"/>
                <w:szCs w:val="22"/>
              </w:rPr>
            </w:pP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C165E9" w:rsidRPr="00520DCA" w:rsidRDefault="00C165E9" w:rsidP="00520DCA">
            <w:pPr>
              <w:rPr>
                <w:rFonts w:ascii="Arial" w:hAnsi="Arial" w:cs="Arial"/>
                <w:sz w:val="22"/>
                <w:szCs w:val="22"/>
              </w:rPr>
            </w:pP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520DCA">
              <w:rPr>
                <w:rFonts w:ascii="Arial" w:hAnsi="Arial" w:cs="Arial"/>
                <w:sz w:val="22"/>
                <w:szCs w:val="22"/>
              </w:rPr>
              <w:t>A</w:t>
            </w:r>
          </w:p>
        </w:tc>
        <w:tc>
          <w:tcPr>
            <w:tcW w:w="3510" w:type="dxa"/>
          </w:tcPr>
          <w:p w:rsidR="00C165E9" w:rsidRPr="00520DCA" w:rsidRDefault="00C165E9" w:rsidP="00520DCA">
            <w:pPr>
              <w:rPr>
                <w:rFonts w:ascii="Arial" w:hAnsi="Arial" w:cs="Arial"/>
                <w:sz w:val="22"/>
                <w:szCs w:val="22"/>
              </w:rPr>
            </w:pP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520DCA">
              <w:rPr>
                <w:rFonts w:ascii="Arial" w:hAnsi="Arial" w:cs="Arial"/>
                <w:b/>
                <w:bCs/>
                <w:sz w:val="22"/>
                <w:szCs w:val="22"/>
              </w:rPr>
              <w:t>Changed definition reads as follows:</w:t>
            </w: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520DCA">
              <w:rPr>
                <w:rFonts w:ascii="Arial" w:hAnsi="Arial" w:cs="Arial"/>
                <w:sz w:val="22"/>
                <w:szCs w:val="22"/>
              </w:rPr>
              <w:t>Member of Public:</w:t>
            </w:r>
            <w:r w:rsidR="00520DCA">
              <w:rPr>
                <w:rFonts w:ascii="Arial" w:hAnsi="Arial" w:cs="Arial"/>
                <w:sz w:val="22"/>
                <w:szCs w:val="22"/>
              </w:rPr>
              <w:t xml:space="preserve"> </w:t>
            </w:r>
            <w:r w:rsidRPr="00520DCA">
              <w:rPr>
                <w:rFonts w:ascii="Arial" w:hAnsi="Arial" w:cs="Arial"/>
                <w:sz w:val="22"/>
                <w:szCs w:val="22"/>
              </w:rPr>
              <w:t>means any individual except when that individual is receiving an occupational dose.</w:t>
            </w:r>
          </w:p>
        </w:tc>
        <w:tc>
          <w:tcPr>
            <w:tcW w:w="1350" w:type="dxa"/>
          </w:tcPr>
          <w:p w:rsidR="00C165E9" w:rsidRPr="00520DCA" w:rsidRDefault="00C165E9" w:rsidP="00520DCA">
            <w:pPr>
              <w:rPr>
                <w:rFonts w:ascii="Arial" w:hAnsi="Arial" w:cs="Arial"/>
                <w:sz w:val="22"/>
                <w:szCs w:val="22"/>
              </w:rPr>
            </w:pP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440" w:type="dxa"/>
          </w:tcPr>
          <w:p w:rsidR="00C165E9" w:rsidRPr="00520DCA" w:rsidRDefault="00C165E9" w:rsidP="00520DCA">
            <w:pPr>
              <w:rPr>
                <w:rFonts w:ascii="Arial" w:hAnsi="Arial" w:cs="Arial"/>
                <w:sz w:val="22"/>
                <w:szCs w:val="22"/>
              </w:rPr>
            </w:pP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880" w:type="dxa"/>
          </w:tcPr>
          <w:p w:rsidR="00C165E9" w:rsidRPr="00520DCA" w:rsidRDefault="00C165E9" w:rsidP="00520DCA">
            <w:pPr>
              <w:rPr>
                <w:rFonts w:ascii="Arial" w:hAnsi="Arial" w:cs="Arial"/>
                <w:sz w:val="22"/>
                <w:szCs w:val="22"/>
              </w:rPr>
            </w:pP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C165E9" w:rsidTr="00520DCA">
        <w:tblPrEx>
          <w:tblCellMar>
            <w:top w:w="0" w:type="dxa"/>
            <w:bottom w:w="0" w:type="dxa"/>
          </w:tblCellMar>
        </w:tblPrEx>
        <w:tc>
          <w:tcPr>
            <w:tcW w:w="1170" w:type="dxa"/>
          </w:tcPr>
          <w:p w:rsidR="00C165E9" w:rsidRPr="00520DCA" w:rsidRDefault="00C165E9" w:rsidP="00520DCA">
            <w:pPr>
              <w:rPr>
                <w:rFonts w:ascii="Arial" w:hAnsi="Arial" w:cs="Arial"/>
                <w:sz w:val="22"/>
                <w:szCs w:val="22"/>
              </w:rPr>
            </w:pP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520DCA">
              <w:rPr>
                <w:rFonts w:ascii="Arial" w:hAnsi="Arial" w:cs="Arial"/>
                <w:sz w:val="22"/>
                <w:szCs w:val="22"/>
              </w:rPr>
              <w:sym w:font="WP TypographicSymbols" w:char="0027"/>
            </w:r>
            <w:r w:rsidRPr="00520DCA">
              <w:rPr>
                <w:rFonts w:ascii="Arial" w:hAnsi="Arial" w:cs="Arial"/>
                <w:sz w:val="22"/>
                <w:szCs w:val="22"/>
              </w:rPr>
              <w:t>20.1003</w:t>
            </w:r>
          </w:p>
        </w:tc>
        <w:tc>
          <w:tcPr>
            <w:tcW w:w="1440" w:type="dxa"/>
          </w:tcPr>
          <w:p w:rsidR="00C165E9" w:rsidRPr="00520DCA" w:rsidRDefault="00C165E9" w:rsidP="00520DCA">
            <w:pPr>
              <w:rPr>
                <w:rFonts w:ascii="Arial" w:hAnsi="Arial" w:cs="Arial"/>
                <w:sz w:val="22"/>
                <w:szCs w:val="22"/>
              </w:rPr>
            </w:pP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520DCA">
              <w:rPr>
                <w:rFonts w:ascii="Arial" w:hAnsi="Arial" w:cs="Arial"/>
                <w:sz w:val="22"/>
                <w:szCs w:val="22"/>
              </w:rPr>
              <w:t>Definitions</w:t>
            </w:r>
          </w:p>
        </w:tc>
        <w:tc>
          <w:tcPr>
            <w:tcW w:w="1080" w:type="dxa"/>
          </w:tcPr>
          <w:p w:rsidR="00C165E9" w:rsidRPr="00520DCA" w:rsidRDefault="00C165E9" w:rsidP="00520DCA">
            <w:pPr>
              <w:rPr>
                <w:rFonts w:ascii="Arial" w:hAnsi="Arial" w:cs="Arial"/>
                <w:sz w:val="22"/>
                <w:szCs w:val="22"/>
              </w:rPr>
            </w:pP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C165E9" w:rsidRPr="00520DCA" w:rsidRDefault="00C165E9" w:rsidP="00520DCA">
            <w:pPr>
              <w:rPr>
                <w:rFonts w:ascii="Arial" w:hAnsi="Arial" w:cs="Arial"/>
                <w:sz w:val="22"/>
                <w:szCs w:val="22"/>
              </w:rPr>
            </w:pP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520DCA">
              <w:rPr>
                <w:rFonts w:ascii="Arial" w:hAnsi="Arial" w:cs="Arial"/>
                <w:sz w:val="22"/>
                <w:szCs w:val="22"/>
              </w:rPr>
              <w:t>A</w:t>
            </w:r>
          </w:p>
        </w:tc>
        <w:tc>
          <w:tcPr>
            <w:tcW w:w="3510" w:type="dxa"/>
          </w:tcPr>
          <w:p w:rsidR="00C165E9" w:rsidRPr="00520DCA" w:rsidRDefault="00C165E9" w:rsidP="00520DCA">
            <w:pPr>
              <w:rPr>
                <w:rFonts w:ascii="Arial" w:hAnsi="Arial" w:cs="Arial"/>
                <w:sz w:val="22"/>
                <w:szCs w:val="22"/>
              </w:rPr>
            </w:pP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520DCA">
              <w:rPr>
                <w:rFonts w:ascii="Arial" w:hAnsi="Arial" w:cs="Arial"/>
                <w:b/>
                <w:bCs/>
                <w:sz w:val="22"/>
                <w:szCs w:val="22"/>
              </w:rPr>
              <w:t>Changed definition reads as follows:</w:t>
            </w: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520DCA">
              <w:rPr>
                <w:rFonts w:ascii="Arial" w:hAnsi="Arial" w:cs="Arial"/>
                <w:sz w:val="22"/>
                <w:szCs w:val="22"/>
              </w:rPr>
              <w:t xml:space="preserve">Occupational Dose: means the dose received by an individual in the course of employment in which the individual's assigned duties involve exposure to radiation or to radioactive material from licensed and unlicensed sources of radiation, whether in the possession of the licensee or other person. Occupational dose does not include doses received from background radiation, from any medical administration the individual has received, from exposure to individuals administered radioactive material and released </w:t>
            </w:r>
            <w:proofErr w:type="gramStart"/>
            <w:r w:rsidRPr="00520DCA">
              <w:rPr>
                <w:rFonts w:ascii="Arial" w:hAnsi="Arial" w:cs="Arial"/>
                <w:sz w:val="22"/>
                <w:szCs w:val="22"/>
              </w:rPr>
              <w:t>under</w:t>
            </w:r>
            <w:proofErr w:type="gramEnd"/>
            <w:r w:rsidRPr="00520DCA">
              <w:rPr>
                <w:rFonts w:ascii="Arial" w:hAnsi="Arial" w:cs="Arial"/>
                <w:sz w:val="22"/>
                <w:szCs w:val="22"/>
              </w:rPr>
              <w:t xml:space="preserve"> </w:t>
            </w:r>
            <w:r w:rsidRPr="00520DCA">
              <w:rPr>
                <w:rFonts w:ascii="Arial" w:hAnsi="Arial" w:cs="Arial"/>
                <w:sz w:val="22"/>
                <w:szCs w:val="22"/>
              </w:rPr>
              <w:sym w:font="WP TypographicSymbols" w:char="0027"/>
            </w:r>
            <w:r w:rsidRPr="00520DCA">
              <w:rPr>
                <w:rFonts w:ascii="Arial" w:hAnsi="Arial" w:cs="Arial"/>
                <w:sz w:val="22"/>
                <w:szCs w:val="22"/>
              </w:rPr>
              <w:t xml:space="preserve">35.75, from voluntary participation in medical research programs, or as a member of the public. </w:t>
            </w:r>
          </w:p>
        </w:tc>
        <w:tc>
          <w:tcPr>
            <w:tcW w:w="1350" w:type="dxa"/>
          </w:tcPr>
          <w:p w:rsidR="00C165E9" w:rsidRPr="00520DCA" w:rsidRDefault="00C165E9" w:rsidP="00520DCA">
            <w:pPr>
              <w:rPr>
                <w:rFonts w:ascii="Arial" w:hAnsi="Arial" w:cs="Arial"/>
                <w:sz w:val="22"/>
                <w:szCs w:val="22"/>
              </w:rPr>
            </w:pP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440" w:type="dxa"/>
          </w:tcPr>
          <w:p w:rsidR="00C165E9" w:rsidRPr="00520DCA" w:rsidRDefault="00C165E9" w:rsidP="00520DCA">
            <w:pPr>
              <w:rPr>
                <w:rFonts w:ascii="Arial" w:hAnsi="Arial" w:cs="Arial"/>
                <w:sz w:val="22"/>
                <w:szCs w:val="22"/>
              </w:rPr>
            </w:pP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880" w:type="dxa"/>
          </w:tcPr>
          <w:p w:rsidR="00C165E9" w:rsidRPr="00520DCA" w:rsidRDefault="00C165E9" w:rsidP="00520DCA">
            <w:pPr>
              <w:rPr>
                <w:rFonts w:ascii="Arial" w:hAnsi="Arial" w:cs="Arial"/>
                <w:sz w:val="22"/>
                <w:szCs w:val="22"/>
              </w:rPr>
            </w:pP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r w:rsidR="00C165E9" w:rsidTr="00520DCA">
        <w:tblPrEx>
          <w:tblCellMar>
            <w:top w:w="0" w:type="dxa"/>
            <w:bottom w:w="0" w:type="dxa"/>
          </w:tblCellMar>
        </w:tblPrEx>
        <w:tc>
          <w:tcPr>
            <w:tcW w:w="1170" w:type="dxa"/>
          </w:tcPr>
          <w:p w:rsidR="00C165E9" w:rsidRPr="00520DCA" w:rsidRDefault="00C165E9" w:rsidP="00520DCA">
            <w:pPr>
              <w:rPr>
                <w:rFonts w:ascii="Arial" w:hAnsi="Arial" w:cs="Arial"/>
                <w:sz w:val="22"/>
                <w:szCs w:val="22"/>
              </w:rPr>
            </w:pP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520DCA">
              <w:rPr>
                <w:rFonts w:ascii="Arial" w:hAnsi="Arial" w:cs="Arial"/>
                <w:sz w:val="22"/>
                <w:szCs w:val="22"/>
              </w:rPr>
              <w:sym w:font="WP TypographicSymbols" w:char="0027"/>
            </w:r>
            <w:r w:rsidRPr="00520DCA">
              <w:rPr>
                <w:rFonts w:ascii="Arial" w:hAnsi="Arial" w:cs="Arial"/>
                <w:sz w:val="22"/>
                <w:szCs w:val="22"/>
              </w:rPr>
              <w:t>20.1003</w:t>
            </w: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440" w:type="dxa"/>
          </w:tcPr>
          <w:p w:rsidR="00C165E9" w:rsidRPr="00520DCA" w:rsidRDefault="00C165E9" w:rsidP="00520DCA">
            <w:pPr>
              <w:rPr>
                <w:rFonts w:ascii="Arial" w:hAnsi="Arial" w:cs="Arial"/>
                <w:sz w:val="22"/>
                <w:szCs w:val="22"/>
              </w:rPr>
            </w:pP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520DCA">
              <w:rPr>
                <w:rFonts w:ascii="Arial" w:hAnsi="Arial" w:cs="Arial"/>
                <w:sz w:val="22"/>
                <w:szCs w:val="22"/>
              </w:rPr>
              <w:t>Definitions</w:t>
            </w:r>
          </w:p>
        </w:tc>
        <w:tc>
          <w:tcPr>
            <w:tcW w:w="1080" w:type="dxa"/>
          </w:tcPr>
          <w:p w:rsidR="00C165E9" w:rsidRPr="00520DCA" w:rsidRDefault="00C165E9" w:rsidP="00520DCA">
            <w:pPr>
              <w:rPr>
                <w:rFonts w:ascii="Arial" w:hAnsi="Arial" w:cs="Arial"/>
                <w:sz w:val="22"/>
                <w:szCs w:val="22"/>
              </w:rPr>
            </w:pP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tc>
        <w:tc>
          <w:tcPr>
            <w:tcW w:w="1710" w:type="dxa"/>
          </w:tcPr>
          <w:p w:rsidR="00C165E9" w:rsidRPr="00520DCA" w:rsidRDefault="00C165E9" w:rsidP="00520DCA">
            <w:pPr>
              <w:rPr>
                <w:rFonts w:ascii="Arial" w:hAnsi="Arial" w:cs="Arial"/>
                <w:sz w:val="22"/>
                <w:szCs w:val="22"/>
              </w:rPr>
            </w:pP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520DCA">
              <w:rPr>
                <w:rFonts w:ascii="Arial" w:hAnsi="Arial" w:cs="Arial"/>
                <w:sz w:val="22"/>
                <w:szCs w:val="22"/>
              </w:rPr>
              <w:t>A</w:t>
            </w:r>
          </w:p>
        </w:tc>
        <w:tc>
          <w:tcPr>
            <w:tcW w:w="3510" w:type="dxa"/>
          </w:tcPr>
          <w:p w:rsidR="00C165E9" w:rsidRPr="00520DCA" w:rsidRDefault="00C165E9" w:rsidP="00520DCA">
            <w:pPr>
              <w:rPr>
                <w:rFonts w:ascii="Arial" w:hAnsi="Arial" w:cs="Arial"/>
                <w:sz w:val="22"/>
                <w:szCs w:val="22"/>
              </w:rPr>
            </w:pP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520DCA">
              <w:rPr>
                <w:rFonts w:ascii="Arial" w:hAnsi="Arial" w:cs="Arial"/>
                <w:b/>
                <w:bCs/>
                <w:sz w:val="22"/>
                <w:szCs w:val="22"/>
              </w:rPr>
              <w:t>Changed definition reads as follows:</w:t>
            </w: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520DCA">
              <w:rPr>
                <w:rFonts w:ascii="Arial" w:hAnsi="Arial" w:cs="Arial"/>
                <w:sz w:val="22"/>
                <w:szCs w:val="22"/>
              </w:rPr>
              <w:t xml:space="preserve">Public Dose: means the dose </w:t>
            </w:r>
            <w:r w:rsidRPr="00520DCA">
              <w:rPr>
                <w:rFonts w:ascii="Arial" w:hAnsi="Arial" w:cs="Arial"/>
                <w:sz w:val="22"/>
                <w:szCs w:val="22"/>
              </w:rPr>
              <w:lastRenderedPageBreak/>
              <w:t xml:space="preserve">received by a member of the public from exposure to radiation or to radioactive material released by a licensee, or to any other source of radiation under the control of a licensee. Public dose does not include occupational dose or doses received from background radiation, from any medical administration the individual has received, from exposure to individuals administered radioactive material and released </w:t>
            </w:r>
            <w:proofErr w:type="gramStart"/>
            <w:r w:rsidRPr="00520DCA">
              <w:rPr>
                <w:rFonts w:ascii="Arial" w:hAnsi="Arial" w:cs="Arial"/>
                <w:sz w:val="22"/>
                <w:szCs w:val="22"/>
              </w:rPr>
              <w:t>under</w:t>
            </w:r>
            <w:proofErr w:type="gramEnd"/>
            <w:r w:rsidRPr="00520DCA">
              <w:rPr>
                <w:rFonts w:ascii="Arial" w:hAnsi="Arial" w:cs="Arial"/>
                <w:sz w:val="22"/>
                <w:szCs w:val="22"/>
              </w:rPr>
              <w:t xml:space="preserve"> </w:t>
            </w:r>
            <w:r w:rsidRPr="00520DCA">
              <w:rPr>
                <w:rFonts w:ascii="Arial" w:hAnsi="Arial" w:cs="Arial"/>
                <w:sz w:val="22"/>
                <w:szCs w:val="22"/>
              </w:rPr>
              <w:sym w:font="WP TypographicSymbols" w:char="0027"/>
            </w:r>
            <w:r w:rsidRPr="00520DCA">
              <w:rPr>
                <w:rFonts w:ascii="Arial" w:hAnsi="Arial" w:cs="Arial"/>
                <w:sz w:val="22"/>
                <w:szCs w:val="22"/>
              </w:rPr>
              <w:t xml:space="preserve">35.75, or from voluntary participation in medical research programs. </w:t>
            </w:r>
          </w:p>
        </w:tc>
        <w:tc>
          <w:tcPr>
            <w:tcW w:w="1350" w:type="dxa"/>
          </w:tcPr>
          <w:p w:rsidR="00C165E9" w:rsidRPr="00520DCA" w:rsidRDefault="00C165E9" w:rsidP="00520DCA">
            <w:pPr>
              <w:rPr>
                <w:rFonts w:ascii="Arial" w:hAnsi="Arial" w:cs="Arial"/>
                <w:sz w:val="22"/>
                <w:szCs w:val="22"/>
              </w:rPr>
            </w:pP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1440" w:type="dxa"/>
          </w:tcPr>
          <w:p w:rsidR="00C165E9" w:rsidRPr="00520DCA" w:rsidRDefault="00C165E9" w:rsidP="00520DCA">
            <w:pPr>
              <w:rPr>
                <w:rFonts w:ascii="Arial" w:hAnsi="Arial" w:cs="Arial"/>
                <w:sz w:val="22"/>
                <w:szCs w:val="22"/>
              </w:rPr>
            </w:pP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c>
          <w:tcPr>
            <w:tcW w:w="2880" w:type="dxa"/>
          </w:tcPr>
          <w:p w:rsidR="00C165E9" w:rsidRPr="00520DCA" w:rsidRDefault="00C165E9" w:rsidP="00520DCA">
            <w:pPr>
              <w:rPr>
                <w:rFonts w:ascii="Arial" w:hAnsi="Arial" w:cs="Arial"/>
                <w:sz w:val="22"/>
                <w:szCs w:val="22"/>
              </w:rPr>
            </w:pPr>
          </w:p>
          <w:p w:rsidR="00C165E9" w:rsidRPr="00520DCA" w:rsidRDefault="00C165E9" w:rsidP="00520D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c>
      </w:tr>
    </w:tbl>
    <w:p w:rsidR="00C165E9" w:rsidRDefault="00C165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sectPr w:rsidR="00C165E9" w:rsidSect="00C165E9">
      <w:footerReference w:type="default" r:id="rId7"/>
      <w:type w:val="continuous"/>
      <w:pgSz w:w="15840" w:h="12240" w:orient="landscape"/>
      <w:pgMar w:top="810" w:right="1440" w:bottom="270" w:left="630" w:header="810" w:footer="27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921" w:rsidRDefault="00396921" w:rsidP="00396921">
      <w:r>
        <w:separator/>
      </w:r>
    </w:p>
  </w:endnote>
  <w:endnote w:type="continuationSeparator" w:id="0">
    <w:p w:rsidR="00396921" w:rsidRDefault="00396921" w:rsidP="003969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21" w:rsidRDefault="00396921">
    <w:pPr>
      <w:pStyle w:val="Footer"/>
      <w:jc w:val="center"/>
    </w:pPr>
    <w:fldSimple w:instr=" PAGE   \* MERGEFORMAT ">
      <w:r>
        <w:rPr>
          <w:noProof/>
        </w:rPr>
        <w:t>1</w:t>
      </w:r>
    </w:fldSimple>
  </w:p>
  <w:p w:rsidR="00396921" w:rsidRDefault="003969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921" w:rsidRDefault="00396921" w:rsidP="00396921">
      <w:r>
        <w:separator/>
      </w:r>
    </w:p>
  </w:footnote>
  <w:footnote w:type="continuationSeparator" w:id="0">
    <w:p w:rsidR="00396921" w:rsidRDefault="00396921" w:rsidP="003969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C165E9"/>
    <w:rsid w:val="00114082"/>
    <w:rsid w:val="00396921"/>
    <w:rsid w:val="00520DCA"/>
    <w:rsid w:val="00C165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396921"/>
    <w:pPr>
      <w:tabs>
        <w:tab w:val="center" w:pos="4680"/>
        <w:tab w:val="right" w:pos="9360"/>
      </w:tabs>
    </w:pPr>
  </w:style>
  <w:style w:type="character" w:customStyle="1" w:styleId="HeaderChar">
    <w:name w:val="Header Char"/>
    <w:basedOn w:val="DefaultParagraphFont"/>
    <w:link w:val="Header"/>
    <w:rsid w:val="00396921"/>
    <w:rPr>
      <w:sz w:val="24"/>
      <w:szCs w:val="24"/>
    </w:rPr>
  </w:style>
  <w:style w:type="paragraph" w:styleId="Footer">
    <w:name w:val="footer"/>
    <w:basedOn w:val="Normal"/>
    <w:link w:val="FooterChar"/>
    <w:uiPriority w:val="99"/>
    <w:rsid w:val="00396921"/>
    <w:pPr>
      <w:tabs>
        <w:tab w:val="center" w:pos="4680"/>
        <w:tab w:val="right" w:pos="9360"/>
      </w:tabs>
    </w:pPr>
  </w:style>
  <w:style w:type="character" w:customStyle="1" w:styleId="FooterChar">
    <w:name w:val="Footer Char"/>
    <w:basedOn w:val="DefaultParagraphFont"/>
    <w:link w:val="Footer"/>
    <w:uiPriority w:val="99"/>
    <w:rsid w:val="00396921"/>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Radiation Protection Requirements:  Amended Definitions and Criteria  </vt:lpstr>
    </vt:vector>
  </TitlesOfParts>
  <Company/>
  <LinksUpToDate>false</LinksUpToDate>
  <CharactersWithSpaces>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Radiation Protection Requirements:  Amended Definitions and Criteria  </dc:title>
  <dc:subject/>
  <dc:creator>KNM1</dc:creator>
  <cp:keywords/>
  <dc:description/>
  <cp:lastModifiedBy>KNM1</cp:lastModifiedBy>
  <cp:revision>2</cp:revision>
  <dcterms:created xsi:type="dcterms:W3CDTF">2011-05-02T15:14:00Z</dcterms:created>
  <dcterms:modified xsi:type="dcterms:W3CDTF">2011-05-02T15:14:00Z</dcterms:modified>
</cp:coreProperties>
</file>