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3C" w:rsidRPr="00A5461D" w:rsidRDefault="00E1623C">
      <w:pPr>
        <w:widowControl/>
        <w:jc w:val="center"/>
        <w:rPr>
          <w:rFonts w:ascii="Arial" w:hAnsi="Arial" w:cs="Arial"/>
          <w:b/>
          <w:bCs/>
          <w:sz w:val="22"/>
          <w:szCs w:val="22"/>
        </w:rPr>
      </w:pPr>
      <w:r w:rsidRPr="00A5461D">
        <w:rPr>
          <w:rFonts w:ascii="Arial" w:hAnsi="Arial" w:cs="Arial"/>
          <w:b/>
          <w:bCs/>
          <w:sz w:val="22"/>
          <w:szCs w:val="22"/>
        </w:rPr>
        <w:t xml:space="preserve">Decommissioning Recordkeeping and License Termination:  Documentation Additions   </w:t>
      </w:r>
    </w:p>
    <w:p w:rsidR="00E1623C" w:rsidRPr="00A5461D" w:rsidRDefault="00E1623C">
      <w:pPr>
        <w:widowControl/>
        <w:jc w:val="center"/>
        <w:rPr>
          <w:rFonts w:ascii="Arial" w:hAnsi="Arial" w:cs="Arial"/>
          <w:b/>
          <w:sz w:val="22"/>
          <w:szCs w:val="22"/>
        </w:rPr>
      </w:pPr>
      <w:r w:rsidRPr="00A5461D">
        <w:rPr>
          <w:rFonts w:ascii="Arial" w:hAnsi="Arial" w:cs="Arial"/>
          <w:b/>
          <w:bCs/>
          <w:sz w:val="22"/>
          <w:szCs w:val="22"/>
        </w:rPr>
        <w:t xml:space="preserve"> </w:t>
      </w:r>
      <w:r w:rsidRPr="00A5461D">
        <w:rPr>
          <w:rFonts w:ascii="Arial" w:hAnsi="Arial" w:cs="Arial"/>
          <w:b/>
          <w:sz w:val="22"/>
          <w:szCs w:val="22"/>
        </w:rPr>
        <w:t>(58 FR 39628)</w:t>
      </w:r>
      <w:r w:rsidR="00A5461D">
        <w:rPr>
          <w:rFonts w:ascii="Arial" w:hAnsi="Arial" w:cs="Arial"/>
          <w:b/>
          <w:bCs/>
          <w:sz w:val="22"/>
          <w:szCs w:val="22"/>
        </w:rPr>
        <w:t xml:space="preserve">  RATS ID </w:t>
      </w:r>
      <w:r w:rsidRPr="00A5461D">
        <w:rPr>
          <w:rFonts w:ascii="Arial" w:hAnsi="Arial" w:cs="Arial"/>
          <w:b/>
          <w:bCs/>
          <w:sz w:val="22"/>
          <w:szCs w:val="22"/>
        </w:rPr>
        <w:t>1993</w:t>
      </w:r>
      <w:r w:rsidRPr="00A5461D">
        <w:rPr>
          <w:rFonts w:ascii="Arial" w:hAnsi="Arial" w:cs="Arial"/>
          <w:b/>
          <w:bCs/>
          <w:sz w:val="22"/>
          <w:szCs w:val="22"/>
        </w:rPr>
        <w:noBreakHyphen/>
        <w:t xml:space="preserve">1 </w:t>
      </w:r>
      <w:r w:rsidR="00A5461D">
        <w:rPr>
          <w:rFonts w:ascii="Arial" w:hAnsi="Arial" w:cs="Arial"/>
          <w:b/>
          <w:sz w:val="22"/>
          <w:szCs w:val="22"/>
        </w:rPr>
        <w:t xml:space="preserve">Effective </w:t>
      </w:r>
      <w:r w:rsidRPr="00A5461D">
        <w:rPr>
          <w:rFonts w:ascii="Arial" w:hAnsi="Arial" w:cs="Arial"/>
          <w:b/>
          <w:sz w:val="22"/>
          <w:szCs w:val="22"/>
        </w:rPr>
        <w:t>10/25/93</w:t>
      </w:r>
    </w:p>
    <w:p w:rsidR="00E1623C" w:rsidRDefault="00E1623C">
      <w:pPr>
        <w:widowControl/>
        <w:rPr>
          <w:rFonts w:ascii="Arial" w:hAnsi="Arial" w:cs="Arial"/>
          <w:sz w:val="22"/>
          <w:szCs w:val="22"/>
        </w:rPr>
      </w:pPr>
    </w:p>
    <w:tbl>
      <w:tblPr>
        <w:tblW w:w="0" w:type="auto"/>
        <w:tblInd w:w="-960" w:type="dxa"/>
        <w:tblLayout w:type="fixed"/>
        <w:tblCellMar>
          <w:left w:w="120" w:type="dxa"/>
          <w:right w:w="120" w:type="dxa"/>
        </w:tblCellMar>
        <w:tblLook w:val="0000" w:firstRow="0" w:lastRow="0" w:firstColumn="0" w:lastColumn="0" w:noHBand="0" w:noVBand="0"/>
      </w:tblPr>
      <w:tblGrid>
        <w:gridCol w:w="1170"/>
        <w:gridCol w:w="2160"/>
        <w:gridCol w:w="1170"/>
        <w:gridCol w:w="1530"/>
        <w:gridCol w:w="3600"/>
        <w:gridCol w:w="1440"/>
        <w:gridCol w:w="1530"/>
        <w:gridCol w:w="2610"/>
      </w:tblGrid>
      <w:tr w:rsidR="00E1623C" w:rsidTr="005F5A2F">
        <w:trPr>
          <w:tblHeader/>
        </w:trPr>
        <w:tc>
          <w:tcPr>
            <w:tcW w:w="1170" w:type="dxa"/>
            <w:tcBorders>
              <w:top w:val="double" w:sz="7" w:space="0" w:color="000000"/>
              <w:left w:val="double" w:sz="7" w:space="0" w:color="000000"/>
              <w:bottom w:val="double" w:sz="7" w:space="0" w:color="000000"/>
              <w:right w:val="single" w:sz="7" w:space="0" w:color="000000"/>
            </w:tcBorders>
          </w:tcPr>
          <w:p w:rsidR="00E1623C" w:rsidRDefault="00E1623C">
            <w:pPr>
              <w:spacing w:line="120" w:lineRule="exact"/>
              <w:rPr>
                <w:rFonts w:ascii="Arial" w:hAnsi="Arial" w:cs="Arial"/>
                <w:sz w:val="22"/>
                <w:szCs w:val="22"/>
              </w:rPr>
            </w:pPr>
          </w:p>
          <w:p w:rsidR="00E1623C" w:rsidRDefault="00E1623C">
            <w:pPr>
              <w:widowControl/>
              <w:jc w:val="center"/>
              <w:rPr>
                <w:rFonts w:ascii="Arial" w:hAnsi="Arial" w:cs="Arial"/>
                <w:b/>
                <w:bCs/>
                <w:sz w:val="20"/>
                <w:szCs w:val="20"/>
              </w:rPr>
            </w:pPr>
            <w:r>
              <w:rPr>
                <w:rFonts w:ascii="Arial" w:hAnsi="Arial" w:cs="Arial"/>
                <w:b/>
                <w:bCs/>
                <w:sz w:val="20"/>
                <w:szCs w:val="20"/>
              </w:rPr>
              <w:t xml:space="preserve">Change to </w:t>
            </w:r>
          </w:p>
          <w:p w:rsidR="00E1623C" w:rsidRDefault="00E1623C">
            <w:pPr>
              <w:widowControl/>
              <w:jc w:val="center"/>
              <w:rPr>
                <w:rFonts w:ascii="Arial" w:hAnsi="Arial" w:cs="Arial"/>
                <w:b/>
                <w:bCs/>
                <w:sz w:val="20"/>
                <w:szCs w:val="20"/>
              </w:rPr>
            </w:pPr>
            <w:r>
              <w:rPr>
                <w:rFonts w:ascii="Arial" w:hAnsi="Arial" w:cs="Arial"/>
                <w:b/>
                <w:bCs/>
                <w:sz w:val="20"/>
                <w:szCs w:val="20"/>
              </w:rPr>
              <w:t>NRC</w:t>
            </w:r>
          </w:p>
          <w:p w:rsidR="00E1623C" w:rsidRDefault="00E1623C">
            <w:pPr>
              <w:widowControl/>
              <w:spacing w:after="58"/>
              <w:jc w:val="center"/>
              <w:rPr>
                <w:rFonts w:ascii="Arial" w:hAnsi="Arial" w:cs="Arial"/>
                <w:sz w:val="22"/>
                <w:szCs w:val="22"/>
              </w:rPr>
            </w:pPr>
            <w:r>
              <w:rPr>
                <w:rFonts w:ascii="Arial" w:hAnsi="Arial" w:cs="Arial"/>
                <w:b/>
                <w:bCs/>
                <w:sz w:val="20"/>
                <w:szCs w:val="20"/>
              </w:rPr>
              <w:t>Section</w:t>
            </w:r>
          </w:p>
        </w:tc>
        <w:tc>
          <w:tcPr>
            <w:tcW w:w="2160" w:type="dxa"/>
            <w:tcBorders>
              <w:top w:val="double" w:sz="7" w:space="0" w:color="000000"/>
              <w:left w:val="single" w:sz="7" w:space="0" w:color="000000"/>
              <w:bottom w:val="double" w:sz="7" w:space="0" w:color="000000"/>
              <w:right w:val="single" w:sz="7" w:space="0" w:color="000000"/>
            </w:tcBorders>
          </w:tcPr>
          <w:p w:rsidR="00E1623C" w:rsidRDefault="00E1623C">
            <w:pPr>
              <w:spacing w:line="120" w:lineRule="exact"/>
              <w:rPr>
                <w:rFonts w:ascii="Arial" w:hAnsi="Arial" w:cs="Arial"/>
                <w:sz w:val="22"/>
                <w:szCs w:val="22"/>
              </w:rPr>
            </w:pPr>
          </w:p>
          <w:p w:rsidR="00E1623C" w:rsidRDefault="00E1623C">
            <w:pPr>
              <w:widowControl/>
              <w:tabs>
                <w:tab w:val="center" w:pos="960"/>
              </w:tabs>
              <w:spacing w:after="58"/>
              <w:rPr>
                <w:rFonts w:ascii="Arial" w:hAnsi="Arial" w:cs="Arial"/>
                <w:sz w:val="22"/>
                <w:szCs w:val="22"/>
              </w:rPr>
            </w:pPr>
            <w:r>
              <w:rPr>
                <w:rFonts w:ascii="Arial" w:hAnsi="Arial" w:cs="Arial"/>
                <w:b/>
                <w:bCs/>
                <w:sz w:val="20"/>
                <w:szCs w:val="20"/>
              </w:rPr>
              <w:tab/>
              <w:t>Title</w:t>
            </w:r>
          </w:p>
        </w:tc>
        <w:tc>
          <w:tcPr>
            <w:tcW w:w="1170" w:type="dxa"/>
            <w:tcBorders>
              <w:top w:val="double" w:sz="7" w:space="0" w:color="000000"/>
              <w:left w:val="single" w:sz="7" w:space="0" w:color="000000"/>
              <w:bottom w:val="double" w:sz="7" w:space="0" w:color="000000"/>
              <w:right w:val="single" w:sz="7" w:space="0" w:color="000000"/>
            </w:tcBorders>
          </w:tcPr>
          <w:p w:rsidR="00E1623C" w:rsidRDefault="00E1623C">
            <w:pPr>
              <w:spacing w:line="120" w:lineRule="exact"/>
              <w:rPr>
                <w:rFonts w:ascii="Arial" w:hAnsi="Arial" w:cs="Arial"/>
                <w:sz w:val="22"/>
                <w:szCs w:val="22"/>
              </w:rPr>
            </w:pPr>
          </w:p>
          <w:p w:rsidR="00E1623C" w:rsidRDefault="00E1623C">
            <w:pPr>
              <w:widowControl/>
              <w:tabs>
                <w:tab w:val="center" w:pos="465"/>
              </w:tabs>
              <w:rPr>
                <w:rFonts w:ascii="Arial" w:hAnsi="Arial" w:cs="Arial"/>
                <w:b/>
                <w:bCs/>
                <w:sz w:val="20"/>
                <w:szCs w:val="20"/>
              </w:rPr>
            </w:pPr>
            <w:r>
              <w:rPr>
                <w:rFonts w:ascii="Arial" w:hAnsi="Arial" w:cs="Arial"/>
                <w:b/>
                <w:bCs/>
                <w:sz w:val="20"/>
                <w:szCs w:val="20"/>
              </w:rPr>
              <w:tab/>
              <w:t xml:space="preserve">State </w:t>
            </w:r>
          </w:p>
          <w:p w:rsidR="00E1623C" w:rsidRDefault="00E1623C">
            <w:pPr>
              <w:widowControl/>
              <w:spacing w:after="58"/>
              <w:jc w:val="center"/>
              <w:rPr>
                <w:rFonts w:ascii="Arial" w:hAnsi="Arial" w:cs="Arial"/>
                <w:sz w:val="22"/>
                <w:szCs w:val="22"/>
              </w:rPr>
            </w:pPr>
            <w:r>
              <w:rPr>
                <w:rFonts w:ascii="Arial" w:hAnsi="Arial" w:cs="Arial"/>
                <w:b/>
                <w:bCs/>
                <w:sz w:val="20"/>
                <w:szCs w:val="20"/>
              </w:rPr>
              <w:t>Section</w:t>
            </w:r>
          </w:p>
        </w:tc>
        <w:tc>
          <w:tcPr>
            <w:tcW w:w="1530" w:type="dxa"/>
            <w:tcBorders>
              <w:top w:val="double" w:sz="7" w:space="0" w:color="000000"/>
              <w:left w:val="single" w:sz="15" w:space="0" w:color="000000"/>
              <w:bottom w:val="double" w:sz="7" w:space="0" w:color="000000"/>
              <w:right w:val="single" w:sz="7" w:space="0" w:color="000000"/>
            </w:tcBorders>
          </w:tcPr>
          <w:p w:rsidR="00E1623C" w:rsidRDefault="00E1623C">
            <w:pPr>
              <w:spacing w:line="120" w:lineRule="exact"/>
              <w:rPr>
                <w:rFonts w:ascii="Arial" w:hAnsi="Arial" w:cs="Arial"/>
                <w:sz w:val="22"/>
                <w:szCs w:val="22"/>
              </w:rPr>
            </w:pPr>
          </w:p>
          <w:p w:rsidR="00E1623C" w:rsidRDefault="00E1623C">
            <w:pPr>
              <w:widowControl/>
              <w:jc w:val="center"/>
              <w:rPr>
                <w:rFonts w:ascii="Arial" w:hAnsi="Arial" w:cs="Arial"/>
                <w:sz w:val="22"/>
                <w:szCs w:val="22"/>
              </w:rPr>
            </w:pPr>
            <w:r>
              <w:rPr>
                <w:rFonts w:ascii="Arial" w:hAnsi="Arial" w:cs="Arial"/>
                <w:b/>
                <w:bCs/>
                <w:sz w:val="20"/>
                <w:szCs w:val="20"/>
              </w:rPr>
              <w:t>Compatibility</w:t>
            </w:r>
          </w:p>
          <w:p w:rsidR="00E1623C" w:rsidRDefault="00E1623C">
            <w:pPr>
              <w:widowControl/>
              <w:spacing w:after="58"/>
              <w:jc w:val="center"/>
              <w:rPr>
                <w:rFonts w:ascii="Arial" w:hAnsi="Arial" w:cs="Arial"/>
                <w:sz w:val="22"/>
                <w:szCs w:val="22"/>
              </w:rPr>
            </w:pPr>
            <w:r>
              <w:rPr>
                <w:rFonts w:ascii="Arial" w:hAnsi="Arial" w:cs="Arial"/>
                <w:b/>
                <w:bCs/>
                <w:sz w:val="22"/>
                <w:szCs w:val="22"/>
              </w:rPr>
              <w:t>Category</w:t>
            </w:r>
          </w:p>
        </w:tc>
        <w:tc>
          <w:tcPr>
            <w:tcW w:w="3600" w:type="dxa"/>
            <w:tcBorders>
              <w:top w:val="double" w:sz="7" w:space="0" w:color="000000"/>
              <w:left w:val="single" w:sz="7" w:space="0" w:color="000000"/>
              <w:bottom w:val="double" w:sz="7" w:space="0" w:color="000000"/>
              <w:right w:val="double" w:sz="7" w:space="0" w:color="000000"/>
            </w:tcBorders>
          </w:tcPr>
          <w:p w:rsidR="00E1623C" w:rsidRDefault="00E1623C">
            <w:pPr>
              <w:spacing w:line="120" w:lineRule="exact"/>
              <w:rPr>
                <w:rFonts w:ascii="Arial" w:hAnsi="Arial" w:cs="Arial"/>
                <w:sz w:val="22"/>
                <w:szCs w:val="22"/>
              </w:rPr>
            </w:pPr>
          </w:p>
          <w:p w:rsidR="00E1623C" w:rsidRDefault="00E1623C">
            <w:pPr>
              <w:widowControl/>
              <w:tabs>
                <w:tab w:val="center" w:pos="1680"/>
              </w:tabs>
              <w:spacing w:after="58"/>
              <w:rPr>
                <w:rFonts w:ascii="Arial" w:hAnsi="Arial" w:cs="Arial"/>
                <w:sz w:val="22"/>
                <w:szCs w:val="22"/>
              </w:rPr>
            </w:pPr>
            <w:r>
              <w:rPr>
                <w:rFonts w:ascii="Arial" w:hAnsi="Arial" w:cs="Arial"/>
                <w:sz w:val="22"/>
                <w:szCs w:val="22"/>
              </w:rPr>
              <w:tab/>
            </w:r>
            <w:r>
              <w:rPr>
                <w:rFonts w:ascii="Arial" w:hAnsi="Arial" w:cs="Arial"/>
                <w:b/>
                <w:bCs/>
                <w:sz w:val="22"/>
                <w:szCs w:val="22"/>
              </w:rPr>
              <w:t>Summary of Change</w:t>
            </w:r>
          </w:p>
        </w:tc>
        <w:tc>
          <w:tcPr>
            <w:tcW w:w="1440" w:type="dxa"/>
            <w:tcBorders>
              <w:top w:val="double" w:sz="7" w:space="0" w:color="000000"/>
              <w:left w:val="single" w:sz="7" w:space="0" w:color="000000"/>
              <w:bottom w:val="double" w:sz="7" w:space="0" w:color="000000"/>
              <w:right w:val="double" w:sz="7" w:space="0" w:color="000000"/>
            </w:tcBorders>
          </w:tcPr>
          <w:p w:rsidR="00E1623C" w:rsidRDefault="00E1623C">
            <w:pPr>
              <w:spacing w:line="120" w:lineRule="exact"/>
              <w:rPr>
                <w:rFonts w:ascii="Arial" w:hAnsi="Arial" w:cs="Arial"/>
                <w:sz w:val="22"/>
                <w:szCs w:val="22"/>
              </w:rPr>
            </w:pPr>
          </w:p>
          <w:p w:rsidR="00E1623C" w:rsidRDefault="00E1623C">
            <w:pPr>
              <w:widowControl/>
              <w:rPr>
                <w:rFonts w:ascii="Arial" w:hAnsi="Arial" w:cs="Arial"/>
                <w:b/>
                <w:bCs/>
                <w:sz w:val="22"/>
                <w:szCs w:val="22"/>
              </w:rPr>
            </w:pPr>
            <w:r>
              <w:rPr>
                <w:rFonts w:ascii="Arial" w:hAnsi="Arial" w:cs="Arial"/>
                <w:b/>
                <w:bCs/>
                <w:sz w:val="22"/>
                <w:szCs w:val="22"/>
              </w:rPr>
              <w:t>Difference</w:t>
            </w:r>
          </w:p>
          <w:p w:rsidR="00E1623C" w:rsidRDefault="00E1623C">
            <w:pPr>
              <w:widowControl/>
              <w:spacing w:after="58"/>
              <w:rPr>
                <w:rFonts w:ascii="Arial" w:hAnsi="Arial" w:cs="Arial"/>
                <w:b/>
                <w:bCs/>
                <w:sz w:val="22"/>
                <w:szCs w:val="22"/>
              </w:rPr>
            </w:pPr>
            <w:r>
              <w:rPr>
                <w:rFonts w:ascii="Arial" w:hAnsi="Arial" w:cs="Arial"/>
                <w:b/>
                <w:bCs/>
                <w:sz w:val="22"/>
                <w:szCs w:val="22"/>
              </w:rPr>
              <w:t>Yes/No</w:t>
            </w:r>
          </w:p>
        </w:tc>
        <w:tc>
          <w:tcPr>
            <w:tcW w:w="1530" w:type="dxa"/>
            <w:tcBorders>
              <w:top w:val="double" w:sz="7" w:space="0" w:color="000000"/>
              <w:left w:val="single" w:sz="7" w:space="0" w:color="000000"/>
              <w:bottom w:val="double" w:sz="7" w:space="0" w:color="000000"/>
              <w:right w:val="double" w:sz="7" w:space="0" w:color="000000"/>
            </w:tcBorders>
          </w:tcPr>
          <w:p w:rsidR="00E1623C" w:rsidRDefault="00E1623C">
            <w:pPr>
              <w:spacing w:line="120" w:lineRule="exact"/>
              <w:rPr>
                <w:rFonts w:ascii="Arial" w:hAnsi="Arial" w:cs="Arial"/>
                <w:b/>
                <w:bCs/>
                <w:sz w:val="22"/>
                <w:szCs w:val="22"/>
              </w:rPr>
            </w:pPr>
          </w:p>
          <w:p w:rsidR="00E1623C" w:rsidRDefault="00E1623C">
            <w:pPr>
              <w:widowControl/>
              <w:rPr>
                <w:rFonts w:ascii="Arial" w:hAnsi="Arial" w:cs="Arial"/>
                <w:b/>
                <w:bCs/>
                <w:sz w:val="22"/>
                <w:szCs w:val="22"/>
              </w:rPr>
            </w:pPr>
            <w:r>
              <w:rPr>
                <w:rFonts w:ascii="Arial" w:hAnsi="Arial" w:cs="Arial"/>
                <w:b/>
                <w:bCs/>
                <w:sz w:val="22"/>
                <w:szCs w:val="22"/>
              </w:rPr>
              <w:t>Significant</w:t>
            </w:r>
          </w:p>
          <w:p w:rsidR="00E1623C" w:rsidRDefault="00E1623C">
            <w:pPr>
              <w:widowControl/>
              <w:spacing w:after="58"/>
              <w:rPr>
                <w:rFonts w:ascii="Arial" w:hAnsi="Arial" w:cs="Arial"/>
                <w:b/>
                <w:bCs/>
                <w:sz w:val="22"/>
                <w:szCs w:val="22"/>
              </w:rPr>
            </w:pPr>
            <w:r>
              <w:rPr>
                <w:rFonts w:ascii="Arial" w:hAnsi="Arial" w:cs="Arial"/>
                <w:b/>
                <w:bCs/>
                <w:sz w:val="22"/>
                <w:szCs w:val="22"/>
              </w:rPr>
              <w:t>Yes/No</w:t>
            </w:r>
          </w:p>
        </w:tc>
        <w:tc>
          <w:tcPr>
            <w:tcW w:w="2610" w:type="dxa"/>
            <w:tcBorders>
              <w:top w:val="double" w:sz="7" w:space="0" w:color="000000"/>
              <w:left w:val="single" w:sz="7" w:space="0" w:color="000000"/>
              <w:bottom w:val="double" w:sz="7" w:space="0" w:color="000000"/>
              <w:right w:val="double" w:sz="7" w:space="0" w:color="000000"/>
            </w:tcBorders>
          </w:tcPr>
          <w:p w:rsidR="00E1623C" w:rsidRDefault="00E1623C">
            <w:pPr>
              <w:spacing w:line="120" w:lineRule="exact"/>
              <w:rPr>
                <w:rFonts w:ascii="Arial" w:hAnsi="Arial" w:cs="Arial"/>
                <w:b/>
                <w:bCs/>
                <w:sz w:val="22"/>
                <w:szCs w:val="22"/>
              </w:rPr>
            </w:pPr>
          </w:p>
          <w:p w:rsidR="00E1623C" w:rsidRDefault="00E1623C">
            <w:pPr>
              <w:widowControl/>
              <w:spacing w:after="58"/>
              <w:rPr>
                <w:rFonts w:ascii="Arial" w:hAnsi="Arial" w:cs="Arial"/>
                <w:sz w:val="22"/>
                <w:szCs w:val="22"/>
              </w:rPr>
            </w:pPr>
            <w:r>
              <w:rPr>
                <w:rFonts w:ascii="Arial" w:hAnsi="Arial" w:cs="Arial"/>
                <w:b/>
                <w:bCs/>
                <w:sz w:val="20"/>
                <w:szCs w:val="20"/>
              </w:rPr>
              <w:t>If Difference, Why or Why Not Was a Comment Generated</w:t>
            </w:r>
          </w:p>
        </w:tc>
      </w:tr>
    </w:tbl>
    <w:p w:rsidR="00E1623C" w:rsidRDefault="00E1623C">
      <w:pPr>
        <w:rPr>
          <w:rFonts w:ascii="Arial" w:hAnsi="Arial" w:cs="Arial"/>
          <w:vanish/>
          <w:sz w:val="22"/>
          <w:szCs w:val="22"/>
        </w:rPr>
      </w:pPr>
    </w:p>
    <w:tbl>
      <w:tblPr>
        <w:tblW w:w="15210" w:type="dxa"/>
        <w:tblInd w:w="-960" w:type="dxa"/>
        <w:tblLayout w:type="fixed"/>
        <w:tblCellMar>
          <w:left w:w="120" w:type="dxa"/>
          <w:right w:w="120" w:type="dxa"/>
        </w:tblCellMar>
        <w:tblLook w:val="0000" w:firstRow="0" w:lastRow="0" w:firstColumn="0" w:lastColumn="0" w:noHBand="0" w:noVBand="0"/>
      </w:tblPr>
      <w:tblGrid>
        <w:gridCol w:w="1170"/>
        <w:gridCol w:w="2160"/>
        <w:gridCol w:w="1170"/>
        <w:gridCol w:w="1530"/>
        <w:gridCol w:w="3600"/>
        <w:gridCol w:w="1440"/>
        <w:gridCol w:w="1530"/>
        <w:gridCol w:w="2610"/>
      </w:tblGrid>
      <w:tr w:rsidR="00550065" w:rsidTr="005F5A2F">
        <w:tc>
          <w:tcPr>
            <w:tcW w:w="1170" w:type="dxa"/>
            <w:tcBorders>
              <w:top w:val="single" w:sz="7" w:space="0" w:color="000000"/>
              <w:left w:val="single" w:sz="7" w:space="0" w:color="000000"/>
              <w:bottom w:val="single" w:sz="7" w:space="0" w:color="000000"/>
              <w:right w:val="single" w:sz="7" w:space="0" w:color="000000"/>
            </w:tcBorders>
          </w:tcPr>
          <w:p w:rsidR="00550065" w:rsidRDefault="00550065" w:rsidP="00550065">
            <w:pPr>
              <w:jc w:val="center"/>
              <w:rPr>
                <w:rFonts w:ascii="Arial" w:hAnsi="Arial" w:cs="Arial"/>
                <w:sz w:val="22"/>
                <w:szCs w:val="22"/>
              </w:rPr>
            </w:pPr>
          </w:p>
          <w:p w:rsidR="00550065" w:rsidRPr="00550065" w:rsidRDefault="00550065" w:rsidP="00550065">
            <w:pPr>
              <w:jc w:val="center"/>
              <w:rPr>
                <w:rFonts w:ascii="Arial" w:hAnsi="Arial" w:cs="Arial"/>
                <w:sz w:val="22"/>
                <w:szCs w:val="22"/>
              </w:rPr>
            </w:pPr>
            <w:r w:rsidRPr="00A5461D">
              <w:rPr>
                <w:rFonts w:ascii="Arial" w:hAnsi="Arial" w:cs="Arial"/>
                <w:sz w:val="22"/>
                <w:szCs w:val="22"/>
              </w:rPr>
              <w:sym w:font="WP TypographicSymbols" w:char="0027"/>
            </w:r>
            <w:r>
              <w:rPr>
                <w:rFonts w:ascii="Arial" w:hAnsi="Arial" w:cs="Arial"/>
                <w:sz w:val="22"/>
                <w:szCs w:val="22"/>
              </w:rPr>
              <w:t>3</w:t>
            </w:r>
            <w:r w:rsidRPr="00A5461D">
              <w:rPr>
                <w:rFonts w:ascii="Arial" w:hAnsi="Arial" w:cs="Arial"/>
                <w:sz w:val="22"/>
                <w:szCs w:val="22"/>
              </w:rPr>
              <w:t>0</w:t>
            </w:r>
            <w:r w:rsidRPr="00550065">
              <w:rPr>
                <w:rFonts w:ascii="Arial" w:hAnsi="Arial" w:cs="Arial"/>
                <w:sz w:val="22"/>
                <w:szCs w:val="22"/>
              </w:rPr>
              <w:t>.35</w:t>
            </w:r>
          </w:p>
          <w:p w:rsidR="00550065" w:rsidRDefault="00550065" w:rsidP="00550065">
            <w:pPr>
              <w:jc w:val="center"/>
              <w:rPr>
                <w:rFonts w:ascii="Arial" w:hAnsi="Arial" w:cs="Arial"/>
                <w:sz w:val="22"/>
                <w:szCs w:val="22"/>
              </w:rPr>
            </w:pPr>
            <w:r w:rsidRPr="00550065">
              <w:rPr>
                <w:rFonts w:ascii="Arial" w:hAnsi="Arial" w:cs="Arial"/>
                <w:sz w:val="22"/>
                <w:szCs w:val="22"/>
              </w:rPr>
              <w:t>(g)</w:t>
            </w:r>
            <w:r>
              <w:rPr>
                <w:rFonts w:ascii="Arial" w:hAnsi="Arial" w:cs="Arial"/>
                <w:sz w:val="22"/>
                <w:szCs w:val="22"/>
              </w:rPr>
              <w:t xml:space="preserve"> </w:t>
            </w:r>
            <w:r w:rsidRPr="00550065">
              <w:rPr>
                <w:rFonts w:ascii="Arial" w:hAnsi="Arial" w:cs="Arial"/>
                <w:sz w:val="22"/>
                <w:szCs w:val="22"/>
              </w:rPr>
              <w:t>(3)</w:t>
            </w:r>
          </w:p>
          <w:p w:rsidR="00550065" w:rsidRPr="00A5461D" w:rsidRDefault="00550065" w:rsidP="00A5461D">
            <w:pPr>
              <w:rPr>
                <w:rFonts w:ascii="Arial" w:hAnsi="Arial" w:cs="Arial"/>
                <w:sz w:val="22"/>
                <w:szCs w:val="22"/>
              </w:rPr>
            </w:pPr>
          </w:p>
        </w:tc>
        <w:tc>
          <w:tcPr>
            <w:tcW w:w="2160" w:type="dxa"/>
            <w:tcBorders>
              <w:top w:val="single" w:sz="7" w:space="0" w:color="000000"/>
              <w:left w:val="single" w:sz="7" w:space="0" w:color="000000"/>
              <w:bottom w:val="single" w:sz="7" w:space="0" w:color="000000"/>
              <w:right w:val="single" w:sz="7" w:space="0" w:color="000000"/>
            </w:tcBorders>
          </w:tcPr>
          <w:p w:rsidR="00550065" w:rsidRDefault="00550065" w:rsidP="00A5461D">
            <w:pPr>
              <w:rPr>
                <w:rFonts w:ascii="Arial" w:hAnsi="Arial" w:cs="Arial"/>
                <w:sz w:val="22"/>
                <w:szCs w:val="22"/>
              </w:rPr>
            </w:pPr>
          </w:p>
          <w:p w:rsidR="00550065" w:rsidRPr="00550065" w:rsidRDefault="00550065" w:rsidP="00550065">
            <w:pPr>
              <w:rPr>
                <w:rFonts w:ascii="Arial" w:hAnsi="Arial" w:cs="Arial"/>
                <w:sz w:val="22"/>
                <w:szCs w:val="22"/>
              </w:rPr>
            </w:pPr>
            <w:r w:rsidRPr="00550065">
              <w:rPr>
                <w:rFonts w:ascii="Arial" w:hAnsi="Arial" w:cs="Arial"/>
                <w:sz w:val="22"/>
                <w:szCs w:val="22"/>
              </w:rPr>
              <w:t>Financial</w:t>
            </w:r>
          </w:p>
          <w:p w:rsidR="00550065" w:rsidRPr="00550065" w:rsidRDefault="00550065" w:rsidP="00550065">
            <w:pPr>
              <w:rPr>
                <w:rFonts w:ascii="Arial" w:hAnsi="Arial" w:cs="Arial"/>
                <w:sz w:val="22"/>
                <w:szCs w:val="22"/>
              </w:rPr>
            </w:pPr>
            <w:r w:rsidRPr="00550065">
              <w:rPr>
                <w:rFonts w:ascii="Arial" w:hAnsi="Arial" w:cs="Arial"/>
                <w:sz w:val="22"/>
                <w:szCs w:val="22"/>
              </w:rPr>
              <w:t>assurance and</w:t>
            </w:r>
          </w:p>
          <w:p w:rsidR="00550065" w:rsidRPr="00550065" w:rsidRDefault="00550065" w:rsidP="00550065">
            <w:pPr>
              <w:rPr>
                <w:rFonts w:ascii="Arial" w:hAnsi="Arial" w:cs="Arial"/>
                <w:sz w:val="22"/>
                <w:szCs w:val="22"/>
              </w:rPr>
            </w:pPr>
            <w:r w:rsidRPr="00550065">
              <w:rPr>
                <w:rFonts w:ascii="Arial" w:hAnsi="Arial" w:cs="Arial"/>
                <w:sz w:val="22"/>
                <w:szCs w:val="22"/>
              </w:rPr>
              <w:t>recordkeeping for</w:t>
            </w:r>
          </w:p>
          <w:p w:rsidR="00550065" w:rsidRPr="00A5461D" w:rsidRDefault="00550065" w:rsidP="00550065">
            <w:pPr>
              <w:rPr>
                <w:rFonts w:ascii="Arial" w:hAnsi="Arial" w:cs="Arial"/>
                <w:sz w:val="22"/>
                <w:szCs w:val="22"/>
              </w:rPr>
            </w:pPr>
            <w:r w:rsidRPr="00550065">
              <w:rPr>
                <w:rFonts w:ascii="Arial" w:hAnsi="Arial" w:cs="Arial"/>
                <w:sz w:val="22"/>
                <w:szCs w:val="22"/>
              </w:rPr>
              <w:t>decommissioning</w:t>
            </w:r>
          </w:p>
        </w:tc>
        <w:tc>
          <w:tcPr>
            <w:tcW w:w="1170" w:type="dxa"/>
            <w:tcBorders>
              <w:top w:val="single" w:sz="7" w:space="0" w:color="000000"/>
              <w:left w:val="single" w:sz="7" w:space="0" w:color="000000"/>
              <w:bottom w:val="single" w:sz="7" w:space="0" w:color="000000"/>
              <w:right w:val="single" w:sz="7" w:space="0" w:color="000000"/>
            </w:tcBorders>
          </w:tcPr>
          <w:p w:rsidR="00550065" w:rsidRPr="00A5461D" w:rsidRDefault="00550065" w:rsidP="00A5461D">
            <w:pPr>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550065" w:rsidRDefault="00550065" w:rsidP="00A5461D">
            <w:pPr>
              <w:rPr>
                <w:rFonts w:ascii="Arial" w:hAnsi="Arial" w:cs="Arial"/>
                <w:sz w:val="22"/>
                <w:szCs w:val="22"/>
              </w:rPr>
            </w:pPr>
          </w:p>
          <w:p w:rsidR="00550065" w:rsidRPr="00A5461D" w:rsidRDefault="00550065" w:rsidP="00550065">
            <w:pPr>
              <w:jc w:val="center"/>
              <w:rPr>
                <w:rFonts w:ascii="Arial" w:hAnsi="Arial" w:cs="Arial"/>
                <w:sz w:val="22"/>
                <w:szCs w:val="22"/>
              </w:rPr>
            </w:pPr>
            <w:r w:rsidRPr="00550065">
              <w:rPr>
                <w:rFonts w:ascii="Arial" w:hAnsi="Arial" w:cs="Arial"/>
                <w:sz w:val="22"/>
                <w:szCs w:val="22"/>
              </w:rPr>
              <w:t>H&amp;S</w:t>
            </w:r>
          </w:p>
        </w:tc>
        <w:tc>
          <w:tcPr>
            <w:tcW w:w="3600" w:type="dxa"/>
            <w:tcBorders>
              <w:top w:val="single" w:sz="7" w:space="0" w:color="000000"/>
              <w:left w:val="single" w:sz="7" w:space="0" w:color="000000"/>
              <w:bottom w:val="single" w:sz="7" w:space="0" w:color="000000"/>
              <w:right w:val="single" w:sz="7" w:space="0" w:color="000000"/>
            </w:tcBorders>
          </w:tcPr>
          <w:p w:rsidR="00550065" w:rsidRDefault="00550065" w:rsidP="00A5461D">
            <w:pPr>
              <w:rPr>
                <w:rFonts w:ascii="Arial" w:hAnsi="Arial" w:cs="Arial"/>
                <w:sz w:val="22"/>
                <w:szCs w:val="22"/>
              </w:rPr>
            </w:pPr>
          </w:p>
          <w:p w:rsidR="00550065" w:rsidRPr="00550065" w:rsidRDefault="00550065" w:rsidP="00550065">
            <w:pPr>
              <w:rPr>
                <w:rFonts w:ascii="Arial" w:hAnsi="Arial" w:cs="Arial"/>
                <w:sz w:val="22"/>
                <w:szCs w:val="22"/>
              </w:rPr>
            </w:pPr>
            <w:r w:rsidRPr="00550065">
              <w:rPr>
                <w:rFonts w:ascii="Arial" w:hAnsi="Arial" w:cs="Arial"/>
                <w:sz w:val="22"/>
                <w:szCs w:val="22"/>
              </w:rPr>
              <w:t>The Following text is added to the</w:t>
            </w:r>
          </w:p>
          <w:p w:rsidR="00550065" w:rsidRDefault="00550065" w:rsidP="00550065">
            <w:pPr>
              <w:rPr>
                <w:rFonts w:ascii="Arial" w:hAnsi="Arial" w:cs="Arial"/>
                <w:sz w:val="22"/>
                <w:szCs w:val="22"/>
              </w:rPr>
            </w:pPr>
            <w:r w:rsidRPr="00550065">
              <w:rPr>
                <w:rFonts w:ascii="Arial" w:hAnsi="Arial" w:cs="Arial"/>
                <w:sz w:val="22"/>
                <w:szCs w:val="22"/>
              </w:rPr>
              <w:t>sections listed at the left:</w:t>
            </w:r>
          </w:p>
          <w:p w:rsidR="00550065" w:rsidRPr="00550065" w:rsidRDefault="00550065" w:rsidP="00550065">
            <w:pPr>
              <w:rPr>
                <w:rFonts w:ascii="Arial" w:hAnsi="Arial" w:cs="Arial"/>
                <w:sz w:val="22"/>
                <w:szCs w:val="22"/>
              </w:rPr>
            </w:pPr>
          </w:p>
          <w:p w:rsidR="00550065" w:rsidRPr="00550065" w:rsidRDefault="00550065" w:rsidP="00550065">
            <w:pPr>
              <w:rPr>
                <w:rFonts w:ascii="Arial" w:hAnsi="Arial" w:cs="Arial"/>
                <w:sz w:val="22"/>
                <w:szCs w:val="22"/>
              </w:rPr>
            </w:pPr>
            <w:r w:rsidRPr="00550065">
              <w:rPr>
                <w:rFonts w:ascii="Arial" w:hAnsi="Arial" w:cs="Arial"/>
                <w:sz w:val="22"/>
                <w:szCs w:val="22"/>
              </w:rPr>
              <w:t>Except for areas containing only</w:t>
            </w:r>
          </w:p>
          <w:p w:rsidR="00550065" w:rsidRPr="00550065" w:rsidRDefault="00550065" w:rsidP="00550065">
            <w:pPr>
              <w:rPr>
                <w:rFonts w:ascii="Arial" w:hAnsi="Arial" w:cs="Arial"/>
                <w:sz w:val="22"/>
                <w:szCs w:val="22"/>
              </w:rPr>
            </w:pPr>
            <w:r w:rsidRPr="00550065">
              <w:rPr>
                <w:rFonts w:ascii="Arial" w:hAnsi="Arial" w:cs="Arial"/>
                <w:sz w:val="22"/>
                <w:szCs w:val="22"/>
              </w:rPr>
              <w:t>sealed sources (provided the</w:t>
            </w:r>
          </w:p>
          <w:p w:rsidR="00550065" w:rsidRPr="00550065" w:rsidRDefault="00550065" w:rsidP="00550065">
            <w:pPr>
              <w:rPr>
                <w:rFonts w:ascii="Arial" w:hAnsi="Arial" w:cs="Arial"/>
                <w:sz w:val="22"/>
                <w:szCs w:val="22"/>
              </w:rPr>
            </w:pPr>
            <w:r w:rsidRPr="00550065">
              <w:rPr>
                <w:rFonts w:ascii="Arial" w:hAnsi="Arial" w:cs="Arial"/>
                <w:sz w:val="22"/>
                <w:szCs w:val="22"/>
              </w:rPr>
              <w:t>sources have not leaked or no</w:t>
            </w:r>
          </w:p>
          <w:p w:rsidR="00550065" w:rsidRPr="00550065" w:rsidRDefault="00550065" w:rsidP="00550065">
            <w:pPr>
              <w:rPr>
                <w:rFonts w:ascii="Arial" w:hAnsi="Arial" w:cs="Arial"/>
                <w:sz w:val="22"/>
                <w:szCs w:val="22"/>
              </w:rPr>
            </w:pPr>
            <w:r w:rsidRPr="00550065">
              <w:rPr>
                <w:rFonts w:ascii="Arial" w:hAnsi="Arial" w:cs="Arial"/>
                <w:sz w:val="22"/>
                <w:szCs w:val="22"/>
              </w:rPr>
              <w:t>contamination remains after any</w:t>
            </w:r>
          </w:p>
          <w:p w:rsidR="00550065" w:rsidRPr="00550065" w:rsidRDefault="00550065" w:rsidP="00550065">
            <w:pPr>
              <w:rPr>
                <w:rFonts w:ascii="Arial" w:hAnsi="Arial" w:cs="Arial"/>
                <w:sz w:val="22"/>
                <w:szCs w:val="22"/>
              </w:rPr>
            </w:pPr>
            <w:r w:rsidRPr="00550065">
              <w:rPr>
                <w:rFonts w:ascii="Arial" w:hAnsi="Arial" w:cs="Arial"/>
                <w:sz w:val="22"/>
                <w:szCs w:val="22"/>
              </w:rPr>
              <w:t>leak) or byproduct materials</w:t>
            </w:r>
          </w:p>
          <w:p w:rsidR="00550065" w:rsidRPr="00550065" w:rsidRDefault="00550065" w:rsidP="00550065">
            <w:pPr>
              <w:rPr>
                <w:rFonts w:ascii="Arial" w:hAnsi="Arial" w:cs="Arial"/>
                <w:sz w:val="22"/>
                <w:szCs w:val="22"/>
              </w:rPr>
            </w:pPr>
            <w:r w:rsidRPr="00550065">
              <w:rPr>
                <w:rFonts w:ascii="Arial" w:hAnsi="Arial" w:cs="Arial"/>
                <w:sz w:val="22"/>
                <w:szCs w:val="22"/>
              </w:rPr>
              <w:t>having only half-lives of less than</w:t>
            </w:r>
          </w:p>
          <w:p w:rsidR="00550065" w:rsidRPr="00550065" w:rsidRDefault="00550065" w:rsidP="00550065">
            <w:pPr>
              <w:rPr>
                <w:rFonts w:ascii="Arial" w:hAnsi="Arial" w:cs="Arial"/>
                <w:sz w:val="22"/>
                <w:szCs w:val="22"/>
              </w:rPr>
            </w:pPr>
            <w:r w:rsidRPr="00550065">
              <w:rPr>
                <w:rFonts w:ascii="Arial" w:hAnsi="Arial" w:cs="Arial"/>
                <w:sz w:val="22"/>
                <w:szCs w:val="22"/>
              </w:rPr>
              <w:t>65 days, a list contained in a</w:t>
            </w:r>
          </w:p>
          <w:p w:rsidR="00550065" w:rsidRPr="00550065" w:rsidRDefault="00550065" w:rsidP="00550065">
            <w:pPr>
              <w:rPr>
                <w:rFonts w:ascii="Arial" w:hAnsi="Arial" w:cs="Arial"/>
                <w:sz w:val="22"/>
                <w:szCs w:val="22"/>
              </w:rPr>
            </w:pPr>
            <w:r w:rsidRPr="00550065">
              <w:rPr>
                <w:rFonts w:ascii="Arial" w:hAnsi="Arial" w:cs="Arial"/>
                <w:sz w:val="22"/>
                <w:szCs w:val="22"/>
              </w:rPr>
              <w:t>single document and updated</w:t>
            </w:r>
          </w:p>
          <w:p w:rsidR="00550065" w:rsidRPr="00550065" w:rsidRDefault="00550065" w:rsidP="00550065">
            <w:pPr>
              <w:rPr>
                <w:rFonts w:ascii="Arial" w:hAnsi="Arial" w:cs="Arial"/>
                <w:sz w:val="22"/>
                <w:szCs w:val="22"/>
              </w:rPr>
            </w:pPr>
            <w:r w:rsidRPr="00550065">
              <w:rPr>
                <w:rFonts w:ascii="Arial" w:hAnsi="Arial" w:cs="Arial"/>
                <w:sz w:val="22"/>
                <w:szCs w:val="22"/>
              </w:rPr>
              <w:t>every 2 years, of the following:</w:t>
            </w:r>
          </w:p>
          <w:p w:rsidR="00550065" w:rsidRPr="00550065" w:rsidRDefault="00550065" w:rsidP="00550065">
            <w:pPr>
              <w:rPr>
                <w:rFonts w:ascii="Arial" w:hAnsi="Arial" w:cs="Arial"/>
                <w:sz w:val="22"/>
                <w:szCs w:val="22"/>
              </w:rPr>
            </w:pPr>
            <w:r w:rsidRPr="00550065">
              <w:rPr>
                <w:rFonts w:ascii="Arial" w:hAnsi="Arial" w:cs="Arial"/>
                <w:sz w:val="22"/>
                <w:szCs w:val="22"/>
              </w:rPr>
              <w:t>(</w:t>
            </w:r>
            <w:proofErr w:type="spellStart"/>
            <w:r w:rsidRPr="00550065">
              <w:rPr>
                <w:rFonts w:ascii="Arial" w:hAnsi="Arial" w:cs="Arial"/>
                <w:sz w:val="22"/>
                <w:szCs w:val="22"/>
              </w:rPr>
              <w:t>i</w:t>
            </w:r>
            <w:proofErr w:type="spellEnd"/>
            <w:r w:rsidRPr="00550065">
              <w:rPr>
                <w:rFonts w:ascii="Arial" w:hAnsi="Arial" w:cs="Arial"/>
                <w:sz w:val="22"/>
                <w:szCs w:val="22"/>
              </w:rPr>
              <w:t>) All areas designated and</w:t>
            </w:r>
          </w:p>
          <w:p w:rsidR="00550065" w:rsidRPr="00550065" w:rsidRDefault="00550065" w:rsidP="00550065">
            <w:pPr>
              <w:rPr>
                <w:rFonts w:ascii="Arial" w:hAnsi="Arial" w:cs="Arial"/>
                <w:sz w:val="22"/>
                <w:szCs w:val="22"/>
              </w:rPr>
            </w:pPr>
            <w:r w:rsidRPr="00550065">
              <w:rPr>
                <w:rFonts w:ascii="Arial" w:hAnsi="Arial" w:cs="Arial"/>
                <w:sz w:val="22"/>
                <w:szCs w:val="22"/>
              </w:rPr>
              <w:t>formerly designated restricted</w:t>
            </w:r>
          </w:p>
          <w:p w:rsidR="00550065" w:rsidRPr="00550065" w:rsidRDefault="00550065" w:rsidP="00550065">
            <w:pPr>
              <w:rPr>
                <w:rFonts w:ascii="Arial" w:hAnsi="Arial" w:cs="Arial"/>
                <w:sz w:val="22"/>
                <w:szCs w:val="22"/>
              </w:rPr>
            </w:pPr>
            <w:r w:rsidRPr="00550065">
              <w:rPr>
                <w:rFonts w:ascii="Arial" w:hAnsi="Arial" w:cs="Arial"/>
                <w:sz w:val="22"/>
                <w:szCs w:val="22"/>
              </w:rPr>
              <w:t>areas as defined in 10 CFR</w:t>
            </w:r>
          </w:p>
          <w:p w:rsidR="00550065" w:rsidRPr="00550065" w:rsidRDefault="00550065" w:rsidP="00550065">
            <w:pPr>
              <w:rPr>
                <w:rFonts w:ascii="Arial" w:hAnsi="Arial" w:cs="Arial"/>
                <w:sz w:val="22"/>
                <w:szCs w:val="22"/>
              </w:rPr>
            </w:pPr>
            <w:r w:rsidRPr="00550065">
              <w:rPr>
                <w:rFonts w:ascii="Arial" w:hAnsi="Arial" w:cs="Arial"/>
                <w:sz w:val="22"/>
                <w:szCs w:val="22"/>
              </w:rPr>
              <w:t>20.1003 (For requirements prior to</w:t>
            </w:r>
          </w:p>
          <w:p w:rsidR="00550065" w:rsidRPr="00550065" w:rsidRDefault="00550065" w:rsidP="00550065">
            <w:pPr>
              <w:rPr>
                <w:rFonts w:ascii="Arial" w:hAnsi="Arial" w:cs="Arial"/>
                <w:sz w:val="22"/>
                <w:szCs w:val="22"/>
              </w:rPr>
            </w:pPr>
            <w:r w:rsidRPr="00550065">
              <w:rPr>
                <w:rFonts w:ascii="Arial" w:hAnsi="Arial" w:cs="Arial"/>
                <w:sz w:val="22"/>
                <w:szCs w:val="22"/>
              </w:rPr>
              <w:t>January 1, 1994, see 10 CFR</w:t>
            </w:r>
          </w:p>
          <w:p w:rsidR="00550065" w:rsidRPr="00550065" w:rsidRDefault="00550065" w:rsidP="00550065">
            <w:pPr>
              <w:rPr>
                <w:rFonts w:ascii="Arial" w:hAnsi="Arial" w:cs="Arial"/>
                <w:sz w:val="22"/>
                <w:szCs w:val="22"/>
              </w:rPr>
            </w:pPr>
            <w:r w:rsidRPr="00550065">
              <w:rPr>
                <w:rFonts w:ascii="Arial" w:hAnsi="Arial" w:cs="Arial"/>
                <w:sz w:val="22"/>
                <w:szCs w:val="22"/>
              </w:rPr>
              <w:t>20.3 as contained in the CFR</w:t>
            </w:r>
          </w:p>
          <w:p w:rsidR="00550065" w:rsidRPr="00550065" w:rsidRDefault="00550065" w:rsidP="00550065">
            <w:pPr>
              <w:rPr>
                <w:rFonts w:ascii="Arial" w:hAnsi="Arial" w:cs="Arial"/>
                <w:sz w:val="22"/>
                <w:szCs w:val="22"/>
              </w:rPr>
            </w:pPr>
            <w:r w:rsidRPr="00550065">
              <w:rPr>
                <w:rFonts w:ascii="Arial" w:hAnsi="Arial" w:cs="Arial"/>
                <w:sz w:val="22"/>
                <w:szCs w:val="22"/>
              </w:rPr>
              <w:t>edition revised as of January 1,</w:t>
            </w:r>
          </w:p>
          <w:p w:rsidR="00550065" w:rsidRPr="00550065" w:rsidRDefault="00550065" w:rsidP="00550065">
            <w:pPr>
              <w:rPr>
                <w:rFonts w:ascii="Arial" w:hAnsi="Arial" w:cs="Arial"/>
                <w:sz w:val="22"/>
                <w:szCs w:val="22"/>
              </w:rPr>
            </w:pPr>
            <w:r w:rsidRPr="00550065">
              <w:rPr>
                <w:rFonts w:ascii="Arial" w:hAnsi="Arial" w:cs="Arial"/>
                <w:sz w:val="22"/>
                <w:szCs w:val="22"/>
              </w:rPr>
              <w:t>1993.);</w:t>
            </w:r>
            <w:bookmarkStart w:id="0" w:name="_GoBack"/>
            <w:bookmarkEnd w:id="0"/>
          </w:p>
          <w:p w:rsidR="00550065" w:rsidRPr="00550065" w:rsidRDefault="00550065" w:rsidP="00550065">
            <w:pPr>
              <w:rPr>
                <w:rFonts w:ascii="Arial" w:hAnsi="Arial" w:cs="Arial"/>
                <w:sz w:val="22"/>
                <w:szCs w:val="22"/>
              </w:rPr>
            </w:pPr>
            <w:r w:rsidRPr="00550065">
              <w:rPr>
                <w:rFonts w:ascii="Arial" w:hAnsi="Arial" w:cs="Arial"/>
                <w:sz w:val="22"/>
                <w:szCs w:val="22"/>
              </w:rPr>
              <w:t>(ii) All areas outside of restricted</w:t>
            </w:r>
          </w:p>
          <w:p w:rsidR="00550065" w:rsidRPr="00550065" w:rsidRDefault="00550065" w:rsidP="00550065">
            <w:pPr>
              <w:rPr>
                <w:rFonts w:ascii="Arial" w:hAnsi="Arial" w:cs="Arial"/>
                <w:sz w:val="22"/>
                <w:szCs w:val="22"/>
              </w:rPr>
            </w:pPr>
            <w:r w:rsidRPr="00550065">
              <w:rPr>
                <w:rFonts w:ascii="Arial" w:hAnsi="Arial" w:cs="Arial"/>
                <w:sz w:val="22"/>
                <w:szCs w:val="22"/>
              </w:rPr>
              <w:t>areas that require documentation</w:t>
            </w:r>
          </w:p>
          <w:p w:rsidR="00550065" w:rsidRPr="00550065" w:rsidRDefault="00550065" w:rsidP="00550065">
            <w:pPr>
              <w:rPr>
                <w:rFonts w:ascii="Arial" w:hAnsi="Arial" w:cs="Arial"/>
                <w:sz w:val="22"/>
                <w:szCs w:val="22"/>
              </w:rPr>
            </w:pPr>
            <w:proofErr w:type="gramStart"/>
            <w:r w:rsidRPr="00550065">
              <w:rPr>
                <w:rFonts w:ascii="Arial" w:hAnsi="Arial" w:cs="Arial"/>
                <w:sz w:val="22"/>
                <w:szCs w:val="22"/>
              </w:rPr>
              <w:t>under</w:t>
            </w:r>
            <w:proofErr w:type="gramEnd"/>
            <w:r w:rsidRPr="00550065">
              <w:rPr>
                <w:rFonts w:ascii="Arial" w:hAnsi="Arial" w:cs="Arial"/>
                <w:sz w:val="22"/>
                <w:szCs w:val="22"/>
              </w:rPr>
              <w:t xml:space="preserve"> §30.35(g)(1).</w:t>
            </w:r>
          </w:p>
          <w:p w:rsidR="00550065" w:rsidRPr="00550065" w:rsidRDefault="00550065" w:rsidP="00550065">
            <w:pPr>
              <w:rPr>
                <w:rFonts w:ascii="Arial" w:hAnsi="Arial" w:cs="Arial"/>
                <w:sz w:val="22"/>
                <w:szCs w:val="22"/>
              </w:rPr>
            </w:pPr>
            <w:r w:rsidRPr="00550065">
              <w:rPr>
                <w:rFonts w:ascii="Arial" w:hAnsi="Arial" w:cs="Arial"/>
                <w:sz w:val="22"/>
                <w:szCs w:val="22"/>
              </w:rPr>
              <w:t>(iii) All areas outside of restricted</w:t>
            </w:r>
          </w:p>
          <w:p w:rsidR="00550065" w:rsidRPr="00550065" w:rsidRDefault="00550065" w:rsidP="00550065">
            <w:pPr>
              <w:rPr>
                <w:rFonts w:ascii="Arial" w:hAnsi="Arial" w:cs="Arial"/>
                <w:sz w:val="22"/>
                <w:szCs w:val="22"/>
              </w:rPr>
            </w:pPr>
            <w:r w:rsidRPr="00550065">
              <w:rPr>
                <w:rFonts w:ascii="Arial" w:hAnsi="Arial" w:cs="Arial"/>
                <w:sz w:val="22"/>
                <w:szCs w:val="22"/>
              </w:rPr>
              <w:t>areas where current and previous</w:t>
            </w:r>
          </w:p>
          <w:p w:rsidR="00550065" w:rsidRPr="00550065" w:rsidRDefault="00550065" w:rsidP="00550065">
            <w:pPr>
              <w:rPr>
                <w:rFonts w:ascii="Arial" w:hAnsi="Arial" w:cs="Arial"/>
                <w:sz w:val="22"/>
                <w:szCs w:val="22"/>
              </w:rPr>
            </w:pPr>
            <w:r w:rsidRPr="00550065">
              <w:rPr>
                <w:rFonts w:ascii="Arial" w:hAnsi="Arial" w:cs="Arial"/>
                <w:sz w:val="22"/>
                <w:szCs w:val="22"/>
              </w:rPr>
              <w:t>wastes have been buried as</w:t>
            </w:r>
          </w:p>
          <w:p w:rsidR="00550065" w:rsidRPr="00550065" w:rsidRDefault="00550065" w:rsidP="00550065">
            <w:pPr>
              <w:rPr>
                <w:rFonts w:ascii="Arial" w:hAnsi="Arial" w:cs="Arial"/>
                <w:sz w:val="22"/>
                <w:szCs w:val="22"/>
              </w:rPr>
            </w:pPr>
            <w:r w:rsidRPr="00550065">
              <w:rPr>
                <w:rFonts w:ascii="Arial" w:hAnsi="Arial" w:cs="Arial"/>
                <w:sz w:val="22"/>
                <w:szCs w:val="22"/>
              </w:rPr>
              <w:t>documented under 10 CFR</w:t>
            </w:r>
          </w:p>
          <w:p w:rsidR="00550065" w:rsidRDefault="00550065" w:rsidP="00550065">
            <w:r w:rsidRPr="00550065">
              <w:rPr>
                <w:rFonts w:ascii="Arial" w:hAnsi="Arial" w:cs="Arial"/>
                <w:sz w:val="22"/>
                <w:szCs w:val="22"/>
              </w:rPr>
              <w:t>20.2108; and</w:t>
            </w:r>
            <w:r>
              <w:t xml:space="preserve"> </w:t>
            </w:r>
          </w:p>
          <w:p w:rsidR="00550065" w:rsidRPr="00550065" w:rsidRDefault="00550065" w:rsidP="00550065">
            <w:pPr>
              <w:rPr>
                <w:rFonts w:ascii="Arial" w:hAnsi="Arial" w:cs="Arial"/>
                <w:sz w:val="22"/>
                <w:szCs w:val="22"/>
              </w:rPr>
            </w:pPr>
            <w:r w:rsidRPr="00550065">
              <w:rPr>
                <w:rFonts w:ascii="Arial" w:hAnsi="Arial" w:cs="Arial"/>
                <w:sz w:val="22"/>
                <w:szCs w:val="22"/>
              </w:rPr>
              <w:t>(iv) All areas outside of restricted</w:t>
            </w:r>
          </w:p>
          <w:p w:rsidR="00550065" w:rsidRPr="00550065" w:rsidRDefault="00550065" w:rsidP="00550065">
            <w:pPr>
              <w:rPr>
                <w:rFonts w:ascii="Arial" w:hAnsi="Arial" w:cs="Arial"/>
                <w:sz w:val="22"/>
                <w:szCs w:val="22"/>
              </w:rPr>
            </w:pPr>
            <w:r w:rsidRPr="00550065">
              <w:rPr>
                <w:rFonts w:ascii="Arial" w:hAnsi="Arial" w:cs="Arial"/>
                <w:sz w:val="22"/>
                <w:szCs w:val="22"/>
              </w:rPr>
              <w:t>areas that contain material such</w:t>
            </w:r>
          </w:p>
          <w:p w:rsidR="00550065" w:rsidRPr="00550065" w:rsidRDefault="00550065" w:rsidP="00550065">
            <w:pPr>
              <w:rPr>
                <w:rFonts w:ascii="Arial" w:hAnsi="Arial" w:cs="Arial"/>
                <w:sz w:val="22"/>
                <w:szCs w:val="22"/>
              </w:rPr>
            </w:pPr>
            <w:r w:rsidRPr="00550065">
              <w:rPr>
                <w:rFonts w:ascii="Arial" w:hAnsi="Arial" w:cs="Arial"/>
                <w:sz w:val="22"/>
                <w:szCs w:val="22"/>
              </w:rPr>
              <w:t>that, if the license expired, the</w:t>
            </w:r>
          </w:p>
          <w:p w:rsidR="00550065" w:rsidRPr="00550065" w:rsidRDefault="00550065" w:rsidP="00550065">
            <w:pPr>
              <w:rPr>
                <w:rFonts w:ascii="Arial" w:hAnsi="Arial" w:cs="Arial"/>
                <w:sz w:val="22"/>
                <w:szCs w:val="22"/>
              </w:rPr>
            </w:pPr>
            <w:r w:rsidRPr="00550065">
              <w:rPr>
                <w:rFonts w:ascii="Arial" w:hAnsi="Arial" w:cs="Arial"/>
                <w:sz w:val="22"/>
                <w:szCs w:val="22"/>
              </w:rPr>
              <w:t>licensee would be required to</w:t>
            </w:r>
          </w:p>
          <w:p w:rsidR="00550065" w:rsidRPr="00550065" w:rsidRDefault="00550065" w:rsidP="00550065">
            <w:pPr>
              <w:rPr>
                <w:rFonts w:ascii="Arial" w:hAnsi="Arial" w:cs="Arial"/>
                <w:sz w:val="22"/>
                <w:szCs w:val="22"/>
              </w:rPr>
            </w:pPr>
            <w:r w:rsidRPr="00550065">
              <w:rPr>
                <w:rFonts w:ascii="Arial" w:hAnsi="Arial" w:cs="Arial"/>
                <w:sz w:val="22"/>
                <w:szCs w:val="22"/>
              </w:rPr>
              <w:t>either decontaminate the area to</w:t>
            </w:r>
          </w:p>
          <w:p w:rsidR="00550065" w:rsidRPr="00550065" w:rsidRDefault="00550065" w:rsidP="00550065">
            <w:pPr>
              <w:rPr>
                <w:rFonts w:ascii="Arial" w:hAnsi="Arial" w:cs="Arial"/>
                <w:sz w:val="22"/>
                <w:szCs w:val="22"/>
              </w:rPr>
            </w:pPr>
            <w:r w:rsidRPr="00550065">
              <w:rPr>
                <w:rFonts w:ascii="Arial" w:hAnsi="Arial" w:cs="Arial"/>
                <w:sz w:val="22"/>
                <w:szCs w:val="22"/>
              </w:rPr>
              <w:lastRenderedPageBreak/>
              <w:t>meet the criteria for</w:t>
            </w:r>
          </w:p>
          <w:p w:rsidR="00550065" w:rsidRPr="00550065" w:rsidRDefault="00550065" w:rsidP="00550065">
            <w:pPr>
              <w:rPr>
                <w:rFonts w:ascii="Arial" w:hAnsi="Arial" w:cs="Arial"/>
                <w:sz w:val="22"/>
                <w:szCs w:val="22"/>
              </w:rPr>
            </w:pPr>
            <w:r w:rsidRPr="00550065">
              <w:rPr>
                <w:rFonts w:ascii="Arial" w:hAnsi="Arial" w:cs="Arial"/>
                <w:sz w:val="22"/>
                <w:szCs w:val="22"/>
              </w:rPr>
              <w:t>decommissioning in 10 CFR part</w:t>
            </w:r>
          </w:p>
          <w:p w:rsidR="00550065" w:rsidRPr="00550065" w:rsidRDefault="00550065" w:rsidP="00550065">
            <w:pPr>
              <w:rPr>
                <w:rFonts w:ascii="Arial" w:hAnsi="Arial" w:cs="Arial"/>
                <w:sz w:val="22"/>
                <w:szCs w:val="22"/>
              </w:rPr>
            </w:pPr>
            <w:r w:rsidRPr="00550065">
              <w:rPr>
                <w:rFonts w:ascii="Arial" w:hAnsi="Arial" w:cs="Arial"/>
                <w:sz w:val="22"/>
                <w:szCs w:val="22"/>
              </w:rPr>
              <w:t>20, subpart E, or apply for</w:t>
            </w:r>
          </w:p>
          <w:p w:rsidR="00550065" w:rsidRPr="00550065" w:rsidRDefault="00550065" w:rsidP="00550065">
            <w:pPr>
              <w:rPr>
                <w:rFonts w:ascii="Arial" w:hAnsi="Arial" w:cs="Arial"/>
                <w:sz w:val="22"/>
                <w:szCs w:val="22"/>
              </w:rPr>
            </w:pPr>
            <w:r w:rsidRPr="00550065">
              <w:rPr>
                <w:rFonts w:ascii="Arial" w:hAnsi="Arial" w:cs="Arial"/>
                <w:sz w:val="22"/>
                <w:szCs w:val="22"/>
              </w:rPr>
              <w:t>approval for disposal under 10</w:t>
            </w:r>
          </w:p>
          <w:p w:rsidR="00550065" w:rsidRPr="00A5461D" w:rsidRDefault="00550065" w:rsidP="00550065">
            <w:pPr>
              <w:rPr>
                <w:rFonts w:ascii="Arial" w:hAnsi="Arial" w:cs="Arial"/>
                <w:sz w:val="22"/>
                <w:szCs w:val="22"/>
              </w:rPr>
            </w:pPr>
            <w:r w:rsidRPr="00550065">
              <w:rPr>
                <w:rFonts w:ascii="Arial" w:hAnsi="Arial" w:cs="Arial"/>
                <w:sz w:val="22"/>
                <w:szCs w:val="22"/>
              </w:rPr>
              <w:t>CFR 20.2002.</w:t>
            </w:r>
          </w:p>
        </w:tc>
        <w:tc>
          <w:tcPr>
            <w:tcW w:w="1440" w:type="dxa"/>
            <w:tcBorders>
              <w:top w:val="single" w:sz="7" w:space="0" w:color="000000"/>
              <w:left w:val="single" w:sz="7" w:space="0" w:color="000000"/>
              <w:bottom w:val="single" w:sz="7" w:space="0" w:color="000000"/>
              <w:right w:val="single" w:sz="7" w:space="0" w:color="000000"/>
            </w:tcBorders>
          </w:tcPr>
          <w:p w:rsidR="00550065" w:rsidRPr="00A5461D" w:rsidRDefault="00550065" w:rsidP="00A5461D">
            <w:pPr>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550065" w:rsidRPr="00A5461D" w:rsidRDefault="00550065" w:rsidP="00A5461D">
            <w:pPr>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tcPr>
          <w:p w:rsidR="00550065" w:rsidRPr="00A5461D" w:rsidRDefault="00550065" w:rsidP="00A5461D">
            <w:pPr>
              <w:rPr>
                <w:rFonts w:ascii="Arial" w:hAnsi="Arial" w:cs="Arial"/>
                <w:sz w:val="22"/>
                <w:szCs w:val="22"/>
              </w:rPr>
            </w:pPr>
          </w:p>
        </w:tc>
      </w:tr>
      <w:tr w:rsidR="00E1623C" w:rsidTr="005F5A2F">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sym w:font="WP TypographicSymbols" w:char="0027"/>
            </w:r>
            <w:r w:rsidRPr="00A5461D">
              <w:rPr>
                <w:rFonts w:ascii="Arial" w:hAnsi="Arial" w:cs="Arial"/>
                <w:sz w:val="22"/>
                <w:szCs w:val="22"/>
              </w:rPr>
              <w:t>40.36</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(f) (3)</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216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Financial assurance and recordkeeping for decommissioning</w:t>
            </w:r>
          </w:p>
        </w:tc>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H&amp;S</w:t>
            </w:r>
          </w:p>
        </w:tc>
        <w:tc>
          <w:tcPr>
            <w:tcW w:w="360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The Following text is added to the sections listed at the left:</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Except for areas containing only sealed sources (provided the sources have not leaked or no contamination remains after any leak) or byproduct materials having only half-lives of less than 65 days, a list contained in a single document and updated every 2 years, of the following: </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fldChar w:fldCharType="begin"/>
            </w:r>
            <w:r w:rsidRPr="00A5461D">
              <w:rPr>
                <w:rFonts w:ascii="Arial" w:hAnsi="Arial" w:cs="Arial"/>
                <w:sz w:val="22"/>
                <w:szCs w:val="22"/>
              </w:rPr>
              <w:instrText>ADVANCE \d4</w:instrText>
            </w:r>
            <w:r w:rsidRPr="00A5461D">
              <w:rPr>
                <w:rFonts w:ascii="Arial" w:hAnsi="Arial" w:cs="Arial"/>
                <w:sz w:val="22"/>
                <w:szCs w:val="22"/>
              </w:rPr>
              <w:fldChar w:fldCharType="end"/>
            </w:r>
            <w:r w:rsidRPr="00A5461D">
              <w:rPr>
                <w:rFonts w:ascii="Arial" w:hAnsi="Arial" w:cs="Arial"/>
                <w:sz w:val="22"/>
                <w:szCs w:val="22"/>
              </w:rPr>
              <w:t>(</w:t>
            </w:r>
            <w:proofErr w:type="spellStart"/>
            <w:r w:rsidRPr="00A5461D">
              <w:rPr>
                <w:rFonts w:ascii="Arial" w:hAnsi="Arial" w:cs="Arial"/>
                <w:sz w:val="22"/>
                <w:szCs w:val="22"/>
              </w:rPr>
              <w:t>i</w:t>
            </w:r>
            <w:proofErr w:type="spellEnd"/>
            <w:r w:rsidRPr="00A5461D">
              <w:rPr>
                <w:rFonts w:ascii="Arial" w:hAnsi="Arial" w:cs="Arial"/>
                <w:sz w:val="22"/>
                <w:szCs w:val="22"/>
              </w:rPr>
              <w:t xml:space="preserve">) All areas designated and formerly designated restricted areas as defined in 10 CFR 20.1003 (For requirements prior to January 1, 1994, see 10 CFR 20.3 as contained in the CFR edition revised as of January 1, 1993.); </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fldChar w:fldCharType="begin"/>
            </w:r>
            <w:r w:rsidRPr="00A5461D">
              <w:rPr>
                <w:rFonts w:ascii="Arial" w:hAnsi="Arial" w:cs="Arial"/>
                <w:sz w:val="22"/>
                <w:szCs w:val="22"/>
              </w:rPr>
              <w:instrText>ADVANCE \d4</w:instrText>
            </w:r>
            <w:r w:rsidRPr="00A5461D">
              <w:rPr>
                <w:rFonts w:ascii="Arial" w:hAnsi="Arial" w:cs="Arial"/>
                <w:sz w:val="22"/>
                <w:szCs w:val="22"/>
              </w:rPr>
              <w:fldChar w:fldCharType="end"/>
            </w:r>
            <w:r w:rsidRPr="00A5461D">
              <w:rPr>
                <w:rFonts w:ascii="Arial" w:hAnsi="Arial" w:cs="Arial"/>
                <w:sz w:val="22"/>
                <w:szCs w:val="22"/>
              </w:rPr>
              <w:t xml:space="preserve">(ii) All areas outside of restricted areas that require documentation under </w:t>
            </w:r>
            <w:r w:rsidRPr="00A5461D">
              <w:rPr>
                <w:rFonts w:ascii="Arial" w:hAnsi="Arial" w:cs="Arial"/>
                <w:sz w:val="22"/>
                <w:szCs w:val="22"/>
              </w:rPr>
              <w:sym w:font="WP TypographicSymbols" w:char="0027"/>
            </w:r>
            <w:r w:rsidRPr="00A5461D">
              <w:rPr>
                <w:rFonts w:ascii="Arial" w:hAnsi="Arial" w:cs="Arial"/>
                <w:sz w:val="22"/>
                <w:szCs w:val="22"/>
              </w:rPr>
              <w:t>30.35(g</w:t>
            </w:r>
            <w:proofErr w:type="gramStart"/>
            <w:r w:rsidRPr="00A5461D">
              <w:rPr>
                <w:rFonts w:ascii="Arial" w:hAnsi="Arial" w:cs="Arial"/>
                <w:sz w:val="22"/>
                <w:szCs w:val="22"/>
              </w:rPr>
              <w:t>)(</w:t>
            </w:r>
            <w:proofErr w:type="gramEnd"/>
            <w:r w:rsidRPr="00A5461D">
              <w:rPr>
                <w:rFonts w:ascii="Arial" w:hAnsi="Arial" w:cs="Arial"/>
                <w:sz w:val="22"/>
                <w:szCs w:val="22"/>
              </w:rPr>
              <w:t xml:space="preserve">1). </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fldChar w:fldCharType="begin"/>
            </w:r>
            <w:r w:rsidRPr="00A5461D">
              <w:rPr>
                <w:rFonts w:ascii="Arial" w:hAnsi="Arial" w:cs="Arial"/>
                <w:sz w:val="22"/>
                <w:szCs w:val="22"/>
              </w:rPr>
              <w:instrText>ADVANCE \d4</w:instrText>
            </w:r>
            <w:r w:rsidRPr="00A5461D">
              <w:rPr>
                <w:rFonts w:ascii="Arial" w:hAnsi="Arial" w:cs="Arial"/>
                <w:sz w:val="22"/>
                <w:szCs w:val="22"/>
              </w:rPr>
              <w:fldChar w:fldCharType="end"/>
            </w:r>
            <w:r w:rsidRPr="00A5461D">
              <w:rPr>
                <w:rFonts w:ascii="Arial" w:hAnsi="Arial" w:cs="Arial"/>
                <w:sz w:val="22"/>
                <w:szCs w:val="22"/>
              </w:rPr>
              <w:t xml:space="preserve">(iii) All areas outside of restricted areas where current and previous wastes have been buried as documented under 10 CFR 20.2108; and </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fldChar w:fldCharType="begin"/>
            </w:r>
            <w:r w:rsidRPr="00A5461D">
              <w:rPr>
                <w:rFonts w:ascii="Arial" w:hAnsi="Arial" w:cs="Arial"/>
                <w:sz w:val="22"/>
                <w:szCs w:val="22"/>
              </w:rPr>
              <w:instrText>ADVANCE \d4</w:instrText>
            </w:r>
            <w:r w:rsidRPr="00A5461D">
              <w:rPr>
                <w:rFonts w:ascii="Arial" w:hAnsi="Arial" w:cs="Arial"/>
                <w:sz w:val="22"/>
                <w:szCs w:val="22"/>
              </w:rPr>
              <w:fldChar w:fldCharType="end"/>
            </w:r>
            <w:r w:rsidRPr="00A5461D">
              <w:rPr>
                <w:rFonts w:ascii="Arial" w:hAnsi="Arial" w:cs="Arial"/>
                <w:sz w:val="22"/>
                <w:szCs w:val="22"/>
              </w:rPr>
              <w:t xml:space="preserve">(iv) All areas outside of restricted areas that contain material such that, if the license expired, the licensee would be required to </w:t>
            </w:r>
            <w:proofErr w:type="gramStart"/>
            <w:r w:rsidRPr="00A5461D">
              <w:rPr>
                <w:rFonts w:ascii="Arial" w:hAnsi="Arial" w:cs="Arial"/>
                <w:sz w:val="22"/>
                <w:szCs w:val="22"/>
              </w:rPr>
              <w:t>either</w:t>
            </w:r>
            <w:proofErr w:type="gramEnd"/>
            <w:r w:rsidRPr="00A5461D">
              <w:rPr>
                <w:rFonts w:ascii="Arial" w:hAnsi="Arial" w:cs="Arial"/>
                <w:sz w:val="22"/>
                <w:szCs w:val="22"/>
              </w:rPr>
              <w:t xml:space="preserve"> decontaminate the area to meet the criteria for </w:t>
            </w:r>
            <w:r w:rsidRPr="00A5461D">
              <w:rPr>
                <w:rFonts w:ascii="Arial" w:hAnsi="Arial" w:cs="Arial"/>
                <w:sz w:val="22"/>
                <w:szCs w:val="22"/>
              </w:rPr>
              <w:lastRenderedPageBreak/>
              <w:t>decommissioning in 10 CFR part 20, subpart E, or apply for approval for disposal under 10 CFR 20.2002.</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E1623C" w:rsidTr="005F5A2F">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sym w:font="WP TypographicSymbols" w:char="0027"/>
            </w:r>
            <w:r w:rsidRPr="00A5461D">
              <w:rPr>
                <w:rFonts w:ascii="Arial" w:hAnsi="Arial" w:cs="Arial"/>
                <w:sz w:val="22"/>
                <w:szCs w:val="22"/>
              </w:rPr>
              <w:t>70.25 (g) (3)</w:t>
            </w:r>
          </w:p>
        </w:tc>
        <w:tc>
          <w:tcPr>
            <w:tcW w:w="216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Financial assurance and recordkeeping for decommissioning</w:t>
            </w:r>
          </w:p>
        </w:tc>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H&amp;S</w:t>
            </w:r>
          </w:p>
        </w:tc>
        <w:tc>
          <w:tcPr>
            <w:tcW w:w="360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The Following text is added to the sections listed at the left:</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Except for areas containing only sealed sources (provided the sources have not leaked or no contamination remains after any leak) or byproduct materials having only half-lives of less than 65 days, a list contained in a single document and updated every 2 years, of the following: </w:t>
            </w:r>
          </w:p>
          <w:p w:rsidR="00E1623C" w:rsidRPr="00A5461D" w:rsidRDefault="00A5461D"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 </w:t>
            </w:r>
            <w:r w:rsidR="00E1623C" w:rsidRPr="00A5461D">
              <w:rPr>
                <w:rFonts w:ascii="Arial" w:hAnsi="Arial" w:cs="Arial"/>
                <w:sz w:val="22"/>
                <w:szCs w:val="22"/>
              </w:rPr>
              <w:t>(</w:t>
            </w:r>
            <w:proofErr w:type="spellStart"/>
            <w:r w:rsidR="00E1623C" w:rsidRPr="00A5461D">
              <w:rPr>
                <w:rFonts w:ascii="Arial" w:hAnsi="Arial" w:cs="Arial"/>
                <w:sz w:val="22"/>
                <w:szCs w:val="22"/>
              </w:rPr>
              <w:t>i</w:t>
            </w:r>
            <w:proofErr w:type="spellEnd"/>
            <w:r w:rsidR="00E1623C" w:rsidRPr="00A5461D">
              <w:rPr>
                <w:rFonts w:ascii="Arial" w:hAnsi="Arial" w:cs="Arial"/>
                <w:sz w:val="22"/>
                <w:szCs w:val="22"/>
              </w:rPr>
              <w:t xml:space="preserve">) All areas designated and formerly designated restricted areas as defined in 10 CFR 20.1003 (For requirements prior to January 1, 1994, see 10 CFR 20.3 as contained in the CFR edition revised as of January 1, 1993.); </w:t>
            </w:r>
          </w:p>
          <w:p w:rsidR="00E1623C" w:rsidRPr="00A5461D" w:rsidRDefault="00A5461D"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 </w:t>
            </w:r>
            <w:r w:rsidR="00E1623C" w:rsidRPr="00A5461D">
              <w:rPr>
                <w:rFonts w:ascii="Arial" w:hAnsi="Arial" w:cs="Arial"/>
                <w:sz w:val="22"/>
                <w:szCs w:val="22"/>
              </w:rPr>
              <w:t xml:space="preserve">(ii) All areas outside of restricted areas that require documentation under </w:t>
            </w:r>
            <w:r w:rsidR="00E1623C" w:rsidRPr="00A5461D">
              <w:rPr>
                <w:rFonts w:ascii="Arial" w:hAnsi="Arial" w:cs="Arial"/>
                <w:sz w:val="22"/>
                <w:szCs w:val="22"/>
              </w:rPr>
              <w:sym w:font="WP TypographicSymbols" w:char="0027"/>
            </w:r>
            <w:r w:rsidR="00E1623C" w:rsidRPr="00A5461D">
              <w:rPr>
                <w:rFonts w:ascii="Arial" w:hAnsi="Arial" w:cs="Arial"/>
                <w:sz w:val="22"/>
                <w:szCs w:val="22"/>
              </w:rPr>
              <w:t>30.35(g</w:t>
            </w:r>
            <w:proofErr w:type="gramStart"/>
            <w:r w:rsidR="00E1623C" w:rsidRPr="00A5461D">
              <w:rPr>
                <w:rFonts w:ascii="Arial" w:hAnsi="Arial" w:cs="Arial"/>
                <w:sz w:val="22"/>
                <w:szCs w:val="22"/>
              </w:rPr>
              <w:t>)(</w:t>
            </w:r>
            <w:proofErr w:type="gramEnd"/>
            <w:r w:rsidR="00E1623C" w:rsidRPr="00A5461D">
              <w:rPr>
                <w:rFonts w:ascii="Arial" w:hAnsi="Arial" w:cs="Arial"/>
                <w:sz w:val="22"/>
                <w:szCs w:val="22"/>
              </w:rPr>
              <w:t xml:space="preserve">1). </w:t>
            </w:r>
          </w:p>
          <w:p w:rsidR="00A5461D" w:rsidRDefault="00A5461D"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 </w:t>
            </w:r>
            <w:r w:rsidR="00E1623C" w:rsidRPr="00A5461D">
              <w:rPr>
                <w:rFonts w:ascii="Arial" w:hAnsi="Arial" w:cs="Arial"/>
                <w:sz w:val="22"/>
                <w:szCs w:val="22"/>
              </w:rPr>
              <w:t xml:space="preserve">(iii) All areas outside of restricted areas where current and previous wastes have been buried as documented under 10 CFR 20.2108; and </w:t>
            </w:r>
          </w:p>
          <w:p w:rsidR="00E1623C" w:rsidRPr="00A5461D" w:rsidRDefault="00A5461D"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(i</w:t>
            </w:r>
            <w:r w:rsidR="00E1623C" w:rsidRPr="00A5461D">
              <w:rPr>
                <w:rFonts w:ascii="Arial" w:hAnsi="Arial" w:cs="Arial"/>
                <w:sz w:val="22"/>
                <w:szCs w:val="22"/>
              </w:rPr>
              <w:t xml:space="preserve">v) All areas outside of restricted areas that contain material such that, if the license expired, the licensee would be required to either decontaminate the area to meet the criteria for decommissioning in 10 CFR part 20, subpart E, or apply for </w:t>
            </w:r>
            <w:r w:rsidR="00E1623C" w:rsidRPr="00A5461D">
              <w:rPr>
                <w:rFonts w:ascii="Arial" w:hAnsi="Arial" w:cs="Arial"/>
                <w:sz w:val="22"/>
                <w:szCs w:val="22"/>
              </w:rPr>
              <w:lastRenderedPageBreak/>
              <w:t>approval for disposal under 10 CFR 20.2002.</w:t>
            </w:r>
          </w:p>
        </w:tc>
        <w:tc>
          <w:tcPr>
            <w:tcW w:w="144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E1623C" w:rsidTr="005F5A2F">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30.36</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(c)(2)(iii) (d)&amp;(e)</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40.42</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(c)(2)(iii) (d)&amp;(e)</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70.36</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(c)(2)(iii)</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(d)</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216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Expiration and termination of </w:t>
            </w:r>
            <w:r w:rsidR="00A5461D" w:rsidRPr="00A5461D">
              <w:rPr>
                <w:rFonts w:ascii="Arial" w:hAnsi="Arial" w:cs="Arial"/>
                <w:sz w:val="22"/>
                <w:szCs w:val="22"/>
              </w:rPr>
              <w:t>licenses</w:t>
            </w:r>
          </w:p>
        </w:tc>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H&amp;S</w:t>
            </w:r>
          </w:p>
        </w:tc>
        <w:tc>
          <w:tcPr>
            <w:tcW w:w="360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This section has been superceded, these requirements are not required. States should not adopt this section.</w:t>
            </w:r>
          </w:p>
        </w:tc>
        <w:tc>
          <w:tcPr>
            <w:tcW w:w="144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E1623C" w:rsidTr="005F5A2F">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30.36</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(c)(3)</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40.36</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(c)(3)</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70.25</w:t>
            </w: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(c)(3)</w:t>
            </w:r>
          </w:p>
        </w:tc>
        <w:tc>
          <w:tcPr>
            <w:tcW w:w="216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 xml:space="preserve">Expiration and termination of </w:t>
            </w:r>
            <w:r w:rsidR="00A5461D" w:rsidRPr="00A5461D">
              <w:rPr>
                <w:rFonts w:ascii="Arial" w:hAnsi="Arial" w:cs="Arial"/>
                <w:sz w:val="22"/>
                <w:szCs w:val="22"/>
              </w:rPr>
              <w:t>licenses</w:t>
            </w:r>
          </w:p>
        </w:tc>
        <w:tc>
          <w:tcPr>
            <w:tcW w:w="117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A5461D">
              <w:rPr>
                <w:rFonts w:ascii="Arial" w:hAnsi="Arial" w:cs="Arial"/>
                <w:sz w:val="22"/>
                <w:szCs w:val="22"/>
              </w:rPr>
              <w:t>H&amp;S</w:t>
            </w:r>
          </w:p>
        </w:tc>
        <w:tc>
          <w:tcPr>
            <w:tcW w:w="360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461D">
              <w:rPr>
                <w:rFonts w:ascii="Arial" w:hAnsi="Arial" w:cs="Arial"/>
                <w:sz w:val="22"/>
                <w:szCs w:val="22"/>
              </w:rPr>
              <w:t>This section has been superceded, these requirements are not required.  States should not adopt this section.</w:t>
            </w:r>
          </w:p>
        </w:tc>
        <w:tc>
          <w:tcPr>
            <w:tcW w:w="144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tcPr>
          <w:p w:rsidR="00E1623C" w:rsidRPr="00A5461D" w:rsidRDefault="00E1623C" w:rsidP="00A5461D">
            <w:pPr>
              <w:rPr>
                <w:rFonts w:ascii="Arial" w:hAnsi="Arial" w:cs="Arial"/>
                <w:sz w:val="22"/>
                <w:szCs w:val="22"/>
              </w:rPr>
            </w:pPr>
          </w:p>
          <w:p w:rsidR="00E1623C" w:rsidRPr="00A5461D" w:rsidRDefault="00E1623C" w:rsidP="00A5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rsidR="00E1623C" w:rsidRDefault="00E16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sectPr w:rsidR="00E1623C" w:rsidSect="00E1623C">
      <w:footerReference w:type="default" r:id="rId6"/>
      <w:type w:val="continuous"/>
      <w:pgSz w:w="15840" w:h="12240" w:orient="landscape"/>
      <w:pgMar w:top="540" w:right="1440" w:bottom="450" w:left="1440" w:header="5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B9" w:rsidRDefault="00C771B9" w:rsidP="00C771B9">
      <w:r>
        <w:separator/>
      </w:r>
    </w:p>
  </w:endnote>
  <w:endnote w:type="continuationSeparator" w:id="0">
    <w:p w:rsidR="00C771B9" w:rsidRDefault="00C771B9" w:rsidP="00C7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B9" w:rsidRDefault="00550065">
    <w:pPr>
      <w:pStyle w:val="Footer"/>
      <w:jc w:val="center"/>
    </w:pPr>
    <w:r>
      <w:fldChar w:fldCharType="begin"/>
    </w:r>
    <w:r>
      <w:instrText xml:space="preserve"> PAGE   \* MERGEFORMAT </w:instrText>
    </w:r>
    <w:r>
      <w:fldChar w:fldCharType="separate"/>
    </w:r>
    <w:r>
      <w:rPr>
        <w:noProof/>
      </w:rPr>
      <w:t>4</w:t>
    </w:r>
    <w:r>
      <w:rPr>
        <w:noProof/>
      </w:rPr>
      <w:fldChar w:fldCharType="end"/>
    </w:r>
  </w:p>
  <w:p w:rsidR="00C771B9" w:rsidRDefault="00C77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B9" w:rsidRDefault="00C771B9" w:rsidP="00C771B9">
      <w:r>
        <w:separator/>
      </w:r>
    </w:p>
  </w:footnote>
  <w:footnote w:type="continuationSeparator" w:id="0">
    <w:p w:rsidR="00C771B9" w:rsidRDefault="00C771B9" w:rsidP="00C77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3C"/>
    <w:rsid w:val="00550065"/>
    <w:rsid w:val="005F5A2F"/>
    <w:rsid w:val="00A5461D"/>
    <w:rsid w:val="00C771B9"/>
    <w:rsid w:val="00E1623C"/>
    <w:rsid w:val="00EB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1EBD3D-6260-4FE8-837E-AFAEECEE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C771B9"/>
    <w:pPr>
      <w:tabs>
        <w:tab w:val="center" w:pos="4680"/>
        <w:tab w:val="right" w:pos="9360"/>
      </w:tabs>
    </w:pPr>
  </w:style>
  <w:style w:type="character" w:customStyle="1" w:styleId="HeaderChar">
    <w:name w:val="Header Char"/>
    <w:basedOn w:val="DefaultParagraphFont"/>
    <w:link w:val="Header"/>
    <w:rsid w:val="00C771B9"/>
    <w:rPr>
      <w:sz w:val="24"/>
      <w:szCs w:val="24"/>
    </w:rPr>
  </w:style>
  <w:style w:type="paragraph" w:styleId="Footer">
    <w:name w:val="footer"/>
    <w:basedOn w:val="Normal"/>
    <w:link w:val="FooterChar"/>
    <w:uiPriority w:val="99"/>
    <w:rsid w:val="00C771B9"/>
    <w:pPr>
      <w:tabs>
        <w:tab w:val="center" w:pos="4680"/>
        <w:tab w:val="right" w:pos="9360"/>
      </w:tabs>
    </w:pPr>
  </w:style>
  <w:style w:type="character" w:customStyle="1" w:styleId="FooterChar">
    <w:name w:val="Footer Char"/>
    <w:basedOn w:val="DefaultParagraphFont"/>
    <w:link w:val="Footer"/>
    <w:uiPriority w:val="99"/>
    <w:rsid w:val="00C77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650</Words>
  <Characters>3707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Decommissioning Recordkeeping and License Termination:  Documentation Additions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Decommissioning Recordkeeping and License Termination:  Documentation Additions</dc:title>
  <dc:subject/>
  <dc:creator>KNM1</dc:creator>
  <cp:keywords/>
  <dc:description/>
  <cp:lastModifiedBy>DAS</cp:lastModifiedBy>
  <cp:revision>2</cp:revision>
  <dcterms:created xsi:type="dcterms:W3CDTF">2016-04-22T17:58:00Z</dcterms:created>
  <dcterms:modified xsi:type="dcterms:W3CDTF">2016-04-22T17:58:00Z</dcterms:modified>
</cp:coreProperties>
</file>