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1BCC" w14:textId="1991557D" w:rsidR="0025134B" w:rsidRPr="0025134B" w:rsidRDefault="0025134B" w:rsidP="00DE2E93">
      <w:pPr>
        <w:tabs>
          <w:tab w:val="center" w:pos="4320"/>
          <w:tab w:val="left" w:pos="8640"/>
        </w:tabs>
        <w:spacing w:after="0" w:line="240" w:lineRule="auto"/>
        <w:ind w:left="2837" w:right="115" w:hanging="547"/>
        <w:jc w:val="center"/>
        <w:rPr>
          <w:rFonts w:eastAsia="Times New Roman" w:cs="Times New Roman"/>
          <w:color w:val="auto"/>
          <w:spacing w:val="23"/>
          <w:sz w:val="24"/>
          <w:szCs w:val="24"/>
        </w:rPr>
      </w:pPr>
      <w:bookmarkStart w:id="0" w:name="_GoBack"/>
      <w:bookmarkEnd w:id="0"/>
      <w:r w:rsidRPr="0025134B">
        <w:rPr>
          <w:rFonts w:eastAsia="Times New Roman" w:cs="Times New Roman"/>
          <w:b/>
          <w:color w:val="auto"/>
          <w:sz w:val="38"/>
          <w:szCs w:val="24"/>
        </w:rPr>
        <w:t>NRC INSPECTION</w:t>
      </w:r>
      <w:r w:rsidRPr="0025134B">
        <w:rPr>
          <w:rFonts w:eastAsia="Times New Roman" w:cs="Times New Roman"/>
          <w:b/>
          <w:color w:val="auto"/>
          <w:spacing w:val="-1"/>
          <w:sz w:val="38"/>
          <w:szCs w:val="24"/>
        </w:rPr>
        <w:t xml:space="preserve"> </w:t>
      </w:r>
      <w:r w:rsidR="00DB5A4B">
        <w:rPr>
          <w:rFonts w:eastAsia="Times New Roman" w:cs="Times New Roman"/>
          <w:b/>
          <w:color w:val="auto"/>
          <w:sz w:val="38"/>
          <w:szCs w:val="24"/>
        </w:rPr>
        <w:t>MANUAL</w:t>
      </w:r>
      <w:r w:rsidR="00DB5A4B">
        <w:rPr>
          <w:rFonts w:eastAsia="Times New Roman" w:cs="Times New Roman"/>
          <w:b/>
          <w:color w:val="auto"/>
          <w:sz w:val="38"/>
          <w:szCs w:val="24"/>
        </w:rPr>
        <w:tab/>
      </w:r>
      <w:r w:rsidRPr="0025134B">
        <w:rPr>
          <w:rFonts w:eastAsia="Times New Roman" w:cs="Times New Roman"/>
          <w:color w:val="auto"/>
        </w:rPr>
        <w:t>IRIB</w:t>
      </w:r>
    </w:p>
    <w:p w14:paraId="6D0A30C1" w14:textId="77777777" w:rsidR="0025134B" w:rsidRPr="0025134B" w:rsidRDefault="0025134B" w:rsidP="00DE2E93">
      <w:pPr>
        <w:tabs>
          <w:tab w:val="left" w:pos="8812"/>
        </w:tabs>
        <w:spacing w:after="0" w:line="240" w:lineRule="auto"/>
        <w:ind w:left="2837" w:right="115" w:hanging="2837"/>
        <w:rPr>
          <w:rFonts w:eastAsia="Times New Roman" w:cs="Times New Roman"/>
          <w:color w:val="auto"/>
        </w:rPr>
      </w:pPr>
    </w:p>
    <w:tbl>
      <w:tblPr>
        <w:tblStyle w:val="TableGrid"/>
        <w:tblW w:w="0" w:type="auto"/>
        <w:tblLook w:val="04A0" w:firstRow="1" w:lastRow="0" w:firstColumn="1" w:lastColumn="0" w:noHBand="0" w:noVBand="1"/>
      </w:tblPr>
      <w:tblGrid>
        <w:gridCol w:w="9350"/>
      </w:tblGrid>
      <w:tr w:rsidR="000D227B" w14:paraId="2BFFFCED" w14:textId="77777777" w:rsidTr="000D227B">
        <w:tc>
          <w:tcPr>
            <w:tcW w:w="9350" w:type="dxa"/>
            <w:tcBorders>
              <w:left w:val="nil"/>
              <w:right w:val="nil"/>
            </w:tcBorders>
          </w:tcPr>
          <w:p w14:paraId="60E428D9" w14:textId="7E28B1B5" w:rsidR="000D227B" w:rsidRDefault="000D227B" w:rsidP="00DE2E93">
            <w:pPr>
              <w:tabs>
                <w:tab w:val="left" w:pos="4320"/>
                <w:tab w:val="left" w:pos="8812"/>
              </w:tabs>
              <w:jc w:val="center"/>
              <w:rPr>
                <w:rFonts w:eastAsia="Times New Roman" w:cs="Times New Roman"/>
                <w:color w:val="auto"/>
              </w:rPr>
            </w:pPr>
            <w:r w:rsidRPr="0025134B">
              <w:rPr>
                <w:rFonts w:eastAsia="Times New Roman" w:cs="Times New Roman"/>
                <w:color w:val="auto"/>
              </w:rPr>
              <w:t>INSPECTION</w:t>
            </w:r>
            <w:r w:rsidRPr="0025134B">
              <w:rPr>
                <w:rFonts w:eastAsia="Times New Roman" w:cs="Times New Roman"/>
                <w:color w:val="auto"/>
                <w:spacing w:val="-12"/>
              </w:rPr>
              <w:t xml:space="preserve"> </w:t>
            </w:r>
            <w:r w:rsidRPr="0025134B">
              <w:rPr>
                <w:rFonts w:eastAsia="Times New Roman" w:cs="Times New Roman"/>
                <w:color w:val="auto"/>
                <w:spacing w:val="-1"/>
              </w:rPr>
              <w:t>PROCEDURE</w:t>
            </w:r>
            <w:r w:rsidRPr="0025134B">
              <w:rPr>
                <w:rFonts w:eastAsia="Times New Roman" w:cs="Times New Roman"/>
                <w:color w:val="auto"/>
                <w:spacing w:val="-10"/>
              </w:rPr>
              <w:t xml:space="preserve"> </w:t>
            </w:r>
            <w:r>
              <w:rPr>
                <w:rFonts w:eastAsia="Times New Roman" w:cs="Times New Roman"/>
                <w:color w:val="auto"/>
                <w:spacing w:val="-2"/>
              </w:rPr>
              <w:t>71111</w:t>
            </w:r>
            <w:r w:rsidRPr="0025134B">
              <w:rPr>
                <w:rFonts w:eastAsia="Times New Roman" w:cs="Times New Roman"/>
                <w:color w:val="auto"/>
                <w:spacing w:val="-2"/>
              </w:rPr>
              <w:t xml:space="preserve"> ATTACHMENT </w:t>
            </w:r>
            <w:r>
              <w:rPr>
                <w:rFonts w:eastAsia="Times New Roman" w:cs="Times New Roman"/>
                <w:color w:val="auto"/>
                <w:spacing w:val="-2"/>
              </w:rPr>
              <w:t>21N.05</w:t>
            </w:r>
          </w:p>
        </w:tc>
      </w:tr>
    </w:tbl>
    <w:p w14:paraId="27DC8250" w14:textId="1B623745" w:rsidR="002D47A5" w:rsidRDefault="002D47A5" w:rsidP="00DE2E93">
      <w:pPr>
        <w:tabs>
          <w:tab w:val="center" w:pos="4680"/>
          <w:tab w:val="right" w:pos="9360"/>
        </w:tabs>
        <w:spacing w:after="0" w:line="240" w:lineRule="auto"/>
        <w:jc w:val="center"/>
        <w:rPr>
          <w:rFonts w:eastAsia="Times New Roman" w:cs="Times New Roman"/>
          <w:color w:val="auto"/>
          <w:szCs w:val="24"/>
        </w:rPr>
      </w:pPr>
    </w:p>
    <w:p w14:paraId="721A8E0F" w14:textId="77777777" w:rsidR="00A81275" w:rsidRPr="002D47A5" w:rsidRDefault="00A81275" w:rsidP="00DE2E93">
      <w:pPr>
        <w:tabs>
          <w:tab w:val="center" w:pos="4680"/>
          <w:tab w:val="right" w:pos="9360"/>
        </w:tabs>
        <w:spacing w:after="0" w:line="240" w:lineRule="auto"/>
        <w:jc w:val="center"/>
        <w:rPr>
          <w:rFonts w:eastAsia="Times New Roman"/>
          <w:color w:val="auto"/>
        </w:rPr>
      </w:pPr>
    </w:p>
    <w:p w14:paraId="51801206" w14:textId="71E4D090" w:rsidR="002D47A5" w:rsidRPr="002D47A5" w:rsidRDefault="00A336D3" w:rsidP="00DE2E93">
      <w:pPr>
        <w:spacing w:after="0" w:line="240" w:lineRule="auto"/>
        <w:jc w:val="center"/>
        <w:rPr>
          <w:rFonts w:eastAsia="Times New Roman"/>
          <w:color w:val="auto"/>
        </w:rPr>
      </w:pPr>
      <w:r w:rsidRPr="002D47A5">
        <w:rPr>
          <w:color w:val="auto"/>
        </w:rPr>
        <w:t>FIRE PROTECTION TEAM INSPECTION</w:t>
      </w:r>
      <w:r w:rsidR="002D47A5" w:rsidRPr="002D47A5">
        <w:rPr>
          <w:color w:val="auto"/>
        </w:rPr>
        <w:t xml:space="preserve"> (FPTI)</w:t>
      </w:r>
    </w:p>
    <w:p w14:paraId="39405DA7" w14:textId="77777777" w:rsidR="002D47A5" w:rsidRPr="002D47A5" w:rsidRDefault="002D47A5" w:rsidP="00DE2E93">
      <w:pPr>
        <w:spacing w:after="0" w:line="240" w:lineRule="auto"/>
        <w:ind w:right="3"/>
      </w:pPr>
    </w:p>
    <w:p w14:paraId="7555919A" w14:textId="77777777" w:rsidR="002D47A5" w:rsidRPr="002D47A5" w:rsidRDefault="002D47A5" w:rsidP="00DE2E93">
      <w:pPr>
        <w:tabs>
          <w:tab w:val="left" w:pos="2707"/>
        </w:tabs>
        <w:spacing w:after="0" w:line="240" w:lineRule="auto"/>
        <w:ind w:right="3"/>
        <w:jc w:val="center"/>
      </w:pPr>
      <w:r w:rsidRPr="002D47A5">
        <w:t>Effective Date:  01/01/2020</w:t>
      </w:r>
    </w:p>
    <w:p w14:paraId="6EBFBB27" w14:textId="77777777" w:rsidR="002D47A5" w:rsidRPr="002D47A5" w:rsidRDefault="002D47A5" w:rsidP="00DE2E93">
      <w:pPr>
        <w:spacing w:after="0" w:line="240" w:lineRule="auto"/>
        <w:ind w:right="3"/>
      </w:pPr>
    </w:p>
    <w:p w14:paraId="4C7BAAE6" w14:textId="5E4F7FB3" w:rsidR="002D47A5" w:rsidRPr="002D47A5" w:rsidRDefault="002D47A5" w:rsidP="00DE2E93">
      <w:pPr>
        <w:tabs>
          <w:tab w:val="left" w:pos="2970"/>
        </w:tabs>
        <w:spacing w:after="0" w:line="240" w:lineRule="auto"/>
        <w:ind w:right="3"/>
      </w:pPr>
      <w:r w:rsidRPr="002D47A5">
        <w:t>P</w:t>
      </w:r>
      <w:r w:rsidR="00A81275">
        <w:t>ROGRAM APPLICABILITY:  IMC 2515</w:t>
      </w:r>
      <w:r w:rsidRPr="002D47A5">
        <w:t xml:space="preserve"> A</w:t>
      </w:r>
    </w:p>
    <w:p w14:paraId="3F580A67" w14:textId="77777777" w:rsidR="002D47A5" w:rsidRPr="002D47A5" w:rsidRDefault="002D47A5" w:rsidP="00DE2E93">
      <w:pPr>
        <w:spacing w:after="0" w:line="240" w:lineRule="auto"/>
        <w:ind w:right="3"/>
      </w:pPr>
    </w:p>
    <w:p w14:paraId="2F93EAE2" w14:textId="2AE2D8C9" w:rsidR="002D47A5" w:rsidRPr="002D47A5" w:rsidRDefault="002D47A5" w:rsidP="00DE2E93">
      <w:pPr>
        <w:tabs>
          <w:tab w:val="left" w:pos="2700"/>
          <w:tab w:val="left" w:pos="2970"/>
        </w:tabs>
        <w:spacing w:after="0" w:line="240" w:lineRule="auto"/>
        <w:ind w:left="2970" w:right="3" w:hanging="2970"/>
      </w:pPr>
      <w:r w:rsidRPr="002D47A5">
        <w:t>CORNERSTONE:</w:t>
      </w:r>
      <w:r w:rsidRPr="002D47A5">
        <w:tab/>
        <w:t>Initiating Events</w:t>
      </w:r>
      <w:r w:rsidR="00A81275">
        <w:t xml:space="preserve"> (20 percent)</w:t>
      </w:r>
    </w:p>
    <w:p w14:paraId="58A6B54B" w14:textId="5BA359EE" w:rsidR="002D47A5" w:rsidRPr="002D47A5" w:rsidRDefault="002D47A5" w:rsidP="00DE2E93">
      <w:pPr>
        <w:tabs>
          <w:tab w:val="left" w:pos="2970"/>
        </w:tabs>
        <w:spacing w:after="0" w:line="240" w:lineRule="auto"/>
        <w:ind w:left="2970" w:right="3" w:hanging="270"/>
      </w:pPr>
      <w:r w:rsidRPr="002D47A5">
        <w:t>Mitigating Systems</w:t>
      </w:r>
      <w:r w:rsidR="00A81275">
        <w:t xml:space="preserve"> (80 percent)</w:t>
      </w:r>
    </w:p>
    <w:p w14:paraId="0E85EC3F" w14:textId="77777777" w:rsidR="002D47A5" w:rsidRPr="002D47A5" w:rsidRDefault="002D47A5" w:rsidP="00DE2E93">
      <w:pPr>
        <w:spacing w:after="0" w:line="240" w:lineRule="auto"/>
        <w:ind w:right="3"/>
      </w:pPr>
    </w:p>
    <w:p w14:paraId="42C4D2E0" w14:textId="77777777" w:rsidR="002D47A5" w:rsidRPr="002D47A5" w:rsidRDefault="002D47A5" w:rsidP="00DE2E93">
      <w:pPr>
        <w:tabs>
          <w:tab w:val="left" w:pos="720"/>
          <w:tab w:val="left" w:pos="1440"/>
          <w:tab w:val="left" w:pos="2160"/>
          <w:tab w:val="left" w:pos="2700"/>
        </w:tabs>
        <w:spacing w:after="0" w:line="240" w:lineRule="auto"/>
        <w:ind w:left="2700" w:right="3" w:hanging="2700"/>
        <w:rPr>
          <w:color w:val="auto"/>
        </w:rPr>
      </w:pPr>
      <w:r w:rsidRPr="002D47A5">
        <w:t>INSPECTION BASES:</w:t>
      </w:r>
      <w:r w:rsidRPr="002D47A5">
        <w:tab/>
      </w:r>
      <w:r w:rsidRPr="002D47A5">
        <w:rPr>
          <w:color w:val="auto"/>
        </w:rPr>
        <w:t>See Inspection Manual Chapter (IMC) 0308, Attachment 2</w:t>
      </w:r>
    </w:p>
    <w:p w14:paraId="48EDEA93" w14:textId="77777777" w:rsidR="002D47A5" w:rsidRPr="002D47A5" w:rsidRDefault="002D47A5" w:rsidP="00DE2E93">
      <w:pPr>
        <w:tabs>
          <w:tab w:val="left" w:pos="720"/>
          <w:tab w:val="left" w:pos="1440"/>
          <w:tab w:val="left" w:pos="2160"/>
        </w:tabs>
        <w:spacing w:after="0" w:line="240" w:lineRule="auto"/>
        <w:ind w:left="2635" w:right="3" w:hanging="2635"/>
      </w:pPr>
    </w:p>
    <w:p w14:paraId="6A4CE0EB" w14:textId="77777777" w:rsidR="002D47A5" w:rsidRPr="002D47A5" w:rsidRDefault="002D47A5" w:rsidP="00DE2E93">
      <w:pPr>
        <w:tabs>
          <w:tab w:val="left" w:pos="720"/>
          <w:tab w:val="left" w:pos="1440"/>
          <w:tab w:val="left" w:pos="2160"/>
        </w:tabs>
        <w:spacing w:after="0" w:line="240" w:lineRule="auto"/>
        <w:ind w:left="2700" w:right="3" w:hanging="2700"/>
      </w:pPr>
      <w:r w:rsidRPr="002D47A5">
        <w:t>SAMPLE REQUIREMENTS:</w:t>
      </w:r>
    </w:p>
    <w:p w14:paraId="225D7735" w14:textId="77777777" w:rsidR="002D47A5" w:rsidRPr="002D47A5" w:rsidRDefault="002D47A5" w:rsidP="00DE2E93">
      <w:pPr>
        <w:tabs>
          <w:tab w:val="left" w:pos="720"/>
          <w:tab w:val="left" w:pos="1440"/>
          <w:tab w:val="left" w:pos="2160"/>
        </w:tabs>
        <w:spacing w:after="0" w:line="240" w:lineRule="auto"/>
        <w:ind w:left="2700" w:right="3" w:hanging="2700"/>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5"/>
        <w:gridCol w:w="900"/>
        <w:gridCol w:w="1530"/>
        <w:gridCol w:w="1154"/>
        <w:gridCol w:w="1170"/>
        <w:gridCol w:w="2176"/>
      </w:tblGrid>
      <w:tr w:rsidR="00ED0207" w:rsidRPr="002D47A5" w14:paraId="3DCAB043" w14:textId="77777777" w:rsidTr="008A76B4">
        <w:trPr>
          <w:jc w:val="center"/>
        </w:trPr>
        <w:tc>
          <w:tcPr>
            <w:tcW w:w="3495"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2A5B607E"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Sample Requirements</w:t>
            </w:r>
          </w:p>
        </w:tc>
        <w:tc>
          <w:tcPr>
            <w:tcW w:w="2684"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E918F68"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Minimum Baseline Sample Completion Requirements</w:t>
            </w:r>
          </w:p>
        </w:tc>
        <w:tc>
          <w:tcPr>
            <w:tcW w:w="3346" w:type="dxa"/>
            <w:gridSpan w:val="2"/>
            <w:tcBorders>
              <w:top w:val="double" w:sz="4" w:space="0" w:color="auto"/>
              <w:left w:val="single" w:sz="4" w:space="0" w:color="auto"/>
              <w:bottom w:val="single" w:sz="4" w:space="0" w:color="auto"/>
              <w:right w:val="double" w:sz="4" w:space="0" w:color="auto"/>
            </w:tcBorders>
            <w:tcMar>
              <w:top w:w="0" w:type="dxa"/>
              <w:left w:w="58" w:type="dxa"/>
              <w:bottom w:w="0" w:type="dxa"/>
              <w:right w:w="0" w:type="dxa"/>
            </w:tcMar>
            <w:hideMark/>
          </w:tcPr>
          <w:p w14:paraId="013733CB"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Budgeted Range</w:t>
            </w:r>
          </w:p>
        </w:tc>
      </w:tr>
      <w:tr w:rsidR="00ED0207" w:rsidRPr="002D47A5" w14:paraId="479586D0" w14:textId="77777777" w:rsidTr="008A76B4">
        <w:trPr>
          <w:trHeight w:val="256"/>
          <w:jc w:val="center"/>
        </w:trPr>
        <w:tc>
          <w:tcPr>
            <w:tcW w:w="2595"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23D8D90D"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Sample Type</w:t>
            </w:r>
          </w:p>
        </w:tc>
        <w:tc>
          <w:tcPr>
            <w:tcW w:w="90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510B9D71"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Section</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5A3CA19"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Frequency</w:t>
            </w:r>
          </w:p>
        </w:tc>
        <w:tc>
          <w:tcPr>
            <w:tcW w:w="1154"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78CF6F3"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t>Sample Size (per site)*</w:t>
            </w:r>
          </w:p>
        </w:tc>
        <w:tc>
          <w:tcPr>
            <w:tcW w:w="117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35EAA843"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Samples</w:t>
            </w:r>
          </w:p>
          <w:p w14:paraId="0645DFF8"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(per site)</w:t>
            </w:r>
          </w:p>
        </w:tc>
        <w:tc>
          <w:tcPr>
            <w:tcW w:w="2176" w:type="dxa"/>
            <w:tcBorders>
              <w:top w:val="single" w:sz="4" w:space="0" w:color="auto"/>
              <w:left w:val="single" w:sz="4" w:space="0" w:color="auto"/>
              <w:bottom w:val="double" w:sz="4" w:space="0" w:color="auto"/>
              <w:right w:val="double" w:sz="4" w:space="0" w:color="auto"/>
            </w:tcBorders>
            <w:tcMar>
              <w:top w:w="0" w:type="dxa"/>
              <w:left w:w="58" w:type="dxa"/>
              <w:bottom w:w="0" w:type="dxa"/>
              <w:right w:w="0" w:type="dxa"/>
            </w:tcMar>
            <w:hideMark/>
          </w:tcPr>
          <w:p w14:paraId="41ADE777" w14:textId="77777777" w:rsidR="00ED0207" w:rsidRPr="002D47A5" w:rsidRDefault="00ED0207" w:rsidP="00DE2E93">
            <w:pPr>
              <w:tabs>
                <w:tab w:val="left" w:pos="244"/>
                <w:tab w:val="left" w:pos="835"/>
                <w:tab w:val="left" w:pos="1440"/>
                <w:tab w:val="left" w:pos="2044"/>
                <w:tab w:val="left" w:pos="2635"/>
              </w:tabs>
              <w:spacing w:after="0" w:line="240" w:lineRule="auto"/>
              <w:ind w:right="3"/>
            </w:pPr>
            <w:r w:rsidRPr="002D47A5">
              <w:t xml:space="preserve">Hours </w:t>
            </w:r>
            <w:r>
              <w:t>per Site every four years</w:t>
            </w:r>
          </w:p>
        </w:tc>
      </w:tr>
      <w:tr w:rsidR="008A76B4" w:rsidRPr="002D47A5" w14:paraId="761F27B3" w14:textId="77777777" w:rsidTr="008A76B4">
        <w:trPr>
          <w:jc w:val="center"/>
        </w:trPr>
        <w:tc>
          <w:tcPr>
            <w:tcW w:w="2595"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4E61B772" w14:textId="621CAA35" w:rsidR="00FA6070" w:rsidRPr="002D47A5" w:rsidRDefault="008A76B4" w:rsidP="00DE2E93">
            <w:pPr>
              <w:tabs>
                <w:tab w:val="left" w:pos="244"/>
                <w:tab w:val="left" w:pos="835"/>
                <w:tab w:val="left" w:pos="1440"/>
                <w:tab w:val="left" w:pos="2044"/>
                <w:tab w:val="left" w:pos="2635"/>
              </w:tabs>
              <w:spacing w:after="0" w:line="240" w:lineRule="auto"/>
              <w:ind w:right="3"/>
            </w:pPr>
            <w:r>
              <w:t>Structures, Systems and Components (</w:t>
            </w:r>
            <w:r w:rsidRPr="002D47A5">
              <w:t>SSCs</w:t>
            </w:r>
            <w:r>
              <w:t>)</w:t>
            </w:r>
            <w:r w:rsidRPr="002D47A5">
              <w:t xml:space="preserve"> </w:t>
            </w:r>
            <w:bookmarkStart w:id="1" w:name="_Hlk3303157"/>
            <w:r w:rsidRPr="002D47A5">
              <w:t>Credited for Fire Prevention, Detection</w:t>
            </w:r>
            <w:r w:rsidR="00FA6070">
              <w:t>,</w:t>
            </w:r>
            <w:r w:rsidRPr="002D47A5">
              <w:t xml:space="preserve"> Suppressio</w:t>
            </w:r>
            <w:r w:rsidR="00FA6070">
              <w:t>n, or Post-Fire SSD</w:t>
            </w:r>
            <w:bookmarkEnd w:id="1"/>
          </w:p>
        </w:tc>
        <w:tc>
          <w:tcPr>
            <w:tcW w:w="900" w:type="dxa"/>
            <w:tcBorders>
              <w:top w:val="double" w:sz="4" w:space="0" w:color="auto"/>
              <w:left w:val="single" w:sz="4" w:space="0" w:color="auto"/>
              <w:right w:val="single" w:sz="4" w:space="0" w:color="auto"/>
            </w:tcBorders>
            <w:tcMar>
              <w:top w:w="58" w:type="dxa"/>
              <w:left w:w="58" w:type="dxa"/>
              <w:bottom w:w="58" w:type="dxa"/>
              <w:right w:w="58" w:type="dxa"/>
            </w:tcMar>
            <w:hideMark/>
          </w:tcPr>
          <w:p w14:paraId="15C7811C" w14:textId="2A098F5F" w:rsidR="008A76B4" w:rsidRPr="002D47A5" w:rsidRDefault="008A76B4" w:rsidP="00DE2E93">
            <w:pPr>
              <w:tabs>
                <w:tab w:val="left" w:pos="244"/>
                <w:tab w:val="left" w:pos="835"/>
                <w:tab w:val="left" w:pos="1440"/>
                <w:tab w:val="left" w:pos="2044"/>
                <w:tab w:val="left" w:pos="2635"/>
              </w:tabs>
              <w:spacing w:after="0" w:line="240" w:lineRule="auto"/>
              <w:ind w:right="3"/>
            </w:pPr>
            <w:r>
              <w:t>03.01</w:t>
            </w:r>
          </w:p>
        </w:tc>
        <w:tc>
          <w:tcPr>
            <w:tcW w:w="1530" w:type="dxa"/>
            <w:vMerge w:val="restart"/>
            <w:tcBorders>
              <w:top w:val="double" w:sz="4" w:space="0" w:color="auto"/>
              <w:left w:val="single" w:sz="4" w:space="0" w:color="auto"/>
              <w:right w:val="single" w:sz="4" w:space="0" w:color="auto"/>
            </w:tcBorders>
            <w:tcMar>
              <w:top w:w="58" w:type="dxa"/>
              <w:left w:w="58" w:type="dxa"/>
              <w:bottom w:w="58" w:type="dxa"/>
              <w:right w:w="58" w:type="dxa"/>
            </w:tcMar>
            <w:hideMark/>
          </w:tcPr>
          <w:p w14:paraId="21B0C9D8" w14:textId="67B83514" w:rsidR="008A76B4" w:rsidRPr="002D47A5" w:rsidRDefault="000E27A7" w:rsidP="00DE2E93">
            <w:pPr>
              <w:tabs>
                <w:tab w:val="left" w:pos="244"/>
                <w:tab w:val="left" w:pos="835"/>
                <w:tab w:val="left" w:pos="1440"/>
                <w:tab w:val="left" w:pos="2044"/>
                <w:tab w:val="left" w:pos="2635"/>
              </w:tabs>
              <w:spacing w:after="0" w:line="240" w:lineRule="auto"/>
              <w:ind w:right="3"/>
            </w:pPr>
            <w:r>
              <w:t>Triennial</w:t>
            </w:r>
          </w:p>
          <w:p w14:paraId="163C1F90" w14:textId="77777777" w:rsidR="008A76B4" w:rsidRPr="002D47A5" w:rsidRDefault="008A76B4" w:rsidP="00DE2E93">
            <w:pPr>
              <w:tabs>
                <w:tab w:val="left" w:pos="244"/>
                <w:tab w:val="left" w:pos="835"/>
                <w:tab w:val="left" w:pos="1440"/>
                <w:tab w:val="left" w:pos="2044"/>
                <w:tab w:val="left" w:pos="2635"/>
              </w:tabs>
              <w:spacing w:after="0" w:line="240" w:lineRule="auto"/>
              <w:ind w:right="3"/>
            </w:pPr>
          </w:p>
        </w:tc>
        <w:tc>
          <w:tcPr>
            <w:tcW w:w="1154"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B93A4B7" w14:textId="00BA962A" w:rsidR="008A76B4" w:rsidRPr="002D47A5" w:rsidRDefault="00714BDC" w:rsidP="00DE2E93">
            <w:pPr>
              <w:tabs>
                <w:tab w:val="left" w:pos="244"/>
                <w:tab w:val="left" w:pos="835"/>
                <w:tab w:val="left" w:pos="1440"/>
                <w:tab w:val="left" w:pos="2044"/>
                <w:tab w:val="left" w:pos="2635"/>
              </w:tabs>
              <w:spacing w:after="0" w:line="240" w:lineRule="auto"/>
              <w:ind w:right="3"/>
            </w:pPr>
            <w:r>
              <w:t>3**</w:t>
            </w:r>
          </w:p>
        </w:tc>
        <w:tc>
          <w:tcPr>
            <w:tcW w:w="1170" w:type="dxa"/>
            <w:tcBorders>
              <w:top w:val="doub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0A22CC50" w14:textId="7EA8197C" w:rsidR="008A76B4" w:rsidRPr="002D47A5" w:rsidRDefault="00714BDC" w:rsidP="00DE2E93">
            <w:pPr>
              <w:tabs>
                <w:tab w:val="left" w:pos="244"/>
                <w:tab w:val="left" w:pos="835"/>
                <w:tab w:val="left" w:pos="1440"/>
                <w:tab w:val="left" w:pos="2044"/>
                <w:tab w:val="left" w:pos="2635"/>
              </w:tabs>
              <w:spacing w:after="0" w:line="240" w:lineRule="auto"/>
              <w:ind w:right="3"/>
            </w:pPr>
            <w:r>
              <w:t>3</w:t>
            </w:r>
            <w:r w:rsidR="008A76B4">
              <w:t>-</w:t>
            </w:r>
            <w:r>
              <w:t>4</w:t>
            </w:r>
          </w:p>
        </w:tc>
        <w:tc>
          <w:tcPr>
            <w:tcW w:w="2176" w:type="dxa"/>
            <w:vMerge w:val="restart"/>
            <w:tcBorders>
              <w:top w:val="double" w:sz="4" w:space="0" w:color="auto"/>
              <w:left w:val="single" w:sz="4" w:space="0" w:color="auto"/>
              <w:right w:val="double" w:sz="4" w:space="0" w:color="auto"/>
            </w:tcBorders>
            <w:tcMar>
              <w:top w:w="0" w:type="dxa"/>
              <w:left w:w="58" w:type="dxa"/>
              <w:bottom w:w="0" w:type="dxa"/>
              <w:right w:w="0" w:type="dxa"/>
            </w:tcMar>
          </w:tcPr>
          <w:p w14:paraId="7404C5A4" w14:textId="77777777" w:rsidR="008A76B4" w:rsidRPr="002D47A5" w:rsidRDefault="008A76B4" w:rsidP="00DE2E93">
            <w:pPr>
              <w:tabs>
                <w:tab w:val="left" w:pos="244"/>
                <w:tab w:val="left" w:pos="835"/>
                <w:tab w:val="left" w:pos="1440"/>
                <w:tab w:val="left" w:pos="2044"/>
                <w:tab w:val="left" w:pos="2635"/>
              </w:tabs>
              <w:spacing w:after="0" w:line="240" w:lineRule="auto"/>
              <w:ind w:right="3"/>
            </w:pPr>
            <w:r w:rsidRPr="002D47A5">
              <w:t>210+/-21</w:t>
            </w:r>
          </w:p>
        </w:tc>
      </w:tr>
      <w:tr w:rsidR="008A76B4" w:rsidRPr="002D47A5" w14:paraId="40CB051B" w14:textId="77777777" w:rsidTr="008A76B4">
        <w:trPr>
          <w:trHeight w:val="193"/>
          <w:jc w:val="center"/>
        </w:trPr>
        <w:tc>
          <w:tcPr>
            <w:tcW w:w="2595"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2442F970" w14:textId="6A720067" w:rsidR="008A76B4" w:rsidRPr="002D47A5" w:rsidRDefault="00FA6070" w:rsidP="00DE2E93">
            <w:pPr>
              <w:tabs>
                <w:tab w:val="left" w:pos="244"/>
                <w:tab w:val="left" w:pos="835"/>
                <w:tab w:val="left" w:pos="1440"/>
                <w:tab w:val="left" w:pos="2044"/>
                <w:tab w:val="left" w:pos="2635"/>
              </w:tabs>
              <w:spacing w:after="0" w:line="240" w:lineRule="auto"/>
              <w:ind w:right="3"/>
            </w:pPr>
            <w:r>
              <w:t xml:space="preserve">Fire Protection Program (FPP) </w:t>
            </w:r>
            <w:r w:rsidR="00D349FA">
              <w:t>Administrative</w:t>
            </w:r>
            <w:r>
              <w:t xml:space="preserve"> Controls</w:t>
            </w:r>
          </w:p>
        </w:tc>
        <w:tc>
          <w:tcPr>
            <w:tcW w:w="900" w:type="dxa"/>
            <w:tcBorders>
              <w:left w:val="single" w:sz="4" w:space="0" w:color="auto"/>
              <w:right w:val="single" w:sz="4" w:space="0" w:color="auto"/>
            </w:tcBorders>
            <w:tcMar>
              <w:top w:w="58" w:type="dxa"/>
              <w:left w:w="58" w:type="dxa"/>
              <w:bottom w:w="58" w:type="dxa"/>
              <w:right w:w="58" w:type="dxa"/>
            </w:tcMar>
            <w:hideMark/>
          </w:tcPr>
          <w:p w14:paraId="3867F775" w14:textId="4BCDF964" w:rsidR="008A76B4" w:rsidRPr="002D47A5" w:rsidRDefault="008A76B4" w:rsidP="00DE2E93">
            <w:pPr>
              <w:tabs>
                <w:tab w:val="left" w:pos="244"/>
                <w:tab w:val="left" w:pos="835"/>
                <w:tab w:val="left" w:pos="1440"/>
                <w:tab w:val="left" w:pos="2044"/>
                <w:tab w:val="left" w:pos="2635"/>
              </w:tabs>
              <w:spacing w:after="0" w:line="240" w:lineRule="auto"/>
              <w:ind w:right="3"/>
            </w:pPr>
            <w:r>
              <w:t>03.02</w:t>
            </w:r>
          </w:p>
        </w:tc>
        <w:tc>
          <w:tcPr>
            <w:tcW w:w="1530" w:type="dxa"/>
            <w:vMerge/>
            <w:tcBorders>
              <w:left w:val="single" w:sz="4" w:space="0" w:color="auto"/>
              <w:right w:val="single" w:sz="4" w:space="0" w:color="auto"/>
            </w:tcBorders>
            <w:tcMar>
              <w:top w:w="58" w:type="dxa"/>
              <w:left w:w="58" w:type="dxa"/>
              <w:bottom w:w="58" w:type="dxa"/>
              <w:right w:w="58" w:type="dxa"/>
            </w:tcMar>
            <w:hideMark/>
          </w:tcPr>
          <w:p w14:paraId="078D1F12" w14:textId="77777777" w:rsidR="008A76B4" w:rsidRPr="002D47A5" w:rsidRDefault="008A76B4" w:rsidP="00DE2E93">
            <w:pPr>
              <w:tabs>
                <w:tab w:val="left" w:pos="244"/>
                <w:tab w:val="left" w:pos="835"/>
                <w:tab w:val="left" w:pos="1440"/>
                <w:tab w:val="left" w:pos="2044"/>
                <w:tab w:val="left" w:pos="2635"/>
              </w:tabs>
              <w:spacing w:after="0" w:line="240" w:lineRule="auto"/>
              <w:ind w:right="3"/>
            </w:pPr>
          </w:p>
        </w:tc>
        <w:tc>
          <w:tcPr>
            <w:tcW w:w="1154"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BEDA7AA" w14:textId="5A252F33" w:rsidR="008A76B4" w:rsidRPr="002D47A5" w:rsidRDefault="00714BDC" w:rsidP="00DE2E93">
            <w:pPr>
              <w:tabs>
                <w:tab w:val="left" w:pos="244"/>
                <w:tab w:val="left" w:pos="835"/>
                <w:tab w:val="left" w:pos="1440"/>
                <w:tab w:val="left" w:pos="2044"/>
                <w:tab w:val="left" w:pos="2635"/>
              </w:tabs>
              <w:spacing w:after="0" w:line="240" w:lineRule="auto"/>
              <w:ind w:right="3"/>
            </w:pPr>
            <w:r>
              <w:t>1</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77461273" w14:textId="4AA0D83D" w:rsidR="008A76B4" w:rsidRPr="002D47A5" w:rsidRDefault="00714BDC" w:rsidP="00DE2E93">
            <w:pPr>
              <w:tabs>
                <w:tab w:val="left" w:pos="244"/>
                <w:tab w:val="left" w:pos="835"/>
                <w:tab w:val="left" w:pos="1440"/>
                <w:tab w:val="left" w:pos="2044"/>
                <w:tab w:val="left" w:pos="2635"/>
              </w:tabs>
              <w:spacing w:after="0" w:line="240" w:lineRule="auto"/>
              <w:ind w:right="3"/>
            </w:pPr>
            <w:r>
              <w:t>1</w:t>
            </w:r>
            <w:r w:rsidR="008A76B4" w:rsidRPr="002D47A5">
              <w:t>-</w:t>
            </w:r>
            <w:r>
              <w:t>2</w:t>
            </w:r>
          </w:p>
        </w:tc>
        <w:tc>
          <w:tcPr>
            <w:tcW w:w="2176" w:type="dxa"/>
            <w:vMerge/>
            <w:tcBorders>
              <w:left w:val="single" w:sz="4" w:space="0" w:color="auto"/>
              <w:right w:val="double" w:sz="4" w:space="0" w:color="auto"/>
            </w:tcBorders>
          </w:tcPr>
          <w:p w14:paraId="563EC2FB" w14:textId="77777777" w:rsidR="008A76B4" w:rsidRPr="002D47A5" w:rsidRDefault="008A76B4" w:rsidP="00DE2E93">
            <w:pPr>
              <w:spacing w:after="0" w:line="240" w:lineRule="auto"/>
              <w:ind w:right="3" w:firstLine="71"/>
            </w:pPr>
          </w:p>
        </w:tc>
      </w:tr>
      <w:tr w:rsidR="008A76B4" w:rsidRPr="002D47A5" w14:paraId="585FD44A" w14:textId="77777777" w:rsidTr="008A76B4">
        <w:trPr>
          <w:trHeight w:val="193"/>
          <w:jc w:val="center"/>
        </w:trPr>
        <w:tc>
          <w:tcPr>
            <w:tcW w:w="2595"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478FA231" w14:textId="77777777" w:rsidR="008A76B4" w:rsidRPr="002D47A5" w:rsidRDefault="008A76B4" w:rsidP="00DE2E93">
            <w:pPr>
              <w:tabs>
                <w:tab w:val="left" w:pos="244"/>
                <w:tab w:val="left" w:pos="835"/>
                <w:tab w:val="left" w:pos="1440"/>
                <w:tab w:val="left" w:pos="2044"/>
                <w:tab w:val="left" w:pos="2635"/>
              </w:tabs>
              <w:spacing w:after="0" w:line="240" w:lineRule="auto"/>
              <w:ind w:right="3"/>
            </w:pPr>
            <w:r>
              <w:t>FPP Changes</w:t>
            </w:r>
          </w:p>
        </w:tc>
        <w:tc>
          <w:tcPr>
            <w:tcW w:w="900" w:type="dxa"/>
            <w:tcBorders>
              <w:left w:val="single" w:sz="4" w:space="0" w:color="auto"/>
              <w:bottom w:val="double" w:sz="4" w:space="0" w:color="auto"/>
              <w:right w:val="single" w:sz="4" w:space="0" w:color="auto"/>
            </w:tcBorders>
            <w:tcMar>
              <w:top w:w="58" w:type="dxa"/>
              <w:left w:w="58" w:type="dxa"/>
              <w:bottom w:w="58" w:type="dxa"/>
              <w:right w:w="58" w:type="dxa"/>
            </w:tcMar>
          </w:tcPr>
          <w:p w14:paraId="6C4E1348" w14:textId="37E54EEA" w:rsidR="008A76B4" w:rsidRDefault="008A76B4" w:rsidP="00DE2E93">
            <w:pPr>
              <w:tabs>
                <w:tab w:val="left" w:pos="244"/>
                <w:tab w:val="left" w:pos="835"/>
                <w:tab w:val="left" w:pos="1440"/>
                <w:tab w:val="left" w:pos="2044"/>
                <w:tab w:val="left" w:pos="2635"/>
              </w:tabs>
              <w:spacing w:after="0" w:line="240" w:lineRule="auto"/>
              <w:ind w:right="3"/>
            </w:pPr>
            <w:r>
              <w:t>03.03</w:t>
            </w:r>
          </w:p>
        </w:tc>
        <w:tc>
          <w:tcPr>
            <w:tcW w:w="1530" w:type="dxa"/>
            <w:vMerge/>
            <w:tcBorders>
              <w:left w:val="single" w:sz="4" w:space="0" w:color="auto"/>
              <w:bottom w:val="double" w:sz="4" w:space="0" w:color="auto"/>
              <w:right w:val="single" w:sz="4" w:space="0" w:color="auto"/>
            </w:tcBorders>
            <w:tcMar>
              <w:top w:w="58" w:type="dxa"/>
              <w:left w:w="58" w:type="dxa"/>
              <w:bottom w:w="58" w:type="dxa"/>
              <w:right w:w="58" w:type="dxa"/>
            </w:tcMar>
          </w:tcPr>
          <w:p w14:paraId="0A469710" w14:textId="77777777" w:rsidR="008A76B4" w:rsidRPr="002D47A5" w:rsidRDefault="008A76B4" w:rsidP="00DE2E93">
            <w:pPr>
              <w:tabs>
                <w:tab w:val="left" w:pos="244"/>
                <w:tab w:val="left" w:pos="835"/>
                <w:tab w:val="left" w:pos="1440"/>
                <w:tab w:val="left" w:pos="2044"/>
                <w:tab w:val="left" w:pos="2635"/>
              </w:tabs>
              <w:spacing w:after="0" w:line="240" w:lineRule="auto"/>
              <w:ind w:right="3"/>
            </w:pPr>
          </w:p>
        </w:tc>
        <w:tc>
          <w:tcPr>
            <w:tcW w:w="1154"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511DF57D" w14:textId="77777777" w:rsidR="008A76B4" w:rsidRDefault="008A76B4" w:rsidP="00DE2E93">
            <w:pPr>
              <w:tabs>
                <w:tab w:val="left" w:pos="244"/>
                <w:tab w:val="left" w:pos="835"/>
                <w:tab w:val="left" w:pos="1440"/>
                <w:tab w:val="left" w:pos="2044"/>
                <w:tab w:val="left" w:pos="2635"/>
              </w:tabs>
              <w:spacing w:after="0" w:line="240" w:lineRule="auto"/>
              <w:ind w:right="3"/>
            </w:pPr>
            <w:r>
              <w:t>1</w:t>
            </w:r>
          </w:p>
        </w:tc>
        <w:tc>
          <w:tcPr>
            <w:tcW w:w="117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tcPr>
          <w:p w14:paraId="055F8A7D" w14:textId="77777777" w:rsidR="008A76B4" w:rsidRPr="002D47A5" w:rsidRDefault="008A76B4" w:rsidP="00DE2E93">
            <w:pPr>
              <w:tabs>
                <w:tab w:val="left" w:pos="244"/>
                <w:tab w:val="left" w:pos="835"/>
                <w:tab w:val="left" w:pos="1440"/>
                <w:tab w:val="left" w:pos="2044"/>
                <w:tab w:val="left" w:pos="2635"/>
              </w:tabs>
              <w:spacing w:after="0" w:line="240" w:lineRule="auto"/>
              <w:ind w:right="3"/>
            </w:pPr>
            <w:r>
              <w:t>1-2</w:t>
            </w:r>
          </w:p>
        </w:tc>
        <w:tc>
          <w:tcPr>
            <w:tcW w:w="2176" w:type="dxa"/>
            <w:vMerge/>
            <w:tcBorders>
              <w:left w:val="single" w:sz="4" w:space="0" w:color="auto"/>
              <w:bottom w:val="double" w:sz="4" w:space="0" w:color="auto"/>
              <w:right w:val="double" w:sz="4" w:space="0" w:color="auto"/>
            </w:tcBorders>
          </w:tcPr>
          <w:p w14:paraId="3D509B3A" w14:textId="77777777" w:rsidR="008A76B4" w:rsidRPr="002D47A5" w:rsidRDefault="008A76B4" w:rsidP="00DE2E93">
            <w:pPr>
              <w:spacing w:after="0" w:line="240" w:lineRule="auto"/>
              <w:ind w:right="3" w:firstLine="71"/>
            </w:pPr>
          </w:p>
        </w:tc>
      </w:tr>
    </w:tbl>
    <w:p w14:paraId="0739773E" w14:textId="69C6A45D" w:rsidR="00ED0207" w:rsidRDefault="00ED0207" w:rsidP="00DE2E93">
      <w:pPr>
        <w:spacing w:after="0" w:line="240" w:lineRule="auto"/>
        <w:rPr>
          <w:color w:val="auto"/>
        </w:rPr>
      </w:pPr>
      <w:r w:rsidRPr="00ED0207">
        <w:rPr>
          <w:color w:val="auto"/>
        </w:rPr>
        <w:t>* A minimum of one sample in each of the “Sample Type” categories</w:t>
      </w:r>
    </w:p>
    <w:p w14:paraId="049C6B91" w14:textId="1061CDC8" w:rsidR="00714BDC" w:rsidRPr="00ED0207" w:rsidRDefault="00714BDC" w:rsidP="00DE2E93">
      <w:pPr>
        <w:spacing w:after="0" w:line="240" w:lineRule="auto"/>
        <w:rPr>
          <w:color w:val="auto"/>
        </w:rPr>
      </w:pPr>
      <w:r>
        <w:rPr>
          <w:color w:val="auto"/>
        </w:rPr>
        <w:t xml:space="preserve">** Select a minimum of </w:t>
      </w:r>
      <w:r>
        <w:t>1 SSC credited for fire prevention, detection, suppression, and a minimum of 1 SSC credited for post-fire SSD.</w:t>
      </w:r>
    </w:p>
    <w:p w14:paraId="530DC5D2" w14:textId="77777777" w:rsidR="002D47A5" w:rsidRPr="002D47A5" w:rsidRDefault="002D47A5" w:rsidP="00DE2E93">
      <w:pPr>
        <w:spacing w:after="0" w:line="240" w:lineRule="auto"/>
        <w:rPr>
          <w:color w:val="auto"/>
        </w:rPr>
      </w:pPr>
    </w:p>
    <w:p w14:paraId="526AE8AC" w14:textId="77777777" w:rsidR="002D47A5" w:rsidRPr="002D47A5" w:rsidRDefault="002D47A5" w:rsidP="00DE2E93">
      <w:pPr>
        <w:spacing w:after="0" w:line="240" w:lineRule="auto"/>
        <w:rPr>
          <w:color w:val="auto"/>
        </w:rPr>
      </w:pPr>
    </w:p>
    <w:p w14:paraId="559FC57F" w14:textId="7A947260" w:rsidR="003F2538" w:rsidRPr="003F2538" w:rsidRDefault="003F2538"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rPr>
          <w:rFonts w:eastAsia="Times New Roman"/>
          <w:color w:val="auto"/>
        </w:rPr>
      </w:pPr>
      <w:r>
        <w:rPr>
          <w:rFonts w:eastAsia="Times New Roman"/>
          <w:color w:val="auto"/>
        </w:rPr>
        <w:t>71111.21N.0</w:t>
      </w:r>
      <w:r w:rsidR="00BA35E7">
        <w:rPr>
          <w:rFonts w:eastAsia="Times New Roman"/>
          <w:color w:val="auto"/>
        </w:rPr>
        <w:t>5</w:t>
      </w:r>
      <w:r w:rsidR="00893C4B">
        <w:rPr>
          <w:rFonts w:eastAsia="Times New Roman"/>
          <w:color w:val="auto"/>
        </w:rPr>
        <w:t xml:space="preserve">-01       </w:t>
      </w:r>
      <w:r w:rsidRPr="003F2538">
        <w:rPr>
          <w:rFonts w:eastAsia="Times New Roman"/>
          <w:color w:val="auto"/>
        </w:rPr>
        <w:t>INSPECTION OBJECTIVES</w:t>
      </w:r>
    </w:p>
    <w:p w14:paraId="2013C687" w14:textId="77777777" w:rsidR="003F2538" w:rsidRPr="007507A3" w:rsidRDefault="003F2538" w:rsidP="00DE2E93">
      <w:pPr>
        <w:pStyle w:val="Header01"/>
        <w:tabs>
          <w:tab w:val="left" w:pos="3240"/>
          <w:tab w:val="left" w:pos="3874"/>
          <w:tab w:val="left" w:pos="4507"/>
          <w:tab w:val="left" w:pos="5040"/>
          <w:tab w:val="left" w:pos="5674"/>
          <w:tab w:val="left" w:pos="6307"/>
          <w:tab w:val="left" w:pos="6926"/>
          <w:tab w:val="left" w:pos="7474"/>
          <w:tab w:val="left" w:pos="8107"/>
          <w:tab w:val="left" w:pos="8726"/>
        </w:tabs>
        <w:outlineLvl w:val="9"/>
        <w:rPr>
          <w:sz w:val="22"/>
          <w:szCs w:val="22"/>
        </w:rPr>
      </w:pPr>
    </w:p>
    <w:p w14:paraId="7069DAB1" w14:textId="596DCC68" w:rsidR="002D47A5" w:rsidRPr="002D47A5" w:rsidRDefault="002D47A5" w:rsidP="00DE2E93">
      <w:pPr>
        <w:numPr>
          <w:ilvl w:val="1"/>
          <w:numId w:val="5"/>
        </w:numPr>
        <w:tabs>
          <w:tab w:val="left" w:pos="720"/>
        </w:tabs>
        <w:spacing w:after="0" w:line="240" w:lineRule="auto"/>
        <w:ind w:left="0" w:firstLine="0"/>
        <w:rPr>
          <w:color w:val="auto"/>
        </w:rPr>
      </w:pPr>
      <w:r w:rsidRPr="002D47A5">
        <w:rPr>
          <w:color w:val="auto"/>
        </w:rPr>
        <w:t>To verify that plant SSCs credited in the ap</w:t>
      </w:r>
      <w:r w:rsidR="00311D1B">
        <w:rPr>
          <w:color w:val="auto"/>
        </w:rPr>
        <w:t xml:space="preserve">proved </w:t>
      </w:r>
      <w:r w:rsidR="00586245">
        <w:rPr>
          <w:color w:val="auto"/>
        </w:rPr>
        <w:t>Fire Protection Program (</w:t>
      </w:r>
      <w:r w:rsidR="00311D1B">
        <w:rPr>
          <w:color w:val="auto"/>
        </w:rPr>
        <w:t>FPP</w:t>
      </w:r>
      <w:r w:rsidR="00586245">
        <w:rPr>
          <w:color w:val="auto"/>
        </w:rPr>
        <w:t>)</w:t>
      </w:r>
      <w:r w:rsidRPr="002D47A5">
        <w:rPr>
          <w:color w:val="auto"/>
        </w:rPr>
        <w:t xml:space="preserve"> can perform their licensing basis function.  </w:t>
      </w:r>
    </w:p>
    <w:p w14:paraId="27F7A240" w14:textId="77777777" w:rsidR="002D47A5" w:rsidRPr="002D47A5" w:rsidRDefault="002D47A5" w:rsidP="00DE2E93">
      <w:pPr>
        <w:spacing w:after="0" w:line="240" w:lineRule="auto"/>
        <w:rPr>
          <w:color w:val="auto"/>
        </w:rPr>
      </w:pPr>
    </w:p>
    <w:p w14:paraId="62184518" w14:textId="2DC8E981" w:rsidR="002D47A5" w:rsidRPr="002D47A5" w:rsidRDefault="002D47A5" w:rsidP="00DE2E93">
      <w:pPr>
        <w:numPr>
          <w:ilvl w:val="1"/>
          <w:numId w:val="5"/>
        </w:numPr>
        <w:tabs>
          <w:tab w:val="left" w:pos="720"/>
        </w:tabs>
        <w:spacing w:after="0" w:line="240" w:lineRule="auto"/>
        <w:ind w:left="0" w:firstLine="0"/>
        <w:rPr>
          <w:color w:val="auto"/>
        </w:rPr>
      </w:pPr>
      <w:r w:rsidRPr="002D47A5">
        <w:rPr>
          <w:color w:val="auto"/>
        </w:rPr>
        <w:t xml:space="preserve">To conduct reviews of aging management, </w:t>
      </w:r>
      <w:r w:rsidRPr="002D47A5">
        <w:t>self-approve</w:t>
      </w:r>
      <w:r w:rsidR="00771CCD">
        <w:t>d</w:t>
      </w:r>
      <w:r w:rsidRPr="002D47A5">
        <w:t xml:space="preserve"> changes to FPP,</w:t>
      </w:r>
      <w:r w:rsidRPr="002D47A5">
        <w:rPr>
          <w:color w:val="auto"/>
        </w:rPr>
        <w:t xml:space="preserve"> operating experience, plant modifications, procedural changes, and risk insights for the selected samples to verify they are maintained within their current licensing basis. </w:t>
      </w:r>
      <w:r w:rsidR="000E5E34">
        <w:rPr>
          <w:color w:val="auto"/>
        </w:rPr>
        <w:t xml:space="preserve"> </w:t>
      </w:r>
    </w:p>
    <w:p w14:paraId="581F8D5F" w14:textId="77777777" w:rsidR="002D47A5" w:rsidRPr="002D47A5" w:rsidRDefault="002D47A5" w:rsidP="00DE2E93">
      <w:pPr>
        <w:widowControl w:val="0"/>
        <w:autoSpaceDE w:val="0"/>
        <w:autoSpaceDN w:val="0"/>
        <w:adjustRightInd w:val="0"/>
        <w:spacing w:after="0" w:line="240" w:lineRule="auto"/>
        <w:contextualSpacing/>
        <w:rPr>
          <w:rFonts w:eastAsiaTheme="minorEastAsia"/>
          <w:color w:val="auto"/>
        </w:rPr>
      </w:pPr>
    </w:p>
    <w:p w14:paraId="4D7F65AE" w14:textId="19EEC3F3" w:rsidR="002D47A5" w:rsidRDefault="002D47A5" w:rsidP="00DE2E93">
      <w:pPr>
        <w:numPr>
          <w:ilvl w:val="1"/>
          <w:numId w:val="5"/>
        </w:numPr>
        <w:tabs>
          <w:tab w:val="left" w:pos="720"/>
        </w:tabs>
        <w:spacing w:after="0" w:line="240" w:lineRule="auto"/>
        <w:ind w:left="0" w:firstLine="0"/>
        <w:rPr>
          <w:color w:val="auto"/>
        </w:rPr>
      </w:pPr>
      <w:r w:rsidRPr="002D47A5">
        <w:rPr>
          <w:color w:val="auto"/>
        </w:rPr>
        <w:t>To assess the control of interdisciplinary interfaces and coordination among participating organizations necessary to maintain the approved FPP.</w:t>
      </w:r>
      <w:r w:rsidR="000E5E34">
        <w:rPr>
          <w:color w:val="auto"/>
        </w:rPr>
        <w:t xml:space="preserve">  </w:t>
      </w:r>
    </w:p>
    <w:p w14:paraId="4DC65CD2" w14:textId="77777777" w:rsidR="003F2538" w:rsidRDefault="003F2538" w:rsidP="00DE2E93">
      <w:pPr>
        <w:spacing w:after="0" w:line="240" w:lineRule="auto"/>
        <w:rPr>
          <w:color w:val="auto"/>
        </w:rPr>
      </w:pPr>
    </w:p>
    <w:p w14:paraId="00BB9DB2" w14:textId="77777777" w:rsidR="009C7F85" w:rsidRPr="002D47A5" w:rsidRDefault="009C7F85" w:rsidP="00DE2E93">
      <w:pPr>
        <w:spacing w:after="0" w:line="240" w:lineRule="auto"/>
        <w:rPr>
          <w:color w:val="auto"/>
        </w:rPr>
      </w:pPr>
    </w:p>
    <w:p w14:paraId="08B0F12B" w14:textId="20830899" w:rsidR="00ED0207" w:rsidRDefault="00BA35E7"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rPr>
          <w:rFonts w:eastAsia="Times New Roman"/>
          <w:color w:val="auto"/>
        </w:rPr>
      </w:pPr>
      <w:r>
        <w:rPr>
          <w:rFonts w:eastAsia="Times New Roman"/>
          <w:color w:val="auto"/>
        </w:rPr>
        <w:t>71111.21N.05</w:t>
      </w:r>
      <w:r w:rsidR="00ED0207">
        <w:rPr>
          <w:rFonts w:eastAsia="Times New Roman"/>
          <w:color w:val="auto"/>
        </w:rPr>
        <w:t>-02       GENERAL</w:t>
      </w:r>
      <w:r w:rsidR="00ED0207" w:rsidRPr="003F2538">
        <w:rPr>
          <w:rFonts w:eastAsia="Times New Roman"/>
          <w:color w:val="auto"/>
        </w:rPr>
        <w:t xml:space="preserve"> </w:t>
      </w:r>
      <w:r w:rsidR="00ED0207">
        <w:rPr>
          <w:rFonts w:eastAsia="Times New Roman"/>
          <w:color w:val="auto"/>
        </w:rPr>
        <w:t>GUIDANCE</w:t>
      </w:r>
    </w:p>
    <w:p w14:paraId="3A57F812" w14:textId="77777777" w:rsidR="00ED0207" w:rsidRDefault="00ED0207"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rPr>
          <w:rFonts w:eastAsia="Times New Roman"/>
          <w:color w:val="auto"/>
        </w:rPr>
      </w:pPr>
    </w:p>
    <w:p w14:paraId="5BD48BE0" w14:textId="4DEDDD87" w:rsidR="00ED0207" w:rsidRDefault="00046B81"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rPr>
          <w:rFonts w:eastAsia="Times New Roman"/>
          <w:color w:val="auto"/>
        </w:rPr>
      </w:pPr>
      <w:r>
        <w:rPr>
          <w:rFonts w:eastAsia="Times New Roman"/>
          <w:color w:val="auto"/>
        </w:rPr>
        <w:t xml:space="preserve">The </w:t>
      </w:r>
      <w:r w:rsidR="00ED0207" w:rsidRPr="00B765F3">
        <w:t xml:space="preserve">team leader should contact </w:t>
      </w:r>
      <w:r w:rsidR="00B332FC">
        <w:t xml:space="preserve">the licensee and/or </w:t>
      </w:r>
      <w:r w:rsidR="00ED0207" w:rsidRPr="00B765F3">
        <w:t>the regional Senior Reactor Analyst (SRA) to obtain a summary of plant-specific fire risk insights (e.g., fire risk ranking of plant Fire Areas (FAs)/Fire Zones (FZs), conditional core damage probabilities for fire scenarios in those areas, and transient sequences for these rooms).  The inspection team should also solicit input from the resident inspectors and regional inspectors for possible components and modifications for inspection.  The team leader may make a site visit/information gathering trip, as needed, to aid in selection of inspection samples.</w:t>
      </w:r>
      <w:r w:rsidR="00ED0207">
        <w:rPr>
          <w:rFonts w:eastAsia="Times New Roman"/>
          <w:color w:val="auto"/>
        </w:rPr>
        <w:t xml:space="preserve">  </w:t>
      </w:r>
    </w:p>
    <w:p w14:paraId="0406F934" w14:textId="77777777" w:rsidR="00ED0207" w:rsidRPr="003F2538" w:rsidRDefault="00ED0207"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rPr>
          <w:rFonts w:eastAsia="Times New Roman"/>
          <w:color w:val="auto"/>
        </w:rPr>
      </w:pPr>
    </w:p>
    <w:p w14:paraId="1A92F7CA" w14:textId="33B942ED" w:rsidR="00ED0207" w:rsidRPr="008A76B4" w:rsidRDefault="008A76B4" w:rsidP="00DE2E93">
      <w:pPr>
        <w:spacing w:after="0" w:line="240" w:lineRule="auto"/>
      </w:pPr>
      <w:r>
        <w:t>S</w:t>
      </w:r>
      <w:r w:rsidR="00ED0207" w:rsidRPr="008A76B4">
        <w:t xml:space="preserve">elect </w:t>
      </w:r>
      <w:r w:rsidR="00FA6070">
        <w:t xml:space="preserve">a total of </w:t>
      </w:r>
      <w:r w:rsidR="00ED0207" w:rsidRPr="008A76B4">
        <w:t>5 to 8 samples of SSCs, FPP changes/</w:t>
      </w:r>
      <w:r>
        <w:t>modifications</w:t>
      </w:r>
      <w:r w:rsidR="00FA6070">
        <w:t>, and FPP administrative controls,</w:t>
      </w:r>
      <w:r>
        <w:t xml:space="preserve"> as specified in the Sample Requirements table above</w:t>
      </w:r>
      <w:r w:rsidR="00ED0207" w:rsidRPr="008A76B4">
        <w:t>:</w:t>
      </w:r>
    </w:p>
    <w:p w14:paraId="1338C731" w14:textId="77777777" w:rsidR="00ED0207" w:rsidRDefault="00ED0207" w:rsidP="00DE2E93">
      <w:pPr>
        <w:spacing w:after="0" w:line="240" w:lineRule="auto"/>
      </w:pPr>
    </w:p>
    <w:p w14:paraId="043E6F3B" w14:textId="04550138" w:rsidR="00ED0207" w:rsidRDefault="00AC1F59" w:rsidP="00DE2E93">
      <w:pPr>
        <w:pStyle w:val="ListParagraph"/>
        <w:numPr>
          <w:ilvl w:val="0"/>
          <w:numId w:val="8"/>
        </w:numPr>
        <w:spacing w:after="0" w:line="240" w:lineRule="auto"/>
        <w:ind w:left="807" w:hanging="533"/>
        <w:rPr>
          <w:b/>
        </w:rPr>
      </w:pPr>
      <w:r>
        <w:rPr>
          <w:u w:val="single"/>
        </w:rPr>
        <w:t xml:space="preserve">SSCs </w:t>
      </w:r>
      <w:r w:rsidR="008A76B4">
        <w:rPr>
          <w:u w:val="single"/>
        </w:rPr>
        <w:t>C</w:t>
      </w:r>
      <w:r w:rsidR="00ED0207" w:rsidRPr="008A76B4">
        <w:rPr>
          <w:u w:val="single"/>
        </w:rPr>
        <w:t xml:space="preserve">redited for </w:t>
      </w:r>
      <w:r w:rsidR="008A76B4">
        <w:rPr>
          <w:u w:val="single"/>
        </w:rPr>
        <w:t>F</w:t>
      </w:r>
      <w:r w:rsidR="00ED0207" w:rsidRPr="008A76B4">
        <w:rPr>
          <w:u w:val="single"/>
        </w:rPr>
        <w:t xml:space="preserve">ire </w:t>
      </w:r>
      <w:r w:rsidR="008A76B4">
        <w:rPr>
          <w:u w:val="single"/>
        </w:rPr>
        <w:t>P</w:t>
      </w:r>
      <w:r w:rsidR="00ED0207" w:rsidRPr="008A76B4">
        <w:rPr>
          <w:u w:val="single"/>
        </w:rPr>
        <w:t xml:space="preserve">revention, </w:t>
      </w:r>
      <w:r w:rsidR="008A76B4">
        <w:rPr>
          <w:u w:val="single"/>
        </w:rPr>
        <w:t>D</w:t>
      </w:r>
      <w:r w:rsidR="00ED0207" w:rsidRPr="008A76B4">
        <w:rPr>
          <w:u w:val="single"/>
        </w:rPr>
        <w:t xml:space="preserve">etection, or </w:t>
      </w:r>
      <w:r w:rsidR="008A76B4">
        <w:rPr>
          <w:u w:val="single"/>
        </w:rPr>
        <w:t>S</w:t>
      </w:r>
      <w:r w:rsidR="00ED0207" w:rsidRPr="008A76B4">
        <w:rPr>
          <w:u w:val="single"/>
        </w:rPr>
        <w:t>uppression</w:t>
      </w:r>
      <w:r w:rsidR="00ED0207" w:rsidRPr="008A76B4">
        <w:t xml:space="preserve">.  </w:t>
      </w:r>
      <w:r w:rsidR="00ED0207" w:rsidRPr="003A39C2">
        <w:t xml:space="preserve">Focus on SSCs that are specifically credited to meet regulatory requirements within the FPP.  Also, </w:t>
      </w:r>
      <w:r w:rsidR="00D349FA" w:rsidRPr="003A39C2">
        <w:t>consider</w:t>
      </w:r>
      <w:r w:rsidR="00ED0207" w:rsidRPr="003A39C2">
        <w:t xml:space="preserve"> SSCs that have previously approved exemptions associated with them, or FAs/FZs that have engineering evaluations that require specific FP SSCs.</w:t>
      </w:r>
      <w:r w:rsidR="00ED0207">
        <w:t xml:space="preserve">  Review of programs and administrative controls </w:t>
      </w:r>
      <w:r w:rsidR="00ED0207" w:rsidRPr="003A39C2">
        <w:t>may include the station’s combustible control program, NFPA 805 monitoring program, fire system impairments, fire brigade drills and training, etc.</w:t>
      </w:r>
      <w:r w:rsidR="00ED0207">
        <w:t xml:space="preserve">  (</w:t>
      </w:r>
      <w:r w:rsidR="00ED0207" w:rsidRPr="0054683C">
        <w:t xml:space="preserve">Inspection Procedure 71111 Attachment 05, Fire Protection </w:t>
      </w:r>
      <w:hyperlink r:id="rId11" w:history="1">
        <w:r w:rsidR="00ED0207" w:rsidRPr="0054683C">
          <w:rPr>
            <w:rStyle w:val="Hyperlink"/>
          </w:rPr>
          <w:t>ML18085A040</w:t>
        </w:r>
      </w:hyperlink>
      <w:r w:rsidR="00ED0207" w:rsidRPr="0054683C">
        <w:rPr>
          <w:u w:val="single"/>
        </w:rPr>
        <w:t xml:space="preserve"> </w:t>
      </w:r>
      <w:r w:rsidR="00ED0207" w:rsidRPr="0054683C">
        <w:t>cover</w:t>
      </w:r>
      <w:r w:rsidR="00ED0207">
        <w:t>s</w:t>
      </w:r>
      <w:r w:rsidR="00ED0207" w:rsidRPr="0054683C">
        <w:t xml:space="preserve"> fire bri</w:t>
      </w:r>
      <w:r w:rsidR="00ED0207">
        <w:t>gad</w:t>
      </w:r>
      <w:r w:rsidR="00ED0207" w:rsidRPr="0054683C">
        <w:t>e drill</w:t>
      </w:r>
      <w:r w:rsidR="00771CCD">
        <w:t>s</w:t>
      </w:r>
      <w:r w:rsidR="00ED0207">
        <w:t xml:space="preserve"> </w:t>
      </w:r>
      <w:r w:rsidR="00ED0207" w:rsidRPr="0054683C">
        <w:t>and training</w:t>
      </w:r>
      <w:r w:rsidR="00ED0207">
        <w:t>)</w:t>
      </w:r>
      <w:r w:rsidR="00ED0207" w:rsidRPr="0054683C">
        <w:t>.</w:t>
      </w:r>
      <w:r w:rsidR="00ED0207">
        <w:t xml:space="preserve"> </w:t>
      </w:r>
    </w:p>
    <w:p w14:paraId="6A3DE866" w14:textId="77777777" w:rsidR="00ED0207" w:rsidRPr="00423BA2" w:rsidRDefault="00ED0207" w:rsidP="00DE2E93">
      <w:pPr>
        <w:pStyle w:val="ListParagraph"/>
        <w:spacing w:after="0" w:line="240" w:lineRule="auto"/>
        <w:ind w:left="807" w:hanging="533"/>
        <w:rPr>
          <w:b/>
        </w:rPr>
      </w:pPr>
    </w:p>
    <w:p w14:paraId="64097335" w14:textId="6905E8B4" w:rsidR="00ED0207" w:rsidRDefault="008A76B4" w:rsidP="00DE2E93">
      <w:pPr>
        <w:pStyle w:val="ListParagraph"/>
        <w:numPr>
          <w:ilvl w:val="0"/>
          <w:numId w:val="8"/>
        </w:numPr>
        <w:spacing w:after="0" w:line="240" w:lineRule="auto"/>
        <w:ind w:left="807" w:hanging="533"/>
        <w:rPr>
          <w:b/>
        </w:rPr>
      </w:pPr>
      <w:r w:rsidRPr="008A76B4">
        <w:rPr>
          <w:u w:val="single"/>
        </w:rPr>
        <w:t>SSCs C</w:t>
      </w:r>
      <w:r w:rsidR="00ED0207" w:rsidRPr="008A76B4">
        <w:rPr>
          <w:u w:val="single"/>
        </w:rPr>
        <w:t xml:space="preserve">redited for </w:t>
      </w:r>
      <w:r w:rsidRPr="008A76B4">
        <w:rPr>
          <w:u w:val="single"/>
        </w:rPr>
        <w:t>P</w:t>
      </w:r>
      <w:r w:rsidR="00ED0207" w:rsidRPr="008A76B4">
        <w:rPr>
          <w:u w:val="single"/>
        </w:rPr>
        <w:t>ost-</w:t>
      </w:r>
      <w:r w:rsidRPr="008A76B4">
        <w:rPr>
          <w:u w:val="single"/>
        </w:rPr>
        <w:t>F</w:t>
      </w:r>
      <w:r w:rsidR="00ED0207" w:rsidRPr="008A76B4">
        <w:rPr>
          <w:u w:val="single"/>
        </w:rPr>
        <w:t>ire SSD</w:t>
      </w:r>
      <w:r w:rsidR="00ED0207" w:rsidRPr="008A76B4">
        <w:t>.</w:t>
      </w:r>
      <w:r w:rsidR="00ED0207">
        <w:rPr>
          <w:b/>
        </w:rPr>
        <w:t xml:space="preserve">  </w:t>
      </w:r>
      <w:r w:rsidR="00ED0207" w:rsidRPr="003A39C2">
        <w:t xml:space="preserve">Focus on SSCs that are needed to place a plant in a </w:t>
      </w:r>
      <w:r w:rsidR="00ED0207">
        <w:t xml:space="preserve">safe and </w:t>
      </w:r>
      <w:r w:rsidR="00ED0207" w:rsidRPr="003A39C2">
        <w:t>stable shutdown condition.  Consult with the regional SRA to determine the risk significance of the systems credited for SSD following a fire.</w:t>
      </w:r>
    </w:p>
    <w:p w14:paraId="5995B682" w14:textId="77777777" w:rsidR="00ED0207" w:rsidRPr="00423BA2" w:rsidRDefault="00ED0207" w:rsidP="00DE2E93">
      <w:pPr>
        <w:spacing w:after="0" w:line="240" w:lineRule="auto"/>
        <w:ind w:left="807" w:hanging="533"/>
        <w:rPr>
          <w:b/>
        </w:rPr>
      </w:pPr>
    </w:p>
    <w:p w14:paraId="5F877589" w14:textId="65494281" w:rsidR="00ED0207" w:rsidRDefault="00ED0207" w:rsidP="00DE2E93">
      <w:pPr>
        <w:pStyle w:val="ListParagraph"/>
        <w:numPr>
          <w:ilvl w:val="0"/>
          <w:numId w:val="8"/>
        </w:numPr>
        <w:spacing w:after="0" w:line="240" w:lineRule="auto"/>
        <w:ind w:left="807" w:hanging="533"/>
      </w:pPr>
      <w:r w:rsidRPr="008A76B4">
        <w:rPr>
          <w:u w:val="single"/>
        </w:rPr>
        <w:t>FPP changes</w:t>
      </w:r>
      <w:r w:rsidR="008A76B4">
        <w:t xml:space="preserve">. </w:t>
      </w:r>
      <w:r w:rsidRPr="008A76B4">
        <w:t xml:space="preserve"> </w:t>
      </w:r>
      <w:r w:rsidR="008A76B4">
        <w:t xml:space="preserve">Focus on FPP changes </w:t>
      </w:r>
      <w:r w:rsidRPr="008A76B4">
        <w:t>since the last performance of this FPTI.</w:t>
      </w:r>
      <w:r>
        <w:rPr>
          <w:b/>
        </w:rPr>
        <w:t xml:space="preserve">  </w:t>
      </w:r>
      <w:r w:rsidRPr="005A382F">
        <w:t>Samples in this area may include temporary modifications, repairs, permanent plant changes, design changes, procedure changes, aging management changes, equivalency evaluations, suitability analyses, calculations, and commercial grade dedications which can introduce changes to the FPP and/or fire safe shutdown capability.</w:t>
      </w:r>
    </w:p>
    <w:p w14:paraId="003634F3" w14:textId="77777777" w:rsidR="00FA6070" w:rsidRDefault="00FA6070" w:rsidP="00DE2E93">
      <w:pPr>
        <w:pStyle w:val="ListParagraph"/>
        <w:spacing w:after="0" w:line="240" w:lineRule="auto"/>
        <w:ind w:left="807" w:hanging="533"/>
      </w:pPr>
    </w:p>
    <w:p w14:paraId="1B54036E" w14:textId="281DA913" w:rsidR="00FA6070" w:rsidRDefault="00FA6070" w:rsidP="000B07E9">
      <w:pPr>
        <w:pStyle w:val="ListParagraph"/>
        <w:numPr>
          <w:ilvl w:val="0"/>
          <w:numId w:val="8"/>
        </w:numPr>
        <w:spacing w:after="0" w:line="240" w:lineRule="auto"/>
        <w:ind w:left="807" w:hanging="533"/>
      </w:pPr>
      <w:r w:rsidRPr="009C7F85">
        <w:rPr>
          <w:u w:val="single"/>
        </w:rPr>
        <w:t xml:space="preserve">FPP </w:t>
      </w:r>
      <w:r w:rsidR="00D349FA" w:rsidRPr="009C7F85">
        <w:rPr>
          <w:u w:val="single"/>
        </w:rPr>
        <w:t>Administrative</w:t>
      </w:r>
      <w:r w:rsidRPr="009C7F85">
        <w:rPr>
          <w:u w:val="single"/>
        </w:rPr>
        <w:t xml:space="preserve"> Controls</w:t>
      </w:r>
      <w:r>
        <w:t xml:space="preserve">.  Focus on processes that are credited for administrative control of the fire protection program (i.e., combustible control program, hot work program, monitoring program).  </w:t>
      </w:r>
    </w:p>
    <w:p w14:paraId="0F2A918D" w14:textId="77777777" w:rsidR="009C7F85" w:rsidRDefault="009C7F85" w:rsidP="00DE2E93">
      <w:pPr>
        <w:spacing w:line="240" w:lineRule="auto"/>
        <w:rPr>
          <w:color w:val="auto"/>
        </w:rPr>
        <w:sectPr w:rsidR="009C7F85" w:rsidSect="00E90C2A">
          <w:footerReference w:type="default" r:id="rId12"/>
          <w:pgSz w:w="12240" w:h="15840"/>
          <w:pgMar w:top="1440" w:right="1440" w:bottom="1440" w:left="1440" w:header="720" w:footer="720" w:gutter="0"/>
          <w:cols w:space="720"/>
          <w:docGrid w:linePitch="360"/>
        </w:sectPr>
      </w:pPr>
    </w:p>
    <w:p w14:paraId="6B7403A4" w14:textId="54DB7739" w:rsidR="00714BDC" w:rsidRPr="00ED0207" w:rsidRDefault="00714BDC" w:rsidP="00DE2E93">
      <w:pPr>
        <w:spacing w:after="0" w:line="240" w:lineRule="auto"/>
        <w:rPr>
          <w:color w:val="auto"/>
        </w:rPr>
      </w:pPr>
      <w:r>
        <w:rPr>
          <w:color w:val="auto"/>
        </w:rPr>
        <w:lastRenderedPageBreak/>
        <w:t xml:space="preserve">Select a minimum of </w:t>
      </w:r>
      <w:r>
        <w:t>1 SSC credited for fire prevention, detection, suppression, and a minimum of 1 SSC credited for post-fire SSD.</w:t>
      </w:r>
    </w:p>
    <w:p w14:paraId="6AB50094" w14:textId="77777777" w:rsidR="00ED0207" w:rsidRDefault="00ED0207" w:rsidP="00DE2E93">
      <w:pPr>
        <w:spacing w:after="0" w:line="240" w:lineRule="auto"/>
      </w:pPr>
    </w:p>
    <w:p w14:paraId="3CE4189D" w14:textId="1C1255D1" w:rsidR="00ED0207" w:rsidRDefault="00ED0207" w:rsidP="00DE2E93">
      <w:pPr>
        <w:spacing w:after="0" w:line="240" w:lineRule="auto"/>
      </w:pPr>
      <w:r w:rsidRPr="003A39C2">
        <w:t xml:space="preserve">Samples do not need to be limited to a certain FA or FZ.  In special circumstances (e.g., based on operating experience), the team lead may select an entire FA or FZ as </w:t>
      </w:r>
      <w:r>
        <w:t>one</w:t>
      </w:r>
      <w:r w:rsidRPr="003A39C2">
        <w:t xml:space="preserve"> sample, </w:t>
      </w:r>
      <w:r w:rsidR="00D349FA" w:rsidRPr="003A39C2">
        <w:t>to</w:t>
      </w:r>
      <w:r w:rsidRPr="003A39C2">
        <w:t xml:space="preserve"> perform a more thorough review of credited fire protection</w:t>
      </w:r>
      <w:r>
        <w:t xml:space="preserve"> (FP)</w:t>
      </w:r>
      <w:r w:rsidRPr="003A39C2">
        <w:t xml:space="preserve"> features in that area, as well as credited post</w:t>
      </w:r>
      <w:r w:rsidR="00771CCD">
        <w:t>-</w:t>
      </w:r>
      <w:r w:rsidRPr="003A39C2">
        <w:t>fire SSD capability for a fire in that area.</w:t>
      </w:r>
      <w:r>
        <w:t xml:space="preserve">  </w:t>
      </w:r>
    </w:p>
    <w:p w14:paraId="1FD764AB" w14:textId="253DC8CB" w:rsidR="00714BDC" w:rsidRDefault="00714BDC" w:rsidP="00DE2E93">
      <w:pPr>
        <w:spacing w:after="0" w:line="240" w:lineRule="auto"/>
      </w:pPr>
    </w:p>
    <w:p w14:paraId="4E4CD0F6" w14:textId="57804C4B" w:rsidR="00714BDC" w:rsidRDefault="00714BDC" w:rsidP="00DE2E93">
      <w:pPr>
        <w:spacing w:after="0" w:line="240" w:lineRule="auto"/>
      </w:pPr>
      <w:r>
        <w:t>For each sample, conduct a routine review of problem identification and resolution activities using IP 71152, “Proble</w:t>
      </w:r>
      <w:r w:rsidR="002D72A2">
        <w:t>m Identification and Resolution,</w:t>
      </w:r>
      <w:r>
        <w:t>”</w:t>
      </w:r>
      <w:r w:rsidR="002D72A2">
        <w:t xml:space="preserve"> that should include a r</w:t>
      </w:r>
      <w:r w:rsidR="005064DF" w:rsidRPr="00727C0F">
        <w:t xml:space="preserve">eview </w:t>
      </w:r>
      <w:r w:rsidR="002D72A2">
        <w:t xml:space="preserve">of </w:t>
      </w:r>
      <w:r w:rsidR="005064DF" w:rsidRPr="00727C0F">
        <w:t>selected corrective action documents issued since the last FPTI, including those resulting from events and degraded/deficient conditions.</w:t>
      </w:r>
    </w:p>
    <w:p w14:paraId="52EBB3D3" w14:textId="375E8A22" w:rsidR="00BA18A8" w:rsidRDefault="00BA18A8" w:rsidP="00DE2E93">
      <w:pPr>
        <w:spacing w:after="0" w:line="240" w:lineRule="auto"/>
      </w:pPr>
    </w:p>
    <w:p w14:paraId="398F46B9" w14:textId="77777777" w:rsidR="00E90C2A" w:rsidRDefault="00E90C2A" w:rsidP="00DE2E93">
      <w:pPr>
        <w:spacing w:after="0" w:line="240" w:lineRule="auto"/>
      </w:pPr>
    </w:p>
    <w:p w14:paraId="40E60415" w14:textId="7D0BD1FB" w:rsidR="00BA18A8" w:rsidRPr="00CD484C" w:rsidRDefault="00BA35E7"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rPr>
          <w:rFonts w:eastAsia="Times New Roman"/>
          <w:color w:val="auto"/>
        </w:rPr>
      </w:pPr>
      <w:r>
        <w:rPr>
          <w:rFonts w:eastAsia="Times New Roman"/>
          <w:color w:val="auto"/>
        </w:rPr>
        <w:t>71111.21N.05</w:t>
      </w:r>
      <w:r w:rsidR="00BA18A8">
        <w:rPr>
          <w:rFonts w:eastAsia="Times New Roman"/>
          <w:color w:val="auto"/>
        </w:rPr>
        <w:t>-03       INSPECTION SAMPLES</w:t>
      </w:r>
    </w:p>
    <w:p w14:paraId="78CFB550" w14:textId="77777777" w:rsidR="00F9132F" w:rsidRDefault="00F9132F" w:rsidP="00DE2E93">
      <w:pPr>
        <w:spacing w:after="0" w:line="240" w:lineRule="auto"/>
      </w:pPr>
    </w:p>
    <w:p w14:paraId="1D05EAE3" w14:textId="3096ECCC" w:rsidR="00727C0F" w:rsidRDefault="00727C0F" w:rsidP="007E170E">
      <w:pPr>
        <w:tabs>
          <w:tab w:val="left" w:pos="720"/>
        </w:tabs>
        <w:spacing w:after="0" w:line="240" w:lineRule="auto"/>
      </w:pPr>
      <w:r>
        <w:t>0</w:t>
      </w:r>
      <w:r w:rsidR="00BA18A8">
        <w:t>3</w:t>
      </w:r>
      <w:r>
        <w:t>.0</w:t>
      </w:r>
      <w:r w:rsidR="00BA18A8">
        <w:t>1</w:t>
      </w:r>
      <w:r w:rsidRPr="00727C0F">
        <w:t xml:space="preserve">  </w:t>
      </w:r>
      <w:r w:rsidR="00CA1736">
        <w:rPr>
          <w:u w:val="single"/>
        </w:rPr>
        <w:t>SSC</w:t>
      </w:r>
      <w:r w:rsidRPr="00727C0F">
        <w:rPr>
          <w:u w:val="single"/>
        </w:rPr>
        <w:t xml:space="preserve"> </w:t>
      </w:r>
      <w:r w:rsidR="00B75B71" w:rsidRPr="00B75B71">
        <w:rPr>
          <w:u w:val="single"/>
        </w:rPr>
        <w:t xml:space="preserve">Credited for Fire Prevention, Detection, Suppression, or Post-Fire SSD </w:t>
      </w:r>
      <w:r w:rsidRPr="00727C0F">
        <w:rPr>
          <w:u w:val="single"/>
        </w:rPr>
        <w:t>Review</w:t>
      </w:r>
      <w:r w:rsidRPr="00727C0F">
        <w:t xml:space="preserve">  </w:t>
      </w:r>
    </w:p>
    <w:p w14:paraId="678834F3" w14:textId="6F6449D5" w:rsidR="00CA1736" w:rsidRDefault="00CA1736" w:rsidP="00DE2E93">
      <w:pPr>
        <w:spacing w:after="0" w:line="240" w:lineRule="auto"/>
      </w:pPr>
    </w:p>
    <w:p w14:paraId="193E553B" w14:textId="77777777" w:rsidR="00CA1736" w:rsidRPr="00B75B71" w:rsidRDefault="00CA1736" w:rsidP="00DE2E93">
      <w:pPr>
        <w:spacing w:after="0" w:line="240" w:lineRule="auto"/>
        <w:rPr>
          <w:b/>
          <w:u w:val="single"/>
        </w:rPr>
      </w:pPr>
      <w:r w:rsidRPr="00B75B71">
        <w:rPr>
          <w:b/>
        </w:rPr>
        <w:t xml:space="preserve">Verify that components and/or systems will function as required to support the credited functions stated for each sample.  Additional inspection considerations are located in the fire hazards analysis (FHA) or safe shutdown analysis (SSA).  </w:t>
      </w:r>
    </w:p>
    <w:p w14:paraId="07586F82" w14:textId="77777777" w:rsidR="00CA1736" w:rsidRPr="00CD484C" w:rsidRDefault="00CA1736" w:rsidP="00DE2E93">
      <w:pPr>
        <w:pStyle w:val="ListParagraph"/>
        <w:spacing w:after="0" w:line="240" w:lineRule="auto"/>
        <w:ind w:left="965"/>
        <w:rPr>
          <w:b/>
          <w:u w:val="single"/>
        </w:rPr>
      </w:pPr>
    </w:p>
    <w:p w14:paraId="467DC3B0" w14:textId="77777777" w:rsidR="00B75B71" w:rsidRPr="00B75B71" w:rsidRDefault="00CA1736" w:rsidP="00DE2E93">
      <w:pPr>
        <w:pStyle w:val="ListParagraph"/>
        <w:numPr>
          <w:ilvl w:val="0"/>
          <w:numId w:val="14"/>
        </w:numPr>
        <w:spacing w:after="0" w:line="240" w:lineRule="auto"/>
        <w:ind w:left="807" w:hanging="533"/>
        <w:rPr>
          <w:b/>
          <w:u w:val="single"/>
        </w:rPr>
      </w:pPr>
      <w:r w:rsidRPr="00B75B71">
        <w:rPr>
          <w:b/>
        </w:rPr>
        <w:t xml:space="preserve">Review deficiencies or open fire protection impairments for the selected system, including any temporary modifications, operator workarounds, or compensatory measures.  </w:t>
      </w:r>
    </w:p>
    <w:p w14:paraId="782B4442" w14:textId="77777777" w:rsidR="00B75B71" w:rsidRPr="00B75B71" w:rsidRDefault="00B75B71" w:rsidP="00DE2E93">
      <w:pPr>
        <w:pStyle w:val="ListParagraph"/>
        <w:spacing w:after="0" w:line="240" w:lineRule="auto"/>
        <w:ind w:left="807" w:hanging="533"/>
        <w:rPr>
          <w:b/>
          <w:u w:val="single"/>
        </w:rPr>
      </w:pPr>
    </w:p>
    <w:p w14:paraId="02C15BDD" w14:textId="4050E4AC" w:rsidR="00B75B71" w:rsidRDefault="00CA1736" w:rsidP="00DE2E93">
      <w:pPr>
        <w:pStyle w:val="ListParagraph"/>
        <w:numPr>
          <w:ilvl w:val="0"/>
          <w:numId w:val="14"/>
        </w:numPr>
        <w:spacing w:after="0" w:line="240" w:lineRule="auto"/>
        <w:ind w:left="807" w:hanging="533"/>
        <w:rPr>
          <w:b/>
          <w:u w:val="single"/>
        </w:rPr>
      </w:pPr>
      <w:r w:rsidRPr="00B75B71">
        <w:rPr>
          <w:b/>
        </w:rPr>
        <w:t xml:space="preserve">Verify that operator actions can be accomplished as assumed in the licensee’s FHA, or as assumed in the licensee’s fire </w:t>
      </w:r>
      <w:r w:rsidR="00D349FA" w:rsidRPr="00B75B71">
        <w:rPr>
          <w:b/>
        </w:rPr>
        <w:t>probabilistic</w:t>
      </w:r>
      <w:r w:rsidRPr="00B75B71">
        <w:rPr>
          <w:b/>
        </w:rPr>
        <w:t xml:space="preserve"> risk assessment (FPRA) analysis and SSA.</w:t>
      </w:r>
      <w:r w:rsidRPr="00B75B71" w:rsidDel="00C751F9">
        <w:rPr>
          <w:b/>
          <w:u w:val="single"/>
        </w:rPr>
        <w:t xml:space="preserve"> </w:t>
      </w:r>
    </w:p>
    <w:p w14:paraId="4EEDE7A7" w14:textId="77777777" w:rsidR="00B75B71" w:rsidRPr="00B75B71" w:rsidRDefault="00B75B71" w:rsidP="00DE2E93">
      <w:pPr>
        <w:pStyle w:val="ListParagraph"/>
        <w:spacing w:after="0" w:line="240" w:lineRule="auto"/>
        <w:ind w:left="807" w:hanging="533"/>
        <w:rPr>
          <w:b/>
        </w:rPr>
      </w:pPr>
    </w:p>
    <w:p w14:paraId="45962609" w14:textId="77777777" w:rsidR="00B75B71" w:rsidRPr="00B75B71" w:rsidRDefault="00441C14" w:rsidP="00DE2E93">
      <w:pPr>
        <w:pStyle w:val="ListParagraph"/>
        <w:numPr>
          <w:ilvl w:val="0"/>
          <w:numId w:val="14"/>
        </w:numPr>
        <w:spacing w:after="0" w:line="240" w:lineRule="auto"/>
        <w:ind w:left="807" w:hanging="533"/>
        <w:rPr>
          <w:b/>
          <w:u w:val="single"/>
        </w:rPr>
      </w:pPr>
      <w:r w:rsidRPr="00B75B71">
        <w:rPr>
          <w:b/>
        </w:rPr>
        <w:t>Review repetitive or similar maintenance work requests which could be an indicator of a design deficiency and could affect the ability of the components to perform their functions, when needed.</w:t>
      </w:r>
    </w:p>
    <w:p w14:paraId="2C3E10FF" w14:textId="77777777" w:rsidR="00B75B71" w:rsidRPr="00B75B71" w:rsidRDefault="00B75B71" w:rsidP="00DE2E93">
      <w:pPr>
        <w:pStyle w:val="ListParagraph"/>
        <w:spacing w:after="0" w:line="240" w:lineRule="auto"/>
        <w:ind w:left="807" w:hanging="533"/>
        <w:rPr>
          <w:b/>
        </w:rPr>
      </w:pPr>
    </w:p>
    <w:p w14:paraId="36E32099" w14:textId="77777777" w:rsidR="00B75B71" w:rsidRPr="00B75B71" w:rsidRDefault="00441C14" w:rsidP="00DE2E93">
      <w:pPr>
        <w:pStyle w:val="ListParagraph"/>
        <w:numPr>
          <w:ilvl w:val="0"/>
          <w:numId w:val="14"/>
        </w:numPr>
        <w:spacing w:after="0" w:line="240" w:lineRule="auto"/>
        <w:ind w:left="807" w:hanging="533"/>
        <w:rPr>
          <w:b/>
          <w:u w:val="single"/>
        </w:rPr>
      </w:pPr>
      <w:r w:rsidRPr="00B75B71">
        <w:rPr>
          <w:b/>
        </w:rPr>
        <w:t>Ensure that post maintenance and/or surveillance activities are performed as scheduled.</w:t>
      </w:r>
    </w:p>
    <w:p w14:paraId="4266585C" w14:textId="77777777" w:rsidR="00B75B71" w:rsidRPr="00B75B71" w:rsidRDefault="00B75B71" w:rsidP="00DE2E93">
      <w:pPr>
        <w:pStyle w:val="ListParagraph"/>
        <w:spacing w:after="0" w:line="240" w:lineRule="auto"/>
        <w:ind w:left="807" w:hanging="533"/>
        <w:rPr>
          <w:b/>
        </w:rPr>
      </w:pPr>
    </w:p>
    <w:p w14:paraId="1811BAB1" w14:textId="77777777" w:rsidR="00B75B71" w:rsidRPr="00B75B71" w:rsidRDefault="00441C14" w:rsidP="00DE2E93">
      <w:pPr>
        <w:pStyle w:val="ListParagraph"/>
        <w:numPr>
          <w:ilvl w:val="0"/>
          <w:numId w:val="14"/>
        </w:numPr>
        <w:spacing w:after="0" w:line="240" w:lineRule="auto"/>
        <w:ind w:left="807" w:hanging="533"/>
        <w:rPr>
          <w:b/>
          <w:u w:val="single"/>
        </w:rPr>
      </w:pPr>
      <w:r w:rsidRPr="00B75B71">
        <w:rPr>
          <w:b/>
        </w:rPr>
        <w:t>Perform a walkdown inspection to identify equipment alignment discrepancies. Inspect for deficient conditions such as corrosion, missing fasteners, cracks, and degraded insulation.</w:t>
      </w:r>
    </w:p>
    <w:p w14:paraId="7B33E2DA" w14:textId="77777777" w:rsidR="00B75B71" w:rsidRPr="00B75B71" w:rsidRDefault="00B75B71" w:rsidP="00DE2E93">
      <w:pPr>
        <w:pStyle w:val="ListParagraph"/>
        <w:spacing w:after="0" w:line="240" w:lineRule="auto"/>
        <w:ind w:left="807" w:hanging="533"/>
        <w:rPr>
          <w:b/>
        </w:rPr>
      </w:pPr>
    </w:p>
    <w:p w14:paraId="1C175B2D" w14:textId="16AADA9B" w:rsidR="00B75B71" w:rsidRPr="00B75B71" w:rsidRDefault="00441C14" w:rsidP="00DE2E93">
      <w:pPr>
        <w:pStyle w:val="ListParagraph"/>
        <w:numPr>
          <w:ilvl w:val="0"/>
          <w:numId w:val="14"/>
        </w:numPr>
        <w:spacing w:after="0" w:line="240" w:lineRule="auto"/>
        <w:ind w:left="807" w:hanging="533"/>
        <w:rPr>
          <w:b/>
          <w:u w:val="single"/>
        </w:rPr>
      </w:pPr>
      <w:r w:rsidRPr="00B75B71">
        <w:rPr>
          <w:b/>
        </w:rPr>
        <w:t>Ensure the selected SSCs that are subject to aging management review (AMR) pursuant to 10 CFR Part 54 are being managed for aging (e.g., loss of material, cracking, reduction of heat transfer) in accordance with appropriate aging management programs.  Verify that the licensee</w:t>
      </w:r>
      <w:r w:rsidR="00F524C6">
        <w:rPr>
          <w:b/>
        </w:rPr>
        <w:t>’s</w:t>
      </w:r>
      <w:r w:rsidRPr="00B75B71">
        <w:rPr>
          <w:b/>
        </w:rPr>
        <w:t xml:space="preserve"> aging management program activities (such as, Fuel Oil Analysis or Selective Leaching Aging Management Program) associated with FP equipment are being implemented.  </w:t>
      </w:r>
    </w:p>
    <w:p w14:paraId="47119774" w14:textId="77777777" w:rsidR="00B75B71" w:rsidRPr="00B75B71" w:rsidRDefault="00B75B71" w:rsidP="00DE2E93">
      <w:pPr>
        <w:pStyle w:val="ListParagraph"/>
        <w:spacing w:after="0" w:line="240" w:lineRule="auto"/>
        <w:ind w:left="807" w:hanging="533"/>
        <w:rPr>
          <w:b/>
        </w:rPr>
      </w:pPr>
    </w:p>
    <w:p w14:paraId="4BC38D34" w14:textId="77777777" w:rsidR="009C7F85" w:rsidRDefault="00697450" w:rsidP="00DE2E93">
      <w:pPr>
        <w:pStyle w:val="ListParagraph"/>
        <w:numPr>
          <w:ilvl w:val="0"/>
          <w:numId w:val="14"/>
        </w:numPr>
        <w:spacing w:after="0" w:line="240" w:lineRule="auto"/>
        <w:ind w:left="807" w:hanging="533"/>
        <w:rPr>
          <w:b/>
        </w:rPr>
        <w:sectPr w:rsidR="009C7F85" w:rsidSect="00E90C2A">
          <w:pgSz w:w="12240" w:h="15840"/>
          <w:pgMar w:top="1440" w:right="1440" w:bottom="1440" w:left="1440" w:header="720" w:footer="720" w:gutter="0"/>
          <w:cols w:space="720"/>
          <w:docGrid w:linePitch="360"/>
        </w:sectPr>
      </w:pPr>
      <w:r w:rsidRPr="00B75B71">
        <w:rPr>
          <w:b/>
        </w:rPr>
        <w:t xml:space="preserve">If a review of operating experience issues will be completed for the </w:t>
      </w:r>
      <w:r w:rsidRPr="00B75B71">
        <w:rPr>
          <w:rFonts w:eastAsia="Times New Roman"/>
          <w:b/>
          <w:color w:val="auto"/>
          <w:szCs w:val="24"/>
        </w:rPr>
        <w:t xml:space="preserve">selected </w:t>
      </w:r>
      <w:r w:rsidRPr="00B75B71">
        <w:rPr>
          <w:b/>
        </w:rPr>
        <w:t xml:space="preserve">inspection sample, verify that the licensee adequately reviewed and dispositioned the operating experience in accordance with their processes.  </w:t>
      </w:r>
    </w:p>
    <w:p w14:paraId="4A92BF15" w14:textId="15F0F283" w:rsidR="00727C0F" w:rsidRPr="00727C0F" w:rsidRDefault="00CA1736" w:rsidP="007E170E">
      <w:pPr>
        <w:spacing w:after="0" w:line="240" w:lineRule="auto"/>
      </w:pPr>
      <w:r>
        <w:rPr>
          <w:u w:val="single"/>
        </w:rPr>
        <w:lastRenderedPageBreak/>
        <w:t>Specific Guidance</w:t>
      </w:r>
    </w:p>
    <w:p w14:paraId="32C48122" w14:textId="77777777" w:rsidR="00727C0F" w:rsidRPr="00727C0F" w:rsidRDefault="00727C0F" w:rsidP="007E170E">
      <w:pPr>
        <w:spacing w:after="0" w:line="240" w:lineRule="auto"/>
      </w:pPr>
    </w:p>
    <w:p w14:paraId="379ABB1C" w14:textId="77777777" w:rsidR="00727C0F" w:rsidRPr="00727C0F" w:rsidRDefault="00727C0F" w:rsidP="007E170E">
      <w:pPr>
        <w:spacing w:after="0" w:line="240" w:lineRule="auto"/>
        <w:ind w:right="72"/>
      </w:pPr>
      <w:r w:rsidRPr="00727C0F">
        <w:rPr>
          <w:u w:val="single"/>
        </w:rPr>
        <w:t>Active FP systems</w:t>
      </w:r>
      <w:r w:rsidRPr="00727C0F">
        <w:t xml:space="preserve">. Verify that detection and automatic and manual suppression systems are installed, tested, and maintained in accordance with the NFPA codes of record and plant specific commitments for the FA/FZ in which the SSC is located.  Verify that the design capability of suppression agent delivery systems (i.e., water supply) meet the requirements of the approved FPP.  Verify that any Very Early Warning Fire Detection System (VEWFDS) system sensitivity settings are consistent with any code requirements or regulatory commitments.  Sometimes VEWFDS does not provide equal sensitivity at every hole, therefore, the minimum sensitivity should be verified.  </w:t>
      </w:r>
    </w:p>
    <w:p w14:paraId="4608FF22" w14:textId="77777777" w:rsidR="00727C0F" w:rsidRPr="00727C0F" w:rsidRDefault="00727C0F" w:rsidP="007E170E">
      <w:pPr>
        <w:spacing w:after="0" w:line="240" w:lineRule="auto"/>
        <w:ind w:right="72"/>
      </w:pPr>
    </w:p>
    <w:p w14:paraId="62308CA6" w14:textId="77777777" w:rsidR="00727C0F" w:rsidRPr="00727C0F" w:rsidRDefault="00727C0F" w:rsidP="007E170E">
      <w:pPr>
        <w:spacing w:after="0" w:line="240" w:lineRule="auto"/>
      </w:pPr>
      <w:r w:rsidRPr="00727C0F">
        <w:rPr>
          <w:u w:val="single"/>
        </w:rPr>
        <w:t>Passive FP systems</w:t>
      </w:r>
      <w:r w:rsidRPr="00727C0F">
        <w:t>. Verify through review of installation or repair records that material of an appropriate FP rating (equal to the overall rating of the barrier itself) has been used to fill openings and fire barrier penetration seals and that the installation meets engineering design.  Verify through review of installation or repair records that material of an appropriate FP rating has been used as FP wraps, that the installation meets engineering design and standard industry practices, and that it was either properly evaluated or qualified by appropriate fire endurance tests.  Verify that an evaluation has been performed using appropriate fire test data for unusual installation configurations and/or application of unusual materials.</w:t>
      </w:r>
    </w:p>
    <w:p w14:paraId="7B909936" w14:textId="77777777" w:rsidR="00727C0F" w:rsidRPr="00727C0F" w:rsidRDefault="00727C0F" w:rsidP="00DE2E93">
      <w:pPr>
        <w:spacing w:after="0" w:line="240" w:lineRule="auto"/>
        <w:ind w:left="807" w:right="72" w:hanging="533"/>
        <w:rPr>
          <w:u w:val="single"/>
        </w:rPr>
      </w:pPr>
    </w:p>
    <w:p w14:paraId="7552B5CF" w14:textId="395FC294" w:rsidR="00727C0F" w:rsidRPr="00727C0F" w:rsidRDefault="00771CCD" w:rsidP="0035628C">
      <w:pPr>
        <w:numPr>
          <w:ilvl w:val="0"/>
          <w:numId w:val="9"/>
        </w:numPr>
        <w:spacing w:after="0" w:line="240" w:lineRule="auto"/>
        <w:ind w:left="807" w:right="72" w:hanging="533"/>
      </w:pPr>
      <w:r>
        <w:rPr>
          <w:u w:val="single"/>
        </w:rPr>
        <w:t>Post-</w:t>
      </w:r>
      <w:r w:rsidR="00727C0F" w:rsidRPr="00727C0F">
        <w:rPr>
          <w:u w:val="single"/>
        </w:rPr>
        <w:t>fire SSD SSCs.</w:t>
      </w:r>
      <w:r w:rsidR="00727C0F" w:rsidRPr="00727C0F">
        <w:t xml:space="preserve"> Verify that proper separation or protection of circuits and circuit coordination have been provided by sampling at least one FA/FZ.  Otherwise, ensure </w:t>
      </w:r>
      <w:r w:rsidR="00D349FA" w:rsidRPr="00727C0F">
        <w:t>ap</w:t>
      </w:r>
      <w:r w:rsidR="00C64D4C">
        <w:t>propriate</w:t>
      </w:r>
      <w:r w:rsidR="00727C0F" w:rsidRPr="00727C0F">
        <w:t xml:space="preserve"> operator manual actions/recovery actions have been established.  </w:t>
      </w:r>
    </w:p>
    <w:p w14:paraId="0115B685" w14:textId="77777777" w:rsidR="00727C0F" w:rsidRPr="00727C0F" w:rsidRDefault="00727C0F" w:rsidP="00DE2E93">
      <w:pPr>
        <w:spacing w:after="0" w:line="240" w:lineRule="auto"/>
        <w:ind w:left="807" w:right="72" w:hanging="533"/>
      </w:pPr>
    </w:p>
    <w:p w14:paraId="3907CA95" w14:textId="6E04D82E" w:rsidR="00727C0F" w:rsidRPr="00CD484C" w:rsidRDefault="00727C0F" w:rsidP="00DE2E93">
      <w:pPr>
        <w:pStyle w:val="ListParagraph"/>
        <w:numPr>
          <w:ilvl w:val="0"/>
          <w:numId w:val="9"/>
        </w:numPr>
        <w:spacing w:after="0" w:line="240" w:lineRule="auto"/>
        <w:ind w:left="807" w:right="72" w:hanging="533"/>
        <w:rPr>
          <w:u w:val="single"/>
        </w:rPr>
      </w:pPr>
      <w:r w:rsidRPr="00727C0F">
        <w:t>Review deficiencies or open FP impairments for the selected system, including any temporary modifications, operator workarounds, or compensatory measures.  Verify that appropriate actions have been taken by the licensee for out-of-service, degraded, or inoperable</w:t>
      </w:r>
      <w:r w:rsidR="00D73B43">
        <w:t>/nonfunctional</w:t>
      </w:r>
      <w:r w:rsidRPr="00727C0F">
        <w:t xml:space="preserve"> </w:t>
      </w:r>
      <w:r w:rsidR="004574D4">
        <w:t>FPP-credited</w:t>
      </w:r>
      <w:r w:rsidRPr="00727C0F">
        <w:t xml:space="preserve"> equipment, systems, or features.  Ensure that the actions implemented meet the FPP system functionality requirements, or that the licensee has performed a FPP change evaluation to support implementation of a compensatory measure that deviates from program requirements.  Short term compensatory measures should compensate for the degraded function or feature by enhancing one or more defense-in-depth elements until appropriate corrective action can be taken.  Review the license’s effectiveness in returning the equipment to service in a reasonable period of time (typically days or weeks).</w:t>
      </w:r>
      <w:r w:rsidR="00C23211">
        <w:t xml:space="preserve">  </w:t>
      </w:r>
      <w:r w:rsidR="00C23211" w:rsidRPr="00727C0F">
        <w:t>For plants that have transitioned to NFPA 805, the licensee is required to establish a monitoring program that ensures that the availability and reliability of the FP systems and features credited in the performance-based analyses.</w:t>
      </w:r>
      <w:r w:rsidRPr="00727C0F">
        <w:t xml:space="preserve"> </w:t>
      </w:r>
    </w:p>
    <w:p w14:paraId="7AF38DCB" w14:textId="77777777" w:rsidR="00727C0F" w:rsidRPr="00727C0F" w:rsidRDefault="00727C0F" w:rsidP="00DE2E93">
      <w:pPr>
        <w:spacing w:after="0" w:line="240" w:lineRule="auto"/>
        <w:ind w:left="807" w:right="72" w:hanging="533"/>
      </w:pPr>
    </w:p>
    <w:p w14:paraId="2A8B3FD3" w14:textId="170A291D" w:rsidR="00B75B71" w:rsidRDefault="00727C0F" w:rsidP="00DE2E93">
      <w:pPr>
        <w:numPr>
          <w:ilvl w:val="0"/>
          <w:numId w:val="9"/>
        </w:numPr>
        <w:spacing w:after="0" w:line="240" w:lineRule="auto"/>
        <w:ind w:left="807" w:right="72" w:hanging="533"/>
      </w:pPr>
      <w:r w:rsidRPr="00727C0F">
        <w:t xml:space="preserve">Verify that operator actions can be accomplished as assumed in the licensee’s Fire Hazards Analysis (FHA), fire </w:t>
      </w:r>
      <w:r w:rsidR="00D349FA" w:rsidRPr="00727C0F">
        <w:t>probabilistic</w:t>
      </w:r>
      <w:r w:rsidRPr="00727C0F">
        <w:t xml:space="preserve"> risk assessment (FPRA), and safe shutdown analysis (SSA).  For plants that have transitioned to National Fire Protection Association (NFPA) 805, the SSA is often referred to as the Nuclear Safety Capability Assessment (NSCA).  </w:t>
      </w:r>
    </w:p>
    <w:p w14:paraId="3B1C46A9" w14:textId="77777777" w:rsidR="00B75B71" w:rsidRDefault="00B75B71" w:rsidP="00DE2E93">
      <w:pPr>
        <w:pStyle w:val="ListParagraph"/>
        <w:spacing w:after="0" w:line="240" w:lineRule="auto"/>
        <w:rPr>
          <w:u w:val="single"/>
        </w:rPr>
      </w:pPr>
    </w:p>
    <w:p w14:paraId="3021DACA" w14:textId="77777777" w:rsidR="009C7F85" w:rsidRDefault="00727C0F" w:rsidP="00DE2E93">
      <w:pPr>
        <w:numPr>
          <w:ilvl w:val="1"/>
          <w:numId w:val="9"/>
        </w:numPr>
        <w:spacing w:after="0" w:line="240" w:lineRule="auto"/>
        <w:ind w:left="1440" w:hanging="634"/>
        <w:sectPr w:rsidR="009C7F85" w:rsidSect="00E90C2A">
          <w:pgSz w:w="12240" w:h="15840"/>
          <w:pgMar w:top="1440" w:right="1440" w:bottom="1440" w:left="1440" w:header="720" w:footer="720" w:gutter="0"/>
          <w:cols w:space="720"/>
          <w:docGrid w:linePitch="360"/>
        </w:sectPr>
      </w:pPr>
      <w:r w:rsidRPr="00B75B71">
        <w:rPr>
          <w:u w:val="single"/>
        </w:rPr>
        <w:t>Active FP systems</w:t>
      </w:r>
      <w:r w:rsidRPr="00727C0F">
        <w:t xml:space="preserve">. Verify that any actions required by operators or the fire brigade to actuate the system are feasible and reliable and can be performed within acceptable timelines to support assumptions in the FHA and the FPRA.  </w:t>
      </w:r>
    </w:p>
    <w:p w14:paraId="4BB1929E" w14:textId="7B323315" w:rsidR="00697450" w:rsidRPr="00B75B71" w:rsidRDefault="00771CCD" w:rsidP="00DE2E93">
      <w:pPr>
        <w:numPr>
          <w:ilvl w:val="1"/>
          <w:numId w:val="9"/>
        </w:numPr>
        <w:spacing w:after="0" w:line="240" w:lineRule="auto"/>
        <w:ind w:left="1440" w:hanging="634"/>
      </w:pPr>
      <w:r>
        <w:rPr>
          <w:u w:val="single"/>
        </w:rPr>
        <w:lastRenderedPageBreak/>
        <w:t>Post-</w:t>
      </w:r>
      <w:r w:rsidR="00727C0F" w:rsidRPr="00B75B71">
        <w:rPr>
          <w:u w:val="single"/>
        </w:rPr>
        <w:t>fire SSD SSCs.</w:t>
      </w:r>
      <w:r w:rsidR="00727C0F" w:rsidRPr="00727C0F">
        <w:t xml:space="preserve"> Review the post</w:t>
      </w:r>
      <w:r>
        <w:t>-</w:t>
      </w:r>
      <w:r w:rsidR="00727C0F" w:rsidRPr="00727C0F">
        <w:t>fire SSD procedure for the selected FAs/FZs to verify that steps taken by operators are adequate to ensure the operability/functionality of the SSC to support SSD.  If the licensee’s SSA for the selected areas credits operator manual actions (OMAs) or recovery actions (RAs), consider conducting a walk down of the applicable steps of the procedure to verify the adequacy of the credited OMAs/RAs.  The intent of this inspection requirement is to support verification of engineering inputs and assumptions.  Resources permitting, the team may verify other aspects of the OMAs/RAs such as whether any special equipment is required to perform these procedures and if the equipment is available, accessible, properly staged, and in good working order.  Additionally, the team may choose to verify that the knowledge level of the operators is adequate concerning equipment location and operation.</w:t>
      </w:r>
    </w:p>
    <w:p w14:paraId="45C062D7" w14:textId="0C1D00FC" w:rsidR="00697450" w:rsidRPr="00727C0F" w:rsidRDefault="00697450" w:rsidP="00DE2E93">
      <w:pPr>
        <w:spacing w:after="0" w:line="240" w:lineRule="auto"/>
      </w:pPr>
    </w:p>
    <w:p w14:paraId="6F7E3BB4" w14:textId="62611DEE" w:rsidR="00697450" w:rsidRPr="00CD484C" w:rsidRDefault="00697450" w:rsidP="00DE2E93">
      <w:pPr>
        <w:numPr>
          <w:ilvl w:val="0"/>
          <w:numId w:val="9"/>
        </w:numPr>
        <w:spacing w:after="0" w:line="240" w:lineRule="auto"/>
        <w:ind w:left="807" w:hanging="533"/>
      </w:pPr>
      <w:r w:rsidRPr="00727C0F">
        <w:t xml:space="preserve">The FP licensing and design basis under license renewal should not differ from what was in effect before license renewal, with the exception that FP SSCs must be included in an aging management program as appropriate.  Examples of fire protection components that are passive and long-lived and, therefore, subject to an aging management review (AMR), include fire barrier assemblies (e.g., walls, ceilings, floors, damper housings, doors, and penetration seals), sprinklers, nozzles, fire suppression system piping and valve casings, fire protection tanks and pump casings, and fire hydrant casings.  Active components as described in 10 CFR 54.4, “Scope”, are components that perform an intended function with moving parts or with a change in configuration or properties; and as such, they are excluded from an AMR.  For example, smoke/heat detectors and fire extinguishers are considered active components.  Indications of aging should be evaluated to determine if changes to the aging management program are required </w:t>
      </w:r>
      <w:r w:rsidR="00D349FA" w:rsidRPr="00727C0F">
        <w:t>to</w:t>
      </w:r>
      <w:r w:rsidRPr="00727C0F">
        <w:t xml:space="preserve"> ensure degradation is identified prior </w:t>
      </w:r>
      <w:r>
        <w:t xml:space="preserve">to loss of intended function.  </w:t>
      </w:r>
    </w:p>
    <w:p w14:paraId="51063880" w14:textId="77777777" w:rsidR="00727C0F" w:rsidRPr="00727C0F" w:rsidRDefault="00727C0F" w:rsidP="00DE2E93">
      <w:pPr>
        <w:spacing w:after="0" w:line="240" w:lineRule="auto"/>
      </w:pPr>
    </w:p>
    <w:p w14:paraId="76B272FE" w14:textId="7AF89B36" w:rsidR="00727C0F" w:rsidRDefault="00D349FA" w:rsidP="007E170E">
      <w:pPr>
        <w:tabs>
          <w:tab w:val="left" w:pos="720"/>
        </w:tabs>
        <w:spacing w:after="0" w:line="240" w:lineRule="auto"/>
        <w:rPr>
          <w:b/>
        </w:rPr>
      </w:pPr>
      <w:proofErr w:type="gramStart"/>
      <w:r>
        <w:t xml:space="preserve">03.02 </w:t>
      </w:r>
      <w:r w:rsidR="007E170E">
        <w:t xml:space="preserve"> </w:t>
      </w:r>
      <w:r w:rsidRPr="0017624E">
        <w:rPr>
          <w:u w:val="single"/>
        </w:rPr>
        <w:t>Fire</w:t>
      </w:r>
      <w:proofErr w:type="gramEnd"/>
      <w:r w:rsidR="0031051A" w:rsidRPr="0017624E">
        <w:rPr>
          <w:u w:val="single"/>
        </w:rPr>
        <w:t xml:space="preserve"> </w:t>
      </w:r>
      <w:r w:rsidR="0031051A" w:rsidRPr="00D73B43">
        <w:rPr>
          <w:u w:val="single"/>
        </w:rPr>
        <w:t>Protection Program</w:t>
      </w:r>
      <w:r w:rsidR="00BA18A8" w:rsidRPr="00CD484C">
        <w:rPr>
          <w:u w:val="single"/>
        </w:rPr>
        <w:t xml:space="preserve"> </w:t>
      </w:r>
      <w:r w:rsidRPr="00CD484C">
        <w:rPr>
          <w:u w:val="single"/>
        </w:rPr>
        <w:t>Administrative</w:t>
      </w:r>
      <w:r w:rsidR="00BA18A8" w:rsidRPr="00CD484C">
        <w:rPr>
          <w:u w:val="single"/>
        </w:rPr>
        <w:t xml:space="preserve"> Controls</w:t>
      </w:r>
      <w:r w:rsidR="00727C0F" w:rsidRPr="00727C0F">
        <w:t>.</w:t>
      </w:r>
      <w:r w:rsidR="00727C0F" w:rsidRPr="007A7E30">
        <w:rPr>
          <w:b/>
        </w:rPr>
        <w:t xml:space="preserve"> </w:t>
      </w:r>
    </w:p>
    <w:p w14:paraId="2644F511" w14:textId="3E7A648B" w:rsidR="0031051A" w:rsidRPr="00BA35E7" w:rsidRDefault="0031051A" w:rsidP="00DE2E93">
      <w:pPr>
        <w:spacing w:after="0" w:line="240" w:lineRule="auto"/>
      </w:pPr>
    </w:p>
    <w:p w14:paraId="786FFA64" w14:textId="031EC0C9" w:rsidR="0031051A" w:rsidRDefault="0031051A" w:rsidP="00DE2E93">
      <w:pPr>
        <w:spacing w:after="0" w:line="240" w:lineRule="auto"/>
        <w:rPr>
          <w:b/>
        </w:rPr>
      </w:pPr>
      <w:r>
        <w:rPr>
          <w:b/>
        </w:rPr>
        <w:t xml:space="preserve">Verify that the </w:t>
      </w:r>
      <w:r w:rsidR="00D349FA">
        <w:rPr>
          <w:b/>
        </w:rPr>
        <w:t>selected</w:t>
      </w:r>
      <w:r>
        <w:rPr>
          <w:b/>
        </w:rPr>
        <w:t xml:space="preserve"> control or process is implemented in accordance with the licensee’s current licensing basis.  If applicable, ensure that the licensee’s FPP contains adequate procedures to implement the selected administrative control.  Verify that the selected administrative control meets the requirements of all committed industry standards.  </w:t>
      </w:r>
    </w:p>
    <w:p w14:paraId="795754A4" w14:textId="265711B7" w:rsidR="0031051A" w:rsidRDefault="0031051A" w:rsidP="00DE2E93">
      <w:pPr>
        <w:spacing w:after="0" w:line="240" w:lineRule="auto"/>
        <w:rPr>
          <w:b/>
        </w:rPr>
      </w:pPr>
    </w:p>
    <w:p w14:paraId="754F4FF3" w14:textId="6BB46603" w:rsidR="0031051A" w:rsidRDefault="0031051A" w:rsidP="007E170E">
      <w:pPr>
        <w:spacing w:after="0" w:line="240" w:lineRule="auto"/>
        <w:rPr>
          <w:u w:val="single"/>
        </w:rPr>
      </w:pPr>
      <w:r>
        <w:rPr>
          <w:u w:val="single"/>
        </w:rPr>
        <w:t>Specific Guidance</w:t>
      </w:r>
    </w:p>
    <w:p w14:paraId="02BA6C51" w14:textId="44DA1034" w:rsidR="0031051A" w:rsidRDefault="0031051A" w:rsidP="00DE2E93">
      <w:pPr>
        <w:spacing w:after="0" w:line="240" w:lineRule="auto"/>
        <w:rPr>
          <w:u w:val="single"/>
        </w:rPr>
      </w:pPr>
    </w:p>
    <w:p w14:paraId="7CAC7E3F" w14:textId="1E5E6442" w:rsidR="0031051A" w:rsidRPr="00D73B43" w:rsidRDefault="0031051A" w:rsidP="00CB1328">
      <w:pPr>
        <w:spacing w:after="0" w:line="240" w:lineRule="auto"/>
      </w:pPr>
      <w:r>
        <w:t>None</w:t>
      </w:r>
    </w:p>
    <w:p w14:paraId="0BCFDB80" w14:textId="6D32CAD1" w:rsidR="00727C0F" w:rsidRPr="00727C0F" w:rsidRDefault="00727C0F" w:rsidP="00DE2E93">
      <w:pPr>
        <w:spacing w:after="0" w:line="240" w:lineRule="auto"/>
      </w:pPr>
    </w:p>
    <w:p w14:paraId="40246D74" w14:textId="2E676C4A" w:rsidR="00727C0F" w:rsidRDefault="00D349FA" w:rsidP="007E170E">
      <w:pPr>
        <w:tabs>
          <w:tab w:val="left" w:pos="720"/>
        </w:tabs>
        <w:spacing w:after="0" w:line="240" w:lineRule="auto"/>
        <w:rPr>
          <w:u w:val="single"/>
        </w:rPr>
      </w:pPr>
      <w:proofErr w:type="gramStart"/>
      <w:r>
        <w:t xml:space="preserve">03.03 </w:t>
      </w:r>
      <w:r w:rsidR="007E170E">
        <w:t xml:space="preserve"> </w:t>
      </w:r>
      <w:r w:rsidRPr="0017624E">
        <w:rPr>
          <w:u w:val="single"/>
        </w:rPr>
        <w:t>Fire</w:t>
      </w:r>
      <w:proofErr w:type="gramEnd"/>
      <w:r w:rsidR="0031051A" w:rsidRPr="00CD484C">
        <w:rPr>
          <w:u w:val="single"/>
        </w:rPr>
        <w:t xml:space="preserve"> Protection Program Changes/Modifications</w:t>
      </w:r>
    </w:p>
    <w:p w14:paraId="06478A97" w14:textId="019C7DFA" w:rsidR="00684778" w:rsidRDefault="00684778" w:rsidP="00DE2E93">
      <w:pPr>
        <w:spacing w:after="0" w:line="240" w:lineRule="auto"/>
      </w:pPr>
    </w:p>
    <w:p w14:paraId="7F836775" w14:textId="77777777" w:rsidR="00684778" w:rsidRDefault="00684778" w:rsidP="00DE2E93">
      <w:pPr>
        <w:spacing w:after="0" w:line="240" w:lineRule="auto"/>
        <w:rPr>
          <w:b/>
        </w:rPr>
      </w:pPr>
      <w:r w:rsidRPr="00CD484C">
        <w:rPr>
          <w:b/>
        </w:rPr>
        <w:t>Verify the following:</w:t>
      </w:r>
    </w:p>
    <w:p w14:paraId="67420614" w14:textId="77777777" w:rsidR="00BA35E7" w:rsidRPr="00CD484C" w:rsidRDefault="00BA35E7" w:rsidP="00DE2E93">
      <w:pPr>
        <w:spacing w:after="0" w:line="240" w:lineRule="auto"/>
        <w:rPr>
          <w:b/>
          <w:u w:val="single"/>
        </w:rPr>
      </w:pPr>
    </w:p>
    <w:p w14:paraId="6F24F38E" w14:textId="55ED721F" w:rsidR="00684778" w:rsidRPr="00CD484C" w:rsidRDefault="00A2202E" w:rsidP="00DE2E93">
      <w:pPr>
        <w:pStyle w:val="ListParagraph"/>
        <w:numPr>
          <w:ilvl w:val="0"/>
          <w:numId w:val="3"/>
        </w:numPr>
        <w:spacing w:after="0" w:line="240" w:lineRule="auto"/>
        <w:ind w:left="807" w:hanging="533"/>
        <w:rPr>
          <w:b/>
        </w:rPr>
      </w:pPr>
      <w:r>
        <w:rPr>
          <w:b/>
        </w:rPr>
        <w:t>C</w:t>
      </w:r>
      <w:r w:rsidR="00684778" w:rsidRPr="00CD484C">
        <w:rPr>
          <w:b/>
        </w:rPr>
        <w:t xml:space="preserve">hanges to the approved FPP do not constitute an adverse effect on the ability to safely shutdown.  </w:t>
      </w:r>
    </w:p>
    <w:p w14:paraId="77A078C2" w14:textId="77777777" w:rsidR="00684778" w:rsidRPr="00CD484C" w:rsidRDefault="00684778" w:rsidP="00DE2E93">
      <w:pPr>
        <w:pStyle w:val="ListParagraph"/>
        <w:spacing w:after="0" w:line="240" w:lineRule="auto"/>
        <w:ind w:left="807" w:hanging="533"/>
        <w:rPr>
          <w:b/>
        </w:rPr>
      </w:pPr>
    </w:p>
    <w:p w14:paraId="1A4C8EEF" w14:textId="77777777" w:rsidR="00BA35E7" w:rsidRDefault="00684778" w:rsidP="00DE2E93">
      <w:pPr>
        <w:pStyle w:val="ListParagraph"/>
        <w:numPr>
          <w:ilvl w:val="0"/>
          <w:numId w:val="3"/>
        </w:numPr>
        <w:spacing w:after="0" w:line="240" w:lineRule="auto"/>
        <w:ind w:left="807" w:hanging="533"/>
        <w:rPr>
          <w:b/>
        </w:rPr>
        <w:sectPr w:rsidR="00BA35E7" w:rsidSect="00E90C2A">
          <w:pgSz w:w="12240" w:h="15840"/>
          <w:pgMar w:top="1440" w:right="1440" w:bottom="1440" w:left="1440" w:header="720" w:footer="720" w:gutter="0"/>
          <w:cols w:space="720"/>
          <w:docGrid w:linePitch="360"/>
        </w:sectPr>
      </w:pPr>
      <w:r w:rsidRPr="00CD484C">
        <w:rPr>
          <w:b/>
        </w:rPr>
        <w:t>The adequacy of the design modification</w:t>
      </w:r>
      <w:r w:rsidR="00A2202E">
        <w:rPr>
          <w:b/>
        </w:rPr>
        <w:t>, if applicable</w:t>
      </w:r>
      <w:r w:rsidRPr="00CD484C">
        <w:rPr>
          <w:b/>
        </w:rPr>
        <w:t xml:space="preserve">.  </w:t>
      </w:r>
    </w:p>
    <w:p w14:paraId="690103B1" w14:textId="26E4CD60" w:rsidR="00684778" w:rsidRPr="00CD484C" w:rsidRDefault="00684778" w:rsidP="00DE2E93">
      <w:pPr>
        <w:pStyle w:val="ListParagraph"/>
        <w:numPr>
          <w:ilvl w:val="0"/>
          <w:numId w:val="3"/>
        </w:numPr>
        <w:spacing w:after="0" w:line="240" w:lineRule="auto"/>
        <w:ind w:left="807" w:hanging="533"/>
        <w:rPr>
          <w:b/>
        </w:rPr>
      </w:pPr>
      <w:r w:rsidRPr="00CD484C">
        <w:rPr>
          <w:b/>
        </w:rPr>
        <w:lastRenderedPageBreak/>
        <w:t xml:space="preserve">Assumptions and performance capability stated in the SSA have not been degraded through </w:t>
      </w:r>
      <w:r w:rsidR="00A2202E">
        <w:rPr>
          <w:b/>
        </w:rPr>
        <w:t xml:space="preserve">changes or </w:t>
      </w:r>
      <w:r w:rsidRPr="00CD484C">
        <w:rPr>
          <w:b/>
        </w:rPr>
        <w:t xml:space="preserve">modifications.  </w:t>
      </w:r>
    </w:p>
    <w:p w14:paraId="66F78B38" w14:textId="77777777" w:rsidR="00684778" w:rsidRPr="007E170E" w:rsidRDefault="00684778" w:rsidP="00DE2E93">
      <w:pPr>
        <w:pStyle w:val="ListParagraph"/>
        <w:spacing w:after="0" w:line="240" w:lineRule="auto"/>
        <w:ind w:left="807" w:hanging="533"/>
      </w:pPr>
    </w:p>
    <w:p w14:paraId="41A4CF17" w14:textId="77777777" w:rsidR="00684778" w:rsidRPr="00CD484C" w:rsidRDefault="00684778" w:rsidP="00DE2E93">
      <w:pPr>
        <w:pStyle w:val="ListParagraph"/>
        <w:numPr>
          <w:ilvl w:val="0"/>
          <w:numId w:val="3"/>
        </w:numPr>
        <w:spacing w:after="0" w:line="240" w:lineRule="auto"/>
        <w:ind w:left="807" w:hanging="533"/>
        <w:rPr>
          <w:b/>
        </w:rPr>
      </w:pPr>
      <w:r w:rsidRPr="00CD484C">
        <w:rPr>
          <w:b/>
        </w:rPr>
        <w:t xml:space="preserve">The FPP documents, such as the Updated Final Safety Analysis Report, fire protection report, FHA, and SSA were updated consistent with the FPP or design change.  </w:t>
      </w:r>
    </w:p>
    <w:p w14:paraId="6AA986D6" w14:textId="77777777" w:rsidR="00684778" w:rsidRPr="007E170E" w:rsidRDefault="00684778" w:rsidP="00DE2E93">
      <w:pPr>
        <w:pStyle w:val="ListParagraph"/>
        <w:spacing w:after="0" w:line="240" w:lineRule="auto"/>
        <w:ind w:left="807" w:hanging="533"/>
      </w:pPr>
    </w:p>
    <w:p w14:paraId="04A6A5A6" w14:textId="4FDEA7BC" w:rsidR="00684778" w:rsidRPr="003B27FD" w:rsidRDefault="00684778" w:rsidP="00DE2E93">
      <w:pPr>
        <w:pStyle w:val="ListParagraph"/>
        <w:numPr>
          <w:ilvl w:val="0"/>
          <w:numId w:val="3"/>
        </w:numPr>
        <w:spacing w:after="0" w:line="240" w:lineRule="auto"/>
        <w:ind w:left="807" w:hanging="533"/>
        <w:rPr>
          <w:b/>
        </w:rPr>
      </w:pPr>
      <w:r w:rsidRPr="00CD484C">
        <w:rPr>
          <w:b/>
        </w:rPr>
        <w:t>Post</w:t>
      </w:r>
      <w:r w:rsidR="00771CCD">
        <w:rPr>
          <w:b/>
        </w:rPr>
        <w:t>-</w:t>
      </w:r>
      <w:r w:rsidRPr="00CD484C">
        <w:rPr>
          <w:b/>
        </w:rPr>
        <w:t>fire SSD operating procedures, such as abnormal operating procedures, affected by the modification were updated.</w:t>
      </w:r>
    </w:p>
    <w:p w14:paraId="6EB60CED" w14:textId="77777777" w:rsidR="003B27FD" w:rsidRPr="007E170E" w:rsidRDefault="003B27FD" w:rsidP="00DE2E93">
      <w:pPr>
        <w:spacing w:after="0" w:line="240" w:lineRule="auto"/>
      </w:pPr>
    </w:p>
    <w:p w14:paraId="6B999F5B" w14:textId="2CA45979" w:rsidR="00684778" w:rsidRPr="00D73B43" w:rsidRDefault="00684778" w:rsidP="007E170E">
      <w:pPr>
        <w:spacing w:after="0" w:line="240" w:lineRule="auto"/>
      </w:pPr>
      <w:r>
        <w:rPr>
          <w:u w:val="single"/>
        </w:rPr>
        <w:t>Specific Guidance</w:t>
      </w:r>
    </w:p>
    <w:p w14:paraId="24AEAF08" w14:textId="77777777" w:rsidR="00684778" w:rsidRDefault="00684778" w:rsidP="007E170E">
      <w:pPr>
        <w:spacing w:after="0" w:line="240" w:lineRule="auto"/>
      </w:pPr>
    </w:p>
    <w:p w14:paraId="4A3206F4" w14:textId="48DBDA97" w:rsidR="00727C0F" w:rsidRPr="00727C0F" w:rsidRDefault="00727C0F" w:rsidP="007E170E">
      <w:pPr>
        <w:spacing w:after="0" w:line="240" w:lineRule="auto"/>
      </w:pPr>
      <w:r w:rsidRPr="00727C0F">
        <w:t>If the licensee has adopted the standard FP license condition, then the licensee may make changes to the approved FPP without prior approval by the Commission only if those changes would not adversely affect the ability to achieve and maintain safe shutdown in the event of a fire.  Within the context of the standard FP license condition, the phrase “not adversely affect the ability to achieve and maintain safe shutdown in the event of a fire,” means to maintain sufficient safety margins.  Reference Regulatory Guide 1.189 for more information on changes to the FPP.</w:t>
      </w:r>
    </w:p>
    <w:p w14:paraId="7C419674" w14:textId="77777777" w:rsidR="00727C0F" w:rsidRPr="00727C0F" w:rsidRDefault="00727C0F" w:rsidP="007E170E">
      <w:pPr>
        <w:spacing w:after="0" w:line="240" w:lineRule="auto"/>
      </w:pPr>
    </w:p>
    <w:p w14:paraId="7B35DBD8" w14:textId="77777777" w:rsidR="00727C0F" w:rsidRPr="00727C0F" w:rsidRDefault="00727C0F" w:rsidP="007E170E">
      <w:pPr>
        <w:spacing w:after="0" w:line="240" w:lineRule="auto"/>
      </w:pPr>
      <w:r w:rsidRPr="00727C0F">
        <w:t>For plants that have transitioned to NFPA 805, licensees must evaluate changes to the FPP, or changes to the plant that might impact the FPP, by using a plant change evaluation process that meets the requirements of NFPA 805, Sections 2.2.9 and 2.4.4. Regulatory Guide 1.205 and NEI 04-02, Revision 2 provide guidelines for implementing the process and the basis for determining if the changes can be licensee approved or will require approval by the NRC.</w:t>
      </w:r>
    </w:p>
    <w:p w14:paraId="5C3FE979" w14:textId="77777777" w:rsidR="00727C0F" w:rsidRPr="00727C0F" w:rsidRDefault="00727C0F" w:rsidP="007E170E">
      <w:pPr>
        <w:spacing w:after="0" w:line="240" w:lineRule="auto"/>
      </w:pPr>
    </w:p>
    <w:p w14:paraId="37792435" w14:textId="22542CA9" w:rsidR="00727C0F" w:rsidRPr="00727C0F" w:rsidRDefault="00727C0F" w:rsidP="007E170E">
      <w:pPr>
        <w:spacing w:after="0" w:line="240" w:lineRule="auto"/>
      </w:pPr>
      <w:r w:rsidRPr="00727C0F">
        <w:t>Modifications to safety-related SSCs could affect FP systems.  Verify that the design basis, licensing basis, performance capability of FP systems, and assumptions as stated in the SSA have not been degraded through changes or modifications to the plant.</w:t>
      </w:r>
      <w:r w:rsidR="00684778">
        <w:t xml:space="preserve">  Refer</w:t>
      </w:r>
      <w:r w:rsidR="00D73B43">
        <w:t xml:space="preserve"> to</w:t>
      </w:r>
      <w:r w:rsidR="00684778">
        <w:t xml:space="preserve"> 71111.18, “Plant M</w:t>
      </w:r>
      <w:r w:rsidR="00D73B43">
        <w:t xml:space="preserve">odifications” for more specific </w:t>
      </w:r>
      <w:r w:rsidR="00684778">
        <w:t xml:space="preserve">guidance related to </w:t>
      </w:r>
      <w:r w:rsidR="00D73B43">
        <w:t xml:space="preserve">inspecting plant </w:t>
      </w:r>
      <w:r w:rsidR="00684778">
        <w:t xml:space="preserve">modifications.  </w:t>
      </w:r>
      <w:r w:rsidRPr="00727C0F">
        <w:t xml:space="preserve">   </w:t>
      </w:r>
    </w:p>
    <w:p w14:paraId="08892CA7" w14:textId="77777777" w:rsidR="00727C0F" w:rsidRDefault="00727C0F" w:rsidP="007E170E">
      <w:pPr>
        <w:spacing w:after="0" w:line="240" w:lineRule="auto"/>
      </w:pPr>
    </w:p>
    <w:p w14:paraId="10EE785F" w14:textId="77777777" w:rsidR="00BA35E7" w:rsidRPr="00727C0F" w:rsidRDefault="00BA35E7" w:rsidP="00DE2E93">
      <w:pPr>
        <w:spacing w:after="0" w:line="240" w:lineRule="auto"/>
      </w:pPr>
    </w:p>
    <w:p w14:paraId="4C35F4EA" w14:textId="53CBA775" w:rsidR="00EA784E" w:rsidRDefault="00EA784E" w:rsidP="00DE2E93">
      <w:pPr>
        <w:spacing w:after="0" w:line="240" w:lineRule="auto"/>
      </w:pPr>
      <w:r>
        <w:t>7</w:t>
      </w:r>
      <w:r w:rsidR="00CE18C1">
        <w:t>1111.21N</w:t>
      </w:r>
      <w:r w:rsidR="00BA35E7">
        <w:t>.05</w:t>
      </w:r>
      <w:r>
        <w:t>-</w:t>
      </w:r>
      <w:r w:rsidR="00790673">
        <w:t>04</w:t>
      </w:r>
      <w:r w:rsidR="00E90C2A">
        <w:t xml:space="preserve">    </w:t>
      </w:r>
      <w:r>
        <w:t>REFERENCES</w:t>
      </w:r>
    </w:p>
    <w:p w14:paraId="46E4089F" w14:textId="77777777" w:rsidR="00BA35E7" w:rsidRDefault="00BA35E7" w:rsidP="00DE2E93">
      <w:pPr>
        <w:spacing w:after="0" w:line="240" w:lineRule="auto"/>
      </w:pPr>
    </w:p>
    <w:p w14:paraId="234D7B0F" w14:textId="56ECD0A4" w:rsidR="000A65CC" w:rsidRPr="000A65CC" w:rsidRDefault="000A65CC" w:rsidP="000A65CC">
      <w:pPr>
        <w:spacing w:after="0" w:line="240" w:lineRule="auto"/>
        <w:contextualSpacing/>
      </w:pPr>
      <w:r w:rsidRPr="000A65CC">
        <w:t>Cross Reference of Generic Communications to IP 71111.0</w:t>
      </w:r>
      <w:r>
        <w:t>5</w:t>
      </w:r>
      <w:r w:rsidRPr="000A65CC">
        <w:t xml:space="preserve"> and Inspection Resources:</w:t>
      </w:r>
    </w:p>
    <w:p w14:paraId="6E76B3E8" w14:textId="46F0D9F6" w:rsidR="000A65CC" w:rsidRPr="000A65CC" w:rsidRDefault="000E27A7" w:rsidP="000A65CC">
      <w:pPr>
        <w:spacing w:after="0" w:line="240" w:lineRule="auto"/>
        <w:contextualSpacing/>
      </w:pPr>
      <w:hyperlink r:id="rId13" w:history="1">
        <w:r w:rsidR="000A65CC" w:rsidRPr="000A65CC">
          <w:rPr>
            <w:rStyle w:val="Hyperlink"/>
          </w:rPr>
          <w:t>https://drupal.nrc.gov/nrr/ope/33988</w:t>
        </w:r>
      </w:hyperlink>
      <w:r w:rsidR="000A65CC" w:rsidRPr="000A65CC">
        <w:t xml:space="preserve"> (non</w:t>
      </w:r>
      <w:r w:rsidR="000D227B">
        <w:t>-</w:t>
      </w:r>
      <w:r w:rsidR="000A65CC" w:rsidRPr="000A65CC">
        <w:t>public)</w:t>
      </w:r>
    </w:p>
    <w:p w14:paraId="5AE0B3BB" w14:textId="77777777" w:rsidR="000A65CC" w:rsidRPr="000A65CC" w:rsidRDefault="000A65CC" w:rsidP="000A65CC">
      <w:pPr>
        <w:spacing w:after="0" w:line="240" w:lineRule="auto"/>
        <w:contextualSpacing/>
      </w:pPr>
    </w:p>
    <w:p w14:paraId="795BEEDD" w14:textId="77777777" w:rsidR="000A65CC" w:rsidRPr="000A65CC" w:rsidRDefault="000A65CC" w:rsidP="000A65CC">
      <w:pPr>
        <w:spacing w:after="0" w:line="240" w:lineRule="auto"/>
        <w:contextualSpacing/>
      </w:pPr>
      <w:r w:rsidRPr="000A65CC">
        <w:t>Operating Experience Gateway:</w:t>
      </w:r>
    </w:p>
    <w:p w14:paraId="56E77DA2" w14:textId="39271DC4" w:rsidR="000A65CC" w:rsidRPr="000A65CC" w:rsidRDefault="000E27A7" w:rsidP="000A65CC">
      <w:pPr>
        <w:spacing w:after="0" w:line="240" w:lineRule="auto"/>
        <w:contextualSpacing/>
      </w:pPr>
      <w:hyperlink r:id="rId14" w:history="1">
        <w:r w:rsidR="000D227B" w:rsidRPr="00CD0EC9">
          <w:rPr>
            <w:rStyle w:val="Hyperlink"/>
          </w:rPr>
          <w:t>http://drupal.nrc.gov/nrr/ope (non-public)</w:t>
        </w:r>
      </w:hyperlink>
    </w:p>
    <w:p w14:paraId="09CB98AE" w14:textId="77777777" w:rsidR="000A65CC" w:rsidRPr="000A65CC" w:rsidRDefault="000A65CC" w:rsidP="000A65CC">
      <w:pPr>
        <w:spacing w:after="0" w:line="240" w:lineRule="auto"/>
        <w:contextualSpacing/>
      </w:pPr>
    </w:p>
    <w:p w14:paraId="62AD031B" w14:textId="77777777" w:rsidR="000A65CC" w:rsidRPr="000A65CC" w:rsidRDefault="000A65CC" w:rsidP="000A65CC">
      <w:pPr>
        <w:spacing w:after="0" w:line="240" w:lineRule="auto"/>
        <w:contextualSpacing/>
      </w:pPr>
      <w:r w:rsidRPr="000A65CC">
        <w:t>IHS Codes and Standards:</w:t>
      </w:r>
    </w:p>
    <w:p w14:paraId="225D0FFB" w14:textId="20E68B76" w:rsidR="000A65CC" w:rsidRPr="000A65CC" w:rsidRDefault="000E27A7" w:rsidP="000A65CC">
      <w:pPr>
        <w:spacing w:after="0" w:line="240" w:lineRule="auto"/>
        <w:contextualSpacing/>
      </w:pPr>
      <w:hyperlink r:id="rId15" w:history="1">
        <w:r w:rsidR="000A65CC" w:rsidRPr="000A65CC">
          <w:rPr>
            <w:rStyle w:val="Hyperlink"/>
          </w:rPr>
          <w:t>http://www.internal.nrc.gov/TICS/library/standards/ihs.html</w:t>
        </w:r>
      </w:hyperlink>
      <w:r w:rsidR="000A65CC" w:rsidRPr="000A65CC">
        <w:t xml:space="preserve"> (non</w:t>
      </w:r>
      <w:r w:rsidR="000D227B">
        <w:t>-</w:t>
      </w:r>
      <w:r w:rsidR="000A65CC" w:rsidRPr="000A65CC">
        <w:t>public)</w:t>
      </w:r>
    </w:p>
    <w:p w14:paraId="673ADC9C" w14:textId="77777777" w:rsidR="000A65CC" w:rsidRPr="000A65CC" w:rsidRDefault="000A65CC" w:rsidP="000A65CC">
      <w:pPr>
        <w:spacing w:after="0" w:line="240" w:lineRule="auto"/>
        <w:contextualSpacing/>
      </w:pPr>
    </w:p>
    <w:p w14:paraId="582E3100" w14:textId="77777777" w:rsidR="000A65CC" w:rsidRPr="000A65CC" w:rsidRDefault="000A65CC" w:rsidP="000A65CC">
      <w:pPr>
        <w:spacing w:after="0" w:line="240" w:lineRule="auto"/>
        <w:contextualSpacing/>
      </w:pPr>
      <w:r w:rsidRPr="000A65CC">
        <w:t xml:space="preserve">U.S. Nuclear Regulatory Commission Technical Library: </w:t>
      </w:r>
    </w:p>
    <w:p w14:paraId="31CB6565" w14:textId="2CADC185" w:rsidR="00BA35E7" w:rsidRDefault="000E27A7" w:rsidP="00DE2E93">
      <w:pPr>
        <w:spacing w:after="0" w:line="240" w:lineRule="auto"/>
        <w:contextualSpacing/>
      </w:pPr>
      <w:hyperlink r:id="rId16" w:history="1">
        <w:r w:rsidR="000A65CC" w:rsidRPr="000A65CC">
          <w:rPr>
            <w:rStyle w:val="Hyperlink"/>
          </w:rPr>
          <w:t>http://www.internal.nrc.gov/TICS/library/index.html</w:t>
        </w:r>
      </w:hyperlink>
      <w:r w:rsidR="000A65CC" w:rsidRPr="000A65CC">
        <w:t xml:space="preserve"> (non</w:t>
      </w:r>
      <w:r w:rsidR="000D227B">
        <w:t>-</w:t>
      </w:r>
      <w:r w:rsidR="000A65CC" w:rsidRPr="000A65CC">
        <w:t>public)</w:t>
      </w:r>
    </w:p>
    <w:p w14:paraId="3E81CFD8" w14:textId="150F70B5" w:rsidR="008E4203" w:rsidRDefault="008E4203" w:rsidP="00DE2E93">
      <w:pPr>
        <w:spacing w:after="0" w:line="240" w:lineRule="auto"/>
        <w:contextualSpacing/>
      </w:pPr>
    </w:p>
    <w:p w14:paraId="0C637E10" w14:textId="77777777" w:rsidR="008E4203" w:rsidRDefault="008E4203" w:rsidP="00DE2E93">
      <w:pPr>
        <w:spacing w:after="0" w:line="240" w:lineRule="auto"/>
        <w:contextualSpacing/>
      </w:pPr>
    </w:p>
    <w:p w14:paraId="061DB444" w14:textId="77777777" w:rsidR="00E90C2A" w:rsidRDefault="00A81275"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1440" w:hanging="1440"/>
        <w:jc w:val="center"/>
        <w:outlineLvl w:val="1"/>
        <w:rPr>
          <w:rFonts w:eastAsia="Times New Roman"/>
          <w:color w:val="auto"/>
        </w:rPr>
        <w:sectPr w:rsidR="00E90C2A" w:rsidSect="00E90C2A">
          <w:pgSz w:w="12240" w:h="15840"/>
          <w:pgMar w:top="1440" w:right="1440" w:bottom="1440" w:left="1440" w:header="720" w:footer="720" w:gutter="0"/>
          <w:cols w:space="720"/>
          <w:docGrid w:linePitch="360"/>
        </w:sectPr>
      </w:pPr>
      <w:r w:rsidRPr="00A81275">
        <w:rPr>
          <w:rFonts w:eastAsia="Times New Roman"/>
          <w:color w:val="auto"/>
        </w:rPr>
        <w:t>END</w:t>
      </w:r>
    </w:p>
    <w:p w14:paraId="100EF829" w14:textId="4A8DA841" w:rsidR="00E90C2A" w:rsidRPr="00E90C2A" w:rsidRDefault="00E90C2A"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1440" w:hanging="1440"/>
        <w:jc w:val="center"/>
        <w:outlineLvl w:val="1"/>
        <w:rPr>
          <w:rFonts w:eastAsia="Times New Roman"/>
          <w:color w:val="auto"/>
        </w:rPr>
      </w:pPr>
      <w:r w:rsidRPr="00E90C2A">
        <w:rPr>
          <w:rFonts w:eastAsia="Times New Roman"/>
          <w:color w:val="auto"/>
          <w:lang w:val="en-CA"/>
        </w:rPr>
        <w:lastRenderedPageBreak/>
        <w:fldChar w:fldCharType="begin"/>
      </w:r>
      <w:r w:rsidRPr="00E90C2A">
        <w:rPr>
          <w:rFonts w:eastAsia="Times New Roman"/>
          <w:color w:val="auto"/>
          <w:lang w:val="en-CA"/>
        </w:rPr>
        <w:instrText xml:space="preserve"> SEQ CHAPTER \h \r 1</w:instrText>
      </w:r>
      <w:r w:rsidRPr="00E90C2A">
        <w:rPr>
          <w:rFonts w:eastAsia="Times New Roman"/>
          <w:color w:val="auto"/>
        </w:rPr>
        <w:fldChar w:fldCharType="end"/>
      </w:r>
      <w:r w:rsidRPr="00E90C2A">
        <w:rPr>
          <w:rFonts w:eastAsia="Times New Roman"/>
          <w:color w:val="auto"/>
        </w:rPr>
        <w:t>Attachment 1</w:t>
      </w:r>
    </w:p>
    <w:p w14:paraId="2952FEC2" w14:textId="1C6D9480" w:rsidR="00E90C2A" w:rsidRPr="00E90C2A" w:rsidRDefault="00E90C2A"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1440" w:hanging="1440"/>
        <w:jc w:val="center"/>
        <w:outlineLvl w:val="1"/>
        <w:rPr>
          <w:rFonts w:eastAsia="Times New Roman"/>
          <w:color w:val="auto"/>
        </w:rPr>
      </w:pPr>
      <w:r w:rsidRPr="00E90C2A">
        <w:rPr>
          <w:rFonts w:eastAsia="Times New Roman"/>
          <w:color w:val="auto"/>
        </w:rPr>
        <w:t>Revision History for IP </w:t>
      </w:r>
      <w:r w:rsidR="00613E99">
        <w:rPr>
          <w:rFonts w:eastAsia="Times New Roman"/>
          <w:color w:val="auto"/>
        </w:rPr>
        <w:t>71111.21N</w:t>
      </w:r>
      <w:r w:rsidR="003C3B70">
        <w:rPr>
          <w:rFonts w:eastAsia="Times New Roman"/>
          <w:color w:val="auto"/>
        </w:rPr>
        <w:t>.05</w:t>
      </w:r>
    </w:p>
    <w:p w14:paraId="6476809B" w14:textId="77777777" w:rsidR="00E90C2A" w:rsidRDefault="00E90C2A"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1440" w:hanging="1440"/>
        <w:jc w:val="center"/>
        <w:outlineLvl w:val="1"/>
        <w:rPr>
          <w:rFonts w:eastAsia="Times New Roman"/>
          <w:color w:val="auto"/>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1710"/>
        <w:gridCol w:w="4551"/>
        <w:gridCol w:w="2019"/>
        <w:gridCol w:w="2661"/>
      </w:tblGrid>
      <w:tr w:rsidR="00F04789" w:rsidRPr="00F04789" w14:paraId="51400448" w14:textId="77777777" w:rsidTr="00BA35E7">
        <w:tc>
          <w:tcPr>
            <w:tcW w:w="1620" w:type="dxa"/>
            <w:tcBorders>
              <w:top w:val="single" w:sz="7" w:space="0" w:color="000000"/>
              <w:left w:val="single" w:sz="7" w:space="0" w:color="000000"/>
              <w:bottom w:val="single" w:sz="7" w:space="0" w:color="000000"/>
              <w:right w:val="single" w:sz="7" w:space="0" w:color="000000"/>
            </w:tcBorders>
          </w:tcPr>
          <w:p w14:paraId="441F23F7"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79B39936"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F04789">
              <w:rPr>
                <w:rFonts w:eastAsia="Times New Roman"/>
                <w:color w:val="auto"/>
              </w:rPr>
              <w:t>Accession Number</w:t>
            </w:r>
            <w:r w:rsidRPr="00F04789" w:rsidDel="00657BD1">
              <w:rPr>
                <w:rFonts w:eastAsia="Times New Roman"/>
                <w:color w:val="auto"/>
              </w:rPr>
              <w:t xml:space="preserve"> </w:t>
            </w:r>
          </w:p>
          <w:p w14:paraId="7A09AEB1"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F04789">
              <w:rPr>
                <w:rFonts w:eastAsia="Times New Roman"/>
                <w:color w:val="auto"/>
              </w:rPr>
              <w:t>Issue Date</w:t>
            </w:r>
          </w:p>
          <w:p w14:paraId="607FA2BA"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F04789">
              <w:rPr>
                <w:rFonts w:eastAsia="Times New Roman"/>
                <w:color w:val="auto"/>
              </w:rPr>
              <w:t>Change Notice</w:t>
            </w:r>
          </w:p>
        </w:tc>
        <w:tc>
          <w:tcPr>
            <w:tcW w:w="4551" w:type="dxa"/>
            <w:tcBorders>
              <w:top w:val="single" w:sz="7" w:space="0" w:color="000000"/>
              <w:left w:val="single" w:sz="7" w:space="0" w:color="000000"/>
              <w:bottom w:val="single" w:sz="7" w:space="0" w:color="000000"/>
              <w:right w:val="single" w:sz="7" w:space="0" w:color="000000"/>
            </w:tcBorders>
          </w:tcPr>
          <w:p w14:paraId="1B929F1A"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F04789">
              <w:rPr>
                <w:rFonts w:eastAsia="Times New Roman"/>
                <w:color w:val="auto"/>
              </w:rPr>
              <w:t>Description of Change</w:t>
            </w:r>
          </w:p>
        </w:tc>
        <w:tc>
          <w:tcPr>
            <w:tcW w:w="2019" w:type="dxa"/>
            <w:tcBorders>
              <w:top w:val="single" w:sz="7" w:space="0" w:color="000000"/>
              <w:left w:val="single" w:sz="7" w:space="0" w:color="000000"/>
              <w:bottom w:val="single" w:sz="7" w:space="0" w:color="000000"/>
              <w:right w:val="single" w:sz="7" w:space="0" w:color="000000"/>
            </w:tcBorders>
          </w:tcPr>
          <w:p w14:paraId="62EE60A4"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Description of Training Required and Completion Date</w:t>
            </w:r>
          </w:p>
        </w:tc>
        <w:tc>
          <w:tcPr>
            <w:tcW w:w="2661" w:type="dxa"/>
            <w:tcBorders>
              <w:top w:val="single" w:sz="7" w:space="0" w:color="000000"/>
              <w:left w:val="single" w:sz="7" w:space="0" w:color="000000"/>
              <w:bottom w:val="single" w:sz="7" w:space="0" w:color="000000"/>
              <w:right w:val="single" w:sz="7" w:space="0" w:color="000000"/>
            </w:tcBorders>
          </w:tcPr>
          <w:p w14:paraId="6DFE5642"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Comment Resolution and Closed Feedback Form Accession Number (Pre-Decisional, Non-Public Information)</w:t>
            </w:r>
          </w:p>
        </w:tc>
      </w:tr>
      <w:tr w:rsidR="00F04789" w:rsidRPr="00F04789" w14:paraId="5F31368A" w14:textId="77777777" w:rsidTr="00BA35E7">
        <w:tc>
          <w:tcPr>
            <w:tcW w:w="1620" w:type="dxa"/>
            <w:tcBorders>
              <w:top w:val="single" w:sz="7" w:space="0" w:color="000000"/>
              <w:left w:val="single" w:sz="7" w:space="0" w:color="000000"/>
              <w:bottom w:val="single" w:sz="7" w:space="0" w:color="000000"/>
              <w:right w:val="single" w:sz="7" w:space="0" w:color="000000"/>
            </w:tcBorders>
          </w:tcPr>
          <w:p w14:paraId="2E65F222"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N/A</w:t>
            </w:r>
          </w:p>
        </w:tc>
        <w:tc>
          <w:tcPr>
            <w:tcW w:w="1710" w:type="dxa"/>
            <w:tcBorders>
              <w:top w:val="single" w:sz="7" w:space="0" w:color="000000"/>
              <w:left w:val="single" w:sz="7" w:space="0" w:color="000000"/>
              <w:bottom w:val="single" w:sz="7" w:space="0" w:color="000000"/>
              <w:right w:val="single" w:sz="7" w:space="0" w:color="000000"/>
            </w:tcBorders>
          </w:tcPr>
          <w:p w14:paraId="135E28A7" w14:textId="5C8604A8" w:rsidR="00BA35E7" w:rsidRDefault="003C3B70"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3C3B70">
              <w:rPr>
                <w:rFonts w:eastAsia="Times New Roman"/>
                <w:color w:val="auto"/>
              </w:rPr>
              <w:t>ML19084A040</w:t>
            </w:r>
          </w:p>
          <w:p w14:paraId="1806D90C" w14:textId="44C156EC" w:rsidR="00F04789" w:rsidRPr="00F04789" w:rsidRDefault="000D227B"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06/12/19</w:t>
            </w:r>
          </w:p>
          <w:p w14:paraId="59C15AE7" w14:textId="6A45D793" w:rsidR="00F04789" w:rsidRPr="00F04789" w:rsidRDefault="00BA35E7"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CN 19</w:t>
            </w:r>
            <w:r w:rsidR="000D227B">
              <w:rPr>
                <w:rFonts w:eastAsia="Times New Roman"/>
                <w:color w:val="auto"/>
              </w:rPr>
              <w:t>-019</w:t>
            </w:r>
          </w:p>
        </w:tc>
        <w:tc>
          <w:tcPr>
            <w:tcW w:w="4551" w:type="dxa"/>
            <w:tcBorders>
              <w:top w:val="single" w:sz="7" w:space="0" w:color="000000"/>
              <w:left w:val="single" w:sz="7" w:space="0" w:color="000000"/>
              <w:bottom w:val="single" w:sz="7" w:space="0" w:color="000000"/>
              <w:right w:val="single" w:sz="7" w:space="0" w:color="000000"/>
            </w:tcBorders>
          </w:tcPr>
          <w:p w14:paraId="69C93CF0" w14:textId="2AF68C8A" w:rsidR="00F04789" w:rsidRPr="00F04789" w:rsidRDefault="00BA35E7"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First issuance. Completed 4-year search for commitments and found none.</w:t>
            </w:r>
            <w:r>
              <w:rPr>
                <w:rFonts w:eastAsia="Times New Roman"/>
                <w:color w:val="auto"/>
              </w:rPr>
              <w:t xml:space="preserve">  </w:t>
            </w:r>
            <w:r w:rsidR="00F04789" w:rsidRPr="00F04789">
              <w:rPr>
                <w:rFonts w:eastAsia="Times New Roman"/>
                <w:color w:val="auto"/>
              </w:rPr>
              <w:t>This procedure replaces IPs 71111.05T and 71111.05XT.  The following FBFs associated with those two IPs were closed:</w:t>
            </w:r>
          </w:p>
          <w:p w14:paraId="6833A80A" w14:textId="77777777" w:rsidR="00F04789" w:rsidRPr="00F04789" w:rsidRDefault="00F04789" w:rsidP="00BA35E7">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contextualSpacing/>
              <w:outlineLvl w:val="1"/>
              <w:rPr>
                <w:rFonts w:eastAsia="Times New Roman"/>
                <w:color w:val="auto"/>
              </w:rPr>
            </w:pPr>
            <w:r w:rsidRPr="00F04789">
              <w:rPr>
                <w:rFonts w:eastAsia="Times New Roman"/>
                <w:color w:val="auto"/>
              </w:rPr>
              <w:t>The recommendation to rename B.5.b equipment will not be incorporated since this equipment will not be inspected by this FEI.</w:t>
            </w:r>
          </w:p>
          <w:p w14:paraId="20C27435" w14:textId="77777777" w:rsidR="00F04789" w:rsidRPr="00F04789" w:rsidRDefault="00F04789" w:rsidP="00BA35E7">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contextualSpacing/>
              <w:outlineLvl w:val="1"/>
              <w:rPr>
                <w:rFonts w:eastAsia="Times New Roman"/>
                <w:color w:val="auto"/>
              </w:rPr>
            </w:pPr>
            <w:r w:rsidRPr="00F04789">
              <w:rPr>
                <w:rFonts w:eastAsia="Times New Roman"/>
                <w:color w:val="auto"/>
              </w:rPr>
              <w:t xml:space="preserve">Performance-based aging management inspection guidance has been incorporated in Section 03.01 f. </w:t>
            </w:r>
          </w:p>
          <w:p w14:paraId="5EF0D04C" w14:textId="1ED18A4C" w:rsidR="00F04789" w:rsidRPr="00F04789" w:rsidRDefault="00F04789" w:rsidP="00BA35E7">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contextualSpacing/>
              <w:outlineLvl w:val="1"/>
              <w:rPr>
                <w:rFonts w:eastAsia="Times New Roman"/>
                <w:color w:val="auto"/>
              </w:rPr>
            </w:pPr>
            <w:r w:rsidRPr="00F04789">
              <w:rPr>
                <w:rFonts w:eastAsia="Times New Roman"/>
                <w:color w:val="auto"/>
              </w:rPr>
              <w:t>A statement in the corrective action portion to require inspectors to review the past corrective action documents that resulted from the last FEI has be</w:t>
            </w:r>
            <w:r w:rsidR="003C3B70">
              <w:rPr>
                <w:rFonts w:eastAsia="Times New Roman"/>
                <w:color w:val="auto"/>
              </w:rPr>
              <w:t>en incorporated into 7111.21N.05</w:t>
            </w:r>
            <w:r w:rsidRPr="00F04789">
              <w:rPr>
                <w:rFonts w:eastAsia="Times New Roman"/>
                <w:color w:val="auto"/>
              </w:rPr>
              <w:t xml:space="preserve">.02, “GENERAL GUIDANCE”.  </w:t>
            </w:r>
          </w:p>
          <w:p w14:paraId="1E0064A3" w14:textId="63A73B62" w:rsidR="00F04789" w:rsidRPr="00BA35E7" w:rsidRDefault="00F04789" w:rsidP="00BA35E7">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contextualSpacing/>
              <w:outlineLvl w:val="1"/>
              <w:rPr>
                <w:rFonts w:eastAsia="Times New Roman"/>
                <w:color w:val="auto"/>
              </w:rPr>
            </w:pPr>
            <w:r w:rsidRPr="00F04789">
              <w:rPr>
                <w:rFonts w:eastAsia="Times New Roman"/>
                <w:color w:val="auto"/>
              </w:rPr>
              <w:t xml:space="preserve">A review of the licensee’s combustible control program has been </w:t>
            </w:r>
            <w:r w:rsidR="003C3B70">
              <w:rPr>
                <w:rFonts w:eastAsia="Times New Roman"/>
                <w:color w:val="auto"/>
              </w:rPr>
              <w:t>included in Section 71111.21N.05</w:t>
            </w:r>
            <w:r w:rsidRPr="00F04789">
              <w:rPr>
                <w:rFonts w:eastAsia="Times New Roman"/>
                <w:color w:val="auto"/>
              </w:rPr>
              <w:t xml:space="preserve">-02, “GENERAL GUIDANCE”.  </w:t>
            </w:r>
          </w:p>
        </w:tc>
        <w:tc>
          <w:tcPr>
            <w:tcW w:w="2019" w:type="dxa"/>
            <w:tcBorders>
              <w:top w:val="single" w:sz="7" w:space="0" w:color="000000"/>
              <w:left w:val="single" w:sz="7" w:space="0" w:color="000000"/>
              <w:bottom w:val="single" w:sz="7" w:space="0" w:color="000000"/>
              <w:right w:val="single" w:sz="7" w:space="0" w:color="000000"/>
            </w:tcBorders>
          </w:tcPr>
          <w:p w14:paraId="102183AE" w14:textId="77777777" w:rsidR="00F04789" w:rsidRPr="00F04789" w:rsidRDefault="00F04789"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None</w:t>
            </w:r>
          </w:p>
        </w:tc>
        <w:tc>
          <w:tcPr>
            <w:tcW w:w="2661" w:type="dxa"/>
            <w:tcBorders>
              <w:top w:val="single" w:sz="7" w:space="0" w:color="000000"/>
              <w:left w:val="single" w:sz="7" w:space="0" w:color="000000"/>
              <w:bottom w:val="single" w:sz="7" w:space="0" w:color="000000"/>
              <w:right w:val="single" w:sz="7" w:space="0" w:color="000000"/>
            </w:tcBorders>
          </w:tcPr>
          <w:p w14:paraId="70C5621B" w14:textId="338042F7" w:rsidR="00F04789" w:rsidRPr="00F04789" w:rsidRDefault="003C3B70" w:rsidP="00DE2E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3C3B70">
              <w:rPr>
                <w:rFonts w:eastAsia="Times New Roman"/>
                <w:color w:val="auto"/>
              </w:rPr>
              <w:t>ML19084A044</w:t>
            </w:r>
          </w:p>
          <w:p w14:paraId="5F5192FA"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71111.05T-1947 ML19051A020</w:t>
            </w:r>
          </w:p>
          <w:p w14:paraId="578073AF"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71111.05T-2056 ML19051A021</w:t>
            </w:r>
          </w:p>
          <w:p w14:paraId="75E2EBDE"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71111.05T-2292 ML19051A022</w:t>
            </w:r>
          </w:p>
          <w:p w14:paraId="1D7FA80D"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71111.05XT-2216 ML19051A023</w:t>
            </w:r>
          </w:p>
          <w:p w14:paraId="455EACB3"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71111.05XT-2293 ML19051A024</w:t>
            </w:r>
          </w:p>
          <w:p w14:paraId="5C142EC9"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71111.05XT-2334 ML19051A025</w:t>
            </w:r>
          </w:p>
          <w:p w14:paraId="0D53B41B" w14:textId="77777777" w:rsidR="00F04789" w:rsidRPr="00F04789" w:rsidRDefault="00F04789" w:rsidP="00BA35E7">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01" w:hanging="201"/>
              <w:contextualSpacing/>
              <w:outlineLvl w:val="1"/>
              <w:rPr>
                <w:rFonts w:eastAsia="Times New Roman"/>
                <w:color w:val="auto"/>
              </w:rPr>
            </w:pPr>
            <w:r w:rsidRPr="00F04789">
              <w:rPr>
                <w:rFonts w:eastAsia="Times New Roman"/>
                <w:color w:val="auto"/>
              </w:rPr>
              <w:t>Closed FBF:  71111.05XT-2341 ML19051A026</w:t>
            </w:r>
          </w:p>
        </w:tc>
      </w:tr>
    </w:tbl>
    <w:p w14:paraId="719411E8" w14:textId="77777777" w:rsidR="00BA35E7" w:rsidRDefault="00BA35E7">
      <w:pPr>
        <w:sectPr w:rsidR="00BA35E7" w:rsidSect="00A21BB5">
          <w:footerReference w:type="default" r:id="rId17"/>
          <w:pgSz w:w="15840" w:h="12240" w:orient="landscape"/>
          <w:pgMar w:top="1440" w:right="1440" w:bottom="1440" w:left="1440" w:header="720" w:footer="720" w:gutter="0"/>
          <w:pgNumType w:start="1"/>
          <w:cols w:space="720"/>
          <w:docGrid w:linePitch="360"/>
        </w:sectPr>
      </w:pPr>
    </w:p>
    <w:p w14:paraId="052FF4B7" w14:textId="1BCBB965" w:rsidR="00BA35E7" w:rsidRDefault="00BA35E7" w:rsidP="00BA35E7">
      <w:pPr>
        <w:spacing w:after="0" w:line="240"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1710"/>
        <w:gridCol w:w="4551"/>
        <w:gridCol w:w="2019"/>
        <w:gridCol w:w="2661"/>
      </w:tblGrid>
      <w:tr w:rsidR="00BA35E7" w:rsidRPr="00F04789" w14:paraId="3B847560" w14:textId="77777777" w:rsidTr="00BA35E7">
        <w:tc>
          <w:tcPr>
            <w:tcW w:w="1620" w:type="dxa"/>
            <w:tcBorders>
              <w:top w:val="single" w:sz="7" w:space="0" w:color="000000"/>
              <w:left w:val="single" w:sz="7" w:space="0" w:color="000000"/>
              <w:bottom w:val="single" w:sz="7" w:space="0" w:color="000000"/>
              <w:right w:val="single" w:sz="7" w:space="0" w:color="000000"/>
            </w:tcBorders>
          </w:tcPr>
          <w:p w14:paraId="3F4D8090" w14:textId="3C0759E8"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0110F49F" w14:textId="7777777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F04789">
              <w:rPr>
                <w:rFonts w:eastAsia="Times New Roman"/>
                <w:color w:val="auto"/>
              </w:rPr>
              <w:t>Accession Number</w:t>
            </w:r>
            <w:r w:rsidRPr="00F04789" w:rsidDel="00657BD1">
              <w:rPr>
                <w:rFonts w:eastAsia="Times New Roman"/>
                <w:color w:val="auto"/>
              </w:rPr>
              <w:t xml:space="preserve"> </w:t>
            </w:r>
          </w:p>
          <w:p w14:paraId="02853B5A" w14:textId="7777777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F04789">
              <w:rPr>
                <w:rFonts w:eastAsia="Times New Roman"/>
                <w:color w:val="auto"/>
              </w:rPr>
              <w:t>Issue Date</w:t>
            </w:r>
          </w:p>
          <w:p w14:paraId="1B49DFEB" w14:textId="4C42990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Change Notice</w:t>
            </w:r>
          </w:p>
        </w:tc>
        <w:tc>
          <w:tcPr>
            <w:tcW w:w="4551" w:type="dxa"/>
            <w:tcBorders>
              <w:top w:val="single" w:sz="7" w:space="0" w:color="000000"/>
              <w:left w:val="single" w:sz="7" w:space="0" w:color="000000"/>
              <w:bottom w:val="single" w:sz="7" w:space="0" w:color="000000"/>
              <w:right w:val="single" w:sz="7" w:space="0" w:color="000000"/>
            </w:tcBorders>
          </w:tcPr>
          <w:p w14:paraId="7C1FF869" w14:textId="31F582C3"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720"/>
              <w:contextualSpacing/>
              <w:outlineLvl w:val="1"/>
              <w:rPr>
                <w:rFonts w:eastAsia="Times New Roman"/>
                <w:color w:val="auto"/>
              </w:rPr>
            </w:pPr>
            <w:r w:rsidRPr="00F04789">
              <w:rPr>
                <w:rFonts w:eastAsia="Times New Roman"/>
                <w:color w:val="auto"/>
              </w:rPr>
              <w:t>Description of Change</w:t>
            </w:r>
          </w:p>
        </w:tc>
        <w:tc>
          <w:tcPr>
            <w:tcW w:w="2019" w:type="dxa"/>
            <w:tcBorders>
              <w:top w:val="single" w:sz="7" w:space="0" w:color="000000"/>
              <w:left w:val="single" w:sz="7" w:space="0" w:color="000000"/>
              <w:bottom w:val="single" w:sz="7" w:space="0" w:color="000000"/>
              <w:right w:val="single" w:sz="7" w:space="0" w:color="000000"/>
            </w:tcBorders>
          </w:tcPr>
          <w:p w14:paraId="7189BD44" w14:textId="32A63C92"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Description of Training Required and Completion Date</w:t>
            </w:r>
          </w:p>
        </w:tc>
        <w:tc>
          <w:tcPr>
            <w:tcW w:w="2661" w:type="dxa"/>
            <w:tcBorders>
              <w:top w:val="single" w:sz="7" w:space="0" w:color="000000"/>
              <w:left w:val="single" w:sz="7" w:space="0" w:color="000000"/>
              <w:bottom w:val="single" w:sz="7" w:space="0" w:color="000000"/>
              <w:right w:val="single" w:sz="7" w:space="0" w:color="000000"/>
            </w:tcBorders>
          </w:tcPr>
          <w:p w14:paraId="4C2ED3E9" w14:textId="2E6E7CB0"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F04789">
              <w:rPr>
                <w:rFonts w:eastAsia="Times New Roman"/>
                <w:color w:val="auto"/>
              </w:rPr>
              <w:t>Comment Resolution and Closed Feedback Form Accession Number (Pre-Decisional, Non-Public Information)</w:t>
            </w:r>
          </w:p>
        </w:tc>
      </w:tr>
      <w:tr w:rsidR="00BA35E7" w:rsidRPr="00F04789" w14:paraId="1EBAD3F0" w14:textId="77777777" w:rsidTr="00BA35E7">
        <w:tc>
          <w:tcPr>
            <w:tcW w:w="1620" w:type="dxa"/>
            <w:tcBorders>
              <w:top w:val="single" w:sz="7" w:space="0" w:color="000000"/>
              <w:left w:val="single" w:sz="7" w:space="0" w:color="000000"/>
              <w:bottom w:val="single" w:sz="7" w:space="0" w:color="000000"/>
              <w:right w:val="single" w:sz="7" w:space="0" w:color="000000"/>
            </w:tcBorders>
          </w:tcPr>
          <w:p w14:paraId="4012CB87" w14:textId="7777777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c>
          <w:tcPr>
            <w:tcW w:w="1710" w:type="dxa"/>
            <w:tcBorders>
              <w:top w:val="single" w:sz="7" w:space="0" w:color="000000"/>
              <w:left w:val="single" w:sz="7" w:space="0" w:color="000000"/>
              <w:bottom w:val="single" w:sz="7" w:space="0" w:color="000000"/>
              <w:right w:val="single" w:sz="7" w:space="0" w:color="000000"/>
            </w:tcBorders>
          </w:tcPr>
          <w:p w14:paraId="2C16C319" w14:textId="7777777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c>
          <w:tcPr>
            <w:tcW w:w="4551" w:type="dxa"/>
            <w:tcBorders>
              <w:top w:val="single" w:sz="7" w:space="0" w:color="000000"/>
              <w:left w:val="single" w:sz="7" w:space="0" w:color="000000"/>
              <w:bottom w:val="single" w:sz="7" w:space="0" w:color="000000"/>
              <w:right w:val="single" w:sz="7" w:space="0" w:color="000000"/>
            </w:tcBorders>
          </w:tcPr>
          <w:p w14:paraId="73CC3400" w14:textId="4810ED87" w:rsidR="00BA35E7" w:rsidRPr="00F04789" w:rsidRDefault="00BA35E7" w:rsidP="00BA35E7">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hanging="381"/>
              <w:contextualSpacing/>
              <w:outlineLvl w:val="1"/>
              <w:rPr>
                <w:rFonts w:eastAsia="Times New Roman"/>
                <w:color w:val="auto"/>
              </w:rPr>
            </w:pPr>
            <w:r w:rsidRPr="00F04789">
              <w:rPr>
                <w:rFonts w:eastAsia="Times New Roman"/>
                <w:color w:val="auto"/>
              </w:rPr>
              <w:t>A statement in the corrective action portion to require inspectors to review the past corrective action documents that resulted from the last FEI has be</w:t>
            </w:r>
            <w:r w:rsidR="003C3B70">
              <w:rPr>
                <w:rFonts w:eastAsia="Times New Roman"/>
                <w:color w:val="auto"/>
              </w:rPr>
              <w:t>en incorporated into 7111.21N.05</w:t>
            </w:r>
            <w:r w:rsidRPr="00F04789">
              <w:rPr>
                <w:rFonts w:eastAsia="Times New Roman"/>
                <w:color w:val="auto"/>
              </w:rPr>
              <w:t xml:space="preserve">.02, “GENERAL GUIDANCE”.    </w:t>
            </w:r>
          </w:p>
          <w:p w14:paraId="4D8A6C30" w14:textId="470F0188" w:rsidR="00D9756B" w:rsidRDefault="00BA35E7" w:rsidP="00BA35E7">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hanging="291"/>
              <w:contextualSpacing/>
              <w:outlineLvl w:val="1"/>
              <w:rPr>
                <w:rFonts w:eastAsia="Times New Roman"/>
                <w:color w:val="auto"/>
              </w:rPr>
            </w:pPr>
            <w:r w:rsidRPr="00F04789">
              <w:rPr>
                <w:rFonts w:eastAsia="Times New Roman"/>
                <w:color w:val="auto"/>
              </w:rPr>
              <w:t>A review of the licensee’s combustible control program has been included in Section 71111.21N.0</w:t>
            </w:r>
            <w:r w:rsidR="003C3B70">
              <w:rPr>
                <w:rFonts w:eastAsia="Times New Roman"/>
                <w:color w:val="auto"/>
              </w:rPr>
              <w:t>5</w:t>
            </w:r>
            <w:r w:rsidRPr="00F04789">
              <w:rPr>
                <w:rFonts w:eastAsia="Times New Roman"/>
                <w:color w:val="auto"/>
              </w:rPr>
              <w:t xml:space="preserve">-02, “GENERAL GUIDANCE” section.  </w:t>
            </w:r>
          </w:p>
          <w:p w14:paraId="004773BF" w14:textId="55197AD7" w:rsidR="00BA35E7" w:rsidRPr="00D9756B" w:rsidRDefault="00BA35E7" w:rsidP="00BA35E7">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91" w:hanging="291"/>
              <w:contextualSpacing/>
              <w:outlineLvl w:val="1"/>
              <w:rPr>
                <w:rFonts w:eastAsia="Times New Roman"/>
                <w:color w:val="auto"/>
              </w:rPr>
            </w:pPr>
            <w:r w:rsidRPr="00D9756B">
              <w:rPr>
                <w:rFonts w:eastAsia="Times New Roman"/>
                <w:color w:val="auto"/>
              </w:rPr>
              <w:t xml:space="preserve">The recommendation to request any documents to support inspector preparation or evaluation of the Fire Protection System Monitoring Program will not be incorporated since the FEI will not include guidance to request fire protection-related documents.  </w:t>
            </w:r>
          </w:p>
        </w:tc>
        <w:tc>
          <w:tcPr>
            <w:tcW w:w="2019" w:type="dxa"/>
            <w:tcBorders>
              <w:top w:val="single" w:sz="7" w:space="0" w:color="000000"/>
              <w:left w:val="single" w:sz="7" w:space="0" w:color="000000"/>
              <w:bottom w:val="single" w:sz="7" w:space="0" w:color="000000"/>
              <w:right w:val="single" w:sz="7" w:space="0" w:color="000000"/>
            </w:tcBorders>
          </w:tcPr>
          <w:p w14:paraId="50301BCF" w14:textId="7777777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c>
          <w:tcPr>
            <w:tcW w:w="2661" w:type="dxa"/>
            <w:tcBorders>
              <w:top w:val="single" w:sz="7" w:space="0" w:color="000000"/>
              <w:left w:val="single" w:sz="7" w:space="0" w:color="000000"/>
              <w:bottom w:val="single" w:sz="7" w:space="0" w:color="000000"/>
              <w:right w:val="single" w:sz="7" w:space="0" w:color="000000"/>
            </w:tcBorders>
          </w:tcPr>
          <w:p w14:paraId="60A7C198" w14:textId="77777777" w:rsidR="00BA35E7" w:rsidRPr="00F04789" w:rsidRDefault="00BA35E7" w:rsidP="00BA35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r>
    </w:tbl>
    <w:p w14:paraId="23A3704A" w14:textId="0E95EE07" w:rsidR="005475D5" w:rsidRDefault="005475D5" w:rsidP="00DE2E93">
      <w:pPr>
        <w:spacing w:after="0" w:line="240" w:lineRule="auto"/>
      </w:pPr>
    </w:p>
    <w:sectPr w:rsidR="005475D5" w:rsidSect="00A21BB5">
      <w:footerReference w:type="default" r:id="rId1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5F0EC" w14:textId="77777777" w:rsidR="00DA5ADB" w:rsidRDefault="00DA5ADB" w:rsidP="00E6401D">
      <w:pPr>
        <w:spacing w:after="0" w:line="240" w:lineRule="auto"/>
      </w:pPr>
      <w:r>
        <w:separator/>
      </w:r>
    </w:p>
  </w:endnote>
  <w:endnote w:type="continuationSeparator" w:id="0">
    <w:p w14:paraId="37CC9703" w14:textId="77777777" w:rsidR="00DA5ADB" w:rsidRDefault="00DA5ADB" w:rsidP="00E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E93F8" w14:textId="739C1C26" w:rsidR="00A21BB5" w:rsidRPr="00A21BB5" w:rsidRDefault="00A21BB5" w:rsidP="00A21BB5">
    <w:pPr>
      <w:pStyle w:val="Footer"/>
    </w:pPr>
    <w:r w:rsidRPr="00A21BB5">
      <w:t xml:space="preserve">Issue Date:  </w:t>
    </w:r>
    <w:r w:rsidR="000D227B">
      <w:t>06/12/19</w:t>
    </w:r>
    <w:r w:rsidRPr="00A21BB5">
      <w:tab/>
    </w:r>
    <w:r w:rsidRPr="00A21BB5">
      <w:fldChar w:fldCharType="begin"/>
    </w:r>
    <w:r w:rsidRPr="00A21BB5">
      <w:instrText xml:space="preserve"> PAGE   \* MERGEFORMAT </w:instrText>
    </w:r>
    <w:r w:rsidRPr="00A21BB5">
      <w:fldChar w:fldCharType="separate"/>
    </w:r>
    <w:r w:rsidR="00A268FE">
      <w:rPr>
        <w:noProof/>
      </w:rPr>
      <w:t>1</w:t>
    </w:r>
    <w:r w:rsidRPr="00A21BB5">
      <w:fldChar w:fldCharType="end"/>
    </w:r>
    <w:r>
      <w:tab/>
      <w:t>71111.21N</w:t>
    </w:r>
    <w:r w:rsidR="00BA35E7">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F86F" w14:textId="5DA10363" w:rsidR="00B62D92" w:rsidRPr="00B62D92" w:rsidRDefault="00B62D92" w:rsidP="00B62D92">
    <w:pPr>
      <w:tabs>
        <w:tab w:val="center" w:pos="6480"/>
        <w:tab w:val="right" w:pos="12960"/>
      </w:tabs>
      <w:spacing w:after="0" w:line="240" w:lineRule="auto"/>
      <w:ind w:right="360"/>
      <w:rPr>
        <w:rFonts w:eastAsia="Times New Roman" w:cs="Times New Roman"/>
        <w:color w:val="auto"/>
      </w:rPr>
    </w:pPr>
    <w:r w:rsidRPr="00B62D92">
      <w:rPr>
        <w:rFonts w:eastAsia="Times New Roman" w:cs="Times New Roman"/>
        <w:color w:val="auto"/>
      </w:rPr>
      <w:t xml:space="preserve">Issue Date:  </w:t>
    </w:r>
    <w:r w:rsidR="007E170E">
      <w:rPr>
        <w:rFonts w:eastAsia="Times New Roman" w:cs="Times New Roman"/>
        <w:color w:val="auto"/>
      </w:rPr>
      <w:t>06/12/19</w:t>
    </w:r>
    <w:r w:rsidRPr="00B62D92">
      <w:rPr>
        <w:rFonts w:eastAsia="Times New Roman" w:cs="Times New Roman"/>
        <w:color w:val="auto"/>
      </w:rPr>
      <w:tab/>
    </w:r>
    <w:proofErr w:type="spellStart"/>
    <w:r w:rsidR="007D5B58" w:rsidRPr="007D5B58">
      <w:rPr>
        <w:rFonts w:eastAsia="Times New Roman"/>
        <w:color w:val="auto"/>
      </w:rPr>
      <w:t>Att</w:t>
    </w:r>
    <w:proofErr w:type="spellEnd"/>
    <w:r w:rsidR="007D5B58" w:rsidRPr="007D5B58">
      <w:rPr>
        <w:rFonts w:eastAsia="Times New Roman"/>
        <w:color w:val="auto"/>
      </w:rPr>
      <w:t xml:space="preserve"> 1-</w:t>
    </w:r>
    <w:r w:rsidR="007D5B58" w:rsidRPr="007D5B58">
      <w:rPr>
        <w:rFonts w:eastAsia="Times New Roman"/>
        <w:color w:val="auto"/>
      </w:rPr>
      <w:fldChar w:fldCharType="begin"/>
    </w:r>
    <w:r w:rsidR="007D5B58" w:rsidRPr="007D5B58">
      <w:rPr>
        <w:rFonts w:eastAsia="Times New Roman"/>
        <w:color w:val="auto"/>
      </w:rPr>
      <w:instrText xml:space="preserve"> PAGE   \* MERGEFORMAT </w:instrText>
    </w:r>
    <w:r w:rsidR="007D5B58" w:rsidRPr="007D5B58">
      <w:rPr>
        <w:rFonts w:eastAsia="Times New Roman"/>
        <w:color w:val="auto"/>
      </w:rPr>
      <w:fldChar w:fldCharType="separate"/>
    </w:r>
    <w:r w:rsidR="00A268FE">
      <w:rPr>
        <w:rFonts w:eastAsia="Times New Roman"/>
        <w:noProof/>
        <w:color w:val="auto"/>
      </w:rPr>
      <w:t>1</w:t>
    </w:r>
    <w:r w:rsidR="007D5B58" w:rsidRPr="007D5B58">
      <w:rPr>
        <w:rFonts w:eastAsia="Times New Roman"/>
        <w:noProof/>
        <w:color w:val="auto"/>
      </w:rPr>
      <w:fldChar w:fldCharType="end"/>
    </w:r>
    <w:r w:rsidRPr="00B62D92">
      <w:rPr>
        <w:rFonts w:eastAsia="Times New Roman" w:cs="Times New Roman"/>
        <w:color w:val="auto"/>
      </w:rPr>
      <w:tab/>
    </w:r>
    <w:r>
      <w:rPr>
        <w:rFonts w:eastAsia="Times New Roman" w:cs="Times New Roman"/>
        <w:color w:val="auto"/>
      </w:rPr>
      <w:t>71111.21N</w:t>
    </w:r>
    <w:r w:rsidR="003C3B70">
      <w:rPr>
        <w:rFonts w:eastAsia="Times New Roman" w:cs="Times New Roman"/>
        <w:color w:val="auto"/>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0194" w14:textId="0A702E4F" w:rsidR="00BA35E7" w:rsidRPr="00B62D92" w:rsidRDefault="00BA35E7" w:rsidP="00B62D92">
    <w:pPr>
      <w:tabs>
        <w:tab w:val="center" w:pos="6480"/>
        <w:tab w:val="right" w:pos="12960"/>
      </w:tabs>
      <w:spacing w:after="0" w:line="240" w:lineRule="auto"/>
      <w:ind w:right="360"/>
      <w:rPr>
        <w:rFonts w:eastAsia="Times New Roman" w:cs="Times New Roman"/>
        <w:color w:val="auto"/>
      </w:rPr>
    </w:pPr>
    <w:r w:rsidRPr="00B62D92">
      <w:rPr>
        <w:rFonts w:eastAsia="Times New Roman" w:cs="Times New Roman"/>
        <w:color w:val="auto"/>
      </w:rPr>
      <w:t xml:space="preserve">Issue Date:  </w:t>
    </w:r>
    <w:r w:rsidR="007E170E">
      <w:rPr>
        <w:rFonts w:eastAsia="Times New Roman" w:cs="Times New Roman"/>
        <w:color w:val="auto"/>
      </w:rPr>
      <w:t>06/12/19</w:t>
    </w:r>
    <w:r w:rsidRPr="00B62D92">
      <w:rPr>
        <w:rFonts w:eastAsia="Times New Roman" w:cs="Times New Roman"/>
        <w:color w:val="auto"/>
      </w:rPr>
      <w:tab/>
    </w:r>
    <w:proofErr w:type="spellStart"/>
    <w:r w:rsidRPr="007D5B58">
      <w:rPr>
        <w:rFonts w:eastAsia="Times New Roman"/>
        <w:color w:val="auto"/>
      </w:rPr>
      <w:t>Att</w:t>
    </w:r>
    <w:proofErr w:type="spellEnd"/>
    <w:r w:rsidRPr="007D5B58">
      <w:rPr>
        <w:rFonts w:eastAsia="Times New Roman"/>
        <w:color w:val="auto"/>
      </w:rPr>
      <w:t xml:space="preserve"> 1-</w:t>
    </w:r>
    <w:r>
      <w:rPr>
        <w:rFonts w:eastAsia="Times New Roman"/>
        <w:color w:val="auto"/>
      </w:rPr>
      <w:t>2</w:t>
    </w:r>
    <w:r w:rsidRPr="00B62D92">
      <w:rPr>
        <w:rFonts w:eastAsia="Times New Roman" w:cs="Times New Roman"/>
        <w:color w:val="auto"/>
      </w:rPr>
      <w:tab/>
    </w:r>
    <w:r>
      <w:rPr>
        <w:rFonts w:eastAsia="Times New Roman" w:cs="Times New Roman"/>
        <w:color w:val="auto"/>
      </w:rPr>
      <w:t>71111.21N</w:t>
    </w:r>
    <w:r w:rsidR="003C3B70">
      <w:rPr>
        <w:rFonts w:eastAsia="Times New Roman" w:cs="Times New Roman"/>
        <w:color w:val="auto"/>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FF043" w14:textId="77777777" w:rsidR="00DA5ADB" w:rsidRDefault="00DA5ADB" w:rsidP="00E6401D">
      <w:pPr>
        <w:spacing w:after="0" w:line="240" w:lineRule="auto"/>
      </w:pPr>
      <w:r>
        <w:separator/>
      </w:r>
    </w:p>
  </w:footnote>
  <w:footnote w:type="continuationSeparator" w:id="0">
    <w:p w14:paraId="3658CFE9" w14:textId="77777777" w:rsidR="00DA5ADB" w:rsidRDefault="00DA5ADB" w:rsidP="00E64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E7B"/>
    <w:multiLevelType w:val="hybridMultilevel"/>
    <w:tmpl w:val="7B5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7A38"/>
    <w:multiLevelType w:val="multilevel"/>
    <w:tmpl w:val="2AE4B944"/>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1B1474"/>
    <w:multiLevelType w:val="hybridMultilevel"/>
    <w:tmpl w:val="B5EA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F0BE4"/>
    <w:multiLevelType w:val="hybridMultilevel"/>
    <w:tmpl w:val="C0E82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1C97"/>
    <w:multiLevelType w:val="hybridMultilevel"/>
    <w:tmpl w:val="75E65628"/>
    <w:lvl w:ilvl="0" w:tplc="04090001">
      <w:start w:val="1"/>
      <w:numFmt w:val="bullet"/>
      <w:lvlText w:val=""/>
      <w:lvlJc w:val="left"/>
      <w:pPr>
        <w:ind w:left="1402" w:hanging="360"/>
      </w:pPr>
      <w:rPr>
        <w:rFonts w:ascii="Symbol" w:hAnsi="Symbol" w:hint="default"/>
      </w:rPr>
    </w:lvl>
    <w:lvl w:ilvl="1" w:tplc="0409000F">
      <w:start w:val="1"/>
      <w:numFmt w:val="decimal"/>
      <w:lvlText w:val="%2."/>
      <w:lvlJc w:val="left"/>
      <w:pPr>
        <w:ind w:left="2122" w:hanging="360"/>
      </w:pPr>
    </w:lvl>
    <w:lvl w:ilvl="2" w:tplc="0409001B">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5" w15:restartNumberingAfterBreak="0">
    <w:nsid w:val="3D871D8E"/>
    <w:multiLevelType w:val="hybridMultilevel"/>
    <w:tmpl w:val="2BA4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55B15"/>
    <w:multiLevelType w:val="hybridMultilevel"/>
    <w:tmpl w:val="6C4633AA"/>
    <w:lvl w:ilvl="0" w:tplc="0409000F">
      <w:start w:val="1"/>
      <w:numFmt w:val="decimal"/>
      <w:lvlText w:val="%1."/>
      <w:lvlJc w:val="left"/>
      <w:pPr>
        <w:ind w:left="-110" w:hanging="360"/>
      </w:pPr>
    </w:lvl>
    <w:lvl w:ilvl="1" w:tplc="0409000F">
      <w:start w:val="1"/>
      <w:numFmt w:val="decimal"/>
      <w:lvlText w:val="%2."/>
      <w:lvlJc w:val="left"/>
      <w:pPr>
        <w:ind w:left="610" w:hanging="360"/>
      </w:pPr>
    </w:lvl>
    <w:lvl w:ilvl="2" w:tplc="0409001B" w:tentative="1">
      <w:start w:val="1"/>
      <w:numFmt w:val="lowerRoman"/>
      <w:lvlText w:val="%3."/>
      <w:lvlJc w:val="right"/>
      <w:pPr>
        <w:ind w:left="1330" w:hanging="180"/>
      </w:pPr>
    </w:lvl>
    <w:lvl w:ilvl="3" w:tplc="0409000F" w:tentative="1">
      <w:start w:val="1"/>
      <w:numFmt w:val="decimal"/>
      <w:lvlText w:val="%4."/>
      <w:lvlJc w:val="left"/>
      <w:pPr>
        <w:ind w:left="2050" w:hanging="360"/>
      </w:pPr>
    </w:lvl>
    <w:lvl w:ilvl="4" w:tplc="04090019" w:tentative="1">
      <w:start w:val="1"/>
      <w:numFmt w:val="lowerLetter"/>
      <w:lvlText w:val="%5."/>
      <w:lvlJc w:val="left"/>
      <w:pPr>
        <w:ind w:left="2770" w:hanging="360"/>
      </w:pPr>
    </w:lvl>
    <w:lvl w:ilvl="5" w:tplc="0409001B" w:tentative="1">
      <w:start w:val="1"/>
      <w:numFmt w:val="lowerRoman"/>
      <w:lvlText w:val="%6."/>
      <w:lvlJc w:val="right"/>
      <w:pPr>
        <w:ind w:left="3490" w:hanging="180"/>
      </w:pPr>
    </w:lvl>
    <w:lvl w:ilvl="6" w:tplc="0409000F" w:tentative="1">
      <w:start w:val="1"/>
      <w:numFmt w:val="decimal"/>
      <w:lvlText w:val="%7."/>
      <w:lvlJc w:val="left"/>
      <w:pPr>
        <w:ind w:left="4210" w:hanging="360"/>
      </w:pPr>
    </w:lvl>
    <w:lvl w:ilvl="7" w:tplc="04090019" w:tentative="1">
      <w:start w:val="1"/>
      <w:numFmt w:val="lowerLetter"/>
      <w:lvlText w:val="%8."/>
      <w:lvlJc w:val="left"/>
      <w:pPr>
        <w:ind w:left="4930" w:hanging="360"/>
      </w:pPr>
    </w:lvl>
    <w:lvl w:ilvl="8" w:tplc="0409001B" w:tentative="1">
      <w:start w:val="1"/>
      <w:numFmt w:val="lowerRoman"/>
      <w:lvlText w:val="%9."/>
      <w:lvlJc w:val="right"/>
      <w:pPr>
        <w:ind w:left="5650" w:hanging="180"/>
      </w:pPr>
    </w:lvl>
  </w:abstractNum>
  <w:abstractNum w:abstractNumId="7" w15:restartNumberingAfterBreak="0">
    <w:nsid w:val="4A002183"/>
    <w:multiLevelType w:val="multilevel"/>
    <w:tmpl w:val="AD8A25AA"/>
    <w:lvl w:ilvl="0">
      <w:start w:val="1"/>
      <w:numFmt w:val="decimalZero"/>
      <w:lvlText w:val="%1."/>
      <w:lvlJc w:val="left"/>
      <w:pPr>
        <w:ind w:left="720" w:hanging="720"/>
      </w:pPr>
      <w:rPr>
        <w:rFonts w:hint="default"/>
        <w:sz w:val="22"/>
      </w:rPr>
    </w:lvl>
    <w:lvl w:ilvl="1">
      <w:start w:val="1"/>
      <w:numFmt w:val="decimalZero"/>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51C11068"/>
    <w:multiLevelType w:val="hybridMultilevel"/>
    <w:tmpl w:val="0F56D7D6"/>
    <w:lvl w:ilvl="0" w:tplc="007E191A">
      <w:start w:val="1"/>
      <w:numFmt w:val="lowerLetter"/>
      <w:lvlText w:val="%1."/>
      <w:lvlJc w:val="left"/>
      <w:pPr>
        <w:ind w:left="720" w:hanging="36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C2CE7"/>
    <w:multiLevelType w:val="hybridMultilevel"/>
    <w:tmpl w:val="EC8C4902"/>
    <w:lvl w:ilvl="0" w:tplc="7840B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51725"/>
    <w:multiLevelType w:val="multilevel"/>
    <w:tmpl w:val="577818C2"/>
    <w:lvl w:ilvl="0">
      <w:start w:val="2"/>
      <w:numFmt w:val="decimalZero"/>
      <w:lvlText w:val="%1"/>
      <w:lvlJc w:val="left"/>
      <w:pPr>
        <w:ind w:left="540" w:hanging="540"/>
      </w:pPr>
      <w:rPr>
        <w:rFonts w:hint="default"/>
        <w:u w:val="single"/>
      </w:rPr>
    </w:lvl>
    <w:lvl w:ilvl="1">
      <w:start w:val="3"/>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65F376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C22695"/>
    <w:multiLevelType w:val="hybridMultilevel"/>
    <w:tmpl w:val="CB8A2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340E9"/>
    <w:multiLevelType w:val="hybridMultilevel"/>
    <w:tmpl w:val="199E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F2F4E"/>
    <w:multiLevelType w:val="hybridMultilevel"/>
    <w:tmpl w:val="065A1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C31DB4"/>
    <w:multiLevelType w:val="hybridMultilevel"/>
    <w:tmpl w:val="7A0A4744"/>
    <w:lvl w:ilvl="0" w:tplc="007E191A">
      <w:start w:val="1"/>
      <w:numFmt w:val="lowerLetter"/>
      <w:lvlText w:val="%1."/>
      <w:lvlJc w:val="left"/>
      <w:pPr>
        <w:ind w:left="1170" w:hanging="36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6"/>
  </w:num>
  <w:num w:numId="3">
    <w:abstractNumId w:val="15"/>
  </w:num>
  <w:num w:numId="4">
    <w:abstractNumId w:val="12"/>
  </w:num>
  <w:num w:numId="5">
    <w:abstractNumId w:val="7"/>
  </w:num>
  <w:num w:numId="6">
    <w:abstractNumId w:val="8"/>
  </w:num>
  <w:num w:numId="7">
    <w:abstractNumId w:val="14"/>
  </w:num>
  <w:num w:numId="8">
    <w:abstractNumId w:val="5"/>
  </w:num>
  <w:num w:numId="9">
    <w:abstractNumId w:val="4"/>
  </w:num>
  <w:num w:numId="10">
    <w:abstractNumId w:val="1"/>
  </w:num>
  <w:num w:numId="11">
    <w:abstractNumId w:val="10"/>
  </w:num>
  <w:num w:numId="12">
    <w:abstractNumId w:val="0"/>
  </w:num>
  <w:num w:numId="13">
    <w:abstractNumId w:val="11"/>
  </w:num>
  <w:num w:numId="14">
    <w:abstractNumId w:val="3"/>
  </w:num>
  <w:num w:numId="15">
    <w:abstractNumId w:val="13"/>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60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2F"/>
    <w:rsid w:val="00000A83"/>
    <w:rsid w:val="00002587"/>
    <w:rsid w:val="00007AC1"/>
    <w:rsid w:val="00026AD0"/>
    <w:rsid w:val="00033E71"/>
    <w:rsid w:val="00035A1F"/>
    <w:rsid w:val="00037339"/>
    <w:rsid w:val="000418DC"/>
    <w:rsid w:val="00046B81"/>
    <w:rsid w:val="000576E8"/>
    <w:rsid w:val="000625DC"/>
    <w:rsid w:val="000731B4"/>
    <w:rsid w:val="0007427F"/>
    <w:rsid w:val="00076612"/>
    <w:rsid w:val="0007694D"/>
    <w:rsid w:val="0009212F"/>
    <w:rsid w:val="00093F96"/>
    <w:rsid w:val="0009516A"/>
    <w:rsid w:val="00096077"/>
    <w:rsid w:val="0009658A"/>
    <w:rsid w:val="000A04B7"/>
    <w:rsid w:val="000A65CC"/>
    <w:rsid w:val="000B1B2A"/>
    <w:rsid w:val="000C0F5D"/>
    <w:rsid w:val="000C48B2"/>
    <w:rsid w:val="000C6211"/>
    <w:rsid w:val="000C77E4"/>
    <w:rsid w:val="000D227B"/>
    <w:rsid w:val="000E05CD"/>
    <w:rsid w:val="000E1B45"/>
    <w:rsid w:val="000E27A7"/>
    <w:rsid w:val="000E5E34"/>
    <w:rsid w:val="000F2BB4"/>
    <w:rsid w:val="000F389B"/>
    <w:rsid w:val="000F447F"/>
    <w:rsid w:val="0010318D"/>
    <w:rsid w:val="00103197"/>
    <w:rsid w:val="001104CB"/>
    <w:rsid w:val="00114AE3"/>
    <w:rsid w:val="00116162"/>
    <w:rsid w:val="0012576F"/>
    <w:rsid w:val="001276B7"/>
    <w:rsid w:val="00131ED5"/>
    <w:rsid w:val="001334EC"/>
    <w:rsid w:val="00140262"/>
    <w:rsid w:val="00142623"/>
    <w:rsid w:val="00147AE7"/>
    <w:rsid w:val="00156CA9"/>
    <w:rsid w:val="001578AF"/>
    <w:rsid w:val="0016208A"/>
    <w:rsid w:val="00165927"/>
    <w:rsid w:val="0017319F"/>
    <w:rsid w:val="0017624E"/>
    <w:rsid w:val="00187425"/>
    <w:rsid w:val="001909AA"/>
    <w:rsid w:val="00191095"/>
    <w:rsid w:val="0019141D"/>
    <w:rsid w:val="001946E6"/>
    <w:rsid w:val="001A0C0D"/>
    <w:rsid w:val="001A0C83"/>
    <w:rsid w:val="001B4D10"/>
    <w:rsid w:val="001B5D89"/>
    <w:rsid w:val="001C2A5B"/>
    <w:rsid w:val="001C5966"/>
    <w:rsid w:val="001C7FD1"/>
    <w:rsid w:val="001D26BE"/>
    <w:rsid w:val="001D2A25"/>
    <w:rsid w:val="001E1BDA"/>
    <w:rsid w:val="001E3A40"/>
    <w:rsid w:val="001E4CAD"/>
    <w:rsid w:val="001F0C85"/>
    <w:rsid w:val="001F1038"/>
    <w:rsid w:val="001F21FB"/>
    <w:rsid w:val="001F4794"/>
    <w:rsid w:val="00200289"/>
    <w:rsid w:val="00203D12"/>
    <w:rsid w:val="00212727"/>
    <w:rsid w:val="00220BCE"/>
    <w:rsid w:val="00225763"/>
    <w:rsid w:val="00231112"/>
    <w:rsid w:val="0023596D"/>
    <w:rsid w:val="00240381"/>
    <w:rsid w:val="00241C5C"/>
    <w:rsid w:val="00244398"/>
    <w:rsid w:val="0024786E"/>
    <w:rsid w:val="0025134B"/>
    <w:rsid w:val="002562AC"/>
    <w:rsid w:val="002569FE"/>
    <w:rsid w:val="00262B54"/>
    <w:rsid w:val="00266F3D"/>
    <w:rsid w:val="00267BE6"/>
    <w:rsid w:val="00277209"/>
    <w:rsid w:val="00277D9B"/>
    <w:rsid w:val="0028782D"/>
    <w:rsid w:val="00287CF7"/>
    <w:rsid w:val="00290FD9"/>
    <w:rsid w:val="002A20D0"/>
    <w:rsid w:val="002B5004"/>
    <w:rsid w:val="002C0599"/>
    <w:rsid w:val="002C14D8"/>
    <w:rsid w:val="002C52A8"/>
    <w:rsid w:val="002D47A5"/>
    <w:rsid w:val="002D6E88"/>
    <w:rsid w:val="002D72A2"/>
    <w:rsid w:val="002E0A0F"/>
    <w:rsid w:val="002E4901"/>
    <w:rsid w:val="002E62BC"/>
    <w:rsid w:val="002E6D7A"/>
    <w:rsid w:val="002F074C"/>
    <w:rsid w:val="002F24A5"/>
    <w:rsid w:val="0031051A"/>
    <w:rsid w:val="00311D1B"/>
    <w:rsid w:val="00324714"/>
    <w:rsid w:val="00324F9B"/>
    <w:rsid w:val="00334BEB"/>
    <w:rsid w:val="00336860"/>
    <w:rsid w:val="003370BF"/>
    <w:rsid w:val="00345080"/>
    <w:rsid w:val="0035352F"/>
    <w:rsid w:val="00353A55"/>
    <w:rsid w:val="00353CCF"/>
    <w:rsid w:val="0035628C"/>
    <w:rsid w:val="0036025D"/>
    <w:rsid w:val="00360ACA"/>
    <w:rsid w:val="0036138F"/>
    <w:rsid w:val="003630B8"/>
    <w:rsid w:val="00371F78"/>
    <w:rsid w:val="00377396"/>
    <w:rsid w:val="00382760"/>
    <w:rsid w:val="003833C4"/>
    <w:rsid w:val="00385CA4"/>
    <w:rsid w:val="00386614"/>
    <w:rsid w:val="00390A34"/>
    <w:rsid w:val="003A1D37"/>
    <w:rsid w:val="003A1F38"/>
    <w:rsid w:val="003A39C2"/>
    <w:rsid w:val="003A5EDA"/>
    <w:rsid w:val="003A7579"/>
    <w:rsid w:val="003B27EA"/>
    <w:rsid w:val="003B27FD"/>
    <w:rsid w:val="003B60BA"/>
    <w:rsid w:val="003C223D"/>
    <w:rsid w:val="003C3089"/>
    <w:rsid w:val="003C3B70"/>
    <w:rsid w:val="003E06D4"/>
    <w:rsid w:val="003E0F89"/>
    <w:rsid w:val="003E16E9"/>
    <w:rsid w:val="003E52A4"/>
    <w:rsid w:val="003F2538"/>
    <w:rsid w:val="003F3FA6"/>
    <w:rsid w:val="00400C47"/>
    <w:rsid w:val="00400CE8"/>
    <w:rsid w:val="004010E0"/>
    <w:rsid w:val="00401E0D"/>
    <w:rsid w:val="00414C7E"/>
    <w:rsid w:val="00424791"/>
    <w:rsid w:val="0042619C"/>
    <w:rsid w:val="004276DC"/>
    <w:rsid w:val="00427B8A"/>
    <w:rsid w:val="0043402F"/>
    <w:rsid w:val="00436E48"/>
    <w:rsid w:val="00437448"/>
    <w:rsid w:val="00441C14"/>
    <w:rsid w:val="00442D7B"/>
    <w:rsid w:val="00446046"/>
    <w:rsid w:val="00453DC7"/>
    <w:rsid w:val="004574D4"/>
    <w:rsid w:val="0045790F"/>
    <w:rsid w:val="00462ABA"/>
    <w:rsid w:val="00466D0F"/>
    <w:rsid w:val="00472155"/>
    <w:rsid w:val="004859D1"/>
    <w:rsid w:val="00485B89"/>
    <w:rsid w:val="004918AA"/>
    <w:rsid w:val="00494163"/>
    <w:rsid w:val="004A116A"/>
    <w:rsid w:val="004A2FD6"/>
    <w:rsid w:val="004A4C6A"/>
    <w:rsid w:val="004B35CC"/>
    <w:rsid w:val="004D3C26"/>
    <w:rsid w:val="004D41D4"/>
    <w:rsid w:val="004D497D"/>
    <w:rsid w:val="004E599F"/>
    <w:rsid w:val="004F10A9"/>
    <w:rsid w:val="004F1D2B"/>
    <w:rsid w:val="004F55D3"/>
    <w:rsid w:val="004F5A6A"/>
    <w:rsid w:val="005016E4"/>
    <w:rsid w:val="0050617C"/>
    <w:rsid w:val="005064DF"/>
    <w:rsid w:val="0050652E"/>
    <w:rsid w:val="00512166"/>
    <w:rsid w:val="00512BFD"/>
    <w:rsid w:val="005136D6"/>
    <w:rsid w:val="00525420"/>
    <w:rsid w:val="0052795B"/>
    <w:rsid w:val="0054333A"/>
    <w:rsid w:val="005442F3"/>
    <w:rsid w:val="0054683C"/>
    <w:rsid w:val="005475D5"/>
    <w:rsid w:val="00550AFB"/>
    <w:rsid w:val="005577E3"/>
    <w:rsid w:val="00560911"/>
    <w:rsid w:val="00562D94"/>
    <w:rsid w:val="00566717"/>
    <w:rsid w:val="005672F0"/>
    <w:rsid w:val="005774E2"/>
    <w:rsid w:val="00580002"/>
    <w:rsid w:val="00584ECF"/>
    <w:rsid w:val="00586224"/>
    <w:rsid w:val="00586245"/>
    <w:rsid w:val="00590C65"/>
    <w:rsid w:val="00592016"/>
    <w:rsid w:val="00593511"/>
    <w:rsid w:val="00594674"/>
    <w:rsid w:val="005962A0"/>
    <w:rsid w:val="005A2262"/>
    <w:rsid w:val="005A7801"/>
    <w:rsid w:val="005A79C0"/>
    <w:rsid w:val="005B0878"/>
    <w:rsid w:val="005C06DD"/>
    <w:rsid w:val="005C2F12"/>
    <w:rsid w:val="005C4D23"/>
    <w:rsid w:val="005C546B"/>
    <w:rsid w:val="005D2081"/>
    <w:rsid w:val="005D2244"/>
    <w:rsid w:val="005D537D"/>
    <w:rsid w:val="005E1B48"/>
    <w:rsid w:val="005E2CBD"/>
    <w:rsid w:val="005E2E22"/>
    <w:rsid w:val="005E4EC0"/>
    <w:rsid w:val="005E762C"/>
    <w:rsid w:val="005F0F43"/>
    <w:rsid w:val="00602117"/>
    <w:rsid w:val="006050E9"/>
    <w:rsid w:val="00606A5F"/>
    <w:rsid w:val="006072B9"/>
    <w:rsid w:val="00613E64"/>
    <w:rsid w:val="00613E99"/>
    <w:rsid w:val="00613F43"/>
    <w:rsid w:val="00614573"/>
    <w:rsid w:val="00615920"/>
    <w:rsid w:val="006260B8"/>
    <w:rsid w:val="00631CA4"/>
    <w:rsid w:val="00643762"/>
    <w:rsid w:val="006440C5"/>
    <w:rsid w:val="00644E02"/>
    <w:rsid w:val="00645110"/>
    <w:rsid w:val="00650B67"/>
    <w:rsid w:val="006513B1"/>
    <w:rsid w:val="00654139"/>
    <w:rsid w:val="00661DE8"/>
    <w:rsid w:val="00664242"/>
    <w:rsid w:val="006760DD"/>
    <w:rsid w:val="00684778"/>
    <w:rsid w:val="0068631C"/>
    <w:rsid w:val="006871D5"/>
    <w:rsid w:val="0069255F"/>
    <w:rsid w:val="00694358"/>
    <w:rsid w:val="006943DF"/>
    <w:rsid w:val="00695E2A"/>
    <w:rsid w:val="00697450"/>
    <w:rsid w:val="006B0125"/>
    <w:rsid w:val="006B25C6"/>
    <w:rsid w:val="006C0850"/>
    <w:rsid w:val="006C0FDB"/>
    <w:rsid w:val="006D1DBD"/>
    <w:rsid w:val="006D5504"/>
    <w:rsid w:val="006D71FA"/>
    <w:rsid w:val="006D7CF5"/>
    <w:rsid w:val="006F1133"/>
    <w:rsid w:val="006F39F2"/>
    <w:rsid w:val="006F56B0"/>
    <w:rsid w:val="007014C8"/>
    <w:rsid w:val="00705D4D"/>
    <w:rsid w:val="00714A4E"/>
    <w:rsid w:val="00714BDC"/>
    <w:rsid w:val="00715C30"/>
    <w:rsid w:val="00717ABB"/>
    <w:rsid w:val="00720FF4"/>
    <w:rsid w:val="00725F2A"/>
    <w:rsid w:val="00727C0F"/>
    <w:rsid w:val="00742031"/>
    <w:rsid w:val="00745924"/>
    <w:rsid w:val="00757E47"/>
    <w:rsid w:val="007605BD"/>
    <w:rsid w:val="0076257C"/>
    <w:rsid w:val="00764070"/>
    <w:rsid w:val="00765070"/>
    <w:rsid w:val="00771CCD"/>
    <w:rsid w:val="00775A89"/>
    <w:rsid w:val="00780406"/>
    <w:rsid w:val="007804FE"/>
    <w:rsid w:val="00782BBD"/>
    <w:rsid w:val="00784FC8"/>
    <w:rsid w:val="007868A9"/>
    <w:rsid w:val="0078791A"/>
    <w:rsid w:val="00790673"/>
    <w:rsid w:val="007917B4"/>
    <w:rsid w:val="00792261"/>
    <w:rsid w:val="00795534"/>
    <w:rsid w:val="007A4E93"/>
    <w:rsid w:val="007A7E30"/>
    <w:rsid w:val="007B159D"/>
    <w:rsid w:val="007B3F87"/>
    <w:rsid w:val="007B7723"/>
    <w:rsid w:val="007C23F9"/>
    <w:rsid w:val="007D2609"/>
    <w:rsid w:val="007D5B58"/>
    <w:rsid w:val="007E170E"/>
    <w:rsid w:val="007E5F6C"/>
    <w:rsid w:val="007E7310"/>
    <w:rsid w:val="007F12FA"/>
    <w:rsid w:val="007F5FE7"/>
    <w:rsid w:val="0080065A"/>
    <w:rsid w:val="0080269C"/>
    <w:rsid w:val="008043AD"/>
    <w:rsid w:val="00823CFC"/>
    <w:rsid w:val="008268A7"/>
    <w:rsid w:val="00831874"/>
    <w:rsid w:val="00835792"/>
    <w:rsid w:val="00851772"/>
    <w:rsid w:val="00853630"/>
    <w:rsid w:val="00857137"/>
    <w:rsid w:val="00865475"/>
    <w:rsid w:val="00866456"/>
    <w:rsid w:val="00871098"/>
    <w:rsid w:val="00873B54"/>
    <w:rsid w:val="008822DB"/>
    <w:rsid w:val="00882482"/>
    <w:rsid w:val="00890AC7"/>
    <w:rsid w:val="00893C4B"/>
    <w:rsid w:val="008A4DC6"/>
    <w:rsid w:val="008A63A8"/>
    <w:rsid w:val="008A76B4"/>
    <w:rsid w:val="008B40B7"/>
    <w:rsid w:val="008B5E23"/>
    <w:rsid w:val="008B7D5B"/>
    <w:rsid w:val="008C65E2"/>
    <w:rsid w:val="008D21D2"/>
    <w:rsid w:val="008E1381"/>
    <w:rsid w:val="008E2B0A"/>
    <w:rsid w:val="008E4203"/>
    <w:rsid w:val="008E489B"/>
    <w:rsid w:val="008F1754"/>
    <w:rsid w:val="009103C9"/>
    <w:rsid w:val="009143B9"/>
    <w:rsid w:val="00917CCF"/>
    <w:rsid w:val="00920573"/>
    <w:rsid w:val="00924DD3"/>
    <w:rsid w:val="00927DD6"/>
    <w:rsid w:val="00934554"/>
    <w:rsid w:val="00937030"/>
    <w:rsid w:val="00937A55"/>
    <w:rsid w:val="00941080"/>
    <w:rsid w:val="009543F5"/>
    <w:rsid w:val="00955B40"/>
    <w:rsid w:val="00955D85"/>
    <w:rsid w:val="00957A48"/>
    <w:rsid w:val="00962F5C"/>
    <w:rsid w:val="00965411"/>
    <w:rsid w:val="00965C37"/>
    <w:rsid w:val="009710BD"/>
    <w:rsid w:val="009710F1"/>
    <w:rsid w:val="009735AA"/>
    <w:rsid w:val="00977A37"/>
    <w:rsid w:val="0098613D"/>
    <w:rsid w:val="00986AA8"/>
    <w:rsid w:val="009A4B4E"/>
    <w:rsid w:val="009B0550"/>
    <w:rsid w:val="009B1F64"/>
    <w:rsid w:val="009B2CAD"/>
    <w:rsid w:val="009C7F85"/>
    <w:rsid w:val="009D3B7B"/>
    <w:rsid w:val="009E002A"/>
    <w:rsid w:val="009E24D3"/>
    <w:rsid w:val="009E785E"/>
    <w:rsid w:val="00A02321"/>
    <w:rsid w:val="00A04CC2"/>
    <w:rsid w:val="00A17C2A"/>
    <w:rsid w:val="00A21BB5"/>
    <w:rsid w:val="00A2202E"/>
    <w:rsid w:val="00A240B9"/>
    <w:rsid w:val="00A262DB"/>
    <w:rsid w:val="00A268FE"/>
    <w:rsid w:val="00A32052"/>
    <w:rsid w:val="00A327D8"/>
    <w:rsid w:val="00A336D3"/>
    <w:rsid w:val="00A35E48"/>
    <w:rsid w:val="00A40C0A"/>
    <w:rsid w:val="00A506DC"/>
    <w:rsid w:val="00A52EC5"/>
    <w:rsid w:val="00A613D0"/>
    <w:rsid w:val="00A653B7"/>
    <w:rsid w:val="00A65B43"/>
    <w:rsid w:val="00A716F9"/>
    <w:rsid w:val="00A7561D"/>
    <w:rsid w:val="00A81275"/>
    <w:rsid w:val="00A81BE6"/>
    <w:rsid w:val="00A865D1"/>
    <w:rsid w:val="00A9381A"/>
    <w:rsid w:val="00A94029"/>
    <w:rsid w:val="00AA208F"/>
    <w:rsid w:val="00AA2F59"/>
    <w:rsid w:val="00AA338B"/>
    <w:rsid w:val="00AA4189"/>
    <w:rsid w:val="00AA4F8A"/>
    <w:rsid w:val="00AB12E9"/>
    <w:rsid w:val="00AB6D02"/>
    <w:rsid w:val="00AC1F59"/>
    <w:rsid w:val="00AD35AF"/>
    <w:rsid w:val="00AD5077"/>
    <w:rsid w:val="00AF14BB"/>
    <w:rsid w:val="00AF6B48"/>
    <w:rsid w:val="00AF7A03"/>
    <w:rsid w:val="00B0097E"/>
    <w:rsid w:val="00B01FFF"/>
    <w:rsid w:val="00B04D13"/>
    <w:rsid w:val="00B05DCA"/>
    <w:rsid w:val="00B063DB"/>
    <w:rsid w:val="00B1325E"/>
    <w:rsid w:val="00B156F5"/>
    <w:rsid w:val="00B16F13"/>
    <w:rsid w:val="00B172B8"/>
    <w:rsid w:val="00B32AE1"/>
    <w:rsid w:val="00B332FC"/>
    <w:rsid w:val="00B51FCE"/>
    <w:rsid w:val="00B52308"/>
    <w:rsid w:val="00B55ADC"/>
    <w:rsid w:val="00B61B89"/>
    <w:rsid w:val="00B61C88"/>
    <w:rsid w:val="00B621CA"/>
    <w:rsid w:val="00B62D92"/>
    <w:rsid w:val="00B71F97"/>
    <w:rsid w:val="00B74806"/>
    <w:rsid w:val="00B75B71"/>
    <w:rsid w:val="00B765F3"/>
    <w:rsid w:val="00B84FE3"/>
    <w:rsid w:val="00B90A55"/>
    <w:rsid w:val="00B90CC0"/>
    <w:rsid w:val="00B9252A"/>
    <w:rsid w:val="00B9357B"/>
    <w:rsid w:val="00BA18A8"/>
    <w:rsid w:val="00BA2164"/>
    <w:rsid w:val="00BA2DB4"/>
    <w:rsid w:val="00BA35E7"/>
    <w:rsid w:val="00BA4CF6"/>
    <w:rsid w:val="00BB0AA8"/>
    <w:rsid w:val="00BB3233"/>
    <w:rsid w:val="00BC19D4"/>
    <w:rsid w:val="00BC1E28"/>
    <w:rsid w:val="00BC2865"/>
    <w:rsid w:val="00BD282A"/>
    <w:rsid w:val="00BD594C"/>
    <w:rsid w:val="00BD7C9C"/>
    <w:rsid w:val="00BF085B"/>
    <w:rsid w:val="00BF6424"/>
    <w:rsid w:val="00C0188A"/>
    <w:rsid w:val="00C0440A"/>
    <w:rsid w:val="00C046D0"/>
    <w:rsid w:val="00C108B7"/>
    <w:rsid w:val="00C22396"/>
    <w:rsid w:val="00C23211"/>
    <w:rsid w:val="00C30252"/>
    <w:rsid w:val="00C35550"/>
    <w:rsid w:val="00C40E4C"/>
    <w:rsid w:val="00C43243"/>
    <w:rsid w:val="00C44EE5"/>
    <w:rsid w:val="00C53ACC"/>
    <w:rsid w:val="00C61F06"/>
    <w:rsid w:val="00C6359B"/>
    <w:rsid w:val="00C642AF"/>
    <w:rsid w:val="00C64D04"/>
    <w:rsid w:val="00C64D4C"/>
    <w:rsid w:val="00C67D77"/>
    <w:rsid w:val="00C70197"/>
    <w:rsid w:val="00C717DD"/>
    <w:rsid w:val="00C737C9"/>
    <w:rsid w:val="00C740C9"/>
    <w:rsid w:val="00C74B58"/>
    <w:rsid w:val="00C751F9"/>
    <w:rsid w:val="00C75245"/>
    <w:rsid w:val="00C777A0"/>
    <w:rsid w:val="00C903B3"/>
    <w:rsid w:val="00C92F14"/>
    <w:rsid w:val="00CA0143"/>
    <w:rsid w:val="00CA0A28"/>
    <w:rsid w:val="00CA1736"/>
    <w:rsid w:val="00CA2B59"/>
    <w:rsid w:val="00CA39B5"/>
    <w:rsid w:val="00CA475E"/>
    <w:rsid w:val="00CB1328"/>
    <w:rsid w:val="00CB170E"/>
    <w:rsid w:val="00CB2E5E"/>
    <w:rsid w:val="00CB55E4"/>
    <w:rsid w:val="00CB6484"/>
    <w:rsid w:val="00CD4214"/>
    <w:rsid w:val="00CD484C"/>
    <w:rsid w:val="00CE18C1"/>
    <w:rsid w:val="00CE25F4"/>
    <w:rsid w:val="00CF1881"/>
    <w:rsid w:val="00CF3996"/>
    <w:rsid w:val="00CF582C"/>
    <w:rsid w:val="00CF7B0A"/>
    <w:rsid w:val="00D047E5"/>
    <w:rsid w:val="00D12AFE"/>
    <w:rsid w:val="00D13F13"/>
    <w:rsid w:val="00D14D96"/>
    <w:rsid w:val="00D15D6D"/>
    <w:rsid w:val="00D173D9"/>
    <w:rsid w:val="00D23A02"/>
    <w:rsid w:val="00D26AAA"/>
    <w:rsid w:val="00D2705D"/>
    <w:rsid w:val="00D27CD3"/>
    <w:rsid w:val="00D33889"/>
    <w:rsid w:val="00D349FA"/>
    <w:rsid w:val="00D35558"/>
    <w:rsid w:val="00D3638D"/>
    <w:rsid w:val="00D4632D"/>
    <w:rsid w:val="00D46C7C"/>
    <w:rsid w:val="00D50222"/>
    <w:rsid w:val="00D51966"/>
    <w:rsid w:val="00D52AF2"/>
    <w:rsid w:val="00D5360B"/>
    <w:rsid w:val="00D56291"/>
    <w:rsid w:val="00D6062E"/>
    <w:rsid w:val="00D62197"/>
    <w:rsid w:val="00D72C59"/>
    <w:rsid w:val="00D73B43"/>
    <w:rsid w:val="00D801F0"/>
    <w:rsid w:val="00D802D0"/>
    <w:rsid w:val="00D842BB"/>
    <w:rsid w:val="00D900E9"/>
    <w:rsid w:val="00D92652"/>
    <w:rsid w:val="00D92709"/>
    <w:rsid w:val="00D93564"/>
    <w:rsid w:val="00D9756B"/>
    <w:rsid w:val="00DA3090"/>
    <w:rsid w:val="00DA5ADB"/>
    <w:rsid w:val="00DB3666"/>
    <w:rsid w:val="00DB4B9C"/>
    <w:rsid w:val="00DB4CD1"/>
    <w:rsid w:val="00DB5A4B"/>
    <w:rsid w:val="00DB6AFB"/>
    <w:rsid w:val="00DC4016"/>
    <w:rsid w:val="00DC5BA6"/>
    <w:rsid w:val="00DC6518"/>
    <w:rsid w:val="00DD0B66"/>
    <w:rsid w:val="00DE1BCE"/>
    <w:rsid w:val="00DE2E93"/>
    <w:rsid w:val="00DE5CF6"/>
    <w:rsid w:val="00DF03B2"/>
    <w:rsid w:val="00DF391D"/>
    <w:rsid w:val="00E12AFC"/>
    <w:rsid w:val="00E17CA4"/>
    <w:rsid w:val="00E2190A"/>
    <w:rsid w:val="00E225EF"/>
    <w:rsid w:val="00E32D4E"/>
    <w:rsid w:val="00E3747F"/>
    <w:rsid w:val="00E4502E"/>
    <w:rsid w:val="00E473A8"/>
    <w:rsid w:val="00E47905"/>
    <w:rsid w:val="00E53C3E"/>
    <w:rsid w:val="00E54D04"/>
    <w:rsid w:val="00E56C79"/>
    <w:rsid w:val="00E60F7E"/>
    <w:rsid w:val="00E6401D"/>
    <w:rsid w:val="00E64383"/>
    <w:rsid w:val="00E701C9"/>
    <w:rsid w:val="00E70E30"/>
    <w:rsid w:val="00E72FB1"/>
    <w:rsid w:val="00E73DCB"/>
    <w:rsid w:val="00E74EE7"/>
    <w:rsid w:val="00E77F9A"/>
    <w:rsid w:val="00E85688"/>
    <w:rsid w:val="00E90C2A"/>
    <w:rsid w:val="00E914A1"/>
    <w:rsid w:val="00E96B0E"/>
    <w:rsid w:val="00E9708B"/>
    <w:rsid w:val="00EA0DEB"/>
    <w:rsid w:val="00EA44D4"/>
    <w:rsid w:val="00EA5968"/>
    <w:rsid w:val="00EA784E"/>
    <w:rsid w:val="00EB3D0B"/>
    <w:rsid w:val="00EB785F"/>
    <w:rsid w:val="00EC0F7B"/>
    <w:rsid w:val="00EC0FA0"/>
    <w:rsid w:val="00EC1B0B"/>
    <w:rsid w:val="00EC29E7"/>
    <w:rsid w:val="00EC5491"/>
    <w:rsid w:val="00EC74CB"/>
    <w:rsid w:val="00EC7F92"/>
    <w:rsid w:val="00ED0207"/>
    <w:rsid w:val="00ED1D67"/>
    <w:rsid w:val="00ED497D"/>
    <w:rsid w:val="00EE08A6"/>
    <w:rsid w:val="00EF0B6C"/>
    <w:rsid w:val="00EF5319"/>
    <w:rsid w:val="00F023D6"/>
    <w:rsid w:val="00F0307B"/>
    <w:rsid w:val="00F04789"/>
    <w:rsid w:val="00F07060"/>
    <w:rsid w:val="00F115AB"/>
    <w:rsid w:val="00F146BF"/>
    <w:rsid w:val="00F1584A"/>
    <w:rsid w:val="00F17646"/>
    <w:rsid w:val="00F178B9"/>
    <w:rsid w:val="00F17F96"/>
    <w:rsid w:val="00F23FFF"/>
    <w:rsid w:val="00F2407E"/>
    <w:rsid w:val="00F268D9"/>
    <w:rsid w:val="00F27899"/>
    <w:rsid w:val="00F3080F"/>
    <w:rsid w:val="00F402C3"/>
    <w:rsid w:val="00F41C3E"/>
    <w:rsid w:val="00F43E72"/>
    <w:rsid w:val="00F45A3C"/>
    <w:rsid w:val="00F524C6"/>
    <w:rsid w:val="00F52BC0"/>
    <w:rsid w:val="00F56B51"/>
    <w:rsid w:val="00F577CF"/>
    <w:rsid w:val="00F64339"/>
    <w:rsid w:val="00F64773"/>
    <w:rsid w:val="00F65F82"/>
    <w:rsid w:val="00F707BA"/>
    <w:rsid w:val="00F70805"/>
    <w:rsid w:val="00F716FC"/>
    <w:rsid w:val="00F8237D"/>
    <w:rsid w:val="00F872FC"/>
    <w:rsid w:val="00F9132F"/>
    <w:rsid w:val="00F91E3F"/>
    <w:rsid w:val="00F94816"/>
    <w:rsid w:val="00F94ED1"/>
    <w:rsid w:val="00F978E4"/>
    <w:rsid w:val="00FA5600"/>
    <w:rsid w:val="00FA5709"/>
    <w:rsid w:val="00FA5FF5"/>
    <w:rsid w:val="00FA6070"/>
    <w:rsid w:val="00FB3882"/>
    <w:rsid w:val="00FB5D2D"/>
    <w:rsid w:val="00FC56CB"/>
    <w:rsid w:val="00FC5AE6"/>
    <w:rsid w:val="00FD0B78"/>
    <w:rsid w:val="00FD4192"/>
    <w:rsid w:val="00FD432C"/>
    <w:rsid w:val="00FE3433"/>
    <w:rsid w:val="00FF427D"/>
    <w:rsid w:val="00FF4942"/>
    <w:rsid w:val="00FF5EAA"/>
    <w:rsid w:val="00FF5F1D"/>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FAA8C"/>
  <w15:chartTrackingRefBased/>
  <w15:docId w15:val="{D00E9CD1-CE8E-4BA7-B67A-30AC31FA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CAD"/>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2C3"/>
    <w:pPr>
      <w:ind w:left="720"/>
      <w:contextualSpacing/>
    </w:pPr>
  </w:style>
  <w:style w:type="table" w:customStyle="1" w:styleId="TableGrid0">
    <w:name w:val="TableGrid"/>
    <w:rsid w:val="00E6401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E6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1D"/>
    <w:rPr>
      <w:rFonts w:ascii="Arial" w:eastAsia="Arial" w:hAnsi="Arial" w:cs="Arial"/>
      <w:color w:val="000000"/>
    </w:rPr>
  </w:style>
  <w:style w:type="paragraph" w:styleId="Footer">
    <w:name w:val="footer"/>
    <w:basedOn w:val="Normal"/>
    <w:link w:val="FooterChar"/>
    <w:uiPriority w:val="99"/>
    <w:unhideWhenUsed/>
    <w:rsid w:val="00E6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1D"/>
    <w:rPr>
      <w:rFonts w:ascii="Arial" w:eastAsia="Arial" w:hAnsi="Arial" w:cs="Arial"/>
      <w:color w:val="000000"/>
    </w:rPr>
  </w:style>
  <w:style w:type="paragraph" w:styleId="BalloonText">
    <w:name w:val="Balloon Text"/>
    <w:basedOn w:val="Normal"/>
    <w:link w:val="BalloonTextChar"/>
    <w:uiPriority w:val="99"/>
    <w:semiHidden/>
    <w:unhideWhenUsed/>
    <w:rsid w:val="00DB3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66"/>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446046"/>
    <w:rPr>
      <w:sz w:val="16"/>
      <w:szCs w:val="16"/>
    </w:rPr>
  </w:style>
  <w:style w:type="paragraph" w:styleId="CommentText">
    <w:name w:val="annotation text"/>
    <w:basedOn w:val="Normal"/>
    <w:link w:val="CommentTextChar"/>
    <w:uiPriority w:val="99"/>
    <w:unhideWhenUsed/>
    <w:rsid w:val="000F447F"/>
    <w:pPr>
      <w:spacing w:line="240" w:lineRule="auto"/>
    </w:pPr>
    <w:rPr>
      <w:sz w:val="20"/>
      <w:szCs w:val="20"/>
    </w:rPr>
  </w:style>
  <w:style w:type="character" w:customStyle="1" w:styleId="CommentTextChar">
    <w:name w:val="Comment Text Char"/>
    <w:basedOn w:val="DefaultParagraphFont"/>
    <w:link w:val="CommentText"/>
    <w:uiPriority w:val="99"/>
    <w:rsid w:val="004460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6046"/>
    <w:rPr>
      <w:b/>
      <w:bCs/>
    </w:rPr>
  </w:style>
  <w:style w:type="character" w:customStyle="1" w:styleId="CommentSubjectChar">
    <w:name w:val="Comment Subject Char"/>
    <w:basedOn w:val="CommentTextChar"/>
    <w:link w:val="CommentSubject"/>
    <w:uiPriority w:val="99"/>
    <w:semiHidden/>
    <w:rsid w:val="00446046"/>
    <w:rPr>
      <w:rFonts w:ascii="Arial" w:eastAsia="Arial" w:hAnsi="Arial" w:cs="Arial"/>
      <w:b/>
      <w:bCs/>
      <w:color w:val="000000"/>
      <w:sz w:val="20"/>
      <w:szCs w:val="20"/>
    </w:rPr>
  </w:style>
  <w:style w:type="character" w:customStyle="1" w:styleId="InspectionManualChar">
    <w:name w:val="Inspection Manual Char"/>
    <w:link w:val="InspectionManual"/>
    <w:locked/>
    <w:rsid w:val="00AB6D02"/>
    <w:rPr>
      <w:b/>
      <w:sz w:val="38"/>
      <w:szCs w:val="24"/>
    </w:rPr>
  </w:style>
  <w:style w:type="paragraph" w:customStyle="1" w:styleId="InspectionManual">
    <w:name w:val="Inspection Manual"/>
    <w:basedOn w:val="Normal"/>
    <w:link w:val="InspectionManualChar"/>
    <w:rsid w:val="00AB6D02"/>
    <w:pPr>
      <w:spacing w:after="0" w:line="240" w:lineRule="auto"/>
      <w:ind w:firstLine="720"/>
      <w:jc w:val="center"/>
    </w:pPr>
    <w:rPr>
      <w:rFonts w:asciiTheme="minorHAnsi" w:eastAsiaTheme="minorHAnsi" w:hAnsiTheme="minorHAnsi" w:cstheme="minorBidi"/>
      <w:b/>
      <w:color w:val="auto"/>
      <w:sz w:val="38"/>
      <w:szCs w:val="24"/>
    </w:rPr>
  </w:style>
  <w:style w:type="paragraph" w:customStyle="1" w:styleId="Default">
    <w:name w:val="Default"/>
    <w:rsid w:val="00BC286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C75245"/>
    <w:rPr>
      <w:color w:val="0000FF"/>
      <w:u w:val="single"/>
    </w:rPr>
  </w:style>
  <w:style w:type="character" w:customStyle="1" w:styleId="bodytext">
    <w:name w:val="bodytext"/>
    <w:rsid w:val="005D537D"/>
    <w:rPr>
      <w:sz w:val="17"/>
      <w:szCs w:val="17"/>
    </w:rPr>
  </w:style>
  <w:style w:type="paragraph" w:styleId="FootnoteText">
    <w:name w:val="footnote text"/>
    <w:basedOn w:val="Normal"/>
    <w:link w:val="FootnoteTextChar"/>
    <w:uiPriority w:val="99"/>
    <w:semiHidden/>
    <w:unhideWhenUsed/>
    <w:rsid w:val="005475D5"/>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5475D5"/>
    <w:rPr>
      <w:rFonts w:ascii="Arial" w:eastAsia="Times New Roman" w:hAnsi="Arial" w:cs="Times New Roman"/>
      <w:sz w:val="20"/>
      <w:szCs w:val="20"/>
    </w:rPr>
  </w:style>
  <w:style w:type="character" w:styleId="FootnoteReference">
    <w:name w:val="footnote reference"/>
    <w:basedOn w:val="DefaultParagraphFont"/>
    <w:uiPriority w:val="99"/>
    <w:unhideWhenUsed/>
    <w:rsid w:val="005475D5"/>
    <w:rPr>
      <w:vertAlign w:val="superscript"/>
    </w:rPr>
  </w:style>
  <w:style w:type="paragraph" w:styleId="Revision">
    <w:name w:val="Revision"/>
    <w:hidden/>
    <w:uiPriority w:val="99"/>
    <w:semiHidden/>
    <w:rsid w:val="00DF03B2"/>
    <w:pPr>
      <w:spacing w:after="0" w:line="240" w:lineRule="auto"/>
    </w:pPr>
    <w:rPr>
      <w:rFonts w:ascii="Arial" w:eastAsia="Arial" w:hAnsi="Arial" w:cs="Arial"/>
      <w:color w:val="000000"/>
    </w:rPr>
  </w:style>
  <w:style w:type="paragraph" w:customStyle="1" w:styleId="Header01">
    <w:name w:val="Header 01"/>
    <w:basedOn w:val="Normal"/>
    <w:link w:val="Header01Char"/>
    <w:rsid w:val="003F2538"/>
    <w:pPr>
      <w:tabs>
        <w:tab w:val="left" w:pos="274"/>
        <w:tab w:val="left" w:pos="806"/>
        <w:tab w:val="left" w:pos="1440"/>
        <w:tab w:val="left" w:pos="2074"/>
        <w:tab w:val="left" w:pos="2707"/>
      </w:tabs>
      <w:spacing w:after="0" w:line="240" w:lineRule="auto"/>
      <w:outlineLvl w:val="0"/>
    </w:pPr>
    <w:rPr>
      <w:rFonts w:eastAsia="Times New Roman"/>
      <w:color w:val="auto"/>
      <w:sz w:val="24"/>
      <w:szCs w:val="24"/>
    </w:rPr>
  </w:style>
  <w:style w:type="character" w:customStyle="1" w:styleId="Header01Char">
    <w:name w:val="Header 01 Char"/>
    <w:basedOn w:val="DefaultParagraphFont"/>
    <w:link w:val="Header01"/>
    <w:rsid w:val="003F2538"/>
    <w:rPr>
      <w:rFonts w:ascii="Arial" w:eastAsia="Times New Roman" w:hAnsi="Arial" w:cs="Arial"/>
      <w:sz w:val="24"/>
      <w:szCs w:val="24"/>
    </w:rPr>
  </w:style>
  <w:style w:type="character" w:styleId="UnresolvedMention">
    <w:name w:val="Unresolved Mention"/>
    <w:basedOn w:val="DefaultParagraphFont"/>
    <w:uiPriority w:val="99"/>
    <w:semiHidden/>
    <w:unhideWhenUsed/>
    <w:rsid w:val="00AC1F59"/>
    <w:rPr>
      <w:color w:val="808080"/>
      <w:shd w:val="clear" w:color="auto" w:fill="E6E6E6"/>
    </w:rPr>
  </w:style>
  <w:style w:type="character" w:styleId="FollowedHyperlink">
    <w:name w:val="FollowedHyperlink"/>
    <w:basedOn w:val="DefaultParagraphFont"/>
    <w:uiPriority w:val="99"/>
    <w:semiHidden/>
    <w:unhideWhenUsed/>
    <w:rsid w:val="000A6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64">
      <w:bodyDiv w:val="1"/>
      <w:marLeft w:val="0"/>
      <w:marRight w:val="0"/>
      <w:marTop w:val="0"/>
      <w:marBottom w:val="0"/>
      <w:divBdr>
        <w:top w:val="none" w:sz="0" w:space="0" w:color="auto"/>
        <w:left w:val="none" w:sz="0" w:space="0" w:color="auto"/>
        <w:bottom w:val="none" w:sz="0" w:space="0" w:color="auto"/>
        <w:right w:val="none" w:sz="0" w:space="0" w:color="auto"/>
      </w:divBdr>
    </w:div>
    <w:div w:id="17997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upal.nrc.gov/nrr/ope/33988"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nternal.nrc.gov/TICS/library/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AdamsXT/content/downloadContent.faces?objectStoreName=MainLibrary&amp;vsId=%7bF8EF0BAD-703B-46DB-B4E7-1C662BAADFEE%7d&amp;ForceBrowserDownloadMgrPrompt=false" TargetMode="External"/><Relationship Id="rId5" Type="http://schemas.openxmlformats.org/officeDocument/2006/relationships/numbering" Target="numbering.xml"/><Relationship Id="rId15" Type="http://schemas.openxmlformats.org/officeDocument/2006/relationships/hyperlink" Target="http://www.internal.nrc.gov/TICS/library/standards/ih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rupal.nrc.gov/nrr/ope%20(non-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bd97aaf-83bf-4cbd-a2dc-a7666ad0929f">CETI</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265B647C4D8468A58651B77E6329B" ma:contentTypeVersion="1" ma:contentTypeDescription="Create a new document." ma:contentTypeScope="" ma:versionID="11261905be0bb0b507f96b0fae34cb31">
  <xsd:schema xmlns:xsd="http://www.w3.org/2001/XMLSchema" xmlns:xs="http://www.w3.org/2001/XMLSchema" xmlns:p="http://schemas.microsoft.com/office/2006/metadata/properties" xmlns:ns2="9bd97aaf-83bf-4cbd-a2dc-a7666ad0929f" targetNamespace="http://schemas.microsoft.com/office/2006/metadata/properties" ma:root="true" ma:fieldsID="fb02fc967f524f62b41f411396c42eb6" ns2:_="">
    <xsd:import namespace="9bd97aaf-83bf-4cbd-a2dc-a7666ad0929f"/>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97aaf-83bf-4cbd-a2dc-a7666ad0929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CETI"/>
              <xsd:enumeration value="FEI - Fire Protection"/>
              <xsd:enumeration value="FEI - Power Operated Valves"/>
              <xsd:enumeration value="FEI - Loss of Power Coping and Preven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2B72-0520-4412-8CD5-DBA97574FD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d97aaf-83bf-4cbd-a2dc-a7666ad0929f"/>
    <ds:schemaRef ds:uri="http://www.w3.org/XML/1998/namespace"/>
    <ds:schemaRef ds:uri="http://purl.org/dc/dcmitype/"/>
  </ds:schemaRefs>
</ds:datastoreItem>
</file>

<file path=customXml/itemProps2.xml><?xml version="1.0" encoding="utf-8"?>
<ds:datastoreItem xmlns:ds="http://schemas.openxmlformats.org/officeDocument/2006/customXml" ds:itemID="{0C50758B-6080-4FA3-ACAA-786CF3EB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97aaf-83bf-4cbd-a2dc-a7666ad0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80FEE-E32F-410A-AEBC-BF8388066A36}">
  <ds:schemaRefs>
    <ds:schemaRef ds:uri="http://schemas.microsoft.com/sharepoint/v3/contenttype/forms"/>
  </ds:schemaRefs>
</ds:datastoreItem>
</file>

<file path=customXml/itemProps4.xml><?xml version="1.0" encoding="utf-8"?>
<ds:datastoreItem xmlns:ds="http://schemas.openxmlformats.org/officeDocument/2006/customXml" ds:itemID="{FA744D3E-9BAD-4862-AC49-95987275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vt:lpstr>
    </vt:vector>
  </TitlesOfParts>
  <Company>USNRC</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Campbell, Stephen</dc:creator>
  <cp:keywords/>
  <dc:description/>
  <cp:lastModifiedBy>Curran, Bridget</cp:lastModifiedBy>
  <cp:revision>2</cp:revision>
  <cp:lastPrinted>2019-06-12T14:31:00Z</cp:lastPrinted>
  <dcterms:created xsi:type="dcterms:W3CDTF">2019-07-31T11:35:00Z</dcterms:created>
  <dcterms:modified xsi:type="dcterms:W3CDTF">2019-07-31T11:35:00Z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0x0101005E2265B647C4D8468A58651B77E6329B</vt:lpwstr>
  </property>
</Properties>
</file>