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CD7EFF">
        <w:rPr>
          <w:rFonts w:ascii="Arial" w:hAnsi="Arial" w:cs="Arial"/>
          <w:sz w:val="22"/>
          <w:szCs w:val="22"/>
        </w:rPr>
        <w:t>14-026</w:t>
      </w:r>
      <w:r w:rsidR="00F461EC">
        <w:rPr>
          <w:rFonts w:ascii="Arial" w:hAnsi="Arial" w:cs="Arial"/>
          <w:sz w:val="22"/>
          <w:szCs w:val="22"/>
        </w:rPr>
        <w:t xml:space="preserve"> </w:t>
      </w:r>
      <w:r w:rsidR="00CD7EFF">
        <w:rPr>
          <w:rFonts w:ascii="Arial" w:hAnsi="Arial" w:cs="Arial"/>
          <w:sz w:val="22"/>
          <w:szCs w:val="22"/>
        </w:rPr>
        <w:t>issued 10/28</w:t>
      </w:r>
      <w:r w:rsidR="00FE12B0">
        <w:rPr>
          <w:rFonts w:ascii="Arial" w:hAnsi="Arial" w:cs="Arial"/>
          <w:sz w:val="22"/>
          <w:szCs w:val="22"/>
        </w:rPr>
        <w:t>/</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at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Aspects W</w:t>
      </w:r>
      <w:r w:rsidR="00D6201A" w:rsidRPr="005F7906">
        <w:rPr>
          <w:rFonts w:ascii="Arial" w:hAnsi="Arial" w:cs="Arial"/>
          <w:color w:val="000000"/>
          <w:sz w:val="22"/>
          <w:szCs w:val="22"/>
        </w:rPr>
        <w:t xml:space="preserve">ithin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and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and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2616BC" w:rsidRPr="00751330" w:rsidRDefault="002616BC" w:rsidP="002616BC">
      <w:pPr>
        <w:ind w:left="2160" w:hanging="1440"/>
        <w:rPr>
          <w:rFonts w:ascii="Arial" w:hAnsi="Arial" w:cs="Arial"/>
          <w:sz w:val="22"/>
          <w:szCs w:val="22"/>
        </w:rPr>
      </w:pP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Implementation of the Cyber Security Program Required by 10 CFR 73.54 and 10 CFR 73.55</w:t>
      </w:r>
      <w:r w:rsidR="00BF18AE">
        <w:rPr>
          <w:rFonts w:ascii="Arial" w:hAnsi="Arial" w:cs="Arial"/>
          <w:sz w:val="22"/>
          <w:szCs w:val="22"/>
        </w:rPr>
        <w:t xml:space="preserve"> 07/03/14 (14-015)</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In-Core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C3520">
        <w:rPr>
          <w:rFonts w:ascii="Arial" w:hAnsi="Arial" w:cs="Arial"/>
          <w:sz w:val="22"/>
          <w:szCs w:val="22"/>
        </w:rPr>
        <w:t>10/15/14</w:t>
      </w:r>
      <w:r w:rsidR="00C766F8">
        <w:rPr>
          <w:rFonts w:ascii="Arial" w:hAnsi="Arial" w:cs="Arial"/>
          <w:sz w:val="22"/>
          <w:szCs w:val="22"/>
        </w:rPr>
        <w:t xml:space="preserve"> (</w:t>
      </w:r>
      <w:r w:rsidR="009C3520">
        <w:rPr>
          <w:rFonts w:ascii="Arial" w:hAnsi="Arial" w:cs="Arial"/>
          <w:sz w:val="22"/>
          <w:szCs w:val="22"/>
        </w:rPr>
        <w:t>14</w:t>
      </w:r>
      <w:r w:rsidR="002A58B5">
        <w:rPr>
          <w:rFonts w:ascii="Arial" w:hAnsi="Arial" w:cs="Arial"/>
          <w:sz w:val="22"/>
          <w:szCs w:val="22"/>
        </w:rPr>
        <w:t>-024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To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To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To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 xml:space="preserve">(reactivated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Reliable Decay Heat Removal During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Periodic Verification of  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 xml:space="preserve">During Shutdown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To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Rev 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 xml:space="preserve">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P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Watts Bar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P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During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(reactivated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Inspection of 10 CFR Part 21 and Programs for Reporting Defects and Noncompliance During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45051.A</w:t>
      </w:r>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 xml:space="preserve">(reactivated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 xml:space="preserve">(reactivated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 xml:space="preserve">(reactivated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 xml:space="preserve">(reactivated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 xml:space="preserve">(reactivated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A  </w:t>
      </w:r>
      <w:r w:rsidRPr="00F9270B">
        <w:rPr>
          <w:rFonts w:ascii="Arial" w:hAnsi="Arial" w:cs="Arial"/>
          <w:sz w:val="22"/>
          <w:szCs w:val="22"/>
        </w:rPr>
        <w:t>Inspection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A  </w:t>
      </w:r>
      <w:r w:rsidRPr="00DF45F7">
        <w:rPr>
          <w:rFonts w:ascii="Arial" w:hAnsi="Arial" w:cs="Arial"/>
          <w:sz w:val="22"/>
          <w:szCs w:val="22"/>
        </w:rPr>
        <w:t>Inspection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A  </w:t>
      </w:r>
      <w:r w:rsidRPr="00DF45F7">
        <w:rPr>
          <w:rFonts w:ascii="Arial" w:hAnsi="Arial" w:cs="Arial"/>
          <w:sz w:val="22"/>
          <w:szCs w:val="22"/>
        </w:rPr>
        <w:t>Inspection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5001.A</w:t>
      </w:r>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65001.B</w:t>
      </w:r>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65001.C</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 xml:space="preserve">65001.D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65001.E</w:t>
      </w:r>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65001.F</w:t>
      </w:r>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 xml:space="preserve">(reactivated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(reactivated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56EB8"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356EB8"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(reactivated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356EB8"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7C654D" w:rsidRPr="00751330" w:rsidRDefault="007C654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Worth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6371BC" w:rsidRDefault="006371BC"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 xml:space="preserve">(reactivated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Reserved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And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Resumption of Normal Operations After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F59" w:rsidRDefault="00003F59">
      <w:r>
        <w:separator/>
      </w:r>
    </w:p>
  </w:endnote>
  <w:endnote w:type="continuationSeparator" w:id="0">
    <w:p w:rsidR="00003F59" w:rsidRDefault="00003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751330" w:rsidRDefault="00DC0D56"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34126C">
          <w:rPr>
            <w:rFonts w:ascii="Arial" w:hAnsi="Arial" w:cs="Arial"/>
            <w:sz w:val="22"/>
            <w:szCs w:val="22"/>
          </w:rPr>
          <w:t xml:space="preserve">Issue Date:  </w:t>
        </w:r>
        <w:r w:rsidR="00CD7EFF">
          <w:rPr>
            <w:rFonts w:ascii="Arial" w:hAnsi="Arial" w:cs="Arial"/>
            <w:sz w:val="22"/>
            <w:szCs w:val="22"/>
          </w:rPr>
          <w:t>10/28</w:t>
        </w:r>
        <w:r w:rsidR="00003F59">
          <w:rPr>
            <w:rFonts w:ascii="Arial" w:hAnsi="Arial" w:cs="Arial"/>
            <w:sz w:val="22"/>
            <w:szCs w:val="22"/>
          </w:rPr>
          <w:t>/14</w:t>
        </w:r>
        <w:r w:rsidR="00003F59">
          <w:rPr>
            <w:rFonts w:ascii="Arial" w:hAnsi="Arial" w:cs="Arial"/>
            <w:sz w:val="22"/>
            <w:szCs w:val="22"/>
          </w:rPr>
          <w:tab/>
        </w:r>
        <w:r w:rsidR="00003F59" w:rsidRPr="00751330">
          <w:rPr>
            <w:rFonts w:ascii="Arial" w:hAnsi="Arial" w:cs="Arial"/>
            <w:sz w:val="22"/>
            <w:szCs w:val="22"/>
          </w:rPr>
          <w:fldChar w:fldCharType="begin"/>
        </w:r>
        <w:r w:rsidR="00003F59" w:rsidRPr="00751330">
          <w:rPr>
            <w:rFonts w:ascii="Arial" w:hAnsi="Arial" w:cs="Arial"/>
            <w:sz w:val="22"/>
            <w:szCs w:val="22"/>
          </w:rPr>
          <w:instrText xml:space="preserve"> PAGE   \* MERGEFORMAT </w:instrText>
        </w:r>
        <w:r w:rsidR="00003F59" w:rsidRPr="00751330">
          <w:rPr>
            <w:rFonts w:ascii="Arial" w:hAnsi="Arial" w:cs="Arial"/>
            <w:sz w:val="22"/>
            <w:szCs w:val="22"/>
          </w:rPr>
          <w:fldChar w:fldCharType="separate"/>
        </w:r>
        <w:r>
          <w:rPr>
            <w:rFonts w:ascii="Arial" w:hAnsi="Arial" w:cs="Arial"/>
            <w:noProof/>
            <w:sz w:val="22"/>
            <w:szCs w:val="22"/>
          </w:rPr>
          <w:t>1</w:t>
        </w:r>
        <w:r w:rsidR="00003F59" w:rsidRPr="00751330">
          <w:rPr>
            <w:rFonts w:ascii="Arial" w:hAnsi="Arial" w:cs="Arial"/>
            <w:sz w:val="22"/>
            <w:szCs w:val="22"/>
          </w:rPr>
          <w:fldChar w:fldCharType="end"/>
        </w:r>
      </w:sdtContent>
    </w:sdt>
    <w:r w:rsidR="00003F59">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F59" w:rsidRDefault="00003F59">
      <w:r>
        <w:separator/>
      </w:r>
    </w:p>
  </w:footnote>
  <w:footnote w:type="continuationSeparator" w:id="0">
    <w:p w:rsidR="00003F59" w:rsidRDefault="00003F59">
      <w:r>
        <w:continuationSeparator/>
      </w:r>
    </w:p>
  </w:footnote>
  <w:footnote w:id="1">
    <w:p w:rsidR="00003F59" w:rsidRPr="00816E97" w:rsidRDefault="00003F59"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003F59" w:rsidRPr="00816E97" w:rsidRDefault="00003F59"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A71D36" w:rsidRDefault="00003F59"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343885" w:rsidRDefault="00003F59"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Default="00003F59">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71041"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D055C"/>
    <w:rsid w:val="00CD4ED0"/>
    <w:rsid w:val="00CD5178"/>
    <w:rsid w:val="00CD582E"/>
    <w:rsid w:val="00CD658A"/>
    <w:rsid w:val="00CD6B84"/>
    <w:rsid w:val="00CD7385"/>
    <w:rsid w:val="00CD77E5"/>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4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5DCFB-93C5-4043-8870-BC3AC7C7C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12695</Words>
  <Characters>92058</Characters>
  <Application>Microsoft Office Word</Application>
  <DocSecurity>0</DocSecurity>
  <Lines>767</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2014-08-12T16:13:00Z</cp:lastPrinted>
  <dcterms:created xsi:type="dcterms:W3CDTF">2014-10-24T19:17:00Z</dcterms:created>
  <dcterms:modified xsi:type="dcterms:W3CDTF">2014-10-24T19:17:00Z</dcterms:modified>
</cp:coreProperties>
</file>