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70D" w:rsidRPr="004A770D" w:rsidRDefault="004A770D" w:rsidP="006576FE">
      <w:pPr>
        <w:widowControl/>
        <w:tabs>
          <w:tab w:val="left" w:pos="0"/>
          <w:tab w:val="center" w:pos="4680"/>
          <w:tab w:val="left" w:pos="8640"/>
        </w:tabs>
        <w:rPr>
          <w:rFonts w:ascii="Arial" w:hAnsi="Arial" w:cs="Arial"/>
          <w:b/>
          <w:sz w:val="20"/>
          <w:szCs w:val="20"/>
        </w:rPr>
      </w:pPr>
      <w:r>
        <w:rPr>
          <w:rFonts w:ascii="Arial" w:hAnsi="Arial" w:cs="Arial"/>
          <w:b/>
          <w:sz w:val="38"/>
          <w:szCs w:val="38"/>
        </w:rPr>
        <w:tab/>
      </w:r>
      <w:r w:rsidRPr="004A770D">
        <w:rPr>
          <w:rFonts w:ascii="Arial" w:hAnsi="Arial" w:cs="Arial"/>
          <w:b/>
          <w:sz w:val="38"/>
          <w:szCs w:val="38"/>
        </w:rPr>
        <w:t>NRC INSPECTION MANUAL</w:t>
      </w:r>
      <w:r>
        <w:rPr>
          <w:rFonts w:ascii="Arial" w:hAnsi="Arial" w:cs="Arial"/>
          <w:b/>
          <w:sz w:val="20"/>
          <w:szCs w:val="20"/>
        </w:rPr>
        <w:tab/>
      </w:r>
      <w:r w:rsidRPr="004A770D">
        <w:rPr>
          <w:rFonts w:ascii="Arial" w:hAnsi="Arial" w:cs="Arial"/>
          <w:sz w:val="20"/>
          <w:szCs w:val="20"/>
        </w:rPr>
        <w:t>IPAB</w:t>
      </w:r>
    </w:p>
    <w:p w:rsidR="004A770D" w:rsidRDefault="004A770D" w:rsidP="006576FE">
      <w:pPr>
        <w:widowControl/>
        <w:tabs>
          <w:tab w:val="left" w:pos="-1080"/>
          <w:tab w:val="left" w:pos="-720"/>
          <w:tab w:val="left" w:pos="0"/>
          <w:tab w:val="left" w:pos="1080"/>
        </w:tabs>
        <w:rPr>
          <w:rFonts w:ascii="Arial" w:hAnsi="Arial" w:cs="Arial"/>
          <w:sz w:val="22"/>
          <w:szCs w:val="22"/>
        </w:rPr>
      </w:pPr>
    </w:p>
    <w:tbl>
      <w:tblPr>
        <w:tblStyle w:val="TableGrid"/>
        <w:tblW w:w="0" w:type="auto"/>
        <w:tblLook w:val="04A0" w:firstRow="1" w:lastRow="0" w:firstColumn="1" w:lastColumn="0" w:noHBand="0" w:noVBand="1"/>
      </w:tblPr>
      <w:tblGrid>
        <w:gridCol w:w="9576"/>
      </w:tblGrid>
      <w:tr w:rsidR="004A770D" w:rsidTr="00D81EE1">
        <w:tc>
          <w:tcPr>
            <w:tcW w:w="9576" w:type="dxa"/>
            <w:tcBorders>
              <w:left w:val="nil"/>
              <w:right w:val="nil"/>
            </w:tcBorders>
          </w:tcPr>
          <w:p w:rsidR="004A770D" w:rsidRDefault="004A770D" w:rsidP="006576FE">
            <w:pPr>
              <w:widowControl/>
              <w:tabs>
                <w:tab w:val="left" w:pos="-1080"/>
                <w:tab w:val="left" w:pos="-720"/>
                <w:tab w:val="left" w:pos="0"/>
                <w:tab w:val="left" w:pos="1080"/>
              </w:tabs>
              <w:jc w:val="center"/>
              <w:rPr>
                <w:rFonts w:ascii="Arial" w:hAnsi="Arial" w:cs="Arial"/>
                <w:sz w:val="22"/>
                <w:szCs w:val="22"/>
              </w:rPr>
            </w:pPr>
            <w:r>
              <w:rPr>
                <w:rFonts w:ascii="Arial" w:hAnsi="Arial" w:cs="Arial"/>
                <w:sz w:val="22"/>
                <w:szCs w:val="22"/>
              </w:rPr>
              <w:t>MANUAL CHAPTER 0308 ATTACHMENT 3, APPENDIX M</w:t>
            </w:r>
          </w:p>
        </w:tc>
      </w:tr>
    </w:tbl>
    <w:p w:rsidR="004A770D" w:rsidRDefault="004A770D" w:rsidP="006576FE">
      <w:pPr>
        <w:widowControl/>
        <w:tabs>
          <w:tab w:val="left" w:pos="-1080"/>
          <w:tab w:val="left" w:pos="-720"/>
          <w:tab w:val="left" w:pos="0"/>
          <w:tab w:val="left" w:pos="1080"/>
        </w:tabs>
        <w:rPr>
          <w:rFonts w:ascii="Arial" w:hAnsi="Arial" w:cs="Arial"/>
          <w:sz w:val="22"/>
          <w:szCs w:val="22"/>
        </w:rPr>
      </w:pPr>
    </w:p>
    <w:p w:rsidR="00432074"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D81EE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jc w:val="center"/>
        <w:rPr>
          <w:rFonts w:ascii="Arial" w:hAnsi="Arial" w:cs="Arial"/>
          <w:b/>
          <w:sz w:val="22"/>
          <w:szCs w:val="22"/>
        </w:rPr>
      </w:pPr>
      <w:r w:rsidRPr="00D81EE1">
        <w:rPr>
          <w:rFonts w:ascii="Arial" w:hAnsi="Arial" w:cs="Arial"/>
          <w:b/>
          <w:sz w:val="22"/>
          <w:szCs w:val="22"/>
        </w:rPr>
        <w:t>TECHNICAL BASIS FOR THE SIGNIFICANCE DETERMINATION PROCESS (SDP) USING QUALITATIVE CRITERIA</w:t>
      </w:r>
    </w:p>
    <w:p w:rsidR="00D81EE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bookmarkStart w:id="0" w:name="_GoBack"/>
      <w:bookmarkEnd w:id="0"/>
    </w:p>
    <w:p w:rsidR="00D81EE1" w:rsidRPr="00D81EE1" w:rsidRDefault="00D81EE1"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Pr="00924455" w:rsidRDefault="00432074" w:rsidP="006576FE">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924455">
        <w:rPr>
          <w:rFonts w:ascii="Arial" w:hAnsi="Arial" w:cs="Arial"/>
          <w:sz w:val="22"/>
          <w:szCs w:val="22"/>
        </w:rPr>
        <w:t>1.0</w:t>
      </w:r>
      <w:r w:rsidRPr="00924455">
        <w:rPr>
          <w:rFonts w:ascii="Arial" w:hAnsi="Arial" w:cs="Arial"/>
          <w:sz w:val="22"/>
          <w:szCs w:val="22"/>
        </w:rPr>
        <w:tab/>
        <w:t>OBJECTIVE</w:t>
      </w:r>
    </w:p>
    <w:p w:rsidR="00432074" w:rsidRPr="004A770D"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Pr="00924455" w:rsidRDefault="00432074" w:rsidP="006576FE">
      <w:pPr>
        <w:widowControl/>
        <w:rPr>
          <w:rFonts w:ascii="Arial" w:hAnsi="Arial" w:cs="Arial"/>
          <w:sz w:val="22"/>
          <w:szCs w:val="22"/>
        </w:rPr>
      </w:pPr>
      <w:r w:rsidRPr="00924455">
        <w:rPr>
          <w:rFonts w:ascii="Arial" w:hAnsi="Arial" w:cs="Arial"/>
          <w:sz w:val="22"/>
          <w:szCs w:val="22"/>
        </w:rPr>
        <w:t>The objective of this appendix to Inspection Manual Chapter (IMC) 0308, Attachment 3,</w:t>
      </w:r>
      <w:r>
        <w:rPr>
          <w:rFonts w:ascii="Arial" w:hAnsi="Arial" w:cs="Arial"/>
          <w:sz w:val="22"/>
          <w:szCs w:val="22"/>
        </w:rPr>
        <w:t xml:space="preserve"> </w:t>
      </w:r>
      <w:r w:rsidRPr="00924455">
        <w:rPr>
          <w:rFonts w:ascii="Arial" w:hAnsi="Arial" w:cs="Arial"/>
          <w:sz w:val="22"/>
          <w:szCs w:val="22"/>
        </w:rPr>
        <w:t>“Technical Basis for the Significance Determination Process</w:t>
      </w:r>
      <w:r>
        <w:rPr>
          <w:rFonts w:ascii="Arial" w:hAnsi="Arial" w:cs="Arial"/>
          <w:sz w:val="22"/>
          <w:szCs w:val="22"/>
        </w:rPr>
        <w:t>,</w:t>
      </w:r>
      <w:r w:rsidRPr="00924455">
        <w:rPr>
          <w:rFonts w:ascii="Arial" w:hAnsi="Arial" w:cs="Arial"/>
          <w:sz w:val="22"/>
          <w:szCs w:val="22"/>
        </w:rPr>
        <w:t xml:space="preserve">” is to provide a technical basis for </w:t>
      </w:r>
      <w:r>
        <w:rPr>
          <w:rFonts w:ascii="Arial" w:hAnsi="Arial" w:cs="Arial"/>
          <w:sz w:val="22"/>
          <w:szCs w:val="22"/>
        </w:rPr>
        <w:t>using qualitative criteria in determining the safety significance of an inspection finding.</w:t>
      </w:r>
      <w:r w:rsidRPr="00924455">
        <w:rPr>
          <w:rFonts w:ascii="Arial" w:hAnsi="Arial" w:cs="Arial"/>
          <w:sz w:val="22"/>
          <w:szCs w:val="22"/>
        </w:rPr>
        <w:t xml:space="preserve"> </w:t>
      </w:r>
    </w:p>
    <w:p w:rsidR="00432074" w:rsidRPr="00924455"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Pr="00924455"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Pr="00924455" w:rsidRDefault="00432074" w:rsidP="006576FE">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Pr>
          <w:rFonts w:ascii="Arial" w:hAnsi="Arial" w:cs="Arial"/>
          <w:sz w:val="22"/>
          <w:szCs w:val="22"/>
        </w:rPr>
        <w:t>2.0</w:t>
      </w:r>
      <w:r>
        <w:rPr>
          <w:rFonts w:ascii="Arial" w:hAnsi="Arial" w:cs="Arial"/>
          <w:sz w:val="22"/>
          <w:szCs w:val="22"/>
        </w:rPr>
        <w:tab/>
      </w:r>
      <w:r w:rsidRPr="00924455">
        <w:rPr>
          <w:rFonts w:ascii="Arial" w:hAnsi="Arial" w:cs="Arial"/>
          <w:sz w:val="22"/>
          <w:szCs w:val="22"/>
        </w:rPr>
        <w:t>BACKGROUND</w:t>
      </w:r>
    </w:p>
    <w:p w:rsidR="00432074" w:rsidRPr="004A770D"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Default="00432074" w:rsidP="006576FE">
      <w:pPr>
        <w:rPr>
          <w:rFonts w:ascii="Arial" w:hAnsi="Arial" w:cs="Arial"/>
          <w:sz w:val="22"/>
          <w:szCs w:val="22"/>
        </w:rPr>
      </w:pPr>
      <w:r>
        <w:rPr>
          <w:rFonts w:ascii="Arial" w:hAnsi="Arial" w:cs="Arial"/>
          <w:sz w:val="22"/>
          <w:szCs w:val="22"/>
        </w:rPr>
        <w:t>During</w:t>
      </w:r>
      <w:r w:rsidRPr="00924455">
        <w:rPr>
          <w:rFonts w:ascii="Arial" w:hAnsi="Arial" w:cs="Arial"/>
          <w:sz w:val="22"/>
          <w:szCs w:val="22"/>
        </w:rPr>
        <w:t xml:space="preserve"> the </w:t>
      </w:r>
      <w:r>
        <w:rPr>
          <w:rFonts w:ascii="Arial" w:hAnsi="Arial" w:cs="Arial"/>
          <w:sz w:val="22"/>
          <w:szCs w:val="22"/>
        </w:rPr>
        <w:t>early</w:t>
      </w:r>
      <w:r w:rsidRPr="00924455">
        <w:rPr>
          <w:rFonts w:ascii="Arial" w:hAnsi="Arial" w:cs="Arial"/>
          <w:sz w:val="22"/>
          <w:szCs w:val="22"/>
        </w:rPr>
        <w:t xml:space="preserve"> implementation of the Reactor Oversight Process</w:t>
      </w:r>
      <w:r>
        <w:rPr>
          <w:rFonts w:ascii="Arial" w:hAnsi="Arial" w:cs="Arial"/>
          <w:sz w:val="22"/>
          <w:szCs w:val="22"/>
        </w:rPr>
        <w:t xml:space="preserve"> (ROP), the SDP received a significant amount of critical feedback.  At the outset there was a need for more SDP tools for staff use, some of the tools available needed more refinement and benchmarking, and the overall process failed to meet timeliness expectations.  As a result of these initial challenges, an SDP improvement initiative was developed by the staff of the Inspection Programs Branch (IIPB), which at the time was the lead organization for implementatio</w:t>
      </w:r>
      <w:r w:rsidR="00201638">
        <w:rPr>
          <w:rFonts w:ascii="Arial" w:hAnsi="Arial" w:cs="Arial"/>
          <w:sz w:val="22"/>
          <w:szCs w:val="22"/>
        </w:rPr>
        <w:t xml:space="preserve">n of the ROP (currently the Reactor Inspection (IRIB) and Performance Assessment (IPAB) branches </w:t>
      </w:r>
      <w:r w:rsidR="004271E0">
        <w:rPr>
          <w:rFonts w:ascii="Arial" w:hAnsi="Arial" w:cs="Arial"/>
          <w:sz w:val="22"/>
          <w:szCs w:val="22"/>
        </w:rPr>
        <w:t xml:space="preserve">have replaced IIPB and </w:t>
      </w:r>
      <w:r w:rsidR="00201638">
        <w:rPr>
          <w:rFonts w:ascii="Arial" w:hAnsi="Arial" w:cs="Arial"/>
          <w:sz w:val="22"/>
          <w:szCs w:val="22"/>
        </w:rPr>
        <w:t>perform th</w:t>
      </w:r>
      <w:r w:rsidR="004271E0">
        <w:rPr>
          <w:rFonts w:ascii="Arial" w:hAnsi="Arial" w:cs="Arial"/>
          <w:sz w:val="22"/>
          <w:szCs w:val="22"/>
        </w:rPr>
        <w:t>e majority of the ROP</w:t>
      </w:r>
      <w:r w:rsidR="00201638">
        <w:rPr>
          <w:rFonts w:ascii="Arial" w:hAnsi="Arial" w:cs="Arial"/>
          <w:sz w:val="22"/>
          <w:szCs w:val="22"/>
        </w:rPr>
        <w:t xml:space="preserve"> </w:t>
      </w:r>
      <w:r w:rsidR="004271E0">
        <w:rPr>
          <w:rFonts w:ascii="Arial" w:hAnsi="Arial" w:cs="Arial"/>
          <w:sz w:val="22"/>
          <w:szCs w:val="22"/>
        </w:rPr>
        <w:t>organizational</w:t>
      </w:r>
      <w:r w:rsidR="00201638">
        <w:rPr>
          <w:rFonts w:ascii="Arial" w:hAnsi="Arial" w:cs="Arial"/>
          <w:sz w:val="22"/>
          <w:szCs w:val="22"/>
        </w:rPr>
        <w:t xml:space="preserve"> functions).  </w:t>
      </w:r>
      <w:r>
        <w:rPr>
          <w:rFonts w:ascii="Arial" w:hAnsi="Arial" w:cs="Arial"/>
          <w:sz w:val="22"/>
          <w:szCs w:val="22"/>
        </w:rPr>
        <w:t xml:space="preserve">Additionally, in the late summer of 2002, the Executive Director for Operations (EDO) directed the formation of a NRC task group to perform an independent and objective review of the SDP.  This review was prompted, in part, by issues described in a Differing Professional Opinion (DPO) Panel Response dated June 28, 2002, (ML021830090) and an Office of the Inspector General (OIG) Audit Report dated August 21, 2002 </w:t>
      </w:r>
      <w:r w:rsidRPr="004214A6">
        <w:rPr>
          <w:rFonts w:ascii="Arial" w:hAnsi="Arial" w:cs="Arial"/>
          <w:sz w:val="22"/>
          <w:szCs w:val="22"/>
        </w:rPr>
        <w:t>(ML023080280).</w:t>
      </w:r>
      <w:r>
        <w:rPr>
          <w:rFonts w:ascii="Arial" w:hAnsi="Arial" w:cs="Arial"/>
          <w:sz w:val="22"/>
          <w:szCs w:val="22"/>
        </w:rPr>
        <w:t xml:space="preserve">  On December 13, 2002, the SDP task group finished its report and provided several recommendations, many of which were consistent with the SDP improvement initiatives developed by IIPB.  Some common recommendations involved the </w:t>
      </w:r>
      <w:r w:rsidR="0041631C">
        <w:rPr>
          <w:rFonts w:ascii="Arial" w:hAnsi="Arial" w:cs="Arial"/>
          <w:sz w:val="22"/>
          <w:szCs w:val="22"/>
        </w:rPr>
        <w:t>consideration</w:t>
      </w:r>
      <w:r>
        <w:rPr>
          <w:rFonts w:ascii="Arial" w:hAnsi="Arial" w:cs="Arial"/>
          <w:sz w:val="22"/>
          <w:szCs w:val="22"/>
        </w:rPr>
        <w:t xml:space="preserve"> of uncertainty in the SDP, the need to improve clarity of risk-informed decision-making guidance, and the importance of making timely regulatory decisions.  These common recommendations </w:t>
      </w:r>
      <w:r w:rsidR="0041631C">
        <w:rPr>
          <w:rFonts w:ascii="Arial" w:hAnsi="Arial" w:cs="Arial"/>
          <w:sz w:val="22"/>
          <w:szCs w:val="22"/>
        </w:rPr>
        <w:t>revealed the need for</w:t>
      </w:r>
      <w:r>
        <w:rPr>
          <w:rFonts w:ascii="Arial" w:hAnsi="Arial" w:cs="Arial"/>
          <w:sz w:val="22"/>
          <w:szCs w:val="22"/>
        </w:rPr>
        <w:t xml:space="preserve"> an alternative process (i.e., a new SDP tool) to estimate the safety significance of inspection findings that are difficult to estimate using quantitative risk </w:t>
      </w:r>
      <w:r w:rsidR="0041631C">
        <w:rPr>
          <w:rFonts w:ascii="Arial" w:hAnsi="Arial" w:cs="Arial"/>
          <w:sz w:val="22"/>
          <w:szCs w:val="22"/>
        </w:rPr>
        <w:t>tools and methods</w:t>
      </w:r>
      <w:r>
        <w:rPr>
          <w:rFonts w:ascii="Arial" w:hAnsi="Arial" w:cs="Arial"/>
          <w:sz w:val="22"/>
          <w:szCs w:val="22"/>
        </w:rPr>
        <w:t>.  Although previous inspection program guidance required NRC management review for findings that could not be evaluated by the SDP, a focus group led by IIPB was created to develop a new SDP tool, which eventually became IMC 0609, Appendix M, “The Significance Determination Process Using Qualitative Criteria,” initially issued on December 22, 2006.</w:t>
      </w:r>
    </w:p>
    <w:p w:rsidR="00432074" w:rsidRDefault="00432074" w:rsidP="006576FE">
      <w:pPr>
        <w:rPr>
          <w:rFonts w:ascii="Arial" w:hAnsi="Arial" w:cs="Arial"/>
          <w:sz w:val="22"/>
          <w:szCs w:val="22"/>
        </w:rPr>
      </w:pPr>
    </w:p>
    <w:p w:rsidR="00D81EE1" w:rsidRDefault="00D81EE1" w:rsidP="006576FE">
      <w:pPr>
        <w:rPr>
          <w:rFonts w:ascii="Arial" w:hAnsi="Arial" w:cs="Arial"/>
          <w:sz w:val="22"/>
          <w:szCs w:val="22"/>
        </w:rPr>
        <w:sectPr w:rsidR="00D81EE1" w:rsidSect="004A770D">
          <w:footerReference w:type="default" r:id="rId9"/>
          <w:pgSz w:w="12240" w:h="15840" w:code="1"/>
          <w:pgMar w:top="1440" w:right="1440" w:bottom="1440" w:left="1440" w:header="1440" w:footer="1440" w:gutter="0"/>
          <w:cols w:space="720"/>
          <w:noEndnote/>
          <w:docGrid w:linePitch="326"/>
        </w:sectPr>
      </w:pPr>
    </w:p>
    <w:p w:rsidR="00432074" w:rsidRDefault="00432074" w:rsidP="006576FE">
      <w:pPr>
        <w:rPr>
          <w:rFonts w:ascii="Arial" w:hAnsi="Arial" w:cs="Arial"/>
          <w:sz w:val="22"/>
          <w:szCs w:val="22"/>
        </w:rPr>
      </w:pPr>
    </w:p>
    <w:p w:rsidR="00432074" w:rsidRPr="00924455" w:rsidRDefault="00432074" w:rsidP="006576FE">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924455">
        <w:rPr>
          <w:rFonts w:ascii="Arial" w:hAnsi="Arial" w:cs="Arial"/>
          <w:sz w:val="22"/>
          <w:szCs w:val="22"/>
        </w:rPr>
        <w:t>3.0</w:t>
      </w:r>
      <w:r w:rsidRPr="00924455">
        <w:rPr>
          <w:rFonts w:ascii="Arial" w:hAnsi="Arial" w:cs="Arial"/>
          <w:sz w:val="22"/>
          <w:szCs w:val="22"/>
        </w:rPr>
        <w:tab/>
        <w:t xml:space="preserve">TECHNICAL BASIS </w:t>
      </w:r>
      <w:r>
        <w:rPr>
          <w:rFonts w:ascii="Arial" w:hAnsi="Arial" w:cs="Arial"/>
          <w:sz w:val="22"/>
          <w:szCs w:val="22"/>
        </w:rPr>
        <w:t>OF THE METHODOLOGY - OVERVIEW</w:t>
      </w:r>
    </w:p>
    <w:p w:rsidR="00432074" w:rsidRPr="00D81EE1" w:rsidRDefault="00432074" w:rsidP="006576F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p>
    <w:p w:rsidR="00432074" w:rsidRDefault="00432074" w:rsidP="006576FE">
      <w:pPr>
        <w:rPr>
          <w:rFonts w:ascii="Arial" w:hAnsi="Arial" w:cs="Arial"/>
          <w:sz w:val="22"/>
          <w:szCs w:val="22"/>
        </w:rPr>
      </w:pPr>
      <w:r>
        <w:rPr>
          <w:rFonts w:ascii="Arial" w:hAnsi="Arial" w:cs="Arial"/>
          <w:sz w:val="22"/>
          <w:szCs w:val="22"/>
        </w:rPr>
        <w:t>The technical basis for using qualitative criteria to estimate the safety significance of an inspection finding involves bal</w:t>
      </w:r>
      <w:r w:rsidR="0041631C">
        <w:rPr>
          <w:rFonts w:ascii="Arial" w:hAnsi="Arial" w:cs="Arial"/>
          <w:sz w:val="22"/>
          <w:szCs w:val="22"/>
        </w:rPr>
        <w:t>ancing two competing objectives:</w:t>
      </w:r>
      <w:r>
        <w:rPr>
          <w:rFonts w:ascii="Arial" w:hAnsi="Arial" w:cs="Arial"/>
          <w:sz w:val="22"/>
          <w:szCs w:val="22"/>
        </w:rPr>
        <w:t xml:space="preserve"> accounting for uncertainty and making timely regulatory decisions.  All probabilistic evaluations have an inherent level of uncertainty associated with their quantitative outcomes.  However, the amount of uncertainty can vary depending on how well the risk impact of the finding can be modeled using </w:t>
      </w:r>
      <w:r w:rsidR="0041631C">
        <w:rPr>
          <w:rFonts w:ascii="Arial" w:hAnsi="Arial" w:cs="Arial"/>
          <w:sz w:val="22"/>
          <w:szCs w:val="22"/>
        </w:rPr>
        <w:t xml:space="preserve">available </w:t>
      </w:r>
      <w:r>
        <w:rPr>
          <w:rFonts w:ascii="Arial" w:hAnsi="Arial" w:cs="Arial"/>
          <w:sz w:val="22"/>
          <w:szCs w:val="22"/>
        </w:rPr>
        <w:t>state-of-the-art tools (e.g., Standardized Plant Analysis Risk (SPAR) models, SDP appendices).  Findings that have a high level of uncertainty with their quantitative results</w:t>
      </w:r>
      <w:r w:rsidR="00A617E4">
        <w:rPr>
          <w:rFonts w:ascii="Arial" w:hAnsi="Arial" w:cs="Arial"/>
          <w:sz w:val="22"/>
          <w:szCs w:val="22"/>
        </w:rPr>
        <w:t>, typically from a lack of confidence in the state-of-knowledge,</w:t>
      </w:r>
      <w:r>
        <w:rPr>
          <w:rFonts w:ascii="Arial" w:hAnsi="Arial" w:cs="Arial"/>
          <w:sz w:val="22"/>
          <w:szCs w:val="22"/>
        </w:rPr>
        <w:t xml:space="preserve"> can have </w:t>
      </w:r>
      <w:r w:rsidR="00201638">
        <w:rPr>
          <w:rFonts w:ascii="Arial" w:hAnsi="Arial" w:cs="Arial"/>
          <w:sz w:val="22"/>
          <w:szCs w:val="22"/>
        </w:rPr>
        <w:t xml:space="preserve">variably </w:t>
      </w:r>
      <w:r>
        <w:rPr>
          <w:rFonts w:ascii="Arial" w:hAnsi="Arial" w:cs="Arial"/>
          <w:sz w:val="22"/>
          <w:szCs w:val="22"/>
        </w:rPr>
        <w:t xml:space="preserve">different outcomes </w:t>
      </w:r>
      <w:r w:rsidR="00201638">
        <w:rPr>
          <w:rFonts w:ascii="Arial" w:hAnsi="Arial" w:cs="Arial"/>
          <w:sz w:val="22"/>
          <w:szCs w:val="22"/>
        </w:rPr>
        <w:t xml:space="preserve">due </w:t>
      </w:r>
      <w:r w:rsidR="0041631C">
        <w:rPr>
          <w:rFonts w:ascii="Arial" w:hAnsi="Arial" w:cs="Arial"/>
          <w:sz w:val="22"/>
          <w:szCs w:val="22"/>
        </w:rPr>
        <w:t>t</w:t>
      </w:r>
      <w:r w:rsidR="00201638">
        <w:rPr>
          <w:rFonts w:ascii="Arial" w:hAnsi="Arial" w:cs="Arial"/>
          <w:sz w:val="22"/>
          <w:szCs w:val="22"/>
        </w:rPr>
        <w:t>o their sensitivity</w:t>
      </w:r>
      <w:r>
        <w:rPr>
          <w:rFonts w:ascii="Arial" w:hAnsi="Arial" w:cs="Arial"/>
          <w:sz w:val="22"/>
          <w:szCs w:val="22"/>
        </w:rPr>
        <w:t xml:space="preserve"> to assumption</w:t>
      </w:r>
      <w:r w:rsidR="0041631C">
        <w:rPr>
          <w:rFonts w:ascii="Arial" w:hAnsi="Arial" w:cs="Arial"/>
          <w:sz w:val="22"/>
          <w:szCs w:val="22"/>
        </w:rPr>
        <w:t>s</w:t>
      </w:r>
      <w:r>
        <w:rPr>
          <w:rFonts w:ascii="Arial" w:hAnsi="Arial" w:cs="Arial"/>
          <w:sz w:val="22"/>
          <w:szCs w:val="22"/>
        </w:rPr>
        <w:t xml:space="preserve"> made in the risk analysis.  For example, if an initiating event frequency has a large uncertainty band and the mitigation capability to address this initiating event is expected to be unsuccessful</w:t>
      </w:r>
      <w:r w:rsidR="00A617E4">
        <w:rPr>
          <w:rFonts w:ascii="Arial" w:hAnsi="Arial" w:cs="Arial"/>
          <w:sz w:val="22"/>
          <w:szCs w:val="22"/>
        </w:rPr>
        <w:t xml:space="preserve"> (i.e., a high probability of failure)</w:t>
      </w:r>
      <w:r>
        <w:rPr>
          <w:rFonts w:ascii="Arial" w:hAnsi="Arial" w:cs="Arial"/>
          <w:sz w:val="22"/>
          <w:szCs w:val="22"/>
        </w:rPr>
        <w:t xml:space="preserve">, then </w:t>
      </w:r>
      <w:r w:rsidR="00A617E4">
        <w:rPr>
          <w:rFonts w:ascii="Arial" w:hAnsi="Arial" w:cs="Arial"/>
          <w:sz w:val="22"/>
          <w:szCs w:val="22"/>
        </w:rPr>
        <w:t>any</w:t>
      </w:r>
      <w:r>
        <w:rPr>
          <w:rFonts w:ascii="Arial" w:hAnsi="Arial" w:cs="Arial"/>
          <w:sz w:val="22"/>
          <w:szCs w:val="22"/>
        </w:rPr>
        <w:t xml:space="preserve"> change in the point estimate of the initiating event frequency </w:t>
      </w:r>
      <w:r w:rsidR="00A617E4">
        <w:rPr>
          <w:rFonts w:ascii="Arial" w:hAnsi="Arial" w:cs="Arial"/>
          <w:sz w:val="22"/>
          <w:szCs w:val="22"/>
        </w:rPr>
        <w:t>could result in</w:t>
      </w:r>
      <w:r>
        <w:rPr>
          <w:rFonts w:ascii="Arial" w:hAnsi="Arial" w:cs="Arial"/>
          <w:sz w:val="22"/>
          <w:szCs w:val="22"/>
        </w:rPr>
        <w:t xml:space="preserve"> a significant change in the overall outcome.  In these situations </w:t>
      </w:r>
      <w:r w:rsidR="00A617E4">
        <w:rPr>
          <w:rFonts w:ascii="Arial" w:hAnsi="Arial" w:cs="Arial"/>
          <w:sz w:val="22"/>
          <w:szCs w:val="22"/>
        </w:rPr>
        <w:t>a small change in frequency could drive different levels of regulatory response; thus challenging the staff to make a timely risk-informed decision.</w:t>
      </w:r>
      <w:r w:rsidR="00163536">
        <w:rPr>
          <w:rFonts w:ascii="Arial" w:hAnsi="Arial" w:cs="Arial"/>
          <w:sz w:val="22"/>
          <w:szCs w:val="22"/>
        </w:rPr>
        <w:t xml:space="preserve">  In developing a methodology to resolve these types of situations, t</w:t>
      </w:r>
      <w:r w:rsidR="00D9427A">
        <w:rPr>
          <w:rFonts w:ascii="Arial" w:hAnsi="Arial" w:cs="Arial"/>
          <w:sz w:val="22"/>
          <w:szCs w:val="22"/>
        </w:rPr>
        <w:t xml:space="preserve">he </w:t>
      </w:r>
      <w:r w:rsidR="00E35964">
        <w:rPr>
          <w:rFonts w:ascii="Arial" w:hAnsi="Arial" w:cs="Arial"/>
          <w:sz w:val="22"/>
          <w:szCs w:val="22"/>
        </w:rPr>
        <w:t xml:space="preserve">staff must </w:t>
      </w:r>
      <w:r w:rsidR="00163536">
        <w:rPr>
          <w:rFonts w:ascii="Arial" w:hAnsi="Arial" w:cs="Arial"/>
          <w:sz w:val="22"/>
          <w:szCs w:val="22"/>
        </w:rPr>
        <w:t>consider</w:t>
      </w:r>
      <w:r w:rsidR="00E35964">
        <w:rPr>
          <w:rFonts w:ascii="Arial" w:hAnsi="Arial" w:cs="Arial"/>
          <w:sz w:val="22"/>
          <w:szCs w:val="22"/>
        </w:rPr>
        <w:t xml:space="preserve"> that the </w:t>
      </w:r>
      <w:r w:rsidR="00D9427A">
        <w:rPr>
          <w:rFonts w:ascii="Arial" w:hAnsi="Arial" w:cs="Arial"/>
          <w:sz w:val="22"/>
          <w:szCs w:val="22"/>
        </w:rPr>
        <w:t xml:space="preserve">main objective is to balance </w:t>
      </w:r>
      <w:r w:rsidR="00E35964">
        <w:rPr>
          <w:rFonts w:ascii="Arial" w:hAnsi="Arial" w:cs="Arial"/>
          <w:sz w:val="22"/>
          <w:szCs w:val="22"/>
        </w:rPr>
        <w:t>the desire for</w:t>
      </w:r>
      <w:r w:rsidR="00D9427A">
        <w:rPr>
          <w:rFonts w:ascii="Arial" w:hAnsi="Arial" w:cs="Arial"/>
          <w:sz w:val="22"/>
          <w:szCs w:val="22"/>
        </w:rPr>
        <w:t xml:space="preserve"> a realistic assessment that appropriately accounts for uncertainties</w:t>
      </w:r>
      <w:r w:rsidR="00E35964">
        <w:rPr>
          <w:rFonts w:ascii="Arial" w:hAnsi="Arial" w:cs="Arial"/>
          <w:sz w:val="22"/>
          <w:szCs w:val="22"/>
        </w:rPr>
        <w:t xml:space="preserve"> with the need for timely decisions on regulatory response</w:t>
      </w:r>
      <w:r w:rsidR="00D9427A">
        <w:rPr>
          <w:rFonts w:ascii="Arial" w:hAnsi="Arial" w:cs="Arial"/>
          <w:sz w:val="22"/>
          <w:szCs w:val="22"/>
        </w:rPr>
        <w:t>.</w:t>
      </w:r>
    </w:p>
    <w:p w:rsidR="00432074" w:rsidRDefault="00432074" w:rsidP="006576FE">
      <w:pPr>
        <w:rPr>
          <w:rFonts w:ascii="Arial" w:hAnsi="Arial" w:cs="Arial"/>
          <w:sz w:val="22"/>
          <w:szCs w:val="22"/>
        </w:rPr>
      </w:pPr>
    </w:p>
    <w:p w:rsidR="00432074" w:rsidRDefault="00432074" w:rsidP="00AB4149">
      <w:pPr>
        <w:tabs>
          <w:tab w:val="left" w:pos="720"/>
        </w:tabs>
        <w:rPr>
          <w:rFonts w:ascii="Arial" w:hAnsi="Arial" w:cs="Arial"/>
          <w:sz w:val="22"/>
          <w:szCs w:val="22"/>
        </w:rPr>
      </w:pPr>
      <w:r>
        <w:rPr>
          <w:rFonts w:ascii="Arial" w:hAnsi="Arial" w:cs="Arial"/>
          <w:sz w:val="22"/>
          <w:szCs w:val="22"/>
        </w:rPr>
        <w:t>3.</w:t>
      </w:r>
      <w:r w:rsidR="00AB4149">
        <w:rPr>
          <w:rFonts w:ascii="Arial" w:hAnsi="Arial" w:cs="Arial"/>
          <w:sz w:val="22"/>
          <w:szCs w:val="22"/>
        </w:rPr>
        <w:t>0</w:t>
      </w:r>
      <w:r>
        <w:rPr>
          <w:rFonts w:ascii="Arial" w:hAnsi="Arial" w:cs="Arial"/>
          <w:sz w:val="22"/>
          <w:szCs w:val="22"/>
        </w:rPr>
        <w:t>1</w:t>
      </w:r>
      <w:r>
        <w:rPr>
          <w:rFonts w:ascii="Arial" w:hAnsi="Arial" w:cs="Arial"/>
          <w:sz w:val="22"/>
          <w:szCs w:val="22"/>
        </w:rPr>
        <w:tab/>
      </w:r>
      <w:r w:rsidR="00160288" w:rsidRPr="00160288">
        <w:rPr>
          <w:rFonts w:ascii="Arial" w:hAnsi="Arial" w:cs="Arial"/>
          <w:sz w:val="22"/>
          <w:szCs w:val="22"/>
          <w:u w:val="single"/>
        </w:rPr>
        <w:t>Uncertainty</w:t>
      </w:r>
    </w:p>
    <w:p w:rsidR="00432074" w:rsidRDefault="00432074" w:rsidP="006576FE">
      <w:pPr>
        <w:rPr>
          <w:rFonts w:ascii="Arial" w:hAnsi="Arial" w:cs="Arial"/>
          <w:sz w:val="22"/>
          <w:szCs w:val="22"/>
        </w:rPr>
      </w:pPr>
    </w:p>
    <w:p w:rsidR="00432074" w:rsidRDefault="00432074" w:rsidP="006576FE">
      <w:pPr>
        <w:widowControl/>
        <w:ind w:left="605"/>
        <w:rPr>
          <w:rFonts w:ascii="Arial" w:hAnsi="Arial" w:cs="Arial"/>
          <w:sz w:val="22"/>
          <w:szCs w:val="22"/>
        </w:rPr>
      </w:pPr>
      <w:r>
        <w:rPr>
          <w:rFonts w:ascii="Arial" w:hAnsi="Arial" w:cs="Arial"/>
          <w:sz w:val="22"/>
          <w:szCs w:val="22"/>
        </w:rPr>
        <w:t xml:space="preserve">There are two types of uncertainty that need to be addressed when using probabilistic risk assessment (PRA) insights to make a risk-informed decision: </w:t>
      </w:r>
      <w:proofErr w:type="spellStart"/>
      <w:r>
        <w:rPr>
          <w:rFonts w:ascii="Arial" w:hAnsi="Arial" w:cs="Arial"/>
          <w:sz w:val="22"/>
          <w:szCs w:val="22"/>
        </w:rPr>
        <w:t>aleatory</w:t>
      </w:r>
      <w:proofErr w:type="spellEnd"/>
      <w:r>
        <w:rPr>
          <w:rFonts w:ascii="Arial" w:hAnsi="Arial" w:cs="Arial"/>
          <w:sz w:val="22"/>
          <w:szCs w:val="22"/>
        </w:rPr>
        <w:t xml:space="preserve"> and epistemic.  </w:t>
      </w:r>
      <w:proofErr w:type="spellStart"/>
      <w:r>
        <w:rPr>
          <w:rFonts w:ascii="Arial" w:hAnsi="Arial" w:cs="Arial"/>
          <w:sz w:val="22"/>
          <w:szCs w:val="22"/>
        </w:rPr>
        <w:t>Aleatory</w:t>
      </w:r>
      <w:proofErr w:type="spellEnd"/>
      <w:r>
        <w:rPr>
          <w:rFonts w:ascii="Arial" w:hAnsi="Arial" w:cs="Arial"/>
          <w:sz w:val="22"/>
          <w:szCs w:val="22"/>
        </w:rPr>
        <w:t xml:space="preserve"> uncertainty </w:t>
      </w:r>
      <w:r w:rsidRPr="009273CA">
        <w:rPr>
          <w:rFonts w:ascii="Arial" w:hAnsi="Arial" w:cs="Arial"/>
          <w:sz w:val="22"/>
          <w:szCs w:val="22"/>
        </w:rPr>
        <w:t>is associated with events or phenomena being modeled that are characterized as</w:t>
      </w:r>
      <w:r>
        <w:rPr>
          <w:rFonts w:ascii="Arial" w:hAnsi="Arial" w:cs="Arial"/>
          <w:sz w:val="22"/>
          <w:szCs w:val="22"/>
        </w:rPr>
        <w:t xml:space="preserve"> </w:t>
      </w:r>
      <w:r w:rsidRPr="009273CA">
        <w:rPr>
          <w:rFonts w:ascii="Arial" w:hAnsi="Arial" w:cs="Arial"/>
          <w:sz w:val="22"/>
          <w:szCs w:val="22"/>
        </w:rPr>
        <w:t>occur</w:t>
      </w:r>
      <w:r>
        <w:rPr>
          <w:rFonts w:ascii="Arial" w:hAnsi="Arial" w:cs="Arial"/>
          <w:sz w:val="22"/>
          <w:szCs w:val="22"/>
        </w:rPr>
        <w:t>ring in a random or stochastic</w:t>
      </w:r>
      <w:r w:rsidRPr="009273CA">
        <w:rPr>
          <w:rFonts w:ascii="Arial" w:hAnsi="Arial" w:cs="Arial"/>
          <w:sz w:val="22"/>
          <w:szCs w:val="22"/>
        </w:rPr>
        <w:t xml:space="preserve"> manner</w:t>
      </w:r>
      <w:r>
        <w:rPr>
          <w:rFonts w:ascii="Arial" w:hAnsi="Arial" w:cs="Arial"/>
          <w:sz w:val="22"/>
          <w:szCs w:val="22"/>
        </w:rPr>
        <w:t>. E</w:t>
      </w:r>
      <w:r w:rsidRPr="009273CA">
        <w:rPr>
          <w:rFonts w:ascii="Arial" w:hAnsi="Arial" w:cs="Arial"/>
          <w:sz w:val="22"/>
          <w:szCs w:val="22"/>
        </w:rPr>
        <w:t xml:space="preserve">pistemic uncertainty is associated with the </w:t>
      </w:r>
      <w:r>
        <w:rPr>
          <w:rFonts w:ascii="Arial" w:hAnsi="Arial" w:cs="Arial"/>
          <w:sz w:val="22"/>
          <w:szCs w:val="22"/>
        </w:rPr>
        <w:t xml:space="preserve">risk </w:t>
      </w:r>
      <w:r w:rsidRPr="009273CA">
        <w:rPr>
          <w:rFonts w:ascii="Arial" w:hAnsi="Arial" w:cs="Arial"/>
          <w:sz w:val="22"/>
          <w:szCs w:val="22"/>
        </w:rPr>
        <w:t>analyst’s confidence in the predictions of the PRA model</w:t>
      </w:r>
      <w:r>
        <w:rPr>
          <w:rFonts w:ascii="Arial" w:hAnsi="Arial" w:cs="Arial"/>
          <w:sz w:val="22"/>
          <w:szCs w:val="22"/>
        </w:rPr>
        <w:t xml:space="preserve"> </w:t>
      </w:r>
      <w:r w:rsidRPr="009273CA">
        <w:rPr>
          <w:rFonts w:ascii="Arial" w:hAnsi="Arial" w:cs="Arial"/>
          <w:sz w:val="22"/>
          <w:szCs w:val="22"/>
        </w:rPr>
        <w:t>itself and reflects the analyst’s assessment of how well the PRA model rep</w:t>
      </w:r>
      <w:r>
        <w:rPr>
          <w:rFonts w:ascii="Arial" w:hAnsi="Arial" w:cs="Arial"/>
          <w:sz w:val="22"/>
          <w:szCs w:val="22"/>
        </w:rPr>
        <w:t xml:space="preserve">resents the actual system being </w:t>
      </w:r>
      <w:r w:rsidRPr="009273CA">
        <w:rPr>
          <w:rFonts w:ascii="Arial" w:hAnsi="Arial" w:cs="Arial"/>
          <w:sz w:val="22"/>
          <w:szCs w:val="22"/>
        </w:rPr>
        <w:t xml:space="preserve">modeled. </w:t>
      </w:r>
      <w:r>
        <w:rPr>
          <w:rFonts w:ascii="Arial" w:hAnsi="Arial" w:cs="Arial"/>
          <w:sz w:val="22"/>
          <w:szCs w:val="22"/>
        </w:rPr>
        <w:t>Epistemic uncertainty is also</w:t>
      </w:r>
      <w:r w:rsidRPr="009273CA">
        <w:rPr>
          <w:rFonts w:ascii="Arial" w:hAnsi="Arial" w:cs="Arial"/>
          <w:sz w:val="22"/>
          <w:szCs w:val="22"/>
        </w:rPr>
        <w:t xml:space="preserve"> referred to as state-of-knowledge uncertai</w:t>
      </w:r>
      <w:r>
        <w:rPr>
          <w:rFonts w:ascii="Arial" w:hAnsi="Arial" w:cs="Arial"/>
          <w:sz w:val="22"/>
          <w:szCs w:val="22"/>
        </w:rPr>
        <w:t xml:space="preserve">nty. Appendix M accounts only for epistemic uncertainty; </w:t>
      </w:r>
      <w:proofErr w:type="spellStart"/>
      <w:r w:rsidRPr="009273CA">
        <w:rPr>
          <w:rFonts w:ascii="Arial" w:hAnsi="Arial" w:cs="Arial"/>
          <w:sz w:val="22"/>
          <w:szCs w:val="22"/>
        </w:rPr>
        <w:t>aleatory</w:t>
      </w:r>
      <w:proofErr w:type="spellEnd"/>
      <w:r w:rsidRPr="009273CA">
        <w:rPr>
          <w:rFonts w:ascii="Arial" w:hAnsi="Arial" w:cs="Arial"/>
          <w:sz w:val="22"/>
          <w:szCs w:val="22"/>
        </w:rPr>
        <w:t xml:space="preserve"> uncertainty is built into the structure of the PRA model itself</w:t>
      </w:r>
      <w:r>
        <w:rPr>
          <w:rFonts w:ascii="Arial" w:hAnsi="Arial" w:cs="Arial"/>
          <w:sz w:val="22"/>
          <w:szCs w:val="22"/>
        </w:rPr>
        <w:t xml:space="preserve">.  It is useful to identify three </w:t>
      </w:r>
      <w:r w:rsidRPr="009273CA">
        <w:rPr>
          <w:rFonts w:ascii="Arial" w:hAnsi="Arial" w:cs="Arial"/>
          <w:sz w:val="22"/>
          <w:szCs w:val="22"/>
        </w:rPr>
        <w:t>classes of epistemic uncertainty that are addressed in and impact</w:t>
      </w:r>
      <w:r>
        <w:rPr>
          <w:rFonts w:ascii="Arial" w:hAnsi="Arial" w:cs="Arial"/>
          <w:sz w:val="22"/>
          <w:szCs w:val="22"/>
        </w:rPr>
        <w:t xml:space="preserve"> the results of PRAs: parameter </w:t>
      </w:r>
      <w:r w:rsidRPr="009273CA">
        <w:rPr>
          <w:rFonts w:ascii="Arial" w:hAnsi="Arial" w:cs="Arial"/>
          <w:sz w:val="22"/>
          <w:szCs w:val="22"/>
        </w:rPr>
        <w:t xml:space="preserve">uncertainty, model uncertainty, and completeness uncertainty. </w:t>
      </w:r>
    </w:p>
    <w:p w:rsidR="00432074" w:rsidRDefault="00432074" w:rsidP="006576FE">
      <w:pPr>
        <w:widowControl/>
        <w:rPr>
          <w:rFonts w:ascii="Arial" w:hAnsi="Arial" w:cs="Arial"/>
          <w:sz w:val="22"/>
          <w:szCs w:val="22"/>
        </w:rPr>
      </w:pPr>
    </w:p>
    <w:p w:rsidR="00C763CF" w:rsidRDefault="00432074" w:rsidP="006576FE">
      <w:pPr>
        <w:widowControl/>
        <w:ind w:left="605"/>
        <w:rPr>
          <w:rFonts w:ascii="Arial" w:hAnsi="Arial" w:cs="Arial"/>
          <w:sz w:val="22"/>
          <w:szCs w:val="22"/>
        </w:rPr>
        <w:sectPr w:rsidR="00C763CF" w:rsidSect="004A770D">
          <w:pgSz w:w="12240" w:h="15840" w:code="1"/>
          <w:pgMar w:top="1440" w:right="1440" w:bottom="1440" w:left="1440" w:header="1440" w:footer="1440" w:gutter="0"/>
          <w:cols w:space="720"/>
          <w:noEndnote/>
          <w:docGrid w:linePitch="326"/>
        </w:sectPr>
      </w:pPr>
      <w:r>
        <w:rPr>
          <w:rFonts w:ascii="Arial" w:hAnsi="Arial" w:cs="Arial"/>
          <w:sz w:val="22"/>
          <w:szCs w:val="22"/>
        </w:rPr>
        <w:t xml:space="preserve">Parameter uncertainty recognizes that the value of such parameters as initiating event frequencies, component failure probabilities or failure rates, and human error probabilities cannot be known with precision.  PRAs are capable of addressing parameter uncertainty explicitly; however, the estimated mean value and spread of the uncertainty distribution can vary depending on the availability, quality, and source of data, the type of parameter that is being estimated, and other factors.  Model uncertainty recognizes that the relationship between the real plant and its mathematical representation may differ.  Model uncertainties that underlie the development of the PRA model are typically handled by making assumptions that then become part of the definition of the PRA model.  When there are multiple assumptions that are equally plausible, sensitivity analyses may be conducted using different assumptions to assess their impact on the overall results.  A common and significant example of model uncertainty is the determination of degraded conditions and exposure time.  Often it is difficult to pinpoint the exact period of time a </w:t>
      </w:r>
    </w:p>
    <w:p w:rsidR="00432074" w:rsidRDefault="00432074" w:rsidP="006576FE">
      <w:pPr>
        <w:widowControl/>
        <w:ind w:left="605"/>
        <w:rPr>
          <w:rFonts w:ascii="Arial" w:hAnsi="Arial" w:cs="Arial"/>
          <w:sz w:val="22"/>
          <w:szCs w:val="22"/>
        </w:rPr>
      </w:pPr>
      <w:r>
        <w:rPr>
          <w:rFonts w:ascii="Arial" w:hAnsi="Arial" w:cs="Arial"/>
          <w:sz w:val="22"/>
          <w:szCs w:val="22"/>
        </w:rPr>
        <w:lastRenderedPageBreak/>
        <w:t>component was in a failed state and whether or not the component was capable of performing its intended function (i.e., the exact physics of failu</w:t>
      </w:r>
      <w:r w:rsidR="00C4221B">
        <w:rPr>
          <w:rFonts w:ascii="Arial" w:hAnsi="Arial" w:cs="Arial"/>
          <w:sz w:val="22"/>
          <w:szCs w:val="22"/>
        </w:rPr>
        <w:t xml:space="preserve">re).  </w:t>
      </w:r>
      <w:r>
        <w:rPr>
          <w:rFonts w:ascii="Arial" w:hAnsi="Arial" w:cs="Arial"/>
          <w:sz w:val="22"/>
          <w:szCs w:val="22"/>
        </w:rPr>
        <w:t>Completeness uncertainty, which can be regarded as a type of model uncertainty, recognizes that the model may not represent every aspect of the as-built as-operated plant, either because it may relate to an unknown dynamic or because accurate models do not exist for some systems or phenomena.  The incompleteness of the model includes those aspects the analyst is aware are missing from the model and those that are not known given t</w:t>
      </w:r>
      <w:r w:rsidR="00C4221B">
        <w:rPr>
          <w:rFonts w:ascii="Arial" w:hAnsi="Arial" w:cs="Arial"/>
          <w:sz w:val="22"/>
          <w:szCs w:val="22"/>
        </w:rPr>
        <w:t xml:space="preserve">he current state-of-knowledge.  </w:t>
      </w:r>
      <w:r>
        <w:rPr>
          <w:rFonts w:ascii="Arial" w:hAnsi="Arial" w:cs="Arial"/>
          <w:sz w:val="22"/>
          <w:szCs w:val="22"/>
        </w:rPr>
        <w:t xml:space="preserve">Completeness uncertainties cannot be addressed analytically since, by definition, they stem from risk contributors that are missing from the model.    </w:t>
      </w:r>
    </w:p>
    <w:p w:rsidR="00432074" w:rsidRDefault="00432074" w:rsidP="006576FE">
      <w:pPr>
        <w:rPr>
          <w:rFonts w:ascii="Arial" w:hAnsi="Arial" w:cs="Arial"/>
          <w:sz w:val="22"/>
          <w:szCs w:val="22"/>
        </w:rPr>
      </w:pPr>
    </w:p>
    <w:p w:rsidR="00432074" w:rsidRDefault="00432074" w:rsidP="00AB4149">
      <w:pPr>
        <w:tabs>
          <w:tab w:val="left" w:pos="720"/>
        </w:tabs>
        <w:rPr>
          <w:rFonts w:ascii="Arial" w:hAnsi="Arial" w:cs="Arial"/>
          <w:sz w:val="22"/>
          <w:szCs w:val="22"/>
        </w:rPr>
      </w:pPr>
      <w:r>
        <w:rPr>
          <w:rFonts w:ascii="Arial" w:hAnsi="Arial" w:cs="Arial"/>
          <w:sz w:val="22"/>
          <w:szCs w:val="22"/>
        </w:rPr>
        <w:t>3.</w:t>
      </w:r>
      <w:r w:rsidR="00AB4149">
        <w:rPr>
          <w:rFonts w:ascii="Arial" w:hAnsi="Arial" w:cs="Arial"/>
          <w:sz w:val="22"/>
          <w:szCs w:val="22"/>
        </w:rPr>
        <w:t>0</w:t>
      </w:r>
      <w:r>
        <w:rPr>
          <w:rFonts w:ascii="Arial" w:hAnsi="Arial" w:cs="Arial"/>
          <w:sz w:val="22"/>
          <w:szCs w:val="22"/>
        </w:rPr>
        <w:t xml:space="preserve">2 </w:t>
      </w:r>
      <w:r>
        <w:rPr>
          <w:rFonts w:ascii="Arial" w:hAnsi="Arial" w:cs="Arial"/>
          <w:sz w:val="22"/>
          <w:szCs w:val="22"/>
        </w:rPr>
        <w:tab/>
      </w:r>
      <w:r w:rsidR="00160288" w:rsidRPr="00160288">
        <w:rPr>
          <w:rFonts w:ascii="Arial" w:hAnsi="Arial" w:cs="Arial"/>
          <w:sz w:val="22"/>
          <w:szCs w:val="22"/>
          <w:u w:val="single"/>
        </w:rPr>
        <w:t xml:space="preserve">Timeliness </w:t>
      </w:r>
    </w:p>
    <w:p w:rsidR="00432074" w:rsidRDefault="00432074" w:rsidP="006576FE">
      <w:pPr>
        <w:rPr>
          <w:rFonts w:ascii="Arial" w:hAnsi="Arial" w:cs="Arial"/>
          <w:sz w:val="22"/>
          <w:szCs w:val="22"/>
        </w:rPr>
      </w:pPr>
    </w:p>
    <w:p w:rsidR="00432074" w:rsidRDefault="00432074" w:rsidP="006576FE">
      <w:pPr>
        <w:ind w:left="605"/>
        <w:rPr>
          <w:rFonts w:ascii="Arial" w:hAnsi="Arial" w:cs="Arial"/>
          <w:sz w:val="22"/>
          <w:szCs w:val="22"/>
        </w:rPr>
      </w:pPr>
      <w:r>
        <w:rPr>
          <w:rFonts w:ascii="Arial" w:hAnsi="Arial" w:cs="Arial"/>
          <w:sz w:val="22"/>
          <w:szCs w:val="22"/>
        </w:rPr>
        <w:t xml:space="preserve">Timeliness is one of the key objectives of the ROP.  The safety significance of inspection findings (i.e., SDP outcomes) </w:t>
      </w:r>
      <w:r w:rsidR="00E35964">
        <w:rPr>
          <w:rFonts w:ascii="Arial" w:hAnsi="Arial" w:cs="Arial"/>
          <w:sz w:val="22"/>
          <w:szCs w:val="22"/>
        </w:rPr>
        <w:t>yields</w:t>
      </w:r>
      <w:r>
        <w:rPr>
          <w:rFonts w:ascii="Arial" w:hAnsi="Arial" w:cs="Arial"/>
          <w:sz w:val="22"/>
          <w:szCs w:val="22"/>
        </w:rPr>
        <w:t xml:space="preserve"> direct inputs into the ROP action matrix.  When these inputs are of White, Yellow, or Red significance they have the potential to result in a supplemental inspection and other actions by both the regulator and licensee depending on the number, significance, and applicable cornerstone(s) of the finding(s). Prompt licensee and NRC staff response to identified findings ensures timely corrective actions to address the cause and to prevent recurrence.   </w:t>
      </w:r>
    </w:p>
    <w:p w:rsidR="00432074" w:rsidRDefault="00432074" w:rsidP="006576FE">
      <w:pPr>
        <w:rPr>
          <w:rFonts w:ascii="Arial" w:hAnsi="Arial" w:cs="Arial"/>
          <w:sz w:val="22"/>
          <w:szCs w:val="22"/>
        </w:rPr>
      </w:pPr>
    </w:p>
    <w:p w:rsidR="00432074" w:rsidRDefault="00432074" w:rsidP="006576FE">
      <w:pPr>
        <w:rPr>
          <w:rFonts w:ascii="Arial" w:hAnsi="Arial" w:cs="Arial"/>
          <w:sz w:val="22"/>
          <w:szCs w:val="22"/>
        </w:rPr>
      </w:pPr>
    </w:p>
    <w:p w:rsidR="00432074" w:rsidRDefault="00432074" w:rsidP="006576FE">
      <w:pPr>
        <w:tabs>
          <w:tab w:val="left" w:pos="720"/>
        </w:tabs>
        <w:ind w:left="605" w:hanging="605"/>
        <w:rPr>
          <w:rFonts w:ascii="Arial" w:hAnsi="Arial" w:cs="Arial"/>
          <w:sz w:val="22"/>
          <w:szCs w:val="22"/>
        </w:rPr>
      </w:pPr>
      <w:r>
        <w:rPr>
          <w:rFonts w:ascii="Arial" w:hAnsi="Arial" w:cs="Arial"/>
          <w:sz w:val="22"/>
          <w:szCs w:val="22"/>
        </w:rPr>
        <w:t>4.0</w:t>
      </w:r>
      <w:r>
        <w:rPr>
          <w:rFonts w:ascii="Arial" w:hAnsi="Arial" w:cs="Arial"/>
          <w:sz w:val="22"/>
          <w:szCs w:val="22"/>
        </w:rPr>
        <w:tab/>
        <w:t>TECHNICAL BASIS OF THE BOUNDING ASSESSMENT AND DECISION ATTRIBUTES</w:t>
      </w:r>
    </w:p>
    <w:p w:rsidR="00432074" w:rsidRDefault="00432074" w:rsidP="006576FE">
      <w:pPr>
        <w:rPr>
          <w:rFonts w:ascii="Arial" w:hAnsi="Arial" w:cs="Arial"/>
          <w:sz w:val="22"/>
          <w:szCs w:val="22"/>
        </w:rPr>
      </w:pPr>
    </w:p>
    <w:p w:rsidR="00432074" w:rsidRDefault="00432074" w:rsidP="006576FE">
      <w:pPr>
        <w:rPr>
          <w:rFonts w:ascii="Arial" w:hAnsi="Arial" w:cs="Arial"/>
          <w:sz w:val="22"/>
          <w:szCs w:val="22"/>
        </w:rPr>
      </w:pPr>
      <w:r>
        <w:rPr>
          <w:rFonts w:ascii="Arial" w:hAnsi="Arial" w:cs="Arial"/>
          <w:sz w:val="22"/>
          <w:szCs w:val="22"/>
        </w:rPr>
        <w:t xml:space="preserve">The results from the bounding evaluation, as practical, and decision attributes are used to provide technical staff and management with a framework to document qualitative information to support the </w:t>
      </w:r>
      <w:r w:rsidR="00E35964">
        <w:rPr>
          <w:rFonts w:ascii="Arial" w:hAnsi="Arial" w:cs="Arial"/>
          <w:sz w:val="22"/>
          <w:szCs w:val="22"/>
        </w:rPr>
        <w:t xml:space="preserve">determination of inspection finding </w:t>
      </w:r>
      <w:r>
        <w:rPr>
          <w:rFonts w:ascii="Arial" w:hAnsi="Arial" w:cs="Arial"/>
          <w:sz w:val="22"/>
          <w:szCs w:val="22"/>
        </w:rPr>
        <w:t>safety sig</w:t>
      </w:r>
      <w:r w:rsidR="00E35964">
        <w:rPr>
          <w:rFonts w:ascii="Arial" w:hAnsi="Arial" w:cs="Arial"/>
          <w:sz w:val="22"/>
          <w:szCs w:val="22"/>
        </w:rPr>
        <w:t>nificance</w:t>
      </w:r>
      <w:r>
        <w:rPr>
          <w:rFonts w:ascii="Arial" w:hAnsi="Arial" w:cs="Arial"/>
          <w:sz w:val="22"/>
          <w:szCs w:val="22"/>
        </w:rPr>
        <w:t xml:space="preserve">. The bounding evaluation can vary in </w:t>
      </w:r>
      <w:r w:rsidR="00E35964">
        <w:rPr>
          <w:rFonts w:ascii="Arial" w:hAnsi="Arial" w:cs="Arial"/>
          <w:sz w:val="22"/>
          <w:szCs w:val="22"/>
        </w:rPr>
        <w:t>scope</w:t>
      </w:r>
      <w:r>
        <w:rPr>
          <w:rFonts w:ascii="Arial" w:hAnsi="Arial" w:cs="Arial"/>
          <w:sz w:val="22"/>
          <w:szCs w:val="22"/>
        </w:rPr>
        <w:t xml:space="preserve"> and complexity depending on the nature of the situation.  In cases where there are tools available to provide quantitative estimates, but there are large uncertainties associated with the estimated parameters, the bounding evaluation can become quite comprehensive and require a significant amount of resources</w:t>
      </w:r>
      <w:r w:rsidR="00E35964">
        <w:rPr>
          <w:rFonts w:ascii="Arial" w:hAnsi="Arial" w:cs="Arial"/>
          <w:sz w:val="22"/>
          <w:szCs w:val="22"/>
        </w:rPr>
        <w:t xml:space="preserve"> to complete</w:t>
      </w:r>
      <w:r>
        <w:rPr>
          <w:rFonts w:ascii="Arial" w:hAnsi="Arial" w:cs="Arial"/>
          <w:sz w:val="22"/>
          <w:szCs w:val="22"/>
        </w:rPr>
        <w:t>.  In complex systems</w:t>
      </w:r>
      <w:r w:rsidRPr="00414CFD">
        <w:rPr>
          <w:rFonts w:ascii="Arial" w:hAnsi="Arial" w:cs="Arial"/>
          <w:sz w:val="22"/>
          <w:szCs w:val="22"/>
        </w:rPr>
        <w:t xml:space="preserve"> it can be </w:t>
      </w:r>
      <w:r>
        <w:rPr>
          <w:rFonts w:ascii="Arial" w:hAnsi="Arial" w:cs="Arial"/>
          <w:sz w:val="22"/>
          <w:szCs w:val="22"/>
        </w:rPr>
        <w:t>challenging</w:t>
      </w:r>
      <w:r w:rsidRPr="00414CFD">
        <w:rPr>
          <w:rFonts w:ascii="Arial" w:hAnsi="Arial" w:cs="Arial"/>
          <w:sz w:val="22"/>
          <w:szCs w:val="22"/>
        </w:rPr>
        <w:t xml:space="preserve"> to determine which assumptions lead to conservative results.  </w:t>
      </w:r>
      <w:r>
        <w:rPr>
          <w:rFonts w:ascii="Arial" w:hAnsi="Arial" w:cs="Arial"/>
          <w:sz w:val="22"/>
          <w:szCs w:val="22"/>
        </w:rPr>
        <w:t>Sometimes</w:t>
      </w:r>
      <w:r w:rsidRPr="00414CFD">
        <w:rPr>
          <w:rFonts w:ascii="Arial" w:hAnsi="Arial" w:cs="Arial"/>
          <w:sz w:val="22"/>
          <w:szCs w:val="22"/>
        </w:rPr>
        <w:t xml:space="preserve"> assumptions that appear to maximize </w:t>
      </w:r>
      <w:r>
        <w:rPr>
          <w:rFonts w:ascii="Arial" w:hAnsi="Arial" w:cs="Arial"/>
          <w:sz w:val="22"/>
          <w:szCs w:val="22"/>
        </w:rPr>
        <w:t>a certain result or outcome</w:t>
      </w:r>
      <w:r w:rsidRPr="00414CFD">
        <w:rPr>
          <w:rFonts w:ascii="Arial" w:hAnsi="Arial" w:cs="Arial"/>
          <w:sz w:val="22"/>
          <w:szCs w:val="22"/>
        </w:rPr>
        <w:t xml:space="preserve"> could reflect a local maximum </w:t>
      </w:r>
      <w:r>
        <w:rPr>
          <w:rFonts w:ascii="Arial" w:hAnsi="Arial" w:cs="Arial"/>
          <w:sz w:val="22"/>
          <w:szCs w:val="22"/>
        </w:rPr>
        <w:t>instead of</w:t>
      </w:r>
      <w:r w:rsidRPr="00414CFD">
        <w:rPr>
          <w:rFonts w:ascii="Arial" w:hAnsi="Arial" w:cs="Arial"/>
          <w:sz w:val="22"/>
          <w:szCs w:val="22"/>
        </w:rPr>
        <w:t xml:space="preserve"> a global maximum. </w:t>
      </w:r>
      <w:r>
        <w:rPr>
          <w:rFonts w:cs="Arial"/>
          <w:szCs w:val="22"/>
        </w:rPr>
        <w:t xml:space="preserve"> </w:t>
      </w:r>
      <w:r>
        <w:rPr>
          <w:rFonts w:ascii="Arial" w:hAnsi="Arial" w:cs="Arial"/>
          <w:sz w:val="22"/>
          <w:szCs w:val="22"/>
        </w:rPr>
        <w:t xml:space="preserve">In other cases where the available tools are not capable of providing a robust quantitative basis, a simple quantitative approach supplemented with qualitative inputs, as appropriate, </w:t>
      </w:r>
      <w:r w:rsidR="00163536">
        <w:rPr>
          <w:rFonts w:ascii="Arial" w:hAnsi="Arial" w:cs="Arial"/>
          <w:sz w:val="22"/>
          <w:szCs w:val="22"/>
        </w:rPr>
        <w:t>can</w:t>
      </w:r>
      <w:r>
        <w:rPr>
          <w:rFonts w:ascii="Arial" w:hAnsi="Arial" w:cs="Arial"/>
          <w:sz w:val="22"/>
          <w:szCs w:val="22"/>
        </w:rPr>
        <w:t xml:space="preserve"> provide a reasonable bounding assessment.  When the available tools are unable to provide any quantitative estimate, a completely qualitative approach is </w:t>
      </w:r>
      <w:r w:rsidR="00163536">
        <w:rPr>
          <w:rFonts w:ascii="Arial" w:hAnsi="Arial" w:cs="Arial"/>
          <w:sz w:val="22"/>
          <w:szCs w:val="22"/>
        </w:rPr>
        <w:t xml:space="preserve">also </w:t>
      </w:r>
      <w:r>
        <w:rPr>
          <w:rFonts w:ascii="Arial" w:hAnsi="Arial" w:cs="Arial"/>
          <w:sz w:val="22"/>
          <w:szCs w:val="22"/>
        </w:rPr>
        <w:t>an acceptable method.  Once the bounding assessment has been established, as practical, the decision attributes are reviewed for their applicability to the finding.  If applicable, each decision attribute should have a basis, quantitative and/or qualitative, to justify its use as an input to the decision-making framework.  After all the applicable decision attributes have been established with an appropriate basis, the bounding assessment and decision  attributes should be evaluated as a whole to arrive at a risk-informed decision.</w:t>
      </w:r>
    </w:p>
    <w:p w:rsidR="00432074" w:rsidRDefault="00432074" w:rsidP="006576FE">
      <w:pPr>
        <w:rPr>
          <w:rFonts w:ascii="Arial" w:hAnsi="Arial" w:cs="Arial"/>
          <w:sz w:val="22"/>
          <w:szCs w:val="22"/>
        </w:rPr>
      </w:pPr>
    </w:p>
    <w:p w:rsidR="00432074" w:rsidRDefault="00432074" w:rsidP="00160288">
      <w:pPr>
        <w:rPr>
          <w:rFonts w:ascii="Arial" w:hAnsi="Arial" w:cs="Arial"/>
          <w:sz w:val="22"/>
          <w:szCs w:val="22"/>
        </w:rPr>
      </w:pPr>
      <w:r>
        <w:rPr>
          <w:rFonts w:ascii="Arial" w:hAnsi="Arial" w:cs="Arial"/>
          <w:sz w:val="22"/>
          <w:szCs w:val="22"/>
        </w:rPr>
        <w:t>4.</w:t>
      </w:r>
      <w:r w:rsidR="00AB4149">
        <w:rPr>
          <w:rFonts w:ascii="Arial" w:hAnsi="Arial" w:cs="Arial"/>
          <w:sz w:val="22"/>
          <w:szCs w:val="22"/>
        </w:rPr>
        <w:t>0</w:t>
      </w:r>
      <w:r>
        <w:rPr>
          <w:rFonts w:ascii="Arial" w:hAnsi="Arial" w:cs="Arial"/>
          <w:sz w:val="22"/>
          <w:szCs w:val="22"/>
        </w:rPr>
        <w:t>1</w:t>
      </w:r>
      <w:r>
        <w:rPr>
          <w:rFonts w:ascii="Arial" w:hAnsi="Arial" w:cs="Arial"/>
          <w:sz w:val="22"/>
          <w:szCs w:val="22"/>
        </w:rPr>
        <w:tab/>
      </w:r>
      <w:r w:rsidR="00160288" w:rsidRPr="00160288">
        <w:rPr>
          <w:rFonts w:ascii="Arial" w:hAnsi="Arial" w:cs="Arial"/>
          <w:sz w:val="22"/>
          <w:szCs w:val="22"/>
          <w:u w:val="single"/>
        </w:rPr>
        <w:t>Bounding Evaluation</w:t>
      </w:r>
    </w:p>
    <w:p w:rsidR="00432074" w:rsidRDefault="00432074" w:rsidP="006576FE">
      <w:pPr>
        <w:ind w:firstLine="605"/>
        <w:rPr>
          <w:rFonts w:ascii="Arial" w:hAnsi="Arial" w:cs="Arial"/>
          <w:sz w:val="22"/>
          <w:szCs w:val="22"/>
        </w:rPr>
      </w:pPr>
    </w:p>
    <w:p w:rsidR="00C763CF" w:rsidRDefault="00432074" w:rsidP="006576FE">
      <w:pPr>
        <w:ind w:left="605"/>
        <w:rPr>
          <w:rFonts w:ascii="Arial" w:hAnsi="Arial" w:cs="Arial"/>
          <w:sz w:val="22"/>
          <w:szCs w:val="22"/>
        </w:rPr>
        <w:sectPr w:rsidR="00C763CF" w:rsidSect="004A770D">
          <w:pgSz w:w="12240" w:h="15840" w:code="1"/>
          <w:pgMar w:top="1440" w:right="1440" w:bottom="1440" w:left="1440" w:header="1440" w:footer="1440" w:gutter="0"/>
          <w:cols w:space="720"/>
          <w:noEndnote/>
          <w:docGrid w:linePitch="326"/>
        </w:sectPr>
      </w:pPr>
      <w:r>
        <w:rPr>
          <w:rFonts w:ascii="Arial" w:hAnsi="Arial" w:cs="Arial"/>
          <w:sz w:val="22"/>
          <w:szCs w:val="22"/>
        </w:rPr>
        <w:t>To the extent possible, given the circumstances of the finding, quantitative tools should be used to frame the risk impact of the finding.   A quantitative bounding evaluation</w:t>
      </w:r>
      <w:r w:rsidRPr="00924455">
        <w:rPr>
          <w:rFonts w:ascii="Arial" w:hAnsi="Arial" w:cs="Arial"/>
          <w:sz w:val="22"/>
          <w:szCs w:val="22"/>
        </w:rPr>
        <w:t xml:space="preserve"> </w:t>
      </w:r>
      <w:r w:rsidR="00D9427A">
        <w:rPr>
          <w:rFonts w:ascii="Arial" w:hAnsi="Arial" w:cs="Arial"/>
          <w:sz w:val="22"/>
          <w:szCs w:val="22"/>
        </w:rPr>
        <w:t>may</w:t>
      </w:r>
    </w:p>
    <w:p w:rsidR="00432074" w:rsidRDefault="00D9427A" w:rsidP="006576FE">
      <w:pPr>
        <w:ind w:left="605"/>
        <w:rPr>
          <w:rFonts w:ascii="Arial" w:hAnsi="Arial" w:cs="Arial"/>
          <w:sz w:val="22"/>
          <w:szCs w:val="22"/>
        </w:rPr>
      </w:pPr>
      <w:r>
        <w:rPr>
          <w:rFonts w:ascii="Arial" w:hAnsi="Arial" w:cs="Arial"/>
          <w:sz w:val="22"/>
          <w:szCs w:val="22"/>
        </w:rPr>
        <w:lastRenderedPageBreak/>
        <w:t>provide an upper and</w:t>
      </w:r>
      <w:r w:rsidR="00432074">
        <w:rPr>
          <w:rFonts w:ascii="Arial" w:hAnsi="Arial" w:cs="Arial"/>
          <w:sz w:val="22"/>
          <w:szCs w:val="22"/>
        </w:rPr>
        <w:t xml:space="preserve"> lowe</w:t>
      </w:r>
      <w:r>
        <w:rPr>
          <w:rFonts w:ascii="Arial" w:hAnsi="Arial" w:cs="Arial"/>
          <w:sz w:val="22"/>
          <w:szCs w:val="22"/>
        </w:rPr>
        <w:t>r limit (i.e., worse case and</w:t>
      </w:r>
      <w:r w:rsidR="00432074">
        <w:rPr>
          <w:rFonts w:ascii="Arial" w:hAnsi="Arial" w:cs="Arial"/>
          <w:sz w:val="22"/>
          <w:szCs w:val="22"/>
        </w:rPr>
        <w:t xml:space="preserve"> best case analysis) to reduce the range of potential outcomes. If a quantitative bounding evaluation is not possible, then an appropriate qualitative bounding evaluation can be use</w:t>
      </w:r>
      <w:r>
        <w:rPr>
          <w:rFonts w:ascii="Arial" w:hAnsi="Arial" w:cs="Arial"/>
          <w:sz w:val="22"/>
          <w:szCs w:val="22"/>
        </w:rPr>
        <w:t>d to establish an upper and lower limit</w:t>
      </w:r>
      <w:r w:rsidR="00432074">
        <w:rPr>
          <w:rFonts w:ascii="Arial" w:hAnsi="Arial" w:cs="Arial"/>
          <w:sz w:val="22"/>
          <w:szCs w:val="22"/>
        </w:rPr>
        <w:t xml:space="preserve">. </w:t>
      </w:r>
    </w:p>
    <w:p w:rsidR="00432074" w:rsidRDefault="00432074" w:rsidP="006576FE">
      <w:pPr>
        <w:ind w:firstLine="605"/>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432074" w:rsidRDefault="00432074" w:rsidP="00AB4149">
      <w:pPr>
        <w:tabs>
          <w:tab w:val="left" w:pos="720"/>
        </w:tabs>
        <w:rPr>
          <w:rFonts w:ascii="Arial" w:hAnsi="Arial" w:cs="Arial"/>
          <w:sz w:val="22"/>
          <w:szCs w:val="22"/>
        </w:rPr>
      </w:pPr>
      <w:r>
        <w:rPr>
          <w:rFonts w:ascii="Arial" w:hAnsi="Arial" w:cs="Arial"/>
          <w:sz w:val="22"/>
          <w:szCs w:val="22"/>
        </w:rPr>
        <w:t>4.</w:t>
      </w:r>
      <w:r w:rsidR="00AB4149">
        <w:rPr>
          <w:rFonts w:ascii="Arial" w:hAnsi="Arial" w:cs="Arial"/>
          <w:sz w:val="22"/>
          <w:szCs w:val="22"/>
        </w:rPr>
        <w:t>0</w:t>
      </w:r>
      <w:r>
        <w:rPr>
          <w:rFonts w:ascii="Arial" w:hAnsi="Arial" w:cs="Arial"/>
          <w:sz w:val="22"/>
          <w:szCs w:val="22"/>
        </w:rPr>
        <w:t>2</w:t>
      </w:r>
      <w:r>
        <w:rPr>
          <w:rFonts w:ascii="Arial" w:hAnsi="Arial" w:cs="Arial"/>
          <w:sz w:val="22"/>
          <w:szCs w:val="22"/>
        </w:rPr>
        <w:tab/>
      </w:r>
      <w:r w:rsidR="00160288" w:rsidRPr="00160288">
        <w:rPr>
          <w:rFonts w:ascii="Arial" w:hAnsi="Arial" w:cs="Arial"/>
          <w:sz w:val="22"/>
          <w:szCs w:val="22"/>
          <w:u w:val="single"/>
        </w:rPr>
        <w:t>Decision Attributes</w:t>
      </w:r>
    </w:p>
    <w:p w:rsidR="00432074" w:rsidRDefault="00432074" w:rsidP="006576FE">
      <w:pPr>
        <w:ind w:firstLine="605"/>
        <w:rPr>
          <w:rFonts w:ascii="Arial" w:hAnsi="Arial" w:cs="Arial"/>
          <w:sz w:val="22"/>
          <w:szCs w:val="22"/>
        </w:rPr>
      </w:pPr>
    </w:p>
    <w:p w:rsidR="00432074" w:rsidRPr="0069134F" w:rsidRDefault="00432074" w:rsidP="00AB4149">
      <w:pPr>
        <w:widowControl/>
        <w:ind w:left="1800" w:hanging="1080"/>
        <w:rPr>
          <w:rFonts w:ascii="Arial" w:hAnsi="Arial" w:cs="Arial"/>
          <w:sz w:val="22"/>
          <w:szCs w:val="22"/>
        </w:rPr>
      </w:pPr>
      <w:r>
        <w:rPr>
          <w:rFonts w:ascii="Arial" w:hAnsi="Arial" w:cs="Arial"/>
          <w:sz w:val="22"/>
          <w:szCs w:val="22"/>
        </w:rPr>
        <w:t>4.</w:t>
      </w:r>
      <w:r w:rsidR="00AB4149">
        <w:rPr>
          <w:rFonts w:ascii="Arial" w:hAnsi="Arial" w:cs="Arial"/>
          <w:sz w:val="22"/>
          <w:szCs w:val="22"/>
        </w:rPr>
        <w:t>0</w:t>
      </w:r>
      <w:r>
        <w:rPr>
          <w:rFonts w:ascii="Arial" w:hAnsi="Arial" w:cs="Arial"/>
          <w:sz w:val="22"/>
          <w:szCs w:val="22"/>
        </w:rPr>
        <w:t>2.</w:t>
      </w:r>
      <w:r w:rsidR="00AB4149">
        <w:rPr>
          <w:rFonts w:ascii="Arial" w:hAnsi="Arial" w:cs="Arial"/>
          <w:sz w:val="22"/>
          <w:szCs w:val="22"/>
        </w:rPr>
        <w:t>0</w:t>
      </w:r>
      <w:r>
        <w:rPr>
          <w:rFonts w:ascii="Arial" w:hAnsi="Arial" w:cs="Arial"/>
          <w:sz w:val="22"/>
          <w:szCs w:val="22"/>
        </w:rPr>
        <w:t>1</w:t>
      </w:r>
      <w:r>
        <w:rPr>
          <w:rFonts w:ascii="Arial" w:hAnsi="Arial" w:cs="Arial"/>
          <w:sz w:val="22"/>
          <w:szCs w:val="22"/>
        </w:rPr>
        <w:tab/>
      </w:r>
      <w:r w:rsidRPr="00AB4149">
        <w:rPr>
          <w:rFonts w:ascii="Arial" w:hAnsi="Arial" w:cs="Arial"/>
          <w:sz w:val="22"/>
          <w:szCs w:val="22"/>
          <w:u w:val="single"/>
        </w:rPr>
        <w:t>Defense in depth</w:t>
      </w:r>
      <w:r>
        <w:rPr>
          <w:rFonts w:ascii="Arial" w:hAnsi="Arial" w:cs="Arial"/>
          <w:sz w:val="22"/>
          <w:szCs w:val="22"/>
        </w:rPr>
        <w:t xml:space="preserve"> – </w:t>
      </w:r>
      <w:r w:rsidRPr="005204C2">
        <w:rPr>
          <w:rFonts w:ascii="Arial" w:hAnsi="Arial" w:cs="Arial"/>
          <w:sz w:val="22"/>
          <w:szCs w:val="22"/>
        </w:rPr>
        <w:t>The defense-in-depth philosophy has traditionally been</w:t>
      </w:r>
      <w:r>
        <w:rPr>
          <w:rFonts w:ascii="Arial" w:hAnsi="Arial" w:cs="Arial"/>
          <w:sz w:val="22"/>
          <w:szCs w:val="22"/>
        </w:rPr>
        <w:t xml:space="preserve"> </w:t>
      </w:r>
      <w:r w:rsidRPr="005204C2">
        <w:rPr>
          <w:rFonts w:ascii="Arial" w:hAnsi="Arial" w:cs="Arial"/>
          <w:sz w:val="22"/>
          <w:szCs w:val="22"/>
        </w:rPr>
        <w:t xml:space="preserve">applied in reactor design and operation to provide multiple means to accomplish safety functions and </w:t>
      </w:r>
      <w:r w:rsidRPr="00AC35C8">
        <w:rPr>
          <w:rFonts w:ascii="Arial" w:hAnsi="Arial" w:cs="Arial"/>
          <w:sz w:val="22"/>
          <w:szCs w:val="22"/>
        </w:rPr>
        <w:t>prevent the release of radioactive material. It has been and continues to be an effective way to</w:t>
      </w:r>
      <w:r w:rsidRPr="005204C2">
        <w:rPr>
          <w:rFonts w:ascii="Arial" w:hAnsi="Arial" w:cs="Arial"/>
          <w:sz w:val="22"/>
          <w:szCs w:val="22"/>
        </w:rPr>
        <w:t xml:space="preserve"> account for uncertainties in equipment and human performance and, in particular, to account for unknown and unforeseen failure mechanisms or phenomena, which (because they are unknown or unforeseen) are not reflected in either the PRA or traditional engineering analyses</w:t>
      </w:r>
      <w:r>
        <w:rPr>
          <w:rFonts w:ascii="Arial" w:hAnsi="Arial" w:cs="Arial"/>
          <w:sz w:val="22"/>
          <w:szCs w:val="22"/>
        </w:rPr>
        <w:t xml:space="preserve"> (Ref 1)</w:t>
      </w:r>
      <w:r w:rsidRPr="005204C2">
        <w:rPr>
          <w:rFonts w:ascii="Arial" w:hAnsi="Arial" w:cs="Arial"/>
          <w:sz w:val="22"/>
          <w:szCs w:val="22"/>
        </w:rPr>
        <w:t>.</w:t>
      </w:r>
      <w:r>
        <w:rPr>
          <w:rFonts w:ascii="TimesNewRoman" w:hAnsi="TimesNewRoman" w:cs="TimesNewRoman"/>
          <w:sz w:val="22"/>
          <w:szCs w:val="22"/>
        </w:rPr>
        <w:t xml:space="preserve">  </w:t>
      </w:r>
      <w:r>
        <w:rPr>
          <w:rFonts w:ascii="Arial" w:hAnsi="Arial" w:cs="Arial"/>
          <w:sz w:val="22"/>
          <w:szCs w:val="22"/>
        </w:rPr>
        <w:t>T</w:t>
      </w:r>
      <w:r w:rsidRPr="00AC35C8">
        <w:rPr>
          <w:rFonts w:ascii="Arial" w:hAnsi="Arial" w:cs="Arial"/>
          <w:sz w:val="22"/>
          <w:szCs w:val="22"/>
        </w:rPr>
        <w:t>he use of PRA technology should be increased in all regulatory matters to the extent</w:t>
      </w:r>
      <w:r>
        <w:rPr>
          <w:rFonts w:ascii="Arial" w:hAnsi="Arial" w:cs="Arial"/>
          <w:sz w:val="22"/>
          <w:szCs w:val="22"/>
        </w:rPr>
        <w:t xml:space="preserve"> </w:t>
      </w:r>
      <w:r w:rsidRPr="00AC35C8">
        <w:rPr>
          <w:rFonts w:ascii="Arial" w:hAnsi="Arial" w:cs="Arial"/>
          <w:sz w:val="22"/>
          <w:szCs w:val="22"/>
        </w:rPr>
        <w:t>supported by the state-of-the-art in PRA method</w:t>
      </w:r>
      <w:r>
        <w:rPr>
          <w:rFonts w:ascii="Arial" w:hAnsi="Arial" w:cs="Arial"/>
          <w:sz w:val="22"/>
          <w:szCs w:val="22"/>
        </w:rPr>
        <w:t xml:space="preserve">s and data and in a manner that </w:t>
      </w:r>
      <w:r w:rsidRPr="00AC35C8">
        <w:rPr>
          <w:rFonts w:ascii="Arial" w:hAnsi="Arial" w:cs="Arial"/>
          <w:sz w:val="22"/>
          <w:szCs w:val="22"/>
        </w:rPr>
        <w:t>complements the NRC’s determinist</w:t>
      </w:r>
      <w:r>
        <w:rPr>
          <w:rFonts w:ascii="Arial" w:hAnsi="Arial" w:cs="Arial"/>
          <w:sz w:val="22"/>
          <w:szCs w:val="22"/>
        </w:rPr>
        <w:t xml:space="preserve">ic </w:t>
      </w:r>
      <w:r w:rsidRPr="00AC35C8">
        <w:rPr>
          <w:rFonts w:ascii="Arial" w:hAnsi="Arial" w:cs="Arial"/>
          <w:sz w:val="22"/>
          <w:szCs w:val="22"/>
        </w:rPr>
        <w:t>approach and supports the NRC’</w:t>
      </w:r>
      <w:r>
        <w:rPr>
          <w:rFonts w:ascii="Arial" w:hAnsi="Arial" w:cs="Arial"/>
          <w:sz w:val="22"/>
          <w:szCs w:val="22"/>
        </w:rPr>
        <w:t xml:space="preserve">s traditional </w:t>
      </w:r>
      <w:r w:rsidRPr="00AC35C8">
        <w:rPr>
          <w:rFonts w:ascii="Arial" w:hAnsi="Arial" w:cs="Arial"/>
          <w:sz w:val="22"/>
          <w:szCs w:val="22"/>
        </w:rPr>
        <w:t>defense-in-depth philosophy</w:t>
      </w:r>
      <w:r>
        <w:rPr>
          <w:rFonts w:ascii="Arial" w:hAnsi="Arial" w:cs="Arial"/>
          <w:sz w:val="22"/>
          <w:szCs w:val="22"/>
        </w:rPr>
        <w:t xml:space="preserve"> (Ref 3)</w:t>
      </w:r>
      <w:r w:rsidRPr="00AC35C8">
        <w:rPr>
          <w:rFonts w:ascii="Arial" w:hAnsi="Arial" w:cs="Arial"/>
          <w:sz w:val="22"/>
          <w:szCs w:val="22"/>
        </w:rPr>
        <w:t>.</w:t>
      </w:r>
    </w:p>
    <w:p w:rsidR="00432074" w:rsidRDefault="00432074" w:rsidP="006576FE">
      <w:pPr>
        <w:widowControl/>
        <w:ind w:left="1210"/>
        <w:rPr>
          <w:rFonts w:ascii="TimesNewRoman" w:hAnsi="TimesNewRoman" w:cs="TimesNewRoman"/>
          <w:sz w:val="22"/>
          <w:szCs w:val="22"/>
        </w:rPr>
      </w:pPr>
    </w:p>
    <w:p w:rsidR="00432074" w:rsidRDefault="00432074" w:rsidP="00AB4149">
      <w:pPr>
        <w:widowControl/>
        <w:ind w:left="1800"/>
        <w:rPr>
          <w:rFonts w:ascii="Arial" w:hAnsi="Arial" w:cs="Arial"/>
          <w:sz w:val="22"/>
          <w:szCs w:val="22"/>
        </w:rPr>
      </w:pPr>
      <w:r w:rsidRPr="005204C2">
        <w:rPr>
          <w:rFonts w:ascii="Arial" w:hAnsi="Arial" w:cs="Arial"/>
          <w:sz w:val="22"/>
          <w:szCs w:val="22"/>
        </w:rPr>
        <w:t>Defense-in-depth consists of a number of elements</w:t>
      </w:r>
      <w:r>
        <w:rPr>
          <w:rFonts w:ascii="Arial" w:hAnsi="Arial" w:cs="Arial"/>
          <w:sz w:val="22"/>
          <w:szCs w:val="22"/>
        </w:rPr>
        <w:t>,</w:t>
      </w:r>
      <w:r w:rsidRPr="005204C2">
        <w:rPr>
          <w:rFonts w:ascii="Arial" w:hAnsi="Arial" w:cs="Arial"/>
          <w:sz w:val="22"/>
          <w:szCs w:val="22"/>
        </w:rPr>
        <w:t xml:space="preserve"> and consistency with the defense-in-depth philosophy</w:t>
      </w:r>
      <w:r>
        <w:rPr>
          <w:rFonts w:ascii="Arial" w:hAnsi="Arial" w:cs="Arial"/>
          <w:sz w:val="22"/>
          <w:szCs w:val="22"/>
        </w:rPr>
        <w:t xml:space="preserve"> </w:t>
      </w:r>
      <w:r w:rsidRPr="005204C2">
        <w:rPr>
          <w:rFonts w:ascii="Arial" w:hAnsi="Arial" w:cs="Arial"/>
          <w:sz w:val="22"/>
          <w:szCs w:val="22"/>
        </w:rPr>
        <w:t>is maintained if the following occurs</w:t>
      </w:r>
      <w:r>
        <w:rPr>
          <w:rFonts w:ascii="Arial" w:hAnsi="Arial" w:cs="Arial"/>
          <w:sz w:val="22"/>
          <w:szCs w:val="22"/>
        </w:rPr>
        <w:t xml:space="preserve"> (Ref 1)</w:t>
      </w:r>
      <w:r w:rsidRPr="005204C2">
        <w:rPr>
          <w:rFonts w:ascii="Arial" w:hAnsi="Arial" w:cs="Arial"/>
          <w:sz w:val="22"/>
          <w:szCs w:val="22"/>
        </w:rPr>
        <w:t>:</w:t>
      </w:r>
    </w:p>
    <w:p w:rsidR="00432074" w:rsidRPr="005204C2" w:rsidRDefault="00432074" w:rsidP="00AB4149">
      <w:pPr>
        <w:widowControl/>
        <w:ind w:left="1800" w:hanging="590"/>
        <w:rPr>
          <w:rFonts w:ascii="Arial" w:hAnsi="Arial" w:cs="Arial"/>
          <w:sz w:val="22"/>
          <w:szCs w:val="22"/>
        </w:rPr>
      </w:pPr>
    </w:p>
    <w:p w:rsidR="00432074" w:rsidRDefault="00432074" w:rsidP="00AB4149">
      <w:pPr>
        <w:widowControl/>
        <w:numPr>
          <w:ilvl w:val="0"/>
          <w:numId w:val="77"/>
        </w:numPr>
        <w:ind w:left="1800" w:firstLine="0"/>
        <w:rPr>
          <w:rFonts w:ascii="Arial" w:hAnsi="Arial" w:cs="Arial"/>
          <w:sz w:val="22"/>
          <w:szCs w:val="22"/>
        </w:rPr>
      </w:pPr>
      <w:r w:rsidRPr="005204C2">
        <w:rPr>
          <w:rFonts w:ascii="Arial" w:hAnsi="Arial" w:cs="Arial"/>
          <w:sz w:val="22"/>
          <w:szCs w:val="22"/>
        </w:rPr>
        <w:t>A reasonable balance is preserved a</w:t>
      </w:r>
      <w:r>
        <w:rPr>
          <w:rFonts w:ascii="Arial" w:hAnsi="Arial" w:cs="Arial"/>
          <w:sz w:val="22"/>
          <w:szCs w:val="22"/>
        </w:rPr>
        <w:t xml:space="preserve">mong prevention of core damage, </w:t>
      </w:r>
    </w:p>
    <w:p w:rsidR="00432074" w:rsidRPr="00714F34" w:rsidRDefault="00432074" w:rsidP="00AB4149">
      <w:pPr>
        <w:widowControl/>
        <w:ind w:left="2430"/>
        <w:rPr>
          <w:rFonts w:ascii="Arial" w:hAnsi="Arial" w:cs="Arial"/>
          <w:sz w:val="22"/>
          <w:szCs w:val="22"/>
        </w:rPr>
      </w:pPr>
      <w:r w:rsidRPr="00714F34">
        <w:rPr>
          <w:rFonts w:ascii="Arial" w:hAnsi="Arial" w:cs="Arial"/>
          <w:sz w:val="22"/>
          <w:szCs w:val="22"/>
        </w:rPr>
        <w:t>prevention of containment failure, and consequence mitigation.</w:t>
      </w:r>
    </w:p>
    <w:p w:rsidR="00432074" w:rsidRDefault="00432074" w:rsidP="00AB4149">
      <w:pPr>
        <w:widowControl/>
        <w:numPr>
          <w:ilvl w:val="0"/>
          <w:numId w:val="77"/>
        </w:numPr>
        <w:ind w:left="2430" w:hanging="630"/>
        <w:rPr>
          <w:rFonts w:ascii="Arial" w:hAnsi="Arial" w:cs="Arial"/>
          <w:sz w:val="22"/>
          <w:szCs w:val="22"/>
        </w:rPr>
      </w:pPr>
      <w:r w:rsidRPr="005204C2">
        <w:rPr>
          <w:rFonts w:ascii="Arial" w:hAnsi="Arial" w:cs="Arial"/>
          <w:sz w:val="22"/>
          <w:szCs w:val="22"/>
        </w:rPr>
        <w:t>Over-reliance on programmatic activities as compensatory meas</w:t>
      </w:r>
      <w:r>
        <w:rPr>
          <w:rFonts w:ascii="Arial" w:hAnsi="Arial" w:cs="Arial"/>
          <w:sz w:val="22"/>
          <w:szCs w:val="22"/>
        </w:rPr>
        <w:t xml:space="preserve">ures </w:t>
      </w:r>
      <w:r w:rsidRPr="005204C2">
        <w:rPr>
          <w:rFonts w:ascii="Arial" w:hAnsi="Arial" w:cs="Arial"/>
          <w:sz w:val="22"/>
          <w:szCs w:val="22"/>
        </w:rPr>
        <w:t>is avoided.</w:t>
      </w:r>
    </w:p>
    <w:p w:rsidR="00432074" w:rsidRDefault="00432074" w:rsidP="00AB4149">
      <w:pPr>
        <w:widowControl/>
        <w:numPr>
          <w:ilvl w:val="0"/>
          <w:numId w:val="77"/>
        </w:numPr>
        <w:ind w:left="2430" w:hanging="630"/>
        <w:rPr>
          <w:rFonts w:ascii="Arial" w:hAnsi="Arial" w:cs="Arial"/>
          <w:sz w:val="22"/>
          <w:szCs w:val="22"/>
        </w:rPr>
      </w:pPr>
      <w:r w:rsidRPr="005204C2">
        <w:rPr>
          <w:rFonts w:ascii="Arial" w:hAnsi="Arial" w:cs="Arial"/>
          <w:sz w:val="22"/>
          <w:szCs w:val="22"/>
        </w:rPr>
        <w:t>System redundancy, independence, and diversity are preserved</w:t>
      </w:r>
      <w:r>
        <w:rPr>
          <w:rFonts w:ascii="Arial" w:hAnsi="Arial" w:cs="Arial"/>
          <w:sz w:val="22"/>
          <w:szCs w:val="22"/>
        </w:rPr>
        <w:t xml:space="preserve"> commensurate with the expected </w:t>
      </w:r>
      <w:r w:rsidRPr="005204C2">
        <w:rPr>
          <w:rFonts w:ascii="Arial" w:hAnsi="Arial" w:cs="Arial"/>
          <w:sz w:val="22"/>
          <w:szCs w:val="22"/>
        </w:rPr>
        <w:t>frequency, consequences of challenges to the system, and uncertainties (e.g., no risk outliers).</w:t>
      </w:r>
    </w:p>
    <w:p w:rsidR="00432074" w:rsidRDefault="00432074" w:rsidP="00AB4149">
      <w:pPr>
        <w:widowControl/>
        <w:numPr>
          <w:ilvl w:val="0"/>
          <w:numId w:val="77"/>
        </w:numPr>
        <w:ind w:left="2430" w:hanging="630"/>
        <w:rPr>
          <w:rFonts w:ascii="Arial" w:hAnsi="Arial" w:cs="Arial"/>
          <w:sz w:val="22"/>
          <w:szCs w:val="22"/>
        </w:rPr>
      </w:pPr>
      <w:r w:rsidRPr="005204C2">
        <w:rPr>
          <w:rFonts w:ascii="Arial" w:hAnsi="Arial" w:cs="Arial"/>
          <w:sz w:val="22"/>
          <w:szCs w:val="22"/>
        </w:rPr>
        <w:t>Defenses against potential common-cause failures are prese</w:t>
      </w:r>
      <w:r w:rsidR="00AB4149">
        <w:rPr>
          <w:rFonts w:ascii="Arial" w:hAnsi="Arial" w:cs="Arial"/>
          <w:sz w:val="22"/>
          <w:szCs w:val="22"/>
        </w:rPr>
        <w:t xml:space="preserve">rved, and the </w:t>
      </w:r>
      <w:r>
        <w:rPr>
          <w:rFonts w:ascii="Arial" w:hAnsi="Arial" w:cs="Arial"/>
          <w:sz w:val="22"/>
          <w:szCs w:val="22"/>
        </w:rPr>
        <w:t xml:space="preserve">potential for the </w:t>
      </w:r>
      <w:r w:rsidRPr="005204C2">
        <w:rPr>
          <w:rFonts w:ascii="Arial" w:hAnsi="Arial" w:cs="Arial"/>
          <w:sz w:val="22"/>
          <w:szCs w:val="22"/>
        </w:rPr>
        <w:t>introduction of new common-cause failure mechanisms is assessed.</w:t>
      </w:r>
    </w:p>
    <w:p w:rsidR="00432074" w:rsidRDefault="00432074" w:rsidP="00AB4149">
      <w:pPr>
        <w:widowControl/>
        <w:numPr>
          <w:ilvl w:val="0"/>
          <w:numId w:val="77"/>
        </w:numPr>
        <w:ind w:left="1800" w:firstLine="0"/>
        <w:rPr>
          <w:rFonts w:ascii="Arial" w:hAnsi="Arial" w:cs="Arial"/>
          <w:sz w:val="22"/>
          <w:szCs w:val="22"/>
        </w:rPr>
      </w:pPr>
      <w:r w:rsidRPr="005204C2">
        <w:rPr>
          <w:rFonts w:ascii="Arial" w:hAnsi="Arial" w:cs="Arial"/>
          <w:sz w:val="22"/>
          <w:szCs w:val="22"/>
        </w:rPr>
        <w:t>Independence of barriers is not degraded.</w:t>
      </w:r>
    </w:p>
    <w:p w:rsidR="00432074" w:rsidRDefault="00432074" w:rsidP="00AB4149">
      <w:pPr>
        <w:widowControl/>
        <w:numPr>
          <w:ilvl w:val="0"/>
          <w:numId w:val="77"/>
        </w:numPr>
        <w:ind w:left="1800" w:firstLine="0"/>
        <w:rPr>
          <w:rFonts w:ascii="Arial" w:hAnsi="Arial" w:cs="Arial"/>
          <w:sz w:val="22"/>
          <w:szCs w:val="22"/>
        </w:rPr>
      </w:pPr>
      <w:r w:rsidRPr="005204C2">
        <w:rPr>
          <w:rFonts w:ascii="Arial" w:hAnsi="Arial" w:cs="Arial"/>
          <w:sz w:val="22"/>
          <w:szCs w:val="22"/>
        </w:rPr>
        <w:t>Defenses against human errors are preserved.</w:t>
      </w:r>
    </w:p>
    <w:p w:rsidR="00432074" w:rsidRPr="005204C2" w:rsidRDefault="00432074" w:rsidP="00AB4149">
      <w:pPr>
        <w:widowControl/>
        <w:numPr>
          <w:ilvl w:val="0"/>
          <w:numId w:val="77"/>
        </w:numPr>
        <w:ind w:left="1800" w:firstLine="0"/>
        <w:rPr>
          <w:rFonts w:ascii="Arial" w:hAnsi="Arial" w:cs="Arial"/>
          <w:sz w:val="22"/>
          <w:szCs w:val="22"/>
        </w:rPr>
      </w:pPr>
      <w:r w:rsidRPr="005204C2">
        <w:rPr>
          <w:rFonts w:ascii="Arial" w:hAnsi="Arial" w:cs="Arial"/>
          <w:sz w:val="22"/>
          <w:szCs w:val="22"/>
        </w:rPr>
        <w:t>The intent of the plant’s design criteria is maintained.</w:t>
      </w:r>
    </w:p>
    <w:p w:rsidR="00432074" w:rsidRDefault="00432074" w:rsidP="00AB4149">
      <w:pPr>
        <w:widowControl/>
        <w:ind w:left="1800" w:hanging="590"/>
        <w:rPr>
          <w:rFonts w:ascii="TimesNewRoman" w:hAnsi="TimesNewRoman" w:cs="TimesNewRoman"/>
          <w:sz w:val="22"/>
          <w:szCs w:val="22"/>
        </w:rPr>
      </w:pPr>
    </w:p>
    <w:p w:rsidR="00432074" w:rsidRPr="005204C2" w:rsidRDefault="00432074" w:rsidP="00AB4149">
      <w:pPr>
        <w:widowControl/>
        <w:ind w:left="1800"/>
        <w:rPr>
          <w:rFonts w:ascii="TimesNewRoman" w:hAnsi="TimesNewRoman" w:cs="TimesNewRoman"/>
          <w:sz w:val="22"/>
          <w:szCs w:val="22"/>
        </w:rPr>
      </w:pPr>
      <w:r>
        <w:rPr>
          <w:rFonts w:ascii="Arial" w:hAnsi="Arial" w:cs="Arial"/>
          <w:sz w:val="22"/>
          <w:szCs w:val="22"/>
        </w:rPr>
        <w:t>In addition, the introduction to the general design criteria in 10 CFR 50, Appendix A</w:t>
      </w:r>
      <w:r w:rsidR="00E35964">
        <w:rPr>
          <w:rFonts w:ascii="Arial" w:hAnsi="Arial" w:cs="Arial"/>
          <w:sz w:val="22"/>
          <w:szCs w:val="22"/>
        </w:rPr>
        <w:t>,</w:t>
      </w:r>
      <w:r>
        <w:rPr>
          <w:rFonts w:ascii="Arial" w:hAnsi="Arial" w:cs="Arial"/>
          <w:sz w:val="22"/>
          <w:szCs w:val="22"/>
        </w:rPr>
        <w:t xml:space="preserve"> asserts that </w:t>
      </w:r>
      <w:r w:rsidR="00E35964">
        <w:rPr>
          <w:rFonts w:ascii="Arial" w:hAnsi="Arial" w:cs="Arial"/>
          <w:sz w:val="22"/>
          <w:szCs w:val="22"/>
        </w:rPr>
        <w:t xml:space="preserve">designers of </w:t>
      </w:r>
      <w:r>
        <w:rPr>
          <w:rFonts w:ascii="Arial" w:hAnsi="Arial" w:cs="Arial"/>
          <w:sz w:val="22"/>
          <w:szCs w:val="22"/>
        </w:rPr>
        <w:t>nuclear power plants consider (1) the need to design against single failures of passive components (as defined in 10 CFR 50, Appendix A) and (2) redundancy and diversity requirements for fluid systems (Ref 1).</w:t>
      </w:r>
      <w:r w:rsidR="00C4221B">
        <w:rPr>
          <w:rFonts w:ascii="Arial" w:hAnsi="Arial" w:cs="Arial"/>
          <w:sz w:val="22"/>
          <w:szCs w:val="22"/>
        </w:rPr>
        <w:t xml:space="preserve">  The concept of defense-in-</w:t>
      </w:r>
      <w:r w:rsidR="00D9427A">
        <w:rPr>
          <w:rFonts w:ascii="Arial" w:hAnsi="Arial" w:cs="Arial"/>
          <w:sz w:val="22"/>
          <w:szCs w:val="22"/>
        </w:rPr>
        <w:t xml:space="preserve">depth from a mitigating systems perspective should take into account the expected frequency of applicable initiating events and </w:t>
      </w:r>
      <w:r w:rsidR="002B5FFB">
        <w:rPr>
          <w:rFonts w:ascii="Arial" w:hAnsi="Arial" w:cs="Arial"/>
          <w:sz w:val="22"/>
          <w:szCs w:val="22"/>
        </w:rPr>
        <w:t>associated uncertainties.</w:t>
      </w:r>
      <w:r w:rsidR="00D9427A">
        <w:rPr>
          <w:rFonts w:ascii="Arial" w:hAnsi="Arial" w:cs="Arial"/>
          <w:sz w:val="22"/>
          <w:szCs w:val="22"/>
        </w:rPr>
        <w:t xml:space="preserve"> </w:t>
      </w:r>
      <w:r>
        <w:rPr>
          <w:rFonts w:ascii="Arial" w:hAnsi="Arial" w:cs="Arial"/>
          <w:sz w:val="22"/>
          <w:szCs w:val="22"/>
        </w:rPr>
        <w:t xml:space="preserve">  </w:t>
      </w:r>
    </w:p>
    <w:p w:rsidR="00432074" w:rsidRDefault="00432074" w:rsidP="006576FE">
      <w:pPr>
        <w:ind w:left="605" w:firstLine="605"/>
        <w:rPr>
          <w:rFonts w:ascii="Arial" w:hAnsi="Arial" w:cs="Arial"/>
          <w:sz w:val="22"/>
          <w:szCs w:val="22"/>
        </w:rPr>
      </w:pPr>
    </w:p>
    <w:p w:rsidR="00C763CF" w:rsidRDefault="00432074" w:rsidP="00AB4149">
      <w:pPr>
        <w:widowControl/>
        <w:ind w:left="1800" w:hanging="1080"/>
        <w:rPr>
          <w:rFonts w:ascii="Arial" w:hAnsi="Arial" w:cs="Arial"/>
          <w:sz w:val="22"/>
          <w:szCs w:val="22"/>
        </w:rPr>
        <w:sectPr w:rsidR="00C763CF" w:rsidSect="004A770D">
          <w:pgSz w:w="12240" w:h="15840" w:code="1"/>
          <w:pgMar w:top="1440" w:right="1440" w:bottom="1440" w:left="1440" w:header="1440" w:footer="1440" w:gutter="0"/>
          <w:cols w:space="720"/>
          <w:noEndnote/>
          <w:docGrid w:linePitch="326"/>
        </w:sectPr>
      </w:pPr>
      <w:r>
        <w:rPr>
          <w:rFonts w:ascii="Arial" w:hAnsi="Arial" w:cs="Arial"/>
          <w:sz w:val="22"/>
          <w:szCs w:val="22"/>
        </w:rPr>
        <w:t>4.</w:t>
      </w:r>
      <w:r w:rsidR="00AB4149">
        <w:rPr>
          <w:rFonts w:ascii="Arial" w:hAnsi="Arial" w:cs="Arial"/>
          <w:sz w:val="22"/>
          <w:szCs w:val="22"/>
        </w:rPr>
        <w:t>0</w:t>
      </w:r>
      <w:r>
        <w:rPr>
          <w:rFonts w:ascii="Arial" w:hAnsi="Arial" w:cs="Arial"/>
          <w:sz w:val="22"/>
          <w:szCs w:val="22"/>
        </w:rPr>
        <w:t>2.</w:t>
      </w:r>
      <w:r w:rsidR="00AB4149">
        <w:rPr>
          <w:rFonts w:ascii="Arial" w:hAnsi="Arial" w:cs="Arial"/>
          <w:sz w:val="22"/>
          <w:szCs w:val="22"/>
        </w:rPr>
        <w:t>0</w:t>
      </w:r>
      <w:r>
        <w:rPr>
          <w:rFonts w:ascii="Arial" w:hAnsi="Arial" w:cs="Arial"/>
          <w:sz w:val="22"/>
          <w:szCs w:val="22"/>
        </w:rPr>
        <w:t>2</w:t>
      </w:r>
      <w:r>
        <w:rPr>
          <w:rFonts w:ascii="Arial" w:hAnsi="Arial" w:cs="Arial"/>
          <w:sz w:val="22"/>
          <w:szCs w:val="22"/>
        </w:rPr>
        <w:tab/>
        <w:t xml:space="preserve">Safety Margin </w:t>
      </w:r>
      <w:r w:rsidRPr="00DA07BA">
        <w:rPr>
          <w:rFonts w:ascii="Arial" w:hAnsi="Arial" w:cs="Arial"/>
          <w:sz w:val="22"/>
          <w:szCs w:val="22"/>
        </w:rPr>
        <w:t xml:space="preserve">– </w:t>
      </w:r>
      <w:r>
        <w:rPr>
          <w:rFonts w:ascii="Arial" w:hAnsi="Arial" w:cs="Arial"/>
          <w:sz w:val="22"/>
          <w:szCs w:val="22"/>
        </w:rPr>
        <w:t xml:space="preserve">The impact of a finding is typically </w:t>
      </w:r>
      <w:r w:rsidR="00E35964">
        <w:rPr>
          <w:rFonts w:ascii="Arial" w:hAnsi="Arial" w:cs="Arial"/>
          <w:sz w:val="22"/>
          <w:szCs w:val="22"/>
        </w:rPr>
        <w:t>minimized</w:t>
      </w:r>
      <w:r>
        <w:rPr>
          <w:rFonts w:ascii="Arial" w:hAnsi="Arial" w:cs="Arial"/>
          <w:sz w:val="22"/>
          <w:szCs w:val="22"/>
        </w:rPr>
        <w:t xml:space="preserve"> if sufficient safety margins are maintained. </w:t>
      </w:r>
      <w:r w:rsidR="00E35964">
        <w:rPr>
          <w:rFonts w:ascii="Arial" w:hAnsi="Arial" w:cs="Arial"/>
          <w:sz w:val="22"/>
          <w:szCs w:val="22"/>
        </w:rPr>
        <w:t>In general,</w:t>
      </w:r>
      <w:r>
        <w:rPr>
          <w:rFonts w:ascii="Arial" w:hAnsi="Arial" w:cs="Arial"/>
          <w:sz w:val="22"/>
          <w:szCs w:val="22"/>
        </w:rPr>
        <w:t xml:space="preserve"> safety margins are </w:t>
      </w:r>
      <w:r w:rsidR="00E35964">
        <w:rPr>
          <w:rFonts w:ascii="Arial" w:hAnsi="Arial" w:cs="Arial"/>
          <w:sz w:val="22"/>
          <w:szCs w:val="22"/>
        </w:rPr>
        <w:t xml:space="preserve">considered </w:t>
      </w:r>
      <w:r>
        <w:rPr>
          <w:rFonts w:ascii="Arial" w:hAnsi="Arial" w:cs="Arial"/>
          <w:sz w:val="22"/>
          <w:szCs w:val="22"/>
        </w:rPr>
        <w:t>sufficient</w:t>
      </w:r>
      <w:r w:rsidR="00E35964">
        <w:rPr>
          <w:rFonts w:ascii="Arial" w:hAnsi="Arial" w:cs="Arial"/>
          <w:sz w:val="22"/>
          <w:szCs w:val="22"/>
        </w:rPr>
        <w:t xml:space="preserve"> if</w:t>
      </w:r>
      <w:r w:rsidRPr="00DA07BA">
        <w:rPr>
          <w:rFonts w:ascii="Arial" w:hAnsi="Arial" w:cs="Arial"/>
          <w:sz w:val="22"/>
          <w:szCs w:val="22"/>
        </w:rPr>
        <w:t>:</w:t>
      </w:r>
    </w:p>
    <w:p w:rsidR="00432074" w:rsidRPr="00DA07BA" w:rsidRDefault="00432074" w:rsidP="006576FE">
      <w:pPr>
        <w:widowControl/>
        <w:ind w:left="1210"/>
        <w:rPr>
          <w:rFonts w:ascii="Arial" w:hAnsi="Arial" w:cs="Arial"/>
          <w:sz w:val="22"/>
          <w:szCs w:val="22"/>
        </w:rPr>
      </w:pPr>
    </w:p>
    <w:p w:rsidR="00432074" w:rsidRDefault="00432074" w:rsidP="00AB4149">
      <w:pPr>
        <w:widowControl/>
        <w:numPr>
          <w:ilvl w:val="0"/>
          <w:numId w:val="77"/>
        </w:numPr>
        <w:ind w:left="2430" w:hanging="630"/>
        <w:rPr>
          <w:rFonts w:ascii="Arial" w:hAnsi="Arial" w:cs="Arial"/>
          <w:sz w:val="22"/>
          <w:szCs w:val="22"/>
        </w:rPr>
      </w:pPr>
      <w:r w:rsidRPr="00DA07BA">
        <w:rPr>
          <w:rFonts w:ascii="Arial" w:hAnsi="Arial" w:cs="Arial"/>
          <w:sz w:val="22"/>
          <w:szCs w:val="22"/>
        </w:rPr>
        <w:t>Codes and standards or their alternatives approved for use by the NRC are met.</w:t>
      </w:r>
      <w:r w:rsidR="002B5FFB">
        <w:rPr>
          <w:rFonts w:ascii="Arial" w:hAnsi="Arial" w:cs="Arial"/>
          <w:sz w:val="22"/>
          <w:szCs w:val="22"/>
        </w:rPr>
        <w:t xml:space="preserve">  Other codes and standards may be given credit on a case by case basis.  </w:t>
      </w:r>
    </w:p>
    <w:p w:rsidR="00432074" w:rsidRPr="00DA07BA" w:rsidRDefault="00432074" w:rsidP="00AB4149">
      <w:pPr>
        <w:widowControl/>
        <w:numPr>
          <w:ilvl w:val="0"/>
          <w:numId w:val="77"/>
        </w:numPr>
        <w:ind w:left="2430" w:hanging="630"/>
        <w:rPr>
          <w:rFonts w:ascii="Arial" w:hAnsi="Arial" w:cs="Arial"/>
          <w:sz w:val="22"/>
          <w:szCs w:val="22"/>
        </w:rPr>
      </w:pPr>
      <w:r w:rsidRPr="00DA07BA">
        <w:rPr>
          <w:rFonts w:ascii="Arial" w:hAnsi="Arial" w:cs="Arial"/>
          <w:sz w:val="22"/>
          <w:szCs w:val="22"/>
        </w:rPr>
        <w:t>Safety analys</w:t>
      </w:r>
      <w:r>
        <w:rPr>
          <w:rFonts w:ascii="Arial" w:hAnsi="Arial" w:cs="Arial"/>
          <w:sz w:val="22"/>
          <w:szCs w:val="22"/>
        </w:rPr>
        <w:t xml:space="preserve">is acceptance criteria are met and </w:t>
      </w:r>
      <w:r w:rsidRPr="00DA07BA">
        <w:rPr>
          <w:rFonts w:ascii="Arial" w:hAnsi="Arial" w:cs="Arial"/>
          <w:sz w:val="22"/>
          <w:szCs w:val="22"/>
        </w:rPr>
        <w:t>provide sufficient margin to account for analysis and data uncertainty</w:t>
      </w:r>
      <w:r>
        <w:rPr>
          <w:rFonts w:ascii="Arial" w:hAnsi="Arial" w:cs="Arial"/>
          <w:sz w:val="22"/>
          <w:szCs w:val="22"/>
        </w:rPr>
        <w:t xml:space="preserve"> (Ref 1)</w:t>
      </w:r>
      <w:r w:rsidRPr="00DA07BA">
        <w:rPr>
          <w:rFonts w:ascii="Arial" w:hAnsi="Arial" w:cs="Arial"/>
          <w:sz w:val="22"/>
          <w:szCs w:val="22"/>
        </w:rPr>
        <w:t>.</w:t>
      </w:r>
    </w:p>
    <w:p w:rsidR="00432074" w:rsidRPr="00DA07BA" w:rsidRDefault="00432074" w:rsidP="006576FE">
      <w:pPr>
        <w:ind w:left="605" w:firstLine="605"/>
        <w:rPr>
          <w:rFonts w:ascii="Arial" w:hAnsi="Arial" w:cs="Arial"/>
          <w:sz w:val="22"/>
          <w:szCs w:val="22"/>
        </w:rPr>
      </w:pPr>
    </w:p>
    <w:p w:rsidR="00432074" w:rsidRDefault="00432074" w:rsidP="00AB4149">
      <w:pPr>
        <w:ind w:left="1800" w:hanging="1080"/>
        <w:rPr>
          <w:rFonts w:ascii="Arial" w:hAnsi="Arial" w:cs="Arial"/>
          <w:sz w:val="22"/>
          <w:szCs w:val="22"/>
        </w:rPr>
      </w:pPr>
      <w:r>
        <w:rPr>
          <w:rFonts w:ascii="Arial" w:hAnsi="Arial" w:cs="Arial"/>
          <w:sz w:val="22"/>
          <w:szCs w:val="22"/>
        </w:rPr>
        <w:t>4.</w:t>
      </w:r>
      <w:r w:rsidR="00AB4149">
        <w:rPr>
          <w:rFonts w:ascii="Arial" w:hAnsi="Arial" w:cs="Arial"/>
          <w:sz w:val="22"/>
          <w:szCs w:val="22"/>
        </w:rPr>
        <w:t>0</w:t>
      </w:r>
      <w:r>
        <w:rPr>
          <w:rFonts w:ascii="Arial" w:hAnsi="Arial" w:cs="Arial"/>
          <w:sz w:val="22"/>
          <w:szCs w:val="22"/>
        </w:rPr>
        <w:t>2.</w:t>
      </w:r>
      <w:r w:rsidR="00AB4149">
        <w:rPr>
          <w:rFonts w:ascii="Arial" w:hAnsi="Arial" w:cs="Arial"/>
          <w:sz w:val="22"/>
          <w:szCs w:val="22"/>
        </w:rPr>
        <w:t>0</w:t>
      </w:r>
      <w:r>
        <w:rPr>
          <w:rFonts w:ascii="Arial" w:hAnsi="Arial" w:cs="Arial"/>
          <w:sz w:val="22"/>
          <w:szCs w:val="22"/>
        </w:rPr>
        <w:t>3</w:t>
      </w:r>
      <w:r>
        <w:rPr>
          <w:rFonts w:ascii="Arial" w:hAnsi="Arial" w:cs="Arial"/>
          <w:sz w:val="22"/>
          <w:szCs w:val="22"/>
        </w:rPr>
        <w:tab/>
      </w:r>
      <w:r w:rsidRPr="00F73261">
        <w:rPr>
          <w:rFonts w:ascii="Arial" w:hAnsi="Arial" w:cs="Arial"/>
          <w:sz w:val="22"/>
          <w:szCs w:val="22"/>
          <w:u w:val="single"/>
        </w:rPr>
        <w:t>Extent of condition</w:t>
      </w:r>
      <w:r>
        <w:rPr>
          <w:rFonts w:ascii="Arial" w:hAnsi="Arial" w:cs="Arial"/>
          <w:sz w:val="22"/>
          <w:szCs w:val="22"/>
        </w:rPr>
        <w:t xml:space="preserve"> – If a finding is not isolated to a specific occurrence, condition, or event, its safety significance is typically greater.  When a finding is capable of affecting multiple structures, systems, and components (SSCs), the number of degraded conditions has the potential to be greater than a case in which a finding is isolated to a specific SSC.</w:t>
      </w:r>
      <w:r w:rsidR="002B5FFB">
        <w:rPr>
          <w:rFonts w:ascii="Arial" w:hAnsi="Arial" w:cs="Arial"/>
          <w:sz w:val="22"/>
          <w:szCs w:val="22"/>
        </w:rPr>
        <w:t xml:space="preserve">  The identified extent of condition should have a reasonable and sound technical basis to justify the scope.</w:t>
      </w:r>
      <w:r>
        <w:rPr>
          <w:rFonts w:ascii="Arial" w:hAnsi="Arial" w:cs="Arial"/>
          <w:sz w:val="22"/>
          <w:szCs w:val="22"/>
        </w:rPr>
        <w:t xml:space="preserve">  </w:t>
      </w:r>
    </w:p>
    <w:p w:rsidR="00432074" w:rsidRDefault="00432074" w:rsidP="006576FE">
      <w:pPr>
        <w:ind w:left="605" w:firstLine="605"/>
        <w:rPr>
          <w:rFonts w:ascii="Arial" w:hAnsi="Arial" w:cs="Arial"/>
          <w:sz w:val="22"/>
          <w:szCs w:val="22"/>
        </w:rPr>
      </w:pPr>
    </w:p>
    <w:p w:rsidR="00432074" w:rsidRDefault="00432074" w:rsidP="00F73261">
      <w:pPr>
        <w:ind w:left="1800" w:hanging="1080"/>
        <w:rPr>
          <w:rFonts w:ascii="Arial" w:hAnsi="Arial" w:cs="Arial"/>
          <w:sz w:val="22"/>
          <w:szCs w:val="22"/>
        </w:rPr>
      </w:pPr>
      <w:r>
        <w:rPr>
          <w:rFonts w:ascii="Arial" w:hAnsi="Arial" w:cs="Arial"/>
          <w:sz w:val="22"/>
          <w:szCs w:val="22"/>
        </w:rPr>
        <w:t>4.</w:t>
      </w:r>
      <w:r w:rsidR="00F73261">
        <w:rPr>
          <w:rFonts w:ascii="Arial" w:hAnsi="Arial" w:cs="Arial"/>
          <w:sz w:val="22"/>
          <w:szCs w:val="22"/>
        </w:rPr>
        <w:t>0</w:t>
      </w:r>
      <w:r>
        <w:rPr>
          <w:rFonts w:ascii="Arial" w:hAnsi="Arial" w:cs="Arial"/>
          <w:sz w:val="22"/>
          <w:szCs w:val="22"/>
        </w:rPr>
        <w:t>2.</w:t>
      </w:r>
      <w:r w:rsidR="00F73261">
        <w:rPr>
          <w:rFonts w:ascii="Arial" w:hAnsi="Arial" w:cs="Arial"/>
          <w:sz w:val="22"/>
          <w:szCs w:val="22"/>
        </w:rPr>
        <w:t>0</w:t>
      </w:r>
      <w:r>
        <w:rPr>
          <w:rFonts w:ascii="Arial" w:hAnsi="Arial" w:cs="Arial"/>
          <w:sz w:val="22"/>
          <w:szCs w:val="22"/>
        </w:rPr>
        <w:t>4</w:t>
      </w:r>
      <w:r>
        <w:rPr>
          <w:rFonts w:ascii="Arial" w:hAnsi="Arial" w:cs="Arial"/>
          <w:sz w:val="22"/>
          <w:szCs w:val="22"/>
        </w:rPr>
        <w:tab/>
      </w:r>
      <w:r w:rsidRPr="00F73261">
        <w:rPr>
          <w:rFonts w:ascii="Arial" w:hAnsi="Arial" w:cs="Arial"/>
          <w:sz w:val="22"/>
          <w:szCs w:val="22"/>
          <w:u w:val="single"/>
        </w:rPr>
        <w:t>Degree of degraded condition (or programmatic weakness)</w:t>
      </w:r>
      <w:r>
        <w:rPr>
          <w:rFonts w:ascii="Arial" w:hAnsi="Arial" w:cs="Arial"/>
          <w:sz w:val="22"/>
          <w:szCs w:val="22"/>
        </w:rPr>
        <w:t xml:space="preserve"> – The magnitude and detailed circumstances of the degraded condition (or programmatic weakness) have a direct effect on the safety significance of the finding. As stated in IMC 0308, Attachment 3 “Technical Basis for the SDP,” the finding (i.e., more than minor performance deficiency) is the proximate cause of the degraded condition or programmatic weakness.  Logically, the more a condition is degraded or program is weakened, the more safety significant the finding.</w:t>
      </w:r>
    </w:p>
    <w:p w:rsidR="00432074" w:rsidRDefault="00432074" w:rsidP="00F73261">
      <w:pPr>
        <w:ind w:left="605" w:hanging="490"/>
        <w:rPr>
          <w:rFonts w:ascii="Arial" w:hAnsi="Arial" w:cs="Arial"/>
          <w:sz w:val="22"/>
          <w:szCs w:val="22"/>
        </w:rPr>
      </w:pPr>
    </w:p>
    <w:p w:rsidR="00432074" w:rsidRDefault="00432074" w:rsidP="00F73261">
      <w:pPr>
        <w:ind w:left="1800" w:hanging="1080"/>
        <w:rPr>
          <w:rFonts w:ascii="Arial" w:hAnsi="Arial" w:cs="Arial"/>
          <w:sz w:val="22"/>
          <w:szCs w:val="22"/>
        </w:rPr>
      </w:pPr>
      <w:r>
        <w:rPr>
          <w:rFonts w:ascii="Arial" w:hAnsi="Arial" w:cs="Arial"/>
          <w:sz w:val="22"/>
          <w:szCs w:val="22"/>
        </w:rPr>
        <w:t>4.</w:t>
      </w:r>
      <w:r w:rsidR="00F73261">
        <w:rPr>
          <w:rFonts w:ascii="Arial" w:hAnsi="Arial" w:cs="Arial"/>
          <w:sz w:val="22"/>
          <w:szCs w:val="22"/>
        </w:rPr>
        <w:t>0</w:t>
      </w:r>
      <w:r>
        <w:rPr>
          <w:rFonts w:ascii="Arial" w:hAnsi="Arial" w:cs="Arial"/>
          <w:sz w:val="22"/>
          <w:szCs w:val="22"/>
        </w:rPr>
        <w:t>2.</w:t>
      </w:r>
      <w:r w:rsidR="00F73261">
        <w:rPr>
          <w:rFonts w:ascii="Arial" w:hAnsi="Arial" w:cs="Arial"/>
          <w:sz w:val="22"/>
          <w:szCs w:val="22"/>
        </w:rPr>
        <w:t>0</w:t>
      </w:r>
      <w:r>
        <w:rPr>
          <w:rFonts w:ascii="Arial" w:hAnsi="Arial" w:cs="Arial"/>
          <w:sz w:val="22"/>
          <w:szCs w:val="22"/>
        </w:rPr>
        <w:t>5</w:t>
      </w:r>
      <w:r>
        <w:rPr>
          <w:rFonts w:ascii="Arial" w:hAnsi="Arial" w:cs="Arial"/>
          <w:sz w:val="22"/>
          <w:szCs w:val="22"/>
        </w:rPr>
        <w:tab/>
      </w:r>
      <w:r w:rsidRPr="00F73261">
        <w:rPr>
          <w:rFonts w:ascii="Arial" w:hAnsi="Arial" w:cs="Arial"/>
          <w:sz w:val="22"/>
          <w:szCs w:val="22"/>
          <w:u w:val="single"/>
        </w:rPr>
        <w:t>Exposure time</w:t>
      </w:r>
      <w:r>
        <w:rPr>
          <w:rFonts w:ascii="Arial" w:hAnsi="Arial" w:cs="Arial"/>
          <w:sz w:val="22"/>
          <w:szCs w:val="22"/>
        </w:rPr>
        <w:t xml:space="preserve"> – Generally, the longer a finding is left uncorrected the more opportunities the finding has to manifest itself (i.e., act as the proximate cause of a degraded condition or programmatic weakness).  As such, </w:t>
      </w:r>
      <w:r w:rsidR="002B5FFB">
        <w:rPr>
          <w:rFonts w:ascii="Arial" w:hAnsi="Arial" w:cs="Arial"/>
          <w:sz w:val="22"/>
          <w:szCs w:val="22"/>
        </w:rPr>
        <w:t xml:space="preserve">the longer the exposure time </w:t>
      </w:r>
      <w:r>
        <w:rPr>
          <w:rFonts w:ascii="Arial" w:hAnsi="Arial" w:cs="Arial"/>
          <w:sz w:val="22"/>
          <w:szCs w:val="22"/>
        </w:rPr>
        <w:t>the more safety significant the finding.</w:t>
      </w:r>
    </w:p>
    <w:p w:rsidR="00432074" w:rsidRDefault="00432074" w:rsidP="00F73261">
      <w:pPr>
        <w:ind w:left="605" w:hanging="490"/>
        <w:rPr>
          <w:rFonts w:ascii="Arial" w:hAnsi="Arial" w:cs="Arial"/>
          <w:sz w:val="22"/>
          <w:szCs w:val="22"/>
        </w:rPr>
      </w:pPr>
    </w:p>
    <w:p w:rsidR="00432074" w:rsidRDefault="00432074" w:rsidP="00F73261">
      <w:pPr>
        <w:ind w:left="1800" w:hanging="1080"/>
        <w:rPr>
          <w:rFonts w:ascii="Arial" w:hAnsi="Arial" w:cs="Arial"/>
          <w:sz w:val="22"/>
          <w:szCs w:val="22"/>
        </w:rPr>
      </w:pPr>
      <w:r>
        <w:rPr>
          <w:rFonts w:ascii="Arial" w:hAnsi="Arial" w:cs="Arial"/>
          <w:sz w:val="22"/>
          <w:szCs w:val="22"/>
        </w:rPr>
        <w:t>4.</w:t>
      </w:r>
      <w:r w:rsidR="00F73261">
        <w:rPr>
          <w:rFonts w:ascii="Arial" w:hAnsi="Arial" w:cs="Arial"/>
          <w:sz w:val="22"/>
          <w:szCs w:val="22"/>
        </w:rPr>
        <w:t>0</w:t>
      </w:r>
      <w:r>
        <w:rPr>
          <w:rFonts w:ascii="Arial" w:hAnsi="Arial" w:cs="Arial"/>
          <w:sz w:val="22"/>
          <w:szCs w:val="22"/>
        </w:rPr>
        <w:t>2.</w:t>
      </w:r>
      <w:r w:rsidR="00F73261">
        <w:rPr>
          <w:rFonts w:ascii="Arial" w:hAnsi="Arial" w:cs="Arial"/>
          <w:sz w:val="22"/>
          <w:szCs w:val="22"/>
        </w:rPr>
        <w:t>0</w:t>
      </w:r>
      <w:r>
        <w:rPr>
          <w:rFonts w:ascii="Arial" w:hAnsi="Arial" w:cs="Arial"/>
          <w:sz w:val="22"/>
          <w:szCs w:val="22"/>
        </w:rPr>
        <w:t>6</w:t>
      </w:r>
      <w:r w:rsidR="00F73261">
        <w:rPr>
          <w:rFonts w:ascii="Arial" w:hAnsi="Arial" w:cs="Arial"/>
          <w:sz w:val="22"/>
          <w:szCs w:val="22"/>
        </w:rPr>
        <w:tab/>
      </w:r>
      <w:r>
        <w:rPr>
          <w:rFonts w:ascii="Arial" w:hAnsi="Arial" w:cs="Arial"/>
          <w:sz w:val="22"/>
          <w:szCs w:val="22"/>
        </w:rPr>
        <w:tab/>
      </w:r>
      <w:r w:rsidRPr="00F73261">
        <w:rPr>
          <w:rFonts w:ascii="Arial" w:hAnsi="Arial" w:cs="Arial"/>
          <w:sz w:val="22"/>
          <w:szCs w:val="22"/>
          <w:u w:val="single"/>
        </w:rPr>
        <w:t>Recovery actions</w:t>
      </w:r>
      <w:r>
        <w:rPr>
          <w:rFonts w:ascii="Arial" w:hAnsi="Arial" w:cs="Arial"/>
          <w:sz w:val="22"/>
          <w:szCs w:val="22"/>
        </w:rPr>
        <w:t xml:space="preserve"> – Even if the extent of condition, degree of the degraded condition (or programmatic weakness), and exposure time increased the safety significance of a finding, crediting established recovery actions or mitigation strategies should be appropriately considered to determine the overall significance of the finding.   </w:t>
      </w:r>
    </w:p>
    <w:p w:rsidR="002B5FFB" w:rsidRDefault="002B5FFB" w:rsidP="006576FE">
      <w:pPr>
        <w:ind w:left="1210"/>
        <w:rPr>
          <w:rFonts w:ascii="Arial" w:hAnsi="Arial" w:cs="Arial"/>
          <w:sz w:val="22"/>
          <w:szCs w:val="22"/>
        </w:rPr>
      </w:pPr>
    </w:p>
    <w:p w:rsidR="00432074" w:rsidRDefault="00432074" w:rsidP="00F73261">
      <w:pPr>
        <w:ind w:left="1800" w:hanging="1080"/>
        <w:rPr>
          <w:rFonts w:ascii="Arial" w:hAnsi="Arial" w:cs="Arial"/>
          <w:sz w:val="22"/>
          <w:szCs w:val="22"/>
        </w:rPr>
      </w:pPr>
      <w:r>
        <w:rPr>
          <w:rFonts w:ascii="Arial" w:hAnsi="Arial" w:cs="Arial"/>
          <w:sz w:val="22"/>
          <w:szCs w:val="22"/>
        </w:rPr>
        <w:t>4.</w:t>
      </w:r>
      <w:r w:rsidR="00F73261">
        <w:rPr>
          <w:rFonts w:ascii="Arial" w:hAnsi="Arial" w:cs="Arial"/>
          <w:sz w:val="22"/>
          <w:szCs w:val="22"/>
        </w:rPr>
        <w:t>0</w:t>
      </w:r>
      <w:r>
        <w:rPr>
          <w:rFonts w:ascii="Arial" w:hAnsi="Arial" w:cs="Arial"/>
          <w:sz w:val="22"/>
          <w:szCs w:val="22"/>
        </w:rPr>
        <w:t>2.</w:t>
      </w:r>
      <w:r w:rsidR="00F73261">
        <w:rPr>
          <w:rFonts w:ascii="Arial" w:hAnsi="Arial" w:cs="Arial"/>
          <w:sz w:val="22"/>
          <w:szCs w:val="22"/>
        </w:rPr>
        <w:t>0</w:t>
      </w:r>
      <w:r>
        <w:rPr>
          <w:rFonts w:ascii="Arial" w:hAnsi="Arial" w:cs="Arial"/>
          <w:sz w:val="22"/>
          <w:szCs w:val="22"/>
        </w:rPr>
        <w:t xml:space="preserve">7 </w:t>
      </w:r>
      <w:r w:rsidR="00F73261">
        <w:rPr>
          <w:rFonts w:ascii="Arial" w:hAnsi="Arial" w:cs="Arial"/>
          <w:sz w:val="22"/>
          <w:szCs w:val="22"/>
        </w:rPr>
        <w:tab/>
      </w:r>
      <w:r w:rsidRPr="00F73261">
        <w:rPr>
          <w:rFonts w:ascii="Arial" w:hAnsi="Arial" w:cs="Arial"/>
          <w:sz w:val="22"/>
          <w:szCs w:val="22"/>
          <w:u w:val="single"/>
        </w:rPr>
        <w:t>Additional Qualitative Circumstances for Management Consideration</w:t>
      </w:r>
      <w:r>
        <w:rPr>
          <w:rFonts w:ascii="Arial" w:hAnsi="Arial" w:cs="Arial"/>
          <w:sz w:val="22"/>
          <w:szCs w:val="22"/>
        </w:rPr>
        <w:t xml:space="preserve"> – Depending on the situation, the previous six attributes may not capture all of the qualitative attributes </w:t>
      </w:r>
      <w:r w:rsidR="00A72A64">
        <w:rPr>
          <w:rFonts w:ascii="Arial" w:hAnsi="Arial" w:cs="Arial"/>
          <w:sz w:val="22"/>
          <w:szCs w:val="22"/>
        </w:rPr>
        <w:t>that may apply to</w:t>
      </w:r>
      <w:r>
        <w:rPr>
          <w:rFonts w:ascii="Arial" w:hAnsi="Arial" w:cs="Arial"/>
          <w:sz w:val="22"/>
          <w:szCs w:val="22"/>
        </w:rPr>
        <w:t xml:space="preserve"> the finding.  Therefore, additional qualitative circumstances, as appropriate, </w:t>
      </w:r>
      <w:r w:rsidR="00A72A64">
        <w:rPr>
          <w:rFonts w:ascii="Arial" w:hAnsi="Arial" w:cs="Arial"/>
          <w:sz w:val="22"/>
          <w:szCs w:val="22"/>
        </w:rPr>
        <w:t>may be considered in the</w:t>
      </w:r>
      <w:r>
        <w:rPr>
          <w:rFonts w:ascii="Arial" w:hAnsi="Arial" w:cs="Arial"/>
          <w:sz w:val="22"/>
          <w:szCs w:val="22"/>
        </w:rPr>
        <w:t xml:space="preserve"> decision making process.  Any additional qualitative circumstances for management consideration should have a clear and reasonable nexus to the safety significance of the finding.   </w:t>
      </w:r>
    </w:p>
    <w:p w:rsidR="00432074" w:rsidRDefault="00432074" w:rsidP="006576FE">
      <w:pPr>
        <w:rPr>
          <w:rFonts w:ascii="Arial" w:hAnsi="Arial" w:cs="Arial"/>
          <w:sz w:val="22"/>
          <w:szCs w:val="22"/>
        </w:rPr>
      </w:pPr>
    </w:p>
    <w:p w:rsidR="00432074" w:rsidRPr="00F73261" w:rsidRDefault="00432074" w:rsidP="00F73261">
      <w:pPr>
        <w:ind w:left="720" w:hanging="720"/>
        <w:rPr>
          <w:rFonts w:ascii="Arial" w:hAnsi="Arial" w:cs="Arial"/>
          <w:sz w:val="22"/>
          <w:szCs w:val="22"/>
          <w:u w:val="single"/>
        </w:rPr>
      </w:pPr>
      <w:r>
        <w:rPr>
          <w:rFonts w:ascii="Arial" w:hAnsi="Arial" w:cs="Arial"/>
          <w:sz w:val="22"/>
          <w:szCs w:val="22"/>
        </w:rPr>
        <w:t>4.</w:t>
      </w:r>
      <w:r w:rsidR="00F73261">
        <w:rPr>
          <w:rFonts w:ascii="Arial" w:hAnsi="Arial" w:cs="Arial"/>
          <w:sz w:val="22"/>
          <w:szCs w:val="22"/>
        </w:rPr>
        <w:t>0</w:t>
      </w:r>
      <w:r>
        <w:rPr>
          <w:rFonts w:ascii="Arial" w:hAnsi="Arial" w:cs="Arial"/>
          <w:sz w:val="22"/>
          <w:szCs w:val="22"/>
        </w:rPr>
        <w:t>3</w:t>
      </w:r>
      <w:r>
        <w:rPr>
          <w:rFonts w:ascii="Arial" w:hAnsi="Arial" w:cs="Arial"/>
          <w:sz w:val="22"/>
          <w:szCs w:val="22"/>
        </w:rPr>
        <w:tab/>
      </w:r>
      <w:r w:rsidR="00F73261" w:rsidRPr="00F73261">
        <w:rPr>
          <w:rFonts w:ascii="Arial" w:hAnsi="Arial" w:cs="Arial"/>
          <w:sz w:val="22"/>
          <w:szCs w:val="22"/>
          <w:u w:val="single"/>
        </w:rPr>
        <w:t xml:space="preserve">Integrated Risk-Formed Decision Making Process Based On The Bounding Evaluation And Decision Attributes </w:t>
      </w:r>
    </w:p>
    <w:p w:rsidR="00432074" w:rsidRDefault="00432074" w:rsidP="006576FE">
      <w:pPr>
        <w:ind w:left="1210" w:hanging="610"/>
        <w:rPr>
          <w:rFonts w:ascii="Arial" w:hAnsi="Arial" w:cs="Arial"/>
          <w:sz w:val="22"/>
          <w:szCs w:val="22"/>
        </w:rPr>
      </w:pPr>
    </w:p>
    <w:p w:rsidR="00F73261" w:rsidRDefault="00432074" w:rsidP="00F73261">
      <w:pPr>
        <w:ind w:left="720"/>
        <w:rPr>
          <w:rFonts w:ascii="Arial" w:hAnsi="Arial" w:cs="Arial"/>
          <w:sz w:val="22"/>
          <w:szCs w:val="22"/>
        </w:rPr>
        <w:sectPr w:rsidR="00F73261" w:rsidSect="004A770D">
          <w:pgSz w:w="12240" w:h="15840" w:code="1"/>
          <w:pgMar w:top="1440" w:right="1440" w:bottom="1440" w:left="1440" w:header="1440" w:footer="1440" w:gutter="0"/>
          <w:cols w:space="720"/>
          <w:noEndnote/>
          <w:docGrid w:linePitch="326"/>
        </w:sectPr>
      </w:pPr>
      <w:r>
        <w:rPr>
          <w:rFonts w:ascii="Arial" w:hAnsi="Arial" w:cs="Arial"/>
          <w:sz w:val="22"/>
          <w:szCs w:val="22"/>
        </w:rPr>
        <w:t>After the bounding evaluation and decision attributes are established, the final step of the process is to evaluate all the inputs affecting the safety significance of the</w:t>
      </w:r>
    </w:p>
    <w:p w:rsidR="00432074" w:rsidRPr="00163BD8" w:rsidRDefault="00432074" w:rsidP="00F73261">
      <w:pPr>
        <w:ind w:left="720"/>
        <w:rPr>
          <w:rFonts w:ascii="Arial" w:hAnsi="Arial" w:cs="Arial"/>
          <w:sz w:val="22"/>
          <w:szCs w:val="22"/>
        </w:rPr>
      </w:pPr>
      <w:r>
        <w:rPr>
          <w:rFonts w:ascii="Arial" w:hAnsi="Arial" w:cs="Arial"/>
          <w:sz w:val="22"/>
          <w:szCs w:val="22"/>
        </w:rPr>
        <w:t>finding and make an integrated risk-informed decision.  Overall, t</w:t>
      </w:r>
      <w:r w:rsidRPr="000C7600">
        <w:rPr>
          <w:rFonts w:ascii="Arial" w:hAnsi="Arial" w:cs="Arial"/>
          <w:sz w:val="22"/>
          <w:szCs w:val="22"/>
        </w:rPr>
        <w:t>hese decision</w:t>
      </w:r>
      <w:r>
        <w:rPr>
          <w:rFonts w:ascii="Arial" w:hAnsi="Arial" w:cs="Arial"/>
          <w:sz w:val="22"/>
          <w:szCs w:val="22"/>
        </w:rPr>
        <w:t>-</w:t>
      </w:r>
      <w:r w:rsidRPr="000C7600">
        <w:rPr>
          <w:rFonts w:ascii="Arial" w:hAnsi="Arial" w:cs="Arial"/>
          <w:sz w:val="22"/>
          <w:szCs w:val="22"/>
        </w:rPr>
        <w:t>makin</w:t>
      </w:r>
      <w:r>
        <w:rPr>
          <w:rFonts w:ascii="Arial" w:hAnsi="Arial" w:cs="Arial"/>
          <w:sz w:val="22"/>
          <w:szCs w:val="22"/>
        </w:rPr>
        <w:t xml:space="preserve">g inputs </w:t>
      </w:r>
      <w:r w:rsidR="00A72A64">
        <w:rPr>
          <w:rFonts w:ascii="Arial" w:hAnsi="Arial" w:cs="Arial"/>
          <w:sz w:val="22"/>
          <w:szCs w:val="22"/>
        </w:rPr>
        <w:t>are integral to</w:t>
      </w:r>
      <w:r>
        <w:rPr>
          <w:rFonts w:ascii="Arial" w:hAnsi="Arial" w:cs="Arial"/>
          <w:sz w:val="22"/>
          <w:szCs w:val="22"/>
        </w:rPr>
        <w:t xml:space="preserve"> an overall </w:t>
      </w:r>
      <w:r w:rsidRPr="000C7600">
        <w:rPr>
          <w:rFonts w:ascii="Arial" w:hAnsi="Arial" w:cs="Arial"/>
          <w:sz w:val="22"/>
          <w:szCs w:val="22"/>
        </w:rPr>
        <w:t>picture of the</w:t>
      </w:r>
      <w:r>
        <w:rPr>
          <w:rFonts w:ascii="Arial" w:hAnsi="Arial" w:cs="Arial"/>
          <w:sz w:val="22"/>
          <w:szCs w:val="22"/>
        </w:rPr>
        <w:t xml:space="preserve"> safety significance of the finding</w:t>
      </w:r>
      <w:r w:rsidRPr="000C7600">
        <w:rPr>
          <w:rFonts w:ascii="Arial" w:hAnsi="Arial" w:cs="Arial"/>
          <w:sz w:val="22"/>
          <w:szCs w:val="22"/>
        </w:rPr>
        <w:t>.</w:t>
      </w:r>
      <w:r>
        <w:rPr>
          <w:rFonts w:ascii="Arial" w:hAnsi="Arial" w:cs="Arial"/>
          <w:sz w:val="22"/>
          <w:szCs w:val="22"/>
        </w:rPr>
        <w:t xml:space="preserve">  </w:t>
      </w:r>
      <w:r w:rsidRPr="00163BD8">
        <w:rPr>
          <w:rFonts w:ascii="Arial" w:hAnsi="Arial" w:cs="Arial"/>
          <w:sz w:val="22"/>
          <w:szCs w:val="22"/>
        </w:rPr>
        <w:t xml:space="preserve">Even though the different </w:t>
      </w:r>
      <w:r>
        <w:rPr>
          <w:rFonts w:ascii="Arial" w:hAnsi="Arial" w:cs="Arial"/>
          <w:sz w:val="22"/>
          <w:szCs w:val="22"/>
        </w:rPr>
        <w:t xml:space="preserve">inputs (i.e., </w:t>
      </w:r>
      <w:r w:rsidRPr="00163BD8">
        <w:rPr>
          <w:rFonts w:ascii="Arial" w:hAnsi="Arial" w:cs="Arial"/>
          <w:sz w:val="22"/>
          <w:szCs w:val="22"/>
        </w:rPr>
        <w:t>pieces of evidence</w:t>
      </w:r>
      <w:r>
        <w:rPr>
          <w:rFonts w:ascii="Arial" w:hAnsi="Arial" w:cs="Arial"/>
          <w:sz w:val="22"/>
          <w:szCs w:val="22"/>
        </w:rPr>
        <w:t>)</w:t>
      </w:r>
      <w:r w:rsidRPr="00163BD8">
        <w:rPr>
          <w:rFonts w:ascii="Arial" w:hAnsi="Arial" w:cs="Arial"/>
          <w:sz w:val="22"/>
          <w:szCs w:val="22"/>
        </w:rPr>
        <w:t xml:space="preserve"> used to </w:t>
      </w:r>
      <w:r>
        <w:rPr>
          <w:rFonts w:ascii="Arial" w:hAnsi="Arial" w:cs="Arial"/>
          <w:sz w:val="22"/>
          <w:szCs w:val="22"/>
        </w:rPr>
        <w:t>describe the safety significance of the finding</w:t>
      </w:r>
      <w:r w:rsidRPr="00163BD8">
        <w:rPr>
          <w:rFonts w:ascii="Arial" w:hAnsi="Arial" w:cs="Arial"/>
          <w:sz w:val="22"/>
          <w:szCs w:val="22"/>
        </w:rPr>
        <w:t xml:space="preserve"> may not be combined in a </w:t>
      </w:r>
      <w:r w:rsidR="00A72A64">
        <w:rPr>
          <w:rFonts w:ascii="Arial" w:hAnsi="Arial" w:cs="Arial"/>
          <w:sz w:val="22"/>
          <w:szCs w:val="22"/>
        </w:rPr>
        <w:t>structured manner</w:t>
      </w:r>
      <w:r w:rsidRPr="00163BD8">
        <w:rPr>
          <w:rFonts w:ascii="Arial" w:hAnsi="Arial" w:cs="Arial"/>
          <w:sz w:val="22"/>
          <w:szCs w:val="22"/>
        </w:rPr>
        <w:t xml:space="preserve">, </w:t>
      </w:r>
      <w:r>
        <w:rPr>
          <w:rFonts w:ascii="Arial" w:hAnsi="Arial" w:cs="Arial"/>
          <w:sz w:val="22"/>
          <w:szCs w:val="22"/>
        </w:rPr>
        <w:t>the integrated</w:t>
      </w:r>
      <w:r w:rsidR="00A72A64">
        <w:rPr>
          <w:rFonts w:ascii="Arial" w:hAnsi="Arial" w:cs="Arial"/>
          <w:sz w:val="22"/>
          <w:szCs w:val="22"/>
        </w:rPr>
        <w:t>,</w:t>
      </w:r>
      <w:r>
        <w:rPr>
          <w:rFonts w:ascii="Arial" w:hAnsi="Arial" w:cs="Arial"/>
          <w:sz w:val="22"/>
          <w:szCs w:val="22"/>
        </w:rPr>
        <w:t xml:space="preserve"> risk-informed decision</w:t>
      </w:r>
      <w:r w:rsidRPr="00163BD8">
        <w:rPr>
          <w:rFonts w:ascii="Arial" w:hAnsi="Arial" w:cs="Arial"/>
          <w:sz w:val="22"/>
          <w:szCs w:val="22"/>
        </w:rPr>
        <w:t xml:space="preserve"> </w:t>
      </w:r>
      <w:r w:rsidR="00A72A64">
        <w:rPr>
          <w:rFonts w:ascii="Arial" w:hAnsi="Arial" w:cs="Arial"/>
          <w:sz w:val="22"/>
          <w:szCs w:val="22"/>
        </w:rPr>
        <w:t xml:space="preserve">should </w:t>
      </w:r>
      <w:r>
        <w:rPr>
          <w:rFonts w:ascii="Arial" w:hAnsi="Arial" w:cs="Arial"/>
          <w:sz w:val="22"/>
          <w:szCs w:val="22"/>
        </w:rPr>
        <w:t>clearly document</w:t>
      </w:r>
      <w:r w:rsidR="00A72A64">
        <w:rPr>
          <w:rFonts w:ascii="Arial" w:hAnsi="Arial" w:cs="Arial"/>
          <w:sz w:val="22"/>
          <w:szCs w:val="22"/>
        </w:rPr>
        <w:t xml:space="preserve"> the</w:t>
      </w:r>
      <w:r>
        <w:rPr>
          <w:rFonts w:ascii="Arial" w:hAnsi="Arial" w:cs="Arial"/>
          <w:sz w:val="22"/>
          <w:szCs w:val="22"/>
        </w:rPr>
        <w:t xml:space="preserve"> synergistic effect of the inputs as a whole.  </w:t>
      </w:r>
      <w:r w:rsidRPr="00163BD8">
        <w:rPr>
          <w:rFonts w:ascii="Arial" w:hAnsi="Arial" w:cs="Arial"/>
          <w:sz w:val="22"/>
          <w:szCs w:val="22"/>
        </w:rPr>
        <w:t xml:space="preserve">The </w:t>
      </w:r>
      <w:r>
        <w:rPr>
          <w:rFonts w:ascii="Arial" w:hAnsi="Arial" w:cs="Arial"/>
          <w:sz w:val="22"/>
          <w:szCs w:val="22"/>
        </w:rPr>
        <w:t>basis for the integrated</w:t>
      </w:r>
      <w:r w:rsidR="00A72A64">
        <w:rPr>
          <w:rFonts w:ascii="Arial" w:hAnsi="Arial" w:cs="Arial"/>
          <w:sz w:val="22"/>
          <w:szCs w:val="22"/>
        </w:rPr>
        <w:t>,</w:t>
      </w:r>
      <w:r w:rsidRPr="00163BD8">
        <w:rPr>
          <w:rFonts w:ascii="Arial" w:hAnsi="Arial" w:cs="Arial"/>
          <w:sz w:val="22"/>
          <w:szCs w:val="22"/>
        </w:rPr>
        <w:t xml:space="preserve"> risk-informed decision </w:t>
      </w:r>
      <w:r>
        <w:rPr>
          <w:rFonts w:ascii="Arial" w:hAnsi="Arial" w:cs="Arial"/>
          <w:sz w:val="22"/>
          <w:szCs w:val="22"/>
        </w:rPr>
        <w:t>is</w:t>
      </w:r>
      <w:r w:rsidRPr="00163BD8">
        <w:rPr>
          <w:rFonts w:ascii="Arial" w:hAnsi="Arial" w:cs="Arial"/>
          <w:sz w:val="22"/>
          <w:szCs w:val="22"/>
        </w:rPr>
        <w:t xml:space="preserve"> a function of the</w:t>
      </w:r>
      <w:r>
        <w:rPr>
          <w:rFonts w:ascii="Arial" w:hAnsi="Arial" w:cs="Arial"/>
          <w:sz w:val="22"/>
          <w:szCs w:val="22"/>
        </w:rPr>
        <w:t xml:space="preserve"> </w:t>
      </w:r>
      <w:r w:rsidRPr="00163BD8">
        <w:rPr>
          <w:rFonts w:ascii="Arial" w:hAnsi="Arial" w:cs="Arial"/>
          <w:sz w:val="22"/>
          <w:szCs w:val="22"/>
        </w:rPr>
        <w:t xml:space="preserve">confidence the NRC staff has in </w:t>
      </w:r>
      <w:r>
        <w:rPr>
          <w:rFonts w:ascii="Arial" w:hAnsi="Arial" w:cs="Arial"/>
          <w:sz w:val="22"/>
          <w:szCs w:val="22"/>
        </w:rPr>
        <w:t>the combined effect the bounding evaluation and decision attributes have on the safety significance of the finding (Ref 1)</w:t>
      </w:r>
      <w:r w:rsidRPr="00163BD8">
        <w:rPr>
          <w:rFonts w:ascii="Arial" w:hAnsi="Arial" w:cs="Arial"/>
          <w:sz w:val="22"/>
          <w:szCs w:val="22"/>
        </w:rPr>
        <w:t>.</w:t>
      </w:r>
      <w:r>
        <w:rPr>
          <w:rFonts w:ascii="Arial" w:hAnsi="Arial" w:cs="Arial"/>
          <w:sz w:val="22"/>
          <w:szCs w:val="22"/>
        </w:rPr>
        <w:t xml:space="preserve">  </w:t>
      </w:r>
    </w:p>
    <w:p w:rsidR="00432074"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rPr>
          <w:rFonts w:ascii="Arial" w:hAnsi="Arial" w:cs="Arial"/>
          <w:sz w:val="22"/>
          <w:szCs w:val="22"/>
        </w:rPr>
      </w:pPr>
    </w:p>
    <w:p w:rsidR="00432074" w:rsidRPr="00924455"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rPr>
          <w:rFonts w:ascii="Arial" w:hAnsi="Arial" w:cs="Arial"/>
          <w:sz w:val="22"/>
          <w:szCs w:val="22"/>
        </w:rPr>
      </w:pPr>
    </w:p>
    <w:p w:rsidR="00432074" w:rsidRPr="00924455" w:rsidRDefault="00432074" w:rsidP="006576FE">
      <w:pPr>
        <w:widowControl/>
        <w:numPr>
          <w:ilvl w:val="0"/>
          <w:numId w:val="76"/>
        </w:numPr>
        <w:tabs>
          <w:tab w:val="left" w:pos="-1080"/>
          <w:tab w:val="left" w:pos="-720"/>
          <w:tab w:val="left" w:pos="0"/>
          <w:tab w:val="left" w:pos="720"/>
          <w:tab w:val="left" w:pos="1440"/>
          <w:tab w:val="left" w:pos="1710"/>
          <w:tab w:val="left" w:pos="2340"/>
          <w:tab w:val="right" w:leader="dot" w:pos="8467"/>
          <w:tab w:val="right" w:pos="9180"/>
        </w:tabs>
        <w:ind w:left="990" w:hanging="990"/>
        <w:rPr>
          <w:rFonts w:ascii="Arial" w:hAnsi="Arial" w:cs="Arial"/>
          <w:sz w:val="22"/>
          <w:szCs w:val="22"/>
        </w:rPr>
      </w:pPr>
      <w:r w:rsidRPr="00924455">
        <w:rPr>
          <w:rFonts w:ascii="Arial" w:hAnsi="Arial" w:cs="Arial"/>
          <w:sz w:val="22"/>
          <w:szCs w:val="22"/>
        </w:rPr>
        <w:t>REFERENCES</w:t>
      </w:r>
    </w:p>
    <w:p w:rsidR="00432074" w:rsidRPr="00C763CF"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Pr>
          <w:rFonts w:ascii="Arial" w:hAnsi="Arial" w:cs="Arial"/>
          <w:sz w:val="22"/>
          <w:szCs w:val="22"/>
        </w:rPr>
        <w:t>Regulatory Guide 1.174, “</w:t>
      </w:r>
      <w:r w:rsidRPr="00453CD0">
        <w:rPr>
          <w:rFonts w:ascii="Arial" w:hAnsi="Arial" w:cs="Arial"/>
          <w:sz w:val="22"/>
          <w:szCs w:val="22"/>
        </w:rPr>
        <w:t>An Approach for Using Probabilistic Risk Assessment in Risk-Informed Decisions on Plant-Specific Changes to the Licensing Basis</w:t>
      </w:r>
      <w:r>
        <w:rPr>
          <w:rFonts w:ascii="Arial" w:hAnsi="Arial" w:cs="Arial"/>
          <w:sz w:val="22"/>
          <w:szCs w:val="22"/>
        </w:rPr>
        <w:t>”, Revision 2, May 2011.</w:t>
      </w:r>
    </w:p>
    <w:p w:rsidR="00432074" w:rsidRDefault="00432074" w:rsidP="006576FE">
      <w:pPr>
        <w:tabs>
          <w:tab w:val="left" w:pos="450"/>
        </w:tabs>
        <w:ind w:left="450"/>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Pr>
          <w:rFonts w:ascii="Arial" w:hAnsi="Arial" w:cs="Arial"/>
          <w:sz w:val="22"/>
          <w:szCs w:val="22"/>
        </w:rPr>
        <w:t>SDP Task G</w:t>
      </w:r>
      <w:r w:rsidRPr="00064694">
        <w:rPr>
          <w:rFonts w:ascii="Arial" w:hAnsi="Arial" w:cs="Arial"/>
          <w:sz w:val="22"/>
          <w:szCs w:val="22"/>
        </w:rPr>
        <w:t>roup Report December 13, 2002 (ML023470613)</w:t>
      </w:r>
    </w:p>
    <w:p w:rsidR="00432074" w:rsidRDefault="00432074" w:rsidP="006576FE">
      <w:pPr>
        <w:pStyle w:val="ListParagraph"/>
        <w:rPr>
          <w:rFonts w:ascii="Arial" w:hAnsi="Arial" w:cs="Arial"/>
          <w:sz w:val="22"/>
          <w:szCs w:val="22"/>
        </w:rPr>
      </w:pPr>
    </w:p>
    <w:p w:rsidR="00432074" w:rsidRPr="002B5FFB" w:rsidRDefault="00432074" w:rsidP="006576FE">
      <w:pPr>
        <w:numPr>
          <w:ilvl w:val="0"/>
          <w:numId w:val="71"/>
        </w:numPr>
        <w:tabs>
          <w:tab w:val="left" w:pos="450"/>
        </w:tabs>
        <w:ind w:left="450" w:hanging="450"/>
        <w:rPr>
          <w:rFonts w:ascii="Arial" w:hAnsi="Arial" w:cs="Arial"/>
          <w:sz w:val="22"/>
          <w:szCs w:val="22"/>
        </w:rPr>
      </w:pPr>
      <w:r w:rsidRPr="00977FDE">
        <w:rPr>
          <w:rFonts w:ascii="Arial" w:hAnsi="Arial" w:cs="Arial"/>
          <w:sz w:val="22"/>
          <w:szCs w:val="22"/>
        </w:rPr>
        <w:t>60 FR 42622, “Use of Probabilistic Risk Assessment Methods in Nuclear Activities: Final Policy</w:t>
      </w:r>
      <w:r w:rsidR="002B5FFB">
        <w:rPr>
          <w:rFonts w:ascii="Arial" w:hAnsi="Arial" w:cs="Arial"/>
          <w:sz w:val="22"/>
          <w:szCs w:val="22"/>
        </w:rPr>
        <w:t xml:space="preserve"> </w:t>
      </w:r>
      <w:r w:rsidRPr="002B5FFB">
        <w:rPr>
          <w:rFonts w:ascii="Arial" w:hAnsi="Arial" w:cs="Arial"/>
          <w:sz w:val="22"/>
          <w:szCs w:val="22"/>
        </w:rPr>
        <w:t xml:space="preserve">Statement,” </w:t>
      </w:r>
      <w:r w:rsidRPr="002B5FFB">
        <w:rPr>
          <w:rFonts w:ascii="Arial" w:hAnsi="Arial" w:cs="Arial"/>
          <w:i/>
          <w:iCs/>
          <w:sz w:val="22"/>
          <w:szCs w:val="22"/>
        </w:rPr>
        <w:t xml:space="preserve">Federal Register, </w:t>
      </w:r>
      <w:r w:rsidRPr="002B5FFB">
        <w:rPr>
          <w:rFonts w:ascii="Arial" w:hAnsi="Arial" w:cs="Arial"/>
          <w:sz w:val="22"/>
          <w:szCs w:val="22"/>
        </w:rPr>
        <w:t>Volume 60, Number 158, p. 42622, Washington, DC, August 16, 1995.</w:t>
      </w:r>
    </w:p>
    <w:p w:rsidR="00432074" w:rsidRPr="00977FDE" w:rsidRDefault="00432074" w:rsidP="006576FE">
      <w:pPr>
        <w:widowControl/>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Pr>
          <w:rFonts w:ascii="Arial" w:hAnsi="Arial" w:cs="Arial"/>
          <w:sz w:val="22"/>
          <w:szCs w:val="22"/>
        </w:rPr>
        <w:t>NUREG-1855, “</w:t>
      </w:r>
      <w:r w:rsidRPr="00977FDE">
        <w:rPr>
          <w:rFonts w:ascii="Arial" w:hAnsi="Arial" w:cs="Arial"/>
          <w:sz w:val="22"/>
          <w:szCs w:val="22"/>
        </w:rPr>
        <w:t>Guidance on the Treatment of Uncertainties Associated with PRAs in Risk-Informed Decision Making</w:t>
      </w:r>
      <w:r>
        <w:rPr>
          <w:rFonts w:ascii="Arial" w:hAnsi="Arial" w:cs="Arial"/>
          <w:sz w:val="22"/>
          <w:szCs w:val="22"/>
        </w:rPr>
        <w:t>,” Volume 1, March 2009.</w:t>
      </w:r>
    </w:p>
    <w:p w:rsidR="00432074" w:rsidRDefault="00432074" w:rsidP="006576FE">
      <w:pPr>
        <w:tabs>
          <w:tab w:val="left" w:pos="450"/>
        </w:tabs>
        <w:ind w:left="450"/>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sidRPr="007975C6">
        <w:rPr>
          <w:rFonts w:ascii="Arial" w:hAnsi="Arial" w:cs="Arial"/>
          <w:sz w:val="22"/>
          <w:szCs w:val="22"/>
        </w:rPr>
        <w:t>The Office of Nuclear Reactor Regulation Office Instruction, LIC-504, “Integrated Risk-Informed Decision-Making Process for Emergent Issues</w:t>
      </w:r>
      <w:r>
        <w:rPr>
          <w:rFonts w:ascii="Arial" w:hAnsi="Arial" w:cs="Arial"/>
          <w:sz w:val="22"/>
          <w:szCs w:val="22"/>
        </w:rPr>
        <w:t>,” Revision 3, April, 2010.</w:t>
      </w:r>
    </w:p>
    <w:p w:rsidR="00432074" w:rsidRDefault="00432074" w:rsidP="006576FE">
      <w:pPr>
        <w:pStyle w:val="ListParagraph"/>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Pr>
          <w:rFonts w:ascii="Arial" w:hAnsi="Arial" w:cs="Arial"/>
          <w:sz w:val="22"/>
          <w:szCs w:val="22"/>
        </w:rPr>
        <w:t>Inspection Manual Chapter 0609 “The Significance Determination Process”</w:t>
      </w:r>
    </w:p>
    <w:p w:rsidR="00432074" w:rsidRDefault="00432074" w:rsidP="006576FE">
      <w:pPr>
        <w:pStyle w:val="ListParagraph"/>
        <w:rPr>
          <w:rFonts w:ascii="Arial" w:hAnsi="Arial" w:cs="Arial"/>
          <w:sz w:val="22"/>
          <w:szCs w:val="22"/>
        </w:rPr>
      </w:pPr>
    </w:p>
    <w:p w:rsidR="00432074" w:rsidRDefault="00432074" w:rsidP="006576FE">
      <w:pPr>
        <w:numPr>
          <w:ilvl w:val="0"/>
          <w:numId w:val="71"/>
        </w:numPr>
        <w:tabs>
          <w:tab w:val="left" w:pos="450"/>
        </w:tabs>
        <w:ind w:left="450" w:hanging="450"/>
        <w:rPr>
          <w:rFonts w:ascii="Arial" w:hAnsi="Arial" w:cs="Arial"/>
          <w:sz w:val="22"/>
          <w:szCs w:val="22"/>
        </w:rPr>
      </w:pPr>
      <w:r>
        <w:rPr>
          <w:rFonts w:ascii="Arial" w:hAnsi="Arial" w:cs="Arial"/>
          <w:sz w:val="22"/>
          <w:szCs w:val="22"/>
        </w:rPr>
        <w:t>Inspection Manual Chapter 0308, Attachment 3, “Technical Basis for the Significance Determination Process”</w:t>
      </w:r>
    </w:p>
    <w:p w:rsidR="00432074" w:rsidRDefault="00432074" w:rsidP="006576FE">
      <w:pPr>
        <w:tabs>
          <w:tab w:val="left" w:pos="450"/>
        </w:tabs>
        <w:rPr>
          <w:rFonts w:ascii="Arial" w:hAnsi="Arial" w:cs="Arial"/>
          <w:sz w:val="22"/>
          <w:szCs w:val="22"/>
        </w:rPr>
      </w:pPr>
    </w:p>
    <w:p w:rsidR="00432074" w:rsidRPr="00185632" w:rsidRDefault="00432074" w:rsidP="006576FE">
      <w:pPr>
        <w:tabs>
          <w:tab w:val="left" w:pos="450"/>
        </w:tabs>
        <w:ind w:left="450"/>
        <w:rPr>
          <w:rFonts w:ascii="Arial" w:hAnsi="Arial" w:cs="Arial"/>
          <w:sz w:val="22"/>
          <w:szCs w:val="22"/>
        </w:rPr>
      </w:pPr>
    </w:p>
    <w:p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rPr>
          <w:rFonts w:ascii="Arial" w:hAnsi="Arial" w:cs="Arial"/>
          <w:sz w:val="22"/>
          <w:szCs w:val="22"/>
        </w:rPr>
      </w:pPr>
    </w:p>
    <w:p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jc w:val="center"/>
        <w:rPr>
          <w:rFonts w:ascii="Arial" w:hAnsi="Arial" w:cs="Arial"/>
          <w:sz w:val="22"/>
          <w:szCs w:val="22"/>
        </w:rPr>
      </w:pPr>
      <w:r w:rsidRPr="00185632">
        <w:rPr>
          <w:rFonts w:ascii="Arial" w:hAnsi="Arial" w:cs="Arial"/>
          <w:sz w:val="22"/>
          <w:szCs w:val="22"/>
        </w:rPr>
        <w:t>END</w:t>
      </w:r>
    </w:p>
    <w:p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rPr>
          <w:rFonts w:ascii="Arial" w:hAnsi="Arial" w:cs="Arial"/>
          <w:sz w:val="22"/>
          <w:szCs w:val="22"/>
        </w:rPr>
        <w:sectPr w:rsidR="00432074" w:rsidRPr="00185632" w:rsidSect="004A770D">
          <w:pgSz w:w="12240" w:h="15840" w:code="1"/>
          <w:pgMar w:top="1440" w:right="1440" w:bottom="1440" w:left="1440" w:header="1440" w:footer="1440" w:gutter="0"/>
          <w:cols w:space="720"/>
          <w:noEndnote/>
          <w:docGrid w:linePitch="326"/>
        </w:sectPr>
      </w:pPr>
    </w:p>
    <w:p w:rsidR="00432074" w:rsidRPr="00185632" w:rsidRDefault="00432074" w:rsidP="006576FE">
      <w:pPr>
        <w:widowControl/>
        <w:tabs>
          <w:tab w:val="left" w:pos="-1080"/>
          <w:tab w:val="left" w:pos="-720"/>
          <w:tab w:val="left" w:pos="0"/>
          <w:tab w:val="left" w:pos="1080"/>
          <w:tab w:val="left" w:pos="1440"/>
          <w:tab w:val="left" w:pos="1710"/>
          <w:tab w:val="left" w:pos="2340"/>
          <w:tab w:val="right" w:leader="dot" w:pos="8467"/>
          <w:tab w:val="right" w:pos="9180"/>
        </w:tabs>
        <w:ind w:left="540"/>
        <w:jc w:val="center"/>
        <w:rPr>
          <w:rFonts w:ascii="Arial" w:hAnsi="Arial" w:cs="Arial"/>
          <w:sz w:val="22"/>
          <w:szCs w:val="22"/>
        </w:rPr>
      </w:pPr>
      <w:r w:rsidRPr="00185632">
        <w:rPr>
          <w:rFonts w:ascii="Arial" w:hAnsi="Arial" w:cs="Arial"/>
          <w:sz w:val="22"/>
          <w:szCs w:val="22"/>
        </w:rPr>
        <w:lastRenderedPageBreak/>
        <w:t>A</w:t>
      </w:r>
      <w:r>
        <w:rPr>
          <w:rFonts w:ascii="Arial" w:hAnsi="Arial" w:cs="Arial"/>
          <w:sz w:val="22"/>
          <w:szCs w:val="22"/>
        </w:rPr>
        <w:t>ttachment</w:t>
      </w:r>
      <w:r w:rsidRPr="00185632">
        <w:rPr>
          <w:rFonts w:ascii="Arial" w:hAnsi="Arial" w:cs="Arial"/>
          <w:sz w:val="22"/>
          <w:szCs w:val="22"/>
        </w:rPr>
        <w:t xml:space="preserve"> 1</w:t>
      </w:r>
      <w:r>
        <w:rPr>
          <w:rFonts w:ascii="Arial" w:hAnsi="Arial" w:cs="Arial"/>
          <w:sz w:val="22"/>
          <w:szCs w:val="22"/>
        </w:rPr>
        <w:t xml:space="preserve"> – </w:t>
      </w:r>
      <w:r w:rsidRPr="00185632">
        <w:rPr>
          <w:rFonts w:ascii="Arial" w:hAnsi="Arial" w:cs="Arial"/>
          <w:sz w:val="22"/>
          <w:szCs w:val="22"/>
        </w:rPr>
        <w:t xml:space="preserve">Revision History </w:t>
      </w:r>
      <w:r>
        <w:rPr>
          <w:rFonts w:ascii="Arial" w:hAnsi="Arial" w:cs="Arial"/>
          <w:sz w:val="22"/>
          <w:szCs w:val="22"/>
        </w:rPr>
        <w:t>f</w:t>
      </w:r>
      <w:r w:rsidRPr="00185632">
        <w:rPr>
          <w:rFonts w:ascii="Arial" w:hAnsi="Arial" w:cs="Arial"/>
          <w:sz w:val="22"/>
          <w:szCs w:val="22"/>
        </w:rPr>
        <w:t>or IMC 0308, Att</w:t>
      </w:r>
      <w:r>
        <w:rPr>
          <w:rFonts w:ascii="Arial" w:hAnsi="Arial" w:cs="Arial"/>
          <w:sz w:val="22"/>
          <w:szCs w:val="22"/>
        </w:rPr>
        <w:t>achment</w:t>
      </w:r>
      <w:r w:rsidRPr="00185632">
        <w:rPr>
          <w:rFonts w:ascii="Arial" w:hAnsi="Arial" w:cs="Arial"/>
          <w:sz w:val="22"/>
          <w:szCs w:val="22"/>
        </w:rPr>
        <w:t xml:space="preserve"> 3, App</w:t>
      </w:r>
      <w:r>
        <w:rPr>
          <w:rFonts w:ascii="Arial" w:hAnsi="Arial" w:cs="Arial"/>
          <w:sz w:val="22"/>
          <w:szCs w:val="22"/>
        </w:rPr>
        <w:t>endix</w:t>
      </w:r>
      <w:r w:rsidRPr="00185632">
        <w:rPr>
          <w:rFonts w:ascii="Arial" w:hAnsi="Arial" w:cs="Arial"/>
          <w:sz w:val="22"/>
          <w:szCs w:val="22"/>
        </w:rPr>
        <w:t xml:space="preserve"> </w:t>
      </w:r>
      <w:r>
        <w:rPr>
          <w:rFonts w:ascii="Arial" w:hAnsi="Arial" w:cs="Arial"/>
          <w:sz w:val="22"/>
          <w:szCs w:val="22"/>
        </w:rPr>
        <w:t>M</w:t>
      </w:r>
    </w:p>
    <w:p w:rsidR="00432074" w:rsidRPr="00D35D5E" w:rsidRDefault="00432074" w:rsidP="006576F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ascii="Arial" w:hAnsi="Arial" w:cs="Arial"/>
          <w:sz w:val="22"/>
          <w:szCs w:val="22"/>
        </w:rPr>
      </w:pPr>
    </w:p>
    <w:tbl>
      <w:tblPr>
        <w:tblW w:w="13050" w:type="dxa"/>
        <w:jc w:val="center"/>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1710"/>
        <w:gridCol w:w="5812"/>
        <w:gridCol w:w="2295"/>
        <w:gridCol w:w="1710"/>
      </w:tblGrid>
      <w:tr w:rsidR="00432074" w:rsidRPr="00D35D5E" w:rsidTr="004A770D">
        <w:trPr>
          <w:cantSplit/>
          <w:tblHeader/>
          <w:jc w:val="center"/>
        </w:trPr>
        <w:tc>
          <w:tcPr>
            <w:tcW w:w="1523" w:type="dxa"/>
            <w:tcMar>
              <w:top w:w="58" w:type="dxa"/>
              <w:left w:w="115" w:type="dxa"/>
              <w:bottom w:w="58" w:type="dxa"/>
              <w:right w:w="115" w:type="dxa"/>
            </w:tcMar>
          </w:tcPr>
          <w:p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D35D5E">
              <w:rPr>
                <w:rFonts w:ascii="Arial" w:hAnsi="Arial" w:cs="Arial"/>
                <w:sz w:val="22"/>
                <w:szCs w:val="22"/>
              </w:rPr>
              <w:t>Commitment Tracking Number</w:t>
            </w:r>
          </w:p>
        </w:tc>
        <w:tc>
          <w:tcPr>
            <w:tcW w:w="1710" w:type="dxa"/>
            <w:tcMar>
              <w:top w:w="58" w:type="dxa"/>
              <w:left w:w="115" w:type="dxa"/>
              <w:bottom w:w="58" w:type="dxa"/>
              <w:right w:w="115" w:type="dxa"/>
            </w:tcMar>
          </w:tcPr>
          <w:p w:rsidR="00432074" w:rsidRPr="00D35D5E" w:rsidRDefault="00432074" w:rsidP="006576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D35D5E">
              <w:rPr>
                <w:rFonts w:ascii="Arial" w:hAnsi="Arial" w:cs="Arial"/>
                <w:sz w:val="22"/>
                <w:szCs w:val="22"/>
              </w:rPr>
              <w:t>Accession Number</w:t>
            </w:r>
          </w:p>
          <w:p w:rsidR="00432074" w:rsidRPr="00D35D5E" w:rsidRDefault="00432074" w:rsidP="006576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D35D5E">
              <w:rPr>
                <w:rFonts w:ascii="Arial" w:hAnsi="Arial" w:cs="Arial"/>
                <w:sz w:val="22"/>
                <w:szCs w:val="22"/>
              </w:rPr>
              <w:t>Issue Date</w:t>
            </w:r>
          </w:p>
          <w:p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D35D5E">
              <w:rPr>
                <w:rFonts w:ascii="Arial" w:hAnsi="Arial" w:cs="Arial"/>
                <w:sz w:val="22"/>
                <w:szCs w:val="22"/>
              </w:rPr>
              <w:t>Change Notice</w:t>
            </w:r>
          </w:p>
        </w:tc>
        <w:tc>
          <w:tcPr>
            <w:tcW w:w="5812" w:type="dxa"/>
            <w:tcMar>
              <w:top w:w="58" w:type="dxa"/>
              <w:left w:w="115" w:type="dxa"/>
              <w:bottom w:w="58" w:type="dxa"/>
              <w:right w:w="115" w:type="dxa"/>
            </w:tcMar>
          </w:tcPr>
          <w:p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D35D5E">
              <w:rPr>
                <w:rFonts w:ascii="Arial" w:hAnsi="Arial" w:cs="Arial"/>
                <w:sz w:val="22"/>
                <w:szCs w:val="22"/>
              </w:rPr>
              <w:t>Description of Change</w:t>
            </w:r>
          </w:p>
        </w:tc>
        <w:tc>
          <w:tcPr>
            <w:tcW w:w="2295" w:type="dxa"/>
            <w:tcMar>
              <w:top w:w="58" w:type="dxa"/>
              <w:left w:w="115" w:type="dxa"/>
              <w:bottom w:w="58" w:type="dxa"/>
              <w:right w:w="115" w:type="dxa"/>
            </w:tcMar>
          </w:tcPr>
          <w:p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D35D5E">
              <w:rPr>
                <w:rFonts w:ascii="Arial" w:hAnsi="Arial" w:cs="Arial"/>
                <w:sz w:val="22"/>
                <w:szCs w:val="22"/>
              </w:rPr>
              <w:t>Training Required and Completion Date</w:t>
            </w:r>
          </w:p>
        </w:tc>
        <w:tc>
          <w:tcPr>
            <w:tcW w:w="1710" w:type="dxa"/>
            <w:tcMar>
              <w:top w:w="58" w:type="dxa"/>
              <w:left w:w="115" w:type="dxa"/>
              <w:bottom w:w="58" w:type="dxa"/>
              <w:right w:w="115" w:type="dxa"/>
            </w:tcMar>
          </w:tcPr>
          <w:p w:rsidR="00432074" w:rsidRPr="00D35D5E" w:rsidRDefault="00432074" w:rsidP="006576FE">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spacing w:after="58"/>
              <w:rPr>
                <w:rFonts w:ascii="Arial" w:hAnsi="Arial" w:cs="Arial"/>
                <w:sz w:val="22"/>
                <w:szCs w:val="22"/>
              </w:rPr>
            </w:pPr>
            <w:r w:rsidRPr="00D35D5E">
              <w:rPr>
                <w:rFonts w:ascii="Arial" w:hAnsi="Arial" w:cs="Arial"/>
                <w:sz w:val="22"/>
                <w:szCs w:val="22"/>
              </w:rPr>
              <w:t>Comment and Feedback Resolution Accession Number</w:t>
            </w:r>
          </w:p>
        </w:tc>
      </w:tr>
      <w:tr w:rsidR="00432074" w:rsidRPr="00D35D5E" w:rsidTr="004A770D">
        <w:trPr>
          <w:jc w:val="center"/>
        </w:trPr>
        <w:tc>
          <w:tcPr>
            <w:tcW w:w="1523" w:type="dxa"/>
            <w:tcMar>
              <w:top w:w="58" w:type="dxa"/>
              <w:left w:w="115" w:type="dxa"/>
              <w:bottom w:w="58" w:type="dxa"/>
              <w:right w:w="115" w:type="dxa"/>
            </w:tcMar>
          </w:tcPr>
          <w:p w:rsidR="00432074" w:rsidRPr="007D71B8" w:rsidRDefault="00432074" w:rsidP="006576FE">
            <w:pPr>
              <w:rPr>
                <w:rFonts w:ascii="Arial" w:hAnsi="Arial" w:cs="Arial"/>
                <w:sz w:val="22"/>
                <w:szCs w:val="22"/>
              </w:rPr>
            </w:pPr>
            <w:r>
              <w:rPr>
                <w:rFonts w:ascii="Arial" w:hAnsi="Arial" w:cs="Arial"/>
                <w:sz w:val="22"/>
                <w:szCs w:val="22"/>
              </w:rPr>
              <w:t>N/A</w:t>
            </w:r>
          </w:p>
        </w:tc>
        <w:tc>
          <w:tcPr>
            <w:tcW w:w="1710" w:type="dxa"/>
            <w:tcMar>
              <w:top w:w="58" w:type="dxa"/>
              <w:left w:w="115" w:type="dxa"/>
              <w:bottom w:w="58" w:type="dxa"/>
              <w:right w:w="115" w:type="dxa"/>
            </w:tcMar>
          </w:tcPr>
          <w:p w:rsidR="00432074" w:rsidRDefault="00432074" w:rsidP="006576FE">
            <w:pPr>
              <w:rPr>
                <w:rFonts w:ascii="Arial" w:hAnsi="Arial" w:cs="Arial"/>
                <w:sz w:val="22"/>
                <w:szCs w:val="22"/>
              </w:rPr>
            </w:pPr>
            <w:r>
              <w:rPr>
                <w:rFonts w:ascii="Arial" w:hAnsi="Arial" w:cs="Arial"/>
                <w:sz w:val="22"/>
                <w:szCs w:val="22"/>
              </w:rPr>
              <w:t>ML</w:t>
            </w:r>
            <w:r w:rsidR="002C114D">
              <w:rPr>
                <w:rFonts w:ascii="Arial" w:hAnsi="Arial" w:cs="Arial"/>
                <w:sz w:val="22"/>
                <w:szCs w:val="22"/>
              </w:rPr>
              <w:t>13070A253</w:t>
            </w:r>
          </w:p>
          <w:p w:rsidR="00432074" w:rsidRDefault="00C763CF" w:rsidP="006576FE">
            <w:pPr>
              <w:rPr>
                <w:rFonts w:ascii="Arial" w:hAnsi="Arial" w:cs="Arial"/>
                <w:sz w:val="22"/>
                <w:szCs w:val="22"/>
              </w:rPr>
            </w:pPr>
            <w:r>
              <w:rPr>
                <w:rFonts w:ascii="Arial" w:hAnsi="Arial" w:cs="Arial"/>
                <w:sz w:val="22"/>
                <w:szCs w:val="22"/>
              </w:rPr>
              <w:t>06/11/14</w:t>
            </w:r>
          </w:p>
          <w:p w:rsidR="00C763CF" w:rsidRPr="007D71B8" w:rsidRDefault="00C763CF" w:rsidP="006576FE">
            <w:pPr>
              <w:rPr>
                <w:rFonts w:ascii="Arial" w:hAnsi="Arial" w:cs="Arial"/>
                <w:sz w:val="22"/>
                <w:szCs w:val="22"/>
              </w:rPr>
            </w:pPr>
            <w:r>
              <w:rPr>
                <w:rFonts w:ascii="Arial" w:hAnsi="Arial" w:cs="Arial"/>
                <w:sz w:val="22"/>
                <w:szCs w:val="22"/>
              </w:rPr>
              <w:t>CN 14-012</w:t>
            </w:r>
          </w:p>
          <w:p w:rsidR="00432074" w:rsidRPr="007D71B8" w:rsidRDefault="00432074" w:rsidP="006576FE">
            <w:pPr>
              <w:rPr>
                <w:rFonts w:ascii="Arial" w:hAnsi="Arial" w:cs="Arial"/>
                <w:sz w:val="22"/>
                <w:szCs w:val="22"/>
              </w:rPr>
            </w:pPr>
          </w:p>
        </w:tc>
        <w:tc>
          <w:tcPr>
            <w:tcW w:w="5812" w:type="dxa"/>
            <w:tcMar>
              <w:top w:w="58" w:type="dxa"/>
              <w:left w:w="115" w:type="dxa"/>
              <w:bottom w:w="58" w:type="dxa"/>
              <w:right w:w="115" w:type="dxa"/>
            </w:tcMar>
          </w:tcPr>
          <w:p w:rsidR="00432074" w:rsidRPr="007D71B8" w:rsidRDefault="00C763CF" w:rsidP="006576FE">
            <w:pPr>
              <w:rPr>
                <w:rFonts w:ascii="Arial" w:hAnsi="Arial" w:cs="Arial"/>
                <w:sz w:val="22"/>
                <w:szCs w:val="22"/>
              </w:rPr>
            </w:pPr>
            <w:r>
              <w:rPr>
                <w:rFonts w:ascii="Arial" w:hAnsi="Arial" w:cs="Arial"/>
                <w:sz w:val="22"/>
                <w:szCs w:val="22"/>
              </w:rPr>
              <w:t>Initial Issuance</w:t>
            </w:r>
            <w:r w:rsidR="00432074">
              <w:rPr>
                <w:rFonts w:ascii="Arial" w:hAnsi="Arial" w:cs="Arial"/>
                <w:sz w:val="22"/>
                <w:szCs w:val="22"/>
              </w:rPr>
              <w:t xml:space="preserve">.  </w:t>
            </w:r>
          </w:p>
        </w:tc>
        <w:tc>
          <w:tcPr>
            <w:tcW w:w="2295" w:type="dxa"/>
            <w:tcMar>
              <w:top w:w="58" w:type="dxa"/>
              <w:left w:w="115" w:type="dxa"/>
              <w:bottom w:w="58" w:type="dxa"/>
              <w:right w:w="115" w:type="dxa"/>
            </w:tcMar>
          </w:tcPr>
          <w:p w:rsidR="00432074" w:rsidRPr="00185632" w:rsidRDefault="00432074" w:rsidP="006576FE">
            <w:pPr>
              <w:rPr>
                <w:rFonts w:ascii="Arial" w:hAnsi="Arial" w:cs="Arial"/>
                <w:sz w:val="22"/>
                <w:szCs w:val="22"/>
              </w:rPr>
            </w:pPr>
            <w:r>
              <w:rPr>
                <w:rFonts w:ascii="Arial" w:hAnsi="Arial" w:cs="Arial"/>
                <w:sz w:val="22"/>
                <w:szCs w:val="22"/>
              </w:rPr>
              <w:t>N/A</w:t>
            </w:r>
          </w:p>
        </w:tc>
        <w:tc>
          <w:tcPr>
            <w:tcW w:w="1710" w:type="dxa"/>
            <w:tcMar>
              <w:top w:w="58" w:type="dxa"/>
              <w:left w:w="115" w:type="dxa"/>
              <w:bottom w:w="58" w:type="dxa"/>
              <w:right w:w="115" w:type="dxa"/>
            </w:tcMar>
          </w:tcPr>
          <w:p w:rsidR="00432074" w:rsidRDefault="00432074" w:rsidP="006576FE">
            <w:pPr>
              <w:tabs>
                <w:tab w:val="left" w:pos="274"/>
                <w:tab w:val="left" w:pos="806"/>
                <w:tab w:val="left" w:pos="1440"/>
                <w:tab w:val="left" w:pos="2074"/>
                <w:tab w:val="left" w:pos="2707"/>
                <w:tab w:val="left" w:pos="2880"/>
              </w:tabs>
              <w:spacing w:after="58"/>
              <w:rPr>
                <w:rFonts w:ascii="Arial" w:hAnsi="Arial" w:cs="Arial"/>
                <w:sz w:val="22"/>
                <w:szCs w:val="22"/>
              </w:rPr>
            </w:pPr>
            <w:r>
              <w:rPr>
                <w:rFonts w:ascii="Arial" w:hAnsi="Arial" w:cs="Arial"/>
                <w:sz w:val="22"/>
                <w:szCs w:val="22"/>
              </w:rPr>
              <w:t>ML</w:t>
            </w:r>
            <w:r w:rsidR="002C114D">
              <w:rPr>
                <w:rFonts w:ascii="Arial" w:hAnsi="Arial" w:cs="Arial"/>
                <w:sz w:val="22"/>
                <w:szCs w:val="22"/>
              </w:rPr>
              <w:t>13263A300</w:t>
            </w:r>
          </w:p>
        </w:tc>
      </w:tr>
      <w:tr w:rsidR="00432074" w:rsidRPr="00D35D5E" w:rsidTr="004A770D">
        <w:trPr>
          <w:jc w:val="center"/>
        </w:trPr>
        <w:tc>
          <w:tcPr>
            <w:tcW w:w="1523"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1710"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5812"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2295"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1710" w:type="dxa"/>
            <w:tcMar>
              <w:top w:w="58" w:type="dxa"/>
              <w:left w:w="115" w:type="dxa"/>
              <w:bottom w:w="58" w:type="dxa"/>
              <w:right w:w="115" w:type="dxa"/>
            </w:tcMar>
          </w:tcPr>
          <w:p w:rsidR="00432074" w:rsidRPr="00D35D5E" w:rsidRDefault="00432074" w:rsidP="006576FE">
            <w:pPr>
              <w:tabs>
                <w:tab w:val="left" w:pos="274"/>
                <w:tab w:val="left" w:pos="806"/>
                <w:tab w:val="left" w:pos="1440"/>
                <w:tab w:val="left" w:pos="2074"/>
                <w:tab w:val="left" w:pos="2707"/>
                <w:tab w:val="left" w:pos="2880"/>
              </w:tabs>
              <w:spacing w:after="58"/>
              <w:rPr>
                <w:rFonts w:ascii="Arial" w:hAnsi="Arial" w:cs="Arial"/>
                <w:sz w:val="22"/>
                <w:szCs w:val="22"/>
              </w:rPr>
            </w:pPr>
          </w:p>
        </w:tc>
      </w:tr>
      <w:tr w:rsidR="00432074" w:rsidRPr="00D35D5E" w:rsidTr="004A770D">
        <w:trPr>
          <w:jc w:val="center"/>
        </w:trPr>
        <w:tc>
          <w:tcPr>
            <w:tcW w:w="1523"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1710"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5812"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2295" w:type="dxa"/>
            <w:tcMar>
              <w:top w:w="58" w:type="dxa"/>
              <w:left w:w="115" w:type="dxa"/>
              <w:bottom w:w="58" w:type="dxa"/>
              <w:right w:w="115" w:type="dxa"/>
            </w:tcMar>
          </w:tcPr>
          <w:p w:rsidR="00432074" w:rsidRPr="00185632" w:rsidRDefault="00432074" w:rsidP="006576FE">
            <w:pPr>
              <w:rPr>
                <w:rFonts w:ascii="Arial" w:hAnsi="Arial" w:cs="Arial"/>
                <w:sz w:val="22"/>
                <w:szCs w:val="22"/>
              </w:rPr>
            </w:pPr>
          </w:p>
        </w:tc>
        <w:tc>
          <w:tcPr>
            <w:tcW w:w="1710" w:type="dxa"/>
            <w:tcMar>
              <w:top w:w="58" w:type="dxa"/>
              <w:left w:w="115" w:type="dxa"/>
              <w:bottom w:w="58" w:type="dxa"/>
              <w:right w:w="115" w:type="dxa"/>
            </w:tcMar>
          </w:tcPr>
          <w:p w:rsidR="00432074" w:rsidRPr="00D35D5E" w:rsidRDefault="00432074" w:rsidP="006576FE">
            <w:pPr>
              <w:tabs>
                <w:tab w:val="left" w:pos="274"/>
                <w:tab w:val="left" w:pos="806"/>
                <w:tab w:val="left" w:pos="1440"/>
                <w:tab w:val="left" w:pos="2074"/>
                <w:tab w:val="left" w:pos="2707"/>
                <w:tab w:val="left" w:pos="2880"/>
              </w:tabs>
              <w:rPr>
                <w:rFonts w:ascii="Arial" w:hAnsi="Arial" w:cs="Arial"/>
                <w:sz w:val="22"/>
                <w:szCs w:val="22"/>
              </w:rPr>
            </w:pPr>
          </w:p>
        </w:tc>
      </w:tr>
    </w:tbl>
    <w:p w:rsidR="00432074" w:rsidRPr="00C014C5" w:rsidRDefault="00432074" w:rsidP="006576F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ascii="Arial" w:hAnsi="Arial" w:cs="Arial"/>
          <w:sz w:val="22"/>
          <w:szCs w:val="22"/>
        </w:rPr>
      </w:pPr>
    </w:p>
    <w:p w:rsidR="00185632" w:rsidRPr="00C763CF" w:rsidRDefault="00185632" w:rsidP="006576FE">
      <w:pPr>
        <w:rPr>
          <w:rFonts w:ascii="Arial" w:hAnsi="Arial" w:cs="Arial"/>
          <w:sz w:val="22"/>
          <w:szCs w:val="22"/>
        </w:rPr>
      </w:pPr>
    </w:p>
    <w:sectPr w:rsidR="00185632" w:rsidRPr="00C763CF" w:rsidSect="0038170E">
      <w:headerReference w:type="even" r:id="rId10"/>
      <w:headerReference w:type="default" r:id="rId11"/>
      <w:headerReference w:type="first" r:id="rId12"/>
      <w:footerReference w:type="first" r:id="rId13"/>
      <w:pgSz w:w="15840" w:h="12240" w:orient="landscape" w:code="1"/>
      <w:pgMar w:top="1080" w:right="1440" w:bottom="720" w:left="1440" w:header="1440" w:footer="144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149" w:rsidRDefault="00AB4149">
      <w:r>
        <w:separator/>
      </w:r>
    </w:p>
  </w:endnote>
  <w:endnote w:type="continuationSeparator" w:id="0">
    <w:p w:rsidR="00AB4149" w:rsidRDefault="00AB4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149" w:rsidRPr="00B42A3F" w:rsidRDefault="00AB4149" w:rsidP="00185632">
    <w:pPr>
      <w:pStyle w:val="Footer"/>
      <w:tabs>
        <w:tab w:val="clear" w:pos="4320"/>
        <w:tab w:val="clear" w:pos="8640"/>
        <w:tab w:val="center" w:pos="4680"/>
        <w:tab w:val="right" w:pos="9360"/>
      </w:tabs>
      <w:rPr>
        <w:rFonts w:ascii="Arial" w:hAnsi="Arial" w:cs="Arial"/>
        <w:sz w:val="22"/>
        <w:szCs w:val="22"/>
      </w:rPr>
    </w:pPr>
    <w:r w:rsidRPr="00B42A3F">
      <w:rPr>
        <w:rFonts w:ascii="Arial" w:hAnsi="Arial" w:cs="Arial"/>
        <w:sz w:val="22"/>
        <w:szCs w:val="22"/>
      </w:rPr>
      <w:t xml:space="preserve">Issue Date:  </w:t>
    </w:r>
    <w:r>
      <w:rPr>
        <w:rFonts w:ascii="Arial" w:hAnsi="Arial" w:cs="Arial"/>
        <w:sz w:val="22"/>
        <w:szCs w:val="22"/>
      </w:rPr>
      <w:t>06/11/14</w:t>
    </w:r>
    <w:r w:rsidRPr="00B42A3F">
      <w:rPr>
        <w:rFonts w:ascii="Arial" w:hAnsi="Arial" w:cs="Arial"/>
        <w:sz w:val="22"/>
        <w:szCs w:val="22"/>
      </w:rPr>
      <w:tab/>
    </w:r>
    <w:r w:rsidRPr="00B42A3F">
      <w:rPr>
        <w:rFonts w:ascii="Arial" w:hAnsi="Arial" w:cs="Arial"/>
        <w:sz w:val="22"/>
        <w:szCs w:val="22"/>
      </w:rPr>
      <w:fldChar w:fldCharType="begin"/>
    </w:r>
    <w:r w:rsidRPr="00B42A3F">
      <w:rPr>
        <w:rFonts w:ascii="Arial" w:hAnsi="Arial" w:cs="Arial"/>
        <w:sz w:val="22"/>
        <w:szCs w:val="22"/>
      </w:rPr>
      <w:instrText xml:space="preserve"> PAGE   \* MERGEFORMAT </w:instrText>
    </w:r>
    <w:r w:rsidRPr="00B42A3F">
      <w:rPr>
        <w:rFonts w:ascii="Arial" w:hAnsi="Arial" w:cs="Arial"/>
        <w:sz w:val="22"/>
        <w:szCs w:val="22"/>
      </w:rPr>
      <w:fldChar w:fldCharType="separate"/>
    </w:r>
    <w:r w:rsidR="00F73261">
      <w:rPr>
        <w:rFonts w:ascii="Arial" w:hAnsi="Arial" w:cs="Arial"/>
        <w:noProof/>
        <w:sz w:val="22"/>
        <w:szCs w:val="22"/>
      </w:rPr>
      <w:t>1</w:t>
    </w:r>
    <w:r w:rsidRPr="00B42A3F">
      <w:rPr>
        <w:rFonts w:ascii="Arial" w:hAnsi="Arial" w:cs="Arial"/>
        <w:sz w:val="22"/>
        <w:szCs w:val="22"/>
      </w:rPr>
      <w:fldChar w:fldCharType="end"/>
    </w:r>
    <w:r w:rsidRPr="00B42A3F">
      <w:rPr>
        <w:rFonts w:ascii="Arial" w:hAnsi="Arial" w:cs="Arial"/>
        <w:sz w:val="22"/>
        <w:szCs w:val="22"/>
      </w:rPr>
      <w:tab/>
      <w:t xml:space="preserve">0308 Attachment 3 </w:t>
    </w:r>
    <w:r>
      <w:rPr>
        <w:rFonts w:ascii="Arial" w:hAnsi="Arial" w:cs="Arial"/>
        <w:sz w:val="22"/>
        <w:szCs w:val="22"/>
      </w:rPr>
      <w:t>Appendix 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149" w:rsidRPr="00B42A3F" w:rsidRDefault="00AB4149" w:rsidP="00D84CB6">
    <w:pPr>
      <w:pStyle w:val="Footer"/>
      <w:tabs>
        <w:tab w:val="clear" w:pos="4320"/>
        <w:tab w:val="clear" w:pos="8640"/>
        <w:tab w:val="center" w:pos="6480"/>
        <w:tab w:val="right" w:pos="12960"/>
      </w:tabs>
      <w:rPr>
        <w:rFonts w:ascii="Arial" w:hAnsi="Arial" w:cs="Arial"/>
        <w:sz w:val="22"/>
        <w:szCs w:val="22"/>
      </w:rPr>
    </w:pPr>
    <w:r w:rsidRPr="00B42A3F">
      <w:rPr>
        <w:rFonts w:ascii="Arial" w:hAnsi="Arial" w:cs="Arial"/>
        <w:sz w:val="22"/>
        <w:szCs w:val="22"/>
      </w:rPr>
      <w:t xml:space="preserve">Issue Date:  </w:t>
    </w:r>
    <w:r>
      <w:rPr>
        <w:rFonts w:ascii="Arial" w:hAnsi="Arial" w:cs="Arial"/>
        <w:sz w:val="22"/>
        <w:szCs w:val="22"/>
      </w:rPr>
      <w:t>06/11/14</w:t>
    </w:r>
    <w:r w:rsidRPr="00B42A3F">
      <w:rPr>
        <w:rFonts w:ascii="Arial" w:hAnsi="Arial" w:cs="Arial"/>
        <w:sz w:val="22"/>
        <w:szCs w:val="22"/>
      </w:rPr>
      <w:tab/>
    </w:r>
    <w:proofErr w:type="spellStart"/>
    <w:r w:rsidRPr="00B42A3F">
      <w:rPr>
        <w:rFonts w:ascii="Arial" w:hAnsi="Arial" w:cs="Arial"/>
        <w:sz w:val="22"/>
        <w:szCs w:val="22"/>
      </w:rPr>
      <w:t>Att</w:t>
    </w:r>
    <w:proofErr w:type="spellEnd"/>
    <w:r w:rsidRPr="00B42A3F">
      <w:rPr>
        <w:rFonts w:ascii="Arial" w:hAnsi="Arial" w:cs="Arial"/>
        <w:sz w:val="22"/>
        <w:szCs w:val="22"/>
      </w:rPr>
      <w:t xml:space="preserve"> 1 - </w:t>
    </w:r>
    <w:r w:rsidRPr="00B42A3F">
      <w:rPr>
        <w:rFonts w:ascii="Arial" w:hAnsi="Arial" w:cs="Arial"/>
        <w:sz w:val="22"/>
        <w:szCs w:val="22"/>
      </w:rPr>
      <w:fldChar w:fldCharType="begin"/>
    </w:r>
    <w:r w:rsidRPr="00B42A3F">
      <w:rPr>
        <w:rFonts w:ascii="Arial" w:hAnsi="Arial" w:cs="Arial"/>
        <w:sz w:val="22"/>
        <w:szCs w:val="22"/>
      </w:rPr>
      <w:instrText xml:space="preserve"> PAGE   \* MERGEFORMAT </w:instrText>
    </w:r>
    <w:r w:rsidRPr="00B42A3F">
      <w:rPr>
        <w:rFonts w:ascii="Arial" w:hAnsi="Arial" w:cs="Arial"/>
        <w:sz w:val="22"/>
        <w:szCs w:val="22"/>
      </w:rPr>
      <w:fldChar w:fldCharType="separate"/>
    </w:r>
    <w:r w:rsidR="00F73261">
      <w:rPr>
        <w:rFonts w:ascii="Arial" w:hAnsi="Arial" w:cs="Arial"/>
        <w:noProof/>
        <w:sz w:val="22"/>
        <w:szCs w:val="22"/>
      </w:rPr>
      <w:t>1</w:t>
    </w:r>
    <w:r w:rsidRPr="00B42A3F">
      <w:rPr>
        <w:rFonts w:ascii="Arial" w:hAnsi="Arial" w:cs="Arial"/>
        <w:sz w:val="22"/>
        <w:szCs w:val="22"/>
      </w:rPr>
      <w:fldChar w:fldCharType="end"/>
    </w:r>
    <w:r>
      <w:rPr>
        <w:rFonts w:ascii="Arial" w:hAnsi="Arial" w:cs="Arial"/>
        <w:sz w:val="22"/>
        <w:szCs w:val="22"/>
      </w:rPr>
      <w:tab/>
      <w:t>0308 Attachment 3 Appendix 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149" w:rsidRDefault="00AB4149">
      <w:r>
        <w:separator/>
      </w:r>
    </w:p>
  </w:footnote>
  <w:footnote w:type="continuationSeparator" w:id="0">
    <w:p w:rsidR="00AB4149" w:rsidRDefault="00AB4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149" w:rsidRDefault="00AB41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149" w:rsidRDefault="00AB41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149" w:rsidRDefault="00AB41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76A"/>
    <w:multiLevelType w:val="multilevel"/>
    <w:tmpl w:val="12D4C42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3643523"/>
    <w:multiLevelType w:val="hybridMultilevel"/>
    <w:tmpl w:val="8DEAD888"/>
    <w:lvl w:ilvl="0" w:tplc="973EBC38">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EA09FB"/>
    <w:multiLevelType w:val="hybridMultilevel"/>
    <w:tmpl w:val="45541430"/>
    <w:lvl w:ilvl="0" w:tplc="AF861946">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384B5F"/>
    <w:multiLevelType w:val="hybridMultilevel"/>
    <w:tmpl w:val="A5346E8A"/>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185A40"/>
    <w:multiLevelType w:val="hybridMultilevel"/>
    <w:tmpl w:val="475891B4"/>
    <w:lvl w:ilvl="0" w:tplc="AF861946">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6440B7"/>
    <w:multiLevelType w:val="multilevel"/>
    <w:tmpl w:val="B5E4714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nsid w:val="0F2E199E"/>
    <w:multiLevelType w:val="hybridMultilevel"/>
    <w:tmpl w:val="E5E41210"/>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C852C8"/>
    <w:multiLevelType w:val="hybridMultilevel"/>
    <w:tmpl w:val="17A80980"/>
    <w:lvl w:ilvl="0" w:tplc="55D64E7C">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C00003"/>
    <w:multiLevelType w:val="hybridMultilevel"/>
    <w:tmpl w:val="5DB6741E"/>
    <w:lvl w:ilvl="0" w:tplc="96386C1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B925DC"/>
    <w:multiLevelType w:val="hybridMultilevel"/>
    <w:tmpl w:val="5052EB7C"/>
    <w:lvl w:ilvl="0" w:tplc="214E101E">
      <w:start w:val="1"/>
      <w:numFmt w:val="lowerLetter"/>
      <w:lvlText w:val="(%1)"/>
      <w:lvlJc w:val="left"/>
      <w:pPr>
        <w:tabs>
          <w:tab w:val="num" w:pos="1440"/>
        </w:tabs>
        <w:ind w:left="1440" w:hanging="720"/>
      </w:pPr>
      <w:rPr>
        <w:rFonts w:ascii="Arial" w:hAnsi="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2033E3"/>
    <w:multiLevelType w:val="hybridMultilevel"/>
    <w:tmpl w:val="AA2A8E94"/>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D64332E"/>
    <w:multiLevelType w:val="hybridMultilevel"/>
    <w:tmpl w:val="4942D322"/>
    <w:lvl w:ilvl="0" w:tplc="84AE6E86">
      <w:start w:val="1"/>
      <w:numFmt w:val="decimal"/>
      <w:lvlText w:val="%1."/>
      <w:lvlJc w:val="left"/>
      <w:pPr>
        <w:tabs>
          <w:tab w:val="num" w:pos="720"/>
        </w:tabs>
        <w:ind w:left="720" w:hanging="720"/>
      </w:pPr>
      <w:rPr>
        <w:rFonts w:ascii="Arial" w:hAnsi="Arial" w:hint="default"/>
        <w:sz w:val="24"/>
        <w:szCs w:val="24"/>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0732F5"/>
    <w:multiLevelType w:val="hybridMultilevel"/>
    <w:tmpl w:val="2B3E5246"/>
    <w:lvl w:ilvl="0" w:tplc="B7E07E78">
      <w:start w:val="1"/>
      <w:numFmt w:val="decimal"/>
      <w:lvlText w:val="(%1)"/>
      <w:lvlJc w:val="left"/>
      <w:pPr>
        <w:ind w:left="1570" w:hanging="360"/>
      </w:pPr>
      <w:rPr>
        <w:rFonts w:hint="default"/>
      </w:rPr>
    </w:lvl>
    <w:lvl w:ilvl="1" w:tplc="04090019">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3">
    <w:nsid w:val="21893E0C"/>
    <w:multiLevelType w:val="hybridMultilevel"/>
    <w:tmpl w:val="EA6A7CB6"/>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9347CD"/>
    <w:multiLevelType w:val="hybridMultilevel"/>
    <w:tmpl w:val="7286097E"/>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27D5D2C"/>
    <w:multiLevelType w:val="hybridMultilevel"/>
    <w:tmpl w:val="153AC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C102DF"/>
    <w:multiLevelType w:val="hybridMultilevel"/>
    <w:tmpl w:val="B192CE88"/>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2EC6426"/>
    <w:multiLevelType w:val="hybridMultilevel"/>
    <w:tmpl w:val="DAB86D4A"/>
    <w:lvl w:ilvl="0" w:tplc="803CDA58">
      <w:start w:val="1"/>
      <w:numFmt w:val="decimal"/>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8">
    <w:nsid w:val="28835994"/>
    <w:multiLevelType w:val="hybridMultilevel"/>
    <w:tmpl w:val="50C03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8C2021"/>
    <w:multiLevelType w:val="hybridMultilevel"/>
    <w:tmpl w:val="94C86682"/>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B75A04"/>
    <w:multiLevelType w:val="hybridMultilevel"/>
    <w:tmpl w:val="1FE60784"/>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F3E2420"/>
    <w:multiLevelType w:val="hybridMultilevel"/>
    <w:tmpl w:val="183042A0"/>
    <w:lvl w:ilvl="0" w:tplc="AF70EF98">
      <w:start w:val="1"/>
      <w:numFmt w:val="decimal"/>
      <w:lvlText w:val="%1."/>
      <w:lvlJc w:val="left"/>
      <w:pPr>
        <w:tabs>
          <w:tab w:val="num" w:pos="360"/>
        </w:tabs>
        <w:ind w:left="360" w:hanging="36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F854C8D"/>
    <w:multiLevelType w:val="hybridMultilevel"/>
    <w:tmpl w:val="FDAAED4C"/>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FDB301F"/>
    <w:multiLevelType w:val="hybridMultilevel"/>
    <w:tmpl w:val="A4CC9AFE"/>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2FF800C2"/>
    <w:multiLevelType w:val="hybridMultilevel"/>
    <w:tmpl w:val="7A42C16C"/>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1CA5ED4"/>
    <w:multiLevelType w:val="hybridMultilevel"/>
    <w:tmpl w:val="5D9C81D8"/>
    <w:lvl w:ilvl="0" w:tplc="94D2CAE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317240D"/>
    <w:multiLevelType w:val="hybridMultilevel"/>
    <w:tmpl w:val="A1E8E128"/>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3580320"/>
    <w:multiLevelType w:val="hybridMultilevel"/>
    <w:tmpl w:val="1EB0A898"/>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61163F5"/>
    <w:multiLevelType w:val="multilevel"/>
    <w:tmpl w:val="EA764E28"/>
    <w:lvl w:ilvl="0">
      <w:start w:val="4"/>
      <w:numFmt w:val="decimal"/>
      <w:lvlText w:val="%1.0"/>
      <w:lvlJc w:val="left"/>
      <w:pPr>
        <w:ind w:left="360" w:hanging="360"/>
      </w:pPr>
      <w:rPr>
        <w:rFonts w:hint="default"/>
      </w:rPr>
    </w:lvl>
    <w:lvl w:ilvl="1">
      <w:start w:val="1"/>
      <w:numFmt w:val="decimal"/>
      <w:lvlText w:val="%1.%2"/>
      <w:lvlJc w:val="left"/>
      <w:pPr>
        <w:ind w:left="965" w:hanging="36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640" w:hanging="1800"/>
      </w:pPr>
      <w:rPr>
        <w:rFonts w:hint="default"/>
      </w:rPr>
    </w:lvl>
  </w:abstractNum>
  <w:abstractNum w:abstractNumId="29">
    <w:nsid w:val="361E5F64"/>
    <w:multiLevelType w:val="hybridMultilevel"/>
    <w:tmpl w:val="A942B806"/>
    <w:lvl w:ilvl="0" w:tplc="881E5B8C">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64E1B75"/>
    <w:multiLevelType w:val="hybridMultilevel"/>
    <w:tmpl w:val="412A56AC"/>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AE93CCC"/>
    <w:multiLevelType w:val="hybridMultilevel"/>
    <w:tmpl w:val="58F40F56"/>
    <w:lvl w:ilvl="0" w:tplc="AF70EF98">
      <w:start w:val="1"/>
      <w:numFmt w:val="decimal"/>
      <w:lvlText w:val="%1."/>
      <w:lvlJc w:val="left"/>
      <w:pPr>
        <w:tabs>
          <w:tab w:val="num" w:pos="360"/>
        </w:tabs>
        <w:ind w:left="360" w:hanging="36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C2235D2"/>
    <w:multiLevelType w:val="hybridMultilevel"/>
    <w:tmpl w:val="DE86721A"/>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C3F7733"/>
    <w:multiLevelType w:val="hybridMultilevel"/>
    <w:tmpl w:val="55B8D424"/>
    <w:lvl w:ilvl="0" w:tplc="84AE6E86">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CA82FB7"/>
    <w:multiLevelType w:val="hybridMultilevel"/>
    <w:tmpl w:val="D85E3716"/>
    <w:lvl w:ilvl="0" w:tplc="13005B50">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D412D04"/>
    <w:multiLevelType w:val="multilevel"/>
    <w:tmpl w:val="7B6C3CDA"/>
    <w:lvl w:ilvl="0">
      <w:start w:val="5"/>
      <w:numFmt w:val="decimal"/>
      <w:lvlText w:val="%1.0"/>
      <w:lvlJc w:val="left"/>
      <w:pPr>
        <w:ind w:left="1710" w:hanging="360"/>
      </w:pPr>
      <w:rPr>
        <w:rFonts w:hint="default"/>
      </w:rPr>
    </w:lvl>
    <w:lvl w:ilvl="1">
      <w:start w:val="1"/>
      <w:numFmt w:val="decimal"/>
      <w:lvlText w:val="%1.%2"/>
      <w:lvlJc w:val="left"/>
      <w:pPr>
        <w:ind w:left="2315" w:hanging="36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3885" w:hanging="720"/>
      </w:pPr>
      <w:rPr>
        <w:rFonts w:hint="default"/>
      </w:rPr>
    </w:lvl>
    <w:lvl w:ilvl="4">
      <w:start w:val="1"/>
      <w:numFmt w:val="decimal"/>
      <w:lvlText w:val="%1.%2.%3.%4.%5"/>
      <w:lvlJc w:val="left"/>
      <w:pPr>
        <w:ind w:left="4850" w:hanging="1080"/>
      </w:pPr>
      <w:rPr>
        <w:rFonts w:hint="default"/>
      </w:rPr>
    </w:lvl>
    <w:lvl w:ilvl="5">
      <w:start w:val="1"/>
      <w:numFmt w:val="decimal"/>
      <w:lvlText w:val="%1.%2.%3.%4.%5.%6"/>
      <w:lvlJc w:val="left"/>
      <w:pPr>
        <w:ind w:left="5455" w:hanging="108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025" w:hanging="1440"/>
      </w:pPr>
      <w:rPr>
        <w:rFonts w:hint="default"/>
      </w:rPr>
    </w:lvl>
    <w:lvl w:ilvl="8">
      <w:start w:val="1"/>
      <w:numFmt w:val="decimal"/>
      <w:lvlText w:val="%1.%2.%3.%4.%5.%6.%7.%8.%9"/>
      <w:lvlJc w:val="left"/>
      <w:pPr>
        <w:ind w:left="7990" w:hanging="1800"/>
      </w:pPr>
      <w:rPr>
        <w:rFonts w:hint="default"/>
      </w:rPr>
    </w:lvl>
  </w:abstractNum>
  <w:abstractNum w:abstractNumId="36">
    <w:nsid w:val="3D5C21BE"/>
    <w:multiLevelType w:val="hybridMultilevel"/>
    <w:tmpl w:val="4B4618BC"/>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D8F609D"/>
    <w:multiLevelType w:val="hybridMultilevel"/>
    <w:tmpl w:val="55B4350E"/>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E810F34"/>
    <w:multiLevelType w:val="hybridMultilevel"/>
    <w:tmpl w:val="DE04D66E"/>
    <w:lvl w:ilvl="0" w:tplc="7D662064">
      <w:start w:val="4"/>
      <w:numFmt w:val="bullet"/>
      <w:lvlText w:val="-"/>
      <w:lvlJc w:val="left"/>
      <w:pPr>
        <w:ind w:left="1930" w:hanging="360"/>
      </w:pPr>
      <w:rPr>
        <w:rFonts w:ascii="Arial" w:eastAsia="Times New Roman" w:hAnsi="Arial" w:cs="Arial" w:hint="default"/>
      </w:rPr>
    </w:lvl>
    <w:lvl w:ilvl="1" w:tplc="04090003">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39">
    <w:nsid w:val="3F124579"/>
    <w:multiLevelType w:val="hybridMultilevel"/>
    <w:tmpl w:val="AA507086"/>
    <w:lvl w:ilvl="0" w:tplc="C714C58E">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1230D46"/>
    <w:multiLevelType w:val="multilevel"/>
    <w:tmpl w:val="AC7C9C22"/>
    <w:lvl w:ilvl="0">
      <w:start w:val="1"/>
      <w:numFmt w:val="decimal"/>
      <w:pStyle w:val="Leve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62C521E"/>
    <w:multiLevelType w:val="hybridMultilevel"/>
    <w:tmpl w:val="448E8C04"/>
    <w:lvl w:ilvl="0" w:tplc="13005B50">
      <w:start w:val="1"/>
      <w:numFmt w:val="decimal"/>
      <w:lvlText w:val="%1."/>
      <w:lvlJc w:val="left"/>
      <w:pPr>
        <w:tabs>
          <w:tab w:val="num" w:pos="1260"/>
        </w:tabs>
        <w:ind w:left="1260" w:hanging="360"/>
      </w:pPr>
      <w:rPr>
        <w:rFonts w:ascii="Arial" w:hAnsi="Arial"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2">
    <w:nsid w:val="48E372CB"/>
    <w:multiLevelType w:val="hybridMultilevel"/>
    <w:tmpl w:val="6F9E5C28"/>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49481DE6"/>
    <w:multiLevelType w:val="hybridMultilevel"/>
    <w:tmpl w:val="6972BE20"/>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ACA6B6D"/>
    <w:multiLevelType w:val="hybridMultilevel"/>
    <w:tmpl w:val="1BCE2E20"/>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D126BAE"/>
    <w:multiLevelType w:val="hybridMultilevel"/>
    <w:tmpl w:val="168C3D54"/>
    <w:lvl w:ilvl="0" w:tplc="6EE25504">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46">
    <w:nsid w:val="527479FF"/>
    <w:multiLevelType w:val="hybridMultilevel"/>
    <w:tmpl w:val="1390E520"/>
    <w:lvl w:ilvl="0" w:tplc="A126B442">
      <w:start w:val="3"/>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3DD1DCD"/>
    <w:multiLevelType w:val="multilevel"/>
    <w:tmpl w:val="5CF0C1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560F5104"/>
    <w:multiLevelType w:val="hybridMultilevel"/>
    <w:tmpl w:val="79E8235E"/>
    <w:lvl w:ilvl="0" w:tplc="02BC4EC0">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57BE5472"/>
    <w:multiLevelType w:val="hybridMultilevel"/>
    <w:tmpl w:val="AE462942"/>
    <w:lvl w:ilvl="0" w:tplc="13005B50">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923564A"/>
    <w:multiLevelType w:val="hybridMultilevel"/>
    <w:tmpl w:val="554CB25E"/>
    <w:lvl w:ilvl="0" w:tplc="94D2CAE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5A6927F9"/>
    <w:multiLevelType w:val="hybridMultilevel"/>
    <w:tmpl w:val="8B74507E"/>
    <w:lvl w:ilvl="0" w:tplc="94D2CAE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B180447"/>
    <w:multiLevelType w:val="hybridMultilevel"/>
    <w:tmpl w:val="6F28B462"/>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F5D45EF"/>
    <w:multiLevelType w:val="hybridMultilevel"/>
    <w:tmpl w:val="66EE3C46"/>
    <w:lvl w:ilvl="0" w:tplc="13005B50">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F8C5770"/>
    <w:multiLevelType w:val="hybridMultilevel"/>
    <w:tmpl w:val="38768BE6"/>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1251F61"/>
    <w:multiLevelType w:val="hybridMultilevel"/>
    <w:tmpl w:val="2A8ECDD8"/>
    <w:lvl w:ilvl="0" w:tplc="5ECAD4BC">
      <w:start w:val="1"/>
      <w:numFmt w:val="decimal"/>
      <w:lvlText w:val="%1."/>
      <w:lvlJc w:val="left"/>
      <w:pPr>
        <w:tabs>
          <w:tab w:val="num" w:pos="720"/>
        </w:tabs>
        <w:ind w:left="720" w:hanging="720"/>
      </w:pPr>
      <w:rPr>
        <w:rFonts w:ascii="Arial" w:hAnsi="Arial" w:hint="default"/>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41D7527"/>
    <w:multiLevelType w:val="hybridMultilevel"/>
    <w:tmpl w:val="6F5ED642"/>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4F31284"/>
    <w:multiLevelType w:val="hybridMultilevel"/>
    <w:tmpl w:val="2E2A55EA"/>
    <w:lvl w:ilvl="0" w:tplc="02BC4EC0">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652C091F"/>
    <w:multiLevelType w:val="hybridMultilevel"/>
    <w:tmpl w:val="3D08E8A4"/>
    <w:lvl w:ilvl="0" w:tplc="AF861946">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682B14C0"/>
    <w:multiLevelType w:val="hybridMultilevel"/>
    <w:tmpl w:val="8F3A05D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nsid w:val="6BB25105"/>
    <w:multiLevelType w:val="hybridMultilevel"/>
    <w:tmpl w:val="F84E5CE8"/>
    <w:lvl w:ilvl="0" w:tplc="AA6ECAEC">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6CC04B6A"/>
    <w:multiLevelType w:val="hybridMultilevel"/>
    <w:tmpl w:val="B6D0E338"/>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DED5CA8"/>
    <w:multiLevelType w:val="hybridMultilevel"/>
    <w:tmpl w:val="A5EE2D5E"/>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ED82536"/>
    <w:multiLevelType w:val="hybridMultilevel"/>
    <w:tmpl w:val="7216235E"/>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0F29AD"/>
    <w:multiLevelType w:val="hybridMultilevel"/>
    <w:tmpl w:val="21181C36"/>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268599F"/>
    <w:multiLevelType w:val="hybridMultilevel"/>
    <w:tmpl w:val="C8108828"/>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734312A6"/>
    <w:multiLevelType w:val="multilevel"/>
    <w:tmpl w:val="B5E4714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7">
    <w:nsid w:val="74861126"/>
    <w:multiLevelType w:val="hybridMultilevel"/>
    <w:tmpl w:val="0C4E7ADC"/>
    <w:lvl w:ilvl="0" w:tplc="A2CAB6D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750D37FF"/>
    <w:multiLevelType w:val="hybridMultilevel"/>
    <w:tmpl w:val="F2203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5AA4A39"/>
    <w:multiLevelType w:val="hybridMultilevel"/>
    <w:tmpl w:val="D2909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9F469FB"/>
    <w:multiLevelType w:val="hybridMultilevel"/>
    <w:tmpl w:val="35B4C438"/>
    <w:lvl w:ilvl="0" w:tplc="029EC75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7B2E618A"/>
    <w:multiLevelType w:val="hybridMultilevel"/>
    <w:tmpl w:val="C3589CDA"/>
    <w:lvl w:ilvl="0" w:tplc="CA62BC64">
      <w:start w:val="2"/>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7BD91176"/>
    <w:multiLevelType w:val="hybridMultilevel"/>
    <w:tmpl w:val="99FE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BE60113"/>
    <w:multiLevelType w:val="hybridMultilevel"/>
    <w:tmpl w:val="A8FA09E2"/>
    <w:lvl w:ilvl="0" w:tplc="35BE380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7DA56AA5"/>
    <w:multiLevelType w:val="hybridMultilevel"/>
    <w:tmpl w:val="84786B9A"/>
    <w:lvl w:ilvl="0" w:tplc="EDF09B5C">
      <w:start w:val="1"/>
      <w:numFmt w:val="decimal"/>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5">
    <w:nsid w:val="7EA30FD2"/>
    <w:multiLevelType w:val="hybridMultilevel"/>
    <w:tmpl w:val="1AAEF3A4"/>
    <w:lvl w:ilvl="0" w:tplc="13005B50">
      <w:start w:val="1"/>
      <w:numFmt w:val="decimal"/>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7F040C60"/>
    <w:multiLevelType w:val="hybridMultilevel"/>
    <w:tmpl w:val="DE0AAD9E"/>
    <w:lvl w:ilvl="0" w:tplc="84AE6E86">
      <w:start w:val="1"/>
      <w:numFmt w:val="decimal"/>
      <w:lvlText w:val="%1."/>
      <w:lvlJc w:val="left"/>
      <w:pPr>
        <w:tabs>
          <w:tab w:val="num" w:pos="720"/>
        </w:tabs>
        <w:ind w:left="720" w:hanging="720"/>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5"/>
  </w:num>
  <w:num w:numId="2">
    <w:abstractNumId w:val="0"/>
  </w:num>
  <w:num w:numId="3">
    <w:abstractNumId w:val="8"/>
  </w:num>
  <w:num w:numId="4">
    <w:abstractNumId w:val="4"/>
  </w:num>
  <w:num w:numId="5">
    <w:abstractNumId w:val="2"/>
  </w:num>
  <w:num w:numId="6">
    <w:abstractNumId w:val="58"/>
  </w:num>
  <w:num w:numId="7">
    <w:abstractNumId w:val="21"/>
  </w:num>
  <w:num w:numId="8">
    <w:abstractNumId w:val="31"/>
  </w:num>
  <w:num w:numId="9">
    <w:abstractNumId w:val="33"/>
  </w:num>
  <w:num w:numId="10">
    <w:abstractNumId w:val="76"/>
  </w:num>
  <w:num w:numId="11">
    <w:abstractNumId w:val="11"/>
  </w:num>
  <w:num w:numId="12">
    <w:abstractNumId w:val="48"/>
  </w:num>
  <w:num w:numId="13">
    <w:abstractNumId w:val="57"/>
  </w:num>
  <w:num w:numId="14">
    <w:abstractNumId w:val="9"/>
  </w:num>
  <w:num w:numId="15">
    <w:abstractNumId w:val="71"/>
  </w:num>
  <w:num w:numId="16">
    <w:abstractNumId w:val="20"/>
  </w:num>
  <w:num w:numId="17">
    <w:abstractNumId w:val="44"/>
  </w:num>
  <w:num w:numId="18">
    <w:abstractNumId w:val="14"/>
  </w:num>
  <w:num w:numId="19">
    <w:abstractNumId w:val="37"/>
  </w:num>
  <w:num w:numId="20">
    <w:abstractNumId w:val="60"/>
  </w:num>
  <w:num w:numId="21">
    <w:abstractNumId w:val="52"/>
  </w:num>
  <w:num w:numId="22">
    <w:abstractNumId w:val="43"/>
  </w:num>
  <w:num w:numId="23">
    <w:abstractNumId w:val="32"/>
  </w:num>
  <w:num w:numId="24">
    <w:abstractNumId w:val="23"/>
  </w:num>
  <w:num w:numId="25">
    <w:abstractNumId w:val="42"/>
  </w:num>
  <w:num w:numId="26">
    <w:abstractNumId w:val="54"/>
  </w:num>
  <w:num w:numId="27">
    <w:abstractNumId w:val="30"/>
  </w:num>
  <w:num w:numId="28">
    <w:abstractNumId w:val="26"/>
  </w:num>
  <w:num w:numId="29">
    <w:abstractNumId w:val="36"/>
  </w:num>
  <w:num w:numId="30">
    <w:abstractNumId w:val="19"/>
  </w:num>
  <w:num w:numId="31">
    <w:abstractNumId w:val="3"/>
  </w:num>
  <w:num w:numId="32">
    <w:abstractNumId w:val="6"/>
  </w:num>
  <w:num w:numId="33">
    <w:abstractNumId w:val="46"/>
  </w:num>
  <w:num w:numId="34">
    <w:abstractNumId w:val="51"/>
  </w:num>
  <w:num w:numId="35">
    <w:abstractNumId w:val="50"/>
  </w:num>
  <w:num w:numId="36">
    <w:abstractNumId w:val="25"/>
  </w:num>
  <w:num w:numId="37">
    <w:abstractNumId w:val="40"/>
  </w:num>
  <w:num w:numId="38">
    <w:abstractNumId w:val="67"/>
  </w:num>
  <w:num w:numId="39">
    <w:abstractNumId w:val="39"/>
  </w:num>
  <w:num w:numId="40">
    <w:abstractNumId w:val="63"/>
  </w:num>
  <w:num w:numId="41">
    <w:abstractNumId w:val="22"/>
  </w:num>
  <w:num w:numId="42">
    <w:abstractNumId w:val="16"/>
  </w:num>
  <w:num w:numId="43">
    <w:abstractNumId w:val="64"/>
  </w:num>
  <w:num w:numId="44">
    <w:abstractNumId w:val="13"/>
  </w:num>
  <w:num w:numId="45">
    <w:abstractNumId w:val="73"/>
  </w:num>
  <w:num w:numId="46">
    <w:abstractNumId w:val="27"/>
  </w:num>
  <w:num w:numId="47">
    <w:abstractNumId w:val="61"/>
  </w:num>
  <w:num w:numId="48">
    <w:abstractNumId w:val="7"/>
  </w:num>
  <w:num w:numId="49">
    <w:abstractNumId w:val="1"/>
  </w:num>
  <w:num w:numId="50">
    <w:abstractNumId w:val="29"/>
  </w:num>
  <w:num w:numId="51">
    <w:abstractNumId w:val="70"/>
  </w:num>
  <w:num w:numId="52">
    <w:abstractNumId w:val="10"/>
  </w:num>
  <w:num w:numId="53">
    <w:abstractNumId w:val="24"/>
  </w:num>
  <w:num w:numId="54">
    <w:abstractNumId w:val="62"/>
  </w:num>
  <w:num w:numId="55">
    <w:abstractNumId w:val="65"/>
  </w:num>
  <w:num w:numId="56">
    <w:abstractNumId w:val="56"/>
  </w:num>
  <w:num w:numId="57">
    <w:abstractNumId w:val="34"/>
  </w:num>
  <w:num w:numId="58">
    <w:abstractNumId w:val="47"/>
  </w:num>
  <w:num w:numId="59">
    <w:abstractNumId w:val="5"/>
  </w:num>
  <w:num w:numId="60">
    <w:abstractNumId w:val="53"/>
  </w:num>
  <w:num w:numId="61">
    <w:abstractNumId w:val="66"/>
  </w:num>
  <w:num w:numId="62">
    <w:abstractNumId w:val="49"/>
  </w:num>
  <w:num w:numId="63">
    <w:abstractNumId w:val="75"/>
  </w:num>
  <w:num w:numId="64">
    <w:abstractNumId w:val="41"/>
  </w:num>
  <w:num w:numId="65">
    <w:abstractNumId w:val="18"/>
  </w:num>
  <w:num w:numId="66">
    <w:abstractNumId w:val="28"/>
  </w:num>
  <w:num w:numId="67">
    <w:abstractNumId w:val="69"/>
  </w:num>
  <w:num w:numId="68">
    <w:abstractNumId w:val="72"/>
  </w:num>
  <w:num w:numId="69">
    <w:abstractNumId w:val="68"/>
  </w:num>
  <w:num w:numId="70">
    <w:abstractNumId w:val="15"/>
  </w:num>
  <w:num w:numId="71">
    <w:abstractNumId w:val="59"/>
  </w:num>
  <w:num w:numId="72">
    <w:abstractNumId w:val="45"/>
  </w:num>
  <w:num w:numId="73">
    <w:abstractNumId w:val="17"/>
  </w:num>
  <w:num w:numId="74">
    <w:abstractNumId w:val="12"/>
  </w:num>
  <w:num w:numId="75">
    <w:abstractNumId w:val="74"/>
  </w:num>
  <w:num w:numId="76">
    <w:abstractNumId w:val="35"/>
  </w:num>
  <w:num w:numId="77">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C79"/>
    <w:rsid w:val="00020653"/>
    <w:rsid w:val="00047FA4"/>
    <w:rsid w:val="00050851"/>
    <w:rsid w:val="00051223"/>
    <w:rsid w:val="00064694"/>
    <w:rsid w:val="00076EEF"/>
    <w:rsid w:val="00080401"/>
    <w:rsid w:val="000A2DD5"/>
    <w:rsid w:val="000A33C3"/>
    <w:rsid w:val="000A38B2"/>
    <w:rsid w:val="000A3A50"/>
    <w:rsid w:val="000B2937"/>
    <w:rsid w:val="000B407D"/>
    <w:rsid w:val="000C3A73"/>
    <w:rsid w:val="000C7600"/>
    <w:rsid w:val="000C7CC0"/>
    <w:rsid w:val="000E2C37"/>
    <w:rsid w:val="000E4E15"/>
    <w:rsid w:val="000F2300"/>
    <w:rsid w:val="001046ED"/>
    <w:rsid w:val="00132C41"/>
    <w:rsid w:val="00134FCB"/>
    <w:rsid w:val="00141892"/>
    <w:rsid w:val="00142297"/>
    <w:rsid w:val="00144FB8"/>
    <w:rsid w:val="00160288"/>
    <w:rsid w:val="00163536"/>
    <w:rsid w:val="00163BD8"/>
    <w:rsid w:val="00163C5B"/>
    <w:rsid w:val="001658E7"/>
    <w:rsid w:val="00174A3A"/>
    <w:rsid w:val="00180BCC"/>
    <w:rsid w:val="001824BD"/>
    <w:rsid w:val="0018348B"/>
    <w:rsid w:val="001839B6"/>
    <w:rsid w:val="00184725"/>
    <w:rsid w:val="001853AB"/>
    <w:rsid w:val="00185632"/>
    <w:rsid w:val="00185995"/>
    <w:rsid w:val="001915AC"/>
    <w:rsid w:val="001A5D93"/>
    <w:rsid w:val="001A6205"/>
    <w:rsid w:val="001B187F"/>
    <w:rsid w:val="001B1FBF"/>
    <w:rsid w:val="001B3321"/>
    <w:rsid w:val="001B7921"/>
    <w:rsid w:val="001E0C4B"/>
    <w:rsid w:val="001E438A"/>
    <w:rsid w:val="00200FB5"/>
    <w:rsid w:val="00201638"/>
    <w:rsid w:val="002056C5"/>
    <w:rsid w:val="00222C27"/>
    <w:rsid w:val="00231E2A"/>
    <w:rsid w:val="0024583A"/>
    <w:rsid w:val="00245ED9"/>
    <w:rsid w:val="00252B45"/>
    <w:rsid w:val="002621B2"/>
    <w:rsid w:val="002712C7"/>
    <w:rsid w:val="00293B4F"/>
    <w:rsid w:val="002955D8"/>
    <w:rsid w:val="002B5FFB"/>
    <w:rsid w:val="002B6E05"/>
    <w:rsid w:val="002C114D"/>
    <w:rsid w:val="002D1D73"/>
    <w:rsid w:val="002D2896"/>
    <w:rsid w:val="00301F4B"/>
    <w:rsid w:val="00306B4F"/>
    <w:rsid w:val="00316692"/>
    <w:rsid w:val="00334379"/>
    <w:rsid w:val="00336DEB"/>
    <w:rsid w:val="0034114C"/>
    <w:rsid w:val="003463EA"/>
    <w:rsid w:val="003750CB"/>
    <w:rsid w:val="00381448"/>
    <w:rsid w:val="0038170E"/>
    <w:rsid w:val="00393A38"/>
    <w:rsid w:val="003A250D"/>
    <w:rsid w:val="003A35E7"/>
    <w:rsid w:val="003F5848"/>
    <w:rsid w:val="003F6631"/>
    <w:rsid w:val="004023A9"/>
    <w:rsid w:val="00412836"/>
    <w:rsid w:val="0041631C"/>
    <w:rsid w:val="00417FE4"/>
    <w:rsid w:val="004214A6"/>
    <w:rsid w:val="004271E0"/>
    <w:rsid w:val="00432074"/>
    <w:rsid w:val="00453CD0"/>
    <w:rsid w:val="00470EB9"/>
    <w:rsid w:val="004725C3"/>
    <w:rsid w:val="00483A61"/>
    <w:rsid w:val="004877EA"/>
    <w:rsid w:val="00497C7B"/>
    <w:rsid w:val="004A770D"/>
    <w:rsid w:val="004C1CDD"/>
    <w:rsid w:val="004D72F0"/>
    <w:rsid w:val="004D7AD5"/>
    <w:rsid w:val="004F5EED"/>
    <w:rsid w:val="00507603"/>
    <w:rsid w:val="005204C2"/>
    <w:rsid w:val="00541C31"/>
    <w:rsid w:val="00550A42"/>
    <w:rsid w:val="0055648E"/>
    <w:rsid w:val="00571719"/>
    <w:rsid w:val="005729C6"/>
    <w:rsid w:val="00576937"/>
    <w:rsid w:val="005866F6"/>
    <w:rsid w:val="00596E5A"/>
    <w:rsid w:val="005A0B7A"/>
    <w:rsid w:val="005A0D34"/>
    <w:rsid w:val="005D404D"/>
    <w:rsid w:val="005E7F90"/>
    <w:rsid w:val="00606436"/>
    <w:rsid w:val="00606CE8"/>
    <w:rsid w:val="006159C5"/>
    <w:rsid w:val="0062780C"/>
    <w:rsid w:val="00635088"/>
    <w:rsid w:val="00637E20"/>
    <w:rsid w:val="0064452E"/>
    <w:rsid w:val="0064692B"/>
    <w:rsid w:val="00653499"/>
    <w:rsid w:val="006576FE"/>
    <w:rsid w:val="006664C0"/>
    <w:rsid w:val="00674DAA"/>
    <w:rsid w:val="00674EB7"/>
    <w:rsid w:val="00677913"/>
    <w:rsid w:val="00681D34"/>
    <w:rsid w:val="0069134F"/>
    <w:rsid w:val="00692047"/>
    <w:rsid w:val="00692A9E"/>
    <w:rsid w:val="006A4C88"/>
    <w:rsid w:val="006B29D7"/>
    <w:rsid w:val="006B4216"/>
    <w:rsid w:val="006C0715"/>
    <w:rsid w:val="006C7370"/>
    <w:rsid w:val="006D16DC"/>
    <w:rsid w:val="006D5BF2"/>
    <w:rsid w:val="006D69BB"/>
    <w:rsid w:val="006E0B72"/>
    <w:rsid w:val="006E1E8A"/>
    <w:rsid w:val="006E4D51"/>
    <w:rsid w:val="006F5CCB"/>
    <w:rsid w:val="00702D76"/>
    <w:rsid w:val="00704B78"/>
    <w:rsid w:val="00714F34"/>
    <w:rsid w:val="0072276B"/>
    <w:rsid w:val="007439D3"/>
    <w:rsid w:val="00753145"/>
    <w:rsid w:val="00770450"/>
    <w:rsid w:val="007746E3"/>
    <w:rsid w:val="0078268F"/>
    <w:rsid w:val="007908C7"/>
    <w:rsid w:val="00795EE6"/>
    <w:rsid w:val="007975C6"/>
    <w:rsid w:val="007A2510"/>
    <w:rsid w:val="007B40EE"/>
    <w:rsid w:val="007D71B8"/>
    <w:rsid w:val="007F6212"/>
    <w:rsid w:val="008105E2"/>
    <w:rsid w:val="0081471D"/>
    <w:rsid w:val="008171C1"/>
    <w:rsid w:val="00831506"/>
    <w:rsid w:val="00832375"/>
    <w:rsid w:val="00834BFB"/>
    <w:rsid w:val="00851522"/>
    <w:rsid w:val="00887B52"/>
    <w:rsid w:val="00891A69"/>
    <w:rsid w:val="008947B0"/>
    <w:rsid w:val="00894A96"/>
    <w:rsid w:val="008A3562"/>
    <w:rsid w:val="008C2BC8"/>
    <w:rsid w:val="008D0369"/>
    <w:rsid w:val="008D7513"/>
    <w:rsid w:val="008F3539"/>
    <w:rsid w:val="008F4D38"/>
    <w:rsid w:val="00905B16"/>
    <w:rsid w:val="00924455"/>
    <w:rsid w:val="009273CA"/>
    <w:rsid w:val="009316EC"/>
    <w:rsid w:val="00950346"/>
    <w:rsid w:val="00951513"/>
    <w:rsid w:val="00961D92"/>
    <w:rsid w:val="00977FDE"/>
    <w:rsid w:val="009805F9"/>
    <w:rsid w:val="0098415E"/>
    <w:rsid w:val="00990D7D"/>
    <w:rsid w:val="009A5605"/>
    <w:rsid w:val="009C5E1F"/>
    <w:rsid w:val="009F5188"/>
    <w:rsid w:val="00A01717"/>
    <w:rsid w:val="00A12E7B"/>
    <w:rsid w:val="00A20D1B"/>
    <w:rsid w:val="00A42817"/>
    <w:rsid w:val="00A5145B"/>
    <w:rsid w:val="00A5177B"/>
    <w:rsid w:val="00A539F9"/>
    <w:rsid w:val="00A54D8B"/>
    <w:rsid w:val="00A617E4"/>
    <w:rsid w:val="00A66945"/>
    <w:rsid w:val="00A72A64"/>
    <w:rsid w:val="00A7414B"/>
    <w:rsid w:val="00A752E0"/>
    <w:rsid w:val="00A75E51"/>
    <w:rsid w:val="00A76CB7"/>
    <w:rsid w:val="00A7772C"/>
    <w:rsid w:val="00A93E62"/>
    <w:rsid w:val="00AB0CF2"/>
    <w:rsid w:val="00AB4149"/>
    <w:rsid w:val="00AC35C8"/>
    <w:rsid w:val="00AD3A20"/>
    <w:rsid w:val="00AE2DA6"/>
    <w:rsid w:val="00AE6B8D"/>
    <w:rsid w:val="00AF1289"/>
    <w:rsid w:val="00AF139D"/>
    <w:rsid w:val="00B0400D"/>
    <w:rsid w:val="00B04BD3"/>
    <w:rsid w:val="00B271BD"/>
    <w:rsid w:val="00B30F6F"/>
    <w:rsid w:val="00B314C6"/>
    <w:rsid w:val="00B318C3"/>
    <w:rsid w:val="00B422D4"/>
    <w:rsid w:val="00B42A3F"/>
    <w:rsid w:val="00B46D45"/>
    <w:rsid w:val="00B52717"/>
    <w:rsid w:val="00B7204F"/>
    <w:rsid w:val="00B7620C"/>
    <w:rsid w:val="00BA3B21"/>
    <w:rsid w:val="00BB680E"/>
    <w:rsid w:val="00BC17E8"/>
    <w:rsid w:val="00BD335E"/>
    <w:rsid w:val="00BE5A0F"/>
    <w:rsid w:val="00BE65C1"/>
    <w:rsid w:val="00BF40B8"/>
    <w:rsid w:val="00C05782"/>
    <w:rsid w:val="00C16AB5"/>
    <w:rsid w:val="00C17FA0"/>
    <w:rsid w:val="00C206E4"/>
    <w:rsid w:val="00C37F34"/>
    <w:rsid w:val="00C4221B"/>
    <w:rsid w:val="00C505B9"/>
    <w:rsid w:val="00C674DF"/>
    <w:rsid w:val="00C72B0C"/>
    <w:rsid w:val="00C74D47"/>
    <w:rsid w:val="00C763CF"/>
    <w:rsid w:val="00C80E67"/>
    <w:rsid w:val="00C9399C"/>
    <w:rsid w:val="00CC21E4"/>
    <w:rsid w:val="00CC275B"/>
    <w:rsid w:val="00CC2F1E"/>
    <w:rsid w:val="00CC3C90"/>
    <w:rsid w:val="00CC77CA"/>
    <w:rsid w:val="00CC7DFA"/>
    <w:rsid w:val="00CE371C"/>
    <w:rsid w:val="00CF3261"/>
    <w:rsid w:val="00CF3E7A"/>
    <w:rsid w:val="00CF65BA"/>
    <w:rsid w:val="00D039F9"/>
    <w:rsid w:val="00D11FFC"/>
    <w:rsid w:val="00D31F4A"/>
    <w:rsid w:val="00D50156"/>
    <w:rsid w:val="00D55802"/>
    <w:rsid w:val="00D5759C"/>
    <w:rsid w:val="00D6466C"/>
    <w:rsid w:val="00D650A5"/>
    <w:rsid w:val="00D67938"/>
    <w:rsid w:val="00D67FC7"/>
    <w:rsid w:val="00D81EE1"/>
    <w:rsid w:val="00D84CB6"/>
    <w:rsid w:val="00D9427A"/>
    <w:rsid w:val="00DA07BA"/>
    <w:rsid w:val="00DD38DF"/>
    <w:rsid w:val="00DE0F74"/>
    <w:rsid w:val="00E00500"/>
    <w:rsid w:val="00E131F9"/>
    <w:rsid w:val="00E14A05"/>
    <w:rsid w:val="00E1599B"/>
    <w:rsid w:val="00E17A51"/>
    <w:rsid w:val="00E213FB"/>
    <w:rsid w:val="00E263CC"/>
    <w:rsid w:val="00E35964"/>
    <w:rsid w:val="00E36564"/>
    <w:rsid w:val="00E3698A"/>
    <w:rsid w:val="00E40ABD"/>
    <w:rsid w:val="00E44260"/>
    <w:rsid w:val="00E4457B"/>
    <w:rsid w:val="00E52752"/>
    <w:rsid w:val="00E52C79"/>
    <w:rsid w:val="00E53370"/>
    <w:rsid w:val="00E5558B"/>
    <w:rsid w:val="00E6343E"/>
    <w:rsid w:val="00E65C95"/>
    <w:rsid w:val="00E91A8C"/>
    <w:rsid w:val="00E922FA"/>
    <w:rsid w:val="00E96637"/>
    <w:rsid w:val="00EA63B7"/>
    <w:rsid w:val="00EB0B47"/>
    <w:rsid w:val="00EB3452"/>
    <w:rsid w:val="00EC39C8"/>
    <w:rsid w:val="00ED020E"/>
    <w:rsid w:val="00EE0A69"/>
    <w:rsid w:val="00EE383F"/>
    <w:rsid w:val="00EE4C55"/>
    <w:rsid w:val="00F03B69"/>
    <w:rsid w:val="00F0447C"/>
    <w:rsid w:val="00F16283"/>
    <w:rsid w:val="00F40D61"/>
    <w:rsid w:val="00F57497"/>
    <w:rsid w:val="00F57B52"/>
    <w:rsid w:val="00F62B95"/>
    <w:rsid w:val="00F64A89"/>
    <w:rsid w:val="00F73261"/>
    <w:rsid w:val="00F96210"/>
    <w:rsid w:val="00FA0BF7"/>
    <w:rsid w:val="00FA245A"/>
    <w:rsid w:val="00FB6AE9"/>
    <w:rsid w:val="00FC32D1"/>
    <w:rsid w:val="00FC57F2"/>
    <w:rsid w:val="00FC6372"/>
    <w:rsid w:val="00FE21F6"/>
    <w:rsid w:val="00FE2671"/>
    <w:rsid w:val="00FF0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strokecolor="non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E5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96E5A"/>
  </w:style>
  <w:style w:type="paragraph" w:customStyle="1" w:styleId="Level1">
    <w:name w:val="Level 1"/>
    <w:basedOn w:val="Normal"/>
    <w:rsid w:val="00596E5A"/>
    <w:pPr>
      <w:numPr>
        <w:numId w:val="37"/>
      </w:numPr>
      <w:ind w:hanging="720"/>
      <w:outlineLvl w:val="0"/>
    </w:pPr>
  </w:style>
  <w:style w:type="paragraph" w:customStyle="1" w:styleId="Level2">
    <w:name w:val="Level 2"/>
    <w:basedOn w:val="Normal"/>
    <w:rsid w:val="00596E5A"/>
    <w:pPr>
      <w:numPr>
        <w:ilvl w:val="1"/>
        <w:numId w:val="11"/>
      </w:numPr>
      <w:ind w:left="1080"/>
      <w:outlineLvl w:val="1"/>
    </w:pPr>
  </w:style>
  <w:style w:type="paragraph" w:styleId="Header">
    <w:name w:val="header"/>
    <w:basedOn w:val="Normal"/>
    <w:rsid w:val="00C74D47"/>
    <w:pPr>
      <w:tabs>
        <w:tab w:val="center" w:pos="4320"/>
        <w:tab w:val="right" w:pos="8640"/>
      </w:tabs>
    </w:pPr>
  </w:style>
  <w:style w:type="paragraph" w:styleId="Footer">
    <w:name w:val="footer"/>
    <w:basedOn w:val="Normal"/>
    <w:link w:val="FooterChar"/>
    <w:uiPriority w:val="99"/>
    <w:rsid w:val="00C74D47"/>
    <w:pPr>
      <w:tabs>
        <w:tab w:val="center" w:pos="4320"/>
        <w:tab w:val="right" w:pos="8640"/>
      </w:tabs>
    </w:pPr>
  </w:style>
  <w:style w:type="character" w:styleId="PageNumber">
    <w:name w:val="page number"/>
    <w:basedOn w:val="DefaultParagraphFont"/>
    <w:rsid w:val="00EB3452"/>
  </w:style>
  <w:style w:type="paragraph" w:styleId="BalloonText">
    <w:name w:val="Balloon Text"/>
    <w:basedOn w:val="Normal"/>
    <w:link w:val="BalloonTextChar"/>
    <w:rsid w:val="00A01717"/>
    <w:rPr>
      <w:rFonts w:ascii="Tahoma" w:hAnsi="Tahoma" w:cs="Tahoma"/>
      <w:sz w:val="16"/>
      <w:szCs w:val="16"/>
    </w:rPr>
  </w:style>
  <w:style w:type="character" w:customStyle="1" w:styleId="BalloonTextChar">
    <w:name w:val="Balloon Text Char"/>
    <w:basedOn w:val="DefaultParagraphFont"/>
    <w:link w:val="BalloonText"/>
    <w:rsid w:val="00A01717"/>
    <w:rPr>
      <w:rFonts w:ascii="Tahoma" w:hAnsi="Tahoma" w:cs="Tahoma"/>
      <w:sz w:val="16"/>
      <w:szCs w:val="16"/>
    </w:rPr>
  </w:style>
  <w:style w:type="character" w:customStyle="1" w:styleId="FooterChar">
    <w:name w:val="Footer Char"/>
    <w:basedOn w:val="DefaultParagraphFont"/>
    <w:link w:val="Footer"/>
    <w:uiPriority w:val="99"/>
    <w:rsid w:val="00BF40B8"/>
    <w:rPr>
      <w:sz w:val="24"/>
      <w:szCs w:val="24"/>
    </w:rPr>
  </w:style>
  <w:style w:type="character" w:styleId="Hyperlink">
    <w:name w:val="Hyperlink"/>
    <w:basedOn w:val="DefaultParagraphFont"/>
    <w:rsid w:val="00185632"/>
    <w:rPr>
      <w:color w:val="0000FF"/>
      <w:u w:val="single"/>
    </w:rPr>
  </w:style>
  <w:style w:type="character" w:styleId="FollowedHyperlink">
    <w:name w:val="FollowedHyperlink"/>
    <w:basedOn w:val="DefaultParagraphFont"/>
    <w:rsid w:val="00AE6B8D"/>
    <w:rPr>
      <w:color w:val="800080"/>
      <w:u w:val="single"/>
    </w:rPr>
  </w:style>
  <w:style w:type="paragraph" w:styleId="ListParagraph">
    <w:name w:val="List Paragraph"/>
    <w:basedOn w:val="Normal"/>
    <w:uiPriority w:val="34"/>
    <w:qFormat/>
    <w:rsid w:val="00453CD0"/>
    <w:pPr>
      <w:ind w:left="720"/>
    </w:pPr>
  </w:style>
  <w:style w:type="table" w:styleId="TableGrid">
    <w:name w:val="Table Grid"/>
    <w:basedOn w:val="TableNormal"/>
    <w:rsid w:val="004A7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E5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96E5A"/>
  </w:style>
  <w:style w:type="paragraph" w:customStyle="1" w:styleId="Level1">
    <w:name w:val="Level 1"/>
    <w:basedOn w:val="Normal"/>
    <w:rsid w:val="00596E5A"/>
    <w:pPr>
      <w:numPr>
        <w:numId w:val="37"/>
      </w:numPr>
      <w:ind w:hanging="720"/>
      <w:outlineLvl w:val="0"/>
    </w:pPr>
  </w:style>
  <w:style w:type="paragraph" w:customStyle="1" w:styleId="Level2">
    <w:name w:val="Level 2"/>
    <w:basedOn w:val="Normal"/>
    <w:rsid w:val="00596E5A"/>
    <w:pPr>
      <w:numPr>
        <w:ilvl w:val="1"/>
        <w:numId w:val="11"/>
      </w:numPr>
      <w:ind w:left="1080"/>
      <w:outlineLvl w:val="1"/>
    </w:pPr>
  </w:style>
  <w:style w:type="paragraph" w:styleId="Header">
    <w:name w:val="header"/>
    <w:basedOn w:val="Normal"/>
    <w:rsid w:val="00C74D47"/>
    <w:pPr>
      <w:tabs>
        <w:tab w:val="center" w:pos="4320"/>
        <w:tab w:val="right" w:pos="8640"/>
      </w:tabs>
    </w:pPr>
  </w:style>
  <w:style w:type="paragraph" w:styleId="Footer">
    <w:name w:val="footer"/>
    <w:basedOn w:val="Normal"/>
    <w:link w:val="FooterChar"/>
    <w:uiPriority w:val="99"/>
    <w:rsid w:val="00C74D47"/>
    <w:pPr>
      <w:tabs>
        <w:tab w:val="center" w:pos="4320"/>
        <w:tab w:val="right" w:pos="8640"/>
      </w:tabs>
    </w:pPr>
  </w:style>
  <w:style w:type="character" w:styleId="PageNumber">
    <w:name w:val="page number"/>
    <w:basedOn w:val="DefaultParagraphFont"/>
    <w:rsid w:val="00EB3452"/>
  </w:style>
  <w:style w:type="paragraph" w:styleId="BalloonText">
    <w:name w:val="Balloon Text"/>
    <w:basedOn w:val="Normal"/>
    <w:link w:val="BalloonTextChar"/>
    <w:rsid w:val="00A01717"/>
    <w:rPr>
      <w:rFonts w:ascii="Tahoma" w:hAnsi="Tahoma" w:cs="Tahoma"/>
      <w:sz w:val="16"/>
      <w:szCs w:val="16"/>
    </w:rPr>
  </w:style>
  <w:style w:type="character" w:customStyle="1" w:styleId="BalloonTextChar">
    <w:name w:val="Balloon Text Char"/>
    <w:basedOn w:val="DefaultParagraphFont"/>
    <w:link w:val="BalloonText"/>
    <w:rsid w:val="00A01717"/>
    <w:rPr>
      <w:rFonts w:ascii="Tahoma" w:hAnsi="Tahoma" w:cs="Tahoma"/>
      <w:sz w:val="16"/>
      <w:szCs w:val="16"/>
    </w:rPr>
  </w:style>
  <w:style w:type="character" w:customStyle="1" w:styleId="FooterChar">
    <w:name w:val="Footer Char"/>
    <w:basedOn w:val="DefaultParagraphFont"/>
    <w:link w:val="Footer"/>
    <w:uiPriority w:val="99"/>
    <w:rsid w:val="00BF40B8"/>
    <w:rPr>
      <w:sz w:val="24"/>
      <w:szCs w:val="24"/>
    </w:rPr>
  </w:style>
  <w:style w:type="character" w:styleId="Hyperlink">
    <w:name w:val="Hyperlink"/>
    <w:basedOn w:val="DefaultParagraphFont"/>
    <w:rsid w:val="00185632"/>
    <w:rPr>
      <w:color w:val="0000FF"/>
      <w:u w:val="single"/>
    </w:rPr>
  </w:style>
  <w:style w:type="character" w:styleId="FollowedHyperlink">
    <w:name w:val="FollowedHyperlink"/>
    <w:basedOn w:val="DefaultParagraphFont"/>
    <w:rsid w:val="00AE6B8D"/>
    <w:rPr>
      <w:color w:val="800080"/>
      <w:u w:val="single"/>
    </w:rPr>
  </w:style>
  <w:style w:type="paragraph" w:styleId="ListParagraph">
    <w:name w:val="List Paragraph"/>
    <w:basedOn w:val="Normal"/>
    <w:uiPriority w:val="34"/>
    <w:qFormat/>
    <w:rsid w:val="00453CD0"/>
    <w:pPr>
      <w:ind w:left="720"/>
    </w:pPr>
  </w:style>
  <w:style w:type="table" w:styleId="TableGrid">
    <w:name w:val="Table Grid"/>
    <w:basedOn w:val="TableNormal"/>
    <w:rsid w:val="004A7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90970-DD85-42F2-BA27-B2622BA4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2500</Words>
  <Characters>14598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2</cp:revision>
  <cp:lastPrinted>2014-06-05T17:00:00Z</cp:lastPrinted>
  <dcterms:created xsi:type="dcterms:W3CDTF">2014-06-05T17:21:00Z</dcterms:created>
  <dcterms:modified xsi:type="dcterms:W3CDTF">2014-06-05T17:21:00Z</dcterms:modified>
</cp:coreProperties>
</file>