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CFC" w:rsidRPr="00536278" w:rsidRDefault="0010185E" w:rsidP="008104A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right" w:pos="12960"/>
        </w:tabs>
        <w:rPr>
          <w:rFonts w:ascii="Arial" w:hAnsi="Arial" w:cs="Arial"/>
          <w:bCs/>
        </w:rPr>
      </w:pPr>
      <w:r w:rsidRPr="00040F5F">
        <w:rPr>
          <w:rFonts w:ascii="Arial" w:hAnsi="Arial" w:cs="Arial"/>
          <w:sz w:val="24"/>
          <w:szCs w:val="24"/>
        </w:rPr>
        <w:fldChar w:fldCharType="begin"/>
      </w:r>
      <w:r w:rsidR="00287CFC" w:rsidRPr="00040F5F">
        <w:rPr>
          <w:rFonts w:ascii="Arial" w:hAnsi="Arial" w:cs="Arial"/>
          <w:sz w:val="24"/>
          <w:szCs w:val="24"/>
        </w:rPr>
        <w:instrText>ADVANCE \y 120</w:instrText>
      </w:r>
      <w:r w:rsidRPr="00040F5F">
        <w:rPr>
          <w:rFonts w:ascii="Arial" w:hAnsi="Arial" w:cs="Arial"/>
          <w:sz w:val="24"/>
          <w:szCs w:val="24"/>
        </w:rPr>
        <w:fldChar w:fldCharType="end"/>
      </w:r>
      <w:r w:rsidRPr="0010185E">
        <w:rPr>
          <w:rFonts w:ascii="Arial" w:hAnsi="Arial" w:cs="Arial"/>
          <w:noProof/>
          <w:sz w:val="36"/>
          <w:szCs w:val="36"/>
        </w:rPr>
        <w:pict>
          <v:line id="_x0000_s1026" style="position:absolute;z-index:251660288;mso-position-horizontal-relative:margin;mso-position-vertical-relative:text" from="0,19pt" to="0,19pt" o:allowincell="f" strokecolor="#020000" strokeweight=".96pt">
            <w10:wrap anchorx="margin"/>
          </v:line>
        </w:pict>
      </w:r>
      <w:r w:rsidR="00287CFC">
        <w:rPr>
          <w:rFonts w:ascii="Arial" w:hAnsi="Arial" w:cs="Arial"/>
          <w:sz w:val="24"/>
          <w:szCs w:val="24"/>
        </w:rPr>
        <w:t xml:space="preserve">                                   </w:t>
      </w:r>
      <w:r w:rsidR="00287CFC" w:rsidRPr="00737B8B">
        <w:rPr>
          <w:rFonts w:ascii="Arial" w:hAnsi="Arial" w:cs="Arial"/>
          <w:b/>
          <w:bCs/>
          <w:sz w:val="38"/>
          <w:szCs w:val="38"/>
        </w:rPr>
        <w:t>NRC INSPECTION MANUAL</w:t>
      </w:r>
      <w:r w:rsidR="00287CFC">
        <w:rPr>
          <w:rFonts w:ascii="Arial" w:hAnsi="Arial" w:cs="Arial"/>
          <w:bCs/>
          <w:sz w:val="36"/>
          <w:szCs w:val="36"/>
        </w:rPr>
        <w:t xml:space="preserve">              </w:t>
      </w:r>
      <w:r w:rsidR="006E1900">
        <w:rPr>
          <w:rFonts w:ascii="Arial" w:hAnsi="Arial" w:cs="Arial"/>
          <w:bCs/>
        </w:rPr>
        <w:t>AHPB</w:t>
      </w:r>
    </w:p>
    <w:p w:rsidR="00287CFC" w:rsidRPr="006674F0" w:rsidRDefault="0010185E" w:rsidP="008104A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before="84"/>
        <w:jc w:val="center"/>
        <w:rPr>
          <w:rFonts w:ascii="Arial" w:hAnsi="Arial" w:cs="Arial"/>
          <w:sz w:val="24"/>
          <w:szCs w:val="24"/>
        </w:rPr>
      </w:pPr>
      <w:r>
        <w:rPr>
          <w:rFonts w:ascii="Arial" w:hAnsi="Arial" w:cs="Arial"/>
          <w:noProof/>
          <w:sz w:val="24"/>
          <w:szCs w:val="24"/>
        </w:rPr>
        <w:pict>
          <v:polyline id="_x0000_s1029" style="position:absolute;left:0;text-align:left;z-index:251663360;mso-position-horizontal-relative:page;mso-position-vertical-relative:page" points="77pt,141.75pt,539.1pt,142.55pt" coordsize="9242,16" strokecolor="#020000" strokeweight=".96pt">
            <v:path arrowok="t"/>
            <w10:wrap anchorx="page" anchory="page"/>
          </v:polyline>
        </w:pict>
      </w:r>
      <w:r w:rsidR="00287CFC" w:rsidRPr="006674F0">
        <w:rPr>
          <w:rFonts w:ascii="Arial" w:hAnsi="Arial" w:cs="Arial"/>
          <w:sz w:val="24"/>
          <w:szCs w:val="24"/>
        </w:rPr>
        <w:t>TEMPORARY INSTRUCTION 2515/</w:t>
      </w:r>
      <w:r w:rsidR="00345BDD">
        <w:rPr>
          <w:rFonts w:ascii="Arial" w:hAnsi="Arial" w:cs="Arial"/>
          <w:sz w:val="24"/>
          <w:szCs w:val="24"/>
        </w:rPr>
        <w:t>185</w:t>
      </w:r>
      <w:r w:rsidR="00E537FC">
        <w:rPr>
          <w:rFonts w:ascii="Arial" w:hAnsi="Arial" w:cs="Arial"/>
          <w:sz w:val="24"/>
          <w:szCs w:val="24"/>
        </w:rPr>
        <w:t xml:space="preserve">, REVISION </w:t>
      </w:r>
      <w:r w:rsidR="00F441D9">
        <w:rPr>
          <w:rFonts w:ascii="Arial" w:hAnsi="Arial" w:cs="Arial"/>
          <w:sz w:val="24"/>
          <w:szCs w:val="24"/>
        </w:rPr>
        <w:t>1</w:t>
      </w:r>
    </w:p>
    <w:p w:rsidR="00287CFC" w:rsidRPr="006674F0" w:rsidRDefault="008104AF" w:rsidP="008104A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4"/>
          <w:szCs w:val="24"/>
        </w:rPr>
      </w:pPr>
      <w:r>
        <w:rPr>
          <w:rFonts w:ascii="Arial" w:hAnsi="Arial" w:cs="Arial"/>
          <w:noProof/>
          <w:sz w:val="24"/>
          <w:szCs w:val="24"/>
        </w:rPr>
        <w:pict>
          <v:line id="_x0000_s1028" style="position:absolute;left:0;text-align:left;z-index:251662336;mso-position-horizontal-relative:margin" from="5pt,5.15pt" to="470pt,5.15pt" strokecolor="#020000" strokeweight=".96pt">
            <w10:wrap anchorx="margin"/>
          </v:line>
        </w:pict>
      </w:r>
      <w:r w:rsidR="0010185E">
        <w:rPr>
          <w:rFonts w:ascii="Arial" w:hAnsi="Arial" w:cs="Arial"/>
          <w:noProof/>
          <w:sz w:val="24"/>
          <w:szCs w:val="24"/>
        </w:rPr>
        <w:pict>
          <v:line id="_x0000_s1027" style="position:absolute;left:0;text-align:left;z-index:251661312;mso-position-horizontal-relative:margin" from="0,0" to="0,0" o:allowincell="f" strokecolor="#020000" strokeweight=".96pt">
            <w10:wrap anchorx="margin"/>
          </v:line>
        </w:pict>
      </w:r>
    </w:p>
    <w:p w:rsidR="00287CFC" w:rsidRPr="006674F0" w:rsidRDefault="00287CFC" w:rsidP="008104A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4"/>
          <w:szCs w:val="24"/>
        </w:rPr>
      </w:pPr>
    </w:p>
    <w:p w:rsidR="00287CFC" w:rsidRPr="006674F0" w:rsidRDefault="00287CFC" w:rsidP="008104AF">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4"/>
          <w:szCs w:val="24"/>
        </w:rPr>
      </w:pPr>
    </w:p>
    <w:p w:rsidR="00287CFC" w:rsidRPr="006674F0" w:rsidRDefault="00345BDD" w:rsidP="008104AF">
      <w:pPr>
        <w:tabs>
          <w:tab w:val="left" w:pos="274"/>
          <w:tab w:val="left" w:pos="806"/>
          <w:tab w:val="left" w:pos="1440"/>
          <w:tab w:val="left" w:pos="2074"/>
        </w:tabs>
        <w:jc w:val="center"/>
        <w:rPr>
          <w:rFonts w:ascii="Arial" w:hAnsi="Arial" w:cs="Arial"/>
          <w:sz w:val="24"/>
          <w:szCs w:val="24"/>
        </w:rPr>
      </w:pPr>
      <w:r>
        <w:rPr>
          <w:rFonts w:ascii="Arial" w:hAnsi="Arial" w:cs="Arial"/>
          <w:sz w:val="24"/>
          <w:szCs w:val="24"/>
        </w:rPr>
        <w:t>FOLLOW</w:t>
      </w:r>
      <w:r w:rsidR="00D90F78">
        <w:rPr>
          <w:rFonts w:ascii="Arial" w:hAnsi="Arial" w:cs="Arial"/>
          <w:sz w:val="24"/>
          <w:szCs w:val="24"/>
        </w:rPr>
        <w:t>-</w:t>
      </w:r>
      <w:r>
        <w:rPr>
          <w:rFonts w:ascii="Arial" w:hAnsi="Arial" w:cs="Arial"/>
          <w:sz w:val="24"/>
          <w:szCs w:val="24"/>
        </w:rPr>
        <w:t>UP ON THE INDUSTRY’S GROUND</w:t>
      </w:r>
      <w:r w:rsidR="00867EB9">
        <w:rPr>
          <w:rFonts w:ascii="Arial" w:hAnsi="Arial" w:cs="Arial"/>
          <w:sz w:val="24"/>
          <w:szCs w:val="24"/>
        </w:rPr>
        <w:t xml:space="preserve"> </w:t>
      </w:r>
      <w:r>
        <w:rPr>
          <w:rFonts w:ascii="Arial" w:hAnsi="Arial" w:cs="Arial"/>
          <w:sz w:val="24"/>
          <w:szCs w:val="24"/>
        </w:rPr>
        <w:t>WATER PROTECTION INITIATIVE</w:t>
      </w: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287CFC" w:rsidRPr="006674F0" w:rsidRDefault="00287CFC" w:rsidP="008104AF">
      <w:pPr>
        <w:tabs>
          <w:tab w:val="left" w:pos="274"/>
          <w:tab w:val="left" w:pos="806"/>
          <w:tab w:val="left" w:pos="1440"/>
          <w:tab w:val="left" w:pos="2074"/>
        </w:tabs>
        <w:ind w:left="2160" w:hanging="2160"/>
        <w:jc w:val="both"/>
        <w:rPr>
          <w:rFonts w:ascii="Arial" w:hAnsi="Arial" w:cs="Arial"/>
          <w:sz w:val="24"/>
          <w:szCs w:val="24"/>
        </w:rPr>
      </w:pPr>
      <w:r w:rsidRPr="006674F0">
        <w:rPr>
          <w:rFonts w:ascii="Arial" w:hAnsi="Arial" w:cs="Arial"/>
          <w:sz w:val="24"/>
          <w:szCs w:val="24"/>
        </w:rPr>
        <w:t xml:space="preserve">CORNERSTONE: </w:t>
      </w:r>
      <w:r w:rsidRPr="006674F0">
        <w:rPr>
          <w:rFonts w:ascii="Arial" w:hAnsi="Arial" w:cs="Arial"/>
          <w:sz w:val="24"/>
          <w:szCs w:val="24"/>
        </w:rPr>
        <w:tab/>
        <w:t>PUBLIC RADIATION SAFETY</w:t>
      </w: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6A34D1" w:rsidRDefault="00287CFC" w:rsidP="008104AF">
      <w:pPr>
        <w:tabs>
          <w:tab w:val="left" w:pos="274"/>
          <w:tab w:val="left" w:pos="806"/>
          <w:tab w:val="left" w:pos="1440"/>
          <w:tab w:val="left" w:pos="2074"/>
        </w:tabs>
        <w:ind w:left="2160" w:hanging="2160"/>
        <w:jc w:val="both"/>
        <w:rPr>
          <w:rFonts w:ascii="Arial" w:hAnsi="Arial" w:cs="Arial"/>
          <w:sz w:val="24"/>
          <w:szCs w:val="24"/>
        </w:rPr>
      </w:pPr>
      <w:r w:rsidRPr="006674F0">
        <w:rPr>
          <w:rFonts w:ascii="Arial" w:hAnsi="Arial" w:cs="Arial"/>
          <w:sz w:val="24"/>
          <w:szCs w:val="24"/>
        </w:rPr>
        <w:t xml:space="preserve">APPLICABILITY: </w:t>
      </w:r>
      <w:r w:rsidRPr="006674F0">
        <w:rPr>
          <w:rFonts w:ascii="Arial" w:hAnsi="Arial" w:cs="Arial"/>
          <w:sz w:val="24"/>
          <w:szCs w:val="24"/>
        </w:rPr>
        <w:tab/>
        <w:t xml:space="preserve">This Temporary Instruction (TI) applies to </w:t>
      </w:r>
      <w:r w:rsidR="00D304C3">
        <w:rPr>
          <w:rFonts w:ascii="Arial" w:hAnsi="Arial" w:cs="Arial"/>
          <w:sz w:val="24"/>
          <w:szCs w:val="24"/>
        </w:rPr>
        <w:t xml:space="preserve">specific nuclear power plants identified in the report, “Summary of Results from Completion of NRC’s </w:t>
      </w:r>
      <w:r w:rsidR="00D304C3" w:rsidRPr="006674F0">
        <w:rPr>
          <w:rFonts w:ascii="Arial" w:hAnsi="Arial" w:cs="Arial"/>
          <w:sz w:val="24"/>
          <w:szCs w:val="24"/>
        </w:rPr>
        <w:t>Temporary Instruction on Ground</w:t>
      </w:r>
      <w:r w:rsidR="00D304C3">
        <w:rPr>
          <w:rFonts w:ascii="Arial" w:hAnsi="Arial" w:cs="Arial"/>
          <w:sz w:val="24"/>
          <w:szCs w:val="24"/>
        </w:rPr>
        <w:t xml:space="preserve"> W</w:t>
      </w:r>
      <w:r w:rsidR="00D304C3" w:rsidRPr="006674F0">
        <w:rPr>
          <w:rFonts w:ascii="Arial" w:hAnsi="Arial" w:cs="Arial"/>
          <w:sz w:val="24"/>
          <w:szCs w:val="24"/>
        </w:rPr>
        <w:t xml:space="preserve">ater Protection, TI-2515/173 Industry </w:t>
      </w:r>
      <w:r w:rsidR="00D304C3" w:rsidRPr="00DB04C9">
        <w:rPr>
          <w:rFonts w:ascii="Arial" w:hAnsi="Arial" w:cs="Arial"/>
          <w:sz w:val="24"/>
          <w:szCs w:val="24"/>
        </w:rPr>
        <w:t>Ground</w:t>
      </w:r>
      <w:r w:rsidR="00D304C3">
        <w:rPr>
          <w:rFonts w:ascii="Arial" w:hAnsi="Arial" w:cs="Arial"/>
          <w:sz w:val="24"/>
          <w:szCs w:val="24"/>
        </w:rPr>
        <w:t xml:space="preserve"> W</w:t>
      </w:r>
      <w:r w:rsidR="003D5D6B">
        <w:rPr>
          <w:rFonts w:ascii="Arial" w:hAnsi="Arial" w:cs="Arial"/>
          <w:sz w:val="24"/>
          <w:szCs w:val="24"/>
        </w:rPr>
        <w:t>ater Protection Initiative</w:t>
      </w:r>
      <w:r w:rsidR="0011063E">
        <w:rPr>
          <w:rFonts w:ascii="Arial" w:hAnsi="Arial" w:cs="Arial"/>
          <w:sz w:val="24"/>
          <w:szCs w:val="24"/>
        </w:rPr>
        <w:t>,”</w:t>
      </w:r>
      <w:r w:rsidR="003D5D6B">
        <w:rPr>
          <w:rFonts w:ascii="Arial" w:hAnsi="Arial" w:cs="Arial"/>
          <w:sz w:val="24"/>
          <w:szCs w:val="24"/>
        </w:rPr>
        <w:t xml:space="preserve"> (ML</w:t>
      </w:r>
      <w:r w:rsidR="00D304C3" w:rsidRPr="00DB04C9">
        <w:rPr>
          <w:rFonts w:ascii="Arial" w:hAnsi="Arial" w:cs="Arial"/>
          <w:sz w:val="24"/>
          <w:szCs w:val="24"/>
        </w:rPr>
        <w:t>11088A047)</w:t>
      </w:r>
      <w:r w:rsidR="00D304C3">
        <w:rPr>
          <w:rFonts w:ascii="Arial" w:hAnsi="Arial" w:cs="Arial"/>
          <w:sz w:val="24"/>
          <w:szCs w:val="24"/>
        </w:rPr>
        <w:t>.</w:t>
      </w:r>
      <w:r w:rsidR="00D304C3" w:rsidRPr="00DB04C9">
        <w:rPr>
          <w:rFonts w:ascii="Arial" w:hAnsi="Arial" w:cs="Arial"/>
          <w:sz w:val="24"/>
          <w:szCs w:val="24"/>
        </w:rPr>
        <w:t xml:space="preserve"> </w:t>
      </w:r>
      <w:r w:rsidR="0011063E">
        <w:rPr>
          <w:rFonts w:ascii="Arial" w:hAnsi="Arial" w:cs="Arial"/>
          <w:sz w:val="24"/>
          <w:szCs w:val="24"/>
        </w:rPr>
        <w:t xml:space="preserve"> </w:t>
      </w:r>
      <w:r w:rsidR="00D304C3">
        <w:rPr>
          <w:rFonts w:ascii="Arial" w:hAnsi="Arial" w:cs="Arial"/>
          <w:sz w:val="24"/>
          <w:szCs w:val="24"/>
        </w:rPr>
        <w:t xml:space="preserve">The plants are listed in Section </w:t>
      </w:r>
      <w:r w:rsidR="0045725C">
        <w:rPr>
          <w:rFonts w:ascii="Arial" w:hAnsi="Arial" w:cs="Arial"/>
          <w:sz w:val="24"/>
          <w:szCs w:val="24"/>
        </w:rPr>
        <w:t>3</w:t>
      </w:r>
      <w:r w:rsidR="00D304C3">
        <w:rPr>
          <w:rFonts w:ascii="Arial" w:hAnsi="Arial" w:cs="Arial"/>
          <w:sz w:val="24"/>
          <w:szCs w:val="24"/>
        </w:rPr>
        <w:t>.0</w:t>
      </w:r>
      <w:r w:rsidR="0045725C">
        <w:rPr>
          <w:rFonts w:ascii="Arial" w:hAnsi="Arial" w:cs="Arial"/>
          <w:sz w:val="24"/>
          <w:szCs w:val="24"/>
        </w:rPr>
        <w:t>2</w:t>
      </w:r>
      <w:r w:rsidR="006D7A14">
        <w:rPr>
          <w:rFonts w:ascii="Arial" w:hAnsi="Arial" w:cs="Arial"/>
          <w:sz w:val="24"/>
          <w:szCs w:val="24"/>
        </w:rPr>
        <w:t>.</w:t>
      </w:r>
      <w:r w:rsidR="006D7A14" w:rsidRPr="006674F0" w:rsidDel="006D7A14">
        <w:rPr>
          <w:rFonts w:ascii="Arial" w:hAnsi="Arial" w:cs="Arial"/>
          <w:sz w:val="24"/>
          <w:szCs w:val="24"/>
        </w:rPr>
        <w:t xml:space="preserve"> </w:t>
      </w:r>
    </w:p>
    <w:p w:rsidR="00287CFC" w:rsidRPr="006674F0" w:rsidRDefault="00287CFC" w:rsidP="008104AF">
      <w:pPr>
        <w:tabs>
          <w:tab w:val="left" w:pos="274"/>
          <w:tab w:val="left" w:pos="806"/>
          <w:tab w:val="left" w:pos="1440"/>
          <w:tab w:val="left" w:pos="2074"/>
        </w:tabs>
        <w:ind w:left="2160" w:hanging="2160"/>
        <w:jc w:val="both"/>
        <w:rPr>
          <w:rFonts w:ascii="Arial" w:hAnsi="Arial" w:cs="Arial"/>
          <w:sz w:val="24"/>
          <w:szCs w:val="24"/>
        </w:rPr>
      </w:pPr>
    </w:p>
    <w:p w:rsidR="00A16001" w:rsidRDefault="005911F0" w:rsidP="008104AF">
      <w:pPr>
        <w:tabs>
          <w:tab w:val="left" w:pos="274"/>
          <w:tab w:val="left" w:pos="806"/>
          <w:tab w:val="left" w:pos="1440"/>
          <w:tab w:val="left" w:pos="2074"/>
        </w:tabs>
        <w:ind w:left="2160" w:hanging="2160"/>
        <w:jc w:val="both"/>
        <w:rPr>
          <w:rFonts w:ascii="Arial" w:hAnsi="Arial" w:cs="Arial"/>
          <w:sz w:val="24"/>
          <w:szCs w:val="24"/>
        </w:rPr>
      </w:pPr>
      <w:r>
        <w:rPr>
          <w:rFonts w:ascii="Arial" w:hAnsi="Arial" w:cs="Arial"/>
          <w:sz w:val="24"/>
          <w:szCs w:val="24"/>
        </w:rPr>
        <w:t>2515/185</w:t>
      </w:r>
      <w:r w:rsidR="00287CFC" w:rsidRPr="006674F0">
        <w:rPr>
          <w:rFonts w:ascii="Arial" w:hAnsi="Arial" w:cs="Arial"/>
          <w:sz w:val="24"/>
          <w:szCs w:val="24"/>
        </w:rPr>
        <w:t>-01</w:t>
      </w:r>
      <w:r w:rsidR="00287CFC" w:rsidRPr="006674F0">
        <w:rPr>
          <w:rFonts w:ascii="Arial" w:hAnsi="Arial" w:cs="Arial"/>
          <w:sz w:val="24"/>
          <w:szCs w:val="24"/>
        </w:rPr>
        <w:tab/>
      </w:r>
      <w:r w:rsidR="00287CFC" w:rsidRPr="006674F0">
        <w:rPr>
          <w:rFonts w:ascii="Arial" w:hAnsi="Arial" w:cs="Arial"/>
          <w:sz w:val="24"/>
          <w:szCs w:val="24"/>
        </w:rPr>
        <w:tab/>
        <w:t>OBJECTIVES</w:t>
      </w: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287CFC" w:rsidRPr="006674F0" w:rsidRDefault="00287CFC" w:rsidP="008104AF">
      <w:pPr>
        <w:tabs>
          <w:tab w:val="left" w:pos="0"/>
          <w:tab w:val="left" w:pos="274"/>
          <w:tab w:val="left" w:pos="806"/>
          <w:tab w:val="left" w:pos="1440"/>
        </w:tabs>
        <w:jc w:val="both"/>
        <w:rPr>
          <w:rFonts w:ascii="Arial" w:hAnsi="Arial" w:cs="Arial"/>
          <w:sz w:val="24"/>
          <w:szCs w:val="24"/>
        </w:rPr>
      </w:pPr>
      <w:r w:rsidRPr="006674F0">
        <w:rPr>
          <w:rFonts w:ascii="Arial" w:hAnsi="Arial" w:cs="Arial"/>
          <w:sz w:val="24"/>
          <w:szCs w:val="24"/>
        </w:rPr>
        <w:t xml:space="preserve">The objective of this TI is to assess ground water protection programs to determine whether licensees have </w:t>
      </w:r>
      <w:r w:rsidR="005A6138">
        <w:rPr>
          <w:rFonts w:ascii="Arial" w:hAnsi="Arial" w:cs="Arial"/>
          <w:sz w:val="24"/>
          <w:szCs w:val="24"/>
        </w:rPr>
        <w:t xml:space="preserve">implemented </w:t>
      </w:r>
      <w:r w:rsidRPr="006674F0">
        <w:rPr>
          <w:rFonts w:ascii="Arial" w:hAnsi="Arial" w:cs="Arial"/>
          <w:sz w:val="24"/>
          <w:szCs w:val="24"/>
        </w:rPr>
        <w:t xml:space="preserve">the program elements in their </w:t>
      </w:r>
      <w:r w:rsidR="000E74C4">
        <w:rPr>
          <w:rFonts w:ascii="Arial" w:hAnsi="Arial" w:cs="Arial"/>
          <w:sz w:val="24"/>
          <w:szCs w:val="24"/>
        </w:rPr>
        <w:t>ground</w:t>
      </w:r>
      <w:r w:rsidR="00867EB9">
        <w:rPr>
          <w:rFonts w:ascii="Arial" w:hAnsi="Arial" w:cs="Arial"/>
          <w:sz w:val="24"/>
          <w:szCs w:val="24"/>
        </w:rPr>
        <w:t xml:space="preserve"> </w:t>
      </w:r>
      <w:r w:rsidR="000E74C4">
        <w:rPr>
          <w:rFonts w:ascii="Arial" w:hAnsi="Arial" w:cs="Arial"/>
          <w:sz w:val="24"/>
          <w:szCs w:val="24"/>
        </w:rPr>
        <w:t>water</w:t>
      </w:r>
      <w:r w:rsidRPr="006674F0">
        <w:rPr>
          <w:rFonts w:ascii="Arial" w:hAnsi="Arial" w:cs="Arial"/>
          <w:sz w:val="24"/>
          <w:szCs w:val="24"/>
        </w:rPr>
        <w:t xml:space="preserve"> protection program</w:t>
      </w:r>
      <w:r w:rsidR="0048124F">
        <w:rPr>
          <w:rFonts w:ascii="Arial" w:hAnsi="Arial" w:cs="Arial"/>
          <w:sz w:val="24"/>
          <w:szCs w:val="24"/>
        </w:rPr>
        <w:t>s that were identified as incomplete</w:t>
      </w:r>
      <w:r w:rsidRPr="006674F0">
        <w:rPr>
          <w:rFonts w:ascii="Arial" w:hAnsi="Arial" w:cs="Arial"/>
          <w:sz w:val="24"/>
          <w:szCs w:val="24"/>
        </w:rPr>
        <w:t xml:space="preserve"> in </w:t>
      </w:r>
      <w:r w:rsidR="007F7D8D">
        <w:rPr>
          <w:rFonts w:ascii="Arial" w:hAnsi="Arial" w:cs="Arial"/>
          <w:sz w:val="24"/>
          <w:szCs w:val="24"/>
        </w:rPr>
        <w:t>TI</w:t>
      </w:r>
      <w:r w:rsidR="0011063E">
        <w:rPr>
          <w:rFonts w:ascii="Arial" w:hAnsi="Arial" w:cs="Arial"/>
          <w:sz w:val="24"/>
          <w:szCs w:val="24"/>
        </w:rPr>
        <w:t xml:space="preserve"> 2515/173</w:t>
      </w:r>
      <w:r w:rsidRPr="006674F0">
        <w:rPr>
          <w:rFonts w:ascii="Arial" w:hAnsi="Arial" w:cs="Arial"/>
          <w:sz w:val="24"/>
          <w:szCs w:val="24"/>
        </w:rPr>
        <w:t>.</w:t>
      </w:r>
    </w:p>
    <w:p w:rsidR="004A3F84" w:rsidRPr="006674F0" w:rsidRDefault="004A3F84" w:rsidP="008104AF">
      <w:pPr>
        <w:rPr>
          <w:rFonts w:ascii="Arial" w:hAnsi="Arial" w:cs="Arial"/>
          <w:sz w:val="24"/>
          <w:szCs w:val="24"/>
        </w:rPr>
      </w:pPr>
    </w:p>
    <w:p w:rsidR="00287CFC" w:rsidRPr="006674F0" w:rsidRDefault="00287CFC" w:rsidP="008104AF">
      <w:pPr>
        <w:tabs>
          <w:tab w:val="left" w:pos="274"/>
          <w:tab w:val="left" w:pos="806"/>
          <w:tab w:val="left" w:pos="1440"/>
          <w:tab w:val="left" w:pos="2074"/>
        </w:tabs>
        <w:jc w:val="both"/>
        <w:rPr>
          <w:rFonts w:ascii="Arial" w:hAnsi="Arial" w:cs="Arial"/>
          <w:sz w:val="24"/>
          <w:szCs w:val="24"/>
        </w:rPr>
      </w:pPr>
      <w:r w:rsidRPr="006674F0">
        <w:rPr>
          <w:rFonts w:ascii="Arial" w:hAnsi="Arial" w:cs="Arial"/>
          <w:sz w:val="24"/>
          <w:szCs w:val="24"/>
        </w:rPr>
        <w:t>2515/1</w:t>
      </w:r>
      <w:r w:rsidR="005911F0">
        <w:rPr>
          <w:rFonts w:ascii="Arial" w:hAnsi="Arial" w:cs="Arial"/>
          <w:sz w:val="24"/>
          <w:szCs w:val="24"/>
        </w:rPr>
        <w:t>85</w:t>
      </w:r>
      <w:r w:rsidRPr="006674F0">
        <w:rPr>
          <w:rFonts w:ascii="Arial" w:hAnsi="Arial" w:cs="Arial"/>
          <w:sz w:val="24"/>
          <w:szCs w:val="24"/>
        </w:rPr>
        <w:t xml:space="preserve">-02  </w:t>
      </w:r>
      <w:r w:rsidRPr="006674F0">
        <w:rPr>
          <w:rFonts w:ascii="Arial" w:hAnsi="Arial" w:cs="Arial"/>
          <w:sz w:val="24"/>
          <w:szCs w:val="24"/>
        </w:rPr>
        <w:tab/>
        <w:t>BACKGROUND</w:t>
      </w: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287CFC" w:rsidRPr="006674F0" w:rsidRDefault="00287CFC" w:rsidP="008104AF">
      <w:pPr>
        <w:tabs>
          <w:tab w:val="left" w:pos="274"/>
          <w:tab w:val="left" w:pos="806"/>
          <w:tab w:val="left" w:pos="1440"/>
          <w:tab w:val="left" w:pos="2074"/>
        </w:tabs>
        <w:jc w:val="both"/>
        <w:rPr>
          <w:rFonts w:ascii="Arial" w:hAnsi="Arial" w:cs="Arial"/>
          <w:sz w:val="24"/>
          <w:szCs w:val="24"/>
        </w:rPr>
      </w:pPr>
      <w:r w:rsidRPr="006674F0">
        <w:rPr>
          <w:rFonts w:ascii="Arial" w:hAnsi="Arial" w:cs="Arial"/>
          <w:sz w:val="24"/>
          <w:szCs w:val="24"/>
        </w:rPr>
        <w:t xml:space="preserve">As a result of ground water contamination incidents, each nuclear power site developed a site-specific/company ground water protection program in accordance with NEI document, </w:t>
      </w:r>
      <w:r w:rsidR="0011063E">
        <w:rPr>
          <w:rFonts w:ascii="Arial" w:hAnsi="Arial" w:cs="Arial"/>
          <w:sz w:val="24"/>
          <w:szCs w:val="24"/>
        </w:rPr>
        <w:t xml:space="preserve">NEI 07-07, </w:t>
      </w:r>
      <w:r w:rsidRPr="006674F0">
        <w:rPr>
          <w:rFonts w:ascii="Arial" w:hAnsi="Arial" w:cs="Arial"/>
          <w:sz w:val="24"/>
          <w:szCs w:val="24"/>
        </w:rPr>
        <w:t>“Industry Ground Water Protection Initiative – Final Guidance Document,</w:t>
      </w:r>
      <w:r w:rsidR="0011063E">
        <w:rPr>
          <w:rFonts w:ascii="Arial" w:hAnsi="Arial" w:cs="Arial"/>
          <w:sz w:val="24"/>
          <w:szCs w:val="24"/>
        </w:rPr>
        <w:t>”</w:t>
      </w:r>
      <w:r w:rsidRPr="006674F0">
        <w:rPr>
          <w:rFonts w:ascii="Arial" w:hAnsi="Arial" w:cs="Arial"/>
          <w:sz w:val="24"/>
          <w:szCs w:val="24"/>
        </w:rPr>
        <w:t xml:space="preserve"> August 2007 (</w:t>
      </w:r>
      <w:r w:rsidR="0011063E">
        <w:rPr>
          <w:rFonts w:ascii="Arial" w:hAnsi="Arial" w:cs="Arial"/>
          <w:sz w:val="24"/>
          <w:szCs w:val="24"/>
        </w:rPr>
        <w:t>ML072610036).</w:t>
      </w:r>
      <w:r w:rsidRPr="006674F0">
        <w:rPr>
          <w:rFonts w:ascii="Arial" w:hAnsi="Arial" w:cs="Arial"/>
          <w:sz w:val="24"/>
          <w:szCs w:val="24"/>
        </w:rPr>
        <w:t xml:space="preserve">  Temporary Instruction (TI) 2515/173, “Review of the Implementation of the Industry Ground Water Protection Voluntary Initiative, Revision 1,” was issued </w:t>
      </w:r>
      <w:r w:rsidR="0096411C">
        <w:rPr>
          <w:rFonts w:ascii="Arial" w:hAnsi="Arial" w:cs="Arial"/>
          <w:sz w:val="24"/>
          <w:szCs w:val="24"/>
        </w:rPr>
        <w:t xml:space="preserve">on October </w:t>
      </w:r>
      <w:r w:rsidRPr="006674F0">
        <w:rPr>
          <w:rFonts w:ascii="Arial" w:hAnsi="Arial" w:cs="Arial"/>
          <w:sz w:val="24"/>
          <w:szCs w:val="24"/>
        </w:rPr>
        <w:t>31</w:t>
      </w:r>
      <w:r w:rsidR="0096411C">
        <w:rPr>
          <w:rFonts w:ascii="Arial" w:hAnsi="Arial" w:cs="Arial"/>
          <w:sz w:val="24"/>
          <w:szCs w:val="24"/>
        </w:rPr>
        <w:t>,</w:t>
      </w:r>
      <w:r w:rsidR="0048124F">
        <w:rPr>
          <w:rFonts w:ascii="Arial" w:hAnsi="Arial" w:cs="Arial"/>
          <w:sz w:val="24"/>
          <w:szCs w:val="24"/>
        </w:rPr>
        <w:t xml:space="preserve"> </w:t>
      </w:r>
      <w:r w:rsidR="0096411C">
        <w:rPr>
          <w:rFonts w:ascii="Arial" w:hAnsi="Arial" w:cs="Arial"/>
          <w:sz w:val="24"/>
          <w:szCs w:val="24"/>
        </w:rPr>
        <w:t>20</w:t>
      </w:r>
      <w:r w:rsidRPr="006674F0">
        <w:rPr>
          <w:rFonts w:ascii="Arial" w:hAnsi="Arial" w:cs="Arial"/>
          <w:sz w:val="24"/>
          <w:szCs w:val="24"/>
        </w:rPr>
        <w:t>08 to evaluate the licensee</w:t>
      </w:r>
      <w:r w:rsidR="000258F7">
        <w:rPr>
          <w:rFonts w:ascii="Arial" w:hAnsi="Arial" w:cs="Arial"/>
          <w:sz w:val="24"/>
          <w:szCs w:val="24"/>
        </w:rPr>
        <w:t>’</w:t>
      </w:r>
      <w:r w:rsidRPr="006674F0">
        <w:rPr>
          <w:rFonts w:ascii="Arial" w:hAnsi="Arial" w:cs="Arial"/>
          <w:sz w:val="24"/>
          <w:szCs w:val="24"/>
        </w:rPr>
        <w:t xml:space="preserve">s implementation of the industry’s ground water initiative. </w:t>
      </w:r>
    </w:p>
    <w:p w:rsidR="00287CFC" w:rsidRPr="006674F0" w:rsidRDefault="00287CFC" w:rsidP="008104AF">
      <w:pPr>
        <w:tabs>
          <w:tab w:val="left" w:pos="274"/>
          <w:tab w:val="left" w:pos="806"/>
          <w:tab w:val="left" w:pos="1440"/>
          <w:tab w:val="left" w:pos="2074"/>
        </w:tabs>
        <w:jc w:val="both"/>
        <w:rPr>
          <w:rFonts w:ascii="Arial" w:hAnsi="Arial" w:cs="Arial"/>
          <w:sz w:val="24"/>
          <w:szCs w:val="24"/>
        </w:rPr>
      </w:pPr>
    </w:p>
    <w:p w:rsidR="00633632" w:rsidRDefault="00287CFC" w:rsidP="008104AF">
      <w:pPr>
        <w:jc w:val="both"/>
        <w:rPr>
          <w:rFonts w:ascii="Arial" w:hAnsi="Arial" w:cs="Arial"/>
          <w:sz w:val="24"/>
          <w:szCs w:val="24"/>
        </w:rPr>
      </w:pPr>
      <w:r w:rsidRPr="006674F0">
        <w:rPr>
          <w:rFonts w:ascii="Arial" w:hAnsi="Arial" w:cs="Arial"/>
          <w:sz w:val="24"/>
          <w:szCs w:val="24"/>
        </w:rPr>
        <w:t xml:space="preserve">During a period of about two years, NRC inspectors </w:t>
      </w:r>
      <w:r w:rsidR="0011063E">
        <w:rPr>
          <w:rFonts w:ascii="Arial" w:hAnsi="Arial" w:cs="Arial"/>
          <w:sz w:val="24"/>
          <w:szCs w:val="24"/>
        </w:rPr>
        <w:t>assessed</w:t>
      </w:r>
      <w:r w:rsidRPr="006674F0">
        <w:rPr>
          <w:rFonts w:ascii="Arial" w:hAnsi="Arial" w:cs="Arial"/>
          <w:sz w:val="24"/>
          <w:szCs w:val="24"/>
        </w:rPr>
        <w:t xml:space="preserve"> each site</w:t>
      </w:r>
      <w:r w:rsidR="0011063E">
        <w:rPr>
          <w:rFonts w:ascii="Arial" w:hAnsi="Arial" w:cs="Arial"/>
          <w:sz w:val="24"/>
          <w:szCs w:val="24"/>
        </w:rPr>
        <w:t xml:space="preserve">’s implementation of the initiative </w:t>
      </w:r>
      <w:r w:rsidR="0048124F">
        <w:rPr>
          <w:rFonts w:ascii="Arial" w:hAnsi="Arial" w:cs="Arial"/>
          <w:sz w:val="24"/>
          <w:szCs w:val="24"/>
        </w:rPr>
        <w:t>using TI 2515/173 – Revision 1</w:t>
      </w:r>
      <w:r w:rsidR="0011063E">
        <w:rPr>
          <w:rFonts w:ascii="Arial" w:hAnsi="Arial" w:cs="Arial"/>
          <w:sz w:val="24"/>
          <w:szCs w:val="24"/>
        </w:rPr>
        <w:t xml:space="preserve">.  </w:t>
      </w:r>
      <w:r w:rsidR="00633632">
        <w:rPr>
          <w:rFonts w:ascii="Arial" w:hAnsi="Arial" w:cs="Arial"/>
          <w:sz w:val="24"/>
          <w:szCs w:val="24"/>
        </w:rPr>
        <w:t>Results of the inspection</w:t>
      </w:r>
      <w:r w:rsidR="0048124F">
        <w:rPr>
          <w:rFonts w:ascii="Arial" w:hAnsi="Arial" w:cs="Arial"/>
          <w:sz w:val="24"/>
          <w:szCs w:val="24"/>
        </w:rPr>
        <w:t>s</w:t>
      </w:r>
      <w:r w:rsidR="00633632">
        <w:rPr>
          <w:rFonts w:ascii="Arial" w:hAnsi="Arial" w:cs="Arial"/>
          <w:sz w:val="24"/>
          <w:szCs w:val="24"/>
        </w:rPr>
        <w:t xml:space="preserve"> have been documented in the report </w:t>
      </w:r>
      <w:r w:rsidR="00633632" w:rsidRPr="006674F0">
        <w:rPr>
          <w:rFonts w:ascii="Arial" w:hAnsi="Arial" w:cs="Arial"/>
          <w:sz w:val="24"/>
          <w:szCs w:val="24"/>
        </w:rPr>
        <w:t>“Summary of Results from Completion of NRC’s Temporary Instruction on Ground</w:t>
      </w:r>
      <w:r w:rsidR="00633632">
        <w:rPr>
          <w:rFonts w:ascii="Arial" w:hAnsi="Arial" w:cs="Arial"/>
          <w:sz w:val="24"/>
          <w:szCs w:val="24"/>
        </w:rPr>
        <w:t xml:space="preserve"> W</w:t>
      </w:r>
      <w:r w:rsidR="00633632" w:rsidRPr="006674F0">
        <w:rPr>
          <w:rFonts w:ascii="Arial" w:hAnsi="Arial" w:cs="Arial"/>
          <w:sz w:val="24"/>
          <w:szCs w:val="24"/>
        </w:rPr>
        <w:t xml:space="preserve">ater Protection, TI-2515/173 Industry </w:t>
      </w:r>
      <w:r w:rsidR="00633632" w:rsidRPr="00DB04C9">
        <w:rPr>
          <w:rFonts w:ascii="Arial" w:hAnsi="Arial" w:cs="Arial"/>
          <w:sz w:val="24"/>
          <w:szCs w:val="24"/>
        </w:rPr>
        <w:t>Ground</w:t>
      </w:r>
      <w:r w:rsidR="00633632">
        <w:rPr>
          <w:rFonts w:ascii="Arial" w:hAnsi="Arial" w:cs="Arial"/>
          <w:sz w:val="24"/>
          <w:szCs w:val="24"/>
        </w:rPr>
        <w:t xml:space="preserve"> W</w:t>
      </w:r>
      <w:r w:rsidR="0048124F">
        <w:rPr>
          <w:rFonts w:ascii="Arial" w:hAnsi="Arial" w:cs="Arial"/>
          <w:sz w:val="24"/>
          <w:szCs w:val="24"/>
        </w:rPr>
        <w:t>ater Protection Initiative</w:t>
      </w:r>
      <w:r w:rsidR="000258F7">
        <w:rPr>
          <w:rFonts w:ascii="Arial" w:hAnsi="Arial" w:cs="Arial"/>
          <w:sz w:val="24"/>
          <w:szCs w:val="24"/>
        </w:rPr>
        <w:t>”</w:t>
      </w:r>
      <w:r w:rsidR="0048124F">
        <w:rPr>
          <w:rFonts w:ascii="Arial" w:hAnsi="Arial" w:cs="Arial"/>
          <w:sz w:val="24"/>
          <w:szCs w:val="24"/>
        </w:rPr>
        <w:t xml:space="preserve"> (ML</w:t>
      </w:r>
      <w:r w:rsidR="00633632" w:rsidRPr="00DB04C9">
        <w:rPr>
          <w:rFonts w:ascii="Arial" w:hAnsi="Arial" w:cs="Arial"/>
          <w:sz w:val="24"/>
          <w:szCs w:val="24"/>
        </w:rPr>
        <w:t>11088A047)</w:t>
      </w:r>
      <w:r w:rsidR="000258F7">
        <w:rPr>
          <w:rFonts w:ascii="Arial" w:hAnsi="Arial" w:cs="Arial"/>
          <w:sz w:val="24"/>
          <w:szCs w:val="24"/>
        </w:rPr>
        <w:t>.</w:t>
      </w:r>
      <w:r w:rsidRPr="006674F0">
        <w:rPr>
          <w:rFonts w:ascii="Arial" w:hAnsi="Arial" w:cs="Arial"/>
          <w:sz w:val="24"/>
          <w:szCs w:val="24"/>
        </w:rPr>
        <w:t xml:space="preserve"> </w:t>
      </w:r>
    </w:p>
    <w:p w:rsidR="00633632" w:rsidRDefault="00633632" w:rsidP="008104AF">
      <w:pPr>
        <w:jc w:val="both"/>
        <w:rPr>
          <w:rFonts w:ascii="Arial" w:hAnsi="Arial" w:cs="Arial"/>
          <w:sz w:val="24"/>
          <w:szCs w:val="24"/>
        </w:rPr>
      </w:pPr>
    </w:p>
    <w:p w:rsidR="008104AF" w:rsidRDefault="00633632" w:rsidP="008104AF">
      <w:pPr>
        <w:jc w:val="both"/>
        <w:rPr>
          <w:rFonts w:ascii="Arial" w:hAnsi="Arial" w:cs="Arial"/>
          <w:sz w:val="24"/>
          <w:szCs w:val="24"/>
        </w:rPr>
        <w:sectPr w:rsidR="008104AF" w:rsidSect="00732A75">
          <w:footerReference w:type="default" r:id="rId7"/>
          <w:pgSz w:w="12240" w:h="15840"/>
          <w:pgMar w:top="1080" w:right="1440" w:bottom="720" w:left="1440" w:header="1080" w:footer="720" w:gutter="0"/>
          <w:pgNumType w:start="1"/>
          <w:cols w:space="720"/>
          <w:docGrid w:linePitch="360"/>
        </w:sectPr>
      </w:pPr>
      <w:r>
        <w:rPr>
          <w:rFonts w:ascii="Arial" w:hAnsi="Arial" w:cs="Arial"/>
          <w:sz w:val="24"/>
          <w:szCs w:val="24"/>
        </w:rPr>
        <w:t xml:space="preserve">The summary report identified several plants that </w:t>
      </w:r>
      <w:r w:rsidR="0048124F">
        <w:rPr>
          <w:rFonts w:ascii="Arial" w:hAnsi="Arial" w:cs="Arial"/>
          <w:sz w:val="24"/>
          <w:szCs w:val="24"/>
        </w:rPr>
        <w:t xml:space="preserve">lacked full implementation of the </w:t>
      </w:r>
      <w:r>
        <w:rPr>
          <w:rFonts w:ascii="Arial" w:hAnsi="Arial" w:cs="Arial"/>
          <w:sz w:val="24"/>
          <w:szCs w:val="24"/>
        </w:rPr>
        <w:t xml:space="preserve">industry’s ground water </w:t>
      </w:r>
      <w:r w:rsidR="0048124F">
        <w:rPr>
          <w:rFonts w:ascii="Arial" w:hAnsi="Arial" w:cs="Arial"/>
          <w:sz w:val="24"/>
          <w:szCs w:val="24"/>
        </w:rPr>
        <w:t xml:space="preserve">protection </w:t>
      </w:r>
      <w:r>
        <w:rPr>
          <w:rFonts w:ascii="Arial" w:hAnsi="Arial" w:cs="Arial"/>
          <w:sz w:val="24"/>
          <w:szCs w:val="24"/>
        </w:rPr>
        <w:t xml:space="preserve">initiative.  </w:t>
      </w:r>
      <w:r w:rsidR="00287CFC" w:rsidRPr="006674F0">
        <w:rPr>
          <w:rFonts w:ascii="Arial" w:hAnsi="Arial" w:cs="Arial"/>
          <w:sz w:val="24"/>
          <w:szCs w:val="24"/>
        </w:rPr>
        <w:t xml:space="preserve">In accordance with NUREG/BR-0075, “NRC Field Policy Manual, Revision 4,” Item 14, the purpose of this </w:t>
      </w:r>
      <w:r>
        <w:rPr>
          <w:rFonts w:ascii="Arial" w:hAnsi="Arial" w:cs="Arial"/>
          <w:sz w:val="24"/>
          <w:szCs w:val="24"/>
        </w:rPr>
        <w:t>TI</w:t>
      </w:r>
      <w:r w:rsidRPr="006674F0">
        <w:rPr>
          <w:rFonts w:ascii="Arial" w:hAnsi="Arial" w:cs="Arial"/>
          <w:sz w:val="24"/>
          <w:szCs w:val="24"/>
        </w:rPr>
        <w:t xml:space="preserve"> </w:t>
      </w:r>
      <w:r w:rsidR="00287CFC" w:rsidRPr="006674F0">
        <w:rPr>
          <w:rFonts w:ascii="Arial" w:hAnsi="Arial" w:cs="Arial"/>
          <w:sz w:val="24"/>
          <w:szCs w:val="24"/>
        </w:rPr>
        <w:t xml:space="preserve">is to assess the </w:t>
      </w:r>
      <w:r w:rsidR="00BF586A">
        <w:rPr>
          <w:rFonts w:ascii="Arial" w:hAnsi="Arial" w:cs="Arial"/>
          <w:sz w:val="24"/>
          <w:szCs w:val="24"/>
        </w:rPr>
        <w:t>completion</w:t>
      </w:r>
      <w:r w:rsidR="00BF586A" w:rsidRPr="006674F0">
        <w:rPr>
          <w:rFonts w:ascii="Arial" w:hAnsi="Arial" w:cs="Arial"/>
          <w:sz w:val="24"/>
          <w:szCs w:val="24"/>
        </w:rPr>
        <w:t xml:space="preserve"> </w:t>
      </w:r>
      <w:r w:rsidR="00287CFC" w:rsidRPr="006674F0">
        <w:rPr>
          <w:rFonts w:ascii="Arial" w:hAnsi="Arial" w:cs="Arial"/>
          <w:sz w:val="24"/>
          <w:szCs w:val="24"/>
        </w:rPr>
        <w:t xml:space="preserve">of the ground water initiative for those </w:t>
      </w:r>
      <w:r>
        <w:rPr>
          <w:rFonts w:ascii="Arial" w:hAnsi="Arial" w:cs="Arial"/>
          <w:sz w:val="24"/>
          <w:szCs w:val="24"/>
        </w:rPr>
        <w:t xml:space="preserve">plants identified in the summary </w:t>
      </w:r>
    </w:p>
    <w:p w:rsidR="00287CFC" w:rsidRPr="006674F0" w:rsidRDefault="00633632" w:rsidP="008104AF">
      <w:pPr>
        <w:jc w:val="both"/>
        <w:rPr>
          <w:rFonts w:ascii="Arial" w:hAnsi="Arial" w:cs="Arial"/>
          <w:sz w:val="24"/>
          <w:szCs w:val="24"/>
        </w:rPr>
      </w:pPr>
      <w:proofErr w:type="gramStart"/>
      <w:r>
        <w:rPr>
          <w:rFonts w:ascii="Arial" w:hAnsi="Arial" w:cs="Arial"/>
          <w:sz w:val="24"/>
          <w:szCs w:val="24"/>
        </w:rPr>
        <w:lastRenderedPageBreak/>
        <w:t>report</w:t>
      </w:r>
      <w:proofErr w:type="gramEnd"/>
      <w:r w:rsidR="004709EE">
        <w:rPr>
          <w:rFonts w:ascii="Arial" w:hAnsi="Arial" w:cs="Arial"/>
          <w:sz w:val="24"/>
          <w:szCs w:val="24"/>
        </w:rPr>
        <w:t xml:space="preserve"> as deficient with 5 or more elements of the industry’s initiative</w:t>
      </w:r>
      <w:r>
        <w:rPr>
          <w:rFonts w:ascii="Arial" w:hAnsi="Arial" w:cs="Arial"/>
          <w:sz w:val="24"/>
          <w:szCs w:val="24"/>
        </w:rPr>
        <w:t>.</w:t>
      </w:r>
      <w:r w:rsidR="00287CFC" w:rsidRPr="006674F0">
        <w:rPr>
          <w:rFonts w:ascii="Arial" w:hAnsi="Arial" w:cs="Arial"/>
          <w:sz w:val="24"/>
          <w:szCs w:val="24"/>
        </w:rPr>
        <w:t xml:space="preserve">  </w:t>
      </w:r>
      <w:r w:rsidR="00CD0826">
        <w:rPr>
          <w:rFonts w:ascii="Arial" w:hAnsi="Arial" w:cs="Arial"/>
          <w:sz w:val="24"/>
          <w:szCs w:val="24"/>
        </w:rPr>
        <w:t>Monitoring</w:t>
      </w:r>
      <w:r w:rsidR="00345BDD">
        <w:rPr>
          <w:rFonts w:ascii="Arial" w:hAnsi="Arial" w:cs="Arial"/>
          <w:sz w:val="24"/>
          <w:szCs w:val="24"/>
        </w:rPr>
        <w:t xml:space="preserve"> the implementation of the industry’s voluntary initiative is c</w:t>
      </w:r>
      <w:r w:rsidR="008104AF">
        <w:rPr>
          <w:rFonts w:ascii="Arial" w:hAnsi="Arial" w:cs="Arial"/>
          <w:sz w:val="24"/>
          <w:szCs w:val="24"/>
        </w:rPr>
        <w:t xml:space="preserve">onsistent with the Commission’s </w:t>
      </w:r>
      <w:r w:rsidR="00345BDD">
        <w:rPr>
          <w:rFonts w:ascii="Arial" w:hAnsi="Arial" w:cs="Arial"/>
          <w:sz w:val="24"/>
          <w:szCs w:val="24"/>
        </w:rPr>
        <w:t xml:space="preserve">direction to </w:t>
      </w:r>
      <w:r w:rsidR="0065704B">
        <w:rPr>
          <w:rFonts w:ascii="Arial" w:hAnsi="Arial" w:cs="Arial"/>
          <w:sz w:val="24"/>
          <w:szCs w:val="24"/>
        </w:rPr>
        <w:t xml:space="preserve">the staff in Staff Requirements Memorandum </w:t>
      </w:r>
      <w:r w:rsidR="00345BDD">
        <w:rPr>
          <w:rFonts w:ascii="Arial" w:hAnsi="Arial" w:cs="Arial"/>
          <w:sz w:val="24"/>
          <w:szCs w:val="24"/>
        </w:rPr>
        <w:t xml:space="preserve">– SECY-11-0019 – </w:t>
      </w:r>
      <w:r w:rsidR="000258F7">
        <w:rPr>
          <w:rFonts w:ascii="Arial" w:hAnsi="Arial" w:cs="Arial"/>
          <w:sz w:val="24"/>
          <w:szCs w:val="24"/>
        </w:rPr>
        <w:t>“</w:t>
      </w:r>
      <w:r w:rsidR="00345BDD">
        <w:rPr>
          <w:rFonts w:ascii="Arial" w:hAnsi="Arial" w:cs="Arial"/>
          <w:sz w:val="24"/>
          <w:szCs w:val="24"/>
        </w:rPr>
        <w:t>Senior Management Review of Overall Regulatory Approach to Ground</w:t>
      </w:r>
      <w:r w:rsidR="00867EB9">
        <w:rPr>
          <w:rFonts w:ascii="Arial" w:hAnsi="Arial" w:cs="Arial"/>
          <w:sz w:val="24"/>
          <w:szCs w:val="24"/>
        </w:rPr>
        <w:t xml:space="preserve"> W</w:t>
      </w:r>
      <w:r w:rsidR="00345BDD">
        <w:rPr>
          <w:rFonts w:ascii="Arial" w:hAnsi="Arial" w:cs="Arial"/>
          <w:sz w:val="24"/>
          <w:szCs w:val="24"/>
        </w:rPr>
        <w:t>ater Protection</w:t>
      </w:r>
      <w:r w:rsidR="0042263A">
        <w:rPr>
          <w:rFonts w:ascii="Arial" w:hAnsi="Arial" w:cs="Arial"/>
          <w:sz w:val="24"/>
          <w:szCs w:val="24"/>
        </w:rPr>
        <w:t>,</w:t>
      </w:r>
      <w:r w:rsidR="000258F7">
        <w:rPr>
          <w:rFonts w:ascii="Arial" w:hAnsi="Arial" w:cs="Arial"/>
          <w:sz w:val="24"/>
          <w:szCs w:val="24"/>
        </w:rPr>
        <w:t>”</w:t>
      </w:r>
      <w:r w:rsidR="0042263A">
        <w:rPr>
          <w:rFonts w:ascii="Arial" w:hAnsi="Arial" w:cs="Arial"/>
          <w:sz w:val="24"/>
          <w:szCs w:val="24"/>
        </w:rPr>
        <w:t xml:space="preserve"> August 15, 2011</w:t>
      </w:r>
      <w:r w:rsidR="0000366B">
        <w:rPr>
          <w:rFonts w:ascii="Arial" w:hAnsi="Arial" w:cs="Arial"/>
          <w:sz w:val="24"/>
          <w:szCs w:val="24"/>
        </w:rPr>
        <w:t xml:space="preserve"> (ML112270292)</w:t>
      </w:r>
      <w:r w:rsidR="00345BDD">
        <w:rPr>
          <w:rFonts w:ascii="Arial" w:hAnsi="Arial" w:cs="Arial"/>
          <w:sz w:val="24"/>
          <w:szCs w:val="24"/>
        </w:rPr>
        <w:t>.</w:t>
      </w:r>
    </w:p>
    <w:p w:rsidR="00287CFC" w:rsidRPr="006674F0" w:rsidRDefault="00287CFC" w:rsidP="008104AF">
      <w:pPr>
        <w:jc w:val="both"/>
        <w:rPr>
          <w:rFonts w:ascii="Arial" w:hAnsi="Arial" w:cs="Arial"/>
          <w:sz w:val="24"/>
          <w:szCs w:val="24"/>
        </w:rPr>
      </w:pPr>
    </w:p>
    <w:p w:rsidR="00287CFC" w:rsidRDefault="00287CFC" w:rsidP="008104AF">
      <w:pPr>
        <w:jc w:val="both"/>
        <w:rPr>
          <w:rFonts w:ascii="Arial" w:hAnsi="Arial" w:cs="Arial"/>
          <w:sz w:val="24"/>
          <w:szCs w:val="24"/>
        </w:rPr>
      </w:pPr>
      <w:r w:rsidRPr="006674F0">
        <w:rPr>
          <w:rFonts w:ascii="Arial" w:hAnsi="Arial" w:cs="Arial"/>
          <w:sz w:val="24"/>
          <w:szCs w:val="24"/>
        </w:rPr>
        <w:t>2515/1</w:t>
      </w:r>
      <w:r w:rsidR="005911F0">
        <w:rPr>
          <w:rFonts w:ascii="Arial" w:hAnsi="Arial" w:cs="Arial"/>
          <w:sz w:val="24"/>
          <w:szCs w:val="24"/>
        </w:rPr>
        <w:t>85</w:t>
      </w:r>
      <w:r w:rsidR="00F118AE">
        <w:rPr>
          <w:rFonts w:ascii="Arial" w:hAnsi="Arial" w:cs="Arial"/>
          <w:sz w:val="24"/>
          <w:szCs w:val="24"/>
        </w:rPr>
        <w:t xml:space="preserve">-03  </w:t>
      </w:r>
      <w:r w:rsidR="00F118AE">
        <w:rPr>
          <w:rFonts w:ascii="Arial" w:hAnsi="Arial" w:cs="Arial"/>
          <w:sz w:val="24"/>
          <w:szCs w:val="24"/>
        </w:rPr>
        <w:tab/>
      </w:r>
      <w:r w:rsidRPr="006674F0">
        <w:rPr>
          <w:rFonts w:ascii="Arial" w:hAnsi="Arial" w:cs="Arial"/>
          <w:sz w:val="24"/>
          <w:szCs w:val="24"/>
        </w:rPr>
        <w:t>INSPECTION REQUIREMENTS</w:t>
      </w:r>
      <w:r w:rsidR="005911F0">
        <w:rPr>
          <w:rFonts w:ascii="Arial" w:hAnsi="Arial" w:cs="Arial"/>
          <w:sz w:val="24"/>
          <w:szCs w:val="24"/>
        </w:rPr>
        <w:t xml:space="preserve"> AND INSPECTION GUIDANCE</w:t>
      </w:r>
    </w:p>
    <w:p w:rsidR="003715C9" w:rsidRDefault="003715C9" w:rsidP="008104AF">
      <w:pPr>
        <w:jc w:val="both"/>
        <w:rPr>
          <w:rFonts w:ascii="Arial" w:hAnsi="Arial" w:cs="Arial"/>
          <w:sz w:val="24"/>
          <w:szCs w:val="24"/>
        </w:rPr>
      </w:pPr>
    </w:p>
    <w:p w:rsidR="009A6EC2" w:rsidRDefault="009A6EC2" w:rsidP="008104AF">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Pr>
          <w:sz w:val="24"/>
          <w:szCs w:val="24"/>
        </w:rPr>
        <w:t>Review and verify that the licensee has taken corrective actions to implement the program elements in NEI 07-07</w:t>
      </w:r>
      <w:r w:rsidR="000E74C4">
        <w:rPr>
          <w:sz w:val="24"/>
          <w:szCs w:val="24"/>
        </w:rPr>
        <w:t>, “Industry Ground</w:t>
      </w:r>
      <w:r w:rsidR="00867EB9">
        <w:rPr>
          <w:sz w:val="24"/>
          <w:szCs w:val="24"/>
        </w:rPr>
        <w:t xml:space="preserve"> Water </w:t>
      </w:r>
      <w:r w:rsidR="000E74C4">
        <w:rPr>
          <w:sz w:val="24"/>
          <w:szCs w:val="24"/>
        </w:rPr>
        <w:t xml:space="preserve">Protection Initiative – Final </w:t>
      </w:r>
      <w:r w:rsidR="000258F7">
        <w:rPr>
          <w:sz w:val="24"/>
          <w:szCs w:val="24"/>
        </w:rPr>
        <w:t>G</w:t>
      </w:r>
      <w:r w:rsidR="000E74C4">
        <w:rPr>
          <w:sz w:val="24"/>
          <w:szCs w:val="24"/>
        </w:rPr>
        <w:t>uidance Document,”</w:t>
      </w:r>
      <w:r>
        <w:rPr>
          <w:sz w:val="24"/>
          <w:szCs w:val="24"/>
        </w:rPr>
        <w:t xml:space="preserve"> </w:t>
      </w:r>
      <w:r w:rsidR="000E74C4">
        <w:rPr>
          <w:sz w:val="24"/>
          <w:szCs w:val="24"/>
        </w:rPr>
        <w:t>that were not complete when</w:t>
      </w:r>
      <w:r>
        <w:rPr>
          <w:sz w:val="24"/>
          <w:szCs w:val="24"/>
        </w:rPr>
        <w:t xml:space="preserve"> the initial </w:t>
      </w:r>
      <w:r w:rsidR="00035006">
        <w:rPr>
          <w:sz w:val="24"/>
          <w:szCs w:val="24"/>
        </w:rPr>
        <w:t xml:space="preserve">inspection </w:t>
      </w:r>
      <w:r w:rsidR="000E74C4">
        <w:rPr>
          <w:sz w:val="24"/>
          <w:szCs w:val="24"/>
        </w:rPr>
        <w:t>was performed</w:t>
      </w:r>
      <w:r w:rsidR="00035006">
        <w:rPr>
          <w:sz w:val="24"/>
          <w:szCs w:val="24"/>
        </w:rPr>
        <w:t>.</w:t>
      </w:r>
    </w:p>
    <w:p w:rsidR="005911F0" w:rsidRPr="005911F0" w:rsidRDefault="005911F0" w:rsidP="008104AF">
      <w:pPr>
        <w:tabs>
          <w:tab w:val="left" w:pos="274"/>
          <w:tab w:val="left" w:pos="806"/>
          <w:tab w:val="left" w:pos="1440"/>
          <w:tab w:val="left" w:pos="2074"/>
        </w:tabs>
        <w:jc w:val="both"/>
        <w:rPr>
          <w:sz w:val="24"/>
          <w:szCs w:val="24"/>
        </w:rPr>
      </w:pPr>
    </w:p>
    <w:p w:rsidR="00394159" w:rsidRDefault="00394159" w:rsidP="008104AF">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Pr>
          <w:sz w:val="24"/>
          <w:szCs w:val="24"/>
        </w:rPr>
        <w:t>Follow-up inspections will be performed for all licensees that have had any incomplete NEI-GPI program elements as identified in the NRC report, “Summary of Results from Completion of NRC’s Temporary Instruction on Ground Water Protection, “TI-2515/173 Industry Ground Water Protection Initiative (ML1108</w:t>
      </w:r>
      <w:r w:rsidR="007B72BD">
        <w:rPr>
          <w:sz w:val="24"/>
          <w:szCs w:val="24"/>
        </w:rPr>
        <w:t>8</w:t>
      </w:r>
      <w:r>
        <w:rPr>
          <w:sz w:val="24"/>
          <w:szCs w:val="24"/>
        </w:rPr>
        <w:t>A047).  In order to maximize efficiency of the inspection process, the follow-up inspections will be performed either within one year using this TI for those licensees with 5 or more incomplete elements, or within two years using the baseline inspection procedure 71124.06 for those licensees with 4 or less incomplete elements.</w:t>
      </w:r>
    </w:p>
    <w:p w:rsidR="00394159" w:rsidRPr="00394159" w:rsidRDefault="00394159" w:rsidP="008104AF">
      <w:pPr>
        <w:pStyle w:val="ListParagraph"/>
        <w:spacing w:line="240" w:lineRule="auto"/>
        <w:rPr>
          <w:sz w:val="24"/>
          <w:szCs w:val="24"/>
        </w:rPr>
      </w:pPr>
    </w:p>
    <w:p w:rsidR="00715790" w:rsidRDefault="00715790" w:rsidP="008104AF">
      <w:pPr>
        <w:pStyle w:val="ListParagraph"/>
        <w:numPr>
          <w:ilvl w:val="0"/>
          <w:numId w:val="17"/>
        </w:numPr>
        <w:spacing w:line="240" w:lineRule="auto"/>
        <w:ind w:left="1170"/>
        <w:jc w:val="both"/>
        <w:rPr>
          <w:sz w:val="24"/>
          <w:szCs w:val="24"/>
        </w:rPr>
      </w:pPr>
      <w:r>
        <w:rPr>
          <w:sz w:val="24"/>
          <w:szCs w:val="24"/>
        </w:rPr>
        <w:t>For licensees with four or less incomplete program elements, as part of the 2 year routine baseline inspection program, NRC staff will perform the follow-up inspections using IP-71124.06, “Radioactive Gaseous and Liquid Effluent Treatment,</w:t>
      </w:r>
      <w:r w:rsidR="00D9135B">
        <w:rPr>
          <w:sz w:val="24"/>
          <w:szCs w:val="24"/>
        </w:rPr>
        <w:t>”</w:t>
      </w:r>
      <w:r>
        <w:rPr>
          <w:sz w:val="24"/>
          <w:szCs w:val="24"/>
        </w:rPr>
        <w:t xml:space="preserve"> Se</w:t>
      </w:r>
      <w:r w:rsidR="00F07285">
        <w:rPr>
          <w:sz w:val="24"/>
          <w:szCs w:val="24"/>
        </w:rPr>
        <w:t>ction 06.a, “GPI Implementation,</w:t>
      </w:r>
      <w:r>
        <w:rPr>
          <w:sz w:val="24"/>
          <w:szCs w:val="24"/>
        </w:rPr>
        <w:t>”</w:t>
      </w:r>
      <w:r w:rsidR="00F07285">
        <w:rPr>
          <w:sz w:val="24"/>
          <w:szCs w:val="24"/>
        </w:rPr>
        <w:t xml:space="preserve"> to inspect and verify that the licensee has taken corrective actions to complete the incomplete program elements through its corrective action program. </w:t>
      </w:r>
      <w:r>
        <w:rPr>
          <w:sz w:val="24"/>
          <w:szCs w:val="24"/>
        </w:rPr>
        <w:t> Inspection results will be documented in section 4OA of the integrated inspection reports in accordance with IMC 0612, “Power Reactor Inspection Reports.”</w:t>
      </w:r>
    </w:p>
    <w:p w:rsidR="00715790" w:rsidRPr="00715790" w:rsidRDefault="00715790" w:rsidP="008104AF">
      <w:pPr>
        <w:jc w:val="both"/>
        <w:rPr>
          <w:sz w:val="24"/>
          <w:szCs w:val="24"/>
        </w:rPr>
      </w:pPr>
    </w:p>
    <w:p w:rsidR="00715790" w:rsidRDefault="00715790" w:rsidP="008104AF">
      <w:pPr>
        <w:pStyle w:val="ListParagraph"/>
        <w:numPr>
          <w:ilvl w:val="0"/>
          <w:numId w:val="17"/>
        </w:numPr>
        <w:spacing w:line="240" w:lineRule="auto"/>
        <w:ind w:left="1170"/>
        <w:jc w:val="both"/>
        <w:rPr>
          <w:sz w:val="24"/>
          <w:szCs w:val="24"/>
        </w:rPr>
      </w:pPr>
      <w:r>
        <w:rPr>
          <w:sz w:val="24"/>
          <w:szCs w:val="24"/>
        </w:rPr>
        <w:t xml:space="preserve">For licensees with five or more incomplete program elements, NRC staff will </w:t>
      </w:r>
      <w:r w:rsidR="000605A0">
        <w:rPr>
          <w:sz w:val="24"/>
          <w:szCs w:val="24"/>
        </w:rPr>
        <w:t>use</w:t>
      </w:r>
      <w:r>
        <w:rPr>
          <w:sz w:val="24"/>
          <w:szCs w:val="24"/>
        </w:rPr>
        <w:t xml:space="preserve"> this TI to inspect and verify that the licensee has completed all NEI-GPI program elements.  The inspection results will be documented as described below in section 2515/185-04.  The plants</w:t>
      </w:r>
      <w:r w:rsidR="00D9135B">
        <w:rPr>
          <w:sz w:val="24"/>
          <w:szCs w:val="24"/>
        </w:rPr>
        <w:t>*</w:t>
      </w:r>
      <w:r>
        <w:rPr>
          <w:sz w:val="24"/>
          <w:szCs w:val="24"/>
        </w:rPr>
        <w:t xml:space="preserve"> to be inspected under this TI are:</w:t>
      </w:r>
    </w:p>
    <w:p w:rsidR="00715790" w:rsidRPr="00715790" w:rsidRDefault="00715790" w:rsidP="008104AF">
      <w:pPr>
        <w:pStyle w:val="ListParagraph"/>
        <w:spacing w:line="240" w:lineRule="auto"/>
        <w:rPr>
          <w:sz w:val="24"/>
          <w:szCs w:val="24"/>
        </w:rPr>
      </w:pP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Fitzpatrick (</w:t>
      </w:r>
      <w:r>
        <w:rPr>
          <w:sz w:val="24"/>
          <w:szCs w:val="24"/>
        </w:rPr>
        <w:t>NEI – GPI Objectives</w:t>
      </w:r>
      <w:r w:rsidRPr="00641092">
        <w:rPr>
          <w:sz w:val="24"/>
          <w:szCs w:val="24"/>
        </w:rPr>
        <w:t xml:space="preserve"> 1.2, 1.3 and 1.4)</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Ginna (</w:t>
      </w:r>
      <w:r>
        <w:rPr>
          <w:sz w:val="24"/>
          <w:szCs w:val="24"/>
        </w:rPr>
        <w:t>NEI – GPI</w:t>
      </w:r>
      <w:r w:rsidRPr="00641092">
        <w:rPr>
          <w:sz w:val="24"/>
          <w:szCs w:val="24"/>
        </w:rPr>
        <w:t xml:space="preserve"> </w:t>
      </w:r>
      <w:r>
        <w:rPr>
          <w:sz w:val="24"/>
          <w:szCs w:val="24"/>
        </w:rPr>
        <w:t>Objectives</w:t>
      </w:r>
      <w:r w:rsidRPr="00641092">
        <w:rPr>
          <w:sz w:val="24"/>
          <w:szCs w:val="24"/>
        </w:rPr>
        <w:t xml:space="preserve"> 1.1, 1.2 and 1.3)</w:t>
      </w:r>
    </w:p>
    <w:p w:rsidR="00F441D9" w:rsidRDefault="005911F0" w:rsidP="008104AF">
      <w:pPr>
        <w:pStyle w:val="ListParagraph"/>
        <w:numPr>
          <w:ilvl w:val="0"/>
          <w:numId w:val="20"/>
        </w:numPr>
        <w:spacing w:line="240" w:lineRule="auto"/>
        <w:ind w:left="1526"/>
        <w:jc w:val="both"/>
        <w:rPr>
          <w:ins w:id="0" w:author="Manuel Jimenez" w:date="2011-12-15T13:55:00Z"/>
          <w:sz w:val="24"/>
          <w:szCs w:val="24"/>
        </w:rPr>
      </w:pPr>
      <w:r w:rsidRPr="00641092">
        <w:rPr>
          <w:sz w:val="24"/>
          <w:szCs w:val="24"/>
        </w:rPr>
        <w:t>Oyster Creek (</w:t>
      </w:r>
      <w:r>
        <w:rPr>
          <w:sz w:val="24"/>
          <w:szCs w:val="24"/>
        </w:rPr>
        <w:t>NEI – GPI</w:t>
      </w:r>
      <w:r w:rsidRPr="00641092">
        <w:rPr>
          <w:sz w:val="24"/>
          <w:szCs w:val="24"/>
        </w:rPr>
        <w:t xml:space="preserve"> </w:t>
      </w:r>
      <w:r>
        <w:rPr>
          <w:sz w:val="24"/>
          <w:szCs w:val="24"/>
        </w:rPr>
        <w:t>Objectives</w:t>
      </w:r>
      <w:r w:rsidRPr="00641092">
        <w:rPr>
          <w:sz w:val="24"/>
          <w:szCs w:val="24"/>
        </w:rPr>
        <w:t xml:space="preserve"> 1.2, 1.3, 1.4, 3.1 and 3.2)</w:t>
      </w:r>
    </w:p>
    <w:p w:rsidR="007B72BD" w:rsidRPr="007B72BD" w:rsidRDefault="00217E26" w:rsidP="008104AF">
      <w:pPr>
        <w:pStyle w:val="ListParagraph"/>
        <w:numPr>
          <w:ilvl w:val="0"/>
          <w:numId w:val="20"/>
        </w:numPr>
        <w:spacing w:line="240" w:lineRule="auto"/>
        <w:ind w:left="1526"/>
        <w:jc w:val="both"/>
        <w:rPr>
          <w:sz w:val="24"/>
          <w:szCs w:val="24"/>
        </w:rPr>
      </w:pPr>
      <w:ins w:id="1" w:author="Manuel Jimenez" w:date="2011-12-15T13:56:00Z">
        <w:r w:rsidRPr="00217E26">
          <w:rPr>
            <w:sz w:val="24"/>
            <w:szCs w:val="24"/>
          </w:rPr>
          <w:t>Peach Bottom (NEI – GPI Objectives 1.2, 1.3 and 3.2</w:t>
        </w:r>
      </w:ins>
      <w:ins w:id="2" w:author="Manuel Jimenez" w:date="2011-12-15T13:57:00Z">
        <w:r>
          <w:rPr>
            <w:sz w:val="24"/>
            <w:szCs w:val="24"/>
          </w:rPr>
          <w:t>)</w:t>
        </w:r>
      </w:ins>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Three Mile Island (</w:t>
      </w:r>
      <w:r>
        <w:rPr>
          <w:sz w:val="24"/>
          <w:szCs w:val="24"/>
        </w:rPr>
        <w:t>NEI – GPI</w:t>
      </w:r>
      <w:r w:rsidRPr="00641092">
        <w:rPr>
          <w:sz w:val="24"/>
          <w:szCs w:val="24"/>
        </w:rPr>
        <w:t xml:space="preserve"> </w:t>
      </w:r>
      <w:r>
        <w:rPr>
          <w:sz w:val="24"/>
          <w:szCs w:val="24"/>
        </w:rPr>
        <w:t>Objectives</w:t>
      </w:r>
      <w:r w:rsidRPr="00641092">
        <w:rPr>
          <w:sz w:val="24"/>
          <w:szCs w:val="24"/>
        </w:rPr>
        <w:t xml:space="preserve"> 1.2, 1.3,1.4,1.5 and 3.2)</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Kewaunee (</w:t>
      </w:r>
      <w:r>
        <w:rPr>
          <w:sz w:val="24"/>
          <w:szCs w:val="24"/>
        </w:rPr>
        <w:t>NEI – GPI</w:t>
      </w:r>
      <w:r w:rsidRPr="00641092">
        <w:rPr>
          <w:sz w:val="24"/>
          <w:szCs w:val="24"/>
        </w:rPr>
        <w:t xml:space="preserve"> </w:t>
      </w:r>
      <w:r>
        <w:rPr>
          <w:sz w:val="24"/>
          <w:szCs w:val="24"/>
        </w:rPr>
        <w:t>Objectives</w:t>
      </w:r>
      <w:r w:rsidRPr="00641092">
        <w:rPr>
          <w:sz w:val="24"/>
          <w:szCs w:val="24"/>
        </w:rPr>
        <w:t xml:space="preserve"> 1.2,1.4, 1.5 and 2.1)</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Perry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2.2)</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Arkansas Nuclear (</w:t>
      </w:r>
      <w:r>
        <w:rPr>
          <w:sz w:val="24"/>
          <w:szCs w:val="24"/>
        </w:rPr>
        <w:t>NEI – GPI</w:t>
      </w:r>
      <w:r w:rsidRPr="00641092">
        <w:rPr>
          <w:sz w:val="24"/>
          <w:szCs w:val="24"/>
        </w:rPr>
        <w:t xml:space="preserve"> </w:t>
      </w:r>
      <w:r>
        <w:rPr>
          <w:sz w:val="24"/>
          <w:szCs w:val="24"/>
        </w:rPr>
        <w:t>Objectives</w:t>
      </w:r>
      <w:r w:rsidRPr="00641092">
        <w:rPr>
          <w:sz w:val="24"/>
          <w:szCs w:val="24"/>
        </w:rPr>
        <w:t xml:space="preserve"> 1.2, 1.3, 2.2 and 2.4)</w:t>
      </w:r>
    </w:p>
    <w:p w:rsidR="005911F0" w:rsidRDefault="005911F0" w:rsidP="008104AF">
      <w:pPr>
        <w:pStyle w:val="ListParagraph"/>
        <w:numPr>
          <w:ilvl w:val="0"/>
          <w:numId w:val="20"/>
        </w:numPr>
        <w:spacing w:line="240" w:lineRule="auto"/>
        <w:ind w:left="1530"/>
        <w:jc w:val="both"/>
        <w:rPr>
          <w:sz w:val="24"/>
          <w:szCs w:val="24"/>
        </w:rPr>
      </w:pPr>
      <w:r w:rsidRPr="00641092">
        <w:rPr>
          <w:sz w:val="24"/>
          <w:szCs w:val="24"/>
        </w:rPr>
        <w:t>Callaway (</w:t>
      </w:r>
      <w:r>
        <w:rPr>
          <w:sz w:val="24"/>
          <w:szCs w:val="24"/>
        </w:rPr>
        <w:t>NEI – GPI</w:t>
      </w:r>
      <w:r w:rsidRPr="00641092">
        <w:rPr>
          <w:sz w:val="24"/>
          <w:szCs w:val="24"/>
        </w:rPr>
        <w:t xml:space="preserve"> </w:t>
      </w:r>
      <w:r>
        <w:rPr>
          <w:sz w:val="24"/>
          <w:szCs w:val="24"/>
        </w:rPr>
        <w:t>Objectives</w:t>
      </w:r>
      <w:r w:rsidRPr="00641092">
        <w:rPr>
          <w:sz w:val="24"/>
          <w:szCs w:val="24"/>
        </w:rPr>
        <w:t xml:space="preserve"> 1.2, 1.3 and 1.4)</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lastRenderedPageBreak/>
        <w:t>Columbia (</w:t>
      </w:r>
      <w:r>
        <w:rPr>
          <w:sz w:val="24"/>
          <w:szCs w:val="24"/>
        </w:rPr>
        <w:t>NEI – GPI</w:t>
      </w:r>
      <w:r w:rsidRPr="00641092">
        <w:rPr>
          <w:sz w:val="24"/>
          <w:szCs w:val="24"/>
        </w:rPr>
        <w:t xml:space="preserve"> </w:t>
      </w:r>
      <w:r>
        <w:rPr>
          <w:sz w:val="24"/>
          <w:szCs w:val="24"/>
        </w:rPr>
        <w:t>Objective</w:t>
      </w:r>
      <w:r w:rsidRPr="00641092">
        <w:rPr>
          <w:sz w:val="24"/>
          <w:szCs w:val="24"/>
        </w:rPr>
        <w:t xml:space="preserve"> 1.2)</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Cooper (</w:t>
      </w:r>
      <w:r>
        <w:rPr>
          <w:sz w:val="24"/>
          <w:szCs w:val="24"/>
        </w:rPr>
        <w:t>NEI – GPI</w:t>
      </w:r>
      <w:r w:rsidRPr="00641092">
        <w:rPr>
          <w:sz w:val="24"/>
          <w:szCs w:val="24"/>
        </w:rPr>
        <w:t xml:space="preserve"> </w:t>
      </w:r>
      <w:r>
        <w:rPr>
          <w:sz w:val="24"/>
          <w:szCs w:val="24"/>
        </w:rPr>
        <w:t>Objectives</w:t>
      </w:r>
      <w:r w:rsidRPr="00641092">
        <w:rPr>
          <w:sz w:val="24"/>
          <w:szCs w:val="24"/>
        </w:rPr>
        <w:t xml:space="preserve"> 1.1, 1.2,1.4 and 2.4)</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Diablo Canyon (</w:t>
      </w:r>
      <w:r>
        <w:rPr>
          <w:sz w:val="24"/>
          <w:szCs w:val="24"/>
        </w:rPr>
        <w:t>NEI – GPI</w:t>
      </w:r>
      <w:r w:rsidRPr="00641092">
        <w:rPr>
          <w:sz w:val="24"/>
          <w:szCs w:val="24"/>
        </w:rPr>
        <w:t xml:space="preserve"> </w:t>
      </w:r>
      <w:r>
        <w:rPr>
          <w:sz w:val="24"/>
          <w:szCs w:val="24"/>
        </w:rPr>
        <w:t>Objectives</w:t>
      </w:r>
      <w:r w:rsidRPr="00641092">
        <w:rPr>
          <w:sz w:val="24"/>
          <w:szCs w:val="24"/>
        </w:rPr>
        <w:t xml:space="preserve"> 1.2, 1.4, 2.2 and 3.1)</w:t>
      </w:r>
    </w:p>
    <w:p w:rsidR="005911F0" w:rsidRDefault="005911F0" w:rsidP="008104AF">
      <w:pPr>
        <w:pStyle w:val="ListParagraph"/>
        <w:numPr>
          <w:ilvl w:val="0"/>
          <w:numId w:val="20"/>
        </w:numPr>
        <w:spacing w:line="240" w:lineRule="auto"/>
        <w:ind w:left="1526"/>
        <w:jc w:val="both"/>
        <w:rPr>
          <w:sz w:val="24"/>
          <w:szCs w:val="24"/>
        </w:rPr>
      </w:pPr>
      <w:r w:rsidRPr="00641092">
        <w:rPr>
          <w:sz w:val="24"/>
          <w:szCs w:val="24"/>
        </w:rPr>
        <w:t>River Bend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3.1)</w:t>
      </w:r>
    </w:p>
    <w:p w:rsidR="005911F0" w:rsidRDefault="005911F0" w:rsidP="008104AF">
      <w:pPr>
        <w:pStyle w:val="ListParagraph"/>
        <w:numPr>
          <w:ilvl w:val="0"/>
          <w:numId w:val="20"/>
        </w:numPr>
        <w:spacing w:line="240" w:lineRule="auto"/>
        <w:ind w:left="1526"/>
        <w:rPr>
          <w:sz w:val="24"/>
          <w:szCs w:val="24"/>
        </w:rPr>
      </w:pPr>
      <w:r w:rsidRPr="00641092">
        <w:rPr>
          <w:sz w:val="24"/>
          <w:szCs w:val="24"/>
        </w:rPr>
        <w:t>Waterford (</w:t>
      </w:r>
      <w:r>
        <w:rPr>
          <w:sz w:val="24"/>
          <w:szCs w:val="24"/>
        </w:rPr>
        <w:t>NEI – GPI</w:t>
      </w:r>
      <w:r w:rsidRPr="00641092">
        <w:rPr>
          <w:sz w:val="24"/>
          <w:szCs w:val="24"/>
        </w:rPr>
        <w:t xml:space="preserve"> </w:t>
      </w:r>
      <w:r>
        <w:rPr>
          <w:sz w:val="24"/>
          <w:szCs w:val="24"/>
        </w:rPr>
        <w:t>Objectives</w:t>
      </w:r>
      <w:r w:rsidRPr="00641092">
        <w:rPr>
          <w:sz w:val="24"/>
          <w:szCs w:val="24"/>
        </w:rPr>
        <w:t xml:space="preserve"> 1.1, 1.2, 1.3, 1.4 and 3.1)</w:t>
      </w:r>
    </w:p>
    <w:p w:rsidR="005911F0" w:rsidRDefault="005911F0" w:rsidP="008104AF">
      <w:pPr>
        <w:pStyle w:val="ListParagraph"/>
        <w:spacing w:line="240" w:lineRule="auto"/>
        <w:rPr>
          <w:sz w:val="24"/>
          <w:szCs w:val="24"/>
        </w:rPr>
      </w:pPr>
    </w:p>
    <w:p w:rsidR="005911F0" w:rsidRDefault="005911F0" w:rsidP="008104AF">
      <w:pPr>
        <w:pStyle w:val="ListParagraph"/>
        <w:spacing w:line="240" w:lineRule="auto"/>
        <w:ind w:left="1170"/>
        <w:jc w:val="both"/>
        <w:rPr>
          <w:sz w:val="24"/>
          <w:szCs w:val="24"/>
        </w:rPr>
      </w:pPr>
      <w:r>
        <w:rPr>
          <w:sz w:val="24"/>
          <w:szCs w:val="24"/>
        </w:rPr>
        <w:t xml:space="preserve">* </w:t>
      </w:r>
      <w:r>
        <w:rPr>
          <w:sz w:val="24"/>
          <w:szCs w:val="24"/>
        </w:rPr>
        <w:tab/>
      </w:r>
      <w:r w:rsidR="00D9135B">
        <w:rPr>
          <w:sz w:val="24"/>
          <w:szCs w:val="24"/>
        </w:rPr>
        <w:t xml:space="preserve">This TI is not applicable to Vermont Yankee.  </w:t>
      </w:r>
      <w:r>
        <w:rPr>
          <w:sz w:val="24"/>
          <w:szCs w:val="24"/>
        </w:rPr>
        <w:t xml:space="preserve">A review of the Vermont Yankee ground water protection program </w:t>
      </w:r>
      <w:r w:rsidR="00394159">
        <w:rPr>
          <w:sz w:val="24"/>
          <w:szCs w:val="24"/>
        </w:rPr>
        <w:t>was</w:t>
      </w:r>
      <w:r>
        <w:rPr>
          <w:sz w:val="24"/>
          <w:szCs w:val="24"/>
        </w:rPr>
        <w:t xml:space="preserve"> completed</w:t>
      </w:r>
      <w:r w:rsidR="00394159">
        <w:rPr>
          <w:sz w:val="24"/>
          <w:szCs w:val="24"/>
        </w:rPr>
        <w:t xml:space="preserve"> prior to </w:t>
      </w:r>
      <w:r w:rsidR="000605A0">
        <w:rPr>
          <w:sz w:val="24"/>
          <w:szCs w:val="24"/>
        </w:rPr>
        <w:t>the issuance</w:t>
      </w:r>
      <w:r w:rsidR="00394159">
        <w:rPr>
          <w:sz w:val="24"/>
          <w:szCs w:val="24"/>
        </w:rPr>
        <w:t xml:space="preserve"> of this TI</w:t>
      </w:r>
      <w:r>
        <w:rPr>
          <w:sz w:val="24"/>
          <w:szCs w:val="24"/>
        </w:rPr>
        <w:t xml:space="preserve">.  The review determined that Vermont Yankee has now </w:t>
      </w:r>
      <w:r w:rsidR="000605A0">
        <w:rPr>
          <w:sz w:val="24"/>
          <w:szCs w:val="24"/>
        </w:rPr>
        <w:t>completed</w:t>
      </w:r>
      <w:r>
        <w:rPr>
          <w:sz w:val="24"/>
          <w:szCs w:val="24"/>
        </w:rPr>
        <w:t xml:space="preserve"> </w:t>
      </w:r>
      <w:r w:rsidR="00D9135B">
        <w:rPr>
          <w:sz w:val="24"/>
          <w:szCs w:val="24"/>
        </w:rPr>
        <w:t xml:space="preserve">all </w:t>
      </w:r>
      <w:r w:rsidR="000605A0">
        <w:rPr>
          <w:sz w:val="24"/>
          <w:szCs w:val="24"/>
        </w:rPr>
        <w:t xml:space="preserve">the </w:t>
      </w:r>
      <w:r>
        <w:rPr>
          <w:sz w:val="24"/>
          <w:szCs w:val="24"/>
        </w:rPr>
        <w:t>program elements of the industry initiative (</w:t>
      </w:r>
      <w:r w:rsidR="00D9135B">
        <w:rPr>
          <w:sz w:val="24"/>
          <w:szCs w:val="24"/>
        </w:rPr>
        <w:t>s</w:t>
      </w:r>
      <w:r w:rsidR="000605A0">
        <w:rPr>
          <w:sz w:val="24"/>
          <w:szCs w:val="24"/>
        </w:rPr>
        <w:t xml:space="preserve">ee </w:t>
      </w:r>
      <w:r w:rsidR="0011063E">
        <w:rPr>
          <w:sz w:val="24"/>
          <w:szCs w:val="24"/>
        </w:rPr>
        <w:t xml:space="preserve">NRC </w:t>
      </w:r>
      <w:r>
        <w:rPr>
          <w:sz w:val="24"/>
          <w:szCs w:val="24"/>
        </w:rPr>
        <w:t xml:space="preserve">IR No. 05000271/2011010, Accession No. ML112630475).  </w:t>
      </w:r>
    </w:p>
    <w:p w:rsidR="005911F0" w:rsidRPr="005911F0" w:rsidRDefault="005911F0" w:rsidP="008104AF">
      <w:pPr>
        <w:pStyle w:val="ListParagraph"/>
        <w:spacing w:line="240" w:lineRule="auto"/>
        <w:rPr>
          <w:sz w:val="24"/>
          <w:szCs w:val="24"/>
        </w:rPr>
      </w:pPr>
    </w:p>
    <w:p w:rsidR="005911F0" w:rsidRDefault="005911F0" w:rsidP="008104AF">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5911F0">
        <w:rPr>
          <w:sz w:val="24"/>
          <w:szCs w:val="24"/>
        </w:rPr>
        <w:t xml:space="preserve">For each site listed in </w:t>
      </w:r>
      <w:r w:rsidR="00F118AE">
        <w:rPr>
          <w:sz w:val="24"/>
          <w:szCs w:val="24"/>
        </w:rPr>
        <w:t>3.02</w:t>
      </w:r>
      <w:r w:rsidRPr="005911F0">
        <w:rPr>
          <w:sz w:val="24"/>
          <w:szCs w:val="24"/>
        </w:rPr>
        <w:t xml:space="preserve">, </w:t>
      </w:r>
      <w:r w:rsidR="00C431FB">
        <w:rPr>
          <w:sz w:val="24"/>
          <w:szCs w:val="24"/>
        </w:rPr>
        <w:t>inspect the program elements that have been identified for each plant.  I</w:t>
      </w:r>
      <w:r w:rsidRPr="005911F0">
        <w:rPr>
          <w:sz w:val="24"/>
          <w:szCs w:val="24"/>
        </w:rPr>
        <w:t>f an identified program element has been re-inspected and found complete</w:t>
      </w:r>
      <w:r w:rsidR="00394159">
        <w:rPr>
          <w:sz w:val="24"/>
          <w:szCs w:val="24"/>
        </w:rPr>
        <w:t xml:space="preserve"> during an inspection performed since the summary report was issued</w:t>
      </w:r>
      <w:r w:rsidRPr="005911F0">
        <w:rPr>
          <w:sz w:val="24"/>
          <w:szCs w:val="24"/>
        </w:rPr>
        <w:t>, then the element does not need to be re-inspected.</w:t>
      </w:r>
    </w:p>
    <w:p w:rsidR="005911F0" w:rsidRPr="00732A75" w:rsidRDefault="005911F0" w:rsidP="008104AF">
      <w:pPr>
        <w:tabs>
          <w:tab w:val="left" w:pos="274"/>
          <w:tab w:val="left" w:pos="806"/>
          <w:tab w:val="left" w:pos="1440"/>
          <w:tab w:val="left" w:pos="2074"/>
        </w:tabs>
        <w:jc w:val="both"/>
        <w:rPr>
          <w:rFonts w:ascii="Arial" w:hAnsi="Arial" w:cs="Arial"/>
          <w:sz w:val="24"/>
          <w:szCs w:val="24"/>
        </w:rPr>
      </w:pPr>
    </w:p>
    <w:p w:rsidR="005911F0" w:rsidRDefault="00F118AE" w:rsidP="008104AF">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F118AE">
        <w:rPr>
          <w:sz w:val="24"/>
          <w:szCs w:val="24"/>
        </w:rPr>
        <w:t>Review previous NRC site inspection reports for review of TI 2515/173 to identify any additional insights.</w:t>
      </w:r>
    </w:p>
    <w:p w:rsidR="00F118AE" w:rsidRPr="00F118AE" w:rsidRDefault="00F118AE" w:rsidP="008104AF">
      <w:pPr>
        <w:pStyle w:val="ListParagraph"/>
        <w:spacing w:line="240" w:lineRule="auto"/>
        <w:rPr>
          <w:sz w:val="24"/>
          <w:szCs w:val="24"/>
        </w:rPr>
      </w:pPr>
    </w:p>
    <w:p w:rsidR="00F118AE" w:rsidRDefault="00F118AE" w:rsidP="008104AF">
      <w:pPr>
        <w:pStyle w:val="ListParagraph"/>
        <w:numPr>
          <w:ilvl w:val="1"/>
          <w:numId w:val="13"/>
        </w:numPr>
        <w:tabs>
          <w:tab w:val="left" w:pos="274"/>
          <w:tab w:val="left" w:pos="806"/>
          <w:tab w:val="left" w:pos="1440"/>
          <w:tab w:val="left" w:pos="2074"/>
        </w:tabs>
        <w:autoSpaceDE w:val="0"/>
        <w:autoSpaceDN w:val="0"/>
        <w:adjustRightInd w:val="0"/>
        <w:spacing w:line="240" w:lineRule="auto"/>
        <w:ind w:left="810" w:hanging="810"/>
        <w:contextualSpacing w:val="0"/>
        <w:jc w:val="both"/>
        <w:rPr>
          <w:sz w:val="24"/>
          <w:szCs w:val="24"/>
        </w:rPr>
      </w:pPr>
      <w:r w:rsidRPr="00F118AE">
        <w:rPr>
          <w:sz w:val="24"/>
          <w:szCs w:val="24"/>
        </w:rPr>
        <w:t>Review and verify that the licensee has completed the missing program elements.  Refer to Attachment 1 for a description of the NEI guidance for each program element.</w:t>
      </w:r>
    </w:p>
    <w:p w:rsidR="007F7D8D" w:rsidRDefault="007F7D8D" w:rsidP="008104AF">
      <w:pPr>
        <w:autoSpaceDE/>
        <w:autoSpaceDN/>
        <w:adjustRightInd/>
        <w:jc w:val="both"/>
        <w:rPr>
          <w:rFonts w:ascii="Arial" w:hAnsi="Arial" w:cs="Arial"/>
          <w:sz w:val="24"/>
          <w:szCs w:val="24"/>
        </w:rPr>
      </w:pP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4</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REPORTING REQUIREMENTS</w:t>
      </w: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p>
    <w:p w:rsidR="00697DCE" w:rsidRDefault="007F7D8D" w:rsidP="008104AF">
      <w:pPr>
        <w:autoSpaceDE/>
        <w:autoSpaceDN/>
        <w:adjustRightInd/>
        <w:jc w:val="both"/>
        <w:rPr>
          <w:rFonts w:ascii="Arial" w:hAnsi="Arial" w:cs="Arial"/>
          <w:sz w:val="24"/>
          <w:szCs w:val="24"/>
        </w:rPr>
      </w:pPr>
      <w:r>
        <w:rPr>
          <w:rFonts w:ascii="Arial" w:hAnsi="Arial" w:cs="Arial"/>
          <w:sz w:val="24"/>
          <w:szCs w:val="24"/>
        </w:rPr>
        <w:t xml:space="preserve">The results of the inspection </w:t>
      </w:r>
      <w:r w:rsidR="00BD1AEC">
        <w:rPr>
          <w:rFonts w:ascii="Arial" w:hAnsi="Arial" w:cs="Arial"/>
          <w:sz w:val="24"/>
          <w:szCs w:val="24"/>
        </w:rPr>
        <w:t>should be reported in section 4O</w:t>
      </w:r>
      <w:r>
        <w:rPr>
          <w:rFonts w:ascii="Arial" w:hAnsi="Arial" w:cs="Arial"/>
          <w:sz w:val="24"/>
          <w:szCs w:val="24"/>
        </w:rPr>
        <w:t xml:space="preserve">A of the </w:t>
      </w:r>
      <w:r w:rsidR="00320268">
        <w:rPr>
          <w:rFonts w:ascii="Arial" w:hAnsi="Arial" w:cs="Arial"/>
          <w:sz w:val="24"/>
          <w:szCs w:val="24"/>
        </w:rPr>
        <w:t>integrated inspection reports</w:t>
      </w:r>
      <w:r>
        <w:rPr>
          <w:rFonts w:ascii="Arial" w:hAnsi="Arial" w:cs="Arial"/>
          <w:sz w:val="24"/>
          <w:szCs w:val="24"/>
        </w:rPr>
        <w:t xml:space="preserve"> in accordance with IMC 0612, “Power Reactor Inspection Reports</w:t>
      </w:r>
      <w:r w:rsidR="00320268">
        <w:rPr>
          <w:rFonts w:ascii="Arial" w:hAnsi="Arial" w:cs="Arial"/>
          <w:sz w:val="24"/>
          <w:szCs w:val="24"/>
        </w:rPr>
        <w:t xml:space="preserve">.”  </w:t>
      </w:r>
      <w:r>
        <w:rPr>
          <w:rFonts w:ascii="Arial" w:hAnsi="Arial" w:cs="Arial"/>
          <w:sz w:val="24"/>
          <w:szCs w:val="24"/>
        </w:rPr>
        <w:t>The report should include</w:t>
      </w:r>
      <w:r w:rsidR="00697DCE">
        <w:rPr>
          <w:rFonts w:ascii="Arial" w:hAnsi="Arial" w:cs="Arial"/>
          <w:sz w:val="24"/>
          <w:szCs w:val="24"/>
        </w:rPr>
        <w:t>:</w:t>
      </w:r>
    </w:p>
    <w:p w:rsidR="00697DCE" w:rsidRDefault="00697DCE" w:rsidP="008104AF">
      <w:pPr>
        <w:autoSpaceDE/>
        <w:autoSpaceDN/>
        <w:adjustRightInd/>
        <w:jc w:val="both"/>
        <w:rPr>
          <w:rFonts w:ascii="Arial" w:hAnsi="Arial" w:cs="Arial"/>
          <w:sz w:val="24"/>
          <w:szCs w:val="24"/>
        </w:rPr>
      </w:pPr>
    </w:p>
    <w:p w:rsidR="00697DCE" w:rsidRDefault="00697DCE" w:rsidP="008104AF">
      <w:pPr>
        <w:pStyle w:val="ListParagraph"/>
        <w:numPr>
          <w:ilvl w:val="0"/>
          <w:numId w:val="11"/>
        </w:numPr>
        <w:spacing w:line="240" w:lineRule="auto"/>
        <w:jc w:val="both"/>
        <w:rPr>
          <w:sz w:val="24"/>
          <w:szCs w:val="24"/>
        </w:rPr>
      </w:pPr>
      <w:r>
        <w:rPr>
          <w:sz w:val="24"/>
          <w:szCs w:val="24"/>
        </w:rPr>
        <w:t>T</w:t>
      </w:r>
      <w:r w:rsidR="007F7D8D" w:rsidRPr="00697DCE">
        <w:rPr>
          <w:sz w:val="24"/>
          <w:szCs w:val="24"/>
        </w:rPr>
        <w:t>he dates of the inspection</w:t>
      </w:r>
      <w:r w:rsidR="0011063E">
        <w:rPr>
          <w:sz w:val="24"/>
          <w:szCs w:val="24"/>
        </w:rPr>
        <w:t>.</w:t>
      </w:r>
    </w:p>
    <w:p w:rsidR="00BC074B" w:rsidRDefault="00E160AE" w:rsidP="008104AF">
      <w:pPr>
        <w:pStyle w:val="ListParagraph"/>
        <w:numPr>
          <w:ilvl w:val="0"/>
          <w:numId w:val="11"/>
        </w:numPr>
        <w:spacing w:line="240" w:lineRule="auto"/>
        <w:jc w:val="both"/>
        <w:rPr>
          <w:sz w:val="24"/>
          <w:szCs w:val="24"/>
        </w:rPr>
      </w:pPr>
      <w:r>
        <w:rPr>
          <w:sz w:val="24"/>
          <w:szCs w:val="24"/>
        </w:rPr>
        <w:t xml:space="preserve">Identification of </w:t>
      </w:r>
      <w:r w:rsidR="00B72123">
        <w:rPr>
          <w:sz w:val="24"/>
          <w:szCs w:val="24"/>
        </w:rPr>
        <w:t xml:space="preserve">the incomplete program elements from the previous inspection </w:t>
      </w:r>
      <w:r w:rsidR="00E17F60">
        <w:rPr>
          <w:sz w:val="24"/>
          <w:szCs w:val="24"/>
        </w:rPr>
        <w:t xml:space="preserve">that were </w:t>
      </w:r>
      <w:r w:rsidR="00B72123">
        <w:rPr>
          <w:sz w:val="24"/>
          <w:szCs w:val="24"/>
        </w:rPr>
        <w:t>re-</w:t>
      </w:r>
      <w:r w:rsidR="00E17F60">
        <w:rPr>
          <w:sz w:val="24"/>
          <w:szCs w:val="24"/>
        </w:rPr>
        <w:t xml:space="preserve">inspected and found to have been </w:t>
      </w:r>
      <w:r w:rsidR="009B7DD9">
        <w:rPr>
          <w:sz w:val="24"/>
          <w:szCs w:val="24"/>
        </w:rPr>
        <w:t>completed</w:t>
      </w:r>
      <w:r w:rsidR="00B72123">
        <w:rPr>
          <w:sz w:val="24"/>
          <w:szCs w:val="24"/>
        </w:rPr>
        <w:t xml:space="preserve"> under this TI.</w:t>
      </w:r>
      <w:r>
        <w:rPr>
          <w:sz w:val="24"/>
          <w:szCs w:val="24"/>
        </w:rPr>
        <w:t xml:space="preserve">  </w:t>
      </w:r>
    </w:p>
    <w:p w:rsidR="00697DCE" w:rsidRDefault="00616F7B" w:rsidP="008104AF">
      <w:pPr>
        <w:pStyle w:val="ListParagraph"/>
        <w:numPr>
          <w:ilvl w:val="0"/>
          <w:numId w:val="11"/>
        </w:numPr>
        <w:spacing w:line="240" w:lineRule="auto"/>
        <w:jc w:val="both"/>
        <w:rPr>
          <w:sz w:val="24"/>
          <w:szCs w:val="24"/>
        </w:rPr>
      </w:pPr>
      <w:r>
        <w:rPr>
          <w:sz w:val="24"/>
          <w:szCs w:val="24"/>
        </w:rPr>
        <w:t xml:space="preserve">Identification of any remaining program elements that have not been completed (e.g., 1.1a) and licensee corrective action </w:t>
      </w:r>
      <w:r w:rsidR="00320268">
        <w:rPr>
          <w:sz w:val="24"/>
          <w:szCs w:val="24"/>
        </w:rPr>
        <w:t xml:space="preserve">program </w:t>
      </w:r>
      <w:r>
        <w:rPr>
          <w:sz w:val="24"/>
          <w:szCs w:val="24"/>
        </w:rPr>
        <w:t xml:space="preserve">number, as applicable and briefly provide supporting information on the incomplete program </w:t>
      </w:r>
      <w:r w:rsidR="00641092">
        <w:rPr>
          <w:sz w:val="24"/>
          <w:szCs w:val="24"/>
        </w:rPr>
        <w:t>elements.</w:t>
      </w:r>
    </w:p>
    <w:p w:rsidR="00824536" w:rsidRPr="00641092" w:rsidRDefault="00616F7B" w:rsidP="008104AF">
      <w:pPr>
        <w:pStyle w:val="ListParagraph"/>
        <w:numPr>
          <w:ilvl w:val="0"/>
          <w:numId w:val="11"/>
        </w:numPr>
        <w:tabs>
          <w:tab w:val="left" w:pos="274"/>
          <w:tab w:val="left" w:pos="806"/>
          <w:tab w:val="left" w:pos="1440"/>
          <w:tab w:val="left" w:pos="2074"/>
        </w:tabs>
        <w:spacing w:line="240" w:lineRule="auto"/>
        <w:ind w:left="778"/>
        <w:jc w:val="both"/>
        <w:rPr>
          <w:sz w:val="24"/>
          <w:szCs w:val="24"/>
        </w:rPr>
      </w:pPr>
      <w:r>
        <w:rPr>
          <w:sz w:val="24"/>
          <w:szCs w:val="24"/>
        </w:rPr>
        <w:t>For those elements that were previously re-inspected</w:t>
      </w:r>
      <w:r w:rsidR="00641092">
        <w:rPr>
          <w:sz w:val="24"/>
          <w:szCs w:val="24"/>
        </w:rPr>
        <w:t xml:space="preserve">, </w:t>
      </w:r>
      <w:r>
        <w:rPr>
          <w:sz w:val="24"/>
          <w:szCs w:val="24"/>
        </w:rPr>
        <w:t xml:space="preserve">identify the inspection document that demonstrates that the </w:t>
      </w:r>
      <w:r w:rsidR="00C431FB">
        <w:rPr>
          <w:sz w:val="24"/>
          <w:szCs w:val="24"/>
        </w:rPr>
        <w:t>element</w:t>
      </w:r>
      <w:r>
        <w:rPr>
          <w:sz w:val="24"/>
          <w:szCs w:val="24"/>
        </w:rPr>
        <w:t xml:space="preserve"> was reviewed and completed.</w:t>
      </w:r>
    </w:p>
    <w:p w:rsidR="00833371" w:rsidRDefault="00833371" w:rsidP="008104AF">
      <w:pPr>
        <w:pStyle w:val="ListParagraph"/>
        <w:numPr>
          <w:ilvl w:val="12"/>
          <w:numId w:val="0"/>
        </w:numPr>
        <w:tabs>
          <w:tab w:val="left" w:pos="274"/>
          <w:tab w:val="left" w:pos="806"/>
          <w:tab w:val="left" w:pos="1440"/>
          <w:tab w:val="left" w:pos="2074"/>
        </w:tabs>
        <w:spacing w:line="240" w:lineRule="auto"/>
        <w:jc w:val="both"/>
        <w:rPr>
          <w:sz w:val="24"/>
          <w:szCs w:val="24"/>
        </w:rPr>
      </w:pPr>
    </w:p>
    <w:p w:rsidR="007F7D8D" w:rsidRPr="00833371" w:rsidRDefault="007F7D8D" w:rsidP="008104AF">
      <w:pPr>
        <w:pStyle w:val="ListParagraph"/>
        <w:numPr>
          <w:ilvl w:val="12"/>
          <w:numId w:val="0"/>
        </w:numPr>
        <w:tabs>
          <w:tab w:val="left" w:pos="274"/>
          <w:tab w:val="left" w:pos="806"/>
          <w:tab w:val="left" w:pos="1440"/>
          <w:tab w:val="left" w:pos="2074"/>
        </w:tabs>
        <w:spacing w:line="240" w:lineRule="auto"/>
        <w:jc w:val="both"/>
        <w:rPr>
          <w:sz w:val="24"/>
          <w:szCs w:val="24"/>
        </w:rPr>
      </w:pPr>
      <w:r w:rsidRPr="00833371">
        <w:rPr>
          <w:sz w:val="24"/>
          <w:szCs w:val="24"/>
        </w:rPr>
        <w:t>2515/1</w:t>
      </w:r>
      <w:r w:rsidR="00F118AE">
        <w:rPr>
          <w:sz w:val="24"/>
          <w:szCs w:val="24"/>
        </w:rPr>
        <w:t>85</w:t>
      </w:r>
      <w:r w:rsidRPr="00833371">
        <w:rPr>
          <w:sz w:val="24"/>
          <w:szCs w:val="24"/>
        </w:rPr>
        <w:t>-0</w:t>
      </w:r>
      <w:r w:rsidR="00F118AE">
        <w:rPr>
          <w:sz w:val="24"/>
          <w:szCs w:val="24"/>
        </w:rPr>
        <w:t>5</w:t>
      </w:r>
      <w:r w:rsidRPr="00833371">
        <w:rPr>
          <w:sz w:val="24"/>
          <w:szCs w:val="24"/>
        </w:rPr>
        <w:t xml:space="preserve"> </w:t>
      </w:r>
      <w:r w:rsidRPr="00833371">
        <w:rPr>
          <w:sz w:val="24"/>
          <w:szCs w:val="24"/>
        </w:rPr>
        <w:tab/>
      </w:r>
      <w:r w:rsidRPr="00833371">
        <w:rPr>
          <w:sz w:val="24"/>
          <w:szCs w:val="24"/>
        </w:rPr>
        <w:tab/>
        <w:t>COMPLETION SCHEDULE</w:t>
      </w: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p>
    <w:p w:rsidR="007F7D8D" w:rsidRPr="00040F5F" w:rsidRDefault="00BD4401"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This TI is to be initiated </w:t>
      </w:r>
      <w:r w:rsidR="002753CA">
        <w:rPr>
          <w:rFonts w:ascii="Arial" w:hAnsi="Arial" w:cs="Arial"/>
          <w:sz w:val="24"/>
          <w:szCs w:val="24"/>
        </w:rPr>
        <w:t>November 15</w:t>
      </w:r>
      <w:r>
        <w:rPr>
          <w:rFonts w:ascii="Arial" w:hAnsi="Arial" w:cs="Arial"/>
          <w:sz w:val="24"/>
          <w:szCs w:val="24"/>
        </w:rPr>
        <w:t xml:space="preserve">, 2011 and completed by </w:t>
      </w:r>
      <w:r w:rsidR="00E17F60">
        <w:rPr>
          <w:rFonts w:ascii="Arial" w:hAnsi="Arial" w:cs="Arial"/>
          <w:sz w:val="24"/>
          <w:szCs w:val="24"/>
        </w:rPr>
        <w:t>December 31</w:t>
      </w:r>
      <w:r>
        <w:rPr>
          <w:rFonts w:ascii="Arial" w:hAnsi="Arial" w:cs="Arial"/>
          <w:sz w:val="24"/>
          <w:szCs w:val="24"/>
        </w:rPr>
        <w:t>, 2012.</w:t>
      </w: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6</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EXPIRATION</w:t>
      </w: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p>
    <w:p w:rsidR="007F7D8D" w:rsidRDefault="007F7D8D" w:rsidP="008104AF">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t xml:space="preserve">This TI will </w:t>
      </w:r>
      <w:r w:rsidR="00641092">
        <w:rPr>
          <w:rFonts w:ascii="Arial" w:hAnsi="Arial" w:cs="Arial"/>
          <w:sz w:val="24"/>
          <w:szCs w:val="24"/>
        </w:rPr>
        <w:t>be completed by December 31, 2012.</w:t>
      </w:r>
    </w:p>
    <w:p w:rsidR="007F7D8D"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p>
    <w:p w:rsidR="007F7D8D" w:rsidRDefault="007F7D8D"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w:t>
      </w:r>
      <w:r w:rsidRPr="00040F5F">
        <w:rPr>
          <w:rFonts w:ascii="Arial" w:hAnsi="Arial" w:cs="Arial"/>
          <w:sz w:val="24"/>
          <w:szCs w:val="24"/>
        </w:rPr>
        <w:t>/1</w:t>
      </w:r>
      <w:r w:rsidR="00F118AE">
        <w:rPr>
          <w:rFonts w:ascii="Arial" w:hAnsi="Arial" w:cs="Arial"/>
          <w:sz w:val="24"/>
          <w:szCs w:val="24"/>
        </w:rPr>
        <w:t>85</w:t>
      </w:r>
      <w:r w:rsidRPr="00040F5F">
        <w:rPr>
          <w:rFonts w:ascii="Arial" w:hAnsi="Arial" w:cs="Arial"/>
          <w:sz w:val="24"/>
          <w:szCs w:val="24"/>
        </w:rPr>
        <w:t>-0</w:t>
      </w:r>
      <w:r w:rsidR="00F118AE">
        <w:rPr>
          <w:rFonts w:ascii="Arial" w:hAnsi="Arial" w:cs="Arial"/>
          <w:sz w:val="24"/>
          <w:szCs w:val="24"/>
        </w:rPr>
        <w:t>7</w:t>
      </w:r>
      <w:r w:rsidRPr="00040F5F">
        <w:rPr>
          <w:rFonts w:ascii="Arial" w:hAnsi="Arial" w:cs="Arial"/>
          <w:sz w:val="24"/>
          <w:szCs w:val="24"/>
        </w:rPr>
        <w:t xml:space="preserve">  </w:t>
      </w:r>
      <w:r>
        <w:rPr>
          <w:rFonts w:ascii="Arial" w:hAnsi="Arial" w:cs="Arial"/>
          <w:sz w:val="24"/>
          <w:szCs w:val="24"/>
        </w:rPr>
        <w:tab/>
      </w:r>
      <w:r w:rsidRPr="00040F5F">
        <w:rPr>
          <w:rFonts w:ascii="Arial" w:hAnsi="Arial" w:cs="Arial"/>
          <w:sz w:val="24"/>
          <w:szCs w:val="24"/>
        </w:rPr>
        <w:t>CONTACT</w:t>
      </w:r>
    </w:p>
    <w:p w:rsidR="00D808DF" w:rsidRPr="00040F5F" w:rsidRDefault="00D808DF" w:rsidP="008104AF">
      <w:pPr>
        <w:numPr>
          <w:ilvl w:val="12"/>
          <w:numId w:val="0"/>
        </w:numPr>
        <w:tabs>
          <w:tab w:val="left" w:pos="274"/>
          <w:tab w:val="left" w:pos="806"/>
          <w:tab w:val="left" w:pos="1440"/>
          <w:tab w:val="left" w:pos="2074"/>
        </w:tabs>
        <w:jc w:val="both"/>
        <w:rPr>
          <w:rFonts w:ascii="Arial" w:hAnsi="Arial" w:cs="Arial"/>
          <w:sz w:val="24"/>
          <w:szCs w:val="24"/>
        </w:rPr>
      </w:pPr>
    </w:p>
    <w:p w:rsidR="00B04A4C" w:rsidRDefault="00F118AE" w:rsidP="008104AF">
      <w:pPr>
        <w:autoSpaceDE/>
        <w:autoSpaceDN/>
        <w:adjustRightInd/>
        <w:jc w:val="both"/>
        <w:rPr>
          <w:rFonts w:ascii="Arial" w:hAnsi="Arial" w:cs="Arial"/>
          <w:sz w:val="24"/>
          <w:szCs w:val="24"/>
        </w:rPr>
      </w:pPr>
      <w:r w:rsidRPr="00040F5F">
        <w:rPr>
          <w:rFonts w:ascii="Arial" w:hAnsi="Arial" w:cs="Arial"/>
          <w:sz w:val="24"/>
          <w:szCs w:val="24"/>
        </w:rPr>
        <w:t xml:space="preserve">This TI was initiated by the </w:t>
      </w:r>
      <w:r>
        <w:rPr>
          <w:rFonts w:ascii="Arial" w:hAnsi="Arial" w:cs="Arial"/>
          <w:sz w:val="24"/>
          <w:szCs w:val="24"/>
        </w:rPr>
        <w:t xml:space="preserve">Health Physics and Human Performance </w:t>
      </w:r>
      <w:r w:rsidRPr="00040F5F">
        <w:rPr>
          <w:rFonts w:ascii="Arial" w:hAnsi="Arial" w:cs="Arial"/>
          <w:sz w:val="24"/>
          <w:szCs w:val="24"/>
        </w:rPr>
        <w:t>Branch (NRR/</w:t>
      </w:r>
      <w:r>
        <w:rPr>
          <w:rFonts w:ascii="Arial" w:hAnsi="Arial" w:cs="Arial"/>
          <w:sz w:val="24"/>
          <w:szCs w:val="24"/>
        </w:rPr>
        <w:t>ADES</w:t>
      </w:r>
      <w:r w:rsidRPr="00040F5F">
        <w:rPr>
          <w:rFonts w:ascii="Arial" w:hAnsi="Arial" w:cs="Arial"/>
          <w:sz w:val="24"/>
          <w:szCs w:val="24"/>
        </w:rPr>
        <w:t>/</w:t>
      </w:r>
      <w:r>
        <w:rPr>
          <w:rFonts w:ascii="Arial" w:hAnsi="Arial" w:cs="Arial"/>
          <w:sz w:val="24"/>
          <w:szCs w:val="24"/>
        </w:rPr>
        <w:t>DRA</w:t>
      </w:r>
      <w:r w:rsidRPr="00040F5F">
        <w:rPr>
          <w:rFonts w:ascii="Arial" w:hAnsi="Arial" w:cs="Arial"/>
          <w:sz w:val="24"/>
          <w:szCs w:val="24"/>
        </w:rPr>
        <w:t>/</w:t>
      </w:r>
      <w:r>
        <w:rPr>
          <w:rFonts w:ascii="Arial" w:hAnsi="Arial" w:cs="Arial"/>
          <w:sz w:val="24"/>
          <w:szCs w:val="24"/>
        </w:rPr>
        <w:t xml:space="preserve">AHPB).  </w:t>
      </w:r>
      <w:r w:rsidR="007F7D8D" w:rsidRPr="00040F5F">
        <w:rPr>
          <w:rFonts w:ascii="Arial" w:hAnsi="Arial" w:cs="Arial"/>
          <w:sz w:val="24"/>
          <w:szCs w:val="24"/>
        </w:rPr>
        <w:t xml:space="preserve">Any technical questions regarding this TI should be addressed to </w:t>
      </w:r>
      <w:r w:rsidR="000E74C4">
        <w:rPr>
          <w:rFonts w:ascii="Arial" w:hAnsi="Arial" w:cs="Arial"/>
          <w:sz w:val="24"/>
          <w:szCs w:val="24"/>
        </w:rPr>
        <w:t>Manuel Jimenez</w:t>
      </w:r>
      <w:r w:rsidR="007F7D8D">
        <w:rPr>
          <w:rFonts w:ascii="Arial" w:hAnsi="Arial" w:cs="Arial"/>
          <w:sz w:val="24"/>
          <w:szCs w:val="24"/>
        </w:rPr>
        <w:t>, at telephone 301-415-</w:t>
      </w:r>
      <w:r w:rsidR="00FB16E3">
        <w:rPr>
          <w:rFonts w:ascii="Arial" w:hAnsi="Arial" w:cs="Arial"/>
          <w:sz w:val="24"/>
          <w:szCs w:val="24"/>
        </w:rPr>
        <w:t>3915</w:t>
      </w:r>
      <w:r w:rsidR="007F7D8D">
        <w:rPr>
          <w:rFonts w:ascii="Arial" w:hAnsi="Arial" w:cs="Arial"/>
          <w:sz w:val="24"/>
          <w:szCs w:val="24"/>
        </w:rPr>
        <w:t xml:space="preserve"> or </w:t>
      </w:r>
      <w:hyperlink r:id="rId8" w:history="1">
        <w:r w:rsidR="00C0682D">
          <w:rPr>
            <w:rStyle w:val="Hyperlink"/>
            <w:rFonts w:ascii="Arial" w:hAnsi="Arial" w:cs="Arial"/>
            <w:sz w:val="24"/>
            <w:szCs w:val="24"/>
          </w:rPr>
          <w:t>manue</w:t>
        </w:r>
        <w:r w:rsidR="00FB16E3" w:rsidRPr="00B02050">
          <w:rPr>
            <w:rStyle w:val="Hyperlink"/>
            <w:rFonts w:ascii="Arial" w:hAnsi="Arial" w:cs="Arial"/>
            <w:sz w:val="24"/>
            <w:szCs w:val="24"/>
          </w:rPr>
          <w:t>l.jimenez@nrc.gov</w:t>
        </w:r>
      </w:hyperlink>
      <w:r w:rsidR="007F7D8D" w:rsidRPr="00040F5F">
        <w:rPr>
          <w:rFonts w:ascii="Arial" w:hAnsi="Arial" w:cs="Arial"/>
          <w:sz w:val="24"/>
          <w:szCs w:val="24"/>
        </w:rPr>
        <w:t>.</w:t>
      </w:r>
    </w:p>
    <w:p w:rsidR="00B04A4C" w:rsidRDefault="00B04A4C" w:rsidP="008104AF">
      <w:pPr>
        <w:autoSpaceDE/>
        <w:autoSpaceDN/>
        <w:adjustRightInd/>
        <w:jc w:val="both"/>
        <w:rPr>
          <w:rFonts w:ascii="Arial" w:hAnsi="Arial" w:cs="Arial"/>
          <w:sz w:val="24"/>
          <w:szCs w:val="24"/>
        </w:rPr>
      </w:pPr>
    </w:p>
    <w:p w:rsidR="00B04A4C" w:rsidRPr="00040F5F" w:rsidRDefault="007F7D8D"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 </w:t>
      </w:r>
      <w:r w:rsidR="00B04A4C">
        <w:rPr>
          <w:rFonts w:ascii="Arial" w:hAnsi="Arial" w:cs="Arial"/>
          <w:sz w:val="24"/>
          <w:szCs w:val="24"/>
        </w:rPr>
        <w:t>2515</w:t>
      </w:r>
      <w:r w:rsidR="00B04A4C" w:rsidRPr="00040F5F">
        <w:rPr>
          <w:rFonts w:ascii="Arial" w:hAnsi="Arial" w:cs="Arial"/>
          <w:sz w:val="24"/>
          <w:szCs w:val="24"/>
        </w:rPr>
        <w:t>/1</w:t>
      </w:r>
      <w:r w:rsidR="00F118AE">
        <w:rPr>
          <w:rFonts w:ascii="Arial" w:hAnsi="Arial" w:cs="Arial"/>
          <w:sz w:val="24"/>
          <w:szCs w:val="24"/>
        </w:rPr>
        <w:t>85</w:t>
      </w:r>
      <w:r w:rsidR="00B04A4C" w:rsidRPr="00040F5F">
        <w:rPr>
          <w:rFonts w:ascii="Arial" w:hAnsi="Arial" w:cs="Arial"/>
          <w:sz w:val="24"/>
          <w:szCs w:val="24"/>
        </w:rPr>
        <w:t>-</w:t>
      </w:r>
      <w:r w:rsidR="00B04A4C">
        <w:rPr>
          <w:rFonts w:ascii="Arial" w:hAnsi="Arial" w:cs="Arial"/>
          <w:sz w:val="24"/>
          <w:szCs w:val="24"/>
        </w:rPr>
        <w:t>0</w:t>
      </w:r>
      <w:r w:rsidR="00F118AE">
        <w:rPr>
          <w:rFonts w:ascii="Arial" w:hAnsi="Arial" w:cs="Arial"/>
          <w:sz w:val="24"/>
          <w:szCs w:val="24"/>
        </w:rPr>
        <w:t>8</w:t>
      </w:r>
      <w:r w:rsidR="00B04A4C" w:rsidRPr="00040F5F">
        <w:rPr>
          <w:rFonts w:ascii="Arial" w:hAnsi="Arial" w:cs="Arial"/>
          <w:sz w:val="24"/>
          <w:szCs w:val="24"/>
        </w:rPr>
        <w:t xml:space="preserve">  </w:t>
      </w:r>
      <w:r w:rsidR="00B04A4C">
        <w:rPr>
          <w:rFonts w:ascii="Arial" w:hAnsi="Arial" w:cs="Arial"/>
          <w:sz w:val="24"/>
          <w:szCs w:val="24"/>
        </w:rPr>
        <w:tab/>
      </w:r>
      <w:r w:rsidR="00B04A4C" w:rsidRPr="00040F5F">
        <w:rPr>
          <w:rFonts w:ascii="Arial" w:hAnsi="Arial" w:cs="Arial"/>
          <w:sz w:val="24"/>
          <w:szCs w:val="24"/>
        </w:rPr>
        <w:t>STATISTICAL DATA REPORTING</w:t>
      </w:r>
    </w:p>
    <w:p w:rsidR="00B04A4C" w:rsidRPr="00040F5F" w:rsidRDefault="00B04A4C" w:rsidP="008104AF">
      <w:pPr>
        <w:numPr>
          <w:ilvl w:val="12"/>
          <w:numId w:val="0"/>
        </w:numPr>
        <w:tabs>
          <w:tab w:val="left" w:pos="274"/>
          <w:tab w:val="left" w:pos="806"/>
          <w:tab w:val="left" w:pos="1440"/>
          <w:tab w:val="left" w:pos="2074"/>
        </w:tabs>
        <w:jc w:val="both"/>
        <w:rPr>
          <w:rFonts w:ascii="Arial" w:hAnsi="Arial" w:cs="Arial"/>
          <w:sz w:val="24"/>
          <w:szCs w:val="24"/>
        </w:rPr>
      </w:pPr>
    </w:p>
    <w:p w:rsidR="00B04A4C" w:rsidRDefault="00B04A4C" w:rsidP="008104AF">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t>All direct inspection effort expended on t</w:t>
      </w:r>
      <w:r>
        <w:rPr>
          <w:rFonts w:ascii="Arial" w:hAnsi="Arial" w:cs="Arial"/>
          <w:sz w:val="24"/>
          <w:szCs w:val="24"/>
        </w:rPr>
        <w:t>his TI is to be charged to 2515</w:t>
      </w:r>
      <w:r w:rsidRPr="00040F5F">
        <w:rPr>
          <w:rFonts w:ascii="Arial" w:hAnsi="Arial" w:cs="Arial"/>
          <w:sz w:val="24"/>
          <w:szCs w:val="24"/>
        </w:rPr>
        <w:t>/</w:t>
      </w:r>
      <w:r w:rsidR="00E160AE">
        <w:rPr>
          <w:rFonts w:ascii="Arial" w:hAnsi="Arial" w:cs="Arial"/>
          <w:sz w:val="24"/>
          <w:szCs w:val="24"/>
        </w:rPr>
        <w:t>185</w:t>
      </w:r>
      <w:r w:rsidR="00E160AE" w:rsidRPr="00040F5F">
        <w:rPr>
          <w:rFonts w:ascii="Arial" w:hAnsi="Arial" w:cs="Arial"/>
          <w:sz w:val="24"/>
          <w:szCs w:val="24"/>
        </w:rPr>
        <w:t xml:space="preserve"> </w:t>
      </w:r>
      <w:r w:rsidRPr="00040F5F">
        <w:rPr>
          <w:rFonts w:ascii="Arial" w:hAnsi="Arial" w:cs="Arial"/>
          <w:sz w:val="24"/>
          <w:szCs w:val="24"/>
        </w:rPr>
        <w:t>with an</w:t>
      </w:r>
      <w:r w:rsidR="00FB16E3">
        <w:rPr>
          <w:rFonts w:ascii="Arial" w:hAnsi="Arial" w:cs="Arial"/>
          <w:sz w:val="24"/>
          <w:szCs w:val="24"/>
        </w:rPr>
        <w:t xml:space="preserve"> Inspection Program Element (</w:t>
      </w:r>
      <w:r w:rsidRPr="00040F5F">
        <w:rPr>
          <w:rFonts w:ascii="Arial" w:hAnsi="Arial" w:cs="Arial"/>
          <w:sz w:val="24"/>
          <w:szCs w:val="24"/>
        </w:rPr>
        <w:t>IPE</w:t>
      </w:r>
      <w:r w:rsidR="00FB16E3">
        <w:rPr>
          <w:rFonts w:ascii="Arial" w:hAnsi="Arial" w:cs="Arial"/>
          <w:sz w:val="24"/>
          <w:szCs w:val="24"/>
        </w:rPr>
        <w:t>)</w:t>
      </w:r>
      <w:r w:rsidRPr="00040F5F">
        <w:rPr>
          <w:rFonts w:ascii="Arial" w:hAnsi="Arial" w:cs="Arial"/>
          <w:sz w:val="24"/>
          <w:szCs w:val="24"/>
        </w:rPr>
        <w:t xml:space="preserve"> code of </w:t>
      </w:r>
      <w:r>
        <w:rPr>
          <w:rFonts w:ascii="Arial" w:hAnsi="Arial" w:cs="Arial"/>
          <w:sz w:val="24"/>
          <w:szCs w:val="24"/>
        </w:rPr>
        <w:t>TI</w:t>
      </w:r>
      <w:r w:rsidRPr="00040F5F">
        <w:rPr>
          <w:rFonts w:ascii="Arial" w:hAnsi="Arial" w:cs="Arial"/>
          <w:sz w:val="24"/>
          <w:szCs w:val="24"/>
        </w:rPr>
        <w:t>.</w:t>
      </w:r>
      <w:r w:rsidR="00137DE2">
        <w:rPr>
          <w:rFonts w:ascii="Arial" w:hAnsi="Arial" w:cs="Arial"/>
          <w:sz w:val="24"/>
          <w:szCs w:val="24"/>
        </w:rPr>
        <w:t xml:space="preserve">  All indirect inspection effort expended on this TI for preparation and documentation should be attributed to activity codes TIP and TID respectively.</w:t>
      </w:r>
    </w:p>
    <w:p w:rsidR="00B04A4C" w:rsidRDefault="00B04A4C" w:rsidP="008104AF">
      <w:pPr>
        <w:numPr>
          <w:ilvl w:val="12"/>
          <w:numId w:val="0"/>
        </w:numPr>
        <w:tabs>
          <w:tab w:val="left" w:pos="274"/>
          <w:tab w:val="left" w:pos="806"/>
          <w:tab w:val="left" w:pos="1440"/>
          <w:tab w:val="left" w:pos="2074"/>
        </w:tabs>
        <w:jc w:val="both"/>
        <w:rPr>
          <w:rFonts w:ascii="Arial" w:hAnsi="Arial" w:cs="Arial"/>
          <w:sz w:val="24"/>
          <w:szCs w:val="24"/>
        </w:rPr>
      </w:pPr>
    </w:p>
    <w:p w:rsidR="00B04A4C" w:rsidRPr="00040F5F" w:rsidRDefault="00B04A4C" w:rsidP="008104AF">
      <w:pPr>
        <w:numPr>
          <w:ilvl w:val="12"/>
          <w:numId w:val="0"/>
        </w:numPr>
        <w:tabs>
          <w:tab w:val="left" w:pos="274"/>
          <w:tab w:val="left" w:pos="806"/>
          <w:tab w:val="left" w:pos="1440"/>
          <w:tab w:val="left" w:pos="2074"/>
        </w:tabs>
        <w:jc w:val="both"/>
        <w:rPr>
          <w:rFonts w:ascii="Arial" w:hAnsi="Arial" w:cs="Arial"/>
          <w:sz w:val="24"/>
          <w:szCs w:val="24"/>
        </w:rPr>
      </w:pPr>
      <w:r w:rsidRPr="00040F5F">
        <w:rPr>
          <w:rFonts w:ascii="Arial" w:hAnsi="Arial" w:cs="Arial"/>
          <w:sz w:val="24"/>
          <w:szCs w:val="24"/>
        </w:rPr>
        <w:t>2515/1</w:t>
      </w:r>
      <w:r w:rsidR="00F118AE">
        <w:rPr>
          <w:rFonts w:ascii="Arial" w:hAnsi="Arial" w:cs="Arial"/>
          <w:sz w:val="24"/>
          <w:szCs w:val="24"/>
        </w:rPr>
        <w:t>85</w:t>
      </w:r>
      <w:r w:rsidRPr="00040F5F">
        <w:rPr>
          <w:rFonts w:ascii="Arial" w:hAnsi="Arial" w:cs="Arial"/>
          <w:sz w:val="24"/>
          <w:szCs w:val="24"/>
        </w:rPr>
        <w:t>-</w:t>
      </w:r>
      <w:r w:rsidR="00F118AE">
        <w:rPr>
          <w:rFonts w:ascii="Arial" w:hAnsi="Arial" w:cs="Arial"/>
          <w:sz w:val="24"/>
          <w:szCs w:val="24"/>
        </w:rPr>
        <w:t>09</w:t>
      </w:r>
      <w:r>
        <w:rPr>
          <w:rFonts w:ascii="Arial" w:hAnsi="Arial" w:cs="Arial"/>
          <w:sz w:val="24"/>
          <w:szCs w:val="24"/>
        </w:rPr>
        <w:t xml:space="preserve"> </w:t>
      </w:r>
      <w:r w:rsidR="00F118AE">
        <w:rPr>
          <w:rFonts w:ascii="Arial" w:hAnsi="Arial" w:cs="Arial"/>
          <w:sz w:val="24"/>
          <w:szCs w:val="24"/>
        </w:rPr>
        <w:tab/>
      </w:r>
      <w:r w:rsidR="00F118AE">
        <w:rPr>
          <w:rFonts w:ascii="Arial" w:hAnsi="Arial" w:cs="Arial"/>
          <w:sz w:val="24"/>
          <w:szCs w:val="24"/>
        </w:rPr>
        <w:tab/>
        <w:t>RESOURCE ESTIMATE</w:t>
      </w:r>
    </w:p>
    <w:p w:rsidR="00B04A4C" w:rsidRPr="00040F5F" w:rsidRDefault="00B04A4C" w:rsidP="008104AF">
      <w:pPr>
        <w:numPr>
          <w:ilvl w:val="12"/>
          <w:numId w:val="0"/>
        </w:numPr>
        <w:tabs>
          <w:tab w:val="left" w:pos="274"/>
          <w:tab w:val="left" w:pos="806"/>
          <w:tab w:val="left" w:pos="1440"/>
          <w:tab w:val="left" w:pos="2074"/>
        </w:tabs>
        <w:jc w:val="both"/>
        <w:rPr>
          <w:rFonts w:ascii="Arial" w:hAnsi="Arial" w:cs="Arial"/>
          <w:sz w:val="24"/>
          <w:szCs w:val="24"/>
        </w:rPr>
      </w:pPr>
    </w:p>
    <w:p w:rsidR="00C44340" w:rsidRDefault="007E3A5B"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The estimated average time to complete the TI inspection requirements is 20 hours (with a range of </w:t>
      </w:r>
      <w:r w:rsidR="00F70ADE">
        <w:rPr>
          <w:rFonts w:ascii="Arial" w:hAnsi="Arial" w:cs="Arial"/>
          <w:sz w:val="24"/>
          <w:szCs w:val="24"/>
        </w:rPr>
        <w:t>10</w:t>
      </w:r>
      <w:r>
        <w:rPr>
          <w:rFonts w:ascii="Arial" w:hAnsi="Arial" w:cs="Arial"/>
          <w:sz w:val="24"/>
          <w:szCs w:val="24"/>
        </w:rPr>
        <w:t xml:space="preserve"> hours to </w:t>
      </w:r>
      <w:r w:rsidR="00F70ADE">
        <w:rPr>
          <w:rFonts w:ascii="Arial" w:hAnsi="Arial" w:cs="Arial"/>
          <w:sz w:val="24"/>
          <w:szCs w:val="24"/>
        </w:rPr>
        <w:t>30</w:t>
      </w:r>
      <w:r>
        <w:rPr>
          <w:rFonts w:ascii="Arial" w:hAnsi="Arial" w:cs="Arial"/>
          <w:sz w:val="24"/>
          <w:szCs w:val="24"/>
        </w:rPr>
        <w:t xml:space="preserve"> hours).</w:t>
      </w:r>
      <w:r w:rsidR="00B04A4C" w:rsidRPr="00040F5F">
        <w:rPr>
          <w:rFonts w:ascii="Arial" w:hAnsi="Arial" w:cs="Arial"/>
          <w:sz w:val="24"/>
          <w:szCs w:val="24"/>
        </w:rPr>
        <w:t xml:space="preserve">  This TI can be performed in conjunction with the performance of the periodic baseline inspections performed for the radioactive </w:t>
      </w:r>
      <w:r w:rsidR="00C024FE">
        <w:rPr>
          <w:rFonts w:ascii="Arial" w:hAnsi="Arial" w:cs="Arial"/>
          <w:sz w:val="24"/>
          <w:szCs w:val="24"/>
        </w:rPr>
        <w:t xml:space="preserve">gaseous and </w:t>
      </w:r>
      <w:r w:rsidR="00B04A4C" w:rsidRPr="00040F5F">
        <w:rPr>
          <w:rFonts w:ascii="Arial" w:hAnsi="Arial" w:cs="Arial"/>
          <w:sz w:val="24"/>
          <w:szCs w:val="24"/>
        </w:rPr>
        <w:t>liquid effluent treatment and the radiological environmental monitoring program (IP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6</w:t>
      </w:r>
      <w:r w:rsidR="00B04A4C" w:rsidRPr="00040F5F">
        <w:rPr>
          <w:rFonts w:ascii="Arial" w:hAnsi="Arial" w:cs="Arial"/>
          <w:sz w:val="24"/>
          <w:szCs w:val="24"/>
        </w:rPr>
        <w:t xml:space="preserve"> and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7</w:t>
      </w:r>
      <w:r w:rsidR="00B04A4C" w:rsidRPr="00040F5F">
        <w:rPr>
          <w:rFonts w:ascii="Arial" w:hAnsi="Arial" w:cs="Arial"/>
          <w:sz w:val="24"/>
          <w:szCs w:val="24"/>
        </w:rPr>
        <w:t xml:space="preserve">).  </w:t>
      </w:r>
      <w:r w:rsidR="00D94072">
        <w:rPr>
          <w:rFonts w:ascii="Arial" w:hAnsi="Arial" w:cs="Arial"/>
          <w:sz w:val="24"/>
          <w:szCs w:val="24"/>
        </w:rPr>
        <w:t xml:space="preserve">If so, </w:t>
      </w:r>
      <w:r w:rsidR="00F70ADE">
        <w:rPr>
          <w:rFonts w:ascii="Arial" w:hAnsi="Arial" w:cs="Arial"/>
          <w:sz w:val="24"/>
          <w:szCs w:val="24"/>
        </w:rPr>
        <w:t xml:space="preserve">inspection hours used in performing the </w:t>
      </w:r>
      <w:r w:rsidR="00B04A4C" w:rsidRPr="00040F5F">
        <w:rPr>
          <w:rFonts w:ascii="Arial" w:hAnsi="Arial" w:cs="Arial"/>
          <w:sz w:val="24"/>
          <w:szCs w:val="24"/>
        </w:rPr>
        <w:t xml:space="preserve">TI can be </w:t>
      </w:r>
      <w:r w:rsidR="00F70ADE">
        <w:rPr>
          <w:rFonts w:ascii="Arial" w:hAnsi="Arial" w:cs="Arial"/>
          <w:sz w:val="24"/>
          <w:szCs w:val="24"/>
        </w:rPr>
        <w:t>credited</w:t>
      </w:r>
      <w:r w:rsidR="00B04A4C" w:rsidRPr="00040F5F">
        <w:rPr>
          <w:rFonts w:ascii="Arial" w:hAnsi="Arial" w:cs="Arial"/>
          <w:sz w:val="24"/>
          <w:szCs w:val="24"/>
        </w:rPr>
        <w:t xml:space="preserve"> </w:t>
      </w:r>
      <w:r w:rsidR="00E97C53">
        <w:rPr>
          <w:rFonts w:ascii="Arial" w:hAnsi="Arial" w:cs="Arial"/>
          <w:sz w:val="24"/>
          <w:szCs w:val="24"/>
        </w:rPr>
        <w:t xml:space="preserve">for up for up to 8 </w:t>
      </w:r>
      <w:r w:rsidR="00D94072">
        <w:rPr>
          <w:rFonts w:ascii="Arial" w:hAnsi="Arial" w:cs="Arial"/>
          <w:sz w:val="24"/>
          <w:szCs w:val="24"/>
        </w:rPr>
        <w:t xml:space="preserve">hours </w:t>
      </w:r>
      <w:r w:rsidR="00B04A4C" w:rsidRPr="00040F5F">
        <w:rPr>
          <w:rFonts w:ascii="Arial" w:hAnsi="Arial" w:cs="Arial"/>
          <w:sz w:val="24"/>
          <w:szCs w:val="24"/>
        </w:rPr>
        <w:t>for 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6</w:t>
      </w:r>
      <w:r w:rsidR="00B04A4C" w:rsidRPr="00040F5F">
        <w:rPr>
          <w:rFonts w:ascii="Arial" w:hAnsi="Arial" w:cs="Arial"/>
          <w:sz w:val="24"/>
          <w:szCs w:val="24"/>
        </w:rPr>
        <w:t xml:space="preserve"> and </w:t>
      </w:r>
      <w:r w:rsidR="00B04A4C">
        <w:rPr>
          <w:rFonts w:ascii="Arial" w:hAnsi="Arial" w:cs="Arial"/>
          <w:sz w:val="24"/>
          <w:szCs w:val="24"/>
        </w:rPr>
        <w:t>4</w:t>
      </w:r>
      <w:r w:rsidR="00D94072">
        <w:rPr>
          <w:rFonts w:ascii="Arial" w:hAnsi="Arial" w:cs="Arial"/>
          <w:sz w:val="24"/>
          <w:szCs w:val="24"/>
        </w:rPr>
        <w:t xml:space="preserve"> hours of </w:t>
      </w:r>
      <w:r w:rsidR="00B04A4C" w:rsidRPr="00040F5F">
        <w:rPr>
          <w:rFonts w:ascii="Arial" w:hAnsi="Arial" w:cs="Arial"/>
          <w:sz w:val="24"/>
          <w:szCs w:val="24"/>
        </w:rPr>
        <w:t>IP 7112</w:t>
      </w:r>
      <w:r w:rsidR="00B04A4C">
        <w:rPr>
          <w:rFonts w:ascii="Arial" w:hAnsi="Arial" w:cs="Arial"/>
          <w:sz w:val="24"/>
          <w:szCs w:val="24"/>
        </w:rPr>
        <w:t>4</w:t>
      </w:r>
      <w:r w:rsidR="00B04A4C" w:rsidRPr="00040F5F">
        <w:rPr>
          <w:rFonts w:ascii="Arial" w:hAnsi="Arial" w:cs="Arial"/>
          <w:sz w:val="24"/>
          <w:szCs w:val="24"/>
        </w:rPr>
        <w:t>.0</w:t>
      </w:r>
      <w:r w:rsidR="00B04A4C">
        <w:rPr>
          <w:rFonts w:ascii="Arial" w:hAnsi="Arial" w:cs="Arial"/>
          <w:sz w:val="24"/>
          <w:szCs w:val="24"/>
        </w:rPr>
        <w:t>7</w:t>
      </w:r>
      <w:r w:rsidR="00B04A4C" w:rsidRPr="00040F5F">
        <w:rPr>
          <w:rFonts w:ascii="Arial" w:hAnsi="Arial" w:cs="Arial"/>
          <w:sz w:val="24"/>
          <w:szCs w:val="24"/>
        </w:rPr>
        <w:t>.</w:t>
      </w:r>
    </w:p>
    <w:p w:rsidR="00B72123" w:rsidRDefault="00B72123" w:rsidP="008104AF">
      <w:pPr>
        <w:numPr>
          <w:ilvl w:val="12"/>
          <w:numId w:val="0"/>
        </w:numPr>
        <w:tabs>
          <w:tab w:val="left" w:pos="274"/>
          <w:tab w:val="left" w:pos="806"/>
          <w:tab w:val="left" w:pos="1440"/>
          <w:tab w:val="left" w:pos="2074"/>
        </w:tabs>
        <w:jc w:val="both"/>
        <w:rPr>
          <w:rFonts w:ascii="Arial" w:hAnsi="Arial" w:cs="Arial"/>
          <w:sz w:val="24"/>
          <w:szCs w:val="24"/>
        </w:rPr>
      </w:pPr>
    </w:p>
    <w:p w:rsidR="00B04A4C" w:rsidRDefault="00C44340"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All hours should be charged to the TI with notes added to RPS completion for IP 71124.06 and 71124.07 describing how many hours were </w:t>
      </w:r>
      <w:r w:rsidR="00641092">
        <w:rPr>
          <w:rFonts w:ascii="Arial" w:hAnsi="Arial" w:cs="Arial"/>
          <w:sz w:val="24"/>
          <w:szCs w:val="24"/>
        </w:rPr>
        <w:t xml:space="preserve">credited to </w:t>
      </w:r>
      <w:r>
        <w:rPr>
          <w:rFonts w:ascii="Arial" w:hAnsi="Arial" w:cs="Arial"/>
          <w:sz w:val="24"/>
          <w:szCs w:val="24"/>
        </w:rPr>
        <w:t>each IP.</w:t>
      </w:r>
      <w:r w:rsidR="00D94072">
        <w:rPr>
          <w:rFonts w:ascii="Arial" w:hAnsi="Arial" w:cs="Arial"/>
          <w:sz w:val="24"/>
          <w:szCs w:val="24"/>
        </w:rPr>
        <w:t xml:space="preserve">  </w:t>
      </w:r>
      <w:r w:rsidR="00F70ADE">
        <w:rPr>
          <w:rFonts w:ascii="Arial" w:hAnsi="Arial" w:cs="Arial"/>
          <w:sz w:val="24"/>
          <w:szCs w:val="24"/>
        </w:rPr>
        <w:t>T</w:t>
      </w:r>
      <w:r w:rsidR="007E3A5B">
        <w:rPr>
          <w:rFonts w:ascii="Arial" w:hAnsi="Arial" w:cs="Arial"/>
          <w:sz w:val="24"/>
          <w:szCs w:val="24"/>
        </w:rPr>
        <w:t xml:space="preserve">he use of the TI to satisfy </w:t>
      </w:r>
      <w:r w:rsidR="00F70ADE">
        <w:rPr>
          <w:rFonts w:ascii="Arial" w:hAnsi="Arial" w:cs="Arial"/>
          <w:sz w:val="24"/>
          <w:szCs w:val="24"/>
        </w:rPr>
        <w:t xml:space="preserve">a portion of the baseline inspection requirements is documented </w:t>
      </w:r>
      <w:r w:rsidR="007E3A5B">
        <w:rPr>
          <w:rFonts w:ascii="Arial" w:hAnsi="Arial" w:cs="Arial"/>
          <w:sz w:val="24"/>
          <w:szCs w:val="24"/>
        </w:rPr>
        <w:t>“by reference” in accordance with the requirements of IMC 306, Section 05.03</w:t>
      </w:r>
      <w:r w:rsidR="00A21946">
        <w:rPr>
          <w:rFonts w:ascii="Arial" w:hAnsi="Arial" w:cs="Arial"/>
          <w:sz w:val="24"/>
          <w:szCs w:val="24"/>
        </w:rPr>
        <w:t>.f.3.</w:t>
      </w:r>
    </w:p>
    <w:p w:rsidR="00137DE2" w:rsidRDefault="00137DE2" w:rsidP="008104AF">
      <w:pPr>
        <w:numPr>
          <w:ilvl w:val="12"/>
          <w:numId w:val="0"/>
        </w:numPr>
        <w:tabs>
          <w:tab w:val="left" w:pos="274"/>
          <w:tab w:val="left" w:pos="806"/>
          <w:tab w:val="left" w:pos="1440"/>
          <w:tab w:val="left" w:pos="2074"/>
        </w:tabs>
        <w:jc w:val="both"/>
        <w:rPr>
          <w:rFonts w:ascii="Arial" w:hAnsi="Arial" w:cs="Arial"/>
          <w:sz w:val="24"/>
          <w:szCs w:val="24"/>
        </w:rPr>
      </w:pPr>
    </w:p>
    <w:p w:rsidR="004D0635" w:rsidRPr="00040F5F" w:rsidRDefault="00211CD2"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 xml:space="preserve">It is estimated that </w:t>
      </w:r>
      <w:r w:rsidR="004D0635">
        <w:rPr>
          <w:rFonts w:ascii="Arial" w:hAnsi="Arial" w:cs="Arial"/>
          <w:sz w:val="24"/>
          <w:szCs w:val="24"/>
        </w:rPr>
        <w:t xml:space="preserve">Headquarters resources will be </w:t>
      </w:r>
      <w:r>
        <w:rPr>
          <w:rFonts w:ascii="Arial" w:hAnsi="Arial" w:cs="Arial"/>
          <w:sz w:val="24"/>
          <w:szCs w:val="24"/>
        </w:rPr>
        <w:t xml:space="preserve">also </w:t>
      </w:r>
      <w:r w:rsidR="004D0635">
        <w:rPr>
          <w:rFonts w:ascii="Arial" w:hAnsi="Arial" w:cs="Arial"/>
          <w:sz w:val="24"/>
          <w:szCs w:val="24"/>
        </w:rPr>
        <w:t>required to summar</w:t>
      </w:r>
      <w:r>
        <w:rPr>
          <w:rFonts w:ascii="Arial" w:hAnsi="Arial" w:cs="Arial"/>
          <w:sz w:val="24"/>
          <w:szCs w:val="24"/>
        </w:rPr>
        <w:t>ize</w:t>
      </w:r>
      <w:r w:rsidR="004D0635">
        <w:rPr>
          <w:rFonts w:ascii="Arial" w:hAnsi="Arial" w:cs="Arial"/>
          <w:sz w:val="24"/>
          <w:szCs w:val="24"/>
        </w:rPr>
        <w:t xml:space="preserve"> </w:t>
      </w:r>
      <w:r>
        <w:rPr>
          <w:rFonts w:ascii="Arial" w:hAnsi="Arial" w:cs="Arial"/>
          <w:sz w:val="24"/>
          <w:szCs w:val="24"/>
        </w:rPr>
        <w:t>and document the inspection findings in a report similar to that prepared for the initial inspection period.</w:t>
      </w:r>
    </w:p>
    <w:p w:rsidR="00B04A4C" w:rsidRPr="00040F5F" w:rsidRDefault="00B04A4C" w:rsidP="008104AF">
      <w:pPr>
        <w:numPr>
          <w:ilvl w:val="12"/>
          <w:numId w:val="0"/>
        </w:numPr>
        <w:tabs>
          <w:tab w:val="left" w:pos="274"/>
          <w:tab w:val="left" w:pos="806"/>
          <w:tab w:val="left" w:pos="1440"/>
          <w:tab w:val="left" w:pos="2074"/>
        </w:tabs>
        <w:jc w:val="both"/>
        <w:rPr>
          <w:rFonts w:ascii="Arial" w:hAnsi="Arial" w:cs="Arial"/>
          <w:sz w:val="24"/>
          <w:szCs w:val="24"/>
        </w:rPr>
      </w:pPr>
    </w:p>
    <w:p w:rsidR="00F118AE" w:rsidRDefault="00F118AE"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2515/185-10 TRAINING</w:t>
      </w:r>
    </w:p>
    <w:p w:rsidR="00F118AE" w:rsidRDefault="00F118AE" w:rsidP="008104AF">
      <w:pPr>
        <w:numPr>
          <w:ilvl w:val="12"/>
          <w:numId w:val="0"/>
        </w:numPr>
        <w:tabs>
          <w:tab w:val="left" w:pos="274"/>
          <w:tab w:val="left" w:pos="806"/>
          <w:tab w:val="left" w:pos="1440"/>
          <w:tab w:val="left" w:pos="2074"/>
        </w:tabs>
        <w:jc w:val="both"/>
        <w:rPr>
          <w:rFonts w:ascii="Arial" w:hAnsi="Arial" w:cs="Arial"/>
          <w:sz w:val="24"/>
          <w:szCs w:val="24"/>
        </w:rPr>
      </w:pPr>
    </w:p>
    <w:p w:rsidR="00F175DE" w:rsidRDefault="00B04A4C" w:rsidP="008104AF">
      <w:pPr>
        <w:numPr>
          <w:ilvl w:val="12"/>
          <w:numId w:val="0"/>
        </w:numPr>
        <w:tabs>
          <w:tab w:val="left" w:pos="274"/>
          <w:tab w:val="left" w:pos="806"/>
          <w:tab w:val="left" w:pos="1440"/>
          <w:tab w:val="left" w:pos="2074"/>
        </w:tabs>
        <w:jc w:val="both"/>
        <w:rPr>
          <w:rFonts w:ascii="Arial" w:hAnsi="Arial" w:cs="Arial"/>
          <w:sz w:val="24"/>
          <w:szCs w:val="24"/>
        </w:rPr>
      </w:pPr>
      <w:r>
        <w:rPr>
          <w:rFonts w:ascii="Arial" w:hAnsi="Arial" w:cs="Arial"/>
          <w:sz w:val="24"/>
          <w:szCs w:val="24"/>
        </w:rPr>
        <w:t>I</w:t>
      </w:r>
      <w:r w:rsidRPr="00040F5F">
        <w:rPr>
          <w:rFonts w:ascii="Arial" w:hAnsi="Arial" w:cs="Arial"/>
          <w:sz w:val="24"/>
          <w:szCs w:val="24"/>
        </w:rPr>
        <w:t>nspectors performing this inspection must meet the basic training for inspectors specified in IMC 1245, "Inspector Qualifications</w:t>
      </w:r>
      <w:r>
        <w:rPr>
          <w:rFonts w:ascii="Arial" w:hAnsi="Arial" w:cs="Arial"/>
          <w:sz w:val="24"/>
          <w:szCs w:val="24"/>
        </w:rPr>
        <w:t>.</w:t>
      </w:r>
      <w:r w:rsidRPr="00040F5F">
        <w:rPr>
          <w:rFonts w:ascii="Arial" w:hAnsi="Arial" w:cs="Arial"/>
          <w:sz w:val="24"/>
          <w:szCs w:val="24"/>
        </w:rPr>
        <w:t>"  However, if technical support is needed during the inspection, contact</w:t>
      </w:r>
      <w:r w:rsidRPr="008910D2">
        <w:rPr>
          <w:rFonts w:ascii="Arial" w:hAnsi="Arial" w:cs="Arial"/>
          <w:sz w:val="24"/>
          <w:szCs w:val="24"/>
        </w:rPr>
        <w:t xml:space="preserve"> </w:t>
      </w:r>
      <w:r w:rsidR="00FB16E3">
        <w:rPr>
          <w:rFonts w:ascii="Arial" w:hAnsi="Arial" w:cs="Arial"/>
          <w:sz w:val="24"/>
          <w:szCs w:val="24"/>
        </w:rPr>
        <w:t>Manuel Jimenez</w:t>
      </w:r>
      <w:r w:rsidR="00F118AE">
        <w:rPr>
          <w:rFonts w:ascii="Arial" w:hAnsi="Arial" w:cs="Arial"/>
          <w:sz w:val="24"/>
          <w:szCs w:val="24"/>
        </w:rPr>
        <w:t xml:space="preserve"> </w:t>
      </w:r>
      <w:r>
        <w:rPr>
          <w:rFonts w:ascii="Arial" w:hAnsi="Arial" w:cs="Arial"/>
          <w:sz w:val="24"/>
          <w:szCs w:val="24"/>
        </w:rPr>
        <w:t>at telephone 301-415-39</w:t>
      </w:r>
      <w:r w:rsidR="00FB16E3">
        <w:rPr>
          <w:rFonts w:ascii="Arial" w:hAnsi="Arial" w:cs="Arial"/>
          <w:sz w:val="24"/>
          <w:szCs w:val="24"/>
        </w:rPr>
        <w:t>15</w:t>
      </w:r>
      <w:r>
        <w:rPr>
          <w:rFonts w:ascii="Arial" w:hAnsi="Arial" w:cs="Arial"/>
          <w:sz w:val="24"/>
          <w:szCs w:val="24"/>
        </w:rPr>
        <w:t xml:space="preserve"> or </w:t>
      </w:r>
      <w:hyperlink r:id="rId9" w:history="1">
        <w:r w:rsidR="00FB16E3" w:rsidRPr="00B02050">
          <w:rPr>
            <w:rStyle w:val="Hyperlink"/>
            <w:rFonts w:ascii="Arial" w:hAnsi="Arial" w:cs="Arial"/>
            <w:sz w:val="24"/>
            <w:szCs w:val="24"/>
          </w:rPr>
          <w:t>manuel.jimenez@nrc.gov</w:t>
        </w:r>
      </w:hyperlink>
      <w:r w:rsidRPr="00040F5F">
        <w:rPr>
          <w:rFonts w:ascii="Arial" w:hAnsi="Arial" w:cs="Arial"/>
          <w:sz w:val="24"/>
          <w:szCs w:val="24"/>
        </w:rPr>
        <w:t>.</w:t>
      </w:r>
    </w:p>
    <w:p w:rsidR="008104AF" w:rsidRDefault="008104AF" w:rsidP="008104AF">
      <w:pPr>
        <w:autoSpaceDE/>
        <w:autoSpaceDN/>
        <w:adjustRightInd/>
        <w:rPr>
          <w:rFonts w:ascii="Arial" w:hAnsi="Arial" w:cs="Arial"/>
          <w:sz w:val="24"/>
          <w:szCs w:val="24"/>
        </w:rPr>
        <w:sectPr w:rsidR="008104AF" w:rsidSect="00B67AA7">
          <w:headerReference w:type="default" r:id="rId10"/>
          <w:footerReference w:type="default" r:id="rId11"/>
          <w:pgSz w:w="12240" w:h="15840"/>
          <w:pgMar w:top="1440" w:right="1440" w:bottom="1440" w:left="1440" w:header="1080" w:footer="720" w:gutter="0"/>
          <w:cols w:space="720"/>
          <w:docGrid w:linePitch="360"/>
        </w:sectPr>
      </w:pPr>
    </w:p>
    <w:p w:rsidR="00F175DE" w:rsidRDefault="00F175DE" w:rsidP="008104AF">
      <w:pPr>
        <w:autoSpaceDE/>
        <w:autoSpaceDN/>
        <w:adjustRightInd/>
        <w:rPr>
          <w:rFonts w:ascii="Arial" w:hAnsi="Arial" w:cs="Arial"/>
          <w:sz w:val="24"/>
          <w:szCs w:val="24"/>
        </w:rPr>
      </w:pPr>
    </w:p>
    <w:p w:rsidR="00F175DE" w:rsidRDefault="00F175DE" w:rsidP="008104AF">
      <w:pPr>
        <w:jc w:val="center"/>
        <w:rPr>
          <w:rFonts w:ascii="Arial" w:hAnsi="Arial" w:cs="Arial"/>
          <w:sz w:val="24"/>
          <w:szCs w:val="24"/>
        </w:rPr>
      </w:pPr>
      <w:r w:rsidRPr="006674F0">
        <w:rPr>
          <w:rFonts w:ascii="Arial" w:hAnsi="Arial" w:cs="Arial"/>
          <w:sz w:val="24"/>
          <w:szCs w:val="24"/>
        </w:rPr>
        <w:t xml:space="preserve">ATTACHMENT </w:t>
      </w:r>
      <w:r>
        <w:rPr>
          <w:rFonts w:ascii="Arial" w:hAnsi="Arial" w:cs="Arial"/>
          <w:sz w:val="24"/>
          <w:szCs w:val="24"/>
        </w:rPr>
        <w:t>1</w:t>
      </w:r>
    </w:p>
    <w:p w:rsidR="00F175DE" w:rsidRPr="006674F0" w:rsidRDefault="00F175DE" w:rsidP="008104AF">
      <w:pPr>
        <w:jc w:val="center"/>
        <w:rPr>
          <w:rFonts w:ascii="Arial" w:hAnsi="Arial" w:cs="Arial"/>
          <w:sz w:val="24"/>
          <w:szCs w:val="24"/>
        </w:rPr>
      </w:pPr>
      <w:r>
        <w:rPr>
          <w:rFonts w:ascii="Arial" w:hAnsi="Arial" w:cs="Arial"/>
          <w:sz w:val="24"/>
          <w:szCs w:val="24"/>
        </w:rPr>
        <w:t>Program Elements in NEI 07-07, “Industry Ground</w:t>
      </w:r>
      <w:r w:rsidR="00867EB9">
        <w:rPr>
          <w:rFonts w:ascii="Arial" w:hAnsi="Arial" w:cs="Arial"/>
          <w:sz w:val="24"/>
          <w:szCs w:val="24"/>
        </w:rPr>
        <w:t xml:space="preserve"> Water </w:t>
      </w:r>
      <w:r>
        <w:rPr>
          <w:rFonts w:ascii="Arial" w:hAnsi="Arial" w:cs="Arial"/>
          <w:sz w:val="24"/>
          <w:szCs w:val="24"/>
        </w:rPr>
        <w:t>Protection Initiative – Final Guidance Document”</w:t>
      </w:r>
    </w:p>
    <w:p w:rsidR="00F175DE" w:rsidRPr="006674F0" w:rsidRDefault="00F175DE" w:rsidP="008104AF">
      <w:pPr>
        <w:rPr>
          <w:rFonts w:ascii="Arial" w:hAnsi="Arial" w:cs="Arial"/>
          <w:sz w:val="24"/>
          <w:szCs w:val="24"/>
        </w:rPr>
      </w:pPr>
    </w:p>
    <w:tbl>
      <w:tblPr>
        <w:tblStyle w:val="TableGrid"/>
        <w:tblW w:w="9558" w:type="dxa"/>
        <w:tblLook w:val="04A0"/>
      </w:tblPr>
      <w:tblGrid>
        <w:gridCol w:w="1217"/>
        <w:gridCol w:w="8341"/>
      </w:tblGrid>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Program Element</w:t>
            </w:r>
            <w:r w:rsidRPr="006674F0">
              <w:rPr>
                <w:rFonts w:ascii="Arial" w:hAnsi="Arial" w:cs="Arial"/>
                <w:sz w:val="24"/>
                <w:szCs w:val="24"/>
              </w:rPr>
              <w:t xml:space="preserve"> No.</w:t>
            </w:r>
          </w:p>
        </w:tc>
        <w:tc>
          <w:tcPr>
            <w:tcW w:w="8341" w:type="dxa"/>
          </w:tcPr>
          <w:p w:rsidR="00320268" w:rsidRPr="006674F0" w:rsidRDefault="00320268" w:rsidP="008104AF">
            <w:pPr>
              <w:ind w:right="-108"/>
              <w:jc w:val="center"/>
              <w:rPr>
                <w:rFonts w:ascii="Arial" w:hAnsi="Arial" w:cs="Arial"/>
                <w:sz w:val="24"/>
                <w:szCs w:val="24"/>
              </w:rPr>
            </w:pPr>
            <w:r w:rsidRPr="006674F0">
              <w:rPr>
                <w:rFonts w:ascii="Arial" w:hAnsi="Arial" w:cs="Arial"/>
                <w:sz w:val="24"/>
                <w:szCs w:val="24"/>
              </w:rPr>
              <w:t>Program Element</w:t>
            </w:r>
            <w:r>
              <w:rPr>
                <w:rFonts w:ascii="Arial" w:hAnsi="Arial" w:cs="Arial"/>
                <w:sz w:val="24"/>
                <w:szCs w:val="24"/>
              </w:rPr>
              <w:t xml:space="preserve"> Description</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1.1 – Site Hydrology and Geology</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Perform hydrogeologic and geologic studies to determine predominant ground water flow characteristics and gradients.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As appropriate, review existing hydrogeologic and geologic studies, historical environmental studies, and permit or license related reports.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Identify potential pathways for ground water migration from on-site locations to off-site locations through ground water.</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d</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the frequency for periodic reviews of site hydrogeologic studies. As a minimum, reviews should be performed whenever any of the following occurs: </w:t>
            </w:r>
          </w:p>
          <w:p w:rsidR="00320268" w:rsidRPr="006674F0" w:rsidRDefault="00320268" w:rsidP="008104AF">
            <w:pPr>
              <w:pStyle w:val="Default"/>
              <w:numPr>
                <w:ilvl w:val="0"/>
                <w:numId w:val="2"/>
              </w:numPr>
              <w:ind w:left="252" w:hanging="180"/>
              <w:rPr>
                <w:rFonts w:ascii="Arial" w:hAnsi="Arial" w:cs="Arial"/>
              </w:rPr>
            </w:pPr>
            <w:r w:rsidRPr="006674F0">
              <w:rPr>
                <w:rFonts w:ascii="Arial" w:hAnsi="Arial" w:cs="Arial"/>
              </w:rPr>
              <w:t xml:space="preserve">Substantial on-site construction, </w:t>
            </w:r>
          </w:p>
          <w:p w:rsidR="00320268" w:rsidRPr="006674F0" w:rsidRDefault="00320268" w:rsidP="008104AF">
            <w:pPr>
              <w:pStyle w:val="Default"/>
              <w:numPr>
                <w:ilvl w:val="0"/>
                <w:numId w:val="2"/>
              </w:numPr>
              <w:ind w:left="252" w:hanging="180"/>
              <w:rPr>
                <w:rFonts w:ascii="Arial" w:hAnsi="Arial" w:cs="Arial"/>
              </w:rPr>
            </w:pPr>
            <w:r w:rsidRPr="006674F0">
              <w:rPr>
                <w:rFonts w:ascii="Arial" w:hAnsi="Arial" w:cs="Arial"/>
              </w:rPr>
              <w:t xml:space="preserve">Substantial disturbance of site property, </w:t>
            </w:r>
          </w:p>
          <w:p w:rsidR="00320268" w:rsidRPr="006674F0" w:rsidRDefault="00320268" w:rsidP="008104AF">
            <w:pPr>
              <w:pStyle w:val="Default"/>
              <w:numPr>
                <w:ilvl w:val="0"/>
                <w:numId w:val="2"/>
              </w:numPr>
              <w:ind w:left="252" w:hanging="180"/>
              <w:rPr>
                <w:rFonts w:ascii="Arial" w:hAnsi="Arial" w:cs="Arial"/>
              </w:rPr>
            </w:pPr>
            <w:r w:rsidRPr="006674F0">
              <w:rPr>
                <w:rFonts w:ascii="Arial" w:hAnsi="Arial" w:cs="Arial"/>
              </w:rPr>
              <w:t xml:space="preserve">Substantial changes in on-site or nearby off-site use of water, or </w:t>
            </w:r>
          </w:p>
          <w:p w:rsidR="00320268" w:rsidRPr="006674F0" w:rsidRDefault="00320268" w:rsidP="008104AF">
            <w:pPr>
              <w:pStyle w:val="Default"/>
              <w:numPr>
                <w:ilvl w:val="0"/>
                <w:numId w:val="2"/>
              </w:numPr>
              <w:ind w:left="252" w:hanging="180"/>
              <w:rPr>
                <w:rFonts w:ascii="Arial" w:hAnsi="Arial" w:cs="Arial"/>
              </w:rPr>
            </w:pPr>
            <w:r w:rsidRPr="006674F0">
              <w:rPr>
                <w:rFonts w:ascii="Arial" w:hAnsi="Arial" w:cs="Arial"/>
              </w:rPr>
              <w:t xml:space="preserve">Substantial changes in on-site or nearby off-site pumping rates of ground water.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1.1.</w:t>
            </w:r>
            <w:r w:rsidRPr="006674F0">
              <w:rPr>
                <w:rFonts w:ascii="Arial" w:hAnsi="Arial" w:cs="Arial"/>
                <w:sz w:val="24"/>
                <w:szCs w:val="24"/>
              </w:rPr>
              <w:t>e</w:t>
            </w:r>
          </w:p>
        </w:tc>
        <w:tc>
          <w:tcPr>
            <w:tcW w:w="8341" w:type="dxa"/>
          </w:tcPr>
          <w:p w:rsidR="00320268" w:rsidRPr="006674F0" w:rsidRDefault="00320268" w:rsidP="008104AF">
            <w:pPr>
              <w:pStyle w:val="Default"/>
              <w:rPr>
                <w:rFonts w:ascii="Arial" w:hAnsi="Arial" w:cs="Arial"/>
              </w:rPr>
            </w:pPr>
            <w:r w:rsidRPr="006674F0">
              <w:rPr>
                <w:rFonts w:ascii="Arial" w:hAnsi="Arial" w:cs="Arial"/>
              </w:rPr>
              <w:t>As appropriate, update the site’s Final Safety Analysis Report with changes to the characterization of hydrology and/or geology.</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1.2 – Site Risk Assessment</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Identify each SSC and work practice that involves or could reasonably be expected to involve licensed material and for which there is a credible mechanism for the licensed material to reach ground water. Examples of SSCs of interest include: refueling water storage tanks, if outdoors; spent fuel pools; spent fuel pool leak detection systems; outdoor tanks; outdoor storage of contaminated equipment; buried piping; retention ponds or basins or reservoirs; lines carrying steam.</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Identify existing leak detection methods for each SSC and work practice that involves or could involve licensed material and for which there is a credible potential for inadvertent releases to ground water. These may include ground water monitoring, operator rounds, engineering walk</w:t>
            </w:r>
            <w:r>
              <w:rPr>
                <w:rFonts w:ascii="Arial" w:hAnsi="Arial" w:cs="Arial"/>
              </w:rPr>
              <w:t xml:space="preserve"> </w:t>
            </w:r>
            <w:r w:rsidRPr="006674F0">
              <w:rPr>
                <w:rFonts w:ascii="Arial" w:hAnsi="Arial" w:cs="Arial"/>
              </w:rPr>
              <w:t>downs</w:t>
            </w:r>
            <w:r>
              <w:rPr>
                <w:rFonts w:ascii="Arial" w:hAnsi="Arial" w:cs="Arial"/>
              </w:rPr>
              <w:t xml:space="preserve"> </w:t>
            </w:r>
            <w:r w:rsidRPr="006674F0">
              <w:rPr>
                <w:rFonts w:ascii="Arial" w:hAnsi="Arial" w:cs="Arial"/>
              </w:rPr>
              <w:t xml:space="preserve">or inspections, leak-detection systems, or periodic integrity testing.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Identify potential enhancements to leak detection systems or programs. These may include additional or increased frequency of rounds or walk</w:t>
            </w:r>
            <w:r>
              <w:rPr>
                <w:rFonts w:ascii="Arial" w:hAnsi="Arial" w:cs="Arial"/>
              </w:rPr>
              <w:t xml:space="preserve"> </w:t>
            </w:r>
            <w:r w:rsidRPr="006674F0">
              <w:rPr>
                <w:rFonts w:ascii="Arial" w:hAnsi="Arial" w:cs="Arial"/>
              </w:rPr>
              <w:t>downs or inspections, or integrity testing.</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d</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Identify potential enhancements to prevent spills or leaks from reaching ground water. These may include resealing or paving surfaces or installing spill containment measures.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e</w:t>
            </w:r>
          </w:p>
        </w:tc>
        <w:tc>
          <w:tcPr>
            <w:tcW w:w="8341" w:type="dxa"/>
          </w:tcPr>
          <w:p w:rsidR="00320268" w:rsidRPr="006674F0" w:rsidRDefault="00320268" w:rsidP="008104AF">
            <w:pPr>
              <w:pStyle w:val="Default"/>
              <w:rPr>
                <w:rFonts w:ascii="Arial" w:hAnsi="Arial" w:cs="Arial"/>
              </w:rPr>
            </w:pPr>
            <w:r w:rsidRPr="006674F0">
              <w:rPr>
                <w:rFonts w:ascii="Arial" w:hAnsi="Arial" w:cs="Arial"/>
              </w:rPr>
              <w:t>Identify the mechanism or site process for tracking corrective actions.</w:t>
            </w:r>
          </w:p>
        </w:tc>
      </w:tr>
    </w:tbl>
    <w:p w:rsidR="008104AF" w:rsidRDefault="008104AF">
      <w:pPr>
        <w:rPr>
          <w:rFonts w:ascii="Arial" w:hAnsi="Arial" w:cs="Arial"/>
          <w:sz w:val="24"/>
          <w:szCs w:val="24"/>
        </w:rPr>
        <w:sectPr w:rsidR="008104AF" w:rsidSect="00B67AA7">
          <w:footerReference w:type="default" r:id="rId12"/>
          <w:pgSz w:w="12240" w:h="15840"/>
          <w:pgMar w:top="1440" w:right="1440" w:bottom="1440" w:left="1440" w:header="1080" w:footer="720" w:gutter="0"/>
          <w:cols w:space="720"/>
          <w:docGrid w:linePitch="360"/>
        </w:sectPr>
      </w:pPr>
    </w:p>
    <w:tbl>
      <w:tblPr>
        <w:tblStyle w:val="TableGrid"/>
        <w:tblW w:w="9558" w:type="dxa"/>
        <w:tblLook w:val="04A0"/>
      </w:tblPr>
      <w:tblGrid>
        <w:gridCol w:w="1217"/>
        <w:gridCol w:w="8341"/>
      </w:tblGrid>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lastRenderedPageBreak/>
              <w:t>1.2.</w:t>
            </w:r>
            <w:r w:rsidRPr="006674F0">
              <w:rPr>
                <w:rFonts w:ascii="Arial" w:hAnsi="Arial" w:cs="Arial"/>
                <w:sz w:val="24"/>
                <w:szCs w:val="24"/>
              </w:rPr>
              <w:t>f</w:t>
            </w:r>
          </w:p>
        </w:tc>
        <w:tc>
          <w:tcPr>
            <w:tcW w:w="8341" w:type="dxa"/>
          </w:tcPr>
          <w:p w:rsidR="00320268" w:rsidRPr="006674F0" w:rsidRDefault="00320268" w:rsidP="008104AF">
            <w:pPr>
              <w:pStyle w:val="Default"/>
              <w:rPr>
                <w:rFonts w:ascii="Arial" w:hAnsi="Arial" w:cs="Arial"/>
              </w:rPr>
            </w:pPr>
            <w:r w:rsidRPr="006674F0">
              <w:rPr>
                <w:rFonts w:ascii="Arial" w:hAnsi="Arial" w:cs="Arial"/>
              </w:rPr>
              <w:t>Establish long term programs to perform preventative maintenance or surveillance activities to minimize the potential for inadvertent releases of licensed materials due to equipment failure.</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1.2.</w:t>
            </w:r>
            <w:r w:rsidRPr="006674F0">
              <w:rPr>
                <w:rFonts w:ascii="Arial" w:hAnsi="Arial" w:cs="Arial"/>
                <w:sz w:val="24"/>
                <w:szCs w:val="24"/>
              </w:rPr>
              <w:t>g</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the frequency for periodic reviews of SSCs and work practices.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1.3 – On-site Ground Water Monitoring</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Using the hydrology and geology studies developed under Objective 1.1, consider placement of ground water monitoring wells down</w:t>
            </w:r>
            <w:r>
              <w:rPr>
                <w:rFonts w:ascii="Arial" w:hAnsi="Arial" w:cs="Arial"/>
              </w:rPr>
              <w:t xml:space="preserve"> </w:t>
            </w:r>
            <w:r w:rsidRPr="006674F0">
              <w:rPr>
                <w:rFonts w:ascii="Arial" w:hAnsi="Arial" w:cs="Arial"/>
              </w:rPr>
              <w:t xml:space="preserve">gradient from the plant but within the boundary defined by the site license.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Consider, as appropriate, placing sentinel wells closer to SSCs that have the highest potential for inadvertent releases that could reach ground water or SSCs where leak detection capability is limited.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sampling and analysis protocols, including analytical sensitivity requirements, for ground water and soil. Sampling for tritium in the vadose or unsaturated zone may not be practicable and may require additional evaluation. For split or duplicate samples, analytical sensitivity levels should be discussed with and agreed to by those external stakeholders responsible for the analyses to preclude future disputes.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d</w:t>
            </w:r>
          </w:p>
        </w:tc>
        <w:tc>
          <w:tcPr>
            <w:tcW w:w="8341" w:type="dxa"/>
          </w:tcPr>
          <w:p w:rsidR="00320268" w:rsidRPr="006674F0" w:rsidRDefault="00320268" w:rsidP="008104AF">
            <w:pPr>
              <w:pStyle w:val="Default"/>
              <w:rPr>
                <w:rFonts w:ascii="Arial" w:hAnsi="Arial" w:cs="Arial"/>
              </w:rPr>
            </w:pPr>
            <w:r w:rsidRPr="006674F0">
              <w:rPr>
                <w:rFonts w:ascii="Arial" w:hAnsi="Arial" w:cs="Arial"/>
              </w:rPr>
              <w:t>Establish a formal, written program for long</w:t>
            </w:r>
            <w:r>
              <w:rPr>
                <w:rFonts w:ascii="Arial" w:hAnsi="Arial" w:cs="Arial"/>
              </w:rPr>
              <w:t xml:space="preserve"> </w:t>
            </w:r>
            <w:r w:rsidRPr="006674F0">
              <w:rPr>
                <w:rFonts w:ascii="Arial" w:hAnsi="Arial" w:cs="Arial"/>
              </w:rPr>
              <w:t>term ground water monitoring. For those ground water monitoring locations that are included in the REMP</w:t>
            </w:r>
            <w:r>
              <w:rPr>
                <w:rFonts w:ascii="Arial" w:hAnsi="Arial" w:cs="Arial"/>
              </w:rPr>
              <w:t>, revise the site’s ODCM/ODAM</w:t>
            </w:r>
            <w:r w:rsidRPr="006674F0">
              <w:rPr>
                <w:rFonts w:ascii="Arial" w:hAnsi="Arial" w:cs="Arial"/>
              </w:rPr>
              <w:t xml:space="preserve">.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e</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Periodically review existing station or contract lab(s) analytical capabilities. An important consideration is the time needed to obtain results.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f</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a long-term program for preventative maintenance of ground water wells.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1.3.</w:t>
            </w:r>
            <w:r w:rsidRPr="006674F0">
              <w:rPr>
                <w:rFonts w:ascii="Arial" w:hAnsi="Arial" w:cs="Arial"/>
                <w:sz w:val="24"/>
                <w:szCs w:val="24"/>
              </w:rPr>
              <w:t>g</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the frequency for periodic review of the ground water monitoring program.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1.4 – Remediation Process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Establish written procedures outlining the decision making process for remediation of leaks and spills or other instances of inadvertent releases. This process is site specific and shall consider migration pathways.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Evaluate the potential for detect</w:t>
            </w:r>
            <w:r w:rsidR="00B94F52">
              <w:rPr>
                <w:rFonts w:ascii="Arial" w:hAnsi="Arial" w:cs="Arial"/>
              </w:rPr>
              <w:t>i</w:t>
            </w:r>
            <w:r w:rsidRPr="006674F0">
              <w:rPr>
                <w:rFonts w:ascii="Arial" w:hAnsi="Arial" w:cs="Arial"/>
              </w:rPr>
              <w:t xml:space="preserve">ble levels of licensed material resulting from planned releases of liquids and/or airborne materials.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1.4.</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Evaluate and document, as appropriate, decommissioning impacts resulting from remediation activities or the absence thereof.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1.5 – Record Keeping</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1.5.</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Establish a record keeping program to meet the requirements of 10 CFR 50.75(g). Note that these records are used to determine an area’s classification for purposes of performing surveys (see NRC Regulatory Issue Summary 2002-02 Lessons Learned Related to Recently Submitted Decommissioning Plans and License Termination Plans).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2.1 – Stakeholder Briefing</w:t>
            </w:r>
          </w:p>
        </w:tc>
      </w:tr>
      <w:tr w:rsidR="00320268" w:rsidRPr="006674F0" w:rsidTr="001F451C">
        <w:tc>
          <w:tcPr>
            <w:tcW w:w="1217" w:type="dxa"/>
          </w:tcPr>
          <w:p w:rsidR="00320268" w:rsidRPr="00420260" w:rsidRDefault="00320268" w:rsidP="008104AF">
            <w:pPr>
              <w:jc w:val="center"/>
              <w:rPr>
                <w:sz w:val="24"/>
                <w:szCs w:val="24"/>
              </w:rPr>
            </w:pPr>
            <w:r>
              <w:rPr>
                <w:rFonts w:ascii="Arial" w:hAnsi="Arial" w:cs="Arial"/>
                <w:sz w:val="24"/>
                <w:szCs w:val="24"/>
              </w:rPr>
              <w:t>2.1.a</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The licensee should </w:t>
            </w:r>
            <w:r>
              <w:rPr>
                <w:rFonts w:ascii="Arial" w:hAnsi="Arial" w:cs="Arial"/>
              </w:rPr>
              <w:t xml:space="preserve">conduct initial and periodic briefings of their specific GPI program with the designated State/Local officials to  </w:t>
            </w:r>
            <w:r w:rsidRPr="006674F0">
              <w:rPr>
                <w:rFonts w:ascii="Arial" w:hAnsi="Arial" w:cs="Arial"/>
              </w:rPr>
              <w:t xml:space="preserve">discuss: </w:t>
            </w:r>
          </w:p>
          <w:p w:rsidR="00320268" w:rsidRPr="006674F0" w:rsidRDefault="00320268" w:rsidP="008104AF">
            <w:pPr>
              <w:pStyle w:val="Default"/>
              <w:numPr>
                <w:ilvl w:val="0"/>
                <w:numId w:val="2"/>
              </w:numPr>
              <w:ind w:left="252" w:hanging="180"/>
              <w:rPr>
                <w:rFonts w:ascii="Arial" w:hAnsi="Arial" w:cs="Arial"/>
              </w:rPr>
            </w:pPr>
            <w:r w:rsidRPr="006674F0">
              <w:rPr>
                <w:rFonts w:ascii="Arial" w:hAnsi="Arial" w:cs="Arial"/>
              </w:rPr>
              <w:t xml:space="preserve">The background or industry events that led to the GPI. </w:t>
            </w:r>
          </w:p>
          <w:p w:rsidR="00320268" w:rsidRPr="008104AF" w:rsidRDefault="00320268" w:rsidP="008104AF">
            <w:pPr>
              <w:pStyle w:val="Default"/>
              <w:numPr>
                <w:ilvl w:val="0"/>
                <w:numId w:val="2"/>
              </w:numPr>
              <w:ind w:left="252" w:hanging="180"/>
              <w:rPr>
                <w:rFonts w:ascii="Arial" w:hAnsi="Arial" w:cs="Arial"/>
              </w:rPr>
            </w:pPr>
            <w:r w:rsidRPr="006674F0">
              <w:rPr>
                <w:rFonts w:ascii="Arial" w:hAnsi="Arial" w:cs="Arial"/>
              </w:rPr>
              <w:t xml:space="preserve">If there is additional information that the State/Local officials need to better </w:t>
            </w:r>
            <w:proofErr w:type="gramStart"/>
            <w:r w:rsidRPr="006674F0">
              <w:rPr>
                <w:rFonts w:ascii="Arial" w:hAnsi="Arial" w:cs="Arial"/>
              </w:rPr>
              <w:t>understand</w:t>
            </w:r>
            <w:proofErr w:type="gramEnd"/>
            <w:r w:rsidRPr="006674F0">
              <w:rPr>
                <w:rFonts w:ascii="Arial" w:hAnsi="Arial" w:cs="Arial"/>
              </w:rPr>
              <w:t xml:space="preserve"> the issue or place it in perspective for their constituents. </w:t>
            </w:r>
          </w:p>
        </w:tc>
      </w:tr>
    </w:tbl>
    <w:p w:rsidR="008104AF" w:rsidRDefault="008104AF"/>
    <w:tbl>
      <w:tblPr>
        <w:tblStyle w:val="TableGrid"/>
        <w:tblW w:w="9558" w:type="dxa"/>
        <w:tblLook w:val="04A0"/>
      </w:tblPr>
      <w:tblGrid>
        <w:gridCol w:w="1217"/>
        <w:gridCol w:w="8341"/>
      </w:tblGrid>
      <w:tr w:rsidR="008104AF" w:rsidRPr="006674F0" w:rsidTr="001F451C">
        <w:tc>
          <w:tcPr>
            <w:tcW w:w="1217" w:type="dxa"/>
          </w:tcPr>
          <w:p w:rsidR="008104AF" w:rsidRDefault="008104AF" w:rsidP="008104AF">
            <w:pPr>
              <w:jc w:val="center"/>
              <w:rPr>
                <w:rFonts w:ascii="Arial" w:hAnsi="Arial" w:cs="Arial"/>
                <w:sz w:val="24"/>
                <w:szCs w:val="24"/>
              </w:rPr>
            </w:pPr>
          </w:p>
        </w:tc>
        <w:tc>
          <w:tcPr>
            <w:tcW w:w="8341" w:type="dxa"/>
          </w:tcPr>
          <w:p w:rsidR="008104AF" w:rsidRPr="006674F0" w:rsidRDefault="008104AF" w:rsidP="008104AF">
            <w:pPr>
              <w:pStyle w:val="Default"/>
              <w:ind w:left="223"/>
              <w:rPr>
                <w:rFonts w:ascii="Arial" w:hAnsi="Arial" w:cs="Arial"/>
              </w:rPr>
            </w:pPr>
            <w:r w:rsidRPr="006674F0">
              <w:rPr>
                <w:rFonts w:ascii="Arial" w:hAnsi="Arial" w:cs="Arial"/>
              </w:rPr>
              <w:t>“How” the State/Local officials will use or distribute the information.</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2.1.</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Licensees should consider including additional information or updates on ground water protection in periodic discussions with State/Local officials.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2.1.</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For licensees that are in States where multiple nuclear power plants are located and multiple owner companies, it is highly recommended that the licensees coordinate their efforts and communicate with each other. The initial briefing for the State/local officials and the contents of a voluntary communication should be consistent.</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2.</w:t>
            </w:r>
            <w:r>
              <w:rPr>
                <w:rFonts w:ascii="Arial" w:hAnsi="Arial" w:cs="Arial"/>
                <w:b/>
              </w:rPr>
              <w:t>2</w:t>
            </w:r>
            <w:r w:rsidRPr="00C36FE4">
              <w:rPr>
                <w:rFonts w:ascii="Arial" w:hAnsi="Arial" w:cs="Arial"/>
                <w:b/>
              </w:rPr>
              <w:t xml:space="preserve"> – Voluntary Communication</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Communication to the designated State/Local officials shall be made before the end of the next business day if an inadvertent leak or spill to the environment has or can potentially get into the ground water </w:t>
            </w:r>
            <w:r w:rsidRPr="006674F0">
              <w:rPr>
                <w:rFonts w:ascii="Arial" w:hAnsi="Arial" w:cs="Arial"/>
                <w:b/>
                <w:bCs/>
              </w:rPr>
              <w:t xml:space="preserve">and </w:t>
            </w:r>
            <w:r w:rsidRPr="006674F0">
              <w:rPr>
                <w:rFonts w:ascii="Arial" w:hAnsi="Arial" w:cs="Arial"/>
              </w:rPr>
              <w:t xml:space="preserve">exceeds any of the following criteria: </w:t>
            </w:r>
          </w:p>
          <w:p w:rsidR="00320268" w:rsidRPr="006674F0" w:rsidRDefault="00320268" w:rsidP="008104AF">
            <w:pPr>
              <w:pStyle w:val="Default"/>
              <w:numPr>
                <w:ilvl w:val="0"/>
                <w:numId w:val="6"/>
              </w:numPr>
              <w:ind w:left="432" w:hanging="90"/>
              <w:rPr>
                <w:rFonts w:ascii="Arial" w:hAnsi="Arial" w:cs="Arial"/>
              </w:rPr>
            </w:pPr>
            <w:r w:rsidRPr="006674F0">
              <w:rPr>
                <w:rFonts w:ascii="Arial" w:hAnsi="Arial" w:cs="Arial"/>
              </w:rPr>
              <w:t xml:space="preserve">If a spill or leak exceeding 100 gallons from a source containing licensed material, </w:t>
            </w:r>
          </w:p>
          <w:p w:rsidR="00320268" w:rsidRPr="006674F0" w:rsidRDefault="00320268" w:rsidP="008104AF">
            <w:pPr>
              <w:pStyle w:val="Default"/>
              <w:numPr>
                <w:ilvl w:val="0"/>
                <w:numId w:val="6"/>
              </w:numPr>
              <w:ind w:left="432" w:hanging="90"/>
              <w:rPr>
                <w:rFonts w:ascii="Arial" w:hAnsi="Arial" w:cs="Arial"/>
              </w:rPr>
            </w:pPr>
            <w:r w:rsidRPr="006674F0">
              <w:rPr>
                <w:rFonts w:ascii="Arial" w:hAnsi="Arial" w:cs="Arial"/>
              </w:rPr>
              <w:t xml:space="preserve">If the volume of a spill or leak cannot be quantified but is likely to exceed 100 gallons from a source containing licensed material, or </w:t>
            </w:r>
          </w:p>
          <w:p w:rsidR="00320268" w:rsidRPr="006674F0" w:rsidRDefault="00320268" w:rsidP="008104AF">
            <w:pPr>
              <w:pStyle w:val="Default"/>
              <w:numPr>
                <w:ilvl w:val="0"/>
                <w:numId w:val="6"/>
              </w:numPr>
              <w:ind w:left="432" w:hanging="90"/>
              <w:rPr>
                <w:rFonts w:ascii="Arial" w:hAnsi="Arial" w:cs="Arial"/>
              </w:rPr>
            </w:pPr>
            <w:r w:rsidRPr="006674F0">
              <w:rPr>
                <w:rFonts w:ascii="Arial" w:hAnsi="Arial" w:cs="Arial"/>
              </w:rPr>
              <w:t xml:space="preserve">Any leak or spill, regardless of volume or activity, deemed by the licensee to warrant voluntary communication.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Communication with the designated State/Local officials shall be made before the end of the next business day for a water sample result </w:t>
            </w:r>
          </w:p>
          <w:p w:rsidR="00320268" w:rsidRPr="006674F0" w:rsidRDefault="00320268" w:rsidP="008104AF">
            <w:pPr>
              <w:pStyle w:val="Default"/>
              <w:numPr>
                <w:ilvl w:val="0"/>
                <w:numId w:val="5"/>
              </w:numPr>
              <w:ind w:left="432" w:hanging="72"/>
              <w:rPr>
                <w:rFonts w:ascii="Arial" w:hAnsi="Arial" w:cs="Arial"/>
              </w:rPr>
            </w:pPr>
            <w:r w:rsidRPr="006674F0">
              <w:rPr>
                <w:rFonts w:ascii="Arial" w:hAnsi="Arial" w:cs="Arial"/>
              </w:rPr>
              <w:t xml:space="preserve">Of off-site ground water or surface water that exceeds any of the REMP reporting criteria for water as described in the ODCM/ODAM, or </w:t>
            </w:r>
          </w:p>
          <w:p w:rsidR="00320268" w:rsidRPr="006674F0" w:rsidRDefault="00320268" w:rsidP="008104AF">
            <w:pPr>
              <w:pStyle w:val="Default"/>
              <w:numPr>
                <w:ilvl w:val="0"/>
                <w:numId w:val="5"/>
              </w:numPr>
              <w:ind w:left="432" w:hanging="72"/>
              <w:rPr>
                <w:rFonts w:ascii="Arial" w:hAnsi="Arial" w:cs="Arial"/>
              </w:rPr>
            </w:pPr>
            <w:r w:rsidRPr="006674F0">
              <w:rPr>
                <w:rFonts w:ascii="Arial" w:hAnsi="Arial" w:cs="Arial"/>
              </w:rPr>
              <w:t>Of on-site surface water, that is hydrologically connected to ground water, or ground water that is or could be used as a source of drinking water, that exceeds any of the REMP reporting criteria for water as described in the ODCM/ODAM.</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sidRPr="006674F0">
              <w:rPr>
                <w:rFonts w:ascii="Arial" w:hAnsi="Arial" w:cs="Arial"/>
                <w:sz w:val="24"/>
                <w:szCs w:val="24"/>
              </w:rPr>
              <w:t>2</w:t>
            </w:r>
            <w:r>
              <w:rPr>
                <w:rFonts w:ascii="Arial" w:hAnsi="Arial" w:cs="Arial"/>
                <w:sz w:val="24"/>
                <w:szCs w:val="24"/>
              </w:rPr>
              <w:t>.2.</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When communicating to the State/Local officials, be clear and precise in quantifying the actual release information as it applies to the appropriate regulatory criteria (i.e.</w:t>
            </w:r>
            <w:r w:rsidR="00B94F52">
              <w:rPr>
                <w:rFonts w:ascii="Arial" w:hAnsi="Arial" w:cs="Arial"/>
              </w:rPr>
              <w:t>,</w:t>
            </w:r>
            <w:r w:rsidRPr="006674F0">
              <w:rPr>
                <w:rFonts w:ascii="Arial" w:hAnsi="Arial" w:cs="Arial"/>
              </w:rPr>
              <w:t xml:space="preserve"> put it in perspective). The following information should be provided as part of the informal communication: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A statement that the communication is being made as part of the NEI Ground Water Protection Initiative,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The date and time of the spill, leak, or sample result(s),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Whether or not the spill has been contained or the leak has been stopped,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If known, the location of the leak or spill or water sample(s),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The source of the leak or spill, if known,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A list of the contaminant(s) and the verified concentration(s),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Description of the action(s) already taken and a general description of future actions,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 xml:space="preserve">An estimate of the potential or bounding annual dose to a member of the public if available at this time, and </w:t>
            </w:r>
          </w:p>
          <w:p w:rsidR="00320268" w:rsidRPr="006674F0" w:rsidRDefault="00320268" w:rsidP="008104AF">
            <w:pPr>
              <w:pStyle w:val="Default"/>
              <w:numPr>
                <w:ilvl w:val="0"/>
                <w:numId w:val="4"/>
              </w:numPr>
              <w:ind w:left="432" w:hanging="90"/>
              <w:rPr>
                <w:rFonts w:ascii="Arial" w:hAnsi="Arial" w:cs="Arial"/>
              </w:rPr>
            </w:pPr>
            <w:r w:rsidRPr="006674F0">
              <w:rPr>
                <w:rFonts w:ascii="Arial" w:hAnsi="Arial" w:cs="Arial"/>
              </w:rPr>
              <w:t>An estimated time/date to provide additional information or follow-up.</w:t>
            </w:r>
          </w:p>
        </w:tc>
      </w:tr>
    </w:tbl>
    <w:p w:rsidR="008104AF" w:rsidRDefault="008104AF">
      <w:pPr>
        <w:rPr>
          <w:rFonts w:ascii="Arial" w:hAnsi="Arial" w:cs="Arial"/>
          <w:sz w:val="24"/>
          <w:szCs w:val="24"/>
        </w:rPr>
        <w:sectPr w:rsidR="008104AF" w:rsidSect="00B67AA7">
          <w:footerReference w:type="default" r:id="rId13"/>
          <w:pgSz w:w="12240" w:h="15840"/>
          <w:pgMar w:top="1440" w:right="1440" w:bottom="1440" w:left="1440" w:header="1080" w:footer="720" w:gutter="0"/>
          <w:cols w:space="720"/>
          <w:docGrid w:linePitch="360"/>
        </w:sectPr>
      </w:pPr>
    </w:p>
    <w:p w:rsidR="008104AF" w:rsidRPr="008104AF" w:rsidRDefault="008104AF">
      <w:pPr>
        <w:rPr>
          <w:rFonts w:ascii="Arial" w:hAnsi="Arial" w:cs="Arial"/>
          <w:sz w:val="24"/>
          <w:szCs w:val="24"/>
        </w:rPr>
      </w:pPr>
    </w:p>
    <w:tbl>
      <w:tblPr>
        <w:tblStyle w:val="TableGrid"/>
        <w:tblW w:w="9558" w:type="dxa"/>
        <w:tblLook w:val="04A0"/>
      </w:tblPr>
      <w:tblGrid>
        <w:gridCol w:w="1217"/>
        <w:gridCol w:w="8341"/>
      </w:tblGrid>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2.2.</w:t>
            </w:r>
            <w:r w:rsidRPr="006674F0">
              <w:rPr>
                <w:rFonts w:ascii="Arial" w:hAnsi="Arial" w:cs="Arial"/>
                <w:sz w:val="24"/>
                <w:szCs w:val="24"/>
              </w:rPr>
              <w:t>d</w:t>
            </w:r>
          </w:p>
        </w:tc>
        <w:tc>
          <w:tcPr>
            <w:tcW w:w="8341" w:type="dxa"/>
          </w:tcPr>
          <w:p w:rsidR="00320268" w:rsidRPr="006674F0" w:rsidRDefault="00320268" w:rsidP="008104AF">
            <w:pPr>
              <w:pStyle w:val="Default"/>
              <w:rPr>
                <w:rFonts w:ascii="Arial" w:hAnsi="Arial" w:cs="Arial"/>
              </w:rPr>
            </w:pPr>
            <w:r w:rsidRPr="006674F0">
              <w:rPr>
                <w:rFonts w:ascii="Arial" w:hAnsi="Arial" w:cs="Arial"/>
              </w:rPr>
              <w:t>Voluntary communication to State and/or Local officials may also require NRC notification under 10 CFR 50.72(b)(2)(xi). Licensees should perform these notifications consistent with their existing program.</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rPr>
                <w:rFonts w:ascii="Arial" w:hAnsi="Arial" w:cs="Arial"/>
                <w:b/>
                <w:color w:val="000000"/>
                <w:sz w:val="24"/>
                <w:szCs w:val="24"/>
              </w:rPr>
            </w:pPr>
            <w:r w:rsidRPr="00C36FE4">
              <w:rPr>
                <w:rFonts w:ascii="Arial" w:hAnsi="Arial" w:cs="Arial"/>
                <w:b/>
                <w:color w:val="000000"/>
                <w:sz w:val="24"/>
                <w:szCs w:val="24"/>
              </w:rPr>
              <w:t>Objective 2.3 – Thirty-Day Reports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2.3.</w:t>
            </w:r>
            <w:r w:rsidRPr="006674F0">
              <w:rPr>
                <w:rFonts w:ascii="Arial" w:hAnsi="Arial" w:cs="Arial"/>
                <w:sz w:val="24"/>
                <w:szCs w:val="24"/>
              </w:rPr>
              <w:t>a</w:t>
            </w:r>
          </w:p>
        </w:tc>
        <w:tc>
          <w:tcPr>
            <w:tcW w:w="8341" w:type="dxa"/>
          </w:tcPr>
          <w:p w:rsidR="00320268" w:rsidRPr="005A6DC4" w:rsidRDefault="00320268" w:rsidP="008104AF">
            <w:pPr>
              <w:rPr>
                <w:rFonts w:ascii="Arial" w:hAnsi="Arial" w:cs="Arial"/>
                <w:color w:val="000000"/>
                <w:sz w:val="24"/>
                <w:szCs w:val="24"/>
              </w:rPr>
            </w:pPr>
            <w:r w:rsidRPr="00B05BB6">
              <w:rPr>
                <w:rFonts w:ascii="Arial" w:hAnsi="Arial" w:cs="Arial"/>
                <w:color w:val="000000"/>
                <w:sz w:val="24"/>
                <w:szCs w:val="24"/>
              </w:rPr>
              <w:t xml:space="preserve">All ground water samples taken for the Industry Initiative shall be analyzed and compared to the standards and limits contained in the station’s REMP as described in the ODCM/ODAM.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2.3.</w:t>
            </w:r>
            <w:r w:rsidRPr="006674F0">
              <w:rPr>
                <w:rFonts w:ascii="Arial" w:hAnsi="Arial" w:cs="Arial"/>
                <w:sz w:val="24"/>
                <w:szCs w:val="24"/>
              </w:rPr>
              <w:t>b</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The 30-day special report should include: </w:t>
            </w:r>
          </w:p>
          <w:p w:rsidR="00320268" w:rsidRPr="006674F0" w:rsidRDefault="00320268" w:rsidP="008104AF">
            <w:pPr>
              <w:pStyle w:val="Default"/>
              <w:numPr>
                <w:ilvl w:val="0"/>
                <w:numId w:val="7"/>
              </w:numPr>
              <w:ind w:left="432" w:hanging="72"/>
              <w:rPr>
                <w:rFonts w:ascii="Arial" w:hAnsi="Arial" w:cs="Arial"/>
              </w:rPr>
            </w:pPr>
            <w:r w:rsidRPr="006674F0">
              <w:rPr>
                <w:rFonts w:ascii="Arial" w:hAnsi="Arial" w:cs="Arial"/>
              </w:rPr>
              <w:t xml:space="preserve">A statement that the report is being submitted in support of the GPI, </w:t>
            </w:r>
          </w:p>
          <w:p w:rsidR="00320268" w:rsidRPr="006674F0" w:rsidRDefault="00320268" w:rsidP="008104AF">
            <w:pPr>
              <w:pStyle w:val="Default"/>
              <w:numPr>
                <w:ilvl w:val="0"/>
                <w:numId w:val="7"/>
              </w:numPr>
              <w:ind w:left="432" w:hanging="72"/>
              <w:rPr>
                <w:rFonts w:ascii="Arial" w:hAnsi="Arial" w:cs="Arial"/>
              </w:rPr>
            </w:pPr>
            <w:r w:rsidRPr="006674F0">
              <w:rPr>
                <w:rFonts w:ascii="Arial" w:hAnsi="Arial" w:cs="Arial"/>
              </w:rPr>
              <w:t xml:space="preserve">A list of the contaminant(s) and the verified concentration(s), </w:t>
            </w:r>
          </w:p>
          <w:p w:rsidR="00320268" w:rsidRPr="006674F0" w:rsidRDefault="00320268" w:rsidP="008104AF">
            <w:pPr>
              <w:pStyle w:val="Default"/>
              <w:numPr>
                <w:ilvl w:val="0"/>
                <w:numId w:val="7"/>
              </w:numPr>
              <w:ind w:left="432" w:hanging="72"/>
              <w:rPr>
                <w:rFonts w:ascii="Arial" w:hAnsi="Arial" w:cs="Arial"/>
              </w:rPr>
            </w:pPr>
            <w:r w:rsidRPr="006674F0">
              <w:rPr>
                <w:rFonts w:ascii="Arial" w:hAnsi="Arial" w:cs="Arial"/>
              </w:rPr>
              <w:t xml:space="preserve">Description of the action(s) taken, </w:t>
            </w:r>
          </w:p>
          <w:p w:rsidR="00320268" w:rsidRPr="006674F0" w:rsidRDefault="00320268" w:rsidP="008104AF">
            <w:pPr>
              <w:pStyle w:val="Default"/>
              <w:numPr>
                <w:ilvl w:val="0"/>
                <w:numId w:val="7"/>
              </w:numPr>
              <w:ind w:left="432" w:hanging="72"/>
              <w:rPr>
                <w:rFonts w:ascii="Arial" w:hAnsi="Arial" w:cs="Arial"/>
              </w:rPr>
            </w:pPr>
            <w:r w:rsidRPr="006674F0">
              <w:rPr>
                <w:rFonts w:ascii="Arial" w:hAnsi="Arial" w:cs="Arial"/>
              </w:rPr>
              <w:t xml:space="preserve">An estimate of the potential or bounding annual dose to a member of the public, and </w:t>
            </w:r>
          </w:p>
          <w:p w:rsidR="00320268" w:rsidRPr="006674F0" w:rsidRDefault="00320268" w:rsidP="008104AF">
            <w:pPr>
              <w:pStyle w:val="Default"/>
              <w:numPr>
                <w:ilvl w:val="0"/>
                <w:numId w:val="7"/>
              </w:numPr>
              <w:ind w:left="432" w:hanging="72"/>
              <w:rPr>
                <w:rFonts w:ascii="Arial" w:hAnsi="Arial" w:cs="Arial"/>
              </w:rPr>
            </w:pPr>
            <w:r w:rsidRPr="006674F0">
              <w:rPr>
                <w:rFonts w:ascii="Arial" w:hAnsi="Arial" w:cs="Arial"/>
              </w:rPr>
              <w:t xml:space="preserve">Corrective action(s), if necessary, that will be taken to reduce the projected annual dose to a member of the public to less than the limits in 10 CFR 50 Appendix I.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2.3.</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All written 30-day NRC reports generated under item 2.3.a are to be concurrently forwarded to the designated State/Local officials.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2.4 – Annual Reporting</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The appropriate changes to the ODCM/ODAM or to the appropriate procedures were expected to be completed in a timeframe to support the 2007 report of 2006 performance for plants that were operating or decommissioning when the GPI was adopted. For new plants, appropriate procedures that require inclusion of significant on-site leaks/spills into ground water and all on-site ground water results shall be developed and implemented prior to initial receipt of nuclear fuel.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b</w:t>
            </w:r>
            <w:r>
              <w:rPr>
                <w:rFonts w:ascii="Arial" w:hAnsi="Arial" w:cs="Arial"/>
                <w:sz w:val="24"/>
                <w:szCs w:val="24"/>
              </w:rPr>
              <w:t>.i</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Reporting of on-site ground water sample results shall be as follows: </w:t>
            </w:r>
          </w:p>
          <w:p w:rsidR="00320268" w:rsidRPr="006674F0" w:rsidRDefault="00320268" w:rsidP="008104AF">
            <w:pPr>
              <w:pStyle w:val="Default"/>
              <w:rPr>
                <w:rFonts w:ascii="Arial" w:hAnsi="Arial" w:cs="Arial"/>
              </w:rPr>
            </w:pPr>
            <w:r w:rsidRPr="006674F0">
              <w:rPr>
                <w:rFonts w:ascii="Arial" w:hAnsi="Arial" w:cs="Arial"/>
              </w:rPr>
              <w:t>Ground water sample results that are taken in support of the GPI but are not part of the REMP program (e.g. samples obtained during the investigatory phase of the Action Plan circa year 2006) are reported in the ARERR required by 10 CFR 50.36a (a)(2).</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2.4.b.ii</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Reporting of on-site ground water sample results shall be as follows: </w:t>
            </w:r>
          </w:p>
          <w:p w:rsidR="00320268" w:rsidRPr="006674F0" w:rsidRDefault="00320268" w:rsidP="008104AF">
            <w:pPr>
              <w:pStyle w:val="Default"/>
              <w:rPr>
                <w:rFonts w:ascii="Arial" w:hAnsi="Arial" w:cs="Arial"/>
              </w:rPr>
            </w:pPr>
            <w:r w:rsidRPr="006674F0">
              <w:rPr>
                <w:rFonts w:ascii="Arial" w:hAnsi="Arial" w:cs="Arial"/>
              </w:rPr>
              <w:t>Once the long</w:t>
            </w:r>
            <w:r>
              <w:rPr>
                <w:rFonts w:ascii="Arial" w:hAnsi="Arial" w:cs="Arial"/>
              </w:rPr>
              <w:t xml:space="preserve"> </w:t>
            </w:r>
            <w:r w:rsidRPr="006674F0">
              <w:rPr>
                <w:rFonts w:ascii="Arial" w:hAnsi="Arial" w:cs="Arial"/>
              </w:rPr>
              <w:t>term monitoring sample points have been established per Objective 1.3, acceptance criterion d, the results are reported in the AREOR for those sample points that are included in the REMP as described in the ODCM/ODAM. The sample results for those long</w:t>
            </w:r>
            <w:r>
              <w:rPr>
                <w:rFonts w:ascii="Arial" w:hAnsi="Arial" w:cs="Arial"/>
              </w:rPr>
              <w:t>-</w:t>
            </w:r>
            <w:r w:rsidRPr="006674F0">
              <w:rPr>
                <w:rFonts w:ascii="Arial" w:hAnsi="Arial" w:cs="Arial"/>
              </w:rPr>
              <w:t>term monitoring sample points that are not included in REMP are reported in the ARERR.</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2.4.</w:t>
            </w:r>
            <w:r w:rsidRPr="006674F0">
              <w:rPr>
                <w:rFonts w:ascii="Arial" w:hAnsi="Arial" w:cs="Arial"/>
                <w:sz w:val="24"/>
                <w:szCs w:val="24"/>
              </w:rPr>
              <w:t>c</w:t>
            </w:r>
            <w:r>
              <w:rPr>
                <w:rFonts w:ascii="Arial" w:hAnsi="Arial" w:cs="Arial"/>
                <w:sz w:val="24"/>
                <w:szCs w:val="24"/>
              </w:rPr>
              <w:t>.i</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In addition to 2.4.b, voluntary communications shall be included in an annual report as follows: </w:t>
            </w:r>
          </w:p>
          <w:p w:rsidR="00320268" w:rsidRPr="006674F0" w:rsidRDefault="00320268" w:rsidP="008104AF">
            <w:pPr>
              <w:pStyle w:val="Default"/>
              <w:rPr>
                <w:rFonts w:ascii="Arial" w:hAnsi="Arial" w:cs="Arial"/>
              </w:rPr>
            </w:pPr>
            <w:r w:rsidRPr="006674F0">
              <w:rPr>
                <w:rFonts w:ascii="Arial" w:hAnsi="Arial" w:cs="Arial"/>
              </w:rPr>
              <w:t>A description of all spills or leaks that were communicated per Objective 2.2 acceptance criterion a</w:t>
            </w:r>
            <w:r w:rsidR="00DE1245">
              <w:rPr>
                <w:rFonts w:ascii="Arial" w:hAnsi="Arial" w:cs="Arial"/>
              </w:rPr>
              <w:t>.</w:t>
            </w:r>
            <w:r w:rsidRPr="006674F0">
              <w:rPr>
                <w:rFonts w:ascii="Arial" w:hAnsi="Arial" w:cs="Arial"/>
              </w:rPr>
              <w:t xml:space="preserve"> shall be included in the ARERR. </w:t>
            </w:r>
          </w:p>
        </w:tc>
      </w:tr>
      <w:tr w:rsidR="00320268" w:rsidRPr="006674F0" w:rsidTr="001F451C">
        <w:tc>
          <w:tcPr>
            <w:tcW w:w="1217" w:type="dxa"/>
          </w:tcPr>
          <w:p w:rsidR="00320268" w:rsidRDefault="00320268" w:rsidP="008104AF">
            <w:pPr>
              <w:jc w:val="center"/>
              <w:rPr>
                <w:rFonts w:ascii="Arial" w:hAnsi="Arial" w:cs="Arial"/>
                <w:sz w:val="24"/>
                <w:szCs w:val="24"/>
              </w:rPr>
            </w:pPr>
            <w:r>
              <w:rPr>
                <w:rFonts w:ascii="Arial" w:hAnsi="Arial" w:cs="Arial"/>
                <w:sz w:val="24"/>
                <w:szCs w:val="24"/>
              </w:rPr>
              <w:t>2.4.c.ii</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In addition to 2.4.b, voluntary communications shall be included in an annual report as follows: </w:t>
            </w:r>
          </w:p>
          <w:p w:rsidR="00320268" w:rsidRPr="006674F0" w:rsidRDefault="00320268" w:rsidP="008104AF">
            <w:pPr>
              <w:pStyle w:val="Default"/>
              <w:rPr>
                <w:rFonts w:ascii="Arial" w:hAnsi="Arial" w:cs="Arial"/>
              </w:rPr>
            </w:pPr>
            <w:r w:rsidRPr="006674F0">
              <w:rPr>
                <w:rFonts w:ascii="Arial" w:hAnsi="Arial" w:cs="Arial"/>
              </w:rPr>
              <w:t xml:space="preserve">All </w:t>
            </w:r>
            <w:r w:rsidRPr="00F17701">
              <w:rPr>
                <w:rFonts w:ascii="Arial" w:hAnsi="Arial" w:cs="Arial"/>
                <w:u w:val="single"/>
              </w:rPr>
              <w:t>on-site</w:t>
            </w:r>
            <w:r w:rsidRPr="006674F0">
              <w:rPr>
                <w:rFonts w:ascii="Arial" w:hAnsi="Arial" w:cs="Arial"/>
              </w:rPr>
              <w:t xml:space="preserve"> or off-site ground water sample results that exceeded the REMP reporting thresholds as described in the ODCM/ODAM that were </w:t>
            </w:r>
          </w:p>
        </w:tc>
      </w:tr>
    </w:tbl>
    <w:p w:rsidR="008104AF" w:rsidRDefault="008104AF"/>
    <w:tbl>
      <w:tblPr>
        <w:tblStyle w:val="TableGrid"/>
        <w:tblW w:w="9558" w:type="dxa"/>
        <w:tblLook w:val="04A0"/>
      </w:tblPr>
      <w:tblGrid>
        <w:gridCol w:w="1217"/>
        <w:gridCol w:w="8341"/>
      </w:tblGrid>
      <w:tr w:rsidR="008104AF" w:rsidRPr="006674F0" w:rsidTr="001F451C">
        <w:tc>
          <w:tcPr>
            <w:tcW w:w="1217" w:type="dxa"/>
          </w:tcPr>
          <w:p w:rsidR="008104AF" w:rsidRDefault="008104AF" w:rsidP="008104AF">
            <w:pPr>
              <w:jc w:val="center"/>
              <w:rPr>
                <w:rFonts w:ascii="Arial" w:hAnsi="Arial" w:cs="Arial"/>
                <w:sz w:val="24"/>
                <w:szCs w:val="24"/>
              </w:rPr>
            </w:pPr>
          </w:p>
        </w:tc>
        <w:tc>
          <w:tcPr>
            <w:tcW w:w="8341" w:type="dxa"/>
          </w:tcPr>
          <w:p w:rsidR="008104AF" w:rsidRPr="00C36FE4" w:rsidRDefault="008104AF" w:rsidP="008104AF">
            <w:pPr>
              <w:pStyle w:val="Default"/>
              <w:rPr>
                <w:rFonts w:ascii="Arial" w:hAnsi="Arial" w:cs="Arial"/>
                <w:b/>
              </w:rPr>
            </w:pPr>
            <w:proofErr w:type="gramStart"/>
            <w:r w:rsidRPr="006674F0">
              <w:rPr>
                <w:rFonts w:ascii="Arial" w:hAnsi="Arial" w:cs="Arial"/>
              </w:rPr>
              <w:t>communicated</w:t>
            </w:r>
            <w:proofErr w:type="gramEnd"/>
            <w:r w:rsidRPr="006674F0">
              <w:rPr>
                <w:rFonts w:ascii="Arial" w:hAnsi="Arial" w:cs="Arial"/>
              </w:rPr>
              <w:t xml:space="preserve"> per Objective 2.2 acceptance criterion b</w:t>
            </w:r>
            <w:r>
              <w:rPr>
                <w:rFonts w:ascii="Arial" w:hAnsi="Arial" w:cs="Arial"/>
              </w:rPr>
              <w:t>.</w:t>
            </w:r>
            <w:r w:rsidRPr="006674F0">
              <w:rPr>
                <w:rFonts w:ascii="Arial" w:hAnsi="Arial" w:cs="Arial"/>
              </w:rPr>
              <w:t xml:space="preserve"> shall be included in either the ARERR and/or in the AREOR.</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Objective 3.1 –Self- Assessment</w:t>
            </w:r>
            <w:r>
              <w:rPr>
                <w:rFonts w:ascii="Arial" w:hAnsi="Arial" w:cs="Arial"/>
                <w:b/>
              </w:rPr>
              <w:t>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3.1.</w:t>
            </w:r>
            <w:r w:rsidRPr="006674F0">
              <w:rPr>
                <w:rFonts w:ascii="Arial" w:hAnsi="Arial" w:cs="Arial"/>
                <w:sz w:val="24"/>
                <w:szCs w:val="24"/>
              </w:rPr>
              <w:t>a</w:t>
            </w:r>
          </w:p>
        </w:tc>
        <w:tc>
          <w:tcPr>
            <w:tcW w:w="8341" w:type="dxa"/>
          </w:tcPr>
          <w:p w:rsidR="00320268" w:rsidRPr="006674F0" w:rsidRDefault="00320268" w:rsidP="008104AF">
            <w:pPr>
              <w:pStyle w:val="Default"/>
              <w:rPr>
                <w:rFonts w:ascii="Arial" w:hAnsi="Arial" w:cs="Arial"/>
              </w:rPr>
            </w:pPr>
            <w:r w:rsidRPr="006674F0">
              <w:rPr>
                <w:rFonts w:ascii="Arial" w:hAnsi="Arial" w:cs="Arial"/>
              </w:rPr>
              <w:t>An independent, knowledgeable individual(s) shall perform the initial self-assessment within one year of implementation. For existing plants, this means no later than December 31, 2008; for new plants this means within one year after initial criticality.</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3.1.</w:t>
            </w:r>
            <w:r w:rsidRPr="006674F0">
              <w:rPr>
                <w:rFonts w:ascii="Arial" w:hAnsi="Arial" w:cs="Arial"/>
                <w:sz w:val="24"/>
                <w:szCs w:val="24"/>
              </w:rPr>
              <w:t>c</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The self-assessment, at a minimum, shall include evaluating implementation of all of the objectives identified in this document. </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3.1.</w:t>
            </w:r>
            <w:r w:rsidRPr="006674F0">
              <w:rPr>
                <w:rFonts w:ascii="Arial" w:hAnsi="Arial" w:cs="Arial"/>
                <w:sz w:val="24"/>
                <w:szCs w:val="24"/>
              </w:rPr>
              <w:t>d</w:t>
            </w:r>
          </w:p>
        </w:tc>
        <w:tc>
          <w:tcPr>
            <w:tcW w:w="8341" w:type="dxa"/>
          </w:tcPr>
          <w:p w:rsidR="00320268" w:rsidRPr="006674F0" w:rsidRDefault="00320268" w:rsidP="008104AF">
            <w:pPr>
              <w:pStyle w:val="Default"/>
              <w:rPr>
                <w:rFonts w:ascii="Arial" w:hAnsi="Arial" w:cs="Arial"/>
              </w:rPr>
            </w:pPr>
            <w:r w:rsidRPr="006674F0">
              <w:rPr>
                <w:rFonts w:ascii="Arial" w:hAnsi="Arial" w:cs="Arial"/>
              </w:rPr>
              <w:t xml:space="preserve">The self-assessment shall be documented consistent with applicable station procedures and programs. </w:t>
            </w:r>
          </w:p>
        </w:tc>
      </w:tr>
      <w:tr w:rsidR="00320268" w:rsidRPr="006674F0" w:rsidTr="001F451C">
        <w:tc>
          <w:tcPr>
            <w:tcW w:w="1217" w:type="dxa"/>
          </w:tcPr>
          <w:p w:rsidR="00320268" w:rsidRDefault="00320268" w:rsidP="008104AF">
            <w:pPr>
              <w:jc w:val="center"/>
              <w:rPr>
                <w:rFonts w:ascii="Arial" w:hAnsi="Arial" w:cs="Arial"/>
                <w:sz w:val="24"/>
                <w:szCs w:val="24"/>
              </w:rPr>
            </w:pPr>
          </w:p>
        </w:tc>
        <w:tc>
          <w:tcPr>
            <w:tcW w:w="8341" w:type="dxa"/>
          </w:tcPr>
          <w:p w:rsidR="00320268" w:rsidRPr="00C36FE4" w:rsidRDefault="00320268" w:rsidP="008104AF">
            <w:pPr>
              <w:pStyle w:val="Default"/>
              <w:rPr>
                <w:rFonts w:ascii="Arial" w:hAnsi="Arial" w:cs="Arial"/>
                <w:b/>
              </w:rPr>
            </w:pPr>
            <w:r w:rsidRPr="00C36FE4">
              <w:rPr>
                <w:rFonts w:ascii="Arial" w:hAnsi="Arial" w:cs="Arial"/>
                <w:b/>
              </w:rPr>
              <w:t xml:space="preserve">Objective 3.2 – </w:t>
            </w:r>
            <w:r>
              <w:rPr>
                <w:rFonts w:ascii="Arial" w:hAnsi="Arial" w:cs="Arial"/>
                <w:b/>
              </w:rPr>
              <w:t>NEI Program Assessments</w:t>
            </w:r>
          </w:p>
        </w:tc>
      </w:tr>
      <w:tr w:rsidR="00320268" w:rsidRPr="006674F0" w:rsidTr="001F451C">
        <w:tc>
          <w:tcPr>
            <w:tcW w:w="1217" w:type="dxa"/>
          </w:tcPr>
          <w:p w:rsidR="00320268" w:rsidRPr="006674F0" w:rsidRDefault="00320268" w:rsidP="008104AF">
            <w:pPr>
              <w:jc w:val="center"/>
              <w:rPr>
                <w:rFonts w:ascii="Arial" w:hAnsi="Arial" w:cs="Arial"/>
                <w:sz w:val="24"/>
                <w:szCs w:val="24"/>
              </w:rPr>
            </w:pPr>
            <w:r>
              <w:rPr>
                <w:rFonts w:ascii="Arial" w:hAnsi="Arial" w:cs="Arial"/>
                <w:sz w:val="24"/>
                <w:szCs w:val="24"/>
              </w:rPr>
              <w:t>3.2.</w:t>
            </w:r>
            <w:r w:rsidRPr="006674F0">
              <w:rPr>
                <w:rFonts w:ascii="Arial" w:hAnsi="Arial" w:cs="Arial"/>
                <w:sz w:val="24"/>
                <w:szCs w:val="24"/>
              </w:rPr>
              <w:t>a</w:t>
            </w:r>
          </w:p>
        </w:tc>
        <w:tc>
          <w:tcPr>
            <w:tcW w:w="8341" w:type="dxa"/>
          </w:tcPr>
          <w:p w:rsidR="00320268" w:rsidRPr="00C36FE4" w:rsidRDefault="00320268" w:rsidP="008104AF">
            <w:pPr>
              <w:pStyle w:val="Default"/>
              <w:rPr>
                <w:rFonts w:ascii="Arial" w:hAnsi="Arial" w:cs="Arial"/>
              </w:rPr>
            </w:pPr>
            <w:r w:rsidRPr="00C36FE4">
              <w:rPr>
                <w:rFonts w:ascii="Arial" w:hAnsi="Arial" w:cs="Arial"/>
              </w:rPr>
              <w:t xml:space="preserve">An independent, knowledgeable individual(s) shall perform the initial review within one year of the initial self-assessment performed per Objective 3.1.a above. </w:t>
            </w:r>
          </w:p>
        </w:tc>
      </w:tr>
    </w:tbl>
    <w:p w:rsidR="007B72BD" w:rsidRDefault="007B72BD" w:rsidP="008104AF">
      <w:pPr>
        <w:autoSpaceDE/>
        <w:autoSpaceDN/>
        <w:adjustRightInd/>
        <w:rPr>
          <w:rFonts w:ascii="Arial" w:hAnsi="Arial" w:cs="Arial"/>
          <w:sz w:val="24"/>
          <w:szCs w:val="24"/>
        </w:rPr>
      </w:pPr>
    </w:p>
    <w:p w:rsidR="007B72BD" w:rsidRDefault="007B72BD" w:rsidP="008104AF">
      <w:pPr>
        <w:autoSpaceDE/>
        <w:autoSpaceDN/>
        <w:adjustRightInd/>
        <w:rPr>
          <w:rFonts w:ascii="Arial" w:hAnsi="Arial" w:cs="Arial"/>
          <w:sz w:val="24"/>
          <w:szCs w:val="24"/>
        </w:rPr>
      </w:pPr>
    </w:p>
    <w:p w:rsidR="007B72BD" w:rsidRDefault="007B72BD" w:rsidP="008104AF">
      <w:pPr>
        <w:autoSpaceDE/>
        <w:autoSpaceDN/>
        <w:adjustRightInd/>
        <w:rPr>
          <w:rFonts w:ascii="Arial" w:hAnsi="Arial" w:cs="Arial"/>
          <w:sz w:val="24"/>
          <w:szCs w:val="24"/>
        </w:rPr>
        <w:sectPr w:rsidR="007B72BD" w:rsidSect="00B67AA7">
          <w:footerReference w:type="default" r:id="rId14"/>
          <w:pgSz w:w="12240" w:h="15840"/>
          <w:pgMar w:top="1440" w:right="1440" w:bottom="1440" w:left="1440" w:header="1080" w:footer="720" w:gutter="0"/>
          <w:cols w:space="720"/>
          <w:docGrid w:linePitch="360"/>
        </w:sectPr>
      </w:pP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ascii="Arial" w:hAnsi="Arial" w:cs="Arial"/>
          <w:bCs/>
          <w:sz w:val="24"/>
          <w:szCs w:val="24"/>
        </w:rPr>
      </w:pPr>
      <w:r w:rsidRPr="006674F0">
        <w:rPr>
          <w:rFonts w:ascii="Arial" w:hAnsi="Arial" w:cs="Arial"/>
          <w:bCs/>
          <w:sz w:val="24"/>
          <w:szCs w:val="24"/>
        </w:rPr>
        <w:lastRenderedPageBreak/>
        <w:t xml:space="preserve">ATTACHMENT </w:t>
      </w:r>
      <w:r>
        <w:rPr>
          <w:rFonts w:ascii="Arial" w:hAnsi="Arial" w:cs="Arial"/>
          <w:bCs/>
          <w:sz w:val="24"/>
          <w:szCs w:val="24"/>
        </w:rPr>
        <w:t>2</w:t>
      </w: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ascii="Arial" w:hAnsi="Arial" w:cs="Arial"/>
          <w:sz w:val="24"/>
          <w:szCs w:val="24"/>
        </w:rPr>
      </w:pP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ascii="Arial" w:hAnsi="Arial" w:cs="Arial"/>
          <w:sz w:val="24"/>
          <w:szCs w:val="24"/>
        </w:rPr>
      </w:pPr>
      <w:r w:rsidRPr="006674F0">
        <w:rPr>
          <w:rFonts w:ascii="Arial" w:hAnsi="Arial" w:cs="Arial"/>
          <w:sz w:val="24"/>
          <w:szCs w:val="24"/>
        </w:rPr>
        <w:t xml:space="preserve">Revision History for </w:t>
      </w:r>
      <w:r w:rsidR="0010185E" w:rsidRPr="006674F0">
        <w:rPr>
          <w:rFonts w:ascii="Arial" w:hAnsi="Arial" w:cs="Arial"/>
          <w:sz w:val="24"/>
          <w:szCs w:val="24"/>
        </w:rPr>
        <w:fldChar w:fldCharType="begin"/>
      </w:r>
      <w:r w:rsidRPr="006674F0">
        <w:rPr>
          <w:rFonts w:ascii="Arial" w:hAnsi="Arial" w:cs="Arial"/>
          <w:sz w:val="24"/>
          <w:szCs w:val="24"/>
        </w:rPr>
        <w:instrText>tc "Revision History For"</w:instrText>
      </w:r>
      <w:r w:rsidR="0010185E" w:rsidRPr="006674F0">
        <w:rPr>
          <w:rFonts w:ascii="Arial" w:hAnsi="Arial" w:cs="Arial"/>
          <w:sz w:val="24"/>
          <w:szCs w:val="24"/>
        </w:rPr>
        <w:fldChar w:fldCharType="end"/>
      </w:r>
      <w:r w:rsidRPr="006674F0">
        <w:rPr>
          <w:rFonts w:ascii="Arial" w:hAnsi="Arial" w:cs="Arial"/>
          <w:sz w:val="24"/>
          <w:szCs w:val="24"/>
        </w:rPr>
        <w:t>TI 2515/</w:t>
      </w:r>
      <w:r>
        <w:rPr>
          <w:rFonts w:ascii="Arial" w:hAnsi="Arial" w:cs="Arial"/>
          <w:sz w:val="24"/>
          <w:szCs w:val="24"/>
        </w:rPr>
        <w:t>185</w:t>
      </w: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ascii="Arial" w:hAnsi="Arial" w:cs="Arial"/>
          <w:sz w:val="24"/>
          <w:szCs w:val="24"/>
        </w:rPr>
      </w:pPr>
      <w:r>
        <w:rPr>
          <w:rFonts w:ascii="Arial" w:hAnsi="Arial" w:cs="Arial"/>
          <w:sz w:val="24"/>
          <w:szCs w:val="24"/>
        </w:rPr>
        <w:t>FOLLOW-UP ON THE INDUSTRY’S GROUND WATER PROTECTION INITIATIVE</w:t>
      </w: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ascii="Arial" w:hAnsi="Arial" w:cs="Arial"/>
          <w:sz w:val="24"/>
          <w:szCs w:val="24"/>
        </w:rPr>
      </w:pPr>
    </w:p>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both"/>
        <w:rPr>
          <w:rFonts w:ascii="Arial" w:hAnsi="Arial" w:cs="Arial"/>
          <w:sz w:val="24"/>
          <w:szCs w:val="24"/>
        </w:rPr>
      </w:pPr>
    </w:p>
    <w:tbl>
      <w:tblPr>
        <w:tblW w:w="0" w:type="auto"/>
        <w:tblInd w:w="100" w:type="dxa"/>
        <w:tblLayout w:type="fixed"/>
        <w:tblCellMar>
          <w:left w:w="100" w:type="dxa"/>
          <w:right w:w="100" w:type="dxa"/>
        </w:tblCellMar>
        <w:tblLook w:val="0000"/>
      </w:tblPr>
      <w:tblGrid>
        <w:gridCol w:w="1620"/>
        <w:gridCol w:w="1890"/>
        <w:gridCol w:w="4050"/>
        <w:gridCol w:w="1170"/>
        <w:gridCol w:w="1620"/>
        <w:gridCol w:w="2610"/>
      </w:tblGrid>
      <w:tr w:rsidR="007B72BD" w:rsidRPr="006674F0" w:rsidTr="00FA6248">
        <w:trPr>
          <w:cantSplit/>
        </w:trPr>
        <w:tc>
          <w:tcPr>
            <w:tcW w:w="1620" w:type="dxa"/>
            <w:tcBorders>
              <w:top w:val="single" w:sz="6" w:space="0" w:color="000000"/>
              <w:left w:val="single" w:sz="6" w:space="0" w:color="000000"/>
              <w:bottom w:val="nil"/>
              <w:right w:val="nil"/>
            </w:tcBorders>
          </w:tcPr>
          <w:p w:rsidR="007B72BD" w:rsidRPr="006674F0" w:rsidRDefault="007B72BD" w:rsidP="008104AF">
            <w:pPr>
              <w:numPr>
                <w:ilvl w:val="12"/>
                <w:numId w:val="0"/>
              </w:numPr>
              <w:tabs>
                <w:tab w:val="left" w:pos="360"/>
                <w:tab w:val="left" w:pos="720"/>
                <w:tab w:val="left" w:pos="1080"/>
                <w:tab w:val="left" w:pos="1440"/>
              </w:tabs>
              <w:spacing w:before="100" w:after="48"/>
              <w:jc w:val="both"/>
              <w:rPr>
                <w:rFonts w:ascii="Arial" w:hAnsi="Arial" w:cs="Arial"/>
                <w:sz w:val="24"/>
                <w:szCs w:val="24"/>
              </w:rPr>
            </w:pPr>
            <w:r w:rsidRPr="006674F0">
              <w:rPr>
                <w:rFonts w:ascii="Arial" w:hAnsi="Arial" w:cs="Arial"/>
                <w:sz w:val="24"/>
                <w:szCs w:val="24"/>
              </w:rPr>
              <w:t>Commitment Tracking Number</w:t>
            </w:r>
          </w:p>
        </w:tc>
        <w:tc>
          <w:tcPr>
            <w:tcW w:w="1890" w:type="dxa"/>
            <w:tcBorders>
              <w:top w:val="single" w:sz="6" w:space="0" w:color="000000"/>
              <w:left w:val="single" w:sz="6" w:space="0" w:color="000000"/>
              <w:bottom w:val="nil"/>
              <w:right w:val="nil"/>
            </w:tcBorders>
          </w:tcPr>
          <w:p w:rsidR="007B72BD" w:rsidRPr="006674F0" w:rsidRDefault="007B72BD" w:rsidP="008104AF">
            <w:pPr>
              <w:numPr>
                <w:ilvl w:val="12"/>
                <w:numId w:val="0"/>
              </w:numPr>
              <w:tabs>
                <w:tab w:val="left" w:pos="360"/>
                <w:tab w:val="left" w:pos="720"/>
                <w:tab w:val="left" w:pos="1080"/>
              </w:tabs>
              <w:spacing w:before="100" w:after="48"/>
              <w:jc w:val="both"/>
              <w:rPr>
                <w:rFonts w:ascii="Arial" w:hAnsi="Arial" w:cs="Arial"/>
                <w:sz w:val="24"/>
                <w:szCs w:val="24"/>
              </w:rPr>
            </w:pPr>
            <w:r w:rsidRPr="006674F0">
              <w:rPr>
                <w:rFonts w:ascii="Arial" w:hAnsi="Arial" w:cs="Arial"/>
                <w:sz w:val="24"/>
                <w:szCs w:val="24"/>
              </w:rPr>
              <w:t>Issue Date</w:t>
            </w:r>
          </w:p>
        </w:tc>
        <w:tc>
          <w:tcPr>
            <w:tcW w:w="4050" w:type="dxa"/>
            <w:tcBorders>
              <w:top w:val="single" w:sz="6" w:space="0" w:color="000000"/>
              <w:left w:val="single" w:sz="6" w:space="0" w:color="000000"/>
              <w:bottom w:val="nil"/>
              <w:right w:val="nil"/>
            </w:tcBorders>
          </w:tcPr>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jc w:val="both"/>
              <w:rPr>
                <w:rFonts w:ascii="Arial" w:hAnsi="Arial" w:cs="Arial"/>
                <w:sz w:val="24"/>
                <w:szCs w:val="24"/>
              </w:rPr>
            </w:pPr>
            <w:r w:rsidRPr="006674F0">
              <w:rPr>
                <w:rFonts w:ascii="Arial" w:hAnsi="Arial" w:cs="Arial"/>
                <w:sz w:val="24"/>
                <w:szCs w:val="24"/>
              </w:rPr>
              <w:t>Description of Change</w:t>
            </w:r>
          </w:p>
        </w:tc>
        <w:tc>
          <w:tcPr>
            <w:tcW w:w="1170" w:type="dxa"/>
            <w:tcBorders>
              <w:top w:val="single" w:sz="6" w:space="0" w:color="000000"/>
              <w:left w:val="single" w:sz="6" w:space="0" w:color="000000"/>
              <w:bottom w:val="nil"/>
              <w:right w:val="nil"/>
            </w:tcBorders>
          </w:tcPr>
          <w:p w:rsidR="007B72BD" w:rsidRPr="006674F0" w:rsidRDefault="007B72BD" w:rsidP="008104AF">
            <w:pPr>
              <w:numPr>
                <w:ilvl w:val="12"/>
                <w:numId w:val="0"/>
              </w:numPr>
              <w:tabs>
                <w:tab w:val="left" w:pos="360"/>
                <w:tab w:val="left" w:pos="720"/>
                <w:tab w:val="left" w:pos="1080"/>
              </w:tabs>
              <w:spacing w:before="100" w:after="48"/>
              <w:jc w:val="both"/>
              <w:rPr>
                <w:rFonts w:ascii="Arial" w:hAnsi="Arial" w:cs="Arial"/>
                <w:sz w:val="24"/>
                <w:szCs w:val="24"/>
              </w:rPr>
            </w:pPr>
            <w:r w:rsidRPr="006674F0">
              <w:rPr>
                <w:rFonts w:ascii="Arial" w:hAnsi="Arial" w:cs="Arial"/>
                <w:sz w:val="24"/>
                <w:szCs w:val="24"/>
              </w:rPr>
              <w:t>Training Needed</w:t>
            </w:r>
          </w:p>
        </w:tc>
        <w:tc>
          <w:tcPr>
            <w:tcW w:w="1620" w:type="dxa"/>
            <w:tcBorders>
              <w:top w:val="single" w:sz="6" w:space="0" w:color="000000"/>
              <w:left w:val="single" w:sz="6" w:space="0" w:color="000000"/>
              <w:bottom w:val="nil"/>
              <w:right w:val="nil"/>
            </w:tcBorders>
          </w:tcPr>
          <w:p w:rsidR="007B72BD" w:rsidRPr="006674F0" w:rsidRDefault="007B72BD" w:rsidP="008104AF">
            <w:pPr>
              <w:numPr>
                <w:ilvl w:val="12"/>
                <w:numId w:val="0"/>
              </w:numPr>
              <w:tabs>
                <w:tab w:val="left" w:pos="360"/>
                <w:tab w:val="left" w:pos="720"/>
                <w:tab w:val="left" w:pos="1080"/>
                <w:tab w:val="left" w:pos="1440"/>
                <w:tab w:val="left" w:pos="1800"/>
              </w:tabs>
              <w:spacing w:before="100" w:after="48"/>
              <w:jc w:val="both"/>
              <w:rPr>
                <w:rFonts w:ascii="Arial" w:hAnsi="Arial" w:cs="Arial"/>
                <w:sz w:val="24"/>
                <w:szCs w:val="24"/>
              </w:rPr>
            </w:pPr>
            <w:r w:rsidRPr="006674F0">
              <w:rPr>
                <w:rFonts w:ascii="Arial" w:hAnsi="Arial" w:cs="Arial"/>
                <w:sz w:val="24"/>
                <w:szCs w:val="24"/>
              </w:rPr>
              <w:t>Training Completion Date</w:t>
            </w:r>
          </w:p>
        </w:tc>
        <w:tc>
          <w:tcPr>
            <w:tcW w:w="2610" w:type="dxa"/>
            <w:tcBorders>
              <w:top w:val="single" w:sz="6" w:space="0" w:color="000000"/>
              <w:left w:val="single" w:sz="6" w:space="0" w:color="000000"/>
              <w:bottom w:val="nil"/>
              <w:right w:val="single" w:sz="6" w:space="0" w:color="000000"/>
            </w:tcBorders>
          </w:tcPr>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s>
              <w:spacing w:before="100" w:after="48"/>
              <w:jc w:val="both"/>
              <w:rPr>
                <w:rFonts w:ascii="Arial" w:hAnsi="Arial" w:cs="Arial"/>
                <w:sz w:val="24"/>
                <w:szCs w:val="24"/>
              </w:rPr>
            </w:pPr>
            <w:r w:rsidRPr="006674F0">
              <w:rPr>
                <w:rFonts w:ascii="Arial" w:hAnsi="Arial" w:cs="Arial"/>
                <w:sz w:val="24"/>
                <w:szCs w:val="24"/>
              </w:rPr>
              <w:t>Comment Resolution  Accession Number</w:t>
            </w:r>
          </w:p>
        </w:tc>
      </w:tr>
      <w:tr w:rsidR="007B72BD" w:rsidRPr="006674F0" w:rsidTr="00FA6248">
        <w:trPr>
          <w:cantSplit/>
        </w:trPr>
        <w:tc>
          <w:tcPr>
            <w:tcW w:w="162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 w:val="left" w:pos="1440"/>
              </w:tabs>
              <w:spacing w:before="100" w:after="48"/>
              <w:jc w:val="center"/>
              <w:rPr>
                <w:rFonts w:ascii="Arial" w:hAnsi="Arial" w:cs="Arial"/>
                <w:sz w:val="24"/>
                <w:szCs w:val="24"/>
              </w:rPr>
            </w:pPr>
            <w:r w:rsidRPr="006674F0">
              <w:rPr>
                <w:rFonts w:ascii="Arial" w:hAnsi="Arial" w:cs="Arial"/>
                <w:sz w:val="24"/>
                <w:szCs w:val="24"/>
              </w:rPr>
              <w:t>N/A</w:t>
            </w:r>
          </w:p>
        </w:tc>
        <w:tc>
          <w:tcPr>
            <w:tcW w:w="189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s>
              <w:jc w:val="both"/>
              <w:rPr>
                <w:rFonts w:ascii="Arial" w:hAnsi="Arial" w:cs="Arial"/>
                <w:sz w:val="24"/>
                <w:szCs w:val="24"/>
              </w:rPr>
            </w:pPr>
            <w:r>
              <w:rPr>
                <w:rFonts w:ascii="Arial" w:hAnsi="Arial" w:cs="Arial"/>
                <w:sz w:val="24"/>
                <w:szCs w:val="24"/>
              </w:rPr>
              <w:t>11/23/11</w:t>
            </w:r>
          </w:p>
          <w:p w:rsidR="007B72BD" w:rsidRPr="006674F0" w:rsidRDefault="007B72BD" w:rsidP="008104AF">
            <w:pPr>
              <w:numPr>
                <w:ilvl w:val="12"/>
                <w:numId w:val="0"/>
              </w:numPr>
              <w:tabs>
                <w:tab w:val="left" w:pos="360"/>
                <w:tab w:val="left" w:pos="720"/>
                <w:tab w:val="left" w:pos="1080"/>
              </w:tabs>
              <w:rPr>
                <w:rFonts w:ascii="Arial" w:hAnsi="Arial" w:cs="Arial"/>
                <w:sz w:val="24"/>
                <w:szCs w:val="24"/>
              </w:rPr>
            </w:pPr>
            <w:r w:rsidRPr="006674F0">
              <w:rPr>
                <w:rFonts w:ascii="Arial" w:hAnsi="Arial" w:cs="Arial"/>
                <w:sz w:val="24"/>
                <w:szCs w:val="24"/>
              </w:rPr>
              <w:t xml:space="preserve">CN </w:t>
            </w:r>
            <w:r>
              <w:rPr>
                <w:rFonts w:ascii="Arial" w:hAnsi="Arial" w:cs="Arial"/>
                <w:sz w:val="24"/>
                <w:szCs w:val="24"/>
              </w:rPr>
              <w:t>11</w:t>
            </w:r>
            <w:r w:rsidRPr="006674F0">
              <w:rPr>
                <w:rFonts w:ascii="Arial" w:hAnsi="Arial" w:cs="Arial"/>
                <w:sz w:val="24"/>
                <w:szCs w:val="24"/>
              </w:rPr>
              <w:t>-</w:t>
            </w:r>
            <w:r>
              <w:rPr>
                <w:rFonts w:ascii="Arial" w:hAnsi="Arial" w:cs="Arial"/>
                <w:sz w:val="24"/>
                <w:szCs w:val="24"/>
              </w:rPr>
              <w:t>038</w:t>
            </w:r>
          </w:p>
          <w:p w:rsidR="007B72BD" w:rsidRPr="006674F0" w:rsidRDefault="007B72BD" w:rsidP="008104AF">
            <w:pPr>
              <w:rPr>
                <w:rFonts w:ascii="Arial" w:hAnsi="Arial" w:cs="Arial"/>
                <w:sz w:val="24"/>
                <w:szCs w:val="24"/>
              </w:rPr>
            </w:pPr>
            <w:r>
              <w:rPr>
                <w:rFonts w:ascii="Arial" w:hAnsi="Arial" w:cs="Arial"/>
                <w:sz w:val="24"/>
                <w:szCs w:val="24"/>
              </w:rPr>
              <w:t>ML1130</w:t>
            </w:r>
            <w:r w:rsidR="00DA0511">
              <w:rPr>
                <w:rFonts w:ascii="Arial" w:hAnsi="Arial" w:cs="Arial"/>
                <w:sz w:val="24"/>
                <w:szCs w:val="24"/>
              </w:rPr>
              <w:t>7</w:t>
            </w:r>
            <w:r>
              <w:rPr>
                <w:rFonts w:ascii="Arial" w:hAnsi="Arial" w:cs="Arial"/>
                <w:sz w:val="24"/>
                <w:szCs w:val="24"/>
              </w:rPr>
              <w:t>A479</w:t>
            </w:r>
          </w:p>
          <w:p w:rsidR="007B72BD" w:rsidRPr="006674F0" w:rsidRDefault="007B72BD" w:rsidP="008104AF">
            <w:pPr>
              <w:numPr>
                <w:ilvl w:val="12"/>
                <w:numId w:val="0"/>
              </w:numPr>
              <w:tabs>
                <w:tab w:val="left" w:pos="360"/>
                <w:tab w:val="left" w:pos="720"/>
                <w:tab w:val="left" w:pos="1080"/>
              </w:tabs>
              <w:jc w:val="both"/>
              <w:rPr>
                <w:rFonts w:ascii="Arial" w:hAnsi="Arial" w:cs="Arial"/>
                <w:sz w:val="24"/>
                <w:szCs w:val="24"/>
              </w:rPr>
            </w:pPr>
          </w:p>
          <w:p w:rsidR="007B72BD" w:rsidRPr="006674F0" w:rsidRDefault="007B72BD" w:rsidP="008104AF">
            <w:pPr>
              <w:numPr>
                <w:ilvl w:val="12"/>
                <w:numId w:val="0"/>
              </w:numPr>
              <w:tabs>
                <w:tab w:val="left" w:pos="360"/>
                <w:tab w:val="left" w:pos="720"/>
                <w:tab w:val="left" w:pos="1080"/>
              </w:tabs>
              <w:spacing w:after="48"/>
              <w:jc w:val="both"/>
              <w:rPr>
                <w:rFonts w:ascii="Arial" w:hAnsi="Arial" w:cs="Arial"/>
                <w:sz w:val="24"/>
                <w:szCs w:val="24"/>
              </w:rPr>
            </w:pPr>
          </w:p>
        </w:tc>
        <w:tc>
          <w:tcPr>
            <w:tcW w:w="405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jc w:val="both"/>
              <w:rPr>
                <w:rFonts w:ascii="Arial" w:hAnsi="Arial" w:cs="Arial"/>
                <w:sz w:val="24"/>
                <w:szCs w:val="24"/>
              </w:rPr>
            </w:pPr>
            <w:r w:rsidRPr="001F11E6">
              <w:rPr>
                <w:rFonts w:ascii="Arial" w:hAnsi="Arial" w:cs="Arial"/>
                <w:sz w:val="24"/>
                <w:szCs w:val="24"/>
              </w:rPr>
              <w:t>This TI is being issued to collect follow-up information on deviations in the plants’ adherence to the Industry Ground Water Protection Initiative</w:t>
            </w:r>
            <w:r w:rsidRPr="00C55AF9">
              <w:rPr>
                <w:rFonts w:ascii="Arial" w:hAnsi="Arial" w:cs="Arial"/>
                <w:i/>
                <w:sz w:val="24"/>
                <w:szCs w:val="24"/>
              </w:rPr>
              <w:t>.</w:t>
            </w:r>
          </w:p>
        </w:tc>
        <w:tc>
          <w:tcPr>
            <w:tcW w:w="117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s>
              <w:spacing w:before="100" w:after="48"/>
              <w:jc w:val="center"/>
              <w:rPr>
                <w:rFonts w:ascii="Arial" w:hAnsi="Arial" w:cs="Arial"/>
                <w:sz w:val="24"/>
                <w:szCs w:val="24"/>
              </w:rPr>
            </w:pPr>
            <w:r w:rsidRPr="006674F0">
              <w:rPr>
                <w:rFonts w:ascii="Arial" w:hAnsi="Arial" w:cs="Arial"/>
                <w:sz w:val="24"/>
                <w:szCs w:val="24"/>
              </w:rPr>
              <w:t>N/A</w:t>
            </w:r>
          </w:p>
        </w:tc>
        <w:tc>
          <w:tcPr>
            <w:tcW w:w="162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 w:val="left" w:pos="1440"/>
                <w:tab w:val="left" w:pos="1800"/>
              </w:tabs>
              <w:spacing w:before="100" w:after="48"/>
              <w:jc w:val="center"/>
              <w:rPr>
                <w:rFonts w:ascii="Arial" w:hAnsi="Arial" w:cs="Arial"/>
                <w:sz w:val="24"/>
                <w:szCs w:val="24"/>
              </w:rPr>
            </w:pPr>
            <w:r w:rsidRPr="006674F0">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7B72BD" w:rsidRDefault="007B72BD" w:rsidP="008104AF">
            <w:pPr>
              <w:numPr>
                <w:ilvl w:val="12"/>
                <w:numId w:val="0"/>
              </w:numPr>
              <w:tabs>
                <w:tab w:val="left" w:pos="360"/>
                <w:tab w:val="left" w:pos="720"/>
                <w:tab w:val="left" w:pos="1080"/>
                <w:tab w:val="left" w:pos="1440"/>
                <w:tab w:val="left" w:pos="1800"/>
                <w:tab w:val="left" w:pos="2160"/>
                <w:tab w:val="left" w:pos="2520"/>
              </w:tabs>
              <w:spacing w:before="100" w:after="48"/>
              <w:jc w:val="both"/>
              <w:rPr>
                <w:rFonts w:ascii="Arial" w:hAnsi="Arial" w:cs="Arial"/>
                <w:sz w:val="24"/>
                <w:szCs w:val="24"/>
              </w:rPr>
            </w:pPr>
            <w:r w:rsidRPr="006674F0">
              <w:rPr>
                <w:rFonts w:ascii="Arial" w:hAnsi="Arial" w:cs="Arial"/>
                <w:sz w:val="24"/>
                <w:szCs w:val="24"/>
              </w:rPr>
              <w:t>ML</w:t>
            </w:r>
            <w:r>
              <w:rPr>
                <w:rFonts w:ascii="Arial" w:hAnsi="Arial" w:cs="Arial"/>
                <w:sz w:val="24"/>
                <w:szCs w:val="24"/>
              </w:rPr>
              <w:t>11277A241</w:t>
            </w:r>
          </w:p>
        </w:tc>
      </w:tr>
      <w:tr w:rsidR="007B72BD" w:rsidRPr="006674F0" w:rsidTr="00FA6248">
        <w:trPr>
          <w:cantSplit/>
        </w:trPr>
        <w:tc>
          <w:tcPr>
            <w:tcW w:w="162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 w:val="left" w:pos="1440"/>
              </w:tabs>
              <w:spacing w:before="100" w:after="48"/>
              <w:jc w:val="center"/>
              <w:rPr>
                <w:rFonts w:ascii="Arial" w:hAnsi="Arial" w:cs="Arial"/>
                <w:sz w:val="24"/>
                <w:szCs w:val="24"/>
              </w:rPr>
            </w:pPr>
            <w:r>
              <w:rPr>
                <w:rFonts w:ascii="Arial" w:hAnsi="Arial" w:cs="Arial"/>
                <w:sz w:val="24"/>
                <w:szCs w:val="24"/>
              </w:rPr>
              <w:t>N/A</w:t>
            </w:r>
          </w:p>
        </w:tc>
        <w:tc>
          <w:tcPr>
            <w:tcW w:w="1890" w:type="dxa"/>
            <w:tcBorders>
              <w:top w:val="single" w:sz="6" w:space="0" w:color="000000"/>
              <w:left w:val="single" w:sz="6" w:space="0" w:color="000000"/>
              <w:bottom w:val="single" w:sz="6" w:space="0" w:color="000000"/>
              <w:right w:val="nil"/>
            </w:tcBorders>
          </w:tcPr>
          <w:p w:rsidR="007B72BD" w:rsidRDefault="00732A75" w:rsidP="008104AF">
            <w:pPr>
              <w:numPr>
                <w:ilvl w:val="12"/>
                <w:numId w:val="0"/>
              </w:numPr>
              <w:tabs>
                <w:tab w:val="left" w:pos="360"/>
                <w:tab w:val="left" w:pos="720"/>
                <w:tab w:val="left" w:pos="1080"/>
              </w:tabs>
              <w:jc w:val="both"/>
              <w:rPr>
                <w:rFonts w:ascii="Arial" w:hAnsi="Arial" w:cs="Arial"/>
                <w:sz w:val="24"/>
                <w:szCs w:val="24"/>
              </w:rPr>
            </w:pPr>
            <w:r>
              <w:rPr>
                <w:rFonts w:ascii="Arial" w:hAnsi="Arial" w:cs="Arial"/>
                <w:sz w:val="24"/>
                <w:szCs w:val="24"/>
              </w:rPr>
              <w:t>12/19/11</w:t>
            </w:r>
          </w:p>
          <w:p w:rsidR="007B72BD" w:rsidRDefault="007B72BD" w:rsidP="008104AF">
            <w:pPr>
              <w:numPr>
                <w:ilvl w:val="12"/>
                <w:numId w:val="0"/>
              </w:numPr>
              <w:tabs>
                <w:tab w:val="left" w:pos="360"/>
                <w:tab w:val="left" w:pos="720"/>
                <w:tab w:val="left" w:pos="1080"/>
              </w:tabs>
              <w:jc w:val="both"/>
              <w:rPr>
                <w:rFonts w:ascii="Arial" w:hAnsi="Arial" w:cs="Arial"/>
                <w:sz w:val="24"/>
                <w:szCs w:val="24"/>
              </w:rPr>
            </w:pPr>
            <w:r>
              <w:rPr>
                <w:rFonts w:ascii="Arial" w:hAnsi="Arial" w:cs="Arial"/>
                <w:sz w:val="24"/>
                <w:szCs w:val="24"/>
              </w:rPr>
              <w:t xml:space="preserve">CN </w:t>
            </w:r>
            <w:r w:rsidR="00732A75">
              <w:rPr>
                <w:rFonts w:ascii="Arial" w:hAnsi="Arial" w:cs="Arial"/>
                <w:sz w:val="24"/>
                <w:szCs w:val="24"/>
              </w:rPr>
              <w:t>11-041</w:t>
            </w:r>
          </w:p>
          <w:p w:rsidR="007B72BD" w:rsidRDefault="007B72BD" w:rsidP="008104AF">
            <w:pPr>
              <w:numPr>
                <w:ilvl w:val="12"/>
                <w:numId w:val="0"/>
              </w:numPr>
              <w:tabs>
                <w:tab w:val="left" w:pos="360"/>
                <w:tab w:val="left" w:pos="720"/>
                <w:tab w:val="left" w:pos="1080"/>
              </w:tabs>
              <w:jc w:val="both"/>
              <w:rPr>
                <w:rFonts w:ascii="Arial" w:hAnsi="Arial" w:cs="Arial"/>
                <w:sz w:val="24"/>
                <w:szCs w:val="24"/>
              </w:rPr>
            </w:pPr>
            <w:r>
              <w:rPr>
                <w:rFonts w:ascii="Arial" w:hAnsi="Arial" w:cs="Arial"/>
                <w:sz w:val="24"/>
                <w:szCs w:val="24"/>
              </w:rPr>
              <w:t>ML</w:t>
            </w:r>
            <w:r w:rsidR="00E725B4">
              <w:rPr>
                <w:rFonts w:ascii="Arial" w:hAnsi="Arial" w:cs="Arial"/>
                <w:sz w:val="24"/>
                <w:szCs w:val="24"/>
              </w:rPr>
              <w:t>11342A078</w:t>
            </w:r>
          </w:p>
        </w:tc>
        <w:tc>
          <w:tcPr>
            <w:tcW w:w="4050" w:type="dxa"/>
            <w:tcBorders>
              <w:top w:val="single" w:sz="6" w:space="0" w:color="000000"/>
              <w:left w:val="single" w:sz="6" w:space="0" w:color="000000"/>
              <w:bottom w:val="single" w:sz="6" w:space="0" w:color="000000"/>
              <w:right w:val="nil"/>
            </w:tcBorders>
          </w:tcPr>
          <w:p w:rsidR="007B72BD" w:rsidRPr="001F11E6" w:rsidRDefault="007B72BD" w:rsidP="008104A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jc w:val="both"/>
              <w:rPr>
                <w:rFonts w:ascii="Arial" w:hAnsi="Arial" w:cs="Arial"/>
                <w:sz w:val="24"/>
                <w:szCs w:val="24"/>
              </w:rPr>
            </w:pPr>
            <w:r>
              <w:rPr>
                <w:rFonts w:ascii="Arial" w:hAnsi="Arial" w:cs="Arial"/>
                <w:sz w:val="24"/>
                <w:szCs w:val="24"/>
              </w:rPr>
              <w:t>Revision issued to add plant in Section 03.02 that was inadvertently left off the list of plants.</w:t>
            </w:r>
          </w:p>
        </w:tc>
        <w:tc>
          <w:tcPr>
            <w:tcW w:w="117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s>
              <w:spacing w:before="100" w:after="48"/>
              <w:jc w:val="center"/>
              <w:rPr>
                <w:rFonts w:ascii="Arial" w:hAnsi="Arial" w:cs="Arial"/>
                <w:sz w:val="24"/>
                <w:szCs w:val="24"/>
              </w:rPr>
            </w:pPr>
            <w:r>
              <w:rPr>
                <w:rFonts w:ascii="Arial" w:hAnsi="Arial" w:cs="Arial"/>
                <w:sz w:val="24"/>
                <w:szCs w:val="24"/>
              </w:rPr>
              <w:t>N/A</w:t>
            </w:r>
          </w:p>
        </w:tc>
        <w:tc>
          <w:tcPr>
            <w:tcW w:w="1620" w:type="dxa"/>
            <w:tcBorders>
              <w:top w:val="single" w:sz="6" w:space="0" w:color="000000"/>
              <w:left w:val="single" w:sz="6" w:space="0" w:color="000000"/>
              <w:bottom w:val="single" w:sz="6" w:space="0" w:color="000000"/>
              <w:right w:val="nil"/>
            </w:tcBorders>
          </w:tcPr>
          <w:p w:rsidR="007B72BD" w:rsidRPr="006674F0" w:rsidRDefault="007B72BD" w:rsidP="008104AF">
            <w:pPr>
              <w:numPr>
                <w:ilvl w:val="12"/>
                <w:numId w:val="0"/>
              </w:numPr>
              <w:tabs>
                <w:tab w:val="left" w:pos="360"/>
                <w:tab w:val="left" w:pos="720"/>
                <w:tab w:val="left" w:pos="1080"/>
                <w:tab w:val="left" w:pos="1440"/>
                <w:tab w:val="left" w:pos="1800"/>
              </w:tabs>
              <w:spacing w:before="100" w:after="48"/>
              <w:jc w:val="center"/>
              <w:rPr>
                <w:rFonts w:ascii="Arial" w:hAnsi="Arial" w:cs="Arial"/>
                <w:sz w:val="24"/>
                <w:szCs w:val="24"/>
              </w:rPr>
            </w:pPr>
            <w:r>
              <w:rPr>
                <w:rFonts w:ascii="Arial" w:hAnsi="Arial" w:cs="Arial"/>
                <w:sz w:val="24"/>
                <w:szCs w:val="24"/>
              </w:rPr>
              <w:t>N/A</w:t>
            </w:r>
          </w:p>
        </w:tc>
        <w:tc>
          <w:tcPr>
            <w:tcW w:w="2610" w:type="dxa"/>
            <w:tcBorders>
              <w:top w:val="single" w:sz="6" w:space="0" w:color="000000"/>
              <w:left w:val="single" w:sz="6" w:space="0" w:color="000000"/>
              <w:bottom w:val="single" w:sz="6" w:space="0" w:color="000000"/>
              <w:right w:val="single" w:sz="6" w:space="0" w:color="000000"/>
            </w:tcBorders>
          </w:tcPr>
          <w:p w:rsidR="007B72BD" w:rsidRDefault="007B72BD" w:rsidP="008104AF">
            <w:pPr>
              <w:numPr>
                <w:ilvl w:val="12"/>
                <w:numId w:val="0"/>
              </w:numPr>
              <w:tabs>
                <w:tab w:val="left" w:pos="360"/>
                <w:tab w:val="left" w:pos="720"/>
                <w:tab w:val="left" w:pos="1080"/>
                <w:tab w:val="left" w:pos="1440"/>
                <w:tab w:val="left" w:pos="1800"/>
                <w:tab w:val="left" w:pos="2160"/>
                <w:tab w:val="left" w:pos="2520"/>
              </w:tabs>
              <w:spacing w:before="100" w:after="48"/>
              <w:jc w:val="center"/>
              <w:rPr>
                <w:rFonts w:ascii="Arial" w:hAnsi="Arial" w:cs="Arial"/>
                <w:sz w:val="24"/>
                <w:szCs w:val="24"/>
              </w:rPr>
            </w:pPr>
            <w:r>
              <w:rPr>
                <w:rFonts w:ascii="Arial" w:hAnsi="Arial" w:cs="Arial"/>
                <w:sz w:val="24"/>
                <w:szCs w:val="24"/>
              </w:rPr>
              <w:t>N/A</w:t>
            </w:r>
          </w:p>
        </w:tc>
      </w:tr>
    </w:tbl>
    <w:p w:rsidR="006674F0" w:rsidRPr="006674F0" w:rsidRDefault="006674F0" w:rsidP="008104AF">
      <w:pPr>
        <w:rPr>
          <w:rFonts w:ascii="Arial" w:hAnsi="Arial" w:cs="Arial"/>
          <w:sz w:val="24"/>
          <w:szCs w:val="24"/>
        </w:rPr>
      </w:pPr>
    </w:p>
    <w:sectPr w:rsidR="006674F0" w:rsidRPr="006674F0" w:rsidSect="00732A75">
      <w:footerReference w:type="default" r:id="rId15"/>
      <w:pgSz w:w="15840" w:h="12240" w:orient="landscape"/>
      <w:pgMar w:top="1440" w:right="1440" w:bottom="1440" w:left="1440" w:header="10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B15" w:rsidRDefault="00B31B15" w:rsidP="00E537FC">
      <w:r>
        <w:separator/>
      </w:r>
    </w:p>
  </w:endnote>
  <w:endnote w:type="continuationSeparator" w:id="0">
    <w:p w:rsidR="00B31B15" w:rsidRDefault="00B31B15" w:rsidP="00E537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1225"/>
      <w:docPartObj>
        <w:docPartGallery w:val="Page Numbers (Bottom of Page)"/>
        <w:docPartUnique/>
      </w:docPartObj>
    </w:sdtPr>
    <w:sdtEndPr>
      <w:rPr>
        <w:rFonts w:ascii="Arial" w:hAnsi="Arial" w:cs="Arial"/>
        <w:sz w:val="24"/>
        <w:szCs w:val="24"/>
      </w:rPr>
    </w:sdtEndPr>
    <w:sdtContent>
      <w:p w:rsidR="00732A75" w:rsidRPr="00732A75" w:rsidRDefault="00732A75" w:rsidP="00732A75">
        <w:pPr>
          <w:pStyle w:val="Footer"/>
          <w:rPr>
            <w:rFonts w:ascii="Arial" w:hAnsi="Arial" w:cs="Arial"/>
            <w:sz w:val="24"/>
            <w:szCs w:val="24"/>
          </w:rPr>
        </w:pPr>
        <w:r w:rsidRPr="00732A75">
          <w:rPr>
            <w:rFonts w:ascii="Arial" w:hAnsi="Arial" w:cs="Arial"/>
            <w:sz w:val="24"/>
            <w:szCs w:val="24"/>
          </w:rPr>
          <w:t>Issue Date</w:t>
        </w:r>
        <w:r>
          <w:rPr>
            <w:rFonts w:ascii="Arial" w:hAnsi="Arial" w:cs="Arial"/>
            <w:sz w:val="24"/>
            <w:szCs w:val="24"/>
          </w:rPr>
          <w:t>:  12/19/11</w:t>
        </w:r>
        <w:r>
          <w:rPr>
            <w:rFonts w:ascii="Arial" w:hAnsi="Arial" w:cs="Arial"/>
            <w:sz w:val="24"/>
            <w:szCs w:val="24"/>
          </w:rPr>
          <w:tab/>
        </w:r>
        <w:r w:rsidRPr="00732A75">
          <w:rPr>
            <w:rFonts w:ascii="Arial" w:hAnsi="Arial" w:cs="Arial"/>
            <w:sz w:val="24"/>
            <w:szCs w:val="24"/>
          </w:rPr>
          <w:fldChar w:fldCharType="begin"/>
        </w:r>
        <w:r w:rsidRPr="00732A75">
          <w:rPr>
            <w:rFonts w:ascii="Arial" w:hAnsi="Arial" w:cs="Arial"/>
            <w:sz w:val="24"/>
            <w:szCs w:val="24"/>
          </w:rPr>
          <w:instrText xml:space="preserve"> PAGE   \* MERGEFORMAT </w:instrText>
        </w:r>
        <w:r w:rsidRPr="00732A75">
          <w:rPr>
            <w:rFonts w:ascii="Arial" w:hAnsi="Arial" w:cs="Arial"/>
            <w:sz w:val="24"/>
            <w:szCs w:val="24"/>
          </w:rPr>
          <w:fldChar w:fldCharType="separate"/>
        </w:r>
        <w:r>
          <w:rPr>
            <w:rFonts w:ascii="Arial" w:hAnsi="Arial" w:cs="Arial"/>
            <w:noProof/>
            <w:sz w:val="24"/>
            <w:szCs w:val="24"/>
          </w:rPr>
          <w:t>1</w:t>
        </w:r>
        <w:r w:rsidRPr="00732A75">
          <w:rPr>
            <w:rFonts w:ascii="Arial" w:hAnsi="Arial" w:cs="Arial"/>
            <w:sz w:val="24"/>
            <w:szCs w:val="24"/>
          </w:rPr>
          <w:fldChar w:fldCharType="end"/>
        </w:r>
        <w:r>
          <w:rPr>
            <w:rFonts w:ascii="Arial" w:hAnsi="Arial" w:cs="Arial"/>
            <w:sz w:val="24"/>
            <w:szCs w:val="24"/>
          </w:rPr>
          <w:tab/>
          <w:t>2515/185 Rev 1</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1234"/>
      <w:docPartObj>
        <w:docPartGallery w:val="Page Numbers (Bottom of Page)"/>
        <w:docPartUnique/>
      </w:docPartObj>
    </w:sdtPr>
    <w:sdtEndPr>
      <w:rPr>
        <w:rFonts w:ascii="Arial" w:hAnsi="Arial" w:cs="Arial"/>
        <w:sz w:val="24"/>
        <w:szCs w:val="24"/>
      </w:rPr>
    </w:sdtEndPr>
    <w:sdtContent>
      <w:p w:rsidR="00732A75" w:rsidRPr="00732A75" w:rsidRDefault="00732A75" w:rsidP="00732A75">
        <w:pPr>
          <w:pStyle w:val="Footer"/>
          <w:rPr>
            <w:rFonts w:ascii="Arial" w:hAnsi="Arial" w:cs="Arial"/>
            <w:sz w:val="24"/>
            <w:szCs w:val="24"/>
          </w:rPr>
        </w:pPr>
        <w:r w:rsidRPr="00732A75">
          <w:rPr>
            <w:rFonts w:ascii="Arial" w:hAnsi="Arial" w:cs="Arial"/>
            <w:sz w:val="24"/>
            <w:szCs w:val="24"/>
          </w:rPr>
          <w:t>Issue Date</w:t>
        </w:r>
        <w:r>
          <w:rPr>
            <w:rFonts w:ascii="Arial" w:hAnsi="Arial" w:cs="Arial"/>
            <w:sz w:val="24"/>
            <w:szCs w:val="24"/>
          </w:rPr>
          <w:t>:  12/19/11</w:t>
        </w:r>
        <w:r>
          <w:rPr>
            <w:rFonts w:ascii="Arial" w:hAnsi="Arial" w:cs="Arial"/>
            <w:sz w:val="24"/>
            <w:szCs w:val="24"/>
          </w:rPr>
          <w:tab/>
        </w:r>
        <w:r w:rsidRPr="00732A75">
          <w:rPr>
            <w:rFonts w:ascii="Arial" w:hAnsi="Arial" w:cs="Arial"/>
            <w:sz w:val="24"/>
            <w:szCs w:val="24"/>
          </w:rPr>
          <w:fldChar w:fldCharType="begin"/>
        </w:r>
        <w:r w:rsidRPr="00732A75">
          <w:rPr>
            <w:rFonts w:ascii="Arial" w:hAnsi="Arial" w:cs="Arial"/>
            <w:sz w:val="24"/>
            <w:szCs w:val="24"/>
          </w:rPr>
          <w:instrText xml:space="preserve"> PAGE   \* MERGEFORMAT </w:instrText>
        </w:r>
        <w:r w:rsidRPr="00732A75">
          <w:rPr>
            <w:rFonts w:ascii="Arial" w:hAnsi="Arial" w:cs="Arial"/>
            <w:sz w:val="24"/>
            <w:szCs w:val="24"/>
          </w:rPr>
          <w:fldChar w:fldCharType="separate"/>
        </w:r>
        <w:r>
          <w:rPr>
            <w:rFonts w:ascii="Arial" w:hAnsi="Arial" w:cs="Arial"/>
            <w:noProof/>
            <w:sz w:val="24"/>
            <w:szCs w:val="24"/>
          </w:rPr>
          <w:t>2</w:t>
        </w:r>
        <w:r w:rsidRPr="00732A75">
          <w:rPr>
            <w:rFonts w:ascii="Arial" w:hAnsi="Arial" w:cs="Arial"/>
            <w:sz w:val="24"/>
            <w:szCs w:val="24"/>
          </w:rPr>
          <w:fldChar w:fldCharType="end"/>
        </w:r>
        <w:r>
          <w:rPr>
            <w:rFonts w:ascii="Arial" w:hAnsi="Arial" w:cs="Arial"/>
            <w:sz w:val="24"/>
            <w:szCs w:val="24"/>
          </w:rPr>
          <w:tab/>
          <w:t>2515/185 Rev 1</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1661216"/>
      <w:docPartObj>
        <w:docPartGallery w:val="Page Numbers (Bottom of Page)"/>
        <w:docPartUnique/>
      </w:docPartObj>
    </w:sdtPr>
    <w:sdtContent>
      <w:p w:rsidR="008104AF" w:rsidRPr="00B67AA7" w:rsidRDefault="008104AF" w:rsidP="008104AF">
        <w:pPr>
          <w:pStyle w:val="Footer"/>
          <w:rPr>
            <w:rFonts w:ascii="Arial" w:hAnsi="Arial" w:cs="Arial"/>
            <w:sz w:val="24"/>
            <w:szCs w:val="24"/>
          </w:rPr>
        </w:pPr>
        <w:r w:rsidRPr="00B67AA7">
          <w:rPr>
            <w:rFonts w:ascii="Arial" w:hAnsi="Arial" w:cs="Arial"/>
            <w:sz w:val="24"/>
            <w:szCs w:val="24"/>
          </w:rPr>
          <w:t xml:space="preserve">Issue Date:  </w:t>
        </w:r>
        <w:r>
          <w:rPr>
            <w:rFonts w:ascii="Arial" w:hAnsi="Arial" w:cs="Arial"/>
            <w:sz w:val="24"/>
            <w:szCs w:val="24"/>
          </w:rPr>
          <w:t>12/19/11</w:t>
        </w:r>
        <w:r w:rsidRPr="00B67AA7">
          <w:rPr>
            <w:rFonts w:ascii="Arial" w:hAnsi="Arial" w:cs="Arial"/>
            <w:sz w:val="24"/>
            <w:szCs w:val="24"/>
          </w:rPr>
          <w:tab/>
        </w:r>
        <w:r>
          <w:rPr>
            <w:rFonts w:ascii="Arial" w:hAnsi="Arial" w:cs="Arial"/>
            <w:sz w:val="24"/>
            <w:szCs w:val="24"/>
          </w:rPr>
          <w:t>Att1-1</w:t>
        </w:r>
        <w:r w:rsidRPr="00B67AA7">
          <w:rPr>
            <w:rFonts w:ascii="Arial" w:hAnsi="Arial" w:cs="Arial"/>
            <w:sz w:val="24"/>
            <w:szCs w:val="24"/>
          </w:rPr>
          <w:tab/>
          <w:t xml:space="preserve">2515/185 Rev </w:t>
        </w:r>
        <w:r>
          <w:rPr>
            <w:rFonts w:ascii="Arial" w:hAnsi="Arial" w:cs="Arial"/>
            <w:sz w:val="24"/>
            <w:szCs w:val="24"/>
          </w:rPr>
          <w:t>1</w: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1661220"/>
      <w:docPartObj>
        <w:docPartGallery w:val="Page Numbers (Bottom of Page)"/>
        <w:docPartUnique/>
      </w:docPartObj>
    </w:sdtPr>
    <w:sdtContent>
      <w:p w:rsidR="008104AF" w:rsidRPr="00B67AA7" w:rsidRDefault="008104AF" w:rsidP="008104AF">
        <w:pPr>
          <w:pStyle w:val="Footer"/>
          <w:rPr>
            <w:rFonts w:ascii="Arial" w:hAnsi="Arial" w:cs="Arial"/>
            <w:sz w:val="24"/>
            <w:szCs w:val="24"/>
          </w:rPr>
        </w:pPr>
        <w:r w:rsidRPr="00B67AA7">
          <w:rPr>
            <w:rFonts w:ascii="Arial" w:hAnsi="Arial" w:cs="Arial"/>
            <w:sz w:val="24"/>
            <w:szCs w:val="24"/>
          </w:rPr>
          <w:t xml:space="preserve">Issue Date:  </w:t>
        </w:r>
        <w:r>
          <w:rPr>
            <w:rFonts w:ascii="Arial" w:hAnsi="Arial" w:cs="Arial"/>
            <w:sz w:val="24"/>
            <w:szCs w:val="24"/>
          </w:rPr>
          <w:t>12/19/11</w:t>
        </w:r>
        <w:r w:rsidRPr="00B67AA7">
          <w:rPr>
            <w:rFonts w:ascii="Arial" w:hAnsi="Arial" w:cs="Arial"/>
            <w:sz w:val="24"/>
            <w:szCs w:val="24"/>
          </w:rPr>
          <w:tab/>
        </w:r>
        <w:r>
          <w:rPr>
            <w:rFonts w:ascii="Arial" w:hAnsi="Arial" w:cs="Arial"/>
            <w:sz w:val="24"/>
            <w:szCs w:val="24"/>
          </w:rPr>
          <w:t>Att1-</w:t>
        </w:r>
        <w:r w:rsidR="00732A75">
          <w:rPr>
            <w:rFonts w:ascii="Arial" w:hAnsi="Arial" w:cs="Arial"/>
            <w:sz w:val="24"/>
            <w:szCs w:val="24"/>
          </w:rPr>
          <w:t>3</w:t>
        </w:r>
        <w:r w:rsidRPr="00B67AA7">
          <w:rPr>
            <w:rFonts w:ascii="Arial" w:hAnsi="Arial" w:cs="Arial"/>
            <w:sz w:val="24"/>
            <w:szCs w:val="24"/>
          </w:rPr>
          <w:tab/>
          <w:t xml:space="preserve">2515/185 Rev </w:t>
        </w:r>
        <w:r>
          <w:rPr>
            <w:rFonts w:ascii="Arial" w:hAnsi="Arial" w:cs="Arial"/>
            <w:sz w:val="24"/>
            <w:szCs w:val="24"/>
          </w:rPr>
          <w:t>1</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4"/>
        <w:szCs w:val="24"/>
      </w:rPr>
      <w:id w:val="11661219"/>
      <w:docPartObj>
        <w:docPartGallery w:val="Page Numbers (Bottom of Page)"/>
        <w:docPartUnique/>
      </w:docPartObj>
    </w:sdtPr>
    <w:sdtContent>
      <w:p w:rsidR="008104AF" w:rsidRPr="00B67AA7" w:rsidRDefault="008104AF" w:rsidP="008104AF">
        <w:pPr>
          <w:pStyle w:val="Footer"/>
          <w:rPr>
            <w:rFonts w:ascii="Arial" w:hAnsi="Arial" w:cs="Arial"/>
            <w:sz w:val="24"/>
            <w:szCs w:val="24"/>
          </w:rPr>
        </w:pPr>
        <w:r w:rsidRPr="00B67AA7">
          <w:rPr>
            <w:rFonts w:ascii="Arial" w:hAnsi="Arial" w:cs="Arial"/>
            <w:sz w:val="24"/>
            <w:szCs w:val="24"/>
          </w:rPr>
          <w:t xml:space="preserve">Issue Date:  </w:t>
        </w:r>
        <w:r>
          <w:rPr>
            <w:rFonts w:ascii="Arial" w:hAnsi="Arial" w:cs="Arial"/>
            <w:sz w:val="24"/>
            <w:szCs w:val="24"/>
          </w:rPr>
          <w:t>12/19/11</w:t>
        </w:r>
        <w:r w:rsidRPr="00B67AA7">
          <w:rPr>
            <w:rFonts w:ascii="Arial" w:hAnsi="Arial" w:cs="Arial"/>
            <w:sz w:val="24"/>
            <w:szCs w:val="24"/>
          </w:rPr>
          <w:tab/>
        </w:r>
        <w:r>
          <w:rPr>
            <w:rFonts w:ascii="Arial" w:hAnsi="Arial" w:cs="Arial"/>
            <w:sz w:val="24"/>
            <w:szCs w:val="24"/>
          </w:rPr>
          <w:t>Att1-</w:t>
        </w:r>
        <w:r w:rsidR="00732A75">
          <w:rPr>
            <w:rFonts w:ascii="Arial" w:hAnsi="Arial" w:cs="Arial"/>
            <w:sz w:val="24"/>
            <w:szCs w:val="24"/>
          </w:rPr>
          <w:t>5</w:t>
        </w:r>
        <w:r w:rsidRPr="00B67AA7">
          <w:rPr>
            <w:rFonts w:ascii="Arial" w:hAnsi="Arial" w:cs="Arial"/>
            <w:sz w:val="24"/>
            <w:szCs w:val="24"/>
          </w:rPr>
          <w:tab/>
          <w:t xml:space="preserve">2515/185 Rev </w:t>
        </w:r>
        <w:r>
          <w:rPr>
            <w:rFonts w:ascii="Arial" w:hAnsi="Arial" w:cs="Arial"/>
            <w:sz w:val="24"/>
            <w:szCs w:val="24"/>
          </w:rPr>
          <w:t>1</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4"/>
        <w:szCs w:val="24"/>
      </w:rPr>
      <w:id w:val="-1038936981"/>
      <w:docPartObj>
        <w:docPartGallery w:val="Page Numbers (Bottom of Page)"/>
        <w:docPartUnique/>
      </w:docPartObj>
    </w:sdtPr>
    <w:sdtEndPr>
      <w:rPr>
        <w:rFonts w:ascii="Arial" w:hAnsi="Arial" w:cs="Arial"/>
      </w:rPr>
    </w:sdtEndPr>
    <w:sdtContent>
      <w:p w:rsidR="00F441D9" w:rsidRPr="00732A75" w:rsidRDefault="00F441D9" w:rsidP="000120F5">
        <w:pPr>
          <w:pStyle w:val="Footer"/>
          <w:tabs>
            <w:tab w:val="clear" w:pos="4680"/>
            <w:tab w:val="clear" w:pos="9360"/>
            <w:tab w:val="center" w:pos="5940"/>
            <w:tab w:val="right" w:pos="12240"/>
          </w:tabs>
          <w:rPr>
            <w:rFonts w:ascii="Arial" w:hAnsi="Arial" w:cs="Arial"/>
            <w:sz w:val="24"/>
            <w:szCs w:val="24"/>
          </w:rPr>
        </w:pPr>
        <w:r w:rsidRPr="00B67AA7">
          <w:rPr>
            <w:rFonts w:ascii="Arial" w:hAnsi="Arial" w:cs="Arial"/>
            <w:sz w:val="24"/>
            <w:szCs w:val="24"/>
          </w:rPr>
          <w:t xml:space="preserve">Issue Date:  </w:t>
        </w:r>
        <w:r w:rsidR="008104AF">
          <w:rPr>
            <w:rFonts w:ascii="Arial" w:hAnsi="Arial" w:cs="Arial"/>
            <w:sz w:val="24"/>
            <w:szCs w:val="24"/>
          </w:rPr>
          <w:t>12/19/11</w:t>
        </w:r>
        <w:r w:rsidRPr="00B67AA7">
          <w:rPr>
            <w:sz w:val="24"/>
            <w:szCs w:val="24"/>
          </w:rPr>
          <w:tab/>
        </w:r>
        <w:r>
          <w:rPr>
            <w:rFonts w:ascii="Arial" w:hAnsi="Arial" w:cs="Arial"/>
            <w:sz w:val="24"/>
            <w:szCs w:val="24"/>
          </w:rPr>
          <w:t>Att2-1</w:t>
        </w:r>
        <w:r w:rsidRPr="00B67AA7">
          <w:rPr>
            <w:rFonts w:ascii="Arial" w:hAnsi="Arial" w:cs="Arial"/>
            <w:sz w:val="24"/>
            <w:szCs w:val="24"/>
          </w:rPr>
          <w:tab/>
          <w:t xml:space="preserve"> 2515/185 Rev </w:t>
        </w:r>
        <w:r>
          <w:rPr>
            <w:rFonts w:ascii="Arial" w:hAnsi="Arial" w:cs="Arial"/>
            <w:sz w:val="24"/>
            <w:szCs w:val="24"/>
          </w:rPr>
          <w:t>1</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B15" w:rsidRDefault="00B31B15" w:rsidP="00E537FC">
      <w:r>
        <w:separator/>
      </w:r>
    </w:p>
  </w:footnote>
  <w:footnote w:type="continuationSeparator" w:id="0">
    <w:p w:rsidR="00B31B15" w:rsidRDefault="00B31B15" w:rsidP="00E537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4AF" w:rsidRPr="008104AF" w:rsidRDefault="008104AF">
    <w:pPr>
      <w:pStyle w:val="Header"/>
      <w:rPr>
        <w:rFonts w:ascii="Arial" w:hAnsi="Arial" w:cs="Arial"/>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DBD"/>
    <w:multiLevelType w:val="hybridMultilevel"/>
    <w:tmpl w:val="2B2C82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F0789"/>
    <w:multiLevelType w:val="hybridMultilevel"/>
    <w:tmpl w:val="A824E5C4"/>
    <w:lvl w:ilvl="0" w:tplc="19E0F95A">
      <w:start w:val="1"/>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3F69C9"/>
    <w:multiLevelType w:val="hybridMultilevel"/>
    <w:tmpl w:val="159C7E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066E94"/>
    <w:multiLevelType w:val="hybridMultilevel"/>
    <w:tmpl w:val="DFB6052C"/>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164B7ECF"/>
    <w:multiLevelType w:val="hybridMultilevel"/>
    <w:tmpl w:val="AF1072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D5548"/>
    <w:multiLevelType w:val="multilevel"/>
    <w:tmpl w:val="CF2E9AF8"/>
    <w:lvl w:ilvl="0">
      <w:start w:val="3"/>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29B4911"/>
    <w:multiLevelType w:val="hybridMultilevel"/>
    <w:tmpl w:val="9E7698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282EE6"/>
    <w:multiLevelType w:val="hybridMultilevel"/>
    <w:tmpl w:val="E7FA1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BF1E9E"/>
    <w:multiLevelType w:val="hybridMultilevel"/>
    <w:tmpl w:val="D5129164"/>
    <w:lvl w:ilvl="0" w:tplc="9A287B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8D74BC"/>
    <w:multiLevelType w:val="multilevel"/>
    <w:tmpl w:val="4114F2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24C0FED"/>
    <w:multiLevelType w:val="hybridMultilevel"/>
    <w:tmpl w:val="70701808"/>
    <w:lvl w:ilvl="0" w:tplc="19E0F95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B363C"/>
    <w:multiLevelType w:val="hybridMultilevel"/>
    <w:tmpl w:val="BD02ABC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D7395A"/>
    <w:multiLevelType w:val="hybridMultilevel"/>
    <w:tmpl w:val="BD8E74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CF6500"/>
    <w:multiLevelType w:val="hybridMultilevel"/>
    <w:tmpl w:val="1768401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5B4F30E5"/>
    <w:multiLevelType w:val="hybridMultilevel"/>
    <w:tmpl w:val="9FFC2D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4738AA"/>
    <w:multiLevelType w:val="hybridMultilevel"/>
    <w:tmpl w:val="1FFED1B8"/>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nsid w:val="6B1264A1"/>
    <w:multiLevelType w:val="hybridMultilevel"/>
    <w:tmpl w:val="6FFC9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6A197F"/>
    <w:multiLevelType w:val="multilevel"/>
    <w:tmpl w:val="9A3EBAC8"/>
    <w:lvl w:ilvl="0">
      <w:start w:val="4"/>
      <w:numFmt w:val="decimalZero"/>
      <w:lvlText w:val="%1"/>
      <w:lvlJc w:val="left"/>
      <w:pPr>
        <w:tabs>
          <w:tab w:val="num" w:pos="360"/>
        </w:tabs>
        <w:ind w:left="360" w:hanging="360"/>
      </w:pPr>
      <w:rPr>
        <w:rFonts w:hint="default"/>
      </w:rPr>
    </w:lvl>
    <w:lvl w:ilvl="1">
      <w:start w:val="1"/>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AAA2F1B"/>
    <w:multiLevelType w:val="hybridMultilevel"/>
    <w:tmpl w:val="B7B42B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C43714E"/>
    <w:multiLevelType w:val="hybridMultilevel"/>
    <w:tmpl w:val="7474F542"/>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4"/>
  </w:num>
  <w:num w:numId="5">
    <w:abstractNumId w:val="19"/>
  </w:num>
  <w:num w:numId="6">
    <w:abstractNumId w:val="11"/>
  </w:num>
  <w:num w:numId="7">
    <w:abstractNumId w:val="0"/>
  </w:num>
  <w:num w:numId="8">
    <w:abstractNumId w:val="6"/>
  </w:num>
  <w:num w:numId="9">
    <w:abstractNumId w:val="14"/>
  </w:num>
  <w:num w:numId="10">
    <w:abstractNumId w:val="8"/>
  </w:num>
  <w:num w:numId="11">
    <w:abstractNumId w:val="13"/>
  </w:num>
  <w:num w:numId="12">
    <w:abstractNumId w:val="18"/>
  </w:num>
  <w:num w:numId="13">
    <w:abstractNumId w:val="5"/>
  </w:num>
  <w:num w:numId="14">
    <w:abstractNumId w:val="12"/>
  </w:num>
  <w:num w:numId="15">
    <w:abstractNumId w:val="17"/>
  </w:num>
  <w:num w:numId="16">
    <w:abstractNumId w:val="16"/>
  </w:num>
  <w:num w:numId="17">
    <w:abstractNumId w:val="7"/>
  </w:num>
  <w:num w:numId="18">
    <w:abstractNumId w:val="15"/>
  </w:num>
  <w:num w:numId="19">
    <w:abstractNumId w:val="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drawingGridHorizontalSpacing w:val="100"/>
  <w:displayHorizontalDrawingGridEvery w:val="2"/>
  <w:characterSpacingControl w:val="doNotCompress"/>
  <w:hdrShapeDefaults>
    <o:shapedefaults v:ext="edit" spidmax="94210"/>
  </w:hdrShapeDefaults>
  <w:footnotePr>
    <w:footnote w:id="-1"/>
    <w:footnote w:id="0"/>
  </w:footnotePr>
  <w:endnotePr>
    <w:endnote w:id="-1"/>
    <w:endnote w:id="0"/>
  </w:endnotePr>
  <w:compat/>
  <w:rsids>
    <w:rsidRoot w:val="00287CFC"/>
    <w:rsid w:val="00002F8D"/>
    <w:rsid w:val="0000366B"/>
    <w:rsid w:val="00011303"/>
    <w:rsid w:val="000120F5"/>
    <w:rsid w:val="00014CD4"/>
    <w:rsid w:val="000178BC"/>
    <w:rsid w:val="000213EB"/>
    <w:rsid w:val="00022B16"/>
    <w:rsid w:val="0002572D"/>
    <w:rsid w:val="000258F7"/>
    <w:rsid w:val="000278AC"/>
    <w:rsid w:val="00034ECA"/>
    <w:rsid w:val="00035006"/>
    <w:rsid w:val="000371CE"/>
    <w:rsid w:val="00041CE4"/>
    <w:rsid w:val="000420D2"/>
    <w:rsid w:val="00042200"/>
    <w:rsid w:val="00042D7E"/>
    <w:rsid w:val="00045DCB"/>
    <w:rsid w:val="00046900"/>
    <w:rsid w:val="0005012C"/>
    <w:rsid w:val="00050301"/>
    <w:rsid w:val="0005195E"/>
    <w:rsid w:val="000548BF"/>
    <w:rsid w:val="0005568A"/>
    <w:rsid w:val="00056EE1"/>
    <w:rsid w:val="000576F8"/>
    <w:rsid w:val="000605A0"/>
    <w:rsid w:val="00060840"/>
    <w:rsid w:val="00060D29"/>
    <w:rsid w:val="000624BE"/>
    <w:rsid w:val="00067492"/>
    <w:rsid w:val="00070DEC"/>
    <w:rsid w:val="00071045"/>
    <w:rsid w:val="00071297"/>
    <w:rsid w:val="00071E79"/>
    <w:rsid w:val="00072BEB"/>
    <w:rsid w:val="00072EB9"/>
    <w:rsid w:val="000738AD"/>
    <w:rsid w:val="00075DB1"/>
    <w:rsid w:val="0007661D"/>
    <w:rsid w:val="00082692"/>
    <w:rsid w:val="000866FD"/>
    <w:rsid w:val="00087267"/>
    <w:rsid w:val="000947A5"/>
    <w:rsid w:val="000977B1"/>
    <w:rsid w:val="000A1778"/>
    <w:rsid w:val="000A5A72"/>
    <w:rsid w:val="000B65F1"/>
    <w:rsid w:val="000C3677"/>
    <w:rsid w:val="000C3F65"/>
    <w:rsid w:val="000C48D1"/>
    <w:rsid w:val="000C5773"/>
    <w:rsid w:val="000D0612"/>
    <w:rsid w:val="000D2017"/>
    <w:rsid w:val="000D6686"/>
    <w:rsid w:val="000D78AF"/>
    <w:rsid w:val="000E0397"/>
    <w:rsid w:val="000E19DC"/>
    <w:rsid w:val="000E3726"/>
    <w:rsid w:val="000E3A44"/>
    <w:rsid w:val="000E529D"/>
    <w:rsid w:val="000E74C4"/>
    <w:rsid w:val="000E7BF8"/>
    <w:rsid w:val="000E7C51"/>
    <w:rsid w:val="00100C4E"/>
    <w:rsid w:val="00101018"/>
    <w:rsid w:val="0010185E"/>
    <w:rsid w:val="001047EE"/>
    <w:rsid w:val="0010688F"/>
    <w:rsid w:val="0011063E"/>
    <w:rsid w:val="00112608"/>
    <w:rsid w:val="00115FCE"/>
    <w:rsid w:val="00117B4B"/>
    <w:rsid w:val="00123040"/>
    <w:rsid w:val="0012313F"/>
    <w:rsid w:val="0013075C"/>
    <w:rsid w:val="00132D17"/>
    <w:rsid w:val="00132E91"/>
    <w:rsid w:val="00133848"/>
    <w:rsid w:val="00137DE2"/>
    <w:rsid w:val="00140EBB"/>
    <w:rsid w:val="001442CA"/>
    <w:rsid w:val="00147099"/>
    <w:rsid w:val="00151D88"/>
    <w:rsid w:val="0015306C"/>
    <w:rsid w:val="00154C83"/>
    <w:rsid w:val="00160654"/>
    <w:rsid w:val="00161C89"/>
    <w:rsid w:val="0016249C"/>
    <w:rsid w:val="0016259E"/>
    <w:rsid w:val="00167222"/>
    <w:rsid w:val="00174699"/>
    <w:rsid w:val="00174B7E"/>
    <w:rsid w:val="00174D0B"/>
    <w:rsid w:val="00175610"/>
    <w:rsid w:val="0017613A"/>
    <w:rsid w:val="00176C2E"/>
    <w:rsid w:val="001812BF"/>
    <w:rsid w:val="00183374"/>
    <w:rsid w:val="0018499D"/>
    <w:rsid w:val="00193CCE"/>
    <w:rsid w:val="0019615F"/>
    <w:rsid w:val="001B0C11"/>
    <w:rsid w:val="001B3DCF"/>
    <w:rsid w:val="001B5020"/>
    <w:rsid w:val="001B7594"/>
    <w:rsid w:val="001C2C81"/>
    <w:rsid w:val="001C4A80"/>
    <w:rsid w:val="001C52F8"/>
    <w:rsid w:val="001C5D9C"/>
    <w:rsid w:val="001C74AE"/>
    <w:rsid w:val="001D4B4E"/>
    <w:rsid w:val="001E03EC"/>
    <w:rsid w:val="001E517A"/>
    <w:rsid w:val="001E67B3"/>
    <w:rsid w:val="001E7025"/>
    <w:rsid w:val="001F04C9"/>
    <w:rsid w:val="001F11E6"/>
    <w:rsid w:val="001F24EC"/>
    <w:rsid w:val="001F3CB1"/>
    <w:rsid w:val="001F451C"/>
    <w:rsid w:val="001F602B"/>
    <w:rsid w:val="001F7B71"/>
    <w:rsid w:val="00200E6D"/>
    <w:rsid w:val="00206685"/>
    <w:rsid w:val="00207EAD"/>
    <w:rsid w:val="00210E33"/>
    <w:rsid w:val="00211CD2"/>
    <w:rsid w:val="002126EF"/>
    <w:rsid w:val="00216471"/>
    <w:rsid w:val="00217E26"/>
    <w:rsid w:val="00220489"/>
    <w:rsid w:val="002307D8"/>
    <w:rsid w:val="00230B23"/>
    <w:rsid w:val="00231358"/>
    <w:rsid w:val="00232E19"/>
    <w:rsid w:val="0024373E"/>
    <w:rsid w:val="00252A73"/>
    <w:rsid w:val="0026668F"/>
    <w:rsid w:val="0026758D"/>
    <w:rsid w:val="00271E04"/>
    <w:rsid w:val="002749EF"/>
    <w:rsid w:val="002753CA"/>
    <w:rsid w:val="00277E8D"/>
    <w:rsid w:val="00282445"/>
    <w:rsid w:val="002830D0"/>
    <w:rsid w:val="002867A3"/>
    <w:rsid w:val="00287CFC"/>
    <w:rsid w:val="002929BB"/>
    <w:rsid w:val="00293690"/>
    <w:rsid w:val="00294BC9"/>
    <w:rsid w:val="002A299B"/>
    <w:rsid w:val="002B1CCA"/>
    <w:rsid w:val="002B7B29"/>
    <w:rsid w:val="002B7D69"/>
    <w:rsid w:val="002C1286"/>
    <w:rsid w:val="002C26E9"/>
    <w:rsid w:val="002C49E3"/>
    <w:rsid w:val="002C6703"/>
    <w:rsid w:val="002C7117"/>
    <w:rsid w:val="002D46A9"/>
    <w:rsid w:val="002E1B07"/>
    <w:rsid w:val="002E34AB"/>
    <w:rsid w:val="002E3BB4"/>
    <w:rsid w:val="002F12F0"/>
    <w:rsid w:val="002F15BC"/>
    <w:rsid w:val="002F1CA4"/>
    <w:rsid w:val="002F2F4B"/>
    <w:rsid w:val="00303973"/>
    <w:rsid w:val="003138E6"/>
    <w:rsid w:val="00314091"/>
    <w:rsid w:val="00320268"/>
    <w:rsid w:val="00327717"/>
    <w:rsid w:val="00331B73"/>
    <w:rsid w:val="003352D0"/>
    <w:rsid w:val="00342B20"/>
    <w:rsid w:val="00345B91"/>
    <w:rsid w:val="00345BDD"/>
    <w:rsid w:val="003548C6"/>
    <w:rsid w:val="003600A7"/>
    <w:rsid w:val="00364CA6"/>
    <w:rsid w:val="003659DF"/>
    <w:rsid w:val="00370A6F"/>
    <w:rsid w:val="003715C9"/>
    <w:rsid w:val="00371975"/>
    <w:rsid w:val="003760A1"/>
    <w:rsid w:val="003853DA"/>
    <w:rsid w:val="00387315"/>
    <w:rsid w:val="0039029F"/>
    <w:rsid w:val="00392B7F"/>
    <w:rsid w:val="00394159"/>
    <w:rsid w:val="003A5D58"/>
    <w:rsid w:val="003A7400"/>
    <w:rsid w:val="003B384B"/>
    <w:rsid w:val="003B6ED1"/>
    <w:rsid w:val="003C26E9"/>
    <w:rsid w:val="003C41DD"/>
    <w:rsid w:val="003C5246"/>
    <w:rsid w:val="003C5A15"/>
    <w:rsid w:val="003C6EF4"/>
    <w:rsid w:val="003D1BA7"/>
    <w:rsid w:val="003D3F16"/>
    <w:rsid w:val="003D5D6B"/>
    <w:rsid w:val="003E0B2E"/>
    <w:rsid w:val="003E11D8"/>
    <w:rsid w:val="003E33BB"/>
    <w:rsid w:val="003E6A67"/>
    <w:rsid w:val="003F28FA"/>
    <w:rsid w:val="003F29CD"/>
    <w:rsid w:val="003F3462"/>
    <w:rsid w:val="003F389E"/>
    <w:rsid w:val="004018B9"/>
    <w:rsid w:val="00401A8F"/>
    <w:rsid w:val="00401E5D"/>
    <w:rsid w:val="0040272D"/>
    <w:rsid w:val="00404459"/>
    <w:rsid w:val="00404ACB"/>
    <w:rsid w:val="00404E5E"/>
    <w:rsid w:val="00405CD7"/>
    <w:rsid w:val="00406F00"/>
    <w:rsid w:val="004115EB"/>
    <w:rsid w:val="00411B2D"/>
    <w:rsid w:val="00412020"/>
    <w:rsid w:val="00420260"/>
    <w:rsid w:val="0042263A"/>
    <w:rsid w:val="0042383D"/>
    <w:rsid w:val="00424D2E"/>
    <w:rsid w:val="00426199"/>
    <w:rsid w:val="00427141"/>
    <w:rsid w:val="00430764"/>
    <w:rsid w:val="00437800"/>
    <w:rsid w:val="0044149D"/>
    <w:rsid w:val="00443C88"/>
    <w:rsid w:val="00446EBC"/>
    <w:rsid w:val="00451B6F"/>
    <w:rsid w:val="00454CB7"/>
    <w:rsid w:val="0045725C"/>
    <w:rsid w:val="004615C5"/>
    <w:rsid w:val="004656F6"/>
    <w:rsid w:val="00466150"/>
    <w:rsid w:val="004709EE"/>
    <w:rsid w:val="00470FB3"/>
    <w:rsid w:val="004722D6"/>
    <w:rsid w:val="0048032F"/>
    <w:rsid w:val="0048124F"/>
    <w:rsid w:val="00486FB2"/>
    <w:rsid w:val="00490411"/>
    <w:rsid w:val="004A11E7"/>
    <w:rsid w:val="004A3F84"/>
    <w:rsid w:val="004A4C22"/>
    <w:rsid w:val="004A4DA8"/>
    <w:rsid w:val="004A5756"/>
    <w:rsid w:val="004A62BD"/>
    <w:rsid w:val="004B2D75"/>
    <w:rsid w:val="004B2F11"/>
    <w:rsid w:val="004B38A6"/>
    <w:rsid w:val="004B48D1"/>
    <w:rsid w:val="004C2FC2"/>
    <w:rsid w:val="004C3D62"/>
    <w:rsid w:val="004D022C"/>
    <w:rsid w:val="004D0635"/>
    <w:rsid w:val="004D1062"/>
    <w:rsid w:val="004D27CE"/>
    <w:rsid w:val="004D64C1"/>
    <w:rsid w:val="004E1C65"/>
    <w:rsid w:val="004E38A7"/>
    <w:rsid w:val="004E3F14"/>
    <w:rsid w:val="004E637F"/>
    <w:rsid w:val="004E6AB1"/>
    <w:rsid w:val="004E746C"/>
    <w:rsid w:val="004E7493"/>
    <w:rsid w:val="004F13A3"/>
    <w:rsid w:val="004F2505"/>
    <w:rsid w:val="004F3333"/>
    <w:rsid w:val="004F5955"/>
    <w:rsid w:val="00500F87"/>
    <w:rsid w:val="00501540"/>
    <w:rsid w:val="005031A4"/>
    <w:rsid w:val="00505B6A"/>
    <w:rsid w:val="00506A0C"/>
    <w:rsid w:val="00514414"/>
    <w:rsid w:val="0051640D"/>
    <w:rsid w:val="00520CFA"/>
    <w:rsid w:val="00521428"/>
    <w:rsid w:val="00522A20"/>
    <w:rsid w:val="00523567"/>
    <w:rsid w:val="00523F02"/>
    <w:rsid w:val="0053251C"/>
    <w:rsid w:val="00532C99"/>
    <w:rsid w:val="00536593"/>
    <w:rsid w:val="005434CD"/>
    <w:rsid w:val="00546128"/>
    <w:rsid w:val="005564EE"/>
    <w:rsid w:val="00557616"/>
    <w:rsid w:val="0055799A"/>
    <w:rsid w:val="00560857"/>
    <w:rsid w:val="00562693"/>
    <w:rsid w:val="005755F1"/>
    <w:rsid w:val="00575B05"/>
    <w:rsid w:val="00577546"/>
    <w:rsid w:val="005838F8"/>
    <w:rsid w:val="00584181"/>
    <w:rsid w:val="00585147"/>
    <w:rsid w:val="005911F0"/>
    <w:rsid w:val="0059267C"/>
    <w:rsid w:val="00593B4E"/>
    <w:rsid w:val="005945F7"/>
    <w:rsid w:val="005A14A8"/>
    <w:rsid w:val="005A16D3"/>
    <w:rsid w:val="005A4397"/>
    <w:rsid w:val="005A6138"/>
    <w:rsid w:val="005A6DC4"/>
    <w:rsid w:val="005B0F2D"/>
    <w:rsid w:val="005B292D"/>
    <w:rsid w:val="005B6C8D"/>
    <w:rsid w:val="005C03D8"/>
    <w:rsid w:val="005C2CD1"/>
    <w:rsid w:val="005C3318"/>
    <w:rsid w:val="005D0444"/>
    <w:rsid w:val="005D049A"/>
    <w:rsid w:val="005D30B6"/>
    <w:rsid w:val="005D7297"/>
    <w:rsid w:val="005E1409"/>
    <w:rsid w:val="005E2404"/>
    <w:rsid w:val="005E29DF"/>
    <w:rsid w:val="005E7975"/>
    <w:rsid w:val="005F0809"/>
    <w:rsid w:val="005F2A7C"/>
    <w:rsid w:val="00603B89"/>
    <w:rsid w:val="0060721F"/>
    <w:rsid w:val="006141C2"/>
    <w:rsid w:val="006145B2"/>
    <w:rsid w:val="006146E9"/>
    <w:rsid w:val="0061628B"/>
    <w:rsid w:val="00616F7B"/>
    <w:rsid w:val="00617D98"/>
    <w:rsid w:val="00623FE1"/>
    <w:rsid w:val="006314C7"/>
    <w:rsid w:val="00632897"/>
    <w:rsid w:val="00633632"/>
    <w:rsid w:val="00641092"/>
    <w:rsid w:val="006410EF"/>
    <w:rsid w:val="00641BC6"/>
    <w:rsid w:val="00644DF9"/>
    <w:rsid w:val="00646605"/>
    <w:rsid w:val="00653FB1"/>
    <w:rsid w:val="0065704B"/>
    <w:rsid w:val="00661BA7"/>
    <w:rsid w:val="006622D9"/>
    <w:rsid w:val="006630D3"/>
    <w:rsid w:val="00663A2E"/>
    <w:rsid w:val="00664341"/>
    <w:rsid w:val="00664A5F"/>
    <w:rsid w:val="006659A4"/>
    <w:rsid w:val="00665A1D"/>
    <w:rsid w:val="006674F0"/>
    <w:rsid w:val="00673CF5"/>
    <w:rsid w:val="00674692"/>
    <w:rsid w:val="0067614A"/>
    <w:rsid w:val="006764FA"/>
    <w:rsid w:val="006817E8"/>
    <w:rsid w:val="00685183"/>
    <w:rsid w:val="0068562A"/>
    <w:rsid w:val="00686E2E"/>
    <w:rsid w:val="00687B6E"/>
    <w:rsid w:val="0069071A"/>
    <w:rsid w:val="006956EC"/>
    <w:rsid w:val="00697DCE"/>
    <w:rsid w:val="006A34D1"/>
    <w:rsid w:val="006A4124"/>
    <w:rsid w:val="006A723B"/>
    <w:rsid w:val="006B3852"/>
    <w:rsid w:val="006B4454"/>
    <w:rsid w:val="006B68B6"/>
    <w:rsid w:val="006C267B"/>
    <w:rsid w:val="006C38B3"/>
    <w:rsid w:val="006C4E3F"/>
    <w:rsid w:val="006D4B26"/>
    <w:rsid w:val="006D7A14"/>
    <w:rsid w:val="006D7AAC"/>
    <w:rsid w:val="006E1900"/>
    <w:rsid w:val="006E2D09"/>
    <w:rsid w:val="006E2E3A"/>
    <w:rsid w:val="006E7123"/>
    <w:rsid w:val="006F07AE"/>
    <w:rsid w:val="006F475C"/>
    <w:rsid w:val="00700DA4"/>
    <w:rsid w:val="00700E43"/>
    <w:rsid w:val="00701749"/>
    <w:rsid w:val="007039B1"/>
    <w:rsid w:val="007046F5"/>
    <w:rsid w:val="00710E3F"/>
    <w:rsid w:val="00712B06"/>
    <w:rsid w:val="007155BE"/>
    <w:rsid w:val="00715790"/>
    <w:rsid w:val="00715BE4"/>
    <w:rsid w:val="00716A90"/>
    <w:rsid w:val="00722B17"/>
    <w:rsid w:val="00723B60"/>
    <w:rsid w:val="00726443"/>
    <w:rsid w:val="00726699"/>
    <w:rsid w:val="007274EB"/>
    <w:rsid w:val="00727A20"/>
    <w:rsid w:val="007306E9"/>
    <w:rsid w:val="00732A75"/>
    <w:rsid w:val="0073587B"/>
    <w:rsid w:val="00737B2A"/>
    <w:rsid w:val="00741D45"/>
    <w:rsid w:val="00746855"/>
    <w:rsid w:val="00746BB7"/>
    <w:rsid w:val="00746FDC"/>
    <w:rsid w:val="0074795D"/>
    <w:rsid w:val="00750987"/>
    <w:rsid w:val="00751FFE"/>
    <w:rsid w:val="00753707"/>
    <w:rsid w:val="0075622C"/>
    <w:rsid w:val="00763C21"/>
    <w:rsid w:val="00770E90"/>
    <w:rsid w:val="00770FD6"/>
    <w:rsid w:val="00771614"/>
    <w:rsid w:val="0077336F"/>
    <w:rsid w:val="00775418"/>
    <w:rsid w:val="00776061"/>
    <w:rsid w:val="00776699"/>
    <w:rsid w:val="00780318"/>
    <w:rsid w:val="007819FF"/>
    <w:rsid w:val="00782B17"/>
    <w:rsid w:val="00783155"/>
    <w:rsid w:val="00783895"/>
    <w:rsid w:val="00792702"/>
    <w:rsid w:val="007933A7"/>
    <w:rsid w:val="00793F11"/>
    <w:rsid w:val="007A0343"/>
    <w:rsid w:val="007A2F13"/>
    <w:rsid w:val="007B4949"/>
    <w:rsid w:val="007B72BD"/>
    <w:rsid w:val="007C27B4"/>
    <w:rsid w:val="007C2D0D"/>
    <w:rsid w:val="007C4B58"/>
    <w:rsid w:val="007C4C16"/>
    <w:rsid w:val="007C4C27"/>
    <w:rsid w:val="007C50B7"/>
    <w:rsid w:val="007C6027"/>
    <w:rsid w:val="007C77A5"/>
    <w:rsid w:val="007D1470"/>
    <w:rsid w:val="007D3EAA"/>
    <w:rsid w:val="007D7F2F"/>
    <w:rsid w:val="007E0AFB"/>
    <w:rsid w:val="007E32E9"/>
    <w:rsid w:val="007E3A5B"/>
    <w:rsid w:val="007E63F5"/>
    <w:rsid w:val="007E77F0"/>
    <w:rsid w:val="007F1603"/>
    <w:rsid w:val="007F7D8D"/>
    <w:rsid w:val="008011B2"/>
    <w:rsid w:val="00801F7E"/>
    <w:rsid w:val="00810129"/>
    <w:rsid w:val="008104AF"/>
    <w:rsid w:val="00811A34"/>
    <w:rsid w:val="00811A6E"/>
    <w:rsid w:val="00815A3A"/>
    <w:rsid w:val="008203FE"/>
    <w:rsid w:val="008211C8"/>
    <w:rsid w:val="00822158"/>
    <w:rsid w:val="00822A5F"/>
    <w:rsid w:val="00824536"/>
    <w:rsid w:val="00833371"/>
    <w:rsid w:val="00834616"/>
    <w:rsid w:val="00834689"/>
    <w:rsid w:val="00834727"/>
    <w:rsid w:val="00834796"/>
    <w:rsid w:val="00843F4B"/>
    <w:rsid w:val="008443C0"/>
    <w:rsid w:val="00844C4F"/>
    <w:rsid w:val="008456E4"/>
    <w:rsid w:val="00846BDD"/>
    <w:rsid w:val="008519AE"/>
    <w:rsid w:val="00852640"/>
    <w:rsid w:val="00862023"/>
    <w:rsid w:val="00862AF4"/>
    <w:rsid w:val="00867EB9"/>
    <w:rsid w:val="00867F61"/>
    <w:rsid w:val="00877701"/>
    <w:rsid w:val="00877AF4"/>
    <w:rsid w:val="0089313E"/>
    <w:rsid w:val="0089360A"/>
    <w:rsid w:val="00894B90"/>
    <w:rsid w:val="00897B3C"/>
    <w:rsid w:val="008A0E7D"/>
    <w:rsid w:val="008A3ABA"/>
    <w:rsid w:val="008A3FDC"/>
    <w:rsid w:val="008A4EF4"/>
    <w:rsid w:val="008A55E9"/>
    <w:rsid w:val="008B1D84"/>
    <w:rsid w:val="008B62A9"/>
    <w:rsid w:val="008B72C5"/>
    <w:rsid w:val="008B7456"/>
    <w:rsid w:val="008C1175"/>
    <w:rsid w:val="008D1DEB"/>
    <w:rsid w:val="008D3150"/>
    <w:rsid w:val="008D4178"/>
    <w:rsid w:val="008D456E"/>
    <w:rsid w:val="008D49AD"/>
    <w:rsid w:val="008D4F5F"/>
    <w:rsid w:val="008E1276"/>
    <w:rsid w:val="008E25E7"/>
    <w:rsid w:val="008E704A"/>
    <w:rsid w:val="008F26BC"/>
    <w:rsid w:val="008F46F6"/>
    <w:rsid w:val="008F6282"/>
    <w:rsid w:val="008F6472"/>
    <w:rsid w:val="008F7995"/>
    <w:rsid w:val="008F7AEF"/>
    <w:rsid w:val="00902BB0"/>
    <w:rsid w:val="00902F79"/>
    <w:rsid w:val="00910BB3"/>
    <w:rsid w:val="00912749"/>
    <w:rsid w:val="00913581"/>
    <w:rsid w:val="009163BF"/>
    <w:rsid w:val="00917E15"/>
    <w:rsid w:val="00917EA1"/>
    <w:rsid w:val="0092190D"/>
    <w:rsid w:val="009331AC"/>
    <w:rsid w:val="00935480"/>
    <w:rsid w:val="00936709"/>
    <w:rsid w:val="00937738"/>
    <w:rsid w:val="00937D00"/>
    <w:rsid w:val="00950997"/>
    <w:rsid w:val="00951FDD"/>
    <w:rsid w:val="009549F4"/>
    <w:rsid w:val="0095576B"/>
    <w:rsid w:val="0095771A"/>
    <w:rsid w:val="0096411C"/>
    <w:rsid w:val="00966BF6"/>
    <w:rsid w:val="00967917"/>
    <w:rsid w:val="00971B69"/>
    <w:rsid w:val="00973BEE"/>
    <w:rsid w:val="00974C15"/>
    <w:rsid w:val="00976806"/>
    <w:rsid w:val="00981274"/>
    <w:rsid w:val="00982208"/>
    <w:rsid w:val="00984681"/>
    <w:rsid w:val="00997EB7"/>
    <w:rsid w:val="009A1B76"/>
    <w:rsid w:val="009A4916"/>
    <w:rsid w:val="009A5EA7"/>
    <w:rsid w:val="009A68E9"/>
    <w:rsid w:val="009A6EC2"/>
    <w:rsid w:val="009B780E"/>
    <w:rsid w:val="009B7DD9"/>
    <w:rsid w:val="009C3E0E"/>
    <w:rsid w:val="009C6DF4"/>
    <w:rsid w:val="009D254F"/>
    <w:rsid w:val="009D417B"/>
    <w:rsid w:val="009D52F5"/>
    <w:rsid w:val="009E06BA"/>
    <w:rsid w:val="009E0CB7"/>
    <w:rsid w:val="009E5B02"/>
    <w:rsid w:val="009F2937"/>
    <w:rsid w:val="009F6299"/>
    <w:rsid w:val="009F6371"/>
    <w:rsid w:val="00A01325"/>
    <w:rsid w:val="00A01950"/>
    <w:rsid w:val="00A067CC"/>
    <w:rsid w:val="00A10779"/>
    <w:rsid w:val="00A154C4"/>
    <w:rsid w:val="00A16001"/>
    <w:rsid w:val="00A17965"/>
    <w:rsid w:val="00A2039E"/>
    <w:rsid w:val="00A208E8"/>
    <w:rsid w:val="00A21946"/>
    <w:rsid w:val="00A21B84"/>
    <w:rsid w:val="00A24004"/>
    <w:rsid w:val="00A27C35"/>
    <w:rsid w:val="00A32993"/>
    <w:rsid w:val="00A35992"/>
    <w:rsid w:val="00A365D9"/>
    <w:rsid w:val="00A37B5F"/>
    <w:rsid w:val="00A41E12"/>
    <w:rsid w:val="00A42EED"/>
    <w:rsid w:val="00A43A79"/>
    <w:rsid w:val="00A53200"/>
    <w:rsid w:val="00A5657C"/>
    <w:rsid w:val="00A613C2"/>
    <w:rsid w:val="00A6222A"/>
    <w:rsid w:val="00A63C0A"/>
    <w:rsid w:val="00A77588"/>
    <w:rsid w:val="00A820EF"/>
    <w:rsid w:val="00A829D1"/>
    <w:rsid w:val="00A83EF4"/>
    <w:rsid w:val="00A874C7"/>
    <w:rsid w:val="00A93110"/>
    <w:rsid w:val="00A93F68"/>
    <w:rsid w:val="00AA03BF"/>
    <w:rsid w:val="00AA5617"/>
    <w:rsid w:val="00AA7596"/>
    <w:rsid w:val="00AB03B3"/>
    <w:rsid w:val="00AB1DF0"/>
    <w:rsid w:val="00AB3983"/>
    <w:rsid w:val="00AB5C48"/>
    <w:rsid w:val="00AB620A"/>
    <w:rsid w:val="00AC04CF"/>
    <w:rsid w:val="00AC230B"/>
    <w:rsid w:val="00AC5403"/>
    <w:rsid w:val="00AC70E8"/>
    <w:rsid w:val="00AD0B82"/>
    <w:rsid w:val="00AD1161"/>
    <w:rsid w:val="00AD2E32"/>
    <w:rsid w:val="00AD42FD"/>
    <w:rsid w:val="00AD7A7B"/>
    <w:rsid w:val="00AE1F0A"/>
    <w:rsid w:val="00AE3A62"/>
    <w:rsid w:val="00AE4247"/>
    <w:rsid w:val="00AF2157"/>
    <w:rsid w:val="00AF602E"/>
    <w:rsid w:val="00AF7DA9"/>
    <w:rsid w:val="00B0367E"/>
    <w:rsid w:val="00B04A4C"/>
    <w:rsid w:val="00B05B44"/>
    <w:rsid w:val="00B05CF6"/>
    <w:rsid w:val="00B131EE"/>
    <w:rsid w:val="00B148DD"/>
    <w:rsid w:val="00B150BF"/>
    <w:rsid w:val="00B15875"/>
    <w:rsid w:val="00B20313"/>
    <w:rsid w:val="00B22099"/>
    <w:rsid w:val="00B221FA"/>
    <w:rsid w:val="00B31B15"/>
    <w:rsid w:val="00B44DFF"/>
    <w:rsid w:val="00B51347"/>
    <w:rsid w:val="00B51779"/>
    <w:rsid w:val="00B55717"/>
    <w:rsid w:val="00B56BFA"/>
    <w:rsid w:val="00B6014C"/>
    <w:rsid w:val="00B67AA7"/>
    <w:rsid w:val="00B72123"/>
    <w:rsid w:val="00B736A2"/>
    <w:rsid w:val="00B74EEE"/>
    <w:rsid w:val="00B82066"/>
    <w:rsid w:val="00B87C60"/>
    <w:rsid w:val="00B87F44"/>
    <w:rsid w:val="00B94F52"/>
    <w:rsid w:val="00BA0BB2"/>
    <w:rsid w:val="00BA6823"/>
    <w:rsid w:val="00BA6CFC"/>
    <w:rsid w:val="00BB1AE5"/>
    <w:rsid w:val="00BB2127"/>
    <w:rsid w:val="00BB50CF"/>
    <w:rsid w:val="00BB73F8"/>
    <w:rsid w:val="00BC074B"/>
    <w:rsid w:val="00BC2194"/>
    <w:rsid w:val="00BC2813"/>
    <w:rsid w:val="00BC297C"/>
    <w:rsid w:val="00BD1AEC"/>
    <w:rsid w:val="00BD4401"/>
    <w:rsid w:val="00BD4806"/>
    <w:rsid w:val="00BD521B"/>
    <w:rsid w:val="00BE798F"/>
    <w:rsid w:val="00BF586A"/>
    <w:rsid w:val="00BF5F98"/>
    <w:rsid w:val="00BF67DB"/>
    <w:rsid w:val="00BF71F4"/>
    <w:rsid w:val="00BF7CE8"/>
    <w:rsid w:val="00C007ED"/>
    <w:rsid w:val="00C01D5B"/>
    <w:rsid w:val="00C024FE"/>
    <w:rsid w:val="00C03F90"/>
    <w:rsid w:val="00C04ADC"/>
    <w:rsid w:val="00C0519E"/>
    <w:rsid w:val="00C0682D"/>
    <w:rsid w:val="00C123D1"/>
    <w:rsid w:val="00C13BD1"/>
    <w:rsid w:val="00C13F5C"/>
    <w:rsid w:val="00C149C1"/>
    <w:rsid w:val="00C15E7D"/>
    <w:rsid w:val="00C22BD5"/>
    <w:rsid w:val="00C2514C"/>
    <w:rsid w:val="00C26D4A"/>
    <w:rsid w:val="00C30D68"/>
    <w:rsid w:val="00C325C0"/>
    <w:rsid w:val="00C328C8"/>
    <w:rsid w:val="00C33E57"/>
    <w:rsid w:val="00C34806"/>
    <w:rsid w:val="00C36FE4"/>
    <w:rsid w:val="00C40009"/>
    <w:rsid w:val="00C40466"/>
    <w:rsid w:val="00C431FB"/>
    <w:rsid w:val="00C43248"/>
    <w:rsid w:val="00C44340"/>
    <w:rsid w:val="00C44C53"/>
    <w:rsid w:val="00C52CC7"/>
    <w:rsid w:val="00C52FF0"/>
    <w:rsid w:val="00C536F6"/>
    <w:rsid w:val="00C600CB"/>
    <w:rsid w:val="00C61986"/>
    <w:rsid w:val="00C61B94"/>
    <w:rsid w:val="00C64B3F"/>
    <w:rsid w:val="00C65446"/>
    <w:rsid w:val="00C66B41"/>
    <w:rsid w:val="00C71147"/>
    <w:rsid w:val="00C72725"/>
    <w:rsid w:val="00C774A1"/>
    <w:rsid w:val="00C8777D"/>
    <w:rsid w:val="00CA01F2"/>
    <w:rsid w:val="00CA2FBD"/>
    <w:rsid w:val="00CB1075"/>
    <w:rsid w:val="00CB69D5"/>
    <w:rsid w:val="00CC3CEC"/>
    <w:rsid w:val="00CC614D"/>
    <w:rsid w:val="00CC76DE"/>
    <w:rsid w:val="00CD0826"/>
    <w:rsid w:val="00CD4F96"/>
    <w:rsid w:val="00CD5C9D"/>
    <w:rsid w:val="00CE2883"/>
    <w:rsid w:val="00CE4B02"/>
    <w:rsid w:val="00CF0307"/>
    <w:rsid w:val="00CF0D38"/>
    <w:rsid w:val="00CF2563"/>
    <w:rsid w:val="00CF48F8"/>
    <w:rsid w:val="00D039A6"/>
    <w:rsid w:val="00D03BD4"/>
    <w:rsid w:val="00D13C22"/>
    <w:rsid w:val="00D14B99"/>
    <w:rsid w:val="00D21FD7"/>
    <w:rsid w:val="00D26048"/>
    <w:rsid w:val="00D27E4C"/>
    <w:rsid w:val="00D304C3"/>
    <w:rsid w:val="00D308A5"/>
    <w:rsid w:val="00D34F47"/>
    <w:rsid w:val="00D3515E"/>
    <w:rsid w:val="00D361FC"/>
    <w:rsid w:val="00D377DD"/>
    <w:rsid w:val="00D4079D"/>
    <w:rsid w:val="00D42DCF"/>
    <w:rsid w:val="00D50A34"/>
    <w:rsid w:val="00D53F67"/>
    <w:rsid w:val="00D55937"/>
    <w:rsid w:val="00D64042"/>
    <w:rsid w:val="00D65BDA"/>
    <w:rsid w:val="00D663FA"/>
    <w:rsid w:val="00D6707B"/>
    <w:rsid w:val="00D67ABD"/>
    <w:rsid w:val="00D70DBA"/>
    <w:rsid w:val="00D71EB4"/>
    <w:rsid w:val="00D76F7B"/>
    <w:rsid w:val="00D808DF"/>
    <w:rsid w:val="00D82AD1"/>
    <w:rsid w:val="00D87391"/>
    <w:rsid w:val="00D90F78"/>
    <w:rsid w:val="00D9135B"/>
    <w:rsid w:val="00D92314"/>
    <w:rsid w:val="00D94072"/>
    <w:rsid w:val="00D9690E"/>
    <w:rsid w:val="00D97C78"/>
    <w:rsid w:val="00DA0511"/>
    <w:rsid w:val="00DA0A17"/>
    <w:rsid w:val="00DA3A79"/>
    <w:rsid w:val="00DA55A5"/>
    <w:rsid w:val="00DB04C9"/>
    <w:rsid w:val="00DB07F2"/>
    <w:rsid w:val="00DB6A7F"/>
    <w:rsid w:val="00DB7A85"/>
    <w:rsid w:val="00DC489C"/>
    <w:rsid w:val="00DC4F5E"/>
    <w:rsid w:val="00DD0FE4"/>
    <w:rsid w:val="00DD186E"/>
    <w:rsid w:val="00DD2481"/>
    <w:rsid w:val="00DD2794"/>
    <w:rsid w:val="00DD42FD"/>
    <w:rsid w:val="00DD4FC0"/>
    <w:rsid w:val="00DD7BF2"/>
    <w:rsid w:val="00DE114B"/>
    <w:rsid w:val="00DE1245"/>
    <w:rsid w:val="00DF3938"/>
    <w:rsid w:val="00DF3CB7"/>
    <w:rsid w:val="00E01C0D"/>
    <w:rsid w:val="00E02041"/>
    <w:rsid w:val="00E041D9"/>
    <w:rsid w:val="00E14298"/>
    <w:rsid w:val="00E144D5"/>
    <w:rsid w:val="00E160AE"/>
    <w:rsid w:val="00E17F60"/>
    <w:rsid w:val="00E20DBC"/>
    <w:rsid w:val="00E21FB5"/>
    <w:rsid w:val="00E22FB4"/>
    <w:rsid w:val="00E256EA"/>
    <w:rsid w:val="00E336B0"/>
    <w:rsid w:val="00E35169"/>
    <w:rsid w:val="00E3764A"/>
    <w:rsid w:val="00E503B4"/>
    <w:rsid w:val="00E52BEA"/>
    <w:rsid w:val="00E52FF2"/>
    <w:rsid w:val="00E537FC"/>
    <w:rsid w:val="00E56731"/>
    <w:rsid w:val="00E63C9D"/>
    <w:rsid w:val="00E65BF5"/>
    <w:rsid w:val="00E67E69"/>
    <w:rsid w:val="00E71D12"/>
    <w:rsid w:val="00E725B4"/>
    <w:rsid w:val="00E80CA7"/>
    <w:rsid w:val="00E83E62"/>
    <w:rsid w:val="00E83F6B"/>
    <w:rsid w:val="00E84D2B"/>
    <w:rsid w:val="00E84F41"/>
    <w:rsid w:val="00E879EC"/>
    <w:rsid w:val="00E90E0D"/>
    <w:rsid w:val="00E92BF1"/>
    <w:rsid w:val="00E96599"/>
    <w:rsid w:val="00E97154"/>
    <w:rsid w:val="00E97C53"/>
    <w:rsid w:val="00EA16D5"/>
    <w:rsid w:val="00EA1E59"/>
    <w:rsid w:val="00EA3298"/>
    <w:rsid w:val="00EB049D"/>
    <w:rsid w:val="00EB3753"/>
    <w:rsid w:val="00EB5F67"/>
    <w:rsid w:val="00EC3B02"/>
    <w:rsid w:val="00EC4C40"/>
    <w:rsid w:val="00EC5220"/>
    <w:rsid w:val="00EC66B4"/>
    <w:rsid w:val="00EC7CB3"/>
    <w:rsid w:val="00EE1FDF"/>
    <w:rsid w:val="00EE3288"/>
    <w:rsid w:val="00EE592F"/>
    <w:rsid w:val="00EE6BD9"/>
    <w:rsid w:val="00EF17FE"/>
    <w:rsid w:val="00EF2D4E"/>
    <w:rsid w:val="00EF5974"/>
    <w:rsid w:val="00EF5C70"/>
    <w:rsid w:val="00F03F71"/>
    <w:rsid w:val="00F062F4"/>
    <w:rsid w:val="00F069ED"/>
    <w:rsid w:val="00F06EDA"/>
    <w:rsid w:val="00F07285"/>
    <w:rsid w:val="00F10425"/>
    <w:rsid w:val="00F10768"/>
    <w:rsid w:val="00F118AE"/>
    <w:rsid w:val="00F13931"/>
    <w:rsid w:val="00F175DE"/>
    <w:rsid w:val="00F17701"/>
    <w:rsid w:val="00F25A4B"/>
    <w:rsid w:val="00F2758B"/>
    <w:rsid w:val="00F2764C"/>
    <w:rsid w:val="00F2789F"/>
    <w:rsid w:val="00F35096"/>
    <w:rsid w:val="00F3551E"/>
    <w:rsid w:val="00F367E1"/>
    <w:rsid w:val="00F36891"/>
    <w:rsid w:val="00F4048A"/>
    <w:rsid w:val="00F405EB"/>
    <w:rsid w:val="00F439C8"/>
    <w:rsid w:val="00F441D9"/>
    <w:rsid w:val="00F44BB1"/>
    <w:rsid w:val="00F47389"/>
    <w:rsid w:val="00F64E39"/>
    <w:rsid w:val="00F664DB"/>
    <w:rsid w:val="00F67B46"/>
    <w:rsid w:val="00F70ADE"/>
    <w:rsid w:val="00F728CA"/>
    <w:rsid w:val="00F72D3B"/>
    <w:rsid w:val="00F746C9"/>
    <w:rsid w:val="00F76395"/>
    <w:rsid w:val="00F77795"/>
    <w:rsid w:val="00F819B0"/>
    <w:rsid w:val="00F83C2C"/>
    <w:rsid w:val="00F90660"/>
    <w:rsid w:val="00F90D7B"/>
    <w:rsid w:val="00F91B06"/>
    <w:rsid w:val="00F938D9"/>
    <w:rsid w:val="00F944A7"/>
    <w:rsid w:val="00FA6088"/>
    <w:rsid w:val="00FB00A8"/>
    <w:rsid w:val="00FB16E3"/>
    <w:rsid w:val="00FB40FA"/>
    <w:rsid w:val="00FB79B2"/>
    <w:rsid w:val="00FC0934"/>
    <w:rsid w:val="00FC376C"/>
    <w:rsid w:val="00FC551E"/>
    <w:rsid w:val="00FD207B"/>
    <w:rsid w:val="00FD2D7E"/>
    <w:rsid w:val="00FD335C"/>
    <w:rsid w:val="00FD478E"/>
    <w:rsid w:val="00FD523C"/>
    <w:rsid w:val="00FD6D1C"/>
    <w:rsid w:val="00FE0806"/>
    <w:rsid w:val="00FE65AC"/>
    <w:rsid w:val="00FF08F1"/>
    <w:rsid w:val="00FF1F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CFC"/>
    <w:pPr>
      <w:autoSpaceDE w:val="0"/>
      <w:autoSpaceDN w:val="0"/>
      <w:adjustRightInd w:val="0"/>
      <w:spacing w:line="240" w:lineRule="auto"/>
    </w:pPr>
    <w:rPr>
      <w:rFonts w:ascii="Letter Gothic 12cpi" w:eastAsia="Times New Roman" w:hAnsi="Letter Gothic 12cp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74F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674F0"/>
    <w:pPr>
      <w:autoSpaceDE w:val="0"/>
      <w:autoSpaceDN w:val="0"/>
      <w:adjustRightInd w:val="0"/>
      <w:spacing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674F0"/>
    <w:pPr>
      <w:autoSpaceDE/>
      <w:autoSpaceDN/>
      <w:adjustRightInd/>
      <w:spacing w:line="276" w:lineRule="auto"/>
      <w:ind w:left="720"/>
      <w:contextualSpacing/>
    </w:pPr>
    <w:rPr>
      <w:rFonts w:ascii="Arial" w:eastAsiaTheme="minorHAnsi" w:hAnsi="Arial" w:cs="Arial"/>
      <w:sz w:val="22"/>
      <w:szCs w:val="22"/>
    </w:rPr>
  </w:style>
  <w:style w:type="character" w:styleId="CommentReference">
    <w:name w:val="annotation reference"/>
    <w:basedOn w:val="DefaultParagraphFont"/>
    <w:semiHidden/>
    <w:rsid w:val="007F7D8D"/>
    <w:rPr>
      <w:sz w:val="16"/>
      <w:szCs w:val="16"/>
    </w:rPr>
  </w:style>
  <w:style w:type="paragraph" w:styleId="CommentText">
    <w:name w:val="annotation text"/>
    <w:basedOn w:val="Normal"/>
    <w:link w:val="CommentTextChar"/>
    <w:semiHidden/>
    <w:rsid w:val="007F7D8D"/>
  </w:style>
  <w:style w:type="character" w:customStyle="1" w:styleId="CommentTextChar">
    <w:name w:val="Comment Text Char"/>
    <w:basedOn w:val="DefaultParagraphFont"/>
    <w:link w:val="CommentText"/>
    <w:semiHidden/>
    <w:rsid w:val="007F7D8D"/>
    <w:rPr>
      <w:rFonts w:ascii="Letter Gothic 12cpi" w:eastAsia="Times New Roman" w:hAnsi="Letter Gothic 12cpi" w:cs="Times New Roman"/>
      <w:sz w:val="20"/>
      <w:szCs w:val="20"/>
    </w:rPr>
  </w:style>
  <w:style w:type="character" w:styleId="Hyperlink">
    <w:name w:val="Hyperlink"/>
    <w:basedOn w:val="DefaultParagraphFont"/>
    <w:uiPriority w:val="99"/>
    <w:unhideWhenUsed/>
    <w:rsid w:val="00B04A4C"/>
    <w:rPr>
      <w:color w:val="0000FF" w:themeColor="hyperlink"/>
      <w:u w:val="single"/>
    </w:rPr>
  </w:style>
  <w:style w:type="paragraph" w:styleId="Header">
    <w:name w:val="header"/>
    <w:basedOn w:val="Normal"/>
    <w:link w:val="HeaderChar"/>
    <w:uiPriority w:val="99"/>
    <w:semiHidden/>
    <w:unhideWhenUsed/>
    <w:rsid w:val="00E537FC"/>
    <w:pPr>
      <w:tabs>
        <w:tab w:val="center" w:pos="4680"/>
        <w:tab w:val="right" w:pos="9360"/>
      </w:tabs>
    </w:pPr>
  </w:style>
  <w:style w:type="character" w:customStyle="1" w:styleId="HeaderChar">
    <w:name w:val="Header Char"/>
    <w:basedOn w:val="DefaultParagraphFont"/>
    <w:link w:val="Header"/>
    <w:uiPriority w:val="99"/>
    <w:semiHidden/>
    <w:rsid w:val="00E537FC"/>
    <w:rPr>
      <w:rFonts w:ascii="Letter Gothic 12cpi" w:eastAsia="Times New Roman" w:hAnsi="Letter Gothic 12cpi" w:cs="Times New Roman"/>
      <w:sz w:val="20"/>
      <w:szCs w:val="20"/>
    </w:rPr>
  </w:style>
  <w:style w:type="paragraph" w:styleId="Footer">
    <w:name w:val="footer"/>
    <w:basedOn w:val="Normal"/>
    <w:link w:val="FooterChar"/>
    <w:uiPriority w:val="99"/>
    <w:unhideWhenUsed/>
    <w:rsid w:val="00E537FC"/>
    <w:pPr>
      <w:tabs>
        <w:tab w:val="center" w:pos="4680"/>
        <w:tab w:val="right" w:pos="9360"/>
      </w:tabs>
    </w:pPr>
  </w:style>
  <w:style w:type="character" w:customStyle="1" w:styleId="FooterChar">
    <w:name w:val="Footer Char"/>
    <w:basedOn w:val="DefaultParagraphFont"/>
    <w:link w:val="Footer"/>
    <w:uiPriority w:val="99"/>
    <w:rsid w:val="00E537FC"/>
    <w:rPr>
      <w:rFonts w:ascii="Letter Gothic 12cpi" w:eastAsia="Times New Roman" w:hAnsi="Letter Gothic 12cpi" w:cs="Times New Roman"/>
      <w:sz w:val="20"/>
      <w:szCs w:val="20"/>
    </w:rPr>
  </w:style>
  <w:style w:type="paragraph" w:styleId="Revision">
    <w:name w:val="Revision"/>
    <w:hidden/>
    <w:uiPriority w:val="99"/>
    <w:semiHidden/>
    <w:rsid w:val="000E74C4"/>
    <w:pPr>
      <w:spacing w:line="240" w:lineRule="auto"/>
    </w:pPr>
    <w:rPr>
      <w:rFonts w:ascii="Letter Gothic 12cpi" w:eastAsia="Times New Roman" w:hAnsi="Letter Gothic 12cpi" w:cs="Times New Roman"/>
      <w:sz w:val="20"/>
      <w:szCs w:val="20"/>
    </w:rPr>
  </w:style>
  <w:style w:type="paragraph" w:styleId="BalloonText">
    <w:name w:val="Balloon Text"/>
    <w:basedOn w:val="Normal"/>
    <w:link w:val="BalloonTextChar"/>
    <w:uiPriority w:val="99"/>
    <w:semiHidden/>
    <w:unhideWhenUsed/>
    <w:rsid w:val="000E74C4"/>
    <w:rPr>
      <w:rFonts w:ascii="Tahoma" w:hAnsi="Tahoma" w:cs="Tahoma"/>
      <w:sz w:val="16"/>
      <w:szCs w:val="16"/>
    </w:rPr>
  </w:style>
  <w:style w:type="character" w:customStyle="1" w:styleId="BalloonTextChar">
    <w:name w:val="Balloon Text Char"/>
    <w:basedOn w:val="DefaultParagraphFont"/>
    <w:link w:val="BalloonText"/>
    <w:uiPriority w:val="99"/>
    <w:semiHidden/>
    <w:rsid w:val="000E74C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ual.jimenez@nrc.gov"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nuel.jimenez@nrc.gov" TargetMode="Externa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3216</Words>
  <Characters>18336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Jimenez</dc:creator>
  <cp:keywords/>
  <dc:description/>
  <cp:lastModifiedBy>btc1</cp:lastModifiedBy>
  <cp:revision>2</cp:revision>
  <cp:lastPrinted>2011-12-15T19:10:00Z</cp:lastPrinted>
  <dcterms:created xsi:type="dcterms:W3CDTF">2011-12-19T15:25:00Z</dcterms:created>
  <dcterms:modified xsi:type="dcterms:W3CDTF">2011-12-19T15:25:00Z</dcterms:modified>
</cp:coreProperties>
</file>