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C62" w:rsidRPr="0002416A" w:rsidRDefault="0002416A" w:rsidP="000241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b/>
          <w:sz w:val="22"/>
          <w:szCs w:val="22"/>
        </w:rPr>
      </w:pPr>
      <w:r w:rsidRPr="0002416A">
        <w:rPr>
          <w:rFonts w:ascii="Arial" w:hAnsi="Arial" w:cs="Arial"/>
          <w:b/>
          <w:sz w:val="22"/>
          <w:szCs w:val="22"/>
        </w:rPr>
        <w:t>ATTACHMENT 71111.19</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635" w:hanging="2635"/>
        <w:rPr>
          <w:rFonts w:ascii="Arial" w:hAnsi="Arial" w:cs="Arial"/>
          <w:sz w:val="22"/>
          <w:szCs w:val="22"/>
        </w:rPr>
      </w:pPr>
      <w:r w:rsidRPr="00E11E19">
        <w:rPr>
          <w:rFonts w:ascii="Arial" w:hAnsi="Arial" w:cs="Arial"/>
          <w:sz w:val="22"/>
          <w:szCs w:val="22"/>
        </w:rPr>
        <w:t>INSPECTABLE AREA:</w:t>
      </w:r>
      <w:r w:rsidRPr="00E11E19">
        <w:rPr>
          <w:rFonts w:ascii="Arial" w:hAnsi="Arial" w:cs="Arial"/>
          <w:sz w:val="22"/>
          <w:szCs w:val="22"/>
        </w:rPr>
        <w:tab/>
        <w:t>Post-Maintenance Testing</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635" w:hanging="2635"/>
        <w:rPr>
          <w:rFonts w:ascii="Arial" w:hAnsi="Arial" w:cs="Arial"/>
          <w:sz w:val="22"/>
          <w:szCs w:val="22"/>
        </w:rPr>
      </w:pPr>
      <w:r w:rsidRPr="00E11E19">
        <w:rPr>
          <w:rFonts w:ascii="Arial" w:hAnsi="Arial" w:cs="Arial"/>
          <w:sz w:val="22"/>
          <w:szCs w:val="22"/>
        </w:rPr>
        <w:t>CORNERSTONES:</w:t>
      </w:r>
      <w:r w:rsidRPr="00E11E19">
        <w:rPr>
          <w:rFonts w:ascii="Arial" w:hAnsi="Arial" w:cs="Arial"/>
          <w:sz w:val="22"/>
          <w:szCs w:val="22"/>
        </w:rPr>
        <w:tab/>
      </w:r>
      <w:r w:rsidR="00F25E21">
        <w:rPr>
          <w:rFonts w:ascii="Arial" w:hAnsi="Arial" w:cs="Arial"/>
          <w:sz w:val="22"/>
          <w:szCs w:val="22"/>
        </w:rPr>
        <w:tab/>
      </w:r>
      <w:r w:rsidRPr="00E11E19">
        <w:rPr>
          <w:rFonts w:ascii="Arial" w:hAnsi="Arial" w:cs="Arial"/>
          <w:sz w:val="22"/>
          <w:szCs w:val="22"/>
        </w:rPr>
        <w:t>Mitigating Systems (90%)</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ab/>
      </w:r>
      <w:r w:rsidRPr="00E11E19">
        <w:rPr>
          <w:rFonts w:ascii="Arial" w:hAnsi="Arial" w:cs="Arial"/>
          <w:sz w:val="22"/>
          <w:szCs w:val="22"/>
        </w:rPr>
        <w:tab/>
      </w:r>
      <w:r w:rsidRPr="00E11E19">
        <w:rPr>
          <w:rFonts w:ascii="Arial" w:hAnsi="Arial" w:cs="Arial"/>
          <w:sz w:val="22"/>
          <w:szCs w:val="22"/>
        </w:rPr>
        <w:tab/>
      </w:r>
      <w:r w:rsidRPr="00E11E19">
        <w:rPr>
          <w:rFonts w:ascii="Arial" w:hAnsi="Arial" w:cs="Arial"/>
          <w:sz w:val="22"/>
          <w:szCs w:val="22"/>
        </w:rPr>
        <w:tab/>
      </w:r>
      <w:r w:rsidRPr="00E11E19">
        <w:rPr>
          <w:rFonts w:ascii="Arial" w:hAnsi="Arial" w:cs="Arial"/>
          <w:sz w:val="22"/>
          <w:szCs w:val="22"/>
        </w:rPr>
        <w:tab/>
        <w:t>Barrier Integrity (10%)</w:t>
      </w:r>
      <w:r w:rsidR="00271F05" w:rsidRPr="00E11E19">
        <w:rPr>
          <w:rFonts w:ascii="Arial" w:hAnsi="Arial" w:cs="Arial"/>
          <w:sz w:val="22"/>
          <w:szCs w:val="22"/>
        </w:rPr>
        <w:t xml:space="preserve"> </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294C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700" w:hanging="2700"/>
        <w:rPr>
          <w:rFonts w:ascii="Arial" w:hAnsi="Arial" w:cs="Arial"/>
          <w:sz w:val="22"/>
          <w:szCs w:val="22"/>
        </w:rPr>
      </w:pPr>
      <w:r w:rsidRPr="00E11E19">
        <w:rPr>
          <w:rFonts w:ascii="Arial" w:hAnsi="Arial" w:cs="Arial"/>
          <w:sz w:val="22"/>
          <w:szCs w:val="22"/>
        </w:rPr>
        <w:t>INSPECTION BASES:</w:t>
      </w:r>
      <w:r w:rsidRPr="00E11E19">
        <w:rPr>
          <w:rFonts w:ascii="Arial" w:hAnsi="Arial" w:cs="Arial"/>
          <w:sz w:val="22"/>
          <w:szCs w:val="22"/>
        </w:rPr>
        <w:tab/>
        <w:t>Inadequate maintenance activities that are not detected prior to returning the equipment to service can result in a significant increase in unidentified risk for the subject system</w:t>
      </w:r>
      <w:r w:rsidR="0086073B" w:rsidRPr="00E11E19">
        <w:rPr>
          <w:rFonts w:ascii="Arial" w:hAnsi="Arial" w:cs="Arial"/>
          <w:sz w:val="22"/>
          <w:szCs w:val="22"/>
        </w:rPr>
        <w:t xml:space="preserve">.  </w:t>
      </w:r>
      <w:r w:rsidRPr="00E11E19">
        <w:rPr>
          <w:rFonts w:ascii="Arial" w:hAnsi="Arial" w:cs="Arial"/>
          <w:sz w:val="22"/>
          <w:szCs w:val="22"/>
        </w:rPr>
        <w:t xml:space="preserve">This </w:t>
      </w:r>
      <w:proofErr w:type="spellStart"/>
      <w:r w:rsidRPr="00E11E19">
        <w:rPr>
          <w:rFonts w:ascii="Arial" w:hAnsi="Arial" w:cs="Arial"/>
          <w:sz w:val="22"/>
          <w:szCs w:val="22"/>
        </w:rPr>
        <w:t>inspectable</w:t>
      </w:r>
      <w:proofErr w:type="spellEnd"/>
      <w:r w:rsidRPr="00E11E19">
        <w:rPr>
          <w:rFonts w:ascii="Arial" w:hAnsi="Arial" w:cs="Arial"/>
          <w:sz w:val="22"/>
          <w:szCs w:val="22"/>
        </w:rPr>
        <w:t xml:space="preserve"> area verifies aspects of the mitigating system and barrier integrity cornerstones not measured by performance indicators.</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700" w:hanging="2700"/>
        <w:rPr>
          <w:rFonts w:ascii="Arial" w:hAnsi="Arial" w:cs="Arial"/>
          <w:sz w:val="22"/>
          <w:szCs w:val="22"/>
        </w:rPr>
      </w:pPr>
      <w:r w:rsidRPr="00E11E19">
        <w:rPr>
          <w:rFonts w:ascii="Arial" w:hAnsi="Arial" w:cs="Arial"/>
          <w:sz w:val="22"/>
          <w:szCs w:val="22"/>
        </w:rPr>
        <w:t>LEVEL OF EFFORT:</w:t>
      </w:r>
      <w:r w:rsidRPr="00E11E19">
        <w:rPr>
          <w:rFonts w:ascii="Arial" w:hAnsi="Arial" w:cs="Arial"/>
          <w:sz w:val="22"/>
          <w:szCs w:val="22"/>
        </w:rPr>
        <w:tab/>
      </w:r>
      <w:r w:rsidR="00F25E21">
        <w:rPr>
          <w:rFonts w:ascii="Arial" w:hAnsi="Arial" w:cs="Arial"/>
          <w:sz w:val="22"/>
          <w:szCs w:val="22"/>
        </w:rPr>
        <w:tab/>
      </w:r>
      <w:r w:rsidRPr="00E11E19">
        <w:rPr>
          <w:rFonts w:ascii="Arial" w:hAnsi="Arial" w:cs="Arial"/>
          <w:sz w:val="22"/>
          <w:szCs w:val="22"/>
        </w:rPr>
        <w:t>Review</w:t>
      </w:r>
      <w:r w:rsidR="00DB3D70" w:rsidRPr="00E11E19">
        <w:rPr>
          <w:rFonts w:ascii="Arial" w:hAnsi="Arial" w:cs="Arial"/>
          <w:sz w:val="22"/>
          <w:szCs w:val="22"/>
        </w:rPr>
        <w:t xml:space="preserve"> 20-28</w:t>
      </w:r>
      <w:r w:rsidRPr="00E11E19">
        <w:rPr>
          <w:rFonts w:ascii="Arial" w:hAnsi="Arial" w:cs="Arial"/>
          <w:sz w:val="22"/>
          <w:szCs w:val="22"/>
        </w:rPr>
        <w:t xml:space="preserve"> post-maintenance testing activities in a year</w:t>
      </w:r>
      <w:r w:rsidR="00930142" w:rsidRPr="00E11E19">
        <w:rPr>
          <w:rFonts w:ascii="Arial" w:hAnsi="Arial" w:cs="Arial"/>
          <w:sz w:val="22"/>
          <w:szCs w:val="22"/>
        </w:rPr>
        <w:t xml:space="preserve">.  </w:t>
      </w:r>
      <w:r w:rsidR="00DB3D70" w:rsidRPr="00E11E19">
        <w:rPr>
          <w:rFonts w:ascii="Arial" w:hAnsi="Arial" w:cs="Arial"/>
          <w:sz w:val="22"/>
          <w:szCs w:val="22"/>
        </w:rPr>
        <w:t>Although the number of required samples is an annual goal, available post maintenance testing (PMT) samples should be inspected each quarter to ensure a reasonable distribution throughout the year.  For multi unit sites, attempts should be made to evenly balance the PMT samples between each unit on site.  Where special conditions or circumstances warrant, such as unit specific PMT deficiencies, deviations from evenly balanced PMT samples may be appropriate.</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045" w:hanging="2045"/>
        <w:rPr>
          <w:rFonts w:ascii="Arial" w:hAnsi="Arial" w:cs="Arial"/>
          <w:sz w:val="22"/>
          <w:szCs w:val="22"/>
        </w:rPr>
      </w:pPr>
      <w:r w:rsidRPr="00E11E19">
        <w:rPr>
          <w:rFonts w:ascii="Arial" w:hAnsi="Arial" w:cs="Arial"/>
          <w:sz w:val="22"/>
          <w:szCs w:val="22"/>
        </w:rPr>
        <w:t>71111.19-01</w:t>
      </w:r>
      <w:r w:rsidRPr="00E11E19">
        <w:rPr>
          <w:rFonts w:ascii="Arial" w:hAnsi="Arial" w:cs="Arial"/>
          <w:sz w:val="22"/>
          <w:szCs w:val="22"/>
        </w:rPr>
        <w:tab/>
      </w:r>
      <w:r w:rsidRPr="00E11E19">
        <w:rPr>
          <w:rFonts w:ascii="Arial" w:hAnsi="Arial" w:cs="Arial"/>
          <w:sz w:val="22"/>
          <w:szCs w:val="22"/>
        </w:rPr>
        <w:tab/>
        <w:t>INSPECTION OBJECTIVE</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01.01</w:t>
      </w:r>
      <w:r w:rsidRPr="00E11E19">
        <w:rPr>
          <w:rFonts w:ascii="Arial" w:hAnsi="Arial" w:cs="Arial"/>
          <w:sz w:val="22"/>
          <w:szCs w:val="22"/>
        </w:rPr>
        <w:tab/>
        <w:t>This inspection will verify that the post-maintenance test procedures and test activities are adequate to verify system operability, and functional capability.</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045" w:hanging="2045"/>
        <w:rPr>
          <w:rFonts w:ascii="Arial" w:hAnsi="Arial" w:cs="Arial"/>
          <w:sz w:val="22"/>
          <w:szCs w:val="22"/>
        </w:rPr>
      </w:pPr>
      <w:r w:rsidRPr="00E11E19">
        <w:rPr>
          <w:rFonts w:ascii="Arial" w:hAnsi="Arial" w:cs="Arial"/>
          <w:sz w:val="22"/>
          <w:szCs w:val="22"/>
        </w:rPr>
        <w:t>71111.19-02</w:t>
      </w:r>
      <w:r w:rsidRPr="00E11E19">
        <w:rPr>
          <w:rFonts w:ascii="Arial" w:hAnsi="Arial" w:cs="Arial"/>
          <w:sz w:val="22"/>
          <w:szCs w:val="22"/>
        </w:rPr>
        <w:tab/>
      </w:r>
      <w:r w:rsidRPr="00E11E19">
        <w:rPr>
          <w:rFonts w:ascii="Arial" w:hAnsi="Arial" w:cs="Arial"/>
          <w:sz w:val="22"/>
          <w:szCs w:val="22"/>
        </w:rPr>
        <w:tab/>
        <w:t>INSPECTION REQUIREMENTS</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02.01</w:t>
      </w:r>
      <w:r w:rsidRPr="00E11E19">
        <w:rPr>
          <w:rFonts w:ascii="Arial" w:hAnsi="Arial" w:cs="Arial"/>
          <w:sz w:val="22"/>
          <w:szCs w:val="22"/>
        </w:rPr>
        <w:tab/>
      </w:r>
      <w:r w:rsidRPr="00E11E19">
        <w:rPr>
          <w:rFonts w:ascii="Arial" w:hAnsi="Arial" w:cs="Arial"/>
          <w:sz w:val="22"/>
          <w:szCs w:val="22"/>
          <w:u w:val="single"/>
        </w:rPr>
        <w:t>Inspection Planning</w:t>
      </w:r>
      <w:r w:rsidRPr="00E11E19">
        <w:rPr>
          <w:rFonts w:ascii="Arial" w:hAnsi="Arial" w:cs="Arial"/>
          <w:sz w:val="22"/>
          <w:szCs w:val="22"/>
        </w:rPr>
        <w:t>.  Select post-maintenance testing activities each calendar quarter that affect risk significant systems or components</w:t>
      </w:r>
      <w:r w:rsidR="00930142" w:rsidRPr="00E11E19">
        <w:rPr>
          <w:rFonts w:ascii="Arial" w:hAnsi="Arial" w:cs="Arial"/>
          <w:sz w:val="22"/>
          <w:szCs w:val="22"/>
        </w:rPr>
        <w:t xml:space="preserve">.  </w:t>
      </w:r>
      <w:r w:rsidR="00DB3D70" w:rsidRPr="00E11E19">
        <w:rPr>
          <w:rFonts w:ascii="Arial" w:hAnsi="Arial" w:cs="Arial"/>
          <w:sz w:val="22"/>
          <w:szCs w:val="22"/>
        </w:rPr>
        <w:t>Sufficient preparation time should be devoted to reviews of deficiency identification and maintenance documents, and discussions with plant personnel to understand the scope and details of the maintenance activity performed</w:t>
      </w:r>
      <w:r w:rsidR="00930142" w:rsidRPr="00E11E19">
        <w:rPr>
          <w:rFonts w:ascii="Arial" w:hAnsi="Arial" w:cs="Arial"/>
          <w:sz w:val="22"/>
          <w:szCs w:val="22"/>
        </w:rPr>
        <w:t xml:space="preserve">.  </w:t>
      </w:r>
      <w:r w:rsidR="00DB3D70" w:rsidRPr="00E11E19">
        <w:rPr>
          <w:rFonts w:ascii="Arial" w:hAnsi="Arial" w:cs="Arial"/>
          <w:sz w:val="22"/>
          <w:szCs w:val="22"/>
        </w:rPr>
        <w:t>If any risk significant systems or components have a recent record of performance problems and the maintenance activities performed are complex in nature, then preferentially select post-maintenance testing activities that affect those systems or components</w:t>
      </w:r>
    </w:p>
    <w:p w:rsidR="002A2B8B" w:rsidRPr="00E11E19" w:rsidRDefault="002A2B8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02.02</w:t>
      </w:r>
      <w:r w:rsidRPr="00E11E19">
        <w:rPr>
          <w:rFonts w:ascii="Arial" w:hAnsi="Arial" w:cs="Arial"/>
          <w:sz w:val="22"/>
          <w:szCs w:val="22"/>
        </w:rPr>
        <w:tab/>
      </w:r>
      <w:r w:rsidRPr="00E11E19">
        <w:rPr>
          <w:rFonts w:ascii="Arial" w:hAnsi="Arial" w:cs="Arial"/>
          <w:sz w:val="22"/>
          <w:szCs w:val="22"/>
          <w:u w:val="single"/>
        </w:rPr>
        <w:t>Inspection Activity</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Pr="00E11E19" w:rsidRDefault="00DB3D70" w:rsidP="00DB3D70">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For each testing activity selected, identify the affected system(s) and/or component(s), and:</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Pr="00E11E19" w:rsidRDefault="00DB3D7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Review applicable licensing basis and/or design-basis documents to identify the safety function(s) of the affected system(s) and/or component(s);</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264E05" w:rsidRDefault="00DB3D70" w:rsidP="00DB3D70">
      <w:pPr>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0" w:author="btc1" w:date="2011-11-09T13:52:00Z"/>
          <w:rFonts w:ascii="Arial" w:hAnsi="Arial" w:cs="Arial"/>
          <w:sz w:val="22"/>
          <w:szCs w:val="22"/>
        </w:rPr>
        <w:sectPr w:rsidR="00264E05" w:rsidSect="00264E05">
          <w:headerReference w:type="even" r:id="rId8"/>
          <w:headerReference w:type="default" r:id="rId9"/>
          <w:footerReference w:type="even" r:id="rId10"/>
          <w:footerReference w:type="default" r:id="rId11"/>
          <w:type w:val="continuous"/>
          <w:pgSz w:w="12240" w:h="15840" w:code="1"/>
          <w:pgMar w:top="1080" w:right="1440" w:bottom="720" w:left="1440" w:header="1080" w:footer="720" w:gutter="0"/>
          <w:pgNumType w:fmt="numberInDash"/>
          <w:cols w:space="720"/>
          <w:docGrid w:linePitch="326"/>
        </w:sectPr>
      </w:pPr>
      <w:r w:rsidRPr="00E11E19">
        <w:rPr>
          <w:rFonts w:ascii="Arial" w:hAnsi="Arial" w:cs="Arial"/>
          <w:sz w:val="22"/>
          <w:szCs w:val="22"/>
        </w:rPr>
        <w:t>Review the associated maintenance activity, to identify the safety function(s) that may have been affected by that activity; and</w:t>
      </w:r>
    </w:p>
    <w:p w:rsidR="00DB3D70" w:rsidRPr="00E11E19" w:rsidRDefault="00DB3D70" w:rsidP="00264E05">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1440"/>
        <w:rPr>
          <w:rFonts w:ascii="Arial" w:hAnsi="Arial" w:cs="Arial"/>
          <w:sz w:val="22"/>
          <w:szCs w:val="22"/>
        </w:rPr>
      </w:pPr>
    </w:p>
    <w:p w:rsidR="008F5C62" w:rsidRPr="00E11E19" w:rsidRDefault="00DB3D7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Review the licensee’s test procedure to verify that the procedure adequately tests the safety function(s) that may have been affected by the maintenance activity, that the acceptance criteria in the procedure are consistent with information in the applicable licensing basis and/or design-basis documents, and that the procedure has been properly reviewed and approved</w:t>
      </w:r>
      <w:r w:rsidR="00930142" w:rsidRPr="00E11E19">
        <w:rPr>
          <w:rFonts w:ascii="Arial" w:hAnsi="Arial" w:cs="Arial"/>
          <w:sz w:val="22"/>
          <w:szCs w:val="22"/>
        </w:rPr>
        <w:t xml:space="preserve">.  </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DB3D70" w:rsidP="00DB3D70">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Either witness the test and/or review the test data, to verify that:</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DB3D7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The performance of the affected system(s) and/or component(s) satisfies the procedure’s acceptance criteria</w:t>
      </w:r>
      <w:r w:rsidR="008F5C62" w:rsidRPr="00E11E19">
        <w:rPr>
          <w:rFonts w:ascii="Arial" w:hAnsi="Arial" w:cs="Arial"/>
          <w:sz w:val="22"/>
          <w:szCs w:val="22"/>
        </w:rPr>
        <w:t>;</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The effects of testing on the plant have been adequately addressed;</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ab/>
      </w: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The test equipment is calibrated, and is within its current calibration cycle;</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 xml:space="preserve">The test equipment used is within its required range and accuracy; </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The applicable prerequisites described in the test procedure are satisfied;</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Pr="00E11E19" w:rsidRDefault="00DB3D7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The affected systems or components are removed from service in accordance with approved procedures;</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The test is performed in accordance with the test procedure and other applicable procedures;</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Jumpers installed and/or leads lifted during testing are controlled and restored;</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9F50E0" w:rsidRPr="00E11E19" w:rsidRDefault="00F6221A"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ins w:id="2" w:author="axl4" w:date="2011-10-04T11:19:00Z">
        <w:r w:rsidRPr="00E11E19">
          <w:rPr>
            <w:rFonts w:ascii="Arial" w:hAnsi="Arial" w:cs="Arial"/>
            <w:sz w:val="22"/>
            <w:szCs w:val="22"/>
          </w:rPr>
          <w:t>Electrical connections are secure and maintain their intended design function;</w:t>
        </w:r>
      </w:ins>
    </w:p>
    <w:p w:rsidR="009F50E0" w:rsidRPr="00E11E19" w:rsidRDefault="009F50E0" w:rsidP="009F50E0">
      <w:pPr>
        <w:pStyle w:val="ListParagraph"/>
        <w:rPr>
          <w:rFonts w:ascii="Arial" w:hAnsi="Arial" w:cs="Arial"/>
          <w:sz w:val="22"/>
          <w:szCs w:val="22"/>
        </w:rPr>
      </w:pP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The test data/results are accurate, complete, and valid;</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The test equipment is removed after testing;</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After completion of testing, equipment is returned to the positions/status required to maintain the system operable, in accordance with approved procedures;</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DB3D70" w:rsidP="00DB3D70">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Any problems noted during testing are appropriately documented.</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 xml:space="preserve">Note: As a minimum, perform a review of the completed test procedure and the recorded data.  However, for most inspection samples the inspector should also attend the </w:t>
      </w:r>
      <w:proofErr w:type="spellStart"/>
      <w:r w:rsidRPr="00E11E19">
        <w:rPr>
          <w:rFonts w:ascii="Arial" w:hAnsi="Arial" w:cs="Arial"/>
          <w:sz w:val="22"/>
          <w:szCs w:val="22"/>
        </w:rPr>
        <w:t>prejob</w:t>
      </w:r>
      <w:proofErr w:type="spellEnd"/>
      <w:r w:rsidRPr="00E11E19">
        <w:rPr>
          <w:rFonts w:ascii="Arial" w:hAnsi="Arial" w:cs="Arial"/>
          <w:sz w:val="22"/>
          <w:szCs w:val="22"/>
        </w:rPr>
        <w:t xml:space="preserve"> briefing, witness the test when it's performed, and attend any post-test critiques, as applicable.</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02.03</w:t>
      </w:r>
      <w:r w:rsidRPr="00E11E19">
        <w:rPr>
          <w:rFonts w:ascii="Arial" w:hAnsi="Arial" w:cs="Arial"/>
          <w:sz w:val="22"/>
          <w:szCs w:val="22"/>
        </w:rPr>
        <w:tab/>
      </w:r>
      <w:r w:rsidRPr="00E11E19">
        <w:rPr>
          <w:rFonts w:ascii="Arial" w:hAnsi="Arial" w:cs="Arial"/>
          <w:sz w:val="22"/>
          <w:szCs w:val="22"/>
          <w:u w:val="single"/>
        </w:rPr>
        <w:t>Problem Identification and Resolution</w:t>
      </w:r>
      <w:r w:rsidRPr="00E11E19">
        <w:rPr>
          <w:rFonts w:ascii="Arial" w:hAnsi="Arial" w:cs="Arial"/>
          <w:sz w:val="22"/>
          <w:szCs w:val="22"/>
        </w:rPr>
        <w:t>.  Verify that the licensee is identifying post-maintenance testing problems at an appropriate threshold and entering them in the corrective action program.  For a sample of significant post-maintenance test problems documented in the corrective action program, verify that the licensee has identified and implemented appropriate corrective actions</w:t>
      </w:r>
      <w:r w:rsidR="00930142" w:rsidRPr="00E11E19">
        <w:rPr>
          <w:rFonts w:ascii="Arial" w:hAnsi="Arial" w:cs="Arial"/>
          <w:sz w:val="22"/>
          <w:szCs w:val="22"/>
        </w:rPr>
        <w:t xml:space="preserve">. </w:t>
      </w:r>
      <w:r w:rsidRPr="00E11E19">
        <w:rPr>
          <w:rFonts w:ascii="Arial" w:hAnsi="Arial" w:cs="Arial"/>
          <w:sz w:val="22"/>
          <w:szCs w:val="22"/>
        </w:rPr>
        <w:t xml:space="preserve"> See Inspection Procedure 71152, “Identification and Resolution of Problems,” for additional guidance</w:t>
      </w:r>
      <w:r w:rsidR="00930142" w:rsidRPr="00E11E19">
        <w:rPr>
          <w:rFonts w:ascii="Arial" w:hAnsi="Arial" w:cs="Arial"/>
          <w:sz w:val="22"/>
          <w:szCs w:val="22"/>
        </w:rPr>
        <w:t xml:space="preserve">. </w:t>
      </w:r>
    </w:p>
    <w:p w:rsidR="002A2B8B" w:rsidRPr="00E11E19" w:rsidRDefault="002A2B8B"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sectPr w:rsidR="002A2B8B" w:rsidRPr="00E11E19" w:rsidSect="00264E05">
          <w:pgSz w:w="12240" w:h="15840" w:code="1"/>
          <w:pgMar w:top="1080" w:right="1440" w:bottom="720" w:left="1440" w:header="1080" w:footer="720" w:gutter="0"/>
          <w:pgNumType w:fmt="numberInDash"/>
          <w:cols w:space="720"/>
          <w:docGrid w:linePitch="326"/>
        </w:sectPr>
      </w:pPr>
    </w:p>
    <w:p w:rsidR="008F5C62" w:rsidRPr="00E11E19" w:rsidRDefault="008F5C62" w:rsidP="00984C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line="245" w:lineRule="exact"/>
        <w:rPr>
          <w:rFonts w:ascii="Arial" w:hAnsi="Arial" w:cs="Arial"/>
          <w:sz w:val="22"/>
          <w:szCs w:val="22"/>
        </w:rPr>
      </w:pPr>
      <w:r w:rsidRPr="00E11E19">
        <w:rPr>
          <w:rFonts w:ascii="Arial" w:hAnsi="Arial" w:cs="Arial"/>
          <w:sz w:val="22"/>
          <w:szCs w:val="22"/>
        </w:rPr>
        <w:lastRenderedPageBreak/>
        <w:t>71111.19-03</w:t>
      </w:r>
      <w:r w:rsidRPr="00E11E19">
        <w:rPr>
          <w:rFonts w:ascii="Arial" w:hAnsi="Arial" w:cs="Arial"/>
          <w:sz w:val="22"/>
          <w:szCs w:val="22"/>
        </w:rPr>
        <w:tab/>
      </w:r>
      <w:r w:rsidRPr="00E11E19">
        <w:rPr>
          <w:rFonts w:ascii="Arial" w:hAnsi="Arial" w:cs="Arial"/>
          <w:sz w:val="22"/>
          <w:szCs w:val="22"/>
        </w:rPr>
        <w:tab/>
        <w:t>INSPECTION GUIDANCE</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2336"/>
        <w:gridCol w:w="2336"/>
        <w:gridCol w:w="2336"/>
        <w:gridCol w:w="2351"/>
      </w:tblGrid>
      <w:tr w:rsidR="008F5C62" w:rsidRPr="00E11E19">
        <w:trPr>
          <w:cantSplit/>
        </w:trPr>
        <w:tc>
          <w:tcPr>
            <w:tcW w:w="2336" w:type="dxa"/>
            <w:tcBorders>
              <w:top w:val="single" w:sz="8" w:space="0" w:color="000000"/>
              <w:left w:val="single" w:sz="8" w:space="0" w:color="000000"/>
              <w:bottom w:val="double" w:sz="8" w:space="0" w:color="000000"/>
              <w:right w:val="single" w:sz="8" w:space="0" w:color="000000"/>
            </w:tcBorders>
            <w:tcMar>
              <w:top w:w="120" w:type="dxa"/>
              <w:left w:w="120" w:type="dxa"/>
              <w:bottom w:w="58" w:type="dxa"/>
              <w:right w:w="120" w:type="dxa"/>
            </w:tcMar>
            <w:vAlign w:val="center"/>
          </w:tcPr>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sz w:val="22"/>
                <w:szCs w:val="22"/>
              </w:rPr>
            </w:pPr>
            <w:r w:rsidRPr="00E11E19">
              <w:rPr>
                <w:rFonts w:ascii="Arial" w:hAnsi="Arial" w:cs="Arial"/>
                <w:sz w:val="22"/>
                <w:szCs w:val="22"/>
              </w:rPr>
              <w:t>Cornerstone</w:t>
            </w:r>
          </w:p>
        </w:tc>
        <w:tc>
          <w:tcPr>
            <w:tcW w:w="2336" w:type="dxa"/>
            <w:tcBorders>
              <w:top w:val="single" w:sz="8" w:space="0" w:color="000000"/>
              <w:left w:val="single" w:sz="8" w:space="0" w:color="000000"/>
              <w:bottom w:val="double" w:sz="8" w:space="0" w:color="000000"/>
              <w:right w:val="single" w:sz="8" w:space="0" w:color="000000"/>
            </w:tcBorders>
            <w:tcMar>
              <w:top w:w="120" w:type="dxa"/>
              <w:left w:w="120" w:type="dxa"/>
              <w:bottom w:w="58" w:type="dxa"/>
              <w:right w:w="120" w:type="dxa"/>
            </w:tcMar>
            <w:vAlign w:val="center"/>
          </w:tcPr>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sz w:val="22"/>
                <w:szCs w:val="22"/>
              </w:rPr>
            </w:pPr>
            <w:r w:rsidRPr="00E11E19">
              <w:rPr>
                <w:rFonts w:ascii="Arial" w:hAnsi="Arial" w:cs="Arial"/>
                <w:sz w:val="22"/>
                <w:szCs w:val="22"/>
              </w:rPr>
              <w:t>Inspection Objective</w:t>
            </w:r>
          </w:p>
        </w:tc>
        <w:tc>
          <w:tcPr>
            <w:tcW w:w="2336" w:type="dxa"/>
            <w:tcBorders>
              <w:top w:val="single" w:sz="8" w:space="0" w:color="000000"/>
              <w:left w:val="single" w:sz="8" w:space="0" w:color="000000"/>
              <w:bottom w:val="double" w:sz="8" w:space="0" w:color="000000"/>
              <w:right w:val="single" w:sz="8" w:space="0" w:color="000000"/>
            </w:tcBorders>
            <w:tcMar>
              <w:top w:w="120" w:type="dxa"/>
              <w:left w:w="120" w:type="dxa"/>
              <w:bottom w:w="58" w:type="dxa"/>
              <w:right w:w="120" w:type="dxa"/>
            </w:tcMar>
            <w:vAlign w:val="center"/>
          </w:tcPr>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sz w:val="22"/>
                <w:szCs w:val="22"/>
              </w:rPr>
            </w:pPr>
            <w:r w:rsidRPr="00E11E19">
              <w:rPr>
                <w:rFonts w:ascii="Arial" w:hAnsi="Arial" w:cs="Arial"/>
                <w:sz w:val="22"/>
                <w:szCs w:val="22"/>
              </w:rPr>
              <w:t>Risk Priority</w:t>
            </w:r>
          </w:p>
        </w:tc>
        <w:tc>
          <w:tcPr>
            <w:tcW w:w="2351" w:type="dxa"/>
            <w:tcBorders>
              <w:top w:val="single" w:sz="8" w:space="0" w:color="000000"/>
              <w:left w:val="single" w:sz="8" w:space="0" w:color="000000"/>
              <w:bottom w:val="double" w:sz="8" w:space="0" w:color="000000"/>
              <w:right w:val="single" w:sz="8" w:space="0" w:color="000000"/>
            </w:tcBorders>
            <w:tcMar>
              <w:top w:w="120" w:type="dxa"/>
              <w:left w:w="120" w:type="dxa"/>
              <w:bottom w:w="58" w:type="dxa"/>
              <w:right w:w="120" w:type="dxa"/>
            </w:tcMar>
            <w:vAlign w:val="center"/>
          </w:tcPr>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jc w:val="center"/>
              <w:rPr>
                <w:rFonts w:ascii="Arial" w:hAnsi="Arial" w:cs="Arial"/>
                <w:sz w:val="22"/>
                <w:szCs w:val="22"/>
              </w:rPr>
            </w:pPr>
            <w:r w:rsidRPr="00E11E19">
              <w:rPr>
                <w:rFonts w:ascii="Arial" w:hAnsi="Arial" w:cs="Arial"/>
                <w:sz w:val="22"/>
                <w:szCs w:val="22"/>
              </w:rPr>
              <w:t>Example</w:t>
            </w:r>
          </w:p>
        </w:tc>
      </w:tr>
      <w:tr w:rsidR="008F5C62" w:rsidRPr="00E11E19">
        <w:trPr>
          <w:cantSplit/>
        </w:trPr>
        <w:tc>
          <w:tcPr>
            <w:tcW w:w="2336" w:type="dxa"/>
            <w:tcBorders>
              <w:top w:val="doub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Mitigating Systems</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Barrier Integrity</w:t>
            </w:r>
          </w:p>
        </w:tc>
        <w:tc>
          <w:tcPr>
            <w:tcW w:w="2336" w:type="dxa"/>
            <w:tcBorders>
              <w:top w:val="doub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Identify any system, credited by the licensee as operable or available, which is adversely impacted by failure to adequately test, realign, or remove test equipment after maintenance.</w:t>
            </w:r>
          </w:p>
        </w:tc>
        <w:tc>
          <w:tcPr>
            <w:tcW w:w="2336" w:type="dxa"/>
            <w:tcBorders>
              <w:top w:val="doub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Select activities with potential for common mode failures and activities where there is a recent record of maintenance &amp; testing errors.</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Select activities across technical disciplines [electrical, mechanical, I&amp;C]</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Select activities that are more difficult to test at power.</w:t>
            </w:r>
          </w:p>
        </w:tc>
        <w:tc>
          <w:tcPr>
            <w:tcW w:w="2351" w:type="dxa"/>
            <w:tcBorders>
              <w:top w:val="doub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Post maintenance testing of:</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7C09C7"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Pr>
                <w:rFonts w:ascii="Arial" w:hAnsi="Arial" w:cs="Arial"/>
                <w:sz w:val="22"/>
                <w:szCs w:val="22"/>
              </w:rPr>
              <w:t>O</w:t>
            </w:r>
            <w:r w:rsidRPr="00E11E19">
              <w:rPr>
                <w:rFonts w:ascii="Arial" w:hAnsi="Arial" w:cs="Arial"/>
                <w:sz w:val="22"/>
                <w:szCs w:val="22"/>
              </w:rPr>
              <w:t>n</w:t>
            </w:r>
            <w:r w:rsidR="008F5C62" w:rsidRPr="00E11E19">
              <w:rPr>
                <w:rFonts w:ascii="Arial" w:hAnsi="Arial" w:cs="Arial"/>
                <w:sz w:val="22"/>
                <w:szCs w:val="22"/>
              </w:rPr>
              <w:t>-line emergency diesel generator engine repairs</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7C09C7"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Pr>
                <w:rFonts w:ascii="Arial" w:hAnsi="Arial" w:cs="Arial"/>
                <w:sz w:val="22"/>
                <w:szCs w:val="22"/>
              </w:rPr>
              <w:t>N</w:t>
            </w:r>
            <w:r w:rsidRPr="00E11E19">
              <w:rPr>
                <w:rFonts w:ascii="Arial" w:hAnsi="Arial" w:cs="Arial"/>
                <w:sz w:val="22"/>
                <w:szCs w:val="22"/>
              </w:rPr>
              <w:t xml:space="preserve">ewly </w:t>
            </w:r>
            <w:r w:rsidR="008F5C62" w:rsidRPr="00E11E19">
              <w:rPr>
                <w:rFonts w:ascii="Arial" w:hAnsi="Arial" w:cs="Arial"/>
                <w:sz w:val="22"/>
                <w:szCs w:val="22"/>
              </w:rPr>
              <w:t>installed electrical/</w:t>
            </w:r>
            <w:proofErr w:type="spellStart"/>
            <w:r w:rsidR="008F5C62" w:rsidRPr="00E11E19">
              <w:rPr>
                <w:rFonts w:ascii="Arial" w:hAnsi="Arial" w:cs="Arial"/>
                <w:sz w:val="22"/>
                <w:szCs w:val="22"/>
              </w:rPr>
              <w:t>instr-umentation</w:t>
            </w:r>
            <w:proofErr w:type="spellEnd"/>
            <w:r w:rsidR="008F5C62" w:rsidRPr="00E11E19">
              <w:rPr>
                <w:rFonts w:ascii="Arial" w:hAnsi="Arial" w:cs="Arial"/>
                <w:sz w:val="22"/>
                <w:szCs w:val="22"/>
              </w:rPr>
              <w:t xml:space="preserve"> components that control integrated multiple  systems, for example LOOP/LOCA circuits</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7C09C7"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Pr>
                <w:rFonts w:ascii="Arial" w:hAnsi="Arial" w:cs="Arial"/>
                <w:sz w:val="22"/>
                <w:szCs w:val="22"/>
              </w:rPr>
              <w:t>C</w:t>
            </w:r>
            <w:r w:rsidRPr="00E11E19">
              <w:rPr>
                <w:rFonts w:ascii="Arial" w:hAnsi="Arial" w:cs="Arial"/>
                <w:sz w:val="22"/>
                <w:szCs w:val="22"/>
              </w:rPr>
              <w:t xml:space="preserve">ontainment </w:t>
            </w:r>
            <w:r w:rsidR="008F5C62" w:rsidRPr="00E11E19">
              <w:rPr>
                <w:rFonts w:ascii="Arial" w:hAnsi="Arial" w:cs="Arial"/>
                <w:sz w:val="22"/>
                <w:szCs w:val="22"/>
              </w:rPr>
              <w:t>air lock leakage</w:t>
            </w:r>
          </w:p>
        </w:tc>
      </w:tr>
    </w:tbl>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984C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line="245" w:lineRule="exact"/>
        <w:rPr>
          <w:rFonts w:ascii="Arial" w:hAnsi="Arial" w:cs="Arial"/>
          <w:sz w:val="22"/>
          <w:szCs w:val="22"/>
        </w:rPr>
      </w:pPr>
      <w:r w:rsidRPr="00E11E19">
        <w:rPr>
          <w:rFonts w:ascii="Arial" w:hAnsi="Arial" w:cs="Arial"/>
          <w:sz w:val="22"/>
          <w:szCs w:val="22"/>
        </w:rPr>
        <w:t>71111.19-04</w:t>
      </w:r>
      <w:r w:rsidRPr="00E11E19">
        <w:rPr>
          <w:rFonts w:ascii="Arial" w:hAnsi="Arial" w:cs="Arial"/>
          <w:sz w:val="22"/>
          <w:szCs w:val="22"/>
        </w:rPr>
        <w:tab/>
      </w:r>
      <w:r w:rsidRPr="00E11E19">
        <w:rPr>
          <w:rFonts w:ascii="Arial" w:hAnsi="Arial" w:cs="Arial"/>
          <w:sz w:val="22"/>
          <w:szCs w:val="22"/>
        </w:rPr>
        <w:tab/>
        <w:t>RESOURCE ESTIMATE</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 xml:space="preserve">The annual resource expenditure for this inspection procedure is estimated to be </w:t>
      </w:r>
      <w:r w:rsidR="00DB3D70" w:rsidRPr="00E11E19">
        <w:rPr>
          <w:rFonts w:ascii="Arial" w:hAnsi="Arial" w:cs="Arial"/>
          <w:sz w:val="22"/>
          <w:szCs w:val="22"/>
        </w:rPr>
        <w:t>71 to 97</w:t>
      </w:r>
      <w:r w:rsidRPr="00E11E19">
        <w:rPr>
          <w:rFonts w:ascii="Arial" w:hAnsi="Arial" w:cs="Arial"/>
          <w:sz w:val="22"/>
          <w:szCs w:val="22"/>
        </w:rPr>
        <w:t xml:space="preserve"> hours to review post-maintenance testing activities at a site regardless of the number of reactor units at that site. </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635" w:hanging="2635"/>
        <w:rPr>
          <w:rFonts w:ascii="Arial" w:hAnsi="Arial" w:cs="Arial"/>
          <w:sz w:val="22"/>
          <w:szCs w:val="22"/>
        </w:rPr>
      </w:pPr>
      <w:r w:rsidRPr="00E11E19">
        <w:rPr>
          <w:rFonts w:ascii="Arial" w:hAnsi="Arial" w:cs="Arial"/>
          <w:sz w:val="22"/>
          <w:szCs w:val="22"/>
        </w:rPr>
        <w:t>71111.19-05</w:t>
      </w:r>
      <w:r w:rsidRPr="00E11E19">
        <w:rPr>
          <w:rFonts w:ascii="Arial" w:hAnsi="Arial" w:cs="Arial"/>
          <w:sz w:val="22"/>
          <w:szCs w:val="22"/>
        </w:rPr>
        <w:tab/>
      </w:r>
      <w:r w:rsidRPr="00E11E19">
        <w:rPr>
          <w:rFonts w:ascii="Arial" w:hAnsi="Arial" w:cs="Arial"/>
          <w:sz w:val="22"/>
          <w:szCs w:val="22"/>
        </w:rPr>
        <w:tab/>
        <w:t>COMPLETION STATUS</w:t>
      </w:r>
    </w:p>
    <w:p w:rsidR="00DB3D70"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DB3D70"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 xml:space="preserve">Inspection of the minimum sample size will constitute completion of this procedure in the Reactor Programs Systems (RPS).  That minimum sample size will consist of 20 post-maintenance testing activities in a year regardless of the number of reactor units at the given site. </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ind w:left="2635" w:hanging="2635"/>
        <w:rPr>
          <w:rFonts w:ascii="Arial" w:hAnsi="Arial" w:cs="Arial"/>
          <w:sz w:val="22"/>
          <w:szCs w:val="22"/>
        </w:rPr>
      </w:pPr>
      <w:r w:rsidRPr="00E11E19">
        <w:rPr>
          <w:rFonts w:ascii="Arial" w:hAnsi="Arial" w:cs="Arial"/>
          <w:sz w:val="22"/>
          <w:szCs w:val="22"/>
        </w:rPr>
        <w:t>71111.19-</w:t>
      </w:r>
      <w:r w:rsidR="00DB3D70" w:rsidRPr="00E11E19">
        <w:rPr>
          <w:rFonts w:ascii="Arial" w:hAnsi="Arial" w:cs="Arial"/>
          <w:sz w:val="22"/>
          <w:szCs w:val="22"/>
        </w:rPr>
        <w:t>06</w:t>
      </w:r>
      <w:r w:rsidRPr="00E11E19">
        <w:rPr>
          <w:rFonts w:ascii="Arial" w:hAnsi="Arial" w:cs="Arial"/>
          <w:sz w:val="22"/>
          <w:szCs w:val="22"/>
        </w:rPr>
        <w:tab/>
      </w:r>
      <w:r w:rsidRPr="00E11E19">
        <w:rPr>
          <w:rFonts w:ascii="Arial" w:hAnsi="Arial" w:cs="Arial"/>
          <w:sz w:val="22"/>
          <w:szCs w:val="22"/>
        </w:rPr>
        <w:tab/>
        <w:t>REFERENCES</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Inspection Procedure 71111.12, “Maintenance Rule Implementation”</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Inspection Procedure 71111.13, “Maintenance Risk Assessments and Emergent Work Control”</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bookmarkStart w:id="3" w:name="QuickMark_1"/>
      <w:bookmarkEnd w:id="3"/>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r w:rsidRPr="00E11E19">
        <w:rPr>
          <w:rFonts w:ascii="Arial" w:hAnsi="Arial" w:cs="Arial"/>
          <w:sz w:val="22"/>
          <w:szCs w:val="22"/>
        </w:rPr>
        <w:t>Inspection Procedure 71152, “Identification and Resolution of Problems”</w:t>
      </w:r>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F6221A" w:rsidRPr="00E11E19" w:rsidRDefault="00F6221A" w:rsidP="00F622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ins w:id="4" w:author="axl4" w:date="2011-10-04T11:19:00Z"/>
          <w:rFonts w:ascii="Arial" w:hAnsi="Arial" w:cs="Arial"/>
          <w:sz w:val="22"/>
          <w:szCs w:val="22"/>
        </w:rPr>
      </w:pPr>
      <w:ins w:id="5" w:author="axl4" w:date="2011-10-04T11:19:00Z">
        <w:r w:rsidRPr="007E2B76">
          <w:rPr>
            <w:rFonts w:ascii="Arial" w:hAnsi="Arial" w:cs="Arial"/>
            <w:sz w:val="22"/>
            <w:szCs w:val="22"/>
          </w:rPr>
          <w:t>Information Notice 2010-25, “Inadequate Electrical Connections”</w:t>
        </w:r>
      </w:ins>
    </w:p>
    <w:p w:rsidR="008F5C62" w:rsidRPr="00E11E19" w:rsidRDefault="008F5C62" w:rsidP="00DB3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5" w:lineRule="exact"/>
        <w:rPr>
          <w:rFonts w:ascii="Arial" w:hAnsi="Arial" w:cs="Arial"/>
          <w:sz w:val="22"/>
          <w:szCs w:val="22"/>
        </w:rPr>
      </w:pPr>
    </w:p>
    <w:p w:rsidR="008F0531" w:rsidRPr="00E11E19" w:rsidRDefault="008F5C62" w:rsidP="009216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jc w:val="center"/>
        <w:rPr>
          <w:rFonts w:ascii="Arial" w:hAnsi="Arial" w:cs="Arial"/>
          <w:sz w:val="22"/>
          <w:szCs w:val="22"/>
        </w:rPr>
        <w:sectPr w:rsidR="008F0531" w:rsidRPr="00E11E19" w:rsidSect="00264E05">
          <w:pgSz w:w="12240" w:h="15840" w:code="1"/>
          <w:pgMar w:top="1080" w:right="1440" w:bottom="720" w:left="1440" w:header="720" w:footer="720" w:gutter="0"/>
          <w:pgNumType w:fmt="numberInDash"/>
          <w:cols w:space="720"/>
        </w:sectPr>
      </w:pPr>
      <w:r w:rsidRPr="00E11E19">
        <w:rPr>
          <w:rFonts w:ascii="Arial" w:hAnsi="Arial" w:cs="Arial"/>
          <w:sz w:val="22"/>
          <w:szCs w:val="22"/>
        </w:rPr>
        <w:t>END</w:t>
      </w:r>
    </w:p>
    <w:p w:rsidR="00693289" w:rsidRPr="00E11E19" w:rsidRDefault="00693289" w:rsidP="00430A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Arial" w:hAnsi="Arial" w:cs="Arial"/>
          <w:sz w:val="22"/>
          <w:szCs w:val="22"/>
        </w:rPr>
      </w:pPr>
      <w:r w:rsidRPr="00E11E19">
        <w:rPr>
          <w:rFonts w:ascii="Arial" w:hAnsi="Arial" w:cs="Arial"/>
          <w:sz w:val="22"/>
          <w:szCs w:val="22"/>
        </w:rPr>
        <w:lastRenderedPageBreak/>
        <w:t>Attachment 1 – Revision History for IP 71111.19</w:t>
      </w:r>
    </w:p>
    <w:p w:rsidR="008F0531" w:rsidRPr="00E11E19" w:rsidRDefault="008F0531" w:rsidP="009216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jc w:val="center"/>
        <w:rPr>
          <w:rFonts w:ascii="Arial" w:hAnsi="Arial" w:cs="Arial"/>
          <w:sz w:val="22"/>
          <w:szCs w:val="22"/>
        </w:rPr>
      </w:pPr>
    </w:p>
    <w:tbl>
      <w:tblPr>
        <w:tblW w:w="0" w:type="auto"/>
        <w:tblInd w:w="120" w:type="dxa"/>
        <w:tblLayout w:type="fixed"/>
        <w:tblCellMar>
          <w:left w:w="120" w:type="dxa"/>
          <w:right w:w="120" w:type="dxa"/>
        </w:tblCellMar>
        <w:tblLook w:val="0000"/>
      </w:tblPr>
      <w:tblGrid>
        <w:gridCol w:w="1440"/>
        <w:gridCol w:w="1800"/>
        <w:gridCol w:w="5490"/>
        <w:gridCol w:w="1080"/>
        <w:gridCol w:w="1440"/>
        <w:gridCol w:w="1710"/>
      </w:tblGrid>
      <w:tr w:rsidR="00D54AAF" w:rsidRPr="00E11E19" w:rsidTr="00264E05">
        <w:trPr>
          <w:cantSplit/>
          <w:tblHeader/>
        </w:trPr>
        <w:tc>
          <w:tcPr>
            <w:tcW w:w="144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ascii="Arial" w:hAnsi="Arial" w:cs="Arial"/>
                <w:sz w:val="22"/>
                <w:szCs w:val="22"/>
              </w:rPr>
            </w:pPr>
            <w:r w:rsidRPr="00E11E19">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jc w:val="center"/>
              <w:rPr>
                <w:rFonts w:ascii="Arial" w:hAnsi="Arial" w:cs="Arial"/>
                <w:sz w:val="22"/>
                <w:szCs w:val="22"/>
              </w:rPr>
            </w:pPr>
            <w:r w:rsidRPr="00E11E19">
              <w:rPr>
                <w:rFonts w:ascii="Arial" w:hAnsi="Arial" w:cs="Arial"/>
                <w:sz w:val="22"/>
                <w:szCs w:val="22"/>
              </w:rPr>
              <w:t>Issue Date</w:t>
            </w:r>
          </w:p>
        </w:tc>
        <w:tc>
          <w:tcPr>
            <w:tcW w:w="54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jc w:val="center"/>
              <w:rPr>
                <w:rFonts w:ascii="Arial" w:hAnsi="Arial" w:cs="Arial"/>
                <w:sz w:val="22"/>
                <w:szCs w:val="22"/>
              </w:rPr>
            </w:pPr>
            <w:r w:rsidRPr="00E11E19">
              <w:rPr>
                <w:rFonts w:ascii="Arial" w:hAnsi="Arial" w:cs="Arial"/>
                <w:sz w:val="22"/>
                <w:szCs w:val="22"/>
              </w:rPr>
              <w:t>Description of Change</w:t>
            </w: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ascii="Arial" w:hAnsi="Arial" w:cs="Arial"/>
                <w:sz w:val="22"/>
                <w:szCs w:val="22"/>
              </w:rPr>
            </w:pPr>
            <w:r w:rsidRPr="00E11E19">
              <w:rPr>
                <w:rFonts w:ascii="Arial" w:hAnsi="Arial" w:cs="Arial"/>
                <w:sz w:val="22"/>
                <w:szCs w:val="22"/>
              </w:rPr>
              <w:t>Training Needed</w:t>
            </w:r>
          </w:p>
        </w:tc>
        <w:tc>
          <w:tcPr>
            <w:tcW w:w="144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ascii="Arial" w:hAnsi="Arial" w:cs="Arial"/>
                <w:sz w:val="22"/>
                <w:szCs w:val="22"/>
              </w:rPr>
            </w:pPr>
            <w:r w:rsidRPr="00E11E19">
              <w:rPr>
                <w:rFonts w:ascii="Arial" w:hAnsi="Arial" w:cs="Arial"/>
                <w:sz w:val="22"/>
                <w:szCs w:val="22"/>
              </w:rPr>
              <w:t>Training Completion Date</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ascii="Arial" w:hAnsi="Arial" w:cs="Arial"/>
                <w:sz w:val="22"/>
                <w:szCs w:val="22"/>
              </w:rPr>
            </w:pPr>
            <w:r w:rsidRPr="00E11E19">
              <w:rPr>
                <w:rFonts w:ascii="Arial" w:hAnsi="Arial" w:cs="Arial"/>
                <w:sz w:val="22"/>
                <w:szCs w:val="22"/>
              </w:rPr>
              <w:t>Comment Resolution Accession Number</w:t>
            </w:r>
          </w:p>
        </w:tc>
      </w:tr>
      <w:tr w:rsidR="00D54AAF" w:rsidRPr="00E11E19" w:rsidTr="00264E05">
        <w:trPr>
          <w:cantSplit/>
        </w:trPr>
        <w:tc>
          <w:tcPr>
            <w:tcW w:w="144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jc w:val="center"/>
              <w:rPr>
                <w:rFonts w:ascii="Arial" w:hAnsi="Arial" w:cs="Arial"/>
                <w:sz w:val="22"/>
                <w:szCs w:val="22"/>
              </w:rPr>
            </w:pPr>
            <w:r w:rsidRPr="00E11E19">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Default="00264E05"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ins w:id="6" w:author="btc1" w:date="2011-11-09T13:53:00Z"/>
                <w:rFonts w:ascii="Arial" w:hAnsi="Arial" w:cs="Arial"/>
                <w:sz w:val="22"/>
                <w:szCs w:val="22"/>
              </w:rPr>
            </w:pPr>
            <w:ins w:id="7" w:author="btc1" w:date="2011-11-09T13:53:00Z">
              <w:r>
                <w:rPr>
                  <w:rFonts w:ascii="Arial" w:hAnsi="Arial" w:cs="Arial"/>
                  <w:sz w:val="22"/>
                  <w:szCs w:val="22"/>
                </w:rPr>
                <w:t>11/08/11</w:t>
              </w:r>
            </w:ins>
          </w:p>
          <w:p w:rsidR="00264E05" w:rsidRDefault="00264E05"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ins w:id="8" w:author="btc1" w:date="2011-11-09T13:53:00Z"/>
                <w:rFonts w:ascii="Arial" w:hAnsi="Arial" w:cs="Arial"/>
                <w:sz w:val="22"/>
                <w:szCs w:val="22"/>
              </w:rPr>
            </w:pPr>
            <w:ins w:id="9" w:author="btc1" w:date="2011-11-09T13:53:00Z">
              <w:r>
                <w:rPr>
                  <w:rFonts w:ascii="Arial" w:hAnsi="Arial" w:cs="Arial"/>
                  <w:sz w:val="22"/>
                  <w:szCs w:val="22"/>
                </w:rPr>
                <w:t>CN 11-031</w:t>
              </w:r>
            </w:ins>
          </w:p>
          <w:p w:rsidR="00264E05" w:rsidRPr="00E11E19" w:rsidRDefault="00264E05"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ascii="Arial" w:hAnsi="Arial" w:cs="Arial"/>
                <w:sz w:val="22"/>
                <w:szCs w:val="22"/>
              </w:rPr>
            </w:pPr>
            <w:ins w:id="10" w:author="btc1" w:date="2011-11-09T13:53:00Z">
              <w:r>
                <w:rPr>
                  <w:rFonts w:ascii="Arial" w:hAnsi="Arial" w:cs="Arial"/>
                  <w:sz w:val="22"/>
                  <w:szCs w:val="22"/>
                </w:rPr>
                <w:t>ML11213A002</w:t>
              </w:r>
            </w:ins>
          </w:p>
        </w:tc>
        <w:tc>
          <w:tcPr>
            <w:tcW w:w="54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5A18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sz w:val="22"/>
                <w:szCs w:val="22"/>
              </w:rPr>
            </w:pPr>
            <w:r w:rsidRPr="00E11E19">
              <w:rPr>
                <w:rFonts w:ascii="Arial" w:hAnsi="Arial" w:cs="Arial"/>
                <w:sz w:val="22"/>
                <w:szCs w:val="22"/>
              </w:rPr>
              <w:t>Revised to incorporate feedback associated with Feedback Form No. 71111.19-1549.</w:t>
            </w:r>
            <w:r w:rsidR="005A18D7" w:rsidRPr="00E11E19">
              <w:rPr>
                <w:rFonts w:ascii="Arial" w:hAnsi="Arial" w:cs="Arial"/>
                <w:sz w:val="22"/>
                <w:szCs w:val="22"/>
              </w:rPr>
              <w:t xml:space="preserve">  A four-year historical search for commitments was conducted and no commitments were found.</w:t>
            </w:r>
            <w:r w:rsidR="00FF4CF9" w:rsidRPr="00E11E19">
              <w:rPr>
                <w:rFonts w:ascii="Arial" w:hAnsi="Arial" w:cs="Arial"/>
                <w:sz w:val="22"/>
                <w:szCs w:val="22"/>
              </w:rPr>
              <w:t xml:space="preserve">  For historical reference, </w:t>
            </w:r>
            <w:r w:rsidR="00CD5FB8" w:rsidRPr="00E11E19">
              <w:rPr>
                <w:rFonts w:ascii="Arial" w:hAnsi="Arial" w:cs="Arial"/>
                <w:sz w:val="22"/>
                <w:szCs w:val="22"/>
              </w:rPr>
              <w:t>ADAMS Accession number</w:t>
            </w:r>
            <w:r w:rsidR="00FF4CF9" w:rsidRPr="00E11E19">
              <w:rPr>
                <w:rFonts w:ascii="Arial" w:hAnsi="Arial" w:cs="Arial"/>
                <w:sz w:val="22"/>
                <w:szCs w:val="22"/>
              </w:rPr>
              <w:t xml:space="preserve"> for previous revision is ML020400004.</w:t>
            </w:r>
          </w:p>
        </w:tc>
        <w:tc>
          <w:tcPr>
            <w:tcW w:w="10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jc w:val="center"/>
              <w:rPr>
                <w:rFonts w:ascii="Arial" w:hAnsi="Arial" w:cs="Arial"/>
                <w:sz w:val="22"/>
                <w:szCs w:val="22"/>
              </w:rPr>
            </w:pPr>
            <w:r w:rsidRPr="00E11E19">
              <w:rPr>
                <w:rFonts w:ascii="Arial" w:hAnsi="Arial" w:cs="Arial"/>
                <w:sz w:val="22"/>
                <w:szCs w:val="22"/>
              </w:rPr>
              <w:t>NO</w:t>
            </w:r>
          </w:p>
        </w:tc>
        <w:tc>
          <w:tcPr>
            <w:tcW w:w="144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693289"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jc w:val="center"/>
              <w:rPr>
                <w:rFonts w:ascii="Arial" w:hAnsi="Arial" w:cs="Arial"/>
                <w:sz w:val="22"/>
                <w:szCs w:val="22"/>
              </w:rPr>
            </w:pPr>
            <w:r w:rsidRPr="00E11E19">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86" w:type="dxa"/>
              <w:bottom w:w="86" w:type="dxa"/>
            </w:tcMar>
          </w:tcPr>
          <w:p w:rsidR="00693289" w:rsidRPr="00E11E19" w:rsidRDefault="00D54AAF" w:rsidP="00BA3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jc w:val="center"/>
              <w:rPr>
                <w:rFonts w:ascii="Arial" w:hAnsi="Arial" w:cs="Arial"/>
                <w:sz w:val="22"/>
                <w:szCs w:val="22"/>
              </w:rPr>
            </w:pPr>
            <w:r>
              <w:rPr>
                <w:rFonts w:ascii="Arial" w:hAnsi="Arial" w:cs="Arial"/>
                <w:sz w:val="22"/>
                <w:szCs w:val="22"/>
              </w:rPr>
              <w:t>ML112840030</w:t>
            </w:r>
          </w:p>
        </w:tc>
      </w:tr>
    </w:tbl>
    <w:p w:rsidR="00693289" w:rsidRPr="00E11E19" w:rsidRDefault="00693289" w:rsidP="006932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p>
    <w:sectPr w:rsidR="00693289" w:rsidRPr="00E11E19" w:rsidSect="00693289">
      <w:headerReference w:type="default" r:id="rId12"/>
      <w:footerReference w:type="default" r:id="rId13"/>
      <w:pgSz w:w="15840" w:h="12240" w:orient="landscape" w:code="1"/>
      <w:pgMar w:top="1440" w:right="1080" w:bottom="144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528" w:rsidRDefault="00A70528">
      <w:r>
        <w:separator/>
      </w:r>
    </w:p>
  </w:endnote>
  <w:endnote w:type="continuationSeparator" w:id="0">
    <w:p w:rsidR="00A70528" w:rsidRDefault="00A7052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C7C" w:rsidRDefault="00294C7C">
    <w:pPr>
      <w:tabs>
        <w:tab w:val="left" w:pos="0"/>
        <w:tab w:val="left" w:pos="245"/>
        <w:tab w:val="left" w:pos="835"/>
        <w:tab w:val="left" w:pos="1440"/>
        <w:tab w:val="left" w:pos="2045"/>
        <w:tab w:val="left" w:pos="2635"/>
        <w:tab w:val="left" w:pos="324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B7F" w:rsidRDefault="00CF4B7F" w:rsidP="002A2B8B">
    <w:pPr>
      <w:tabs>
        <w:tab w:val="center" w:pos="4680"/>
        <w:tab w:val="right" w:pos="9360"/>
      </w:tabs>
      <w:spacing w:line="0" w:lineRule="atLeast"/>
      <w:rPr>
        <w:rFonts w:ascii="Arial" w:hAnsi="Arial" w:cs="Arial"/>
      </w:rPr>
    </w:pPr>
  </w:p>
  <w:p w:rsidR="00294C7C" w:rsidRPr="002A2B8B" w:rsidRDefault="00294C7C" w:rsidP="002A2B8B">
    <w:pPr>
      <w:tabs>
        <w:tab w:val="center" w:pos="4680"/>
        <w:tab w:val="right" w:pos="9360"/>
      </w:tabs>
      <w:spacing w:line="0" w:lineRule="atLeast"/>
      <w:rPr>
        <w:rFonts w:ascii="Arial" w:hAnsi="Arial" w:cs="Arial"/>
      </w:rPr>
    </w:pPr>
    <w:r w:rsidRPr="002A2B8B">
      <w:rPr>
        <w:rFonts w:ascii="Arial" w:hAnsi="Arial" w:cs="Arial"/>
      </w:rPr>
      <w:t xml:space="preserve">Issue Date: </w:t>
    </w:r>
    <w:ins w:id="1" w:author="btc1" w:date="2011-11-09T13:50:00Z">
      <w:r w:rsidR="00264E05">
        <w:rPr>
          <w:rFonts w:ascii="Arial" w:hAnsi="Arial" w:cs="Arial"/>
        </w:rPr>
        <w:t xml:space="preserve"> </w:t>
      </w:r>
    </w:ins>
    <w:r w:rsidR="00264E05">
      <w:rPr>
        <w:rFonts w:ascii="Arial" w:hAnsi="Arial" w:cs="Arial"/>
      </w:rPr>
      <w:t>11/08/11</w:t>
    </w:r>
    <w:r w:rsidRPr="002A2B8B">
      <w:rPr>
        <w:rFonts w:ascii="Arial" w:hAnsi="Arial" w:cs="Arial"/>
      </w:rPr>
      <w:tab/>
    </w:r>
    <w:r w:rsidR="00251EBC" w:rsidRPr="002A2B8B">
      <w:rPr>
        <w:rStyle w:val="PageNumber"/>
        <w:rFonts w:ascii="Arial" w:hAnsi="Arial" w:cs="Arial"/>
      </w:rPr>
      <w:fldChar w:fldCharType="begin"/>
    </w:r>
    <w:r w:rsidRPr="002A2B8B">
      <w:rPr>
        <w:rStyle w:val="PageNumber"/>
        <w:rFonts w:ascii="Arial" w:hAnsi="Arial" w:cs="Arial"/>
      </w:rPr>
      <w:instrText xml:space="preserve"> PAGE </w:instrText>
    </w:r>
    <w:r w:rsidR="00251EBC" w:rsidRPr="002A2B8B">
      <w:rPr>
        <w:rStyle w:val="PageNumber"/>
        <w:rFonts w:ascii="Arial" w:hAnsi="Arial" w:cs="Arial"/>
      </w:rPr>
      <w:fldChar w:fldCharType="separate"/>
    </w:r>
    <w:r w:rsidR="003E33B4">
      <w:rPr>
        <w:rStyle w:val="PageNumber"/>
        <w:rFonts w:ascii="Arial" w:hAnsi="Arial" w:cs="Arial"/>
        <w:noProof/>
      </w:rPr>
      <w:t>- 3 -</w:t>
    </w:r>
    <w:r w:rsidR="00251EBC" w:rsidRPr="002A2B8B">
      <w:rPr>
        <w:rStyle w:val="PageNumber"/>
        <w:rFonts w:ascii="Arial" w:hAnsi="Arial" w:cs="Arial"/>
      </w:rPr>
      <w:fldChar w:fldCharType="end"/>
    </w:r>
    <w:r w:rsidRPr="002A2B8B">
      <w:rPr>
        <w:rFonts w:ascii="Arial" w:hAnsi="Arial" w:cs="Arial"/>
      </w:rPr>
      <w:tab/>
      <w:t>71111.19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289" w:rsidRPr="0058452C" w:rsidRDefault="00693289" w:rsidP="0058452C">
    <w:pPr>
      <w:tabs>
        <w:tab w:val="center" w:pos="4680"/>
        <w:tab w:val="right" w:pos="9360"/>
      </w:tabs>
      <w:spacing w:line="0" w:lineRule="atLeast"/>
      <w:rPr>
        <w:rFonts w:ascii="Arial" w:hAnsi="Arial" w:cs="Arial"/>
        <w:sz w:val="22"/>
        <w:szCs w:val="22"/>
      </w:rPr>
    </w:pPr>
    <w:r w:rsidRPr="0058452C">
      <w:rPr>
        <w:rFonts w:ascii="Arial" w:hAnsi="Arial" w:cs="Arial"/>
        <w:sz w:val="22"/>
        <w:szCs w:val="22"/>
      </w:rPr>
      <w:t xml:space="preserve">Issue Date: </w:t>
    </w:r>
    <w:r w:rsidR="00264E05">
      <w:rPr>
        <w:rFonts w:ascii="Arial" w:hAnsi="Arial" w:cs="Arial"/>
        <w:sz w:val="22"/>
        <w:szCs w:val="22"/>
      </w:rPr>
      <w:t xml:space="preserve"> 11/08/11</w:t>
    </w:r>
    <w:r w:rsidRPr="0058452C">
      <w:rPr>
        <w:rFonts w:ascii="Arial" w:hAnsi="Arial" w:cs="Arial"/>
        <w:sz w:val="22"/>
        <w:szCs w:val="22"/>
      </w:rPr>
      <w:tab/>
    </w:r>
    <w:r w:rsidR="00930142" w:rsidRPr="0058452C">
      <w:rPr>
        <w:rFonts w:ascii="Arial" w:hAnsi="Arial" w:cs="Arial"/>
        <w:sz w:val="22"/>
        <w:szCs w:val="22"/>
      </w:rPr>
      <w:t xml:space="preserve">          </w:t>
    </w:r>
    <w:proofErr w:type="spellStart"/>
    <w:r w:rsidRPr="0058452C">
      <w:rPr>
        <w:rStyle w:val="PageNumber"/>
        <w:rFonts w:ascii="Arial" w:hAnsi="Arial" w:cs="Arial"/>
        <w:sz w:val="22"/>
        <w:szCs w:val="22"/>
      </w:rPr>
      <w:t>Att</w:t>
    </w:r>
    <w:proofErr w:type="spellEnd"/>
    <w:r w:rsidRPr="0058452C">
      <w:rPr>
        <w:rStyle w:val="PageNumber"/>
        <w:rFonts w:ascii="Arial" w:hAnsi="Arial" w:cs="Arial"/>
        <w:sz w:val="22"/>
        <w:szCs w:val="22"/>
      </w:rPr>
      <w:t xml:space="preserve"> 1-1</w:t>
    </w:r>
    <w:r w:rsidRPr="0058452C">
      <w:rPr>
        <w:rFonts w:ascii="Arial" w:hAnsi="Arial" w:cs="Arial"/>
        <w:sz w:val="22"/>
        <w:szCs w:val="22"/>
      </w:rPr>
      <w:tab/>
      <w:t>71111.19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528" w:rsidRDefault="00A70528">
      <w:r>
        <w:separator/>
      </w:r>
    </w:p>
  </w:footnote>
  <w:footnote w:type="continuationSeparator" w:id="0">
    <w:p w:rsidR="00A70528" w:rsidRDefault="00A70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C7C" w:rsidRDefault="00294C7C">
    <w:pPr>
      <w:tabs>
        <w:tab w:val="left" w:pos="0"/>
        <w:tab w:val="left" w:pos="245"/>
        <w:tab w:val="left" w:pos="835"/>
        <w:tab w:val="left" w:pos="1440"/>
        <w:tab w:val="left" w:pos="2045"/>
        <w:tab w:val="left" w:pos="2635"/>
        <w:tab w:val="left" w:pos="324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C7C" w:rsidRDefault="00294C7C">
    <w:pPr>
      <w:tabs>
        <w:tab w:val="left" w:pos="0"/>
        <w:tab w:val="left" w:pos="245"/>
        <w:tab w:val="left" w:pos="835"/>
        <w:tab w:val="left" w:pos="1440"/>
        <w:tab w:val="left" w:pos="2045"/>
        <w:tab w:val="left" w:pos="2635"/>
        <w:tab w:val="left" w:pos="324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531" w:rsidRDefault="008F0531">
    <w:pPr>
      <w:tabs>
        <w:tab w:val="left" w:pos="0"/>
        <w:tab w:val="left" w:pos="245"/>
        <w:tab w:val="left" w:pos="835"/>
        <w:tab w:val="left" w:pos="1440"/>
        <w:tab w:val="left" w:pos="2045"/>
        <w:tab w:val="left" w:pos="2635"/>
        <w:tab w:val="left" w:pos="32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EB5D1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7A6547D1"/>
    <w:multiLevelType w:val="hybridMultilevel"/>
    <w:tmpl w:val="BF4696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trackRevisions/>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121"/>
  </w:hdrShapeDefaults>
  <w:footnotePr>
    <w:footnote w:id="-1"/>
    <w:footnote w:id="0"/>
  </w:footnotePr>
  <w:endnotePr>
    <w:endnote w:id="-1"/>
    <w:endnote w:id="0"/>
  </w:endnotePr>
  <w:compat/>
  <w:rsids>
    <w:rsidRoot w:val="00DB3D70"/>
    <w:rsid w:val="000119C1"/>
    <w:rsid w:val="0002416A"/>
    <w:rsid w:val="00062FFA"/>
    <w:rsid w:val="000D6C51"/>
    <w:rsid w:val="000E4CB1"/>
    <w:rsid w:val="00112A7B"/>
    <w:rsid w:val="001A5ECA"/>
    <w:rsid w:val="001D37C6"/>
    <w:rsid w:val="00241986"/>
    <w:rsid w:val="00251EBC"/>
    <w:rsid w:val="00264E05"/>
    <w:rsid w:val="00271F05"/>
    <w:rsid w:val="00294C7C"/>
    <w:rsid w:val="002A2B8B"/>
    <w:rsid w:val="00306F05"/>
    <w:rsid w:val="003E33B4"/>
    <w:rsid w:val="00430A1B"/>
    <w:rsid w:val="00447820"/>
    <w:rsid w:val="00552918"/>
    <w:rsid w:val="00561372"/>
    <w:rsid w:val="0058452C"/>
    <w:rsid w:val="005A18D7"/>
    <w:rsid w:val="00693289"/>
    <w:rsid w:val="006A4736"/>
    <w:rsid w:val="00773D82"/>
    <w:rsid w:val="007A5A8A"/>
    <w:rsid w:val="007C09C7"/>
    <w:rsid w:val="007E2B76"/>
    <w:rsid w:val="007F4B5E"/>
    <w:rsid w:val="00800C2E"/>
    <w:rsid w:val="0082545C"/>
    <w:rsid w:val="0086073B"/>
    <w:rsid w:val="008645C6"/>
    <w:rsid w:val="008649F1"/>
    <w:rsid w:val="00880567"/>
    <w:rsid w:val="008F0531"/>
    <w:rsid w:val="008F5C62"/>
    <w:rsid w:val="009216ED"/>
    <w:rsid w:val="00930142"/>
    <w:rsid w:val="0096212E"/>
    <w:rsid w:val="00965C8E"/>
    <w:rsid w:val="00984CD3"/>
    <w:rsid w:val="009A3243"/>
    <w:rsid w:val="009F50E0"/>
    <w:rsid w:val="00A33D20"/>
    <w:rsid w:val="00A70528"/>
    <w:rsid w:val="00AE09AB"/>
    <w:rsid w:val="00BA3264"/>
    <w:rsid w:val="00BB3340"/>
    <w:rsid w:val="00C52486"/>
    <w:rsid w:val="00CB2382"/>
    <w:rsid w:val="00CD5FB8"/>
    <w:rsid w:val="00CF351F"/>
    <w:rsid w:val="00CF4B7F"/>
    <w:rsid w:val="00D240BB"/>
    <w:rsid w:val="00D54AAF"/>
    <w:rsid w:val="00DA574E"/>
    <w:rsid w:val="00DB3D70"/>
    <w:rsid w:val="00E11E19"/>
    <w:rsid w:val="00E213BB"/>
    <w:rsid w:val="00E272F4"/>
    <w:rsid w:val="00E46F92"/>
    <w:rsid w:val="00E64C11"/>
    <w:rsid w:val="00E804A7"/>
    <w:rsid w:val="00EC1E79"/>
    <w:rsid w:val="00F22FFE"/>
    <w:rsid w:val="00F25E21"/>
    <w:rsid w:val="00F4080A"/>
    <w:rsid w:val="00F6221A"/>
    <w:rsid w:val="00F71927"/>
    <w:rsid w:val="00FA2457"/>
    <w:rsid w:val="00FE093D"/>
    <w:rsid w:val="00FF4C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1EB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2B8B"/>
    <w:pPr>
      <w:tabs>
        <w:tab w:val="center" w:pos="4320"/>
        <w:tab w:val="right" w:pos="8640"/>
      </w:tabs>
    </w:pPr>
  </w:style>
  <w:style w:type="paragraph" w:customStyle="1" w:styleId="Level1">
    <w:name w:val="Level 1"/>
    <w:basedOn w:val="Normal"/>
    <w:rsid w:val="00251EBC"/>
    <w:pPr>
      <w:widowControl w:val="0"/>
    </w:pPr>
  </w:style>
  <w:style w:type="paragraph" w:customStyle="1" w:styleId="Level2">
    <w:name w:val="Level 2"/>
    <w:basedOn w:val="Normal"/>
    <w:rsid w:val="00251EBC"/>
    <w:pPr>
      <w:widowControl w:val="0"/>
    </w:pPr>
  </w:style>
  <w:style w:type="paragraph" w:customStyle="1" w:styleId="Level3">
    <w:name w:val="Level 3"/>
    <w:basedOn w:val="Normal"/>
    <w:rsid w:val="00251EBC"/>
    <w:pPr>
      <w:widowControl w:val="0"/>
    </w:pPr>
  </w:style>
  <w:style w:type="paragraph" w:customStyle="1" w:styleId="Level4">
    <w:name w:val="Level 4"/>
    <w:basedOn w:val="Normal"/>
    <w:rsid w:val="00251EBC"/>
    <w:pPr>
      <w:widowControl w:val="0"/>
    </w:pPr>
  </w:style>
  <w:style w:type="paragraph" w:customStyle="1" w:styleId="Level5">
    <w:name w:val="Level 5"/>
    <w:basedOn w:val="Normal"/>
    <w:rsid w:val="00251EBC"/>
    <w:pPr>
      <w:widowControl w:val="0"/>
    </w:pPr>
  </w:style>
  <w:style w:type="paragraph" w:customStyle="1" w:styleId="Level6">
    <w:name w:val="Level 6"/>
    <w:basedOn w:val="Normal"/>
    <w:rsid w:val="00251EBC"/>
    <w:pPr>
      <w:widowControl w:val="0"/>
    </w:pPr>
  </w:style>
  <w:style w:type="paragraph" w:customStyle="1" w:styleId="Level7">
    <w:name w:val="Level 7"/>
    <w:basedOn w:val="Normal"/>
    <w:rsid w:val="00251EBC"/>
    <w:pPr>
      <w:widowControl w:val="0"/>
    </w:pPr>
  </w:style>
  <w:style w:type="paragraph" w:customStyle="1" w:styleId="Level8">
    <w:name w:val="Level 8"/>
    <w:basedOn w:val="Normal"/>
    <w:rsid w:val="00251EBC"/>
    <w:pPr>
      <w:widowControl w:val="0"/>
    </w:pPr>
  </w:style>
  <w:style w:type="paragraph" w:customStyle="1" w:styleId="Level9">
    <w:name w:val="Level 9"/>
    <w:basedOn w:val="Normal"/>
    <w:rsid w:val="00251EBC"/>
    <w:pPr>
      <w:widowControl w:val="0"/>
    </w:pPr>
    <w:rPr>
      <w:b/>
    </w:rPr>
  </w:style>
  <w:style w:type="paragraph" w:customStyle="1" w:styleId="Quick">
    <w:name w:val="Quick в"/>
    <w:basedOn w:val="Normal"/>
    <w:rsid w:val="00251EBC"/>
    <w:pPr>
      <w:widowControl w:val="0"/>
    </w:pPr>
  </w:style>
  <w:style w:type="paragraph" w:styleId="Footer">
    <w:name w:val="footer"/>
    <w:basedOn w:val="Normal"/>
    <w:rsid w:val="002A2B8B"/>
    <w:pPr>
      <w:tabs>
        <w:tab w:val="center" w:pos="4320"/>
        <w:tab w:val="right" w:pos="8640"/>
      </w:tabs>
    </w:pPr>
  </w:style>
  <w:style w:type="character" w:styleId="PageNumber">
    <w:name w:val="page number"/>
    <w:basedOn w:val="DefaultParagraphFont"/>
    <w:rsid w:val="002A2B8B"/>
  </w:style>
  <w:style w:type="paragraph" w:styleId="BalloonText">
    <w:name w:val="Balloon Text"/>
    <w:basedOn w:val="Normal"/>
    <w:link w:val="BalloonTextChar"/>
    <w:rsid w:val="00271F05"/>
    <w:rPr>
      <w:rFonts w:ascii="Tahoma" w:hAnsi="Tahoma" w:cs="Tahoma"/>
      <w:sz w:val="16"/>
      <w:szCs w:val="16"/>
    </w:rPr>
  </w:style>
  <w:style w:type="character" w:customStyle="1" w:styleId="BalloonTextChar">
    <w:name w:val="Balloon Text Char"/>
    <w:basedOn w:val="DefaultParagraphFont"/>
    <w:link w:val="BalloonText"/>
    <w:rsid w:val="00271F05"/>
    <w:rPr>
      <w:rFonts w:ascii="Tahoma" w:hAnsi="Tahoma" w:cs="Tahoma"/>
      <w:sz w:val="16"/>
      <w:szCs w:val="16"/>
    </w:rPr>
  </w:style>
  <w:style w:type="paragraph" w:styleId="ListParagraph">
    <w:name w:val="List Paragraph"/>
    <w:basedOn w:val="Normal"/>
    <w:uiPriority w:val="34"/>
    <w:qFormat/>
    <w:rsid w:val="009F50E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9148B-973A-4AB7-B022-32FE026D7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axl4</dc:creator>
  <cp:keywords/>
  <cp:lastModifiedBy>btc1</cp:lastModifiedBy>
  <cp:revision>2</cp:revision>
  <cp:lastPrinted>2011-10-04T17:43:00Z</cp:lastPrinted>
  <dcterms:created xsi:type="dcterms:W3CDTF">2011-11-11T00:33:00Z</dcterms:created>
  <dcterms:modified xsi:type="dcterms:W3CDTF">2011-11-11T00:33:00Z</dcterms:modified>
</cp:coreProperties>
</file>