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C6" w:rsidRPr="000567F9" w:rsidRDefault="007105C6" w:rsidP="007105C6">
      <w:pPr>
        <w:tabs>
          <w:tab w:val="right" w:pos="9360"/>
        </w:tabs>
        <w:autoSpaceDE w:val="0"/>
        <w:autoSpaceDN w:val="0"/>
        <w:adjustRightInd w:val="0"/>
        <w:spacing w:before="84" w:after="0" w:line="240" w:lineRule="auto"/>
        <w:ind w:firstLine="2536"/>
        <w:jc w:val="center"/>
        <w:rPr>
          <w:rFonts w:ascii="Arial" w:eastAsia="Times New Roman" w:hAnsi="Arial" w:cs="Arial"/>
          <w:b/>
          <w:sz w:val="38"/>
          <w:szCs w:val="38"/>
        </w:rPr>
      </w:pPr>
      <w:r w:rsidRPr="000567F9">
        <w:rPr>
          <w:rFonts w:ascii="Arial" w:eastAsia="Times New Roman" w:hAnsi="Arial" w:cs="Arial"/>
          <w:b/>
          <w:sz w:val="38"/>
          <w:szCs w:val="38"/>
        </w:rPr>
        <w:t>NRC INSPECTION MANUAL</w:t>
      </w:r>
      <w:r w:rsidRPr="000567F9">
        <w:rPr>
          <w:rFonts w:ascii="Arial" w:eastAsia="Times New Roman" w:hAnsi="Arial" w:cs="Arial"/>
          <w:b/>
          <w:sz w:val="38"/>
          <w:szCs w:val="38"/>
        </w:rPr>
        <w:tab/>
      </w:r>
      <w:r w:rsidRPr="000567F9">
        <w:rPr>
          <w:rFonts w:ascii="Arial" w:eastAsia="Times New Roman" w:hAnsi="Arial" w:cs="Arial"/>
          <w:sz w:val="20"/>
          <w:szCs w:val="20"/>
        </w:rPr>
        <w:t>IRIB</w:t>
      </w:r>
    </w:p>
    <w:p w:rsidR="007105C6" w:rsidRPr="000567F9" w:rsidRDefault="007105C6" w:rsidP="007105C6">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before="84" w:after="0" w:line="240" w:lineRule="auto"/>
        <w:jc w:val="center"/>
        <w:rPr>
          <w:rFonts w:ascii="Arial" w:eastAsia="Times New Roman" w:hAnsi="Arial" w:cs="Arial"/>
          <w:sz w:val="24"/>
          <w:szCs w:val="24"/>
        </w:rPr>
      </w:pPr>
      <w:r w:rsidRPr="000567F9">
        <w:rPr>
          <w:rFonts w:ascii="Arial" w:eastAsia="Times New Roman" w:hAnsi="Arial" w:cs="Arial"/>
          <w:sz w:val="24"/>
          <w:szCs w:val="24"/>
        </w:rPr>
        <w:t>TEMPORARY INSTRUCTION 2515/183</w:t>
      </w:r>
    </w:p>
    <w:p w:rsidR="007105C6" w:rsidRPr="000567F9" w:rsidRDefault="00823517" w:rsidP="007105C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 w:lineRule="exact"/>
        <w:jc w:val="both"/>
        <w:rPr>
          <w:rFonts w:ascii="Arial" w:eastAsia="Times New Roman" w:hAnsi="Arial" w:cs="Arial"/>
          <w:sz w:val="24"/>
          <w:szCs w:val="24"/>
        </w:rPr>
      </w:pPr>
      <w:r w:rsidRPr="00823517">
        <w:rPr>
          <w:rFonts w:ascii="Letter Gothic 12cpi" w:eastAsia="Times New Roman" w:hAnsi="Letter Gothic 12cpi" w:cs="Times New Roman"/>
          <w:noProof/>
          <w:sz w:val="20"/>
          <w:szCs w:val="20"/>
        </w:rPr>
        <w:pict>
          <v:line id="Straight Connector 1" o:spid="_x0000_s1026" style="position:absolute;left:0;text-align:left;z-index:251660288;visibility:visible;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caps/>
          <w:sz w:val="24"/>
          <w:szCs w:val="24"/>
        </w:rPr>
      </w:pPr>
    </w:p>
    <w:p w:rsidR="007105C6" w:rsidRDefault="007105C6" w:rsidP="007105C6">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caps/>
          <w:sz w:val="24"/>
          <w:szCs w:val="24"/>
        </w:rPr>
      </w:pPr>
      <w:r>
        <w:rPr>
          <w:rFonts w:ascii="Arial" w:eastAsia="Times New Roman" w:hAnsi="Arial" w:cs="Arial"/>
          <w:caps/>
          <w:sz w:val="24"/>
          <w:szCs w:val="24"/>
        </w:rPr>
        <w:t>Follow</w:t>
      </w:r>
      <w:r w:rsidRPr="000567F9">
        <w:rPr>
          <w:rFonts w:ascii="Arial" w:eastAsia="Times New Roman" w:hAnsi="Arial" w:cs="Arial"/>
          <w:caps/>
          <w:sz w:val="24"/>
          <w:szCs w:val="24"/>
        </w:rPr>
        <w:t xml:space="preserve">up to </w:t>
      </w:r>
      <w:r>
        <w:rPr>
          <w:rFonts w:ascii="Arial" w:eastAsia="Times New Roman" w:hAnsi="Arial" w:cs="Arial"/>
          <w:caps/>
          <w:sz w:val="24"/>
          <w:szCs w:val="24"/>
        </w:rPr>
        <w:t xml:space="preserve">THE </w:t>
      </w:r>
      <w:r w:rsidRPr="000567F9">
        <w:rPr>
          <w:rFonts w:ascii="Arial" w:eastAsia="Times New Roman" w:hAnsi="Arial" w:cs="Arial"/>
          <w:caps/>
          <w:sz w:val="24"/>
          <w:szCs w:val="24"/>
        </w:rPr>
        <w:t xml:space="preserve">Fukushima Daiichi NuCLear Station </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sidRPr="000567F9">
        <w:rPr>
          <w:rFonts w:ascii="Arial" w:eastAsia="Times New Roman" w:hAnsi="Arial" w:cs="Arial"/>
          <w:caps/>
          <w:sz w:val="24"/>
          <w:szCs w:val="24"/>
        </w:rPr>
        <w:t>Fuel Damage Event</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b/>
          <w:sz w:val="24"/>
          <w:szCs w:val="24"/>
        </w:rPr>
      </w:pP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b/>
          <w:sz w:val="24"/>
          <w:szCs w:val="24"/>
        </w:rPr>
      </w:pPr>
    </w:p>
    <w:p w:rsidR="007105C6" w:rsidRPr="00CA1B57" w:rsidRDefault="007105C6" w:rsidP="007105C6">
      <w:pPr>
        <w:tabs>
          <w:tab w:val="left" w:pos="274"/>
          <w:tab w:val="left" w:pos="806"/>
          <w:tab w:val="left" w:pos="1440"/>
          <w:tab w:val="left" w:pos="2074"/>
        </w:tabs>
        <w:spacing w:after="0" w:line="240" w:lineRule="exact"/>
        <w:ind w:left="2160" w:hanging="2160"/>
        <w:jc w:val="both"/>
        <w:rPr>
          <w:rFonts w:ascii="Arial" w:hAnsi="Arial" w:cs="Arial"/>
          <w:b/>
          <w:sz w:val="24"/>
          <w:szCs w:val="24"/>
        </w:rPr>
      </w:pPr>
      <w:r w:rsidRPr="00CA1B57">
        <w:rPr>
          <w:rFonts w:ascii="Arial" w:hAnsi="Arial" w:cs="Arial"/>
          <w:sz w:val="24"/>
          <w:szCs w:val="24"/>
        </w:rPr>
        <w:t xml:space="preserve">CORNERSTONE: </w:t>
      </w:r>
      <w:r w:rsidRPr="00CA1B57">
        <w:rPr>
          <w:rFonts w:ascii="Arial" w:hAnsi="Arial" w:cs="Arial"/>
          <w:sz w:val="24"/>
          <w:szCs w:val="24"/>
        </w:rPr>
        <w:tab/>
      </w:r>
      <w:r>
        <w:rPr>
          <w:rFonts w:ascii="Arial" w:hAnsi="Arial" w:cs="Arial"/>
          <w:sz w:val="24"/>
          <w:szCs w:val="24"/>
        </w:rPr>
        <w:t>INITIATING EVENTS AND</w:t>
      </w:r>
      <w:r w:rsidRPr="00CA1B57">
        <w:rPr>
          <w:rFonts w:ascii="Arial" w:hAnsi="Arial" w:cs="Arial"/>
          <w:sz w:val="24"/>
          <w:szCs w:val="24"/>
        </w:rPr>
        <w:t xml:space="preserve"> MITIGATING </w:t>
      </w:r>
      <w:r>
        <w:rPr>
          <w:rFonts w:ascii="Arial" w:hAnsi="Arial" w:cs="Arial"/>
          <w:sz w:val="24"/>
          <w:szCs w:val="24"/>
        </w:rPr>
        <w:t>SYSTEMS</w:t>
      </w:r>
    </w:p>
    <w:p w:rsidR="007105C6"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line="240" w:lineRule="auto"/>
        <w:ind w:left="2160" w:hanging="2160"/>
        <w:jc w:val="both"/>
        <w:rPr>
          <w:rFonts w:ascii="Arial" w:hAnsi="Arial" w:cs="Arial"/>
          <w:sz w:val="24"/>
          <w:szCs w:val="24"/>
        </w:rPr>
      </w:pPr>
      <w:r w:rsidRPr="00CA1B57">
        <w:rPr>
          <w:rFonts w:ascii="Arial" w:hAnsi="Arial" w:cs="Arial"/>
          <w:sz w:val="24"/>
          <w:szCs w:val="24"/>
        </w:rPr>
        <w:t xml:space="preserve">APPLICABILITY: </w:t>
      </w:r>
      <w:r w:rsidRPr="00CA1B57">
        <w:rPr>
          <w:rFonts w:ascii="Arial" w:hAnsi="Arial" w:cs="Arial"/>
          <w:sz w:val="24"/>
          <w:szCs w:val="24"/>
        </w:rPr>
        <w:tab/>
      </w:r>
      <w:r w:rsidRPr="00DB6247">
        <w:rPr>
          <w:rFonts w:ascii="Arial" w:eastAsia="Times New Roman" w:hAnsi="Arial" w:cs="Arial"/>
          <w:sz w:val="24"/>
          <w:szCs w:val="24"/>
        </w:rPr>
        <w:t>This Temporary Instruction (TI) applies to all holders of operating licenses for nuclear power reactors, except plants which have permanently ceased operations.</w:t>
      </w:r>
      <w:r w:rsidRPr="00CA1B57">
        <w:rPr>
          <w:rFonts w:ascii="Arial" w:hAnsi="Arial" w:cs="Arial"/>
          <w:sz w:val="24"/>
          <w:szCs w:val="24"/>
        </w:rPr>
        <w:t xml:space="preserve">  </w:t>
      </w:r>
    </w:p>
    <w:p w:rsidR="007105C6" w:rsidRDefault="007105C6" w:rsidP="007105C6">
      <w:pPr>
        <w:tabs>
          <w:tab w:val="left" w:pos="274"/>
          <w:tab w:val="left" w:pos="806"/>
          <w:tab w:val="left" w:pos="1440"/>
          <w:tab w:val="left" w:pos="2074"/>
        </w:tabs>
        <w:spacing w:after="0"/>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r w:rsidRPr="00CA1B57">
        <w:rPr>
          <w:rFonts w:ascii="Arial" w:hAnsi="Arial" w:cs="Arial"/>
          <w:sz w:val="24"/>
          <w:szCs w:val="24"/>
        </w:rPr>
        <w:t>2515/</w:t>
      </w:r>
      <w:r>
        <w:rPr>
          <w:rFonts w:ascii="Arial" w:hAnsi="Arial" w:cs="Arial"/>
          <w:sz w:val="24"/>
          <w:szCs w:val="24"/>
        </w:rPr>
        <w:t>183</w:t>
      </w:r>
      <w:r w:rsidRPr="00CA1B57">
        <w:rPr>
          <w:rFonts w:ascii="Arial" w:hAnsi="Arial" w:cs="Arial"/>
          <w:sz w:val="24"/>
          <w:szCs w:val="24"/>
        </w:rPr>
        <w:t>-01</w:t>
      </w:r>
      <w:r w:rsidRPr="00CA1B57">
        <w:rPr>
          <w:rFonts w:ascii="Arial" w:hAnsi="Arial" w:cs="Arial"/>
          <w:sz w:val="24"/>
          <w:szCs w:val="24"/>
        </w:rPr>
        <w:tab/>
      </w:r>
      <w:r w:rsidRPr="00CA1B57">
        <w:rPr>
          <w:rFonts w:ascii="Arial" w:hAnsi="Arial" w:cs="Arial"/>
          <w:sz w:val="24"/>
          <w:szCs w:val="24"/>
        </w:rPr>
        <w:tab/>
        <w:t>OBJECTIVES</w:t>
      </w:r>
    </w:p>
    <w:p w:rsidR="007105C6" w:rsidRPr="00CA1B57"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p>
    <w:p w:rsidR="007105C6" w:rsidRPr="00884BC5" w:rsidRDefault="007105C6" w:rsidP="007105C6">
      <w:pPr>
        <w:pStyle w:val="Default"/>
        <w:jc w:val="both"/>
        <w:rPr>
          <w:rFonts w:ascii="Arial" w:hAnsi="Arial" w:cs="Arial"/>
          <w:color w:val="auto"/>
        </w:rPr>
      </w:pPr>
      <w:r w:rsidRPr="00884BC5">
        <w:rPr>
          <w:rFonts w:ascii="Arial" w:hAnsi="Arial" w:cs="Arial"/>
          <w:color w:val="auto"/>
        </w:rPr>
        <w:t xml:space="preserve">The objective of this TI is to independently assess the adequacy of actions taken by licensees in response to the Fukushima Daiichi nuclear station fuel damage event.  The inspection results from this TI will be used to evaluate </w:t>
      </w:r>
      <w:r>
        <w:rPr>
          <w:rFonts w:ascii="Arial" w:hAnsi="Arial" w:cs="Arial"/>
          <w:color w:val="auto"/>
        </w:rPr>
        <w:t xml:space="preserve">the </w:t>
      </w:r>
      <w:r w:rsidRPr="00884BC5">
        <w:rPr>
          <w:rFonts w:ascii="Arial" w:hAnsi="Arial" w:cs="Arial"/>
          <w:color w:val="auto"/>
        </w:rPr>
        <w:t>industry’s readiness for a similar event and to aid in determining whether additional regulatory actions by the U.S. Nuclear Regulatory Commission are warranted.</w:t>
      </w:r>
      <w:r>
        <w:rPr>
          <w:rFonts w:ascii="Arial" w:hAnsi="Arial" w:cs="Arial"/>
          <w:color w:val="auto"/>
        </w:rPr>
        <w:t xml:space="preserve">  Therefore, the intent of this TI is to be a high-level look at the industry’s preparedness for events that may exceed the design basis for a plant.  If necessary, a more specific followup inspection will be performed at a later date.</w:t>
      </w:r>
    </w:p>
    <w:p w:rsidR="007105C6"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after="0" w:line="240" w:lineRule="exact"/>
        <w:jc w:val="both"/>
        <w:rPr>
          <w:rFonts w:ascii="Arial" w:hAnsi="Arial" w:cs="Arial"/>
          <w:sz w:val="24"/>
          <w:szCs w:val="24"/>
        </w:rPr>
      </w:pPr>
      <w:r w:rsidRPr="00CA1B57">
        <w:rPr>
          <w:rFonts w:ascii="Arial" w:hAnsi="Arial" w:cs="Arial"/>
          <w:sz w:val="24"/>
          <w:szCs w:val="24"/>
        </w:rPr>
        <w:t>2515/</w:t>
      </w:r>
      <w:r>
        <w:rPr>
          <w:rFonts w:ascii="Arial" w:hAnsi="Arial" w:cs="Arial"/>
          <w:sz w:val="24"/>
          <w:szCs w:val="24"/>
        </w:rPr>
        <w:t>183</w:t>
      </w:r>
      <w:r w:rsidRPr="00CA1B57">
        <w:rPr>
          <w:rFonts w:ascii="Arial" w:hAnsi="Arial" w:cs="Arial"/>
          <w:sz w:val="24"/>
          <w:szCs w:val="24"/>
        </w:rPr>
        <w:t>-02</w:t>
      </w:r>
      <w:r w:rsidRPr="00CA1B57">
        <w:rPr>
          <w:rFonts w:ascii="Arial" w:hAnsi="Arial" w:cs="Arial"/>
          <w:sz w:val="24"/>
          <w:szCs w:val="24"/>
        </w:rPr>
        <w:tab/>
      </w:r>
      <w:r w:rsidRPr="00CA1B57">
        <w:rPr>
          <w:rFonts w:ascii="Arial" w:hAnsi="Arial" w:cs="Arial"/>
          <w:sz w:val="24"/>
          <w:szCs w:val="24"/>
        </w:rPr>
        <w:tab/>
        <w:t>BACKGROUND</w:t>
      </w:r>
    </w:p>
    <w:p w:rsidR="007105C6" w:rsidRPr="00CA1B57" w:rsidRDefault="007105C6" w:rsidP="007105C6">
      <w:pPr>
        <w:pStyle w:val="Default"/>
        <w:rPr>
          <w:rFonts w:ascii="Arial" w:hAnsi="Arial" w:cs="Arial"/>
        </w:rPr>
      </w:pPr>
    </w:p>
    <w:p w:rsidR="007105C6" w:rsidRPr="00FF3EAB" w:rsidRDefault="007105C6" w:rsidP="007105C6">
      <w:pPr>
        <w:pStyle w:val="Default"/>
        <w:jc w:val="both"/>
        <w:rPr>
          <w:rFonts w:ascii="Arial" w:hAnsi="Arial" w:cs="Arial"/>
          <w:color w:val="auto"/>
        </w:rPr>
      </w:pPr>
      <w:r w:rsidRPr="00FF3EAB">
        <w:rPr>
          <w:rFonts w:ascii="Arial" w:hAnsi="Arial" w:cs="Arial"/>
          <w:color w:val="auto"/>
        </w:rPr>
        <w:t>On March 11, 2011, the Tohoku-Taiheiyou-Oki Earthquake occurred near the east coast of</w:t>
      </w:r>
      <w:r>
        <w:rPr>
          <w:rFonts w:ascii="Arial" w:hAnsi="Arial" w:cs="Arial"/>
          <w:color w:val="auto"/>
        </w:rPr>
        <w:t xml:space="preserve"> </w:t>
      </w:r>
      <w:r w:rsidRPr="00FF3EAB">
        <w:rPr>
          <w:rFonts w:ascii="Arial" w:hAnsi="Arial" w:cs="Arial"/>
          <w:color w:val="auto"/>
        </w:rPr>
        <w:t>Honshu, Japan. This magnitude 9.0 earthquake and the subsequent tsunami caused significant</w:t>
      </w:r>
      <w:r>
        <w:rPr>
          <w:rFonts w:ascii="Arial" w:hAnsi="Arial" w:cs="Arial"/>
          <w:color w:val="auto"/>
        </w:rPr>
        <w:t xml:space="preserve"> </w:t>
      </w:r>
      <w:r w:rsidRPr="00FF3EAB">
        <w:rPr>
          <w:rFonts w:ascii="Arial" w:hAnsi="Arial" w:cs="Arial"/>
          <w:color w:val="auto"/>
        </w:rPr>
        <w:t>damage to at least four of the six units of the Fukushima Daiichi nuclear power station as the</w:t>
      </w:r>
      <w:r>
        <w:rPr>
          <w:rFonts w:ascii="Arial" w:hAnsi="Arial" w:cs="Arial"/>
          <w:color w:val="auto"/>
        </w:rPr>
        <w:t xml:space="preserve"> </w:t>
      </w:r>
      <w:r w:rsidRPr="00FF3EAB">
        <w:rPr>
          <w:rFonts w:ascii="Arial" w:hAnsi="Arial" w:cs="Arial"/>
          <w:color w:val="auto"/>
        </w:rPr>
        <w:t>result of a sustained loss of both the offsite and on-site power systems. Efforts to restore power</w:t>
      </w:r>
      <w:r>
        <w:rPr>
          <w:rFonts w:ascii="Arial" w:hAnsi="Arial" w:cs="Arial"/>
          <w:color w:val="auto"/>
        </w:rPr>
        <w:t xml:space="preserve"> </w:t>
      </w:r>
      <w:r w:rsidRPr="00FF3EAB">
        <w:rPr>
          <w:rFonts w:ascii="Arial" w:hAnsi="Arial" w:cs="Arial"/>
          <w:color w:val="auto"/>
        </w:rPr>
        <w:t>to emergency equipment have been hampered or impeded by damage to the surrounding areas</w:t>
      </w:r>
      <w:r>
        <w:rPr>
          <w:rFonts w:ascii="Arial" w:hAnsi="Arial" w:cs="Arial"/>
          <w:color w:val="auto"/>
        </w:rPr>
        <w:t xml:space="preserve"> </w:t>
      </w:r>
      <w:r w:rsidRPr="00FF3EAB">
        <w:rPr>
          <w:rFonts w:ascii="Arial" w:hAnsi="Arial" w:cs="Arial"/>
          <w:color w:val="auto"/>
        </w:rPr>
        <w:t>due to the tsunami and earthquake.</w:t>
      </w:r>
      <w:r>
        <w:rPr>
          <w:rFonts w:ascii="Arial" w:hAnsi="Arial" w:cs="Arial"/>
          <w:color w:val="auto"/>
        </w:rPr>
        <w:t xml:space="preserve">  The following background information is current as of March 18, 2011.</w:t>
      </w:r>
    </w:p>
    <w:p w:rsidR="007105C6" w:rsidRDefault="007105C6" w:rsidP="007105C6">
      <w:pPr>
        <w:pStyle w:val="Default"/>
        <w:jc w:val="both"/>
        <w:rPr>
          <w:rFonts w:ascii="Arial" w:hAnsi="Arial" w:cs="Arial"/>
          <w:color w:val="auto"/>
        </w:rPr>
      </w:pPr>
    </w:p>
    <w:p w:rsidR="007105C6" w:rsidRPr="00FF3EAB" w:rsidRDefault="007105C6" w:rsidP="007105C6">
      <w:pPr>
        <w:pStyle w:val="Default"/>
        <w:jc w:val="both"/>
        <w:rPr>
          <w:rFonts w:ascii="Arial" w:hAnsi="Arial" w:cs="Arial"/>
          <w:color w:val="auto"/>
        </w:rPr>
      </w:pPr>
      <w:r w:rsidRPr="00FF3EAB">
        <w:rPr>
          <w:rFonts w:ascii="Arial" w:hAnsi="Arial" w:cs="Arial"/>
          <w:color w:val="auto"/>
        </w:rPr>
        <w:t>Units 1 through 3, which had been operating at the time of the earthquake, scrammed</w:t>
      </w:r>
    </w:p>
    <w:p w:rsidR="007105C6" w:rsidRDefault="007105C6" w:rsidP="007105C6">
      <w:pPr>
        <w:pStyle w:val="Default"/>
        <w:jc w:val="both"/>
        <w:rPr>
          <w:rFonts w:ascii="Arial" w:hAnsi="Arial" w:cs="Arial"/>
          <w:color w:val="auto"/>
        </w:rPr>
      </w:pPr>
      <w:r w:rsidRPr="00FF3EAB">
        <w:rPr>
          <w:rFonts w:ascii="Arial" w:hAnsi="Arial" w:cs="Arial"/>
          <w:color w:val="auto"/>
        </w:rPr>
        <w:t>automatically, inserting their neutron absorbing control rods to ensure immediate shutdown of</w:t>
      </w:r>
      <w:r>
        <w:rPr>
          <w:rFonts w:ascii="Arial" w:hAnsi="Arial" w:cs="Arial"/>
          <w:color w:val="auto"/>
        </w:rPr>
        <w:t xml:space="preserve"> </w:t>
      </w:r>
      <w:r w:rsidRPr="00FF3EAB">
        <w:rPr>
          <w:rFonts w:ascii="Arial" w:hAnsi="Arial" w:cs="Arial"/>
          <w:color w:val="auto"/>
        </w:rPr>
        <w:t>the fission process. Following the loss of electric power to normal and emergency core cooling</w:t>
      </w:r>
      <w:r>
        <w:rPr>
          <w:rFonts w:ascii="Arial" w:hAnsi="Arial" w:cs="Arial"/>
          <w:color w:val="auto"/>
        </w:rPr>
        <w:t xml:space="preserve"> </w:t>
      </w:r>
      <w:r w:rsidRPr="00FF3EAB">
        <w:rPr>
          <w:rFonts w:ascii="Arial" w:hAnsi="Arial" w:cs="Arial"/>
          <w:color w:val="auto"/>
        </w:rPr>
        <w:t>systems and the subsequent failure of back-up decay heat removal systems, water injection into</w:t>
      </w:r>
      <w:r>
        <w:rPr>
          <w:rFonts w:ascii="Arial" w:hAnsi="Arial" w:cs="Arial"/>
          <w:color w:val="auto"/>
        </w:rPr>
        <w:t xml:space="preserve"> </w:t>
      </w:r>
      <w:r w:rsidRPr="00FF3EAB">
        <w:rPr>
          <w:rFonts w:ascii="Arial" w:hAnsi="Arial" w:cs="Arial"/>
          <w:color w:val="auto"/>
        </w:rPr>
        <w:t>the cores of all three reactors was compromised, and reactor water levels could not be</w:t>
      </w:r>
      <w:r>
        <w:rPr>
          <w:rFonts w:ascii="Arial" w:hAnsi="Arial" w:cs="Arial"/>
          <w:color w:val="auto"/>
        </w:rPr>
        <w:t xml:space="preserve"> </w:t>
      </w:r>
      <w:r w:rsidRPr="00FF3EAB">
        <w:rPr>
          <w:rFonts w:ascii="Arial" w:hAnsi="Arial" w:cs="Arial"/>
          <w:color w:val="auto"/>
        </w:rPr>
        <w:t>maintained. Tokyo Electric Power Company (TEPCO), the operator of the plant, resorted to</w:t>
      </w:r>
      <w:r>
        <w:rPr>
          <w:rFonts w:ascii="Arial" w:hAnsi="Arial" w:cs="Arial"/>
          <w:color w:val="auto"/>
        </w:rPr>
        <w:t xml:space="preserve"> </w:t>
      </w:r>
      <w:r w:rsidRPr="00FF3EAB">
        <w:rPr>
          <w:rFonts w:ascii="Arial" w:hAnsi="Arial" w:cs="Arial"/>
          <w:color w:val="auto"/>
        </w:rPr>
        <w:t>injecting sea water and boric acid into the reactor vessels of these three units, in an effort to</w:t>
      </w:r>
      <w:r>
        <w:rPr>
          <w:rFonts w:ascii="Arial" w:hAnsi="Arial" w:cs="Arial"/>
          <w:color w:val="auto"/>
        </w:rPr>
        <w:t xml:space="preserve"> </w:t>
      </w:r>
      <w:r w:rsidRPr="00FF3EAB">
        <w:rPr>
          <w:rFonts w:ascii="Arial" w:hAnsi="Arial" w:cs="Arial"/>
          <w:color w:val="auto"/>
        </w:rPr>
        <w:t>cool the fuel and ensure the reactors remained shutdown. However, the fuel in the reactor</w:t>
      </w:r>
      <w:r>
        <w:rPr>
          <w:rFonts w:ascii="Arial" w:hAnsi="Arial" w:cs="Arial"/>
          <w:color w:val="auto"/>
        </w:rPr>
        <w:t xml:space="preserve"> </w:t>
      </w:r>
      <w:r w:rsidRPr="00FF3EAB">
        <w:rPr>
          <w:rFonts w:ascii="Arial" w:hAnsi="Arial" w:cs="Arial"/>
          <w:color w:val="auto"/>
        </w:rPr>
        <w:t>cores became partially uncovered. Hydrogen gas built up in Units 1 and 3 as a result of</w:t>
      </w:r>
      <w:r>
        <w:rPr>
          <w:rFonts w:ascii="Arial" w:hAnsi="Arial" w:cs="Arial"/>
          <w:color w:val="auto"/>
        </w:rPr>
        <w:t xml:space="preserve"> </w:t>
      </w:r>
      <w:r w:rsidRPr="00FF3EAB">
        <w:rPr>
          <w:rFonts w:ascii="Arial" w:hAnsi="Arial" w:cs="Arial"/>
          <w:color w:val="auto"/>
        </w:rPr>
        <w:t>exposed, overheated fuel reacting with water. Following gas venting from the primary</w:t>
      </w:r>
      <w:r>
        <w:rPr>
          <w:rFonts w:ascii="Arial" w:hAnsi="Arial" w:cs="Arial"/>
          <w:color w:val="auto"/>
        </w:rPr>
        <w:t xml:space="preserve"> </w:t>
      </w:r>
      <w:r w:rsidRPr="00FF3EAB">
        <w:rPr>
          <w:rFonts w:ascii="Arial" w:hAnsi="Arial" w:cs="Arial"/>
          <w:color w:val="auto"/>
        </w:rPr>
        <w:t xml:space="preserve">containment to relieve </w:t>
      </w:r>
      <w:r w:rsidRPr="00FF3EAB">
        <w:rPr>
          <w:rFonts w:ascii="Arial" w:hAnsi="Arial" w:cs="Arial"/>
          <w:color w:val="auto"/>
        </w:rPr>
        <w:lastRenderedPageBreak/>
        <w:t>pressure, hydrogen explosions occurred in both units and damaged the</w:t>
      </w:r>
      <w:r>
        <w:rPr>
          <w:rFonts w:ascii="Arial" w:hAnsi="Arial" w:cs="Arial"/>
          <w:color w:val="auto"/>
        </w:rPr>
        <w:t xml:space="preserve"> </w:t>
      </w:r>
      <w:r w:rsidRPr="00FF3EAB">
        <w:rPr>
          <w:rFonts w:ascii="Arial" w:hAnsi="Arial" w:cs="Arial"/>
          <w:color w:val="auto"/>
        </w:rPr>
        <w:t>secondary containments. It appears that primary containments for Units 1 and 3 remain</w:t>
      </w:r>
      <w:r>
        <w:rPr>
          <w:rFonts w:ascii="Arial" w:hAnsi="Arial" w:cs="Arial"/>
          <w:color w:val="auto"/>
        </w:rPr>
        <w:t xml:space="preserve">ed </w:t>
      </w:r>
      <w:r w:rsidRPr="00FF3EAB">
        <w:rPr>
          <w:rFonts w:ascii="Arial" w:hAnsi="Arial" w:cs="Arial"/>
          <w:color w:val="auto"/>
        </w:rPr>
        <w:t xml:space="preserve">functional, but the primary containment for Unit 2 may </w:t>
      </w:r>
      <w:r>
        <w:rPr>
          <w:rFonts w:ascii="Arial" w:hAnsi="Arial" w:cs="Arial"/>
          <w:color w:val="auto"/>
        </w:rPr>
        <w:t xml:space="preserve">have </w:t>
      </w:r>
      <w:r w:rsidRPr="00FF3EAB">
        <w:rPr>
          <w:rFonts w:ascii="Arial" w:hAnsi="Arial" w:cs="Arial"/>
          <w:color w:val="auto"/>
        </w:rPr>
        <w:t>be</w:t>
      </w:r>
      <w:r>
        <w:rPr>
          <w:rFonts w:ascii="Arial" w:hAnsi="Arial" w:cs="Arial"/>
          <w:color w:val="auto"/>
        </w:rPr>
        <w:t>en</w:t>
      </w:r>
      <w:r w:rsidRPr="00FF3EAB">
        <w:rPr>
          <w:rFonts w:ascii="Arial" w:hAnsi="Arial" w:cs="Arial"/>
          <w:color w:val="auto"/>
        </w:rPr>
        <w:t xml:space="preserve"> damaged. TEPCO cut a hole in the</w:t>
      </w:r>
      <w:r>
        <w:rPr>
          <w:rFonts w:ascii="Arial" w:hAnsi="Arial" w:cs="Arial"/>
          <w:color w:val="auto"/>
        </w:rPr>
        <w:t xml:space="preserve"> </w:t>
      </w:r>
      <w:r w:rsidRPr="00FF3EAB">
        <w:rPr>
          <w:rFonts w:ascii="Arial" w:hAnsi="Arial" w:cs="Arial"/>
          <w:color w:val="auto"/>
        </w:rPr>
        <w:t>side of the Unit 2 secondary containment to prevent hydrogen buildup following a sustained</w:t>
      </w:r>
      <w:r>
        <w:rPr>
          <w:rFonts w:ascii="Arial" w:hAnsi="Arial" w:cs="Arial"/>
          <w:color w:val="auto"/>
        </w:rPr>
        <w:t xml:space="preserve"> </w:t>
      </w:r>
      <w:r w:rsidRPr="00FF3EAB">
        <w:rPr>
          <w:rFonts w:ascii="Arial" w:hAnsi="Arial" w:cs="Arial"/>
          <w:color w:val="auto"/>
        </w:rPr>
        <w:t>period when there was no water injection into the core.</w:t>
      </w:r>
      <w:r>
        <w:rPr>
          <w:rFonts w:ascii="Arial" w:hAnsi="Arial" w:cs="Arial"/>
          <w:color w:val="auto"/>
        </w:rPr>
        <w:t xml:space="preserve">  </w:t>
      </w:r>
    </w:p>
    <w:p w:rsidR="007105C6" w:rsidRDefault="007105C6" w:rsidP="007105C6">
      <w:pPr>
        <w:pStyle w:val="Default"/>
        <w:jc w:val="both"/>
        <w:rPr>
          <w:rFonts w:ascii="Arial" w:hAnsi="Arial" w:cs="Arial"/>
          <w:color w:val="auto"/>
        </w:rPr>
      </w:pPr>
    </w:p>
    <w:p w:rsidR="007105C6" w:rsidRDefault="007105C6" w:rsidP="007105C6">
      <w:pPr>
        <w:pStyle w:val="Default"/>
        <w:jc w:val="both"/>
        <w:rPr>
          <w:rFonts w:ascii="Arial" w:hAnsi="Arial" w:cs="Arial"/>
          <w:color w:val="auto"/>
        </w:rPr>
      </w:pPr>
      <w:r>
        <w:rPr>
          <w:rFonts w:ascii="Arial" w:hAnsi="Arial" w:cs="Arial"/>
          <w:color w:val="auto"/>
        </w:rPr>
        <w:t xml:space="preserve">In addition, problems were encountered with monitoring and maintaining Units 3 and 4 </w:t>
      </w:r>
      <w:r w:rsidRPr="00FF3EAB">
        <w:rPr>
          <w:rFonts w:ascii="Arial" w:hAnsi="Arial" w:cs="Arial"/>
          <w:color w:val="auto"/>
        </w:rPr>
        <w:t>spent fuel pool (SFP) water levels. Efforts continue to</w:t>
      </w:r>
      <w:r>
        <w:rPr>
          <w:rFonts w:ascii="Arial" w:hAnsi="Arial" w:cs="Arial"/>
          <w:color w:val="auto"/>
        </w:rPr>
        <w:t xml:space="preserve"> </w:t>
      </w:r>
      <w:r w:rsidRPr="00FF3EAB">
        <w:rPr>
          <w:rFonts w:ascii="Arial" w:hAnsi="Arial" w:cs="Arial"/>
          <w:color w:val="auto"/>
        </w:rPr>
        <w:t>supply seawater to the SFPs for Units 1 through 4 using various methods. At this time, the</w:t>
      </w:r>
      <w:r>
        <w:rPr>
          <w:rFonts w:ascii="Arial" w:hAnsi="Arial" w:cs="Arial"/>
          <w:color w:val="auto"/>
        </w:rPr>
        <w:t xml:space="preserve"> </w:t>
      </w:r>
      <w:r w:rsidRPr="00FF3EAB">
        <w:rPr>
          <w:rFonts w:ascii="Arial" w:hAnsi="Arial" w:cs="Arial"/>
          <w:color w:val="auto"/>
        </w:rPr>
        <w:t>integrity of the SFPs for Units 3 and 4 is unknown.</w:t>
      </w:r>
      <w:r>
        <w:rPr>
          <w:rFonts w:ascii="Arial" w:hAnsi="Arial" w:cs="Arial"/>
          <w:color w:val="auto"/>
        </w:rPr>
        <w:t xml:space="preserve"> </w:t>
      </w:r>
    </w:p>
    <w:p w:rsidR="007105C6" w:rsidRDefault="007105C6" w:rsidP="007105C6">
      <w:pPr>
        <w:pStyle w:val="Default"/>
        <w:jc w:val="both"/>
        <w:rPr>
          <w:rFonts w:ascii="Arial" w:hAnsi="Arial" w:cs="Arial"/>
          <w:color w:val="auto"/>
        </w:rPr>
      </w:pPr>
    </w:p>
    <w:p w:rsidR="007105C6" w:rsidRDefault="007105C6" w:rsidP="007105C6">
      <w:pPr>
        <w:pStyle w:val="Default"/>
        <w:jc w:val="both"/>
        <w:rPr>
          <w:rFonts w:ascii="Arial" w:hAnsi="Arial" w:cs="Arial"/>
          <w:color w:val="auto"/>
        </w:rPr>
      </w:pPr>
      <w:r w:rsidRPr="00FF3EAB">
        <w:rPr>
          <w:rFonts w:ascii="Arial" w:hAnsi="Arial" w:cs="Arial"/>
          <w:color w:val="auto"/>
        </w:rPr>
        <w:t>Fukushima Daiichi Units 4 through 6 were shutdown for refueling outages at the time of the</w:t>
      </w:r>
      <w:r>
        <w:rPr>
          <w:rFonts w:ascii="Arial" w:hAnsi="Arial" w:cs="Arial"/>
          <w:color w:val="auto"/>
        </w:rPr>
        <w:t xml:space="preserve"> </w:t>
      </w:r>
      <w:r w:rsidRPr="00FF3EAB">
        <w:rPr>
          <w:rFonts w:ascii="Arial" w:hAnsi="Arial" w:cs="Arial"/>
          <w:color w:val="auto"/>
        </w:rPr>
        <w:t>earthquake. The fuel assemblies for Unit 4 had been offloaded from the reactor core to the SFP.</w:t>
      </w:r>
      <w:r>
        <w:rPr>
          <w:rFonts w:ascii="Arial" w:hAnsi="Arial" w:cs="Arial"/>
          <w:color w:val="auto"/>
        </w:rPr>
        <w:t xml:space="preserve"> </w:t>
      </w:r>
      <w:r w:rsidRPr="00FF3EAB">
        <w:rPr>
          <w:rFonts w:ascii="Arial" w:hAnsi="Arial" w:cs="Arial"/>
          <w:color w:val="auto"/>
        </w:rPr>
        <w:t>The SFPs for Units 5 and 6 appear to be intact</w:t>
      </w:r>
      <w:r>
        <w:rPr>
          <w:rFonts w:ascii="Arial" w:hAnsi="Arial" w:cs="Arial"/>
          <w:color w:val="auto"/>
        </w:rPr>
        <w:t>.</w:t>
      </w:r>
    </w:p>
    <w:p w:rsidR="007105C6" w:rsidRDefault="007105C6" w:rsidP="007105C6">
      <w:pPr>
        <w:pStyle w:val="Default"/>
        <w:jc w:val="both"/>
        <w:rPr>
          <w:rFonts w:ascii="Arial" w:hAnsi="Arial" w:cs="Arial"/>
          <w:color w:val="auto"/>
        </w:rPr>
      </w:pPr>
    </w:p>
    <w:p w:rsidR="007105C6" w:rsidRPr="00FF3EAB" w:rsidRDefault="007105C6" w:rsidP="007105C6">
      <w:pPr>
        <w:pStyle w:val="Default"/>
        <w:jc w:val="both"/>
        <w:rPr>
          <w:rFonts w:ascii="Arial" w:hAnsi="Arial" w:cs="Arial"/>
          <w:color w:val="auto"/>
        </w:rPr>
      </w:pPr>
      <w:r w:rsidRPr="00FF3EAB">
        <w:rPr>
          <w:rFonts w:ascii="Arial" w:hAnsi="Arial" w:cs="Arial"/>
          <w:color w:val="auto"/>
        </w:rPr>
        <w:t>The damage to Fukushima Daiichi nuclear power station appears to have been caused by</w:t>
      </w:r>
      <w:r>
        <w:rPr>
          <w:rFonts w:ascii="Arial" w:hAnsi="Arial" w:cs="Arial"/>
          <w:color w:val="auto"/>
        </w:rPr>
        <w:t xml:space="preserve"> </w:t>
      </w:r>
      <w:r w:rsidRPr="00FF3EAB">
        <w:rPr>
          <w:rFonts w:ascii="Arial" w:hAnsi="Arial" w:cs="Arial"/>
          <w:color w:val="auto"/>
        </w:rPr>
        <w:t xml:space="preserve">initiating events </w:t>
      </w:r>
      <w:r>
        <w:rPr>
          <w:rFonts w:ascii="Arial" w:hAnsi="Arial" w:cs="Arial"/>
          <w:color w:val="auto"/>
        </w:rPr>
        <w:t xml:space="preserve">that may have exceeded </w:t>
      </w:r>
      <w:r w:rsidRPr="00FF3EAB">
        <w:rPr>
          <w:rFonts w:ascii="Arial" w:hAnsi="Arial" w:cs="Arial"/>
          <w:color w:val="auto"/>
        </w:rPr>
        <w:t>the design basis for the facilities.</w:t>
      </w:r>
    </w:p>
    <w:p w:rsidR="007105C6" w:rsidRPr="00CA1B57" w:rsidRDefault="007105C6" w:rsidP="007105C6">
      <w:pPr>
        <w:tabs>
          <w:tab w:val="left" w:pos="274"/>
          <w:tab w:val="left" w:pos="806"/>
          <w:tab w:val="left" w:pos="1440"/>
          <w:tab w:val="left" w:pos="2074"/>
        </w:tabs>
        <w:jc w:val="both"/>
        <w:rPr>
          <w:rFonts w:ascii="Arial" w:hAnsi="Arial" w:cs="Arial"/>
          <w:sz w:val="24"/>
          <w:szCs w:val="24"/>
        </w:rPr>
      </w:pPr>
    </w:p>
    <w:p w:rsidR="007105C6" w:rsidRPr="00CA1B57" w:rsidRDefault="007105C6" w:rsidP="007105C6">
      <w:pPr>
        <w:tabs>
          <w:tab w:val="left" w:pos="274"/>
          <w:tab w:val="left" w:pos="806"/>
          <w:tab w:val="left" w:pos="1440"/>
          <w:tab w:val="left" w:pos="2074"/>
        </w:tabs>
        <w:spacing w:line="240" w:lineRule="exact"/>
        <w:jc w:val="both"/>
        <w:rPr>
          <w:rFonts w:ascii="Arial" w:hAnsi="Arial" w:cs="Arial"/>
          <w:sz w:val="24"/>
          <w:szCs w:val="24"/>
        </w:rPr>
      </w:pPr>
      <w:r w:rsidRPr="00CA1B57">
        <w:rPr>
          <w:rFonts w:ascii="Arial" w:hAnsi="Arial" w:cs="Arial"/>
          <w:sz w:val="24"/>
          <w:szCs w:val="24"/>
        </w:rPr>
        <w:t>2515/</w:t>
      </w:r>
      <w:r>
        <w:rPr>
          <w:rFonts w:ascii="Arial" w:hAnsi="Arial" w:cs="Arial"/>
          <w:sz w:val="24"/>
          <w:szCs w:val="24"/>
        </w:rPr>
        <w:t>183</w:t>
      </w:r>
      <w:r w:rsidRPr="00CA1B57">
        <w:rPr>
          <w:rFonts w:ascii="Arial" w:hAnsi="Arial" w:cs="Arial"/>
          <w:sz w:val="24"/>
          <w:szCs w:val="24"/>
        </w:rPr>
        <w:t xml:space="preserve">-03  </w:t>
      </w:r>
      <w:r w:rsidRPr="00CA1B57">
        <w:rPr>
          <w:rFonts w:ascii="Arial" w:hAnsi="Arial" w:cs="Arial"/>
          <w:sz w:val="24"/>
          <w:szCs w:val="24"/>
        </w:rPr>
        <w:tab/>
        <w:t>INSPECTION REQUIREMENTS AND GUIDANCE</w:t>
      </w:r>
    </w:p>
    <w:p w:rsidR="007105C6" w:rsidRPr="00E34806" w:rsidRDefault="007105C6" w:rsidP="007105C6">
      <w:pPr>
        <w:pStyle w:val="Default"/>
        <w:jc w:val="both"/>
        <w:rPr>
          <w:rFonts w:ascii="Arial" w:hAnsi="Arial" w:cs="Arial"/>
          <w:color w:val="auto"/>
        </w:rPr>
      </w:pPr>
      <w:r w:rsidRPr="00E34806">
        <w:rPr>
          <w:rFonts w:ascii="Arial" w:hAnsi="Arial" w:cs="Arial"/>
          <w:color w:val="auto"/>
        </w:rPr>
        <w:t xml:space="preserve">NRC inspection staff should assess the licensee’s activities and actions </w:t>
      </w:r>
      <w:r>
        <w:rPr>
          <w:rFonts w:ascii="Arial" w:hAnsi="Arial" w:cs="Arial"/>
          <w:color w:val="auto"/>
        </w:rPr>
        <w:t>to assess its readiness to respond to an event similar to the Fukushima Daiichi nuclear plant fuel damage event</w:t>
      </w:r>
      <w:r w:rsidRPr="00E34806">
        <w:rPr>
          <w:rFonts w:ascii="Arial" w:hAnsi="Arial" w:cs="Arial"/>
          <w:color w:val="auto"/>
        </w:rPr>
        <w:t>. These inspections should occur at the operating power reactor facilities.</w:t>
      </w:r>
      <w:r>
        <w:rPr>
          <w:rFonts w:ascii="Arial" w:hAnsi="Arial" w:cs="Arial"/>
          <w:color w:val="auto"/>
        </w:rPr>
        <w:t xml:space="preserve">  Licensee emergency preparedness will not be assessed by this TI.</w:t>
      </w:r>
    </w:p>
    <w:p w:rsidR="007105C6" w:rsidRPr="00E34806" w:rsidRDefault="007105C6" w:rsidP="007105C6">
      <w:pPr>
        <w:pStyle w:val="Default"/>
        <w:jc w:val="both"/>
        <w:rPr>
          <w:rFonts w:ascii="Arial" w:hAnsi="Arial" w:cs="Arial"/>
          <w:color w:val="auto"/>
        </w:rPr>
      </w:pPr>
    </w:p>
    <w:p w:rsidR="007105C6" w:rsidRPr="00F73FF3" w:rsidRDefault="007105C6" w:rsidP="007105C6">
      <w:pPr>
        <w:pStyle w:val="Default"/>
        <w:jc w:val="both"/>
        <w:rPr>
          <w:rFonts w:ascii="Arial" w:hAnsi="Arial" w:cs="Arial"/>
          <w:color w:val="auto"/>
        </w:rPr>
      </w:pPr>
      <w:r w:rsidRPr="00E34806">
        <w:rPr>
          <w:rFonts w:ascii="Arial" w:hAnsi="Arial" w:cs="Arial"/>
          <w:color w:val="auto"/>
        </w:rPr>
        <w:t>This TI may be completed all at once or in phases as the licensee</w:t>
      </w:r>
      <w:r>
        <w:rPr>
          <w:rFonts w:ascii="Arial" w:hAnsi="Arial" w:cs="Arial"/>
          <w:color w:val="auto"/>
        </w:rPr>
        <w:t xml:space="preserve"> verifies its capability to respond to such an event</w:t>
      </w:r>
      <w:r w:rsidRPr="00E34806">
        <w:rPr>
          <w:rFonts w:ascii="Arial" w:hAnsi="Arial" w:cs="Arial"/>
          <w:color w:val="auto"/>
        </w:rPr>
        <w:t>.  The inspector(s) should coordinate the inspection effort with the licensee in accordance with the licensee’s verification schedule.</w:t>
      </w:r>
      <w:r>
        <w:rPr>
          <w:rFonts w:ascii="Arial" w:hAnsi="Arial" w:cs="Arial"/>
          <w:color w:val="auto"/>
        </w:rPr>
        <w:t xml:space="preserve">  </w:t>
      </w:r>
    </w:p>
    <w:p w:rsidR="007105C6" w:rsidRPr="00E34806" w:rsidRDefault="007105C6" w:rsidP="007105C6">
      <w:pPr>
        <w:pStyle w:val="Default"/>
        <w:jc w:val="both"/>
        <w:rPr>
          <w:rFonts w:ascii="Arial" w:hAnsi="Arial" w:cs="Arial"/>
          <w:color w:val="auto"/>
        </w:rPr>
      </w:pPr>
    </w:p>
    <w:p w:rsidR="007105C6" w:rsidRPr="00E34806" w:rsidRDefault="007105C6" w:rsidP="007105C6">
      <w:pPr>
        <w:pStyle w:val="Default"/>
        <w:jc w:val="both"/>
        <w:rPr>
          <w:rFonts w:ascii="Arial" w:hAnsi="Arial" w:cs="Arial"/>
          <w:color w:val="auto"/>
        </w:rPr>
      </w:pPr>
      <w:r w:rsidRPr="00E34806">
        <w:rPr>
          <w:rFonts w:ascii="Arial" w:hAnsi="Arial" w:cs="Arial"/>
          <w:color w:val="auto"/>
        </w:rPr>
        <w:t xml:space="preserve">The events at the Fukushima Daiichi plant appear to be caused by factors directly impacting nuclear safety that </w:t>
      </w:r>
      <w:r>
        <w:rPr>
          <w:rFonts w:ascii="Arial" w:hAnsi="Arial" w:cs="Arial"/>
          <w:color w:val="auto"/>
        </w:rPr>
        <w:t>may have exceeded</w:t>
      </w:r>
      <w:r w:rsidRPr="00E34806">
        <w:rPr>
          <w:rFonts w:ascii="Arial" w:hAnsi="Arial" w:cs="Arial"/>
          <w:color w:val="auto"/>
        </w:rPr>
        <w:t xml:space="preserve"> the design basis for the facility. While details on the full extent of damage to these units remain unknown, the damage poses a significant challenge to the nuclear safety of these units. Immediate actions by the U.S. industry are appropriate to assess and take corrective actions to address potential vulnerabilities that would challenge response to events that are beyond site design bases.</w:t>
      </w:r>
    </w:p>
    <w:p w:rsidR="007105C6" w:rsidRPr="00E34806" w:rsidRDefault="007105C6" w:rsidP="007105C6">
      <w:pPr>
        <w:pStyle w:val="Default"/>
        <w:jc w:val="both"/>
        <w:rPr>
          <w:rFonts w:ascii="Arial" w:hAnsi="Arial" w:cs="Arial"/>
          <w:color w:val="auto"/>
        </w:rPr>
      </w:pPr>
    </w:p>
    <w:p w:rsidR="007105C6" w:rsidRPr="00E34806" w:rsidRDefault="007105C6" w:rsidP="007105C6">
      <w:pPr>
        <w:pStyle w:val="Default"/>
        <w:jc w:val="both"/>
        <w:rPr>
          <w:rFonts w:ascii="Arial" w:hAnsi="Arial" w:cs="Arial"/>
          <w:color w:val="auto"/>
        </w:rPr>
      </w:pPr>
      <w:r w:rsidRPr="00E34806">
        <w:rPr>
          <w:rFonts w:ascii="Arial" w:hAnsi="Arial" w:cs="Arial"/>
          <w:color w:val="auto"/>
        </w:rPr>
        <w:t>03.01</w:t>
      </w:r>
      <w:r w:rsidRPr="00E34806">
        <w:rPr>
          <w:rFonts w:ascii="Arial" w:hAnsi="Arial" w:cs="Arial"/>
          <w:color w:val="auto"/>
        </w:rPr>
        <w:tab/>
      </w:r>
      <w:r w:rsidRPr="00CA1B57">
        <w:rPr>
          <w:rFonts w:ascii="Arial" w:hAnsi="Arial" w:cs="Arial"/>
          <w:color w:val="auto"/>
        </w:rPr>
        <w:t xml:space="preserve"> Assess the licensee’s capability to mitigate conditions that result from beyond design basis events, typically bounded by security threats, committed to</w:t>
      </w:r>
      <w:r>
        <w:rPr>
          <w:rFonts w:ascii="Arial" w:hAnsi="Arial" w:cs="Arial"/>
          <w:color w:val="auto"/>
        </w:rPr>
        <w:t xml:space="preserve"> as part of NRC Security Order S</w:t>
      </w:r>
      <w:r w:rsidRPr="00CA1B57">
        <w:rPr>
          <w:rFonts w:ascii="Arial" w:hAnsi="Arial" w:cs="Arial"/>
          <w:color w:val="auto"/>
        </w:rPr>
        <w:t>ection B.5.b issued February 25, 2002, and severe accident management guidelines</w:t>
      </w:r>
      <w:r>
        <w:rPr>
          <w:rFonts w:ascii="Arial" w:hAnsi="Arial" w:cs="Arial"/>
          <w:color w:val="auto"/>
        </w:rPr>
        <w:t xml:space="preserve"> and as required by Title 10 of the Code of Federal Regulations (10 CFR) 50.54(hh)</w:t>
      </w:r>
      <w:r w:rsidRPr="00CA1B57">
        <w:rPr>
          <w:rFonts w:ascii="Arial" w:hAnsi="Arial" w:cs="Arial"/>
          <w:color w:val="auto"/>
        </w:rPr>
        <w:t xml:space="preserve">.  Use Inspection Procedure (IP) 71111.05T, “Fire Protection (Triennial),” </w:t>
      </w:r>
      <w:r>
        <w:rPr>
          <w:rFonts w:ascii="Arial" w:hAnsi="Arial" w:cs="Arial"/>
          <w:color w:val="auto"/>
        </w:rPr>
        <w:t>Section 02.03 and 03.03</w:t>
      </w:r>
      <w:r w:rsidRPr="00CA1B57">
        <w:rPr>
          <w:rFonts w:ascii="Arial" w:hAnsi="Arial" w:cs="Arial"/>
          <w:color w:val="auto"/>
        </w:rPr>
        <w:t xml:space="preserve"> as a guideline.  If IP 71111.05T was recently performed at the facility the inspector should review the inspection results and findings to identify any other potential areas of inspection. </w:t>
      </w:r>
      <w:r>
        <w:rPr>
          <w:rFonts w:ascii="Arial" w:hAnsi="Arial" w:cs="Arial"/>
          <w:color w:val="auto"/>
        </w:rPr>
        <w:t>Particular emphasis should be placed on strategies related to the spent fuel pool.  The inspection should i</w:t>
      </w:r>
      <w:r w:rsidRPr="00CA1B57">
        <w:rPr>
          <w:rFonts w:ascii="Arial" w:hAnsi="Arial" w:cs="Arial"/>
          <w:color w:val="auto"/>
        </w:rPr>
        <w:t xml:space="preserve">nclude, but not </w:t>
      </w:r>
      <w:r>
        <w:rPr>
          <w:rFonts w:ascii="Arial" w:hAnsi="Arial" w:cs="Arial"/>
          <w:color w:val="auto"/>
        </w:rPr>
        <w:t xml:space="preserve">be </w:t>
      </w:r>
      <w:r w:rsidRPr="00CA1B57">
        <w:rPr>
          <w:rFonts w:ascii="Arial" w:hAnsi="Arial" w:cs="Arial"/>
          <w:color w:val="auto"/>
        </w:rPr>
        <w:t>limit</w:t>
      </w:r>
      <w:r>
        <w:rPr>
          <w:rFonts w:ascii="Arial" w:hAnsi="Arial" w:cs="Arial"/>
          <w:color w:val="auto"/>
        </w:rPr>
        <w:t>ed to</w:t>
      </w:r>
      <w:r w:rsidRPr="00CA1B57">
        <w:rPr>
          <w:rFonts w:ascii="Arial" w:hAnsi="Arial" w:cs="Arial"/>
          <w:color w:val="auto"/>
        </w:rPr>
        <w:t xml:space="preserve">, </w:t>
      </w:r>
      <w:r>
        <w:rPr>
          <w:rFonts w:ascii="Arial" w:hAnsi="Arial" w:cs="Arial"/>
          <w:color w:val="auto"/>
        </w:rPr>
        <w:t>an</w:t>
      </w:r>
      <w:r w:rsidRPr="00CA1B57">
        <w:rPr>
          <w:rFonts w:ascii="Arial" w:hAnsi="Arial" w:cs="Arial"/>
          <w:color w:val="auto"/>
        </w:rPr>
        <w:t xml:space="preserve"> </w:t>
      </w:r>
      <w:r>
        <w:rPr>
          <w:rFonts w:ascii="Arial" w:hAnsi="Arial" w:cs="Arial"/>
          <w:color w:val="auto"/>
        </w:rPr>
        <w:t>assessment of any licensee actions</w:t>
      </w:r>
      <w:r w:rsidRPr="00CA1B57">
        <w:rPr>
          <w:rFonts w:ascii="Arial" w:hAnsi="Arial" w:cs="Arial"/>
          <w:color w:val="auto"/>
        </w:rPr>
        <w:t xml:space="preserve"> </w:t>
      </w:r>
      <w:r>
        <w:rPr>
          <w:rFonts w:ascii="Arial" w:hAnsi="Arial" w:cs="Arial"/>
          <w:color w:val="auto"/>
        </w:rPr>
        <w:t>to</w:t>
      </w:r>
      <w:r w:rsidRPr="00CA1B57">
        <w:rPr>
          <w:rFonts w:ascii="Arial" w:hAnsi="Arial" w:cs="Arial"/>
          <w:color w:val="auto"/>
        </w:rPr>
        <w:t xml:space="preserve">: </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p>
    <w:p w:rsidR="007105C6" w:rsidRPr="000567F9" w:rsidRDefault="007105C6" w:rsidP="007105C6">
      <w:pPr>
        <w:numPr>
          <w:ilvl w:val="0"/>
          <w:numId w:val="1"/>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lastRenderedPageBreak/>
        <w:t xml:space="preserve">Verify through test or inspection that equipment is available and functional. Active equipment shall be tested and passive equipment shall be walked down and inspected. </w:t>
      </w:r>
      <w:r>
        <w:rPr>
          <w:rFonts w:ascii="Arial" w:eastAsia="Times New Roman" w:hAnsi="Arial" w:cs="Arial"/>
          <w:sz w:val="24"/>
          <w:szCs w:val="24"/>
        </w:rPr>
        <w:t xml:space="preserve"> It is not expected that permanently installed equipment that is tested under an existing regulatory testing program be retested.</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ind w:left="634"/>
        <w:jc w:val="both"/>
        <w:rPr>
          <w:rFonts w:ascii="Arial" w:eastAsia="Times New Roman" w:hAnsi="Arial" w:cs="Arial"/>
          <w:sz w:val="24"/>
          <w:szCs w:val="24"/>
        </w:rPr>
      </w:pPr>
    </w:p>
    <w:p w:rsidR="007105C6" w:rsidRPr="000567F9" w:rsidRDefault="007105C6" w:rsidP="007105C6">
      <w:pPr>
        <w:numPr>
          <w:ilvl w:val="0"/>
          <w:numId w:val="1"/>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t>Verify through walkdowns or demonstration that procedures to implement the strategies</w:t>
      </w:r>
      <w:r>
        <w:rPr>
          <w:rFonts w:ascii="Arial" w:eastAsia="Times New Roman" w:hAnsi="Arial" w:cs="Arial"/>
          <w:sz w:val="24"/>
          <w:szCs w:val="24"/>
        </w:rPr>
        <w:t xml:space="preserve"> associated with B.5.b and 10 CFR 50.54(hh)</w:t>
      </w:r>
      <w:r w:rsidRPr="000567F9">
        <w:rPr>
          <w:rFonts w:ascii="Arial" w:eastAsia="Times New Roman" w:hAnsi="Arial" w:cs="Arial"/>
          <w:sz w:val="24"/>
          <w:szCs w:val="24"/>
        </w:rPr>
        <w:t xml:space="preserve"> are in place and are executable. </w:t>
      </w:r>
      <w:r>
        <w:rPr>
          <w:rFonts w:ascii="Arial" w:eastAsia="Times New Roman" w:hAnsi="Arial" w:cs="Arial"/>
          <w:sz w:val="24"/>
          <w:szCs w:val="24"/>
        </w:rPr>
        <w:t xml:space="preserve"> Licensees may choose not to connect or operate permanently installed equipment during this verification.</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ind w:left="634"/>
        <w:jc w:val="both"/>
        <w:rPr>
          <w:rFonts w:ascii="Arial" w:eastAsia="Times New Roman" w:hAnsi="Arial" w:cs="Arial"/>
          <w:sz w:val="24"/>
          <w:szCs w:val="24"/>
        </w:rPr>
      </w:pPr>
    </w:p>
    <w:p w:rsidR="007105C6" w:rsidRDefault="007105C6" w:rsidP="007105C6">
      <w:pPr>
        <w:numPr>
          <w:ilvl w:val="0"/>
          <w:numId w:val="1"/>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F73FF3">
        <w:rPr>
          <w:rFonts w:ascii="Arial" w:eastAsia="Times New Roman" w:hAnsi="Arial" w:cs="Arial"/>
          <w:sz w:val="24"/>
          <w:szCs w:val="24"/>
        </w:rPr>
        <w:t xml:space="preserve">Verify the training and qualifications of operators and the support staff needed to implement the procedures and work instructions are current for activities related to Security Order Section B.5.b and severe accident management guidelines as required by 10 CFR 50.54 (hh).  </w:t>
      </w:r>
    </w:p>
    <w:p w:rsidR="007105C6" w:rsidRPr="00F73FF3"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p>
    <w:p w:rsidR="007105C6" w:rsidRDefault="007105C6" w:rsidP="007105C6">
      <w:pPr>
        <w:numPr>
          <w:ilvl w:val="0"/>
          <w:numId w:val="1"/>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t>Verify that any applicable agreements and contracts are in place and are capable of meeting the conditions needed to mitigate the consequences of these events.</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p>
    <w:p w:rsidR="007105C6" w:rsidRPr="000567F9" w:rsidRDefault="007105C6" w:rsidP="007105C6">
      <w:pPr>
        <w:numPr>
          <w:ilvl w:val="0"/>
          <w:numId w:val="1"/>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t xml:space="preserve">Review any open corrective action documents to identify vulnerabilities that </w:t>
      </w:r>
      <w:r>
        <w:rPr>
          <w:rFonts w:ascii="Arial" w:eastAsia="Times New Roman" w:hAnsi="Arial" w:cs="Arial"/>
          <w:sz w:val="24"/>
          <w:szCs w:val="24"/>
        </w:rPr>
        <w:t>may</w:t>
      </w:r>
      <w:r w:rsidRPr="000567F9">
        <w:rPr>
          <w:rFonts w:ascii="Arial" w:eastAsia="Times New Roman" w:hAnsi="Arial" w:cs="Arial"/>
          <w:sz w:val="24"/>
          <w:szCs w:val="24"/>
        </w:rPr>
        <w:t xml:space="preserve"> not </w:t>
      </w:r>
      <w:r>
        <w:rPr>
          <w:rFonts w:ascii="Arial" w:eastAsia="Times New Roman" w:hAnsi="Arial" w:cs="Arial"/>
          <w:sz w:val="24"/>
          <w:szCs w:val="24"/>
        </w:rPr>
        <w:t xml:space="preserve">have </w:t>
      </w:r>
      <w:r w:rsidRPr="000567F9">
        <w:rPr>
          <w:rFonts w:ascii="Arial" w:eastAsia="Times New Roman" w:hAnsi="Arial" w:cs="Arial"/>
          <w:sz w:val="24"/>
          <w:szCs w:val="24"/>
        </w:rPr>
        <w:t xml:space="preserve">yet been addressed. </w:t>
      </w:r>
    </w:p>
    <w:p w:rsidR="007105C6" w:rsidRPr="000567F9" w:rsidRDefault="007105C6" w:rsidP="007105C6">
      <w:pPr>
        <w:tabs>
          <w:tab w:val="left" w:pos="274"/>
          <w:tab w:val="left" w:pos="806"/>
          <w:tab w:val="left" w:pos="1440"/>
          <w:tab w:val="left" w:pos="2074"/>
        </w:tabs>
        <w:autoSpaceDE w:val="0"/>
        <w:autoSpaceDN w:val="0"/>
        <w:adjustRightInd w:val="0"/>
        <w:spacing w:after="50" w:line="240" w:lineRule="auto"/>
        <w:ind w:left="994"/>
        <w:jc w:val="both"/>
        <w:rPr>
          <w:rFonts w:ascii="Arial" w:eastAsia="Times New Roman" w:hAnsi="Arial" w:cs="Arial"/>
          <w:sz w:val="24"/>
          <w:szCs w:val="24"/>
        </w:rPr>
      </w:pPr>
    </w:p>
    <w:p w:rsidR="007105C6" w:rsidRDefault="007105C6" w:rsidP="007105C6">
      <w:pPr>
        <w:pStyle w:val="Default"/>
        <w:jc w:val="both"/>
        <w:rPr>
          <w:rFonts w:ascii="Arial" w:hAnsi="Arial" w:cs="Arial"/>
          <w:color w:val="auto"/>
        </w:rPr>
      </w:pPr>
      <w:r w:rsidRPr="000567F9">
        <w:rPr>
          <w:rFonts w:ascii="Arial" w:hAnsi="Arial" w:cs="Arial"/>
        </w:rPr>
        <w:t>03.02</w:t>
      </w:r>
      <w:r w:rsidRPr="000567F9">
        <w:rPr>
          <w:rFonts w:ascii="Arial" w:hAnsi="Arial" w:cs="Arial"/>
        </w:rPr>
        <w:tab/>
        <w:t>Assess the licensee’s capability to mitigate station blackout (SBO) conditions, as required by 10 CFR 50.63</w:t>
      </w:r>
      <w:r>
        <w:rPr>
          <w:rFonts w:ascii="Arial" w:hAnsi="Arial" w:cs="Arial"/>
        </w:rPr>
        <w:t>, “Loss of All Alternating Current Power,”</w:t>
      </w:r>
      <w:r w:rsidRPr="000567F9">
        <w:rPr>
          <w:rFonts w:ascii="Arial" w:hAnsi="Arial" w:cs="Arial"/>
        </w:rPr>
        <w:t xml:space="preserve"> and station design, is functional and valid.  Refer to TI 2515/120, “Inspection of Implementation of Station Blackout Rule Multi-Plant Action Item A-22” as a guideline.</w:t>
      </w:r>
      <w:r>
        <w:rPr>
          <w:rFonts w:ascii="Arial" w:hAnsi="Arial" w:cs="Arial"/>
        </w:rPr>
        <w:t xml:space="preserve">  It is not intended that TI 2515/120 be completely reinspected.</w:t>
      </w:r>
      <w:r w:rsidRPr="000567F9">
        <w:rPr>
          <w:rFonts w:ascii="Arial" w:hAnsi="Arial" w:cs="Arial"/>
        </w:rPr>
        <w:t xml:space="preserve">  </w:t>
      </w:r>
      <w:r>
        <w:rPr>
          <w:rFonts w:ascii="Arial" w:hAnsi="Arial" w:cs="Arial"/>
          <w:color w:val="auto"/>
        </w:rPr>
        <w:t>The inspection should i</w:t>
      </w:r>
      <w:r w:rsidRPr="00CA1B57">
        <w:rPr>
          <w:rFonts w:ascii="Arial" w:hAnsi="Arial" w:cs="Arial"/>
          <w:color w:val="auto"/>
        </w:rPr>
        <w:t xml:space="preserve">nclude, but not </w:t>
      </w:r>
      <w:r>
        <w:rPr>
          <w:rFonts w:ascii="Arial" w:hAnsi="Arial" w:cs="Arial"/>
          <w:color w:val="auto"/>
        </w:rPr>
        <w:t xml:space="preserve">be </w:t>
      </w:r>
      <w:r w:rsidRPr="00CA1B57">
        <w:rPr>
          <w:rFonts w:ascii="Arial" w:hAnsi="Arial" w:cs="Arial"/>
          <w:color w:val="auto"/>
        </w:rPr>
        <w:t>limit</w:t>
      </w:r>
      <w:r>
        <w:rPr>
          <w:rFonts w:ascii="Arial" w:hAnsi="Arial" w:cs="Arial"/>
          <w:color w:val="auto"/>
        </w:rPr>
        <w:t>ed to, an</w:t>
      </w:r>
      <w:r w:rsidRPr="00CA1B57">
        <w:rPr>
          <w:rFonts w:ascii="Arial" w:hAnsi="Arial" w:cs="Arial"/>
          <w:color w:val="auto"/>
        </w:rPr>
        <w:t xml:space="preserve"> </w:t>
      </w:r>
      <w:r>
        <w:rPr>
          <w:rFonts w:ascii="Arial" w:hAnsi="Arial" w:cs="Arial"/>
          <w:color w:val="auto"/>
        </w:rPr>
        <w:t>assessment of any licensee actions</w:t>
      </w:r>
      <w:r w:rsidRPr="00CA1B57">
        <w:rPr>
          <w:rFonts w:ascii="Arial" w:hAnsi="Arial" w:cs="Arial"/>
          <w:color w:val="auto"/>
        </w:rPr>
        <w:t xml:space="preserve"> </w:t>
      </w:r>
      <w:r>
        <w:rPr>
          <w:rFonts w:ascii="Arial" w:hAnsi="Arial" w:cs="Arial"/>
          <w:color w:val="auto"/>
        </w:rPr>
        <w:t>to</w:t>
      </w:r>
      <w:r w:rsidRPr="00CA1B57">
        <w:rPr>
          <w:rFonts w:ascii="Arial" w:hAnsi="Arial" w:cs="Arial"/>
          <w:color w:val="auto"/>
        </w:rPr>
        <w:t>:</w:t>
      </w:r>
    </w:p>
    <w:p w:rsidR="007105C6" w:rsidRPr="000567F9" w:rsidRDefault="007105C6" w:rsidP="007105C6">
      <w:pPr>
        <w:pStyle w:val="Default"/>
        <w:jc w:val="both"/>
        <w:rPr>
          <w:rFonts w:ascii="Arial" w:hAnsi="Arial" w:cs="Arial"/>
        </w:rPr>
      </w:pPr>
    </w:p>
    <w:p w:rsidR="007105C6" w:rsidRPr="000567F9" w:rsidRDefault="007105C6" w:rsidP="007105C6">
      <w:pPr>
        <w:numPr>
          <w:ilvl w:val="0"/>
          <w:numId w:val="2"/>
        </w:numPr>
        <w:tabs>
          <w:tab w:val="left" w:pos="274"/>
          <w:tab w:val="left" w:pos="806"/>
          <w:tab w:val="left" w:pos="1440"/>
          <w:tab w:val="left" w:pos="2074"/>
        </w:tabs>
        <w:autoSpaceDE w:val="0"/>
        <w:autoSpaceDN w:val="0"/>
        <w:adjustRightInd w:val="0"/>
        <w:spacing w:after="5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t>Verify through walkdowns and inspection that all required materials are adequate and properly staged</w:t>
      </w:r>
      <w:r>
        <w:rPr>
          <w:rFonts w:ascii="Arial" w:eastAsia="Times New Roman" w:hAnsi="Arial" w:cs="Arial"/>
          <w:sz w:val="24"/>
          <w:szCs w:val="24"/>
        </w:rPr>
        <w:t>, tested, and maintained.</w:t>
      </w:r>
      <w:r w:rsidRPr="000567F9">
        <w:rPr>
          <w:rFonts w:ascii="Arial" w:eastAsia="Times New Roman" w:hAnsi="Arial" w:cs="Arial"/>
          <w:sz w:val="24"/>
          <w:szCs w:val="24"/>
        </w:rPr>
        <w:t xml:space="preserve"> </w:t>
      </w:r>
    </w:p>
    <w:p w:rsidR="007105C6" w:rsidRPr="000567F9" w:rsidRDefault="007105C6" w:rsidP="007105C6">
      <w:pPr>
        <w:tabs>
          <w:tab w:val="left" w:pos="274"/>
          <w:tab w:val="left" w:pos="806"/>
          <w:tab w:val="left" w:pos="1440"/>
          <w:tab w:val="left" w:pos="2074"/>
        </w:tabs>
        <w:autoSpaceDE w:val="0"/>
        <w:autoSpaceDN w:val="0"/>
        <w:adjustRightInd w:val="0"/>
        <w:spacing w:after="50" w:line="240" w:lineRule="auto"/>
        <w:ind w:left="634"/>
        <w:jc w:val="both"/>
        <w:rPr>
          <w:rFonts w:ascii="Arial" w:eastAsia="Times New Roman" w:hAnsi="Arial" w:cs="Arial"/>
          <w:sz w:val="24"/>
          <w:szCs w:val="24"/>
        </w:rPr>
      </w:pPr>
    </w:p>
    <w:p w:rsidR="007105C6" w:rsidRPr="000567F9" w:rsidRDefault="007105C6" w:rsidP="007105C6">
      <w:pPr>
        <w:numPr>
          <w:ilvl w:val="0"/>
          <w:numId w:val="2"/>
        </w:numPr>
        <w:tabs>
          <w:tab w:val="left" w:pos="274"/>
          <w:tab w:val="left" w:pos="806"/>
          <w:tab w:val="left" w:pos="1440"/>
          <w:tab w:val="left" w:pos="2074"/>
        </w:tabs>
        <w:autoSpaceDE w:val="0"/>
        <w:autoSpaceDN w:val="0"/>
        <w:adjustRightInd w:val="0"/>
        <w:spacing w:after="0" w:line="240" w:lineRule="auto"/>
        <w:ind w:left="807" w:hanging="533"/>
        <w:jc w:val="both"/>
        <w:rPr>
          <w:rFonts w:ascii="Arial" w:eastAsia="Times New Roman" w:hAnsi="Arial" w:cs="Arial"/>
          <w:sz w:val="24"/>
          <w:szCs w:val="24"/>
        </w:rPr>
      </w:pPr>
      <w:r w:rsidRPr="000567F9">
        <w:rPr>
          <w:rFonts w:ascii="Arial" w:eastAsia="Times New Roman" w:hAnsi="Arial" w:cs="Arial"/>
          <w:sz w:val="24"/>
          <w:szCs w:val="24"/>
        </w:rPr>
        <w:t>Demonstrate through walkdowns that procedures for response to an SBO are executable.</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p>
    <w:p w:rsidR="007105C6" w:rsidRPr="000567F9" w:rsidRDefault="007105C6" w:rsidP="007105C6">
      <w:pPr>
        <w:pStyle w:val="Default"/>
        <w:jc w:val="both"/>
        <w:rPr>
          <w:rFonts w:ascii="Arial" w:hAnsi="Arial" w:cs="Arial"/>
        </w:rPr>
      </w:pPr>
      <w:r w:rsidRPr="000567F9">
        <w:rPr>
          <w:rFonts w:ascii="Arial" w:hAnsi="Arial" w:cs="Arial"/>
        </w:rPr>
        <w:t>03.03</w:t>
      </w:r>
      <w:r w:rsidRPr="000567F9">
        <w:rPr>
          <w:rFonts w:ascii="Arial" w:hAnsi="Arial" w:cs="Arial"/>
        </w:rPr>
        <w:tab/>
        <w:t>Assess the licensee’s capability to mitigate internal and external flooding events required by station design.  Refer to IP 71111.01,</w:t>
      </w:r>
      <w:r>
        <w:rPr>
          <w:rFonts w:ascii="Arial" w:hAnsi="Arial" w:cs="Arial"/>
        </w:rPr>
        <w:t xml:space="preserve"> “Adverse Weather Protection,” S</w:t>
      </w:r>
      <w:r w:rsidRPr="000567F9">
        <w:rPr>
          <w:rFonts w:ascii="Arial" w:hAnsi="Arial" w:cs="Arial"/>
        </w:rPr>
        <w:t xml:space="preserve">ection 02.04, “Evaluate Readiness to Cope with External Flooding” as a guideline. </w:t>
      </w:r>
      <w:r>
        <w:rPr>
          <w:rFonts w:ascii="Arial" w:hAnsi="Arial" w:cs="Arial"/>
          <w:color w:val="auto"/>
        </w:rPr>
        <w:t>The inspection should i</w:t>
      </w:r>
      <w:r w:rsidRPr="00CA1B57">
        <w:rPr>
          <w:rFonts w:ascii="Arial" w:hAnsi="Arial" w:cs="Arial"/>
          <w:color w:val="auto"/>
        </w:rPr>
        <w:t xml:space="preserve">nclude, but not </w:t>
      </w:r>
      <w:r>
        <w:rPr>
          <w:rFonts w:ascii="Arial" w:hAnsi="Arial" w:cs="Arial"/>
          <w:color w:val="auto"/>
        </w:rPr>
        <w:t xml:space="preserve">be </w:t>
      </w:r>
      <w:r w:rsidRPr="00CA1B57">
        <w:rPr>
          <w:rFonts w:ascii="Arial" w:hAnsi="Arial" w:cs="Arial"/>
          <w:color w:val="auto"/>
        </w:rPr>
        <w:t>limit</w:t>
      </w:r>
      <w:r>
        <w:rPr>
          <w:rFonts w:ascii="Arial" w:hAnsi="Arial" w:cs="Arial"/>
          <w:color w:val="auto"/>
        </w:rPr>
        <w:t>ed to, an</w:t>
      </w:r>
      <w:r w:rsidRPr="00CA1B57">
        <w:rPr>
          <w:rFonts w:ascii="Arial" w:hAnsi="Arial" w:cs="Arial"/>
          <w:color w:val="auto"/>
        </w:rPr>
        <w:t xml:space="preserve"> </w:t>
      </w:r>
      <w:r>
        <w:rPr>
          <w:rFonts w:ascii="Arial" w:hAnsi="Arial" w:cs="Arial"/>
          <w:color w:val="auto"/>
        </w:rPr>
        <w:t>assessment of any licensee actions</w:t>
      </w:r>
      <w:r w:rsidRPr="00CA1B57">
        <w:rPr>
          <w:rFonts w:ascii="Arial" w:hAnsi="Arial" w:cs="Arial"/>
          <w:color w:val="auto"/>
        </w:rPr>
        <w:t xml:space="preserve"> </w:t>
      </w:r>
      <w:r>
        <w:rPr>
          <w:rFonts w:ascii="Arial" w:hAnsi="Arial" w:cs="Arial"/>
          <w:color w:val="auto"/>
        </w:rPr>
        <w:t>to v</w:t>
      </w:r>
      <w:r w:rsidRPr="000567F9">
        <w:rPr>
          <w:rFonts w:ascii="Arial" w:hAnsi="Arial" w:cs="Arial"/>
        </w:rPr>
        <w:t xml:space="preserve">erify through walkdowns and inspections that all required materials and equipment are adequate and properly staged. These walkdowns and inspections shall include verification that accessible doors, barriers, and penetration seals are functional. </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p>
    <w:p w:rsidR="007105C6" w:rsidRPr="000567F9" w:rsidRDefault="007105C6" w:rsidP="007105C6">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r w:rsidRPr="000567F9">
        <w:rPr>
          <w:rFonts w:ascii="Arial" w:eastAsia="Times New Roman" w:hAnsi="Arial" w:cs="Arial"/>
          <w:sz w:val="24"/>
          <w:szCs w:val="24"/>
        </w:rPr>
        <w:t>03.04</w:t>
      </w:r>
      <w:r w:rsidRPr="000567F9">
        <w:rPr>
          <w:rFonts w:ascii="Arial" w:eastAsia="Times New Roman" w:hAnsi="Arial" w:cs="Arial"/>
          <w:sz w:val="24"/>
          <w:szCs w:val="24"/>
        </w:rPr>
        <w:tab/>
        <w:t xml:space="preserve">Assess the </w:t>
      </w:r>
      <w:r>
        <w:rPr>
          <w:rFonts w:ascii="Arial" w:eastAsia="Times New Roman" w:hAnsi="Arial" w:cs="Arial"/>
          <w:sz w:val="24"/>
          <w:szCs w:val="24"/>
        </w:rPr>
        <w:t>thoroughness of the licensee’s</w:t>
      </w:r>
      <w:r w:rsidRPr="000567F9">
        <w:rPr>
          <w:rFonts w:ascii="Arial" w:eastAsia="Times New Roman" w:hAnsi="Arial" w:cs="Arial"/>
          <w:sz w:val="24"/>
          <w:szCs w:val="24"/>
        </w:rPr>
        <w:t xml:space="preserve"> walkdowns and inspections of important equipment needed to mitigate fire and flood events to identify the potential that the equipment’s function could be lost during seismic events </w:t>
      </w:r>
      <w:r>
        <w:rPr>
          <w:rFonts w:ascii="Arial" w:eastAsia="Times New Roman" w:hAnsi="Arial" w:cs="Arial"/>
          <w:sz w:val="24"/>
          <w:szCs w:val="24"/>
        </w:rPr>
        <w:t>possible</w:t>
      </w:r>
      <w:r w:rsidRPr="000567F9">
        <w:rPr>
          <w:rFonts w:ascii="Arial" w:eastAsia="Times New Roman" w:hAnsi="Arial" w:cs="Arial"/>
          <w:sz w:val="24"/>
          <w:szCs w:val="24"/>
        </w:rPr>
        <w:t xml:space="preserve"> for the site. Assess the licensee’s development of any new mitigating strategies for identified vulnerabilities</w:t>
      </w:r>
      <w:r>
        <w:rPr>
          <w:rFonts w:ascii="Arial" w:eastAsia="Times New Roman" w:hAnsi="Arial" w:cs="Arial"/>
          <w:sz w:val="24"/>
          <w:szCs w:val="24"/>
        </w:rPr>
        <w:t xml:space="preserve"> (e.g., entered it in to the corrective action program and any immediate </w:t>
      </w:r>
      <w:r>
        <w:rPr>
          <w:rFonts w:ascii="Arial" w:eastAsia="Times New Roman" w:hAnsi="Arial" w:cs="Arial"/>
          <w:sz w:val="24"/>
          <w:szCs w:val="24"/>
        </w:rPr>
        <w:lastRenderedPageBreak/>
        <w:t>actions taken)</w:t>
      </w:r>
      <w:r w:rsidRPr="000567F9">
        <w:rPr>
          <w:rFonts w:ascii="Arial" w:eastAsia="Times New Roman" w:hAnsi="Arial" w:cs="Arial"/>
          <w:sz w:val="24"/>
          <w:szCs w:val="24"/>
        </w:rPr>
        <w:t>. As a minimum, the licensee should have performed walkdowns and inspections of important equipment (permanent and temporary) such as storage tanks, plant water intake structures, and fire and flood response equipment; and develop</w:t>
      </w:r>
      <w:r>
        <w:rPr>
          <w:rFonts w:ascii="Arial" w:eastAsia="Times New Roman" w:hAnsi="Arial" w:cs="Arial"/>
          <w:sz w:val="24"/>
          <w:szCs w:val="24"/>
        </w:rPr>
        <w:t>ed</w:t>
      </w:r>
      <w:r w:rsidRPr="000567F9">
        <w:rPr>
          <w:rFonts w:ascii="Arial" w:eastAsia="Times New Roman" w:hAnsi="Arial" w:cs="Arial"/>
          <w:sz w:val="24"/>
          <w:szCs w:val="24"/>
        </w:rPr>
        <w:t xml:space="preserve"> mitigating strategies to cope</w:t>
      </w:r>
      <w:r>
        <w:rPr>
          <w:rFonts w:ascii="Arial" w:eastAsia="Times New Roman" w:hAnsi="Arial" w:cs="Arial"/>
          <w:sz w:val="24"/>
          <w:szCs w:val="24"/>
        </w:rPr>
        <w:t xml:space="preserve"> with the loss of that important function</w:t>
      </w:r>
      <w:r w:rsidRPr="000567F9">
        <w:rPr>
          <w:rFonts w:ascii="Arial" w:eastAsia="Times New Roman" w:hAnsi="Arial" w:cs="Arial"/>
          <w:sz w:val="24"/>
          <w:szCs w:val="24"/>
        </w:rPr>
        <w:t xml:space="preserve">. </w:t>
      </w:r>
      <w:r>
        <w:rPr>
          <w:rFonts w:ascii="Arial" w:eastAsia="Times New Roman" w:hAnsi="Arial" w:cs="Arial"/>
          <w:sz w:val="24"/>
          <w:szCs w:val="24"/>
        </w:rPr>
        <w:t xml:space="preserve"> Use IP 71111.21, “Component Design Basis Inspection,” Appendix 3, “Component Walkdown Considerations,” as a guideline to assess the thoroughness of the licensee’s walkdowns and inspections.</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2515/183-04  </w:t>
      </w:r>
      <w:r w:rsidRPr="000567F9">
        <w:rPr>
          <w:rFonts w:ascii="Arial" w:eastAsia="Times New Roman" w:hAnsi="Arial" w:cs="Arial"/>
          <w:sz w:val="24"/>
          <w:szCs w:val="24"/>
        </w:rPr>
        <w:tab/>
        <w:t>REPORTING REQUIREMENTS</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ab/>
      </w:r>
    </w:p>
    <w:p w:rsidR="007105C6" w:rsidRDefault="007105C6" w:rsidP="007105C6">
      <w:pPr>
        <w:autoSpaceDE w:val="0"/>
        <w:autoSpaceDN w:val="0"/>
        <w:spacing w:line="240" w:lineRule="exact"/>
        <w:jc w:val="both"/>
        <w:rPr>
          <w:rFonts w:ascii="Arial" w:hAnsi="Arial" w:cs="Arial"/>
          <w:sz w:val="24"/>
          <w:szCs w:val="24"/>
        </w:rPr>
      </w:pPr>
      <w:r>
        <w:rPr>
          <w:rFonts w:ascii="Arial" w:hAnsi="Arial" w:cs="Arial"/>
          <w:sz w:val="24"/>
          <w:szCs w:val="24"/>
        </w:rPr>
        <w:t>The inspection results, including both observations and findings, of this TI should be in a stand-alone report. NOTE:  This TI will be updated with a template which will provide specific guidance on reporting and documenting observations and findings.</w:t>
      </w:r>
    </w:p>
    <w:p w:rsidR="007105C6" w:rsidRPr="000567F9" w:rsidRDefault="007105C6" w:rsidP="007105C6">
      <w:pPr>
        <w:tabs>
          <w:tab w:val="left" w:pos="274"/>
          <w:tab w:val="left" w:pos="806"/>
          <w:tab w:val="left" w:pos="1440"/>
          <w:tab w:val="left" w:pos="2074"/>
        </w:tabs>
        <w:suppressAutoHyphen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tabs>
          <w:tab w:val="left" w:pos="274"/>
          <w:tab w:val="left" w:pos="806"/>
          <w:tab w:val="left" w:pos="1440"/>
          <w:tab w:val="left" w:pos="2074"/>
        </w:tabs>
        <w:suppressAutoHyphen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The </w:t>
      </w:r>
      <w:r>
        <w:rPr>
          <w:rFonts w:ascii="Arial" w:eastAsia="Times New Roman" w:hAnsi="Arial" w:cs="Arial"/>
          <w:sz w:val="24"/>
          <w:szCs w:val="24"/>
        </w:rPr>
        <w:t xml:space="preserve">inspection report containing the </w:t>
      </w:r>
      <w:r w:rsidRPr="000567F9">
        <w:rPr>
          <w:rFonts w:ascii="Arial" w:eastAsia="Times New Roman" w:hAnsi="Arial" w:cs="Arial"/>
          <w:sz w:val="24"/>
          <w:szCs w:val="24"/>
        </w:rPr>
        <w:t xml:space="preserve">results should be forwarded to NRR/DIRS/IRIB, Attention: Tim Kobetz via e-mail at </w:t>
      </w:r>
      <w:r w:rsidRPr="00DB1C24">
        <w:rPr>
          <w:rFonts w:ascii="Arial" w:eastAsia="Times New Roman" w:hAnsi="Arial" w:cs="Arial"/>
          <w:sz w:val="24"/>
          <w:szCs w:val="24"/>
          <w:u w:val="single"/>
        </w:rPr>
        <w:t>timothy.kobetz@nrc.gov</w:t>
      </w:r>
      <w:r w:rsidRPr="000567F9">
        <w:rPr>
          <w:rFonts w:ascii="Arial" w:eastAsia="Times New Roman" w:hAnsi="Arial" w:cs="Arial"/>
          <w:sz w:val="24"/>
          <w:szCs w:val="24"/>
        </w:rPr>
        <w:t>. Mr. Kobetz can also be reached at (301) 415-1932. The inspection results from this TI will be used to evaluate industry’s</w:t>
      </w:r>
      <w:r>
        <w:rPr>
          <w:rFonts w:ascii="Arial" w:eastAsia="Times New Roman" w:hAnsi="Arial" w:cs="Arial"/>
          <w:sz w:val="24"/>
          <w:szCs w:val="24"/>
        </w:rPr>
        <w:t xml:space="preserve"> readiness for a similar event </w:t>
      </w:r>
      <w:r w:rsidRPr="000567F9">
        <w:rPr>
          <w:rFonts w:ascii="Arial" w:eastAsia="Times New Roman" w:hAnsi="Arial" w:cs="Arial"/>
          <w:sz w:val="24"/>
          <w:szCs w:val="24"/>
        </w:rPr>
        <w:t xml:space="preserve">and to aid in </w:t>
      </w:r>
      <w:r>
        <w:rPr>
          <w:rFonts w:ascii="Arial" w:eastAsia="Times New Roman" w:hAnsi="Arial" w:cs="Arial"/>
          <w:sz w:val="24"/>
          <w:szCs w:val="24"/>
        </w:rPr>
        <w:t>determining</w:t>
      </w:r>
      <w:r w:rsidRPr="000567F9">
        <w:rPr>
          <w:rFonts w:ascii="Arial" w:eastAsia="Times New Roman" w:hAnsi="Arial" w:cs="Arial"/>
          <w:sz w:val="24"/>
          <w:szCs w:val="24"/>
        </w:rPr>
        <w:t xml:space="preserve"> whether additional NRC regulatory actions are warranted.</w:t>
      </w:r>
    </w:p>
    <w:p w:rsidR="007105C6" w:rsidRPr="000567F9" w:rsidRDefault="007105C6" w:rsidP="007105C6">
      <w:pPr>
        <w:tabs>
          <w:tab w:val="left" w:pos="274"/>
          <w:tab w:val="left" w:pos="806"/>
          <w:tab w:val="left" w:pos="1440"/>
          <w:tab w:val="left" w:pos="2074"/>
        </w:tabs>
        <w:suppressAutoHyphens/>
        <w:autoSpaceDE w:val="0"/>
        <w:autoSpaceDN w:val="0"/>
        <w:adjustRightInd w:val="0"/>
        <w:spacing w:after="0" w:line="240" w:lineRule="exact"/>
        <w:ind w:left="720"/>
        <w:contextualSpacing/>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2515/183-05 </w:t>
      </w:r>
      <w:r w:rsidRPr="000567F9">
        <w:rPr>
          <w:rFonts w:ascii="Arial" w:eastAsia="Times New Roman" w:hAnsi="Arial" w:cs="Arial"/>
          <w:sz w:val="24"/>
          <w:szCs w:val="24"/>
        </w:rPr>
        <w:tab/>
      </w:r>
      <w:r w:rsidRPr="000567F9">
        <w:rPr>
          <w:rFonts w:ascii="Arial" w:eastAsia="Times New Roman" w:hAnsi="Arial" w:cs="Arial"/>
          <w:sz w:val="24"/>
          <w:szCs w:val="24"/>
        </w:rPr>
        <w:tab/>
        <w:t>COMPLETION SCHEDULE</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This TI is to be initiated </w:t>
      </w:r>
      <w:r>
        <w:rPr>
          <w:rFonts w:ascii="Arial" w:eastAsia="Times New Roman" w:hAnsi="Arial" w:cs="Arial"/>
          <w:sz w:val="24"/>
          <w:szCs w:val="24"/>
        </w:rPr>
        <w:t>upon issuance</w:t>
      </w:r>
      <w:r w:rsidR="00F979F7">
        <w:rPr>
          <w:rFonts w:ascii="Arial" w:eastAsia="Times New Roman" w:hAnsi="Arial" w:cs="Arial"/>
          <w:sz w:val="24"/>
          <w:szCs w:val="24"/>
        </w:rPr>
        <w:t>.  Inspection activities are to be completed by April 29, 2011</w:t>
      </w:r>
      <w:r w:rsidRPr="000567F9">
        <w:rPr>
          <w:rFonts w:ascii="Arial" w:eastAsia="Times New Roman" w:hAnsi="Arial" w:cs="Arial"/>
          <w:sz w:val="24"/>
          <w:szCs w:val="24"/>
        </w:rPr>
        <w:t xml:space="preserve"> and </w:t>
      </w:r>
      <w:r w:rsidR="00F979F7">
        <w:rPr>
          <w:rFonts w:ascii="Arial" w:eastAsia="Times New Roman" w:hAnsi="Arial" w:cs="Arial"/>
          <w:sz w:val="24"/>
          <w:szCs w:val="24"/>
        </w:rPr>
        <w:t>the inspection report issued</w:t>
      </w:r>
      <w:r w:rsidRPr="000567F9">
        <w:rPr>
          <w:rFonts w:ascii="Arial" w:eastAsia="Times New Roman" w:hAnsi="Arial" w:cs="Arial"/>
          <w:sz w:val="24"/>
          <w:szCs w:val="24"/>
        </w:rPr>
        <w:t xml:space="preserve"> by </w:t>
      </w:r>
      <w:r>
        <w:rPr>
          <w:rFonts w:ascii="Arial" w:eastAsia="Times New Roman" w:hAnsi="Arial" w:cs="Arial"/>
          <w:sz w:val="24"/>
          <w:szCs w:val="24"/>
        </w:rPr>
        <w:t>May 13</w:t>
      </w:r>
      <w:r w:rsidRPr="000567F9">
        <w:rPr>
          <w:rFonts w:ascii="Arial" w:eastAsia="Times New Roman" w:hAnsi="Arial" w:cs="Arial"/>
          <w:sz w:val="24"/>
          <w:szCs w:val="24"/>
        </w:rPr>
        <w:t>, 2011.</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2515/183-0</w:t>
      </w:r>
      <w:r>
        <w:rPr>
          <w:rFonts w:ascii="Arial" w:eastAsia="Times New Roman" w:hAnsi="Arial" w:cs="Arial"/>
          <w:sz w:val="24"/>
          <w:szCs w:val="24"/>
        </w:rPr>
        <w:t>6</w:t>
      </w:r>
      <w:r w:rsidRPr="000567F9">
        <w:rPr>
          <w:rFonts w:ascii="Arial" w:eastAsia="Times New Roman" w:hAnsi="Arial" w:cs="Arial"/>
          <w:sz w:val="24"/>
          <w:szCs w:val="24"/>
        </w:rPr>
        <w:t xml:space="preserve">  </w:t>
      </w:r>
      <w:r w:rsidRPr="000567F9">
        <w:rPr>
          <w:rFonts w:ascii="Arial" w:eastAsia="Times New Roman" w:hAnsi="Arial" w:cs="Arial"/>
          <w:sz w:val="24"/>
          <w:szCs w:val="24"/>
        </w:rPr>
        <w:tab/>
        <w:t>EXPIRATION</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The TI will expire on </w:t>
      </w:r>
      <w:r>
        <w:rPr>
          <w:rFonts w:ascii="Arial" w:eastAsia="Times New Roman" w:hAnsi="Arial" w:cs="Arial"/>
          <w:sz w:val="24"/>
          <w:szCs w:val="24"/>
        </w:rPr>
        <w:t>June 30, 2012</w:t>
      </w:r>
      <w:r w:rsidRPr="000567F9">
        <w:rPr>
          <w:rFonts w:ascii="Arial" w:eastAsia="Times New Roman" w:hAnsi="Arial" w:cs="Arial"/>
          <w:sz w:val="24"/>
          <w:szCs w:val="24"/>
        </w:rPr>
        <w:t>.</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2515/183-0</w:t>
      </w:r>
      <w:r>
        <w:rPr>
          <w:rFonts w:ascii="Arial" w:eastAsia="Times New Roman" w:hAnsi="Arial" w:cs="Arial"/>
          <w:sz w:val="24"/>
          <w:szCs w:val="24"/>
        </w:rPr>
        <w:t>7</w:t>
      </w:r>
      <w:r w:rsidRPr="000567F9">
        <w:rPr>
          <w:rFonts w:ascii="Arial" w:eastAsia="Times New Roman" w:hAnsi="Arial" w:cs="Arial"/>
          <w:sz w:val="24"/>
          <w:szCs w:val="24"/>
        </w:rPr>
        <w:t xml:space="preserve">  </w:t>
      </w:r>
      <w:r w:rsidRPr="000567F9">
        <w:rPr>
          <w:rFonts w:ascii="Arial" w:eastAsia="Times New Roman" w:hAnsi="Arial" w:cs="Arial"/>
          <w:sz w:val="24"/>
          <w:szCs w:val="24"/>
        </w:rPr>
        <w:tab/>
        <w:t>CONTACT</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sz w:val="24"/>
          <w:szCs w:val="24"/>
        </w:rPr>
      </w:pPr>
      <w:r w:rsidRPr="000567F9">
        <w:rPr>
          <w:rFonts w:ascii="Arial" w:eastAsia="Times New Roman" w:hAnsi="Arial" w:cs="Arial"/>
          <w:sz w:val="24"/>
          <w:szCs w:val="24"/>
        </w:rPr>
        <w:t xml:space="preserve">Any technical questions regarding this TI should be addressed to Tim Kobetz at 301-415-1932 or </w:t>
      </w:r>
      <w:r w:rsidRPr="000567F9">
        <w:rPr>
          <w:rFonts w:ascii="Arial" w:eastAsia="Times New Roman" w:hAnsi="Arial" w:cs="Arial"/>
          <w:sz w:val="24"/>
          <w:szCs w:val="24"/>
          <w:u w:val="single"/>
        </w:rPr>
        <w:t>timothy.kobetz@nrc.gov</w:t>
      </w:r>
      <w:r w:rsidRPr="000567F9">
        <w:rPr>
          <w:rFonts w:ascii="Arial" w:eastAsia="Times New Roman" w:hAnsi="Arial" w:cs="Arial"/>
          <w:sz w:val="24"/>
          <w:szCs w:val="24"/>
        </w:rPr>
        <w:t xml:space="preserve">. </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2515/183-0</w:t>
      </w:r>
      <w:r>
        <w:rPr>
          <w:rFonts w:ascii="Arial" w:eastAsia="Times New Roman" w:hAnsi="Arial" w:cs="Arial"/>
          <w:sz w:val="24"/>
          <w:szCs w:val="24"/>
        </w:rPr>
        <w:t>8</w:t>
      </w:r>
      <w:r w:rsidRPr="000567F9">
        <w:rPr>
          <w:rFonts w:ascii="Arial" w:eastAsia="Times New Roman" w:hAnsi="Arial" w:cs="Arial"/>
          <w:sz w:val="24"/>
          <w:szCs w:val="24"/>
        </w:rPr>
        <w:t xml:space="preserve">  </w:t>
      </w:r>
      <w:r w:rsidRPr="000567F9">
        <w:rPr>
          <w:rFonts w:ascii="Arial" w:eastAsia="Times New Roman" w:hAnsi="Arial" w:cs="Arial"/>
          <w:sz w:val="24"/>
          <w:szCs w:val="24"/>
        </w:rPr>
        <w:tab/>
        <w:t>STATISTICAL DATA REPORTING</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All direct inspection effort expended on this TI is to be charged to 2515/183 with an IPE code of TI.  All indirect inspection effort expended on this TI for preparation and documentation should be attributed to activity codes TIP and TID respectively.</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2515/183-</w:t>
      </w:r>
      <w:r>
        <w:rPr>
          <w:rFonts w:ascii="Arial" w:eastAsia="Times New Roman" w:hAnsi="Arial" w:cs="Arial"/>
          <w:sz w:val="24"/>
          <w:szCs w:val="24"/>
        </w:rPr>
        <w:t>9</w:t>
      </w:r>
      <w:r w:rsidRPr="000567F9">
        <w:rPr>
          <w:rFonts w:ascii="Arial" w:eastAsia="Times New Roman" w:hAnsi="Arial" w:cs="Arial"/>
          <w:sz w:val="24"/>
          <w:szCs w:val="24"/>
        </w:rPr>
        <w:t xml:space="preserve"> </w:t>
      </w:r>
      <w:r w:rsidRPr="000567F9">
        <w:rPr>
          <w:rFonts w:ascii="Arial" w:eastAsia="Times New Roman" w:hAnsi="Arial" w:cs="Arial"/>
          <w:sz w:val="24"/>
          <w:szCs w:val="24"/>
        </w:rPr>
        <w:tab/>
      </w:r>
      <w:r w:rsidRPr="000567F9">
        <w:rPr>
          <w:rFonts w:ascii="Arial" w:eastAsia="Times New Roman" w:hAnsi="Arial" w:cs="Arial"/>
          <w:sz w:val="24"/>
          <w:szCs w:val="24"/>
        </w:rPr>
        <w:tab/>
        <w:t>RESOURCE ESTIMATE</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ab/>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The estimated average time to complete the TI inspection requirements is 40 hours per site.  Where applicable</w:t>
      </w:r>
      <w:r>
        <w:rPr>
          <w:rFonts w:ascii="Arial" w:eastAsia="Times New Roman" w:hAnsi="Arial" w:cs="Arial"/>
          <w:sz w:val="24"/>
          <w:szCs w:val="24"/>
        </w:rPr>
        <w:t>,</w:t>
      </w:r>
      <w:r w:rsidRPr="000567F9">
        <w:rPr>
          <w:rFonts w:ascii="Arial" w:eastAsia="Times New Roman" w:hAnsi="Arial" w:cs="Arial"/>
          <w:sz w:val="24"/>
          <w:szCs w:val="24"/>
        </w:rPr>
        <w:t xml:space="preserve"> inspectors should credit the baseline inspection program for samples reviewed during this TI assessment.</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ab/>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2515/183</w:t>
      </w:r>
      <w:r>
        <w:rPr>
          <w:rFonts w:ascii="Arial" w:eastAsia="Times New Roman" w:hAnsi="Arial" w:cs="Arial"/>
          <w:sz w:val="24"/>
          <w:szCs w:val="24"/>
        </w:rPr>
        <w:t>-10</w:t>
      </w:r>
      <w:r w:rsidRPr="000567F9">
        <w:rPr>
          <w:rFonts w:ascii="Arial" w:eastAsia="Times New Roman" w:hAnsi="Arial" w:cs="Arial"/>
          <w:sz w:val="24"/>
          <w:szCs w:val="24"/>
        </w:rPr>
        <w:t xml:space="preserve"> </w:t>
      </w:r>
      <w:r w:rsidRPr="000567F9">
        <w:rPr>
          <w:rFonts w:ascii="Arial" w:eastAsia="Times New Roman" w:hAnsi="Arial" w:cs="Arial"/>
          <w:sz w:val="24"/>
          <w:szCs w:val="24"/>
        </w:rPr>
        <w:tab/>
      </w:r>
      <w:r w:rsidRPr="000567F9">
        <w:rPr>
          <w:rFonts w:ascii="Arial" w:eastAsia="Times New Roman" w:hAnsi="Arial" w:cs="Arial"/>
          <w:sz w:val="24"/>
          <w:szCs w:val="24"/>
        </w:rPr>
        <w:tab/>
        <w:t>TRAINING</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lastRenderedPageBreak/>
        <w:tab/>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 xml:space="preserve">No additional training </w:t>
      </w:r>
      <w:r>
        <w:rPr>
          <w:rFonts w:ascii="Arial" w:eastAsia="Times New Roman" w:hAnsi="Arial" w:cs="Arial"/>
          <w:sz w:val="24"/>
          <w:szCs w:val="24"/>
        </w:rPr>
        <w:t xml:space="preserve">is </w:t>
      </w:r>
      <w:r w:rsidRPr="000567F9">
        <w:rPr>
          <w:rFonts w:ascii="Arial" w:eastAsia="Times New Roman" w:hAnsi="Arial" w:cs="Arial"/>
          <w:sz w:val="24"/>
          <w:szCs w:val="24"/>
        </w:rPr>
        <w:t xml:space="preserve">required.  </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r w:rsidRPr="000567F9">
        <w:rPr>
          <w:rFonts w:ascii="Arial" w:eastAsia="Times New Roman" w:hAnsi="Arial" w:cs="Arial"/>
          <w:sz w:val="24"/>
          <w:szCs w:val="24"/>
        </w:rPr>
        <w:tab/>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sidRPr="000567F9">
        <w:rPr>
          <w:rFonts w:ascii="Arial" w:eastAsia="Times New Roman" w:hAnsi="Arial" w:cs="Arial"/>
          <w:sz w:val="24"/>
          <w:szCs w:val="24"/>
        </w:rPr>
        <w:t>END</w:t>
      </w: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806"/>
          <w:tab w:val="left" w:pos="1440"/>
          <w:tab w:val="left" w:pos="2074"/>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both"/>
        <w:rPr>
          <w:rFonts w:ascii="Arial" w:eastAsia="Times New Roman" w:hAnsi="Arial" w:cs="Arial"/>
          <w:sz w:val="24"/>
          <w:szCs w:val="24"/>
        </w:rPr>
      </w:pPr>
    </w:p>
    <w:p w:rsidR="007105C6" w:rsidRPr="000567F9" w:rsidRDefault="007105C6" w:rsidP="007105C6">
      <w:pPr>
        <w:tabs>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ind w:left="360"/>
        <w:jc w:val="both"/>
        <w:rPr>
          <w:rFonts w:ascii="Arial" w:eastAsia="Times New Roman" w:hAnsi="Arial" w:cs="Arial"/>
          <w:sz w:val="24"/>
          <w:szCs w:val="24"/>
        </w:rPr>
        <w:sectPr w:rsidR="007105C6" w:rsidRPr="000567F9" w:rsidSect="009240AC">
          <w:footerReference w:type="default" r:id="rId7"/>
          <w:pgSz w:w="12240" w:h="15840" w:code="1"/>
          <w:pgMar w:top="1080" w:right="1440" w:bottom="720" w:left="1440" w:header="1080" w:footer="720" w:gutter="0"/>
          <w:pgNumType w:start="1"/>
          <w:cols w:space="720"/>
        </w:sectPr>
      </w:pPr>
    </w:p>
    <w:p w:rsidR="007105C6" w:rsidRPr="000567F9" w:rsidRDefault="007105C6" w:rsidP="007105C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bCs/>
          <w:sz w:val="24"/>
          <w:szCs w:val="24"/>
        </w:rPr>
      </w:pPr>
      <w:r w:rsidRPr="000567F9">
        <w:rPr>
          <w:rFonts w:ascii="Arial" w:eastAsia="Times New Roman" w:hAnsi="Arial" w:cs="Arial"/>
          <w:bCs/>
          <w:sz w:val="24"/>
          <w:szCs w:val="24"/>
        </w:rPr>
        <w:lastRenderedPageBreak/>
        <w:t>ATTACHMENT 1</w:t>
      </w:r>
    </w:p>
    <w:p w:rsidR="007105C6" w:rsidRPr="000567F9" w:rsidRDefault="007105C6" w:rsidP="007105C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sz w:val="24"/>
          <w:szCs w:val="24"/>
        </w:rPr>
      </w:pPr>
    </w:p>
    <w:p w:rsidR="007105C6" w:rsidRPr="000567F9" w:rsidRDefault="007105C6" w:rsidP="007105C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sz w:val="24"/>
          <w:szCs w:val="24"/>
        </w:rPr>
      </w:pPr>
      <w:r w:rsidRPr="000567F9">
        <w:rPr>
          <w:rFonts w:ascii="Arial" w:eastAsia="Times New Roman" w:hAnsi="Arial" w:cs="Arial"/>
          <w:sz w:val="24"/>
          <w:szCs w:val="24"/>
        </w:rPr>
        <w:t xml:space="preserve">Revision History for </w:t>
      </w:r>
      <w:r w:rsidR="00823517" w:rsidRPr="000567F9">
        <w:rPr>
          <w:rFonts w:ascii="Arial" w:eastAsia="Times New Roman" w:hAnsi="Arial" w:cs="Arial"/>
          <w:sz w:val="24"/>
          <w:szCs w:val="24"/>
        </w:rPr>
        <w:fldChar w:fldCharType="begin"/>
      </w:r>
      <w:r w:rsidRPr="000567F9">
        <w:rPr>
          <w:rFonts w:ascii="Arial" w:eastAsia="Times New Roman" w:hAnsi="Arial" w:cs="Arial"/>
          <w:sz w:val="24"/>
          <w:szCs w:val="24"/>
        </w:rPr>
        <w:instrText>tc "Revision History For"</w:instrText>
      </w:r>
      <w:r w:rsidR="00823517" w:rsidRPr="000567F9">
        <w:rPr>
          <w:rFonts w:ascii="Arial" w:eastAsia="Times New Roman" w:hAnsi="Arial" w:cs="Arial"/>
          <w:sz w:val="24"/>
          <w:szCs w:val="24"/>
        </w:rPr>
        <w:fldChar w:fldCharType="end"/>
      </w:r>
      <w:r w:rsidRPr="000567F9">
        <w:rPr>
          <w:rFonts w:ascii="Arial" w:eastAsia="Times New Roman" w:hAnsi="Arial" w:cs="Arial"/>
          <w:sz w:val="24"/>
          <w:szCs w:val="24"/>
        </w:rPr>
        <w:t>TI 2515/183</w:t>
      </w:r>
    </w:p>
    <w:p w:rsidR="007105C6" w:rsidRPr="000567F9" w:rsidRDefault="007105C6" w:rsidP="007105C6">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Pr>
          <w:rFonts w:ascii="Arial" w:eastAsia="Times New Roman" w:hAnsi="Arial" w:cs="Arial"/>
          <w:caps/>
          <w:sz w:val="24"/>
          <w:szCs w:val="24"/>
        </w:rPr>
        <w:t>Follow</w:t>
      </w:r>
      <w:r w:rsidRPr="000567F9">
        <w:rPr>
          <w:rFonts w:ascii="Arial" w:eastAsia="Times New Roman" w:hAnsi="Arial" w:cs="Arial"/>
          <w:caps/>
          <w:sz w:val="24"/>
          <w:szCs w:val="24"/>
        </w:rPr>
        <w:t>up to Fukushima Daiichi NuCLear Station Fuel Damage Event</w:t>
      </w:r>
    </w:p>
    <w:p w:rsidR="007105C6" w:rsidRPr="000567F9" w:rsidRDefault="007105C6" w:rsidP="007105C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sz w:val="24"/>
          <w:szCs w:val="24"/>
        </w:rPr>
      </w:pPr>
    </w:p>
    <w:p w:rsidR="007105C6" w:rsidRPr="000567F9" w:rsidRDefault="007105C6" w:rsidP="007105C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both"/>
        <w:rPr>
          <w:rFonts w:ascii="Arial" w:eastAsia="Times New Roman" w:hAnsi="Arial" w:cs="Arial"/>
          <w:sz w:val="24"/>
          <w:szCs w:val="24"/>
        </w:rPr>
      </w:pPr>
    </w:p>
    <w:tbl>
      <w:tblPr>
        <w:tblW w:w="0" w:type="auto"/>
        <w:tblInd w:w="100" w:type="dxa"/>
        <w:tblLayout w:type="fixed"/>
        <w:tblCellMar>
          <w:left w:w="100" w:type="dxa"/>
          <w:right w:w="100" w:type="dxa"/>
        </w:tblCellMar>
        <w:tblLook w:val="0000"/>
      </w:tblPr>
      <w:tblGrid>
        <w:gridCol w:w="1620"/>
        <w:gridCol w:w="1800"/>
        <w:gridCol w:w="3690"/>
        <w:gridCol w:w="1170"/>
        <w:gridCol w:w="2070"/>
        <w:gridCol w:w="2610"/>
      </w:tblGrid>
      <w:tr w:rsidR="007105C6" w:rsidRPr="000567F9" w:rsidTr="0090640D">
        <w:trPr>
          <w:cantSplit/>
        </w:trPr>
        <w:tc>
          <w:tcPr>
            <w:tcW w:w="1620" w:type="dxa"/>
            <w:tcBorders>
              <w:top w:val="single" w:sz="6" w:space="0" w:color="000000"/>
              <w:left w:val="single" w:sz="6" w:space="0" w:color="000000"/>
              <w:bottom w:val="nil"/>
              <w:right w:val="nil"/>
            </w:tcBorders>
          </w:tcPr>
          <w:p w:rsidR="007105C6" w:rsidRPr="000567F9" w:rsidRDefault="007105C6" w:rsidP="0090640D">
            <w:pPr>
              <w:numPr>
                <w:ilvl w:val="12"/>
                <w:numId w:val="0"/>
              </w:numPr>
              <w:tabs>
                <w:tab w:val="left" w:pos="360"/>
                <w:tab w:val="left" w:pos="720"/>
                <w:tab w:val="left" w:pos="1080"/>
                <w:tab w:val="left" w:pos="144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Commitment Tracking Number</w:t>
            </w:r>
          </w:p>
        </w:tc>
        <w:tc>
          <w:tcPr>
            <w:tcW w:w="1800" w:type="dxa"/>
            <w:tcBorders>
              <w:top w:val="single" w:sz="6" w:space="0" w:color="000000"/>
              <w:left w:val="single" w:sz="6" w:space="0" w:color="000000"/>
              <w:bottom w:val="nil"/>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Issue Date</w:t>
            </w:r>
          </w:p>
        </w:tc>
        <w:tc>
          <w:tcPr>
            <w:tcW w:w="3690" w:type="dxa"/>
            <w:tcBorders>
              <w:top w:val="single" w:sz="6" w:space="0" w:color="000000"/>
              <w:left w:val="single" w:sz="6" w:space="0" w:color="000000"/>
              <w:bottom w:val="nil"/>
              <w:right w:val="nil"/>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Description of Change</w:t>
            </w:r>
          </w:p>
        </w:tc>
        <w:tc>
          <w:tcPr>
            <w:tcW w:w="1170" w:type="dxa"/>
            <w:tcBorders>
              <w:top w:val="single" w:sz="6" w:space="0" w:color="000000"/>
              <w:left w:val="single" w:sz="6" w:space="0" w:color="000000"/>
              <w:bottom w:val="nil"/>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Training Needed</w:t>
            </w:r>
          </w:p>
        </w:tc>
        <w:tc>
          <w:tcPr>
            <w:tcW w:w="2070" w:type="dxa"/>
            <w:tcBorders>
              <w:top w:val="single" w:sz="6" w:space="0" w:color="000000"/>
              <w:left w:val="single" w:sz="6" w:space="0" w:color="000000"/>
              <w:bottom w:val="nil"/>
              <w:right w:val="nil"/>
            </w:tcBorders>
          </w:tcPr>
          <w:p w:rsidR="007105C6" w:rsidRPr="000567F9" w:rsidRDefault="007105C6" w:rsidP="0090640D">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Comment Resolution  Accession Number</w:t>
            </w:r>
          </w:p>
        </w:tc>
      </w:tr>
      <w:tr w:rsidR="007105C6" w:rsidRPr="000567F9" w:rsidTr="0090640D">
        <w:trPr>
          <w:cantSplit/>
        </w:trPr>
        <w:tc>
          <w:tcPr>
            <w:tcW w:w="162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s>
              <w:autoSpaceDE w:val="0"/>
              <w:autoSpaceDN w:val="0"/>
              <w:adjustRightInd w:val="0"/>
              <w:spacing w:before="100" w:after="48" w:line="240" w:lineRule="exact"/>
              <w:jc w:val="center"/>
              <w:rPr>
                <w:rFonts w:ascii="Arial" w:eastAsia="Times New Roman" w:hAnsi="Arial" w:cs="Arial"/>
                <w:sz w:val="24"/>
                <w:szCs w:val="24"/>
              </w:rPr>
            </w:pPr>
            <w:r w:rsidRPr="000567F9">
              <w:rPr>
                <w:rFonts w:ascii="Arial" w:eastAsia="Times New Roman" w:hAnsi="Arial" w:cs="Arial"/>
                <w:sz w:val="24"/>
                <w:szCs w:val="24"/>
              </w:rPr>
              <w:t>N/A</w:t>
            </w:r>
          </w:p>
        </w:tc>
        <w:tc>
          <w:tcPr>
            <w:tcW w:w="180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after="48" w:line="240" w:lineRule="exact"/>
              <w:jc w:val="both"/>
              <w:rPr>
                <w:rFonts w:ascii="Arial" w:eastAsia="Times New Roman" w:hAnsi="Arial" w:cs="Arial"/>
                <w:sz w:val="24"/>
                <w:szCs w:val="24"/>
              </w:rPr>
            </w:pPr>
            <w:r w:rsidRPr="001407BF">
              <w:rPr>
                <w:rFonts w:ascii="Arial" w:hAnsi="Arial" w:cs="Arial"/>
                <w:color w:val="000000"/>
                <w:sz w:val="24"/>
                <w:szCs w:val="24"/>
              </w:rPr>
              <w:t>ML11077A007</w:t>
            </w:r>
            <w:r w:rsidR="003B3263">
              <w:rPr>
                <w:rFonts w:ascii="Arial" w:eastAsia="Times New Roman" w:hAnsi="Arial" w:cs="Arial"/>
                <w:sz w:val="24"/>
                <w:szCs w:val="24"/>
              </w:rPr>
              <w:t>03/23/11</w:t>
            </w:r>
          </w:p>
        </w:tc>
        <w:tc>
          <w:tcPr>
            <w:tcW w:w="369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r w:rsidRPr="000567F9">
              <w:rPr>
                <w:rFonts w:ascii="Arial" w:eastAsia="Times New Roman" w:hAnsi="Arial" w:cs="Arial"/>
                <w:sz w:val="24"/>
                <w:szCs w:val="24"/>
              </w:rPr>
              <w:t>Researched commitments for 4 years and found none.</w:t>
            </w:r>
          </w:p>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r w:rsidRPr="000567F9">
              <w:rPr>
                <w:rFonts w:ascii="Arial" w:eastAsia="Times New Roman" w:hAnsi="Arial" w:cs="Arial"/>
                <w:sz w:val="24"/>
                <w:szCs w:val="24"/>
              </w:rPr>
              <w:t xml:space="preserve">This is a new document issued for inspections related to the industry response to the Fukushima Daiichi Nuclear Station Fuel Damage Event.  </w:t>
            </w:r>
          </w:p>
        </w:tc>
        <w:tc>
          <w:tcPr>
            <w:tcW w:w="117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before="100" w:after="48" w:line="240" w:lineRule="exact"/>
              <w:jc w:val="center"/>
              <w:rPr>
                <w:rFonts w:ascii="Arial" w:eastAsia="Times New Roman" w:hAnsi="Arial" w:cs="Arial"/>
                <w:sz w:val="24"/>
                <w:szCs w:val="24"/>
              </w:rPr>
            </w:pPr>
            <w:r w:rsidRPr="000567F9">
              <w:rPr>
                <w:rFonts w:ascii="Arial" w:eastAsia="Times New Roman" w:hAnsi="Arial" w:cs="Arial"/>
                <w:sz w:val="24"/>
                <w:szCs w:val="24"/>
              </w:rPr>
              <w:t>No</w:t>
            </w:r>
          </w:p>
        </w:tc>
        <w:tc>
          <w:tcPr>
            <w:tcW w:w="207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jc w:val="center"/>
              <w:rPr>
                <w:rFonts w:ascii="Arial" w:eastAsia="Times New Roman" w:hAnsi="Arial" w:cs="Arial"/>
                <w:sz w:val="24"/>
                <w:szCs w:val="24"/>
              </w:rPr>
            </w:pPr>
            <w:r w:rsidRPr="000567F9">
              <w:rPr>
                <w:rFonts w:ascii="Arial" w:eastAsia="Times New Roman"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jc w:val="both"/>
              <w:rPr>
                <w:rFonts w:ascii="Arial" w:eastAsia="Times New Roman" w:hAnsi="Arial" w:cs="Arial"/>
                <w:sz w:val="24"/>
                <w:szCs w:val="24"/>
              </w:rPr>
            </w:pPr>
            <w:r w:rsidRPr="000567F9">
              <w:rPr>
                <w:rFonts w:ascii="Arial" w:eastAsia="Times New Roman" w:hAnsi="Arial" w:cs="Arial"/>
                <w:sz w:val="24"/>
                <w:szCs w:val="24"/>
              </w:rPr>
              <w:t>N/A</w:t>
            </w:r>
          </w:p>
        </w:tc>
      </w:tr>
      <w:tr w:rsidR="007105C6" w:rsidRPr="000567F9" w:rsidTr="0090640D">
        <w:trPr>
          <w:cantSplit/>
        </w:trPr>
        <w:tc>
          <w:tcPr>
            <w:tcW w:w="162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s>
              <w:autoSpaceDE w:val="0"/>
              <w:autoSpaceDN w:val="0"/>
              <w:adjustRightInd w:val="0"/>
              <w:spacing w:before="100" w:after="48" w:line="240" w:lineRule="exact"/>
              <w:jc w:val="center"/>
              <w:rPr>
                <w:rFonts w:ascii="Arial" w:eastAsia="Times New Roman" w:hAnsi="Arial" w:cs="Arial"/>
                <w:sz w:val="24"/>
                <w:szCs w:val="24"/>
              </w:rPr>
            </w:pPr>
          </w:p>
        </w:tc>
        <w:tc>
          <w:tcPr>
            <w:tcW w:w="180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before="100" w:after="0" w:line="240" w:lineRule="exact"/>
              <w:jc w:val="both"/>
              <w:rPr>
                <w:rFonts w:ascii="Arial" w:eastAsia="Times New Roman" w:hAnsi="Arial" w:cs="Arial"/>
                <w:sz w:val="24"/>
                <w:szCs w:val="24"/>
              </w:rPr>
            </w:pPr>
          </w:p>
        </w:tc>
        <w:tc>
          <w:tcPr>
            <w:tcW w:w="369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p>
        </w:tc>
        <w:tc>
          <w:tcPr>
            <w:tcW w:w="117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s>
              <w:autoSpaceDE w:val="0"/>
              <w:autoSpaceDN w:val="0"/>
              <w:adjustRightInd w:val="0"/>
              <w:spacing w:before="100" w:after="48" w:line="240" w:lineRule="exact"/>
              <w:jc w:val="center"/>
              <w:rPr>
                <w:rFonts w:ascii="Arial" w:eastAsia="Times New Roman" w:hAnsi="Arial" w:cs="Arial"/>
                <w:sz w:val="24"/>
                <w:szCs w:val="24"/>
              </w:rPr>
            </w:pPr>
          </w:p>
        </w:tc>
        <w:tc>
          <w:tcPr>
            <w:tcW w:w="2070" w:type="dxa"/>
            <w:tcBorders>
              <w:top w:val="single" w:sz="6" w:space="0" w:color="000000"/>
              <w:left w:val="single" w:sz="6" w:space="0" w:color="000000"/>
              <w:bottom w:val="single" w:sz="6" w:space="0" w:color="000000"/>
              <w:right w:val="nil"/>
            </w:tcBorders>
          </w:tcPr>
          <w:p w:rsidR="007105C6" w:rsidRPr="000567F9" w:rsidRDefault="007105C6" w:rsidP="0090640D">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jc w:val="center"/>
              <w:rPr>
                <w:rFonts w:ascii="Arial" w:eastAsia="Times New Roman" w:hAnsi="Arial" w:cs="Arial"/>
                <w:sz w:val="24"/>
                <w:szCs w:val="24"/>
              </w:rPr>
            </w:pPr>
          </w:p>
        </w:tc>
        <w:tc>
          <w:tcPr>
            <w:tcW w:w="2610" w:type="dxa"/>
            <w:tcBorders>
              <w:top w:val="single" w:sz="6" w:space="0" w:color="000000"/>
              <w:left w:val="single" w:sz="6" w:space="0" w:color="000000"/>
              <w:bottom w:val="single" w:sz="6" w:space="0" w:color="000000"/>
              <w:right w:val="single" w:sz="6" w:space="0" w:color="000000"/>
            </w:tcBorders>
          </w:tcPr>
          <w:p w:rsidR="007105C6" w:rsidRPr="000567F9" w:rsidRDefault="007105C6" w:rsidP="0090640D">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jc w:val="both"/>
              <w:rPr>
                <w:rFonts w:ascii="Arial" w:eastAsia="Times New Roman" w:hAnsi="Arial" w:cs="Arial"/>
                <w:sz w:val="24"/>
                <w:szCs w:val="24"/>
              </w:rPr>
            </w:pPr>
          </w:p>
        </w:tc>
      </w:tr>
    </w:tbl>
    <w:p w:rsidR="007105C6" w:rsidRPr="000567F9" w:rsidRDefault="007105C6" w:rsidP="007105C6">
      <w:pPr>
        <w:autoSpaceDE w:val="0"/>
        <w:autoSpaceDN w:val="0"/>
        <w:adjustRightInd w:val="0"/>
        <w:spacing w:after="0" w:line="240" w:lineRule="auto"/>
        <w:jc w:val="both"/>
        <w:rPr>
          <w:rFonts w:ascii="Letter Gothic 12cpi" w:eastAsia="Times New Roman" w:hAnsi="Letter Gothic 12cpi" w:cs="Times New Roman"/>
          <w:sz w:val="20"/>
          <w:szCs w:val="20"/>
        </w:rPr>
      </w:pPr>
    </w:p>
    <w:p w:rsidR="007105C6" w:rsidRDefault="007105C6" w:rsidP="007105C6"/>
    <w:p w:rsidR="004A3F84" w:rsidRPr="003F3462" w:rsidRDefault="004A3F84"/>
    <w:sectPr w:rsidR="004A3F84" w:rsidRPr="003F3462" w:rsidSect="009240AC">
      <w:headerReference w:type="default" r:id="rId8"/>
      <w:footerReference w:type="default" r:id="rId9"/>
      <w:pgSz w:w="15840" w:h="12240" w:orient="landscape"/>
      <w:pgMar w:top="1080" w:right="1440" w:bottom="720" w:left="1440" w:header="1195"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227" w:rsidRDefault="005D7227" w:rsidP="000932F5">
      <w:pPr>
        <w:spacing w:after="0" w:line="240" w:lineRule="auto"/>
      </w:pPr>
      <w:r>
        <w:separator/>
      </w:r>
    </w:p>
  </w:endnote>
  <w:endnote w:type="continuationSeparator" w:id="0">
    <w:p w:rsidR="005D7227" w:rsidRDefault="005D7227" w:rsidP="00093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etter Gothic 12cpi">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AC" w:rsidRDefault="007105C6" w:rsidP="009240AC">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Issue Date:  </w:t>
    </w:r>
    <w:r w:rsidR="003B3263">
      <w:rPr>
        <w:rFonts w:ascii="Arial" w:hAnsi="Arial" w:cs="Arial"/>
        <w:sz w:val="24"/>
        <w:szCs w:val="24"/>
      </w:rPr>
      <w:t>03/23/11</w:t>
    </w:r>
    <w:r>
      <w:rPr>
        <w:rFonts w:ascii="Arial" w:hAnsi="Arial" w:cs="Arial"/>
        <w:sz w:val="24"/>
        <w:szCs w:val="24"/>
      </w:rPr>
      <w:tab/>
    </w:r>
    <w:r w:rsidR="00823517" w:rsidRPr="00CF3D38">
      <w:rPr>
        <w:rStyle w:val="PageNumber"/>
        <w:rFonts w:ascii="Arial" w:hAnsi="Arial" w:cs="Arial"/>
        <w:sz w:val="24"/>
        <w:szCs w:val="24"/>
      </w:rPr>
      <w:fldChar w:fldCharType="begin"/>
    </w:r>
    <w:r w:rsidRPr="00CF3D38">
      <w:rPr>
        <w:rStyle w:val="PageNumber"/>
        <w:rFonts w:ascii="Arial" w:hAnsi="Arial" w:cs="Arial"/>
        <w:sz w:val="24"/>
        <w:szCs w:val="24"/>
      </w:rPr>
      <w:instrText xml:space="preserve"> PAGE </w:instrText>
    </w:r>
    <w:r w:rsidR="00823517" w:rsidRPr="00CF3D38">
      <w:rPr>
        <w:rStyle w:val="PageNumber"/>
        <w:rFonts w:ascii="Arial" w:hAnsi="Arial" w:cs="Arial"/>
        <w:sz w:val="24"/>
        <w:szCs w:val="24"/>
      </w:rPr>
      <w:fldChar w:fldCharType="separate"/>
    </w:r>
    <w:r w:rsidR="003B3263">
      <w:rPr>
        <w:rStyle w:val="PageNumber"/>
        <w:rFonts w:ascii="Arial" w:hAnsi="Arial" w:cs="Arial"/>
        <w:noProof/>
        <w:sz w:val="24"/>
        <w:szCs w:val="24"/>
      </w:rPr>
      <w:t>5</w:t>
    </w:r>
    <w:r w:rsidR="00823517" w:rsidRPr="00CF3D38">
      <w:rPr>
        <w:rStyle w:val="PageNumber"/>
        <w:rFonts w:ascii="Arial" w:hAnsi="Arial" w:cs="Arial"/>
        <w:sz w:val="24"/>
        <w:szCs w:val="24"/>
      </w:rPr>
      <w:fldChar w:fldCharType="end"/>
    </w:r>
    <w:r>
      <w:rPr>
        <w:rFonts w:ascii="Arial" w:hAnsi="Arial" w:cs="Arial"/>
        <w:sz w:val="24"/>
        <w:szCs w:val="24"/>
      </w:rPr>
      <w:tab/>
      <w:t>2515/183</w:t>
    </w:r>
  </w:p>
  <w:p w:rsidR="009240AC" w:rsidRPr="00536278" w:rsidRDefault="003B3263" w:rsidP="009240AC">
    <w:pPr>
      <w:pStyle w:val="Footer"/>
      <w:tabs>
        <w:tab w:val="clear" w:pos="4320"/>
        <w:tab w:val="clear" w:pos="8640"/>
        <w:tab w:val="center" w:pos="4680"/>
        <w:tab w:val="right" w:pos="9360"/>
      </w:tabs>
      <w:rPr>
        <w:rFonts w:ascii="Arial" w:hAnsi="Arial" w:cs="Arial"/>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AC" w:rsidRPr="00AF4AAA" w:rsidRDefault="007105C6" w:rsidP="009240AC">
    <w:pPr>
      <w:pStyle w:val="Footer"/>
      <w:tabs>
        <w:tab w:val="clear" w:pos="4320"/>
        <w:tab w:val="clear" w:pos="8640"/>
        <w:tab w:val="center" w:pos="6480"/>
        <w:tab w:val="right" w:pos="12960"/>
      </w:tabs>
      <w:rPr>
        <w:rFonts w:ascii="Arial" w:hAnsi="Arial" w:cs="Arial"/>
        <w:sz w:val="24"/>
        <w:szCs w:val="24"/>
      </w:rPr>
    </w:pPr>
    <w:r w:rsidRPr="00AF4AAA">
      <w:rPr>
        <w:rFonts w:ascii="Arial" w:hAnsi="Arial" w:cs="Arial"/>
        <w:sz w:val="24"/>
        <w:szCs w:val="24"/>
      </w:rPr>
      <w:t xml:space="preserve">Issue Date: </w:t>
    </w:r>
    <w:r w:rsidR="003B3263">
      <w:rPr>
        <w:rFonts w:ascii="Arial" w:hAnsi="Arial" w:cs="Arial"/>
        <w:sz w:val="24"/>
        <w:szCs w:val="24"/>
      </w:rPr>
      <w:t>03/23/11</w:t>
    </w:r>
    <w:r>
      <w:rPr>
        <w:rFonts w:ascii="Arial" w:hAnsi="Arial" w:cs="Arial"/>
        <w:sz w:val="24"/>
        <w:szCs w:val="24"/>
      </w:rPr>
      <w:tab/>
      <w:t>Att1-1</w:t>
    </w:r>
    <w:r>
      <w:rPr>
        <w:rFonts w:ascii="Arial" w:hAnsi="Arial" w:cs="Arial"/>
        <w:sz w:val="24"/>
        <w:szCs w:val="24"/>
      </w:rPr>
      <w:tab/>
      <w:t>2515/183</w:t>
    </w:r>
    <w:r w:rsidRPr="00AF4AAA">
      <w:rPr>
        <w:rFonts w:ascii="Arial" w:hAnsi="Arial" w:cs="Arial"/>
        <w:sz w:val="24"/>
        <w:szCs w:val="24"/>
      </w:rPr>
      <w:tab/>
    </w:r>
  </w:p>
  <w:p w:rsidR="009240AC" w:rsidRDefault="003B3263" w:rsidP="009240AC">
    <w:pPr>
      <w:tabs>
        <w:tab w:val="center" w:pos="6480"/>
        <w:tab w:val="right" w:pos="12960"/>
      </w:tabs>
      <w:rPr>
        <w:rFonts w:ascii="Arial" w:hAnsi="Arial" w:cs="Arial"/>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227" w:rsidRDefault="005D7227" w:rsidP="000932F5">
      <w:pPr>
        <w:spacing w:after="0" w:line="240" w:lineRule="auto"/>
      </w:pPr>
      <w:r>
        <w:separator/>
      </w:r>
    </w:p>
  </w:footnote>
  <w:footnote w:type="continuationSeparator" w:id="0">
    <w:p w:rsidR="005D7227" w:rsidRDefault="005D7227" w:rsidP="00093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AC" w:rsidRPr="007B441B" w:rsidRDefault="003B3263" w:rsidP="009240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7B1E"/>
    <w:multiLevelType w:val="hybridMultilevel"/>
    <w:tmpl w:val="0ED8C396"/>
    <w:lvl w:ilvl="0" w:tplc="6428DE0C">
      <w:start w:val="1"/>
      <w:numFmt w:val="lowerLetter"/>
      <w:lvlText w:val="%1."/>
      <w:lvlJc w:val="left"/>
      <w:pPr>
        <w:ind w:left="99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0FE425B"/>
    <w:multiLevelType w:val="hybridMultilevel"/>
    <w:tmpl w:val="B9B60C76"/>
    <w:lvl w:ilvl="0" w:tplc="04090019">
      <w:start w:val="1"/>
      <w:numFmt w:val="lowerLetter"/>
      <w:lvlText w:val="%1."/>
      <w:lvlJc w:val="left"/>
      <w:pPr>
        <w:ind w:left="994" w:hanging="360"/>
      </w:pPr>
      <w:rPr>
        <w:rFonts w:cs="Times New Roman"/>
      </w:rPr>
    </w:lvl>
    <w:lvl w:ilvl="1" w:tplc="04090019">
      <w:start w:val="1"/>
      <w:numFmt w:val="lowerLetter"/>
      <w:lvlText w:val="%2."/>
      <w:lvlJc w:val="left"/>
      <w:pPr>
        <w:ind w:left="1714" w:hanging="360"/>
      </w:pPr>
      <w:rPr>
        <w:rFonts w:cs="Times New Roman"/>
      </w:rPr>
    </w:lvl>
    <w:lvl w:ilvl="2" w:tplc="0409001B" w:tentative="1">
      <w:start w:val="1"/>
      <w:numFmt w:val="lowerRoman"/>
      <w:lvlText w:val="%3."/>
      <w:lvlJc w:val="right"/>
      <w:pPr>
        <w:ind w:left="2434" w:hanging="180"/>
      </w:pPr>
      <w:rPr>
        <w:rFonts w:cs="Times New Roman"/>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105C6"/>
    <w:rsid w:val="000009B9"/>
    <w:rsid w:val="00002089"/>
    <w:rsid w:val="00004614"/>
    <w:rsid w:val="00004C49"/>
    <w:rsid w:val="00007CDF"/>
    <w:rsid w:val="00017821"/>
    <w:rsid w:val="00017DC9"/>
    <w:rsid w:val="0003039C"/>
    <w:rsid w:val="00031F1A"/>
    <w:rsid w:val="00033638"/>
    <w:rsid w:val="000343DE"/>
    <w:rsid w:val="00034E95"/>
    <w:rsid w:val="000455CE"/>
    <w:rsid w:val="000464DC"/>
    <w:rsid w:val="00052156"/>
    <w:rsid w:val="0005279C"/>
    <w:rsid w:val="000544F1"/>
    <w:rsid w:val="00057835"/>
    <w:rsid w:val="000609B6"/>
    <w:rsid w:val="00063D8D"/>
    <w:rsid w:val="00064481"/>
    <w:rsid w:val="00070C0C"/>
    <w:rsid w:val="00072517"/>
    <w:rsid w:val="00084D4A"/>
    <w:rsid w:val="000861FA"/>
    <w:rsid w:val="00086C45"/>
    <w:rsid w:val="0009168B"/>
    <w:rsid w:val="000932F5"/>
    <w:rsid w:val="000A2465"/>
    <w:rsid w:val="000A6767"/>
    <w:rsid w:val="000B0A87"/>
    <w:rsid w:val="000B2948"/>
    <w:rsid w:val="000B2B4B"/>
    <w:rsid w:val="000B637B"/>
    <w:rsid w:val="000B72B0"/>
    <w:rsid w:val="000C1AB7"/>
    <w:rsid w:val="000C3084"/>
    <w:rsid w:val="000C41A1"/>
    <w:rsid w:val="000D13D7"/>
    <w:rsid w:val="000D4AFD"/>
    <w:rsid w:val="000E385B"/>
    <w:rsid w:val="000E5FBC"/>
    <w:rsid w:val="000E655A"/>
    <w:rsid w:val="000E73CF"/>
    <w:rsid w:val="000E7D33"/>
    <w:rsid w:val="000F2E58"/>
    <w:rsid w:val="000F60F2"/>
    <w:rsid w:val="00101687"/>
    <w:rsid w:val="0010187B"/>
    <w:rsid w:val="00105E68"/>
    <w:rsid w:val="001070F0"/>
    <w:rsid w:val="00111AEA"/>
    <w:rsid w:val="00111BF7"/>
    <w:rsid w:val="00117C06"/>
    <w:rsid w:val="00125640"/>
    <w:rsid w:val="00126705"/>
    <w:rsid w:val="00126D79"/>
    <w:rsid w:val="00130178"/>
    <w:rsid w:val="0013085D"/>
    <w:rsid w:val="00133622"/>
    <w:rsid w:val="001337AE"/>
    <w:rsid w:val="001353EE"/>
    <w:rsid w:val="00143810"/>
    <w:rsid w:val="00143BBC"/>
    <w:rsid w:val="00145CB9"/>
    <w:rsid w:val="00147BF0"/>
    <w:rsid w:val="001548EE"/>
    <w:rsid w:val="0017088C"/>
    <w:rsid w:val="001715F3"/>
    <w:rsid w:val="00172D8E"/>
    <w:rsid w:val="00173107"/>
    <w:rsid w:val="00175AEB"/>
    <w:rsid w:val="00182C13"/>
    <w:rsid w:val="00184D8C"/>
    <w:rsid w:val="00194747"/>
    <w:rsid w:val="001A6C1A"/>
    <w:rsid w:val="001B0A74"/>
    <w:rsid w:val="001B647A"/>
    <w:rsid w:val="001B6E6A"/>
    <w:rsid w:val="001D0C8A"/>
    <w:rsid w:val="001D2795"/>
    <w:rsid w:val="001D6CD0"/>
    <w:rsid w:val="001D7705"/>
    <w:rsid w:val="001E2EA4"/>
    <w:rsid w:val="001E3613"/>
    <w:rsid w:val="001F040B"/>
    <w:rsid w:val="001F4F54"/>
    <w:rsid w:val="001F6D5E"/>
    <w:rsid w:val="00200327"/>
    <w:rsid w:val="00207DC0"/>
    <w:rsid w:val="002240DD"/>
    <w:rsid w:val="002277B3"/>
    <w:rsid w:val="00230722"/>
    <w:rsid w:val="00235856"/>
    <w:rsid w:val="00235887"/>
    <w:rsid w:val="00236FE5"/>
    <w:rsid w:val="002374FF"/>
    <w:rsid w:val="00245575"/>
    <w:rsid w:val="00245CA8"/>
    <w:rsid w:val="002536FC"/>
    <w:rsid w:val="00255D37"/>
    <w:rsid w:val="00256DB0"/>
    <w:rsid w:val="002602EA"/>
    <w:rsid w:val="00266E1E"/>
    <w:rsid w:val="0027458D"/>
    <w:rsid w:val="002747EC"/>
    <w:rsid w:val="0027495E"/>
    <w:rsid w:val="00275DE9"/>
    <w:rsid w:val="002760E2"/>
    <w:rsid w:val="002809B6"/>
    <w:rsid w:val="00280E83"/>
    <w:rsid w:val="0028413B"/>
    <w:rsid w:val="0028552A"/>
    <w:rsid w:val="00285762"/>
    <w:rsid w:val="00286A0A"/>
    <w:rsid w:val="00294770"/>
    <w:rsid w:val="00294E41"/>
    <w:rsid w:val="00297F34"/>
    <w:rsid w:val="002A4D51"/>
    <w:rsid w:val="002A5BAD"/>
    <w:rsid w:val="002C017D"/>
    <w:rsid w:val="002C0434"/>
    <w:rsid w:val="002C25FD"/>
    <w:rsid w:val="002C27E3"/>
    <w:rsid w:val="002C2E0B"/>
    <w:rsid w:val="002C46D1"/>
    <w:rsid w:val="002C6577"/>
    <w:rsid w:val="002C6772"/>
    <w:rsid w:val="002D4DF2"/>
    <w:rsid w:val="002D5463"/>
    <w:rsid w:val="002D54E2"/>
    <w:rsid w:val="002E010B"/>
    <w:rsid w:val="002E181A"/>
    <w:rsid w:val="002E384F"/>
    <w:rsid w:val="002E3FD4"/>
    <w:rsid w:val="002E6452"/>
    <w:rsid w:val="002E6993"/>
    <w:rsid w:val="002E6C0C"/>
    <w:rsid w:val="002E6E7F"/>
    <w:rsid w:val="002E7F39"/>
    <w:rsid w:val="002F01BC"/>
    <w:rsid w:val="002F2F54"/>
    <w:rsid w:val="002F5928"/>
    <w:rsid w:val="002F712F"/>
    <w:rsid w:val="0030287D"/>
    <w:rsid w:val="00303DE1"/>
    <w:rsid w:val="0030441D"/>
    <w:rsid w:val="00305C05"/>
    <w:rsid w:val="0030711E"/>
    <w:rsid w:val="003078C0"/>
    <w:rsid w:val="00314498"/>
    <w:rsid w:val="00320447"/>
    <w:rsid w:val="003231AE"/>
    <w:rsid w:val="00323B4D"/>
    <w:rsid w:val="00326747"/>
    <w:rsid w:val="0033273E"/>
    <w:rsid w:val="00334231"/>
    <w:rsid w:val="00345F7D"/>
    <w:rsid w:val="00346CBF"/>
    <w:rsid w:val="003473BF"/>
    <w:rsid w:val="0035050E"/>
    <w:rsid w:val="00360EEA"/>
    <w:rsid w:val="00361D85"/>
    <w:rsid w:val="00366AB1"/>
    <w:rsid w:val="00366E7F"/>
    <w:rsid w:val="003754C8"/>
    <w:rsid w:val="00375846"/>
    <w:rsid w:val="0037624D"/>
    <w:rsid w:val="00383AE5"/>
    <w:rsid w:val="00383CD9"/>
    <w:rsid w:val="00390EF8"/>
    <w:rsid w:val="0039797A"/>
    <w:rsid w:val="003A2FD0"/>
    <w:rsid w:val="003A4366"/>
    <w:rsid w:val="003A5FDB"/>
    <w:rsid w:val="003A626C"/>
    <w:rsid w:val="003B3263"/>
    <w:rsid w:val="003B378C"/>
    <w:rsid w:val="003B426E"/>
    <w:rsid w:val="003B57A1"/>
    <w:rsid w:val="003C411C"/>
    <w:rsid w:val="003C583D"/>
    <w:rsid w:val="003D1D7D"/>
    <w:rsid w:val="003D3A14"/>
    <w:rsid w:val="003D7BBB"/>
    <w:rsid w:val="003E2E4E"/>
    <w:rsid w:val="003E7F3C"/>
    <w:rsid w:val="003F1259"/>
    <w:rsid w:val="003F2906"/>
    <w:rsid w:val="003F3462"/>
    <w:rsid w:val="003F38DB"/>
    <w:rsid w:val="003F5894"/>
    <w:rsid w:val="00400DAF"/>
    <w:rsid w:val="00400DD7"/>
    <w:rsid w:val="00401E63"/>
    <w:rsid w:val="00402004"/>
    <w:rsid w:val="00403EE3"/>
    <w:rsid w:val="0041108D"/>
    <w:rsid w:val="004159F9"/>
    <w:rsid w:val="00415F6C"/>
    <w:rsid w:val="00416ECF"/>
    <w:rsid w:val="00421064"/>
    <w:rsid w:val="004310ED"/>
    <w:rsid w:val="00431BDE"/>
    <w:rsid w:val="00434E02"/>
    <w:rsid w:val="004448E8"/>
    <w:rsid w:val="00445A82"/>
    <w:rsid w:val="004461FD"/>
    <w:rsid w:val="00454A92"/>
    <w:rsid w:val="0045601E"/>
    <w:rsid w:val="00457F30"/>
    <w:rsid w:val="00461453"/>
    <w:rsid w:val="004667E5"/>
    <w:rsid w:val="00471549"/>
    <w:rsid w:val="004746ED"/>
    <w:rsid w:val="004801D5"/>
    <w:rsid w:val="00483C6E"/>
    <w:rsid w:val="00487C01"/>
    <w:rsid w:val="00490407"/>
    <w:rsid w:val="00492331"/>
    <w:rsid w:val="00495B72"/>
    <w:rsid w:val="004A2A24"/>
    <w:rsid w:val="004A2C07"/>
    <w:rsid w:val="004A390B"/>
    <w:rsid w:val="004A3F84"/>
    <w:rsid w:val="004A5F7E"/>
    <w:rsid w:val="004B0941"/>
    <w:rsid w:val="004B1583"/>
    <w:rsid w:val="004B1DAA"/>
    <w:rsid w:val="004B3A3D"/>
    <w:rsid w:val="004B6B28"/>
    <w:rsid w:val="004C0892"/>
    <w:rsid w:val="004C267D"/>
    <w:rsid w:val="004C7863"/>
    <w:rsid w:val="004E2052"/>
    <w:rsid w:val="004E21D5"/>
    <w:rsid w:val="004E43D4"/>
    <w:rsid w:val="004F0563"/>
    <w:rsid w:val="004F22F0"/>
    <w:rsid w:val="004F7A0D"/>
    <w:rsid w:val="00500080"/>
    <w:rsid w:val="00500388"/>
    <w:rsid w:val="00501779"/>
    <w:rsid w:val="005021CD"/>
    <w:rsid w:val="00502C6A"/>
    <w:rsid w:val="00505E0F"/>
    <w:rsid w:val="005069E4"/>
    <w:rsid w:val="00516084"/>
    <w:rsid w:val="00516D6F"/>
    <w:rsid w:val="00516FD5"/>
    <w:rsid w:val="00522E51"/>
    <w:rsid w:val="00523333"/>
    <w:rsid w:val="0053292F"/>
    <w:rsid w:val="00533AF7"/>
    <w:rsid w:val="005451D0"/>
    <w:rsid w:val="00546799"/>
    <w:rsid w:val="00550D15"/>
    <w:rsid w:val="00554169"/>
    <w:rsid w:val="0056125D"/>
    <w:rsid w:val="00567826"/>
    <w:rsid w:val="0057124C"/>
    <w:rsid w:val="0057253B"/>
    <w:rsid w:val="0058555A"/>
    <w:rsid w:val="00594418"/>
    <w:rsid w:val="00595F39"/>
    <w:rsid w:val="005A03FB"/>
    <w:rsid w:val="005A197E"/>
    <w:rsid w:val="005C71F0"/>
    <w:rsid w:val="005D3297"/>
    <w:rsid w:val="005D7227"/>
    <w:rsid w:val="005E019A"/>
    <w:rsid w:val="005E2670"/>
    <w:rsid w:val="005E66A7"/>
    <w:rsid w:val="005E7F53"/>
    <w:rsid w:val="005F08D8"/>
    <w:rsid w:val="005F38C2"/>
    <w:rsid w:val="005F6DB1"/>
    <w:rsid w:val="005F7E70"/>
    <w:rsid w:val="006115B3"/>
    <w:rsid w:val="00611EF0"/>
    <w:rsid w:val="0062151F"/>
    <w:rsid w:val="0062430C"/>
    <w:rsid w:val="00624C8C"/>
    <w:rsid w:val="00631A41"/>
    <w:rsid w:val="006329BB"/>
    <w:rsid w:val="00640D80"/>
    <w:rsid w:val="00642565"/>
    <w:rsid w:val="00647A3E"/>
    <w:rsid w:val="00654979"/>
    <w:rsid w:val="00654EA5"/>
    <w:rsid w:val="00656D7E"/>
    <w:rsid w:val="00660899"/>
    <w:rsid w:val="00661270"/>
    <w:rsid w:val="006621B1"/>
    <w:rsid w:val="00664213"/>
    <w:rsid w:val="0066626C"/>
    <w:rsid w:val="00667880"/>
    <w:rsid w:val="00671BD0"/>
    <w:rsid w:val="00671D6E"/>
    <w:rsid w:val="00672207"/>
    <w:rsid w:val="00673AA8"/>
    <w:rsid w:val="006759CD"/>
    <w:rsid w:val="00680658"/>
    <w:rsid w:val="00684B70"/>
    <w:rsid w:val="0068630C"/>
    <w:rsid w:val="00686665"/>
    <w:rsid w:val="006904D6"/>
    <w:rsid w:val="006926C2"/>
    <w:rsid w:val="00696878"/>
    <w:rsid w:val="006A1204"/>
    <w:rsid w:val="006A206D"/>
    <w:rsid w:val="006B0C36"/>
    <w:rsid w:val="006B2A95"/>
    <w:rsid w:val="006B666A"/>
    <w:rsid w:val="006B6889"/>
    <w:rsid w:val="006D30FC"/>
    <w:rsid w:val="006D53C1"/>
    <w:rsid w:val="006D6478"/>
    <w:rsid w:val="006E01CE"/>
    <w:rsid w:val="006E3BD0"/>
    <w:rsid w:val="006E54A9"/>
    <w:rsid w:val="006F3B23"/>
    <w:rsid w:val="006F73AD"/>
    <w:rsid w:val="006F770C"/>
    <w:rsid w:val="00707BE3"/>
    <w:rsid w:val="007105C6"/>
    <w:rsid w:val="00712500"/>
    <w:rsid w:val="00715C0F"/>
    <w:rsid w:val="00717BF1"/>
    <w:rsid w:val="007211C5"/>
    <w:rsid w:val="00721647"/>
    <w:rsid w:val="0072461D"/>
    <w:rsid w:val="00725309"/>
    <w:rsid w:val="007269A2"/>
    <w:rsid w:val="007271B3"/>
    <w:rsid w:val="00741133"/>
    <w:rsid w:val="007425D2"/>
    <w:rsid w:val="007437DD"/>
    <w:rsid w:val="00744013"/>
    <w:rsid w:val="00745C5F"/>
    <w:rsid w:val="007471EA"/>
    <w:rsid w:val="00762922"/>
    <w:rsid w:val="007659F5"/>
    <w:rsid w:val="007707A6"/>
    <w:rsid w:val="00773BE6"/>
    <w:rsid w:val="00775304"/>
    <w:rsid w:val="00775418"/>
    <w:rsid w:val="0078248E"/>
    <w:rsid w:val="00783490"/>
    <w:rsid w:val="00783505"/>
    <w:rsid w:val="00784C3B"/>
    <w:rsid w:val="00786DDA"/>
    <w:rsid w:val="00787D5A"/>
    <w:rsid w:val="00793E9E"/>
    <w:rsid w:val="0079404A"/>
    <w:rsid w:val="007A063D"/>
    <w:rsid w:val="007A3F3E"/>
    <w:rsid w:val="007A49F8"/>
    <w:rsid w:val="007A6935"/>
    <w:rsid w:val="007A7387"/>
    <w:rsid w:val="007A7549"/>
    <w:rsid w:val="007A7869"/>
    <w:rsid w:val="007B236C"/>
    <w:rsid w:val="007B23AD"/>
    <w:rsid w:val="007B3DBC"/>
    <w:rsid w:val="007B4C91"/>
    <w:rsid w:val="007B6E4C"/>
    <w:rsid w:val="007C3058"/>
    <w:rsid w:val="007D21AD"/>
    <w:rsid w:val="007D33FD"/>
    <w:rsid w:val="007E00C4"/>
    <w:rsid w:val="007E2C0E"/>
    <w:rsid w:val="007E5BE7"/>
    <w:rsid w:val="007F1302"/>
    <w:rsid w:val="007F21E3"/>
    <w:rsid w:val="007F375C"/>
    <w:rsid w:val="007F3ACF"/>
    <w:rsid w:val="008016FB"/>
    <w:rsid w:val="00806828"/>
    <w:rsid w:val="008078EF"/>
    <w:rsid w:val="00811527"/>
    <w:rsid w:val="00811ED1"/>
    <w:rsid w:val="00812A5F"/>
    <w:rsid w:val="008162CE"/>
    <w:rsid w:val="008223D6"/>
    <w:rsid w:val="00823517"/>
    <w:rsid w:val="00824142"/>
    <w:rsid w:val="00824AB9"/>
    <w:rsid w:val="00833BFF"/>
    <w:rsid w:val="0083474D"/>
    <w:rsid w:val="00837302"/>
    <w:rsid w:val="00842176"/>
    <w:rsid w:val="00842A3F"/>
    <w:rsid w:val="00845A43"/>
    <w:rsid w:val="00846CB4"/>
    <w:rsid w:val="00851FD3"/>
    <w:rsid w:val="0085337F"/>
    <w:rsid w:val="00853A10"/>
    <w:rsid w:val="00854798"/>
    <w:rsid w:val="008725E2"/>
    <w:rsid w:val="0087559B"/>
    <w:rsid w:val="00875950"/>
    <w:rsid w:val="00876595"/>
    <w:rsid w:val="0087782B"/>
    <w:rsid w:val="00881BB3"/>
    <w:rsid w:val="0088299B"/>
    <w:rsid w:val="00885651"/>
    <w:rsid w:val="00885B66"/>
    <w:rsid w:val="0088729A"/>
    <w:rsid w:val="00887344"/>
    <w:rsid w:val="00890AEA"/>
    <w:rsid w:val="0089133B"/>
    <w:rsid w:val="008938BA"/>
    <w:rsid w:val="00894674"/>
    <w:rsid w:val="008A2FF1"/>
    <w:rsid w:val="008A4AB4"/>
    <w:rsid w:val="008B1C28"/>
    <w:rsid w:val="008B2973"/>
    <w:rsid w:val="008B6A3D"/>
    <w:rsid w:val="008C0C84"/>
    <w:rsid w:val="008C23C6"/>
    <w:rsid w:val="008D08ED"/>
    <w:rsid w:val="008D5C26"/>
    <w:rsid w:val="008E1DC0"/>
    <w:rsid w:val="008E4FAA"/>
    <w:rsid w:val="008E6F2B"/>
    <w:rsid w:val="008E7C0D"/>
    <w:rsid w:val="008F0B6D"/>
    <w:rsid w:val="008F1866"/>
    <w:rsid w:val="008F2D7C"/>
    <w:rsid w:val="008F33AE"/>
    <w:rsid w:val="00902AA3"/>
    <w:rsid w:val="009104EF"/>
    <w:rsid w:val="00910949"/>
    <w:rsid w:val="00930BB3"/>
    <w:rsid w:val="00931309"/>
    <w:rsid w:val="00931C7E"/>
    <w:rsid w:val="0093309C"/>
    <w:rsid w:val="009375B3"/>
    <w:rsid w:val="0094076E"/>
    <w:rsid w:val="009453C7"/>
    <w:rsid w:val="00947690"/>
    <w:rsid w:val="00950426"/>
    <w:rsid w:val="009509DA"/>
    <w:rsid w:val="00953127"/>
    <w:rsid w:val="00955D2A"/>
    <w:rsid w:val="00957736"/>
    <w:rsid w:val="0096358D"/>
    <w:rsid w:val="00966363"/>
    <w:rsid w:val="00966661"/>
    <w:rsid w:val="00966AC4"/>
    <w:rsid w:val="009721BB"/>
    <w:rsid w:val="00973620"/>
    <w:rsid w:val="009750D2"/>
    <w:rsid w:val="009816B6"/>
    <w:rsid w:val="009A51A2"/>
    <w:rsid w:val="009A74C9"/>
    <w:rsid w:val="009B1F7E"/>
    <w:rsid w:val="009B3895"/>
    <w:rsid w:val="009B3ACC"/>
    <w:rsid w:val="009B3BC6"/>
    <w:rsid w:val="009B3D4E"/>
    <w:rsid w:val="009C0015"/>
    <w:rsid w:val="009C33BE"/>
    <w:rsid w:val="009C46A6"/>
    <w:rsid w:val="009D49CC"/>
    <w:rsid w:val="009E0592"/>
    <w:rsid w:val="009E50BA"/>
    <w:rsid w:val="009E554E"/>
    <w:rsid w:val="00A05617"/>
    <w:rsid w:val="00A0702C"/>
    <w:rsid w:val="00A17755"/>
    <w:rsid w:val="00A21B6E"/>
    <w:rsid w:val="00A2339B"/>
    <w:rsid w:val="00A241CA"/>
    <w:rsid w:val="00A24935"/>
    <w:rsid w:val="00A31380"/>
    <w:rsid w:val="00A40C6B"/>
    <w:rsid w:val="00A40E2B"/>
    <w:rsid w:val="00A424BE"/>
    <w:rsid w:val="00A43420"/>
    <w:rsid w:val="00A50051"/>
    <w:rsid w:val="00A500C6"/>
    <w:rsid w:val="00A53510"/>
    <w:rsid w:val="00A54BF6"/>
    <w:rsid w:val="00A55F66"/>
    <w:rsid w:val="00A57D8F"/>
    <w:rsid w:val="00A6073C"/>
    <w:rsid w:val="00A6347A"/>
    <w:rsid w:val="00A6724C"/>
    <w:rsid w:val="00A67F72"/>
    <w:rsid w:val="00A751A0"/>
    <w:rsid w:val="00A77A3D"/>
    <w:rsid w:val="00A815E8"/>
    <w:rsid w:val="00A9142D"/>
    <w:rsid w:val="00A940BB"/>
    <w:rsid w:val="00A94F27"/>
    <w:rsid w:val="00A95E72"/>
    <w:rsid w:val="00AA2721"/>
    <w:rsid w:val="00AA4B15"/>
    <w:rsid w:val="00AA6148"/>
    <w:rsid w:val="00AB01D0"/>
    <w:rsid w:val="00AB314B"/>
    <w:rsid w:val="00AB63D1"/>
    <w:rsid w:val="00AB6E17"/>
    <w:rsid w:val="00AC296F"/>
    <w:rsid w:val="00AC5122"/>
    <w:rsid w:val="00AD0887"/>
    <w:rsid w:val="00AD1E55"/>
    <w:rsid w:val="00AD242E"/>
    <w:rsid w:val="00AD3170"/>
    <w:rsid w:val="00AD723B"/>
    <w:rsid w:val="00AD7786"/>
    <w:rsid w:val="00AE121E"/>
    <w:rsid w:val="00AE2775"/>
    <w:rsid w:val="00AE3B27"/>
    <w:rsid w:val="00AF41E3"/>
    <w:rsid w:val="00AF7698"/>
    <w:rsid w:val="00AF7B27"/>
    <w:rsid w:val="00B0021B"/>
    <w:rsid w:val="00B03A93"/>
    <w:rsid w:val="00B04859"/>
    <w:rsid w:val="00B10753"/>
    <w:rsid w:val="00B15094"/>
    <w:rsid w:val="00B16294"/>
    <w:rsid w:val="00B16655"/>
    <w:rsid w:val="00B20EFB"/>
    <w:rsid w:val="00B2264E"/>
    <w:rsid w:val="00B22DF4"/>
    <w:rsid w:val="00B24A52"/>
    <w:rsid w:val="00B2798A"/>
    <w:rsid w:val="00B30F3C"/>
    <w:rsid w:val="00B358AE"/>
    <w:rsid w:val="00B40021"/>
    <w:rsid w:val="00B40DA8"/>
    <w:rsid w:val="00B4532B"/>
    <w:rsid w:val="00B45CEB"/>
    <w:rsid w:val="00B47110"/>
    <w:rsid w:val="00B47DA8"/>
    <w:rsid w:val="00B52BA5"/>
    <w:rsid w:val="00B6149C"/>
    <w:rsid w:val="00B67257"/>
    <w:rsid w:val="00B67313"/>
    <w:rsid w:val="00B80B47"/>
    <w:rsid w:val="00B86456"/>
    <w:rsid w:val="00B86FAE"/>
    <w:rsid w:val="00B87C74"/>
    <w:rsid w:val="00B9323E"/>
    <w:rsid w:val="00BA3A91"/>
    <w:rsid w:val="00BA3ADE"/>
    <w:rsid w:val="00BA4136"/>
    <w:rsid w:val="00BA6664"/>
    <w:rsid w:val="00BB0AA2"/>
    <w:rsid w:val="00BB0D7F"/>
    <w:rsid w:val="00BB6412"/>
    <w:rsid w:val="00BB6F8F"/>
    <w:rsid w:val="00BC180B"/>
    <w:rsid w:val="00BC4604"/>
    <w:rsid w:val="00BC56DD"/>
    <w:rsid w:val="00BC5DE2"/>
    <w:rsid w:val="00BD3AFF"/>
    <w:rsid w:val="00BD44B9"/>
    <w:rsid w:val="00BE2288"/>
    <w:rsid w:val="00BE2441"/>
    <w:rsid w:val="00BE421B"/>
    <w:rsid w:val="00BF0A00"/>
    <w:rsid w:val="00BF1F2F"/>
    <w:rsid w:val="00BF39B1"/>
    <w:rsid w:val="00BF6094"/>
    <w:rsid w:val="00C02050"/>
    <w:rsid w:val="00C04ED5"/>
    <w:rsid w:val="00C05F6C"/>
    <w:rsid w:val="00C1242B"/>
    <w:rsid w:val="00C13EBF"/>
    <w:rsid w:val="00C13F5C"/>
    <w:rsid w:val="00C20A22"/>
    <w:rsid w:val="00C21275"/>
    <w:rsid w:val="00C25C84"/>
    <w:rsid w:val="00C3204B"/>
    <w:rsid w:val="00C416E7"/>
    <w:rsid w:val="00C44FFC"/>
    <w:rsid w:val="00C47A95"/>
    <w:rsid w:val="00C50635"/>
    <w:rsid w:val="00C514A2"/>
    <w:rsid w:val="00C5535B"/>
    <w:rsid w:val="00C56B98"/>
    <w:rsid w:val="00C74AF2"/>
    <w:rsid w:val="00C74C66"/>
    <w:rsid w:val="00C8034F"/>
    <w:rsid w:val="00C84A09"/>
    <w:rsid w:val="00C862EA"/>
    <w:rsid w:val="00C924C6"/>
    <w:rsid w:val="00C92643"/>
    <w:rsid w:val="00C954CB"/>
    <w:rsid w:val="00CA118E"/>
    <w:rsid w:val="00CA2B04"/>
    <w:rsid w:val="00CA393C"/>
    <w:rsid w:val="00CA4851"/>
    <w:rsid w:val="00CA5ED6"/>
    <w:rsid w:val="00CC2C9C"/>
    <w:rsid w:val="00CD0065"/>
    <w:rsid w:val="00CD298F"/>
    <w:rsid w:val="00CD2B93"/>
    <w:rsid w:val="00CD3540"/>
    <w:rsid w:val="00CE18A4"/>
    <w:rsid w:val="00CE4779"/>
    <w:rsid w:val="00CE5914"/>
    <w:rsid w:val="00CE60F5"/>
    <w:rsid w:val="00CE6F1F"/>
    <w:rsid w:val="00CE7EAE"/>
    <w:rsid w:val="00CF2940"/>
    <w:rsid w:val="00CF34BF"/>
    <w:rsid w:val="00CF7570"/>
    <w:rsid w:val="00CF777D"/>
    <w:rsid w:val="00D05B35"/>
    <w:rsid w:val="00D07254"/>
    <w:rsid w:val="00D0744B"/>
    <w:rsid w:val="00D0747C"/>
    <w:rsid w:val="00D10EF5"/>
    <w:rsid w:val="00D119B9"/>
    <w:rsid w:val="00D12B2C"/>
    <w:rsid w:val="00D1327D"/>
    <w:rsid w:val="00D13D13"/>
    <w:rsid w:val="00D24DFA"/>
    <w:rsid w:val="00D3288F"/>
    <w:rsid w:val="00D3698B"/>
    <w:rsid w:val="00D44C43"/>
    <w:rsid w:val="00D45B60"/>
    <w:rsid w:val="00D51A33"/>
    <w:rsid w:val="00D52ABB"/>
    <w:rsid w:val="00D60698"/>
    <w:rsid w:val="00D62565"/>
    <w:rsid w:val="00D62AA2"/>
    <w:rsid w:val="00D661DB"/>
    <w:rsid w:val="00D70236"/>
    <w:rsid w:val="00D8094B"/>
    <w:rsid w:val="00D842F7"/>
    <w:rsid w:val="00D87658"/>
    <w:rsid w:val="00D9238A"/>
    <w:rsid w:val="00D934FA"/>
    <w:rsid w:val="00D95F4D"/>
    <w:rsid w:val="00D96899"/>
    <w:rsid w:val="00D977D7"/>
    <w:rsid w:val="00DA0D95"/>
    <w:rsid w:val="00DA1224"/>
    <w:rsid w:val="00DA2878"/>
    <w:rsid w:val="00DB128A"/>
    <w:rsid w:val="00DB5712"/>
    <w:rsid w:val="00DD1819"/>
    <w:rsid w:val="00DD5374"/>
    <w:rsid w:val="00DE39C3"/>
    <w:rsid w:val="00DE6E1E"/>
    <w:rsid w:val="00DF2F37"/>
    <w:rsid w:val="00E041FC"/>
    <w:rsid w:val="00E04B6E"/>
    <w:rsid w:val="00E11420"/>
    <w:rsid w:val="00E143B7"/>
    <w:rsid w:val="00E22997"/>
    <w:rsid w:val="00E23169"/>
    <w:rsid w:val="00E234E3"/>
    <w:rsid w:val="00E2372F"/>
    <w:rsid w:val="00E26AFC"/>
    <w:rsid w:val="00E27158"/>
    <w:rsid w:val="00E27CC9"/>
    <w:rsid w:val="00E31334"/>
    <w:rsid w:val="00E321F7"/>
    <w:rsid w:val="00E325F6"/>
    <w:rsid w:val="00E327F6"/>
    <w:rsid w:val="00E36BD8"/>
    <w:rsid w:val="00E41242"/>
    <w:rsid w:val="00E43D09"/>
    <w:rsid w:val="00E52655"/>
    <w:rsid w:val="00E539D8"/>
    <w:rsid w:val="00E72579"/>
    <w:rsid w:val="00E72729"/>
    <w:rsid w:val="00E765DA"/>
    <w:rsid w:val="00E76F01"/>
    <w:rsid w:val="00E85A0D"/>
    <w:rsid w:val="00E9654F"/>
    <w:rsid w:val="00EA194C"/>
    <w:rsid w:val="00EA3D30"/>
    <w:rsid w:val="00EA6FB9"/>
    <w:rsid w:val="00EB50B9"/>
    <w:rsid w:val="00EB5FD1"/>
    <w:rsid w:val="00EC053A"/>
    <w:rsid w:val="00EC2AA5"/>
    <w:rsid w:val="00ED0D4E"/>
    <w:rsid w:val="00ED40AE"/>
    <w:rsid w:val="00EE0036"/>
    <w:rsid w:val="00EE1C52"/>
    <w:rsid w:val="00EE2D1A"/>
    <w:rsid w:val="00EE356C"/>
    <w:rsid w:val="00EE6DE7"/>
    <w:rsid w:val="00EE7F67"/>
    <w:rsid w:val="00EF182C"/>
    <w:rsid w:val="00EF41B1"/>
    <w:rsid w:val="00F05CDB"/>
    <w:rsid w:val="00F13C76"/>
    <w:rsid w:val="00F21751"/>
    <w:rsid w:val="00F229D5"/>
    <w:rsid w:val="00F252F5"/>
    <w:rsid w:val="00F26E74"/>
    <w:rsid w:val="00F4130B"/>
    <w:rsid w:val="00F4408C"/>
    <w:rsid w:val="00F45FA2"/>
    <w:rsid w:val="00F47F49"/>
    <w:rsid w:val="00F50E82"/>
    <w:rsid w:val="00F51A2D"/>
    <w:rsid w:val="00F53ACE"/>
    <w:rsid w:val="00F53DBD"/>
    <w:rsid w:val="00F549C4"/>
    <w:rsid w:val="00F56EE6"/>
    <w:rsid w:val="00F63688"/>
    <w:rsid w:val="00F66541"/>
    <w:rsid w:val="00F70EAE"/>
    <w:rsid w:val="00F71963"/>
    <w:rsid w:val="00F84F5B"/>
    <w:rsid w:val="00F86FCD"/>
    <w:rsid w:val="00F936F9"/>
    <w:rsid w:val="00F97520"/>
    <w:rsid w:val="00F979F7"/>
    <w:rsid w:val="00F97A45"/>
    <w:rsid w:val="00FA4829"/>
    <w:rsid w:val="00FA7AB6"/>
    <w:rsid w:val="00FB2EF9"/>
    <w:rsid w:val="00FB6699"/>
    <w:rsid w:val="00FB7056"/>
    <w:rsid w:val="00FC1B43"/>
    <w:rsid w:val="00FC49D5"/>
    <w:rsid w:val="00FC75DF"/>
    <w:rsid w:val="00FD0CF9"/>
    <w:rsid w:val="00FD4B4F"/>
    <w:rsid w:val="00FD4C6B"/>
    <w:rsid w:val="00FE55A5"/>
    <w:rsid w:val="00FF01CF"/>
    <w:rsid w:val="00FF49E2"/>
    <w:rsid w:val="00FF4E78"/>
    <w:rsid w:val="00FF4EAC"/>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1668</Words>
  <Characters>9514</Characters>
  <Application>Microsoft Office Word</Application>
  <DocSecurity>0</DocSecurity>
  <Lines>79</Lines>
  <Paragraphs>22</Paragraphs>
  <ScaleCrop>false</ScaleCrop>
  <Company>USNRC</Company>
  <LinksUpToDate>false</LinksUpToDate>
  <CharactersWithSpaces>11160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TJK1</dc:creator>
  <cp:keywords/>
  <dc:description/>
  <cp:lastModifiedBy>ilc1</cp:lastModifiedBy>
  <cp:revision>2</cp:revision>
  <dcterms:created xsi:type="dcterms:W3CDTF">2011-03-23T15:45:00Z</dcterms:created>
  <dcterms:modified xsi:type="dcterms:W3CDTF">2011-03-23T15:45:00Z</dcterms:modified>
</cp:coreProperties>
</file>