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6A8F4" w14:textId="69E3E75A" w:rsidR="00D46A45" w:rsidRPr="0000341F" w:rsidRDefault="0000341F" w:rsidP="0041022D">
      <w:pPr>
        <w:pStyle w:val="NRCINSPECTIONMANUAL"/>
        <w:rPr>
          <w:szCs w:val="20"/>
        </w:rPr>
      </w:pPr>
      <w:r>
        <w:tab/>
      </w:r>
      <w:r w:rsidR="00D46A45" w:rsidRPr="0041022D">
        <w:rPr>
          <w:b/>
          <w:bCs/>
          <w:sz w:val="38"/>
          <w:szCs w:val="38"/>
        </w:rPr>
        <w:t>NRC INSPECTION MANUAL</w:t>
      </w:r>
      <w:r w:rsidR="00D46A45" w:rsidRPr="0000341F">
        <w:rPr>
          <w:szCs w:val="20"/>
        </w:rPr>
        <w:tab/>
      </w:r>
      <w:r w:rsidR="00185E46">
        <w:rPr>
          <w:szCs w:val="20"/>
        </w:rPr>
        <w:t>DRO</w:t>
      </w:r>
      <w:r w:rsidR="21C14416">
        <w:rPr>
          <w:szCs w:val="20"/>
        </w:rPr>
        <w:t>/IQVB</w:t>
      </w:r>
    </w:p>
    <w:p w14:paraId="4FC6A8F5" w14:textId="02CB0B3F" w:rsidR="00D46A45" w:rsidRPr="00096813" w:rsidRDefault="00717D9F" w:rsidP="0041022D">
      <w:pPr>
        <w:pStyle w:val="IMCIP"/>
      </w:pPr>
      <w:r w:rsidRPr="0000341F">
        <w:rPr>
          <w:sz w:val="20"/>
          <w:szCs w:val="20"/>
        </w:rPr>
        <w:fldChar w:fldCharType="begin"/>
      </w:r>
      <w:r w:rsidR="00D46A45" w:rsidRPr="0000341F">
        <w:rPr>
          <w:sz w:val="20"/>
          <w:szCs w:val="20"/>
        </w:rPr>
        <w:instrText>ADVANCE \d4</w:instrText>
      </w:r>
      <w:r w:rsidRPr="0000341F">
        <w:rPr>
          <w:sz w:val="20"/>
          <w:szCs w:val="20"/>
        </w:rPr>
        <w:fldChar w:fldCharType="end"/>
      </w:r>
      <w:r w:rsidR="00096813" w:rsidRPr="00096813">
        <w:t xml:space="preserve">INSPECTION </w:t>
      </w:r>
      <w:r w:rsidR="00D46A45" w:rsidRPr="00096813">
        <w:t xml:space="preserve">MANUAL CHAPTER </w:t>
      </w:r>
      <w:r w:rsidR="00823BE7" w:rsidRPr="00096813">
        <w:t>25</w:t>
      </w:r>
      <w:r w:rsidR="001B40C0">
        <w:t>0</w:t>
      </w:r>
      <w:r w:rsidR="00E4447A">
        <w:t>1</w:t>
      </w:r>
    </w:p>
    <w:p w14:paraId="4FC6A8F7" w14:textId="3F134092" w:rsidR="00D46A45" w:rsidRPr="00992111" w:rsidRDefault="00C168F0" w:rsidP="0041022D">
      <w:pPr>
        <w:pStyle w:val="Title"/>
      </w:pPr>
      <w:r>
        <w:t>INSPECTION</w:t>
      </w:r>
      <w:r w:rsidR="005F3594">
        <w:t xml:space="preserve"> </w:t>
      </w:r>
      <w:r w:rsidR="00AD03F0">
        <w:t>ACTIVITES</w:t>
      </w:r>
      <w:r w:rsidR="00576D9A">
        <w:t xml:space="preserve"> </w:t>
      </w:r>
      <w:r w:rsidR="00383B4E">
        <w:t xml:space="preserve">FOLLOWING ACCEPTANCE OF </w:t>
      </w:r>
      <w:r w:rsidR="00F00946">
        <w:t xml:space="preserve">A </w:t>
      </w:r>
      <w:r w:rsidR="00383B4E">
        <w:t xml:space="preserve">DOCKETED APPLICATION </w:t>
      </w:r>
      <w:r w:rsidR="00F00946">
        <w:t>FOR A PERMIT, LICEN</w:t>
      </w:r>
      <w:r w:rsidR="001E1093">
        <w:t xml:space="preserve">SE, </w:t>
      </w:r>
      <w:r w:rsidR="00753ABA">
        <w:t xml:space="preserve">OR </w:t>
      </w:r>
      <w:r w:rsidR="007C48A2">
        <w:t xml:space="preserve">NRC </w:t>
      </w:r>
      <w:r w:rsidR="00753ABA">
        <w:t>AUTHORIZATION</w:t>
      </w:r>
    </w:p>
    <w:p w14:paraId="4FC6A8FB" w14:textId="77777777" w:rsidR="00D46A45" w:rsidRPr="00992111"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pPr>
    </w:p>
    <w:p w14:paraId="4FC6A8FC" w14:textId="77777777" w:rsidR="008F0C78" w:rsidRDefault="008F0C78"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sectPr w:rsidR="008F0C78" w:rsidSect="008F0BAD">
          <w:type w:val="continuous"/>
          <w:pgSz w:w="12240" w:h="15840" w:code="1"/>
          <w:pgMar w:top="1440" w:right="1440" w:bottom="1440" w:left="1440" w:header="720" w:footer="720" w:gutter="0"/>
          <w:pgNumType w:fmt="lowerRoman" w:start="1"/>
          <w:cols w:space="720"/>
          <w:noEndnote/>
          <w:docGrid w:linePitch="326"/>
        </w:sectPr>
      </w:pPr>
    </w:p>
    <w:sdt>
      <w:sdtPr>
        <w:rPr>
          <w:rFonts w:eastAsia="Times New Roman" w:cs="Arial"/>
          <w:szCs w:val="22"/>
        </w:rPr>
        <w:id w:val="-195001167"/>
        <w:docPartObj>
          <w:docPartGallery w:val="Table of Contents"/>
          <w:docPartUnique/>
        </w:docPartObj>
      </w:sdtPr>
      <w:sdtEndPr>
        <w:rPr>
          <w:b/>
          <w:bCs/>
          <w:noProof/>
        </w:rPr>
      </w:sdtEndPr>
      <w:sdtContent>
        <w:p w14:paraId="59C5DB07" w14:textId="3806DBF4" w:rsidR="006232A4" w:rsidRDefault="006232A4">
          <w:pPr>
            <w:pStyle w:val="TOCHeading"/>
          </w:pPr>
          <w:r>
            <w:t>Table of Contents</w:t>
          </w:r>
        </w:p>
        <w:p w14:paraId="2608B1AC" w14:textId="19139F64" w:rsidR="006232A4" w:rsidRDefault="006232A4" w:rsidP="007F6EC4">
          <w:pPr>
            <w:pStyle w:val="TOC1"/>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96397737" w:history="1">
            <w:r w:rsidRPr="00E51247">
              <w:rPr>
                <w:rStyle w:val="Hyperlink"/>
                <w:noProof/>
              </w:rPr>
              <w:t>2501-01</w:t>
            </w:r>
            <w:r>
              <w:rPr>
                <w:rFonts w:asciiTheme="minorHAnsi" w:eastAsiaTheme="minorEastAsia" w:hAnsiTheme="minorHAnsi" w:cstheme="minorBidi"/>
                <w:noProof/>
                <w:kern w:val="2"/>
                <w:sz w:val="24"/>
                <w:szCs w:val="24"/>
                <w14:ligatures w14:val="standardContextual"/>
              </w:rPr>
              <w:tab/>
            </w:r>
            <w:r w:rsidRPr="00E51247">
              <w:rPr>
                <w:rStyle w:val="Hyperlink"/>
                <w:noProof/>
              </w:rPr>
              <w:t>PURPOSE</w:t>
            </w:r>
            <w:r>
              <w:rPr>
                <w:noProof/>
                <w:webHidden/>
              </w:rPr>
              <w:tab/>
            </w:r>
            <w:r>
              <w:rPr>
                <w:noProof/>
                <w:webHidden/>
              </w:rPr>
              <w:fldChar w:fldCharType="begin"/>
            </w:r>
            <w:r>
              <w:rPr>
                <w:noProof/>
                <w:webHidden/>
              </w:rPr>
              <w:instrText xml:space="preserve"> PAGEREF _Toc196397737 \h </w:instrText>
            </w:r>
            <w:r>
              <w:rPr>
                <w:noProof/>
                <w:webHidden/>
              </w:rPr>
            </w:r>
            <w:r>
              <w:rPr>
                <w:noProof/>
                <w:webHidden/>
              </w:rPr>
              <w:fldChar w:fldCharType="separate"/>
            </w:r>
            <w:r w:rsidR="00696A97">
              <w:rPr>
                <w:noProof/>
                <w:webHidden/>
              </w:rPr>
              <w:t>1</w:t>
            </w:r>
            <w:r>
              <w:rPr>
                <w:noProof/>
                <w:webHidden/>
              </w:rPr>
              <w:fldChar w:fldCharType="end"/>
            </w:r>
          </w:hyperlink>
        </w:p>
        <w:p w14:paraId="3694DC17" w14:textId="1D80CE20" w:rsidR="006232A4" w:rsidRDefault="006232A4" w:rsidP="007F6EC4">
          <w:pPr>
            <w:pStyle w:val="TOC1"/>
            <w:rPr>
              <w:rFonts w:asciiTheme="minorHAnsi" w:eastAsiaTheme="minorEastAsia" w:hAnsiTheme="minorHAnsi" w:cstheme="minorBidi"/>
              <w:noProof/>
              <w:kern w:val="2"/>
              <w:sz w:val="24"/>
              <w:szCs w:val="24"/>
              <w14:ligatures w14:val="standardContextual"/>
            </w:rPr>
          </w:pPr>
          <w:hyperlink w:anchor="_Toc196397738" w:history="1">
            <w:r w:rsidRPr="00E51247">
              <w:rPr>
                <w:rStyle w:val="Hyperlink"/>
                <w:noProof/>
              </w:rPr>
              <w:t>2501-02</w:t>
            </w:r>
            <w:r>
              <w:rPr>
                <w:rFonts w:asciiTheme="minorHAnsi" w:eastAsiaTheme="minorEastAsia" w:hAnsiTheme="minorHAnsi" w:cstheme="minorBidi"/>
                <w:noProof/>
                <w:kern w:val="2"/>
                <w:sz w:val="24"/>
                <w:szCs w:val="24"/>
                <w14:ligatures w14:val="standardContextual"/>
              </w:rPr>
              <w:tab/>
            </w:r>
            <w:r w:rsidRPr="00E51247">
              <w:rPr>
                <w:rStyle w:val="Hyperlink"/>
                <w:noProof/>
              </w:rPr>
              <w:t>OBJECTIVES</w:t>
            </w:r>
            <w:r>
              <w:rPr>
                <w:noProof/>
                <w:webHidden/>
              </w:rPr>
              <w:tab/>
            </w:r>
            <w:r>
              <w:rPr>
                <w:noProof/>
                <w:webHidden/>
              </w:rPr>
              <w:fldChar w:fldCharType="begin"/>
            </w:r>
            <w:r>
              <w:rPr>
                <w:noProof/>
                <w:webHidden/>
              </w:rPr>
              <w:instrText xml:space="preserve"> PAGEREF _Toc196397738 \h </w:instrText>
            </w:r>
            <w:r>
              <w:rPr>
                <w:noProof/>
                <w:webHidden/>
              </w:rPr>
            </w:r>
            <w:r>
              <w:rPr>
                <w:noProof/>
                <w:webHidden/>
              </w:rPr>
              <w:fldChar w:fldCharType="separate"/>
            </w:r>
            <w:r w:rsidR="00696A97">
              <w:rPr>
                <w:noProof/>
                <w:webHidden/>
              </w:rPr>
              <w:t>1</w:t>
            </w:r>
            <w:r>
              <w:rPr>
                <w:noProof/>
                <w:webHidden/>
              </w:rPr>
              <w:fldChar w:fldCharType="end"/>
            </w:r>
          </w:hyperlink>
        </w:p>
        <w:p w14:paraId="07CC3893" w14:textId="65008047" w:rsidR="006232A4" w:rsidRDefault="006232A4" w:rsidP="007F6EC4">
          <w:pPr>
            <w:pStyle w:val="TOC1"/>
            <w:rPr>
              <w:rFonts w:asciiTheme="minorHAnsi" w:eastAsiaTheme="minorEastAsia" w:hAnsiTheme="minorHAnsi" w:cstheme="minorBidi"/>
              <w:noProof/>
              <w:kern w:val="2"/>
              <w:sz w:val="24"/>
              <w:szCs w:val="24"/>
              <w14:ligatures w14:val="standardContextual"/>
            </w:rPr>
          </w:pPr>
          <w:hyperlink w:anchor="_Toc196397739" w:history="1">
            <w:r w:rsidRPr="00E51247">
              <w:rPr>
                <w:rStyle w:val="Hyperlink"/>
                <w:noProof/>
              </w:rPr>
              <w:t>2501-03</w:t>
            </w:r>
            <w:r>
              <w:rPr>
                <w:rFonts w:asciiTheme="minorHAnsi" w:eastAsiaTheme="minorEastAsia" w:hAnsiTheme="minorHAnsi" w:cstheme="minorBidi"/>
                <w:noProof/>
                <w:kern w:val="2"/>
                <w:sz w:val="24"/>
                <w:szCs w:val="24"/>
                <w14:ligatures w14:val="standardContextual"/>
              </w:rPr>
              <w:tab/>
            </w:r>
            <w:r w:rsidRPr="00E51247">
              <w:rPr>
                <w:rStyle w:val="Hyperlink"/>
                <w:noProof/>
              </w:rPr>
              <w:t>APPLICABILITY</w:t>
            </w:r>
            <w:r>
              <w:rPr>
                <w:noProof/>
                <w:webHidden/>
              </w:rPr>
              <w:tab/>
            </w:r>
            <w:r>
              <w:rPr>
                <w:noProof/>
                <w:webHidden/>
              </w:rPr>
              <w:fldChar w:fldCharType="begin"/>
            </w:r>
            <w:r>
              <w:rPr>
                <w:noProof/>
                <w:webHidden/>
              </w:rPr>
              <w:instrText xml:space="preserve"> PAGEREF _Toc196397739 \h </w:instrText>
            </w:r>
            <w:r>
              <w:rPr>
                <w:noProof/>
                <w:webHidden/>
              </w:rPr>
            </w:r>
            <w:r>
              <w:rPr>
                <w:noProof/>
                <w:webHidden/>
              </w:rPr>
              <w:fldChar w:fldCharType="separate"/>
            </w:r>
            <w:r w:rsidR="00696A97">
              <w:rPr>
                <w:noProof/>
                <w:webHidden/>
              </w:rPr>
              <w:t>1</w:t>
            </w:r>
            <w:r>
              <w:rPr>
                <w:noProof/>
                <w:webHidden/>
              </w:rPr>
              <w:fldChar w:fldCharType="end"/>
            </w:r>
          </w:hyperlink>
        </w:p>
        <w:p w14:paraId="40A30731" w14:textId="0F91AF9F" w:rsidR="006232A4" w:rsidRDefault="006232A4" w:rsidP="007F6EC4">
          <w:pPr>
            <w:pStyle w:val="TOC1"/>
            <w:rPr>
              <w:rFonts w:asciiTheme="minorHAnsi" w:eastAsiaTheme="minorEastAsia" w:hAnsiTheme="minorHAnsi" w:cstheme="minorBidi"/>
              <w:noProof/>
              <w:kern w:val="2"/>
              <w:sz w:val="24"/>
              <w:szCs w:val="24"/>
              <w14:ligatures w14:val="standardContextual"/>
            </w:rPr>
          </w:pPr>
          <w:hyperlink w:anchor="_Toc196397740" w:history="1">
            <w:r w:rsidRPr="00E51247">
              <w:rPr>
                <w:rStyle w:val="Hyperlink"/>
                <w:noProof/>
              </w:rPr>
              <w:t>2501-04</w:t>
            </w:r>
            <w:r>
              <w:rPr>
                <w:rFonts w:asciiTheme="minorHAnsi" w:eastAsiaTheme="minorEastAsia" w:hAnsiTheme="minorHAnsi" w:cstheme="minorBidi"/>
                <w:noProof/>
                <w:kern w:val="2"/>
                <w:sz w:val="24"/>
                <w:szCs w:val="24"/>
                <w14:ligatures w14:val="standardContextual"/>
              </w:rPr>
              <w:tab/>
            </w:r>
            <w:r w:rsidRPr="00E51247">
              <w:rPr>
                <w:rStyle w:val="Hyperlink"/>
                <w:noProof/>
              </w:rPr>
              <w:t>DEFINITIONS</w:t>
            </w:r>
            <w:r>
              <w:rPr>
                <w:noProof/>
                <w:webHidden/>
              </w:rPr>
              <w:tab/>
            </w:r>
            <w:r>
              <w:rPr>
                <w:noProof/>
                <w:webHidden/>
              </w:rPr>
              <w:fldChar w:fldCharType="begin"/>
            </w:r>
            <w:r>
              <w:rPr>
                <w:noProof/>
                <w:webHidden/>
              </w:rPr>
              <w:instrText xml:space="preserve"> PAGEREF _Toc196397740 \h </w:instrText>
            </w:r>
            <w:r>
              <w:rPr>
                <w:noProof/>
                <w:webHidden/>
              </w:rPr>
            </w:r>
            <w:r>
              <w:rPr>
                <w:noProof/>
                <w:webHidden/>
              </w:rPr>
              <w:fldChar w:fldCharType="separate"/>
            </w:r>
            <w:r w:rsidR="00696A97">
              <w:rPr>
                <w:noProof/>
                <w:webHidden/>
              </w:rPr>
              <w:t>1</w:t>
            </w:r>
            <w:r>
              <w:rPr>
                <w:noProof/>
                <w:webHidden/>
              </w:rPr>
              <w:fldChar w:fldCharType="end"/>
            </w:r>
          </w:hyperlink>
        </w:p>
        <w:p w14:paraId="4957A796" w14:textId="3966638C" w:rsidR="006232A4" w:rsidRDefault="006232A4" w:rsidP="007F6EC4">
          <w:pPr>
            <w:pStyle w:val="TOC1"/>
            <w:rPr>
              <w:rFonts w:asciiTheme="minorHAnsi" w:eastAsiaTheme="minorEastAsia" w:hAnsiTheme="minorHAnsi" w:cstheme="minorBidi"/>
              <w:noProof/>
              <w:kern w:val="2"/>
              <w:sz w:val="24"/>
              <w:szCs w:val="24"/>
              <w14:ligatures w14:val="standardContextual"/>
            </w:rPr>
          </w:pPr>
          <w:hyperlink w:anchor="_Toc196397741" w:history="1">
            <w:r w:rsidRPr="00E51247">
              <w:rPr>
                <w:rStyle w:val="Hyperlink"/>
                <w:noProof/>
              </w:rPr>
              <w:t>2501-05</w:t>
            </w:r>
            <w:r>
              <w:rPr>
                <w:rFonts w:asciiTheme="minorHAnsi" w:eastAsiaTheme="minorEastAsia" w:hAnsiTheme="minorHAnsi" w:cstheme="minorBidi"/>
                <w:noProof/>
                <w:kern w:val="2"/>
                <w:sz w:val="24"/>
                <w:szCs w:val="24"/>
                <w14:ligatures w14:val="standardContextual"/>
              </w:rPr>
              <w:tab/>
            </w:r>
            <w:r w:rsidRPr="00E51247">
              <w:rPr>
                <w:rStyle w:val="Hyperlink"/>
                <w:noProof/>
              </w:rPr>
              <w:t>RESPONSIBILITIES AND AUTHORITIES</w:t>
            </w:r>
            <w:r>
              <w:rPr>
                <w:noProof/>
                <w:webHidden/>
              </w:rPr>
              <w:tab/>
            </w:r>
            <w:r>
              <w:rPr>
                <w:noProof/>
                <w:webHidden/>
              </w:rPr>
              <w:fldChar w:fldCharType="begin"/>
            </w:r>
            <w:r>
              <w:rPr>
                <w:noProof/>
                <w:webHidden/>
              </w:rPr>
              <w:instrText xml:space="preserve"> PAGEREF _Toc196397741 \h </w:instrText>
            </w:r>
            <w:r>
              <w:rPr>
                <w:noProof/>
                <w:webHidden/>
              </w:rPr>
            </w:r>
            <w:r>
              <w:rPr>
                <w:noProof/>
                <w:webHidden/>
              </w:rPr>
              <w:fldChar w:fldCharType="separate"/>
            </w:r>
            <w:r w:rsidR="00696A97">
              <w:rPr>
                <w:noProof/>
                <w:webHidden/>
              </w:rPr>
              <w:t>3</w:t>
            </w:r>
            <w:r>
              <w:rPr>
                <w:noProof/>
                <w:webHidden/>
              </w:rPr>
              <w:fldChar w:fldCharType="end"/>
            </w:r>
          </w:hyperlink>
        </w:p>
        <w:p w14:paraId="42C4F597" w14:textId="197758A5" w:rsidR="006232A4" w:rsidRDefault="006232A4" w:rsidP="007F6EC4">
          <w:pPr>
            <w:pStyle w:val="TOC1"/>
            <w:rPr>
              <w:rFonts w:asciiTheme="minorHAnsi" w:eastAsiaTheme="minorEastAsia" w:hAnsiTheme="minorHAnsi" w:cstheme="minorBidi"/>
              <w:noProof/>
              <w:kern w:val="2"/>
              <w:sz w:val="24"/>
              <w:szCs w:val="24"/>
              <w14:ligatures w14:val="standardContextual"/>
            </w:rPr>
          </w:pPr>
          <w:hyperlink w:anchor="_Toc196397742" w:history="1">
            <w:r w:rsidRPr="00E51247">
              <w:rPr>
                <w:rStyle w:val="Hyperlink"/>
                <w:noProof/>
              </w:rPr>
              <w:t>2501-06</w:t>
            </w:r>
            <w:r>
              <w:rPr>
                <w:rFonts w:asciiTheme="minorHAnsi" w:eastAsiaTheme="minorEastAsia" w:hAnsiTheme="minorHAnsi" w:cstheme="minorBidi"/>
                <w:noProof/>
                <w:kern w:val="2"/>
                <w:sz w:val="24"/>
                <w:szCs w:val="24"/>
                <w14:ligatures w14:val="standardContextual"/>
              </w:rPr>
              <w:tab/>
            </w:r>
            <w:r w:rsidRPr="00E51247">
              <w:rPr>
                <w:rStyle w:val="Hyperlink"/>
                <w:noProof/>
              </w:rPr>
              <w:t>REQUIREMENTS</w:t>
            </w:r>
            <w:r>
              <w:rPr>
                <w:noProof/>
                <w:webHidden/>
              </w:rPr>
              <w:tab/>
            </w:r>
            <w:r>
              <w:rPr>
                <w:noProof/>
                <w:webHidden/>
              </w:rPr>
              <w:fldChar w:fldCharType="begin"/>
            </w:r>
            <w:r>
              <w:rPr>
                <w:noProof/>
                <w:webHidden/>
              </w:rPr>
              <w:instrText xml:space="preserve"> PAGEREF _Toc196397742 \h </w:instrText>
            </w:r>
            <w:r>
              <w:rPr>
                <w:noProof/>
                <w:webHidden/>
              </w:rPr>
            </w:r>
            <w:r>
              <w:rPr>
                <w:noProof/>
                <w:webHidden/>
              </w:rPr>
              <w:fldChar w:fldCharType="separate"/>
            </w:r>
            <w:r w:rsidR="00696A97">
              <w:rPr>
                <w:noProof/>
                <w:webHidden/>
              </w:rPr>
              <w:t>4</w:t>
            </w:r>
            <w:r>
              <w:rPr>
                <w:noProof/>
                <w:webHidden/>
              </w:rPr>
              <w:fldChar w:fldCharType="end"/>
            </w:r>
          </w:hyperlink>
        </w:p>
        <w:p w14:paraId="190E825E" w14:textId="24796E58" w:rsidR="006232A4" w:rsidRDefault="006232A4">
          <w:pPr>
            <w:pStyle w:val="TOC2"/>
            <w:rPr>
              <w:rFonts w:asciiTheme="minorHAnsi" w:eastAsiaTheme="minorEastAsia" w:hAnsiTheme="minorHAnsi" w:cstheme="minorBidi"/>
              <w:noProof/>
              <w:kern w:val="2"/>
              <w:sz w:val="24"/>
              <w:szCs w:val="24"/>
              <w14:ligatures w14:val="standardContextual"/>
            </w:rPr>
          </w:pPr>
          <w:hyperlink w:anchor="_Toc196397743" w:history="1">
            <w:r w:rsidRPr="00E51247">
              <w:rPr>
                <w:rStyle w:val="Hyperlink"/>
                <w:noProof/>
              </w:rPr>
              <w:t>06.01</w:t>
            </w:r>
            <w:r>
              <w:rPr>
                <w:rFonts w:asciiTheme="minorHAnsi" w:eastAsiaTheme="minorEastAsia" w:hAnsiTheme="minorHAnsi" w:cstheme="minorBidi"/>
                <w:noProof/>
                <w:kern w:val="2"/>
                <w:sz w:val="24"/>
                <w:szCs w:val="24"/>
                <w14:ligatures w14:val="standardContextual"/>
              </w:rPr>
              <w:tab/>
            </w:r>
            <w:r w:rsidRPr="00E51247">
              <w:rPr>
                <w:rStyle w:val="Hyperlink"/>
                <w:noProof/>
              </w:rPr>
              <w:t>Inspection Emphasis</w:t>
            </w:r>
            <w:r>
              <w:rPr>
                <w:noProof/>
                <w:webHidden/>
              </w:rPr>
              <w:tab/>
            </w:r>
            <w:r>
              <w:rPr>
                <w:noProof/>
                <w:webHidden/>
              </w:rPr>
              <w:fldChar w:fldCharType="begin"/>
            </w:r>
            <w:r>
              <w:rPr>
                <w:noProof/>
                <w:webHidden/>
              </w:rPr>
              <w:instrText xml:space="preserve"> PAGEREF _Toc196397743 \h </w:instrText>
            </w:r>
            <w:r>
              <w:rPr>
                <w:noProof/>
                <w:webHidden/>
              </w:rPr>
            </w:r>
            <w:r>
              <w:rPr>
                <w:noProof/>
                <w:webHidden/>
              </w:rPr>
              <w:fldChar w:fldCharType="separate"/>
            </w:r>
            <w:r w:rsidR="00696A97">
              <w:rPr>
                <w:noProof/>
                <w:webHidden/>
              </w:rPr>
              <w:t>4</w:t>
            </w:r>
            <w:r>
              <w:rPr>
                <w:noProof/>
                <w:webHidden/>
              </w:rPr>
              <w:fldChar w:fldCharType="end"/>
            </w:r>
          </w:hyperlink>
        </w:p>
        <w:p w14:paraId="5CAC01D3" w14:textId="4E322F44" w:rsidR="006232A4" w:rsidRDefault="006232A4">
          <w:pPr>
            <w:pStyle w:val="TOC2"/>
            <w:rPr>
              <w:rFonts w:asciiTheme="minorHAnsi" w:eastAsiaTheme="minorEastAsia" w:hAnsiTheme="minorHAnsi" w:cstheme="minorBidi"/>
              <w:noProof/>
              <w:kern w:val="2"/>
              <w:sz w:val="24"/>
              <w:szCs w:val="24"/>
              <w14:ligatures w14:val="standardContextual"/>
            </w:rPr>
          </w:pPr>
          <w:hyperlink w:anchor="_Toc196397744" w:history="1">
            <w:r w:rsidRPr="00E51247">
              <w:rPr>
                <w:rStyle w:val="Hyperlink"/>
                <w:noProof/>
              </w:rPr>
              <w:t>06.02</w:t>
            </w:r>
            <w:r>
              <w:rPr>
                <w:rFonts w:asciiTheme="minorHAnsi" w:eastAsiaTheme="minorEastAsia" w:hAnsiTheme="minorHAnsi" w:cstheme="minorBidi"/>
                <w:noProof/>
                <w:kern w:val="2"/>
                <w:sz w:val="24"/>
                <w:szCs w:val="24"/>
                <w14:ligatures w14:val="standardContextual"/>
              </w:rPr>
              <w:tab/>
            </w:r>
            <w:r w:rsidRPr="00E51247">
              <w:rPr>
                <w:rStyle w:val="Hyperlink"/>
                <w:noProof/>
              </w:rPr>
              <w:t>General Inspection Process</w:t>
            </w:r>
            <w:r>
              <w:rPr>
                <w:noProof/>
                <w:webHidden/>
              </w:rPr>
              <w:tab/>
            </w:r>
            <w:r>
              <w:rPr>
                <w:noProof/>
                <w:webHidden/>
              </w:rPr>
              <w:fldChar w:fldCharType="begin"/>
            </w:r>
            <w:r>
              <w:rPr>
                <w:noProof/>
                <w:webHidden/>
              </w:rPr>
              <w:instrText xml:space="preserve"> PAGEREF _Toc196397744 \h </w:instrText>
            </w:r>
            <w:r>
              <w:rPr>
                <w:noProof/>
                <w:webHidden/>
              </w:rPr>
            </w:r>
            <w:r>
              <w:rPr>
                <w:noProof/>
                <w:webHidden/>
              </w:rPr>
              <w:fldChar w:fldCharType="separate"/>
            </w:r>
            <w:r w:rsidR="00696A97">
              <w:rPr>
                <w:noProof/>
                <w:webHidden/>
              </w:rPr>
              <w:t>4</w:t>
            </w:r>
            <w:r>
              <w:rPr>
                <w:noProof/>
                <w:webHidden/>
              </w:rPr>
              <w:fldChar w:fldCharType="end"/>
            </w:r>
          </w:hyperlink>
        </w:p>
        <w:p w14:paraId="4DCEE5E6" w14:textId="367B5B68" w:rsidR="006232A4" w:rsidRDefault="006232A4">
          <w:pPr>
            <w:pStyle w:val="TOC2"/>
            <w:rPr>
              <w:rFonts w:asciiTheme="minorHAnsi" w:eastAsiaTheme="minorEastAsia" w:hAnsiTheme="minorHAnsi" w:cstheme="minorBidi"/>
              <w:noProof/>
              <w:kern w:val="2"/>
              <w:sz w:val="24"/>
              <w:szCs w:val="24"/>
              <w14:ligatures w14:val="standardContextual"/>
            </w:rPr>
          </w:pPr>
          <w:hyperlink w:anchor="_Toc196397745" w:history="1">
            <w:r w:rsidRPr="00E51247">
              <w:rPr>
                <w:rStyle w:val="Hyperlink"/>
                <w:noProof/>
              </w:rPr>
              <w:t>06.03</w:t>
            </w:r>
            <w:r>
              <w:rPr>
                <w:rFonts w:asciiTheme="minorHAnsi" w:eastAsiaTheme="minorEastAsia" w:hAnsiTheme="minorHAnsi" w:cstheme="minorBidi"/>
                <w:noProof/>
                <w:kern w:val="2"/>
                <w:sz w:val="24"/>
                <w:szCs w:val="24"/>
                <w14:ligatures w14:val="standardContextual"/>
              </w:rPr>
              <w:tab/>
            </w:r>
            <w:r w:rsidRPr="00E51247">
              <w:rPr>
                <w:rStyle w:val="Hyperlink"/>
                <w:noProof/>
              </w:rPr>
              <w:t>Inspector Qualification</w:t>
            </w:r>
            <w:r>
              <w:rPr>
                <w:noProof/>
                <w:webHidden/>
              </w:rPr>
              <w:tab/>
            </w:r>
            <w:r>
              <w:rPr>
                <w:noProof/>
                <w:webHidden/>
              </w:rPr>
              <w:fldChar w:fldCharType="begin"/>
            </w:r>
            <w:r>
              <w:rPr>
                <w:noProof/>
                <w:webHidden/>
              </w:rPr>
              <w:instrText xml:space="preserve"> PAGEREF _Toc196397745 \h </w:instrText>
            </w:r>
            <w:r>
              <w:rPr>
                <w:noProof/>
                <w:webHidden/>
              </w:rPr>
            </w:r>
            <w:r>
              <w:rPr>
                <w:noProof/>
                <w:webHidden/>
              </w:rPr>
              <w:fldChar w:fldCharType="separate"/>
            </w:r>
            <w:r w:rsidR="00696A97">
              <w:rPr>
                <w:noProof/>
                <w:webHidden/>
              </w:rPr>
              <w:t>5</w:t>
            </w:r>
            <w:r>
              <w:rPr>
                <w:noProof/>
                <w:webHidden/>
              </w:rPr>
              <w:fldChar w:fldCharType="end"/>
            </w:r>
          </w:hyperlink>
        </w:p>
        <w:p w14:paraId="15569820" w14:textId="30CF3753" w:rsidR="006232A4" w:rsidRDefault="006232A4" w:rsidP="007F6EC4">
          <w:pPr>
            <w:pStyle w:val="TOC1"/>
            <w:rPr>
              <w:rFonts w:asciiTheme="minorHAnsi" w:eastAsiaTheme="minorEastAsia" w:hAnsiTheme="minorHAnsi" w:cstheme="minorBidi"/>
              <w:noProof/>
              <w:kern w:val="2"/>
              <w:sz w:val="24"/>
              <w:szCs w:val="24"/>
              <w14:ligatures w14:val="standardContextual"/>
            </w:rPr>
          </w:pPr>
          <w:hyperlink w:anchor="_Toc196397746" w:history="1">
            <w:r w:rsidRPr="00E51247">
              <w:rPr>
                <w:rStyle w:val="Hyperlink"/>
                <w:noProof/>
              </w:rPr>
              <w:t>2501-07</w:t>
            </w:r>
            <w:r>
              <w:rPr>
                <w:rFonts w:asciiTheme="minorHAnsi" w:eastAsiaTheme="minorEastAsia" w:hAnsiTheme="minorHAnsi" w:cstheme="minorBidi"/>
                <w:noProof/>
                <w:kern w:val="2"/>
                <w:sz w:val="24"/>
                <w:szCs w:val="24"/>
                <w14:ligatures w14:val="standardContextual"/>
              </w:rPr>
              <w:tab/>
            </w:r>
            <w:r w:rsidRPr="00E51247">
              <w:rPr>
                <w:rStyle w:val="Hyperlink"/>
                <w:noProof/>
              </w:rPr>
              <w:t>INSPECTION</w:t>
            </w:r>
            <w:r>
              <w:rPr>
                <w:noProof/>
                <w:webHidden/>
              </w:rPr>
              <w:tab/>
            </w:r>
            <w:r>
              <w:rPr>
                <w:noProof/>
                <w:webHidden/>
              </w:rPr>
              <w:fldChar w:fldCharType="begin"/>
            </w:r>
            <w:r>
              <w:rPr>
                <w:noProof/>
                <w:webHidden/>
              </w:rPr>
              <w:instrText xml:space="preserve"> PAGEREF _Toc196397746 \h </w:instrText>
            </w:r>
            <w:r>
              <w:rPr>
                <w:noProof/>
                <w:webHidden/>
              </w:rPr>
            </w:r>
            <w:r>
              <w:rPr>
                <w:noProof/>
                <w:webHidden/>
              </w:rPr>
              <w:fldChar w:fldCharType="separate"/>
            </w:r>
            <w:r w:rsidR="00696A97">
              <w:rPr>
                <w:noProof/>
                <w:webHidden/>
              </w:rPr>
              <w:t>5</w:t>
            </w:r>
            <w:r>
              <w:rPr>
                <w:noProof/>
                <w:webHidden/>
              </w:rPr>
              <w:fldChar w:fldCharType="end"/>
            </w:r>
          </w:hyperlink>
        </w:p>
        <w:p w14:paraId="3616C8DC" w14:textId="616398D1" w:rsidR="006232A4" w:rsidRDefault="006232A4" w:rsidP="007F6EC4">
          <w:pPr>
            <w:pStyle w:val="TOC1"/>
            <w:rPr>
              <w:rFonts w:asciiTheme="minorHAnsi" w:eastAsiaTheme="minorEastAsia" w:hAnsiTheme="minorHAnsi" w:cstheme="minorBidi"/>
              <w:noProof/>
              <w:kern w:val="2"/>
              <w:sz w:val="24"/>
              <w:szCs w:val="24"/>
              <w14:ligatures w14:val="standardContextual"/>
            </w:rPr>
          </w:pPr>
          <w:hyperlink w:anchor="_Toc196397747" w:history="1">
            <w:r w:rsidRPr="00E51247">
              <w:rPr>
                <w:rStyle w:val="Hyperlink"/>
                <w:noProof/>
              </w:rPr>
              <w:t>2501-08</w:t>
            </w:r>
            <w:r>
              <w:rPr>
                <w:rFonts w:asciiTheme="minorHAnsi" w:eastAsiaTheme="minorEastAsia" w:hAnsiTheme="minorHAnsi" w:cstheme="minorBidi"/>
                <w:noProof/>
                <w:kern w:val="2"/>
                <w:sz w:val="24"/>
                <w:szCs w:val="24"/>
                <w14:ligatures w14:val="standardContextual"/>
              </w:rPr>
              <w:tab/>
            </w:r>
            <w:r w:rsidRPr="00E51247">
              <w:rPr>
                <w:rStyle w:val="Hyperlink"/>
                <w:noProof/>
              </w:rPr>
              <w:t>ENFORCEMENT ACTIONS</w:t>
            </w:r>
            <w:r>
              <w:rPr>
                <w:noProof/>
                <w:webHidden/>
              </w:rPr>
              <w:tab/>
            </w:r>
            <w:r>
              <w:rPr>
                <w:noProof/>
                <w:webHidden/>
              </w:rPr>
              <w:fldChar w:fldCharType="begin"/>
            </w:r>
            <w:r>
              <w:rPr>
                <w:noProof/>
                <w:webHidden/>
              </w:rPr>
              <w:instrText xml:space="preserve"> PAGEREF _Toc196397747 \h </w:instrText>
            </w:r>
            <w:r>
              <w:rPr>
                <w:noProof/>
                <w:webHidden/>
              </w:rPr>
            </w:r>
            <w:r>
              <w:rPr>
                <w:noProof/>
                <w:webHidden/>
              </w:rPr>
              <w:fldChar w:fldCharType="separate"/>
            </w:r>
            <w:r w:rsidR="00696A97">
              <w:rPr>
                <w:noProof/>
                <w:webHidden/>
              </w:rPr>
              <w:t>5</w:t>
            </w:r>
            <w:r>
              <w:rPr>
                <w:noProof/>
                <w:webHidden/>
              </w:rPr>
              <w:fldChar w:fldCharType="end"/>
            </w:r>
          </w:hyperlink>
        </w:p>
        <w:p w14:paraId="23247378" w14:textId="5DDB67C6" w:rsidR="006232A4" w:rsidRDefault="006232A4" w:rsidP="007F6EC4">
          <w:pPr>
            <w:pStyle w:val="TOC1"/>
            <w:rPr>
              <w:rFonts w:asciiTheme="minorHAnsi" w:eastAsiaTheme="minorEastAsia" w:hAnsiTheme="minorHAnsi" w:cstheme="minorBidi"/>
              <w:noProof/>
              <w:kern w:val="2"/>
              <w:sz w:val="24"/>
              <w:szCs w:val="24"/>
              <w14:ligatures w14:val="standardContextual"/>
            </w:rPr>
          </w:pPr>
          <w:hyperlink w:anchor="_Toc196397748" w:history="1">
            <w:r w:rsidRPr="00E51247">
              <w:rPr>
                <w:rStyle w:val="Hyperlink"/>
                <w:noProof/>
              </w:rPr>
              <w:t>2501-09</w:t>
            </w:r>
            <w:r>
              <w:rPr>
                <w:rFonts w:asciiTheme="minorHAnsi" w:eastAsiaTheme="minorEastAsia" w:hAnsiTheme="minorHAnsi" w:cstheme="minorBidi"/>
                <w:noProof/>
                <w:kern w:val="2"/>
                <w:sz w:val="24"/>
                <w:szCs w:val="24"/>
                <w14:ligatures w14:val="standardContextual"/>
              </w:rPr>
              <w:tab/>
            </w:r>
            <w:r w:rsidRPr="00E51247">
              <w:rPr>
                <w:rStyle w:val="Hyperlink"/>
                <w:noProof/>
              </w:rPr>
              <w:t>REFERENCES</w:t>
            </w:r>
            <w:r>
              <w:rPr>
                <w:noProof/>
                <w:webHidden/>
              </w:rPr>
              <w:tab/>
            </w:r>
            <w:r>
              <w:rPr>
                <w:noProof/>
                <w:webHidden/>
              </w:rPr>
              <w:fldChar w:fldCharType="begin"/>
            </w:r>
            <w:r>
              <w:rPr>
                <w:noProof/>
                <w:webHidden/>
              </w:rPr>
              <w:instrText xml:space="preserve"> PAGEREF _Toc196397748 \h </w:instrText>
            </w:r>
            <w:r>
              <w:rPr>
                <w:noProof/>
                <w:webHidden/>
              </w:rPr>
            </w:r>
            <w:r>
              <w:rPr>
                <w:noProof/>
                <w:webHidden/>
              </w:rPr>
              <w:fldChar w:fldCharType="separate"/>
            </w:r>
            <w:r w:rsidR="00696A97">
              <w:rPr>
                <w:noProof/>
                <w:webHidden/>
              </w:rPr>
              <w:t>6</w:t>
            </w:r>
            <w:r>
              <w:rPr>
                <w:noProof/>
                <w:webHidden/>
              </w:rPr>
              <w:fldChar w:fldCharType="end"/>
            </w:r>
          </w:hyperlink>
        </w:p>
        <w:p w14:paraId="486E8A60" w14:textId="02506077" w:rsidR="006232A4" w:rsidRDefault="006232A4" w:rsidP="007F6EC4">
          <w:pPr>
            <w:pStyle w:val="TOC1"/>
            <w:rPr>
              <w:rFonts w:asciiTheme="minorHAnsi" w:eastAsiaTheme="minorEastAsia" w:hAnsiTheme="minorHAnsi" w:cstheme="minorBidi"/>
              <w:noProof/>
              <w:kern w:val="2"/>
              <w:sz w:val="24"/>
              <w:szCs w:val="24"/>
              <w14:ligatures w14:val="standardContextual"/>
            </w:rPr>
          </w:pPr>
          <w:hyperlink w:anchor="_Toc196397749" w:history="1">
            <w:r w:rsidRPr="00E51247">
              <w:rPr>
                <w:rStyle w:val="Hyperlink"/>
                <w:noProof/>
              </w:rPr>
              <w:t>Attachment 1: Inspection Procedures</w:t>
            </w:r>
            <w:r>
              <w:rPr>
                <w:noProof/>
                <w:webHidden/>
              </w:rPr>
              <w:tab/>
            </w:r>
            <w:r w:rsidR="007F6EC4">
              <w:rPr>
                <w:noProof/>
                <w:webHidden/>
              </w:rPr>
              <w:t>Att1-</w:t>
            </w:r>
            <w:r>
              <w:rPr>
                <w:noProof/>
                <w:webHidden/>
              </w:rPr>
              <w:fldChar w:fldCharType="begin"/>
            </w:r>
            <w:r>
              <w:rPr>
                <w:noProof/>
                <w:webHidden/>
              </w:rPr>
              <w:instrText xml:space="preserve"> PAGEREF _Toc196397749 \h </w:instrText>
            </w:r>
            <w:r>
              <w:rPr>
                <w:noProof/>
                <w:webHidden/>
              </w:rPr>
            </w:r>
            <w:r>
              <w:rPr>
                <w:noProof/>
                <w:webHidden/>
              </w:rPr>
              <w:fldChar w:fldCharType="separate"/>
            </w:r>
            <w:r w:rsidR="00696A97">
              <w:rPr>
                <w:noProof/>
                <w:webHidden/>
              </w:rPr>
              <w:t>1</w:t>
            </w:r>
            <w:r>
              <w:rPr>
                <w:noProof/>
                <w:webHidden/>
              </w:rPr>
              <w:fldChar w:fldCharType="end"/>
            </w:r>
          </w:hyperlink>
        </w:p>
        <w:p w14:paraId="53BF5F2A" w14:textId="56B90A4F" w:rsidR="006232A4" w:rsidRDefault="006232A4" w:rsidP="007F6EC4">
          <w:pPr>
            <w:pStyle w:val="TOC1"/>
            <w:rPr>
              <w:rFonts w:asciiTheme="minorHAnsi" w:eastAsiaTheme="minorEastAsia" w:hAnsiTheme="minorHAnsi" w:cstheme="minorBidi"/>
              <w:noProof/>
              <w:kern w:val="2"/>
              <w:sz w:val="24"/>
              <w:szCs w:val="24"/>
              <w14:ligatures w14:val="standardContextual"/>
            </w:rPr>
          </w:pPr>
          <w:hyperlink w:anchor="_Toc196397750" w:history="1">
            <w:r w:rsidRPr="00E51247">
              <w:rPr>
                <w:rStyle w:val="Hyperlink"/>
                <w:noProof/>
              </w:rPr>
              <w:t>Attachment 2: Revision History for IMC 2501</w:t>
            </w:r>
            <w:r>
              <w:rPr>
                <w:noProof/>
                <w:webHidden/>
              </w:rPr>
              <w:tab/>
            </w:r>
            <w:r w:rsidR="007F6EC4">
              <w:rPr>
                <w:noProof/>
                <w:webHidden/>
              </w:rPr>
              <w:t>Att2-</w:t>
            </w:r>
            <w:r>
              <w:rPr>
                <w:noProof/>
                <w:webHidden/>
              </w:rPr>
              <w:fldChar w:fldCharType="begin"/>
            </w:r>
            <w:r>
              <w:rPr>
                <w:noProof/>
                <w:webHidden/>
              </w:rPr>
              <w:instrText xml:space="preserve"> PAGEREF _Toc196397750 \h </w:instrText>
            </w:r>
            <w:r>
              <w:rPr>
                <w:noProof/>
                <w:webHidden/>
              </w:rPr>
            </w:r>
            <w:r>
              <w:rPr>
                <w:noProof/>
                <w:webHidden/>
              </w:rPr>
              <w:fldChar w:fldCharType="separate"/>
            </w:r>
            <w:r w:rsidR="00696A97">
              <w:rPr>
                <w:noProof/>
                <w:webHidden/>
              </w:rPr>
              <w:t>1</w:t>
            </w:r>
            <w:r>
              <w:rPr>
                <w:noProof/>
                <w:webHidden/>
              </w:rPr>
              <w:fldChar w:fldCharType="end"/>
            </w:r>
          </w:hyperlink>
        </w:p>
        <w:p w14:paraId="16709202" w14:textId="1C27A58D" w:rsidR="006232A4" w:rsidRDefault="006232A4">
          <w:r>
            <w:rPr>
              <w:b/>
              <w:bCs/>
              <w:noProof/>
            </w:rPr>
            <w:fldChar w:fldCharType="end"/>
          </w:r>
        </w:p>
      </w:sdtContent>
    </w:sdt>
    <w:p w14:paraId="4FC6A924" w14:textId="77777777" w:rsidR="002D6AD1" w:rsidRDefault="002D6AD1"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ectPr w:rsidR="002D6AD1" w:rsidSect="008F0BAD">
          <w:footerReference w:type="default" r:id="rId11"/>
          <w:pgSz w:w="12240" w:h="15840"/>
          <w:pgMar w:top="1440" w:right="1440" w:bottom="1440" w:left="1440" w:header="720" w:footer="720" w:gutter="0"/>
          <w:pgNumType w:fmt="lowerRoman" w:start="1"/>
          <w:cols w:space="720"/>
          <w:noEndnote/>
          <w:docGrid w:linePitch="326"/>
        </w:sectPr>
      </w:pPr>
    </w:p>
    <w:p w14:paraId="671026BD" w14:textId="76CB75EF" w:rsidR="00791DC3" w:rsidRDefault="00D46A45" w:rsidP="00EF255B">
      <w:pPr>
        <w:pStyle w:val="Heading1"/>
      </w:pPr>
      <w:bookmarkStart w:id="0" w:name="_Toc196397737"/>
      <w:r w:rsidRPr="00992111">
        <w:lastRenderedPageBreak/>
        <w:t>2501</w:t>
      </w:r>
      <w:r w:rsidR="00231146">
        <w:t>-</w:t>
      </w:r>
      <w:r w:rsidRPr="00992111">
        <w:t>01</w:t>
      </w:r>
      <w:r w:rsidRPr="00992111">
        <w:tab/>
        <w:t>PURPOSE</w:t>
      </w:r>
      <w:bookmarkEnd w:id="0"/>
    </w:p>
    <w:p w14:paraId="238B30A1" w14:textId="3D2A057A" w:rsidR="00791DC3" w:rsidRDefault="00EA57FD" w:rsidP="00231146">
      <w:pPr>
        <w:pStyle w:val="BodyText2"/>
      </w:pPr>
      <w:r w:rsidRPr="00992111">
        <w:t>01.01</w:t>
      </w:r>
      <w:r w:rsidRPr="00992111">
        <w:tab/>
      </w:r>
      <w:r w:rsidR="00F73FDE" w:rsidRPr="00992111">
        <w:t>To provide inspection policy and guidance</w:t>
      </w:r>
      <w:r w:rsidR="005E2D56">
        <w:t>,</w:t>
      </w:r>
      <w:r w:rsidR="00F73FDE" w:rsidRPr="00992111">
        <w:t xml:space="preserve"> </w:t>
      </w:r>
      <w:r w:rsidR="001314B9">
        <w:t xml:space="preserve">following </w:t>
      </w:r>
      <w:r w:rsidR="00F73FDE" w:rsidRPr="00992111">
        <w:t xml:space="preserve">the </w:t>
      </w:r>
      <w:r w:rsidR="004F73C1">
        <w:t xml:space="preserve">acceptance </w:t>
      </w:r>
      <w:r w:rsidR="009F76B2">
        <w:t xml:space="preserve">and </w:t>
      </w:r>
      <w:r w:rsidR="00966650">
        <w:t>docket</w:t>
      </w:r>
      <w:r w:rsidR="009F76B2">
        <w:t>ing</w:t>
      </w:r>
      <w:r w:rsidR="005E2D56">
        <w:t>,</w:t>
      </w:r>
      <w:r w:rsidR="009F76B2">
        <w:t xml:space="preserve"> of an </w:t>
      </w:r>
      <w:r w:rsidR="000D6829" w:rsidRPr="00992111">
        <w:t>application</w:t>
      </w:r>
      <w:r w:rsidR="000D6829">
        <w:t xml:space="preserve"> for a limited work authorization (LWA) or construction permit (CP)</w:t>
      </w:r>
      <w:r w:rsidR="005E2D56">
        <w:t>,</w:t>
      </w:r>
      <w:r w:rsidR="000D6829">
        <w:t xml:space="preserve"> </w:t>
      </w:r>
      <w:r w:rsidR="009F76B2">
        <w:t xml:space="preserve">submitted </w:t>
      </w:r>
      <w:r w:rsidR="009F76B2" w:rsidRPr="00992111">
        <w:t>under</w:t>
      </w:r>
      <w:r w:rsidR="004824C4">
        <w:t xml:space="preserve"> Title</w:t>
      </w:r>
      <w:r w:rsidR="009F76B2" w:rsidRPr="00992111">
        <w:t xml:space="preserve"> 10</w:t>
      </w:r>
      <w:r w:rsidR="004824C4">
        <w:t xml:space="preserve"> of the </w:t>
      </w:r>
      <w:r w:rsidR="004824C4" w:rsidRPr="004824C4">
        <w:rPr>
          <w:i/>
          <w:iCs/>
        </w:rPr>
        <w:t>Code of Federal Regulations</w:t>
      </w:r>
      <w:r w:rsidR="009F76B2" w:rsidRPr="00992111">
        <w:t xml:space="preserve"> </w:t>
      </w:r>
      <w:r w:rsidR="004824C4">
        <w:t>(</w:t>
      </w:r>
      <w:r w:rsidR="009F76B2" w:rsidRPr="00992111">
        <w:t>CFR</w:t>
      </w:r>
      <w:r w:rsidR="004824C4">
        <w:t>)</w:t>
      </w:r>
      <w:r w:rsidR="009F76B2" w:rsidRPr="00992111">
        <w:t xml:space="preserve"> Part </w:t>
      </w:r>
      <w:r w:rsidR="009F76B2">
        <w:t xml:space="preserve">50, </w:t>
      </w:r>
      <w:r w:rsidR="000D6829">
        <w:t xml:space="preserve">or an </w:t>
      </w:r>
      <w:r w:rsidR="00747BE0" w:rsidRPr="00992111">
        <w:t>application</w:t>
      </w:r>
      <w:r w:rsidR="00747BE0">
        <w:t xml:space="preserve"> </w:t>
      </w:r>
      <w:r w:rsidR="00E311C3">
        <w:t xml:space="preserve">for an </w:t>
      </w:r>
      <w:r w:rsidR="000D6829">
        <w:t>e</w:t>
      </w:r>
      <w:r w:rsidR="000D6829" w:rsidRPr="00992111">
        <w:t xml:space="preserve">arly </w:t>
      </w:r>
      <w:r w:rsidR="000D6829">
        <w:t>s</w:t>
      </w:r>
      <w:r w:rsidR="000D6829" w:rsidRPr="00992111">
        <w:t xml:space="preserve">ite </w:t>
      </w:r>
      <w:r w:rsidR="000D6829">
        <w:t>p</w:t>
      </w:r>
      <w:r w:rsidR="000D6829" w:rsidRPr="00992111">
        <w:t>ermit (ESP</w:t>
      </w:r>
      <w:r w:rsidR="000D6829">
        <w:t>), combined license (COL) or manufacturing license (ML)</w:t>
      </w:r>
      <w:r w:rsidR="005E2D56">
        <w:t>,</w:t>
      </w:r>
      <w:r w:rsidR="004C4C95" w:rsidRPr="00992111">
        <w:t xml:space="preserve"> submitted under 10 CFR Part</w:t>
      </w:r>
      <w:r w:rsidR="00231146">
        <w:t> </w:t>
      </w:r>
      <w:r w:rsidR="004C4C95" w:rsidRPr="00992111">
        <w:t>52.</w:t>
      </w:r>
      <w:r w:rsidR="00F73FDE" w:rsidRPr="00992111">
        <w:t xml:space="preserve"> </w:t>
      </w:r>
    </w:p>
    <w:p w14:paraId="77EB6092" w14:textId="5B0EDE36" w:rsidR="00791DC3" w:rsidRDefault="004E1631" w:rsidP="00231146">
      <w:pPr>
        <w:pStyle w:val="BodyText2"/>
      </w:pPr>
      <w:r w:rsidRPr="00992111">
        <w:t>01.02</w:t>
      </w:r>
      <w:r w:rsidRPr="00992111">
        <w:tab/>
        <w:t xml:space="preserve">To provide guidance for the inspection, assessment, and documentation of </w:t>
      </w:r>
      <w:r w:rsidR="00D87381">
        <w:t xml:space="preserve">the </w:t>
      </w:r>
      <w:r w:rsidR="00D87381" w:rsidRPr="00992111">
        <w:t xml:space="preserve">implementation </w:t>
      </w:r>
      <w:r w:rsidR="00E00B32">
        <w:t xml:space="preserve">of the </w:t>
      </w:r>
      <w:r w:rsidRPr="00992111">
        <w:t>quality assurance</w:t>
      </w:r>
      <w:r>
        <w:t xml:space="preserve"> </w:t>
      </w:r>
      <w:r w:rsidRPr="00992111">
        <w:t xml:space="preserve">(QA) program during </w:t>
      </w:r>
      <w:r w:rsidR="00892061">
        <w:t>safety-</w:t>
      </w:r>
      <w:r w:rsidR="00596040">
        <w:t xml:space="preserve">significant </w:t>
      </w:r>
      <w:r w:rsidR="00C90354" w:rsidRPr="004E5DEA">
        <w:t>pre</w:t>
      </w:r>
      <w:r w:rsidR="004824C4">
        <w:noBreakHyphen/>
      </w:r>
      <w:r w:rsidR="00C90354" w:rsidRPr="004E5DEA">
        <w:t>construction activities</w:t>
      </w:r>
      <w:r w:rsidR="00C90354" w:rsidRPr="00992111">
        <w:t xml:space="preserve"> </w:t>
      </w:r>
      <w:r w:rsidRPr="00992111">
        <w:t>performed by the applicant and its contractors</w:t>
      </w:r>
      <w:r w:rsidR="00F73FDE" w:rsidRPr="00992111">
        <w:t>.</w:t>
      </w:r>
      <w:r w:rsidR="002B6875">
        <w:t xml:space="preserve"> </w:t>
      </w:r>
    </w:p>
    <w:p w14:paraId="52F29B55" w14:textId="7CFEB59B" w:rsidR="00791DC3" w:rsidRDefault="00231146" w:rsidP="00231146">
      <w:pPr>
        <w:pStyle w:val="Heading1"/>
      </w:pPr>
      <w:bookmarkStart w:id="1" w:name="_Toc196397738"/>
      <w:r>
        <w:t>2501-</w:t>
      </w:r>
      <w:r w:rsidR="00D46A45" w:rsidRPr="00992111">
        <w:t>02</w:t>
      </w:r>
      <w:r w:rsidR="00D46A45" w:rsidRPr="00992111">
        <w:tab/>
        <w:t>OBJECTIVES</w:t>
      </w:r>
      <w:bookmarkEnd w:id="1"/>
      <w:r w:rsidR="00096813">
        <w:t xml:space="preserve"> </w:t>
      </w:r>
    </w:p>
    <w:p w14:paraId="49A9EF29" w14:textId="41F66839" w:rsidR="00791DC3" w:rsidRDefault="00D46A45" w:rsidP="00231146">
      <w:pPr>
        <w:pStyle w:val="BodyText2"/>
      </w:pPr>
      <w:r>
        <w:t>02.0</w:t>
      </w:r>
      <w:r w:rsidR="00AE2CC4">
        <w:t>1</w:t>
      </w:r>
      <w:r>
        <w:tab/>
        <w:t xml:space="preserve">To verify effective implementation of </w:t>
      </w:r>
      <w:r w:rsidR="009B4A1E">
        <w:t xml:space="preserve">the </w:t>
      </w:r>
      <w:r>
        <w:t>QA program</w:t>
      </w:r>
      <w:r w:rsidR="002E58BF">
        <w:t>,</w:t>
      </w:r>
      <w:r>
        <w:t xml:space="preserve"> as described in the </w:t>
      </w:r>
      <w:r w:rsidR="003E1F01">
        <w:t xml:space="preserve">accepted </w:t>
      </w:r>
      <w:r>
        <w:t>application</w:t>
      </w:r>
      <w:r w:rsidR="002E58BF">
        <w:t>,</w:t>
      </w:r>
      <w:r>
        <w:t xml:space="preserve"> </w:t>
      </w:r>
      <w:r w:rsidR="00C577FE">
        <w:t xml:space="preserve">as a means of </w:t>
      </w:r>
      <w:r w:rsidR="001B698F">
        <w:t>providing reasonable</w:t>
      </w:r>
      <w:r>
        <w:t xml:space="preserve"> assurance of the integrity and reliability of the data or analyses that would affect the performance of safety-related</w:t>
      </w:r>
      <w:r w:rsidR="003A40D2">
        <w:t xml:space="preserve"> (SR)</w:t>
      </w:r>
      <w:r>
        <w:t xml:space="preserve"> </w:t>
      </w:r>
      <w:bookmarkStart w:id="2" w:name="_Hlk166224198"/>
      <w:r w:rsidR="00DF1672">
        <w:t>or non</w:t>
      </w:r>
      <w:r w:rsidR="003D7B95">
        <w:noBreakHyphen/>
      </w:r>
      <w:r w:rsidR="00DF1672">
        <w:t>safety</w:t>
      </w:r>
      <w:r w:rsidR="003D7B95">
        <w:noBreakHyphen/>
      </w:r>
      <w:r w:rsidR="00DF1672">
        <w:t>related</w:t>
      </w:r>
      <w:r w:rsidR="003E42D1">
        <w:t xml:space="preserve"> safety-significant</w:t>
      </w:r>
      <w:r w:rsidR="00DF1672">
        <w:t xml:space="preserve"> </w:t>
      </w:r>
      <w:r w:rsidR="003A40D2">
        <w:t>(NSRS</w:t>
      </w:r>
      <w:r w:rsidR="00AB3ACC">
        <w:t>S</w:t>
      </w:r>
      <w:r w:rsidR="003A40D2">
        <w:t xml:space="preserve">) </w:t>
      </w:r>
      <w:r>
        <w:t xml:space="preserve">structures, </w:t>
      </w:r>
      <w:r w:rsidR="00A85A5D">
        <w:t xml:space="preserve">systems, </w:t>
      </w:r>
      <w:r>
        <w:t>and components (SSCs).</w:t>
      </w:r>
      <w:bookmarkEnd w:id="2"/>
    </w:p>
    <w:p w14:paraId="3138532A" w14:textId="77777777" w:rsidR="00791DC3" w:rsidRDefault="00D46A45" w:rsidP="00231146">
      <w:pPr>
        <w:pStyle w:val="BodyText2"/>
      </w:pPr>
      <w:r w:rsidRPr="00992111">
        <w:t>02.</w:t>
      </w:r>
      <w:r w:rsidR="00697EA3" w:rsidRPr="00992111">
        <w:t>0</w:t>
      </w:r>
      <w:r w:rsidR="00697EA3">
        <w:t>2</w:t>
      </w:r>
      <w:r w:rsidRPr="00992111">
        <w:tab/>
      </w:r>
      <w:r w:rsidR="004E1631" w:rsidRPr="00992111">
        <w:t xml:space="preserve">To verify </w:t>
      </w:r>
      <w:r w:rsidR="00027555" w:rsidRPr="004E5DEA">
        <w:t>pre-construction activities</w:t>
      </w:r>
      <w:r w:rsidR="00F8059F">
        <w:t xml:space="preserve"> are</w:t>
      </w:r>
      <w:r w:rsidR="004E1631">
        <w:rPr>
          <w:color w:val="FF0000"/>
          <w:sz w:val="23"/>
          <w:szCs w:val="23"/>
        </w:rPr>
        <w:t xml:space="preserve"> </w:t>
      </w:r>
      <w:r w:rsidR="004E1631" w:rsidRPr="00992111">
        <w:t xml:space="preserve">effectively implemented </w:t>
      </w:r>
      <w:r w:rsidR="00F8059F">
        <w:t xml:space="preserve">by the </w:t>
      </w:r>
      <w:r w:rsidR="00E52099" w:rsidRPr="00992111">
        <w:t xml:space="preserve">applicant and its </w:t>
      </w:r>
      <w:r w:rsidR="006A663C" w:rsidRPr="00992111">
        <w:t>contractors</w:t>
      </w:r>
      <w:r w:rsidR="00E52099" w:rsidRPr="00992111">
        <w:t xml:space="preserve"> </w:t>
      </w:r>
      <w:r w:rsidR="004E1631" w:rsidRPr="00992111">
        <w:t>in accordance with applicable 10 CFR Part 50</w:t>
      </w:r>
      <w:r w:rsidR="006404E5">
        <w:t>,</w:t>
      </w:r>
      <w:r w:rsidR="004E1631" w:rsidRPr="00992111">
        <w:t xml:space="preserve"> Appendix B</w:t>
      </w:r>
      <w:r w:rsidR="006404E5">
        <w:t>,</w:t>
      </w:r>
      <w:r w:rsidR="004E1631" w:rsidRPr="00992111">
        <w:t xml:space="preserve"> QA requirements.</w:t>
      </w:r>
      <w:r w:rsidR="00E1209D">
        <w:t xml:space="preserve"> </w:t>
      </w:r>
    </w:p>
    <w:p w14:paraId="34C03E61" w14:textId="77777777" w:rsidR="00791DC3" w:rsidRDefault="00A63D06" w:rsidP="00231146">
      <w:pPr>
        <w:pStyle w:val="BodyText2"/>
        <w:rPr>
          <w:color w:val="000000"/>
        </w:rPr>
      </w:pPr>
      <w:r>
        <w:t>02.0</w:t>
      </w:r>
      <w:r w:rsidR="00697EA3">
        <w:t>3</w:t>
      </w:r>
      <w:r>
        <w:tab/>
      </w:r>
      <w:r w:rsidR="00857EF0">
        <w:t>R</w:t>
      </w:r>
      <w:r w:rsidR="00E1209D" w:rsidRPr="004E5DEA">
        <w:t xml:space="preserve">esults </w:t>
      </w:r>
      <w:r w:rsidR="003B7B58">
        <w:t xml:space="preserve">from </w:t>
      </w:r>
      <w:r w:rsidR="00E1209D" w:rsidRPr="004E5DEA">
        <w:t>inspection</w:t>
      </w:r>
      <w:r w:rsidR="00E1209D">
        <w:t>s</w:t>
      </w:r>
      <w:r w:rsidR="00E1209D" w:rsidRPr="004E5DEA">
        <w:t xml:space="preserve"> may support the NRC</w:t>
      </w:r>
      <w:r w:rsidR="00E1209D">
        <w:t>’</w:t>
      </w:r>
      <w:r w:rsidR="00E1209D" w:rsidRPr="004E5DEA">
        <w:t xml:space="preserve">s future </w:t>
      </w:r>
      <w:r w:rsidR="00697EA3" w:rsidRPr="004E5DEA">
        <w:t xml:space="preserve">ITAAC </w:t>
      </w:r>
      <w:r w:rsidR="00E1209D" w:rsidRPr="004E5DEA">
        <w:t>closure verification</w:t>
      </w:r>
      <w:r w:rsidR="00697EA3">
        <w:t>.</w:t>
      </w:r>
    </w:p>
    <w:p w14:paraId="3A362CC4" w14:textId="5289EFD2" w:rsidR="00791DC3" w:rsidRDefault="00BB7605" w:rsidP="00231146">
      <w:pPr>
        <w:pStyle w:val="Heading1"/>
      </w:pPr>
      <w:bookmarkStart w:id="3" w:name="_Toc196397739"/>
      <w:r>
        <w:t>2501-0</w:t>
      </w:r>
      <w:r w:rsidR="002F7F42">
        <w:t>3</w:t>
      </w:r>
      <w:r>
        <w:tab/>
        <w:t>APPLICABILITY</w:t>
      </w:r>
      <w:bookmarkEnd w:id="3"/>
    </w:p>
    <w:p w14:paraId="44FC6AA4" w14:textId="41A53ED1" w:rsidR="00791DC3" w:rsidRDefault="00915FFE" w:rsidP="00231146">
      <w:pPr>
        <w:pStyle w:val="BodyText2"/>
      </w:pPr>
      <w:r>
        <w:t>03.01</w:t>
      </w:r>
      <w:r w:rsidR="003409E7">
        <w:tab/>
      </w:r>
      <w:r w:rsidR="004204B9" w:rsidRPr="00CE64FC">
        <w:rPr>
          <w:u w:val="single"/>
        </w:rPr>
        <w:t>General</w:t>
      </w:r>
      <w:r w:rsidR="004204B9">
        <w:t>.</w:t>
      </w:r>
      <w:r w:rsidR="007F2BC4">
        <w:t xml:space="preserve"> </w:t>
      </w:r>
      <w:r w:rsidR="00D2166C">
        <w:t xml:space="preserve">This </w:t>
      </w:r>
      <w:r w:rsidR="004204B9" w:rsidRPr="00915FFE">
        <w:t xml:space="preserve">inspection manual chapter </w:t>
      </w:r>
      <w:r w:rsidR="004204B9">
        <w:t>(</w:t>
      </w:r>
      <w:r w:rsidR="003A40D2">
        <w:t>IMC</w:t>
      </w:r>
      <w:r w:rsidR="004204B9">
        <w:t>)</w:t>
      </w:r>
      <w:r w:rsidR="00E67EFE">
        <w:t xml:space="preserve"> </w:t>
      </w:r>
      <w:r w:rsidR="00D47C13">
        <w:t>may</w:t>
      </w:r>
      <w:r w:rsidR="001B4360">
        <w:t xml:space="preserve"> be implemented</w:t>
      </w:r>
      <w:r w:rsidR="003B15D7">
        <w:t>,</w:t>
      </w:r>
      <w:r w:rsidR="001B4360">
        <w:t xml:space="preserve"> </w:t>
      </w:r>
      <w:r w:rsidR="003B15D7">
        <w:t xml:space="preserve">in whole or in part, </w:t>
      </w:r>
      <w:r w:rsidR="00126E61">
        <w:t xml:space="preserve">after the NRC </w:t>
      </w:r>
      <w:r w:rsidR="00FF0610">
        <w:t xml:space="preserve">has accepted </w:t>
      </w:r>
      <w:r w:rsidR="00FA5B90">
        <w:t>a</w:t>
      </w:r>
      <w:r w:rsidR="004A43BF">
        <w:t>nd</w:t>
      </w:r>
      <w:r w:rsidR="00FA5B90">
        <w:t xml:space="preserve"> </w:t>
      </w:r>
      <w:r w:rsidR="00FF0610">
        <w:t>docketed</w:t>
      </w:r>
      <w:r w:rsidR="00C91AC5">
        <w:t xml:space="preserve"> </w:t>
      </w:r>
      <w:r w:rsidR="004A43BF">
        <w:t xml:space="preserve">an </w:t>
      </w:r>
      <w:r w:rsidR="00C91AC5">
        <w:t xml:space="preserve">application </w:t>
      </w:r>
      <w:r w:rsidR="003417ED">
        <w:t>for an ESP, LWA, CP, COL, or ML</w:t>
      </w:r>
      <w:r w:rsidR="00FE2AB1">
        <w:t xml:space="preserve">. </w:t>
      </w:r>
      <w:r w:rsidR="00F84F25">
        <w:t xml:space="preserve">Inspection under this IMC </w:t>
      </w:r>
      <w:r w:rsidR="001D48C5">
        <w:t>ends</w:t>
      </w:r>
      <w:r w:rsidR="00E5149E">
        <w:t xml:space="preserve"> </w:t>
      </w:r>
      <w:r w:rsidR="00253799">
        <w:t xml:space="preserve">when </w:t>
      </w:r>
      <w:r w:rsidR="0092261D" w:rsidRPr="00915FFE">
        <w:t xml:space="preserve">the NRC issues the </w:t>
      </w:r>
      <w:r w:rsidR="0092261D">
        <w:t>applicable permit</w:t>
      </w:r>
      <w:r w:rsidR="00253799">
        <w:t>, authorization,</w:t>
      </w:r>
      <w:r w:rsidR="0092261D">
        <w:t xml:space="preserve"> or license</w:t>
      </w:r>
      <w:r w:rsidR="00FC0400">
        <w:t>.</w:t>
      </w:r>
    </w:p>
    <w:p w14:paraId="38F5228A" w14:textId="77777777" w:rsidR="00791DC3" w:rsidRDefault="00BC5D15" w:rsidP="00231146">
      <w:pPr>
        <w:pStyle w:val="BodyText2"/>
      </w:pPr>
      <w:r>
        <w:t>03.02</w:t>
      </w:r>
      <w:r>
        <w:tab/>
      </w:r>
      <w:r w:rsidR="004A43BF">
        <w:t xml:space="preserve">Staff </w:t>
      </w:r>
      <w:r w:rsidR="008D4C8E">
        <w:t xml:space="preserve">should </w:t>
      </w:r>
      <w:r w:rsidR="008559C3">
        <w:t xml:space="preserve">not </w:t>
      </w:r>
      <w:r w:rsidR="00DE216B">
        <w:t>im</w:t>
      </w:r>
      <w:r w:rsidR="00C36F0D">
        <w:t>plement</w:t>
      </w:r>
      <w:r w:rsidR="00C10832">
        <w:t xml:space="preserve"> this IMC </w:t>
      </w:r>
      <w:r w:rsidR="00DD3EB5">
        <w:t>if</w:t>
      </w:r>
      <w:r w:rsidR="0082174D">
        <w:t xml:space="preserve"> </w:t>
      </w:r>
      <w:r w:rsidR="00DE216B">
        <w:t>the</w:t>
      </w:r>
      <w:r w:rsidR="003B1349">
        <w:t xml:space="preserve"> level of experience and </w:t>
      </w:r>
      <w:r w:rsidR="00E630B7">
        <w:t xml:space="preserve">prior </w:t>
      </w:r>
      <w:r w:rsidR="003B1349">
        <w:t xml:space="preserve">NRC </w:t>
      </w:r>
      <w:r w:rsidR="00E630B7">
        <w:t>inspections</w:t>
      </w:r>
      <w:r w:rsidR="009F7112">
        <w:t>,</w:t>
      </w:r>
      <w:r w:rsidR="00DD3EB5">
        <w:t xml:space="preserve"> </w:t>
      </w:r>
      <w:r w:rsidR="003A74DF">
        <w:t xml:space="preserve">of the </w:t>
      </w:r>
      <w:r w:rsidR="00E630B7">
        <w:t>applicant’s and</w:t>
      </w:r>
      <w:r w:rsidR="00593A86">
        <w:t xml:space="preserve"> its </w:t>
      </w:r>
      <w:r w:rsidR="00E630B7">
        <w:t xml:space="preserve">contractor’s quality assurance program </w:t>
      </w:r>
      <w:r w:rsidR="007F10D0">
        <w:t>implementation</w:t>
      </w:r>
      <w:r w:rsidR="009F7112">
        <w:t>,</w:t>
      </w:r>
      <w:r w:rsidR="007F10D0">
        <w:t xml:space="preserve"> </w:t>
      </w:r>
      <w:r w:rsidR="00525B48">
        <w:t>provide</w:t>
      </w:r>
      <w:r w:rsidR="003A74DF">
        <w:t>s</w:t>
      </w:r>
      <w:r w:rsidR="00525B48">
        <w:t xml:space="preserve"> </w:t>
      </w:r>
      <w:r w:rsidR="003A40D2">
        <w:t>confidence that further inspection is not necessary</w:t>
      </w:r>
      <w:r w:rsidR="00196F66">
        <w:t xml:space="preserve"> to provide reasonable assurance of quality</w:t>
      </w:r>
      <w:r w:rsidR="003A40D2">
        <w:t>.</w:t>
      </w:r>
    </w:p>
    <w:p w14:paraId="0F988C79" w14:textId="10C23684" w:rsidR="00791DC3" w:rsidRDefault="00231146" w:rsidP="00231146">
      <w:pPr>
        <w:pStyle w:val="Heading1"/>
      </w:pPr>
      <w:bookmarkStart w:id="4" w:name="_Toc196397740"/>
      <w:r>
        <w:t>2501-</w:t>
      </w:r>
      <w:r w:rsidR="00D46A45" w:rsidRPr="00992111">
        <w:t>0</w:t>
      </w:r>
      <w:r w:rsidR="002F7F42">
        <w:t>4</w:t>
      </w:r>
      <w:r w:rsidR="00D46A45" w:rsidRPr="00992111">
        <w:tab/>
        <w:t>DEFINITIONS</w:t>
      </w:r>
      <w:bookmarkEnd w:id="4"/>
    </w:p>
    <w:p w14:paraId="14228235" w14:textId="5C86E672" w:rsidR="00791DC3" w:rsidRDefault="00D538B2" w:rsidP="00231146">
      <w:pPr>
        <w:pStyle w:val="BodyText"/>
      </w:pPr>
      <w:r w:rsidRPr="00D538B2">
        <w:t>Definitions of terms used in this inspection program are included in I</w:t>
      </w:r>
      <w:r w:rsidR="00E52F33">
        <w:t>MC</w:t>
      </w:r>
      <w:r w:rsidRPr="00D538B2">
        <w:t xml:space="preserve"> </w:t>
      </w:r>
      <w:r w:rsidRPr="00D2551F">
        <w:t>2506,</w:t>
      </w:r>
      <w:r w:rsidR="00D53C20" w:rsidRPr="00D2551F">
        <w:t xml:space="preserve"> “</w:t>
      </w:r>
      <w:r w:rsidRPr="00D2551F">
        <w:t>Construction Reactor Oversight Process General Guidance and Basis Document.”</w:t>
      </w:r>
      <w:r w:rsidR="00D2551F">
        <w:t xml:space="preserve"> Some definitions are provided below for the reader</w:t>
      </w:r>
      <w:r w:rsidR="004E70CD">
        <w:t>’</w:t>
      </w:r>
      <w:r w:rsidR="00D2551F">
        <w:t>s convenience.</w:t>
      </w:r>
    </w:p>
    <w:p w14:paraId="317B3BD6" w14:textId="3AD2C9BF" w:rsidR="00791DC3" w:rsidRDefault="00FC5E39" w:rsidP="00231146">
      <w:pPr>
        <w:pStyle w:val="BodyText2"/>
      </w:pPr>
      <w:r w:rsidRPr="004E5DEA">
        <w:rPr>
          <w:color w:val="000000"/>
        </w:rPr>
        <w:t>04.01</w:t>
      </w:r>
      <w:r w:rsidRPr="004E5DEA">
        <w:rPr>
          <w:color w:val="000000"/>
        </w:rPr>
        <w:tab/>
      </w:r>
      <w:r w:rsidR="00511396" w:rsidRPr="00684178">
        <w:rPr>
          <w:u w:val="single"/>
        </w:rPr>
        <w:t>Applicant.</w:t>
      </w:r>
      <w:r w:rsidR="007F2BC4">
        <w:t xml:space="preserve"> </w:t>
      </w:r>
      <w:r w:rsidR="00511396" w:rsidRPr="00C000F2">
        <w:t xml:space="preserve">A person or an entity </w:t>
      </w:r>
      <w:proofErr w:type="gramStart"/>
      <w:r w:rsidR="00511396" w:rsidRPr="00C000F2">
        <w:t>applying</w:t>
      </w:r>
      <w:proofErr w:type="gramEnd"/>
      <w:r w:rsidR="00511396" w:rsidRPr="00C000F2">
        <w:t xml:space="preserve"> for a license, permit, or other form of Commission permission or approval under 10 CFR Part 50 or Part 52</w:t>
      </w:r>
      <w:r w:rsidR="006F1635">
        <w:t>, and whose application has been accepted for review by the NRC</w:t>
      </w:r>
      <w:r w:rsidR="00511396" w:rsidRPr="00C000F2">
        <w:t>.</w:t>
      </w:r>
    </w:p>
    <w:p w14:paraId="0665102C" w14:textId="13AF6E59" w:rsidR="00791DC3" w:rsidRDefault="00204794" w:rsidP="00231146">
      <w:pPr>
        <w:pStyle w:val="BodyText2"/>
        <w:rPr>
          <w:color w:val="000000"/>
        </w:rPr>
      </w:pPr>
      <w:r w:rsidRPr="004E5DEA">
        <w:rPr>
          <w:color w:val="000000"/>
        </w:rPr>
        <w:lastRenderedPageBreak/>
        <w:t>04.</w:t>
      </w:r>
      <w:r w:rsidR="00C44DFD" w:rsidRPr="004E5DEA">
        <w:rPr>
          <w:color w:val="000000"/>
        </w:rPr>
        <w:t>0</w:t>
      </w:r>
      <w:r w:rsidR="00C44DFD">
        <w:rPr>
          <w:color w:val="000000"/>
        </w:rPr>
        <w:t>2</w:t>
      </w:r>
      <w:r w:rsidRPr="004E5DEA">
        <w:rPr>
          <w:color w:val="000000"/>
        </w:rPr>
        <w:tab/>
      </w:r>
      <w:r w:rsidRPr="004E5DEA">
        <w:rPr>
          <w:color w:val="000000"/>
          <w:u w:val="single"/>
        </w:rPr>
        <w:t>Contractor</w:t>
      </w:r>
      <w:r>
        <w:rPr>
          <w:color w:val="000000"/>
        </w:rPr>
        <w:t xml:space="preserve">. </w:t>
      </w:r>
      <w:r w:rsidRPr="004E5DEA">
        <w:rPr>
          <w:color w:val="000000"/>
        </w:rPr>
        <w:t>Any organization or individual under contract to furnish items or services to a</w:t>
      </w:r>
      <w:r w:rsidR="00051528">
        <w:rPr>
          <w:color w:val="000000"/>
        </w:rPr>
        <w:t xml:space="preserve">n applicant </w:t>
      </w:r>
      <w:r w:rsidRPr="004E5DEA">
        <w:rPr>
          <w:color w:val="000000"/>
        </w:rPr>
        <w:t>engaging in an NRC-regulated activity.</w:t>
      </w:r>
      <w:r w:rsidR="007F2BC4">
        <w:rPr>
          <w:color w:val="000000"/>
        </w:rPr>
        <w:t xml:space="preserve"> </w:t>
      </w:r>
      <w:r w:rsidRPr="004E5DEA">
        <w:rPr>
          <w:color w:val="000000"/>
        </w:rPr>
        <w:t>It includes the terms consultant, vendor, supplier, fabricator, constructor, and sub-tier levels of these organizations.</w:t>
      </w:r>
    </w:p>
    <w:p w14:paraId="2E6473A0" w14:textId="77777777" w:rsidR="00791DC3" w:rsidRDefault="00FC5E39" w:rsidP="00231146">
      <w:pPr>
        <w:pStyle w:val="BodyText2"/>
      </w:pPr>
      <w:r w:rsidRPr="004E5DEA">
        <w:rPr>
          <w:lang w:val="en-CA"/>
        </w:rPr>
        <w:fldChar w:fldCharType="begin"/>
      </w:r>
      <w:r w:rsidRPr="004E5DEA">
        <w:rPr>
          <w:lang w:val="en-CA"/>
        </w:rPr>
        <w:instrText xml:space="preserve"> SEQ CHAPTER \h \r 1</w:instrText>
      </w:r>
      <w:r w:rsidRPr="004E5DEA">
        <w:rPr>
          <w:lang w:val="en-CA"/>
        </w:rPr>
        <w:fldChar w:fldCharType="end"/>
      </w:r>
      <w:r w:rsidRPr="004E5DEA">
        <w:t>04.</w:t>
      </w:r>
      <w:r w:rsidR="00392489">
        <w:t>0</w:t>
      </w:r>
      <w:r w:rsidR="00C44DFD">
        <w:t>3</w:t>
      </w:r>
      <w:r w:rsidRPr="004E5DEA">
        <w:tab/>
      </w:r>
      <w:r w:rsidRPr="004E5DEA">
        <w:rPr>
          <w:u w:val="single"/>
        </w:rPr>
        <w:t>Inspections, Tests, Analyses, and Acceptance Criteria (ITAAC)</w:t>
      </w:r>
      <w:r>
        <w:t xml:space="preserve">. </w:t>
      </w:r>
      <w:r w:rsidRPr="004E5DEA">
        <w:t>The inspections, tests, analyses, and acceptance criteria</w:t>
      </w:r>
      <w:r w:rsidR="00EC6E85">
        <w:t>,</w:t>
      </w:r>
      <w:r w:rsidRPr="004E5DEA">
        <w:t xml:space="preserve"> that if met by the </w:t>
      </w:r>
      <w:proofErr w:type="gramStart"/>
      <w:r w:rsidRPr="004E5DEA">
        <w:t>licensee</w:t>
      </w:r>
      <w:proofErr w:type="gramEnd"/>
      <w:r w:rsidR="00EC6E85">
        <w:t>,</w:t>
      </w:r>
      <w:r w:rsidRPr="004E5DEA">
        <w:t xml:space="preserve"> are necessary and sufficient to provide reasonable assurance that the facility has been constructed and will operate in conformity with the license, the provisions of the Atomic Energy Act, as amended, and the Commission’s rules and regulations.</w:t>
      </w:r>
    </w:p>
    <w:p w14:paraId="2C1A95C7" w14:textId="77777777" w:rsidR="00791DC3" w:rsidRDefault="003412C4" w:rsidP="00231146">
      <w:pPr>
        <w:pStyle w:val="BodyText2"/>
      </w:pPr>
      <w:r>
        <w:t>04.</w:t>
      </w:r>
      <w:r w:rsidR="00C44DFD">
        <w:t>04</w:t>
      </w:r>
      <w:r>
        <w:tab/>
      </w:r>
      <w:r w:rsidRPr="00684178">
        <w:rPr>
          <w:u w:val="single"/>
        </w:rPr>
        <w:t>Notice of Nonconformance (NON)</w:t>
      </w:r>
      <w:r w:rsidRPr="00E01F89">
        <w:t>.</w:t>
      </w:r>
      <w:r w:rsidRPr="00CF2C5C">
        <w:t xml:space="preserve"> A written notice describing the failure of a</w:t>
      </w:r>
      <w:r w:rsidR="00020774">
        <w:t>n applicant’s</w:t>
      </w:r>
      <w:r w:rsidRPr="00CF2C5C">
        <w:t xml:space="preserve"> contractor to meet commitments that have not been made legally binding requirements by the NRC (e.g., a commitment made in a procurement contract with </w:t>
      </w:r>
      <w:r w:rsidR="00FB2A5A">
        <w:t xml:space="preserve">an </w:t>
      </w:r>
      <w:r w:rsidRPr="00CF2C5C">
        <w:t>applicant as required by 10 CFR Part 50, Appendix B</w:t>
      </w:r>
      <w:r w:rsidR="002B7CE9">
        <w:t>)</w:t>
      </w:r>
      <w:r w:rsidRPr="00CF2C5C">
        <w:t>.</w:t>
      </w:r>
    </w:p>
    <w:p w14:paraId="49AACFC9" w14:textId="6DF81565" w:rsidR="00791DC3" w:rsidRDefault="00987C55" w:rsidP="00231146">
      <w:pPr>
        <w:pStyle w:val="BodyText2"/>
      </w:pPr>
      <w:r>
        <w:t>04.</w:t>
      </w:r>
      <w:r w:rsidR="00CC23D4">
        <w:t>05</w:t>
      </w:r>
      <w:r w:rsidR="00CC23D4">
        <w:tab/>
      </w:r>
      <w:r w:rsidR="00CC23D4">
        <w:rPr>
          <w:u w:val="single"/>
        </w:rPr>
        <w:t>Non</w:t>
      </w:r>
      <w:r w:rsidR="00CE5183">
        <w:rPr>
          <w:u w:val="single"/>
        </w:rPr>
        <w:noBreakHyphen/>
      </w:r>
      <w:r w:rsidR="00CC23D4">
        <w:rPr>
          <w:u w:val="single"/>
        </w:rPr>
        <w:t xml:space="preserve">safety-related, </w:t>
      </w:r>
      <w:r w:rsidR="003344CA">
        <w:rPr>
          <w:u w:val="single"/>
        </w:rPr>
        <w:t>safety significant</w:t>
      </w:r>
      <w:r w:rsidR="00912C3B">
        <w:rPr>
          <w:u w:val="single"/>
        </w:rPr>
        <w:t xml:space="preserve"> (NSRSS)</w:t>
      </w:r>
      <w:r w:rsidR="00282F44">
        <w:rPr>
          <w:u w:val="single"/>
        </w:rPr>
        <w:t xml:space="preserve"> SSCs</w:t>
      </w:r>
      <w:r w:rsidR="003344CA">
        <w:rPr>
          <w:u w:val="single"/>
        </w:rPr>
        <w:t>.</w:t>
      </w:r>
      <w:r w:rsidR="003344CA">
        <w:t xml:space="preserve"> SSCs</w:t>
      </w:r>
      <w:r w:rsidR="003344CA" w:rsidRPr="003344CA">
        <w:t xml:space="preserve"> which are not designated as safety-class SSCs, but whose preventive or mitigative function is </w:t>
      </w:r>
      <w:r w:rsidR="003219AC">
        <w:t xml:space="preserve">risk significant or contributes </w:t>
      </w:r>
      <w:r w:rsidR="003344CA" w:rsidRPr="003344CA">
        <w:t>to defense in depth</w:t>
      </w:r>
      <w:r w:rsidR="003219AC">
        <w:t xml:space="preserve">. </w:t>
      </w:r>
      <w:r w:rsidR="00912C3B">
        <w:t>NSRSS</w:t>
      </w:r>
      <w:r w:rsidR="00D10483">
        <w:t xml:space="preserve"> is an umbrella term </w:t>
      </w:r>
      <w:r w:rsidR="005D7983">
        <w:t xml:space="preserve">which encompasses </w:t>
      </w:r>
      <w:r w:rsidR="001F4BE3">
        <w:t>licensing methodology-specific SS</w:t>
      </w:r>
      <w:r w:rsidR="0079468D">
        <w:t>C</w:t>
      </w:r>
      <w:r w:rsidR="001F4BE3">
        <w:t xml:space="preserve"> classifications </w:t>
      </w:r>
      <w:r w:rsidR="0079468D">
        <w:t>such as Regulatory Treatment of Non</w:t>
      </w:r>
      <w:r w:rsidR="00DF556D">
        <w:noBreakHyphen/>
      </w:r>
      <w:r w:rsidR="0079468D">
        <w:t xml:space="preserve">safety Systems (RTNSS) and </w:t>
      </w:r>
      <w:proofErr w:type="gramStart"/>
      <w:r w:rsidR="00D82D64">
        <w:t>Non</w:t>
      </w:r>
      <w:proofErr w:type="gramEnd"/>
      <w:r w:rsidR="00DF556D">
        <w:noBreakHyphen/>
      </w:r>
      <w:r w:rsidR="00D82D64">
        <w:t>safety-related with Special Treatment (NSRST).</w:t>
      </w:r>
    </w:p>
    <w:p w14:paraId="0C83C2AD" w14:textId="77777777" w:rsidR="00791DC3" w:rsidRDefault="002D1AC1" w:rsidP="00231146">
      <w:pPr>
        <w:pStyle w:val="BodyText2"/>
      </w:pPr>
      <w:r w:rsidRPr="004E5DEA">
        <w:t>04.</w:t>
      </w:r>
      <w:r w:rsidR="00CC23D4">
        <w:t>06</w:t>
      </w:r>
      <w:r w:rsidRPr="004E5DEA">
        <w:tab/>
      </w:r>
      <w:r w:rsidRPr="004E5DEA">
        <w:rPr>
          <w:u w:val="single"/>
        </w:rPr>
        <w:t>Pre-Construction Activity</w:t>
      </w:r>
      <w:r>
        <w:t xml:space="preserve">. </w:t>
      </w:r>
      <w:r w:rsidRPr="004E5DEA">
        <w:t>Any activity conducted prior to issuance of a</w:t>
      </w:r>
      <w:r w:rsidR="00717095">
        <w:t>n ESP,</w:t>
      </w:r>
      <w:r w:rsidRPr="004E5DEA">
        <w:t xml:space="preserve"> COL</w:t>
      </w:r>
      <w:r>
        <w:t>, ML,</w:t>
      </w:r>
      <w:r w:rsidRPr="004E5DEA">
        <w:t xml:space="preserve"> </w:t>
      </w:r>
      <w:r>
        <w:t xml:space="preserve">CP, </w:t>
      </w:r>
      <w:r w:rsidRPr="004E5DEA">
        <w:t xml:space="preserve">or LWA by the applicant or contracted suppliers on behalf of the applicant associated with </w:t>
      </w:r>
      <w:r>
        <w:t>SR or NSR</w:t>
      </w:r>
      <w:r w:rsidR="00FC355F">
        <w:t>S</w:t>
      </w:r>
      <w:r>
        <w:t>S</w:t>
      </w:r>
      <w:r w:rsidRPr="004E5DEA">
        <w:t xml:space="preserve"> components or portions of the proposed facility</w:t>
      </w:r>
      <w:r w:rsidR="00EB0891">
        <w:t>.</w:t>
      </w:r>
      <w:r w:rsidRPr="004E5DEA">
        <w:t xml:space="preserve"> </w:t>
      </w:r>
    </w:p>
    <w:p w14:paraId="1C4A53BD" w14:textId="77777777" w:rsidR="00791DC3" w:rsidRDefault="00FC5E39" w:rsidP="00231146">
      <w:pPr>
        <w:pStyle w:val="BodyText2"/>
        <w:rPr>
          <w:color w:val="000000"/>
        </w:rPr>
      </w:pPr>
      <w:r w:rsidRPr="004E5DEA">
        <w:rPr>
          <w:color w:val="000000"/>
        </w:rPr>
        <w:t>04.</w:t>
      </w:r>
      <w:r w:rsidR="00CC23D4">
        <w:rPr>
          <w:color w:val="000000"/>
        </w:rPr>
        <w:t>07</w:t>
      </w:r>
      <w:r w:rsidRPr="004E5DEA">
        <w:rPr>
          <w:color w:val="000000"/>
        </w:rPr>
        <w:tab/>
      </w:r>
      <w:r w:rsidRPr="004E5DEA">
        <w:rPr>
          <w:color w:val="000000"/>
          <w:u w:val="single"/>
        </w:rPr>
        <w:t>Quality Assurance</w:t>
      </w:r>
      <w:r>
        <w:rPr>
          <w:color w:val="000000"/>
        </w:rPr>
        <w:t>.</w:t>
      </w:r>
      <w:r w:rsidRPr="004E5DEA">
        <w:rPr>
          <w:color w:val="000000"/>
        </w:rPr>
        <w:t xml:space="preserve"> Quality Assurance (QA) comprises all those planned and systematic actions necessary to provide adequate confidence that a structure, </w:t>
      </w:r>
      <w:r w:rsidR="00D2551F" w:rsidRPr="004E5DEA">
        <w:rPr>
          <w:color w:val="000000"/>
        </w:rPr>
        <w:t>system,</w:t>
      </w:r>
      <w:r w:rsidRPr="004E5DEA">
        <w:rPr>
          <w:color w:val="000000"/>
        </w:rPr>
        <w:t xml:space="preserve"> or component will perform satisfactorily in service. QA includes quality control.</w:t>
      </w:r>
    </w:p>
    <w:p w14:paraId="5D975A74" w14:textId="77777777" w:rsidR="00791DC3" w:rsidRDefault="00FC5E39" w:rsidP="00231146">
      <w:pPr>
        <w:pStyle w:val="BodyText2"/>
        <w:rPr>
          <w:color w:val="000000"/>
        </w:rPr>
      </w:pPr>
      <w:r w:rsidRPr="004E5DEA">
        <w:rPr>
          <w:color w:val="000000"/>
        </w:rPr>
        <w:t>04.</w:t>
      </w:r>
      <w:r w:rsidR="00CC23D4">
        <w:rPr>
          <w:color w:val="000000"/>
        </w:rPr>
        <w:t>08</w:t>
      </w:r>
      <w:r w:rsidRPr="004E5DEA">
        <w:rPr>
          <w:color w:val="000000"/>
        </w:rPr>
        <w:tab/>
      </w:r>
      <w:r w:rsidRPr="004E5DEA">
        <w:rPr>
          <w:color w:val="000000"/>
          <w:u w:val="single"/>
        </w:rPr>
        <w:t>Quality Assurance Manual</w:t>
      </w:r>
      <w:r>
        <w:rPr>
          <w:color w:val="000000"/>
        </w:rPr>
        <w:t xml:space="preserve">. </w:t>
      </w:r>
      <w:r w:rsidRPr="004E5DEA">
        <w:rPr>
          <w:color w:val="000000"/>
        </w:rPr>
        <w:t xml:space="preserve">A compilation of quality assurance documents that </w:t>
      </w:r>
      <w:proofErr w:type="gramStart"/>
      <w:r w:rsidRPr="004E5DEA">
        <w:rPr>
          <w:color w:val="000000"/>
        </w:rPr>
        <w:t>defines</w:t>
      </w:r>
      <w:proofErr w:type="gramEnd"/>
      <w:r w:rsidRPr="004E5DEA">
        <w:rPr>
          <w:color w:val="000000"/>
        </w:rPr>
        <w:t xml:space="preserve"> the quality assurance policy and </w:t>
      </w:r>
      <w:proofErr w:type="gramStart"/>
      <w:r w:rsidRPr="004E5DEA">
        <w:rPr>
          <w:color w:val="000000"/>
        </w:rPr>
        <w:t>program,</w:t>
      </w:r>
      <w:proofErr w:type="gramEnd"/>
      <w:r w:rsidRPr="004E5DEA">
        <w:rPr>
          <w:color w:val="000000"/>
        </w:rPr>
        <w:t xml:space="preserve"> describes the method(s) by which the policy will be implemented through procedures and instructions, and identifies the parties responsible for implementation.</w:t>
      </w:r>
    </w:p>
    <w:p w14:paraId="06B713A2" w14:textId="77777777" w:rsidR="00791DC3" w:rsidRDefault="00FC5E39" w:rsidP="00231146">
      <w:pPr>
        <w:pStyle w:val="BodyText2"/>
        <w:rPr>
          <w:color w:val="000000"/>
        </w:rPr>
      </w:pPr>
      <w:r w:rsidRPr="004E5DEA">
        <w:rPr>
          <w:color w:val="000000"/>
        </w:rPr>
        <w:t>04.</w:t>
      </w:r>
      <w:r w:rsidR="00CC23D4">
        <w:rPr>
          <w:color w:val="000000"/>
        </w:rPr>
        <w:t>09</w:t>
      </w:r>
      <w:r>
        <w:rPr>
          <w:color w:val="000000"/>
        </w:rPr>
        <w:tab/>
      </w:r>
      <w:r w:rsidRPr="004E5DEA">
        <w:rPr>
          <w:color w:val="000000"/>
          <w:u w:val="single"/>
        </w:rPr>
        <w:t>QA Program / QA Commitments</w:t>
      </w:r>
      <w:r>
        <w:rPr>
          <w:color w:val="000000"/>
        </w:rPr>
        <w:t xml:space="preserve">. </w:t>
      </w:r>
      <w:r w:rsidRPr="004E5DEA">
        <w:rPr>
          <w:color w:val="000000"/>
        </w:rPr>
        <w:t xml:space="preserve">These terms relate to the description of the QA program, or any part thereof, as required by 10 CFR </w:t>
      </w:r>
      <w:r w:rsidR="003E5F0A">
        <w:rPr>
          <w:color w:val="000000"/>
        </w:rPr>
        <w:t xml:space="preserve">50.34(a)(7), </w:t>
      </w:r>
      <w:r w:rsidRPr="004E5DEA">
        <w:rPr>
          <w:color w:val="000000"/>
        </w:rPr>
        <w:t>52.79(a)(25)</w:t>
      </w:r>
      <w:r w:rsidR="00071753">
        <w:rPr>
          <w:color w:val="000000"/>
        </w:rPr>
        <w:t>,</w:t>
      </w:r>
      <w:r w:rsidRPr="004E5DEA">
        <w:rPr>
          <w:color w:val="000000"/>
        </w:rPr>
        <w:t xml:space="preserve"> </w:t>
      </w:r>
      <w:r w:rsidR="00071753">
        <w:rPr>
          <w:color w:val="000000"/>
        </w:rPr>
        <w:t xml:space="preserve">and 52.157(f)(17) </w:t>
      </w:r>
      <w:r w:rsidRPr="004E5DEA">
        <w:rPr>
          <w:color w:val="000000"/>
        </w:rPr>
        <w:t xml:space="preserve">in each application for a </w:t>
      </w:r>
      <w:r w:rsidR="002F639D">
        <w:rPr>
          <w:color w:val="000000"/>
        </w:rPr>
        <w:t xml:space="preserve">CP, </w:t>
      </w:r>
      <w:r w:rsidRPr="004E5DEA">
        <w:rPr>
          <w:color w:val="000000"/>
        </w:rPr>
        <w:t>COL</w:t>
      </w:r>
      <w:r w:rsidR="002F639D">
        <w:rPr>
          <w:color w:val="000000"/>
        </w:rPr>
        <w:t>, or ML respectively</w:t>
      </w:r>
      <w:r w:rsidRPr="004E5DEA">
        <w:rPr>
          <w:color w:val="000000"/>
        </w:rPr>
        <w:t xml:space="preserve"> for a nuclear power facility. The description of the QA program must include a discussion of how the applicable requirements of Appendix B to 10 CFR Part 50 have been and will be satisfied, including a discussion of how the QA program will be implemented.</w:t>
      </w:r>
    </w:p>
    <w:p w14:paraId="7DC2D6AB" w14:textId="77777777" w:rsidR="00791DC3" w:rsidRDefault="00FC5E39" w:rsidP="00231146">
      <w:pPr>
        <w:pStyle w:val="BodyText2"/>
        <w:rPr>
          <w:color w:val="000000"/>
        </w:rPr>
      </w:pPr>
      <w:r w:rsidRPr="004E5DEA">
        <w:rPr>
          <w:color w:val="000000"/>
        </w:rPr>
        <w:t>04.</w:t>
      </w:r>
      <w:r w:rsidR="00CC23D4">
        <w:rPr>
          <w:color w:val="000000"/>
        </w:rPr>
        <w:t>10</w:t>
      </w:r>
      <w:r w:rsidRPr="004E5DEA">
        <w:rPr>
          <w:color w:val="000000"/>
        </w:rPr>
        <w:tab/>
      </w:r>
      <w:r w:rsidRPr="004E5DEA">
        <w:rPr>
          <w:color w:val="000000"/>
          <w:u w:val="single"/>
        </w:rPr>
        <w:t>Quality Control (QC)</w:t>
      </w:r>
      <w:r>
        <w:rPr>
          <w:color w:val="000000"/>
        </w:rPr>
        <w:t xml:space="preserve">. </w:t>
      </w:r>
      <w:r w:rsidRPr="004E5DEA">
        <w:rPr>
          <w:color w:val="000000"/>
        </w:rPr>
        <w:t xml:space="preserve">QC comprises QA actions related to the physical characteristics of an SSC. This provides a means to control the quality of the SSC to </w:t>
      </w:r>
      <w:proofErr w:type="gramStart"/>
      <w:r w:rsidRPr="004E5DEA">
        <w:rPr>
          <w:color w:val="000000"/>
        </w:rPr>
        <w:t>applicant-predetermined</w:t>
      </w:r>
      <w:proofErr w:type="gramEnd"/>
      <w:r w:rsidRPr="004E5DEA">
        <w:rPr>
          <w:color w:val="000000"/>
        </w:rPr>
        <w:t xml:space="preserve"> requirements.</w:t>
      </w:r>
    </w:p>
    <w:p w14:paraId="07CBB06E" w14:textId="5E23A043" w:rsidR="00791DC3" w:rsidRDefault="00FC5E39" w:rsidP="00231146">
      <w:pPr>
        <w:pStyle w:val="BodyText2"/>
        <w:rPr>
          <w:color w:val="000000"/>
        </w:rPr>
      </w:pPr>
      <w:r w:rsidRPr="00684178">
        <w:rPr>
          <w:color w:val="000000"/>
        </w:rPr>
        <w:t>04.</w:t>
      </w:r>
      <w:r w:rsidR="00CC23D4">
        <w:rPr>
          <w:color w:val="000000"/>
        </w:rPr>
        <w:t>11</w:t>
      </w:r>
      <w:r>
        <w:rPr>
          <w:color w:val="000000"/>
        </w:rPr>
        <w:tab/>
      </w:r>
      <w:r w:rsidRPr="004E5DEA">
        <w:rPr>
          <w:color w:val="000000"/>
          <w:u w:val="single"/>
        </w:rPr>
        <w:t xml:space="preserve">Safety-related structures, </w:t>
      </w:r>
      <w:r w:rsidR="000325C0" w:rsidRPr="004E5DEA">
        <w:rPr>
          <w:color w:val="000000"/>
          <w:u w:val="single"/>
        </w:rPr>
        <w:t>systems,</w:t>
      </w:r>
      <w:r w:rsidRPr="004E5DEA">
        <w:rPr>
          <w:color w:val="000000"/>
          <w:u w:val="single"/>
        </w:rPr>
        <w:t xml:space="preserve"> and components (SSC)</w:t>
      </w:r>
      <w:r>
        <w:rPr>
          <w:color w:val="000000"/>
        </w:rPr>
        <w:t>.</w:t>
      </w:r>
      <w:r w:rsidR="007F2BC4">
        <w:rPr>
          <w:color w:val="000000"/>
        </w:rPr>
        <w:t xml:space="preserve"> </w:t>
      </w:r>
    </w:p>
    <w:p w14:paraId="641AD4B4" w14:textId="3BCE2128" w:rsidR="00791DC3" w:rsidRDefault="00E43612" w:rsidP="00CA6F3D">
      <w:pPr>
        <w:pStyle w:val="BodyText"/>
        <w:numPr>
          <w:ilvl w:val="0"/>
          <w:numId w:val="16"/>
        </w:numPr>
      </w:pPr>
      <w:r>
        <w:t>For light water reactors</w:t>
      </w:r>
      <w:r w:rsidR="004E70CD">
        <w:t xml:space="preserve"> (LWRs)</w:t>
      </w:r>
      <w:r>
        <w:t>, t</w:t>
      </w:r>
      <w:r w:rsidR="00A025DE" w:rsidRPr="00A025DE">
        <w:t>hose structures, systems and components</w:t>
      </w:r>
      <w:r w:rsidR="00E06CA1">
        <w:t xml:space="preserve"> (SSCs)</w:t>
      </w:r>
      <w:r w:rsidR="00A025DE" w:rsidRPr="00A025DE">
        <w:t xml:space="preserve"> that are relied upon </w:t>
      </w:r>
      <w:proofErr w:type="gramStart"/>
      <w:r w:rsidR="00A025DE" w:rsidRPr="00A025DE">
        <w:t>to remain</w:t>
      </w:r>
      <w:proofErr w:type="gramEnd"/>
      <w:r w:rsidR="00A025DE" w:rsidRPr="00A025DE">
        <w:t xml:space="preserve"> functional during and following </w:t>
      </w:r>
      <w:proofErr w:type="gramStart"/>
      <w:r w:rsidR="00A025DE" w:rsidRPr="00A025DE">
        <w:t>design basis</w:t>
      </w:r>
      <w:proofErr w:type="gramEnd"/>
      <w:r w:rsidR="00A025DE" w:rsidRPr="00A025DE">
        <w:t xml:space="preserve"> events to assure:</w:t>
      </w:r>
    </w:p>
    <w:p w14:paraId="4E738541" w14:textId="77777777" w:rsidR="00791DC3" w:rsidRDefault="00FC5E39" w:rsidP="000D45D4">
      <w:pPr>
        <w:pStyle w:val="BodyText"/>
        <w:numPr>
          <w:ilvl w:val="1"/>
          <w:numId w:val="16"/>
        </w:numPr>
        <w:rPr>
          <w:color w:val="000000"/>
        </w:rPr>
      </w:pPr>
      <w:r w:rsidRPr="00620F26">
        <w:rPr>
          <w:color w:val="000000"/>
        </w:rPr>
        <w:t>The integrity of the reactor coolant pressure boundary</w:t>
      </w:r>
      <w:r w:rsidR="00993199">
        <w:rPr>
          <w:color w:val="000000"/>
        </w:rPr>
        <w:t>; or</w:t>
      </w:r>
    </w:p>
    <w:p w14:paraId="7D549D44" w14:textId="77777777" w:rsidR="00791DC3" w:rsidRDefault="00FC5E39" w:rsidP="000D45D4">
      <w:pPr>
        <w:pStyle w:val="BodyText"/>
        <w:numPr>
          <w:ilvl w:val="1"/>
          <w:numId w:val="16"/>
        </w:numPr>
        <w:rPr>
          <w:color w:val="000000"/>
        </w:rPr>
      </w:pPr>
      <w:r w:rsidRPr="004E5DEA">
        <w:rPr>
          <w:color w:val="000000"/>
        </w:rPr>
        <w:lastRenderedPageBreak/>
        <w:t>The capability to shut down the reactor and maintain it in a safe shutdown condition; or</w:t>
      </w:r>
    </w:p>
    <w:p w14:paraId="2D48E171" w14:textId="77777777" w:rsidR="00791DC3" w:rsidRDefault="00FC5E39" w:rsidP="000D45D4">
      <w:pPr>
        <w:pStyle w:val="BodyText"/>
        <w:numPr>
          <w:ilvl w:val="1"/>
          <w:numId w:val="16"/>
        </w:numPr>
        <w:rPr>
          <w:color w:val="000000"/>
        </w:rPr>
      </w:pPr>
      <w:r w:rsidRPr="004E5DEA">
        <w:rPr>
          <w:color w:val="000000"/>
        </w:rPr>
        <w:t xml:space="preserve">The capability to prevent or mitigate the consequences of accidents which could result in potential offsite exposures comparable to the applicable guideline exposures set forth in § 50.34(a)(1) or § 100.11 of </w:t>
      </w:r>
      <w:r w:rsidR="00E943DD">
        <w:rPr>
          <w:color w:val="000000"/>
        </w:rPr>
        <w:t>Part 50</w:t>
      </w:r>
      <w:r w:rsidRPr="004E5DEA">
        <w:rPr>
          <w:color w:val="000000"/>
        </w:rPr>
        <w:t>, as applicable.</w:t>
      </w:r>
    </w:p>
    <w:p w14:paraId="35B3DFAC" w14:textId="78E4512D" w:rsidR="00791DC3" w:rsidRDefault="00D91FDD" w:rsidP="00CA6F3D">
      <w:pPr>
        <w:pStyle w:val="BodyText"/>
        <w:numPr>
          <w:ilvl w:val="0"/>
          <w:numId w:val="16"/>
        </w:numPr>
        <w:rPr>
          <w:color w:val="000000"/>
        </w:rPr>
      </w:pPr>
      <w:r>
        <w:rPr>
          <w:color w:val="000000"/>
        </w:rPr>
        <w:t xml:space="preserve">For </w:t>
      </w:r>
      <w:r w:rsidR="00E43612">
        <w:rPr>
          <w:color w:val="000000"/>
        </w:rPr>
        <w:t>non</w:t>
      </w:r>
      <w:r w:rsidR="004E70CD">
        <w:rPr>
          <w:color w:val="000000"/>
        </w:rPr>
        <w:t xml:space="preserve">-LWRs </w:t>
      </w:r>
      <w:r w:rsidR="00620F26">
        <w:rPr>
          <w:color w:val="000000"/>
        </w:rPr>
        <w:t xml:space="preserve">using the </w:t>
      </w:r>
      <w:r w:rsidR="004E70CD">
        <w:rPr>
          <w:color w:val="000000"/>
        </w:rPr>
        <w:t xml:space="preserve">licensing methodology described in NEI 18-04, rev 1, </w:t>
      </w:r>
      <w:r w:rsidR="00620F26">
        <w:rPr>
          <w:color w:val="000000"/>
        </w:rPr>
        <w:t>safety</w:t>
      </w:r>
      <w:r w:rsidR="00AE6481">
        <w:rPr>
          <w:color w:val="000000"/>
        </w:rPr>
        <w:noBreakHyphen/>
      </w:r>
      <w:r w:rsidR="00620F26">
        <w:rPr>
          <w:color w:val="000000"/>
        </w:rPr>
        <w:t xml:space="preserve">related </w:t>
      </w:r>
      <w:r w:rsidR="00E23AD2">
        <w:rPr>
          <w:color w:val="000000"/>
        </w:rPr>
        <w:t>SSCs are those that:</w:t>
      </w:r>
    </w:p>
    <w:p w14:paraId="4F8A88FD" w14:textId="4510EF29" w:rsidR="007C3181" w:rsidRDefault="0003668D" w:rsidP="000D45D4">
      <w:pPr>
        <w:pStyle w:val="BodyText"/>
        <w:numPr>
          <w:ilvl w:val="1"/>
          <w:numId w:val="16"/>
        </w:numPr>
      </w:pPr>
      <w:r>
        <w:t>A</w:t>
      </w:r>
      <w:r w:rsidR="009E153C">
        <w:t>re</w:t>
      </w:r>
      <w:r w:rsidR="007C3181">
        <w:t xml:space="preserve"> selected by the designer from the SSCs that are available to perform the </w:t>
      </w:r>
      <w:r w:rsidR="00F65A00">
        <w:t>required</w:t>
      </w:r>
      <w:r w:rsidR="009E153C">
        <w:t xml:space="preserve"> safety functions</w:t>
      </w:r>
      <w:r w:rsidR="007C3181">
        <w:t xml:space="preserve"> to mitigate the consequences of </w:t>
      </w:r>
      <w:r w:rsidR="009E153C">
        <w:t>design basis events</w:t>
      </w:r>
      <w:r w:rsidR="007C3181">
        <w:t xml:space="preserve"> to within the </w:t>
      </w:r>
      <w:r w:rsidR="009E153C">
        <w:t>licensing basis event</w:t>
      </w:r>
      <w:r w:rsidR="007C3181">
        <w:t xml:space="preserve"> </w:t>
      </w:r>
      <w:r w:rsidR="009E153C">
        <w:t>frequency-consequence target</w:t>
      </w:r>
      <w:r w:rsidR="007C3181">
        <w:t xml:space="preserve">, and to mitigate </w:t>
      </w:r>
      <w:r w:rsidR="009E153C">
        <w:t xml:space="preserve">design basis accidents </w:t>
      </w:r>
      <w:r w:rsidR="007C3181">
        <w:t xml:space="preserve">that only rely on the </w:t>
      </w:r>
      <w:r w:rsidR="009E153C">
        <w:t>safety-related</w:t>
      </w:r>
      <w:r w:rsidR="007C3181">
        <w:t xml:space="preserve"> SSCs to meet the dose limits of 10 CFR 50.34 using conservative assumptions</w:t>
      </w:r>
      <w:r w:rsidR="00993199">
        <w:t>; or</w:t>
      </w:r>
    </w:p>
    <w:p w14:paraId="10B624C9" w14:textId="2C55A1C7" w:rsidR="007C3181" w:rsidRDefault="000F117E" w:rsidP="000D45D4">
      <w:pPr>
        <w:pStyle w:val="BodyText"/>
        <w:numPr>
          <w:ilvl w:val="1"/>
          <w:numId w:val="16"/>
        </w:numPr>
      </w:pPr>
      <w:r>
        <w:t>A</w:t>
      </w:r>
      <w:r w:rsidR="00993199">
        <w:t>re</w:t>
      </w:r>
      <w:r w:rsidR="007C3181">
        <w:t xml:space="preserve"> selected by the designer and relied on to perform </w:t>
      </w:r>
      <w:r w:rsidR="00F65A00">
        <w:t>required</w:t>
      </w:r>
      <w:r w:rsidR="00993199">
        <w:t xml:space="preserve"> safety functions</w:t>
      </w:r>
      <w:r w:rsidR="007C3181">
        <w:t xml:space="preserve"> to prevent the frequency of </w:t>
      </w:r>
      <w:r w:rsidR="00F65A00">
        <w:t xml:space="preserve">beyond design </w:t>
      </w:r>
      <w:r w:rsidR="002409CA">
        <w:t>basis events</w:t>
      </w:r>
      <w:r w:rsidR="007C3181">
        <w:t xml:space="preserve"> with consequences greater than the 10 CFR 50.34 dose limits from increasing into the </w:t>
      </w:r>
      <w:r w:rsidR="002409CA">
        <w:t>design basis events</w:t>
      </w:r>
      <w:r w:rsidR="007C3181">
        <w:t xml:space="preserve"> region and beyond the </w:t>
      </w:r>
      <w:r w:rsidR="002409CA">
        <w:t>frequency-consequence t</w:t>
      </w:r>
      <w:r w:rsidR="007C3181">
        <w:t>arget</w:t>
      </w:r>
      <w:r w:rsidR="002409CA">
        <w:t>.</w:t>
      </w:r>
    </w:p>
    <w:p w14:paraId="26AF3BF8" w14:textId="484520F9" w:rsidR="00791DC3" w:rsidRDefault="003A235E" w:rsidP="000D45D4">
      <w:pPr>
        <w:pStyle w:val="BodyText3"/>
      </w:pPr>
      <w:r w:rsidRPr="4BF34BE2">
        <w:t>See NEI 18-04, “</w:t>
      </w:r>
      <w:r w:rsidR="00EA0E7B" w:rsidRPr="4BF34BE2">
        <w:t>Risk-Informed Performance-Based Technology Inclusive Guidance for Non-Light Water Reactor Licensing Basis Development</w:t>
      </w:r>
      <w:r w:rsidR="008D1993" w:rsidRPr="4BF34BE2">
        <w:t>,</w:t>
      </w:r>
      <w:r w:rsidR="00EA0E7B" w:rsidRPr="4BF34BE2">
        <w:t xml:space="preserve">” </w:t>
      </w:r>
      <w:r w:rsidR="00AE6481">
        <w:t>R</w:t>
      </w:r>
      <w:r w:rsidR="008D1993" w:rsidRPr="4BF34BE2">
        <w:t xml:space="preserve">evision 1, </w:t>
      </w:r>
      <w:r w:rsidR="00297484">
        <w:t xml:space="preserve">which is </w:t>
      </w:r>
      <w:r w:rsidR="00224F23">
        <w:t>endorsed by RG 1.233</w:t>
      </w:r>
      <w:r w:rsidR="0090325A">
        <w:t>, “</w:t>
      </w:r>
      <w:r w:rsidR="0090325A" w:rsidRPr="0090325A">
        <w:t>Guidance for a Technology-Inclusive, Risk-Informed, and Performance-Based Methodology to Inform the Licensing Basis and Content of Applications for Licenses, Certifications, and Approvals for Non-Light Water Reactors</w:t>
      </w:r>
      <w:r w:rsidR="00043C5B">
        <w:t xml:space="preserve">,” </w:t>
      </w:r>
      <w:r w:rsidR="00EA0E7B" w:rsidRPr="4BF34BE2">
        <w:t>for a full explanation of LMP methodology and terms.</w:t>
      </w:r>
    </w:p>
    <w:p w14:paraId="5021C173" w14:textId="77777777" w:rsidR="00791DC3" w:rsidRDefault="00FC5E39" w:rsidP="00231146">
      <w:pPr>
        <w:pStyle w:val="BodyText2"/>
      </w:pPr>
      <w:r w:rsidRPr="000D2BC3">
        <w:t>04.</w:t>
      </w:r>
      <w:r w:rsidR="00CC23D4">
        <w:t>12</w:t>
      </w:r>
      <w:r w:rsidRPr="000D2BC3">
        <w:tab/>
      </w:r>
      <w:r w:rsidRPr="000D2BC3">
        <w:rPr>
          <w:u w:val="single"/>
        </w:rPr>
        <w:t>Violation</w:t>
      </w:r>
      <w:r w:rsidRPr="000D2BC3">
        <w:t>. The failure to comply with any portion of a legally binding regulatory</w:t>
      </w:r>
      <w:r w:rsidR="00511396" w:rsidRPr="000D2BC3">
        <w:t xml:space="preserve"> </w:t>
      </w:r>
      <w:r w:rsidRPr="000D2BC3">
        <w:t>requirement, such as a statute, regulation, order, license condition, or technical specification.</w:t>
      </w:r>
    </w:p>
    <w:p w14:paraId="2FA73D67" w14:textId="05B216A9" w:rsidR="00791DC3" w:rsidRDefault="00D46A45" w:rsidP="00231146">
      <w:pPr>
        <w:pStyle w:val="Heading1"/>
      </w:pPr>
      <w:bookmarkStart w:id="5" w:name="_Toc196397741"/>
      <w:r w:rsidRPr="00992111">
        <w:t>2501-0</w:t>
      </w:r>
      <w:r w:rsidR="005C3281">
        <w:t>5</w:t>
      </w:r>
      <w:r w:rsidR="0076085F">
        <w:tab/>
      </w:r>
      <w:r w:rsidRPr="00992111">
        <w:t>RESPONSIBILITIES AND AUTHORITIES</w:t>
      </w:r>
      <w:bookmarkEnd w:id="5"/>
    </w:p>
    <w:p w14:paraId="04D424EC" w14:textId="5B7C3A00" w:rsidR="003D0E1E" w:rsidRDefault="00D46A45" w:rsidP="00231146">
      <w:pPr>
        <w:pStyle w:val="BodyText2"/>
      </w:pPr>
      <w:r w:rsidRPr="00992111">
        <w:t>0</w:t>
      </w:r>
      <w:r w:rsidR="005C3281">
        <w:t>5</w:t>
      </w:r>
      <w:r w:rsidRPr="00992111">
        <w:t>.01</w:t>
      </w:r>
      <w:r w:rsidRPr="00992111">
        <w:tab/>
      </w:r>
      <w:r w:rsidRPr="00992111">
        <w:rPr>
          <w:u w:val="single"/>
        </w:rPr>
        <w:t xml:space="preserve">Director, Office of </w:t>
      </w:r>
      <w:r w:rsidR="004B4FA5" w:rsidRPr="00595D3D">
        <w:rPr>
          <w:u w:val="single"/>
        </w:rPr>
        <w:t>Nuclear Reactor Regulation</w:t>
      </w:r>
      <w:r w:rsidR="004B4FA5" w:rsidRPr="00992111" w:rsidDel="002A390E">
        <w:rPr>
          <w:u w:val="single"/>
        </w:rPr>
        <w:t xml:space="preserve"> </w:t>
      </w:r>
      <w:r w:rsidRPr="00992111">
        <w:rPr>
          <w:u w:val="single"/>
        </w:rPr>
        <w:t>(NR</w:t>
      </w:r>
      <w:r w:rsidR="004B4FA5">
        <w:rPr>
          <w:u w:val="single"/>
        </w:rPr>
        <w:t>R</w:t>
      </w:r>
      <w:r w:rsidRPr="00992111">
        <w:rPr>
          <w:u w:val="single"/>
        </w:rPr>
        <w:t>)</w:t>
      </w:r>
    </w:p>
    <w:p w14:paraId="65103106" w14:textId="69F8B211" w:rsidR="00791DC3" w:rsidRDefault="00D46A45" w:rsidP="003D0E1E">
      <w:pPr>
        <w:pStyle w:val="BodyText3"/>
      </w:pPr>
      <w:r w:rsidRPr="00992111">
        <w:t>Provides overall direction for the NRC construction inspection program.</w:t>
      </w:r>
    </w:p>
    <w:p w14:paraId="0701E263" w14:textId="45EB2BB6" w:rsidR="00791DC3" w:rsidRDefault="00D46A45" w:rsidP="00231146">
      <w:pPr>
        <w:pStyle w:val="BodyText2"/>
      </w:pPr>
      <w:r w:rsidRPr="00992111">
        <w:t>0</w:t>
      </w:r>
      <w:r w:rsidR="005C3281">
        <w:t>5</w:t>
      </w:r>
      <w:r w:rsidRPr="00992111">
        <w:t>.02</w:t>
      </w:r>
      <w:r w:rsidRPr="00992111">
        <w:tab/>
      </w:r>
      <w:r w:rsidRPr="00992111">
        <w:rPr>
          <w:u w:val="single"/>
        </w:rPr>
        <w:t xml:space="preserve">Director, </w:t>
      </w:r>
      <w:r w:rsidR="008318E2" w:rsidRPr="007254C0">
        <w:rPr>
          <w:u w:val="single"/>
        </w:rPr>
        <w:t>Division of Reactor Oversight</w:t>
      </w:r>
      <w:r w:rsidR="008318E2" w:rsidRPr="007254C0" w:rsidDel="007254C0">
        <w:rPr>
          <w:u w:val="single"/>
        </w:rPr>
        <w:t xml:space="preserve"> </w:t>
      </w:r>
      <w:r w:rsidRPr="00992111">
        <w:rPr>
          <w:u w:val="single"/>
        </w:rPr>
        <w:t>(</w:t>
      </w:r>
      <w:r w:rsidR="008318E2">
        <w:rPr>
          <w:u w:val="single"/>
        </w:rPr>
        <w:t>DRO</w:t>
      </w:r>
      <w:r w:rsidRPr="00992111">
        <w:rPr>
          <w:u w:val="single"/>
        </w:rPr>
        <w:t>)</w:t>
      </w:r>
    </w:p>
    <w:p w14:paraId="1DCBD20F" w14:textId="77777777" w:rsidR="00791DC3" w:rsidRDefault="00D46A45" w:rsidP="00CA6F3D">
      <w:pPr>
        <w:pStyle w:val="BodyText"/>
        <w:numPr>
          <w:ilvl w:val="0"/>
          <w:numId w:val="17"/>
        </w:numPr>
      </w:pPr>
      <w:r w:rsidRPr="009A146C">
        <w:t>Directs the implementation of policies, programs, and procedures to inspect applicants, licensees, and other entities subject to NRC jurisdiction</w:t>
      </w:r>
      <w:r w:rsidR="00FD75B8" w:rsidRPr="009A146C">
        <w:t xml:space="preserve"> associated with new reactor construction pursuant to 10 CFR Part 5</w:t>
      </w:r>
      <w:r w:rsidR="003D34F2">
        <w:t>0 and Part 5</w:t>
      </w:r>
      <w:r w:rsidR="00FD75B8" w:rsidRPr="009A146C">
        <w:t>2</w:t>
      </w:r>
      <w:r w:rsidR="00DD2FE1">
        <w:t>.</w:t>
      </w:r>
    </w:p>
    <w:p w14:paraId="4DAE2D96" w14:textId="27D9AF3F" w:rsidR="00791DC3" w:rsidRDefault="00D46A45" w:rsidP="00CA6F3D">
      <w:pPr>
        <w:pStyle w:val="BodyText"/>
        <w:numPr>
          <w:ilvl w:val="0"/>
          <w:numId w:val="17"/>
        </w:numPr>
      </w:pPr>
      <w:r w:rsidRPr="009A146C">
        <w:t xml:space="preserve">Assesses the effectiveness, uniformity, and completeness of implementation of the </w:t>
      </w:r>
      <w:r w:rsidR="00191B65">
        <w:t>pre</w:t>
      </w:r>
      <w:r w:rsidR="003D0E1E">
        <w:noBreakHyphen/>
      </w:r>
      <w:r w:rsidR="00191B65">
        <w:t>license phase i</w:t>
      </w:r>
      <w:r w:rsidRPr="009A146C">
        <w:t>nspection program.</w:t>
      </w:r>
      <w:r w:rsidR="007F2BC4">
        <w:t xml:space="preserve"> </w:t>
      </w:r>
    </w:p>
    <w:p w14:paraId="003ED6AB" w14:textId="77777777" w:rsidR="00791DC3" w:rsidRDefault="00D46A45" w:rsidP="00CA6F3D">
      <w:pPr>
        <w:pStyle w:val="BodyText"/>
        <w:numPr>
          <w:ilvl w:val="0"/>
          <w:numId w:val="17"/>
        </w:numPr>
      </w:pPr>
      <w:r w:rsidRPr="00D538B2">
        <w:t>Approves changes to the</w:t>
      </w:r>
      <w:r w:rsidR="006C0B94" w:rsidRPr="006C0B94">
        <w:t xml:space="preserve"> </w:t>
      </w:r>
      <w:r w:rsidR="006C0B94">
        <w:t>pre-license phase</w:t>
      </w:r>
      <w:r w:rsidRPr="00D538B2">
        <w:t xml:space="preserve"> inspection program.</w:t>
      </w:r>
    </w:p>
    <w:p w14:paraId="39AAD8EE" w14:textId="2E7732ED" w:rsidR="00791DC3" w:rsidRDefault="00D46A45" w:rsidP="00231146">
      <w:pPr>
        <w:pStyle w:val="Heading1"/>
      </w:pPr>
      <w:bookmarkStart w:id="6" w:name="_Toc196397742"/>
      <w:r w:rsidRPr="00992111">
        <w:lastRenderedPageBreak/>
        <w:t>2501-06</w:t>
      </w:r>
      <w:r w:rsidRPr="00992111">
        <w:tab/>
      </w:r>
      <w:r w:rsidR="00281A38">
        <w:t>REQUIREMENTS</w:t>
      </w:r>
      <w:bookmarkEnd w:id="6"/>
    </w:p>
    <w:p w14:paraId="34EAEDD1" w14:textId="77777777" w:rsidR="007E6107" w:rsidRDefault="00D46A45" w:rsidP="00BE13ED">
      <w:pPr>
        <w:pStyle w:val="BodyText2"/>
        <w:outlineLvl w:val="1"/>
        <w:rPr>
          <w:u w:val="single"/>
        </w:rPr>
      </w:pPr>
      <w:bookmarkStart w:id="7" w:name="_Toc196397743"/>
      <w:r w:rsidRPr="00992111">
        <w:t>06.01</w:t>
      </w:r>
      <w:r w:rsidRPr="00992111">
        <w:tab/>
      </w:r>
      <w:r w:rsidRPr="00992111">
        <w:rPr>
          <w:u w:val="single"/>
        </w:rPr>
        <w:t>Inspection</w:t>
      </w:r>
      <w:r w:rsidR="00347B77" w:rsidRPr="00992111">
        <w:rPr>
          <w:u w:val="single"/>
        </w:rPr>
        <w:t xml:space="preserve"> </w:t>
      </w:r>
      <w:r w:rsidRPr="00992111">
        <w:rPr>
          <w:u w:val="single"/>
        </w:rPr>
        <w:t>Emphasis</w:t>
      </w:r>
      <w:bookmarkEnd w:id="7"/>
    </w:p>
    <w:p w14:paraId="7F29AAD4" w14:textId="6BF50A4C" w:rsidR="00791DC3" w:rsidRDefault="00347B77" w:rsidP="007E6107">
      <w:pPr>
        <w:pStyle w:val="BodyText3"/>
      </w:pPr>
      <w:r w:rsidRPr="00992111">
        <w:t>I</w:t>
      </w:r>
      <w:r w:rsidR="00D46A45" w:rsidRPr="00992111">
        <w:t xml:space="preserve">nspection emphasis is placed on </w:t>
      </w:r>
      <w:r w:rsidR="00297484">
        <w:t xml:space="preserve">the </w:t>
      </w:r>
      <w:r w:rsidR="005D6DAE" w:rsidRPr="00992111">
        <w:t xml:space="preserve">following applicable elements of the </w:t>
      </w:r>
      <w:r w:rsidR="00D46A45" w:rsidRPr="00992111">
        <w:t>applicant</w:t>
      </w:r>
      <w:r w:rsidR="00EE435F" w:rsidRPr="00992111">
        <w:t>’</w:t>
      </w:r>
      <w:r w:rsidR="00D46A45" w:rsidRPr="00992111">
        <w:t xml:space="preserve">s </w:t>
      </w:r>
      <w:r w:rsidR="005D6DAE" w:rsidRPr="00992111">
        <w:t>programs:</w:t>
      </w:r>
    </w:p>
    <w:p w14:paraId="48B68323" w14:textId="49EA2ED6" w:rsidR="00791DC3" w:rsidRDefault="00513BEB" w:rsidP="00CA6F3D">
      <w:pPr>
        <w:pStyle w:val="BodyText"/>
        <w:numPr>
          <w:ilvl w:val="0"/>
          <w:numId w:val="18"/>
        </w:numPr>
      </w:pPr>
      <w:r>
        <w:t>d</w:t>
      </w:r>
      <w:r w:rsidR="00D46A45" w:rsidRPr="00992111">
        <w:t>esign and procurement engineering activities</w:t>
      </w:r>
    </w:p>
    <w:p w14:paraId="50D2CEA0" w14:textId="381398BE" w:rsidR="00791DC3" w:rsidRDefault="00D46A45" w:rsidP="00CA6F3D">
      <w:pPr>
        <w:pStyle w:val="BodyText"/>
        <w:numPr>
          <w:ilvl w:val="0"/>
          <w:numId w:val="18"/>
        </w:numPr>
      </w:pPr>
      <w:r w:rsidRPr="00992111">
        <w:t>QA program implementation</w:t>
      </w:r>
    </w:p>
    <w:p w14:paraId="64D80E00" w14:textId="62D7720F" w:rsidR="00791DC3" w:rsidRDefault="00513BEB" w:rsidP="00CA6F3D">
      <w:pPr>
        <w:pStyle w:val="BodyText"/>
        <w:numPr>
          <w:ilvl w:val="0"/>
          <w:numId w:val="18"/>
        </w:numPr>
      </w:pPr>
      <w:r>
        <w:t>r</w:t>
      </w:r>
      <w:r w:rsidR="00920394" w:rsidRPr="00992111">
        <w:t xml:space="preserve">eview </w:t>
      </w:r>
      <w:r w:rsidR="00D46A45" w:rsidRPr="00992111">
        <w:t>of the applicant</w:t>
      </w:r>
      <w:r w:rsidR="00EE435F" w:rsidRPr="00992111">
        <w:t>’</w:t>
      </w:r>
      <w:r w:rsidR="00D46A45" w:rsidRPr="00992111">
        <w:t>s 10 CFR Part 21 procedures</w:t>
      </w:r>
    </w:p>
    <w:p w14:paraId="30BACE2E" w14:textId="77777777" w:rsidR="007E6107" w:rsidRDefault="00D46A45" w:rsidP="007E6107">
      <w:pPr>
        <w:pStyle w:val="BodyText2"/>
        <w:outlineLvl w:val="1"/>
        <w:rPr>
          <w:u w:val="single"/>
        </w:rPr>
      </w:pPr>
      <w:bookmarkStart w:id="8" w:name="_Toc196397744"/>
      <w:r w:rsidRPr="00992111">
        <w:t>06.</w:t>
      </w:r>
      <w:r w:rsidR="005D6DAE" w:rsidRPr="00992111">
        <w:t>02</w:t>
      </w:r>
      <w:r w:rsidRPr="00992111">
        <w:tab/>
      </w:r>
      <w:r w:rsidRPr="00992111">
        <w:rPr>
          <w:u w:val="single"/>
        </w:rPr>
        <w:t>General Inspection Process</w:t>
      </w:r>
      <w:bookmarkEnd w:id="8"/>
    </w:p>
    <w:p w14:paraId="2B6410FA" w14:textId="3B402778" w:rsidR="00791DC3" w:rsidRDefault="00D46A45" w:rsidP="007E6107">
      <w:pPr>
        <w:pStyle w:val="BodyText3"/>
      </w:pPr>
      <w:r w:rsidRPr="00992111">
        <w:t xml:space="preserve">For </w:t>
      </w:r>
      <w:r w:rsidR="005D6DAE" w:rsidRPr="00992111">
        <w:t>each inspection</w:t>
      </w:r>
      <w:r w:rsidRPr="00992111">
        <w:t>, the inspector</w:t>
      </w:r>
      <w:r w:rsidR="00347B77" w:rsidRPr="00992111">
        <w:t xml:space="preserve"> </w:t>
      </w:r>
      <w:r w:rsidRPr="00992111">
        <w:t>should implement the process described below for pre-inspection activities, onsite inspection activities, and post-inspection</w:t>
      </w:r>
      <w:r w:rsidR="002B4DF8">
        <w:t xml:space="preserve"> </w:t>
      </w:r>
      <w:r w:rsidRPr="00992111">
        <w:t xml:space="preserve">activities. The inspection procedures listed in </w:t>
      </w:r>
      <w:r w:rsidR="00B40879" w:rsidRPr="00992111">
        <w:t>Attachment</w:t>
      </w:r>
      <w:r w:rsidRPr="00992111">
        <w:t xml:space="preserve"> 1 provide more specific guidance for onsite inspection activities.</w:t>
      </w:r>
    </w:p>
    <w:p w14:paraId="04AAA58A" w14:textId="4B24330D" w:rsidR="00791DC3" w:rsidRDefault="00D46A45" w:rsidP="00CA6F3D">
      <w:pPr>
        <w:pStyle w:val="BodyText"/>
        <w:numPr>
          <w:ilvl w:val="0"/>
          <w:numId w:val="19"/>
        </w:numPr>
      </w:pPr>
      <w:r w:rsidRPr="00992111">
        <w:rPr>
          <w:u w:val="single"/>
        </w:rPr>
        <w:t>Pre-inspection</w:t>
      </w:r>
      <w:r w:rsidR="00920394" w:rsidRPr="00992111">
        <w:rPr>
          <w:u w:val="single"/>
        </w:rPr>
        <w:t xml:space="preserve"> </w:t>
      </w:r>
      <w:r w:rsidRPr="00992111">
        <w:rPr>
          <w:u w:val="single"/>
        </w:rPr>
        <w:t>activities</w:t>
      </w:r>
      <w:r w:rsidRPr="00992111">
        <w:t>.</w:t>
      </w:r>
      <w:r w:rsidR="007F2BC4">
        <w:t xml:space="preserve"> </w:t>
      </w:r>
      <w:r w:rsidRPr="00992111">
        <w:t xml:space="preserve">To facilitate management of inspection resource allocations and tracking of inspection activities, the lead inspector should develop an </w:t>
      </w:r>
      <w:r w:rsidR="00347B77" w:rsidRPr="00992111">
        <w:t xml:space="preserve">inspection </w:t>
      </w:r>
      <w:r w:rsidRPr="00992111">
        <w:t>plan consistent with the guidance described below.</w:t>
      </w:r>
    </w:p>
    <w:p w14:paraId="7C359023" w14:textId="68CF021E" w:rsidR="00791DC3" w:rsidRDefault="00D46A45" w:rsidP="00354D9C">
      <w:pPr>
        <w:pStyle w:val="BodyText3"/>
      </w:pPr>
      <w:r w:rsidRPr="00992111">
        <w:t>The inspection plan will identify the applicant and describe the scope and major areas of emphasis that will be reviewed, evaluated, or assessed</w:t>
      </w:r>
      <w:r w:rsidR="005D6DAE" w:rsidRPr="00992111">
        <w:t xml:space="preserve"> including open unresolved items if applicable.</w:t>
      </w:r>
      <w:r w:rsidRPr="00992111">
        <w:t xml:space="preserve"> In addition, the </w:t>
      </w:r>
      <w:r w:rsidR="001218FC" w:rsidRPr="00992111">
        <w:t xml:space="preserve">inspection </w:t>
      </w:r>
      <w:r w:rsidRPr="00992111">
        <w:t>plan should identify the team members</w:t>
      </w:r>
      <w:r w:rsidR="00AA6181" w:rsidRPr="00992111">
        <w:t>,</w:t>
      </w:r>
      <w:r w:rsidR="001218FC" w:rsidRPr="00992111">
        <w:t xml:space="preserve"> </w:t>
      </w:r>
      <w:r w:rsidR="005D6DAE" w:rsidRPr="00992111">
        <w:t>team</w:t>
      </w:r>
      <w:r w:rsidR="001218FC" w:rsidRPr="00992111">
        <w:t xml:space="preserve"> assignments, inspection procedures to be used, logistics,</w:t>
      </w:r>
      <w:r w:rsidRPr="00992111">
        <w:t xml:space="preserve"> the inspection </w:t>
      </w:r>
      <w:r w:rsidR="00C06CE1" w:rsidRPr="00992111">
        <w:t>schedule,</w:t>
      </w:r>
      <w:r w:rsidR="00C82C62" w:rsidRPr="00992111">
        <w:rPr>
          <w:color w:val="000000"/>
        </w:rPr>
        <w:t xml:space="preserve"> and deliverables</w:t>
      </w:r>
      <w:r w:rsidRPr="00992111">
        <w:t>.</w:t>
      </w:r>
      <w:r w:rsidR="007F2BC4">
        <w:t xml:space="preserve"> </w:t>
      </w:r>
    </w:p>
    <w:p w14:paraId="67BE3FEA" w14:textId="2614AE72" w:rsidR="00791DC3" w:rsidRDefault="00D46A45" w:rsidP="00354D9C">
      <w:pPr>
        <w:pStyle w:val="BodyText3"/>
      </w:pPr>
      <w:r w:rsidRPr="00992111">
        <w:t xml:space="preserve">This plan is to be reviewed and approved by the responsible </w:t>
      </w:r>
      <w:r w:rsidR="00562FCE">
        <w:t>b</w:t>
      </w:r>
      <w:r w:rsidRPr="00992111">
        <w:t xml:space="preserve">ranch </w:t>
      </w:r>
      <w:r w:rsidR="00562FCE">
        <w:t>c</w:t>
      </w:r>
      <w:r w:rsidRPr="00992111">
        <w:t>hief</w:t>
      </w:r>
      <w:r w:rsidR="005D6DAE" w:rsidRPr="00992111">
        <w:t xml:space="preserve"> as necessary</w:t>
      </w:r>
      <w:r w:rsidRPr="00992111">
        <w:t>.</w:t>
      </w:r>
      <w:r w:rsidR="007F2BC4">
        <w:t xml:space="preserve"> </w:t>
      </w:r>
    </w:p>
    <w:p w14:paraId="618898A2" w14:textId="24384CC4" w:rsidR="00791DC3" w:rsidRDefault="004E1631" w:rsidP="00CA6F3D">
      <w:pPr>
        <w:pStyle w:val="BodyText"/>
        <w:numPr>
          <w:ilvl w:val="0"/>
          <w:numId w:val="19"/>
        </w:numPr>
      </w:pPr>
      <w:r w:rsidRPr="00992111">
        <w:rPr>
          <w:u w:val="single"/>
        </w:rPr>
        <w:t>Onsite inspection activities</w:t>
      </w:r>
      <w:r w:rsidR="00D46A45" w:rsidRPr="00992111">
        <w:t>.</w:t>
      </w:r>
      <w:r w:rsidR="007F2BC4">
        <w:t xml:space="preserve"> </w:t>
      </w:r>
      <w:r w:rsidR="00D46A45" w:rsidRPr="00992111">
        <w:t xml:space="preserve">The lead inspector should hold an entrance meeting with the designated </w:t>
      </w:r>
      <w:r w:rsidR="00C03CA4">
        <w:t xml:space="preserve">applicant </w:t>
      </w:r>
      <w:r w:rsidR="00D46A45" w:rsidRPr="00992111">
        <w:t>representative who has responsibility for the areas to be inspected.</w:t>
      </w:r>
      <w:r w:rsidR="007F2BC4">
        <w:t xml:space="preserve"> </w:t>
      </w:r>
      <w:r w:rsidR="00D46A45" w:rsidRPr="00992111">
        <w:t>At the entrance meeting, the lead inspector should discuss the inspection scope and other administrative matters, such as interviews with staff and/or document reviews. Whenever possible, the lead inspector should schedule a daily status meeting with the applicant management or its representative to discuss the inspection progress and issues identified.</w:t>
      </w:r>
    </w:p>
    <w:p w14:paraId="63A2E113" w14:textId="77777777" w:rsidR="00791DC3" w:rsidRDefault="00D46A45" w:rsidP="00354D9C">
      <w:pPr>
        <w:pStyle w:val="BodyText3"/>
      </w:pPr>
      <w:r w:rsidRPr="00992111">
        <w:t>An exit meeting should be conducted at the conclusion of the inspection. The results of the inspection, including preliminary findings, should be presented emphasizing their impact on safety</w:t>
      </w:r>
      <w:r w:rsidR="00782DD0" w:rsidRPr="00782DD0">
        <w:rPr>
          <w:color w:val="000000"/>
        </w:rPr>
        <w:t xml:space="preserve"> </w:t>
      </w:r>
      <w:r w:rsidR="00782DD0" w:rsidRPr="004E5DEA">
        <w:rPr>
          <w:color w:val="000000"/>
        </w:rPr>
        <w:t xml:space="preserve">or the accuracy and completeness of the </w:t>
      </w:r>
      <w:r w:rsidR="00782DD0">
        <w:rPr>
          <w:color w:val="000000"/>
        </w:rPr>
        <w:t xml:space="preserve">ESP, LWA, CP, </w:t>
      </w:r>
      <w:r w:rsidR="00782DD0" w:rsidRPr="004E5DEA">
        <w:rPr>
          <w:color w:val="000000"/>
        </w:rPr>
        <w:t>COL</w:t>
      </w:r>
      <w:r w:rsidR="00782DD0">
        <w:rPr>
          <w:color w:val="000000"/>
        </w:rPr>
        <w:t>, or ML</w:t>
      </w:r>
      <w:r w:rsidR="00782DD0" w:rsidRPr="004E5DEA">
        <w:rPr>
          <w:color w:val="000000"/>
        </w:rPr>
        <w:t xml:space="preserve"> application</w:t>
      </w:r>
      <w:r w:rsidRPr="00992111">
        <w:t>. The lead inspector should emphasize that preliminary findings are always subject to management review before they are documented in an inspection</w:t>
      </w:r>
      <w:r w:rsidR="00347B77" w:rsidRPr="00992111">
        <w:t xml:space="preserve"> </w:t>
      </w:r>
      <w:r w:rsidRPr="00992111">
        <w:t xml:space="preserve">report. Prior to the exit, the lead inspector should </w:t>
      </w:r>
      <w:r w:rsidR="006919A9" w:rsidRPr="00992111">
        <w:t xml:space="preserve">brief </w:t>
      </w:r>
      <w:r w:rsidRPr="00992111">
        <w:t xml:space="preserve">his/her </w:t>
      </w:r>
      <w:r w:rsidR="00CA3A47" w:rsidRPr="00992111">
        <w:t>supervisor,</w:t>
      </w:r>
      <w:r w:rsidRPr="00992111">
        <w:t xml:space="preserve"> </w:t>
      </w:r>
      <w:r w:rsidR="006919A9" w:rsidRPr="00992111">
        <w:t>if possible</w:t>
      </w:r>
      <w:r w:rsidR="00860056" w:rsidRPr="00992111">
        <w:t xml:space="preserve">, </w:t>
      </w:r>
      <w:r w:rsidRPr="00992111">
        <w:t>on the preliminary inspection findings.</w:t>
      </w:r>
    </w:p>
    <w:p w14:paraId="17D0D74A" w14:textId="4609BD5D" w:rsidR="00791DC3" w:rsidRDefault="00E769C2" w:rsidP="00CA6F3D">
      <w:pPr>
        <w:pStyle w:val="BodyText"/>
        <w:numPr>
          <w:ilvl w:val="0"/>
          <w:numId w:val="19"/>
        </w:numPr>
      </w:pPr>
      <w:r>
        <w:t xml:space="preserve">During the conduct of inspections, the </w:t>
      </w:r>
      <w:r w:rsidR="4A0260EA">
        <w:t>i</w:t>
      </w:r>
      <w:r>
        <w:t xml:space="preserve">nspection </w:t>
      </w:r>
      <w:r w:rsidR="6A42E3FD">
        <w:t>s</w:t>
      </w:r>
      <w:r>
        <w:t>taff will also make every reasonable attempt to stop work practices that are unsafe or could lead to an unsafe situation. Additional discussion regarding witnessing of unsafe situations</w:t>
      </w:r>
      <w:r w:rsidR="00992111">
        <w:t xml:space="preserve"> </w:t>
      </w:r>
      <w:r>
        <w:t xml:space="preserve">may be found in </w:t>
      </w:r>
      <w:r>
        <w:lastRenderedPageBreak/>
        <w:t>Section</w:t>
      </w:r>
      <w:r w:rsidR="00FA1F41">
        <w:t> </w:t>
      </w:r>
      <w:r>
        <w:t>A</w:t>
      </w:r>
      <w:r w:rsidR="008B76FA">
        <w:t>.</w:t>
      </w:r>
      <w:r>
        <w:t xml:space="preserve">03.02.05, </w:t>
      </w:r>
      <w:r w:rsidR="005F1374">
        <w:t>“</w:t>
      </w:r>
      <w:r>
        <w:t xml:space="preserve">Witnessing Unsafe Situations,” of IMC-2506, </w:t>
      </w:r>
      <w:r w:rsidR="00C5157C">
        <w:t>“</w:t>
      </w:r>
      <w:r>
        <w:t xml:space="preserve">Construction Reactor Oversight Process General Guidance </w:t>
      </w:r>
      <w:r w:rsidR="00D53C20">
        <w:t>a</w:t>
      </w:r>
      <w:r>
        <w:t>nd Basis Document.”</w:t>
      </w:r>
    </w:p>
    <w:p w14:paraId="3F840240" w14:textId="2B69A0B1" w:rsidR="00791DC3" w:rsidRDefault="004E1631" w:rsidP="00CA6F3D">
      <w:pPr>
        <w:pStyle w:val="BodyText"/>
        <w:numPr>
          <w:ilvl w:val="0"/>
          <w:numId w:val="19"/>
        </w:numPr>
      </w:pPr>
      <w:r w:rsidRPr="00992111">
        <w:rPr>
          <w:u w:val="single"/>
        </w:rPr>
        <w:t>Inspection documentation</w:t>
      </w:r>
      <w:r w:rsidR="00161E11" w:rsidRPr="00992111">
        <w:t>.</w:t>
      </w:r>
      <w:r w:rsidR="007F2BC4">
        <w:t xml:space="preserve"> </w:t>
      </w:r>
      <w:r w:rsidR="00230C9A" w:rsidRPr="00992111">
        <w:t>I</w:t>
      </w:r>
      <w:r w:rsidR="00D46A45" w:rsidRPr="00992111">
        <w:t xml:space="preserve">nspection reports </w:t>
      </w:r>
      <w:r w:rsidR="000E1F87" w:rsidRPr="00992111">
        <w:t xml:space="preserve">regarding the applicant’s implementation of its QA program for safety-related </w:t>
      </w:r>
      <w:r w:rsidR="00594DD4">
        <w:t xml:space="preserve">or </w:t>
      </w:r>
      <w:r w:rsidR="00312FAB">
        <w:t>non-safety</w:t>
      </w:r>
      <w:r w:rsidR="005A7886">
        <w:t xml:space="preserve">-related safety-significant </w:t>
      </w:r>
      <w:r w:rsidR="000E1F87" w:rsidRPr="00992111">
        <w:t xml:space="preserve">activities in support of the staff licensing activities </w:t>
      </w:r>
      <w:r w:rsidR="00D46A45" w:rsidRPr="00992111">
        <w:t xml:space="preserve">will be issued as required by </w:t>
      </w:r>
      <w:r w:rsidRPr="00992111">
        <w:t>IMC</w:t>
      </w:r>
      <w:r w:rsidR="009348F4">
        <w:t> </w:t>
      </w:r>
      <w:r w:rsidRPr="00992111">
        <w:t>0617, "Vendor and Quality Assurance Implementation Inspection Reports.”</w:t>
      </w:r>
    </w:p>
    <w:p w14:paraId="0D64C383" w14:textId="75FA8C18" w:rsidR="00791DC3" w:rsidRDefault="00D46A45" w:rsidP="00CA6F3D">
      <w:pPr>
        <w:pStyle w:val="BodyText"/>
        <w:numPr>
          <w:ilvl w:val="0"/>
          <w:numId w:val="19"/>
        </w:numPr>
        <w:rPr>
          <w:color w:val="000000"/>
        </w:rPr>
      </w:pPr>
      <w:r w:rsidRPr="00992111">
        <w:t xml:space="preserve">Potential </w:t>
      </w:r>
      <w:r w:rsidR="00010D64">
        <w:t xml:space="preserve">noncompliance </w:t>
      </w:r>
      <w:r w:rsidRPr="00992111">
        <w:t>identified through inspection activities will be processed in accordance with the NRC</w:t>
      </w:r>
      <w:r w:rsidR="000371C7" w:rsidRPr="00992111">
        <w:t>’</w:t>
      </w:r>
      <w:r w:rsidRPr="00992111">
        <w:t>s Enforcement Policy.</w:t>
      </w:r>
      <w:r w:rsidR="007F2BC4">
        <w:rPr>
          <w:color w:val="000000"/>
        </w:rPr>
        <w:t xml:space="preserve"> </w:t>
      </w:r>
    </w:p>
    <w:p w14:paraId="287207D1" w14:textId="77777777" w:rsidR="00FE3094" w:rsidRDefault="00D46A45" w:rsidP="00FE3094">
      <w:pPr>
        <w:pStyle w:val="BodyText2"/>
        <w:outlineLvl w:val="1"/>
        <w:rPr>
          <w:u w:val="single"/>
        </w:rPr>
      </w:pPr>
      <w:bookmarkStart w:id="9" w:name="_Toc196397745"/>
      <w:r w:rsidRPr="00992111">
        <w:t>06.</w:t>
      </w:r>
      <w:r w:rsidR="00986746" w:rsidRPr="00992111">
        <w:t>0</w:t>
      </w:r>
      <w:r w:rsidR="00986746">
        <w:t>3</w:t>
      </w:r>
      <w:r w:rsidRPr="00992111">
        <w:tab/>
      </w:r>
      <w:r w:rsidRPr="00992111">
        <w:rPr>
          <w:u w:val="single"/>
        </w:rPr>
        <w:t>Inspector Qualification</w:t>
      </w:r>
      <w:bookmarkEnd w:id="9"/>
    </w:p>
    <w:p w14:paraId="1329E51A" w14:textId="772389AD" w:rsidR="00791DC3" w:rsidRDefault="00D46A45" w:rsidP="00FE3094">
      <w:pPr>
        <w:pStyle w:val="BodyText3"/>
      </w:pPr>
      <w:r w:rsidRPr="00992111">
        <w:t>NRC inspectors will be assigned responsibility for those inspection requirements consistent with their qualifications.</w:t>
      </w:r>
    </w:p>
    <w:p w14:paraId="23024A18" w14:textId="09E4E5EB" w:rsidR="00791DC3" w:rsidRDefault="00D46A45" w:rsidP="00231146">
      <w:pPr>
        <w:pStyle w:val="Heading1"/>
      </w:pPr>
      <w:bookmarkStart w:id="10" w:name="_Toc196397746"/>
      <w:r w:rsidRPr="00992111">
        <w:t>2501-07</w:t>
      </w:r>
      <w:r w:rsidRPr="00992111">
        <w:tab/>
      </w:r>
      <w:r w:rsidR="00E712E9">
        <w:t>I</w:t>
      </w:r>
      <w:r w:rsidR="00DF446A">
        <w:t>NSPECTION</w:t>
      </w:r>
      <w:bookmarkEnd w:id="10"/>
    </w:p>
    <w:p w14:paraId="41758E02" w14:textId="0BAD18CE" w:rsidR="00791DC3" w:rsidRDefault="000A024F" w:rsidP="00354D9C">
      <w:pPr>
        <w:pStyle w:val="BodyText"/>
        <w:rPr>
          <w:color w:val="000000"/>
        </w:rPr>
      </w:pPr>
      <w:r w:rsidRPr="00DB6312">
        <w:rPr>
          <w:u w:val="single"/>
        </w:rPr>
        <w:t>Post</w:t>
      </w:r>
      <w:r w:rsidR="00E56C64">
        <w:rPr>
          <w:u w:val="single"/>
        </w:rPr>
        <w:t>-</w:t>
      </w:r>
      <w:r w:rsidRPr="00DB6312">
        <w:rPr>
          <w:u w:val="single"/>
        </w:rPr>
        <w:t xml:space="preserve">Docketing </w:t>
      </w:r>
      <w:r w:rsidR="00526D94" w:rsidRPr="00992111">
        <w:rPr>
          <w:u w:val="single"/>
        </w:rPr>
        <w:t xml:space="preserve">QA Program </w:t>
      </w:r>
      <w:r w:rsidR="00D46A45" w:rsidRPr="00992111">
        <w:rPr>
          <w:u w:val="single"/>
        </w:rPr>
        <w:t>Inspection</w:t>
      </w:r>
      <w:r w:rsidR="00D46A45" w:rsidRPr="00992111">
        <w:t xml:space="preserve">. The objective of a </w:t>
      </w:r>
      <w:r w:rsidR="00E56C64">
        <w:t xml:space="preserve">post-docketing </w:t>
      </w:r>
      <w:r w:rsidR="00D46A45" w:rsidRPr="00992111">
        <w:t xml:space="preserve">QA program inspection is to provide the staff with reasonable assurance that the QA program has been effectively implemented. </w:t>
      </w:r>
      <w:r w:rsidR="005B3A92" w:rsidRPr="00992111">
        <w:t xml:space="preserve">This objective is consistent with regulations that govern all stages of the licensing process. </w:t>
      </w:r>
      <w:r w:rsidR="00C01BCA" w:rsidRPr="00992111">
        <w:rPr>
          <w:color w:val="000000"/>
        </w:rPr>
        <w:t xml:space="preserve">Assigned NRC inspectors will verify whether activities affecting quality are conducted under the appropriate provisions of Appendix B to 10 CFR Part 50. Effective implementation of the QA program shall provide reasonable assurance </w:t>
      </w:r>
      <w:r w:rsidR="00AC5BC7" w:rsidRPr="00992111">
        <w:rPr>
          <w:color w:val="000000"/>
        </w:rPr>
        <w:t xml:space="preserve">of </w:t>
      </w:r>
      <w:r w:rsidR="00C01BCA" w:rsidRPr="00992111">
        <w:rPr>
          <w:color w:val="000000"/>
        </w:rPr>
        <w:t xml:space="preserve">the integrity and reliability of the </w:t>
      </w:r>
      <w:r w:rsidR="00A70C83">
        <w:rPr>
          <w:color w:val="000000"/>
        </w:rPr>
        <w:t xml:space="preserve">ESP </w:t>
      </w:r>
      <w:r w:rsidR="00C01BCA" w:rsidRPr="00992111">
        <w:rPr>
          <w:color w:val="000000"/>
        </w:rPr>
        <w:t xml:space="preserve">data or analysis that would affect the performance of </w:t>
      </w:r>
      <w:r w:rsidR="00594DD4" w:rsidRPr="00992111">
        <w:rPr>
          <w:color w:val="000000"/>
        </w:rPr>
        <w:t>safety</w:t>
      </w:r>
      <w:r w:rsidR="0035718A">
        <w:rPr>
          <w:color w:val="000000"/>
        </w:rPr>
        <w:t>-</w:t>
      </w:r>
      <w:r w:rsidR="00594DD4" w:rsidRPr="00992111">
        <w:rPr>
          <w:color w:val="000000"/>
        </w:rPr>
        <w:t>related</w:t>
      </w:r>
      <w:r w:rsidR="00594DD4">
        <w:rPr>
          <w:color w:val="000000"/>
        </w:rPr>
        <w:t xml:space="preserve"> or </w:t>
      </w:r>
      <w:r w:rsidR="00381298">
        <w:rPr>
          <w:color w:val="000000"/>
        </w:rPr>
        <w:t>non</w:t>
      </w:r>
      <w:r w:rsidR="00BD5821">
        <w:rPr>
          <w:color w:val="000000"/>
        </w:rPr>
        <w:noBreakHyphen/>
      </w:r>
      <w:r w:rsidR="00585519">
        <w:rPr>
          <w:color w:val="000000"/>
        </w:rPr>
        <w:t xml:space="preserve">safety-related </w:t>
      </w:r>
      <w:r w:rsidR="00171AF8">
        <w:rPr>
          <w:color w:val="000000"/>
        </w:rPr>
        <w:t xml:space="preserve">safety-significant </w:t>
      </w:r>
      <w:r w:rsidR="00C01BCA" w:rsidRPr="00992111">
        <w:rPr>
          <w:color w:val="000000"/>
        </w:rPr>
        <w:t>SSC</w:t>
      </w:r>
      <w:r w:rsidR="00AC5BC7" w:rsidRPr="00992111">
        <w:rPr>
          <w:color w:val="000000"/>
        </w:rPr>
        <w:t>s</w:t>
      </w:r>
      <w:r w:rsidR="00C01BCA" w:rsidRPr="00992111">
        <w:rPr>
          <w:color w:val="000000"/>
        </w:rPr>
        <w:t>.</w:t>
      </w:r>
    </w:p>
    <w:p w14:paraId="3E3BB1B4" w14:textId="639DC138" w:rsidR="00791DC3" w:rsidRDefault="00CD4F56" w:rsidP="00354D9C">
      <w:pPr>
        <w:pStyle w:val="BodyText"/>
        <w:rPr>
          <w:color w:val="000000"/>
        </w:rPr>
      </w:pPr>
      <w:r>
        <w:rPr>
          <w:color w:val="000000"/>
        </w:rPr>
        <w:t>If a</w:t>
      </w:r>
      <w:r w:rsidR="00AC5BC7" w:rsidRPr="00992111">
        <w:rPr>
          <w:color w:val="000000"/>
        </w:rPr>
        <w:t xml:space="preserve"> QA program inspection </w:t>
      </w:r>
      <w:r>
        <w:rPr>
          <w:color w:val="000000"/>
        </w:rPr>
        <w:t xml:space="preserve">is performed </w:t>
      </w:r>
      <w:r>
        <w:t xml:space="preserve">(see </w:t>
      </w:r>
      <w:r w:rsidR="001904C0">
        <w:t>S</w:t>
      </w:r>
      <w:r>
        <w:t>ection 03.</w:t>
      </w:r>
      <w:r w:rsidR="00475FCE">
        <w:t xml:space="preserve">02 </w:t>
      </w:r>
      <w:r>
        <w:t>of this IMC for applicability guidance)</w:t>
      </w:r>
      <w:r w:rsidR="00EA2103">
        <w:t>, it will</w:t>
      </w:r>
      <w:r w:rsidR="00AC5BC7" w:rsidRPr="00992111">
        <w:rPr>
          <w:color w:val="000000"/>
        </w:rPr>
        <w:t xml:space="preserve"> be conducted using the guidance contained in </w:t>
      </w:r>
      <w:r w:rsidR="00A706A1" w:rsidRPr="00992111">
        <w:rPr>
          <w:color w:val="000000"/>
        </w:rPr>
        <w:t>Inspection Procedure (</w:t>
      </w:r>
      <w:r w:rsidR="00AC5BC7" w:rsidRPr="00992111">
        <w:rPr>
          <w:color w:val="000000"/>
        </w:rPr>
        <w:t>IP</w:t>
      </w:r>
      <w:r w:rsidR="00A706A1" w:rsidRPr="00992111">
        <w:rPr>
          <w:color w:val="000000"/>
        </w:rPr>
        <w:t>)</w:t>
      </w:r>
      <w:r w:rsidR="00AC5BC7" w:rsidRPr="00992111">
        <w:rPr>
          <w:color w:val="000000"/>
        </w:rPr>
        <w:t xml:space="preserve"> 35017, “Quality Assurance Implementation Inspection,” </w:t>
      </w:r>
      <w:r w:rsidR="00AC5BC7" w:rsidRPr="00474244">
        <w:t xml:space="preserve">to verify the implementation of the applicant’s QA program and to support the staff's SER input. These inspections will be led by </w:t>
      </w:r>
      <w:r w:rsidR="004B2EAE">
        <w:t>DRO</w:t>
      </w:r>
      <w:r w:rsidR="00704D4B">
        <w:t xml:space="preserve"> </w:t>
      </w:r>
      <w:r w:rsidR="00AC5BC7" w:rsidRPr="00474244">
        <w:t>in cooperation with other technical divisions and</w:t>
      </w:r>
      <w:r w:rsidR="00501458">
        <w:t>/or</w:t>
      </w:r>
      <w:r w:rsidR="00AC5BC7" w:rsidRPr="00474244">
        <w:t xml:space="preserve"> the </w:t>
      </w:r>
      <w:r w:rsidR="00B75F91" w:rsidRPr="00474244">
        <w:t>host</w:t>
      </w:r>
      <w:r w:rsidR="00553CBB" w:rsidRPr="00474244">
        <w:t xml:space="preserve"> </w:t>
      </w:r>
      <w:r w:rsidR="00AC5BC7" w:rsidRPr="00474244">
        <w:t>region, as necessary. Follow</w:t>
      </w:r>
      <w:r w:rsidR="001904C0">
        <w:noBreakHyphen/>
      </w:r>
      <w:r w:rsidR="00AC5BC7" w:rsidRPr="00474244">
        <w:t>up inspections will be performed as necessary. Significant inspection</w:t>
      </w:r>
      <w:r w:rsidR="00AC5BC7" w:rsidRPr="00992111">
        <w:rPr>
          <w:color w:val="000000"/>
        </w:rPr>
        <w:t xml:space="preserve"> findings relating to QA implementation should be resolved before the SER for the ESP</w:t>
      </w:r>
      <w:r w:rsidR="001847A0">
        <w:rPr>
          <w:color w:val="000000"/>
        </w:rPr>
        <w:t>,</w:t>
      </w:r>
      <w:r w:rsidR="003D34F2">
        <w:rPr>
          <w:color w:val="000000"/>
        </w:rPr>
        <w:t xml:space="preserve"> </w:t>
      </w:r>
      <w:r w:rsidR="00CF44D2">
        <w:rPr>
          <w:color w:val="000000"/>
        </w:rPr>
        <w:t xml:space="preserve">LWA, </w:t>
      </w:r>
      <w:r w:rsidR="003D34F2">
        <w:rPr>
          <w:color w:val="000000"/>
        </w:rPr>
        <w:t>CP, COL</w:t>
      </w:r>
      <w:r w:rsidR="00594DD4">
        <w:rPr>
          <w:color w:val="000000"/>
        </w:rPr>
        <w:t>,</w:t>
      </w:r>
      <w:r w:rsidR="00AC5BC7" w:rsidRPr="00992111">
        <w:rPr>
          <w:color w:val="000000"/>
        </w:rPr>
        <w:t xml:space="preserve"> </w:t>
      </w:r>
      <w:r w:rsidR="00594DD4">
        <w:rPr>
          <w:color w:val="000000"/>
        </w:rPr>
        <w:t>or ML</w:t>
      </w:r>
      <w:r w:rsidR="00594DD4" w:rsidRPr="00992111">
        <w:rPr>
          <w:color w:val="000000"/>
        </w:rPr>
        <w:t xml:space="preserve"> </w:t>
      </w:r>
      <w:r w:rsidR="00AC5BC7" w:rsidRPr="00992111">
        <w:rPr>
          <w:color w:val="000000"/>
        </w:rPr>
        <w:t>is issued</w:t>
      </w:r>
      <w:r w:rsidR="007C0694" w:rsidRPr="00992111">
        <w:rPr>
          <w:color w:val="000000"/>
        </w:rPr>
        <w:t>.</w:t>
      </w:r>
    </w:p>
    <w:p w14:paraId="6976D4DE" w14:textId="30DA3BFA" w:rsidR="00791DC3" w:rsidRDefault="00994ED3" w:rsidP="00354D9C">
      <w:pPr>
        <w:pStyle w:val="BodyText"/>
        <w:rPr>
          <w:color w:val="000000"/>
        </w:rPr>
      </w:pPr>
      <w:r w:rsidRPr="00992111">
        <w:rPr>
          <w:color w:val="000000"/>
        </w:rPr>
        <w:t xml:space="preserve">In addition, </w:t>
      </w:r>
      <w:r w:rsidR="00EA2103">
        <w:rPr>
          <w:color w:val="000000"/>
        </w:rPr>
        <w:t xml:space="preserve">the </w:t>
      </w:r>
      <w:r w:rsidRPr="00992111">
        <w:rPr>
          <w:color w:val="000000"/>
        </w:rPr>
        <w:t>post-docketing QA program inspection will include a review of the applicant's program associated with 10 CFR Part 21. The inspector will use IP 36100, "Inspection of 10</w:t>
      </w:r>
      <w:r w:rsidR="00A34C59">
        <w:rPr>
          <w:color w:val="000000"/>
        </w:rPr>
        <w:t> </w:t>
      </w:r>
      <w:r w:rsidRPr="00992111">
        <w:rPr>
          <w:color w:val="000000"/>
        </w:rPr>
        <w:t xml:space="preserve">CFR Part 21 Programs for Reporting Defects and Noncompliance," to verify that the applicant </w:t>
      </w:r>
      <w:r w:rsidR="00D53C20" w:rsidRPr="00992111">
        <w:rPr>
          <w:color w:val="000000"/>
        </w:rPr>
        <w:t>has established appropriate procedures and programs to effectively implement 10</w:t>
      </w:r>
      <w:r w:rsidR="00B040BF">
        <w:rPr>
          <w:color w:val="000000"/>
        </w:rPr>
        <w:t> </w:t>
      </w:r>
      <w:r w:rsidR="00D53C20" w:rsidRPr="00992111">
        <w:rPr>
          <w:color w:val="000000"/>
        </w:rPr>
        <w:t>CFR Part 21 requirements for reporting defects and noncompliance.</w:t>
      </w:r>
    </w:p>
    <w:p w14:paraId="4BC7E3C9" w14:textId="4BEA60CA" w:rsidR="00791DC3" w:rsidRDefault="00D46A45" w:rsidP="00231146">
      <w:pPr>
        <w:pStyle w:val="Heading1"/>
      </w:pPr>
      <w:bookmarkStart w:id="11" w:name="_Toc196397747"/>
      <w:r w:rsidRPr="00992111">
        <w:t>2501-08</w:t>
      </w:r>
      <w:r w:rsidRPr="00992111">
        <w:tab/>
        <w:t>ENFORCEMENT ACTIONS</w:t>
      </w:r>
      <w:bookmarkEnd w:id="11"/>
    </w:p>
    <w:p w14:paraId="79679A16" w14:textId="79CBC6F8" w:rsidR="00791DC3" w:rsidRDefault="008F1166" w:rsidP="00354D9C">
      <w:pPr>
        <w:pStyle w:val="BodyText"/>
      </w:pPr>
      <w:r w:rsidRPr="00992111">
        <w:t xml:space="preserve">The NRC Enforcement Policy governs the processes and procedures for the initiation and review of </w:t>
      </w:r>
      <w:r w:rsidR="00771168">
        <w:t>noncompliance</w:t>
      </w:r>
      <w:r w:rsidR="000A5476">
        <w:t xml:space="preserve"> with</w:t>
      </w:r>
      <w:r w:rsidRPr="00992111">
        <w:t xml:space="preserve"> NRC requirements </w:t>
      </w:r>
      <w:r w:rsidR="000A5476">
        <w:t>or other applicant commitments</w:t>
      </w:r>
      <w:r w:rsidR="00D12619">
        <w:t>. T</w:t>
      </w:r>
      <w:r w:rsidRPr="00992111">
        <w:t>he NRC Enforcement Manual contains implementation guidance</w:t>
      </w:r>
      <w:r w:rsidR="001B698F" w:rsidRPr="00992111">
        <w:t>.</w:t>
      </w:r>
      <w:r w:rsidR="001B698F" w:rsidRPr="00992111">
        <w:rPr>
          <w:color w:val="000000"/>
        </w:rPr>
        <w:t xml:space="preserve"> </w:t>
      </w:r>
      <w:r w:rsidR="00D46A45" w:rsidRPr="00992111">
        <w:t>During the post-docketing phase, the applicant</w:t>
      </w:r>
      <w:r w:rsidRPr="00992111">
        <w:t xml:space="preserve"> and their contractors performing safety-related activities</w:t>
      </w:r>
      <w:r w:rsidR="0093403C" w:rsidRPr="00992111">
        <w:t xml:space="preserve"> </w:t>
      </w:r>
      <w:r w:rsidR="00D46A45" w:rsidRPr="00992111">
        <w:t>will be subject to 10 CFR Part</w:t>
      </w:r>
      <w:r w:rsidR="00695756">
        <w:t> </w:t>
      </w:r>
      <w:r w:rsidR="00D46A45" w:rsidRPr="00992111">
        <w:t xml:space="preserve">21 and </w:t>
      </w:r>
      <w:r w:rsidR="0002100F" w:rsidRPr="00992111">
        <w:t>10 CFR Part 50</w:t>
      </w:r>
      <w:r w:rsidRPr="00992111">
        <w:t>, Appendix B</w:t>
      </w:r>
      <w:r w:rsidR="0002100F" w:rsidRPr="00992111">
        <w:t xml:space="preserve"> </w:t>
      </w:r>
      <w:r w:rsidR="00D46A45" w:rsidRPr="00992111">
        <w:t>requirements and may be subject to enforcement actions</w:t>
      </w:r>
      <w:r w:rsidR="00E769C2" w:rsidRPr="00992111">
        <w:t xml:space="preserve"> as deemed appropriate</w:t>
      </w:r>
      <w:r w:rsidR="005D72C2" w:rsidRPr="00992111">
        <w:t>.</w:t>
      </w:r>
    </w:p>
    <w:p w14:paraId="359B6533" w14:textId="05C62B42" w:rsidR="00791DC3" w:rsidRDefault="00231146" w:rsidP="00231146">
      <w:pPr>
        <w:pStyle w:val="Heading1"/>
      </w:pPr>
      <w:bookmarkStart w:id="12" w:name="_Toc196397748"/>
      <w:r>
        <w:lastRenderedPageBreak/>
        <w:t>2501-</w:t>
      </w:r>
      <w:r w:rsidR="00D46A45" w:rsidRPr="00992111">
        <w:t>09</w:t>
      </w:r>
      <w:r w:rsidR="00D46A45" w:rsidRPr="00992111">
        <w:tab/>
        <w:t>REFERENCES</w:t>
      </w:r>
      <w:bookmarkEnd w:id="12"/>
    </w:p>
    <w:p w14:paraId="654862C5" w14:textId="2DEC1616" w:rsidR="00791DC3" w:rsidRDefault="00D46A45" w:rsidP="00354D9C">
      <w:pPr>
        <w:pStyle w:val="BodyText2"/>
      </w:pPr>
      <w:r w:rsidRPr="00992111">
        <w:t xml:space="preserve">10 CFR Part 52, </w:t>
      </w:r>
      <w:r w:rsidR="00994ED3" w:rsidRPr="00992111">
        <w:t>“</w:t>
      </w:r>
      <w:r w:rsidR="00A26C2D" w:rsidRPr="00992111">
        <w:t>Licenses, Certifications, and Approvals for Nuclear Power Plants</w:t>
      </w:r>
      <w:r w:rsidR="00994ED3" w:rsidRPr="00992111">
        <w:t>”</w:t>
      </w:r>
    </w:p>
    <w:p w14:paraId="5F2B113F" w14:textId="77777777" w:rsidR="00791DC3" w:rsidRDefault="00D46A45" w:rsidP="00936644">
      <w:pPr>
        <w:pStyle w:val="BodyText2"/>
      </w:pPr>
      <w:r w:rsidRPr="00992111">
        <w:t xml:space="preserve">10 CFR Part 50.55, </w:t>
      </w:r>
      <w:r w:rsidR="00994ED3" w:rsidRPr="00992111">
        <w:t>“</w:t>
      </w:r>
      <w:r w:rsidRPr="00992111">
        <w:t>Conditions of Construction Permits</w:t>
      </w:r>
      <w:r w:rsidR="00A26C2D" w:rsidRPr="00992111">
        <w:t>, Early Site Permits, Combined Licenses, and Manufacturing Licenses</w:t>
      </w:r>
      <w:r w:rsidR="00994ED3" w:rsidRPr="00992111">
        <w:t>”</w:t>
      </w:r>
    </w:p>
    <w:p w14:paraId="75677CB5" w14:textId="7E19F70B" w:rsidR="00791DC3" w:rsidRDefault="00D46A45" w:rsidP="00936644">
      <w:pPr>
        <w:pStyle w:val="BodyText2"/>
      </w:pPr>
      <w:r w:rsidRPr="00992111">
        <w:t xml:space="preserve">10 CFR Part 50, Appendix B, </w:t>
      </w:r>
      <w:r w:rsidR="00D53C20">
        <w:t>“</w:t>
      </w:r>
      <w:r w:rsidRPr="00992111">
        <w:t>Quality Assurance Criteria for Nuclear Power Plants and Fuel Reprocessing Plants</w:t>
      </w:r>
      <w:r w:rsidR="00994ED3" w:rsidRPr="00992111">
        <w:t>”</w:t>
      </w:r>
    </w:p>
    <w:p w14:paraId="400EFEE3" w14:textId="77777777" w:rsidR="00791DC3" w:rsidRDefault="00D46A45" w:rsidP="00936644">
      <w:pPr>
        <w:pStyle w:val="BodyText2"/>
      </w:pPr>
      <w:r w:rsidRPr="00992111">
        <w:t>10 CFR Part 21</w:t>
      </w:r>
      <w:r w:rsidR="000B297B">
        <w:t>, “</w:t>
      </w:r>
      <w:r w:rsidRPr="00992111">
        <w:t>Reporting of Defects and Noncompliance</w:t>
      </w:r>
      <w:r w:rsidR="00994ED3" w:rsidRPr="00992111">
        <w:t>”</w:t>
      </w:r>
    </w:p>
    <w:p w14:paraId="0786398A" w14:textId="77777777" w:rsidR="00791DC3" w:rsidRDefault="007C0694" w:rsidP="00936644">
      <w:pPr>
        <w:pStyle w:val="BodyText2"/>
      </w:pPr>
      <w:r w:rsidRPr="00992111">
        <w:t>70 FR 12908, “Use of the Web and ADAMS to Disseminate the Enforcement Policy, Discontinuation of NUREG-1600, and Simplification of the Official Policy Statement Title”</w:t>
      </w:r>
    </w:p>
    <w:p w14:paraId="17452105" w14:textId="77777777" w:rsidR="00791DC3" w:rsidRDefault="0093403C" w:rsidP="00936644">
      <w:pPr>
        <w:pStyle w:val="BodyText2"/>
      </w:pPr>
      <w:r w:rsidRPr="00992111">
        <w:t>I</w:t>
      </w:r>
      <w:r w:rsidR="00936644">
        <w:t>MC</w:t>
      </w:r>
      <w:r w:rsidRPr="00992111">
        <w:t xml:space="preserve"> 0617,</w:t>
      </w:r>
      <w:r w:rsidR="00D53C20">
        <w:t xml:space="preserve"> “</w:t>
      </w:r>
      <w:r w:rsidRPr="00992111">
        <w:t>Vendor and Quality Assurance Implementation Reports”</w:t>
      </w:r>
    </w:p>
    <w:p w14:paraId="00FEC13B" w14:textId="77777777" w:rsidR="00791DC3" w:rsidRDefault="00F156CB" w:rsidP="00936644">
      <w:pPr>
        <w:pStyle w:val="BodyText2"/>
      </w:pPr>
      <w:r w:rsidRPr="00992111">
        <w:t>I</w:t>
      </w:r>
      <w:r w:rsidR="00936644">
        <w:t>MC</w:t>
      </w:r>
      <w:r>
        <w:t xml:space="preserve"> </w:t>
      </w:r>
      <w:r w:rsidRPr="00992111">
        <w:t>2506, “Construction Reactor Oversight Process General Guidance and Basis Document”</w:t>
      </w:r>
    </w:p>
    <w:p w14:paraId="5252E1C9" w14:textId="77777777" w:rsidR="00791DC3" w:rsidRDefault="008A00A2" w:rsidP="00936644">
      <w:pPr>
        <w:pStyle w:val="BodyText2"/>
      </w:pPr>
      <w:r>
        <w:t xml:space="preserve">IMC 2570, “Advanced Reactor </w:t>
      </w:r>
      <w:r w:rsidRPr="00C000F2">
        <w:t>Construction Oversight Process</w:t>
      </w:r>
      <w:r>
        <w:t xml:space="preserve"> </w:t>
      </w:r>
      <w:r w:rsidRPr="00C000F2">
        <w:t xml:space="preserve">General Guidance </w:t>
      </w:r>
      <w:r>
        <w:t>a</w:t>
      </w:r>
      <w:r w:rsidRPr="00C000F2">
        <w:t>nd Basis Document</w:t>
      </w:r>
      <w:r w:rsidR="00936644">
        <w:t>”</w:t>
      </w:r>
    </w:p>
    <w:p w14:paraId="0DBF2387" w14:textId="5A439EFF" w:rsidR="00791DC3" w:rsidRDefault="000D6F2B" w:rsidP="00936644">
      <w:pPr>
        <w:pStyle w:val="BodyText2"/>
      </w:pPr>
      <w:r>
        <w:t xml:space="preserve">NEI 18-04, </w:t>
      </w:r>
      <w:r w:rsidR="004B1B77">
        <w:t xml:space="preserve">Revision 1, </w:t>
      </w:r>
      <w:r w:rsidR="00705163">
        <w:t>“</w:t>
      </w:r>
      <w:r w:rsidRPr="006443A6">
        <w:rPr>
          <w:color w:val="3D3D3D"/>
        </w:rPr>
        <w:t>Risk-Informed Performance-Based Technology Inclusive Guidance for Non-Light Water Reactor Licensing Basis Development</w:t>
      </w:r>
      <w:r w:rsidR="00705163">
        <w:rPr>
          <w:color w:val="3D3D3D"/>
        </w:rPr>
        <w:t>”</w:t>
      </w:r>
    </w:p>
    <w:p w14:paraId="580A7550" w14:textId="77777777" w:rsidR="00791DC3" w:rsidRDefault="0023735E" w:rsidP="00936644">
      <w:pPr>
        <w:pStyle w:val="BodyText2"/>
      </w:pPr>
      <w:r w:rsidRPr="00992111">
        <w:t>NUREG-</w:t>
      </w:r>
      <w:r w:rsidR="00383706" w:rsidRPr="00992111">
        <w:t xml:space="preserve">800 Standard Review Plan, </w:t>
      </w:r>
      <w:r w:rsidRPr="00992111">
        <w:t xml:space="preserve">Section 17.5, “Quality Assurance Program Description –Design Certification, Early Site </w:t>
      </w:r>
      <w:r w:rsidR="00C06CE1" w:rsidRPr="00992111">
        <w:t>Permit,</w:t>
      </w:r>
      <w:r w:rsidRPr="00992111">
        <w:t xml:space="preserve"> and New License Applicants”</w:t>
      </w:r>
    </w:p>
    <w:p w14:paraId="3D2BBE19" w14:textId="1E236E75" w:rsidR="00791DC3" w:rsidRDefault="004B1B77" w:rsidP="00936644">
      <w:pPr>
        <w:pStyle w:val="BodyText2"/>
      </w:pPr>
      <w:r>
        <w:rPr>
          <w:bCs/>
        </w:rPr>
        <w:t xml:space="preserve">Regulatory Guide 1.233, </w:t>
      </w:r>
      <w:r w:rsidR="00A3785A">
        <w:rPr>
          <w:bCs/>
        </w:rPr>
        <w:t>“</w:t>
      </w:r>
      <w:r w:rsidR="00A477C6" w:rsidRPr="00A477C6">
        <w:t>G</w:t>
      </w:r>
      <w:r w:rsidR="007E79FE">
        <w:t>uidance for a Technology-Inclusive, Risk-Informed, and Performance-Based</w:t>
      </w:r>
      <w:r w:rsidR="00A34CD7">
        <w:t xml:space="preserve"> </w:t>
      </w:r>
      <w:r w:rsidR="00A477C6" w:rsidRPr="00A477C6">
        <w:t>M</w:t>
      </w:r>
      <w:r w:rsidR="00A34CD7">
        <w:t>ethodology to Inform the Licensing Basis and Content of Applications for Licenses, Certifications, and Approvals for Non-Light-Water Reactors</w:t>
      </w:r>
      <w:r w:rsidR="00705163">
        <w:t>”</w:t>
      </w:r>
    </w:p>
    <w:p w14:paraId="63C824A1" w14:textId="77777777" w:rsidR="00791DC3" w:rsidRDefault="00D46A45" w:rsidP="00936644">
      <w:pPr>
        <w:pStyle w:val="END"/>
      </w:pPr>
      <w:r w:rsidRPr="00992111">
        <w:t>END</w:t>
      </w:r>
    </w:p>
    <w:p w14:paraId="132546ED" w14:textId="77777777" w:rsidR="00791DC3" w:rsidRDefault="00D46A45" w:rsidP="00791DC3">
      <w:pPr>
        <w:pStyle w:val="BodyText2"/>
      </w:pPr>
      <w:r w:rsidRPr="00992111">
        <w:t>Attachments:</w:t>
      </w:r>
      <w:r w:rsidR="00791DC3">
        <w:br/>
      </w:r>
      <w:r w:rsidRPr="00992111">
        <w:t>1</w:t>
      </w:r>
      <w:r w:rsidR="00A34CD7" w:rsidRPr="00992111">
        <w:t>.</w:t>
      </w:r>
      <w:r w:rsidR="00A34CD7">
        <w:t xml:space="preserve"> Inspection</w:t>
      </w:r>
      <w:r w:rsidR="001A47C1">
        <w:t xml:space="preserve"> Procedures</w:t>
      </w:r>
      <w:r w:rsidR="00791DC3">
        <w:br/>
      </w:r>
      <w:r w:rsidR="001A47C1">
        <w:t xml:space="preserve">2. </w:t>
      </w:r>
      <w:r w:rsidR="001A47C1" w:rsidRPr="00992111">
        <w:t>R</w:t>
      </w:r>
      <w:r w:rsidR="001A47C1">
        <w:t>evision History for IMC 2501</w:t>
      </w:r>
    </w:p>
    <w:p w14:paraId="4FC6A9AC" w14:textId="29E00B7B" w:rsidR="00C42750" w:rsidRPr="00992111" w:rsidRDefault="00C42750" w:rsidP="006F25D5">
      <w:pPr>
        <w:sectPr w:rsidR="00C42750" w:rsidRPr="00992111" w:rsidSect="0041022D">
          <w:footerReference w:type="default" r:id="rId12"/>
          <w:pgSz w:w="12240" w:h="15840" w:code="1"/>
          <w:pgMar w:top="1440" w:right="1440" w:bottom="1440" w:left="1440" w:header="720" w:footer="720" w:gutter="0"/>
          <w:pgNumType w:start="1"/>
          <w:cols w:space="720"/>
          <w:noEndnote/>
          <w:docGrid w:linePitch="326"/>
        </w:sectPr>
      </w:pPr>
    </w:p>
    <w:p w14:paraId="0DE28805" w14:textId="61360887" w:rsidR="00823BE7" w:rsidRDefault="00D46A45" w:rsidP="00A04D21">
      <w:pPr>
        <w:pStyle w:val="attachmenttitle"/>
        <w:rPr>
          <w:u w:val="single"/>
        </w:rPr>
      </w:pPr>
      <w:bookmarkStart w:id="13" w:name="_Toc196397749"/>
      <w:r w:rsidRPr="004A669B">
        <w:lastRenderedPageBreak/>
        <w:t>A</w:t>
      </w:r>
      <w:r w:rsidR="004A3675" w:rsidRPr="004A669B">
        <w:t>ttachment</w:t>
      </w:r>
      <w:r w:rsidRPr="004A669B">
        <w:t xml:space="preserve"> 1</w:t>
      </w:r>
      <w:r w:rsidR="00A04D21">
        <w:t xml:space="preserve">: </w:t>
      </w:r>
      <w:r w:rsidR="00D53C20" w:rsidRPr="004A669B">
        <w:t>Inspection Procedures</w:t>
      </w:r>
      <w:bookmarkEnd w:id="13"/>
    </w:p>
    <w:tbl>
      <w:tblPr>
        <w:tblStyle w:val="IM"/>
        <w:tblW w:w="9360" w:type="dxa"/>
        <w:tblLayout w:type="fixed"/>
        <w:tblLook w:val="0000" w:firstRow="0" w:lastRow="0" w:firstColumn="0" w:lastColumn="0" w:noHBand="0" w:noVBand="0"/>
      </w:tblPr>
      <w:tblGrid>
        <w:gridCol w:w="2065"/>
        <w:gridCol w:w="7295"/>
      </w:tblGrid>
      <w:tr w:rsidR="00823BE7" w:rsidRPr="004E5DEA" w14:paraId="730C310A" w14:textId="77777777" w:rsidTr="00AE5412">
        <w:tc>
          <w:tcPr>
            <w:tcW w:w="2065" w:type="dxa"/>
          </w:tcPr>
          <w:p w14:paraId="7B1FA96D" w14:textId="77777777" w:rsidR="00823BE7" w:rsidRPr="004E5DEA" w:rsidRDefault="00823BE7" w:rsidP="00A46FC8">
            <w:pPr>
              <w:widowControl/>
              <w:tabs>
                <w:tab w:val="left" w:pos="-1200"/>
                <w:tab w:val="left" w:pos="-720"/>
                <w:tab w:val="left" w:pos="0"/>
                <w:tab w:val="left" w:pos="360"/>
              </w:tabs>
              <w:jc w:val="center"/>
              <w:rPr>
                <w:color w:val="000000"/>
              </w:rPr>
            </w:pPr>
            <w:r w:rsidRPr="004E5DEA">
              <w:rPr>
                <w:color w:val="000000"/>
              </w:rPr>
              <w:t>35017</w:t>
            </w:r>
          </w:p>
        </w:tc>
        <w:tc>
          <w:tcPr>
            <w:tcW w:w="7295" w:type="dxa"/>
          </w:tcPr>
          <w:p w14:paraId="08B3C153" w14:textId="0AD92522" w:rsidR="00823BE7" w:rsidRPr="004E5DEA" w:rsidRDefault="00823BE7" w:rsidP="00A46FC8">
            <w:pPr>
              <w:widowControl/>
              <w:tabs>
                <w:tab w:val="left" w:pos="-1200"/>
                <w:tab w:val="left" w:pos="-720"/>
                <w:tab w:val="left" w:pos="0"/>
                <w:tab w:val="left" w:pos="360"/>
              </w:tabs>
              <w:rPr>
                <w:color w:val="000000"/>
              </w:rPr>
            </w:pPr>
            <w:r w:rsidRPr="004E5DEA">
              <w:rPr>
                <w:iCs/>
                <w:color w:val="000000"/>
              </w:rPr>
              <w:t>Quality Assurance Implementation Inspection</w:t>
            </w:r>
          </w:p>
        </w:tc>
      </w:tr>
      <w:tr w:rsidR="00823BE7" w:rsidRPr="004E5DEA" w14:paraId="4A9FDC4F" w14:textId="77777777" w:rsidTr="00AE5412">
        <w:tc>
          <w:tcPr>
            <w:tcW w:w="2065" w:type="dxa"/>
          </w:tcPr>
          <w:p w14:paraId="35C24D10" w14:textId="77777777" w:rsidR="00823BE7" w:rsidRPr="004E5DEA" w:rsidRDefault="00823BE7" w:rsidP="00A46FC8">
            <w:pPr>
              <w:widowControl/>
              <w:tabs>
                <w:tab w:val="left" w:pos="-1200"/>
                <w:tab w:val="left" w:pos="-720"/>
                <w:tab w:val="left" w:pos="0"/>
                <w:tab w:val="left" w:pos="360"/>
              </w:tabs>
              <w:jc w:val="center"/>
              <w:rPr>
                <w:color w:val="000000"/>
              </w:rPr>
            </w:pPr>
            <w:r w:rsidRPr="004E5DEA">
              <w:rPr>
                <w:color w:val="000000"/>
              </w:rPr>
              <w:t>36100</w:t>
            </w:r>
          </w:p>
        </w:tc>
        <w:tc>
          <w:tcPr>
            <w:tcW w:w="7295" w:type="dxa"/>
          </w:tcPr>
          <w:p w14:paraId="7A131F2C" w14:textId="5354E7AF" w:rsidR="00823BE7" w:rsidRPr="000F0D93" w:rsidRDefault="00E6607F" w:rsidP="00A46FC8">
            <w:pPr>
              <w:widowControl/>
              <w:tabs>
                <w:tab w:val="left" w:pos="-1200"/>
                <w:tab w:val="left" w:pos="-720"/>
                <w:tab w:val="left" w:pos="0"/>
                <w:tab w:val="left" w:pos="360"/>
              </w:tabs>
              <w:rPr>
                <w:iCs/>
                <w:color w:val="000000"/>
              </w:rPr>
            </w:pPr>
            <w:r w:rsidRPr="00E6607F">
              <w:rPr>
                <w:iCs/>
                <w:color w:val="000000"/>
              </w:rPr>
              <w:t>Inspection of 10 CFR Part 21 and Programs for Reporting Defects and Noncompliance</w:t>
            </w:r>
          </w:p>
        </w:tc>
      </w:tr>
      <w:tr w:rsidR="005A6B15" w:rsidRPr="004E5DEA" w14:paraId="066157C3" w14:textId="77777777" w:rsidTr="00AE5412">
        <w:tc>
          <w:tcPr>
            <w:tcW w:w="2065" w:type="dxa"/>
          </w:tcPr>
          <w:p w14:paraId="01246AEE" w14:textId="5D718EA7" w:rsidR="005A6B15" w:rsidRPr="004E5DEA" w:rsidRDefault="005A6B15" w:rsidP="00A46FC8">
            <w:pPr>
              <w:widowControl/>
              <w:tabs>
                <w:tab w:val="left" w:pos="-1200"/>
                <w:tab w:val="left" w:pos="-720"/>
                <w:tab w:val="left" w:pos="0"/>
                <w:tab w:val="left" w:pos="360"/>
              </w:tabs>
              <w:jc w:val="center"/>
              <w:rPr>
                <w:color w:val="000000"/>
              </w:rPr>
            </w:pPr>
            <w:r>
              <w:rPr>
                <w:color w:val="000000"/>
              </w:rPr>
              <w:t>36100.01</w:t>
            </w:r>
          </w:p>
        </w:tc>
        <w:tc>
          <w:tcPr>
            <w:tcW w:w="7295" w:type="dxa"/>
          </w:tcPr>
          <w:p w14:paraId="6D26D90A" w14:textId="20143ED0" w:rsidR="005A6B15" w:rsidRPr="004E5DEA" w:rsidRDefault="00E6607F" w:rsidP="00A46FC8">
            <w:pPr>
              <w:widowControl/>
              <w:tabs>
                <w:tab w:val="left" w:pos="-1200"/>
                <w:tab w:val="left" w:pos="-720"/>
                <w:tab w:val="left" w:pos="0"/>
                <w:tab w:val="left" w:pos="360"/>
              </w:tabs>
              <w:rPr>
                <w:iCs/>
                <w:color w:val="000000"/>
              </w:rPr>
            </w:pPr>
            <w:r w:rsidRPr="00E6607F">
              <w:rPr>
                <w:iCs/>
                <w:color w:val="000000"/>
              </w:rPr>
              <w:t>Inspection of 10 CFR 50.55(e) Programs for Reporting Defects and Noncompliance During Construction</w:t>
            </w:r>
          </w:p>
        </w:tc>
      </w:tr>
    </w:tbl>
    <w:p w14:paraId="4FC6A9B1" w14:textId="77777777" w:rsidR="001A47C1" w:rsidRPr="004A669B" w:rsidRDefault="001A47C1"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pPr>
    </w:p>
    <w:p w14:paraId="4FC6A9C2" w14:textId="77777777" w:rsidR="00594DD4" w:rsidRPr="0000341F" w:rsidRDefault="00594DD4"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sz w:val="20"/>
          <w:szCs w:val="20"/>
        </w:rPr>
        <w:sectPr w:rsidR="00594DD4" w:rsidRPr="0000341F" w:rsidSect="008F0BAD">
          <w:headerReference w:type="even" r:id="rId13"/>
          <w:headerReference w:type="default" r:id="rId14"/>
          <w:footerReference w:type="even" r:id="rId15"/>
          <w:footerReference w:type="default" r:id="rId16"/>
          <w:headerReference w:type="first" r:id="rId17"/>
          <w:pgSz w:w="12240" w:h="15840"/>
          <w:pgMar w:top="1440" w:right="1440" w:bottom="1440" w:left="1440" w:header="720" w:footer="720" w:gutter="0"/>
          <w:pgNumType w:start="1"/>
          <w:cols w:space="720"/>
          <w:noEndnote/>
          <w:docGrid w:linePitch="326"/>
        </w:sectPr>
      </w:pPr>
    </w:p>
    <w:p w14:paraId="4FC6A9C5" w14:textId="4E38944A" w:rsidR="00D46A45" w:rsidRDefault="00D46A45" w:rsidP="00C43CC1">
      <w:pPr>
        <w:pStyle w:val="attachmenttitle"/>
        <w:rPr>
          <w:u w:val="single"/>
        </w:rPr>
      </w:pPr>
      <w:bookmarkStart w:id="14" w:name="_Toc196397750"/>
      <w:r w:rsidRPr="004A669B">
        <w:lastRenderedPageBreak/>
        <w:t>A</w:t>
      </w:r>
      <w:r w:rsidR="004A3675" w:rsidRPr="004A669B">
        <w:t>ttachment</w:t>
      </w:r>
      <w:r w:rsidRPr="004A669B">
        <w:t xml:space="preserve"> 2</w:t>
      </w:r>
      <w:r w:rsidR="00C43CC1">
        <w:t xml:space="preserve">: </w:t>
      </w:r>
      <w:r w:rsidRPr="00C43CC1">
        <w:t>Revision History for IMC 2501</w:t>
      </w:r>
      <w:bookmarkEnd w:id="14"/>
    </w:p>
    <w:tbl>
      <w:tblPr>
        <w:tblStyle w:val="IM"/>
        <w:tblW w:w="14091" w:type="dxa"/>
        <w:tblLayout w:type="fixed"/>
        <w:tblLook w:val="0000" w:firstRow="0" w:lastRow="0" w:firstColumn="0" w:lastColumn="0" w:noHBand="0" w:noVBand="0"/>
      </w:tblPr>
      <w:tblGrid>
        <w:gridCol w:w="1435"/>
        <w:gridCol w:w="1710"/>
        <w:gridCol w:w="6390"/>
        <w:gridCol w:w="2036"/>
        <w:gridCol w:w="2520"/>
      </w:tblGrid>
      <w:tr w:rsidR="005C569B" w:rsidRPr="0000341F" w14:paraId="4FC6A9CF" w14:textId="77777777" w:rsidTr="00F9155E">
        <w:trPr>
          <w:trHeight w:val="793"/>
        </w:trPr>
        <w:tc>
          <w:tcPr>
            <w:tcW w:w="1435" w:type="dxa"/>
          </w:tcPr>
          <w:p w14:paraId="4FC6A9C7" w14:textId="77777777" w:rsidR="005C569B" w:rsidRPr="004A669B" w:rsidRDefault="005C569B" w:rsidP="009125DA">
            <w:pPr>
              <w:pStyle w:val="BodyText-table"/>
            </w:pPr>
            <w:r w:rsidRPr="004A669B">
              <w:t>Commitment Tracking Number</w:t>
            </w:r>
          </w:p>
        </w:tc>
        <w:tc>
          <w:tcPr>
            <w:tcW w:w="1710" w:type="dxa"/>
          </w:tcPr>
          <w:p w14:paraId="4FC6A9C8" w14:textId="5E585ACE" w:rsidR="00C42750" w:rsidRDefault="005C569B" w:rsidP="009125DA">
            <w:pPr>
              <w:pStyle w:val="BodyText-table"/>
            </w:pPr>
            <w:r>
              <w:t>Accession Number</w:t>
            </w:r>
          </w:p>
          <w:p w14:paraId="4FC6A9C9" w14:textId="7EA07BE8" w:rsidR="00C42750" w:rsidRDefault="005C569B" w:rsidP="009125DA">
            <w:pPr>
              <w:pStyle w:val="BodyText-table"/>
            </w:pPr>
            <w:r>
              <w:t>Issue Date</w:t>
            </w:r>
          </w:p>
          <w:p w14:paraId="4FC6A9CA" w14:textId="77777777" w:rsidR="005C569B" w:rsidRPr="004A669B" w:rsidRDefault="005C569B" w:rsidP="009125DA">
            <w:pPr>
              <w:pStyle w:val="BodyText-table"/>
            </w:pPr>
            <w:r>
              <w:t>Change Notice</w:t>
            </w:r>
          </w:p>
        </w:tc>
        <w:tc>
          <w:tcPr>
            <w:tcW w:w="6390" w:type="dxa"/>
          </w:tcPr>
          <w:p w14:paraId="4FC6A9CB" w14:textId="77777777" w:rsidR="005C569B" w:rsidRPr="004A669B" w:rsidRDefault="005C569B" w:rsidP="009125DA">
            <w:pPr>
              <w:pStyle w:val="BodyText-table"/>
            </w:pPr>
            <w:r w:rsidRPr="004A669B">
              <w:t>Description of Change</w:t>
            </w:r>
          </w:p>
        </w:tc>
        <w:tc>
          <w:tcPr>
            <w:tcW w:w="2036" w:type="dxa"/>
          </w:tcPr>
          <w:p w14:paraId="4FC6A9CD" w14:textId="710EC2E9" w:rsidR="005C569B" w:rsidRPr="004A669B" w:rsidRDefault="000D27CE" w:rsidP="009125DA">
            <w:pPr>
              <w:pStyle w:val="BodyText-table"/>
            </w:pPr>
            <w:r>
              <w:t>Description of Training R</w:t>
            </w:r>
            <w:r w:rsidR="005C569B">
              <w:t>equired and</w:t>
            </w:r>
            <w:r w:rsidR="005C569B" w:rsidRPr="004A669B">
              <w:t xml:space="preserve"> Completion Date</w:t>
            </w:r>
          </w:p>
        </w:tc>
        <w:tc>
          <w:tcPr>
            <w:tcW w:w="2520" w:type="dxa"/>
          </w:tcPr>
          <w:p w14:paraId="5CB8EF67" w14:textId="77777777" w:rsidR="005C569B" w:rsidRDefault="005C569B" w:rsidP="009125DA">
            <w:pPr>
              <w:pStyle w:val="BodyText-table"/>
            </w:pPr>
            <w:r w:rsidRPr="004A669B">
              <w:t xml:space="preserve">Comment </w:t>
            </w:r>
            <w:r w:rsidR="0024165C">
              <w:t>Resolution and Closed</w:t>
            </w:r>
            <w:r>
              <w:t xml:space="preserve"> Feedback </w:t>
            </w:r>
            <w:r w:rsidR="0024165C">
              <w:t xml:space="preserve">Form </w:t>
            </w:r>
            <w:r w:rsidRPr="004A669B">
              <w:t>Accession Number</w:t>
            </w:r>
          </w:p>
          <w:p w14:paraId="4FC6A9CE" w14:textId="50745146" w:rsidR="0024165C" w:rsidRPr="004A669B" w:rsidRDefault="0024165C" w:rsidP="009125DA">
            <w:pPr>
              <w:pStyle w:val="BodyText-table"/>
            </w:pPr>
            <w:r>
              <w:t>(Pre-Decisional, Non-Public Information)</w:t>
            </w:r>
          </w:p>
        </w:tc>
      </w:tr>
      <w:tr w:rsidR="005C569B" w:rsidRPr="0000341F" w14:paraId="4FC6A9D5" w14:textId="77777777" w:rsidTr="00F9155E">
        <w:trPr>
          <w:tblHeader w:val="0"/>
        </w:trPr>
        <w:tc>
          <w:tcPr>
            <w:tcW w:w="1435" w:type="dxa"/>
          </w:tcPr>
          <w:p w14:paraId="4FC6A9D0" w14:textId="77777777" w:rsidR="005C569B" w:rsidRPr="004A669B" w:rsidRDefault="005C569B" w:rsidP="009125DA">
            <w:pPr>
              <w:pStyle w:val="BodyText-table"/>
            </w:pPr>
            <w:r w:rsidRPr="004A669B">
              <w:t>N/A</w:t>
            </w:r>
          </w:p>
        </w:tc>
        <w:tc>
          <w:tcPr>
            <w:tcW w:w="1710" w:type="dxa"/>
          </w:tcPr>
          <w:p w14:paraId="5B5DF4E9" w14:textId="7929F24E" w:rsidR="0024165C" w:rsidRDefault="0024165C" w:rsidP="009125DA">
            <w:pPr>
              <w:pStyle w:val="BodyText-table"/>
            </w:pPr>
            <w:r>
              <w:t>ML031540014</w:t>
            </w:r>
          </w:p>
          <w:p w14:paraId="4567EB28" w14:textId="77777777" w:rsidR="005C569B" w:rsidRDefault="005C569B" w:rsidP="009125DA">
            <w:pPr>
              <w:pStyle w:val="BodyText-table"/>
            </w:pPr>
            <w:r w:rsidRPr="004A669B">
              <w:t>05/29/03</w:t>
            </w:r>
          </w:p>
          <w:p w14:paraId="4FC6A9D1" w14:textId="470F2CA3" w:rsidR="0024165C" w:rsidRPr="004A669B" w:rsidRDefault="0024165C" w:rsidP="009125DA">
            <w:pPr>
              <w:pStyle w:val="BodyText-table"/>
            </w:pPr>
            <w:r>
              <w:t>CN 03-018</w:t>
            </w:r>
          </w:p>
        </w:tc>
        <w:tc>
          <w:tcPr>
            <w:tcW w:w="6390" w:type="dxa"/>
          </w:tcPr>
          <w:p w14:paraId="4FC6A9D2" w14:textId="77777777" w:rsidR="005C569B" w:rsidRPr="004A669B" w:rsidRDefault="005C569B" w:rsidP="009125DA">
            <w:pPr>
              <w:pStyle w:val="BodyText-table"/>
            </w:pPr>
            <w:r w:rsidRPr="004A669B">
              <w:t>Initial issuance</w:t>
            </w:r>
          </w:p>
        </w:tc>
        <w:tc>
          <w:tcPr>
            <w:tcW w:w="2036" w:type="dxa"/>
          </w:tcPr>
          <w:p w14:paraId="4FC6A9D3" w14:textId="77777777" w:rsidR="005C569B" w:rsidRPr="004A669B" w:rsidRDefault="005C569B" w:rsidP="009125DA">
            <w:pPr>
              <w:pStyle w:val="BodyText-table"/>
            </w:pPr>
            <w:r w:rsidRPr="004A669B">
              <w:t>N/A</w:t>
            </w:r>
          </w:p>
        </w:tc>
        <w:tc>
          <w:tcPr>
            <w:tcW w:w="2520" w:type="dxa"/>
          </w:tcPr>
          <w:p w14:paraId="4FC6A9D4" w14:textId="77777777" w:rsidR="005C569B" w:rsidRPr="004A669B" w:rsidRDefault="005C569B" w:rsidP="009125DA">
            <w:pPr>
              <w:pStyle w:val="BodyText-table"/>
            </w:pPr>
            <w:r w:rsidRPr="004A669B">
              <w:t>N/A</w:t>
            </w:r>
          </w:p>
        </w:tc>
      </w:tr>
      <w:tr w:rsidR="005C569B" w:rsidRPr="0000341F" w14:paraId="4FC6A9DB" w14:textId="77777777" w:rsidTr="00F9155E">
        <w:trPr>
          <w:tblHeader w:val="0"/>
        </w:trPr>
        <w:tc>
          <w:tcPr>
            <w:tcW w:w="1435" w:type="dxa"/>
          </w:tcPr>
          <w:p w14:paraId="4FC6A9D6" w14:textId="77777777" w:rsidR="005C569B" w:rsidRPr="004A669B" w:rsidRDefault="005C569B" w:rsidP="009125DA">
            <w:pPr>
              <w:pStyle w:val="BodyText-table"/>
            </w:pPr>
            <w:r w:rsidRPr="004A669B">
              <w:t>N/A</w:t>
            </w:r>
          </w:p>
        </w:tc>
        <w:tc>
          <w:tcPr>
            <w:tcW w:w="1710" w:type="dxa"/>
          </w:tcPr>
          <w:p w14:paraId="5501A54E" w14:textId="44B91727" w:rsidR="0024165C" w:rsidRDefault="0024165C" w:rsidP="009125DA">
            <w:pPr>
              <w:pStyle w:val="BodyText-table"/>
            </w:pPr>
            <w:r>
              <w:t>ML061090070</w:t>
            </w:r>
          </w:p>
          <w:p w14:paraId="29A0677C" w14:textId="77777777" w:rsidR="005C569B" w:rsidRDefault="005C569B" w:rsidP="009125DA">
            <w:pPr>
              <w:pStyle w:val="BodyText-table"/>
            </w:pPr>
            <w:r w:rsidRPr="004A669B">
              <w:t>04/25/06</w:t>
            </w:r>
          </w:p>
          <w:p w14:paraId="4FC6A9D7" w14:textId="38A2D490" w:rsidR="0024165C" w:rsidRPr="004A669B" w:rsidRDefault="0024165C" w:rsidP="009125DA">
            <w:pPr>
              <w:pStyle w:val="BodyText-table"/>
            </w:pPr>
            <w:r>
              <w:t>CN 06-010</w:t>
            </w:r>
          </w:p>
        </w:tc>
        <w:tc>
          <w:tcPr>
            <w:tcW w:w="6390" w:type="dxa"/>
          </w:tcPr>
          <w:p w14:paraId="4FC6A9D8" w14:textId="728879C2" w:rsidR="005C569B" w:rsidRPr="004A669B" w:rsidRDefault="005C569B" w:rsidP="009125DA">
            <w:pPr>
              <w:pStyle w:val="BodyText-table"/>
            </w:pPr>
            <w:r w:rsidRPr="004A669B">
              <w:t>Delete requirement for Regional Administrator to send letter to Nuclear Reactor Regulations (NRR) Office Director recommending issuance of ESP</w:t>
            </w:r>
            <w:r w:rsidR="005403D2">
              <w:t xml:space="preserve">. </w:t>
            </w:r>
          </w:p>
        </w:tc>
        <w:tc>
          <w:tcPr>
            <w:tcW w:w="2036" w:type="dxa"/>
          </w:tcPr>
          <w:p w14:paraId="4FC6A9D9" w14:textId="77777777" w:rsidR="005C569B" w:rsidRPr="004A669B" w:rsidRDefault="005C569B" w:rsidP="009125DA">
            <w:pPr>
              <w:pStyle w:val="BodyText-table"/>
            </w:pPr>
            <w:r w:rsidRPr="004A669B">
              <w:t>N/A</w:t>
            </w:r>
          </w:p>
        </w:tc>
        <w:tc>
          <w:tcPr>
            <w:tcW w:w="2520" w:type="dxa"/>
          </w:tcPr>
          <w:p w14:paraId="4FC6A9DA" w14:textId="77777777" w:rsidR="005C569B" w:rsidRPr="004A669B" w:rsidRDefault="005C569B" w:rsidP="009125DA">
            <w:pPr>
              <w:pStyle w:val="BodyText-table"/>
            </w:pPr>
            <w:r w:rsidRPr="004A669B">
              <w:t>N/A</w:t>
            </w:r>
          </w:p>
        </w:tc>
      </w:tr>
      <w:tr w:rsidR="005C569B" w:rsidRPr="0000341F" w14:paraId="4FC6A9E6" w14:textId="77777777" w:rsidTr="00F9155E">
        <w:trPr>
          <w:tblHeader w:val="0"/>
        </w:trPr>
        <w:tc>
          <w:tcPr>
            <w:tcW w:w="1435" w:type="dxa"/>
          </w:tcPr>
          <w:p w14:paraId="4FC6A9DC" w14:textId="77777777" w:rsidR="005C569B" w:rsidRPr="004A669B" w:rsidRDefault="005C569B" w:rsidP="000951C9">
            <w:pPr>
              <w:pStyle w:val="BodyText-table"/>
            </w:pPr>
            <w:r w:rsidRPr="004A669B">
              <w:t>N/A</w:t>
            </w:r>
          </w:p>
        </w:tc>
        <w:tc>
          <w:tcPr>
            <w:tcW w:w="1710" w:type="dxa"/>
          </w:tcPr>
          <w:p w14:paraId="10ADD063" w14:textId="52937F3C" w:rsidR="0024165C" w:rsidRDefault="0024165C" w:rsidP="000951C9">
            <w:pPr>
              <w:pStyle w:val="BodyText-table"/>
            </w:pPr>
            <w:r>
              <w:t>ML072490548</w:t>
            </w:r>
          </w:p>
          <w:p w14:paraId="4FC6A9DD" w14:textId="09AEC44F" w:rsidR="005C569B" w:rsidRPr="004A669B" w:rsidRDefault="005403D2" w:rsidP="000951C9">
            <w:pPr>
              <w:pStyle w:val="BodyText-table"/>
            </w:pPr>
            <w:r>
              <w:t>1</w:t>
            </w:r>
            <w:r w:rsidR="005C569B" w:rsidRPr="004A669B">
              <w:t>0/03/07</w:t>
            </w:r>
          </w:p>
          <w:p w14:paraId="4FC6A9DE" w14:textId="77777777" w:rsidR="005C569B" w:rsidRPr="004A669B" w:rsidRDefault="005C569B" w:rsidP="000951C9">
            <w:pPr>
              <w:pStyle w:val="BodyText-table"/>
            </w:pPr>
            <w:r w:rsidRPr="004A669B">
              <w:t>CN 07-030</w:t>
            </w:r>
          </w:p>
        </w:tc>
        <w:tc>
          <w:tcPr>
            <w:tcW w:w="6390" w:type="dxa"/>
          </w:tcPr>
          <w:p w14:paraId="4FC6A9DF" w14:textId="77777777" w:rsidR="005C569B" w:rsidRPr="004A669B" w:rsidRDefault="005C569B" w:rsidP="000951C9">
            <w:pPr>
              <w:pStyle w:val="BodyText-table"/>
              <w:ind w:left="245" w:hanging="245"/>
            </w:pPr>
            <w:r w:rsidRPr="004A669B">
              <w:t>1. Delete procedures for meetings and updated guidance for pre-application audits.</w:t>
            </w:r>
          </w:p>
          <w:p w14:paraId="4FC6A9E1" w14:textId="27DD5EBE" w:rsidR="005C569B" w:rsidRPr="004A669B" w:rsidRDefault="005C569B" w:rsidP="000951C9">
            <w:pPr>
              <w:pStyle w:val="BodyText-table"/>
              <w:ind w:left="245" w:hanging="245"/>
            </w:pPr>
            <w:r w:rsidRPr="004A669B">
              <w:t>2. Incorporate the new requirements of 10 CFR Part 52 and SRP 17.5 guid</w:t>
            </w:r>
            <w:r w:rsidRPr="004A669B">
              <w:softHyphen/>
              <w:t>ance.</w:t>
            </w:r>
          </w:p>
          <w:p w14:paraId="4FC6A9E3" w14:textId="77777777" w:rsidR="005C569B" w:rsidRPr="004A669B" w:rsidRDefault="005C569B" w:rsidP="000951C9">
            <w:pPr>
              <w:pStyle w:val="BodyText-table"/>
              <w:ind w:left="245" w:hanging="245"/>
            </w:pPr>
            <w:r w:rsidRPr="004A669B">
              <w:t>3. Researched commitments for 4 years and found none.</w:t>
            </w:r>
          </w:p>
        </w:tc>
        <w:tc>
          <w:tcPr>
            <w:tcW w:w="2036" w:type="dxa"/>
          </w:tcPr>
          <w:p w14:paraId="4FC6A9E4" w14:textId="77777777" w:rsidR="005C569B" w:rsidRPr="004A669B" w:rsidRDefault="005C569B" w:rsidP="000951C9">
            <w:pPr>
              <w:pStyle w:val="BodyText-table"/>
            </w:pPr>
            <w:r w:rsidRPr="004A669B">
              <w:t>N/A</w:t>
            </w:r>
          </w:p>
        </w:tc>
        <w:tc>
          <w:tcPr>
            <w:tcW w:w="2520" w:type="dxa"/>
          </w:tcPr>
          <w:p w14:paraId="4FC6A9E5" w14:textId="77777777" w:rsidR="005C569B" w:rsidRPr="004A669B" w:rsidRDefault="005C569B" w:rsidP="000951C9">
            <w:pPr>
              <w:pStyle w:val="BodyText-table"/>
            </w:pPr>
            <w:r w:rsidRPr="004A669B">
              <w:t>ML072570180</w:t>
            </w:r>
          </w:p>
        </w:tc>
      </w:tr>
      <w:tr w:rsidR="005403D2" w:rsidRPr="0000341F" w14:paraId="4FC6A9F2" w14:textId="77777777" w:rsidTr="00F9155E">
        <w:trPr>
          <w:tblHeader w:val="0"/>
        </w:trPr>
        <w:tc>
          <w:tcPr>
            <w:tcW w:w="1435" w:type="dxa"/>
          </w:tcPr>
          <w:p w14:paraId="4FC6A9E7" w14:textId="77777777" w:rsidR="005403D2" w:rsidRPr="004A669B" w:rsidRDefault="005403D2" w:rsidP="000951C9">
            <w:pPr>
              <w:pStyle w:val="BodyText-table"/>
            </w:pPr>
            <w:r>
              <w:t>N/A</w:t>
            </w:r>
          </w:p>
        </w:tc>
        <w:tc>
          <w:tcPr>
            <w:tcW w:w="1710" w:type="dxa"/>
          </w:tcPr>
          <w:p w14:paraId="4FC6A9E8" w14:textId="77777777" w:rsidR="005403D2" w:rsidRDefault="005403D2" w:rsidP="000951C9">
            <w:pPr>
              <w:pStyle w:val="BodyText-table"/>
            </w:pPr>
            <w:r>
              <w:t>ML</w:t>
            </w:r>
            <w:r w:rsidR="00B8054D">
              <w:t>112620209</w:t>
            </w:r>
          </w:p>
          <w:p w14:paraId="4FC6A9E9" w14:textId="77777777" w:rsidR="005403D2" w:rsidRDefault="00A75DF7" w:rsidP="000951C9">
            <w:pPr>
              <w:pStyle w:val="BodyText-table"/>
            </w:pPr>
            <w:r>
              <w:t>06/06/</w:t>
            </w:r>
            <w:r w:rsidR="005403D2">
              <w:t>13</w:t>
            </w:r>
          </w:p>
          <w:p w14:paraId="4FC6A9EA" w14:textId="77777777" w:rsidR="005403D2" w:rsidRDefault="005403D2" w:rsidP="000951C9">
            <w:pPr>
              <w:pStyle w:val="BodyText-table"/>
            </w:pPr>
            <w:r>
              <w:t>CN-13-</w:t>
            </w:r>
            <w:r w:rsidR="00A75DF7">
              <w:t>013</w:t>
            </w:r>
          </w:p>
        </w:tc>
        <w:tc>
          <w:tcPr>
            <w:tcW w:w="6390" w:type="dxa"/>
          </w:tcPr>
          <w:p w14:paraId="4FC6A9EB" w14:textId="77777777" w:rsidR="00D92696" w:rsidRPr="004A669B" w:rsidRDefault="00D92696" w:rsidP="000951C9">
            <w:pPr>
              <w:pStyle w:val="BodyText-table"/>
              <w:ind w:left="245" w:hanging="245"/>
            </w:pPr>
            <w:r w:rsidRPr="004A669B">
              <w:t xml:space="preserve">1. </w:t>
            </w:r>
            <w:r>
              <w:t>Deleted pre-application audits</w:t>
            </w:r>
            <w:r w:rsidRPr="004A669B">
              <w:t>.</w:t>
            </w:r>
          </w:p>
          <w:p w14:paraId="4FC6A9ED" w14:textId="77777777" w:rsidR="00D92696" w:rsidRPr="004A669B" w:rsidRDefault="00D92696" w:rsidP="000951C9">
            <w:pPr>
              <w:pStyle w:val="BodyText-table"/>
              <w:ind w:left="245" w:hanging="245"/>
            </w:pPr>
            <w:r w:rsidRPr="004A669B">
              <w:t xml:space="preserve">2. </w:t>
            </w:r>
            <w:r>
              <w:t xml:space="preserve">Conforming changes. </w:t>
            </w:r>
          </w:p>
          <w:p w14:paraId="4FC6A9EF" w14:textId="2D66923C" w:rsidR="005403D2" w:rsidRPr="004A669B" w:rsidRDefault="00D92696" w:rsidP="000951C9">
            <w:pPr>
              <w:pStyle w:val="BodyText-table"/>
              <w:ind w:left="245" w:hanging="245"/>
            </w:pPr>
            <w:r w:rsidRPr="004A669B">
              <w:t xml:space="preserve">3. </w:t>
            </w:r>
            <w:r>
              <w:t>Additional references clarifying inclusion of geotechnical and site characterization activities.</w:t>
            </w:r>
            <w:r w:rsidR="007F2BC4">
              <w:t xml:space="preserve"> </w:t>
            </w:r>
          </w:p>
        </w:tc>
        <w:tc>
          <w:tcPr>
            <w:tcW w:w="2036" w:type="dxa"/>
          </w:tcPr>
          <w:p w14:paraId="4FC6A9F0" w14:textId="77777777" w:rsidR="005403D2" w:rsidRPr="004A669B" w:rsidRDefault="005403D2" w:rsidP="000951C9">
            <w:pPr>
              <w:pStyle w:val="BodyText-table"/>
            </w:pPr>
            <w:r>
              <w:t>N/A</w:t>
            </w:r>
          </w:p>
        </w:tc>
        <w:tc>
          <w:tcPr>
            <w:tcW w:w="2520" w:type="dxa"/>
          </w:tcPr>
          <w:p w14:paraId="4FC6A9F1" w14:textId="77777777" w:rsidR="005403D2" w:rsidRPr="004A669B" w:rsidRDefault="005403D2" w:rsidP="000951C9">
            <w:pPr>
              <w:pStyle w:val="BodyText-table"/>
            </w:pPr>
            <w:r>
              <w:t>ML</w:t>
            </w:r>
            <w:r w:rsidR="003C37D7">
              <w:t>13130A176</w:t>
            </w:r>
          </w:p>
        </w:tc>
      </w:tr>
      <w:tr w:rsidR="002159ED" w:rsidRPr="0000341F" w14:paraId="32CF8159" w14:textId="77777777" w:rsidTr="00F9155E">
        <w:trPr>
          <w:tblHeader w:val="0"/>
        </w:trPr>
        <w:tc>
          <w:tcPr>
            <w:tcW w:w="1435" w:type="dxa"/>
          </w:tcPr>
          <w:p w14:paraId="785B4F7D" w14:textId="20970947" w:rsidR="002159ED" w:rsidRDefault="002159ED" w:rsidP="000951C9">
            <w:pPr>
              <w:pStyle w:val="BodyText-table"/>
            </w:pPr>
            <w:r>
              <w:t>N/A</w:t>
            </w:r>
          </w:p>
        </w:tc>
        <w:tc>
          <w:tcPr>
            <w:tcW w:w="1710" w:type="dxa"/>
          </w:tcPr>
          <w:p w14:paraId="5D1463A7" w14:textId="77777777" w:rsidR="002159ED" w:rsidRDefault="0024165C" w:rsidP="000951C9">
            <w:pPr>
              <w:pStyle w:val="BodyText-table"/>
            </w:pPr>
            <w:r w:rsidRPr="0024165C">
              <w:t>ML19319C175</w:t>
            </w:r>
          </w:p>
          <w:p w14:paraId="181162CB" w14:textId="10B03534" w:rsidR="0024165C" w:rsidRDefault="00D53C20" w:rsidP="000951C9">
            <w:pPr>
              <w:pStyle w:val="BodyText-table"/>
            </w:pPr>
            <w:r>
              <w:t>07/02/20</w:t>
            </w:r>
          </w:p>
          <w:p w14:paraId="620565EB" w14:textId="431FA48A" w:rsidR="0024165C" w:rsidRDefault="0024165C" w:rsidP="000951C9">
            <w:pPr>
              <w:pStyle w:val="BodyText-table"/>
            </w:pPr>
            <w:r>
              <w:t>CN 20-</w:t>
            </w:r>
            <w:r w:rsidR="00D53C20">
              <w:t>029</w:t>
            </w:r>
          </w:p>
        </w:tc>
        <w:tc>
          <w:tcPr>
            <w:tcW w:w="6390" w:type="dxa"/>
          </w:tcPr>
          <w:p w14:paraId="0423DDCA" w14:textId="7899B233" w:rsidR="002159ED" w:rsidRPr="004A669B" w:rsidRDefault="005C247A" w:rsidP="000951C9">
            <w:pPr>
              <w:pStyle w:val="BodyText-table"/>
            </w:pPr>
            <w:r w:rsidRPr="008019C7">
              <w:t>Revised</w:t>
            </w:r>
            <w:r>
              <w:t xml:space="preserve"> in accordance with IMC 0040</w:t>
            </w:r>
            <w:r w:rsidRPr="008019C7">
              <w:t xml:space="preserve"> due to NRR/NRO merger</w:t>
            </w:r>
            <w:r w:rsidR="0024165C">
              <w:t xml:space="preserve"> in October 2019.</w:t>
            </w:r>
            <w:r w:rsidR="007F2BC4">
              <w:t xml:space="preserve"> </w:t>
            </w:r>
            <w:r w:rsidR="004A3675">
              <w:t>Periodic review completed.</w:t>
            </w:r>
          </w:p>
        </w:tc>
        <w:tc>
          <w:tcPr>
            <w:tcW w:w="2036" w:type="dxa"/>
          </w:tcPr>
          <w:p w14:paraId="6F0033B2" w14:textId="21F889A9" w:rsidR="002159ED" w:rsidRDefault="002159ED" w:rsidP="000951C9">
            <w:pPr>
              <w:pStyle w:val="BodyText-table"/>
            </w:pPr>
            <w:r>
              <w:t>N/A</w:t>
            </w:r>
          </w:p>
        </w:tc>
        <w:tc>
          <w:tcPr>
            <w:tcW w:w="2520" w:type="dxa"/>
          </w:tcPr>
          <w:p w14:paraId="75CC1F09" w14:textId="77C727EC" w:rsidR="002159ED" w:rsidRDefault="0024165C" w:rsidP="000951C9">
            <w:pPr>
              <w:pStyle w:val="BodyText-table"/>
            </w:pPr>
            <w:r>
              <w:t>N/A</w:t>
            </w:r>
          </w:p>
        </w:tc>
      </w:tr>
      <w:tr w:rsidR="00665048" w:rsidRPr="0000341F" w14:paraId="657251D9" w14:textId="77777777" w:rsidTr="00F9155E">
        <w:trPr>
          <w:tblHeader w:val="0"/>
        </w:trPr>
        <w:tc>
          <w:tcPr>
            <w:tcW w:w="1435" w:type="dxa"/>
          </w:tcPr>
          <w:p w14:paraId="49B9C1E9" w14:textId="51ED1E4F" w:rsidR="00665048" w:rsidRDefault="004A72D8" w:rsidP="000951C9">
            <w:pPr>
              <w:pStyle w:val="BodyText-table"/>
            </w:pPr>
            <w:r>
              <w:t>N/A</w:t>
            </w:r>
          </w:p>
        </w:tc>
        <w:tc>
          <w:tcPr>
            <w:tcW w:w="1710" w:type="dxa"/>
          </w:tcPr>
          <w:p w14:paraId="5BC56183" w14:textId="77777777" w:rsidR="00665048" w:rsidRDefault="000951C9" w:rsidP="000951C9">
            <w:pPr>
              <w:pStyle w:val="BodyText-table"/>
            </w:pPr>
            <w:r>
              <w:t>ML25114A243</w:t>
            </w:r>
          </w:p>
          <w:p w14:paraId="0D01CD7C" w14:textId="336287E9" w:rsidR="000951C9" w:rsidRDefault="00991FFC" w:rsidP="000951C9">
            <w:pPr>
              <w:pStyle w:val="BodyText-table"/>
            </w:pPr>
            <w:r>
              <w:t>05/01/25</w:t>
            </w:r>
          </w:p>
          <w:p w14:paraId="7650EC0C" w14:textId="693374F1" w:rsidR="000951C9" w:rsidRPr="0024165C" w:rsidRDefault="000951C9" w:rsidP="000951C9">
            <w:pPr>
              <w:pStyle w:val="BodyText-table"/>
            </w:pPr>
            <w:r>
              <w:t xml:space="preserve">CN </w:t>
            </w:r>
            <w:r w:rsidR="00991FFC">
              <w:t>25</w:t>
            </w:r>
            <w:r w:rsidR="00CA18C1">
              <w:t>-010</w:t>
            </w:r>
          </w:p>
        </w:tc>
        <w:tc>
          <w:tcPr>
            <w:tcW w:w="6390" w:type="dxa"/>
          </w:tcPr>
          <w:p w14:paraId="197C717D" w14:textId="3588D04A" w:rsidR="00665048" w:rsidRPr="008019C7" w:rsidRDefault="00983B51" w:rsidP="000951C9">
            <w:pPr>
              <w:pStyle w:val="BodyText-table"/>
            </w:pPr>
            <w:r>
              <w:t>Major revision that combined</w:t>
            </w:r>
            <w:r w:rsidR="004A72D8">
              <w:t xml:space="preserve"> the requirement</w:t>
            </w:r>
            <w:r>
              <w:t>s</w:t>
            </w:r>
            <w:r w:rsidR="004A72D8">
              <w:t xml:space="preserve"> of IMC 2501 and 2502 into the revised IMC 2501. IMC 2501 also now </w:t>
            </w:r>
            <w:r w:rsidR="00CA2DDD">
              <w:t>includes</w:t>
            </w:r>
            <w:r w:rsidR="004A72D8">
              <w:t xml:space="preserve"> both 10 CFR Part 50 and Part 52 pre-licensing activities (ESP, LWA, CP, COL, </w:t>
            </w:r>
            <w:r w:rsidR="005F3B46">
              <w:t xml:space="preserve">and </w:t>
            </w:r>
            <w:r w:rsidR="004A72D8">
              <w:t>ML)</w:t>
            </w:r>
            <w:r w:rsidR="005F3B46">
              <w:t xml:space="preserve">. </w:t>
            </w:r>
          </w:p>
        </w:tc>
        <w:tc>
          <w:tcPr>
            <w:tcW w:w="2036" w:type="dxa"/>
          </w:tcPr>
          <w:p w14:paraId="561A75E4" w14:textId="154EAFDE" w:rsidR="00665048" w:rsidRDefault="005F3B46" w:rsidP="000951C9">
            <w:pPr>
              <w:pStyle w:val="BodyText-table"/>
            </w:pPr>
            <w:r>
              <w:t xml:space="preserve">N/A (appropriate personnel will be </w:t>
            </w:r>
            <w:proofErr w:type="gramStart"/>
            <w:r>
              <w:t>on</w:t>
            </w:r>
            <w:proofErr w:type="gramEnd"/>
            <w:r>
              <w:t xml:space="preserve"> concurrence </w:t>
            </w:r>
            <w:r w:rsidR="00DE4520">
              <w:t>for the revisions)</w:t>
            </w:r>
          </w:p>
        </w:tc>
        <w:tc>
          <w:tcPr>
            <w:tcW w:w="2520" w:type="dxa"/>
          </w:tcPr>
          <w:p w14:paraId="50298F7B" w14:textId="32052E73" w:rsidR="00665048" w:rsidRDefault="00F307B7" w:rsidP="000951C9">
            <w:pPr>
              <w:pStyle w:val="BodyText-table"/>
            </w:pPr>
            <w:r>
              <w:t>N/A</w:t>
            </w:r>
          </w:p>
        </w:tc>
      </w:tr>
    </w:tbl>
    <w:p w14:paraId="4FC6A9F3" w14:textId="13F3BA72" w:rsidR="00D46A45" w:rsidRPr="00A75DF7" w:rsidRDefault="00D46A45" w:rsidP="006F25D5"/>
    <w:sectPr w:rsidR="00D46A45" w:rsidRPr="00A75DF7" w:rsidSect="008F0BAD">
      <w:headerReference w:type="even" r:id="rId18"/>
      <w:headerReference w:type="default" r:id="rId19"/>
      <w:footerReference w:type="even" r:id="rId20"/>
      <w:footerReference w:type="default" r:id="rId21"/>
      <w:headerReference w:type="first" r:id="rId22"/>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D57C8" w14:textId="77777777" w:rsidR="008233C8" w:rsidRDefault="008233C8">
      <w:r>
        <w:separator/>
      </w:r>
    </w:p>
  </w:endnote>
  <w:endnote w:type="continuationSeparator" w:id="0">
    <w:p w14:paraId="1DC57C2E" w14:textId="77777777" w:rsidR="008233C8" w:rsidRDefault="008233C8">
      <w:r>
        <w:continuationSeparator/>
      </w:r>
    </w:p>
  </w:endnote>
  <w:endnote w:type="continuationNotice" w:id="1">
    <w:p w14:paraId="0B736A91" w14:textId="77777777" w:rsidR="008233C8" w:rsidRDefault="008233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6A9FA" w14:textId="019FA51B" w:rsidR="008F0C78" w:rsidRPr="002325D5" w:rsidRDefault="002325D5" w:rsidP="002325D5">
    <w:pPr>
      <w:pStyle w:val="Footer"/>
    </w:pPr>
    <w:r>
      <w:t xml:space="preserve">Issue Date: </w:t>
    </w:r>
    <w:r w:rsidR="00991FFC">
      <w:t>05/01/25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DF2F99">
      <w:t>2501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6A9FD" w14:textId="7DA4DCD5" w:rsidR="006F25D5" w:rsidRPr="002325D5" w:rsidRDefault="00DF2F99" w:rsidP="002325D5">
    <w:pPr>
      <w:pStyle w:val="Footer"/>
    </w:pPr>
    <w:r>
      <w:t xml:space="preserve">Issue Date: </w:t>
    </w:r>
    <w:r w:rsidR="00991FFC">
      <w:t>05/01/25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2501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6AA03" w14:textId="50F244CC" w:rsidR="006D0FCA" w:rsidRPr="002325D5" w:rsidRDefault="006D0FCA" w:rsidP="002325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6AA04" w14:textId="204FBB92" w:rsidR="006D0FCA" w:rsidRPr="002325D5" w:rsidRDefault="00DF2F99" w:rsidP="002325D5">
    <w:pPr>
      <w:pStyle w:val="Footer"/>
    </w:pPr>
    <w:r>
      <w:t xml:space="preserve">Issue Date: </w:t>
    </w:r>
    <w:r w:rsidR="004066B2">
      <w:t>05/01/25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2501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6AA09" w14:textId="77777777" w:rsidR="006D0FCA" w:rsidRPr="002325D5" w:rsidRDefault="006D0FCA" w:rsidP="002325D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6AA0A" w14:textId="38B8C2E7" w:rsidR="006D0FCA" w:rsidRPr="002325D5" w:rsidRDefault="00DF2F99" w:rsidP="002325D5">
    <w:pPr>
      <w:pStyle w:val="Footer"/>
    </w:pPr>
    <w:r>
      <w:t xml:space="preserve">Issue Date: </w:t>
    </w:r>
    <w:r w:rsidR="00991FFC">
      <w:t>05/01/25</w:t>
    </w:r>
    <w:r>
      <w:ptab w:relativeTo="margin" w:alignment="center" w:leader="none"/>
    </w:r>
    <w:r>
      <w:t>Att2-</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2501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50759" w14:textId="77777777" w:rsidR="008233C8" w:rsidRDefault="008233C8">
      <w:r>
        <w:separator/>
      </w:r>
    </w:p>
  </w:footnote>
  <w:footnote w:type="continuationSeparator" w:id="0">
    <w:p w14:paraId="377FB71B" w14:textId="77777777" w:rsidR="008233C8" w:rsidRDefault="008233C8">
      <w:r>
        <w:continuationSeparator/>
      </w:r>
    </w:p>
  </w:footnote>
  <w:footnote w:type="continuationNotice" w:id="1">
    <w:p w14:paraId="5A0A2211" w14:textId="77777777" w:rsidR="008233C8" w:rsidRDefault="008233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6A9FE" w14:textId="77777777" w:rsidR="00C66897" w:rsidRDefault="00C668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6A9FF" w14:textId="77777777" w:rsidR="00C66897" w:rsidRPr="009A146C" w:rsidRDefault="00C66897" w:rsidP="00C427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6AA05" w14:textId="77777777" w:rsidR="00C66897" w:rsidRDefault="00C668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6AA06" w14:textId="77777777" w:rsidR="00C66897" w:rsidRDefault="00C668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6AA07" w14:textId="77777777" w:rsidR="00C66897" w:rsidRDefault="00C668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6AA0B" w14:textId="77777777" w:rsidR="00C66897" w:rsidRDefault="00C66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061"/>
    <w:multiLevelType w:val="hybridMultilevel"/>
    <w:tmpl w:val="DF14A24E"/>
    <w:lvl w:ilvl="0" w:tplc="0409001B">
      <w:start w:val="1"/>
      <w:numFmt w:val="low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533286B"/>
    <w:multiLevelType w:val="hybridMultilevel"/>
    <w:tmpl w:val="C52E3390"/>
    <w:lvl w:ilvl="0" w:tplc="DBE8F99E">
      <w:start w:val="1"/>
      <w:numFmt w:val="low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88A351B"/>
    <w:multiLevelType w:val="hybridMultilevel"/>
    <w:tmpl w:val="0BAC2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57DBE"/>
    <w:multiLevelType w:val="hybridMultilevel"/>
    <w:tmpl w:val="712AC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01051"/>
    <w:multiLevelType w:val="hybridMultilevel"/>
    <w:tmpl w:val="21E0CEBA"/>
    <w:lvl w:ilvl="0" w:tplc="707476C6">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16892B1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16E1798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23C33235"/>
    <w:multiLevelType w:val="hybridMultilevel"/>
    <w:tmpl w:val="A9EA132C"/>
    <w:lvl w:ilvl="0" w:tplc="B76C4CC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29D4718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2A0C4405"/>
    <w:multiLevelType w:val="hybridMultilevel"/>
    <w:tmpl w:val="6CD8042A"/>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39EF4AD5"/>
    <w:multiLevelType w:val="hybridMultilevel"/>
    <w:tmpl w:val="4D7E4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E8012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3FC93FFC"/>
    <w:multiLevelType w:val="hybridMultilevel"/>
    <w:tmpl w:val="1C624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E874C5"/>
    <w:multiLevelType w:val="hybridMultilevel"/>
    <w:tmpl w:val="50006E1E"/>
    <w:lvl w:ilvl="0" w:tplc="04090019">
      <w:start w:val="5"/>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9B5694"/>
    <w:multiLevelType w:val="hybridMultilevel"/>
    <w:tmpl w:val="A4EA4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614772"/>
    <w:multiLevelType w:val="hybridMultilevel"/>
    <w:tmpl w:val="1130DD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A7669C"/>
    <w:multiLevelType w:val="hybridMultilevel"/>
    <w:tmpl w:val="27EE388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71A1019A"/>
    <w:multiLevelType w:val="hybridMultilevel"/>
    <w:tmpl w:val="58C015C4"/>
    <w:lvl w:ilvl="0" w:tplc="04090019">
      <w:start w:val="1"/>
      <w:numFmt w:val="lowerLetter"/>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8" w15:restartNumberingAfterBreak="0">
    <w:nsid w:val="73474EBE"/>
    <w:multiLevelType w:val="hybridMultilevel"/>
    <w:tmpl w:val="A6F8E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5778122">
    <w:abstractNumId w:val="7"/>
  </w:num>
  <w:num w:numId="2" w16cid:durableId="1652513907">
    <w:abstractNumId w:val="4"/>
  </w:num>
  <w:num w:numId="3" w16cid:durableId="1396011288">
    <w:abstractNumId w:val="15"/>
  </w:num>
  <w:num w:numId="4" w16cid:durableId="1203596223">
    <w:abstractNumId w:val="17"/>
  </w:num>
  <w:num w:numId="5" w16cid:durableId="1461652618">
    <w:abstractNumId w:val="0"/>
  </w:num>
  <w:num w:numId="6" w16cid:durableId="116722247">
    <w:abstractNumId w:val="10"/>
  </w:num>
  <w:num w:numId="7" w16cid:durableId="755323943">
    <w:abstractNumId w:val="12"/>
  </w:num>
  <w:num w:numId="8" w16cid:durableId="1357924693">
    <w:abstractNumId w:val="3"/>
  </w:num>
  <w:num w:numId="9" w16cid:durableId="1858036415">
    <w:abstractNumId w:val="2"/>
  </w:num>
  <w:num w:numId="10" w16cid:durableId="1984652274">
    <w:abstractNumId w:val="14"/>
  </w:num>
  <w:num w:numId="11" w16cid:durableId="2031953956">
    <w:abstractNumId w:val="1"/>
  </w:num>
  <w:num w:numId="12" w16cid:durableId="1192458372">
    <w:abstractNumId w:val="9"/>
  </w:num>
  <w:num w:numId="13" w16cid:durableId="1830707018">
    <w:abstractNumId w:val="18"/>
  </w:num>
  <w:num w:numId="14" w16cid:durableId="595553374">
    <w:abstractNumId w:val="16"/>
  </w:num>
  <w:num w:numId="15" w16cid:durableId="1386174223">
    <w:abstractNumId w:val="13"/>
  </w:num>
  <w:num w:numId="16" w16cid:durableId="614092418">
    <w:abstractNumId w:val="6"/>
  </w:num>
  <w:num w:numId="17" w16cid:durableId="1398898378">
    <w:abstractNumId w:val="5"/>
  </w:num>
  <w:num w:numId="18" w16cid:durableId="1172181876">
    <w:abstractNumId w:val="11"/>
  </w:num>
  <w:num w:numId="19" w16cid:durableId="11303965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45"/>
    <w:rsid w:val="0000341F"/>
    <w:rsid w:val="00003C03"/>
    <w:rsid w:val="0001037A"/>
    <w:rsid w:val="00010A30"/>
    <w:rsid w:val="00010D64"/>
    <w:rsid w:val="00012147"/>
    <w:rsid w:val="00013B19"/>
    <w:rsid w:val="00013E04"/>
    <w:rsid w:val="00014824"/>
    <w:rsid w:val="00015132"/>
    <w:rsid w:val="00017585"/>
    <w:rsid w:val="0002026F"/>
    <w:rsid w:val="00020774"/>
    <w:rsid w:val="0002100F"/>
    <w:rsid w:val="000211B6"/>
    <w:rsid w:val="000234F3"/>
    <w:rsid w:val="00023D6A"/>
    <w:rsid w:val="00026BAB"/>
    <w:rsid w:val="00027555"/>
    <w:rsid w:val="00027ADD"/>
    <w:rsid w:val="000318FE"/>
    <w:rsid w:val="000325C0"/>
    <w:rsid w:val="000355FF"/>
    <w:rsid w:val="0003668D"/>
    <w:rsid w:val="000371C7"/>
    <w:rsid w:val="00037961"/>
    <w:rsid w:val="00043C3B"/>
    <w:rsid w:val="00043C5B"/>
    <w:rsid w:val="00051528"/>
    <w:rsid w:val="0005346C"/>
    <w:rsid w:val="000561F6"/>
    <w:rsid w:val="00062AA4"/>
    <w:rsid w:val="00064BAF"/>
    <w:rsid w:val="00070506"/>
    <w:rsid w:val="00071753"/>
    <w:rsid w:val="00073041"/>
    <w:rsid w:val="00073940"/>
    <w:rsid w:val="00080170"/>
    <w:rsid w:val="00081B6F"/>
    <w:rsid w:val="00082207"/>
    <w:rsid w:val="000824D9"/>
    <w:rsid w:val="000840D7"/>
    <w:rsid w:val="00084E0D"/>
    <w:rsid w:val="00085D00"/>
    <w:rsid w:val="0008771B"/>
    <w:rsid w:val="000912A1"/>
    <w:rsid w:val="00091FB5"/>
    <w:rsid w:val="00092519"/>
    <w:rsid w:val="0009293B"/>
    <w:rsid w:val="000951C9"/>
    <w:rsid w:val="00095553"/>
    <w:rsid w:val="00096813"/>
    <w:rsid w:val="00097748"/>
    <w:rsid w:val="000A024F"/>
    <w:rsid w:val="000A080F"/>
    <w:rsid w:val="000A5476"/>
    <w:rsid w:val="000A7E57"/>
    <w:rsid w:val="000B04BD"/>
    <w:rsid w:val="000B297B"/>
    <w:rsid w:val="000B3DA0"/>
    <w:rsid w:val="000B3DCE"/>
    <w:rsid w:val="000B45D7"/>
    <w:rsid w:val="000B5093"/>
    <w:rsid w:val="000B5540"/>
    <w:rsid w:val="000B57AC"/>
    <w:rsid w:val="000C1462"/>
    <w:rsid w:val="000C168F"/>
    <w:rsid w:val="000C1F72"/>
    <w:rsid w:val="000C37FB"/>
    <w:rsid w:val="000C3A5D"/>
    <w:rsid w:val="000C4EB8"/>
    <w:rsid w:val="000C57D2"/>
    <w:rsid w:val="000C5D4B"/>
    <w:rsid w:val="000C74C6"/>
    <w:rsid w:val="000D0CD3"/>
    <w:rsid w:val="000D1A77"/>
    <w:rsid w:val="000D27CE"/>
    <w:rsid w:val="000D2BC3"/>
    <w:rsid w:val="000D45D4"/>
    <w:rsid w:val="000D5439"/>
    <w:rsid w:val="000D5B55"/>
    <w:rsid w:val="000D60F1"/>
    <w:rsid w:val="000D6829"/>
    <w:rsid w:val="000D6F2B"/>
    <w:rsid w:val="000D7AA8"/>
    <w:rsid w:val="000E0B30"/>
    <w:rsid w:val="000E1F87"/>
    <w:rsid w:val="000E422E"/>
    <w:rsid w:val="000E4BEC"/>
    <w:rsid w:val="000E54A2"/>
    <w:rsid w:val="000E758C"/>
    <w:rsid w:val="000F0D93"/>
    <w:rsid w:val="000F117E"/>
    <w:rsid w:val="000F48AE"/>
    <w:rsid w:val="000F4E48"/>
    <w:rsid w:val="000F64F9"/>
    <w:rsid w:val="000F6726"/>
    <w:rsid w:val="001016E3"/>
    <w:rsid w:val="001033F8"/>
    <w:rsid w:val="001077C7"/>
    <w:rsid w:val="00107F6F"/>
    <w:rsid w:val="001119F7"/>
    <w:rsid w:val="00112A93"/>
    <w:rsid w:val="001158A7"/>
    <w:rsid w:val="00120175"/>
    <w:rsid w:val="00120581"/>
    <w:rsid w:val="001218FC"/>
    <w:rsid w:val="001259CD"/>
    <w:rsid w:val="0012656F"/>
    <w:rsid w:val="00126C11"/>
    <w:rsid w:val="00126E61"/>
    <w:rsid w:val="001314B9"/>
    <w:rsid w:val="00134B3F"/>
    <w:rsid w:val="00135B04"/>
    <w:rsid w:val="00136F66"/>
    <w:rsid w:val="001376CD"/>
    <w:rsid w:val="0014020E"/>
    <w:rsid w:val="00144C95"/>
    <w:rsid w:val="00145F91"/>
    <w:rsid w:val="001470EA"/>
    <w:rsid w:val="00151388"/>
    <w:rsid w:val="001574D0"/>
    <w:rsid w:val="00160BC9"/>
    <w:rsid w:val="001615D2"/>
    <w:rsid w:val="00161E11"/>
    <w:rsid w:val="00162680"/>
    <w:rsid w:val="0017096E"/>
    <w:rsid w:val="00171032"/>
    <w:rsid w:val="00171AF8"/>
    <w:rsid w:val="00171BD7"/>
    <w:rsid w:val="00172056"/>
    <w:rsid w:val="00174985"/>
    <w:rsid w:val="00175F4F"/>
    <w:rsid w:val="00180D7F"/>
    <w:rsid w:val="001847A0"/>
    <w:rsid w:val="0018582A"/>
    <w:rsid w:val="00185E46"/>
    <w:rsid w:val="001904C0"/>
    <w:rsid w:val="00190823"/>
    <w:rsid w:val="00191B65"/>
    <w:rsid w:val="00192D1C"/>
    <w:rsid w:val="00193F27"/>
    <w:rsid w:val="00194547"/>
    <w:rsid w:val="001950F0"/>
    <w:rsid w:val="0019545C"/>
    <w:rsid w:val="0019594C"/>
    <w:rsid w:val="00195C7C"/>
    <w:rsid w:val="00196ADF"/>
    <w:rsid w:val="00196F66"/>
    <w:rsid w:val="00197B94"/>
    <w:rsid w:val="001A019C"/>
    <w:rsid w:val="001A0ADC"/>
    <w:rsid w:val="001A47C1"/>
    <w:rsid w:val="001A5E44"/>
    <w:rsid w:val="001B056B"/>
    <w:rsid w:val="001B0B97"/>
    <w:rsid w:val="001B40C0"/>
    <w:rsid w:val="001B4360"/>
    <w:rsid w:val="001B5B56"/>
    <w:rsid w:val="001B698F"/>
    <w:rsid w:val="001C68CD"/>
    <w:rsid w:val="001D086A"/>
    <w:rsid w:val="001D3EA0"/>
    <w:rsid w:val="001D48C5"/>
    <w:rsid w:val="001D4D40"/>
    <w:rsid w:val="001D7C82"/>
    <w:rsid w:val="001E1093"/>
    <w:rsid w:val="001E1382"/>
    <w:rsid w:val="001E2F29"/>
    <w:rsid w:val="001E46F9"/>
    <w:rsid w:val="001E765B"/>
    <w:rsid w:val="001F0348"/>
    <w:rsid w:val="001F105E"/>
    <w:rsid w:val="001F2210"/>
    <w:rsid w:val="001F45AD"/>
    <w:rsid w:val="001F4BE3"/>
    <w:rsid w:val="001F7133"/>
    <w:rsid w:val="00201120"/>
    <w:rsid w:val="00201E4B"/>
    <w:rsid w:val="00204794"/>
    <w:rsid w:val="002054CA"/>
    <w:rsid w:val="0020763E"/>
    <w:rsid w:val="00207B7E"/>
    <w:rsid w:val="00207EC8"/>
    <w:rsid w:val="0021096D"/>
    <w:rsid w:val="00210FE5"/>
    <w:rsid w:val="00211C34"/>
    <w:rsid w:val="0021407C"/>
    <w:rsid w:val="002159ED"/>
    <w:rsid w:val="00215D79"/>
    <w:rsid w:val="002221F4"/>
    <w:rsid w:val="0022250F"/>
    <w:rsid w:val="00223A06"/>
    <w:rsid w:val="00224536"/>
    <w:rsid w:val="00224F23"/>
    <w:rsid w:val="00225249"/>
    <w:rsid w:val="00227836"/>
    <w:rsid w:val="00227F54"/>
    <w:rsid w:val="00230C9A"/>
    <w:rsid w:val="00231146"/>
    <w:rsid w:val="002325D5"/>
    <w:rsid w:val="00232E65"/>
    <w:rsid w:val="0023407A"/>
    <w:rsid w:val="002342FF"/>
    <w:rsid w:val="00236DF7"/>
    <w:rsid w:val="0023735E"/>
    <w:rsid w:val="00237547"/>
    <w:rsid w:val="002409CA"/>
    <w:rsid w:val="0024165C"/>
    <w:rsid w:val="00241AE6"/>
    <w:rsid w:val="00244293"/>
    <w:rsid w:val="00245096"/>
    <w:rsid w:val="00245505"/>
    <w:rsid w:val="00245D33"/>
    <w:rsid w:val="002462E5"/>
    <w:rsid w:val="00250001"/>
    <w:rsid w:val="002523B2"/>
    <w:rsid w:val="00253799"/>
    <w:rsid w:val="00255F88"/>
    <w:rsid w:val="00264B16"/>
    <w:rsid w:val="00265E21"/>
    <w:rsid w:val="00267791"/>
    <w:rsid w:val="002705AE"/>
    <w:rsid w:val="00270F69"/>
    <w:rsid w:val="00275A02"/>
    <w:rsid w:val="00281A38"/>
    <w:rsid w:val="00282874"/>
    <w:rsid w:val="00282F44"/>
    <w:rsid w:val="002907B6"/>
    <w:rsid w:val="00290E53"/>
    <w:rsid w:val="00292BCA"/>
    <w:rsid w:val="00295C9A"/>
    <w:rsid w:val="00297484"/>
    <w:rsid w:val="0029765A"/>
    <w:rsid w:val="00297DA0"/>
    <w:rsid w:val="002A01B3"/>
    <w:rsid w:val="002A4A23"/>
    <w:rsid w:val="002B0EFF"/>
    <w:rsid w:val="002B31F2"/>
    <w:rsid w:val="002B4843"/>
    <w:rsid w:val="002B4DF8"/>
    <w:rsid w:val="002B6875"/>
    <w:rsid w:val="002B69B5"/>
    <w:rsid w:val="002B7CE9"/>
    <w:rsid w:val="002C0A11"/>
    <w:rsid w:val="002C158F"/>
    <w:rsid w:val="002C34C4"/>
    <w:rsid w:val="002C4663"/>
    <w:rsid w:val="002C6DA2"/>
    <w:rsid w:val="002D0417"/>
    <w:rsid w:val="002D1AC1"/>
    <w:rsid w:val="002D4CE0"/>
    <w:rsid w:val="002D6AD1"/>
    <w:rsid w:val="002E079C"/>
    <w:rsid w:val="002E1827"/>
    <w:rsid w:val="002E22A6"/>
    <w:rsid w:val="002E2659"/>
    <w:rsid w:val="002E4C66"/>
    <w:rsid w:val="002E58BF"/>
    <w:rsid w:val="002F1149"/>
    <w:rsid w:val="002F639D"/>
    <w:rsid w:val="002F7F42"/>
    <w:rsid w:val="00303842"/>
    <w:rsid w:val="0030720B"/>
    <w:rsid w:val="00312493"/>
    <w:rsid w:val="00312FAB"/>
    <w:rsid w:val="00316D4D"/>
    <w:rsid w:val="003219AC"/>
    <w:rsid w:val="003247A3"/>
    <w:rsid w:val="00325C01"/>
    <w:rsid w:val="00326484"/>
    <w:rsid w:val="00327A46"/>
    <w:rsid w:val="003344CA"/>
    <w:rsid w:val="003409E7"/>
    <w:rsid w:val="003412C4"/>
    <w:rsid w:val="00341500"/>
    <w:rsid w:val="003417ED"/>
    <w:rsid w:val="003435A0"/>
    <w:rsid w:val="003465F4"/>
    <w:rsid w:val="00347B77"/>
    <w:rsid w:val="003501FB"/>
    <w:rsid w:val="00350886"/>
    <w:rsid w:val="00350F68"/>
    <w:rsid w:val="00354D9C"/>
    <w:rsid w:val="00356B2E"/>
    <w:rsid w:val="00357062"/>
    <w:rsid w:val="0035718A"/>
    <w:rsid w:val="00357B0B"/>
    <w:rsid w:val="00360E80"/>
    <w:rsid w:val="00365621"/>
    <w:rsid w:val="00365885"/>
    <w:rsid w:val="0037469B"/>
    <w:rsid w:val="003802B6"/>
    <w:rsid w:val="00381298"/>
    <w:rsid w:val="00383706"/>
    <w:rsid w:val="00383B4E"/>
    <w:rsid w:val="00384556"/>
    <w:rsid w:val="00384998"/>
    <w:rsid w:val="003855E7"/>
    <w:rsid w:val="00387CE7"/>
    <w:rsid w:val="00390C35"/>
    <w:rsid w:val="00391133"/>
    <w:rsid w:val="00392489"/>
    <w:rsid w:val="003956D1"/>
    <w:rsid w:val="00396221"/>
    <w:rsid w:val="003971C6"/>
    <w:rsid w:val="00397FF1"/>
    <w:rsid w:val="003A235E"/>
    <w:rsid w:val="003A40D2"/>
    <w:rsid w:val="003A4AF1"/>
    <w:rsid w:val="003A5E86"/>
    <w:rsid w:val="003A74DF"/>
    <w:rsid w:val="003B1349"/>
    <w:rsid w:val="003B15D7"/>
    <w:rsid w:val="003B5054"/>
    <w:rsid w:val="003B6F37"/>
    <w:rsid w:val="003B7AD2"/>
    <w:rsid w:val="003B7B58"/>
    <w:rsid w:val="003C1A9E"/>
    <w:rsid w:val="003C37D7"/>
    <w:rsid w:val="003C3A67"/>
    <w:rsid w:val="003C3C56"/>
    <w:rsid w:val="003C3F91"/>
    <w:rsid w:val="003C4224"/>
    <w:rsid w:val="003C6890"/>
    <w:rsid w:val="003C6C31"/>
    <w:rsid w:val="003D0971"/>
    <w:rsid w:val="003D0E1E"/>
    <w:rsid w:val="003D15AB"/>
    <w:rsid w:val="003D1FEC"/>
    <w:rsid w:val="003D2EA8"/>
    <w:rsid w:val="003D34F2"/>
    <w:rsid w:val="003D4780"/>
    <w:rsid w:val="003D7B95"/>
    <w:rsid w:val="003E1F01"/>
    <w:rsid w:val="003E297B"/>
    <w:rsid w:val="003E42D1"/>
    <w:rsid w:val="003E5F0A"/>
    <w:rsid w:val="003E5FA3"/>
    <w:rsid w:val="003F093F"/>
    <w:rsid w:val="003F0DC5"/>
    <w:rsid w:val="003F1ECE"/>
    <w:rsid w:val="003F2471"/>
    <w:rsid w:val="003F59D9"/>
    <w:rsid w:val="003F6EFD"/>
    <w:rsid w:val="004066B2"/>
    <w:rsid w:val="0041022D"/>
    <w:rsid w:val="004204B9"/>
    <w:rsid w:val="00420FA5"/>
    <w:rsid w:val="00422C24"/>
    <w:rsid w:val="004265EA"/>
    <w:rsid w:val="0042743B"/>
    <w:rsid w:val="00430255"/>
    <w:rsid w:val="004409E4"/>
    <w:rsid w:val="00445574"/>
    <w:rsid w:val="0044786B"/>
    <w:rsid w:val="00447EAA"/>
    <w:rsid w:val="00452D74"/>
    <w:rsid w:val="00452F5D"/>
    <w:rsid w:val="0045339E"/>
    <w:rsid w:val="00455EB8"/>
    <w:rsid w:val="00456C22"/>
    <w:rsid w:val="00457B26"/>
    <w:rsid w:val="004628DB"/>
    <w:rsid w:val="00462AD7"/>
    <w:rsid w:val="0046329C"/>
    <w:rsid w:val="0046388B"/>
    <w:rsid w:val="0046500A"/>
    <w:rsid w:val="00465CD9"/>
    <w:rsid w:val="00466077"/>
    <w:rsid w:val="00471E46"/>
    <w:rsid w:val="00472719"/>
    <w:rsid w:val="00474244"/>
    <w:rsid w:val="00474993"/>
    <w:rsid w:val="00475FA6"/>
    <w:rsid w:val="00475FCE"/>
    <w:rsid w:val="0047626D"/>
    <w:rsid w:val="00481F48"/>
    <w:rsid w:val="004824C4"/>
    <w:rsid w:val="004843A7"/>
    <w:rsid w:val="0048556A"/>
    <w:rsid w:val="0048641A"/>
    <w:rsid w:val="00492B79"/>
    <w:rsid w:val="0049492C"/>
    <w:rsid w:val="00494B65"/>
    <w:rsid w:val="00494E2B"/>
    <w:rsid w:val="00497C3C"/>
    <w:rsid w:val="004A2577"/>
    <w:rsid w:val="004A2F32"/>
    <w:rsid w:val="004A3675"/>
    <w:rsid w:val="004A36B1"/>
    <w:rsid w:val="004A43BF"/>
    <w:rsid w:val="004A471E"/>
    <w:rsid w:val="004A615D"/>
    <w:rsid w:val="004A669B"/>
    <w:rsid w:val="004A72D8"/>
    <w:rsid w:val="004A7B64"/>
    <w:rsid w:val="004B1A3A"/>
    <w:rsid w:val="004B1B77"/>
    <w:rsid w:val="004B2746"/>
    <w:rsid w:val="004B2EAE"/>
    <w:rsid w:val="004B4FA5"/>
    <w:rsid w:val="004C4244"/>
    <w:rsid w:val="004C4C95"/>
    <w:rsid w:val="004D11DF"/>
    <w:rsid w:val="004D3911"/>
    <w:rsid w:val="004D6FD1"/>
    <w:rsid w:val="004E1631"/>
    <w:rsid w:val="004E1FB8"/>
    <w:rsid w:val="004E2278"/>
    <w:rsid w:val="004E22FF"/>
    <w:rsid w:val="004E3137"/>
    <w:rsid w:val="004E63BA"/>
    <w:rsid w:val="004E70CD"/>
    <w:rsid w:val="004F332F"/>
    <w:rsid w:val="004F612C"/>
    <w:rsid w:val="004F73C1"/>
    <w:rsid w:val="004F7ED9"/>
    <w:rsid w:val="00501458"/>
    <w:rsid w:val="00502CE4"/>
    <w:rsid w:val="005030C0"/>
    <w:rsid w:val="00511396"/>
    <w:rsid w:val="00513BEB"/>
    <w:rsid w:val="00514408"/>
    <w:rsid w:val="0051476C"/>
    <w:rsid w:val="00515EA4"/>
    <w:rsid w:val="0051661E"/>
    <w:rsid w:val="00524BBF"/>
    <w:rsid w:val="00525B48"/>
    <w:rsid w:val="005269D6"/>
    <w:rsid w:val="00526D94"/>
    <w:rsid w:val="005274C9"/>
    <w:rsid w:val="00527F68"/>
    <w:rsid w:val="00531BF6"/>
    <w:rsid w:val="00534557"/>
    <w:rsid w:val="00535D3E"/>
    <w:rsid w:val="00536D72"/>
    <w:rsid w:val="005403D2"/>
    <w:rsid w:val="005403D6"/>
    <w:rsid w:val="005434E9"/>
    <w:rsid w:val="00547D2F"/>
    <w:rsid w:val="005533F4"/>
    <w:rsid w:val="00553CBB"/>
    <w:rsid w:val="005555CD"/>
    <w:rsid w:val="00556A9F"/>
    <w:rsid w:val="005615AB"/>
    <w:rsid w:val="00562963"/>
    <w:rsid w:val="00562FCE"/>
    <w:rsid w:val="005651A2"/>
    <w:rsid w:val="005667FF"/>
    <w:rsid w:val="00567548"/>
    <w:rsid w:val="0057476A"/>
    <w:rsid w:val="00576516"/>
    <w:rsid w:val="00576D9A"/>
    <w:rsid w:val="00585519"/>
    <w:rsid w:val="00586DA5"/>
    <w:rsid w:val="0058737C"/>
    <w:rsid w:val="00587AC9"/>
    <w:rsid w:val="00590975"/>
    <w:rsid w:val="00590D68"/>
    <w:rsid w:val="005917F8"/>
    <w:rsid w:val="00592C74"/>
    <w:rsid w:val="00593A86"/>
    <w:rsid w:val="00594DD4"/>
    <w:rsid w:val="00595D3D"/>
    <w:rsid w:val="00596040"/>
    <w:rsid w:val="00596671"/>
    <w:rsid w:val="005A6B15"/>
    <w:rsid w:val="005A7886"/>
    <w:rsid w:val="005B3A92"/>
    <w:rsid w:val="005B5756"/>
    <w:rsid w:val="005B6683"/>
    <w:rsid w:val="005C247A"/>
    <w:rsid w:val="005C3281"/>
    <w:rsid w:val="005C569B"/>
    <w:rsid w:val="005D4F59"/>
    <w:rsid w:val="005D605A"/>
    <w:rsid w:val="005D6DAE"/>
    <w:rsid w:val="005D72C2"/>
    <w:rsid w:val="005D7983"/>
    <w:rsid w:val="005E083B"/>
    <w:rsid w:val="005E2C1C"/>
    <w:rsid w:val="005E2D56"/>
    <w:rsid w:val="005E5D32"/>
    <w:rsid w:val="005E73B1"/>
    <w:rsid w:val="005F0DDC"/>
    <w:rsid w:val="005F0EE2"/>
    <w:rsid w:val="005F1374"/>
    <w:rsid w:val="005F14B8"/>
    <w:rsid w:val="005F31DB"/>
    <w:rsid w:val="005F3594"/>
    <w:rsid w:val="005F3B46"/>
    <w:rsid w:val="00600476"/>
    <w:rsid w:val="00600DFF"/>
    <w:rsid w:val="00602731"/>
    <w:rsid w:val="006038DA"/>
    <w:rsid w:val="0060575B"/>
    <w:rsid w:val="00605BB3"/>
    <w:rsid w:val="00605F68"/>
    <w:rsid w:val="00610848"/>
    <w:rsid w:val="00611A07"/>
    <w:rsid w:val="0061222C"/>
    <w:rsid w:val="00614488"/>
    <w:rsid w:val="00614A2C"/>
    <w:rsid w:val="0061697B"/>
    <w:rsid w:val="00617083"/>
    <w:rsid w:val="00617953"/>
    <w:rsid w:val="00617F51"/>
    <w:rsid w:val="006204E0"/>
    <w:rsid w:val="00620F26"/>
    <w:rsid w:val="00621E01"/>
    <w:rsid w:val="00622198"/>
    <w:rsid w:val="006225D4"/>
    <w:rsid w:val="006232A4"/>
    <w:rsid w:val="00625893"/>
    <w:rsid w:val="0063543A"/>
    <w:rsid w:val="006375EB"/>
    <w:rsid w:val="00637B64"/>
    <w:rsid w:val="006404E5"/>
    <w:rsid w:val="00641318"/>
    <w:rsid w:val="00641364"/>
    <w:rsid w:val="006419FD"/>
    <w:rsid w:val="00642D8F"/>
    <w:rsid w:val="00644264"/>
    <w:rsid w:val="006443A6"/>
    <w:rsid w:val="00645C48"/>
    <w:rsid w:val="00654A51"/>
    <w:rsid w:val="00656416"/>
    <w:rsid w:val="00657D30"/>
    <w:rsid w:val="00660E4A"/>
    <w:rsid w:val="00664659"/>
    <w:rsid w:val="006648F4"/>
    <w:rsid w:val="00665048"/>
    <w:rsid w:val="006714CA"/>
    <w:rsid w:val="00677A4D"/>
    <w:rsid w:val="006807C2"/>
    <w:rsid w:val="00682AC1"/>
    <w:rsid w:val="00683328"/>
    <w:rsid w:val="00684178"/>
    <w:rsid w:val="00686527"/>
    <w:rsid w:val="006919A9"/>
    <w:rsid w:val="0069476F"/>
    <w:rsid w:val="00694C65"/>
    <w:rsid w:val="00695756"/>
    <w:rsid w:val="00696A97"/>
    <w:rsid w:val="00697EA3"/>
    <w:rsid w:val="006A05C1"/>
    <w:rsid w:val="006A21E7"/>
    <w:rsid w:val="006A2B26"/>
    <w:rsid w:val="006A3366"/>
    <w:rsid w:val="006A42FF"/>
    <w:rsid w:val="006A663C"/>
    <w:rsid w:val="006B203B"/>
    <w:rsid w:val="006B2E4B"/>
    <w:rsid w:val="006B303D"/>
    <w:rsid w:val="006B3312"/>
    <w:rsid w:val="006B3901"/>
    <w:rsid w:val="006B4BF9"/>
    <w:rsid w:val="006B7336"/>
    <w:rsid w:val="006C02AB"/>
    <w:rsid w:val="006C0B94"/>
    <w:rsid w:val="006C0CF1"/>
    <w:rsid w:val="006C4C7F"/>
    <w:rsid w:val="006C54F7"/>
    <w:rsid w:val="006C59D1"/>
    <w:rsid w:val="006C6BA1"/>
    <w:rsid w:val="006D000B"/>
    <w:rsid w:val="006D0FCA"/>
    <w:rsid w:val="006D200B"/>
    <w:rsid w:val="006D2D59"/>
    <w:rsid w:val="006D3868"/>
    <w:rsid w:val="006D46DA"/>
    <w:rsid w:val="006D5939"/>
    <w:rsid w:val="006D5B25"/>
    <w:rsid w:val="006E1AC2"/>
    <w:rsid w:val="006E2286"/>
    <w:rsid w:val="006E4FB4"/>
    <w:rsid w:val="006E5DB3"/>
    <w:rsid w:val="006E77C6"/>
    <w:rsid w:val="006F1635"/>
    <w:rsid w:val="006F25D5"/>
    <w:rsid w:val="006F4F17"/>
    <w:rsid w:val="006F799B"/>
    <w:rsid w:val="00700F03"/>
    <w:rsid w:val="00701A30"/>
    <w:rsid w:val="00703C4C"/>
    <w:rsid w:val="00703E85"/>
    <w:rsid w:val="0070468B"/>
    <w:rsid w:val="00704D4B"/>
    <w:rsid w:val="00705163"/>
    <w:rsid w:val="0071042B"/>
    <w:rsid w:val="00712B31"/>
    <w:rsid w:val="00712D2D"/>
    <w:rsid w:val="00717095"/>
    <w:rsid w:val="00717283"/>
    <w:rsid w:val="00717D51"/>
    <w:rsid w:val="00717D9F"/>
    <w:rsid w:val="0072041D"/>
    <w:rsid w:val="00720D05"/>
    <w:rsid w:val="00721337"/>
    <w:rsid w:val="0072275D"/>
    <w:rsid w:val="007231B3"/>
    <w:rsid w:val="00723D3E"/>
    <w:rsid w:val="007257AC"/>
    <w:rsid w:val="00730933"/>
    <w:rsid w:val="00733345"/>
    <w:rsid w:val="007344CB"/>
    <w:rsid w:val="00737FC8"/>
    <w:rsid w:val="007407D1"/>
    <w:rsid w:val="00742F56"/>
    <w:rsid w:val="00743B76"/>
    <w:rsid w:val="00747BE0"/>
    <w:rsid w:val="00753ABA"/>
    <w:rsid w:val="00754584"/>
    <w:rsid w:val="0075736A"/>
    <w:rsid w:val="00760253"/>
    <w:rsid w:val="0076085F"/>
    <w:rsid w:val="007615CA"/>
    <w:rsid w:val="00765963"/>
    <w:rsid w:val="00766AEE"/>
    <w:rsid w:val="00771168"/>
    <w:rsid w:val="007711FB"/>
    <w:rsid w:val="00771237"/>
    <w:rsid w:val="0077307C"/>
    <w:rsid w:val="00775E50"/>
    <w:rsid w:val="007778EA"/>
    <w:rsid w:val="00782DD0"/>
    <w:rsid w:val="00784E6B"/>
    <w:rsid w:val="00791DC3"/>
    <w:rsid w:val="00791F51"/>
    <w:rsid w:val="0079468D"/>
    <w:rsid w:val="00794A7E"/>
    <w:rsid w:val="007A0859"/>
    <w:rsid w:val="007A1071"/>
    <w:rsid w:val="007A30FB"/>
    <w:rsid w:val="007A3415"/>
    <w:rsid w:val="007A3919"/>
    <w:rsid w:val="007A3999"/>
    <w:rsid w:val="007A3A95"/>
    <w:rsid w:val="007A6A90"/>
    <w:rsid w:val="007B3438"/>
    <w:rsid w:val="007B601F"/>
    <w:rsid w:val="007C0694"/>
    <w:rsid w:val="007C0C70"/>
    <w:rsid w:val="007C3181"/>
    <w:rsid w:val="007C4491"/>
    <w:rsid w:val="007C4690"/>
    <w:rsid w:val="007C48A2"/>
    <w:rsid w:val="007C5388"/>
    <w:rsid w:val="007C552B"/>
    <w:rsid w:val="007C7A99"/>
    <w:rsid w:val="007D6DE1"/>
    <w:rsid w:val="007E0BE1"/>
    <w:rsid w:val="007E0E35"/>
    <w:rsid w:val="007E104B"/>
    <w:rsid w:val="007E149E"/>
    <w:rsid w:val="007E16CE"/>
    <w:rsid w:val="007E5520"/>
    <w:rsid w:val="007E6107"/>
    <w:rsid w:val="007E79FE"/>
    <w:rsid w:val="007F10D0"/>
    <w:rsid w:val="007F238A"/>
    <w:rsid w:val="007F2BC4"/>
    <w:rsid w:val="007F2EDF"/>
    <w:rsid w:val="007F3AB9"/>
    <w:rsid w:val="007F6EC4"/>
    <w:rsid w:val="008008B3"/>
    <w:rsid w:val="00802D2F"/>
    <w:rsid w:val="00803818"/>
    <w:rsid w:val="00803D29"/>
    <w:rsid w:val="00805720"/>
    <w:rsid w:val="008103DB"/>
    <w:rsid w:val="0081424F"/>
    <w:rsid w:val="008156D7"/>
    <w:rsid w:val="008203D7"/>
    <w:rsid w:val="008204E9"/>
    <w:rsid w:val="0082174D"/>
    <w:rsid w:val="00822964"/>
    <w:rsid w:val="008233C8"/>
    <w:rsid w:val="00823BE7"/>
    <w:rsid w:val="00826535"/>
    <w:rsid w:val="00826E7A"/>
    <w:rsid w:val="00826EE7"/>
    <w:rsid w:val="008313AC"/>
    <w:rsid w:val="008318E2"/>
    <w:rsid w:val="008440C0"/>
    <w:rsid w:val="00850085"/>
    <w:rsid w:val="00853C8C"/>
    <w:rsid w:val="008559C3"/>
    <w:rsid w:val="00857EF0"/>
    <w:rsid w:val="00860056"/>
    <w:rsid w:val="0086421B"/>
    <w:rsid w:val="008643D7"/>
    <w:rsid w:val="008654C7"/>
    <w:rsid w:val="00870A5F"/>
    <w:rsid w:val="00873D62"/>
    <w:rsid w:val="008763F6"/>
    <w:rsid w:val="00877788"/>
    <w:rsid w:val="00883784"/>
    <w:rsid w:val="008872C8"/>
    <w:rsid w:val="0089020A"/>
    <w:rsid w:val="00892061"/>
    <w:rsid w:val="008A00A2"/>
    <w:rsid w:val="008A7A5C"/>
    <w:rsid w:val="008B325D"/>
    <w:rsid w:val="008B385B"/>
    <w:rsid w:val="008B4B3C"/>
    <w:rsid w:val="008B76FA"/>
    <w:rsid w:val="008C0E0B"/>
    <w:rsid w:val="008C15FB"/>
    <w:rsid w:val="008C37F0"/>
    <w:rsid w:val="008C5904"/>
    <w:rsid w:val="008C6880"/>
    <w:rsid w:val="008C6B19"/>
    <w:rsid w:val="008C7921"/>
    <w:rsid w:val="008D1993"/>
    <w:rsid w:val="008D2595"/>
    <w:rsid w:val="008D2E5E"/>
    <w:rsid w:val="008D4C8E"/>
    <w:rsid w:val="008D538F"/>
    <w:rsid w:val="008E07CA"/>
    <w:rsid w:val="008E2CE2"/>
    <w:rsid w:val="008E621E"/>
    <w:rsid w:val="008E7602"/>
    <w:rsid w:val="008F0BAD"/>
    <w:rsid w:val="008F0C78"/>
    <w:rsid w:val="008F1166"/>
    <w:rsid w:val="008F25D1"/>
    <w:rsid w:val="008F300E"/>
    <w:rsid w:val="008F3337"/>
    <w:rsid w:val="008F6555"/>
    <w:rsid w:val="00901ADB"/>
    <w:rsid w:val="00902B24"/>
    <w:rsid w:val="0090325A"/>
    <w:rsid w:val="00904530"/>
    <w:rsid w:val="00905F82"/>
    <w:rsid w:val="00906EDC"/>
    <w:rsid w:val="009122B2"/>
    <w:rsid w:val="00912489"/>
    <w:rsid w:val="009125DA"/>
    <w:rsid w:val="00912C3B"/>
    <w:rsid w:val="00915FFE"/>
    <w:rsid w:val="0091777E"/>
    <w:rsid w:val="00920394"/>
    <w:rsid w:val="00920853"/>
    <w:rsid w:val="00920AD1"/>
    <w:rsid w:val="0092261D"/>
    <w:rsid w:val="00923275"/>
    <w:rsid w:val="00924DF0"/>
    <w:rsid w:val="0092600D"/>
    <w:rsid w:val="009266E4"/>
    <w:rsid w:val="00932961"/>
    <w:rsid w:val="0093403C"/>
    <w:rsid w:val="009348F4"/>
    <w:rsid w:val="00936644"/>
    <w:rsid w:val="0094195D"/>
    <w:rsid w:val="00942131"/>
    <w:rsid w:val="00952E8B"/>
    <w:rsid w:val="009543FC"/>
    <w:rsid w:val="0095456A"/>
    <w:rsid w:val="00954A48"/>
    <w:rsid w:val="00955638"/>
    <w:rsid w:val="00955E6D"/>
    <w:rsid w:val="009575BA"/>
    <w:rsid w:val="00966650"/>
    <w:rsid w:val="00967B76"/>
    <w:rsid w:val="00970E4C"/>
    <w:rsid w:val="00972AB7"/>
    <w:rsid w:val="00973F5A"/>
    <w:rsid w:val="009758CE"/>
    <w:rsid w:val="00976388"/>
    <w:rsid w:val="00980C19"/>
    <w:rsid w:val="00983B51"/>
    <w:rsid w:val="009840AA"/>
    <w:rsid w:val="00986746"/>
    <w:rsid w:val="00987C55"/>
    <w:rsid w:val="00987FA7"/>
    <w:rsid w:val="0099067F"/>
    <w:rsid w:val="00991FFC"/>
    <w:rsid w:val="00992111"/>
    <w:rsid w:val="00993199"/>
    <w:rsid w:val="00993C9D"/>
    <w:rsid w:val="00994ED3"/>
    <w:rsid w:val="00995CCE"/>
    <w:rsid w:val="009A0A17"/>
    <w:rsid w:val="009A146C"/>
    <w:rsid w:val="009A1859"/>
    <w:rsid w:val="009A2B99"/>
    <w:rsid w:val="009A518E"/>
    <w:rsid w:val="009A6798"/>
    <w:rsid w:val="009A67AF"/>
    <w:rsid w:val="009A7A4A"/>
    <w:rsid w:val="009A7F21"/>
    <w:rsid w:val="009B19A2"/>
    <w:rsid w:val="009B42D2"/>
    <w:rsid w:val="009B4A1E"/>
    <w:rsid w:val="009B4BF9"/>
    <w:rsid w:val="009C3589"/>
    <w:rsid w:val="009C74CB"/>
    <w:rsid w:val="009D134C"/>
    <w:rsid w:val="009D71FA"/>
    <w:rsid w:val="009E0367"/>
    <w:rsid w:val="009E153C"/>
    <w:rsid w:val="009E3108"/>
    <w:rsid w:val="009E609F"/>
    <w:rsid w:val="009E673D"/>
    <w:rsid w:val="009E7C20"/>
    <w:rsid w:val="009F0CA3"/>
    <w:rsid w:val="009F0CAA"/>
    <w:rsid w:val="009F16CA"/>
    <w:rsid w:val="009F3C14"/>
    <w:rsid w:val="009F5229"/>
    <w:rsid w:val="009F7112"/>
    <w:rsid w:val="009F76B2"/>
    <w:rsid w:val="00A00379"/>
    <w:rsid w:val="00A007C8"/>
    <w:rsid w:val="00A022A4"/>
    <w:rsid w:val="00A025DE"/>
    <w:rsid w:val="00A04D21"/>
    <w:rsid w:val="00A05E5E"/>
    <w:rsid w:val="00A12020"/>
    <w:rsid w:val="00A1382C"/>
    <w:rsid w:val="00A147BE"/>
    <w:rsid w:val="00A212A8"/>
    <w:rsid w:val="00A268A6"/>
    <w:rsid w:val="00A26C2D"/>
    <w:rsid w:val="00A310C0"/>
    <w:rsid w:val="00A32551"/>
    <w:rsid w:val="00A34C59"/>
    <w:rsid w:val="00A34CD7"/>
    <w:rsid w:val="00A3785A"/>
    <w:rsid w:val="00A40247"/>
    <w:rsid w:val="00A46FC8"/>
    <w:rsid w:val="00A477C6"/>
    <w:rsid w:val="00A546E9"/>
    <w:rsid w:val="00A55CD1"/>
    <w:rsid w:val="00A6196F"/>
    <w:rsid w:val="00A63D06"/>
    <w:rsid w:val="00A655DA"/>
    <w:rsid w:val="00A656AA"/>
    <w:rsid w:val="00A67AA1"/>
    <w:rsid w:val="00A706A1"/>
    <w:rsid w:val="00A70C83"/>
    <w:rsid w:val="00A75DF7"/>
    <w:rsid w:val="00A80748"/>
    <w:rsid w:val="00A8358C"/>
    <w:rsid w:val="00A850F3"/>
    <w:rsid w:val="00A85A5D"/>
    <w:rsid w:val="00A87E28"/>
    <w:rsid w:val="00A91594"/>
    <w:rsid w:val="00A915A8"/>
    <w:rsid w:val="00A91D51"/>
    <w:rsid w:val="00A93191"/>
    <w:rsid w:val="00A967B5"/>
    <w:rsid w:val="00AA297A"/>
    <w:rsid w:val="00AA6181"/>
    <w:rsid w:val="00AA62C0"/>
    <w:rsid w:val="00AA6F4C"/>
    <w:rsid w:val="00AB2A9F"/>
    <w:rsid w:val="00AB3ACC"/>
    <w:rsid w:val="00AB67CC"/>
    <w:rsid w:val="00AC3733"/>
    <w:rsid w:val="00AC51A1"/>
    <w:rsid w:val="00AC5BC7"/>
    <w:rsid w:val="00AC6D36"/>
    <w:rsid w:val="00AD0167"/>
    <w:rsid w:val="00AD03F0"/>
    <w:rsid w:val="00AD339E"/>
    <w:rsid w:val="00AD4A1A"/>
    <w:rsid w:val="00AD5627"/>
    <w:rsid w:val="00AE04D0"/>
    <w:rsid w:val="00AE0642"/>
    <w:rsid w:val="00AE10CC"/>
    <w:rsid w:val="00AE1C1E"/>
    <w:rsid w:val="00AE1EB3"/>
    <w:rsid w:val="00AE2A2E"/>
    <w:rsid w:val="00AE2AC4"/>
    <w:rsid w:val="00AE2CC4"/>
    <w:rsid w:val="00AE4628"/>
    <w:rsid w:val="00AE5412"/>
    <w:rsid w:val="00AE6481"/>
    <w:rsid w:val="00AE7221"/>
    <w:rsid w:val="00AF0BFF"/>
    <w:rsid w:val="00AF56D4"/>
    <w:rsid w:val="00AF6060"/>
    <w:rsid w:val="00AF6107"/>
    <w:rsid w:val="00B0130D"/>
    <w:rsid w:val="00B01863"/>
    <w:rsid w:val="00B02BCF"/>
    <w:rsid w:val="00B040BF"/>
    <w:rsid w:val="00B05A71"/>
    <w:rsid w:val="00B10E08"/>
    <w:rsid w:val="00B10E1F"/>
    <w:rsid w:val="00B11218"/>
    <w:rsid w:val="00B149E0"/>
    <w:rsid w:val="00B23E35"/>
    <w:rsid w:val="00B24A50"/>
    <w:rsid w:val="00B32105"/>
    <w:rsid w:val="00B40879"/>
    <w:rsid w:val="00B41B43"/>
    <w:rsid w:val="00B4288E"/>
    <w:rsid w:val="00B432E5"/>
    <w:rsid w:val="00B46ADE"/>
    <w:rsid w:val="00B505D5"/>
    <w:rsid w:val="00B55515"/>
    <w:rsid w:val="00B56C06"/>
    <w:rsid w:val="00B57770"/>
    <w:rsid w:val="00B60A53"/>
    <w:rsid w:val="00B61CFC"/>
    <w:rsid w:val="00B626D6"/>
    <w:rsid w:val="00B64B81"/>
    <w:rsid w:val="00B650DC"/>
    <w:rsid w:val="00B679B9"/>
    <w:rsid w:val="00B7097A"/>
    <w:rsid w:val="00B73C64"/>
    <w:rsid w:val="00B75D67"/>
    <w:rsid w:val="00B75F91"/>
    <w:rsid w:val="00B76920"/>
    <w:rsid w:val="00B8040E"/>
    <w:rsid w:val="00B8054D"/>
    <w:rsid w:val="00B823D8"/>
    <w:rsid w:val="00B850DA"/>
    <w:rsid w:val="00B90D34"/>
    <w:rsid w:val="00B929A6"/>
    <w:rsid w:val="00B93D2C"/>
    <w:rsid w:val="00B95CD7"/>
    <w:rsid w:val="00BA00E3"/>
    <w:rsid w:val="00BA0F3E"/>
    <w:rsid w:val="00BA37D6"/>
    <w:rsid w:val="00BA497B"/>
    <w:rsid w:val="00BB38A0"/>
    <w:rsid w:val="00BB3DAE"/>
    <w:rsid w:val="00BB5668"/>
    <w:rsid w:val="00BB7605"/>
    <w:rsid w:val="00BB7ABB"/>
    <w:rsid w:val="00BC3A69"/>
    <w:rsid w:val="00BC436A"/>
    <w:rsid w:val="00BC4E20"/>
    <w:rsid w:val="00BC4EFD"/>
    <w:rsid w:val="00BC5D15"/>
    <w:rsid w:val="00BC659E"/>
    <w:rsid w:val="00BD0223"/>
    <w:rsid w:val="00BD141F"/>
    <w:rsid w:val="00BD17AF"/>
    <w:rsid w:val="00BD3122"/>
    <w:rsid w:val="00BD39CD"/>
    <w:rsid w:val="00BD5821"/>
    <w:rsid w:val="00BD7A92"/>
    <w:rsid w:val="00BE1184"/>
    <w:rsid w:val="00BE13ED"/>
    <w:rsid w:val="00BE1BF8"/>
    <w:rsid w:val="00BE1EDF"/>
    <w:rsid w:val="00BE76AA"/>
    <w:rsid w:val="00BF3487"/>
    <w:rsid w:val="00BF430F"/>
    <w:rsid w:val="00BF7414"/>
    <w:rsid w:val="00C01BCA"/>
    <w:rsid w:val="00C035B3"/>
    <w:rsid w:val="00C03CA4"/>
    <w:rsid w:val="00C04FD1"/>
    <w:rsid w:val="00C06CE1"/>
    <w:rsid w:val="00C06E34"/>
    <w:rsid w:val="00C10832"/>
    <w:rsid w:val="00C14243"/>
    <w:rsid w:val="00C14A91"/>
    <w:rsid w:val="00C168F0"/>
    <w:rsid w:val="00C24A8B"/>
    <w:rsid w:val="00C3102D"/>
    <w:rsid w:val="00C31899"/>
    <w:rsid w:val="00C31A90"/>
    <w:rsid w:val="00C3522B"/>
    <w:rsid w:val="00C36F0D"/>
    <w:rsid w:val="00C37878"/>
    <w:rsid w:val="00C412AC"/>
    <w:rsid w:val="00C42750"/>
    <w:rsid w:val="00C43CC1"/>
    <w:rsid w:val="00C44DFD"/>
    <w:rsid w:val="00C46040"/>
    <w:rsid w:val="00C476FE"/>
    <w:rsid w:val="00C502B2"/>
    <w:rsid w:val="00C51104"/>
    <w:rsid w:val="00C5157C"/>
    <w:rsid w:val="00C522E3"/>
    <w:rsid w:val="00C53836"/>
    <w:rsid w:val="00C5437C"/>
    <w:rsid w:val="00C54494"/>
    <w:rsid w:val="00C54D71"/>
    <w:rsid w:val="00C577FE"/>
    <w:rsid w:val="00C62DC6"/>
    <w:rsid w:val="00C635FE"/>
    <w:rsid w:val="00C63708"/>
    <w:rsid w:val="00C63723"/>
    <w:rsid w:val="00C6561D"/>
    <w:rsid w:val="00C66897"/>
    <w:rsid w:val="00C66F7F"/>
    <w:rsid w:val="00C70185"/>
    <w:rsid w:val="00C7131F"/>
    <w:rsid w:val="00C71E43"/>
    <w:rsid w:val="00C73020"/>
    <w:rsid w:val="00C74672"/>
    <w:rsid w:val="00C75929"/>
    <w:rsid w:val="00C75FF0"/>
    <w:rsid w:val="00C763A8"/>
    <w:rsid w:val="00C8062D"/>
    <w:rsid w:val="00C80EB5"/>
    <w:rsid w:val="00C81B31"/>
    <w:rsid w:val="00C82C62"/>
    <w:rsid w:val="00C90354"/>
    <w:rsid w:val="00C916E7"/>
    <w:rsid w:val="00C91AC5"/>
    <w:rsid w:val="00C92ED5"/>
    <w:rsid w:val="00C95230"/>
    <w:rsid w:val="00C96559"/>
    <w:rsid w:val="00CA18C1"/>
    <w:rsid w:val="00CA2DDD"/>
    <w:rsid w:val="00CA3A47"/>
    <w:rsid w:val="00CA48C4"/>
    <w:rsid w:val="00CA6F3D"/>
    <w:rsid w:val="00CB0EAE"/>
    <w:rsid w:val="00CB32A8"/>
    <w:rsid w:val="00CB34CF"/>
    <w:rsid w:val="00CC23D4"/>
    <w:rsid w:val="00CC2B3E"/>
    <w:rsid w:val="00CD47A3"/>
    <w:rsid w:val="00CD4F56"/>
    <w:rsid w:val="00CD5DA2"/>
    <w:rsid w:val="00CD64FC"/>
    <w:rsid w:val="00CE408A"/>
    <w:rsid w:val="00CE5183"/>
    <w:rsid w:val="00CE64FC"/>
    <w:rsid w:val="00CE6F6F"/>
    <w:rsid w:val="00CF03C2"/>
    <w:rsid w:val="00CF280B"/>
    <w:rsid w:val="00CF44D2"/>
    <w:rsid w:val="00CF5A8D"/>
    <w:rsid w:val="00CF5B08"/>
    <w:rsid w:val="00CF76FF"/>
    <w:rsid w:val="00D0220D"/>
    <w:rsid w:val="00D07C53"/>
    <w:rsid w:val="00D10483"/>
    <w:rsid w:val="00D1177F"/>
    <w:rsid w:val="00D12619"/>
    <w:rsid w:val="00D13228"/>
    <w:rsid w:val="00D13F8E"/>
    <w:rsid w:val="00D20D13"/>
    <w:rsid w:val="00D2166C"/>
    <w:rsid w:val="00D22C60"/>
    <w:rsid w:val="00D23C48"/>
    <w:rsid w:val="00D2551F"/>
    <w:rsid w:val="00D25A68"/>
    <w:rsid w:val="00D27D82"/>
    <w:rsid w:val="00D3084C"/>
    <w:rsid w:val="00D30DC3"/>
    <w:rsid w:val="00D315CD"/>
    <w:rsid w:val="00D340BB"/>
    <w:rsid w:val="00D35419"/>
    <w:rsid w:val="00D35DCA"/>
    <w:rsid w:val="00D364D8"/>
    <w:rsid w:val="00D41D32"/>
    <w:rsid w:val="00D4303D"/>
    <w:rsid w:val="00D43C19"/>
    <w:rsid w:val="00D46A45"/>
    <w:rsid w:val="00D47C13"/>
    <w:rsid w:val="00D52324"/>
    <w:rsid w:val="00D538B2"/>
    <w:rsid w:val="00D53C20"/>
    <w:rsid w:val="00D55627"/>
    <w:rsid w:val="00D6084D"/>
    <w:rsid w:val="00D6310D"/>
    <w:rsid w:val="00D63123"/>
    <w:rsid w:val="00D63899"/>
    <w:rsid w:val="00D653C3"/>
    <w:rsid w:val="00D655EA"/>
    <w:rsid w:val="00D66004"/>
    <w:rsid w:val="00D67D55"/>
    <w:rsid w:val="00D73F55"/>
    <w:rsid w:val="00D75B3B"/>
    <w:rsid w:val="00D77A38"/>
    <w:rsid w:val="00D82D64"/>
    <w:rsid w:val="00D83E42"/>
    <w:rsid w:val="00D84A08"/>
    <w:rsid w:val="00D85EB2"/>
    <w:rsid w:val="00D87381"/>
    <w:rsid w:val="00D900EB"/>
    <w:rsid w:val="00D91FDD"/>
    <w:rsid w:val="00D92696"/>
    <w:rsid w:val="00D92FF6"/>
    <w:rsid w:val="00D96C3A"/>
    <w:rsid w:val="00DA080A"/>
    <w:rsid w:val="00DA173A"/>
    <w:rsid w:val="00DA1B23"/>
    <w:rsid w:val="00DA542B"/>
    <w:rsid w:val="00DA583C"/>
    <w:rsid w:val="00DB1A82"/>
    <w:rsid w:val="00DB6312"/>
    <w:rsid w:val="00DB7395"/>
    <w:rsid w:val="00DC6645"/>
    <w:rsid w:val="00DC7449"/>
    <w:rsid w:val="00DC76BA"/>
    <w:rsid w:val="00DC7D74"/>
    <w:rsid w:val="00DC7D87"/>
    <w:rsid w:val="00DD0159"/>
    <w:rsid w:val="00DD0D5E"/>
    <w:rsid w:val="00DD0E98"/>
    <w:rsid w:val="00DD1E55"/>
    <w:rsid w:val="00DD2B73"/>
    <w:rsid w:val="00DD2FE1"/>
    <w:rsid w:val="00DD3EB5"/>
    <w:rsid w:val="00DD6F2D"/>
    <w:rsid w:val="00DE01AB"/>
    <w:rsid w:val="00DE216B"/>
    <w:rsid w:val="00DE4444"/>
    <w:rsid w:val="00DE4520"/>
    <w:rsid w:val="00DE4DD3"/>
    <w:rsid w:val="00DF14F2"/>
    <w:rsid w:val="00DF1672"/>
    <w:rsid w:val="00DF1DB5"/>
    <w:rsid w:val="00DF2F99"/>
    <w:rsid w:val="00DF42EC"/>
    <w:rsid w:val="00DF446A"/>
    <w:rsid w:val="00DF4C5C"/>
    <w:rsid w:val="00DF4EFB"/>
    <w:rsid w:val="00DF556D"/>
    <w:rsid w:val="00E00B32"/>
    <w:rsid w:val="00E0162B"/>
    <w:rsid w:val="00E01F89"/>
    <w:rsid w:val="00E06C59"/>
    <w:rsid w:val="00E06CA1"/>
    <w:rsid w:val="00E07CF5"/>
    <w:rsid w:val="00E1209D"/>
    <w:rsid w:val="00E1305A"/>
    <w:rsid w:val="00E1329A"/>
    <w:rsid w:val="00E15C0B"/>
    <w:rsid w:val="00E15EE8"/>
    <w:rsid w:val="00E1757F"/>
    <w:rsid w:val="00E17BD7"/>
    <w:rsid w:val="00E2176F"/>
    <w:rsid w:val="00E22112"/>
    <w:rsid w:val="00E228A5"/>
    <w:rsid w:val="00E23AD2"/>
    <w:rsid w:val="00E275EF"/>
    <w:rsid w:val="00E311C3"/>
    <w:rsid w:val="00E313CB"/>
    <w:rsid w:val="00E37991"/>
    <w:rsid w:val="00E43111"/>
    <w:rsid w:val="00E43612"/>
    <w:rsid w:val="00E4369B"/>
    <w:rsid w:val="00E4447A"/>
    <w:rsid w:val="00E4509D"/>
    <w:rsid w:val="00E4597C"/>
    <w:rsid w:val="00E4664E"/>
    <w:rsid w:val="00E4785C"/>
    <w:rsid w:val="00E479BB"/>
    <w:rsid w:val="00E5149E"/>
    <w:rsid w:val="00E514F0"/>
    <w:rsid w:val="00E51B8A"/>
    <w:rsid w:val="00E52099"/>
    <w:rsid w:val="00E52F33"/>
    <w:rsid w:val="00E54DB5"/>
    <w:rsid w:val="00E55188"/>
    <w:rsid w:val="00E55B0D"/>
    <w:rsid w:val="00E56C64"/>
    <w:rsid w:val="00E614D4"/>
    <w:rsid w:val="00E62923"/>
    <w:rsid w:val="00E630B7"/>
    <w:rsid w:val="00E64A9A"/>
    <w:rsid w:val="00E6607F"/>
    <w:rsid w:val="00E66482"/>
    <w:rsid w:val="00E66947"/>
    <w:rsid w:val="00E67EFE"/>
    <w:rsid w:val="00E70054"/>
    <w:rsid w:val="00E712E9"/>
    <w:rsid w:val="00E72EB8"/>
    <w:rsid w:val="00E72FEB"/>
    <w:rsid w:val="00E75110"/>
    <w:rsid w:val="00E769C2"/>
    <w:rsid w:val="00E76D89"/>
    <w:rsid w:val="00E771CB"/>
    <w:rsid w:val="00E77E3E"/>
    <w:rsid w:val="00E77F92"/>
    <w:rsid w:val="00E83240"/>
    <w:rsid w:val="00E85DF2"/>
    <w:rsid w:val="00E8600F"/>
    <w:rsid w:val="00E9328B"/>
    <w:rsid w:val="00E943DD"/>
    <w:rsid w:val="00E944F0"/>
    <w:rsid w:val="00E97902"/>
    <w:rsid w:val="00EA0BC2"/>
    <w:rsid w:val="00EA0E7B"/>
    <w:rsid w:val="00EA1C45"/>
    <w:rsid w:val="00EA1D36"/>
    <w:rsid w:val="00EA2103"/>
    <w:rsid w:val="00EA2290"/>
    <w:rsid w:val="00EA57FD"/>
    <w:rsid w:val="00EA65AB"/>
    <w:rsid w:val="00EA7207"/>
    <w:rsid w:val="00EB0891"/>
    <w:rsid w:val="00EB260B"/>
    <w:rsid w:val="00EC2C37"/>
    <w:rsid w:val="00EC2F59"/>
    <w:rsid w:val="00EC3C15"/>
    <w:rsid w:val="00EC53A2"/>
    <w:rsid w:val="00EC6E85"/>
    <w:rsid w:val="00ED2828"/>
    <w:rsid w:val="00ED51F0"/>
    <w:rsid w:val="00ED78DF"/>
    <w:rsid w:val="00EE410F"/>
    <w:rsid w:val="00EE435F"/>
    <w:rsid w:val="00EE470A"/>
    <w:rsid w:val="00EE7239"/>
    <w:rsid w:val="00EE74E8"/>
    <w:rsid w:val="00EF0961"/>
    <w:rsid w:val="00EF09DE"/>
    <w:rsid w:val="00EF255B"/>
    <w:rsid w:val="00F00946"/>
    <w:rsid w:val="00F03A89"/>
    <w:rsid w:val="00F040F6"/>
    <w:rsid w:val="00F04319"/>
    <w:rsid w:val="00F05118"/>
    <w:rsid w:val="00F057E3"/>
    <w:rsid w:val="00F05F61"/>
    <w:rsid w:val="00F105E3"/>
    <w:rsid w:val="00F11A34"/>
    <w:rsid w:val="00F13900"/>
    <w:rsid w:val="00F156CB"/>
    <w:rsid w:val="00F17A95"/>
    <w:rsid w:val="00F203B8"/>
    <w:rsid w:val="00F259AD"/>
    <w:rsid w:val="00F27721"/>
    <w:rsid w:val="00F27C49"/>
    <w:rsid w:val="00F300BA"/>
    <w:rsid w:val="00F3011C"/>
    <w:rsid w:val="00F307B7"/>
    <w:rsid w:val="00F34B22"/>
    <w:rsid w:val="00F402D0"/>
    <w:rsid w:val="00F40495"/>
    <w:rsid w:val="00F4071A"/>
    <w:rsid w:val="00F41052"/>
    <w:rsid w:val="00F419CF"/>
    <w:rsid w:val="00F46618"/>
    <w:rsid w:val="00F50153"/>
    <w:rsid w:val="00F5020D"/>
    <w:rsid w:val="00F514BC"/>
    <w:rsid w:val="00F51C24"/>
    <w:rsid w:val="00F526D0"/>
    <w:rsid w:val="00F608C0"/>
    <w:rsid w:val="00F60F73"/>
    <w:rsid w:val="00F65A00"/>
    <w:rsid w:val="00F70C20"/>
    <w:rsid w:val="00F73FDE"/>
    <w:rsid w:val="00F74FE8"/>
    <w:rsid w:val="00F762AA"/>
    <w:rsid w:val="00F77D60"/>
    <w:rsid w:val="00F8059F"/>
    <w:rsid w:val="00F8458B"/>
    <w:rsid w:val="00F84F25"/>
    <w:rsid w:val="00F85271"/>
    <w:rsid w:val="00F9155E"/>
    <w:rsid w:val="00F919AA"/>
    <w:rsid w:val="00F94F65"/>
    <w:rsid w:val="00FA0848"/>
    <w:rsid w:val="00FA1F41"/>
    <w:rsid w:val="00FA4068"/>
    <w:rsid w:val="00FA43C6"/>
    <w:rsid w:val="00FA503B"/>
    <w:rsid w:val="00FA5B90"/>
    <w:rsid w:val="00FB01F0"/>
    <w:rsid w:val="00FB0838"/>
    <w:rsid w:val="00FB2A5A"/>
    <w:rsid w:val="00FB4E0B"/>
    <w:rsid w:val="00FB50CC"/>
    <w:rsid w:val="00FB5728"/>
    <w:rsid w:val="00FB65B4"/>
    <w:rsid w:val="00FB6CB1"/>
    <w:rsid w:val="00FB6CF3"/>
    <w:rsid w:val="00FC0400"/>
    <w:rsid w:val="00FC04BB"/>
    <w:rsid w:val="00FC1F60"/>
    <w:rsid w:val="00FC355F"/>
    <w:rsid w:val="00FC4D9C"/>
    <w:rsid w:val="00FC5E39"/>
    <w:rsid w:val="00FC75D2"/>
    <w:rsid w:val="00FC7AE6"/>
    <w:rsid w:val="00FC7E4D"/>
    <w:rsid w:val="00FD00B9"/>
    <w:rsid w:val="00FD12B7"/>
    <w:rsid w:val="00FD38D5"/>
    <w:rsid w:val="00FD4C8D"/>
    <w:rsid w:val="00FD75B8"/>
    <w:rsid w:val="00FE004E"/>
    <w:rsid w:val="00FE2AB1"/>
    <w:rsid w:val="00FE3094"/>
    <w:rsid w:val="00FE4198"/>
    <w:rsid w:val="00FE497F"/>
    <w:rsid w:val="00FF0610"/>
    <w:rsid w:val="00FF1705"/>
    <w:rsid w:val="00FF1773"/>
    <w:rsid w:val="00FF297D"/>
    <w:rsid w:val="00FF6D44"/>
    <w:rsid w:val="138BEF53"/>
    <w:rsid w:val="14FB31B5"/>
    <w:rsid w:val="21C14416"/>
    <w:rsid w:val="32881729"/>
    <w:rsid w:val="38C65C36"/>
    <w:rsid w:val="3C76098C"/>
    <w:rsid w:val="42AC6F2B"/>
    <w:rsid w:val="4A0260EA"/>
    <w:rsid w:val="4BF34BE2"/>
    <w:rsid w:val="5067FC9E"/>
    <w:rsid w:val="6A42E3FD"/>
    <w:rsid w:val="78D8AF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FC6A8F3"/>
  <w15:docId w15:val="{29D839AB-D34F-489D-9006-3990BF2B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22D"/>
    <w:pPr>
      <w:widowControl w:val="0"/>
      <w:autoSpaceDE w:val="0"/>
      <w:autoSpaceDN w:val="0"/>
      <w:adjustRightInd w:val="0"/>
    </w:pPr>
  </w:style>
  <w:style w:type="paragraph" w:styleId="Heading1">
    <w:name w:val="heading 1"/>
    <w:next w:val="BodyText"/>
    <w:link w:val="Heading1Char"/>
    <w:qFormat/>
    <w:rsid w:val="0041022D"/>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BodyText"/>
    <w:link w:val="Heading2Char"/>
    <w:qFormat/>
    <w:rsid w:val="0041022D"/>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41022D"/>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91FB5"/>
  </w:style>
  <w:style w:type="paragraph" w:styleId="TOC1">
    <w:name w:val="toc 1"/>
    <w:basedOn w:val="Normal"/>
    <w:next w:val="Normal"/>
    <w:autoRedefine/>
    <w:uiPriority w:val="39"/>
    <w:rsid w:val="007F6EC4"/>
    <w:pPr>
      <w:widowControl/>
      <w:tabs>
        <w:tab w:val="left" w:pos="1440"/>
        <w:tab w:val="right" w:leader="dot" w:pos="9360"/>
      </w:tabs>
      <w:spacing w:after="120" w:line="259" w:lineRule="auto"/>
      <w:ind w:left="1166" w:hanging="1166"/>
      <w:contextualSpacing/>
    </w:pPr>
  </w:style>
  <w:style w:type="paragraph" w:styleId="TOC2">
    <w:name w:val="toc 2"/>
    <w:basedOn w:val="Normal"/>
    <w:next w:val="Normal"/>
    <w:autoRedefine/>
    <w:uiPriority w:val="39"/>
    <w:rsid w:val="007F6EC4"/>
    <w:pPr>
      <w:widowControl/>
      <w:tabs>
        <w:tab w:val="left" w:pos="180"/>
        <w:tab w:val="left" w:pos="450"/>
        <w:tab w:val="left" w:pos="810"/>
        <w:tab w:val="left" w:pos="1440"/>
        <w:tab w:val="right" w:leader="dot" w:pos="9360"/>
      </w:tabs>
      <w:autoSpaceDE/>
      <w:autoSpaceDN/>
      <w:adjustRightInd/>
      <w:spacing w:after="120"/>
      <w:ind w:left="1440" w:hanging="1166"/>
      <w:contextualSpacing/>
      <w:jc w:val="both"/>
    </w:pPr>
  </w:style>
  <w:style w:type="paragraph" w:styleId="Header">
    <w:name w:val="header"/>
    <w:basedOn w:val="Normal"/>
    <w:rsid w:val="001B0B97"/>
    <w:pPr>
      <w:tabs>
        <w:tab w:val="center" w:pos="4320"/>
        <w:tab w:val="right" w:pos="8640"/>
      </w:tabs>
    </w:pPr>
  </w:style>
  <w:style w:type="paragraph" w:styleId="Footer">
    <w:name w:val="footer"/>
    <w:basedOn w:val="Normal"/>
    <w:link w:val="FooterChar"/>
    <w:uiPriority w:val="99"/>
    <w:rsid w:val="001B0B97"/>
    <w:pPr>
      <w:tabs>
        <w:tab w:val="center" w:pos="4320"/>
        <w:tab w:val="right" w:pos="8640"/>
      </w:tabs>
    </w:pPr>
  </w:style>
  <w:style w:type="character" w:styleId="PageNumber">
    <w:name w:val="page number"/>
    <w:basedOn w:val="DefaultParagraphFont"/>
    <w:rsid w:val="001B0B97"/>
  </w:style>
  <w:style w:type="paragraph" w:styleId="BalloonText">
    <w:name w:val="Balloon Text"/>
    <w:basedOn w:val="Normal"/>
    <w:semiHidden/>
    <w:rsid w:val="00C31A90"/>
    <w:rPr>
      <w:rFonts w:ascii="Tahoma" w:hAnsi="Tahoma" w:cs="Tahoma"/>
      <w:sz w:val="16"/>
      <w:szCs w:val="16"/>
    </w:rPr>
  </w:style>
  <w:style w:type="paragraph" w:customStyle="1" w:styleId="Default">
    <w:name w:val="Default"/>
    <w:rsid w:val="005D605A"/>
    <w:pPr>
      <w:autoSpaceDE w:val="0"/>
      <w:autoSpaceDN w:val="0"/>
      <w:adjustRightInd w:val="0"/>
    </w:pPr>
    <w:rPr>
      <w:color w:val="000000"/>
      <w:sz w:val="24"/>
      <w:szCs w:val="24"/>
    </w:rPr>
  </w:style>
  <w:style w:type="paragraph" w:styleId="ListParagraph">
    <w:name w:val="List Paragraph"/>
    <w:basedOn w:val="Normal"/>
    <w:uiPriority w:val="34"/>
    <w:qFormat/>
    <w:rsid w:val="006C6BA1"/>
    <w:pPr>
      <w:ind w:left="720"/>
    </w:pPr>
  </w:style>
  <w:style w:type="paragraph" w:styleId="Revision">
    <w:name w:val="Revision"/>
    <w:hidden/>
    <w:uiPriority w:val="99"/>
    <w:semiHidden/>
    <w:rsid w:val="00230C9A"/>
    <w:rPr>
      <w:rFonts w:ascii="Segoe Print" w:hAnsi="Segoe Print"/>
      <w:sz w:val="24"/>
      <w:szCs w:val="24"/>
    </w:rPr>
  </w:style>
  <w:style w:type="character" w:customStyle="1" w:styleId="Heading1Char">
    <w:name w:val="Heading 1 Char"/>
    <w:basedOn w:val="DefaultParagraphFont"/>
    <w:link w:val="Heading1"/>
    <w:rsid w:val="0041022D"/>
    <w:rPr>
      <w:rFonts w:eastAsiaTheme="majorEastAsia" w:cstheme="majorBidi"/>
      <w:caps/>
    </w:rPr>
  </w:style>
  <w:style w:type="character" w:styleId="CommentReference">
    <w:name w:val="annotation reference"/>
    <w:rsid w:val="00472719"/>
    <w:rPr>
      <w:sz w:val="16"/>
      <w:szCs w:val="16"/>
    </w:rPr>
  </w:style>
  <w:style w:type="paragraph" w:styleId="CommentText">
    <w:name w:val="annotation text"/>
    <w:basedOn w:val="Normal"/>
    <w:link w:val="CommentTextChar"/>
    <w:rsid w:val="00472719"/>
    <w:rPr>
      <w:sz w:val="20"/>
      <w:szCs w:val="20"/>
    </w:rPr>
  </w:style>
  <w:style w:type="character" w:customStyle="1" w:styleId="CommentTextChar">
    <w:name w:val="Comment Text Char"/>
    <w:link w:val="CommentText"/>
    <w:rsid w:val="00472719"/>
    <w:rPr>
      <w:rFonts w:ascii="Segoe Print" w:hAnsi="Segoe Print"/>
    </w:rPr>
  </w:style>
  <w:style w:type="paragraph" w:styleId="CommentSubject">
    <w:name w:val="annotation subject"/>
    <w:basedOn w:val="CommentText"/>
    <w:next w:val="CommentText"/>
    <w:link w:val="CommentSubjectChar"/>
    <w:rsid w:val="00472719"/>
    <w:rPr>
      <w:b/>
      <w:bCs/>
    </w:rPr>
  </w:style>
  <w:style w:type="character" w:customStyle="1" w:styleId="CommentSubjectChar">
    <w:name w:val="Comment Subject Char"/>
    <w:link w:val="CommentSubject"/>
    <w:rsid w:val="00472719"/>
    <w:rPr>
      <w:rFonts w:ascii="Segoe Print" w:hAnsi="Segoe Print"/>
      <w:b/>
      <w:bCs/>
    </w:rPr>
  </w:style>
  <w:style w:type="character" w:customStyle="1" w:styleId="FooterChar">
    <w:name w:val="Footer Char"/>
    <w:link w:val="Footer"/>
    <w:uiPriority w:val="99"/>
    <w:rsid w:val="004A669B"/>
    <w:rPr>
      <w:rFonts w:ascii="Segoe Print" w:hAnsi="Segoe Print"/>
      <w:sz w:val="24"/>
      <w:szCs w:val="24"/>
    </w:rPr>
  </w:style>
  <w:style w:type="character" w:styleId="Emphasis">
    <w:name w:val="Emphasis"/>
    <w:qFormat/>
    <w:rsid w:val="000A7E57"/>
    <w:rPr>
      <w:i/>
      <w:iCs/>
    </w:rPr>
  </w:style>
  <w:style w:type="paragraph" w:customStyle="1" w:styleId="Header01">
    <w:name w:val="Header 01"/>
    <w:basedOn w:val="Normal"/>
    <w:rsid w:val="003412C4"/>
    <w:pPr>
      <w:widowControl/>
      <w:tabs>
        <w:tab w:val="left" w:pos="274"/>
        <w:tab w:val="left" w:pos="806"/>
        <w:tab w:val="left" w:pos="1440"/>
        <w:tab w:val="left" w:pos="2074"/>
        <w:tab w:val="left" w:pos="2707"/>
      </w:tabs>
      <w:autoSpaceDE/>
      <w:autoSpaceDN/>
      <w:adjustRightInd/>
      <w:outlineLvl w:val="0"/>
    </w:pPr>
  </w:style>
  <w:style w:type="character" w:styleId="Mention">
    <w:name w:val="Mention"/>
    <w:basedOn w:val="DefaultParagraphFont"/>
    <w:uiPriority w:val="99"/>
    <w:unhideWhenUsed/>
    <w:rsid w:val="00BF7414"/>
    <w:rPr>
      <w:color w:val="2B579A"/>
      <w:shd w:val="clear" w:color="auto" w:fill="E1DFDD"/>
    </w:rPr>
  </w:style>
  <w:style w:type="paragraph" w:customStyle="1" w:styleId="Subsection">
    <w:name w:val="Subsection"/>
    <w:basedOn w:val="Normal"/>
    <w:rsid w:val="0077116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pPr>
  </w:style>
  <w:style w:type="paragraph" w:styleId="BodyText">
    <w:name w:val="Body Text"/>
    <w:link w:val="BodyTextChar"/>
    <w:rsid w:val="0041022D"/>
    <w:pPr>
      <w:spacing w:after="220"/>
    </w:pPr>
    <w:rPr>
      <w:rFonts w:eastAsiaTheme="minorHAnsi"/>
    </w:rPr>
  </w:style>
  <w:style w:type="character" w:customStyle="1" w:styleId="BodyTextChar">
    <w:name w:val="Body Text Char"/>
    <w:basedOn w:val="DefaultParagraphFont"/>
    <w:link w:val="BodyText"/>
    <w:rsid w:val="0041022D"/>
    <w:rPr>
      <w:rFonts w:eastAsiaTheme="minorHAnsi"/>
    </w:rPr>
  </w:style>
  <w:style w:type="paragraph" w:customStyle="1" w:styleId="Applicability">
    <w:name w:val="Applicability"/>
    <w:basedOn w:val="BodyText"/>
    <w:qFormat/>
    <w:rsid w:val="0041022D"/>
    <w:pPr>
      <w:spacing w:before="440"/>
      <w:ind w:left="2160" w:hanging="2160"/>
    </w:pPr>
  </w:style>
  <w:style w:type="paragraph" w:customStyle="1" w:styleId="attachmenttitle">
    <w:name w:val="attachment title"/>
    <w:next w:val="BodyText"/>
    <w:qFormat/>
    <w:rsid w:val="0041022D"/>
    <w:pPr>
      <w:keepNext/>
      <w:keepLines/>
      <w:widowControl w:val="0"/>
      <w:spacing w:after="220"/>
      <w:jc w:val="center"/>
      <w:outlineLvl w:val="0"/>
    </w:pPr>
  </w:style>
  <w:style w:type="paragraph" w:customStyle="1" w:styleId="BodyText-table">
    <w:name w:val="Body Text - table"/>
    <w:qFormat/>
    <w:rsid w:val="0041022D"/>
    <w:rPr>
      <w:rFonts w:eastAsiaTheme="minorHAnsi" w:cstheme="minorBidi"/>
    </w:rPr>
  </w:style>
  <w:style w:type="paragraph" w:styleId="BodyText2">
    <w:name w:val="Body Text 2"/>
    <w:link w:val="BodyText2Char"/>
    <w:rsid w:val="0041022D"/>
    <w:pPr>
      <w:spacing w:after="220"/>
      <w:ind w:left="720" w:hanging="720"/>
    </w:pPr>
    <w:rPr>
      <w:rFonts w:eastAsiaTheme="majorEastAsia" w:cstheme="majorBidi"/>
    </w:rPr>
  </w:style>
  <w:style w:type="character" w:customStyle="1" w:styleId="BodyText2Char">
    <w:name w:val="Body Text 2 Char"/>
    <w:basedOn w:val="DefaultParagraphFont"/>
    <w:link w:val="BodyText2"/>
    <w:rsid w:val="0041022D"/>
    <w:rPr>
      <w:rFonts w:eastAsiaTheme="majorEastAsia" w:cstheme="majorBidi"/>
    </w:rPr>
  </w:style>
  <w:style w:type="paragraph" w:styleId="BodyText3">
    <w:name w:val="Body Text 3"/>
    <w:basedOn w:val="BodyText"/>
    <w:link w:val="BodyText3Char"/>
    <w:rsid w:val="0041022D"/>
    <w:pPr>
      <w:ind w:left="720"/>
    </w:pPr>
    <w:rPr>
      <w:rFonts w:eastAsiaTheme="majorEastAsia" w:cstheme="majorBidi"/>
    </w:rPr>
  </w:style>
  <w:style w:type="character" w:customStyle="1" w:styleId="BodyText3Char">
    <w:name w:val="Body Text 3 Char"/>
    <w:basedOn w:val="DefaultParagraphFont"/>
    <w:link w:val="BodyText3"/>
    <w:rsid w:val="0041022D"/>
    <w:rPr>
      <w:rFonts w:eastAsiaTheme="majorEastAsia" w:cstheme="majorBidi"/>
    </w:rPr>
  </w:style>
  <w:style w:type="character" w:customStyle="1" w:styleId="Commitment">
    <w:name w:val="Commitment"/>
    <w:basedOn w:val="BodyTextChar"/>
    <w:uiPriority w:val="1"/>
    <w:qFormat/>
    <w:rsid w:val="0041022D"/>
    <w:rPr>
      <w:rFonts w:ascii="Arial" w:eastAsiaTheme="minorHAnsi" w:hAnsi="Arial" w:cs="Arial"/>
      <w:i/>
      <w:iCs/>
    </w:rPr>
  </w:style>
  <w:style w:type="paragraph" w:customStyle="1" w:styleId="CornerstoneBases">
    <w:name w:val="Cornerstone / Bases"/>
    <w:basedOn w:val="BodyText"/>
    <w:qFormat/>
    <w:rsid w:val="0041022D"/>
    <w:pPr>
      <w:ind w:left="2160" w:hanging="2160"/>
    </w:pPr>
  </w:style>
  <w:style w:type="paragraph" w:customStyle="1" w:styleId="EffectiveDate">
    <w:name w:val="Effective Date"/>
    <w:next w:val="BodyText"/>
    <w:qFormat/>
    <w:rsid w:val="0041022D"/>
    <w:pPr>
      <w:spacing w:before="220" w:after="440"/>
      <w:jc w:val="center"/>
    </w:pPr>
  </w:style>
  <w:style w:type="paragraph" w:customStyle="1" w:styleId="END">
    <w:name w:val="END"/>
    <w:next w:val="BodyText"/>
    <w:qFormat/>
    <w:rsid w:val="0041022D"/>
    <w:pPr>
      <w:autoSpaceDE w:val="0"/>
      <w:autoSpaceDN w:val="0"/>
      <w:adjustRightInd w:val="0"/>
      <w:spacing w:before="440" w:after="440"/>
      <w:jc w:val="center"/>
    </w:pPr>
  </w:style>
  <w:style w:type="character" w:customStyle="1" w:styleId="Heading2Char">
    <w:name w:val="Heading 2 Char"/>
    <w:basedOn w:val="DefaultParagraphFont"/>
    <w:link w:val="Heading2"/>
    <w:rsid w:val="0041022D"/>
    <w:rPr>
      <w:rFonts w:eastAsiaTheme="majorEastAsia" w:cstheme="majorBidi"/>
    </w:rPr>
  </w:style>
  <w:style w:type="character" w:customStyle="1" w:styleId="Heading3Char">
    <w:name w:val="Heading 3 Char"/>
    <w:basedOn w:val="DefaultParagraphFont"/>
    <w:link w:val="Heading3"/>
    <w:rsid w:val="0041022D"/>
    <w:rPr>
      <w:rFonts w:eastAsiaTheme="majorEastAsia" w:cstheme="majorBidi"/>
    </w:rPr>
  </w:style>
  <w:style w:type="table" w:customStyle="1" w:styleId="IM">
    <w:name w:val="IM"/>
    <w:basedOn w:val="TableNormal"/>
    <w:uiPriority w:val="99"/>
    <w:rsid w:val="0041022D"/>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41022D"/>
    <w:pPr>
      <w:widowControl w:val="0"/>
      <w:pBdr>
        <w:top w:val="single" w:sz="8" w:space="3" w:color="auto"/>
        <w:bottom w:val="single" w:sz="8" w:space="3" w:color="auto"/>
      </w:pBdr>
      <w:spacing w:after="220"/>
      <w:jc w:val="center"/>
    </w:pPr>
    <w:rPr>
      <w:rFonts w:eastAsiaTheme="minorHAnsi"/>
      <w:iCs/>
      <w:caps/>
    </w:rPr>
  </w:style>
  <w:style w:type="paragraph" w:styleId="Title">
    <w:name w:val="Title"/>
    <w:next w:val="BodyText"/>
    <w:link w:val="TitleChar"/>
    <w:qFormat/>
    <w:rsid w:val="0041022D"/>
    <w:pPr>
      <w:spacing w:before="220" w:after="220"/>
      <w:jc w:val="center"/>
    </w:pPr>
  </w:style>
  <w:style w:type="character" w:customStyle="1" w:styleId="TitleChar">
    <w:name w:val="Title Char"/>
    <w:basedOn w:val="DefaultParagraphFont"/>
    <w:link w:val="Title"/>
    <w:rsid w:val="0041022D"/>
  </w:style>
  <w:style w:type="paragraph" w:customStyle="1" w:styleId="NRCINSPECTIONMANUAL">
    <w:name w:val="NRC INSPECTION MANUAL"/>
    <w:next w:val="BodyText"/>
    <w:link w:val="NRCINSPECTIONMANUALChar"/>
    <w:qFormat/>
    <w:rsid w:val="0041022D"/>
    <w:pPr>
      <w:tabs>
        <w:tab w:val="center" w:pos="4680"/>
        <w:tab w:val="right" w:pos="9360"/>
      </w:tabs>
      <w:spacing w:after="220"/>
    </w:pPr>
    <w:rPr>
      <w:rFonts w:eastAsiaTheme="minorHAnsi"/>
      <w:sz w:val="20"/>
    </w:rPr>
  </w:style>
  <w:style w:type="character" w:customStyle="1" w:styleId="NRCINSPECTIONMANUALChar">
    <w:name w:val="NRC INSPECTION MANUAL Char"/>
    <w:basedOn w:val="DefaultParagraphFont"/>
    <w:link w:val="NRCINSPECTIONMANUAL"/>
    <w:rsid w:val="0041022D"/>
    <w:rPr>
      <w:rFonts w:eastAsiaTheme="minorHAnsi"/>
      <w:sz w:val="20"/>
    </w:rPr>
  </w:style>
  <w:style w:type="paragraph" w:styleId="TOCHeading">
    <w:name w:val="TOC Heading"/>
    <w:basedOn w:val="Heading1"/>
    <w:next w:val="Normal"/>
    <w:uiPriority w:val="39"/>
    <w:unhideWhenUsed/>
    <w:qFormat/>
    <w:rsid w:val="006232A4"/>
    <w:pPr>
      <w:widowControl/>
      <w:autoSpaceDE/>
      <w:autoSpaceDN/>
      <w:adjustRightInd/>
      <w:spacing w:before="0" w:line="259" w:lineRule="auto"/>
      <w:ind w:left="0" w:firstLine="0"/>
      <w:jc w:val="center"/>
      <w:outlineLvl w:val="9"/>
    </w:pPr>
    <w:rPr>
      <w:caps w:val="0"/>
      <w:szCs w:val="32"/>
    </w:rPr>
  </w:style>
  <w:style w:type="character" w:styleId="Hyperlink">
    <w:name w:val="Hyperlink"/>
    <w:basedOn w:val="DefaultParagraphFont"/>
    <w:uiPriority w:val="99"/>
    <w:unhideWhenUsed/>
    <w:rsid w:val="006232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67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536709-b854-4f3b-a247-393f1123cff3">
      <Terms xmlns="http://schemas.microsoft.com/office/infopath/2007/PartnerControls"/>
    </lcf76f155ced4ddcb4097134ff3c332f>
    <TaxCatchAll xmlns="4ebc427b-1bcf-4856-a750-efc6bf2bcca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9EFD4C-1629-4DF7-BA1B-8912BF6C9031}">
  <ds:schemaRefs>
    <ds:schemaRef ds:uri="http://schemas.openxmlformats.org/officeDocument/2006/bibliography"/>
  </ds:schemaRefs>
</ds:datastoreItem>
</file>

<file path=customXml/itemProps2.xml><?xml version="1.0" encoding="utf-8"?>
<ds:datastoreItem xmlns:ds="http://schemas.openxmlformats.org/officeDocument/2006/customXml" ds:itemID="{038C2185-7EE0-40C6-87C1-06541D2672B5}">
  <ds:schemaRefs>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4ebc427b-1bcf-4856-a750-efc6bf2bcca6"/>
    <ds:schemaRef ds:uri="http://schemas.microsoft.com/office/infopath/2007/PartnerControls"/>
    <ds:schemaRef ds:uri="http://schemas.microsoft.com/office/2006/documentManagement/types"/>
    <ds:schemaRef ds:uri="bd536709-b854-4f3b-a247-393f1123cff3"/>
    <ds:schemaRef ds:uri="http://www.w3.org/XML/1998/namespace"/>
    <ds:schemaRef ds:uri="http://purl.org/dc/dcmitype/"/>
  </ds:schemaRefs>
</ds:datastoreItem>
</file>

<file path=customXml/itemProps3.xml><?xml version="1.0" encoding="utf-8"?>
<ds:datastoreItem xmlns:ds="http://schemas.openxmlformats.org/officeDocument/2006/customXml" ds:itemID="{A64E2A28-9AA1-4E0F-9B81-B954C6042744}">
  <ds:schemaRefs>
    <ds:schemaRef ds:uri="http://schemas.microsoft.com/sharepoint/v3/contenttype/forms"/>
  </ds:schemaRefs>
</ds:datastoreItem>
</file>

<file path=customXml/itemProps4.xml><?xml version="1.0" encoding="utf-8"?>
<ds:datastoreItem xmlns:ds="http://schemas.openxmlformats.org/officeDocument/2006/customXml" ds:itemID="{B0F9E452-D1B2-4D66-A59D-806056AF6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10</Pages>
  <Words>2468</Words>
  <Characters>15784</Characters>
  <Application>Microsoft Office Word</Application>
  <DocSecurity>2</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3</cp:revision>
  <dcterms:created xsi:type="dcterms:W3CDTF">2025-04-30T16:17:00Z</dcterms:created>
  <dcterms:modified xsi:type="dcterms:W3CDTF">2025-04-30T16:19:00Z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_dlc_DocIdItemGuid">
    <vt:lpwstr>ca30106d-6d20-4350-920c-c92ffd01002b</vt:lpwstr>
  </property>
</Properties>
</file>