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E904" w14:textId="707073A7" w:rsidR="00ED2A5D" w:rsidRDefault="005175C0" w:rsidP="005175C0">
      <w:pPr>
        <w:pStyle w:val="NRCINSPECTIONMANUAL"/>
        <w:rPr>
          <w:color w:val="000000"/>
          <w:szCs w:val="20"/>
        </w:rPr>
      </w:pPr>
      <w:r>
        <w:tab/>
      </w:r>
      <w:r w:rsidR="00ED2A5D" w:rsidRPr="005175C0">
        <w:rPr>
          <w:b/>
          <w:bCs/>
          <w:sz w:val="38"/>
          <w:szCs w:val="38"/>
        </w:rPr>
        <w:t>NRC INSPECTION</w:t>
      </w:r>
      <w:r w:rsidR="00ED2A5D" w:rsidRPr="005175C0">
        <w:rPr>
          <w:b/>
          <w:bCs/>
          <w:spacing w:val="-1"/>
          <w:sz w:val="38"/>
          <w:szCs w:val="38"/>
        </w:rPr>
        <w:t xml:space="preserve"> </w:t>
      </w:r>
      <w:r w:rsidR="00ED2A5D" w:rsidRPr="005175C0">
        <w:rPr>
          <w:b/>
          <w:bCs/>
          <w:sz w:val="38"/>
          <w:szCs w:val="38"/>
        </w:rPr>
        <w:t>MANUAL</w:t>
      </w:r>
      <w:r w:rsidR="00ED2A5D">
        <w:tab/>
      </w:r>
      <w:r w:rsidR="00ED2A5D" w:rsidRPr="00F86E1F">
        <w:rPr>
          <w:szCs w:val="20"/>
        </w:rPr>
        <w:t>NMSS/NSIR</w:t>
      </w:r>
    </w:p>
    <w:p w14:paraId="61B8E106" w14:textId="77777777" w:rsidR="005175C0" w:rsidRPr="00044BB2" w:rsidRDefault="005175C0" w:rsidP="005175C0">
      <w:pPr>
        <w:pStyle w:val="IMCIP"/>
        <w:rPr>
          <w:rFonts w:eastAsia="Arial"/>
        </w:rPr>
      </w:pPr>
      <w:r w:rsidRPr="00044BB2">
        <w:t>INSPECTION</w:t>
      </w:r>
      <w:r w:rsidRPr="00044BB2">
        <w:rPr>
          <w:spacing w:val="-12"/>
        </w:rPr>
        <w:t xml:space="preserve"> </w:t>
      </w:r>
      <w:r w:rsidRPr="00044BB2">
        <w:rPr>
          <w:spacing w:val="-1"/>
        </w:rPr>
        <w:t>PROCEDURE</w:t>
      </w:r>
      <w:r w:rsidRPr="00044BB2">
        <w:rPr>
          <w:spacing w:val="-10"/>
        </w:rPr>
        <w:t xml:space="preserve"> </w:t>
      </w:r>
      <w:r>
        <w:rPr>
          <w:spacing w:val="-10"/>
        </w:rPr>
        <w:t>81335</w:t>
      </w:r>
    </w:p>
    <w:p w14:paraId="50E2BFCB" w14:textId="6267DDEE" w:rsidR="00ED2A5D" w:rsidRDefault="00ED2A5D" w:rsidP="005175C0">
      <w:pPr>
        <w:pStyle w:val="Title"/>
      </w:pPr>
      <w:r w:rsidRPr="003B7423">
        <w:t xml:space="preserve">PHYSICAL PROTECTION OF </w:t>
      </w:r>
      <w:r w:rsidR="00D414A9">
        <w:t xml:space="preserve">SHIPMENTS OF </w:t>
      </w:r>
      <w:r w:rsidRPr="003B7423">
        <w:t>SPECIAL NUCLEAR MATERIAL</w:t>
      </w:r>
      <w:r w:rsidR="005175C0">
        <w:br/>
      </w:r>
      <w:r w:rsidRPr="003B7423">
        <w:t>OF MODERATE STRATEGIC SIGNIFICANCE</w:t>
      </w:r>
    </w:p>
    <w:p w14:paraId="3CACCF83" w14:textId="5EB6CE6A" w:rsidR="00F86791" w:rsidRDefault="00ED2A5D" w:rsidP="004A60AD">
      <w:pPr>
        <w:pStyle w:val="EffectiveDate"/>
      </w:pPr>
      <w:r w:rsidRPr="004A60AD">
        <w:t xml:space="preserve">Effective Date: </w:t>
      </w:r>
      <w:r w:rsidR="00CF40BC">
        <w:t>February 7, 2024</w:t>
      </w:r>
    </w:p>
    <w:p w14:paraId="1BDF4A10" w14:textId="693045B4" w:rsidR="00B35205" w:rsidRDefault="00B35205" w:rsidP="003214AD">
      <w:pPr>
        <w:pStyle w:val="Applicability"/>
      </w:pPr>
      <w:r>
        <w:t>PROGRAM APPLICABILITY:</w:t>
      </w:r>
      <w:r w:rsidR="006D492B">
        <w:tab/>
      </w:r>
      <w:r>
        <w:t>IMC</w:t>
      </w:r>
      <w:r w:rsidR="001E19F0">
        <w:t>s</w:t>
      </w:r>
      <w:r>
        <w:t xml:space="preserve"> 2600 and 2681</w:t>
      </w:r>
    </w:p>
    <w:p w14:paraId="331B7DF0" w14:textId="15C1A456" w:rsidR="00B35205" w:rsidRDefault="00A05491" w:rsidP="006D492B">
      <w:pPr>
        <w:pStyle w:val="Heading1"/>
      </w:pPr>
      <w:bookmarkStart w:id="0" w:name="_Toc158122699"/>
      <w:r>
        <w:t>81335</w:t>
      </w:r>
      <w:r w:rsidR="003E0287">
        <w:t>-01</w:t>
      </w:r>
      <w:r w:rsidR="003E0287">
        <w:tab/>
        <w:t>INSPECTION OBJECTIVES</w:t>
      </w:r>
      <w:bookmarkEnd w:id="0"/>
    </w:p>
    <w:p w14:paraId="20BC21D4" w14:textId="2EE05D25" w:rsidR="003E0287" w:rsidRDefault="00810807" w:rsidP="00810807">
      <w:pPr>
        <w:pStyle w:val="BodyText2"/>
        <w:rPr>
          <w:spacing w:val="-1"/>
        </w:rPr>
      </w:pPr>
      <w:r>
        <w:t>01.01</w:t>
      </w:r>
      <w:r>
        <w:tab/>
      </w:r>
      <w:r w:rsidR="00344F8B">
        <w:t>To verify and assess the licensee</w:t>
      </w:r>
      <w:r w:rsidR="00563EBB" w:rsidRPr="00511F25">
        <w:t>’s</w:t>
      </w:r>
      <w:r w:rsidR="00344F8B">
        <w:t xml:space="preserve"> implementation of its physical protection system </w:t>
      </w:r>
      <w:r w:rsidR="00460C7B">
        <w:t xml:space="preserve">for </w:t>
      </w:r>
      <w:r w:rsidR="00460C7B">
        <w:rPr>
          <w:spacing w:val="-1"/>
        </w:rPr>
        <w:t>in-transit</w:t>
      </w:r>
      <w:r w:rsidR="007A4CDA">
        <w:rPr>
          <w:spacing w:val="-1"/>
        </w:rPr>
        <w:t xml:space="preserve"> protection of Special Nuclear Material </w:t>
      </w:r>
      <w:r w:rsidR="00475D8A">
        <w:rPr>
          <w:spacing w:val="-1"/>
        </w:rPr>
        <w:t>of Moderate Strategic Significance</w:t>
      </w:r>
      <w:r w:rsidR="00AF4F57">
        <w:rPr>
          <w:rStyle w:val="FootnoteReference"/>
          <w:spacing w:val="-1"/>
        </w:rPr>
        <w:footnoteReference w:id="2"/>
      </w:r>
      <w:r w:rsidR="00475D8A">
        <w:rPr>
          <w:spacing w:val="-1"/>
        </w:rPr>
        <w:t xml:space="preserve"> (SNM-MSS)</w:t>
      </w:r>
      <w:r w:rsidR="002B0CD1">
        <w:rPr>
          <w:spacing w:val="-1"/>
        </w:rPr>
        <w:t>.</w:t>
      </w:r>
    </w:p>
    <w:p w14:paraId="77F4EE16" w14:textId="5C45A309" w:rsidR="002B0CD1" w:rsidRDefault="00810807" w:rsidP="00810807">
      <w:pPr>
        <w:pStyle w:val="BodyText2"/>
        <w:rPr>
          <w:spacing w:val="-1"/>
        </w:rPr>
      </w:pPr>
      <w:r>
        <w:t>01.02</w:t>
      </w:r>
      <w:r>
        <w:tab/>
      </w:r>
      <w:r w:rsidR="002B0CD1">
        <w:t>To veri</w:t>
      </w:r>
      <w:r w:rsidR="006A56A1">
        <w:t xml:space="preserve">fy the licensee’s implementation of its physical protection program in </w:t>
      </w:r>
      <w:r w:rsidR="006A56A1">
        <w:rPr>
          <w:spacing w:val="-1"/>
        </w:rPr>
        <w:t>accordance w</w:t>
      </w:r>
      <w:r w:rsidR="00647827">
        <w:rPr>
          <w:spacing w:val="-1"/>
        </w:rPr>
        <w:t xml:space="preserve">ith U.S. Nuclear Regulatory Commission (NRC) </w:t>
      </w:r>
      <w:r w:rsidR="00D13A09">
        <w:rPr>
          <w:spacing w:val="-1"/>
        </w:rPr>
        <w:t>requirements, NRC</w:t>
      </w:r>
      <w:r w:rsidR="00912589">
        <w:rPr>
          <w:spacing w:val="-1"/>
        </w:rPr>
        <w:t xml:space="preserve"> </w:t>
      </w:r>
      <w:r w:rsidR="00D13A09">
        <w:rPr>
          <w:spacing w:val="-1"/>
        </w:rPr>
        <w:t>approved security plans, and any additional NRC site</w:t>
      </w:r>
      <w:r w:rsidR="00F95538">
        <w:rPr>
          <w:spacing w:val="-1"/>
        </w:rPr>
        <w:t xml:space="preserve">-specific </w:t>
      </w:r>
      <w:r w:rsidR="00486D86">
        <w:rPr>
          <w:spacing w:val="-1"/>
        </w:rPr>
        <w:t>security measures</w:t>
      </w:r>
      <w:r w:rsidR="002A6150">
        <w:rPr>
          <w:spacing w:val="-1"/>
        </w:rPr>
        <w:t>.</w:t>
      </w:r>
    </w:p>
    <w:p w14:paraId="59B45579" w14:textId="7DC64D1B" w:rsidR="000161A1" w:rsidRDefault="000120CE" w:rsidP="006D492B">
      <w:pPr>
        <w:pStyle w:val="Heading1"/>
      </w:pPr>
      <w:bookmarkStart w:id="1" w:name="_Toc158122700"/>
      <w:r>
        <w:t>81335-02</w:t>
      </w:r>
      <w:r w:rsidR="00077E87">
        <w:tab/>
      </w:r>
      <w:r w:rsidR="00E71342">
        <w:t>INSPECTION GUIDANCE</w:t>
      </w:r>
      <w:bookmarkEnd w:id="1"/>
    </w:p>
    <w:p w14:paraId="5245D851" w14:textId="2245D940" w:rsidR="002C2EE9" w:rsidRPr="006719F7" w:rsidRDefault="002C2EE9" w:rsidP="00810807">
      <w:pPr>
        <w:pStyle w:val="BodyText"/>
        <w:rPr>
          <w:u w:val="single"/>
        </w:rPr>
      </w:pPr>
      <w:r w:rsidRPr="006719F7">
        <w:rPr>
          <w:u w:val="single"/>
        </w:rPr>
        <w:t>General Guidance</w:t>
      </w:r>
    </w:p>
    <w:p w14:paraId="786C75DE" w14:textId="6A4D42E6" w:rsidR="002C2EE9" w:rsidRDefault="002C2EE9" w:rsidP="006719F7">
      <w:pPr>
        <w:pStyle w:val="BodyText"/>
      </w:pPr>
      <w:r w:rsidRPr="00053105">
        <w:t>In preparing to complete this procedure, the inspector(s) will need to familiarize themselves with relevant documentation which may include, but is not limited to the licensee’s security plan, safety evaluation report (SER), and any site-specific procedures. Specifically, the inspector(s) should apply additional attention to the NRC</w:t>
      </w:r>
      <w:r w:rsidR="000D3BB8">
        <w:t>-</w:t>
      </w:r>
      <w:r w:rsidRPr="00053105">
        <w:t xml:space="preserve">approved SER and security plan. The SER and security plan may contain additional </w:t>
      </w:r>
      <w:r>
        <w:t xml:space="preserve">site-specific </w:t>
      </w:r>
      <w:r w:rsidRPr="00053105">
        <w:t>security measures that were added as license condition</w:t>
      </w:r>
      <w:r w:rsidR="0089390A">
        <w:t>s</w:t>
      </w:r>
      <w:r w:rsidRPr="00053105">
        <w:t xml:space="preserve"> to the licensee. </w:t>
      </w:r>
      <w:r>
        <w:t>Site-specific security measures</w:t>
      </w:r>
      <w:r w:rsidRPr="00053105">
        <w:t xml:space="preserve"> that are added into the licensee’s license are based on the type and quantity of SNM that is possessed by the licensee. Section</w:t>
      </w:r>
      <w:r w:rsidR="00E30394">
        <w:t> </w:t>
      </w:r>
      <w:r w:rsidR="00E632AC" w:rsidRPr="006149CB">
        <w:t>03</w:t>
      </w:r>
      <w:r w:rsidRPr="006149CB">
        <w:t>.0</w:t>
      </w:r>
      <w:r w:rsidRPr="00F907E9">
        <w:t>7</w:t>
      </w:r>
      <w:r w:rsidRPr="00053105">
        <w:t xml:space="preserve"> provides examples of </w:t>
      </w:r>
      <w:r>
        <w:t>site-specific security measures</w:t>
      </w:r>
      <w:r w:rsidRPr="00053105">
        <w:t xml:space="preserve"> that might be added as a condition to the licensee’s license. The inspector(s) will need to review the licensee’s SER and security plan to identify if any </w:t>
      </w:r>
      <w:r>
        <w:t>site-specific security measures</w:t>
      </w:r>
      <w:r w:rsidRPr="00053105">
        <w:t xml:space="preserve"> were assigned to the licensee.</w:t>
      </w:r>
    </w:p>
    <w:p w14:paraId="2B3DE7C8" w14:textId="77777777" w:rsidR="005A19FE" w:rsidRDefault="005A19FE" w:rsidP="005A19FE">
      <w:pPr>
        <w:pStyle w:val="BodyText"/>
      </w:pPr>
      <w:bookmarkStart w:id="2" w:name="_Hlk145404687"/>
      <w:r>
        <w:t>The inspector(s) will conduct tests of security equipment as necessary to validate the effectiveness of the security system and to ensure compliance with the requirements. The inspector(s) may request that a test be conducted as long as it will not reduce facility safety or security, result in a violation of requirements or industry standards, or jeopardize the safety of the inspector(s) or licensee employees. Prior to conducting a test, the inspector(s) must request the test through licensee management and arrange to have a licensee employee conduct the test while the inspector(s) observes.</w:t>
      </w:r>
    </w:p>
    <w:bookmarkEnd w:id="2"/>
    <w:p w14:paraId="24AFA6D5" w14:textId="77777777" w:rsidR="005A19FE" w:rsidRPr="00B670A5" w:rsidRDefault="005A19FE" w:rsidP="005A19FE">
      <w:pPr>
        <w:pStyle w:val="BodyText"/>
      </w:pPr>
      <w:r>
        <w:lastRenderedPageBreak/>
        <w:t>Listed under some of the inspection requirements, the inspector(s) will find guidance on how to inspect the requirement. The guidance does not represent regulatory requirements but is intended to assist the inspector(s) in measuring the licensee’s performance.</w:t>
      </w:r>
    </w:p>
    <w:p w14:paraId="4DC9338F" w14:textId="402CE10E" w:rsidR="00E71342" w:rsidRDefault="00E71342" w:rsidP="006D492B">
      <w:pPr>
        <w:pStyle w:val="Heading1"/>
      </w:pPr>
      <w:bookmarkStart w:id="3" w:name="_Toc158122701"/>
      <w:r>
        <w:t>81335-03</w:t>
      </w:r>
      <w:r>
        <w:tab/>
      </w:r>
      <w:r w:rsidR="006719F7">
        <w:t>I</w:t>
      </w:r>
      <w:r>
        <w:t>NSPECTION REQUIREMENTS</w:t>
      </w:r>
      <w:bookmarkEnd w:id="3"/>
    </w:p>
    <w:p w14:paraId="36339F4A" w14:textId="15339906" w:rsidR="00E71342" w:rsidRDefault="00D924DF" w:rsidP="006719F7">
      <w:pPr>
        <w:pStyle w:val="Heading2"/>
      </w:pPr>
      <w:bookmarkStart w:id="4" w:name="_Toc158122702"/>
      <w:r w:rsidRPr="00511F25">
        <w:t>03</w:t>
      </w:r>
      <w:r w:rsidR="00E71342" w:rsidRPr="00511F25">
        <w:t>.</w:t>
      </w:r>
      <w:r w:rsidR="00E71342">
        <w:t>01</w:t>
      </w:r>
      <w:r w:rsidR="00FC7E4E">
        <w:tab/>
      </w:r>
      <w:r w:rsidR="00FC7E4E" w:rsidRPr="00B5445C">
        <w:rPr>
          <w:u w:val="single"/>
        </w:rPr>
        <w:t>Prohibitions</w:t>
      </w:r>
      <w:bookmarkEnd w:id="4"/>
    </w:p>
    <w:p w14:paraId="47C35820" w14:textId="6705BBAC" w:rsidR="005A5DD7" w:rsidRDefault="00AE20CF" w:rsidP="00F46D1E">
      <w:pPr>
        <w:pStyle w:val="BodyText"/>
        <w:numPr>
          <w:ilvl w:val="0"/>
          <w:numId w:val="1"/>
        </w:numPr>
      </w:pPr>
      <w:r>
        <w:t>Verify</w:t>
      </w:r>
      <w:r w:rsidR="009A49D2">
        <w:t xml:space="preserve"> that no SNM is transported in passenger aircraft i</w:t>
      </w:r>
      <w:r w:rsidR="00F45B76">
        <w:t>f it exceeds: (1) 20 grams</w:t>
      </w:r>
      <w:r w:rsidR="00792CD3">
        <w:t xml:space="preserve"> (g)</w:t>
      </w:r>
      <w:r w:rsidR="00F45B76">
        <w:t xml:space="preserve"> or 20</w:t>
      </w:r>
      <w:r w:rsidR="006C72CD">
        <w:t> </w:t>
      </w:r>
      <w:r w:rsidR="00F45B76">
        <w:t>curies of pluto</w:t>
      </w:r>
      <w:r w:rsidR="00BF7FBC">
        <w:t>nium or uranium-233; or (2) 350 g of high enriched uranium-235</w:t>
      </w:r>
      <w:r w:rsidR="008F5290">
        <w:t xml:space="preserve"> </w:t>
      </w:r>
      <w:r w:rsidR="005A5DD7">
        <w:t>(10</w:t>
      </w:r>
      <w:r w:rsidR="008F5290">
        <w:t> </w:t>
      </w:r>
      <w:r w:rsidR="005A5DD7">
        <w:t>CFR 73.2</w:t>
      </w:r>
      <w:r w:rsidR="0052353B">
        <w:t>4(a)).</w:t>
      </w:r>
    </w:p>
    <w:p w14:paraId="2ED02BFF" w14:textId="74C8358F" w:rsidR="0052353B" w:rsidRDefault="0052353B" w:rsidP="00626BC4">
      <w:pPr>
        <w:pStyle w:val="SpecificGuidance"/>
      </w:pPr>
      <w:r>
        <w:t>Specific Guidance</w:t>
      </w:r>
    </w:p>
    <w:p w14:paraId="70356C08" w14:textId="3AB29CE9" w:rsidR="00D50EA1" w:rsidRDefault="00625F80" w:rsidP="005A5DD7">
      <w:pPr>
        <w:pStyle w:val="ListParagraph"/>
      </w:pPr>
      <w:r>
        <w:t>No inspection guidance</w:t>
      </w:r>
      <w:r w:rsidR="00FE754B">
        <w:t>.</w:t>
      </w:r>
    </w:p>
    <w:p w14:paraId="5BB54913" w14:textId="2352FC7A" w:rsidR="00FE754B" w:rsidRDefault="00684D63" w:rsidP="00F46D1E">
      <w:pPr>
        <w:pStyle w:val="BodyText"/>
        <w:numPr>
          <w:ilvl w:val="0"/>
          <w:numId w:val="1"/>
        </w:numPr>
      </w:pPr>
      <w:r>
        <w:t>Verify that</w:t>
      </w:r>
      <w:r w:rsidR="00114BF6">
        <w:t xml:space="preserve">, unless otherwise authorized by the Commission, the licensee is not </w:t>
      </w:r>
      <w:r w:rsidR="00114BF6" w:rsidRPr="008A7525">
        <w:t>transporting more than one shipment at the same time if the combin</w:t>
      </w:r>
      <w:r w:rsidR="004F49BF" w:rsidRPr="008A7525">
        <w:t>ed quantities of these</w:t>
      </w:r>
      <w:r w:rsidR="004F49BF">
        <w:t xml:space="preserve"> shipments could equal or exceed formula quantities, unless:</w:t>
      </w:r>
    </w:p>
    <w:p w14:paraId="57A8C2D4" w14:textId="0E896D05" w:rsidR="004F49BF" w:rsidRDefault="001670EE" w:rsidP="00F46D1E">
      <w:pPr>
        <w:pStyle w:val="BodyText"/>
        <w:numPr>
          <w:ilvl w:val="1"/>
          <w:numId w:val="1"/>
        </w:numPr>
      </w:pPr>
      <w:r>
        <w:t xml:space="preserve">The licensee </w:t>
      </w:r>
      <w:r w:rsidR="00E03592">
        <w:t>confirms and logs the arrival at the final destination</w:t>
      </w:r>
      <w:r w:rsidR="00587D6E">
        <w:t xml:space="preserve"> of each individual shipment, and schedules shipments to assure that the total quantity of the two or more shipments in transit at the same time do not equal or exceed formula quan</w:t>
      </w:r>
      <w:r w:rsidR="00530A41">
        <w:t>tities (10 CFR 73.24(b)(1)</w:t>
      </w:r>
      <w:r w:rsidR="000D3BB8">
        <w:t>)</w:t>
      </w:r>
      <w:r w:rsidR="00530A41">
        <w:t>; or</w:t>
      </w:r>
    </w:p>
    <w:p w14:paraId="6E1D4FE1" w14:textId="45FB28BD" w:rsidR="00351171" w:rsidRDefault="00351171" w:rsidP="00F46D1E">
      <w:pPr>
        <w:pStyle w:val="BodyText"/>
        <w:numPr>
          <w:ilvl w:val="1"/>
          <w:numId w:val="1"/>
        </w:numPr>
      </w:pPr>
      <w:r>
        <w:t>Physical protection measures are provided for some shipments such that the total q</w:t>
      </w:r>
      <w:r w:rsidR="00C866BE">
        <w:t>uantity of the remaining, unprotected shipments does not equal or exceed formula quantities</w:t>
      </w:r>
      <w:r w:rsidR="00A32008">
        <w:t xml:space="preserve"> (10 CFR 73.24(b)(2)).</w:t>
      </w:r>
    </w:p>
    <w:p w14:paraId="6A91513C" w14:textId="7782279C" w:rsidR="00952669" w:rsidRPr="00BD0674" w:rsidRDefault="00D924DF" w:rsidP="006719F7">
      <w:pPr>
        <w:pStyle w:val="Heading2"/>
        <w:rPr>
          <w:u w:val="single"/>
        </w:rPr>
      </w:pPr>
      <w:bookmarkStart w:id="5" w:name="_Toc158122703"/>
      <w:r w:rsidRPr="00511F25">
        <w:t>03</w:t>
      </w:r>
      <w:r w:rsidR="00952669">
        <w:t>.02</w:t>
      </w:r>
      <w:r w:rsidR="007C63BB">
        <w:tab/>
      </w:r>
      <w:r w:rsidR="00BD0674">
        <w:rPr>
          <w:u w:val="single"/>
        </w:rPr>
        <w:t>General Performance Objectives</w:t>
      </w:r>
      <w:r w:rsidR="00BD0674">
        <w:rPr>
          <w:rStyle w:val="FootnoteReference"/>
          <w:u w:val="single"/>
        </w:rPr>
        <w:footnoteReference w:id="3"/>
      </w:r>
      <w:bookmarkEnd w:id="5"/>
    </w:p>
    <w:p w14:paraId="7DBC2A37" w14:textId="4AE84E18" w:rsidR="000161A1" w:rsidRDefault="00A27A7A" w:rsidP="00F46D1E">
      <w:pPr>
        <w:pStyle w:val="BodyText"/>
        <w:numPr>
          <w:ilvl w:val="0"/>
          <w:numId w:val="2"/>
        </w:numPr>
      </w:pPr>
      <w:r>
        <w:t>Verify the licensee</w:t>
      </w:r>
      <w:r w:rsidR="00861D88">
        <w:t xml:space="preserve"> has established and maintain</w:t>
      </w:r>
      <w:r w:rsidR="00A508BC">
        <w:t>s</w:t>
      </w:r>
      <w:r w:rsidR="00861D88">
        <w:t xml:space="preserve"> a physical protection system that will:</w:t>
      </w:r>
    </w:p>
    <w:p w14:paraId="498CBC06" w14:textId="6022C7CD" w:rsidR="00722697" w:rsidRDefault="00964263" w:rsidP="00F46D1E">
      <w:pPr>
        <w:pStyle w:val="BodyText"/>
        <w:numPr>
          <w:ilvl w:val="1"/>
          <w:numId w:val="8"/>
        </w:numPr>
      </w:pPr>
      <w:r>
        <w:t>Mi</w:t>
      </w:r>
      <w:r w:rsidR="00F82D2A">
        <w:t>nimize the possibilities of unauthorized removal of SNM</w:t>
      </w:r>
      <w:r w:rsidR="00722697">
        <w:t>; and</w:t>
      </w:r>
      <w:r w:rsidR="006057A2">
        <w:t xml:space="preserve"> </w:t>
      </w:r>
      <w:r w:rsidR="006057A2">
        <w:br/>
      </w:r>
      <w:r w:rsidR="00722697">
        <w:t>(10 CFR 73.67(a)(1)(</w:t>
      </w:r>
      <w:proofErr w:type="spellStart"/>
      <w:r w:rsidR="00722697">
        <w:t>i</w:t>
      </w:r>
      <w:proofErr w:type="spellEnd"/>
      <w:r w:rsidR="00722697">
        <w:t>))</w:t>
      </w:r>
    </w:p>
    <w:p w14:paraId="7A8F2A3B" w14:textId="2865D384" w:rsidR="007C64C7" w:rsidRDefault="007C64C7" w:rsidP="00F46D1E">
      <w:pPr>
        <w:pStyle w:val="BodyText"/>
        <w:numPr>
          <w:ilvl w:val="1"/>
          <w:numId w:val="8"/>
        </w:numPr>
      </w:pPr>
      <w:r>
        <w:t>Facilitate the location and recovery of the missing SNM (10 CFR 73.67</w:t>
      </w:r>
      <w:r w:rsidR="00E0169E">
        <w:t>(a)(1)(ii)).</w:t>
      </w:r>
    </w:p>
    <w:p w14:paraId="3F34AD9F" w14:textId="5568063C" w:rsidR="00C05B62" w:rsidRPr="00C05B62" w:rsidRDefault="008473FF" w:rsidP="004A2B2F">
      <w:pPr>
        <w:pStyle w:val="SpecificGuidance"/>
      </w:pPr>
      <w:r>
        <w:t>Specific Guidance</w:t>
      </w:r>
    </w:p>
    <w:p w14:paraId="13C16A02" w14:textId="52FC7E3E" w:rsidR="00E0169E" w:rsidRDefault="00EA1CA2" w:rsidP="00C05B62">
      <w:pPr>
        <w:ind w:left="720"/>
      </w:pPr>
      <w:r>
        <w:t>No inspection guidance.</w:t>
      </w:r>
    </w:p>
    <w:p w14:paraId="7D192DD6" w14:textId="286AF8D7" w:rsidR="00905877" w:rsidRDefault="00D924DF" w:rsidP="006719F7">
      <w:pPr>
        <w:pStyle w:val="Heading2"/>
      </w:pPr>
      <w:bookmarkStart w:id="6" w:name="_Toc158122704"/>
      <w:r w:rsidRPr="00EA2657">
        <w:t>03</w:t>
      </w:r>
      <w:r w:rsidR="00905877">
        <w:t>.03</w:t>
      </w:r>
      <w:r w:rsidR="0056624B">
        <w:tab/>
      </w:r>
      <w:r w:rsidR="00872FF6">
        <w:rPr>
          <w:u w:val="single"/>
        </w:rPr>
        <w:t>Arrangements for Physical Protection</w:t>
      </w:r>
      <w:bookmarkEnd w:id="6"/>
    </w:p>
    <w:p w14:paraId="4E6ECABE" w14:textId="65702C8B" w:rsidR="00872FF6" w:rsidRDefault="00872FF6" w:rsidP="00F46D1E">
      <w:pPr>
        <w:pStyle w:val="BodyText"/>
        <w:numPr>
          <w:ilvl w:val="0"/>
          <w:numId w:val="3"/>
        </w:numPr>
      </w:pPr>
      <w:r>
        <w:t xml:space="preserve">Verify the licensee, whether shipper or </w:t>
      </w:r>
      <w:r w:rsidR="007D4F5C">
        <w:t>receiver, has arranged for physical protection of the shipment</w:t>
      </w:r>
      <w:r w:rsidR="001A3BF5">
        <w:t xml:space="preserve"> (see </w:t>
      </w:r>
      <w:r w:rsidR="00FB79D8">
        <w:t>s</w:t>
      </w:r>
      <w:r w:rsidR="001A3BF5">
        <w:t xml:space="preserve">ection </w:t>
      </w:r>
      <w:r w:rsidR="00FB79D8" w:rsidRPr="00EA2657">
        <w:t>0</w:t>
      </w:r>
      <w:r w:rsidR="00B5445C" w:rsidRPr="00EA2657">
        <w:t>3</w:t>
      </w:r>
      <w:r w:rsidR="001A3BF5" w:rsidRPr="00EA2657">
        <w:t>.</w:t>
      </w:r>
      <w:r w:rsidR="001A3BF5">
        <w:t>04</w:t>
      </w:r>
      <w:r w:rsidR="004D5ADF">
        <w:t>c below) (10 CFR 73.</w:t>
      </w:r>
      <w:r w:rsidR="00A37B7B">
        <w:t>67(</w:t>
      </w:r>
      <w:r w:rsidR="009A59F3">
        <w:t>e)(1)(</w:t>
      </w:r>
      <w:r w:rsidR="004F0678">
        <w:t xml:space="preserve">iv) and </w:t>
      </w:r>
      <w:r w:rsidR="007B4E1B">
        <w:br/>
      </w:r>
      <w:r w:rsidR="004F0678">
        <w:t>10 CFR 73.67(e)(2)(iii)).</w:t>
      </w:r>
    </w:p>
    <w:p w14:paraId="346303F0" w14:textId="428C42B0" w:rsidR="00675987" w:rsidRPr="000F74ED" w:rsidRDefault="00044DE0" w:rsidP="004A2B2F">
      <w:pPr>
        <w:pStyle w:val="SpecificGuidance"/>
      </w:pPr>
      <w:r>
        <w:lastRenderedPageBreak/>
        <w:t>Specific Guidance</w:t>
      </w:r>
    </w:p>
    <w:p w14:paraId="154DA2C2" w14:textId="0E1BED85" w:rsidR="00F27AEB" w:rsidRDefault="00CF365A" w:rsidP="004F0678">
      <w:pPr>
        <w:pStyle w:val="ListParagraph"/>
      </w:pPr>
      <w:r>
        <w:t xml:space="preserve">The licensee </w:t>
      </w:r>
      <w:r w:rsidR="005D0FE3">
        <w:t>that is shipping the material is responsible for arranging for the physical protection of the material in transit</w:t>
      </w:r>
      <w:r w:rsidR="00643F93">
        <w:t xml:space="preserve"> if the receiver is not a licensee. If the shipper and receiver are</w:t>
      </w:r>
      <w:r w:rsidR="007D32A6">
        <w:t xml:space="preserve"> </w:t>
      </w:r>
      <w:r w:rsidR="007D32A6" w:rsidRPr="00EA2657">
        <w:t>both</w:t>
      </w:r>
      <w:r w:rsidR="00643F93">
        <w:t xml:space="preserve"> lice</w:t>
      </w:r>
      <w:r w:rsidR="001513AD">
        <w:t xml:space="preserve">nsees, the shipper may allow the receiver to accept this responsibility wholly or in part, provided there is appropriate documentation specifying their </w:t>
      </w:r>
      <w:r w:rsidR="00525463">
        <w:t xml:space="preserve">respective responsibilities. Where no such documentation exits, </w:t>
      </w:r>
      <w:r w:rsidR="0093397E" w:rsidRPr="00EA2657">
        <w:rPr>
          <w:color w:val="000000" w:themeColor="text1"/>
        </w:rPr>
        <w:t xml:space="preserve">if </w:t>
      </w:r>
      <w:r w:rsidR="00525463">
        <w:t xml:space="preserve">both the shipper and receiver </w:t>
      </w:r>
      <w:r w:rsidR="00AC49FE">
        <w:t xml:space="preserve">are </w:t>
      </w:r>
      <w:r w:rsidR="0093397E">
        <w:t xml:space="preserve">licensees, they are </w:t>
      </w:r>
      <w:r w:rsidR="00AC49FE">
        <w:t>held jointly responsible</w:t>
      </w:r>
      <w:r w:rsidR="009966F1">
        <w:t xml:space="preserve"> regardless of “shipper, received label</w:t>
      </w:r>
      <w:r w:rsidR="00E625BF">
        <w:t>.</w:t>
      </w:r>
      <w:r w:rsidR="009966F1">
        <w:t>”</w:t>
      </w:r>
    </w:p>
    <w:p w14:paraId="0DA11383" w14:textId="2AD9108C" w:rsidR="00044DE0" w:rsidRDefault="00D924DF" w:rsidP="00DC391E">
      <w:pPr>
        <w:pStyle w:val="Heading2"/>
      </w:pPr>
      <w:bookmarkStart w:id="7" w:name="_Toc158122705"/>
      <w:r w:rsidRPr="00EA2657">
        <w:t>03</w:t>
      </w:r>
      <w:r w:rsidR="00DC219F">
        <w:t>.04</w:t>
      </w:r>
      <w:r w:rsidR="00AA54F6">
        <w:tab/>
      </w:r>
      <w:r w:rsidR="00DC219F">
        <w:rPr>
          <w:u w:val="single"/>
        </w:rPr>
        <w:t>Specific Requirements</w:t>
      </w:r>
      <w:bookmarkEnd w:id="7"/>
    </w:p>
    <w:p w14:paraId="57EF50C9" w14:textId="486643E8" w:rsidR="00502777" w:rsidRDefault="00B13B09" w:rsidP="00F46D1E">
      <w:pPr>
        <w:pStyle w:val="BodyText"/>
        <w:numPr>
          <w:ilvl w:val="0"/>
          <w:numId w:val="4"/>
        </w:numPr>
      </w:pPr>
      <w:r>
        <w:t>I</w:t>
      </w:r>
      <w:r w:rsidR="00D637EF">
        <w:t>f the licensee is the shipper</w:t>
      </w:r>
      <w:r w:rsidR="005D2AD7">
        <w:t>:</w:t>
      </w:r>
    </w:p>
    <w:p w14:paraId="5E928FEF" w14:textId="1931B6C2" w:rsidR="00B13B09" w:rsidRDefault="005D2AD7" w:rsidP="00F46D1E">
      <w:pPr>
        <w:pStyle w:val="BodyText"/>
        <w:numPr>
          <w:ilvl w:val="1"/>
          <w:numId w:val="9"/>
        </w:numPr>
      </w:pPr>
      <w:r>
        <w:t xml:space="preserve">Verify the licensee has received confirmation from the receiver that they will be prepared to accept the shipment at the planned time and location and </w:t>
      </w:r>
      <w:r w:rsidR="002C5DCF">
        <w:t>the mode of transport is acknowledged (</w:t>
      </w:r>
      <w:r w:rsidR="003D0997">
        <w:t>10 CFR 73.</w:t>
      </w:r>
      <w:r w:rsidR="006A69CC">
        <w:t>67(e)(1)(ii)).</w:t>
      </w:r>
    </w:p>
    <w:p w14:paraId="6B644BF1" w14:textId="5AB2F655" w:rsidR="00FD0F64" w:rsidRDefault="00FD0F64" w:rsidP="00154FB2">
      <w:pPr>
        <w:pStyle w:val="SpecificGuidance2"/>
      </w:pPr>
      <w:r>
        <w:t>Specific Guidance</w:t>
      </w:r>
    </w:p>
    <w:p w14:paraId="082E56B9" w14:textId="18494B62" w:rsidR="00FD0F64" w:rsidRPr="00FD0F64" w:rsidRDefault="00FD0F64" w:rsidP="00154FB2">
      <w:pPr>
        <w:pStyle w:val="BodyText4"/>
      </w:pPr>
      <w:r>
        <w:t>No inspection guidance.</w:t>
      </w:r>
    </w:p>
    <w:p w14:paraId="2794AADC" w14:textId="3E758120" w:rsidR="00675CE1" w:rsidRDefault="00675CE1" w:rsidP="00F46D1E">
      <w:pPr>
        <w:pStyle w:val="BodyText"/>
        <w:numPr>
          <w:ilvl w:val="1"/>
          <w:numId w:val="9"/>
        </w:numPr>
      </w:pPr>
      <w:r>
        <w:t>Verify</w:t>
      </w:r>
      <w:r w:rsidR="000A190E">
        <w:t xml:space="preserve"> the licensee checks the integrity of the</w:t>
      </w:r>
      <w:r w:rsidR="004F0E6C">
        <w:t xml:space="preserve"> container and</w:t>
      </w:r>
      <w:r w:rsidR="000A190E">
        <w:t xml:space="preserve"> locks </w:t>
      </w:r>
      <w:r w:rsidR="004F0E6C">
        <w:t>or</w:t>
      </w:r>
      <w:r w:rsidR="000A190E">
        <w:t xml:space="preserve"> seals prior to shi</w:t>
      </w:r>
      <w:r w:rsidR="008A7684">
        <w:t>pment</w:t>
      </w:r>
      <w:r w:rsidR="008A7684">
        <w:rPr>
          <w:rStyle w:val="FootnoteReference"/>
        </w:rPr>
        <w:footnoteReference w:id="4"/>
      </w:r>
      <w:r w:rsidR="009025C7">
        <w:t xml:space="preserve"> (10 CFR</w:t>
      </w:r>
      <w:r w:rsidR="00B7778F">
        <w:t xml:space="preserve"> 73.67(e)(</w:t>
      </w:r>
      <w:r w:rsidR="005E202A">
        <w:t>1</w:t>
      </w:r>
      <w:r w:rsidR="00B7778F">
        <w:t>)(ii</w:t>
      </w:r>
      <w:r w:rsidR="007D285A">
        <w:t>i)).</w:t>
      </w:r>
    </w:p>
    <w:p w14:paraId="767D56EE" w14:textId="6BAA6EE4" w:rsidR="005E202A" w:rsidRDefault="005E202A" w:rsidP="00154FB2">
      <w:pPr>
        <w:pStyle w:val="SpecificGuidance2"/>
      </w:pPr>
      <w:r>
        <w:t>Specific Guidance</w:t>
      </w:r>
    </w:p>
    <w:p w14:paraId="1EC8807A" w14:textId="417EA27B" w:rsidR="000161A1" w:rsidRDefault="002D1825" w:rsidP="006C72CD">
      <w:pPr>
        <w:pStyle w:val="BodyText4"/>
      </w:pPr>
      <w:r>
        <w:t>For export shipments, verify that the licensee is checking the integrity of</w:t>
      </w:r>
      <w:r w:rsidR="00C2486D">
        <w:t xml:space="preserve"> the container and locks or seals of the shipment at the point of departure from the United States. If there are no shipments to observe, ask the licensee to conduct a demonstration as to how they would check the integrity of the seals prior to shipment.</w:t>
      </w:r>
    </w:p>
    <w:p w14:paraId="5EF7BC94" w14:textId="29E37542" w:rsidR="00C565E5" w:rsidRDefault="007F11F8" w:rsidP="00F46D1E">
      <w:pPr>
        <w:pStyle w:val="BodyText"/>
        <w:numPr>
          <w:ilvl w:val="0"/>
          <w:numId w:val="4"/>
        </w:numPr>
      </w:pPr>
      <w:r>
        <w:t>If the licensee is the receiver:</w:t>
      </w:r>
    </w:p>
    <w:p w14:paraId="110791A3" w14:textId="28409D51" w:rsidR="007F11F8" w:rsidRDefault="00633804" w:rsidP="00F46D1E">
      <w:pPr>
        <w:pStyle w:val="BodyText"/>
        <w:numPr>
          <w:ilvl w:val="1"/>
          <w:numId w:val="10"/>
        </w:numPr>
      </w:pPr>
      <w:r>
        <w:t>Verify the licensee checks the integrity of the containers and seals upon receipt of the shipment</w:t>
      </w:r>
      <w:r w:rsidR="00D07670">
        <w:rPr>
          <w:rStyle w:val="FootnoteReference"/>
        </w:rPr>
        <w:footnoteReference w:id="5"/>
      </w:r>
      <w:r w:rsidR="00D07670">
        <w:t xml:space="preserve"> (10 CFR </w:t>
      </w:r>
      <w:r w:rsidR="005C3960">
        <w:t>73.67(e)(2)(</w:t>
      </w:r>
      <w:proofErr w:type="spellStart"/>
      <w:r w:rsidR="005C3960">
        <w:t>i</w:t>
      </w:r>
      <w:proofErr w:type="spellEnd"/>
      <w:r w:rsidR="005C3960">
        <w:t>)).</w:t>
      </w:r>
    </w:p>
    <w:p w14:paraId="47A3CE85" w14:textId="057A973A" w:rsidR="00F75073" w:rsidRDefault="00F75073" w:rsidP="00154FB2">
      <w:pPr>
        <w:pStyle w:val="SpecificGuidance2"/>
      </w:pPr>
      <w:r>
        <w:t>Specific Guidance</w:t>
      </w:r>
    </w:p>
    <w:p w14:paraId="630C06B3" w14:textId="322C2320" w:rsidR="007F0063" w:rsidRDefault="00AA54F6" w:rsidP="006C72CD">
      <w:pPr>
        <w:pStyle w:val="BodyText4"/>
      </w:pPr>
      <w:r>
        <w:t>I</w:t>
      </w:r>
      <w:r w:rsidR="00CF359E">
        <w:t xml:space="preserve">f the licensee is expecting to receive any shipments </w:t>
      </w:r>
      <w:r w:rsidR="009F0A42">
        <w:t>during the inspection, the inspector(s) should observe</w:t>
      </w:r>
      <w:r w:rsidR="00176713">
        <w:t xml:space="preserve"> the licensee checking the integrity of the container. If not, </w:t>
      </w:r>
      <w:r w:rsidR="00D32F2E">
        <w:t>ask the licensee to conduct a demonstration or verbally explain how they check the integrity and seals of a container.</w:t>
      </w:r>
    </w:p>
    <w:p w14:paraId="3673FD11" w14:textId="443783A1" w:rsidR="007F0063" w:rsidRDefault="00107757" w:rsidP="00F46D1E">
      <w:pPr>
        <w:pStyle w:val="BodyText"/>
        <w:numPr>
          <w:ilvl w:val="1"/>
          <w:numId w:val="10"/>
        </w:numPr>
      </w:pPr>
      <w:r>
        <w:t xml:space="preserve">Verify the licensee notifies the shipper of the receipt of the material </w:t>
      </w:r>
      <w:r w:rsidR="008D3832">
        <w:br/>
      </w:r>
      <w:r w:rsidR="00DD03CC">
        <w:t>(10 CFR 73.67(e)(2)(ii)).</w:t>
      </w:r>
    </w:p>
    <w:p w14:paraId="63D1F126" w14:textId="5F6D90C6" w:rsidR="00373616" w:rsidRDefault="00373616" w:rsidP="00154FB2">
      <w:pPr>
        <w:pStyle w:val="SpecificGuidance2"/>
      </w:pPr>
      <w:r>
        <w:lastRenderedPageBreak/>
        <w:t>Specific Guidance</w:t>
      </w:r>
    </w:p>
    <w:p w14:paraId="4210F32D" w14:textId="649AA449" w:rsidR="00373616" w:rsidRDefault="00AA54F6" w:rsidP="006C72CD">
      <w:pPr>
        <w:pStyle w:val="BodyText4"/>
      </w:pPr>
      <w:r>
        <w:t>T</w:t>
      </w:r>
      <w:r w:rsidR="006C7412">
        <w:t>he</w:t>
      </w:r>
      <w:r w:rsidR="00534C27">
        <w:t xml:space="preserve"> inspector(s) should ask the licensee for past shipment</w:t>
      </w:r>
      <w:r w:rsidR="00DF45BE">
        <w:t xml:space="preserve"> notifications. The </w:t>
      </w:r>
      <w:r w:rsidR="00845565">
        <w:t>receiver should have sent the shipper a completed copy of standard Form NRC</w:t>
      </w:r>
      <w:r w:rsidR="00F4174F">
        <w:t xml:space="preserve"> </w:t>
      </w:r>
      <w:r w:rsidR="00845565">
        <w:t xml:space="preserve">741, “Nuclear Material Transaction Report,” to the </w:t>
      </w:r>
      <w:r w:rsidR="003F536A">
        <w:t>shipper within 10 days of receiving a shipment of material as required in 10 CFR 70.54</w:t>
      </w:r>
      <w:r w:rsidR="00C43ABF">
        <w:t>.</w:t>
      </w:r>
    </w:p>
    <w:p w14:paraId="2FC37CF3" w14:textId="0C889D77" w:rsidR="007538F5" w:rsidRDefault="007538F5" w:rsidP="00F46D1E">
      <w:pPr>
        <w:pStyle w:val="BodyText"/>
        <w:numPr>
          <w:ilvl w:val="0"/>
          <w:numId w:val="4"/>
        </w:numPr>
      </w:pPr>
      <w:r>
        <w:t xml:space="preserve">Verify the licensee, who has </w:t>
      </w:r>
      <w:proofErr w:type="gramStart"/>
      <w:r>
        <w:t>made arrangements</w:t>
      </w:r>
      <w:proofErr w:type="gramEnd"/>
      <w:r>
        <w:t xml:space="preserve"> for the physical protection of the shipment</w:t>
      </w:r>
      <w:r w:rsidR="004F20E7">
        <w:t xml:space="preserve">, whether shipper or the receiver, (See </w:t>
      </w:r>
      <w:r w:rsidR="00393DFD">
        <w:t>s</w:t>
      </w:r>
      <w:r w:rsidR="004F20E7">
        <w:t xml:space="preserve">ection </w:t>
      </w:r>
      <w:r w:rsidR="00393DFD" w:rsidRPr="00EA2657">
        <w:t>0</w:t>
      </w:r>
      <w:r w:rsidR="00B5445C" w:rsidRPr="00EA2657">
        <w:t>3</w:t>
      </w:r>
      <w:r w:rsidR="004F20E7">
        <w:t>.03):</w:t>
      </w:r>
    </w:p>
    <w:p w14:paraId="36F899AE" w14:textId="4D46177A" w:rsidR="004F20E7" w:rsidRDefault="00543D9B" w:rsidP="00F46D1E">
      <w:pPr>
        <w:pStyle w:val="BodyText"/>
        <w:numPr>
          <w:ilvl w:val="1"/>
          <w:numId w:val="11"/>
        </w:numPr>
      </w:pPr>
      <w:r>
        <w:t xml:space="preserve">Has </w:t>
      </w:r>
      <w:proofErr w:type="gramStart"/>
      <w:r>
        <w:t>made arrangements</w:t>
      </w:r>
      <w:proofErr w:type="gramEnd"/>
      <w:r>
        <w:t xml:space="preserve"> for telephone or radio communications between the transport and the licensee or its designee,</w:t>
      </w:r>
      <w:r w:rsidR="00E816C0">
        <w:t xml:space="preserve"> (10 CFR 73.67(e)(3)(</w:t>
      </w:r>
      <w:proofErr w:type="spellStart"/>
      <w:r w:rsidR="00E816C0">
        <w:t>i</w:t>
      </w:r>
      <w:proofErr w:type="spellEnd"/>
      <w:r w:rsidR="00E816C0">
        <w:t>)</w:t>
      </w:r>
      <w:r w:rsidR="00DA7BD1">
        <w:t>),</w:t>
      </w:r>
    </w:p>
    <w:p w14:paraId="7AFDCD4C" w14:textId="7048A658" w:rsidR="00DA7BD1" w:rsidRDefault="00DA7BD1" w:rsidP="00F46D1E">
      <w:pPr>
        <w:pStyle w:val="BodyText"/>
        <w:numPr>
          <w:ilvl w:val="2"/>
          <w:numId w:val="11"/>
        </w:numPr>
      </w:pPr>
      <w:r>
        <w:t>To periodically confirm status of shipment</w:t>
      </w:r>
      <w:r w:rsidR="00884682">
        <w:t xml:space="preserve"> (10 CFR 73.67(e)(</w:t>
      </w:r>
      <w:r w:rsidR="003B6084">
        <w:t>3)(</w:t>
      </w:r>
      <w:proofErr w:type="spellStart"/>
      <w:r w:rsidR="003B6084">
        <w:t>i</w:t>
      </w:r>
      <w:proofErr w:type="spellEnd"/>
      <w:r w:rsidR="003B6084">
        <w:t>)(A)),</w:t>
      </w:r>
    </w:p>
    <w:p w14:paraId="41DFE42B" w14:textId="58D4B09E" w:rsidR="000161A1" w:rsidRDefault="004B3CFF" w:rsidP="00F46D1E">
      <w:pPr>
        <w:pStyle w:val="BodyText"/>
        <w:numPr>
          <w:ilvl w:val="2"/>
          <w:numId w:val="11"/>
        </w:numPr>
      </w:pPr>
      <w:r>
        <w:t>For notification of delays, and</w:t>
      </w:r>
      <w:r w:rsidR="003B6084">
        <w:t xml:space="preserve"> (10 CFR 73.67(e)(3)(</w:t>
      </w:r>
      <w:proofErr w:type="spellStart"/>
      <w:r w:rsidR="003B6084">
        <w:t>i</w:t>
      </w:r>
      <w:proofErr w:type="spellEnd"/>
      <w:r w:rsidR="003B6084">
        <w:t>)(B)),</w:t>
      </w:r>
    </w:p>
    <w:p w14:paraId="52AD9259" w14:textId="46B80ED5" w:rsidR="004B3CFF" w:rsidRDefault="004B3CFF" w:rsidP="00F46D1E">
      <w:pPr>
        <w:pStyle w:val="BodyText"/>
        <w:numPr>
          <w:ilvl w:val="2"/>
          <w:numId w:val="11"/>
        </w:numPr>
      </w:pPr>
      <w:r>
        <w:t>To request</w:t>
      </w:r>
      <w:r w:rsidR="009B7B05">
        <w:t xml:space="preserve"> local law enforcement agency</w:t>
      </w:r>
      <w:r>
        <w:t xml:space="preserve"> </w:t>
      </w:r>
      <w:r w:rsidR="009B7B05">
        <w:t>(</w:t>
      </w:r>
      <w:r>
        <w:t>LLEA</w:t>
      </w:r>
      <w:r w:rsidR="009B7B05">
        <w:t>)</w:t>
      </w:r>
      <w:r>
        <w:t xml:space="preserve"> response in case of an emergency</w:t>
      </w:r>
      <w:r w:rsidR="000275C2">
        <w:t xml:space="preserve"> (10 CFR 73.67(e)(3)(</w:t>
      </w:r>
      <w:proofErr w:type="spellStart"/>
      <w:r w:rsidR="000275C2">
        <w:t>i</w:t>
      </w:r>
      <w:proofErr w:type="spellEnd"/>
      <w:r w:rsidR="000275C2">
        <w:t>)(c)).</w:t>
      </w:r>
    </w:p>
    <w:p w14:paraId="63643942" w14:textId="51998725" w:rsidR="0047498B" w:rsidRDefault="0047498B" w:rsidP="00154FB2">
      <w:pPr>
        <w:pStyle w:val="SpecificGuidance2"/>
      </w:pPr>
      <w:r>
        <w:t>Specific Guidance</w:t>
      </w:r>
    </w:p>
    <w:p w14:paraId="25243078" w14:textId="58C90548" w:rsidR="00B750DD" w:rsidRDefault="0096482F" w:rsidP="006C72CD">
      <w:pPr>
        <w:pStyle w:val="BodyText4"/>
      </w:pPr>
      <w:r>
        <w:t>No inspection guidance.</w:t>
      </w:r>
    </w:p>
    <w:p w14:paraId="730E18DE" w14:textId="47073568" w:rsidR="0047498B" w:rsidRDefault="002C30BB" w:rsidP="00F46D1E">
      <w:pPr>
        <w:pStyle w:val="BodyText"/>
        <w:numPr>
          <w:ilvl w:val="1"/>
          <w:numId w:val="11"/>
        </w:numPr>
      </w:pPr>
      <w:r>
        <w:t>Minimizes the time that the material is in transit by reducing the number and duration of the transfers and by routing the material in the safe</w:t>
      </w:r>
      <w:r w:rsidR="00F957AA">
        <w:t>st and most direct manner</w:t>
      </w:r>
      <w:r w:rsidR="007014B9">
        <w:t xml:space="preserve"> </w:t>
      </w:r>
      <w:r w:rsidR="008D3832">
        <w:br/>
      </w:r>
      <w:r w:rsidR="007014B9">
        <w:t>(10 CFR 73.67(</w:t>
      </w:r>
      <w:r w:rsidR="008A5583">
        <w:t>e)(3)(ii)).</w:t>
      </w:r>
    </w:p>
    <w:p w14:paraId="0A403686" w14:textId="65527BA2" w:rsidR="008A5583" w:rsidRDefault="008A5583" w:rsidP="00154FB2">
      <w:pPr>
        <w:pStyle w:val="SpecificGuidance2"/>
      </w:pPr>
      <w:r>
        <w:t>Specific Guidance</w:t>
      </w:r>
    </w:p>
    <w:p w14:paraId="1A05A002" w14:textId="2B5424CE" w:rsidR="00017138" w:rsidRDefault="00247627" w:rsidP="006C72CD">
      <w:pPr>
        <w:pStyle w:val="BodyText4"/>
      </w:pPr>
      <w:r>
        <w:t>No inspection guidance.</w:t>
      </w:r>
    </w:p>
    <w:p w14:paraId="2A940E7B" w14:textId="1C581BC2" w:rsidR="00017138" w:rsidRDefault="00B33101" w:rsidP="00F46D1E">
      <w:pPr>
        <w:pStyle w:val="BodyText"/>
        <w:numPr>
          <w:ilvl w:val="1"/>
          <w:numId w:val="11"/>
        </w:numPr>
      </w:pPr>
      <w:r>
        <w:t>Conducts screening of all licensee employees involved in the transportation of SNM to obtain information on which to base a decision to permit them to have control over the material (10 CFR 73.67</w:t>
      </w:r>
      <w:r w:rsidR="00946377">
        <w:t>(e)(3)(iii)).</w:t>
      </w:r>
    </w:p>
    <w:p w14:paraId="389EA769" w14:textId="58BDC09B" w:rsidR="00946377" w:rsidRDefault="00482DAB" w:rsidP="00154FB2">
      <w:pPr>
        <w:pStyle w:val="SpecificGuidance2"/>
      </w:pPr>
      <w:r>
        <w:t>Specific Guidance</w:t>
      </w:r>
    </w:p>
    <w:p w14:paraId="6E3D10DF" w14:textId="3EC73FA4" w:rsidR="00482DAB" w:rsidRDefault="008237F3" w:rsidP="006C72CD">
      <w:pPr>
        <w:pStyle w:val="BodyText4"/>
      </w:pPr>
      <w:r>
        <w:t>No inspection guidance.</w:t>
      </w:r>
    </w:p>
    <w:p w14:paraId="60857B9B" w14:textId="053B067D" w:rsidR="00B43436" w:rsidRDefault="00B43436" w:rsidP="00F46D1E">
      <w:pPr>
        <w:pStyle w:val="BodyText"/>
        <w:numPr>
          <w:ilvl w:val="1"/>
          <w:numId w:val="11"/>
        </w:numPr>
      </w:pPr>
      <w:r>
        <w:t xml:space="preserve">Has response procedures for dealing with threats of thefts or thefts of SNM </w:t>
      </w:r>
      <w:r w:rsidR="008D3832">
        <w:br/>
      </w:r>
      <w:r w:rsidR="00E63D83">
        <w:t>(10 CFR 73.67(e)(3)(iv)).</w:t>
      </w:r>
    </w:p>
    <w:p w14:paraId="14D5F1AB" w14:textId="0F22ADE0" w:rsidR="006E75DB" w:rsidRDefault="006E75DB" w:rsidP="00154FB2">
      <w:pPr>
        <w:pStyle w:val="SpecificGuidance2"/>
      </w:pPr>
      <w:r>
        <w:t>Specific Guidance</w:t>
      </w:r>
    </w:p>
    <w:p w14:paraId="19F9612C" w14:textId="42432684" w:rsidR="006E75DB" w:rsidRDefault="006E75DB" w:rsidP="006C72CD">
      <w:pPr>
        <w:pStyle w:val="BodyText4"/>
      </w:pPr>
      <w:r>
        <w:t>No inspection guidance.</w:t>
      </w:r>
    </w:p>
    <w:p w14:paraId="497E5B69" w14:textId="66F56D58" w:rsidR="00CA00B2" w:rsidRDefault="0051604F" w:rsidP="00F46D1E">
      <w:pPr>
        <w:pStyle w:val="BodyText"/>
        <w:numPr>
          <w:ilvl w:val="1"/>
          <w:numId w:val="11"/>
        </w:numPr>
      </w:pPr>
      <w:r>
        <w:t>H</w:t>
      </w:r>
      <w:r w:rsidR="00FE476B">
        <w:t>as arranged to be notified immediately of the arrival of the shipment at its destination, or of any shipment that is lost or unacc</w:t>
      </w:r>
      <w:r w:rsidR="00D74E18">
        <w:t>ounted for after the estimated time of its arrival (10 CFR 73.67(e)(3</w:t>
      </w:r>
      <w:r w:rsidR="00C3424E">
        <w:t>)</w:t>
      </w:r>
      <w:r w:rsidR="00D74E18">
        <w:t>(v)).</w:t>
      </w:r>
    </w:p>
    <w:p w14:paraId="51C5CB7A" w14:textId="18416B9B" w:rsidR="00483DAB" w:rsidRDefault="00483DAB" w:rsidP="00154FB2">
      <w:pPr>
        <w:pStyle w:val="SpecificGuidance2"/>
      </w:pPr>
      <w:r>
        <w:lastRenderedPageBreak/>
        <w:t>Specific Guidance</w:t>
      </w:r>
    </w:p>
    <w:p w14:paraId="1A85B717" w14:textId="3C23522A" w:rsidR="00483DAB" w:rsidRDefault="00483DAB" w:rsidP="006C72CD">
      <w:pPr>
        <w:pStyle w:val="BodyText4"/>
      </w:pPr>
      <w:r>
        <w:t>No inspection guidance.</w:t>
      </w:r>
    </w:p>
    <w:p w14:paraId="7CDE911E" w14:textId="447491B9" w:rsidR="00483DAB" w:rsidRDefault="00DE65A1" w:rsidP="00F46D1E">
      <w:pPr>
        <w:pStyle w:val="BodyText"/>
        <w:numPr>
          <w:ilvl w:val="1"/>
          <w:numId w:val="11"/>
        </w:numPr>
      </w:pPr>
      <w:r>
        <w:t>Imm</w:t>
      </w:r>
      <w:r w:rsidR="00CF10F6">
        <w:t xml:space="preserve">ediately initiates a trace investigation of any shipment that is determined to be lost or unaccounted for after a reasonable time beyond the estimated arrival time </w:t>
      </w:r>
      <w:r w:rsidR="008D3832">
        <w:br/>
      </w:r>
      <w:r w:rsidR="009C1424">
        <w:t>(10 CFR 73.67(e)(3)(vi)).</w:t>
      </w:r>
    </w:p>
    <w:p w14:paraId="48E05B23" w14:textId="79BEBBC8" w:rsidR="00CC59DB" w:rsidRDefault="00CC59DB" w:rsidP="00154FB2">
      <w:pPr>
        <w:pStyle w:val="SpecificGuidance2"/>
      </w:pPr>
      <w:r>
        <w:t>Specific Guidance</w:t>
      </w:r>
    </w:p>
    <w:p w14:paraId="1CCE90A8" w14:textId="5742C57D" w:rsidR="00B75773" w:rsidRDefault="00B75773" w:rsidP="006C72CD">
      <w:pPr>
        <w:pStyle w:val="BodyText4"/>
      </w:pPr>
      <w:r>
        <w:t>No inspection guidance.</w:t>
      </w:r>
    </w:p>
    <w:p w14:paraId="36EFC062" w14:textId="6FDE8586" w:rsidR="00B75773" w:rsidRDefault="004A36BB" w:rsidP="00F46D1E">
      <w:pPr>
        <w:pStyle w:val="BodyText"/>
        <w:numPr>
          <w:ilvl w:val="1"/>
          <w:numId w:val="11"/>
        </w:numPr>
      </w:pPr>
      <w:r>
        <w:t>Transpor</w:t>
      </w:r>
      <w:r w:rsidR="004D7F2F">
        <w:t xml:space="preserve">ts the material either in a dedicated transport with no </w:t>
      </w:r>
      <w:r w:rsidR="00232544">
        <w:t xml:space="preserve">intermediate stops to load or unload other cargo and </w:t>
      </w:r>
      <w:r w:rsidR="00393885">
        <w:t xml:space="preserve">with no carrier or vehicle transfers or temporary storage in-transit, </w:t>
      </w:r>
      <w:r w:rsidR="00393885" w:rsidRPr="00F705AC">
        <w:t>or under</w:t>
      </w:r>
      <w:r w:rsidR="00393885">
        <w:t xml:space="preserve"> arrangements whereby the custody</w:t>
      </w:r>
      <w:r w:rsidR="000954EE">
        <w:t xml:space="preserve"> of the shipment and all custody transfers are acknowledged by signature</w:t>
      </w:r>
      <w:r w:rsidR="00031036">
        <w:t xml:space="preserve"> (10 CFR 73.67(e)(4)(</w:t>
      </w:r>
      <w:proofErr w:type="spellStart"/>
      <w:r w:rsidR="00031036">
        <w:t>i</w:t>
      </w:r>
      <w:proofErr w:type="spellEnd"/>
      <w:r w:rsidR="00031036">
        <w:t>)).</w:t>
      </w:r>
    </w:p>
    <w:p w14:paraId="4779F6F5" w14:textId="65F35640" w:rsidR="000146C7" w:rsidRDefault="003846F9" w:rsidP="00154FB2">
      <w:pPr>
        <w:pStyle w:val="SpecificGuidance2"/>
      </w:pPr>
      <w:r>
        <w:t>Specific Guidance</w:t>
      </w:r>
    </w:p>
    <w:p w14:paraId="0555A678" w14:textId="064763B7" w:rsidR="003846F9" w:rsidRDefault="003846F9" w:rsidP="006C72CD">
      <w:pPr>
        <w:pStyle w:val="BodyText4"/>
      </w:pPr>
      <w:r>
        <w:t>No inspection guidance.</w:t>
      </w:r>
    </w:p>
    <w:p w14:paraId="13F4E757" w14:textId="6A253E1D" w:rsidR="003846F9" w:rsidRDefault="00C46A4D" w:rsidP="00F46D1E">
      <w:pPr>
        <w:pStyle w:val="BodyText"/>
        <w:numPr>
          <w:ilvl w:val="1"/>
          <w:numId w:val="11"/>
        </w:numPr>
      </w:pPr>
      <w:r>
        <w:t xml:space="preserve">Maintains the material under lock or under the control of an </w:t>
      </w:r>
      <w:r w:rsidR="00BC4729">
        <w:t xml:space="preserve">individual who has acknowledged acceptance of custody of the material by signature </w:t>
      </w:r>
      <w:r w:rsidR="007B4E1B">
        <w:br/>
      </w:r>
      <w:r w:rsidR="00BC4729">
        <w:t>(10 CFR 73.67(e)(4)(ii)).</w:t>
      </w:r>
      <w:r w:rsidR="00BC4729">
        <w:tab/>
      </w:r>
    </w:p>
    <w:p w14:paraId="5ADCA31F" w14:textId="5274D6EE" w:rsidR="00CE7AA6" w:rsidRDefault="00CE7AA6" w:rsidP="00F46D1E">
      <w:pPr>
        <w:pStyle w:val="BodyText"/>
        <w:numPr>
          <w:ilvl w:val="0"/>
          <w:numId w:val="4"/>
        </w:numPr>
      </w:pPr>
      <w:r>
        <w:t>Verify that when requested by the Commission</w:t>
      </w:r>
      <w:r w:rsidR="003611A7">
        <w:t xml:space="preserve">, the licensee (as shipper) provides additional information regarding a planned shipment </w:t>
      </w:r>
      <w:r w:rsidR="00F50D56">
        <w:t>to allow the</w:t>
      </w:r>
      <w:r w:rsidR="009F4F40">
        <w:t xml:space="preserve"> C</w:t>
      </w:r>
      <w:r w:rsidR="009F0890">
        <w:t>ommission to consider whether to delay the shipment (10 CFR 73.67(e)(7)(</w:t>
      </w:r>
      <w:proofErr w:type="spellStart"/>
      <w:r w:rsidR="009F0890">
        <w:t>i</w:t>
      </w:r>
      <w:proofErr w:type="spellEnd"/>
      <w:r w:rsidR="009F0890">
        <w:t>)).</w:t>
      </w:r>
    </w:p>
    <w:p w14:paraId="7EEA414C" w14:textId="7F794677" w:rsidR="00997728" w:rsidRDefault="00997728" w:rsidP="00E4254F">
      <w:pPr>
        <w:pStyle w:val="SpecificGuidance"/>
      </w:pPr>
      <w:r>
        <w:t>Specific Guidance</w:t>
      </w:r>
    </w:p>
    <w:p w14:paraId="51E73D14" w14:textId="77777777" w:rsidR="00997728" w:rsidRDefault="00997728" w:rsidP="00997728">
      <w:pPr>
        <w:pStyle w:val="ListParagraph"/>
        <w:tabs>
          <w:tab w:val="center" w:pos="5400"/>
        </w:tabs>
      </w:pPr>
      <w:r>
        <w:t>No inspection guidance.</w:t>
      </w:r>
    </w:p>
    <w:p w14:paraId="52B43738" w14:textId="4EE60A7A" w:rsidR="00AE06E8" w:rsidRDefault="0013482D" w:rsidP="00F46D1E">
      <w:pPr>
        <w:pStyle w:val="BodyText"/>
        <w:numPr>
          <w:ilvl w:val="0"/>
          <w:numId w:val="4"/>
        </w:numPr>
      </w:pPr>
      <w:r>
        <w:t xml:space="preserve">Verify that when </w:t>
      </w:r>
      <w:r w:rsidR="004F5D05">
        <w:t xml:space="preserve">requested by the Commission to do so, </w:t>
      </w:r>
      <w:r w:rsidR="00E53678">
        <w:t>the licensee (as receiver) notifies the NRC Operations Center</w:t>
      </w:r>
      <w:r w:rsidR="00A64E62">
        <w:t xml:space="preserve">, </w:t>
      </w:r>
      <w:r w:rsidR="006F52CA">
        <w:t>within 24 hours</w:t>
      </w:r>
      <w:r w:rsidR="00A64E62">
        <w:t xml:space="preserve"> of the arrival of the shipment at the final destination or after the shipment has left the </w:t>
      </w:r>
      <w:r w:rsidR="00A36AD2">
        <w:t>U.S.</w:t>
      </w:r>
      <w:r w:rsidR="00252BEE">
        <w:t xml:space="preserve"> as an export to ensure the integrity of the shipment at the time of receipt or exit from the </w:t>
      </w:r>
      <w:r w:rsidR="0067367B">
        <w:t>U.S.</w:t>
      </w:r>
      <w:r w:rsidR="006F52CA">
        <w:t xml:space="preserve"> (10 CFR 73.67(e)(7)(ii)).</w:t>
      </w:r>
    </w:p>
    <w:p w14:paraId="447CCE3D" w14:textId="0FCE02C0" w:rsidR="00965F4F" w:rsidRPr="00AE06E8" w:rsidRDefault="00D924DF" w:rsidP="00DC391E">
      <w:pPr>
        <w:pStyle w:val="Heading2"/>
      </w:pPr>
      <w:bookmarkStart w:id="8" w:name="_Toc158122706"/>
      <w:r w:rsidRPr="00EA2657">
        <w:t>03</w:t>
      </w:r>
      <w:r w:rsidR="00965F4F">
        <w:t>.05</w:t>
      </w:r>
      <w:r w:rsidR="00772BA1">
        <w:tab/>
      </w:r>
      <w:r w:rsidR="00965F4F" w:rsidRPr="00AE06E8">
        <w:rPr>
          <w:u w:val="single"/>
        </w:rPr>
        <w:t>Export/Import</w:t>
      </w:r>
      <w:bookmarkEnd w:id="8"/>
    </w:p>
    <w:p w14:paraId="0CCD9757" w14:textId="40FE361A" w:rsidR="00982147" w:rsidRPr="002B6D06" w:rsidRDefault="00863B71" w:rsidP="00F46D1E">
      <w:pPr>
        <w:pStyle w:val="BodyText"/>
        <w:numPr>
          <w:ilvl w:val="0"/>
          <w:numId w:val="5"/>
        </w:numPr>
        <w:rPr>
          <w:u w:val="single"/>
        </w:rPr>
      </w:pPr>
      <w:r>
        <w:t xml:space="preserve">Verify that for exports of SNM, the licensee complies with the requirements of </w:t>
      </w:r>
      <w:r w:rsidR="003E054F">
        <w:br/>
      </w:r>
      <w:r w:rsidR="00B30271">
        <w:t>10 CFR 73.67(c)</w:t>
      </w:r>
      <w:r w:rsidR="00642483">
        <w:t>, (e)(1), (e)(3), and (e)(4) (10 CFR 73.67(e)(5)).</w:t>
      </w:r>
    </w:p>
    <w:p w14:paraId="76EDE7DC" w14:textId="160BF74D" w:rsidR="009B0BA7" w:rsidRDefault="009B0BA7" w:rsidP="003B2E58">
      <w:pPr>
        <w:pStyle w:val="SpecificGuidance"/>
      </w:pPr>
      <w:r>
        <w:t>Specific Guidance</w:t>
      </w:r>
    </w:p>
    <w:p w14:paraId="428806C0" w14:textId="080BED3F" w:rsidR="00E07ED6" w:rsidRDefault="009B0BA7" w:rsidP="00A00783">
      <w:pPr>
        <w:pStyle w:val="ListParagraph"/>
        <w:tabs>
          <w:tab w:val="center" w:pos="5400"/>
        </w:tabs>
      </w:pPr>
      <w:r>
        <w:t>No inspection guidance.</w:t>
      </w:r>
    </w:p>
    <w:p w14:paraId="647F3A58" w14:textId="65D81DA9" w:rsidR="00A00783" w:rsidRDefault="00393646" w:rsidP="00F46D1E">
      <w:pPr>
        <w:pStyle w:val="BodyText"/>
        <w:numPr>
          <w:ilvl w:val="0"/>
          <w:numId w:val="5"/>
        </w:numPr>
      </w:pPr>
      <w:r>
        <w:t>Verify that for imports of SNM, the licensee:</w:t>
      </w:r>
    </w:p>
    <w:p w14:paraId="5C6073DD" w14:textId="6A4F266F" w:rsidR="006A7F6A" w:rsidRDefault="00010123" w:rsidP="00F46D1E">
      <w:pPr>
        <w:pStyle w:val="BodyText"/>
        <w:numPr>
          <w:ilvl w:val="1"/>
          <w:numId w:val="12"/>
        </w:numPr>
      </w:pPr>
      <w:r>
        <w:t>Complies with the requirements of 10 CFR 73.67</w:t>
      </w:r>
      <w:r w:rsidR="00966BFB">
        <w:t>(c), (e)(2), (e)(3), and (e)(4);</w:t>
      </w:r>
      <w:r w:rsidR="003E054F">
        <w:br/>
      </w:r>
      <w:r w:rsidR="006A7F6A">
        <w:t>(10 CFR 73.67(e)(6)(</w:t>
      </w:r>
      <w:proofErr w:type="spellStart"/>
      <w:r w:rsidR="006A7F6A">
        <w:t>i</w:t>
      </w:r>
      <w:proofErr w:type="spellEnd"/>
      <w:r w:rsidR="006A7F6A">
        <w:t>)).</w:t>
      </w:r>
    </w:p>
    <w:p w14:paraId="353BEE84" w14:textId="6B479A75" w:rsidR="00FF73B2" w:rsidRDefault="00FF73B2" w:rsidP="00154FB2">
      <w:pPr>
        <w:pStyle w:val="SpecificGuidance2"/>
      </w:pPr>
      <w:r>
        <w:lastRenderedPageBreak/>
        <w:t>Specific Guidance</w:t>
      </w:r>
    </w:p>
    <w:p w14:paraId="442481CC" w14:textId="04D1D2CF" w:rsidR="00FF73B2" w:rsidRDefault="00423756" w:rsidP="006C72CD">
      <w:pPr>
        <w:pStyle w:val="BodyText4"/>
      </w:pPr>
      <w:r>
        <w:t>The inspector(s) should be mindful that imports from other nations are not normally coming from an NRC licensee. As such, each NRC licensee who receives import shipments shall arrange for physical protection of the shipment from port of entry until such time it is rec</w:t>
      </w:r>
      <w:r w:rsidR="00F63B30">
        <w:t>eived at the site.</w:t>
      </w:r>
    </w:p>
    <w:p w14:paraId="423C8B31" w14:textId="34CA35B6" w:rsidR="00FF73B2" w:rsidRDefault="00BD7557" w:rsidP="00F46D1E">
      <w:pPr>
        <w:pStyle w:val="BodyText"/>
        <w:numPr>
          <w:ilvl w:val="1"/>
          <w:numId w:val="12"/>
        </w:numPr>
      </w:pPr>
      <w:r>
        <w:t>Notifies the exporter who delivered the material to a carrier for transport of the arrival of the material (10</w:t>
      </w:r>
      <w:r w:rsidR="00ED455B">
        <w:t xml:space="preserve"> CFR 73.67(e)(6)(ii)).</w:t>
      </w:r>
    </w:p>
    <w:p w14:paraId="5D29BE0C" w14:textId="3E9F7281" w:rsidR="00845A30" w:rsidRDefault="00C42C8A" w:rsidP="00154FB2">
      <w:pPr>
        <w:pStyle w:val="SpecificGuidance2"/>
      </w:pPr>
      <w:r>
        <w:t>Specific Guidance</w:t>
      </w:r>
    </w:p>
    <w:p w14:paraId="5F42F812" w14:textId="69B425BB" w:rsidR="00C42C8A" w:rsidRDefault="00C42C8A" w:rsidP="006C72CD">
      <w:pPr>
        <w:pStyle w:val="BodyText4"/>
      </w:pPr>
      <w:r>
        <w:t>No inspection guidance.</w:t>
      </w:r>
    </w:p>
    <w:p w14:paraId="152EA64C" w14:textId="1F89C76B" w:rsidR="00C42C8A" w:rsidRDefault="00D924DF" w:rsidP="00DC391E">
      <w:pPr>
        <w:pStyle w:val="Heading2"/>
        <w:rPr>
          <w:u w:val="single"/>
        </w:rPr>
      </w:pPr>
      <w:bookmarkStart w:id="9" w:name="_Toc158122707"/>
      <w:r w:rsidRPr="00EA2657">
        <w:t>03</w:t>
      </w:r>
      <w:r w:rsidR="00C42C8A">
        <w:t>.06</w:t>
      </w:r>
      <w:r w:rsidR="00772BA1">
        <w:tab/>
      </w:r>
      <w:r w:rsidR="00A87D50">
        <w:rPr>
          <w:u w:val="single"/>
        </w:rPr>
        <w:t>Reports</w:t>
      </w:r>
      <w:bookmarkEnd w:id="9"/>
    </w:p>
    <w:p w14:paraId="21A4F0A8" w14:textId="589E0377" w:rsidR="00A87D50" w:rsidRPr="0023280C" w:rsidRDefault="002A3337" w:rsidP="00F46D1E">
      <w:pPr>
        <w:pStyle w:val="BodyText"/>
        <w:numPr>
          <w:ilvl w:val="0"/>
          <w:numId w:val="6"/>
        </w:numPr>
        <w:rPr>
          <w:u w:val="single"/>
        </w:rPr>
      </w:pPr>
      <w:r>
        <w:t>Verify the licensee notifies the receiver in advance of the shipment, specifying the mode of transport, estimated time</w:t>
      </w:r>
      <w:r w:rsidR="00450C6B">
        <w:t xml:space="preserve"> of arrival, location of the transfer point, name of carrier and transport identification (10 CFR 73.67(</w:t>
      </w:r>
      <w:r w:rsidR="0023280C">
        <w:t>e)(1)(</w:t>
      </w:r>
      <w:proofErr w:type="spellStart"/>
      <w:r w:rsidR="0023280C">
        <w:t>i</w:t>
      </w:r>
      <w:proofErr w:type="spellEnd"/>
      <w:r w:rsidR="0023280C">
        <w:t>)).</w:t>
      </w:r>
    </w:p>
    <w:p w14:paraId="050B8B02" w14:textId="2365EF07" w:rsidR="0023280C" w:rsidRDefault="0023280C" w:rsidP="003B2E58">
      <w:pPr>
        <w:pStyle w:val="SpecificGuidance"/>
      </w:pPr>
      <w:r>
        <w:t>Specific Guidance</w:t>
      </w:r>
    </w:p>
    <w:p w14:paraId="3B829ECA" w14:textId="239FF68D" w:rsidR="0023280C" w:rsidRDefault="0023280C" w:rsidP="0023280C">
      <w:pPr>
        <w:pStyle w:val="ListParagraph"/>
        <w:tabs>
          <w:tab w:val="center" w:pos="5400"/>
        </w:tabs>
      </w:pPr>
      <w:r>
        <w:t>No inspection guidance.</w:t>
      </w:r>
    </w:p>
    <w:p w14:paraId="7ED19303" w14:textId="0DBF9D5C" w:rsidR="00E9553E" w:rsidRDefault="000665CB" w:rsidP="00F46D1E">
      <w:pPr>
        <w:pStyle w:val="BodyText"/>
        <w:numPr>
          <w:ilvl w:val="0"/>
          <w:numId w:val="6"/>
        </w:numPr>
      </w:pPr>
      <w:r>
        <w:rPr>
          <w:u w:val="single"/>
        </w:rPr>
        <w:t>Advance Notifi</w:t>
      </w:r>
      <w:r w:rsidR="00D60B3A">
        <w:rPr>
          <w:u w:val="single"/>
        </w:rPr>
        <w:t>cations</w:t>
      </w:r>
    </w:p>
    <w:p w14:paraId="46825E7E" w14:textId="674B1D15" w:rsidR="00436EFC" w:rsidRDefault="00436EFC" w:rsidP="00436EFC">
      <w:pPr>
        <w:pStyle w:val="ListParagraph"/>
        <w:tabs>
          <w:tab w:val="center" w:pos="5400"/>
        </w:tabs>
      </w:pPr>
      <w:r>
        <w:t xml:space="preserve">Verify the licensee notifies the NRC Operations Center by telephone </w:t>
      </w:r>
      <w:r w:rsidR="00B800E4">
        <w:t>and by ma</w:t>
      </w:r>
      <w:r w:rsidR="00577F5D">
        <w:t>il</w:t>
      </w:r>
      <w:r w:rsidR="00E158AB">
        <w:t xml:space="preserve"> and assure that the notification will be received at least 10 days before transport of the </w:t>
      </w:r>
      <w:r w:rsidR="00381125">
        <w:t xml:space="preserve">shipment </w:t>
      </w:r>
      <w:r w:rsidR="00381125" w:rsidRPr="00381125">
        <w:t xml:space="preserve">commences </w:t>
      </w:r>
      <w:r w:rsidR="00B800E4" w:rsidRPr="00381125">
        <w:t>(10 CFR 73.72</w:t>
      </w:r>
      <w:r w:rsidR="007746EB" w:rsidRPr="00381125">
        <w:t>). The notification shall include:</w:t>
      </w:r>
    </w:p>
    <w:p w14:paraId="22FCE17E" w14:textId="6764BF1E" w:rsidR="007746EB" w:rsidRDefault="007746EB" w:rsidP="00F46D1E">
      <w:pPr>
        <w:pStyle w:val="BodyText"/>
        <w:numPr>
          <w:ilvl w:val="1"/>
          <w:numId w:val="13"/>
        </w:numPr>
      </w:pPr>
      <w:r>
        <w:t>Names of the shipper, receiver, and carriers, estimated dates and times of departure and arrival, transfer points, and modes of shipment</w:t>
      </w:r>
      <w:r w:rsidR="00145952">
        <w:t xml:space="preserve"> (10 CFR 72</w:t>
      </w:r>
      <w:r w:rsidR="00BB231B">
        <w:t>(a)(3)(</w:t>
      </w:r>
      <w:proofErr w:type="spellStart"/>
      <w:r w:rsidR="00BB231B">
        <w:t>i</w:t>
      </w:r>
      <w:proofErr w:type="spellEnd"/>
      <w:r w:rsidR="00BB231B">
        <w:t>)).</w:t>
      </w:r>
    </w:p>
    <w:p w14:paraId="3C54332A" w14:textId="1E690B93" w:rsidR="00BB231B" w:rsidRPr="00EC2207" w:rsidRDefault="00EC2207" w:rsidP="00F46D1E">
      <w:pPr>
        <w:pStyle w:val="BodyText"/>
        <w:numPr>
          <w:ilvl w:val="0"/>
          <w:numId w:val="6"/>
        </w:numPr>
      </w:pPr>
      <w:r w:rsidRPr="00B5445C">
        <w:rPr>
          <w:u w:val="single"/>
        </w:rPr>
        <w:t>Trace I</w:t>
      </w:r>
      <w:r>
        <w:rPr>
          <w:u w:val="single"/>
        </w:rPr>
        <w:t>nvestigations</w:t>
      </w:r>
    </w:p>
    <w:p w14:paraId="5759B390" w14:textId="731826A8" w:rsidR="00EC2207" w:rsidRDefault="00D0452C" w:rsidP="00F46D1E">
      <w:pPr>
        <w:pStyle w:val="BodyText"/>
        <w:numPr>
          <w:ilvl w:val="1"/>
          <w:numId w:val="14"/>
        </w:numPr>
      </w:pPr>
      <w:r>
        <w:t>Verify</w:t>
      </w:r>
      <w:r w:rsidR="00AD3934">
        <w:t xml:space="preserve"> the licensee</w:t>
      </w:r>
      <w:r w:rsidR="00E6721D">
        <w:t xml:space="preserve"> </w:t>
      </w:r>
      <w:r w:rsidR="00AD3934">
        <w:t xml:space="preserve">notifies the </w:t>
      </w:r>
      <w:r w:rsidR="00F25299">
        <w:t xml:space="preserve">NRC </w:t>
      </w:r>
      <w:r w:rsidR="00720BAF">
        <w:t xml:space="preserve">Operations Center as soon as possible, but within </w:t>
      </w:r>
      <w:r w:rsidR="001D1E20">
        <w:t>4</w:t>
      </w:r>
      <w:r w:rsidR="00520822">
        <w:t> </w:t>
      </w:r>
      <w:r w:rsidR="00720BAF">
        <w:t>h</w:t>
      </w:r>
      <w:r w:rsidR="00052CA6">
        <w:t>our</w:t>
      </w:r>
      <w:r w:rsidR="00520822">
        <w:t>s</w:t>
      </w:r>
      <w:r w:rsidR="00052CA6">
        <w:t xml:space="preserve"> after the discovery of the loss of shipment and within </w:t>
      </w:r>
      <w:r w:rsidR="001D1E20">
        <w:t>4</w:t>
      </w:r>
      <w:r w:rsidR="00520822">
        <w:t> </w:t>
      </w:r>
      <w:r w:rsidR="00052CA6">
        <w:t>hour</w:t>
      </w:r>
      <w:r w:rsidR="00520822">
        <w:t>s</w:t>
      </w:r>
      <w:r w:rsidR="00052CA6">
        <w:t xml:space="preserve"> after the recovery of or accounting for </w:t>
      </w:r>
      <w:r w:rsidR="00CE0B94">
        <w:t xml:space="preserve">such lost shipment </w:t>
      </w:r>
      <w:r w:rsidR="003E054F">
        <w:br/>
      </w:r>
      <w:r w:rsidR="00CE0B94">
        <w:t>(10 CFR 73.67(e)</w:t>
      </w:r>
      <w:r w:rsidR="009D37DA">
        <w:t>(3)(vii)</w:t>
      </w:r>
      <w:r w:rsidR="00532459">
        <w:t xml:space="preserve"> and</w:t>
      </w:r>
      <w:r w:rsidR="00E6721D">
        <w:t xml:space="preserve"> (</w:t>
      </w:r>
      <w:r w:rsidR="00532459">
        <w:t>10 CFR 7</w:t>
      </w:r>
      <w:r w:rsidR="004B3714">
        <w:t>3</w:t>
      </w:r>
      <w:r w:rsidR="00E6721D">
        <w:t>.</w:t>
      </w:r>
      <w:r w:rsidR="00520822">
        <w:t>1200(f)(1)</w:t>
      </w:r>
      <w:r w:rsidR="004B3714">
        <w:t>)</w:t>
      </w:r>
      <w:r w:rsidR="009D37DA">
        <w:t>.</w:t>
      </w:r>
    </w:p>
    <w:p w14:paraId="52EA3F4D" w14:textId="0F468779" w:rsidR="009D37DA" w:rsidRDefault="0072133D" w:rsidP="00154FB2">
      <w:pPr>
        <w:pStyle w:val="SpecificGuidance2"/>
      </w:pPr>
      <w:r>
        <w:t>Specific Guidance</w:t>
      </w:r>
    </w:p>
    <w:p w14:paraId="7DFA0962" w14:textId="37BA4478" w:rsidR="00850055" w:rsidRDefault="0072133D" w:rsidP="006C72CD">
      <w:pPr>
        <w:pStyle w:val="BodyText4"/>
      </w:pPr>
      <w:r>
        <w:t>No inspection guidance.</w:t>
      </w:r>
    </w:p>
    <w:p w14:paraId="37DB7B65" w14:textId="77777777" w:rsidR="00520822" w:rsidRPr="00B5445C" w:rsidRDefault="00520822" w:rsidP="00520822">
      <w:pPr>
        <w:pStyle w:val="BodyText"/>
        <w:keepNext/>
        <w:numPr>
          <w:ilvl w:val="0"/>
          <w:numId w:val="6"/>
        </w:numPr>
        <w:rPr>
          <w:u w:val="single"/>
        </w:rPr>
      </w:pPr>
      <w:r>
        <w:rPr>
          <w:u w:val="single"/>
        </w:rPr>
        <w:t>Notifications</w:t>
      </w:r>
    </w:p>
    <w:p w14:paraId="7A199FC3" w14:textId="7C621003" w:rsidR="00520822" w:rsidRDefault="00520822" w:rsidP="00520822">
      <w:pPr>
        <w:pStyle w:val="BodyText"/>
        <w:numPr>
          <w:ilvl w:val="1"/>
          <w:numId w:val="15"/>
        </w:numPr>
      </w:pPr>
      <w:r>
        <w:t xml:space="preserve">Verify the licensee notifies the NRC Operations Center as soon as possible, and in all cases within </w:t>
      </w:r>
      <w:r w:rsidR="007460D1">
        <w:t>one</w:t>
      </w:r>
      <w:r>
        <w:t> hour after time of discovery following significant transportation security events (10 CFR 73.1200(d)).</w:t>
      </w:r>
    </w:p>
    <w:p w14:paraId="7AE66930" w14:textId="15FAD465" w:rsidR="00CA50CA" w:rsidRDefault="00A94B9C" w:rsidP="00154FB2">
      <w:pPr>
        <w:pStyle w:val="SpecificGuidance2"/>
      </w:pPr>
      <w:r>
        <w:t>Specific Guidance</w:t>
      </w:r>
    </w:p>
    <w:p w14:paraId="637E5D26" w14:textId="7310856C" w:rsidR="00BD2C9E" w:rsidRDefault="003C2632" w:rsidP="006C72CD">
      <w:pPr>
        <w:pStyle w:val="BodyText4"/>
      </w:pPr>
      <w:r>
        <w:t>No inspection guidance.</w:t>
      </w:r>
    </w:p>
    <w:p w14:paraId="11F34C93" w14:textId="370EEC27" w:rsidR="004438D0" w:rsidRDefault="00434B35" w:rsidP="00E6721D">
      <w:pPr>
        <w:pStyle w:val="BodyText"/>
        <w:numPr>
          <w:ilvl w:val="1"/>
          <w:numId w:val="15"/>
        </w:numPr>
      </w:pPr>
      <w:r>
        <w:lastRenderedPageBreak/>
        <w:t xml:space="preserve">Verify the licensee </w:t>
      </w:r>
      <w:r w:rsidR="0053501F">
        <w:t>notifies</w:t>
      </w:r>
      <w:r>
        <w:t xml:space="preserve"> the NRC Operations Center within </w:t>
      </w:r>
      <w:r w:rsidR="0053501F">
        <w:t xml:space="preserve">four hours after time </w:t>
      </w:r>
      <w:r w:rsidR="00E42EFF">
        <w:t xml:space="preserve">of </w:t>
      </w:r>
      <w:r w:rsidR="0053501F">
        <w:t xml:space="preserve">discovery following transportation security events </w:t>
      </w:r>
      <w:r w:rsidR="009054B9">
        <w:t>(10 CFR 73</w:t>
      </w:r>
      <w:r w:rsidR="00E6721D">
        <w:t>.</w:t>
      </w:r>
      <w:r w:rsidR="0053501F">
        <w:t>1200(f)).</w:t>
      </w:r>
    </w:p>
    <w:p w14:paraId="669508AC" w14:textId="77777777" w:rsidR="00520822" w:rsidRDefault="00520822" w:rsidP="00520822">
      <w:pPr>
        <w:pStyle w:val="SpecificGuidance2"/>
      </w:pPr>
      <w:r>
        <w:t>Specific Guidance</w:t>
      </w:r>
    </w:p>
    <w:p w14:paraId="7E7A8AA5" w14:textId="77777777" w:rsidR="00520822" w:rsidRDefault="00520822" w:rsidP="00520822">
      <w:pPr>
        <w:pStyle w:val="BodyText4"/>
      </w:pPr>
      <w:r>
        <w:t>No inspection guidance.</w:t>
      </w:r>
    </w:p>
    <w:p w14:paraId="1D788AF0" w14:textId="372A0320" w:rsidR="00520822" w:rsidRDefault="00520822" w:rsidP="00520822">
      <w:pPr>
        <w:pStyle w:val="BodyText3"/>
        <w:numPr>
          <w:ilvl w:val="1"/>
          <w:numId w:val="15"/>
        </w:numPr>
      </w:pPr>
      <w:r>
        <w:t xml:space="preserve">Verify the licensee notifies the NRC Operations Center within </w:t>
      </w:r>
      <w:r w:rsidR="00CA1047">
        <w:t>8</w:t>
      </w:r>
      <w:r>
        <w:t xml:space="preserve"> hours after time of discovery following transportation security program failures (10 CFR 73.1200(h)).</w:t>
      </w:r>
    </w:p>
    <w:p w14:paraId="1A60DC82" w14:textId="6A105671" w:rsidR="003D5F52" w:rsidRDefault="003D5F52" w:rsidP="00154FB2">
      <w:pPr>
        <w:pStyle w:val="SpecificGuidance2"/>
      </w:pPr>
      <w:r>
        <w:t>Specific Guidance</w:t>
      </w:r>
    </w:p>
    <w:p w14:paraId="5D349821" w14:textId="41282431" w:rsidR="003D5F52" w:rsidRDefault="003D5F52" w:rsidP="006C72CD">
      <w:pPr>
        <w:pStyle w:val="BodyText4"/>
      </w:pPr>
      <w:r>
        <w:t>No inspection guidance.</w:t>
      </w:r>
    </w:p>
    <w:p w14:paraId="45316F23" w14:textId="56657881" w:rsidR="006C71AD" w:rsidRDefault="006C71AD" w:rsidP="00513AC7">
      <w:pPr>
        <w:pStyle w:val="BodyText3"/>
        <w:numPr>
          <w:ilvl w:val="1"/>
          <w:numId w:val="15"/>
        </w:numPr>
      </w:pPr>
      <w:r>
        <w:t>Verify that within 60 days of making a report in accordance with 73.1200, the licensee submits a written report to the NRC (10 CFR 73.1205).</w:t>
      </w:r>
    </w:p>
    <w:p w14:paraId="1D505B7D" w14:textId="668F7493" w:rsidR="00BE67CE" w:rsidRDefault="00BE67CE" w:rsidP="00154FB2">
      <w:pPr>
        <w:pStyle w:val="SpecificGuidance2"/>
      </w:pPr>
      <w:r>
        <w:t>Specific Guidance</w:t>
      </w:r>
    </w:p>
    <w:p w14:paraId="022C46BA" w14:textId="39640E04" w:rsidR="00BE67CE" w:rsidRDefault="00651089" w:rsidP="006C72CD">
      <w:pPr>
        <w:pStyle w:val="BodyText4"/>
      </w:pPr>
      <w:r>
        <w:t xml:space="preserve">To inspect this requirement, the inspector(s) should review any written reports </w:t>
      </w:r>
      <w:r w:rsidR="007722EB">
        <w:t>submitted by the licensee and ensure the report contains</w:t>
      </w:r>
      <w:r w:rsidR="00D938C3">
        <w:t xml:space="preserve"> sufficient information for NRC analysis and evaluation.</w:t>
      </w:r>
    </w:p>
    <w:p w14:paraId="6D9DA3CB" w14:textId="4A81863A" w:rsidR="00513AC7" w:rsidRPr="00513AC7" w:rsidRDefault="00513AC7" w:rsidP="00513AC7">
      <w:pPr>
        <w:pStyle w:val="BodyText"/>
        <w:keepNext/>
        <w:numPr>
          <w:ilvl w:val="0"/>
          <w:numId w:val="6"/>
        </w:numPr>
        <w:rPr>
          <w:u w:val="single"/>
        </w:rPr>
      </w:pPr>
      <w:r w:rsidRPr="00513AC7">
        <w:rPr>
          <w:u w:val="single"/>
        </w:rPr>
        <w:t>Event</w:t>
      </w:r>
      <w:r w:rsidR="0049715B">
        <w:rPr>
          <w:u w:val="single"/>
        </w:rPr>
        <w:t>s</w:t>
      </w:r>
    </w:p>
    <w:p w14:paraId="3BC67DC8" w14:textId="56D7DD99" w:rsidR="00B443BE" w:rsidRDefault="007D4460" w:rsidP="00F46D1E">
      <w:pPr>
        <w:pStyle w:val="BodyText"/>
        <w:numPr>
          <w:ilvl w:val="1"/>
          <w:numId w:val="16"/>
        </w:numPr>
      </w:pPr>
      <w:r>
        <w:t xml:space="preserve">Verify </w:t>
      </w:r>
      <w:bookmarkStart w:id="10" w:name="_Hlk144917851"/>
      <w:r>
        <w:t>the licensee maintains a current log and record</w:t>
      </w:r>
      <w:r w:rsidR="007721CF">
        <w:t>s</w:t>
      </w:r>
      <w:r>
        <w:t xml:space="preserve"> the safeguards events</w:t>
      </w:r>
      <w:r w:rsidR="00785CC0">
        <w:t xml:space="preserve"> within 24 hours</w:t>
      </w:r>
      <w:r w:rsidR="007721CF">
        <w:t xml:space="preserve"> of discovery (10 CFR 73.</w:t>
      </w:r>
      <w:r w:rsidR="0053501F">
        <w:t>1210</w:t>
      </w:r>
      <w:r w:rsidR="001B2749">
        <w:t>).</w:t>
      </w:r>
      <w:bookmarkEnd w:id="10"/>
    </w:p>
    <w:p w14:paraId="48EB306D" w14:textId="667D3C52" w:rsidR="006A109F" w:rsidRDefault="009E3484" w:rsidP="00B5445C">
      <w:pPr>
        <w:pStyle w:val="SpecificGuidance"/>
      </w:pPr>
      <w:r>
        <w:t>Specific Guidance</w:t>
      </w:r>
    </w:p>
    <w:p w14:paraId="072E9F73" w14:textId="0947098A" w:rsidR="005D5970" w:rsidRDefault="006A36FA" w:rsidP="00B5445C">
      <w:pPr>
        <w:pStyle w:val="BodyText3"/>
      </w:pPr>
      <w:r>
        <w:t xml:space="preserve">To inspect this requirement, the inspector(s) should review and evaluate </w:t>
      </w:r>
      <w:r w:rsidR="00983123">
        <w:t>licensee event reports and safeguards log entries since the last inspection</w:t>
      </w:r>
      <w:r w:rsidR="00A8351D">
        <w:t>.</w:t>
      </w:r>
    </w:p>
    <w:p w14:paraId="2F06BC77" w14:textId="2CDB2F62" w:rsidR="007B51C5" w:rsidRPr="0060627D" w:rsidRDefault="00D924DF" w:rsidP="00DC391E">
      <w:pPr>
        <w:pStyle w:val="Heading2"/>
        <w:rPr>
          <w:u w:val="single"/>
        </w:rPr>
      </w:pPr>
      <w:bookmarkStart w:id="11" w:name="_Toc158122708"/>
      <w:r>
        <w:t>03</w:t>
      </w:r>
      <w:r w:rsidR="007B51C5">
        <w:t>.07</w:t>
      </w:r>
      <w:r w:rsidR="00772BA1">
        <w:tab/>
      </w:r>
      <w:r w:rsidR="0060627D">
        <w:rPr>
          <w:u w:val="single"/>
        </w:rPr>
        <w:t>Examples of Additional Site-Specific Security Measures</w:t>
      </w:r>
      <w:bookmarkEnd w:id="11"/>
    </w:p>
    <w:p w14:paraId="5F329D73" w14:textId="0EC35A54" w:rsidR="000161A1" w:rsidRPr="00680219" w:rsidRDefault="00F55A96" w:rsidP="00F46D1E">
      <w:pPr>
        <w:pStyle w:val="BodyText"/>
        <w:numPr>
          <w:ilvl w:val="0"/>
          <w:numId w:val="7"/>
        </w:numPr>
      </w:pPr>
      <w:r>
        <w:rPr>
          <w:u w:val="single"/>
        </w:rPr>
        <w:t>Access Controls</w:t>
      </w:r>
    </w:p>
    <w:p w14:paraId="1B6B3B87" w14:textId="08DB610A" w:rsidR="00680219" w:rsidRDefault="00680219" w:rsidP="00565E3F">
      <w:pPr>
        <w:pStyle w:val="SpecificGuidance"/>
      </w:pPr>
      <w:r>
        <w:t>Specifi</w:t>
      </w:r>
      <w:r w:rsidR="006B0AFA">
        <w:t>c Guidance</w:t>
      </w:r>
    </w:p>
    <w:p w14:paraId="28AAE6F5" w14:textId="3C398C80" w:rsidR="006B0AFA" w:rsidRDefault="006A2BC0" w:rsidP="00680219">
      <w:pPr>
        <w:pStyle w:val="ListParagraph"/>
      </w:pPr>
      <w:r>
        <w:t xml:space="preserve">The loading and transfer of SNM must be performed in a </w:t>
      </w:r>
      <w:r w:rsidR="000D3BB8">
        <w:t>Controlled Access Area (</w:t>
      </w:r>
      <w:r>
        <w:t>CAA</w:t>
      </w:r>
      <w:r w:rsidR="000D3BB8">
        <w:t>)</w:t>
      </w:r>
      <w:r>
        <w:t>.</w:t>
      </w:r>
    </w:p>
    <w:p w14:paraId="7D035FD3" w14:textId="250E113E" w:rsidR="006A2BC0" w:rsidRDefault="006A2BC0" w:rsidP="00680219">
      <w:pPr>
        <w:pStyle w:val="ListParagraph"/>
      </w:pPr>
      <w:r>
        <w:t>The licensee must control keys, locks, combinations, and passwords related to the transport of SNM.</w:t>
      </w:r>
    </w:p>
    <w:p w14:paraId="2BF56230" w14:textId="4BC0F3E6" w:rsidR="00822613" w:rsidRPr="00267E5F" w:rsidRDefault="00267E5F" w:rsidP="00F46D1E">
      <w:pPr>
        <w:pStyle w:val="BodyText"/>
        <w:numPr>
          <w:ilvl w:val="0"/>
          <w:numId w:val="7"/>
        </w:numPr>
      </w:pPr>
      <w:r>
        <w:rPr>
          <w:u w:val="single"/>
        </w:rPr>
        <w:t>Transportation Security Measures</w:t>
      </w:r>
    </w:p>
    <w:p w14:paraId="6A217B65" w14:textId="51ABDA68" w:rsidR="00267E5F" w:rsidRDefault="005E5B6E" w:rsidP="00B5445C">
      <w:pPr>
        <w:pStyle w:val="BodyText3"/>
      </w:pPr>
      <w:r>
        <w:t>SNM transport must be conducted in closed and locked conveyances, compartments, or freight containers. Packages weighing more than 1,000 kilograms that are locked or sealed may be transported in open vehicles. For air transport, SNM must be transported in a cargo aircraft.</w:t>
      </w:r>
      <w:r w:rsidR="00193A66">
        <w:t xml:space="preserve"> </w:t>
      </w:r>
      <w:r w:rsidR="0007298B">
        <w:t>SNM must be shipped in containers that are protected by tamper</w:t>
      </w:r>
      <w:r w:rsidR="00284E08">
        <w:t xml:space="preserve"> </w:t>
      </w:r>
      <w:r w:rsidR="0007298B">
        <w:t>indicating seals. The integrity of locks and seals must be checked before departure and upon arrival.</w:t>
      </w:r>
    </w:p>
    <w:p w14:paraId="7AA152DC" w14:textId="1685678F" w:rsidR="0007298B" w:rsidRDefault="0007298B" w:rsidP="00B5445C">
      <w:pPr>
        <w:pStyle w:val="BodyText3"/>
      </w:pPr>
      <w:r>
        <w:lastRenderedPageBreak/>
        <w:t>The licensee must develop and implement procedure for search of conveyance b</w:t>
      </w:r>
      <w:r w:rsidR="0012613B">
        <w:t>efore loading or transfer. The conveyance must be searched for explosives, incendiary devices, or other items or conditions that have the potential of compromising the shipment. Following the search, the conveyance must remain inside a CAA area or under cont</w:t>
      </w:r>
      <w:r w:rsidR="00E17431">
        <w:t>inuous surveillance.</w:t>
      </w:r>
    </w:p>
    <w:p w14:paraId="7929276A" w14:textId="23935D96" w:rsidR="00E17431" w:rsidRDefault="00E17431" w:rsidP="00B5445C">
      <w:pPr>
        <w:pStyle w:val="BodyText3"/>
      </w:pPr>
      <w:r>
        <w:t>Before transfer, the shipment must only be released when the individual who is in possession of the shipment has assured positive identification of all the persons assuming custody for the shipment.</w:t>
      </w:r>
    </w:p>
    <w:p w14:paraId="57A94C0F" w14:textId="68BA1ABD" w:rsidR="00E17431" w:rsidRPr="00C54455" w:rsidRDefault="00C54455" w:rsidP="00F46D1E">
      <w:pPr>
        <w:pStyle w:val="BodyText"/>
        <w:numPr>
          <w:ilvl w:val="0"/>
          <w:numId w:val="7"/>
        </w:numPr>
      </w:pPr>
      <w:r>
        <w:rPr>
          <w:u w:val="single"/>
        </w:rPr>
        <w:t>Response</w:t>
      </w:r>
    </w:p>
    <w:p w14:paraId="25D5521F" w14:textId="09FDAEDE" w:rsidR="00C54455" w:rsidRDefault="00422BF6" w:rsidP="00C54455">
      <w:pPr>
        <w:pStyle w:val="ListParagraph"/>
      </w:pPr>
      <w:r>
        <w:t>Licensees must establish, maintain, and implement a threat-warning system that identifies specific graduated protective measures and actions to be taken to increase licensee preparedness against a heightened security threat. Licensees must ensure that the specific protective measures and actions identified for each threat level are consistent with the security plan and other emergency plans and procedures. Upon notification by an authorized NRC representative, licensees must implement the specific protective measures based on the threat.</w:t>
      </w:r>
    </w:p>
    <w:p w14:paraId="63BBCA8E" w14:textId="2A1BD7C2" w:rsidR="000E65B6" w:rsidRDefault="000E65B6" w:rsidP="00D924DF">
      <w:pPr>
        <w:pStyle w:val="Heading1"/>
      </w:pPr>
      <w:bookmarkStart w:id="12" w:name="_Toc158122709"/>
      <w:r>
        <w:t>81</w:t>
      </w:r>
      <w:r w:rsidR="00FC6F35">
        <w:t>335-04</w:t>
      </w:r>
      <w:r w:rsidR="00FC6F35">
        <w:tab/>
        <w:t>RESOURCE ESTIMATE</w:t>
      </w:r>
      <w:bookmarkEnd w:id="12"/>
    </w:p>
    <w:p w14:paraId="4D082EBB" w14:textId="5ACBF3BB" w:rsidR="00FC6F35" w:rsidRDefault="00FC6F35" w:rsidP="00B5445C">
      <w:pPr>
        <w:pStyle w:val="BodyText3"/>
      </w:pPr>
      <w:r>
        <w:t xml:space="preserve">The resource estimate for the completion of this procedure consists of approximately </w:t>
      </w:r>
      <w:r w:rsidR="00CA1047">
        <w:t>8</w:t>
      </w:r>
      <w:r w:rsidR="006C72CD">
        <w:t> </w:t>
      </w:r>
      <w:r>
        <w:t xml:space="preserve">hours for the inspections. </w:t>
      </w:r>
      <w:r w:rsidRPr="004063F9">
        <w:t xml:space="preserve">The sample size for this procedure is </w:t>
      </w:r>
      <w:r w:rsidR="00CA1047">
        <w:t>one</w:t>
      </w:r>
      <w:r w:rsidRPr="004063F9">
        <w:t>.</w:t>
      </w:r>
    </w:p>
    <w:p w14:paraId="231B43E3" w14:textId="2EF00720" w:rsidR="00FC6F35" w:rsidRDefault="00FC6F35" w:rsidP="00D924DF">
      <w:pPr>
        <w:pStyle w:val="Heading1"/>
      </w:pPr>
      <w:bookmarkStart w:id="13" w:name="_Toc158122710"/>
      <w:r>
        <w:t>81335-</w:t>
      </w:r>
      <w:r w:rsidR="008B41DE">
        <w:t>05</w:t>
      </w:r>
      <w:r w:rsidR="008B41DE">
        <w:tab/>
        <w:t>PROCEDURE COMPLETION</w:t>
      </w:r>
      <w:bookmarkEnd w:id="13"/>
    </w:p>
    <w:p w14:paraId="747C7B1D" w14:textId="3C5DD378" w:rsidR="008B41DE" w:rsidRDefault="00AD6BCC" w:rsidP="00B5445C">
      <w:pPr>
        <w:pStyle w:val="BodyText3"/>
      </w:pPr>
      <w:r w:rsidRPr="004063F9">
        <w:t xml:space="preserve">The frequency of at which this inspection activity is to be conducted is </w:t>
      </w:r>
      <w:r w:rsidR="009D4B96" w:rsidRPr="004063F9">
        <w:t>trie</w:t>
      </w:r>
      <w:r w:rsidR="004063F9" w:rsidRPr="004063F9">
        <w:t xml:space="preserve">nnially (once every </w:t>
      </w:r>
      <w:r w:rsidR="00205328">
        <w:t>3</w:t>
      </w:r>
      <w:r w:rsidR="006C72CD">
        <w:t> </w:t>
      </w:r>
      <w:r w:rsidR="004063F9" w:rsidRPr="004063F9">
        <w:t>years)</w:t>
      </w:r>
      <w:r w:rsidRPr="004063F9">
        <w:t>.</w:t>
      </w:r>
    </w:p>
    <w:p w14:paraId="2725CC21" w14:textId="5AD42E1B" w:rsidR="008B41DE" w:rsidRDefault="00D33324" w:rsidP="00D924DF">
      <w:pPr>
        <w:pStyle w:val="Heading1"/>
      </w:pPr>
      <w:bookmarkStart w:id="14" w:name="_Toc158122711"/>
      <w:r>
        <w:t>81335-06</w:t>
      </w:r>
      <w:r>
        <w:tab/>
        <w:t>REFERENCES</w:t>
      </w:r>
      <w:bookmarkEnd w:id="14"/>
    </w:p>
    <w:p w14:paraId="59247652" w14:textId="681F194A" w:rsidR="00D90E14" w:rsidRDefault="00D90E14" w:rsidP="00F32FC7">
      <w:pPr>
        <w:pStyle w:val="BodyText2"/>
      </w:pPr>
      <w:r>
        <w:t>RG 5.59, “Standard Format and Content for a Licensee Physical Security Plan for the Protection of Special Nuclear Material of Moderate or Low Strategic Significance”</w:t>
      </w:r>
    </w:p>
    <w:p w14:paraId="4EFF67BC" w14:textId="5392981E" w:rsidR="00610D30" w:rsidRDefault="00610D30" w:rsidP="00F32FC7">
      <w:pPr>
        <w:pStyle w:val="BodyText2"/>
      </w:pPr>
      <w:r w:rsidRPr="006D0F59">
        <w:t xml:space="preserve">RG 5.62, </w:t>
      </w:r>
      <w:r>
        <w:t>“</w:t>
      </w:r>
      <w:r w:rsidRPr="006D0F59">
        <w:t>Reporting of Physical Security Events</w:t>
      </w:r>
      <w:r>
        <w:t>”</w:t>
      </w:r>
    </w:p>
    <w:p w14:paraId="14CE8037" w14:textId="1A0ECB41" w:rsidR="00C43052" w:rsidRPr="00EA2657" w:rsidRDefault="00E77608" w:rsidP="00E77608">
      <w:pPr>
        <w:pStyle w:val="END"/>
      </w:pPr>
      <w:r w:rsidRPr="00EA2657">
        <w:t>END</w:t>
      </w:r>
    </w:p>
    <w:p w14:paraId="66215C81" w14:textId="28E6BD2C" w:rsidR="00C43052" w:rsidRDefault="00C43052" w:rsidP="00E77608">
      <w:pPr>
        <w:pStyle w:val="BodyText"/>
      </w:pPr>
    </w:p>
    <w:p w14:paraId="7B143EA8" w14:textId="77777777" w:rsidR="002131D0" w:rsidRDefault="002131D0" w:rsidP="00E77608">
      <w:pPr>
        <w:pStyle w:val="BodyText"/>
        <w:sectPr w:rsidR="002131D0" w:rsidSect="00F3282F">
          <w:footerReference w:type="default" r:id="rId8"/>
          <w:pgSz w:w="12240" w:h="15840"/>
          <w:pgMar w:top="1440" w:right="1440" w:bottom="1440" w:left="1440" w:header="720" w:footer="720" w:gutter="0"/>
          <w:cols w:space="720"/>
          <w:docGrid w:linePitch="360"/>
        </w:sectPr>
      </w:pPr>
    </w:p>
    <w:p w14:paraId="12098DE7" w14:textId="2439F55C" w:rsidR="009E4305" w:rsidRDefault="009E4305" w:rsidP="00010813">
      <w:pPr>
        <w:pStyle w:val="attachmenttitle"/>
        <w:rPr>
          <w:u w:val="single"/>
        </w:rPr>
      </w:pPr>
      <w:r>
        <w:lastRenderedPageBreak/>
        <w:t>A</w:t>
      </w:r>
      <w:r w:rsidR="002131D0">
        <w:t>ttachment</w:t>
      </w:r>
      <w:r>
        <w:t xml:space="preserve"> 1</w:t>
      </w:r>
      <w:r w:rsidR="002131D0">
        <w:t xml:space="preserve">: </w:t>
      </w:r>
      <w:r w:rsidRPr="002131D0">
        <w:t>Revision History for IP 81335</w:t>
      </w:r>
    </w:p>
    <w:tbl>
      <w:tblPr>
        <w:tblStyle w:val="IM"/>
        <w:tblW w:w="12960" w:type="dxa"/>
        <w:tblLayout w:type="fixed"/>
        <w:tblLook w:val="0000" w:firstRow="0" w:lastRow="0" w:firstColumn="0" w:lastColumn="0" w:noHBand="0" w:noVBand="0"/>
      </w:tblPr>
      <w:tblGrid>
        <w:gridCol w:w="1435"/>
        <w:gridCol w:w="1620"/>
        <w:gridCol w:w="5850"/>
        <w:gridCol w:w="1800"/>
        <w:gridCol w:w="2255"/>
      </w:tblGrid>
      <w:tr w:rsidR="00D87658" w:rsidRPr="000D7AB7" w14:paraId="0429E624" w14:textId="77777777" w:rsidTr="0029580E">
        <w:trPr>
          <w:tblHeader w:val="0"/>
        </w:trPr>
        <w:tc>
          <w:tcPr>
            <w:tcW w:w="1435" w:type="dxa"/>
          </w:tcPr>
          <w:p w14:paraId="4E14CD52" w14:textId="77777777" w:rsidR="00D87658" w:rsidRPr="000D7AB7" w:rsidRDefault="00D87658" w:rsidP="00A92D58">
            <w:pPr>
              <w:pStyle w:val="BodyText-table"/>
            </w:pPr>
            <w:r w:rsidRPr="000D7AB7">
              <w:t>Commitment Tracking Number</w:t>
            </w:r>
          </w:p>
        </w:tc>
        <w:tc>
          <w:tcPr>
            <w:tcW w:w="1620" w:type="dxa"/>
          </w:tcPr>
          <w:p w14:paraId="087F1133" w14:textId="77777777" w:rsidR="00D87658" w:rsidRDefault="00D87658" w:rsidP="00A92D58">
            <w:pPr>
              <w:pStyle w:val="BodyText-table"/>
            </w:pPr>
            <w:r>
              <w:t>Accession Number</w:t>
            </w:r>
          </w:p>
          <w:p w14:paraId="0C8F1854" w14:textId="77777777" w:rsidR="00D87658" w:rsidRDefault="00D87658" w:rsidP="00A92D58">
            <w:pPr>
              <w:pStyle w:val="BodyText-table"/>
            </w:pPr>
            <w:r w:rsidRPr="000D7AB7">
              <w:t>Issue Date</w:t>
            </w:r>
          </w:p>
          <w:p w14:paraId="0F15A493" w14:textId="7B7B8875" w:rsidR="00D87658" w:rsidRPr="000D7AB7" w:rsidRDefault="00D87658" w:rsidP="00A92D58">
            <w:pPr>
              <w:pStyle w:val="BodyText-table"/>
            </w:pPr>
            <w:r>
              <w:t>Change Notice</w:t>
            </w:r>
          </w:p>
        </w:tc>
        <w:tc>
          <w:tcPr>
            <w:tcW w:w="5850" w:type="dxa"/>
          </w:tcPr>
          <w:p w14:paraId="4C575073" w14:textId="77777777" w:rsidR="00D87658" w:rsidRPr="000D7AB7" w:rsidRDefault="00D87658" w:rsidP="00A92D58">
            <w:pPr>
              <w:pStyle w:val="BodyText-table"/>
            </w:pPr>
            <w:r w:rsidRPr="000D7AB7">
              <w:t>Description of Change</w:t>
            </w:r>
          </w:p>
        </w:tc>
        <w:tc>
          <w:tcPr>
            <w:tcW w:w="1800" w:type="dxa"/>
          </w:tcPr>
          <w:p w14:paraId="0643483E" w14:textId="1F6075DE" w:rsidR="00D87658" w:rsidRPr="000D7AB7" w:rsidRDefault="00B93567" w:rsidP="00A92D58">
            <w:pPr>
              <w:pStyle w:val="BodyText-table"/>
            </w:pPr>
            <w:r>
              <w:t xml:space="preserve">Description of </w:t>
            </w:r>
            <w:r w:rsidR="00D87658" w:rsidRPr="000D7AB7">
              <w:t>Training</w:t>
            </w:r>
            <w:r w:rsidR="00C372BB">
              <w:t xml:space="preserve"> Required and</w:t>
            </w:r>
            <w:r w:rsidR="00D87658" w:rsidRPr="000D7AB7">
              <w:t xml:space="preserve"> Completion Date</w:t>
            </w:r>
          </w:p>
        </w:tc>
        <w:tc>
          <w:tcPr>
            <w:tcW w:w="2255" w:type="dxa"/>
          </w:tcPr>
          <w:p w14:paraId="5E372240" w14:textId="51BBE79D" w:rsidR="00D87658" w:rsidRPr="000D7AB7" w:rsidRDefault="00D87658" w:rsidP="00A92D58">
            <w:pPr>
              <w:pStyle w:val="BodyText-table"/>
            </w:pPr>
            <w:r w:rsidRPr="000D7AB7">
              <w:t xml:space="preserve">Comment Resolution </w:t>
            </w:r>
            <w:r>
              <w:t>and Closed Feedback Form Accession Number</w:t>
            </w:r>
            <w:r w:rsidR="00B93567">
              <w:t xml:space="preserve"> (Pre-Decisional Non-Public Information)</w:t>
            </w:r>
          </w:p>
        </w:tc>
      </w:tr>
      <w:tr w:rsidR="00D87658" w:rsidRPr="000D7AB7" w14:paraId="154ECA47" w14:textId="77777777" w:rsidTr="0029580E">
        <w:trPr>
          <w:tblHeader w:val="0"/>
        </w:trPr>
        <w:tc>
          <w:tcPr>
            <w:tcW w:w="1435" w:type="dxa"/>
          </w:tcPr>
          <w:p w14:paraId="566EB457" w14:textId="77777777" w:rsidR="00D87658" w:rsidRPr="000D7AB7" w:rsidRDefault="00D87658" w:rsidP="00A92D58">
            <w:pPr>
              <w:pStyle w:val="BodyText-table"/>
            </w:pPr>
            <w:r w:rsidRPr="000D7AB7">
              <w:t>N/A</w:t>
            </w:r>
          </w:p>
        </w:tc>
        <w:tc>
          <w:tcPr>
            <w:tcW w:w="1620" w:type="dxa"/>
          </w:tcPr>
          <w:p w14:paraId="70094F76" w14:textId="77777777" w:rsidR="00D87658" w:rsidRPr="000D7AB7" w:rsidRDefault="00D87658" w:rsidP="00A92D58">
            <w:pPr>
              <w:pStyle w:val="BodyText-table"/>
            </w:pPr>
            <w:r>
              <w:t>12/02/09</w:t>
            </w:r>
          </w:p>
          <w:p w14:paraId="303A4440" w14:textId="77777777" w:rsidR="00D87658" w:rsidRPr="000D7AB7" w:rsidRDefault="00D87658" w:rsidP="00A92D58">
            <w:pPr>
              <w:pStyle w:val="BodyText-table"/>
            </w:pPr>
            <w:r w:rsidRPr="000D7AB7">
              <w:t>CN</w:t>
            </w:r>
            <w:r>
              <w:t xml:space="preserve"> 09-029</w:t>
            </w:r>
          </w:p>
        </w:tc>
        <w:tc>
          <w:tcPr>
            <w:tcW w:w="5850" w:type="dxa"/>
          </w:tcPr>
          <w:p w14:paraId="465911C2" w14:textId="57587A65" w:rsidR="00D87658" w:rsidRPr="000D7AB7" w:rsidRDefault="00D87658" w:rsidP="00A92D58">
            <w:pPr>
              <w:pStyle w:val="BodyText-table"/>
            </w:pPr>
            <w:r w:rsidRPr="000D7AB7">
              <w:t xml:space="preserve">This document has been revised to: (1) emphasize the risk-informed, performance-based approach to inspection, (2) impose changes to inspection activities due to orders issued that have not been incorporated by rulemaking. Completed </w:t>
            </w:r>
            <w:r w:rsidR="0029580E" w:rsidRPr="000D7AB7">
              <w:t>4-year</w:t>
            </w:r>
            <w:r w:rsidRPr="000D7AB7">
              <w:t xml:space="preserve"> historical CN search.</w:t>
            </w:r>
          </w:p>
        </w:tc>
        <w:tc>
          <w:tcPr>
            <w:tcW w:w="1800" w:type="dxa"/>
          </w:tcPr>
          <w:p w14:paraId="5E66EF24" w14:textId="77777777" w:rsidR="00D87658" w:rsidRPr="000D7AB7" w:rsidRDefault="00D87658" w:rsidP="00A92D58">
            <w:pPr>
              <w:pStyle w:val="BodyText-table"/>
            </w:pPr>
            <w:r w:rsidRPr="000D7AB7">
              <w:t>N/A</w:t>
            </w:r>
          </w:p>
        </w:tc>
        <w:tc>
          <w:tcPr>
            <w:tcW w:w="2255" w:type="dxa"/>
          </w:tcPr>
          <w:p w14:paraId="2DF118BD" w14:textId="77777777" w:rsidR="00D87658" w:rsidRPr="000D7AB7" w:rsidRDefault="00D87658" w:rsidP="00A92D58">
            <w:pPr>
              <w:pStyle w:val="BodyText-table"/>
            </w:pPr>
            <w:r w:rsidRPr="000D7AB7">
              <w:t>N/A</w:t>
            </w:r>
          </w:p>
        </w:tc>
      </w:tr>
      <w:tr w:rsidR="00D87658" w:rsidRPr="006D0F59" w14:paraId="127E00D3" w14:textId="77777777" w:rsidTr="0029580E">
        <w:trPr>
          <w:tblHeader w:val="0"/>
        </w:trPr>
        <w:tc>
          <w:tcPr>
            <w:tcW w:w="1435" w:type="dxa"/>
          </w:tcPr>
          <w:p w14:paraId="0AB2C171" w14:textId="77777777" w:rsidR="00D87658" w:rsidRPr="006D0F59" w:rsidRDefault="00D87658" w:rsidP="00A92D58">
            <w:pPr>
              <w:pStyle w:val="BodyText-table"/>
              <w:rPr>
                <w:color w:val="000000"/>
              </w:rPr>
            </w:pPr>
          </w:p>
        </w:tc>
        <w:tc>
          <w:tcPr>
            <w:tcW w:w="1620" w:type="dxa"/>
          </w:tcPr>
          <w:p w14:paraId="3B36C73A" w14:textId="5D222BD9" w:rsidR="00D87658" w:rsidRPr="0014460D" w:rsidRDefault="00D87658" w:rsidP="00A92D58">
            <w:pPr>
              <w:pStyle w:val="BodyText-table"/>
              <w:rPr>
                <w:color w:val="000000"/>
                <w:highlight w:val="yellow"/>
              </w:rPr>
            </w:pPr>
            <w:r w:rsidRPr="00DE62FA">
              <w:rPr>
                <w:color w:val="000000"/>
              </w:rPr>
              <w:t>M</w:t>
            </w:r>
            <w:r w:rsidR="000D3BB8" w:rsidRPr="00DE62FA">
              <w:rPr>
                <w:color w:val="000000"/>
              </w:rPr>
              <w:t>L23172A26</w:t>
            </w:r>
            <w:r w:rsidR="00BB26DB">
              <w:rPr>
                <w:color w:val="000000"/>
              </w:rPr>
              <w:t>5</w:t>
            </w:r>
          </w:p>
          <w:p w14:paraId="1F4E36EF" w14:textId="07FC5559" w:rsidR="00D87658" w:rsidRPr="00F67AF6" w:rsidRDefault="0097177A" w:rsidP="00A92D58">
            <w:pPr>
              <w:pStyle w:val="BodyText-table"/>
              <w:rPr>
                <w:color w:val="000000"/>
              </w:rPr>
            </w:pPr>
            <w:r>
              <w:rPr>
                <w:color w:val="000000"/>
              </w:rPr>
              <w:t>02/07/24</w:t>
            </w:r>
          </w:p>
          <w:p w14:paraId="06B3AFA5" w14:textId="6F099AC4" w:rsidR="00D87658" w:rsidRPr="006D0F59" w:rsidRDefault="00D87658" w:rsidP="00A92D58">
            <w:pPr>
              <w:pStyle w:val="BodyText-table"/>
              <w:rPr>
                <w:color w:val="000000"/>
              </w:rPr>
            </w:pPr>
            <w:r w:rsidRPr="009C2C0D">
              <w:rPr>
                <w:color w:val="000000"/>
              </w:rPr>
              <w:t>CN</w:t>
            </w:r>
            <w:r w:rsidR="0097177A">
              <w:rPr>
                <w:color w:val="000000"/>
              </w:rPr>
              <w:t xml:space="preserve"> 24-006</w:t>
            </w:r>
          </w:p>
        </w:tc>
        <w:tc>
          <w:tcPr>
            <w:tcW w:w="5850" w:type="dxa"/>
          </w:tcPr>
          <w:p w14:paraId="36660B22" w14:textId="785C4A42" w:rsidR="00D87658" w:rsidRPr="006D0F59" w:rsidRDefault="001C172E" w:rsidP="00A92D58">
            <w:pPr>
              <w:pStyle w:val="BodyText-table"/>
              <w:rPr>
                <w:color w:val="000000"/>
              </w:rPr>
            </w:pPr>
            <w:r w:rsidRPr="00EA2657">
              <w:t>This document has been revised to ensure it is applicable to Category II fuel cycle facilities and up to date with current regulations and orders. Upon completion of a SUNSI review, the staff concluded that this document should be de-controlled. Consistent with the staff’s SUNSI determination, this document has been de-controlled and the SUNSI markings have been removed.</w:t>
            </w:r>
          </w:p>
        </w:tc>
        <w:tc>
          <w:tcPr>
            <w:tcW w:w="1800" w:type="dxa"/>
          </w:tcPr>
          <w:p w14:paraId="5A640640" w14:textId="20A0B740" w:rsidR="00D87658" w:rsidRPr="006D0F59" w:rsidRDefault="0061443B" w:rsidP="00A92D58">
            <w:pPr>
              <w:pStyle w:val="BodyText-table"/>
              <w:rPr>
                <w:color w:val="000000"/>
              </w:rPr>
            </w:pPr>
            <w:r>
              <w:rPr>
                <w:color w:val="000000"/>
              </w:rPr>
              <w:t>N/A</w:t>
            </w:r>
          </w:p>
        </w:tc>
        <w:tc>
          <w:tcPr>
            <w:tcW w:w="2255" w:type="dxa"/>
          </w:tcPr>
          <w:p w14:paraId="4A50A2AF" w14:textId="057F81DC" w:rsidR="00D87658" w:rsidRPr="006D0F59" w:rsidRDefault="00BB26DB" w:rsidP="00A92D58">
            <w:pPr>
              <w:pStyle w:val="BodyText-table"/>
              <w:rPr>
                <w:color w:val="000000"/>
              </w:rPr>
            </w:pPr>
            <w:r>
              <w:rPr>
                <w:color w:val="000000"/>
              </w:rPr>
              <w:t>ML</w:t>
            </w:r>
            <w:r w:rsidR="00F6055A">
              <w:rPr>
                <w:color w:val="000000"/>
              </w:rPr>
              <w:t>23192A828</w:t>
            </w:r>
          </w:p>
        </w:tc>
      </w:tr>
    </w:tbl>
    <w:p w14:paraId="44FB89ED" w14:textId="77777777" w:rsidR="000161A1" w:rsidRDefault="000161A1" w:rsidP="00A92D58">
      <w:pPr>
        <w:pStyle w:val="BodyText"/>
      </w:pPr>
    </w:p>
    <w:sectPr w:rsidR="000161A1" w:rsidSect="0097177A">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7AD1" w14:textId="77777777" w:rsidR="00682906" w:rsidRDefault="00682906" w:rsidP="00E10EC2">
      <w:pPr>
        <w:spacing w:after="0" w:line="240" w:lineRule="auto"/>
      </w:pPr>
      <w:r>
        <w:separator/>
      </w:r>
    </w:p>
  </w:endnote>
  <w:endnote w:type="continuationSeparator" w:id="0">
    <w:p w14:paraId="15A3D429" w14:textId="77777777" w:rsidR="00682906" w:rsidRDefault="00682906" w:rsidP="00E10EC2">
      <w:pPr>
        <w:spacing w:after="0" w:line="240" w:lineRule="auto"/>
      </w:pPr>
      <w:r>
        <w:continuationSeparator/>
      </w:r>
    </w:p>
  </w:endnote>
  <w:endnote w:type="continuationNotice" w:id="1">
    <w:p w14:paraId="5E75F427" w14:textId="77777777" w:rsidR="00682906" w:rsidRDefault="00682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6735" w14:textId="77777777" w:rsidR="00CF40BC" w:rsidRPr="002131D0" w:rsidRDefault="00CF40BC" w:rsidP="002131D0">
    <w:pPr>
      <w:pStyle w:val="Footer"/>
    </w:pPr>
    <w:r>
      <w:t>Issue Date: 02/07/24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81335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4B57" w14:textId="7C94B97C" w:rsidR="0097177A" w:rsidRPr="002131D0" w:rsidRDefault="0097177A" w:rsidP="002131D0">
    <w:pPr>
      <w:pStyle w:val="Footer"/>
    </w:pPr>
    <w:r>
      <w:t>Issue Date: 02/07/24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F381" w14:textId="77777777" w:rsidR="00682906" w:rsidRDefault="00682906" w:rsidP="00E10EC2">
      <w:pPr>
        <w:spacing w:after="0" w:line="240" w:lineRule="auto"/>
      </w:pPr>
      <w:r>
        <w:separator/>
      </w:r>
    </w:p>
  </w:footnote>
  <w:footnote w:type="continuationSeparator" w:id="0">
    <w:p w14:paraId="336680D4" w14:textId="77777777" w:rsidR="00682906" w:rsidRDefault="00682906" w:rsidP="00E10EC2">
      <w:pPr>
        <w:spacing w:after="0" w:line="240" w:lineRule="auto"/>
      </w:pPr>
      <w:r>
        <w:continuationSeparator/>
      </w:r>
    </w:p>
  </w:footnote>
  <w:footnote w:type="continuationNotice" w:id="1">
    <w:p w14:paraId="20C35564" w14:textId="77777777" w:rsidR="00682906" w:rsidRDefault="00682906">
      <w:pPr>
        <w:spacing w:after="0" w:line="240" w:lineRule="auto"/>
      </w:pPr>
    </w:p>
  </w:footnote>
  <w:footnote w:id="2">
    <w:p w14:paraId="19726EDF" w14:textId="0B73D2D0" w:rsidR="00AF4F57" w:rsidRDefault="00AF4F57">
      <w:pPr>
        <w:pStyle w:val="FootnoteText"/>
      </w:pPr>
      <w:r>
        <w:rPr>
          <w:rStyle w:val="FootnoteReference"/>
        </w:rPr>
        <w:footnoteRef/>
      </w:r>
      <w:r>
        <w:t xml:space="preserve"> </w:t>
      </w:r>
      <w:r w:rsidR="00EC202A">
        <w:rPr>
          <w:rFonts w:cs="Arial"/>
        </w:rPr>
        <w:t xml:space="preserve">Defined in 10 CFR 73.2 as less </w:t>
      </w:r>
      <w:r w:rsidR="00FE1B19" w:rsidRPr="00511F25">
        <w:rPr>
          <w:rFonts w:cs="Arial"/>
          <w:color w:val="000000" w:themeColor="text1"/>
        </w:rPr>
        <w:t>than</w:t>
      </w:r>
      <w:r w:rsidR="00FE1B19">
        <w:rPr>
          <w:rFonts w:cs="Arial"/>
        </w:rPr>
        <w:t xml:space="preserve"> </w:t>
      </w:r>
      <w:r w:rsidR="00EC202A">
        <w:rPr>
          <w:rFonts w:cs="Arial"/>
        </w:rPr>
        <w:t>a formula quantity of SNM but (1) more than 1000 grams</w:t>
      </w:r>
      <w:r w:rsidR="00DF08D5">
        <w:rPr>
          <w:rFonts w:cs="Arial"/>
        </w:rPr>
        <w:t xml:space="preserve"> </w:t>
      </w:r>
      <w:r w:rsidR="00EC202A">
        <w:rPr>
          <w:rFonts w:cs="Arial"/>
        </w:rPr>
        <w:t xml:space="preserve">of </w:t>
      </w:r>
      <w:r w:rsidR="00CF3EE6">
        <w:rPr>
          <w:rFonts w:cs="Arial"/>
        </w:rPr>
        <w:t>u</w:t>
      </w:r>
      <w:r w:rsidR="004E1D46">
        <w:rPr>
          <w:rFonts w:cs="Arial"/>
        </w:rPr>
        <w:t>ranium</w:t>
      </w:r>
      <w:r w:rsidR="00CF3EE6">
        <w:rPr>
          <w:rFonts w:cs="Arial"/>
        </w:rPr>
        <w:t xml:space="preserve"> (U)-</w:t>
      </w:r>
      <w:r w:rsidR="00EC202A">
        <w:rPr>
          <w:rFonts w:cs="Arial"/>
        </w:rPr>
        <w:t>235 (enrichment of 20</w:t>
      </w:r>
      <w:r w:rsidR="00DD0CCB">
        <w:rPr>
          <w:rFonts w:cs="Arial"/>
        </w:rPr>
        <w:t xml:space="preserve"> per</w:t>
      </w:r>
      <w:r w:rsidR="002165AA">
        <w:rPr>
          <w:rFonts w:cs="Arial"/>
        </w:rPr>
        <w:t>cent</w:t>
      </w:r>
      <w:r w:rsidR="00763612">
        <w:rPr>
          <w:rFonts w:cs="Arial"/>
        </w:rPr>
        <w:t xml:space="preserve"> (</w:t>
      </w:r>
      <w:r w:rsidR="00C311B2">
        <w:rPr>
          <w:rFonts w:cs="Arial"/>
        </w:rPr>
        <w:t>%)</w:t>
      </w:r>
      <w:r w:rsidR="00EC202A">
        <w:rPr>
          <w:rFonts w:cs="Arial"/>
        </w:rPr>
        <w:t xml:space="preserve"> or more), (2) more than 500 </w:t>
      </w:r>
      <w:r w:rsidR="00763612">
        <w:rPr>
          <w:rFonts w:cs="Arial"/>
        </w:rPr>
        <w:t>g</w:t>
      </w:r>
      <w:r w:rsidR="00270763">
        <w:rPr>
          <w:rFonts w:cs="Arial"/>
        </w:rPr>
        <w:t>rams</w:t>
      </w:r>
      <w:r w:rsidR="00EC202A">
        <w:rPr>
          <w:rFonts w:cs="Arial"/>
        </w:rPr>
        <w:t xml:space="preserve"> of U033 or plutonium, (3) more than 1000 </w:t>
      </w:r>
      <w:r w:rsidR="00C311B2">
        <w:rPr>
          <w:rFonts w:cs="Arial"/>
        </w:rPr>
        <w:t>g</w:t>
      </w:r>
      <w:r w:rsidR="00EC202A">
        <w:rPr>
          <w:rFonts w:cs="Arial"/>
        </w:rPr>
        <w:t xml:space="preserve"> when computed by the formula “g</w:t>
      </w:r>
      <w:r w:rsidR="0007477C">
        <w:rPr>
          <w:rFonts w:cs="Arial"/>
        </w:rPr>
        <w:t>rams</w:t>
      </w:r>
      <w:r w:rsidR="009B55FB">
        <w:rPr>
          <w:rFonts w:cs="Arial"/>
        </w:rPr>
        <w:t xml:space="preserve"> </w:t>
      </w:r>
      <w:r w:rsidR="00EC202A">
        <w:rPr>
          <w:rFonts w:cs="Arial"/>
        </w:rPr>
        <w:t>= (g</w:t>
      </w:r>
      <w:r w:rsidR="0007477C">
        <w:rPr>
          <w:rFonts w:cs="Arial"/>
        </w:rPr>
        <w:t>rams</w:t>
      </w:r>
      <w:r w:rsidR="00EC202A">
        <w:rPr>
          <w:rFonts w:cs="Arial"/>
        </w:rPr>
        <w:t xml:space="preserve"> U-235) + 2 (g</w:t>
      </w:r>
      <w:r w:rsidR="0007477C">
        <w:rPr>
          <w:rFonts w:cs="Arial"/>
        </w:rPr>
        <w:t>rams</w:t>
      </w:r>
      <w:r w:rsidR="00EC202A">
        <w:rPr>
          <w:rFonts w:cs="Arial"/>
        </w:rPr>
        <w:t xml:space="preserve"> U-233 + g</w:t>
      </w:r>
      <w:r w:rsidR="0007477C">
        <w:rPr>
          <w:rFonts w:cs="Arial"/>
        </w:rPr>
        <w:t>rams</w:t>
      </w:r>
      <w:r w:rsidR="00EC202A">
        <w:rPr>
          <w:rFonts w:cs="Arial"/>
        </w:rPr>
        <w:t xml:space="preserve"> plutonium),” or (4) more than or equal to 10,000 </w:t>
      </w:r>
      <w:r w:rsidR="00085514">
        <w:rPr>
          <w:rFonts w:cs="Arial"/>
        </w:rPr>
        <w:t>g</w:t>
      </w:r>
      <w:r w:rsidR="0007477C">
        <w:rPr>
          <w:rFonts w:cs="Arial"/>
        </w:rPr>
        <w:t>rams</w:t>
      </w:r>
      <w:r w:rsidR="00EC202A">
        <w:rPr>
          <w:rFonts w:cs="Arial"/>
        </w:rPr>
        <w:t xml:space="preserve"> of U-235 (enrichment between 10% and 20%).</w:t>
      </w:r>
    </w:p>
  </w:footnote>
  <w:footnote w:id="3">
    <w:p w14:paraId="6F9037E4" w14:textId="77777777" w:rsidR="00A27A7A" w:rsidRDefault="00BD0674">
      <w:pPr>
        <w:pStyle w:val="FootnoteText"/>
      </w:pPr>
      <w:r>
        <w:rPr>
          <w:rStyle w:val="FootnoteReference"/>
        </w:rPr>
        <w:footnoteRef/>
      </w:r>
      <w:r>
        <w:t xml:space="preserve"> A licensee may be exempt from the requirements of 10 CFR 73.67 due to radiation dose ra</w:t>
      </w:r>
      <w:r w:rsidR="00B53ED1">
        <w:t>te</w:t>
      </w:r>
      <w:r w:rsidR="00116054">
        <w:t>, form</w:t>
      </w:r>
      <w:r w:rsidR="003C4FDF">
        <w:t xml:space="preserve"> of the material, or dispersal of the material among several buildings. </w:t>
      </w:r>
      <w:r w:rsidR="008C1335">
        <w:t xml:space="preserve">See reasons set forth in </w:t>
      </w:r>
    </w:p>
    <w:p w14:paraId="54497A47" w14:textId="7303B052" w:rsidR="00BD0674" w:rsidRDefault="008C1335">
      <w:pPr>
        <w:pStyle w:val="FootnoteText"/>
      </w:pPr>
      <w:r>
        <w:t>10 CFR 73.67(b).</w:t>
      </w:r>
    </w:p>
  </w:footnote>
  <w:footnote w:id="4">
    <w:p w14:paraId="25AD873D" w14:textId="614346B8" w:rsidR="008A7684" w:rsidRDefault="008A7684">
      <w:pPr>
        <w:pStyle w:val="FootnoteText"/>
      </w:pPr>
      <w:r>
        <w:rPr>
          <w:rStyle w:val="FootnoteReference"/>
        </w:rPr>
        <w:footnoteRef/>
      </w:r>
      <w:r>
        <w:t xml:space="preserve"> For export shipm</w:t>
      </w:r>
      <w:r w:rsidR="006A4F04">
        <w:t>ents, this should be accomplished at the point of departure from the United States.</w:t>
      </w:r>
    </w:p>
  </w:footnote>
  <w:footnote w:id="5">
    <w:p w14:paraId="1CAA508E" w14:textId="52CE459B" w:rsidR="00D07670" w:rsidRDefault="00D07670">
      <w:pPr>
        <w:pStyle w:val="FootnoteText"/>
      </w:pPr>
      <w:r>
        <w:rPr>
          <w:rStyle w:val="FootnoteReference"/>
        </w:rPr>
        <w:footnoteRef/>
      </w:r>
      <w:r>
        <w:t xml:space="preserve"> For import shipments, this should be accomplished at the first point of arrival in the United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16B"/>
    <w:multiLevelType w:val="multilevel"/>
    <w:tmpl w:val="E4C02B0A"/>
    <w:lvl w:ilvl="0">
      <w:start w:val="1"/>
      <w:numFmt w:val="lowerLetter"/>
      <w:lvlText w:val="%1."/>
      <w:lvlJc w:val="left"/>
      <w:pPr>
        <w:tabs>
          <w:tab w:val="num" w:pos="720"/>
        </w:tabs>
        <w:ind w:left="720" w:hanging="360"/>
      </w:pPr>
      <w:rPr>
        <w:rFonts w:hint="default"/>
        <w:color w:val="000000" w:themeColor="text1"/>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126D15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5BD1E1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66729A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6DE6CD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80F3A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61A7F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CE21B2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F626E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92F7D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FFB0F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84633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69EE12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726853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AC93C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BE60B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84823211">
    <w:abstractNumId w:val="7"/>
  </w:num>
  <w:num w:numId="2" w16cid:durableId="680859646">
    <w:abstractNumId w:val="12"/>
  </w:num>
  <w:num w:numId="3" w16cid:durableId="1817530476">
    <w:abstractNumId w:val="3"/>
  </w:num>
  <w:num w:numId="4" w16cid:durableId="2036493147">
    <w:abstractNumId w:val="11"/>
  </w:num>
  <w:num w:numId="5" w16cid:durableId="1824930299">
    <w:abstractNumId w:val="8"/>
  </w:num>
  <w:num w:numId="6" w16cid:durableId="1001078872">
    <w:abstractNumId w:val="0"/>
  </w:num>
  <w:num w:numId="7" w16cid:durableId="801532391">
    <w:abstractNumId w:val="13"/>
  </w:num>
  <w:num w:numId="8" w16cid:durableId="111485455">
    <w:abstractNumId w:val="6"/>
  </w:num>
  <w:num w:numId="9" w16cid:durableId="1201818141">
    <w:abstractNumId w:val="15"/>
  </w:num>
  <w:num w:numId="10" w16cid:durableId="1198813924">
    <w:abstractNumId w:val="4"/>
  </w:num>
  <w:num w:numId="11" w16cid:durableId="6952285">
    <w:abstractNumId w:val="10"/>
  </w:num>
  <w:num w:numId="12" w16cid:durableId="1343121957">
    <w:abstractNumId w:val="5"/>
  </w:num>
  <w:num w:numId="13" w16cid:durableId="481969269">
    <w:abstractNumId w:val="2"/>
  </w:num>
  <w:num w:numId="14" w16cid:durableId="1929078575">
    <w:abstractNumId w:val="1"/>
  </w:num>
  <w:num w:numId="15" w16cid:durableId="501090530">
    <w:abstractNumId w:val="14"/>
  </w:num>
  <w:num w:numId="16" w16cid:durableId="135754407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17"/>
    <w:rsid w:val="000018BD"/>
    <w:rsid w:val="00010123"/>
    <w:rsid w:val="00010813"/>
    <w:rsid w:val="000120CE"/>
    <w:rsid w:val="000146C7"/>
    <w:rsid w:val="000161A1"/>
    <w:rsid w:val="00017138"/>
    <w:rsid w:val="00017820"/>
    <w:rsid w:val="000275C2"/>
    <w:rsid w:val="000277E3"/>
    <w:rsid w:val="00031036"/>
    <w:rsid w:val="000423B6"/>
    <w:rsid w:val="00044DE0"/>
    <w:rsid w:val="00046D0F"/>
    <w:rsid w:val="00047D0E"/>
    <w:rsid w:val="00052CA6"/>
    <w:rsid w:val="00062567"/>
    <w:rsid w:val="000665CB"/>
    <w:rsid w:val="0007298B"/>
    <w:rsid w:val="000734BC"/>
    <w:rsid w:val="0007477C"/>
    <w:rsid w:val="00077E87"/>
    <w:rsid w:val="00085514"/>
    <w:rsid w:val="000954EE"/>
    <w:rsid w:val="000A190E"/>
    <w:rsid w:val="000A28AF"/>
    <w:rsid w:val="000B68E0"/>
    <w:rsid w:val="000C5B17"/>
    <w:rsid w:val="000D146C"/>
    <w:rsid w:val="000D39DA"/>
    <w:rsid w:val="000D3BB8"/>
    <w:rsid w:val="000E3FFA"/>
    <w:rsid w:val="000E5BB4"/>
    <w:rsid w:val="000E65B6"/>
    <w:rsid w:val="000E69C4"/>
    <w:rsid w:val="000F3EDC"/>
    <w:rsid w:val="000F68C9"/>
    <w:rsid w:val="000F6912"/>
    <w:rsid w:val="000F74ED"/>
    <w:rsid w:val="0010020C"/>
    <w:rsid w:val="001012D8"/>
    <w:rsid w:val="00107757"/>
    <w:rsid w:val="00114BF6"/>
    <w:rsid w:val="00116054"/>
    <w:rsid w:val="00117A27"/>
    <w:rsid w:val="00117E42"/>
    <w:rsid w:val="001244B3"/>
    <w:rsid w:val="0012613B"/>
    <w:rsid w:val="0013467A"/>
    <w:rsid w:val="0013482D"/>
    <w:rsid w:val="0014460D"/>
    <w:rsid w:val="00145952"/>
    <w:rsid w:val="001513AD"/>
    <w:rsid w:val="00154FB2"/>
    <w:rsid w:val="001670EE"/>
    <w:rsid w:val="00176713"/>
    <w:rsid w:val="00177E36"/>
    <w:rsid w:val="001865C2"/>
    <w:rsid w:val="00193A66"/>
    <w:rsid w:val="00194082"/>
    <w:rsid w:val="001A220A"/>
    <w:rsid w:val="001A3BF5"/>
    <w:rsid w:val="001A488F"/>
    <w:rsid w:val="001A77AA"/>
    <w:rsid w:val="001B2749"/>
    <w:rsid w:val="001C172E"/>
    <w:rsid w:val="001D1E20"/>
    <w:rsid w:val="001E19F0"/>
    <w:rsid w:val="001F340D"/>
    <w:rsid w:val="00205328"/>
    <w:rsid w:val="00212248"/>
    <w:rsid w:val="002131D0"/>
    <w:rsid w:val="002165AA"/>
    <w:rsid w:val="0021697E"/>
    <w:rsid w:val="002271EE"/>
    <w:rsid w:val="00230B7A"/>
    <w:rsid w:val="00232544"/>
    <w:rsid w:val="0023280C"/>
    <w:rsid w:val="00247627"/>
    <w:rsid w:val="00252BEE"/>
    <w:rsid w:val="00254F7D"/>
    <w:rsid w:val="0026148D"/>
    <w:rsid w:val="00263246"/>
    <w:rsid w:val="00265BFE"/>
    <w:rsid w:val="00267E5F"/>
    <w:rsid w:val="00270763"/>
    <w:rsid w:val="00283327"/>
    <w:rsid w:val="00284E08"/>
    <w:rsid w:val="0029580E"/>
    <w:rsid w:val="00295A0B"/>
    <w:rsid w:val="00297820"/>
    <w:rsid w:val="002A3337"/>
    <w:rsid w:val="002A6150"/>
    <w:rsid w:val="002A78E6"/>
    <w:rsid w:val="002B0CD1"/>
    <w:rsid w:val="002B6D06"/>
    <w:rsid w:val="002C2EE9"/>
    <w:rsid w:val="002C30BB"/>
    <w:rsid w:val="002C3891"/>
    <w:rsid w:val="002C5DCF"/>
    <w:rsid w:val="002D1825"/>
    <w:rsid w:val="002F7A0B"/>
    <w:rsid w:val="002F7D42"/>
    <w:rsid w:val="003070A3"/>
    <w:rsid w:val="00312F02"/>
    <w:rsid w:val="003214AD"/>
    <w:rsid w:val="00326A9F"/>
    <w:rsid w:val="00332A18"/>
    <w:rsid w:val="00335CCA"/>
    <w:rsid w:val="00344F8B"/>
    <w:rsid w:val="00351171"/>
    <w:rsid w:val="00360A59"/>
    <w:rsid w:val="003611A7"/>
    <w:rsid w:val="00373616"/>
    <w:rsid w:val="00377F12"/>
    <w:rsid w:val="00381125"/>
    <w:rsid w:val="003846F9"/>
    <w:rsid w:val="0038776C"/>
    <w:rsid w:val="00393646"/>
    <w:rsid w:val="00393885"/>
    <w:rsid w:val="00393DFD"/>
    <w:rsid w:val="00393F6D"/>
    <w:rsid w:val="003A1AFD"/>
    <w:rsid w:val="003A7386"/>
    <w:rsid w:val="003B245A"/>
    <w:rsid w:val="003B252E"/>
    <w:rsid w:val="003B2E58"/>
    <w:rsid w:val="003B6084"/>
    <w:rsid w:val="003C2632"/>
    <w:rsid w:val="003C4FDF"/>
    <w:rsid w:val="003C796C"/>
    <w:rsid w:val="003C7F1E"/>
    <w:rsid w:val="003D0997"/>
    <w:rsid w:val="003D5F52"/>
    <w:rsid w:val="003D7708"/>
    <w:rsid w:val="003E0287"/>
    <w:rsid w:val="003E054F"/>
    <w:rsid w:val="003F536A"/>
    <w:rsid w:val="004063F9"/>
    <w:rsid w:val="0041497C"/>
    <w:rsid w:val="00422BF6"/>
    <w:rsid w:val="00423756"/>
    <w:rsid w:val="0042526F"/>
    <w:rsid w:val="00434B35"/>
    <w:rsid w:val="00436EFC"/>
    <w:rsid w:val="004438D0"/>
    <w:rsid w:val="00450C6B"/>
    <w:rsid w:val="00453CFC"/>
    <w:rsid w:val="004553B5"/>
    <w:rsid w:val="00456674"/>
    <w:rsid w:val="00460C7B"/>
    <w:rsid w:val="004669EF"/>
    <w:rsid w:val="0047498B"/>
    <w:rsid w:val="00475D8A"/>
    <w:rsid w:val="00482DAB"/>
    <w:rsid w:val="00483DAB"/>
    <w:rsid w:val="00486D86"/>
    <w:rsid w:val="0049715B"/>
    <w:rsid w:val="004A2B2F"/>
    <w:rsid w:val="004A36BB"/>
    <w:rsid w:val="004A60AD"/>
    <w:rsid w:val="004A62F7"/>
    <w:rsid w:val="004B10FD"/>
    <w:rsid w:val="004B3714"/>
    <w:rsid w:val="004B3CFF"/>
    <w:rsid w:val="004D2016"/>
    <w:rsid w:val="004D5ADF"/>
    <w:rsid w:val="004D7015"/>
    <w:rsid w:val="004D7F2F"/>
    <w:rsid w:val="004E03C4"/>
    <w:rsid w:val="004E1D46"/>
    <w:rsid w:val="004E424D"/>
    <w:rsid w:val="004E5C83"/>
    <w:rsid w:val="004F0678"/>
    <w:rsid w:val="004F0E6C"/>
    <w:rsid w:val="004F20E7"/>
    <w:rsid w:val="004F49BF"/>
    <w:rsid w:val="004F5D05"/>
    <w:rsid w:val="00502777"/>
    <w:rsid w:val="00511972"/>
    <w:rsid w:val="00511F25"/>
    <w:rsid w:val="00513AC7"/>
    <w:rsid w:val="00514437"/>
    <w:rsid w:val="0051604F"/>
    <w:rsid w:val="005175C0"/>
    <w:rsid w:val="00520822"/>
    <w:rsid w:val="0052353B"/>
    <w:rsid w:val="005249CF"/>
    <w:rsid w:val="00525463"/>
    <w:rsid w:val="00530A41"/>
    <w:rsid w:val="00532459"/>
    <w:rsid w:val="00534C27"/>
    <w:rsid w:val="0053501F"/>
    <w:rsid w:val="00537700"/>
    <w:rsid w:val="00543D9B"/>
    <w:rsid w:val="005463F5"/>
    <w:rsid w:val="0055490A"/>
    <w:rsid w:val="00554EEE"/>
    <w:rsid w:val="00562C28"/>
    <w:rsid w:val="00563EBB"/>
    <w:rsid w:val="00565E3F"/>
    <w:rsid w:val="0056624B"/>
    <w:rsid w:val="00577F5D"/>
    <w:rsid w:val="00581976"/>
    <w:rsid w:val="00587D6E"/>
    <w:rsid w:val="005A19FE"/>
    <w:rsid w:val="005A5DD7"/>
    <w:rsid w:val="005C1D47"/>
    <w:rsid w:val="005C388B"/>
    <w:rsid w:val="005C3960"/>
    <w:rsid w:val="005D0FE3"/>
    <w:rsid w:val="005D2008"/>
    <w:rsid w:val="005D2AD7"/>
    <w:rsid w:val="005D2E94"/>
    <w:rsid w:val="005D5970"/>
    <w:rsid w:val="005D6DAD"/>
    <w:rsid w:val="005E202A"/>
    <w:rsid w:val="005E5B6E"/>
    <w:rsid w:val="005F1049"/>
    <w:rsid w:val="006057A2"/>
    <w:rsid w:val="0060627D"/>
    <w:rsid w:val="00610D30"/>
    <w:rsid w:val="0061443B"/>
    <w:rsid w:val="006149CB"/>
    <w:rsid w:val="0061719B"/>
    <w:rsid w:val="006229B2"/>
    <w:rsid w:val="00623B40"/>
    <w:rsid w:val="00625F80"/>
    <w:rsid w:val="00626878"/>
    <w:rsid w:val="00626BC4"/>
    <w:rsid w:val="00630A43"/>
    <w:rsid w:val="0063312A"/>
    <w:rsid w:val="00633804"/>
    <w:rsid w:val="00642483"/>
    <w:rsid w:val="00643F93"/>
    <w:rsid w:val="00647827"/>
    <w:rsid w:val="00651089"/>
    <w:rsid w:val="006540B6"/>
    <w:rsid w:val="00664BF9"/>
    <w:rsid w:val="00667ACB"/>
    <w:rsid w:val="006719F7"/>
    <w:rsid w:val="0067367B"/>
    <w:rsid w:val="00675987"/>
    <w:rsid w:val="00675CE1"/>
    <w:rsid w:val="00680219"/>
    <w:rsid w:val="00680BB2"/>
    <w:rsid w:val="00682906"/>
    <w:rsid w:val="00684D63"/>
    <w:rsid w:val="006950E5"/>
    <w:rsid w:val="006A109F"/>
    <w:rsid w:val="006A1813"/>
    <w:rsid w:val="006A2BC0"/>
    <w:rsid w:val="006A36FA"/>
    <w:rsid w:val="006A4F04"/>
    <w:rsid w:val="006A56A1"/>
    <w:rsid w:val="006A69CC"/>
    <w:rsid w:val="006A7F6A"/>
    <w:rsid w:val="006B0AFA"/>
    <w:rsid w:val="006C6430"/>
    <w:rsid w:val="006C71AD"/>
    <w:rsid w:val="006C72CD"/>
    <w:rsid w:val="006C7412"/>
    <w:rsid w:val="006D492B"/>
    <w:rsid w:val="006D4C52"/>
    <w:rsid w:val="006E4C61"/>
    <w:rsid w:val="006E741E"/>
    <w:rsid w:val="006E75DB"/>
    <w:rsid w:val="006F52CA"/>
    <w:rsid w:val="006F5917"/>
    <w:rsid w:val="00700601"/>
    <w:rsid w:val="007014B9"/>
    <w:rsid w:val="007153B5"/>
    <w:rsid w:val="00720BAF"/>
    <w:rsid w:val="00720F84"/>
    <w:rsid w:val="0072133D"/>
    <w:rsid w:val="00721C89"/>
    <w:rsid w:val="00722697"/>
    <w:rsid w:val="00731E89"/>
    <w:rsid w:val="00740053"/>
    <w:rsid w:val="007400D1"/>
    <w:rsid w:val="007460D1"/>
    <w:rsid w:val="00752BEB"/>
    <w:rsid w:val="007538F5"/>
    <w:rsid w:val="00763612"/>
    <w:rsid w:val="00764B35"/>
    <w:rsid w:val="007721CF"/>
    <w:rsid w:val="007722EB"/>
    <w:rsid w:val="00772BA1"/>
    <w:rsid w:val="007746EB"/>
    <w:rsid w:val="00780929"/>
    <w:rsid w:val="00785CC0"/>
    <w:rsid w:val="00787291"/>
    <w:rsid w:val="00792CD3"/>
    <w:rsid w:val="007933F5"/>
    <w:rsid w:val="007935E1"/>
    <w:rsid w:val="007A31DD"/>
    <w:rsid w:val="007A4CDA"/>
    <w:rsid w:val="007B4E1B"/>
    <w:rsid w:val="007B51C5"/>
    <w:rsid w:val="007B687B"/>
    <w:rsid w:val="007C16A8"/>
    <w:rsid w:val="007C39A6"/>
    <w:rsid w:val="007C3FED"/>
    <w:rsid w:val="007C63BB"/>
    <w:rsid w:val="007C64C7"/>
    <w:rsid w:val="007D285A"/>
    <w:rsid w:val="007D32A6"/>
    <w:rsid w:val="007D4460"/>
    <w:rsid w:val="007D4F5C"/>
    <w:rsid w:val="007D7BE8"/>
    <w:rsid w:val="007E3539"/>
    <w:rsid w:val="007F0063"/>
    <w:rsid w:val="007F10F0"/>
    <w:rsid w:val="007F11F8"/>
    <w:rsid w:val="00810807"/>
    <w:rsid w:val="00822613"/>
    <w:rsid w:val="008237F3"/>
    <w:rsid w:val="00845565"/>
    <w:rsid w:val="00845A30"/>
    <w:rsid w:val="00846A15"/>
    <w:rsid w:val="008473FF"/>
    <w:rsid w:val="00850055"/>
    <w:rsid w:val="00850D52"/>
    <w:rsid w:val="008520F6"/>
    <w:rsid w:val="008548F3"/>
    <w:rsid w:val="00861D88"/>
    <w:rsid w:val="00863B71"/>
    <w:rsid w:val="00872FF6"/>
    <w:rsid w:val="00875C21"/>
    <w:rsid w:val="00875DC0"/>
    <w:rsid w:val="00884682"/>
    <w:rsid w:val="008926FB"/>
    <w:rsid w:val="0089390A"/>
    <w:rsid w:val="008A5583"/>
    <w:rsid w:val="008A65AD"/>
    <w:rsid w:val="008A7525"/>
    <w:rsid w:val="008A7684"/>
    <w:rsid w:val="008B26FD"/>
    <w:rsid w:val="008B41DE"/>
    <w:rsid w:val="008C1335"/>
    <w:rsid w:val="008C50C6"/>
    <w:rsid w:val="008D270F"/>
    <w:rsid w:val="008D3832"/>
    <w:rsid w:val="008F5290"/>
    <w:rsid w:val="00900A3F"/>
    <w:rsid w:val="009025C7"/>
    <w:rsid w:val="009054B9"/>
    <w:rsid w:val="00905877"/>
    <w:rsid w:val="00910093"/>
    <w:rsid w:val="00912589"/>
    <w:rsid w:val="00915409"/>
    <w:rsid w:val="00917631"/>
    <w:rsid w:val="009328E1"/>
    <w:rsid w:val="0093397E"/>
    <w:rsid w:val="009460AF"/>
    <w:rsid w:val="00946377"/>
    <w:rsid w:val="009509FC"/>
    <w:rsid w:val="009517A1"/>
    <w:rsid w:val="00952669"/>
    <w:rsid w:val="009605E8"/>
    <w:rsid w:val="00964263"/>
    <w:rsid w:val="0096482F"/>
    <w:rsid w:val="00965F4F"/>
    <w:rsid w:val="00966BFB"/>
    <w:rsid w:val="00967ACA"/>
    <w:rsid w:val="0097177A"/>
    <w:rsid w:val="00975A1C"/>
    <w:rsid w:val="00982147"/>
    <w:rsid w:val="00983123"/>
    <w:rsid w:val="0099659A"/>
    <w:rsid w:val="009966F1"/>
    <w:rsid w:val="00997728"/>
    <w:rsid w:val="009A49D2"/>
    <w:rsid w:val="009A59F3"/>
    <w:rsid w:val="009B0BA7"/>
    <w:rsid w:val="009B55FB"/>
    <w:rsid w:val="009B7B05"/>
    <w:rsid w:val="009C1424"/>
    <w:rsid w:val="009C2C0D"/>
    <w:rsid w:val="009D09B5"/>
    <w:rsid w:val="009D0D82"/>
    <w:rsid w:val="009D37DA"/>
    <w:rsid w:val="009D4B96"/>
    <w:rsid w:val="009E003F"/>
    <w:rsid w:val="009E3484"/>
    <w:rsid w:val="009E4305"/>
    <w:rsid w:val="009E549E"/>
    <w:rsid w:val="009F0890"/>
    <w:rsid w:val="009F0A42"/>
    <w:rsid w:val="009F4F40"/>
    <w:rsid w:val="009F6B8E"/>
    <w:rsid w:val="00A00783"/>
    <w:rsid w:val="00A00D4D"/>
    <w:rsid w:val="00A05491"/>
    <w:rsid w:val="00A06E11"/>
    <w:rsid w:val="00A11B41"/>
    <w:rsid w:val="00A209C3"/>
    <w:rsid w:val="00A229AD"/>
    <w:rsid w:val="00A27A7A"/>
    <w:rsid w:val="00A32008"/>
    <w:rsid w:val="00A364A7"/>
    <w:rsid w:val="00A36AD2"/>
    <w:rsid w:val="00A37B7B"/>
    <w:rsid w:val="00A508BC"/>
    <w:rsid w:val="00A5166D"/>
    <w:rsid w:val="00A55284"/>
    <w:rsid w:val="00A64640"/>
    <w:rsid w:val="00A64E62"/>
    <w:rsid w:val="00A74C63"/>
    <w:rsid w:val="00A8351D"/>
    <w:rsid w:val="00A87D50"/>
    <w:rsid w:val="00A92D58"/>
    <w:rsid w:val="00A94B9C"/>
    <w:rsid w:val="00AA18B7"/>
    <w:rsid w:val="00AA54F6"/>
    <w:rsid w:val="00AB5136"/>
    <w:rsid w:val="00AB6456"/>
    <w:rsid w:val="00AC49FE"/>
    <w:rsid w:val="00AC6F79"/>
    <w:rsid w:val="00AD3934"/>
    <w:rsid w:val="00AD6BCC"/>
    <w:rsid w:val="00AE06E8"/>
    <w:rsid w:val="00AE20CF"/>
    <w:rsid w:val="00AF4F57"/>
    <w:rsid w:val="00B00A89"/>
    <w:rsid w:val="00B13B09"/>
    <w:rsid w:val="00B30271"/>
    <w:rsid w:val="00B33101"/>
    <w:rsid w:val="00B35205"/>
    <w:rsid w:val="00B43436"/>
    <w:rsid w:val="00B443BE"/>
    <w:rsid w:val="00B53130"/>
    <w:rsid w:val="00B53ED1"/>
    <w:rsid w:val="00B5445C"/>
    <w:rsid w:val="00B668CE"/>
    <w:rsid w:val="00B74DBF"/>
    <w:rsid w:val="00B750DD"/>
    <w:rsid w:val="00B75773"/>
    <w:rsid w:val="00B775F6"/>
    <w:rsid w:val="00B7778F"/>
    <w:rsid w:val="00B800E4"/>
    <w:rsid w:val="00B906F8"/>
    <w:rsid w:val="00B92B87"/>
    <w:rsid w:val="00B93567"/>
    <w:rsid w:val="00B95F2F"/>
    <w:rsid w:val="00BB073C"/>
    <w:rsid w:val="00BB231B"/>
    <w:rsid w:val="00BB26DB"/>
    <w:rsid w:val="00BC151E"/>
    <w:rsid w:val="00BC4729"/>
    <w:rsid w:val="00BD0674"/>
    <w:rsid w:val="00BD2C9E"/>
    <w:rsid w:val="00BD7557"/>
    <w:rsid w:val="00BE3D90"/>
    <w:rsid w:val="00BE67CE"/>
    <w:rsid w:val="00BF7BEC"/>
    <w:rsid w:val="00BF7FBC"/>
    <w:rsid w:val="00C04D2D"/>
    <w:rsid w:val="00C05B62"/>
    <w:rsid w:val="00C135D8"/>
    <w:rsid w:val="00C2486D"/>
    <w:rsid w:val="00C311B2"/>
    <w:rsid w:val="00C32685"/>
    <w:rsid w:val="00C3424E"/>
    <w:rsid w:val="00C372BB"/>
    <w:rsid w:val="00C41BD0"/>
    <w:rsid w:val="00C42C8A"/>
    <w:rsid w:val="00C43052"/>
    <w:rsid w:val="00C43ABF"/>
    <w:rsid w:val="00C455D1"/>
    <w:rsid w:val="00C46A4D"/>
    <w:rsid w:val="00C54455"/>
    <w:rsid w:val="00C565E5"/>
    <w:rsid w:val="00C6066C"/>
    <w:rsid w:val="00C700F2"/>
    <w:rsid w:val="00C866BE"/>
    <w:rsid w:val="00C919B4"/>
    <w:rsid w:val="00CA00B2"/>
    <w:rsid w:val="00CA1047"/>
    <w:rsid w:val="00CA50CA"/>
    <w:rsid w:val="00CB007F"/>
    <w:rsid w:val="00CB2E2B"/>
    <w:rsid w:val="00CB3013"/>
    <w:rsid w:val="00CC456D"/>
    <w:rsid w:val="00CC59DB"/>
    <w:rsid w:val="00CC6214"/>
    <w:rsid w:val="00CC71A5"/>
    <w:rsid w:val="00CE0B94"/>
    <w:rsid w:val="00CE7AA6"/>
    <w:rsid w:val="00CF10F6"/>
    <w:rsid w:val="00CF174E"/>
    <w:rsid w:val="00CF359E"/>
    <w:rsid w:val="00CF365A"/>
    <w:rsid w:val="00CF3EE6"/>
    <w:rsid w:val="00CF40BC"/>
    <w:rsid w:val="00D0452C"/>
    <w:rsid w:val="00D07670"/>
    <w:rsid w:val="00D13A09"/>
    <w:rsid w:val="00D16CD4"/>
    <w:rsid w:val="00D23D08"/>
    <w:rsid w:val="00D27D68"/>
    <w:rsid w:val="00D32F2E"/>
    <w:rsid w:val="00D33324"/>
    <w:rsid w:val="00D414A9"/>
    <w:rsid w:val="00D43DFD"/>
    <w:rsid w:val="00D50EA1"/>
    <w:rsid w:val="00D525C8"/>
    <w:rsid w:val="00D545ED"/>
    <w:rsid w:val="00D5673F"/>
    <w:rsid w:val="00D60B3A"/>
    <w:rsid w:val="00D6177D"/>
    <w:rsid w:val="00D62D02"/>
    <w:rsid w:val="00D637EF"/>
    <w:rsid w:val="00D6775E"/>
    <w:rsid w:val="00D72334"/>
    <w:rsid w:val="00D74E18"/>
    <w:rsid w:val="00D85176"/>
    <w:rsid w:val="00D87658"/>
    <w:rsid w:val="00D90E14"/>
    <w:rsid w:val="00D924DF"/>
    <w:rsid w:val="00D938C3"/>
    <w:rsid w:val="00DA7BD1"/>
    <w:rsid w:val="00DB7883"/>
    <w:rsid w:val="00DC219F"/>
    <w:rsid w:val="00DC391E"/>
    <w:rsid w:val="00DC596F"/>
    <w:rsid w:val="00DC5BC8"/>
    <w:rsid w:val="00DD03CC"/>
    <w:rsid w:val="00DD05A3"/>
    <w:rsid w:val="00DD0A47"/>
    <w:rsid w:val="00DD0CCB"/>
    <w:rsid w:val="00DD216B"/>
    <w:rsid w:val="00DD2CF9"/>
    <w:rsid w:val="00DE1EFB"/>
    <w:rsid w:val="00DE2427"/>
    <w:rsid w:val="00DE62FA"/>
    <w:rsid w:val="00DE65A1"/>
    <w:rsid w:val="00DF08D5"/>
    <w:rsid w:val="00DF45BE"/>
    <w:rsid w:val="00E0169E"/>
    <w:rsid w:val="00E03592"/>
    <w:rsid w:val="00E03660"/>
    <w:rsid w:val="00E07ED6"/>
    <w:rsid w:val="00E10EC2"/>
    <w:rsid w:val="00E158AB"/>
    <w:rsid w:val="00E17431"/>
    <w:rsid w:val="00E30394"/>
    <w:rsid w:val="00E4254F"/>
    <w:rsid w:val="00E42EFF"/>
    <w:rsid w:val="00E53678"/>
    <w:rsid w:val="00E6175F"/>
    <w:rsid w:val="00E625BF"/>
    <w:rsid w:val="00E632AC"/>
    <w:rsid w:val="00E63AF2"/>
    <w:rsid w:val="00E63D83"/>
    <w:rsid w:val="00E6721D"/>
    <w:rsid w:val="00E71342"/>
    <w:rsid w:val="00E77608"/>
    <w:rsid w:val="00E816C0"/>
    <w:rsid w:val="00E85B0E"/>
    <w:rsid w:val="00E874AE"/>
    <w:rsid w:val="00E92B16"/>
    <w:rsid w:val="00E9553E"/>
    <w:rsid w:val="00E96588"/>
    <w:rsid w:val="00EA1CA2"/>
    <w:rsid w:val="00EA2657"/>
    <w:rsid w:val="00EA4007"/>
    <w:rsid w:val="00EB37F2"/>
    <w:rsid w:val="00EC202A"/>
    <w:rsid w:val="00EC2207"/>
    <w:rsid w:val="00EC50E9"/>
    <w:rsid w:val="00ED1BBB"/>
    <w:rsid w:val="00ED2A5D"/>
    <w:rsid w:val="00ED455B"/>
    <w:rsid w:val="00ED5772"/>
    <w:rsid w:val="00EE0473"/>
    <w:rsid w:val="00F10E84"/>
    <w:rsid w:val="00F11576"/>
    <w:rsid w:val="00F2371F"/>
    <w:rsid w:val="00F25299"/>
    <w:rsid w:val="00F25932"/>
    <w:rsid w:val="00F27AEB"/>
    <w:rsid w:val="00F31FB1"/>
    <w:rsid w:val="00F3282F"/>
    <w:rsid w:val="00F32FC7"/>
    <w:rsid w:val="00F357BE"/>
    <w:rsid w:val="00F36C79"/>
    <w:rsid w:val="00F4174F"/>
    <w:rsid w:val="00F45B76"/>
    <w:rsid w:val="00F46D1E"/>
    <w:rsid w:val="00F50D56"/>
    <w:rsid w:val="00F55A96"/>
    <w:rsid w:val="00F6055A"/>
    <w:rsid w:val="00F63B30"/>
    <w:rsid w:val="00F64A2C"/>
    <w:rsid w:val="00F67AF6"/>
    <w:rsid w:val="00F705AC"/>
    <w:rsid w:val="00F75073"/>
    <w:rsid w:val="00F82D2A"/>
    <w:rsid w:val="00F86791"/>
    <w:rsid w:val="00F907E9"/>
    <w:rsid w:val="00F952D5"/>
    <w:rsid w:val="00F95538"/>
    <w:rsid w:val="00F957AA"/>
    <w:rsid w:val="00FB79D8"/>
    <w:rsid w:val="00FC5B6A"/>
    <w:rsid w:val="00FC6F35"/>
    <w:rsid w:val="00FC7E4E"/>
    <w:rsid w:val="00FD0F64"/>
    <w:rsid w:val="00FE1B19"/>
    <w:rsid w:val="00FE476B"/>
    <w:rsid w:val="00FE6A7C"/>
    <w:rsid w:val="00FE754B"/>
    <w:rsid w:val="00FF73B2"/>
    <w:rsid w:val="048C30BB"/>
    <w:rsid w:val="0A59982D"/>
    <w:rsid w:val="21619646"/>
    <w:rsid w:val="41459E5B"/>
    <w:rsid w:val="60F5A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6ACCA"/>
  <w15:chartTrackingRefBased/>
  <w15:docId w15:val="{AF30A53F-D979-4BFC-8A6F-1165D8EC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C7"/>
  </w:style>
  <w:style w:type="paragraph" w:styleId="Heading1">
    <w:name w:val="heading 1"/>
    <w:next w:val="BodyText"/>
    <w:link w:val="Heading1Char"/>
    <w:qFormat/>
    <w:rsid w:val="00A92D58"/>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A92D5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92D58"/>
    <w:pPr>
      <w:outlineLvl w:val="2"/>
    </w:pPr>
  </w:style>
  <w:style w:type="paragraph" w:styleId="Heading4">
    <w:name w:val="heading 4"/>
    <w:next w:val="BodyText"/>
    <w:link w:val="Heading4Char"/>
    <w:uiPriority w:val="9"/>
    <w:semiHidden/>
    <w:unhideWhenUsed/>
    <w:qFormat/>
    <w:rsid w:val="00A92D58"/>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EC2"/>
  </w:style>
  <w:style w:type="paragraph" w:styleId="Footer">
    <w:name w:val="footer"/>
    <w:basedOn w:val="Normal"/>
    <w:link w:val="FooterChar"/>
    <w:uiPriority w:val="99"/>
    <w:unhideWhenUsed/>
    <w:rsid w:val="00E10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EC2"/>
  </w:style>
  <w:style w:type="table" w:styleId="TableGrid">
    <w:name w:val="Table Grid"/>
    <w:basedOn w:val="TableNormal"/>
    <w:rsid w:val="00ED2A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2A5D"/>
    <w:pPr>
      <w:spacing w:after="0" w:line="240" w:lineRule="auto"/>
    </w:pPr>
  </w:style>
  <w:style w:type="paragraph" w:styleId="FootnoteText">
    <w:name w:val="footnote text"/>
    <w:basedOn w:val="Normal"/>
    <w:link w:val="FootnoteTextChar"/>
    <w:uiPriority w:val="99"/>
    <w:semiHidden/>
    <w:unhideWhenUsed/>
    <w:rsid w:val="00AF4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F57"/>
    <w:rPr>
      <w:sz w:val="20"/>
      <w:szCs w:val="20"/>
    </w:rPr>
  </w:style>
  <w:style w:type="character" w:styleId="FootnoteReference">
    <w:name w:val="footnote reference"/>
    <w:basedOn w:val="DefaultParagraphFont"/>
    <w:uiPriority w:val="99"/>
    <w:semiHidden/>
    <w:unhideWhenUsed/>
    <w:rsid w:val="00AF4F57"/>
    <w:rPr>
      <w:vertAlign w:val="superscript"/>
    </w:rPr>
  </w:style>
  <w:style w:type="paragraph" w:styleId="ListParagraph">
    <w:name w:val="List Paragraph"/>
    <w:basedOn w:val="Normal"/>
    <w:uiPriority w:val="34"/>
    <w:qFormat/>
    <w:rsid w:val="00FC7E4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48F3"/>
    <w:rPr>
      <w:b/>
      <w:bCs/>
    </w:rPr>
  </w:style>
  <w:style w:type="character" w:customStyle="1" w:styleId="CommentSubjectChar">
    <w:name w:val="Comment Subject Char"/>
    <w:basedOn w:val="CommentTextChar"/>
    <w:link w:val="CommentSubject"/>
    <w:uiPriority w:val="99"/>
    <w:semiHidden/>
    <w:rsid w:val="008548F3"/>
    <w:rPr>
      <w:b/>
      <w:bCs/>
      <w:sz w:val="20"/>
      <w:szCs w:val="20"/>
    </w:rPr>
  </w:style>
  <w:style w:type="character" w:styleId="Mention">
    <w:name w:val="Mention"/>
    <w:basedOn w:val="DefaultParagraphFont"/>
    <w:uiPriority w:val="99"/>
    <w:unhideWhenUsed/>
    <w:rsid w:val="008548F3"/>
    <w:rPr>
      <w:color w:val="2B579A"/>
      <w:shd w:val="clear" w:color="auto" w:fill="E1DFDD"/>
    </w:rPr>
  </w:style>
  <w:style w:type="paragraph" w:styleId="Revision">
    <w:name w:val="Revision"/>
    <w:hidden/>
    <w:uiPriority w:val="99"/>
    <w:semiHidden/>
    <w:rsid w:val="00563EBB"/>
    <w:pPr>
      <w:spacing w:after="0" w:line="240" w:lineRule="auto"/>
    </w:pPr>
  </w:style>
  <w:style w:type="paragraph" w:styleId="BodyText">
    <w:name w:val="Body Text"/>
    <w:link w:val="BodyTextChar"/>
    <w:rsid w:val="00A92D58"/>
    <w:pPr>
      <w:spacing w:after="220" w:line="240" w:lineRule="auto"/>
    </w:pPr>
    <w:rPr>
      <w:rFonts w:cs="Arial"/>
    </w:rPr>
  </w:style>
  <w:style w:type="character" w:customStyle="1" w:styleId="BodyTextChar">
    <w:name w:val="Body Text Char"/>
    <w:basedOn w:val="DefaultParagraphFont"/>
    <w:link w:val="BodyText"/>
    <w:rsid w:val="00A92D58"/>
    <w:rPr>
      <w:rFonts w:cs="Arial"/>
    </w:rPr>
  </w:style>
  <w:style w:type="paragraph" w:customStyle="1" w:styleId="Applicability">
    <w:name w:val="Applicability"/>
    <w:basedOn w:val="BodyText"/>
    <w:qFormat/>
    <w:rsid w:val="00A92D58"/>
    <w:pPr>
      <w:spacing w:before="440"/>
      <w:ind w:left="2160" w:hanging="2160"/>
    </w:pPr>
  </w:style>
  <w:style w:type="paragraph" w:customStyle="1" w:styleId="attachmenttitle">
    <w:name w:val="attachment title"/>
    <w:next w:val="BodyText"/>
    <w:qFormat/>
    <w:rsid w:val="00A92D58"/>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A92D58"/>
    <w:pPr>
      <w:spacing w:after="0" w:line="240" w:lineRule="auto"/>
    </w:pPr>
  </w:style>
  <w:style w:type="paragraph" w:styleId="BodyText2">
    <w:name w:val="Body Text 2"/>
    <w:link w:val="BodyText2Char"/>
    <w:rsid w:val="00A92D58"/>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A92D58"/>
    <w:rPr>
      <w:rFonts w:eastAsiaTheme="majorEastAsia" w:cstheme="majorBidi"/>
    </w:rPr>
  </w:style>
  <w:style w:type="paragraph" w:styleId="BodyText3">
    <w:name w:val="Body Text 3"/>
    <w:basedOn w:val="BodyText"/>
    <w:link w:val="BodyText3Char"/>
    <w:rsid w:val="00A92D58"/>
    <w:pPr>
      <w:ind w:left="720"/>
    </w:pPr>
    <w:rPr>
      <w:rFonts w:eastAsiaTheme="majorEastAsia" w:cstheme="majorBidi"/>
    </w:rPr>
  </w:style>
  <w:style w:type="character" w:customStyle="1" w:styleId="BodyText3Char">
    <w:name w:val="Body Text 3 Char"/>
    <w:basedOn w:val="DefaultParagraphFont"/>
    <w:link w:val="BodyText3"/>
    <w:rsid w:val="00A92D58"/>
    <w:rPr>
      <w:rFonts w:eastAsiaTheme="majorEastAsia" w:cstheme="majorBidi"/>
    </w:rPr>
  </w:style>
  <w:style w:type="character" w:customStyle="1" w:styleId="Commitment">
    <w:name w:val="Commitment"/>
    <w:basedOn w:val="BodyTextChar"/>
    <w:uiPriority w:val="1"/>
    <w:qFormat/>
    <w:rsid w:val="00A92D58"/>
    <w:rPr>
      <w:rFonts w:ascii="Arial" w:hAnsi="Arial" w:cs="Arial"/>
      <w:i/>
      <w:iCs/>
    </w:rPr>
  </w:style>
  <w:style w:type="paragraph" w:customStyle="1" w:styleId="CornerstoneBases">
    <w:name w:val="Cornerstone / Bases"/>
    <w:basedOn w:val="BodyText"/>
    <w:qFormat/>
    <w:rsid w:val="00A92D58"/>
    <w:pPr>
      <w:ind w:left="2160" w:hanging="2160"/>
    </w:pPr>
  </w:style>
  <w:style w:type="paragraph" w:customStyle="1" w:styleId="EffectiveDate">
    <w:name w:val="Effective Date"/>
    <w:next w:val="BodyText"/>
    <w:qFormat/>
    <w:rsid w:val="00A92D58"/>
    <w:pPr>
      <w:spacing w:before="220" w:after="440" w:line="240" w:lineRule="auto"/>
      <w:jc w:val="center"/>
    </w:pPr>
    <w:rPr>
      <w:rFonts w:eastAsia="Times New Roman" w:cs="Arial"/>
    </w:rPr>
  </w:style>
  <w:style w:type="paragraph" w:customStyle="1" w:styleId="END">
    <w:name w:val="END"/>
    <w:next w:val="BodyText"/>
    <w:qFormat/>
    <w:rsid w:val="00A92D58"/>
    <w:pPr>
      <w:autoSpaceDE w:val="0"/>
      <w:autoSpaceDN w:val="0"/>
      <w:adjustRightInd w:val="0"/>
      <w:spacing w:before="440" w:after="440" w:line="240" w:lineRule="auto"/>
      <w:jc w:val="center"/>
    </w:pPr>
    <w:rPr>
      <w:rFonts w:eastAsia="Times New Roman" w:cs="Arial"/>
    </w:rPr>
  </w:style>
  <w:style w:type="character" w:customStyle="1" w:styleId="Heading1Char">
    <w:name w:val="Heading 1 Char"/>
    <w:basedOn w:val="DefaultParagraphFont"/>
    <w:link w:val="Heading1"/>
    <w:rsid w:val="00A92D58"/>
    <w:rPr>
      <w:rFonts w:eastAsiaTheme="majorEastAsia" w:cstheme="majorBidi"/>
      <w:caps/>
    </w:rPr>
  </w:style>
  <w:style w:type="character" w:customStyle="1" w:styleId="Heading2Char">
    <w:name w:val="Heading 2 Char"/>
    <w:basedOn w:val="DefaultParagraphFont"/>
    <w:link w:val="Heading2"/>
    <w:rsid w:val="00A92D58"/>
    <w:rPr>
      <w:rFonts w:eastAsiaTheme="majorEastAsia" w:cstheme="majorBidi"/>
    </w:rPr>
  </w:style>
  <w:style w:type="character" w:customStyle="1" w:styleId="Heading3Char">
    <w:name w:val="Heading 3 Char"/>
    <w:basedOn w:val="DefaultParagraphFont"/>
    <w:link w:val="Heading3"/>
    <w:rsid w:val="00A92D58"/>
    <w:rPr>
      <w:rFonts w:eastAsiaTheme="majorEastAsia" w:cstheme="majorBidi"/>
    </w:rPr>
  </w:style>
  <w:style w:type="character" w:customStyle="1" w:styleId="Heading4Char">
    <w:name w:val="Heading 4 Char"/>
    <w:basedOn w:val="DefaultParagraphFont"/>
    <w:link w:val="Heading4"/>
    <w:uiPriority w:val="9"/>
    <w:semiHidden/>
    <w:rsid w:val="00A92D58"/>
    <w:rPr>
      <w:rFonts w:asciiTheme="majorHAnsi" w:eastAsiaTheme="majorEastAsia" w:hAnsiTheme="majorHAnsi" w:cstheme="majorBidi"/>
      <w:iCs/>
    </w:rPr>
  </w:style>
  <w:style w:type="table" w:customStyle="1" w:styleId="IM">
    <w:name w:val="IM"/>
    <w:basedOn w:val="TableNormal"/>
    <w:uiPriority w:val="99"/>
    <w:rsid w:val="00A9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A92D58"/>
    <w:pPr>
      <w:widowControl w:val="0"/>
      <w:pBdr>
        <w:top w:val="single" w:sz="8" w:space="3" w:color="auto"/>
        <w:bottom w:val="single" w:sz="8" w:space="3" w:color="auto"/>
      </w:pBdr>
      <w:spacing w:after="220" w:line="240" w:lineRule="auto"/>
      <w:jc w:val="center"/>
    </w:pPr>
    <w:rPr>
      <w:rFonts w:cs="Arial"/>
      <w:iCs/>
      <w:caps/>
    </w:rPr>
  </w:style>
  <w:style w:type="paragraph" w:styleId="Title">
    <w:name w:val="Title"/>
    <w:next w:val="BodyText"/>
    <w:link w:val="TitleChar"/>
    <w:qFormat/>
    <w:rsid w:val="00A92D58"/>
    <w:pPr>
      <w:spacing w:before="220" w:after="220" w:line="240" w:lineRule="auto"/>
      <w:jc w:val="center"/>
    </w:pPr>
    <w:rPr>
      <w:rFonts w:eastAsia="Times New Roman" w:cs="Arial"/>
    </w:rPr>
  </w:style>
  <w:style w:type="character" w:customStyle="1" w:styleId="TitleChar">
    <w:name w:val="Title Char"/>
    <w:basedOn w:val="DefaultParagraphFont"/>
    <w:link w:val="Title"/>
    <w:rsid w:val="00A92D58"/>
    <w:rPr>
      <w:rFonts w:eastAsia="Times New Roman" w:cs="Arial"/>
    </w:rPr>
  </w:style>
  <w:style w:type="paragraph" w:customStyle="1" w:styleId="NRCINSPECTIONMANUAL">
    <w:name w:val="NRC INSPECTION MANUAL"/>
    <w:next w:val="BodyText"/>
    <w:link w:val="NRCINSPECTIONMANUALChar"/>
    <w:qFormat/>
    <w:rsid w:val="00A92D58"/>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A92D58"/>
    <w:rPr>
      <w:rFonts w:cs="Arial"/>
      <w:sz w:val="20"/>
    </w:rPr>
  </w:style>
  <w:style w:type="paragraph" w:customStyle="1" w:styleId="Requirement">
    <w:name w:val="Requirement"/>
    <w:basedOn w:val="BodyText3"/>
    <w:qFormat/>
    <w:rsid w:val="00A92D58"/>
    <w:pPr>
      <w:keepNext/>
    </w:pPr>
    <w:rPr>
      <w:b/>
      <w:bCs/>
    </w:rPr>
  </w:style>
  <w:style w:type="paragraph" w:customStyle="1" w:styleId="SpecificGuidance">
    <w:name w:val="Specific Guidance"/>
    <w:basedOn w:val="BodyText3"/>
    <w:qFormat/>
    <w:rsid w:val="00A92D58"/>
    <w:pPr>
      <w:keepNext/>
    </w:pPr>
    <w:rPr>
      <w:u w:val="single"/>
    </w:rPr>
  </w:style>
  <w:style w:type="paragraph" w:customStyle="1" w:styleId="SpecificGuidance2">
    <w:name w:val="Specific Guidance 2"/>
    <w:basedOn w:val="SpecificGuidance"/>
    <w:next w:val="BodyText3"/>
    <w:qFormat/>
    <w:rsid w:val="00B906F8"/>
    <w:pPr>
      <w:ind w:left="1080"/>
    </w:pPr>
  </w:style>
  <w:style w:type="paragraph" w:customStyle="1" w:styleId="BodyText4">
    <w:name w:val="Body Text 4"/>
    <w:basedOn w:val="BodyText"/>
    <w:qFormat/>
    <w:rsid w:val="007C16A8"/>
    <w:pPr>
      <w:ind w:left="1080"/>
    </w:pPr>
  </w:style>
  <w:style w:type="paragraph" w:styleId="TOCHeading">
    <w:name w:val="TOC Heading"/>
    <w:basedOn w:val="Heading1"/>
    <w:next w:val="Normal"/>
    <w:uiPriority w:val="39"/>
    <w:unhideWhenUsed/>
    <w:qFormat/>
    <w:rsid w:val="00C04D2D"/>
    <w:pPr>
      <w:widowControl/>
      <w:autoSpaceDE/>
      <w:autoSpaceDN/>
      <w:adjustRightInd/>
      <w:spacing w:before="240" w:after="0" w:line="259" w:lineRule="auto"/>
      <w:ind w:left="0" w:firstLine="0"/>
      <w:outlineLvl w:val="9"/>
    </w:pPr>
    <w:rPr>
      <w:rFonts w:asciiTheme="majorHAnsi" w:hAnsiTheme="majorHAnsi"/>
      <w:caps w:val="0"/>
      <w:color w:val="2F5496" w:themeColor="accent1" w:themeShade="BF"/>
      <w:sz w:val="32"/>
      <w:szCs w:val="32"/>
    </w:rPr>
  </w:style>
  <w:style w:type="paragraph" w:styleId="TOC1">
    <w:name w:val="toc 1"/>
    <w:basedOn w:val="Normal"/>
    <w:next w:val="Normal"/>
    <w:autoRedefine/>
    <w:uiPriority w:val="39"/>
    <w:unhideWhenUsed/>
    <w:rsid w:val="000F3EDC"/>
    <w:pPr>
      <w:spacing w:after="100"/>
      <w:contextualSpacing/>
    </w:pPr>
  </w:style>
  <w:style w:type="paragraph" w:styleId="TOC2">
    <w:name w:val="toc 2"/>
    <w:basedOn w:val="Normal"/>
    <w:next w:val="Normal"/>
    <w:autoRedefine/>
    <w:uiPriority w:val="39"/>
    <w:unhideWhenUsed/>
    <w:rsid w:val="000F3EDC"/>
    <w:pPr>
      <w:spacing w:after="100"/>
      <w:ind w:left="216"/>
      <w:contextualSpacing/>
    </w:pPr>
  </w:style>
  <w:style w:type="character" w:styleId="Hyperlink">
    <w:name w:val="Hyperlink"/>
    <w:basedOn w:val="DefaultParagraphFont"/>
    <w:uiPriority w:val="99"/>
    <w:unhideWhenUsed/>
    <w:rsid w:val="00C04D2D"/>
    <w:rPr>
      <w:color w:val="0563C1" w:themeColor="hyperlink"/>
      <w:u w:val="single"/>
    </w:rPr>
  </w:style>
  <w:style w:type="paragraph" w:styleId="TOC3">
    <w:name w:val="toc 3"/>
    <w:basedOn w:val="Normal"/>
    <w:next w:val="Normal"/>
    <w:autoRedefine/>
    <w:uiPriority w:val="39"/>
    <w:unhideWhenUsed/>
    <w:rsid w:val="00C04D2D"/>
    <w:pPr>
      <w:spacing w:after="100"/>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C59EA-37E3-4E85-905C-893BF988E76C}">
  <ds:schemaRefs>
    <ds:schemaRef ds:uri="http://schemas.openxmlformats.org/officeDocument/2006/bibliography"/>
  </ds:schemaRefs>
</ds:datastoreItem>
</file>

<file path=customXml/itemProps2.xml><?xml version="1.0" encoding="utf-8"?>
<ds:datastoreItem xmlns:ds="http://schemas.openxmlformats.org/officeDocument/2006/customXml" ds:itemID="{997DC91D-B96C-4662-8198-CFF1AB4167E0}"/>
</file>

<file path=customXml/itemProps3.xml><?xml version="1.0" encoding="utf-8"?>
<ds:datastoreItem xmlns:ds="http://schemas.openxmlformats.org/officeDocument/2006/customXml" ds:itemID="{55516413-788F-404D-AFA6-239438258420}"/>
</file>

<file path=customXml/itemProps4.xml><?xml version="1.0" encoding="utf-8"?>
<ds:datastoreItem xmlns:ds="http://schemas.openxmlformats.org/officeDocument/2006/customXml" ds:itemID="{A1DD51C0-9CCE-415E-9F8E-04BAFAF8A1E1}"/>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9</Pages>
  <Words>2358</Words>
  <Characters>13441</Characters>
  <Application>Microsoft Office Word</Application>
  <DocSecurity>2</DocSecurity>
  <Lines>112</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2024-02-07T22:00:00Z</dcterms:created>
  <dcterms:modified xsi:type="dcterms:W3CDTF">2024-02-07T22:02:00Z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