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CA7A7" w14:textId="0F07DA35" w:rsidR="00C93DFD" w:rsidRDefault="0031451A" w:rsidP="00CF347E">
      <w:pPr>
        <w:tabs>
          <w:tab w:val="center" w:pos="4680"/>
          <w:tab w:val="right" w:pos="9360"/>
        </w:tabs>
        <w:spacing w:after="200"/>
      </w:pPr>
      <w:r>
        <w:rPr>
          <w:b/>
          <w:bCs/>
          <w:sz w:val="38"/>
          <w:szCs w:val="38"/>
        </w:rPr>
        <w:tab/>
      </w:r>
      <w:r w:rsidR="00C93DFD">
        <w:rPr>
          <w:b/>
          <w:bCs/>
          <w:sz w:val="38"/>
          <w:szCs w:val="38"/>
        </w:rPr>
        <w:t>NRC INSPECTION MANUAL</w:t>
      </w:r>
      <w:r w:rsidR="000F32C7">
        <w:rPr>
          <w:szCs w:val="20"/>
        </w:rPr>
        <w:tab/>
        <w:t>NMSS/DFM</w:t>
      </w:r>
    </w:p>
    <w:p w14:paraId="72FCA7AA" w14:textId="4360E15B" w:rsidR="00D0716E" w:rsidRDefault="007E0773" w:rsidP="00AE7DB7">
      <w:pPr>
        <w:pStyle w:val="IMCIP"/>
      </w:pPr>
      <w:r>
        <w:tab/>
        <w:t>INSPECTION PROCEDURE 60859</w:t>
      </w:r>
    </w:p>
    <w:p w14:paraId="72FCA7AB" w14:textId="29C12654" w:rsidR="00C93DFD" w:rsidRPr="00F5748A" w:rsidRDefault="005B3D2A" w:rsidP="00AE7DB7">
      <w:pPr>
        <w:pStyle w:val="Title"/>
      </w:pPr>
      <w:r>
        <w:t xml:space="preserve">INDEPENDENT SPENT FUEL STORAGE INSTALLATION (ISFSI) </w:t>
      </w:r>
      <w:r w:rsidR="00077270">
        <w:br/>
      </w:r>
      <w:r w:rsidR="000F32C7" w:rsidRPr="00F5748A">
        <w:t xml:space="preserve">LICENSE </w:t>
      </w:r>
      <w:r w:rsidR="000F32C7">
        <w:t>RENEWAL</w:t>
      </w:r>
      <w:r w:rsidR="007E0773" w:rsidRPr="00F5748A">
        <w:t xml:space="preserve"> </w:t>
      </w:r>
      <w:r w:rsidR="00C93DFD" w:rsidRPr="00F5748A">
        <w:t>INSPECTION</w:t>
      </w:r>
    </w:p>
    <w:p w14:paraId="72CAB1B5" w14:textId="3A0234B8" w:rsidR="00AC33DD" w:rsidRPr="00AC33DD" w:rsidRDefault="00AC33DD" w:rsidP="004A15D2">
      <w:pPr>
        <w:pStyle w:val="EffectiveDate"/>
      </w:pPr>
      <w:r w:rsidRPr="00AC33DD">
        <w:t>Effective Date:</w:t>
      </w:r>
      <w:r w:rsidR="00667546">
        <w:t xml:space="preserve"> September 11, 2024</w:t>
      </w:r>
    </w:p>
    <w:p w14:paraId="72FCA7B0" w14:textId="5AF6F4ED" w:rsidR="00C93DFD" w:rsidRPr="00F5748A" w:rsidRDefault="00C93DFD" w:rsidP="003B4E4A">
      <w:pPr>
        <w:pStyle w:val="Applicability"/>
      </w:pPr>
      <w:r w:rsidRPr="00F5748A">
        <w:t xml:space="preserve">PROGRAM APPLICABILITY: </w:t>
      </w:r>
      <w:r w:rsidR="000F4FF1">
        <w:t>IMC</w:t>
      </w:r>
      <w:r w:rsidR="00D55FC6">
        <w:t xml:space="preserve"> </w:t>
      </w:r>
      <w:r w:rsidRPr="00F5748A">
        <w:t>2690</w:t>
      </w:r>
    </w:p>
    <w:p w14:paraId="72FCA7B1" w14:textId="31692A0D" w:rsidR="00C93DFD" w:rsidRDefault="007E0773" w:rsidP="00F12B67">
      <w:pPr>
        <w:pStyle w:val="Heading1"/>
      </w:pPr>
      <w:r w:rsidRPr="00F5748A">
        <w:t>60859</w:t>
      </w:r>
      <w:r w:rsidR="00C93DFD" w:rsidRPr="00F5748A">
        <w:t>-01</w:t>
      </w:r>
      <w:r w:rsidR="00C93DFD" w:rsidRPr="00F5748A">
        <w:tab/>
        <w:t>INSPECTION OBJECTIVE</w:t>
      </w:r>
      <w:r w:rsidR="00F066BA">
        <w:t>S</w:t>
      </w:r>
    </w:p>
    <w:p w14:paraId="648DEB83" w14:textId="3390EB5D" w:rsidR="00AF7AED" w:rsidRDefault="000F32C7" w:rsidP="00347745">
      <w:pPr>
        <w:pStyle w:val="BodyText2"/>
        <w:numPr>
          <w:ilvl w:val="1"/>
          <w:numId w:val="4"/>
        </w:numPr>
      </w:pPr>
      <w:r>
        <w:t xml:space="preserve">To verify </w:t>
      </w:r>
      <w:r w:rsidR="00F218D3">
        <w:t>the</w:t>
      </w:r>
      <w:r w:rsidR="00AF796C">
        <w:t xml:space="preserve"> </w:t>
      </w:r>
      <w:r w:rsidR="002C5564">
        <w:t xml:space="preserve">independent </w:t>
      </w:r>
      <w:r w:rsidR="004F4509">
        <w:t>spent fuel storage installation (</w:t>
      </w:r>
      <w:r>
        <w:t>ISFSI</w:t>
      </w:r>
      <w:r w:rsidR="004F4509">
        <w:t>)</w:t>
      </w:r>
      <w:r>
        <w:t xml:space="preserve"> license renewal program</w:t>
      </w:r>
      <w:r w:rsidR="00577395">
        <w:t>, including any supporting activities</w:t>
      </w:r>
      <w:r w:rsidR="007C2622">
        <w:t>,</w:t>
      </w:r>
      <w:r w:rsidR="0084794D">
        <w:t xml:space="preserve"> </w:t>
      </w:r>
      <w:r w:rsidR="005B3D2A">
        <w:t xml:space="preserve">are planned or implemented consistent with the requirements of Title </w:t>
      </w:r>
      <w:r w:rsidR="00DB6778" w:rsidRPr="00F5748A">
        <w:t xml:space="preserve">10 of the </w:t>
      </w:r>
      <w:r w:rsidR="00DB6778" w:rsidRPr="000F32C7">
        <w:rPr>
          <w:i/>
          <w:iCs/>
        </w:rPr>
        <w:t>Code of Federal Regulations</w:t>
      </w:r>
      <w:r w:rsidR="00DB6778" w:rsidRPr="00F5748A">
        <w:rPr>
          <w:i/>
          <w:iCs/>
        </w:rPr>
        <w:t xml:space="preserve"> </w:t>
      </w:r>
      <w:r w:rsidR="00DB6778" w:rsidRPr="00F5748A">
        <w:t>(10 CFR)</w:t>
      </w:r>
      <w:r w:rsidR="005B3D2A">
        <w:t>,</w:t>
      </w:r>
      <w:r w:rsidR="00DB6778" w:rsidRPr="00F5748A">
        <w:t xml:space="preserve"> Part 72, “Licensing Requirements for the Independent S</w:t>
      </w:r>
      <w:r w:rsidR="005B3D2A">
        <w:t>torage of Spent Nuclear Fuel,</w:t>
      </w:r>
      <w:r w:rsidR="00DB6778" w:rsidRPr="00F5748A">
        <w:t xml:space="preserve"> High-Level Radioactive Waste, and Reactor-Related Greater Than Class C Waste</w:t>
      </w:r>
      <w:r w:rsidR="00385A3F">
        <w:t>,</w:t>
      </w:r>
      <w:r w:rsidR="00DB6778" w:rsidRPr="00F5748A">
        <w:t>”</w:t>
      </w:r>
      <w:r w:rsidR="00173D21" w:rsidRPr="00F5748A">
        <w:t xml:space="preserve"> </w:t>
      </w:r>
      <w:r w:rsidR="00385A3F">
        <w:t>as</w:t>
      </w:r>
      <w:r w:rsidR="002800E0">
        <w:t xml:space="preserve"> provided in a renewed license of a specific ISFSI or a renewed C</w:t>
      </w:r>
      <w:r w:rsidR="00BA2412">
        <w:t>ertificate of Compliance (CoC</w:t>
      </w:r>
      <w:r w:rsidR="0058399A">
        <w:t>) for specific and general licensees, respectively</w:t>
      </w:r>
      <w:r w:rsidR="00BA2412">
        <w:t>.</w:t>
      </w:r>
    </w:p>
    <w:p w14:paraId="125BD781" w14:textId="77777777" w:rsidR="00F91427" w:rsidRDefault="00DB6778" w:rsidP="007F4E11">
      <w:pPr>
        <w:pStyle w:val="BodyText2"/>
      </w:pPr>
      <w:r w:rsidRPr="00F5748A">
        <w:rPr>
          <w:rFonts w:cs="Arial"/>
        </w:rPr>
        <w:t>01.02</w:t>
      </w:r>
      <w:r w:rsidRPr="00F5748A">
        <w:rPr>
          <w:rFonts w:cs="Arial"/>
        </w:rPr>
        <w:tab/>
      </w:r>
      <w:r w:rsidR="00ED3C6B" w:rsidRPr="00516BFE">
        <w:t xml:space="preserve">To verify the </w:t>
      </w:r>
      <w:r w:rsidR="00872D75">
        <w:t>licensee</w:t>
      </w:r>
      <w:r w:rsidR="00ED3C6B" w:rsidRPr="00516BFE">
        <w:t xml:space="preserve"> has adequate programs planned or in place to implement aging management for the structure</w:t>
      </w:r>
      <w:r w:rsidR="00E543D7">
        <w:t>s</w:t>
      </w:r>
      <w:r w:rsidR="00886C36">
        <w:t xml:space="preserve"> </w:t>
      </w:r>
      <w:r w:rsidR="00026468">
        <w:t>system</w:t>
      </w:r>
      <w:r w:rsidR="00E543D7">
        <w:t>s</w:t>
      </w:r>
      <w:r w:rsidR="00FE2FC0">
        <w:t xml:space="preserve"> or</w:t>
      </w:r>
      <w:r w:rsidR="00ED3C6B" w:rsidRPr="00516BFE">
        <w:t xml:space="preserve"> component</w:t>
      </w:r>
      <w:r w:rsidR="00E543D7">
        <w:t>s</w:t>
      </w:r>
      <w:r w:rsidR="00ED3C6B" w:rsidRPr="00516BFE">
        <w:t xml:space="preserve"> (SSC</w:t>
      </w:r>
      <w:r w:rsidR="00E543D7">
        <w:t>s</w:t>
      </w:r>
      <w:r w:rsidR="00ED3C6B" w:rsidRPr="00516BFE">
        <w:t xml:space="preserve">) that require an aging management review, such that these SSCs will be adequately maintained consistent with the </w:t>
      </w:r>
      <w:r w:rsidR="00946500">
        <w:t>Part 72 requirements</w:t>
      </w:r>
      <w:r w:rsidR="00ED3C6B" w:rsidRPr="00516BFE">
        <w:t>, the staff</w:t>
      </w:r>
      <w:r w:rsidR="00ED3C6B">
        <w:t>’</w:t>
      </w:r>
      <w:r w:rsidR="00ED3C6B" w:rsidRPr="00516BFE">
        <w:t xml:space="preserve">s </w:t>
      </w:r>
      <w:r w:rsidR="00A62FDE">
        <w:t xml:space="preserve">existing </w:t>
      </w:r>
      <w:r w:rsidR="00ED3C6B" w:rsidRPr="00516BFE">
        <w:t>safety evaluation</w:t>
      </w:r>
      <w:r w:rsidR="00C87244">
        <w:t xml:space="preserve"> report</w:t>
      </w:r>
      <w:r w:rsidR="00ED3C6B" w:rsidRPr="00516BFE">
        <w:t xml:space="preserve">, and the </w:t>
      </w:r>
      <w:r w:rsidR="0024327B">
        <w:t>licensee</w:t>
      </w:r>
      <w:r w:rsidR="00ED3C6B">
        <w:t>’</w:t>
      </w:r>
      <w:r w:rsidR="00ED3C6B" w:rsidRPr="00516BFE">
        <w:t>s license renewal program.</w:t>
      </w:r>
    </w:p>
    <w:p w14:paraId="35970242" w14:textId="71E81D29" w:rsidR="003A6B49" w:rsidRDefault="003A6B49" w:rsidP="007F4E11">
      <w:pPr>
        <w:pStyle w:val="BodyText2"/>
      </w:pPr>
      <w:r w:rsidRPr="00516BFE">
        <w:t>01.03</w:t>
      </w:r>
      <w:r w:rsidRPr="00516BFE">
        <w:tab/>
        <w:t>To verify the</w:t>
      </w:r>
      <w:r w:rsidR="003B31AF">
        <w:t xml:space="preserve"> license conditions</w:t>
      </w:r>
      <w:r w:rsidR="00C00E35">
        <w:t xml:space="preserve"> </w:t>
      </w:r>
      <w:r w:rsidR="00C00E35" w:rsidRPr="00CC1882">
        <w:t>added as part of the renewed license</w:t>
      </w:r>
      <w:r w:rsidR="00A92BD1">
        <w:t xml:space="preserve"> of a specific ISFSI or a renewed CoC</w:t>
      </w:r>
      <w:r w:rsidR="00C00E35" w:rsidRPr="00CC1882">
        <w:t>, regulatory commitments, aging management programs (AMPs), time limited aging analyses (TLAAs)</w:t>
      </w:r>
      <w:r w:rsidR="00C00E35">
        <w:t xml:space="preserve">, </w:t>
      </w:r>
      <w:r w:rsidR="0015299E">
        <w:t xml:space="preserve">and </w:t>
      </w:r>
      <w:r w:rsidR="00C00E35" w:rsidRPr="00B749CD">
        <w:t xml:space="preserve">license renewal activities are implemented and/or completed, and to verify </w:t>
      </w:r>
      <w:r w:rsidR="00654AD8">
        <w:t xml:space="preserve">that </w:t>
      </w:r>
      <w:r w:rsidR="00C00E35" w:rsidRPr="00B749CD">
        <w:t xml:space="preserve">age-related degradation </w:t>
      </w:r>
      <w:r w:rsidR="00C00E35">
        <w:t>is</w:t>
      </w:r>
      <w:r w:rsidR="00C00E35" w:rsidRPr="00B749CD">
        <w:t xml:space="preserve"> identified and </w:t>
      </w:r>
      <w:r w:rsidR="0021406E">
        <w:t>adequately managed</w:t>
      </w:r>
      <w:r w:rsidR="00AF7AED">
        <w:t xml:space="preserve"> </w:t>
      </w:r>
      <w:r w:rsidR="005B181B">
        <w:t>or corrected,</w:t>
      </w:r>
      <w:r w:rsidR="00850976">
        <w:t xml:space="preserve"> as applicable</w:t>
      </w:r>
      <w:r w:rsidR="00C555B1">
        <w:t>.</w:t>
      </w:r>
    </w:p>
    <w:p w14:paraId="4714C815" w14:textId="6DAF9DCB" w:rsidR="00BC4412" w:rsidRPr="00F12B67" w:rsidRDefault="00163A87" w:rsidP="00C44519">
      <w:pPr>
        <w:pStyle w:val="Heading1"/>
      </w:pPr>
      <w:r w:rsidRPr="00F12B67">
        <w:t>60859</w:t>
      </w:r>
      <w:r w:rsidR="00BC4412" w:rsidRPr="00F12B67">
        <w:noBreakHyphen/>
        <w:t xml:space="preserve">02 </w:t>
      </w:r>
      <w:r w:rsidR="00BC4412" w:rsidRPr="00F12B67">
        <w:tab/>
        <w:t>DEFINITIONS</w:t>
      </w:r>
    </w:p>
    <w:p w14:paraId="60D8E139" w14:textId="424E12D0" w:rsidR="006668E4" w:rsidRDefault="0037514C" w:rsidP="00550F58">
      <w:pPr>
        <w:pStyle w:val="BodyText2"/>
      </w:pPr>
      <w:r w:rsidRPr="00F12B67">
        <w:rPr>
          <w:caps/>
        </w:rPr>
        <w:t>02.01</w:t>
      </w:r>
      <w:r w:rsidRPr="00F12B67">
        <w:rPr>
          <w:caps/>
        </w:rPr>
        <w:tab/>
      </w:r>
      <w:r w:rsidR="00226B91" w:rsidRPr="00E65B6B">
        <w:rPr>
          <w:u w:val="single"/>
        </w:rPr>
        <w:t xml:space="preserve">Aging </w:t>
      </w:r>
      <w:r w:rsidR="006D37EC" w:rsidRPr="00E65B6B">
        <w:rPr>
          <w:u w:val="single"/>
        </w:rPr>
        <w:t>M</w:t>
      </w:r>
      <w:r w:rsidR="00226B91" w:rsidRPr="00E65B6B">
        <w:rPr>
          <w:u w:val="single"/>
        </w:rPr>
        <w:t xml:space="preserve">anagement </w:t>
      </w:r>
      <w:r w:rsidR="006D37EC" w:rsidRPr="00E65B6B">
        <w:rPr>
          <w:u w:val="single"/>
        </w:rPr>
        <w:t>A</w:t>
      </w:r>
      <w:r w:rsidR="00226B91" w:rsidRPr="00E65B6B">
        <w:rPr>
          <w:u w:val="single"/>
        </w:rPr>
        <w:t>ctivity (AMA</w:t>
      </w:r>
      <w:r w:rsidR="005C58F1" w:rsidRPr="00F12B67">
        <w:rPr>
          <w:caps/>
        </w:rPr>
        <w:t>).</w:t>
      </w:r>
      <w:r w:rsidR="006D37EC" w:rsidRPr="00F12B67">
        <w:rPr>
          <w:caps/>
        </w:rPr>
        <w:t xml:space="preserve"> </w:t>
      </w:r>
      <w:r w:rsidR="0005755D" w:rsidRPr="00F12B67">
        <w:rPr>
          <w:caps/>
        </w:rPr>
        <w:t>T</w:t>
      </w:r>
      <w:r w:rsidR="0005755D" w:rsidRPr="00E65B6B">
        <w:t>he</w:t>
      </w:r>
      <w:r w:rsidR="0005755D" w:rsidRPr="00F12B67">
        <w:rPr>
          <w:caps/>
        </w:rPr>
        <w:t xml:space="preserve"> AMA </w:t>
      </w:r>
      <w:r w:rsidR="0005755D" w:rsidRPr="00E65B6B">
        <w:t>is a</w:t>
      </w:r>
      <w:r w:rsidR="00226B91" w:rsidRPr="00E65B6B">
        <w:t>n application of either the</w:t>
      </w:r>
      <w:r w:rsidR="00226B91" w:rsidRPr="00F12B67">
        <w:rPr>
          <w:caps/>
        </w:rPr>
        <w:t xml:space="preserve"> AMP </w:t>
      </w:r>
      <w:r w:rsidR="00910E80" w:rsidRPr="00E65B6B">
        <w:t>and/</w:t>
      </w:r>
      <w:r w:rsidR="00226B91" w:rsidRPr="00E65B6B">
        <w:t>or</w:t>
      </w:r>
      <w:r w:rsidR="00226B91" w:rsidRPr="000D7CA0">
        <w:t xml:space="preserve"> TLAAs to provide reasonable assurance that the intended functions </w:t>
      </w:r>
      <w:r w:rsidR="00957725">
        <w:t>for</w:t>
      </w:r>
      <w:r w:rsidR="00226B91" w:rsidRPr="000D7CA0">
        <w:t xml:space="preserve"> SSCs of ISFSIs and dry storage systems (DSSs) are maintained during the period</w:t>
      </w:r>
      <w:r w:rsidR="006D5132" w:rsidRPr="000D7CA0">
        <w:t xml:space="preserve"> </w:t>
      </w:r>
      <w:r w:rsidR="00226B91" w:rsidRPr="000D7CA0">
        <w:t>of extended operation</w:t>
      </w:r>
      <w:r w:rsidR="006D5132" w:rsidRPr="000D7CA0">
        <w:t>.</w:t>
      </w:r>
      <w:r w:rsidR="00CD3B3A">
        <w:t xml:space="preserve"> For </w:t>
      </w:r>
      <w:r w:rsidR="00523B16">
        <w:t xml:space="preserve">example, an activity identified </w:t>
      </w:r>
      <w:r w:rsidR="002D601B">
        <w:t>because of</w:t>
      </w:r>
      <w:r w:rsidR="00523B16">
        <w:t xml:space="preserve"> scoping and</w:t>
      </w:r>
      <w:r w:rsidR="006A7A78">
        <w:t>/or</w:t>
      </w:r>
      <w:r w:rsidR="00523B16">
        <w:t xml:space="preserve"> </w:t>
      </w:r>
      <w:r w:rsidR="00E95DF4">
        <w:t xml:space="preserve">screening </w:t>
      </w:r>
      <w:r w:rsidR="006A7A78">
        <w:t>in which the licensee</w:t>
      </w:r>
      <w:r w:rsidR="00523B16">
        <w:t xml:space="preserve"> incorporated </w:t>
      </w:r>
      <w:r w:rsidR="00EA25E6">
        <w:t xml:space="preserve">the activity </w:t>
      </w:r>
      <w:r w:rsidR="00523B16">
        <w:t>into a TLAA or AMP</w:t>
      </w:r>
      <w:r w:rsidR="003935B9">
        <w:t>.</w:t>
      </w:r>
    </w:p>
    <w:p w14:paraId="3F7EE2E6" w14:textId="215F22D9" w:rsidR="00F473EB" w:rsidRPr="000D7CA0" w:rsidRDefault="00F473EB" w:rsidP="00550F58">
      <w:pPr>
        <w:pStyle w:val="BodyText2"/>
        <w:rPr>
          <w:u w:val="single"/>
        </w:rPr>
      </w:pPr>
      <w:r w:rsidRPr="00B55353">
        <w:t>02.02</w:t>
      </w:r>
      <w:r w:rsidRPr="00B55353">
        <w:tab/>
      </w:r>
      <w:r w:rsidRPr="00EA0C2B">
        <w:rPr>
          <w:rFonts w:eastAsia="Times New Roman" w:cs="Arial"/>
          <w:szCs w:val="24"/>
          <w:u w:val="single"/>
        </w:rPr>
        <w:t>Aging Management Program</w:t>
      </w:r>
      <w:r w:rsidR="00577AAE" w:rsidRPr="00EA0C2B">
        <w:rPr>
          <w:rFonts w:eastAsia="Times New Roman" w:cs="Arial"/>
          <w:szCs w:val="24"/>
          <w:u w:val="single"/>
        </w:rPr>
        <w:t xml:space="preserve"> (AMP).</w:t>
      </w:r>
      <w:r w:rsidR="00577AAE">
        <w:t xml:space="preserve"> </w:t>
      </w:r>
      <w:r w:rsidR="00FD1A82">
        <w:t>M</w:t>
      </w:r>
      <w:r w:rsidR="00330B8F">
        <w:t xml:space="preserve">eans a program for addressing aging </w:t>
      </w:r>
      <w:r w:rsidR="008F2E55">
        <w:t>effects that may include prevention, mitigation, condition mon</w:t>
      </w:r>
      <w:r w:rsidR="00055FAD">
        <w:t>itoring, and performance mon</w:t>
      </w:r>
      <w:r w:rsidR="009B2537">
        <w:t>itoring.</w:t>
      </w:r>
    </w:p>
    <w:p w14:paraId="388F0A92" w14:textId="7E3931BA" w:rsidR="00225889" w:rsidRDefault="0037514C" w:rsidP="00550F58">
      <w:pPr>
        <w:pStyle w:val="BodyText2"/>
      </w:pPr>
      <w:r w:rsidRPr="006658E2">
        <w:rPr>
          <w:rFonts w:cs="Arial"/>
        </w:rPr>
        <w:t>02.0</w:t>
      </w:r>
      <w:r w:rsidR="00B351DE" w:rsidRPr="006658E2">
        <w:t>3</w:t>
      </w:r>
      <w:r w:rsidRPr="006658E2">
        <w:rPr>
          <w:rFonts w:cs="Arial"/>
        </w:rPr>
        <w:tab/>
      </w:r>
      <w:r w:rsidR="00225889" w:rsidRPr="000D7CA0">
        <w:rPr>
          <w:u w:val="single"/>
        </w:rPr>
        <w:t xml:space="preserve">Baseline </w:t>
      </w:r>
      <w:r w:rsidR="00232A33">
        <w:rPr>
          <w:u w:val="single"/>
        </w:rPr>
        <w:t>I</w:t>
      </w:r>
      <w:r w:rsidR="00225889" w:rsidRPr="000D7CA0">
        <w:rPr>
          <w:u w:val="single"/>
        </w:rPr>
        <w:t>nspection</w:t>
      </w:r>
      <w:r w:rsidR="000D7CA0" w:rsidRPr="000D7CA0">
        <w:rPr>
          <w:u w:val="single"/>
        </w:rPr>
        <w:t>.</w:t>
      </w:r>
      <w:r w:rsidR="000D7CA0">
        <w:t xml:space="preserve"> </w:t>
      </w:r>
      <w:r w:rsidR="00225889" w:rsidRPr="001077E5">
        <w:t>The first inspection of an AMP to assess the condition of SSCs to either:</w:t>
      </w:r>
      <w:r w:rsidR="006F2479" w:rsidRPr="001077E5">
        <w:t xml:space="preserve"> </w:t>
      </w:r>
      <w:r w:rsidR="00225889" w:rsidRPr="001077E5">
        <w:t>(1) confirm that the results of pre-application inspections conducted at other sites are bounding</w:t>
      </w:r>
      <w:r w:rsidR="001077E5">
        <w:t xml:space="preserve"> </w:t>
      </w:r>
      <w:r w:rsidR="00225889" w:rsidRPr="001077E5">
        <w:t xml:space="preserve">of the subject site, or (2) verify the adequacy of the AMPs and the </w:t>
      </w:r>
      <w:r w:rsidR="00225889" w:rsidRPr="001077E5">
        <w:lastRenderedPageBreak/>
        <w:t>conclusions of the TLAAs</w:t>
      </w:r>
      <w:r w:rsidR="001077E5">
        <w:t xml:space="preserve"> </w:t>
      </w:r>
      <w:r w:rsidR="00225889" w:rsidRPr="001077E5">
        <w:t xml:space="preserve">when pre-application inspections were not </w:t>
      </w:r>
      <w:r w:rsidR="001077E5" w:rsidRPr="001077E5">
        <w:t>performed. The</w:t>
      </w:r>
      <w:r w:rsidR="00B94E83" w:rsidRPr="001077E5">
        <w:t xml:space="preserve"> baseline</w:t>
      </w:r>
      <w:r w:rsidR="00B94E83">
        <w:t xml:space="preserve"> inspection </w:t>
      </w:r>
      <w:r w:rsidR="00CC5190">
        <w:t xml:space="preserve">may </w:t>
      </w:r>
      <w:r w:rsidR="00A7317A">
        <w:t xml:space="preserve">also </w:t>
      </w:r>
      <w:r w:rsidR="00CC5190">
        <w:t>be referred to as the lead canister inspection</w:t>
      </w:r>
      <w:r w:rsidR="008E3D60">
        <w:t>.</w:t>
      </w:r>
    </w:p>
    <w:p w14:paraId="1A8D5570" w14:textId="5D0A27A6" w:rsidR="00AF768E" w:rsidRPr="000D7CA0" w:rsidRDefault="00AF768E" w:rsidP="001077E5">
      <w:pPr>
        <w:pStyle w:val="BodyText2"/>
        <w:rPr>
          <w:u w:val="single"/>
        </w:rPr>
      </w:pPr>
      <w:r w:rsidRPr="00B55353">
        <w:t>02.0</w:t>
      </w:r>
      <w:r w:rsidR="00B351DE">
        <w:t>4</w:t>
      </w:r>
      <w:r w:rsidRPr="00B55353">
        <w:tab/>
      </w:r>
      <w:r>
        <w:rPr>
          <w:u w:val="single"/>
        </w:rPr>
        <w:t>Design Bases</w:t>
      </w:r>
      <w:r w:rsidRPr="000D7CA0">
        <w:rPr>
          <w:u w:val="single"/>
        </w:rPr>
        <w:t>.</w:t>
      </w:r>
      <w:r w:rsidR="00AE2F94" w:rsidRPr="001077E5">
        <w:rPr>
          <w:rFonts w:eastAsia="Times New Roman"/>
          <w:szCs w:val="24"/>
          <w:u w:val="single"/>
        </w:rPr>
        <w:t xml:space="preserve"> </w:t>
      </w:r>
      <w:r w:rsidR="005F134A">
        <w:t>As defined in 10 CFR 72</w:t>
      </w:r>
      <w:r w:rsidR="008033A0">
        <w:t>.3</w:t>
      </w:r>
      <w:r w:rsidR="00631CC2">
        <w:t>, in part</w:t>
      </w:r>
      <w:r w:rsidR="00FF1AED">
        <w:t>,</w:t>
      </w:r>
      <w:r w:rsidR="004006C9">
        <w:t xml:space="preserve"> </w:t>
      </w:r>
      <w:r w:rsidR="008033A0">
        <w:t>means</w:t>
      </w:r>
      <w:r w:rsidR="00AE2F94" w:rsidRPr="000D7CA0">
        <w:t xml:space="preserve"> information that identifies the specific functions to be performed by </w:t>
      </w:r>
      <w:r w:rsidR="00AE2F94">
        <w:t xml:space="preserve">an </w:t>
      </w:r>
      <w:r w:rsidR="00AE2F94" w:rsidRPr="000D7CA0">
        <w:t xml:space="preserve">SSC of a facility or of a spent fuel storage cask and the specific values or ranges of values chosen for controlling parameters as reference bounds for design. These values may be (1) restraints, derived from generally accepted “state-of-the-art” practices for achieving functional goals, or (2) requirements, derived from analysis (based on calculation, experiments, or both) of the effects of a postulated event under which SSCs must meet their functional goals. </w:t>
      </w:r>
      <w:r w:rsidR="001E00BB">
        <w:t xml:space="preserve">For </w:t>
      </w:r>
      <w:r w:rsidR="00322477">
        <w:t>insta</w:t>
      </w:r>
      <w:r w:rsidR="00D75B38">
        <w:t>nces</w:t>
      </w:r>
      <w:r w:rsidR="001E00BB">
        <w:t>, a</w:t>
      </w:r>
      <w:r w:rsidR="00AE2F94" w:rsidRPr="000D7CA0">
        <w:t xml:space="preserve"> large portion of the design bas</w:t>
      </w:r>
      <w:r w:rsidR="00AE2F94">
        <w:t>es</w:t>
      </w:r>
      <w:r w:rsidR="00AE2F94" w:rsidRPr="000D7CA0">
        <w:t xml:space="preserve"> information is generally captured in the most recent final safety analysis report (FSAR) as required by 10 CFR 72.70 and 10 CFR 72.248.</w:t>
      </w:r>
    </w:p>
    <w:p w14:paraId="2E52E7E1" w14:textId="0655C246" w:rsidR="00CD1B0B" w:rsidRDefault="00CD1B0B" w:rsidP="00CD1B0B">
      <w:pPr>
        <w:pStyle w:val="BodyText2"/>
        <w:rPr>
          <w:rFonts w:cs="Arial"/>
        </w:rPr>
      </w:pPr>
      <w:r w:rsidRPr="00161DB7">
        <w:t>02</w:t>
      </w:r>
      <w:r w:rsidRPr="009E061D">
        <w:rPr>
          <w:rFonts w:cs="Arial"/>
        </w:rPr>
        <w:t>.</w:t>
      </w:r>
      <w:r w:rsidRPr="009E061D">
        <w:t>0</w:t>
      </w:r>
      <w:r w:rsidR="00B351DE">
        <w:t>5</w:t>
      </w:r>
      <w:r w:rsidRPr="009E061D">
        <w:rPr>
          <w:rFonts w:cs="Arial"/>
        </w:rPr>
        <w:tab/>
      </w:r>
      <w:r w:rsidRPr="000D7CA0">
        <w:rPr>
          <w:rFonts w:cs="Arial"/>
          <w:u w:val="single"/>
        </w:rPr>
        <w:t>Period of Extended Operation (PEO)</w:t>
      </w:r>
      <w:r w:rsidRPr="000D7CA0">
        <w:rPr>
          <w:rFonts w:cs="Arial"/>
        </w:rPr>
        <w:t>. The PEO is the 40-year period commencing immediately after the expiration of an applicant’s or CoC holder’s initial 20-year license. For a renewed license of a specific ISFSI or a renewed CoC, a subsequent PEO (</w:t>
      </w:r>
      <w:proofErr w:type="gramStart"/>
      <w:r w:rsidRPr="000D7CA0">
        <w:rPr>
          <w:rFonts w:cs="Arial"/>
        </w:rPr>
        <w:t>40</w:t>
      </w:r>
      <w:r w:rsidR="00F72E60">
        <w:rPr>
          <w:rFonts w:cs="Arial"/>
        </w:rPr>
        <w:t> </w:t>
      </w:r>
      <w:r w:rsidRPr="000D7CA0">
        <w:rPr>
          <w:rFonts w:cs="Arial"/>
        </w:rPr>
        <w:t>year</w:t>
      </w:r>
      <w:proofErr w:type="gramEnd"/>
      <w:r w:rsidRPr="000D7CA0">
        <w:rPr>
          <w:rFonts w:cs="Arial"/>
        </w:rPr>
        <w:t xml:space="preserve"> period) may commence immediately after the expiration of the original license.</w:t>
      </w:r>
    </w:p>
    <w:p w14:paraId="376C876C" w14:textId="77777777" w:rsidR="00505C85" w:rsidRDefault="00777F0A" w:rsidP="00161DB7">
      <w:pPr>
        <w:pStyle w:val="BodyText2"/>
      </w:pPr>
      <w:r w:rsidRPr="00B55353">
        <w:t>02.0</w:t>
      </w:r>
      <w:r w:rsidR="00B351DE">
        <w:t>6</w:t>
      </w:r>
      <w:r w:rsidRPr="00B55353">
        <w:tab/>
      </w:r>
      <w:r w:rsidRPr="00891F4A">
        <w:rPr>
          <w:u w:val="single"/>
        </w:rPr>
        <w:t xml:space="preserve">Pre-application </w:t>
      </w:r>
      <w:r>
        <w:rPr>
          <w:u w:val="single"/>
        </w:rPr>
        <w:t>I</w:t>
      </w:r>
      <w:r w:rsidRPr="00891F4A">
        <w:rPr>
          <w:u w:val="single"/>
        </w:rPr>
        <w:t>nspection.</w:t>
      </w:r>
      <w:r>
        <w:t xml:space="preserve"> </w:t>
      </w:r>
      <w:r w:rsidRPr="00891F4A">
        <w:t>An inspection performed at the discretion of the licensee or CoC</w:t>
      </w:r>
      <w:r>
        <w:t xml:space="preserve"> </w:t>
      </w:r>
      <w:r w:rsidRPr="00891F4A">
        <w:t>holder before submittal of the renewal application to provide operating experience to support</w:t>
      </w:r>
      <w:r>
        <w:t xml:space="preserve"> </w:t>
      </w:r>
      <w:r w:rsidRPr="00891F4A">
        <w:t>the aging management review, proposed AMP activities, or evaluation of TLAAs.</w:t>
      </w:r>
    </w:p>
    <w:p w14:paraId="45CE518D" w14:textId="384AD113" w:rsidR="00B351DE" w:rsidRPr="00441E58" w:rsidRDefault="00B351DE" w:rsidP="00161DB7">
      <w:pPr>
        <w:pStyle w:val="BodyText2"/>
      </w:pPr>
      <w:r w:rsidRPr="00B55353">
        <w:rPr>
          <w:rFonts w:cs="Arial"/>
        </w:rPr>
        <w:t>02.</w:t>
      </w:r>
      <w:r w:rsidRPr="00B55353">
        <w:t>0</w:t>
      </w:r>
      <w:r w:rsidR="00475012">
        <w:t>7</w:t>
      </w:r>
      <w:r w:rsidRPr="00B55353">
        <w:rPr>
          <w:rFonts w:cs="Arial"/>
        </w:rPr>
        <w:tab/>
      </w:r>
      <w:r w:rsidR="00DF72A6">
        <w:rPr>
          <w:rFonts w:cs="Arial"/>
          <w:u w:val="single"/>
        </w:rPr>
        <w:t xml:space="preserve">Time Limited Aging </w:t>
      </w:r>
      <w:r w:rsidR="00397778">
        <w:rPr>
          <w:rFonts w:cs="Arial"/>
          <w:u w:val="single"/>
        </w:rPr>
        <w:t>Analyses</w:t>
      </w:r>
      <w:r w:rsidR="00397778" w:rsidRPr="00891F4A">
        <w:rPr>
          <w:rFonts w:cs="Arial"/>
          <w:u w:val="single"/>
        </w:rPr>
        <w:t>.</w:t>
      </w:r>
      <w:r w:rsidR="00397778">
        <w:rPr>
          <w:rFonts w:cs="Arial"/>
        </w:rPr>
        <w:t xml:space="preserve"> </w:t>
      </w:r>
      <w:r w:rsidR="009135AC">
        <w:rPr>
          <w:rFonts w:cs="Arial"/>
        </w:rPr>
        <w:t>As defined in 10 CFR 72.3, m</w:t>
      </w:r>
      <w:r w:rsidR="00397778">
        <w:rPr>
          <w:rFonts w:cs="Arial"/>
        </w:rPr>
        <w:t>eans</w:t>
      </w:r>
      <w:r w:rsidR="00160C0F">
        <w:rPr>
          <w:rFonts w:cs="Arial"/>
        </w:rPr>
        <w:t xml:space="preserve"> </w:t>
      </w:r>
      <w:r w:rsidR="00280C64">
        <w:rPr>
          <w:rFonts w:cs="Arial"/>
        </w:rPr>
        <w:t>those licensee or certificate holder calculations and a</w:t>
      </w:r>
      <w:r w:rsidR="00397778">
        <w:rPr>
          <w:rFonts w:cs="Arial"/>
        </w:rPr>
        <w:t>nalyses</w:t>
      </w:r>
      <w:r w:rsidR="00441E58">
        <w:rPr>
          <w:rFonts w:cs="Arial"/>
        </w:rPr>
        <w:t xml:space="preserve"> that:</w:t>
      </w:r>
      <w:r w:rsidR="00FA3040">
        <w:rPr>
          <w:rFonts w:cs="Arial"/>
        </w:rPr>
        <w:t xml:space="preserve"> (1) Involve </w:t>
      </w:r>
      <w:r w:rsidR="00EB6BEB">
        <w:rPr>
          <w:rFonts w:cs="Arial"/>
        </w:rPr>
        <w:t>SSCs important to safety within scope of the license renewal</w:t>
      </w:r>
      <w:r w:rsidR="004D5E35">
        <w:rPr>
          <w:rFonts w:cs="Arial"/>
        </w:rPr>
        <w:t xml:space="preserve">, as delineated in subpart F of </w:t>
      </w:r>
      <w:r w:rsidR="002B336B">
        <w:rPr>
          <w:rFonts w:cs="Arial"/>
        </w:rPr>
        <w:t>10 CFR</w:t>
      </w:r>
      <w:r w:rsidR="004F4C2C">
        <w:rPr>
          <w:rFonts w:cs="Arial"/>
        </w:rPr>
        <w:t xml:space="preserve"> Part 72</w:t>
      </w:r>
      <w:r w:rsidR="009D342C">
        <w:rPr>
          <w:rFonts w:cs="Arial"/>
        </w:rPr>
        <w:t xml:space="preserve">, or within the scope of the spent </w:t>
      </w:r>
      <w:r w:rsidR="0025226F">
        <w:rPr>
          <w:rFonts w:cs="Arial"/>
        </w:rPr>
        <w:t>fu</w:t>
      </w:r>
      <w:r w:rsidR="001C6058">
        <w:rPr>
          <w:rFonts w:cs="Arial"/>
        </w:rPr>
        <w:t>el storage certificate renewal, as delineated in</w:t>
      </w:r>
      <w:r w:rsidR="002B336B">
        <w:rPr>
          <w:rFonts w:cs="Arial"/>
        </w:rPr>
        <w:t xml:space="preserve"> su</w:t>
      </w:r>
      <w:r w:rsidR="004F4C2C">
        <w:rPr>
          <w:rFonts w:cs="Arial"/>
        </w:rPr>
        <w:t>bpart L of 10 CFR Part 72</w:t>
      </w:r>
      <w:r w:rsidR="001138CA">
        <w:rPr>
          <w:rFonts w:cs="Arial"/>
        </w:rPr>
        <w:t>, respectively</w:t>
      </w:r>
      <w:r w:rsidR="00386351">
        <w:rPr>
          <w:rFonts w:cs="Arial"/>
        </w:rPr>
        <w:t>; (2) Consider the effects of aging</w:t>
      </w:r>
      <w:r w:rsidR="00D90D13">
        <w:rPr>
          <w:rFonts w:cs="Arial"/>
        </w:rPr>
        <w:t xml:space="preserve">; (3) </w:t>
      </w:r>
      <w:r w:rsidR="00D97714">
        <w:rPr>
          <w:rFonts w:cs="Arial"/>
        </w:rPr>
        <w:t>Involve time</w:t>
      </w:r>
      <w:r w:rsidR="00942AAC">
        <w:rPr>
          <w:rFonts w:cs="Arial"/>
        </w:rPr>
        <w:t xml:space="preserve"> </w:t>
      </w:r>
      <w:r w:rsidR="00D97714">
        <w:rPr>
          <w:rFonts w:cs="Arial"/>
        </w:rPr>
        <w:t xml:space="preserve">limited assumptions defined by the current operating </w:t>
      </w:r>
      <w:r w:rsidR="00F21A87">
        <w:rPr>
          <w:rFonts w:cs="Arial"/>
        </w:rPr>
        <w:t>term, for example, 40 years; (4) Were det</w:t>
      </w:r>
      <w:r w:rsidR="00C75356">
        <w:rPr>
          <w:rFonts w:cs="Arial"/>
        </w:rPr>
        <w:t>ermined</w:t>
      </w:r>
      <w:r w:rsidR="0073271C">
        <w:rPr>
          <w:rFonts w:cs="Arial"/>
        </w:rPr>
        <w:t xml:space="preserve"> </w:t>
      </w:r>
      <w:r w:rsidR="00C75356">
        <w:rPr>
          <w:rFonts w:cs="Arial"/>
        </w:rPr>
        <w:t xml:space="preserve">to </w:t>
      </w:r>
      <w:r w:rsidR="00586480">
        <w:rPr>
          <w:rFonts w:cs="Arial"/>
        </w:rPr>
        <w:t>be relevant</w:t>
      </w:r>
      <w:r w:rsidR="005C3EDD">
        <w:rPr>
          <w:rFonts w:cs="Arial"/>
        </w:rPr>
        <w:t xml:space="preserve"> by the licensee or certificate holder in making a safety determination</w:t>
      </w:r>
      <w:r w:rsidR="0073271C">
        <w:rPr>
          <w:rFonts w:cs="Arial"/>
        </w:rPr>
        <w:t xml:space="preserve">: (5) </w:t>
      </w:r>
      <w:r w:rsidR="0060353B">
        <w:rPr>
          <w:rFonts w:cs="Arial"/>
        </w:rPr>
        <w:t>Involve con</w:t>
      </w:r>
      <w:r w:rsidR="00D16C13">
        <w:rPr>
          <w:rFonts w:cs="Arial"/>
        </w:rPr>
        <w:t xml:space="preserve">clusions or provide the basis for </w:t>
      </w:r>
      <w:r w:rsidR="00DF24ED">
        <w:rPr>
          <w:rFonts w:cs="Arial"/>
        </w:rPr>
        <w:t xml:space="preserve">conclusions related to the capability of </w:t>
      </w:r>
      <w:r w:rsidR="00BD0D94">
        <w:rPr>
          <w:rFonts w:cs="Arial"/>
        </w:rPr>
        <w:t>SSCs to perform their intended safety functio</w:t>
      </w:r>
      <w:r w:rsidR="00BD1E7E">
        <w:rPr>
          <w:rFonts w:cs="Arial"/>
        </w:rPr>
        <w:t xml:space="preserve">ns; and (6) Are contained or incorporated </w:t>
      </w:r>
      <w:r w:rsidR="001E5BC4">
        <w:rPr>
          <w:rFonts w:cs="Arial"/>
        </w:rPr>
        <w:t>by reference in the design bases.</w:t>
      </w:r>
    </w:p>
    <w:p w14:paraId="72FCA7B9" w14:textId="7C70917A" w:rsidR="00C93DFD" w:rsidRDefault="007E0773" w:rsidP="00C44519">
      <w:pPr>
        <w:pStyle w:val="Heading1"/>
      </w:pPr>
      <w:r w:rsidRPr="00F5748A">
        <w:t>60859</w:t>
      </w:r>
      <w:r w:rsidR="00C93DFD" w:rsidRPr="00F5748A">
        <w:t>-0</w:t>
      </w:r>
      <w:r w:rsidR="00045A92">
        <w:t>3</w:t>
      </w:r>
      <w:r w:rsidR="00C93DFD" w:rsidRPr="00F5748A">
        <w:tab/>
        <w:t>INSPECTION REQUIREMENTS</w:t>
      </w:r>
    </w:p>
    <w:p w14:paraId="72FCA7BB" w14:textId="10301FEA" w:rsidR="00693FAD" w:rsidRPr="00B7789F" w:rsidRDefault="009255BF" w:rsidP="00B7789F">
      <w:pPr>
        <w:pStyle w:val="Heading2"/>
      </w:pPr>
      <w:r w:rsidRPr="00B7789F">
        <w:t>0</w:t>
      </w:r>
      <w:r w:rsidR="00045A92" w:rsidRPr="00B7789F">
        <w:t>3</w:t>
      </w:r>
      <w:r w:rsidRPr="00B7789F">
        <w:t>.01</w:t>
      </w:r>
      <w:r w:rsidR="00F76C3C" w:rsidRPr="00B7789F">
        <w:tab/>
      </w:r>
      <w:r w:rsidR="00693FAD" w:rsidRPr="00B7789F">
        <w:t>General</w:t>
      </w:r>
      <w:r w:rsidR="00553A9C" w:rsidRPr="00B7789F">
        <w:t xml:space="preserve"> Inspection Requi</w:t>
      </w:r>
      <w:r w:rsidR="005708F4" w:rsidRPr="00B7789F">
        <w:t>rements</w:t>
      </w:r>
    </w:p>
    <w:p w14:paraId="72FCA7BD" w14:textId="677258DE" w:rsidR="008432DE" w:rsidRPr="00F5748A" w:rsidRDefault="008432DE" w:rsidP="00C84355">
      <w:pPr>
        <w:pStyle w:val="BodyText3"/>
      </w:pPr>
      <w:r w:rsidRPr="00F5748A">
        <w:t xml:space="preserve">This inspection procedure provides specific requirements and guidance </w:t>
      </w:r>
      <w:r w:rsidR="00E7656F">
        <w:t>for</w:t>
      </w:r>
      <w:r w:rsidR="00167B86">
        <w:t xml:space="preserve"> </w:t>
      </w:r>
      <w:r w:rsidR="00E00443">
        <w:t xml:space="preserve">the </w:t>
      </w:r>
      <w:r w:rsidR="00B25835">
        <w:t xml:space="preserve">inspection of </w:t>
      </w:r>
      <w:r w:rsidR="00C17226">
        <w:t>ISFSI license renewal program</w:t>
      </w:r>
      <w:r w:rsidR="00167B86">
        <w:t>s</w:t>
      </w:r>
      <w:r w:rsidR="00C17226">
        <w:t xml:space="preserve"> for specific and general licensees</w:t>
      </w:r>
      <w:r w:rsidRPr="00F5748A">
        <w:t xml:space="preserve"> </w:t>
      </w:r>
      <w:r w:rsidR="00D65A4D" w:rsidRPr="00F5748A">
        <w:t>AMA</w:t>
      </w:r>
      <w:r w:rsidRPr="00F5748A">
        <w:t xml:space="preserve">s </w:t>
      </w:r>
      <w:r w:rsidR="00C30AEC" w:rsidRPr="00F5748A">
        <w:t>(</w:t>
      </w:r>
      <w:r w:rsidR="0083614A">
        <w:t xml:space="preserve">e.g., </w:t>
      </w:r>
      <w:r w:rsidR="00C30AEC" w:rsidRPr="00F5748A">
        <w:t xml:space="preserve">lead canister </w:t>
      </w:r>
      <w:r w:rsidR="00C94728">
        <w:t xml:space="preserve">and pre-application </w:t>
      </w:r>
      <w:r w:rsidR="00C30AEC" w:rsidRPr="00F5748A">
        <w:t>inspection</w:t>
      </w:r>
      <w:r w:rsidR="00167B86">
        <w:t>s</w:t>
      </w:r>
      <w:r w:rsidR="00C30AEC" w:rsidRPr="00F5748A">
        <w:t>, AMPs</w:t>
      </w:r>
      <w:r w:rsidR="001E54F8">
        <w:t xml:space="preserve"> and </w:t>
      </w:r>
      <w:r w:rsidR="001E54F8" w:rsidRPr="00F5748A">
        <w:t>TLAAs</w:t>
      </w:r>
      <w:r w:rsidR="00C30AEC" w:rsidRPr="00F5748A">
        <w:t>)</w:t>
      </w:r>
      <w:r w:rsidR="00AA070B">
        <w:t xml:space="preserve"> </w:t>
      </w:r>
      <w:r w:rsidR="00585582">
        <w:t>and</w:t>
      </w:r>
      <w:r w:rsidR="00AA070B">
        <w:t xml:space="preserve"> the </w:t>
      </w:r>
      <w:r w:rsidRPr="00F5748A">
        <w:t xml:space="preserve">implementation </w:t>
      </w:r>
      <w:r w:rsidR="00585582">
        <w:t xml:space="preserve">of the AMP </w:t>
      </w:r>
      <w:r w:rsidRPr="00F5748A">
        <w:t>(i.e.,</w:t>
      </w:r>
      <w:r w:rsidR="00B71735">
        <w:t xml:space="preserve"> the </w:t>
      </w:r>
      <w:r w:rsidR="000F1D50">
        <w:t xml:space="preserve">inspection of the </w:t>
      </w:r>
      <w:r w:rsidR="005A7A6A">
        <w:t xml:space="preserve">applicable </w:t>
      </w:r>
      <w:r w:rsidR="0090440A">
        <w:t>AMP elements</w:t>
      </w:r>
      <w:r w:rsidRPr="00F5748A">
        <w:t>).</w:t>
      </w:r>
      <w:r w:rsidR="00CD434E">
        <w:t xml:space="preserve"> </w:t>
      </w:r>
      <w:r w:rsidR="00AC70EB">
        <w:t>This procedure</w:t>
      </w:r>
      <w:r w:rsidR="00CD434E">
        <w:t xml:space="preserve"> </w:t>
      </w:r>
      <w:r w:rsidR="008E1C1B">
        <w:t xml:space="preserve">also verifies </w:t>
      </w:r>
      <w:r w:rsidR="00F52755">
        <w:t xml:space="preserve">that </w:t>
      </w:r>
      <w:r w:rsidR="00502D39">
        <w:t xml:space="preserve">a </w:t>
      </w:r>
      <w:r w:rsidR="00F52755">
        <w:t>licensee i</w:t>
      </w:r>
      <w:r w:rsidR="00BD7C5E">
        <w:t>dent</w:t>
      </w:r>
      <w:r w:rsidR="00595876">
        <w:t xml:space="preserve">ifies </w:t>
      </w:r>
      <w:r w:rsidR="00602C17" w:rsidRPr="00B749CD">
        <w:t xml:space="preserve">and </w:t>
      </w:r>
      <w:r w:rsidR="00602C17">
        <w:t>adequately manages or correct</w:t>
      </w:r>
      <w:r w:rsidR="00823AC5">
        <w:t>s</w:t>
      </w:r>
      <w:r w:rsidR="004D27AA">
        <w:t xml:space="preserve"> </w:t>
      </w:r>
      <w:r w:rsidR="008E1C1B">
        <w:t xml:space="preserve">age-related </w:t>
      </w:r>
      <w:r w:rsidR="00595876">
        <w:t>de</w:t>
      </w:r>
      <w:r w:rsidR="000C44A1">
        <w:t>gradation</w:t>
      </w:r>
      <w:r w:rsidR="004D27AA">
        <w:t>, as applicable</w:t>
      </w:r>
      <w:r w:rsidR="000C44A1">
        <w:t>.</w:t>
      </w:r>
    </w:p>
    <w:p w14:paraId="72FCA7BF" w14:textId="0B16D78F" w:rsidR="00E37845" w:rsidRDefault="00E37845" w:rsidP="00C27AE9">
      <w:pPr>
        <w:pStyle w:val="BodyText3"/>
      </w:pPr>
      <w:r w:rsidRPr="00F5748A">
        <w:t>Implementation of AMAs and AMP</w:t>
      </w:r>
      <w:r w:rsidR="001D6F1E" w:rsidRPr="00F5748A">
        <w:t>s</w:t>
      </w:r>
      <w:r w:rsidRPr="00F5748A">
        <w:t xml:space="preserve"> </w:t>
      </w:r>
      <w:r w:rsidR="0090440A">
        <w:t>should</w:t>
      </w:r>
      <w:r w:rsidRPr="00F5748A">
        <w:t xml:space="preserve"> occur under an</w:t>
      </w:r>
      <w:r w:rsidR="0025528A">
        <w:t xml:space="preserve"> U.S. Nuclear Regulatory Commission</w:t>
      </w:r>
      <w:r w:rsidRPr="00F5748A">
        <w:t xml:space="preserve"> </w:t>
      </w:r>
      <w:r w:rsidR="0025528A">
        <w:t>(</w:t>
      </w:r>
      <w:r w:rsidRPr="00F5748A">
        <w:t>NRC</w:t>
      </w:r>
      <w:r w:rsidR="0025528A">
        <w:t>)</w:t>
      </w:r>
      <w:r w:rsidRPr="00F5748A">
        <w:t xml:space="preserve"> approved </w:t>
      </w:r>
      <w:r w:rsidR="00B73284">
        <w:t>quality assurance (</w:t>
      </w:r>
      <w:r w:rsidRPr="00F5748A">
        <w:t>QA</w:t>
      </w:r>
      <w:r w:rsidR="00B73284">
        <w:t>)</w:t>
      </w:r>
      <w:r w:rsidRPr="00F5748A">
        <w:t xml:space="preserve"> program. Many attributes of </w:t>
      </w:r>
      <w:r w:rsidR="00B511C3">
        <w:t>the licensee’s</w:t>
      </w:r>
      <w:r w:rsidRPr="00F5748A">
        <w:t xml:space="preserve"> QA program appl</w:t>
      </w:r>
      <w:r w:rsidR="00577674">
        <w:t>y</w:t>
      </w:r>
      <w:r w:rsidRPr="00F5748A">
        <w:t xml:space="preserve"> to th</w:t>
      </w:r>
      <w:r w:rsidR="00970EAE">
        <w:t>e</w:t>
      </w:r>
      <w:r w:rsidR="00577674">
        <w:t>se</w:t>
      </w:r>
      <w:r w:rsidR="00CE7283">
        <w:t xml:space="preserve"> </w:t>
      </w:r>
      <w:r w:rsidRPr="00F5748A">
        <w:t>activities</w:t>
      </w:r>
      <w:r w:rsidR="00176C93">
        <w:t>, which may include</w:t>
      </w:r>
      <w:r w:rsidR="00DE53FD">
        <w:t xml:space="preserve"> </w:t>
      </w:r>
      <w:r w:rsidRPr="00F5748A">
        <w:t>control of special processes, inspection</w:t>
      </w:r>
      <w:r w:rsidR="00C11E20">
        <w:t>s</w:t>
      </w:r>
      <w:r w:rsidRPr="00F5748A">
        <w:t>, test control, control of measuring and test equipment, handling and storage control,</w:t>
      </w:r>
      <w:r w:rsidR="001D6F1E" w:rsidRPr="00F5748A">
        <w:t xml:space="preserve"> corrective action, and records.</w:t>
      </w:r>
    </w:p>
    <w:p w14:paraId="72FCA7C1" w14:textId="70B39405" w:rsidR="005B3D2A" w:rsidRPr="00F5748A" w:rsidRDefault="00D763FE" w:rsidP="00C27AE9">
      <w:pPr>
        <w:pStyle w:val="BodyText3"/>
      </w:pPr>
      <w:r>
        <w:lastRenderedPageBreak/>
        <w:t xml:space="preserve">The </w:t>
      </w:r>
      <w:r w:rsidR="005B3D2A" w:rsidRPr="00F5748A">
        <w:t xml:space="preserve">ISFSI license renewal </w:t>
      </w:r>
      <w:r w:rsidR="00C153CE">
        <w:t xml:space="preserve">for specific licensees </w:t>
      </w:r>
      <w:r w:rsidR="00382BFE">
        <w:t>is</w:t>
      </w:r>
      <w:r w:rsidR="005B3D2A" w:rsidRPr="00F5748A">
        <w:t xml:space="preserve"> done under 10 CFR Part 72.42(a), and the renewal of </w:t>
      </w:r>
      <w:r w:rsidR="00004CA0">
        <w:t xml:space="preserve">the </w:t>
      </w:r>
      <w:r w:rsidR="00E36E4C">
        <w:t xml:space="preserve">CoC for the </w:t>
      </w:r>
      <w:r w:rsidR="00004CA0">
        <w:t>DSS</w:t>
      </w:r>
      <w:r>
        <w:t>s</w:t>
      </w:r>
      <w:r w:rsidR="005B3D2A" w:rsidRPr="00F5748A">
        <w:t xml:space="preserve"> </w:t>
      </w:r>
      <w:r w:rsidR="001974C5">
        <w:t>is</w:t>
      </w:r>
      <w:r w:rsidR="005B3D2A" w:rsidRPr="00F5748A">
        <w:t xml:space="preserve"> done under 10 CFR Part 72.240(c)</w:t>
      </w:r>
      <w:r w:rsidR="00BF0307">
        <w:t>.</w:t>
      </w:r>
    </w:p>
    <w:p w14:paraId="578B0757" w14:textId="77777777" w:rsidR="000462C8" w:rsidRPr="009255BF" w:rsidRDefault="000462C8" w:rsidP="000462C8">
      <w:pPr>
        <w:pStyle w:val="Heading2"/>
      </w:pPr>
      <w:bookmarkStart w:id="0" w:name="_Hlk169610831"/>
      <w:r w:rsidRPr="009255BF">
        <w:t>0</w:t>
      </w:r>
      <w:r>
        <w:t>3</w:t>
      </w:r>
      <w:r w:rsidRPr="009255BF">
        <w:t>.0</w:t>
      </w:r>
      <w:r>
        <w:t>2</w:t>
      </w:r>
      <w:r>
        <w:tab/>
      </w:r>
      <w:r w:rsidRPr="0099786D">
        <w:t>Specific Inspection Requirements</w:t>
      </w:r>
    </w:p>
    <w:bookmarkEnd w:id="0"/>
    <w:p w14:paraId="54728899" w14:textId="1420C1DD" w:rsidR="00DA69F5" w:rsidRDefault="00CA1487" w:rsidP="00347745">
      <w:pPr>
        <w:pStyle w:val="BodyText"/>
        <w:numPr>
          <w:ilvl w:val="0"/>
          <w:numId w:val="5"/>
        </w:numPr>
      </w:pPr>
      <w:r>
        <w:t>V</w:t>
      </w:r>
      <w:r w:rsidR="00126E65" w:rsidRPr="00C716C5">
        <w:t xml:space="preserve">erify the licensee adequately </w:t>
      </w:r>
      <w:r w:rsidR="00312B73">
        <w:t>iden</w:t>
      </w:r>
      <w:r w:rsidR="00BB7FCA">
        <w:t>tified, evaluated, and incorp</w:t>
      </w:r>
      <w:r w:rsidR="007F074D">
        <w:t>orated</w:t>
      </w:r>
      <w:r w:rsidR="00126E65" w:rsidRPr="00C716C5">
        <w:t xml:space="preserve"> </w:t>
      </w:r>
      <w:r w:rsidR="000827E0">
        <w:t>AMAs</w:t>
      </w:r>
      <w:r w:rsidR="00897E49">
        <w:t xml:space="preserve"> into applicable </w:t>
      </w:r>
      <w:r w:rsidR="00591E6A">
        <w:t>processes and procedures</w:t>
      </w:r>
      <w:r w:rsidR="008D49A4">
        <w:t xml:space="preserve">. </w:t>
      </w:r>
      <w:r w:rsidR="0085718F">
        <w:t>I</w:t>
      </w:r>
      <w:r w:rsidR="00EA4BD6" w:rsidRPr="00F5748A">
        <w:t xml:space="preserve">nspectable AMAs </w:t>
      </w:r>
      <w:r w:rsidR="00A001BB">
        <w:t xml:space="preserve">include </w:t>
      </w:r>
      <w:r w:rsidR="00EA4BD6">
        <w:t>but</w:t>
      </w:r>
      <w:r>
        <w:t xml:space="preserve"> are</w:t>
      </w:r>
      <w:r w:rsidR="00EA4BD6">
        <w:t xml:space="preserve"> not limited to </w:t>
      </w:r>
      <w:r w:rsidR="00C71F30">
        <w:t xml:space="preserve">baseline and </w:t>
      </w:r>
      <w:r w:rsidR="00EA4BD6">
        <w:t xml:space="preserve">pre-application </w:t>
      </w:r>
      <w:r w:rsidR="00EA4BD6" w:rsidRPr="00F5748A">
        <w:t>inspections, scoping evaluations</w:t>
      </w:r>
      <w:r w:rsidR="00EA4BD6">
        <w:t xml:space="preserve"> contained in the</w:t>
      </w:r>
      <w:r w:rsidR="00942AAC">
        <w:t xml:space="preserve"> safety evaluation report</w:t>
      </w:r>
      <w:r w:rsidR="00EA4BD6">
        <w:t xml:space="preserve"> </w:t>
      </w:r>
      <w:r w:rsidR="00942AAC">
        <w:t>(</w:t>
      </w:r>
      <w:r w:rsidR="00EA4BD6">
        <w:t>SER</w:t>
      </w:r>
      <w:r w:rsidR="00942AAC">
        <w:t>)</w:t>
      </w:r>
      <w:r w:rsidR="00EA4BD6" w:rsidRPr="00F5748A">
        <w:t xml:space="preserve">, and </w:t>
      </w:r>
      <w:r w:rsidR="00D5049B">
        <w:t xml:space="preserve">other </w:t>
      </w:r>
      <w:r w:rsidR="00EA4BD6" w:rsidRPr="00F5748A">
        <w:t xml:space="preserve">AMP development activities. These activities </w:t>
      </w:r>
      <w:r w:rsidR="00EA4BD6">
        <w:t xml:space="preserve">may </w:t>
      </w:r>
      <w:r w:rsidR="00EA4BD6" w:rsidRPr="00F5748A">
        <w:t>lead to the identification of aging effects requiring management, the identification of TLAAs, and the identification of materials and environments for those SSCs, and associated subcomponents, determined to be within scope and the identification of AMPs for managing the effects of aging</w:t>
      </w:r>
      <w:r w:rsidR="00245B23">
        <w:t xml:space="preserve"> (</w:t>
      </w:r>
      <w:r w:rsidR="00800D4A">
        <w:t>S</w:t>
      </w:r>
      <w:r w:rsidR="00245B23">
        <w:t>ection</w:t>
      </w:r>
      <w:r w:rsidR="00E3073D">
        <w:t>s 04</w:t>
      </w:r>
      <w:r w:rsidR="00764B0C">
        <w:t>.01 and</w:t>
      </w:r>
      <w:r w:rsidR="00245B23">
        <w:t xml:space="preserve"> 04.0</w:t>
      </w:r>
      <w:r w:rsidR="009B2577">
        <w:t>2.a)</w:t>
      </w:r>
      <w:r w:rsidR="006847C1">
        <w:t>.</w:t>
      </w:r>
    </w:p>
    <w:p w14:paraId="6A03D479" w14:textId="344273D6" w:rsidR="00C716C5" w:rsidRPr="00A20758" w:rsidRDefault="00874A8C" w:rsidP="00347745">
      <w:pPr>
        <w:pStyle w:val="BodyText"/>
        <w:numPr>
          <w:ilvl w:val="0"/>
          <w:numId w:val="5"/>
        </w:numPr>
      </w:pPr>
      <w:r>
        <w:t>V</w:t>
      </w:r>
      <w:r w:rsidR="004B6EE0">
        <w:t>erif</w:t>
      </w:r>
      <w:r w:rsidR="00F051FE">
        <w:t>y</w:t>
      </w:r>
      <w:r w:rsidR="007C2914">
        <w:t xml:space="preserve"> </w:t>
      </w:r>
      <w:r w:rsidR="00F051FE">
        <w:t xml:space="preserve">the </w:t>
      </w:r>
      <w:r w:rsidR="007C2914">
        <w:t xml:space="preserve">licensee </w:t>
      </w:r>
      <w:r w:rsidR="002E1280">
        <w:t>ade</w:t>
      </w:r>
      <w:r w:rsidR="005B6284">
        <w:t xml:space="preserve">quately incorporated the license conditions and commitments </w:t>
      </w:r>
      <w:r w:rsidR="009353FC">
        <w:t>for license renewal</w:t>
      </w:r>
      <w:r w:rsidR="009651EF">
        <w:t xml:space="preserve"> </w:t>
      </w:r>
      <w:r w:rsidR="00C63F65">
        <w:t>into</w:t>
      </w:r>
      <w:r w:rsidR="009651EF">
        <w:t xml:space="preserve"> the </w:t>
      </w:r>
      <w:r w:rsidR="00F051FE">
        <w:t xml:space="preserve">FSAR supplement as </w:t>
      </w:r>
      <w:r w:rsidR="00161815">
        <w:t xml:space="preserve">updated and </w:t>
      </w:r>
      <w:r w:rsidR="00F051FE">
        <w:t>revi</w:t>
      </w:r>
      <w:r w:rsidR="007C2914">
        <w:t>sed</w:t>
      </w:r>
      <w:r w:rsidR="009B2577">
        <w:t xml:space="preserve"> (</w:t>
      </w:r>
      <w:r w:rsidR="00800D4A">
        <w:t>S</w:t>
      </w:r>
      <w:r w:rsidR="009B2577">
        <w:t>ection 04.02.b)</w:t>
      </w:r>
      <w:r w:rsidR="00057CD6">
        <w:t>.</w:t>
      </w:r>
    </w:p>
    <w:p w14:paraId="0B74E565" w14:textId="11D96D67" w:rsidR="006F5804" w:rsidRPr="00245B23" w:rsidRDefault="00245B23" w:rsidP="00347745">
      <w:pPr>
        <w:pStyle w:val="BodyText"/>
        <w:numPr>
          <w:ilvl w:val="0"/>
          <w:numId w:val="5"/>
        </w:numPr>
      </w:pPr>
      <w:r w:rsidRPr="0092171C">
        <w:t xml:space="preserve">Verify the licensee adequately implemented </w:t>
      </w:r>
      <w:r w:rsidR="00984464">
        <w:t xml:space="preserve">and/or have plans to implement </w:t>
      </w:r>
      <w:r w:rsidRPr="0092171C">
        <w:t xml:space="preserve">the ten AMP elements as described in the SER for license renewal </w:t>
      </w:r>
      <w:r w:rsidR="008C2571">
        <w:t xml:space="preserve">or CoC renewal </w:t>
      </w:r>
      <w:r w:rsidRPr="0092171C">
        <w:t>as applicable</w:t>
      </w:r>
      <w:r w:rsidR="009B2577">
        <w:t xml:space="preserve"> (</w:t>
      </w:r>
      <w:r w:rsidR="00800D4A">
        <w:t>S</w:t>
      </w:r>
      <w:r w:rsidR="009B2577">
        <w:t>ection 04</w:t>
      </w:r>
      <w:r w:rsidR="00316358">
        <w:t>.03)</w:t>
      </w:r>
      <w:r w:rsidRPr="0092171C">
        <w:t>.</w:t>
      </w:r>
    </w:p>
    <w:p w14:paraId="30817B39" w14:textId="7462A17F" w:rsidR="00C716C5" w:rsidRDefault="001A5644" w:rsidP="00347745">
      <w:pPr>
        <w:pStyle w:val="BodyText"/>
        <w:numPr>
          <w:ilvl w:val="0"/>
          <w:numId w:val="5"/>
        </w:numPr>
      </w:pPr>
      <w:r>
        <w:t>A</w:t>
      </w:r>
      <w:r w:rsidR="00960F1C" w:rsidRPr="0092171C">
        <w:t>n</w:t>
      </w:r>
      <w:r w:rsidR="00960F1C">
        <w:t xml:space="preserve">d have assessed any </w:t>
      </w:r>
      <w:r w:rsidR="00960F1C" w:rsidRPr="0092171C">
        <w:t>TLAAs</w:t>
      </w:r>
    </w:p>
    <w:p w14:paraId="714C7503" w14:textId="0A607035" w:rsidR="00616DCA" w:rsidRDefault="00616DCA" w:rsidP="00616DCA">
      <w:pPr>
        <w:pStyle w:val="Heading1"/>
      </w:pPr>
      <w:r>
        <w:t>60859</w:t>
      </w:r>
      <w:r w:rsidRPr="00CC1882">
        <w:t>-0</w:t>
      </w:r>
      <w:r>
        <w:t>4</w:t>
      </w:r>
      <w:r w:rsidRPr="00CC1882">
        <w:tab/>
        <w:t>INSPECTION GUIDANCE</w:t>
      </w:r>
    </w:p>
    <w:p w14:paraId="5B9A8033" w14:textId="06DA6D4A" w:rsidR="002630F9" w:rsidRPr="00CC1882" w:rsidRDefault="002630F9" w:rsidP="00AB5A0D">
      <w:pPr>
        <w:pStyle w:val="Heading2"/>
      </w:pPr>
      <w:r w:rsidRPr="00CC1882">
        <w:t>0</w:t>
      </w:r>
      <w:r>
        <w:t>4</w:t>
      </w:r>
      <w:r w:rsidRPr="00CC1882">
        <w:t>.01</w:t>
      </w:r>
      <w:r w:rsidRPr="00CC1882">
        <w:tab/>
        <w:t>Document Review.</w:t>
      </w:r>
    </w:p>
    <w:p w14:paraId="51350C74" w14:textId="5F36CC03" w:rsidR="002630F9" w:rsidRPr="003E782C" w:rsidRDefault="002630F9" w:rsidP="00E93991">
      <w:pPr>
        <w:pStyle w:val="BodyText3"/>
      </w:pPr>
      <w:r w:rsidRPr="003E782C">
        <w:t xml:space="preserve">Inspectors should familiarize themselves with the requirements and guidance related to </w:t>
      </w:r>
      <w:r w:rsidR="008652AF" w:rsidRPr="003E782C">
        <w:t>the</w:t>
      </w:r>
      <w:r w:rsidR="00273145">
        <w:t xml:space="preserve"> </w:t>
      </w:r>
      <w:r w:rsidR="008652AF" w:rsidRPr="003E782C">
        <w:t>renewed ISFSI license or renewed CoC</w:t>
      </w:r>
      <w:r w:rsidR="00DC690D" w:rsidRPr="003E782C">
        <w:t xml:space="preserve"> in use at the ISFSI</w:t>
      </w:r>
      <w:r w:rsidR="00112D6A" w:rsidRPr="003E782C">
        <w:t xml:space="preserve">, the </w:t>
      </w:r>
      <w:r w:rsidR="00CA386B" w:rsidRPr="003E782C">
        <w:t xml:space="preserve">NRC SER for the renewal, license or CoC conditions, </w:t>
      </w:r>
      <w:r w:rsidR="00112D6A" w:rsidRPr="003E782C">
        <w:t>technical specifications</w:t>
      </w:r>
      <w:r w:rsidR="00EB4AAA" w:rsidRPr="003E782C">
        <w:t xml:space="preserve"> (TS</w:t>
      </w:r>
      <w:r w:rsidR="006F4EC0" w:rsidRPr="003E782C">
        <w:t>s</w:t>
      </w:r>
      <w:r w:rsidR="00EB4AAA" w:rsidRPr="003E782C">
        <w:t>)</w:t>
      </w:r>
      <w:r w:rsidR="00CA386B" w:rsidRPr="003E782C">
        <w:t xml:space="preserve">, and FSAR. Note that the entirety of the approved AMP may not be included in the renewed license or CoC. However, a summary of the approved AMP will be included in the FSAR, and there may be additional license or CoC conditions related to specific aspects of the AMP. In addition, the renewal SER may contain the entire approved AMP in an </w:t>
      </w:r>
      <w:r w:rsidR="00774572" w:rsidRPr="003E782C">
        <w:t>appendix,</w:t>
      </w:r>
      <w:r w:rsidR="00CA386B" w:rsidRPr="003E782C">
        <w:t xml:space="preserve"> or </w:t>
      </w:r>
      <w:r w:rsidR="00CC5F4E" w:rsidRPr="003E782C">
        <w:t xml:space="preserve">it </w:t>
      </w:r>
      <w:r w:rsidR="00CA386B" w:rsidRPr="003E782C">
        <w:t>may contain a reference to a renewal document (e.g., application) with the entire final AMP</w:t>
      </w:r>
      <w:r w:rsidR="007E64F8" w:rsidRPr="003E782C">
        <w:t>.</w:t>
      </w:r>
      <w:r w:rsidR="00CA386B" w:rsidRPr="003E782C">
        <w:t xml:space="preserve"> </w:t>
      </w:r>
      <w:r w:rsidR="00CC5F4E" w:rsidRPr="003E782C">
        <w:t>T</w:t>
      </w:r>
      <w:r w:rsidR="00CA386B" w:rsidRPr="003E782C">
        <w:t xml:space="preserve">his may be a useful reference to inspectors for their inspection planning. </w:t>
      </w:r>
      <w:r w:rsidRPr="003E782C">
        <w:t>License renewal requirements and guidance documents that should be reviewed prior to an inspection include:</w:t>
      </w:r>
    </w:p>
    <w:p w14:paraId="52136E1F" w14:textId="3DBC7924" w:rsidR="002630F9" w:rsidRPr="00CC1882" w:rsidRDefault="002630F9" w:rsidP="00347745">
      <w:pPr>
        <w:pStyle w:val="BodyText"/>
        <w:numPr>
          <w:ilvl w:val="0"/>
          <w:numId w:val="8"/>
        </w:numPr>
      </w:pPr>
      <w:r w:rsidRPr="00CC1882">
        <w:t xml:space="preserve">10 CFR Part </w:t>
      </w:r>
      <w:r w:rsidR="00334435">
        <w:t>72.42</w:t>
      </w:r>
      <w:r w:rsidR="00EB646D">
        <w:t xml:space="preserve"> and 10 CFR 72.240</w:t>
      </w:r>
      <w:r w:rsidR="00F15097">
        <w:t xml:space="preserve"> regulatory requirements</w:t>
      </w:r>
    </w:p>
    <w:p w14:paraId="4E7489A1" w14:textId="4F18EFD9" w:rsidR="002630F9" w:rsidRPr="00CC1882" w:rsidRDefault="00002829" w:rsidP="00347745">
      <w:pPr>
        <w:pStyle w:val="BodyText"/>
        <w:numPr>
          <w:ilvl w:val="0"/>
          <w:numId w:val="8"/>
        </w:numPr>
      </w:pPr>
      <w:r>
        <w:t>NUREG-1927</w:t>
      </w:r>
      <w:r w:rsidR="00630F52">
        <w:t xml:space="preserve"> and NUREG-2214</w:t>
      </w:r>
    </w:p>
    <w:p w14:paraId="67D0D4AE" w14:textId="13088B6E" w:rsidR="002630F9" w:rsidRPr="00CC1882" w:rsidRDefault="002630F9" w:rsidP="00347745">
      <w:pPr>
        <w:pStyle w:val="BodyText"/>
        <w:numPr>
          <w:ilvl w:val="0"/>
          <w:numId w:val="8"/>
        </w:numPr>
      </w:pPr>
      <w:r w:rsidRPr="00CC1882">
        <w:t xml:space="preserve">The renewed </w:t>
      </w:r>
      <w:r w:rsidR="00C8326F">
        <w:t xml:space="preserve">ISFSI </w:t>
      </w:r>
      <w:r w:rsidRPr="00CC1882">
        <w:t>license</w:t>
      </w:r>
      <w:r w:rsidR="00995FDC">
        <w:t xml:space="preserve"> or renewed CoC for the DSS</w:t>
      </w:r>
      <w:r w:rsidR="00017CAA">
        <w:t>, which include</w:t>
      </w:r>
      <w:r w:rsidR="0063188E">
        <w:t>s</w:t>
      </w:r>
      <w:r w:rsidR="00017CAA">
        <w:t xml:space="preserve"> but not limited to </w:t>
      </w:r>
      <w:r w:rsidR="001054E5">
        <w:t xml:space="preserve">the </w:t>
      </w:r>
      <w:r w:rsidR="008807B9">
        <w:t>license or CoC conditions</w:t>
      </w:r>
      <w:r w:rsidR="000C79D2">
        <w:t xml:space="preserve">, </w:t>
      </w:r>
      <w:r w:rsidR="008807B9">
        <w:t>commitments</w:t>
      </w:r>
      <w:r w:rsidR="000C79D2">
        <w:t xml:space="preserve">, and </w:t>
      </w:r>
      <w:r w:rsidR="00BF13B0">
        <w:t>TSs.</w:t>
      </w:r>
    </w:p>
    <w:p w14:paraId="517C0654" w14:textId="7BFFA0DB" w:rsidR="002630F9" w:rsidRPr="00CC1882" w:rsidRDefault="002630F9" w:rsidP="00347745">
      <w:pPr>
        <w:pStyle w:val="BodyText"/>
        <w:numPr>
          <w:ilvl w:val="0"/>
          <w:numId w:val="8"/>
        </w:numPr>
      </w:pPr>
      <w:r w:rsidRPr="00CC1882">
        <w:t xml:space="preserve">The SER for the </w:t>
      </w:r>
      <w:r w:rsidR="00C8326F">
        <w:t>ren</w:t>
      </w:r>
      <w:r w:rsidR="00076099">
        <w:t xml:space="preserve">ewed ISFSI license </w:t>
      </w:r>
      <w:r w:rsidR="00FB0564">
        <w:t>or renewed CoC for the DSS</w:t>
      </w:r>
    </w:p>
    <w:p w14:paraId="1E0BACAB" w14:textId="77777777" w:rsidR="002630F9" w:rsidRPr="00CC1882" w:rsidRDefault="002630F9" w:rsidP="00347745">
      <w:pPr>
        <w:pStyle w:val="BodyText"/>
        <w:numPr>
          <w:ilvl w:val="0"/>
          <w:numId w:val="8"/>
        </w:numPr>
      </w:pPr>
      <w:r w:rsidRPr="00CC1882">
        <w:t>Appendix A of the SER, if applicable</w:t>
      </w:r>
    </w:p>
    <w:p w14:paraId="3F0F421B" w14:textId="4F7BC689" w:rsidR="002630F9" w:rsidRDefault="002630F9" w:rsidP="00347745">
      <w:pPr>
        <w:pStyle w:val="BodyText"/>
        <w:numPr>
          <w:ilvl w:val="0"/>
          <w:numId w:val="8"/>
        </w:numPr>
      </w:pPr>
      <w:r w:rsidRPr="00CB69B8">
        <w:t xml:space="preserve">The FSAR supplement as </w:t>
      </w:r>
      <w:r w:rsidR="00B14A29" w:rsidRPr="00CB69B8">
        <w:t xml:space="preserve">updated and </w:t>
      </w:r>
      <w:r w:rsidR="00BF13B0" w:rsidRPr="00CB69B8">
        <w:t>revised.</w:t>
      </w:r>
    </w:p>
    <w:p w14:paraId="155ECF9B" w14:textId="75E2E2B4" w:rsidR="001E2F91" w:rsidRDefault="001E2F91" w:rsidP="002067AC">
      <w:pPr>
        <w:pStyle w:val="BodyText3"/>
      </w:pPr>
      <w:r>
        <w:lastRenderedPageBreak/>
        <w:t>Additionally, b</w:t>
      </w:r>
      <w:r w:rsidRPr="006A737D">
        <w:t>efore any on-site activity</w:t>
      </w:r>
      <w:r w:rsidR="00E00D4A">
        <w:t xml:space="preserve"> </w:t>
      </w:r>
      <w:r>
        <w:t>t</w:t>
      </w:r>
      <w:r w:rsidRPr="006A737D">
        <w:t xml:space="preserve">he </w:t>
      </w:r>
      <w:r>
        <w:t xml:space="preserve">inspectors </w:t>
      </w:r>
      <w:r w:rsidR="00E00D4A">
        <w:t>r</w:t>
      </w:r>
      <w:r w:rsidRPr="006A737D">
        <w:t xml:space="preserve">eview should include relevant </w:t>
      </w:r>
      <w:r w:rsidR="0088197B">
        <w:t xml:space="preserve">NRC </w:t>
      </w:r>
      <w:r w:rsidRPr="006A737D">
        <w:t xml:space="preserve">Bulletins, Information Notices, and 10 CFR Part 21 reports issued related to ISFSI activities or specific </w:t>
      </w:r>
      <w:r w:rsidR="00BD2369">
        <w:t>DSS</w:t>
      </w:r>
      <w:r w:rsidRPr="006A737D">
        <w:t xml:space="preserve">. </w:t>
      </w:r>
      <w:r w:rsidR="009914C9">
        <w:t xml:space="preserve">The inspectors should also search </w:t>
      </w:r>
      <w:r w:rsidRPr="006A737D">
        <w:t>the Agency</w:t>
      </w:r>
      <w:r w:rsidR="00BD2369">
        <w:t xml:space="preserve"> W</w:t>
      </w:r>
      <w:r w:rsidRPr="006A737D">
        <w:t xml:space="preserve">ide Documents Access and Management System (ADAMS) for any ISFSI related documents or reports that are relevant to the inspection </w:t>
      </w:r>
      <w:r w:rsidR="00774B10">
        <w:t>including known</w:t>
      </w:r>
      <w:r w:rsidRPr="006A737D">
        <w:t xml:space="preserve"> issues. The ADAMS search should go back to the date the license or CoC renew</w:t>
      </w:r>
      <w:r w:rsidR="0064400B">
        <w:t>al</w:t>
      </w:r>
      <w:r w:rsidRPr="006A737D">
        <w:t xml:space="preserve"> or the date of the last license or CoC renewal inspection</w:t>
      </w:r>
      <w:r w:rsidR="003216C8">
        <w:t>, if applicable</w:t>
      </w:r>
      <w:r w:rsidRPr="006A737D">
        <w:t>.</w:t>
      </w:r>
    </w:p>
    <w:p w14:paraId="4F7CEFF7" w14:textId="6FB33212" w:rsidR="00330945" w:rsidRPr="00330945" w:rsidRDefault="00555DA5" w:rsidP="00330945">
      <w:pPr>
        <w:pStyle w:val="Heading2"/>
        <w:rPr>
          <w:rFonts w:eastAsiaTheme="minorHAnsi" w:cs="Arial"/>
        </w:rPr>
      </w:pPr>
      <w:r w:rsidRPr="00555DA5">
        <w:t>04.02</w:t>
      </w:r>
      <w:r w:rsidRPr="00555DA5">
        <w:tab/>
        <w:t>Aging Management Activity (AMA).</w:t>
      </w:r>
    </w:p>
    <w:p w14:paraId="0C25E44A" w14:textId="0BD5C25E" w:rsidR="003E06FE" w:rsidRDefault="0084497B" w:rsidP="00347745">
      <w:pPr>
        <w:pStyle w:val="BodyText"/>
        <w:numPr>
          <w:ilvl w:val="0"/>
          <w:numId w:val="6"/>
        </w:numPr>
      </w:pPr>
      <w:r w:rsidRPr="00F0610C">
        <w:rPr>
          <w:u w:val="single"/>
        </w:rPr>
        <w:t>Baseline (Lead Canister) or Pre-Application Inspections</w:t>
      </w:r>
      <w:r w:rsidR="0069561D" w:rsidRPr="00F0610C">
        <w:rPr>
          <w:u w:val="single"/>
        </w:rPr>
        <w:t>.</w:t>
      </w:r>
      <w:r w:rsidR="0069561D" w:rsidRPr="00F0610C">
        <w:t xml:space="preserve"> </w:t>
      </w:r>
      <w:r w:rsidR="00751085" w:rsidRPr="00F0610C">
        <w:t xml:space="preserve">A lead-canister inspection </w:t>
      </w:r>
      <w:r w:rsidR="00B67404">
        <w:t xml:space="preserve">or pre-application inspection </w:t>
      </w:r>
      <w:r w:rsidR="00751085" w:rsidRPr="00F0610C">
        <w:t xml:space="preserve">for renewal may be performed at various times. </w:t>
      </w:r>
      <w:r w:rsidR="00E10BD3">
        <w:t>Some</w:t>
      </w:r>
      <w:r w:rsidR="0042316B">
        <w:t xml:space="preserve"> licensee</w:t>
      </w:r>
      <w:r w:rsidR="009B0E52">
        <w:t>s</w:t>
      </w:r>
      <w:r w:rsidR="00B457A1" w:rsidRPr="00F0610C">
        <w:t xml:space="preserve"> </w:t>
      </w:r>
      <w:r w:rsidR="00272892">
        <w:t xml:space="preserve">and/or CoC holders </w:t>
      </w:r>
      <w:r w:rsidR="00B457A1" w:rsidRPr="00F0610C">
        <w:t>usually</w:t>
      </w:r>
      <w:r w:rsidR="00751085" w:rsidRPr="00F0610C">
        <w:t xml:space="preserve"> performed </w:t>
      </w:r>
      <w:r w:rsidR="00171F2C">
        <w:t xml:space="preserve">these inspections </w:t>
      </w:r>
      <w:r w:rsidR="00751085" w:rsidRPr="00F0610C">
        <w:t xml:space="preserve">before submittal of the renewal application. </w:t>
      </w:r>
      <w:r w:rsidR="00941E79" w:rsidRPr="00F0610C">
        <w:t>However, t</w:t>
      </w:r>
      <w:r w:rsidR="00751085" w:rsidRPr="00F0610C">
        <w:t>he renewal application may include a commitment to perform an inspection before the beginning of the period of extended operation. There may also be justification for performing the lead-canister inspection during the period of extended operation.</w:t>
      </w:r>
      <w:r w:rsidR="0032795B">
        <w:t xml:space="preserve"> </w:t>
      </w:r>
      <w:r w:rsidR="00C67FC1">
        <w:t>Additionally, some of the licensees and/or CoC holders may elect to conduct examinations of t</w:t>
      </w:r>
      <w:r w:rsidR="00C67FC1" w:rsidRPr="00F5748A">
        <w:t xml:space="preserve">he interior of the associated concrete overpack or </w:t>
      </w:r>
      <w:r w:rsidR="0042570F">
        <w:t>Horizontal Storage Module</w:t>
      </w:r>
      <w:r w:rsidR="00942AAC">
        <w:t xml:space="preserve"> </w:t>
      </w:r>
      <w:r w:rsidR="00C67FC1">
        <w:t>for the</w:t>
      </w:r>
      <w:r w:rsidR="00C67FC1" w:rsidRPr="00F5748A">
        <w:t xml:space="preserve"> </w:t>
      </w:r>
      <w:r w:rsidR="00C67FC1">
        <w:t xml:space="preserve">baseline </w:t>
      </w:r>
      <w:r w:rsidR="00C67FC1" w:rsidRPr="00F5748A">
        <w:t>inspection.</w:t>
      </w:r>
    </w:p>
    <w:p w14:paraId="503A941F" w14:textId="268AB55F" w:rsidR="003E06FE" w:rsidRDefault="003E06FE" w:rsidP="00E00E13">
      <w:pPr>
        <w:pStyle w:val="BodyText3"/>
      </w:pPr>
      <w:r>
        <w:t xml:space="preserve">The inspectors should </w:t>
      </w:r>
      <w:r w:rsidR="00B020A8">
        <w:t>review</w:t>
      </w:r>
      <w:r>
        <w:t xml:space="preserve"> the results of the baseline or pre-application inspections or observe if possible, the </w:t>
      </w:r>
      <w:r w:rsidR="007C0CCE">
        <w:t>baseline</w:t>
      </w:r>
      <w:r>
        <w:t xml:space="preserve"> inspection during the on-site inspection. </w:t>
      </w:r>
      <w:r w:rsidRPr="00F5748A">
        <w:t xml:space="preserve">The results of this inspection </w:t>
      </w:r>
      <w:r>
        <w:t xml:space="preserve">may </w:t>
      </w:r>
      <w:r w:rsidRPr="00F5748A">
        <w:t xml:space="preserve">become part of the justification for license renewal. Typically, </w:t>
      </w:r>
      <w:r w:rsidR="00D87E42">
        <w:t xml:space="preserve">the licensee </w:t>
      </w:r>
      <w:r w:rsidR="00D72758">
        <w:t xml:space="preserve">may elect to </w:t>
      </w:r>
      <w:r w:rsidRPr="00F5748A">
        <w:t>conduct</w:t>
      </w:r>
      <w:r w:rsidR="00D72758">
        <w:t xml:space="preserve"> a repeat inspection</w:t>
      </w:r>
      <w:r w:rsidRPr="00F5748A">
        <w:t xml:space="preserve"> at </w:t>
      </w:r>
      <w:r w:rsidR="007B219B">
        <w:t xml:space="preserve">a </w:t>
      </w:r>
      <w:r w:rsidRPr="00F5748A">
        <w:t>20-year interval as a license condition for renewal.</w:t>
      </w:r>
    </w:p>
    <w:p w14:paraId="1EAE8F4F" w14:textId="2E309D6E" w:rsidR="0007060B" w:rsidRDefault="00585B27" w:rsidP="00347745">
      <w:pPr>
        <w:pStyle w:val="BodyText"/>
        <w:numPr>
          <w:ilvl w:val="0"/>
          <w:numId w:val="6"/>
        </w:numPr>
      </w:pPr>
      <w:r w:rsidRPr="00E00E13">
        <w:rPr>
          <w:u w:val="single"/>
        </w:rPr>
        <w:t>Final Safety Analysis Report Supplement.</w:t>
      </w:r>
      <w:r>
        <w:t xml:space="preserve"> The FSAR supplement as updated and revised describes the AMP and TLAAs approved by the NRC in the SER for license ren</w:t>
      </w:r>
      <w:r w:rsidR="00BA3B17">
        <w:t>ewal. The inspectors should verify that the FSAR supplement description matches the AMP and/or TLAA the licensee plans to implement and that the changes to AMPs</w:t>
      </w:r>
      <w:r w:rsidR="00E00E13">
        <w:t>, TLAAs, and other license renewal activities incorporated as a part of the FSAR supplement are in accordance with 10 CFR 72.48.</w:t>
      </w:r>
    </w:p>
    <w:p w14:paraId="1C15643B" w14:textId="11CB5803" w:rsidR="00157ABD" w:rsidRDefault="00157ABD" w:rsidP="00741E19">
      <w:pPr>
        <w:pStyle w:val="Heading2"/>
      </w:pPr>
      <w:r w:rsidRPr="00CC1882">
        <w:t>0</w:t>
      </w:r>
      <w:r>
        <w:t>4</w:t>
      </w:r>
      <w:r w:rsidRPr="00CC1882">
        <w:t>.0</w:t>
      </w:r>
      <w:r>
        <w:t>3</w:t>
      </w:r>
      <w:r w:rsidRPr="00CC1882">
        <w:tab/>
      </w:r>
      <w:r w:rsidRPr="000D7CA0">
        <w:t xml:space="preserve">Aging Management </w:t>
      </w:r>
      <w:r w:rsidR="00CB6D2A">
        <w:t>Pro</w:t>
      </w:r>
      <w:r w:rsidR="00CF6A0D">
        <w:t>gram Inspection</w:t>
      </w:r>
      <w:r w:rsidRPr="000D7CA0">
        <w:t>.</w:t>
      </w:r>
    </w:p>
    <w:p w14:paraId="19F7EA6D" w14:textId="325CB4CF" w:rsidR="0015689C" w:rsidRDefault="0015689C" w:rsidP="00E039F6">
      <w:pPr>
        <w:pStyle w:val="BodyText3"/>
      </w:pPr>
      <w:r>
        <w:t xml:space="preserve">The </w:t>
      </w:r>
      <w:r w:rsidR="001720BE">
        <w:t xml:space="preserve">inspectors should </w:t>
      </w:r>
      <w:r w:rsidR="00FB4F61">
        <w:t>verify and assess the adequacy and eff</w:t>
      </w:r>
      <w:r w:rsidR="00104373">
        <w:t xml:space="preserve">ectiveness of the implementation and/or completion of the </w:t>
      </w:r>
      <w:r w:rsidR="00E94144">
        <w:t>AMP</w:t>
      </w:r>
      <w:r w:rsidR="00104373">
        <w:t xml:space="preserve"> described </w:t>
      </w:r>
      <w:r w:rsidR="00D84F44">
        <w:t xml:space="preserve">in </w:t>
      </w:r>
      <w:r w:rsidR="00026FE1">
        <w:t>the regulatory commitments, FSAR supplement</w:t>
      </w:r>
      <w:r w:rsidR="00796C77">
        <w:t xml:space="preserve"> program des</w:t>
      </w:r>
      <w:r w:rsidR="00994325">
        <w:t xml:space="preserve">criptions, </w:t>
      </w:r>
      <w:r w:rsidR="006526C2">
        <w:t>and license conditions</w:t>
      </w:r>
      <w:r w:rsidR="00DF6617">
        <w:t>.</w:t>
      </w:r>
      <w:r w:rsidR="0017651E">
        <w:t xml:space="preserve"> The AMP </w:t>
      </w:r>
      <w:r w:rsidR="005178C1">
        <w:t>is</w:t>
      </w:r>
      <w:r w:rsidR="0017651E">
        <w:t xml:space="preserve"> generally </w:t>
      </w:r>
      <w:r w:rsidR="00FA357B">
        <w:t>i</w:t>
      </w:r>
      <w:r w:rsidR="00EE0DBF">
        <w:t>temized by ten elements</w:t>
      </w:r>
      <w:r w:rsidR="0035580F">
        <w:t>.</w:t>
      </w:r>
      <w:r w:rsidR="00C13AED">
        <w:t xml:space="preserve"> NUREG</w:t>
      </w:r>
      <w:r w:rsidR="005D5F2C">
        <w:t>-</w:t>
      </w:r>
      <w:r w:rsidR="00C13AED">
        <w:t>1927</w:t>
      </w:r>
      <w:r w:rsidR="00036EA0">
        <w:t>, “</w:t>
      </w:r>
      <w:r w:rsidR="00176CD3">
        <w:t>Standard Review Plan for Renewal of Specific Licenses and Cert</w:t>
      </w:r>
      <w:r w:rsidR="00BB34DF">
        <w:t xml:space="preserve">ificates of Compliance for Dry Storage </w:t>
      </w:r>
      <w:r w:rsidR="00942599">
        <w:t>of Spent Nuclear Fuel</w:t>
      </w:r>
      <w:r w:rsidR="005D5F2C">
        <w:t>,” and NUREG-2214, “</w:t>
      </w:r>
      <w:r w:rsidR="00ED25D9">
        <w:t>Managing Aging Processes in Storage (MAPS) Report</w:t>
      </w:r>
      <w:r w:rsidR="004E4285">
        <w:t xml:space="preserve">,” </w:t>
      </w:r>
      <w:r w:rsidR="008D7939">
        <w:t xml:space="preserve">provide </w:t>
      </w:r>
      <w:r w:rsidR="000D02B2" w:rsidRPr="00DC43CC">
        <w:t xml:space="preserve">additional </w:t>
      </w:r>
      <w:r w:rsidR="00424936">
        <w:t xml:space="preserve">guidance related to </w:t>
      </w:r>
      <w:r w:rsidR="003D02F3">
        <w:t xml:space="preserve">the ten AMP </w:t>
      </w:r>
      <w:r w:rsidR="00D65DDD">
        <w:t>elements.</w:t>
      </w:r>
    </w:p>
    <w:tbl>
      <w:tblPr>
        <w:tblStyle w:val="TableGrid"/>
        <w:tblW w:w="0" w:type="auto"/>
        <w:tblInd w:w="806" w:type="dxa"/>
        <w:tblLook w:val="04A0" w:firstRow="1" w:lastRow="0" w:firstColumn="1" w:lastColumn="0" w:noHBand="0" w:noVBand="1"/>
      </w:tblPr>
      <w:tblGrid>
        <w:gridCol w:w="4262"/>
        <w:gridCol w:w="4282"/>
      </w:tblGrid>
      <w:tr w:rsidR="00D6189D" w:rsidRPr="0035735D" w14:paraId="1077C563" w14:textId="77777777" w:rsidTr="00FF2AFB">
        <w:tc>
          <w:tcPr>
            <w:tcW w:w="4262" w:type="dxa"/>
          </w:tcPr>
          <w:p w14:paraId="646275C5" w14:textId="77777777" w:rsidR="00BC2245" w:rsidRPr="0035735D" w:rsidRDefault="00BC2245" w:rsidP="00E72075">
            <w:pPr>
              <w:pStyle w:val="BodyText-table"/>
            </w:pPr>
            <w:r w:rsidRPr="0035735D">
              <w:t>Scope of the Program</w:t>
            </w:r>
          </w:p>
        </w:tc>
        <w:tc>
          <w:tcPr>
            <w:tcW w:w="4282" w:type="dxa"/>
          </w:tcPr>
          <w:p w14:paraId="304CE19B" w14:textId="37577295" w:rsidR="00BC2245" w:rsidRPr="00D6189D" w:rsidRDefault="0035735D" w:rsidP="00E72075">
            <w:pPr>
              <w:pStyle w:val="BodyText-table"/>
            </w:pPr>
            <w:r w:rsidRPr="00D6189D">
              <w:t>Acceptance Review</w:t>
            </w:r>
          </w:p>
        </w:tc>
      </w:tr>
      <w:tr w:rsidR="00D6189D" w:rsidRPr="0035735D" w14:paraId="686ED181" w14:textId="77777777" w:rsidTr="00FF2AFB">
        <w:tc>
          <w:tcPr>
            <w:tcW w:w="4262" w:type="dxa"/>
          </w:tcPr>
          <w:p w14:paraId="5DDC24C7" w14:textId="600F304D" w:rsidR="00BC2245" w:rsidRPr="0035735D" w:rsidRDefault="00D402E5" w:rsidP="00E72075">
            <w:pPr>
              <w:pStyle w:val="BodyText-table"/>
            </w:pPr>
            <w:r w:rsidRPr="0035735D">
              <w:t xml:space="preserve">Preventative Actions </w:t>
            </w:r>
          </w:p>
        </w:tc>
        <w:tc>
          <w:tcPr>
            <w:tcW w:w="4282" w:type="dxa"/>
          </w:tcPr>
          <w:p w14:paraId="617BE0E0" w14:textId="5DD3D0D8" w:rsidR="00BC2245" w:rsidRPr="00D6189D" w:rsidRDefault="00884D74" w:rsidP="00E72075">
            <w:pPr>
              <w:pStyle w:val="BodyText-table"/>
            </w:pPr>
            <w:r w:rsidRPr="00D6189D">
              <w:t>Corrective Actions</w:t>
            </w:r>
          </w:p>
        </w:tc>
      </w:tr>
      <w:tr w:rsidR="00D6189D" w:rsidRPr="0035735D" w14:paraId="16797CC9" w14:textId="77777777" w:rsidTr="00FF2AFB">
        <w:tc>
          <w:tcPr>
            <w:tcW w:w="4262" w:type="dxa"/>
          </w:tcPr>
          <w:p w14:paraId="7E6843C9" w14:textId="0910AF95" w:rsidR="00BC2245" w:rsidRPr="0035735D" w:rsidRDefault="00192809" w:rsidP="00E72075">
            <w:pPr>
              <w:pStyle w:val="BodyText-table"/>
            </w:pPr>
            <w:r w:rsidRPr="0035735D">
              <w:t xml:space="preserve">Parameters Monitored </w:t>
            </w:r>
            <w:r w:rsidR="005869ED" w:rsidRPr="0035735D">
              <w:t xml:space="preserve">or Inspected </w:t>
            </w:r>
          </w:p>
        </w:tc>
        <w:tc>
          <w:tcPr>
            <w:tcW w:w="4282" w:type="dxa"/>
          </w:tcPr>
          <w:p w14:paraId="00FD74E1" w14:textId="67CD78A6" w:rsidR="00BC2245" w:rsidRPr="00D6189D" w:rsidRDefault="00F3728E" w:rsidP="00E72075">
            <w:pPr>
              <w:pStyle w:val="BodyText-table"/>
            </w:pPr>
            <w:r w:rsidRPr="00D6189D">
              <w:t>Confirmation Process</w:t>
            </w:r>
          </w:p>
        </w:tc>
      </w:tr>
      <w:tr w:rsidR="00D6189D" w:rsidRPr="0035735D" w14:paraId="332929FB" w14:textId="77777777" w:rsidTr="00FF2AFB">
        <w:tc>
          <w:tcPr>
            <w:tcW w:w="4262" w:type="dxa"/>
          </w:tcPr>
          <w:p w14:paraId="4DB4E278" w14:textId="6E25232E" w:rsidR="00BC2245" w:rsidRPr="0035735D" w:rsidRDefault="002A46A2" w:rsidP="00E72075">
            <w:pPr>
              <w:pStyle w:val="BodyText-table"/>
            </w:pPr>
            <w:r w:rsidRPr="0035735D">
              <w:t>Detection of Aging Effects</w:t>
            </w:r>
          </w:p>
        </w:tc>
        <w:tc>
          <w:tcPr>
            <w:tcW w:w="4282" w:type="dxa"/>
          </w:tcPr>
          <w:p w14:paraId="2F60E475" w14:textId="509A5BA9" w:rsidR="00BC2245" w:rsidRPr="00D6189D" w:rsidRDefault="0096411C" w:rsidP="00E72075">
            <w:pPr>
              <w:pStyle w:val="BodyText-table"/>
            </w:pPr>
            <w:r w:rsidRPr="00D6189D">
              <w:t>Administrative Controls</w:t>
            </w:r>
          </w:p>
        </w:tc>
      </w:tr>
      <w:tr w:rsidR="00D6189D" w:rsidRPr="0035735D" w14:paraId="52C859DD" w14:textId="77777777" w:rsidTr="00FF2AFB">
        <w:tc>
          <w:tcPr>
            <w:tcW w:w="4262" w:type="dxa"/>
          </w:tcPr>
          <w:p w14:paraId="4D3C54FB" w14:textId="70F158FA" w:rsidR="00BC2245" w:rsidRPr="0035735D" w:rsidRDefault="00884D74" w:rsidP="00E72075">
            <w:pPr>
              <w:pStyle w:val="BodyText-table"/>
            </w:pPr>
            <w:r w:rsidRPr="0035735D">
              <w:t xml:space="preserve">Monitoring and Trending </w:t>
            </w:r>
          </w:p>
        </w:tc>
        <w:tc>
          <w:tcPr>
            <w:tcW w:w="4282" w:type="dxa"/>
          </w:tcPr>
          <w:p w14:paraId="1E94F003" w14:textId="77777777" w:rsidR="00BC2245" w:rsidRPr="00D6189D" w:rsidRDefault="00BC2245" w:rsidP="00E72075">
            <w:pPr>
              <w:pStyle w:val="BodyText-table"/>
            </w:pPr>
            <w:r w:rsidRPr="00D6189D">
              <w:t>Operating Experience</w:t>
            </w:r>
          </w:p>
        </w:tc>
      </w:tr>
    </w:tbl>
    <w:p w14:paraId="540EABD8" w14:textId="77777777" w:rsidR="001C75A1" w:rsidRDefault="001C75A1" w:rsidP="002067AC">
      <w:pPr>
        <w:pStyle w:val="BodyText3"/>
      </w:pPr>
    </w:p>
    <w:p w14:paraId="10B18893" w14:textId="6D25893C" w:rsidR="003560AA" w:rsidRDefault="003560AA" w:rsidP="002067AC">
      <w:pPr>
        <w:pStyle w:val="BodyText3"/>
      </w:pPr>
      <w:r>
        <w:lastRenderedPageBreak/>
        <w:t xml:space="preserve">The inspectors should be aware that </w:t>
      </w:r>
      <w:r w:rsidR="00FA338C">
        <w:t xml:space="preserve">the </w:t>
      </w:r>
      <w:r w:rsidR="00381CB1" w:rsidRPr="006A737D">
        <w:t xml:space="preserve">AMP </w:t>
      </w:r>
      <w:r w:rsidR="00670DC1">
        <w:t>may</w:t>
      </w:r>
      <w:r w:rsidR="00FA338C">
        <w:t xml:space="preserve"> </w:t>
      </w:r>
      <w:r w:rsidR="00670DC1">
        <w:t xml:space="preserve">be </w:t>
      </w:r>
      <w:r w:rsidR="00381CB1" w:rsidRPr="006A737D">
        <w:t xml:space="preserve">modified </w:t>
      </w:r>
      <w:r w:rsidR="00670DC1">
        <w:t xml:space="preserve">through information </w:t>
      </w:r>
      <w:r w:rsidR="00381CB1" w:rsidRPr="006A737D">
        <w:t>gained from the implementation of the AMP and from lessons learned from other sites and research programs.</w:t>
      </w:r>
    </w:p>
    <w:p w14:paraId="5A47A3E9" w14:textId="43A5471C" w:rsidR="00F735A6" w:rsidRDefault="006A2028" w:rsidP="00347745">
      <w:pPr>
        <w:pStyle w:val="BodyText"/>
        <w:numPr>
          <w:ilvl w:val="0"/>
          <w:numId w:val="7"/>
        </w:numPr>
      </w:pPr>
      <w:r>
        <w:rPr>
          <w:u w:val="single"/>
        </w:rPr>
        <w:t>Review of Scope</w:t>
      </w:r>
      <w:r w:rsidR="00F735A6" w:rsidRPr="00F0610C">
        <w:rPr>
          <w:u w:val="single"/>
        </w:rPr>
        <w:t>.</w:t>
      </w:r>
      <w:r w:rsidR="00F735A6" w:rsidRPr="00F0610C">
        <w:t xml:space="preserve"> </w:t>
      </w:r>
      <w:r w:rsidR="009A600D" w:rsidRPr="00DC43CC">
        <w:t>The scoping process should identify the SSCs of the ISFSI or DSS that should be reviewed for aging effects. The scoping evaluation should be based on a process and methodology for including SSCs in the renewal scope. The implementation of the process and methodology is inspectable. NUREG/CR-6407, “Classification of Transportation Packaging and Dry Spent Fuel Storage System Components According to Importance to Safety,” contains guidance describing SSCs that may be included within the scope of license renewal</w:t>
      </w:r>
      <w:r w:rsidR="009A600D">
        <w:t>.</w:t>
      </w:r>
    </w:p>
    <w:p w14:paraId="5B175398" w14:textId="63D954F8" w:rsidR="00040F1A" w:rsidRDefault="00EA0BCC" w:rsidP="00E00E13">
      <w:pPr>
        <w:pStyle w:val="BodyText3"/>
      </w:pPr>
      <w:r>
        <w:t xml:space="preserve">This </w:t>
      </w:r>
      <w:r w:rsidR="00D9244B">
        <w:t xml:space="preserve">AMP </w:t>
      </w:r>
      <w:r>
        <w:t xml:space="preserve">element </w:t>
      </w:r>
      <w:r w:rsidR="003F4DD8">
        <w:t xml:space="preserve">should </w:t>
      </w:r>
      <w:r w:rsidR="00D9244B">
        <w:t xml:space="preserve">contain the specific SSCs </w:t>
      </w:r>
      <w:r w:rsidR="003F4DD8">
        <w:t xml:space="preserve">addressed </w:t>
      </w:r>
      <w:r w:rsidR="00B31293">
        <w:t xml:space="preserve">during the licensing review and </w:t>
      </w:r>
      <w:r w:rsidR="00953D16">
        <w:t>captured</w:t>
      </w:r>
      <w:r w:rsidR="00B31293">
        <w:t xml:space="preserve"> in the NRC SER</w:t>
      </w:r>
      <w:r w:rsidR="00CE495F">
        <w:t xml:space="preserve">. The inspectors should verify </w:t>
      </w:r>
      <w:r w:rsidR="00396335">
        <w:t xml:space="preserve">that </w:t>
      </w:r>
      <w:r w:rsidR="00CE495F">
        <w:t xml:space="preserve">the </w:t>
      </w:r>
      <w:r w:rsidR="00396335">
        <w:t xml:space="preserve">licensee </w:t>
      </w:r>
      <w:r w:rsidR="00CE495F">
        <w:t>processes or procedure</w:t>
      </w:r>
      <w:r w:rsidR="00D130E0">
        <w:t>s</w:t>
      </w:r>
      <w:r w:rsidR="00396335">
        <w:t xml:space="preserve"> </w:t>
      </w:r>
      <w:r w:rsidR="00424E4E">
        <w:t xml:space="preserve">identify and define </w:t>
      </w:r>
      <w:r w:rsidR="003D65FB">
        <w:t xml:space="preserve">the SSCs </w:t>
      </w:r>
      <w:r w:rsidR="002517B8">
        <w:t xml:space="preserve">and applicable subcomponents </w:t>
      </w:r>
      <w:r w:rsidR="003D65FB">
        <w:t xml:space="preserve">that were part of the </w:t>
      </w:r>
      <w:r w:rsidR="0013116E">
        <w:t xml:space="preserve">renewal </w:t>
      </w:r>
      <w:r w:rsidR="003D65FB">
        <w:t>scope</w:t>
      </w:r>
      <w:r w:rsidR="0013116E">
        <w:t>.</w:t>
      </w:r>
      <w:r w:rsidR="00B22C32">
        <w:t xml:space="preserve"> </w:t>
      </w:r>
      <w:r w:rsidR="00B22C32" w:rsidRPr="00F5748A">
        <w:t xml:space="preserve">For the SSCs that are in scope of the license renewal, </w:t>
      </w:r>
      <w:r w:rsidR="00F81050">
        <w:t xml:space="preserve">the inspectors should also </w:t>
      </w:r>
      <w:r w:rsidR="00B22C32" w:rsidRPr="00F5748A">
        <w:t xml:space="preserve">determine </w:t>
      </w:r>
      <w:r w:rsidR="00FF1E1C">
        <w:t xml:space="preserve">that </w:t>
      </w:r>
      <w:r w:rsidR="00B22C32" w:rsidRPr="00F5748A">
        <w:t xml:space="preserve">their </w:t>
      </w:r>
      <w:r w:rsidR="00FF1E1C">
        <w:t xml:space="preserve">design </w:t>
      </w:r>
      <w:r w:rsidR="00B22C32" w:rsidRPr="00F5748A">
        <w:t xml:space="preserve">safety function is or supports </w:t>
      </w:r>
      <w:r w:rsidR="007A772A">
        <w:t xml:space="preserve">the following </w:t>
      </w:r>
      <w:r w:rsidR="00D168E2">
        <w:t>design bas</w:t>
      </w:r>
      <w:r w:rsidR="00A51F06">
        <w:t>es</w:t>
      </w:r>
      <w:r w:rsidR="00D168E2">
        <w:t xml:space="preserve"> functions</w:t>
      </w:r>
      <w:r w:rsidR="00DF0F2C">
        <w:t xml:space="preserve"> such as </w:t>
      </w:r>
      <w:r w:rsidR="00B22C32" w:rsidRPr="00F5748A">
        <w:t>criticality, shielding, confinement, heat transfer, structural integrity, and retrievability.</w:t>
      </w:r>
      <w:r w:rsidR="00305DF9">
        <w:t xml:space="preserve"> The evaluation </w:t>
      </w:r>
      <w:r w:rsidR="009351AD">
        <w:t xml:space="preserve">of these activities confirms the licensee’s initial </w:t>
      </w:r>
      <w:r w:rsidR="002A1462">
        <w:t xml:space="preserve">assessment and continued adequacy </w:t>
      </w:r>
      <w:r w:rsidR="00E76DC1">
        <w:t>are relative to the requirements of the AMP’</w:t>
      </w:r>
      <w:r w:rsidR="00B56076">
        <w:t>s</w:t>
      </w:r>
      <w:r w:rsidR="00B56076" w:rsidRPr="00B56076">
        <w:t xml:space="preserve"> </w:t>
      </w:r>
      <w:r w:rsidR="00B56076" w:rsidRPr="006A737D">
        <w:t>prevention, mitigation, condition, and/or performance monitoring programs.</w:t>
      </w:r>
    </w:p>
    <w:p w14:paraId="5B7D4B5B" w14:textId="17132782" w:rsidR="009A600D" w:rsidRPr="006B5489" w:rsidRDefault="00D224C8" w:rsidP="00347745">
      <w:pPr>
        <w:pStyle w:val="BodyText"/>
        <w:numPr>
          <w:ilvl w:val="0"/>
          <w:numId w:val="7"/>
        </w:numPr>
      </w:pPr>
      <w:r w:rsidRPr="0092171C">
        <w:rPr>
          <w:u w:val="single"/>
        </w:rPr>
        <w:t>Review of Preventive Actions</w:t>
      </w:r>
      <w:r w:rsidR="0040278B" w:rsidRPr="0092171C">
        <w:rPr>
          <w:u w:val="single"/>
        </w:rPr>
        <w:t>.</w:t>
      </w:r>
      <w:r w:rsidR="0040278B" w:rsidRPr="0092171C">
        <w:t xml:space="preserve"> </w:t>
      </w:r>
      <w:r w:rsidR="00F1599C" w:rsidRPr="00E6344B">
        <w:t xml:space="preserve">This </w:t>
      </w:r>
      <w:r w:rsidR="00A60D09">
        <w:t>element</w:t>
      </w:r>
      <w:r w:rsidR="00F1599C" w:rsidRPr="00E6344B">
        <w:t xml:space="preserve"> of an AMP </w:t>
      </w:r>
      <w:r w:rsidR="00A60D09">
        <w:t xml:space="preserve">should </w:t>
      </w:r>
      <w:r w:rsidR="00F1599C" w:rsidRPr="00E6344B">
        <w:t>contain actions that will be used to prevent</w:t>
      </w:r>
      <w:r w:rsidR="00A261D0">
        <w:t xml:space="preserve"> or </w:t>
      </w:r>
      <w:r w:rsidR="00F1599C" w:rsidRPr="00E6344B">
        <w:t xml:space="preserve">mitigate aging effects and </w:t>
      </w:r>
      <w:r w:rsidR="0058300A">
        <w:t xml:space="preserve">potential degradation </w:t>
      </w:r>
      <w:r w:rsidR="00F1599C" w:rsidRPr="00E6344B">
        <w:t xml:space="preserve">rates of aging for SSCs. Not all licensees’ AMPs will contain this section. If applicable, </w:t>
      </w:r>
      <w:r w:rsidR="00B97CD3">
        <w:t xml:space="preserve">the inspectors should </w:t>
      </w:r>
      <w:r w:rsidR="00703BDB">
        <w:t>v</w:t>
      </w:r>
      <w:r w:rsidR="00703BDB" w:rsidRPr="00E6344B">
        <w:t>erify that there are processes or procedures for performance of preventive actions</w:t>
      </w:r>
      <w:r w:rsidR="00703BDB">
        <w:t>.</w:t>
      </w:r>
      <w:r w:rsidR="00CD198F">
        <w:t xml:space="preserve"> </w:t>
      </w:r>
      <w:r w:rsidR="00006FE7">
        <w:t xml:space="preserve">The inspectors should </w:t>
      </w:r>
      <w:r w:rsidR="00E61E8D">
        <w:t xml:space="preserve">verify that any preventative measures described </w:t>
      </w:r>
      <w:r w:rsidR="006673B1">
        <w:t xml:space="preserve">in the AMP are still effective in preventing any aging </w:t>
      </w:r>
      <w:r w:rsidR="00C25647">
        <w:t xml:space="preserve">effects. The inspectors should </w:t>
      </w:r>
      <w:r w:rsidR="00EE5253">
        <w:t xml:space="preserve">also </w:t>
      </w:r>
      <w:r w:rsidR="00C25647">
        <w:t xml:space="preserve">evaluate </w:t>
      </w:r>
      <w:r w:rsidR="008B03AB">
        <w:t xml:space="preserve">whether the licensee performs the preventative actions </w:t>
      </w:r>
      <w:r w:rsidR="00984289">
        <w:t>at the right frequency</w:t>
      </w:r>
      <w:r w:rsidR="001A70B3">
        <w:t xml:space="preserve"> identified </w:t>
      </w:r>
      <w:r w:rsidR="00CD53F4">
        <w:t>in AMP</w:t>
      </w:r>
      <w:r w:rsidR="00E203C7">
        <w:t>, as applicable</w:t>
      </w:r>
      <w:r w:rsidR="00984289">
        <w:t>.</w:t>
      </w:r>
    </w:p>
    <w:p w14:paraId="6E4FE85E" w14:textId="5DE156FE" w:rsidR="00984289" w:rsidRPr="001D179B" w:rsidRDefault="00454946" w:rsidP="00347745">
      <w:pPr>
        <w:pStyle w:val="BodyText"/>
        <w:numPr>
          <w:ilvl w:val="0"/>
          <w:numId w:val="7"/>
        </w:numPr>
      </w:pPr>
      <w:r>
        <w:rPr>
          <w:u w:val="single"/>
        </w:rPr>
        <w:t>Review of Parameters Monitored or Inspec</w:t>
      </w:r>
      <w:r w:rsidR="006D2B91">
        <w:rPr>
          <w:u w:val="single"/>
        </w:rPr>
        <w:t>ted.</w:t>
      </w:r>
      <w:r w:rsidR="006D2B91">
        <w:t xml:space="preserve"> </w:t>
      </w:r>
      <w:r w:rsidR="00F14580" w:rsidRPr="00E6344B">
        <w:t xml:space="preserve">This </w:t>
      </w:r>
      <w:r w:rsidR="00F14580">
        <w:t>element</w:t>
      </w:r>
      <w:r w:rsidR="00F14580" w:rsidRPr="00E6344B">
        <w:t xml:space="preserve"> of the AMP </w:t>
      </w:r>
      <w:r w:rsidR="00F77779">
        <w:t xml:space="preserve">should </w:t>
      </w:r>
      <w:r w:rsidR="00C21525" w:rsidRPr="00E6344B">
        <w:t>list</w:t>
      </w:r>
      <w:r w:rsidR="00F14580" w:rsidRPr="00E6344B">
        <w:t xml:space="preserve"> the specific parameters monitored or inspected </w:t>
      </w:r>
      <w:r w:rsidR="00300E51">
        <w:t xml:space="preserve">in the AMP </w:t>
      </w:r>
      <w:r w:rsidR="00F14580" w:rsidRPr="00E6344B">
        <w:t xml:space="preserve">and describes how these parameters </w:t>
      </w:r>
      <w:r w:rsidR="00C21525" w:rsidRPr="00E6344B">
        <w:t>can identify</w:t>
      </w:r>
      <w:r w:rsidR="00F14580" w:rsidRPr="00E6344B">
        <w:t xml:space="preserve"> potential degradation prior to the loss of the SSC’s intended function(s). For example, the parameters may</w:t>
      </w:r>
      <w:r w:rsidR="0020240F">
        <w:t xml:space="preserve"> identify</w:t>
      </w:r>
      <w:r w:rsidR="00F14580" w:rsidRPr="00E6344B">
        <w:t xml:space="preserve"> signs of deterioration, including corrosion, cracking, or sulfate and chloride concentrations, which</w:t>
      </w:r>
      <w:r w:rsidR="0020240F">
        <w:t xml:space="preserve"> could be linked</w:t>
      </w:r>
      <w:r w:rsidR="00F14580" w:rsidRPr="00E6344B">
        <w:t xml:space="preserve"> to aging effects on SSCs.</w:t>
      </w:r>
      <w:r w:rsidR="007D69AC">
        <w:t xml:space="preserve"> The inspectors should verify </w:t>
      </w:r>
      <w:r w:rsidR="00944694">
        <w:t>that the processes or procedures involve</w:t>
      </w:r>
      <w:r w:rsidR="006067F4">
        <w:t xml:space="preserve"> </w:t>
      </w:r>
      <w:r w:rsidR="00AD34A5">
        <w:t xml:space="preserve">the </w:t>
      </w:r>
      <w:r w:rsidR="00944694">
        <w:t>mo</w:t>
      </w:r>
      <w:r w:rsidR="006067F4">
        <w:t xml:space="preserve">nitoring </w:t>
      </w:r>
      <w:r w:rsidR="00350713">
        <w:t>or</w:t>
      </w:r>
      <w:r w:rsidR="006067F4">
        <w:t xml:space="preserve"> inspecting </w:t>
      </w:r>
      <w:r w:rsidR="0066758D">
        <w:t>of parameters incorporated into the AMP.</w:t>
      </w:r>
      <w:r w:rsidR="00054CE1">
        <w:t xml:space="preserve"> </w:t>
      </w:r>
      <w:r w:rsidR="008731DD">
        <w:t xml:space="preserve">The inspectors should verify that the parameters </w:t>
      </w:r>
      <w:r w:rsidR="00350713">
        <w:t>monitored and/or inspe</w:t>
      </w:r>
      <w:r w:rsidR="009B12BB">
        <w:t>cted correctly capture the anticipated effects of aging</w:t>
      </w:r>
      <w:r w:rsidR="001551A5">
        <w:t xml:space="preserve"> on the intended functions of the SSC</w:t>
      </w:r>
      <w:r w:rsidR="00301890">
        <w:t xml:space="preserve"> and </w:t>
      </w:r>
      <w:r w:rsidR="0012735C">
        <w:t>whether those parameters seem appropriate rela</w:t>
      </w:r>
      <w:r w:rsidR="00BD1543">
        <w:t xml:space="preserve">tive to changing nature of an aging system or environmental </w:t>
      </w:r>
      <w:r w:rsidR="0098173C">
        <w:t>conditions over the licensing period</w:t>
      </w:r>
      <w:r w:rsidR="001551A5">
        <w:t>.</w:t>
      </w:r>
    </w:p>
    <w:p w14:paraId="750C1806" w14:textId="6AFF7365" w:rsidR="001D179B" w:rsidRPr="002D14F8" w:rsidRDefault="004B31DA" w:rsidP="00347745">
      <w:pPr>
        <w:pStyle w:val="BodyText"/>
        <w:numPr>
          <w:ilvl w:val="0"/>
          <w:numId w:val="7"/>
        </w:numPr>
        <w:rPr>
          <w:u w:val="single"/>
        </w:rPr>
      </w:pPr>
      <w:r w:rsidRPr="004B31DA">
        <w:rPr>
          <w:u w:val="single"/>
        </w:rPr>
        <w:t>Review of Detection of Aging Effects</w:t>
      </w:r>
      <w:r w:rsidRPr="000F498D">
        <w:rPr>
          <w:u w:val="single"/>
        </w:rPr>
        <w:t>.</w:t>
      </w:r>
      <w:r w:rsidRPr="000F498D">
        <w:t xml:space="preserve"> </w:t>
      </w:r>
      <w:r w:rsidR="00502830" w:rsidRPr="00E6344B">
        <w:t xml:space="preserve">This </w:t>
      </w:r>
      <w:r w:rsidR="00502830">
        <w:t>element</w:t>
      </w:r>
      <w:r w:rsidR="00502830" w:rsidRPr="00E6344B">
        <w:t xml:space="preserve"> of the AMP describes how </w:t>
      </w:r>
      <w:r w:rsidR="00E57895">
        <w:t xml:space="preserve">the licensee </w:t>
      </w:r>
      <w:r w:rsidR="004F3727">
        <w:t xml:space="preserve">would detect </w:t>
      </w:r>
      <w:r w:rsidR="00502830" w:rsidRPr="00E6344B">
        <w:t>aging effects prior to the loss of the SSC’s intended function(s). It includes inspection and monitoring details, methods and techniques, frequency, sample size, data collection, and timing of inspections</w:t>
      </w:r>
      <w:r w:rsidR="004F3727">
        <w:t>.</w:t>
      </w:r>
      <w:r w:rsidR="006C171E">
        <w:t xml:space="preserve"> The </w:t>
      </w:r>
      <w:r w:rsidR="008720A2">
        <w:t xml:space="preserve">inspectors </w:t>
      </w:r>
      <w:r w:rsidR="006C171E">
        <w:t>should verify the following:</w:t>
      </w:r>
    </w:p>
    <w:p w14:paraId="4DFD4F36" w14:textId="32B4C3A7" w:rsidR="002D14F8" w:rsidRPr="00E6344B" w:rsidRDefault="002D14F8" w:rsidP="00347745">
      <w:pPr>
        <w:pStyle w:val="BodyText"/>
        <w:numPr>
          <w:ilvl w:val="1"/>
          <w:numId w:val="7"/>
        </w:numPr>
      </w:pPr>
      <w:r w:rsidRPr="00E6344B">
        <w:t>For each of the SSCs</w:t>
      </w:r>
      <w:r w:rsidR="003478F2">
        <w:t xml:space="preserve"> in scope</w:t>
      </w:r>
      <w:r w:rsidRPr="00E6344B">
        <w:t>, verify that the specific types of inspections to be performed are clearly stated in the processes or procedures.</w:t>
      </w:r>
    </w:p>
    <w:p w14:paraId="409E6CAE" w14:textId="77777777" w:rsidR="002D14F8" w:rsidRPr="00E6344B" w:rsidRDefault="002D14F8" w:rsidP="00347745">
      <w:pPr>
        <w:pStyle w:val="BodyText"/>
        <w:numPr>
          <w:ilvl w:val="1"/>
          <w:numId w:val="7"/>
        </w:numPr>
      </w:pPr>
      <w:r w:rsidRPr="00E6344B">
        <w:lastRenderedPageBreak/>
        <w:t>Verify that the processes or procedures include performance of inspections or examinations at the specified intervals, information on the location and extent of inspection of the SSCs, and number of SSCs inspected (sample size).</w:t>
      </w:r>
    </w:p>
    <w:p w14:paraId="0673FE68" w14:textId="79B34675" w:rsidR="002D14F8" w:rsidRPr="00E6344B" w:rsidRDefault="002D14F8" w:rsidP="00347745">
      <w:pPr>
        <w:pStyle w:val="BodyText"/>
        <w:numPr>
          <w:ilvl w:val="1"/>
          <w:numId w:val="7"/>
        </w:numPr>
      </w:pPr>
      <w:r w:rsidRPr="00E6344B">
        <w:t>If the AMP includes inspection of a limited sample size, verify that the licensee has a documented approach to select the most susceptible SSCs, and the most susceptible locations on those SSCs, for inspection.</w:t>
      </w:r>
    </w:p>
    <w:p w14:paraId="5BF9D216" w14:textId="77777777" w:rsidR="002D14F8" w:rsidRPr="00E6344B" w:rsidRDefault="002D14F8" w:rsidP="00347745">
      <w:pPr>
        <w:pStyle w:val="BodyText"/>
        <w:numPr>
          <w:ilvl w:val="1"/>
          <w:numId w:val="7"/>
        </w:numPr>
      </w:pPr>
      <w:r w:rsidRPr="00E6344B">
        <w:t>If the AMP requires altering the sample size of some inspections based on aging effects observed, verify that the processes or procedures ensure that the sample size is expanded when said aging effects are observed.</w:t>
      </w:r>
    </w:p>
    <w:p w14:paraId="2F7DB917" w14:textId="5B058A74" w:rsidR="002D14F8" w:rsidRPr="00E6344B" w:rsidRDefault="002D14F8" w:rsidP="00347745">
      <w:pPr>
        <w:pStyle w:val="BodyText"/>
        <w:numPr>
          <w:ilvl w:val="1"/>
          <w:numId w:val="7"/>
        </w:numPr>
      </w:pPr>
      <w:r w:rsidRPr="00E6344B">
        <w:t>Verify that the processes or procedures include provisions to ensure that any locations of identified aging effects are monitored during further inspections.</w:t>
      </w:r>
    </w:p>
    <w:p w14:paraId="79BEF8EF" w14:textId="2762B608" w:rsidR="002D14F8" w:rsidRPr="00E6344B" w:rsidRDefault="002D14F8" w:rsidP="00347745">
      <w:pPr>
        <w:pStyle w:val="BodyText"/>
        <w:numPr>
          <w:ilvl w:val="1"/>
          <w:numId w:val="7"/>
        </w:numPr>
      </w:pPr>
      <w:r w:rsidRPr="00E6344B">
        <w:t xml:space="preserve">If the AMP includes inspections of opportunity, verify that the processes or procedures take advantage of opportunities to access usually inaccessible areas </w:t>
      </w:r>
      <w:r w:rsidR="00FB1508" w:rsidRPr="00E6344B">
        <w:t>to</w:t>
      </w:r>
      <w:r w:rsidRPr="00E6344B">
        <w:t xml:space="preserve"> check for aging effects.</w:t>
      </w:r>
    </w:p>
    <w:p w14:paraId="27973533" w14:textId="1CAAFFE7" w:rsidR="000E23F0" w:rsidRDefault="00CD2477" w:rsidP="00E039F6">
      <w:pPr>
        <w:pStyle w:val="BodyText3"/>
      </w:pPr>
      <w:r>
        <w:t>In additio</w:t>
      </w:r>
      <w:r w:rsidR="00A06C60">
        <w:t>n, the inspectors should v</w:t>
      </w:r>
      <w:r w:rsidR="00A06C60" w:rsidRPr="00F5748A">
        <w:t xml:space="preserve">erify that </w:t>
      </w:r>
      <w:r w:rsidR="00C320EB">
        <w:t xml:space="preserve">processes </w:t>
      </w:r>
      <w:r w:rsidR="009677EE">
        <w:t xml:space="preserve">or procedures are in place to ensure </w:t>
      </w:r>
      <w:r w:rsidR="00A06C60" w:rsidRPr="00F5748A">
        <w:t xml:space="preserve">the licensee take advantage of any opportunities to </w:t>
      </w:r>
      <w:r w:rsidR="004F40E6">
        <w:t>perform inspections</w:t>
      </w:r>
      <w:r w:rsidR="00A06C60" w:rsidRPr="00F5748A">
        <w:t xml:space="preserve"> </w:t>
      </w:r>
      <w:r w:rsidR="00A12114">
        <w:t>on</w:t>
      </w:r>
      <w:r w:rsidR="00AA1B5C">
        <w:t xml:space="preserve"> </w:t>
      </w:r>
      <w:r w:rsidR="00A06C60" w:rsidRPr="00F5748A">
        <w:t>usually inaccessible areas of the ISFSI or DSS to check for aging effects</w:t>
      </w:r>
      <w:r w:rsidR="006F7E5E">
        <w:t>,</w:t>
      </w:r>
      <w:r w:rsidR="00A06C60" w:rsidRPr="00F5748A">
        <w:t xml:space="preserve"> if required.</w:t>
      </w:r>
    </w:p>
    <w:p w14:paraId="22F5CA2E" w14:textId="299144FD" w:rsidR="00042C39" w:rsidRPr="00E00E13" w:rsidRDefault="00837220" w:rsidP="00347745">
      <w:pPr>
        <w:pStyle w:val="BodyText"/>
        <w:numPr>
          <w:ilvl w:val="0"/>
          <w:numId w:val="7"/>
        </w:numPr>
        <w:rPr>
          <w:u w:val="single"/>
        </w:rPr>
      </w:pPr>
      <w:r>
        <w:rPr>
          <w:u w:val="single"/>
        </w:rPr>
        <w:t>Review</w:t>
      </w:r>
      <w:r w:rsidR="00291D04">
        <w:rPr>
          <w:u w:val="single"/>
        </w:rPr>
        <w:t xml:space="preserve"> of Monitoring and Trending.</w:t>
      </w:r>
      <w:r w:rsidR="00291D04" w:rsidRPr="000F498D">
        <w:t xml:space="preserve"> </w:t>
      </w:r>
      <w:r w:rsidR="008731E4" w:rsidRPr="00E6344B">
        <w:t xml:space="preserve">This </w:t>
      </w:r>
      <w:r w:rsidR="008731E4">
        <w:t>element</w:t>
      </w:r>
      <w:r w:rsidR="008731E4" w:rsidRPr="00E6344B">
        <w:t xml:space="preserve"> of the AMP describes how </w:t>
      </w:r>
      <w:r w:rsidR="00685452">
        <w:t>the licensee would collec</w:t>
      </w:r>
      <w:r w:rsidR="0091703F">
        <w:t>t</w:t>
      </w:r>
      <w:r w:rsidR="008731E4" w:rsidRPr="00E6344B">
        <w:t xml:space="preserve"> and evaluate</w:t>
      </w:r>
      <w:r w:rsidR="0091703F">
        <w:t xml:space="preserve"> data</w:t>
      </w:r>
      <w:r w:rsidR="008731E4" w:rsidRPr="00E6344B">
        <w:t xml:space="preserve"> to determine the extent of the aging effects and the need for corrective or mitigative actions.</w:t>
      </w:r>
      <w:r w:rsidR="00042C39">
        <w:t xml:space="preserve"> </w:t>
      </w:r>
      <w:r w:rsidR="00395A57" w:rsidRPr="00F5748A">
        <w:t xml:space="preserve">Trending is the comparison of the current monitoring results with previous monitoring results, to make predictions for the future. Trending is not applicable for one-time new inspections. </w:t>
      </w:r>
      <w:r w:rsidR="00042C39">
        <w:t>The inspectors should verify the following:</w:t>
      </w:r>
    </w:p>
    <w:p w14:paraId="0B555C02" w14:textId="049F75F2" w:rsidR="00E00E13" w:rsidRPr="00042C39" w:rsidRDefault="00E00E13" w:rsidP="00347745">
      <w:pPr>
        <w:pStyle w:val="BodyText"/>
        <w:numPr>
          <w:ilvl w:val="1"/>
          <w:numId w:val="7"/>
        </w:numPr>
        <w:rPr>
          <w:u w:val="single"/>
        </w:rPr>
      </w:pPr>
      <w:r w:rsidRPr="00E6344B">
        <w:t>Verify that the processes or procedures clearly state which parameters will be trended, along with the monitoring methodology and timeline.</w:t>
      </w:r>
    </w:p>
    <w:p w14:paraId="1AD882C4" w14:textId="77777777" w:rsidR="006634A8" w:rsidRPr="00E6344B" w:rsidRDefault="006634A8" w:rsidP="00347745">
      <w:pPr>
        <w:pStyle w:val="BodyText"/>
        <w:numPr>
          <w:ilvl w:val="1"/>
          <w:numId w:val="7"/>
        </w:numPr>
      </w:pPr>
      <w:r w:rsidRPr="00E6344B">
        <w:t>Verify that the processes or procedures have methods for comparing results taken at different times to determine changes in conditions of SSCs.</w:t>
      </w:r>
    </w:p>
    <w:p w14:paraId="22B199C6" w14:textId="4CFCCE43" w:rsidR="006634A8" w:rsidRPr="00E6344B" w:rsidRDefault="006634A8" w:rsidP="00347745">
      <w:pPr>
        <w:pStyle w:val="BodyText"/>
        <w:numPr>
          <w:ilvl w:val="1"/>
          <w:numId w:val="7"/>
        </w:numPr>
      </w:pPr>
      <w:r w:rsidRPr="00E6344B">
        <w:t xml:space="preserve">Verify that the processes or procedures require that results of inspections are used to establish rates of degradation </w:t>
      </w:r>
      <w:r w:rsidR="004D3568" w:rsidRPr="00E6344B">
        <w:t>to</w:t>
      </w:r>
      <w:r w:rsidRPr="00E6344B">
        <w:t xml:space="preserve"> confirm that further inspections will occur prior to a loss of intended function.</w:t>
      </w:r>
    </w:p>
    <w:p w14:paraId="4679C605" w14:textId="23DE2535" w:rsidR="006634A8" w:rsidRPr="00E6344B" w:rsidRDefault="006634A8" w:rsidP="00347745">
      <w:pPr>
        <w:pStyle w:val="BodyText"/>
        <w:numPr>
          <w:ilvl w:val="1"/>
          <w:numId w:val="7"/>
        </w:numPr>
      </w:pPr>
      <w:r w:rsidRPr="00E6344B">
        <w:t xml:space="preserve">Verify that the processes or procedures provide for alteration of inspection frequencies when necessary </w:t>
      </w:r>
      <w:r w:rsidR="004D3568" w:rsidRPr="00E6344B">
        <w:t>to</w:t>
      </w:r>
      <w:r w:rsidRPr="00E6344B">
        <w:t xml:space="preserve"> ensure the integrity of the SSCs.</w:t>
      </w:r>
    </w:p>
    <w:p w14:paraId="27E47473" w14:textId="71D0D1A7" w:rsidR="00042C39" w:rsidRDefault="00567ABF" w:rsidP="00E039F6">
      <w:pPr>
        <w:pStyle w:val="BodyText3"/>
        <w:rPr>
          <w:u w:val="single"/>
        </w:rPr>
      </w:pPr>
      <w:r w:rsidRPr="00F5748A">
        <w:t>Monitoring and trending activities should provide the information required for prediction of the extent of aging and allow for timely corrective or mitigative actions. The AMP should either (1) describe an inspection method that is capable of detecting the effects of aging before the SSC would lose the ability to perform its intended function under design conditions, or (2) demonstrate that the intended function of the SSC will be maintained during the renewal.</w:t>
      </w:r>
    </w:p>
    <w:p w14:paraId="2CFD61EB" w14:textId="0DC8383E" w:rsidR="002D14F8" w:rsidRPr="00C70934" w:rsidRDefault="001F1CD9" w:rsidP="00347745">
      <w:pPr>
        <w:pStyle w:val="BodyText"/>
        <w:numPr>
          <w:ilvl w:val="0"/>
          <w:numId w:val="7"/>
        </w:numPr>
        <w:rPr>
          <w:u w:val="single"/>
        </w:rPr>
      </w:pPr>
      <w:r>
        <w:rPr>
          <w:u w:val="single"/>
        </w:rPr>
        <w:t>Review of Acceptance Criteria.</w:t>
      </w:r>
      <w:r w:rsidRPr="000F498D">
        <w:t xml:space="preserve"> </w:t>
      </w:r>
      <w:r w:rsidR="006E1FEE" w:rsidRPr="00E6344B">
        <w:t xml:space="preserve">This </w:t>
      </w:r>
      <w:r w:rsidR="006E1FEE">
        <w:t>element</w:t>
      </w:r>
      <w:r w:rsidR="006E1FEE" w:rsidRPr="00E6344B">
        <w:t xml:space="preserve"> of the AMP </w:t>
      </w:r>
      <w:r w:rsidR="00F26ABD">
        <w:t>establishes</w:t>
      </w:r>
      <w:r w:rsidR="006E1FEE" w:rsidRPr="00E6344B">
        <w:t xml:space="preserve"> </w:t>
      </w:r>
      <w:r w:rsidR="002104FF">
        <w:t xml:space="preserve">acceptance </w:t>
      </w:r>
      <w:r w:rsidR="006E1FEE" w:rsidRPr="00E6344B">
        <w:t xml:space="preserve">criteria </w:t>
      </w:r>
      <w:r w:rsidR="00E00322">
        <w:t xml:space="preserve">for the licensee to evaluate when </w:t>
      </w:r>
      <w:r w:rsidR="00731871">
        <w:t xml:space="preserve">there is a </w:t>
      </w:r>
      <w:r w:rsidR="00AC6683">
        <w:t>need</w:t>
      </w:r>
      <w:r w:rsidR="006E1FEE" w:rsidRPr="00E6344B">
        <w:t xml:space="preserve"> for corrective actions. The acceptance </w:t>
      </w:r>
      <w:r w:rsidR="006E1FEE" w:rsidRPr="00E6344B">
        <w:lastRenderedPageBreak/>
        <w:t xml:space="preserve">criteria </w:t>
      </w:r>
      <w:r w:rsidR="003E5A34">
        <w:t>provide</w:t>
      </w:r>
      <w:r w:rsidR="00723FB7">
        <w:t xml:space="preserve"> </w:t>
      </w:r>
      <w:r w:rsidR="006E1FEE" w:rsidRPr="00E6344B">
        <w:t xml:space="preserve">ensure </w:t>
      </w:r>
      <w:r w:rsidR="00546651">
        <w:t>the</w:t>
      </w:r>
      <w:r w:rsidR="00077817">
        <w:t xml:space="preserve"> SSC for the DSS </w:t>
      </w:r>
      <w:r w:rsidR="00745554">
        <w:t>in the</w:t>
      </w:r>
      <w:r w:rsidR="006E1FEE" w:rsidRPr="00E6344B">
        <w:t xml:space="preserve"> period of extended operation</w:t>
      </w:r>
      <w:r w:rsidR="00745554">
        <w:t xml:space="preserve"> continue to </w:t>
      </w:r>
      <w:r w:rsidR="000D5D4E">
        <w:t>maintain</w:t>
      </w:r>
      <w:r w:rsidR="009337F7">
        <w:t xml:space="preserve"> their </w:t>
      </w:r>
      <w:r w:rsidR="006C2171">
        <w:t xml:space="preserve">intended </w:t>
      </w:r>
      <w:r w:rsidR="009337F7">
        <w:t>design function</w:t>
      </w:r>
      <w:r w:rsidR="003E5CB4">
        <w:t>(</w:t>
      </w:r>
      <w:r w:rsidR="006C2171">
        <w:t>s</w:t>
      </w:r>
      <w:r w:rsidR="003E5CB4">
        <w:t>)</w:t>
      </w:r>
      <w:r w:rsidR="006E1FEE" w:rsidRPr="00E6344B">
        <w:t>.</w:t>
      </w:r>
      <w:r w:rsidR="009A0C41">
        <w:t xml:space="preserve"> </w:t>
      </w:r>
      <w:r w:rsidR="003E54E9">
        <w:t>The inspectors should verify the following:</w:t>
      </w:r>
    </w:p>
    <w:p w14:paraId="302B9197" w14:textId="27BD737D" w:rsidR="002E5B0F" w:rsidRPr="00E6344B" w:rsidRDefault="002E5B0F" w:rsidP="00347745">
      <w:pPr>
        <w:pStyle w:val="BodyText"/>
        <w:numPr>
          <w:ilvl w:val="1"/>
          <w:numId w:val="7"/>
        </w:numPr>
      </w:pPr>
      <w:r w:rsidRPr="00E6344B">
        <w:t>Verify that the processes or procedures contain acceptance criteria described in the approved AMPs.</w:t>
      </w:r>
    </w:p>
    <w:p w14:paraId="62AB7466" w14:textId="77777777" w:rsidR="002E5B0F" w:rsidRPr="00E6344B" w:rsidRDefault="002E5B0F" w:rsidP="00347745">
      <w:pPr>
        <w:pStyle w:val="BodyText"/>
        <w:numPr>
          <w:ilvl w:val="1"/>
          <w:numId w:val="7"/>
        </w:numPr>
      </w:pPr>
      <w:r w:rsidRPr="00E6344B">
        <w:t>Verify that the licensee included a methodology for analyzing the results of the inspection against applicable acceptance criteria.</w:t>
      </w:r>
    </w:p>
    <w:p w14:paraId="28078BDA" w14:textId="5522534D" w:rsidR="00C70934" w:rsidRDefault="00CB2D1C" w:rsidP="00E039F6">
      <w:pPr>
        <w:pStyle w:val="BodyText3"/>
        <w:rPr>
          <w:u w:val="single"/>
        </w:rPr>
      </w:pPr>
      <w:r>
        <w:t>The inspectors should verify that i</w:t>
      </w:r>
      <w:r w:rsidRPr="00F5748A">
        <w:t xml:space="preserve">f the acceptance criterion for an AMP parameter </w:t>
      </w:r>
      <w:r>
        <w:t>is not met</w:t>
      </w:r>
      <w:r w:rsidRPr="00F5748A">
        <w:t>,</w:t>
      </w:r>
      <w:r>
        <w:t xml:space="preserve"> </w:t>
      </w:r>
      <w:r w:rsidR="006C0348">
        <w:t>then</w:t>
      </w:r>
      <w:r>
        <w:t xml:space="preserve"> the processes or procedures provide</w:t>
      </w:r>
      <w:r w:rsidR="0000596C">
        <w:t>s</w:t>
      </w:r>
      <w:r>
        <w:t xml:space="preserve"> adequate guidance </w:t>
      </w:r>
      <w:r w:rsidRPr="00F5748A">
        <w:t>to</w:t>
      </w:r>
      <w:r>
        <w:t xml:space="preserve"> take action </w:t>
      </w:r>
      <w:r w:rsidR="002B5B29">
        <w:t xml:space="preserve">on returning </w:t>
      </w:r>
      <w:r w:rsidR="009740E2">
        <w:t>the</w:t>
      </w:r>
      <w:r w:rsidR="006A470C">
        <w:t xml:space="preserve"> SSC for the DSS</w:t>
      </w:r>
      <w:r w:rsidR="007B16BF" w:rsidRPr="007B16BF">
        <w:t xml:space="preserve"> </w:t>
      </w:r>
      <w:r w:rsidR="002B5B29">
        <w:t>back</w:t>
      </w:r>
      <w:r w:rsidR="006A470C">
        <w:t xml:space="preserve"> </w:t>
      </w:r>
      <w:r w:rsidR="00987283">
        <w:t>into regulatory compliance</w:t>
      </w:r>
      <w:r w:rsidR="002B5B29">
        <w:t xml:space="preserve">, as </w:t>
      </w:r>
      <w:r w:rsidR="00B46F92">
        <w:t>necessary</w:t>
      </w:r>
      <w:r w:rsidR="00720BE5">
        <w:t>.</w:t>
      </w:r>
      <w:r w:rsidR="00987283">
        <w:t xml:space="preserve"> </w:t>
      </w:r>
      <w:r w:rsidR="00630CF2">
        <w:t>These actions</w:t>
      </w:r>
      <w:r w:rsidR="0071460E">
        <w:t xml:space="preserve"> can include having an</w:t>
      </w:r>
      <w:r w:rsidR="00720BE5">
        <w:t xml:space="preserve"> </w:t>
      </w:r>
      <w:r w:rsidRPr="00F5748A">
        <w:t>adequate decision regarding continued service of the SSC, repair/replacement of components, and/or recovery of the fuel for repackaging following identification and characterization of service-induced flaws or degraded material</w:t>
      </w:r>
      <w:r>
        <w:t xml:space="preserve"> </w:t>
      </w:r>
      <w:r w:rsidRPr="00F5748A">
        <w:t>conditions.</w:t>
      </w:r>
    </w:p>
    <w:p w14:paraId="038305C4" w14:textId="5959CC90" w:rsidR="008E06F6" w:rsidRPr="00583A2E" w:rsidRDefault="00AD22AC" w:rsidP="00347745">
      <w:pPr>
        <w:pStyle w:val="BodyText"/>
        <w:numPr>
          <w:ilvl w:val="0"/>
          <w:numId w:val="7"/>
        </w:numPr>
        <w:rPr>
          <w:u w:val="single"/>
        </w:rPr>
      </w:pPr>
      <w:r>
        <w:rPr>
          <w:u w:val="single"/>
        </w:rPr>
        <w:t>Review of Corrective Action.</w:t>
      </w:r>
      <w:r w:rsidRPr="000F498D">
        <w:t xml:space="preserve"> </w:t>
      </w:r>
      <w:r>
        <w:t xml:space="preserve">This element of the AMP </w:t>
      </w:r>
      <w:r w:rsidR="00D83DE5" w:rsidRPr="00E6344B">
        <w:t xml:space="preserve">describes the measures </w:t>
      </w:r>
      <w:r w:rsidR="00F52742">
        <w:t>the licensee would</w:t>
      </w:r>
      <w:r w:rsidR="00D83DE5" w:rsidRPr="00E6344B">
        <w:t xml:space="preserve"> take when the acceptance criteria are not met. The licensee has the option to reference a corrective action program (CAP)</w:t>
      </w:r>
      <w:r w:rsidR="00B957FB">
        <w:t xml:space="preserve"> that</w:t>
      </w:r>
      <w:r w:rsidR="00D83DE5" w:rsidRPr="00E6344B">
        <w:t xml:space="preserve"> is consistent with </w:t>
      </w:r>
      <w:r w:rsidR="00B957FB">
        <w:t>an NRC</w:t>
      </w:r>
      <w:r w:rsidR="00D83DE5" w:rsidRPr="00E6344B">
        <w:t xml:space="preserve"> approved QA program.</w:t>
      </w:r>
      <w:r w:rsidR="001B4F3E">
        <w:t xml:space="preserve"> The inspectors should </w:t>
      </w:r>
      <w:r w:rsidR="0082645A">
        <w:t>verify the following:</w:t>
      </w:r>
    </w:p>
    <w:p w14:paraId="2E0C25B0" w14:textId="6EDAC238" w:rsidR="00FA4D2A" w:rsidRPr="00E6344B" w:rsidRDefault="00FA4D2A" w:rsidP="00347745">
      <w:pPr>
        <w:pStyle w:val="BodyText"/>
        <w:numPr>
          <w:ilvl w:val="1"/>
          <w:numId w:val="7"/>
        </w:numPr>
      </w:pPr>
      <w:r w:rsidRPr="00E6344B">
        <w:t>Verify that the CAP contains such provisions that any deviations from the acceptance criteria require entrance into the CAP.</w:t>
      </w:r>
    </w:p>
    <w:p w14:paraId="734C1F46" w14:textId="747C7205" w:rsidR="00151E54" w:rsidRPr="00151E54" w:rsidRDefault="00FA4D2A" w:rsidP="00347745">
      <w:pPr>
        <w:pStyle w:val="BodyText"/>
        <w:numPr>
          <w:ilvl w:val="1"/>
          <w:numId w:val="7"/>
        </w:numPr>
      </w:pPr>
      <w:r w:rsidRPr="00E6344B">
        <w:t>In some cases, an AMP may include specific corrective actions. In that case, verify that the processes or procedures include those specific corrective actions.</w:t>
      </w:r>
      <w:r w:rsidR="00151E54">
        <w:t xml:space="preserve"> </w:t>
      </w:r>
      <w:r w:rsidR="0059077B" w:rsidRPr="00151E54">
        <w:t>Verify that corrective actions follow the requirements of the QA program and procedures and are implemented in a timely fashion.</w:t>
      </w:r>
    </w:p>
    <w:p w14:paraId="5198541C" w14:textId="543D8819" w:rsidR="0059077B" w:rsidRPr="00E6344B" w:rsidRDefault="0059077B" w:rsidP="00347745">
      <w:pPr>
        <w:pStyle w:val="BodyText"/>
        <w:numPr>
          <w:ilvl w:val="1"/>
          <w:numId w:val="7"/>
        </w:numPr>
      </w:pPr>
      <w:r w:rsidRPr="00F5748A">
        <w:t>The corrective action database should be examined for potential aging issues. Considerations should be given to root cause analysis, actions to prevent recurrence, and repair or replacement of the degraded SSC. Discovery of service</w:t>
      </w:r>
      <w:r w:rsidR="00DD65C1">
        <w:noBreakHyphen/>
      </w:r>
      <w:r w:rsidRPr="00F5748A">
        <w:t>degradation-induced flaws will result in modification of the inspection program schedule. Responses may include, but are not limited to</w:t>
      </w:r>
      <w:r w:rsidR="00594EA1">
        <w:t xml:space="preserve"> the following:</w:t>
      </w:r>
      <w:r w:rsidRPr="00F5748A">
        <w:t xml:space="preserve"> an increase in the number and size of sampling regions (additional examination), an increase in the frequency of examinations (successive examination), temporary placement of stored fuel into wet storage until failed canisters can be repaired or replaced.</w:t>
      </w:r>
    </w:p>
    <w:p w14:paraId="09BED3B2" w14:textId="6016EA2C" w:rsidR="00583A2E" w:rsidRPr="00043566" w:rsidRDefault="00410094" w:rsidP="00347745">
      <w:pPr>
        <w:pStyle w:val="BodyText"/>
        <w:numPr>
          <w:ilvl w:val="0"/>
          <w:numId w:val="7"/>
        </w:numPr>
        <w:rPr>
          <w:u w:val="single"/>
        </w:rPr>
      </w:pPr>
      <w:r>
        <w:rPr>
          <w:u w:val="single"/>
        </w:rPr>
        <w:t xml:space="preserve">Review of </w:t>
      </w:r>
      <w:r w:rsidR="001E54BB">
        <w:rPr>
          <w:u w:val="single"/>
        </w:rPr>
        <w:t>Conf</w:t>
      </w:r>
      <w:r w:rsidR="0006616C">
        <w:rPr>
          <w:u w:val="single"/>
        </w:rPr>
        <w:t xml:space="preserve">irmation </w:t>
      </w:r>
      <w:r w:rsidR="00CB22E1">
        <w:rPr>
          <w:u w:val="single"/>
        </w:rPr>
        <w:t>Process.</w:t>
      </w:r>
      <w:r w:rsidR="00CB22E1">
        <w:t xml:space="preserve"> This element of the AMP verifies </w:t>
      </w:r>
      <w:r w:rsidR="00565D3B" w:rsidRPr="00E6344B">
        <w:t xml:space="preserve">that preventive actions, if </w:t>
      </w:r>
      <w:r w:rsidR="009C6579">
        <w:t>applicable</w:t>
      </w:r>
      <w:r w:rsidR="00565D3B" w:rsidRPr="00E6344B">
        <w:t>, are reasonable, and that appropriate corrective actions have been completed and are effective. The confirmation process is commensurate with the approved QA program.</w:t>
      </w:r>
      <w:r w:rsidR="00A51F1B">
        <w:t xml:space="preserve"> The inspectors should verify </w:t>
      </w:r>
      <w:r w:rsidR="00DF1D26">
        <w:t xml:space="preserve">that the licensee controls </w:t>
      </w:r>
      <w:r w:rsidR="00611A8D">
        <w:t xml:space="preserve">the </w:t>
      </w:r>
      <w:r w:rsidR="00DF1D26">
        <w:t>AMP</w:t>
      </w:r>
      <w:r w:rsidR="00611A8D">
        <w:t xml:space="preserve"> with an NRC approved QA program.</w:t>
      </w:r>
    </w:p>
    <w:p w14:paraId="22D19BDA" w14:textId="6C220C9D" w:rsidR="004637F9" w:rsidRPr="00511C5A" w:rsidRDefault="00043566" w:rsidP="00347745">
      <w:pPr>
        <w:pStyle w:val="BodyText"/>
        <w:numPr>
          <w:ilvl w:val="0"/>
          <w:numId w:val="7"/>
        </w:numPr>
        <w:rPr>
          <w:u w:val="single"/>
        </w:rPr>
      </w:pPr>
      <w:r>
        <w:rPr>
          <w:u w:val="single"/>
        </w:rPr>
        <w:t>Review of Administrative Controls.</w:t>
      </w:r>
      <w:r>
        <w:t xml:space="preserve"> This element of the AMP</w:t>
      </w:r>
      <w:r w:rsidR="005056D2">
        <w:t xml:space="preserve"> provides a</w:t>
      </w:r>
      <w:r w:rsidR="009A44C1" w:rsidRPr="00E6344B">
        <w:t xml:space="preserve"> formal review and approval process</w:t>
      </w:r>
      <w:r w:rsidR="0028135F">
        <w:t xml:space="preserve"> for</w:t>
      </w:r>
      <w:r w:rsidR="00730E33">
        <w:t xml:space="preserve"> evaluations and changes to the AMP</w:t>
      </w:r>
      <w:r w:rsidR="009A44C1" w:rsidRPr="00E6344B">
        <w:t xml:space="preserve">. </w:t>
      </w:r>
      <w:r w:rsidR="00402448">
        <w:t xml:space="preserve">Generally, </w:t>
      </w:r>
      <w:r w:rsidR="0079297C">
        <w:t>the a</w:t>
      </w:r>
      <w:r w:rsidR="009A44C1" w:rsidRPr="00E6344B">
        <w:t xml:space="preserve">dministrative controls are in accordance with the </w:t>
      </w:r>
      <w:r w:rsidR="008830A2">
        <w:t>change control process</w:t>
      </w:r>
      <w:r w:rsidR="00947A8B">
        <w:t>es</w:t>
      </w:r>
      <w:r w:rsidR="008830A2">
        <w:t xml:space="preserve"> </w:t>
      </w:r>
      <w:r w:rsidR="00EF7212">
        <w:t xml:space="preserve">at the licensee’s </w:t>
      </w:r>
      <w:r w:rsidR="00947A8B">
        <w:t xml:space="preserve">facility </w:t>
      </w:r>
      <w:r w:rsidR="00EF7212">
        <w:t xml:space="preserve">using an NRC </w:t>
      </w:r>
      <w:r w:rsidR="009A44C1" w:rsidRPr="00E6344B">
        <w:t>approved QA program.</w:t>
      </w:r>
      <w:r w:rsidR="004637F9">
        <w:t xml:space="preserve"> The inspectors should verify the following:</w:t>
      </w:r>
    </w:p>
    <w:p w14:paraId="5A29F533" w14:textId="77777777" w:rsidR="00A0469F" w:rsidRPr="00E6344B" w:rsidRDefault="00A0469F" w:rsidP="00347745">
      <w:pPr>
        <w:pStyle w:val="BodyText"/>
        <w:numPr>
          <w:ilvl w:val="1"/>
          <w:numId w:val="7"/>
        </w:numPr>
      </w:pPr>
      <w:r w:rsidRPr="00E6344B">
        <w:lastRenderedPageBreak/>
        <w:t>Verify that the processes or procedures are updated when additional specifications or conditions are added to the license or CoC.</w:t>
      </w:r>
    </w:p>
    <w:p w14:paraId="0B4F939E" w14:textId="714AD1ED" w:rsidR="00A0469F" w:rsidRPr="00E6344B" w:rsidRDefault="00A0469F" w:rsidP="00347745">
      <w:pPr>
        <w:pStyle w:val="BodyText"/>
        <w:numPr>
          <w:ilvl w:val="1"/>
          <w:numId w:val="7"/>
        </w:numPr>
      </w:pPr>
      <w:r w:rsidRPr="00E6344B">
        <w:t>Verify that any modifications made to the AMPs have been properly evaluated against and implemented in accordance with the appropriate change control process (e.g., 10 CFR 72.48 or 10 CFR 50.59). Also verify that the AMP modification process is appropriately incorporated into the licensee’s processes or procedures.</w:t>
      </w:r>
    </w:p>
    <w:p w14:paraId="2D55DAA6" w14:textId="00AAB05F" w:rsidR="00A0469F" w:rsidRPr="00E6344B" w:rsidRDefault="00A0469F" w:rsidP="00347745">
      <w:pPr>
        <w:pStyle w:val="BodyText"/>
        <w:numPr>
          <w:ilvl w:val="1"/>
          <w:numId w:val="7"/>
        </w:numPr>
      </w:pPr>
      <w:r w:rsidRPr="00E6344B">
        <w:t>Verify that the licensee has processes or procedures in place for timely reporting of any inspection or monitoring results that trigger the 10 CFR 72.75 reporting criteria.</w:t>
      </w:r>
    </w:p>
    <w:p w14:paraId="76A5D4F1" w14:textId="18B9C4D7" w:rsidR="00511C5A" w:rsidRPr="00C70934" w:rsidRDefault="00511C5A" w:rsidP="00347745">
      <w:pPr>
        <w:pStyle w:val="BodyText"/>
        <w:numPr>
          <w:ilvl w:val="0"/>
          <w:numId w:val="7"/>
        </w:numPr>
        <w:rPr>
          <w:u w:val="single"/>
        </w:rPr>
      </w:pPr>
      <w:r>
        <w:rPr>
          <w:u w:val="single"/>
        </w:rPr>
        <w:t>Review of Operating Experience.</w:t>
      </w:r>
      <w:r>
        <w:t xml:space="preserve"> </w:t>
      </w:r>
      <w:r w:rsidR="00595BC9">
        <w:t>This element of the AMP</w:t>
      </w:r>
      <w:r w:rsidR="00DD67C8">
        <w:t xml:space="preserve"> provides a reference to and </w:t>
      </w:r>
      <w:r w:rsidR="0081033C">
        <w:t xml:space="preserve">allows the licensees </w:t>
      </w:r>
      <w:r w:rsidR="00E55FFF">
        <w:t xml:space="preserve">to </w:t>
      </w:r>
      <w:r w:rsidR="00DD67C8">
        <w:t xml:space="preserve">evaluate applicable operating experience </w:t>
      </w:r>
      <w:r w:rsidR="005B5779">
        <w:t xml:space="preserve">in the development of the AMP. </w:t>
      </w:r>
      <w:r w:rsidR="001D7820">
        <w:t xml:space="preserve">The </w:t>
      </w:r>
      <w:r w:rsidR="00A2319F">
        <w:t>operating experience element</w:t>
      </w:r>
      <w:r w:rsidR="001D7820" w:rsidRPr="00E6344B">
        <w:t xml:space="preserve"> </w:t>
      </w:r>
      <w:r w:rsidR="007479BD">
        <w:t xml:space="preserve">also </w:t>
      </w:r>
      <w:r w:rsidR="001D7820" w:rsidRPr="00E6344B">
        <w:t>include</w:t>
      </w:r>
      <w:r w:rsidR="00A735F6">
        <w:t>s</w:t>
      </w:r>
      <w:r w:rsidR="001D7820" w:rsidRPr="00E6344B">
        <w:t xml:space="preserve"> provisions to conduct future reviews of operating experience to confirm the effectiveness of AMPs throughout the period of extended operation or identify the need for AMP modifications, as needed. </w:t>
      </w:r>
      <w:r w:rsidR="00EA0525">
        <w:t>This element</w:t>
      </w:r>
      <w:r w:rsidR="001D7820" w:rsidRPr="00E6344B">
        <w:t xml:space="preserve"> supports the determination that </w:t>
      </w:r>
      <w:r w:rsidR="00825707">
        <w:t>the licensee man</w:t>
      </w:r>
      <w:r w:rsidR="00B8279D">
        <w:t xml:space="preserve">aged </w:t>
      </w:r>
      <w:r w:rsidR="001D7820" w:rsidRPr="00E6344B">
        <w:t xml:space="preserve">aging effects such that SSCs continue to be capable of performing their intended </w:t>
      </w:r>
      <w:r w:rsidR="004614C4">
        <w:t xml:space="preserve">design bases </w:t>
      </w:r>
      <w:r w:rsidR="001D7820" w:rsidRPr="00E6344B">
        <w:t>functions.</w:t>
      </w:r>
      <w:r w:rsidR="004614C4">
        <w:t xml:space="preserve"> The inspectors should verify the following</w:t>
      </w:r>
      <w:r w:rsidR="00333995">
        <w:t>:</w:t>
      </w:r>
    </w:p>
    <w:p w14:paraId="72D5F70A" w14:textId="781A626B" w:rsidR="008D7074" w:rsidRDefault="008D7074" w:rsidP="00347745">
      <w:pPr>
        <w:pStyle w:val="BodyText"/>
        <w:numPr>
          <w:ilvl w:val="1"/>
          <w:numId w:val="7"/>
        </w:numPr>
      </w:pPr>
      <w:r w:rsidRPr="00E6344B">
        <w:t xml:space="preserve">Verify that there is a method to collect and assess operating experience </w:t>
      </w:r>
      <w:r w:rsidR="00FE4F42">
        <w:t xml:space="preserve">prior to and </w:t>
      </w:r>
      <w:r w:rsidRPr="00E6344B">
        <w:t>during the period of extended operation</w:t>
      </w:r>
      <w:r w:rsidR="00371C26">
        <w:t xml:space="preserve"> as described in the AMP</w:t>
      </w:r>
      <w:r w:rsidRPr="00E6344B">
        <w:t xml:space="preserve">. If described in the AMPs, ensure that the processes or procedures require that the </w:t>
      </w:r>
      <w:r w:rsidR="003B685F">
        <w:t>AMP</w:t>
      </w:r>
      <w:r w:rsidRPr="00E6344B">
        <w:t xml:space="preserve"> findings </w:t>
      </w:r>
      <w:r w:rsidR="001056D8">
        <w:t>identified as a part of the AMP</w:t>
      </w:r>
      <w:r w:rsidR="0066468E">
        <w:t xml:space="preserve"> that</w:t>
      </w:r>
      <w:r w:rsidR="00571117">
        <w:t xml:space="preserve"> the licensee </w:t>
      </w:r>
      <w:r w:rsidRPr="00E6344B">
        <w:t>report</w:t>
      </w:r>
      <w:r w:rsidR="00571117">
        <w:t xml:space="preserve">s </w:t>
      </w:r>
      <w:r w:rsidR="008F6E01">
        <w:t xml:space="preserve">the results of the inspections </w:t>
      </w:r>
      <w:r w:rsidR="00AB11F5">
        <w:t>to</w:t>
      </w:r>
      <w:r w:rsidRPr="00E6344B">
        <w:t xml:space="preserve"> an operating experience database</w:t>
      </w:r>
      <w:r w:rsidR="00DC000A">
        <w:t xml:space="preserve"> such as </w:t>
      </w:r>
      <w:r w:rsidRPr="00E6344B">
        <w:t>the Aging Management Institute of</w:t>
      </w:r>
      <w:r>
        <w:t xml:space="preserve"> Nuclear Power Operations </w:t>
      </w:r>
      <w:r w:rsidRPr="00E6344B">
        <w:t>Database</w:t>
      </w:r>
      <w:r w:rsidR="00DC000A">
        <w:t xml:space="preserve"> (AMID)</w:t>
      </w:r>
      <w:r w:rsidRPr="00E6344B">
        <w:t xml:space="preserve"> in accordance with that database’s user guidelines</w:t>
      </w:r>
      <w:r w:rsidR="005B064A">
        <w:t xml:space="preserve"> or the licensee’s CAP</w:t>
      </w:r>
      <w:r w:rsidRPr="00E6344B">
        <w:t>.</w:t>
      </w:r>
    </w:p>
    <w:p w14:paraId="268A667D" w14:textId="31F5DE15" w:rsidR="006D1F49" w:rsidRDefault="00B5672A" w:rsidP="00347745">
      <w:pPr>
        <w:pStyle w:val="BodyText"/>
        <w:numPr>
          <w:ilvl w:val="1"/>
          <w:numId w:val="7"/>
        </w:numPr>
      </w:pPr>
      <w:r>
        <w:t xml:space="preserve">The inspectors should verify the accuracy of all data </w:t>
      </w:r>
      <w:r w:rsidR="00A77FC5">
        <w:t>entered</w:t>
      </w:r>
      <w:r w:rsidR="002C77C6">
        <w:t xml:space="preserve"> </w:t>
      </w:r>
      <w:r w:rsidR="00A77FC5">
        <w:t xml:space="preserve">in </w:t>
      </w:r>
      <w:r w:rsidR="00DC000A">
        <w:t>the AMID</w:t>
      </w:r>
      <w:r w:rsidR="00F74A80">
        <w:t>. The inspectors should review all corrective actions related to age related degradation of the DSS and compare the information</w:t>
      </w:r>
      <w:r w:rsidR="001D198D">
        <w:t xml:space="preserve"> to the entries contained in the AMID.</w:t>
      </w:r>
    </w:p>
    <w:p w14:paraId="7672EA46" w14:textId="71968CE0" w:rsidR="00303594" w:rsidRDefault="003945C2" w:rsidP="00347745">
      <w:pPr>
        <w:pStyle w:val="BodyText"/>
        <w:numPr>
          <w:ilvl w:val="1"/>
          <w:numId w:val="7"/>
        </w:numPr>
      </w:pPr>
      <w:r>
        <w:t xml:space="preserve">Verify that there are processes or procedures for implementing periodic operating experience assessments </w:t>
      </w:r>
      <w:r w:rsidR="008E6765">
        <w:t>(sometimes referred to as “tollgates”)</w:t>
      </w:r>
      <w:r w:rsidR="001F60C3">
        <w:t xml:space="preserve"> throughout the period of extended operation</w:t>
      </w:r>
      <w:r w:rsidR="00EC1247">
        <w:t>, as described in the AMPs</w:t>
      </w:r>
      <w:r w:rsidR="00F475A9">
        <w:t>.</w:t>
      </w:r>
    </w:p>
    <w:p w14:paraId="72FCA866" w14:textId="387A1038" w:rsidR="00294E28" w:rsidRPr="00F5748A" w:rsidRDefault="009B1337" w:rsidP="004E2B40">
      <w:pPr>
        <w:pStyle w:val="Heading1"/>
      </w:pPr>
      <w:r>
        <w:t>60859-0</w:t>
      </w:r>
      <w:r w:rsidR="004149A5">
        <w:t>5</w:t>
      </w:r>
      <w:r>
        <w:tab/>
      </w:r>
      <w:r w:rsidR="00294E28" w:rsidRPr="00F5748A">
        <w:t>RE</w:t>
      </w:r>
      <w:r w:rsidR="00F01575">
        <w:t>SOURCE</w:t>
      </w:r>
      <w:r>
        <w:t xml:space="preserve"> ESTIMATES</w:t>
      </w:r>
    </w:p>
    <w:p w14:paraId="6E28AE2E" w14:textId="652F10FE" w:rsidR="0011237D" w:rsidRDefault="0011237D" w:rsidP="0046439F">
      <w:pPr>
        <w:pStyle w:val="BodyText"/>
      </w:pPr>
      <w:r w:rsidRPr="00465DFA">
        <w:t>License renewal inspection activities will require approximately</w:t>
      </w:r>
      <w:r w:rsidR="001B53FF">
        <w:t xml:space="preserve"> </w:t>
      </w:r>
      <w:r w:rsidR="00633A73">
        <w:t>8</w:t>
      </w:r>
      <w:r w:rsidR="00532095">
        <w:t xml:space="preserve">0 </w:t>
      </w:r>
      <w:r w:rsidR="007925AB">
        <w:t xml:space="preserve">to 100 </w:t>
      </w:r>
      <w:r w:rsidR="00532095">
        <w:t>hours</w:t>
      </w:r>
      <w:r w:rsidR="00B10586">
        <w:t xml:space="preserve"> </w:t>
      </w:r>
      <w:r w:rsidR="00F3709A">
        <w:t xml:space="preserve">for </w:t>
      </w:r>
      <w:r w:rsidR="00B21796">
        <w:t xml:space="preserve">direct </w:t>
      </w:r>
      <w:r w:rsidRPr="00465DFA">
        <w:t>inspection</w:t>
      </w:r>
      <w:r w:rsidR="00B21796">
        <w:t xml:space="preserve"> and </w:t>
      </w:r>
      <w:r w:rsidR="00E859CC">
        <w:t xml:space="preserve">80 hours </w:t>
      </w:r>
      <w:r w:rsidR="00343919">
        <w:t>for</w:t>
      </w:r>
      <w:r w:rsidR="00E859CC">
        <w:t xml:space="preserve"> preparation and documentation for a</w:t>
      </w:r>
      <w:r w:rsidR="005B62B8">
        <w:t>n estimated</w:t>
      </w:r>
      <w:r w:rsidR="00E859CC">
        <w:t xml:space="preserve"> total</w:t>
      </w:r>
      <w:r w:rsidR="00F3709A">
        <w:t xml:space="preserve"> of 1</w:t>
      </w:r>
      <w:r w:rsidR="007925AB">
        <w:t>8</w:t>
      </w:r>
      <w:r w:rsidR="00F3709A">
        <w:t>0 hours</w:t>
      </w:r>
      <w:r w:rsidR="002D1185">
        <w:t>.</w:t>
      </w:r>
      <w:r w:rsidR="00F3709A">
        <w:t xml:space="preserve"> </w:t>
      </w:r>
      <w:r w:rsidR="000D7C95">
        <w:t xml:space="preserve">The inspection hours for </w:t>
      </w:r>
      <w:r w:rsidR="00343919">
        <w:t>on</w:t>
      </w:r>
      <w:r w:rsidRPr="00465DFA">
        <w:t xml:space="preserve">site </w:t>
      </w:r>
      <w:r w:rsidR="003A3CAD">
        <w:t xml:space="preserve">reviews </w:t>
      </w:r>
      <w:r w:rsidR="00767BC6">
        <w:t>should consist</w:t>
      </w:r>
      <w:r w:rsidRPr="00465DFA">
        <w:t xml:space="preserve"> </w:t>
      </w:r>
      <w:r w:rsidR="00EA0EA0">
        <w:t xml:space="preserve">of a </w:t>
      </w:r>
      <w:r w:rsidRPr="00465DFA">
        <w:t xml:space="preserve">team of </w:t>
      </w:r>
      <w:r w:rsidR="00D51F11">
        <w:t xml:space="preserve">two </w:t>
      </w:r>
      <w:r w:rsidR="000D6DE6">
        <w:t xml:space="preserve">to three </w:t>
      </w:r>
      <w:r w:rsidR="00D51F11">
        <w:t>inspectors</w:t>
      </w:r>
      <w:r w:rsidR="004245BB">
        <w:t xml:space="preserve">, with </w:t>
      </w:r>
      <w:r w:rsidR="00A369DE">
        <w:t xml:space="preserve">one of </w:t>
      </w:r>
      <w:r w:rsidR="004245BB">
        <w:t>the inspectors</w:t>
      </w:r>
      <w:r w:rsidR="00351799">
        <w:t xml:space="preserve"> </w:t>
      </w:r>
      <w:r w:rsidR="00A369DE">
        <w:t xml:space="preserve">acting </w:t>
      </w:r>
      <w:r w:rsidR="00351799">
        <w:t>as</w:t>
      </w:r>
      <w:r w:rsidRPr="00465DFA">
        <w:t xml:space="preserve"> </w:t>
      </w:r>
      <w:r w:rsidR="00351799">
        <w:t xml:space="preserve">a </w:t>
      </w:r>
      <w:r w:rsidRPr="00465DFA">
        <w:t xml:space="preserve">team leader. </w:t>
      </w:r>
      <w:r w:rsidR="00A369DE">
        <w:t>A</w:t>
      </w:r>
      <w:r w:rsidRPr="00465DFA">
        <w:t xml:space="preserve">dditional </w:t>
      </w:r>
      <w:r w:rsidR="009F0A7A">
        <w:t>hours</w:t>
      </w:r>
      <w:r w:rsidRPr="00465DFA">
        <w:t xml:space="preserve"> </w:t>
      </w:r>
      <w:r w:rsidR="00D7382A">
        <w:t xml:space="preserve">can be </w:t>
      </w:r>
      <w:r w:rsidRPr="00465DFA">
        <w:t xml:space="preserve">allocated </w:t>
      </w:r>
      <w:r w:rsidR="004D0877">
        <w:t xml:space="preserve">as necessary </w:t>
      </w:r>
      <w:r w:rsidR="00A24FB3">
        <w:t xml:space="preserve">for </w:t>
      </w:r>
      <w:r w:rsidRPr="00465DFA">
        <w:t>in</w:t>
      </w:r>
      <w:r w:rsidRPr="00465DFA">
        <w:noBreakHyphen/>
        <w:t>office</w:t>
      </w:r>
      <w:r w:rsidR="004D0877">
        <w:t xml:space="preserve"> </w:t>
      </w:r>
      <w:r w:rsidR="00317E36" w:rsidRPr="00465DFA">
        <w:t>inspection preparation</w:t>
      </w:r>
      <w:r w:rsidR="00317E36">
        <w:t xml:space="preserve"> </w:t>
      </w:r>
      <w:r w:rsidR="00A24FB3">
        <w:t>prior to</w:t>
      </w:r>
      <w:r w:rsidRPr="00465DFA">
        <w:t xml:space="preserve"> </w:t>
      </w:r>
      <w:r w:rsidR="00A24FB3">
        <w:t xml:space="preserve">the </w:t>
      </w:r>
      <w:r w:rsidRPr="00465DFA">
        <w:t>onsite week, and for documentation of the inspection results.</w:t>
      </w:r>
    </w:p>
    <w:p w14:paraId="72FCA872" w14:textId="0B150C23" w:rsidR="001E4625" w:rsidRPr="00F5748A" w:rsidRDefault="001E4625" w:rsidP="0046439F">
      <w:pPr>
        <w:pStyle w:val="Heading1"/>
      </w:pPr>
      <w:r w:rsidRPr="00F5748A">
        <w:t>60859-0</w:t>
      </w:r>
      <w:r w:rsidR="00EE7798">
        <w:t>6</w:t>
      </w:r>
      <w:r w:rsidRPr="00F5748A">
        <w:tab/>
        <w:t>REFERENCES</w:t>
      </w:r>
    </w:p>
    <w:p w14:paraId="72FCA874" w14:textId="69863A59" w:rsidR="00294E28" w:rsidRPr="001731B2" w:rsidRDefault="009B1337" w:rsidP="00CF4D30">
      <w:pPr>
        <w:pStyle w:val="BodyText"/>
      </w:pPr>
      <w:r>
        <w:t>10 CFR Part 72, “</w:t>
      </w:r>
      <w:r w:rsidR="008E22B2" w:rsidRPr="00F5748A">
        <w:t>Licensing Requirements for the Independent S</w:t>
      </w:r>
      <w:r w:rsidR="008E22B2">
        <w:t>torage of Spent Nuclear Fuel,</w:t>
      </w:r>
      <w:r w:rsidR="008E22B2" w:rsidRPr="00F5748A">
        <w:t xml:space="preserve"> High-Level Radioactive Waste, and Reactor-Related Greater Than Class C Waste</w:t>
      </w:r>
      <w:r w:rsidR="00820085">
        <w:t>.</w:t>
      </w:r>
      <w:r w:rsidR="001731B2">
        <w:t>”</w:t>
      </w:r>
    </w:p>
    <w:p w14:paraId="72FCA876" w14:textId="59ABBEC2" w:rsidR="001731B2" w:rsidRPr="001731B2" w:rsidRDefault="001731B2" w:rsidP="00CF4D30">
      <w:pPr>
        <w:pStyle w:val="BodyText"/>
      </w:pPr>
      <w:r>
        <w:lastRenderedPageBreak/>
        <w:t xml:space="preserve">NUREG-1927, </w:t>
      </w:r>
      <w:r w:rsidRPr="001731B2">
        <w:t>“Standard Review Plan for Renewal of Spent Fuel Dry Cask Storage</w:t>
      </w:r>
      <w:r>
        <w:t xml:space="preserve"> </w:t>
      </w:r>
      <w:r w:rsidRPr="001731B2">
        <w:t>System Licenses an</w:t>
      </w:r>
      <w:r>
        <w:t>d Certificates of Compliance</w:t>
      </w:r>
      <w:r w:rsidR="009B1337">
        <w:t>,</w:t>
      </w:r>
      <w:r>
        <w:t>”</w:t>
      </w:r>
      <w:r w:rsidR="009B1337">
        <w:t xml:space="preserve"> Revision 1, June 2016</w:t>
      </w:r>
    </w:p>
    <w:p w14:paraId="387BC25E" w14:textId="0FD8054D" w:rsidR="005932AD" w:rsidRDefault="005932AD" w:rsidP="00CF4D30">
      <w:pPr>
        <w:pStyle w:val="BodyText"/>
      </w:pPr>
      <w:r>
        <w:t>NUREG</w:t>
      </w:r>
      <w:r w:rsidR="008C75B8">
        <w:t>-2214, “Managing Aging Processes in Storage</w:t>
      </w:r>
      <w:r w:rsidR="002D1FB0">
        <w:t xml:space="preserve"> (MAPS) Report,” </w:t>
      </w:r>
      <w:r w:rsidR="00F1393F">
        <w:t xml:space="preserve">Revision </w:t>
      </w:r>
      <w:r w:rsidR="002C77C6">
        <w:t>0</w:t>
      </w:r>
      <w:r w:rsidR="0000200B">
        <w:t>, March 2019</w:t>
      </w:r>
    </w:p>
    <w:p w14:paraId="7E2F704A" w14:textId="7066AE64" w:rsidR="00F4448D" w:rsidRDefault="00F4448D" w:rsidP="00CF4D30">
      <w:pPr>
        <w:pStyle w:val="BodyText"/>
      </w:pPr>
      <w:r>
        <w:t>NUREG-2215, “Standard Review Plan</w:t>
      </w:r>
      <w:r w:rsidR="00ED11E0">
        <w:t xml:space="preserve"> for Spent Fuel Dry Storage Systems and Facilities</w:t>
      </w:r>
      <w:r w:rsidR="009E3BBA">
        <w:t>,” Revision</w:t>
      </w:r>
      <w:r w:rsidR="00ED11E0">
        <w:t xml:space="preserve"> </w:t>
      </w:r>
      <w:r w:rsidR="003613BE">
        <w:t>0, April 2020</w:t>
      </w:r>
    </w:p>
    <w:p w14:paraId="72FCA878" w14:textId="73791432" w:rsidR="001731B2" w:rsidRPr="001731B2" w:rsidRDefault="001731B2" w:rsidP="00CF4D30">
      <w:pPr>
        <w:pStyle w:val="BodyText"/>
      </w:pPr>
      <w:r w:rsidRPr="001731B2">
        <w:t>NUREG/CR-6407, “Classification of Transportation Packaging and Dry Spent Fuel Storage System Components Ac</w:t>
      </w:r>
      <w:r>
        <w:t>cording to Importance to Safety</w:t>
      </w:r>
      <w:r w:rsidR="00720AD1">
        <w:t>,</w:t>
      </w:r>
      <w:r w:rsidRPr="001731B2">
        <w:t>”</w:t>
      </w:r>
      <w:r w:rsidR="00720AD1">
        <w:t xml:space="preserve"> </w:t>
      </w:r>
      <w:r w:rsidR="0020139C">
        <w:t xml:space="preserve">January </w:t>
      </w:r>
      <w:r w:rsidR="00A44E94">
        <w:t>1996</w:t>
      </w:r>
    </w:p>
    <w:p w14:paraId="72FCA87A" w14:textId="2B89B33F" w:rsidR="001731B2" w:rsidRDefault="00E855CC" w:rsidP="00CF4D30">
      <w:pPr>
        <w:pStyle w:val="BodyText"/>
      </w:pPr>
      <w:r>
        <w:t>U.S. Nuclear Regulatory Commission, Regulatory Guide 3.</w:t>
      </w:r>
      <w:r w:rsidR="007B362A">
        <w:t>7</w:t>
      </w:r>
      <w:r>
        <w:t>6</w:t>
      </w:r>
      <w:r w:rsidR="002E7E4E">
        <w:t>, “</w:t>
      </w:r>
      <w:r w:rsidR="00B172AA">
        <w:t xml:space="preserve">Implementation of Aging Management Requirements for Spent </w:t>
      </w:r>
      <w:r w:rsidR="00EB5FDA">
        <w:t>Fuel Storage Renew</w:t>
      </w:r>
      <w:r w:rsidR="008D1EEA">
        <w:t>als,” Revision 0</w:t>
      </w:r>
    </w:p>
    <w:p w14:paraId="491E0C6D" w14:textId="0708B6AE" w:rsidR="002E7E4E" w:rsidRDefault="002E7E4E" w:rsidP="00CF4D30">
      <w:pPr>
        <w:pStyle w:val="BodyText"/>
      </w:pPr>
      <w:r>
        <w:t>Nuclear Ene</w:t>
      </w:r>
      <w:r w:rsidR="00D27D1C">
        <w:t>rgy Institute</w:t>
      </w:r>
      <w:r w:rsidR="00E662AE">
        <w:t xml:space="preserve"> 14</w:t>
      </w:r>
      <w:r w:rsidR="00175081">
        <w:t>-03</w:t>
      </w:r>
      <w:r w:rsidR="00D27D1C">
        <w:t>, “</w:t>
      </w:r>
      <w:r w:rsidR="00EA440C">
        <w:t xml:space="preserve">Format, Content and Implementation Guidance for </w:t>
      </w:r>
      <w:r w:rsidR="00C8151E">
        <w:t xml:space="preserve">Dry Cask Storage Operations-Based Aging Management,” </w:t>
      </w:r>
      <w:r w:rsidR="00B57D15">
        <w:t xml:space="preserve">Revision 2, </w:t>
      </w:r>
      <w:r w:rsidR="00175081">
        <w:t>December 2016</w:t>
      </w:r>
    </w:p>
    <w:p w14:paraId="72FCA87C" w14:textId="77777777" w:rsidR="00C93DFD" w:rsidRPr="00F5748A" w:rsidRDefault="0049758C" w:rsidP="004E2B40">
      <w:pPr>
        <w:pStyle w:val="END"/>
        <w:rPr>
          <w:rFonts w:eastAsiaTheme="majorEastAsia"/>
        </w:rPr>
        <w:sectPr w:rsidR="00C93DFD" w:rsidRPr="00F5748A" w:rsidSect="009717F9">
          <w:footerReference w:type="default" r:id="rId11"/>
          <w:type w:val="continuous"/>
          <w:pgSz w:w="12240" w:h="15840"/>
          <w:pgMar w:top="1440" w:right="1440" w:bottom="1440" w:left="1440" w:header="720" w:footer="720" w:gutter="0"/>
          <w:cols w:space="720"/>
          <w:noEndnote/>
          <w:docGrid w:linePitch="299"/>
        </w:sectPr>
      </w:pPr>
      <w:r>
        <w:t>END</w:t>
      </w:r>
    </w:p>
    <w:p w14:paraId="72FCA87F" w14:textId="79A83D4E" w:rsidR="00C93DFD" w:rsidRPr="001C75A1" w:rsidRDefault="00C93DFD" w:rsidP="001C75A1">
      <w:pPr>
        <w:pStyle w:val="attachmenttitle"/>
      </w:pPr>
      <w:r w:rsidRPr="00F5748A">
        <w:lastRenderedPageBreak/>
        <w:t>A</w:t>
      </w:r>
      <w:r w:rsidR="001C75A1">
        <w:t>ttachment</w:t>
      </w:r>
      <w:r w:rsidRPr="00F5748A">
        <w:t xml:space="preserve"> 1</w:t>
      </w:r>
      <w:r w:rsidR="001C75A1">
        <w:t xml:space="preserve"> </w:t>
      </w:r>
      <w:r w:rsidR="007E0773" w:rsidRPr="001C75A1">
        <w:t>Revision History for IP 60859</w:t>
      </w:r>
    </w:p>
    <w:p w14:paraId="72FCA881" w14:textId="77777777" w:rsidR="00C93DFD" w:rsidRPr="00F5748A" w:rsidRDefault="00C93DFD" w:rsidP="00BE3D1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tbl>
      <w:tblPr>
        <w:tblW w:w="13461" w:type="dxa"/>
        <w:tblInd w:w="120" w:type="dxa"/>
        <w:tblLayout w:type="fixed"/>
        <w:tblCellMar>
          <w:left w:w="120" w:type="dxa"/>
          <w:right w:w="120" w:type="dxa"/>
        </w:tblCellMar>
        <w:tblLook w:val="0020" w:firstRow="1" w:lastRow="0" w:firstColumn="0" w:lastColumn="0" w:noHBand="0" w:noVBand="0"/>
      </w:tblPr>
      <w:tblGrid>
        <w:gridCol w:w="1491"/>
        <w:gridCol w:w="2160"/>
        <w:gridCol w:w="4320"/>
        <w:gridCol w:w="2919"/>
        <w:gridCol w:w="2571"/>
      </w:tblGrid>
      <w:tr w:rsidR="009B5A93" w:rsidRPr="009B5A93" w14:paraId="1BC9414B" w14:textId="77777777" w:rsidTr="00D64ABF">
        <w:trPr>
          <w:tblHeader/>
        </w:trPr>
        <w:tc>
          <w:tcPr>
            <w:tcW w:w="14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D2E83A" w14:textId="77777777" w:rsidR="009B5A93" w:rsidRPr="009B5A93" w:rsidRDefault="009B5A93" w:rsidP="009B5A93">
            <w:pPr>
              <w:tabs>
                <w:tab w:val="left" w:pos="244"/>
                <w:tab w:val="left" w:pos="848"/>
                <w:tab w:val="left" w:pos="1440"/>
                <w:tab w:val="left" w:pos="2074"/>
                <w:tab w:val="left" w:pos="2660"/>
                <w:tab w:val="left" w:pos="3240"/>
                <w:tab w:val="left" w:pos="3874"/>
                <w:tab w:val="left" w:pos="4472"/>
                <w:tab w:val="left" w:pos="5076"/>
                <w:tab w:val="left" w:pos="5674"/>
                <w:tab w:val="left" w:pos="6307"/>
                <w:tab w:val="left" w:pos="6888"/>
                <w:tab w:val="left" w:pos="7474"/>
                <w:tab w:val="left" w:pos="8107"/>
                <w:tab w:val="left" w:pos="8700"/>
                <w:tab w:val="left" w:pos="9304"/>
                <w:tab w:val="left" w:pos="9908"/>
                <w:tab w:val="left" w:pos="10512"/>
                <w:tab w:val="left" w:pos="11116"/>
                <w:tab w:val="left" w:pos="11720"/>
                <w:tab w:val="left" w:pos="12324"/>
                <w:tab w:val="left" w:pos="12928"/>
              </w:tabs>
            </w:pPr>
            <w:r w:rsidRPr="009B5A93">
              <w:t>Commitment Tracking Number</w:t>
            </w:r>
          </w:p>
        </w:tc>
        <w:tc>
          <w:tcPr>
            <w:tcW w:w="216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023F24E" w14:textId="77777777" w:rsidR="009B5A93" w:rsidRPr="009B5A93" w:rsidRDefault="009B5A93" w:rsidP="009B5A93">
            <w:pPr>
              <w:tabs>
                <w:tab w:val="left" w:pos="244"/>
                <w:tab w:val="left" w:pos="848"/>
                <w:tab w:val="left" w:pos="1440"/>
                <w:tab w:val="left" w:pos="2074"/>
                <w:tab w:val="left" w:pos="2660"/>
                <w:tab w:val="left" w:pos="3240"/>
                <w:tab w:val="left" w:pos="3874"/>
                <w:tab w:val="left" w:pos="4472"/>
                <w:tab w:val="left" w:pos="5076"/>
                <w:tab w:val="left" w:pos="5674"/>
                <w:tab w:val="left" w:pos="6307"/>
                <w:tab w:val="left" w:pos="6888"/>
                <w:tab w:val="left" w:pos="7474"/>
                <w:tab w:val="left" w:pos="8107"/>
                <w:tab w:val="left" w:pos="8700"/>
                <w:tab w:val="left" w:pos="9304"/>
                <w:tab w:val="left" w:pos="9908"/>
                <w:tab w:val="left" w:pos="10512"/>
                <w:tab w:val="left" w:pos="11116"/>
                <w:tab w:val="left" w:pos="11720"/>
                <w:tab w:val="left" w:pos="12324"/>
                <w:tab w:val="left" w:pos="12928"/>
              </w:tabs>
            </w:pPr>
            <w:r w:rsidRPr="009B5A93">
              <w:t>Accession Number</w:t>
            </w:r>
          </w:p>
          <w:p w14:paraId="1E137048" w14:textId="77777777" w:rsidR="009B5A93" w:rsidRPr="009B5A93" w:rsidRDefault="009B5A93" w:rsidP="009B5A93">
            <w:pPr>
              <w:tabs>
                <w:tab w:val="left" w:pos="244"/>
                <w:tab w:val="left" w:pos="848"/>
                <w:tab w:val="left" w:pos="1440"/>
                <w:tab w:val="left" w:pos="2074"/>
                <w:tab w:val="left" w:pos="2660"/>
                <w:tab w:val="left" w:pos="3240"/>
                <w:tab w:val="left" w:pos="3874"/>
                <w:tab w:val="left" w:pos="4472"/>
                <w:tab w:val="left" w:pos="5076"/>
                <w:tab w:val="left" w:pos="5674"/>
                <w:tab w:val="left" w:pos="6307"/>
                <w:tab w:val="left" w:pos="6888"/>
                <w:tab w:val="left" w:pos="7474"/>
                <w:tab w:val="left" w:pos="8107"/>
                <w:tab w:val="left" w:pos="8700"/>
                <w:tab w:val="left" w:pos="9304"/>
                <w:tab w:val="left" w:pos="9908"/>
                <w:tab w:val="left" w:pos="10512"/>
                <w:tab w:val="left" w:pos="11116"/>
                <w:tab w:val="left" w:pos="11720"/>
                <w:tab w:val="left" w:pos="12324"/>
                <w:tab w:val="left" w:pos="12928"/>
              </w:tabs>
            </w:pPr>
            <w:r w:rsidRPr="009B5A93">
              <w:t>Issue Date</w:t>
            </w:r>
          </w:p>
          <w:p w14:paraId="6AC73ABE" w14:textId="77777777" w:rsidR="009B5A93" w:rsidRPr="009B5A93" w:rsidRDefault="009B5A93" w:rsidP="009B5A93">
            <w:pPr>
              <w:tabs>
                <w:tab w:val="left" w:pos="244"/>
                <w:tab w:val="left" w:pos="848"/>
                <w:tab w:val="left" w:pos="1440"/>
                <w:tab w:val="left" w:pos="2074"/>
                <w:tab w:val="left" w:pos="2660"/>
                <w:tab w:val="left" w:pos="3240"/>
                <w:tab w:val="left" w:pos="3874"/>
                <w:tab w:val="left" w:pos="4472"/>
                <w:tab w:val="left" w:pos="5076"/>
                <w:tab w:val="left" w:pos="5674"/>
                <w:tab w:val="left" w:pos="6307"/>
                <w:tab w:val="left" w:pos="6888"/>
                <w:tab w:val="left" w:pos="7474"/>
                <w:tab w:val="left" w:pos="8107"/>
                <w:tab w:val="left" w:pos="8700"/>
                <w:tab w:val="left" w:pos="9304"/>
                <w:tab w:val="left" w:pos="9908"/>
                <w:tab w:val="left" w:pos="10512"/>
                <w:tab w:val="left" w:pos="11116"/>
                <w:tab w:val="left" w:pos="11720"/>
                <w:tab w:val="left" w:pos="12324"/>
                <w:tab w:val="left" w:pos="12928"/>
              </w:tabs>
            </w:pPr>
            <w:r w:rsidRPr="009B5A93">
              <w:t>Change Notice</w:t>
            </w:r>
          </w:p>
        </w:tc>
        <w:tc>
          <w:tcPr>
            <w:tcW w:w="43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8257AE3" w14:textId="77777777" w:rsidR="009B5A93" w:rsidRPr="009B5A93" w:rsidRDefault="009B5A93" w:rsidP="009B5A93">
            <w:pPr>
              <w:tabs>
                <w:tab w:val="left" w:pos="244"/>
                <w:tab w:val="left" w:pos="848"/>
                <w:tab w:val="left" w:pos="1440"/>
                <w:tab w:val="left" w:pos="2074"/>
                <w:tab w:val="left" w:pos="2660"/>
                <w:tab w:val="left" w:pos="3240"/>
                <w:tab w:val="left" w:pos="3874"/>
                <w:tab w:val="left" w:pos="4472"/>
                <w:tab w:val="left" w:pos="5076"/>
                <w:tab w:val="left" w:pos="5674"/>
                <w:tab w:val="left" w:pos="6307"/>
                <w:tab w:val="left" w:pos="6888"/>
                <w:tab w:val="left" w:pos="7474"/>
                <w:tab w:val="left" w:pos="8107"/>
                <w:tab w:val="left" w:pos="8700"/>
                <w:tab w:val="left" w:pos="9304"/>
                <w:tab w:val="left" w:pos="9908"/>
                <w:tab w:val="left" w:pos="10512"/>
                <w:tab w:val="left" w:pos="11116"/>
                <w:tab w:val="left" w:pos="11720"/>
                <w:tab w:val="left" w:pos="12324"/>
                <w:tab w:val="left" w:pos="12928"/>
              </w:tabs>
            </w:pPr>
            <w:r w:rsidRPr="009B5A93">
              <w:t>Description of Change</w:t>
            </w:r>
          </w:p>
        </w:tc>
        <w:tc>
          <w:tcPr>
            <w:tcW w:w="291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0E85E02" w14:textId="77777777" w:rsidR="009B5A93" w:rsidRPr="009B5A93" w:rsidRDefault="009B5A93" w:rsidP="009B5A93">
            <w:pPr>
              <w:tabs>
                <w:tab w:val="left" w:pos="244"/>
                <w:tab w:val="left" w:pos="848"/>
                <w:tab w:val="left" w:pos="1440"/>
                <w:tab w:val="left" w:pos="2074"/>
                <w:tab w:val="left" w:pos="2660"/>
                <w:tab w:val="left" w:pos="3240"/>
                <w:tab w:val="left" w:pos="3874"/>
                <w:tab w:val="left" w:pos="4472"/>
                <w:tab w:val="left" w:pos="5076"/>
                <w:tab w:val="left" w:pos="5674"/>
                <w:tab w:val="left" w:pos="6307"/>
                <w:tab w:val="left" w:pos="6888"/>
                <w:tab w:val="left" w:pos="7474"/>
                <w:tab w:val="left" w:pos="8107"/>
                <w:tab w:val="left" w:pos="8700"/>
                <w:tab w:val="left" w:pos="9304"/>
                <w:tab w:val="left" w:pos="9908"/>
                <w:tab w:val="left" w:pos="10512"/>
                <w:tab w:val="left" w:pos="11116"/>
                <w:tab w:val="left" w:pos="11720"/>
                <w:tab w:val="left" w:pos="12324"/>
                <w:tab w:val="left" w:pos="12928"/>
              </w:tabs>
            </w:pPr>
            <w:r w:rsidRPr="009B5A93">
              <w:t>Description of Training Required Completion Date</w:t>
            </w:r>
          </w:p>
        </w:tc>
        <w:tc>
          <w:tcPr>
            <w:tcW w:w="257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D6B6331" w14:textId="75868C99" w:rsidR="009B5A93" w:rsidRPr="009B5A93" w:rsidRDefault="009B5A93" w:rsidP="009B5A93">
            <w:pPr>
              <w:tabs>
                <w:tab w:val="left" w:pos="244"/>
                <w:tab w:val="left" w:pos="848"/>
                <w:tab w:val="left" w:pos="1440"/>
                <w:tab w:val="left" w:pos="2074"/>
                <w:tab w:val="left" w:pos="2660"/>
                <w:tab w:val="left" w:pos="3240"/>
                <w:tab w:val="left" w:pos="3874"/>
                <w:tab w:val="left" w:pos="4472"/>
                <w:tab w:val="left" w:pos="5076"/>
                <w:tab w:val="left" w:pos="5674"/>
                <w:tab w:val="left" w:pos="6307"/>
                <w:tab w:val="left" w:pos="6888"/>
                <w:tab w:val="left" w:pos="7474"/>
                <w:tab w:val="left" w:pos="8107"/>
                <w:tab w:val="left" w:pos="8700"/>
                <w:tab w:val="left" w:pos="9304"/>
                <w:tab w:val="left" w:pos="9908"/>
                <w:tab w:val="left" w:pos="10512"/>
                <w:tab w:val="left" w:pos="11116"/>
                <w:tab w:val="left" w:pos="11720"/>
                <w:tab w:val="left" w:pos="12324"/>
                <w:tab w:val="left" w:pos="12928"/>
              </w:tabs>
            </w:pPr>
            <w:r w:rsidRPr="009B5A93">
              <w:t>Comment Resolution and Closed Feedback Form Accession Number (Pre</w:t>
            </w:r>
            <w:r w:rsidR="00DD65C1">
              <w:noBreakHyphen/>
            </w:r>
            <w:r w:rsidRPr="009B5A93">
              <w:t xml:space="preserve">Decisional, </w:t>
            </w:r>
            <w:proofErr w:type="gramStart"/>
            <w:r w:rsidRPr="009B5A93">
              <w:t>Non</w:t>
            </w:r>
            <w:proofErr w:type="gramEnd"/>
            <w:r w:rsidR="00DD65C1">
              <w:noBreakHyphen/>
            </w:r>
            <w:r w:rsidRPr="009B5A93">
              <w:t>Public Information)</w:t>
            </w:r>
          </w:p>
        </w:tc>
      </w:tr>
      <w:tr w:rsidR="009B5A93" w:rsidRPr="009B5A93" w14:paraId="1A13A0DE" w14:textId="77777777" w:rsidTr="00D64ABF">
        <w:tc>
          <w:tcPr>
            <w:tcW w:w="14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56CC891" w14:textId="77777777" w:rsidR="009B5A93" w:rsidRPr="009B5A93" w:rsidRDefault="009B5A93" w:rsidP="009B5A93">
            <w:pPr>
              <w:tabs>
                <w:tab w:val="left" w:pos="244"/>
                <w:tab w:val="left" w:pos="848"/>
                <w:tab w:val="left" w:pos="1440"/>
                <w:tab w:val="left" w:pos="2074"/>
                <w:tab w:val="left" w:pos="2660"/>
                <w:tab w:val="left" w:pos="3240"/>
                <w:tab w:val="left" w:pos="3874"/>
                <w:tab w:val="left" w:pos="4472"/>
                <w:tab w:val="left" w:pos="5076"/>
                <w:tab w:val="left" w:pos="5674"/>
                <w:tab w:val="left" w:pos="6307"/>
                <w:tab w:val="left" w:pos="6888"/>
                <w:tab w:val="left" w:pos="7474"/>
                <w:tab w:val="left" w:pos="8107"/>
                <w:tab w:val="left" w:pos="8700"/>
                <w:tab w:val="left" w:pos="9304"/>
                <w:tab w:val="left" w:pos="9908"/>
                <w:tab w:val="left" w:pos="10512"/>
                <w:tab w:val="left" w:pos="11116"/>
                <w:tab w:val="left" w:pos="11720"/>
                <w:tab w:val="left" w:pos="12324"/>
                <w:tab w:val="left" w:pos="12928"/>
              </w:tabs>
            </w:pPr>
            <w:r w:rsidRPr="009B5A93">
              <w:t>N/A</w:t>
            </w:r>
          </w:p>
        </w:tc>
        <w:tc>
          <w:tcPr>
            <w:tcW w:w="216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9571C25" w14:textId="6F68A9EF" w:rsidR="009B5A93" w:rsidRPr="009B5A93" w:rsidRDefault="009B5A93" w:rsidP="009B5A93">
            <w:pPr>
              <w:tabs>
                <w:tab w:val="left" w:pos="244"/>
                <w:tab w:val="left" w:pos="848"/>
                <w:tab w:val="left" w:pos="1440"/>
                <w:tab w:val="left" w:pos="2074"/>
                <w:tab w:val="left" w:pos="2660"/>
                <w:tab w:val="left" w:pos="3240"/>
                <w:tab w:val="left" w:pos="3874"/>
                <w:tab w:val="left" w:pos="4472"/>
                <w:tab w:val="left" w:pos="5076"/>
                <w:tab w:val="left" w:pos="5674"/>
                <w:tab w:val="left" w:pos="6307"/>
                <w:tab w:val="left" w:pos="6888"/>
                <w:tab w:val="left" w:pos="7474"/>
                <w:tab w:val="left" w:pos="8107"/>
                <w:tab w:val="left" w:pos="8700"/>
                <w:tab w:val="left" w:pos="9304"/>
                <w:tab w:val="left" w:pos="9908"/>
                <w:tab w:val="left" w:pos="10512"/>
                <w:tab w:val="left" w:pos="11116"/>
                <w:tab w:val="left" w:pos="11720"/>
                <w:tab w:val="left" w:pos="12324"/>
                <w:tab w:val="left" w:pos="12928"/>
              </w:tabs>
            </w:pPr>
            <w:r w:rsidRPr="009B5A93">
              <w:t>ML</w:t>
            </w:r>
            <w:r w:rsidR="008D209F">
              <w:t>24177A317</w:t>
            </w:r>
          </w:p>
          <w:p w14:paraId="7DDFA8FE" w14:textId="7D77CE0C" w:rsidR="009B5A93" w:rsidRPr="009B5A93" w:rsidRDefault="00667546" w:rsidP="009B5A93">
            <w:pPr>
              <w:tabs>
                <w:tab w:val="left" w:pos="244"/>
                <w:tab w:val="left" w:pos="848"/>
                <w:tab w:val="left" w:pos="1440"/>
                <w:tab w:val="left" w:pos="2074"/>
                <w:tab w:val="left" w:pos="2660"/>
                <w:tab w:val="left" w:pos="3240"/>
                <w:tab w:val="left" w:pos="3874"/>
                <w:tab w:val="left" w:pos="4472"/>
                <w:tab w:val="left" w:pos="5076"/>
                <w:tab w:val="left" w:pos="5674"/>
                <w:tab w:val="left" w:pos="6307"/>
                <w:tab w:val="left" w:pos="6888"/>
                <w:tab w:val="left" w:pos="7474"/>
                <w:tab w:val="left" w:pos="8107"/>
                <w:tab w:val="left" w:pos="8700"/>
                <w:tab w:val="left" w:pos="9304"/>
                <w:tab w:val="left" w:pos="9908"/>
                <w:tab w:val="left" w:pos="10512"/>
                <w:tab w:val="left" w:pos="11116"/>
                <w:tab w:val="left" w:pos="11720"/>
                <w:tab w:val="left" w:pos="12324"/>
                <w:tab w:val="left" w:pos="12928"/>
              </w:tabs>
            </w:pPr>
            <w:r>
              <w:t>09/11/</w:t>
            </w:r>
            <w:r w:rsidR="00B05BDF">
              <w:t>24</w:t>
            </w:r>
          </w:p>
          <w:p w14:paraId="08630FDD" w14:textId="3C41993B" w:rsidR="009B5A93" w:rsidRPr="009B5A93" w:rsidRDefault="009B5A93" w:rsidP="009B5A93">
            <w:pPr>
              <w:tabs>
                <w:tab w:val="left" w:pos="244"/>
                <w:tab w:val="left" w:pos="848"/>
                <w:tab w:val="left" w:pos="1440"/>
                <w:tab w:val="left" w:pos="2074"/>
                <w:tab w:val="left" w:pos="2660"/>
                <w:tab w:val="left" w:pos="3240"/>
                <w:tab w:val="left" w:pos="3874"/>
                <w:tab w:val="left" w:pos="4472"/>
                <w:tab w:val="left" w:pos="5076"/>
                <w:tab w:val="left" w:pos="5674"/>
                <w:tab w:val="left" w:pos="6307"/>
                <w:tab w:val="left" w:pos="6888"/>
                <w:tab w:val="left" w:pos="7474"/>
                <w:tab w:val="left" w:pos="8107"/>
                <w:tab w:val="left" w:pos="8700"/>
                <w:tab w:val="left" w:pos="9304"/>
                <w:tab w:val="left" w:pos="9908"/>
                <w:tab w:val="left" w:pos="10512"/>
                <w:tab w:val="left" w:pos="11116"/>
                <w:tab w:val="left" w:pos="11720"/>
                <w:tab w:val="left" w:pos="12324"/>
                <w:tab w:val="left" w:pos="12928"/>
              </w:tabs>
            </w:pPr>
            <w:r w:rsidRPr="009B5A93">
              <w:t>CN 2</w:t>
            </w:r>
            <w:r w:rsidR="00224672">
              <w:t>4</w:t>
            </w:r>
            <w:r w:rsidRPr="009B5A93">
              <w:t>-</w:t>
            </w:r>
            <w:r w:rsidR="00667546">
              <w:t>25</w:t>
            </w:r>
          </w:p>
        </w:tc>
        <w:tc>
          <w:tcPr>
            <w:tcW w:w="43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B6440DD" w14:textId="76AC7152" w:rsidR="009B5A93" w:rsidRPr="009B5A93" w:rsidRDefault="009B5A93" w:rsidP="009B5A93">
            <w:pPr>
              <w:tabs>
                <w:tab w:val="left" w:pos="244"/>
                <w:tab w:val="left" w:pos="848"/>
                <w:tab w:val="left" w:pos="1440"/>
                <w:tab w:val="left" w:pos="2074"/>
                <w:tab w:val="left" w:pos="2660"/>
                <w:tab w:val="left" w:pos="3240"/>
                <w:tab w:val="left" w:pos="3874"/>
                <w:tab w:val="left" w:pos="4472"/>
                <w:tab w:val="left" w:pos="5076"/>
                <w:tab w:val="left" w:pos="5674"/>
                <w:tab w:val="left" w:pos="6307"/>
                <w:tab w:val="left" w:pos="6888"/>
                <w:tab w:val="left" w:pos="7474"/>
                <w:tab w:val="left" w:pos="8107"/>
                <w:tab w:val="left" w:pos="8700"/>
                <w:tab w:val="left" w:pos="9304"/>
                <w:tab w:val="left" w:pos="9908"/>
                <w:tab w:val="left" w:pos="10512"/>
                <w:tab w:val="left" w:pos="11116"/>
                <w:tab w:val="left" w:pos="11720"/>
                <w:tab w:val="left" w:pos="12324"/>
                <w:tab w:val="left" w:pos="12928"/>
              </w:tabs>
            </w:pPr>
            <w:r>
              <w:t xml:space="preserve">New Issuance. </w:t>
            </w:r>
          </w:p>
        </w:tc>
        <w:tc>
          <w:tcPr>
            <w:tcW w:w="291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019453D" w14:textId="6A128C07" w:rsidR="009B5A93" w:rsidRPr="009B5A93" w:rsidRDefault="002F3165" w:rsidP="009B5A93">
            <w:pPr>
              <w:tabs>
                <w:tab w:val="left" w:pos="244"/>
                <w:tab w:val="left" w:pos="848"/>
                <w:tab w:val="left" w:pos="1440"/>
                <w:tab w:val="left" w:pos="2074"/>
                <w:tab w:val="left" w:pos="2660"/>
                <w:tab w:val="left" w:pos="3240"/>
                <w:tab w:val="left" w:pos="3874"/>
                <w:tab w:val="left" w:pos="4472"/>
                <w:tab w:val="left" w:pos="5076"/>
                <w:tab w:val="left" w:pos="5674"/>
                <w:tab w:val="left" w:pos="6307"/>
                <w:tab w:val="left" w:pos="6888"/>
                <w:tab w:val="left" w:pos="7474"/>
                <w:tab w:val="left" w:pos="8107"/>
                <w:tab w:val="left" w:pos="8700"/>
                <w:tab w:val="left" w:pos="9304"/>
                <w:tab w:val="left" w:pos="9908"/>
                <w:tab w:val="left" w:pos="10512"/>
                <w:tab w:val="left" w:pos="11116"/>
                <w:tab w:val="left" w:pos="11720"/>
                <w:tab w:val="left" w:pos="12324"/>
                <w:tab w:val="left" w:pos="12928"/>
              </w:tabs>
            </w:pPr>
            <w:r>
              <w:t xml:space="preserve">Training provided </w:t>
            </w:r>
            <w:r w:rsidR="004415D9">
              <w:t xml:space="preserve">during Counterpart Meeting and </w:t>
            </w:r>
            <w:r w:rsidR="00D04786">
              <w:t>will address questions</w:t>
            </w:r>
            <w:r w:rsidR="00F20AF8">
              <w:t xml:space="preserve"> during monthly counterpart meeting</w:t>
            </w:r>
          </w:p>
        </w:tc>
        <w:tc>
          <w:tcPr>
            <w:tcW w:w="257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81FEAA" w14:textId="77777777" w:rsidR="009B5A93" w:rsidRPr="009B5A93" w:rsidRDefault="009B5A93" w:rsidP="009B5A93">
            <w:pPr>
              <w:tabs>
                <w:tab w:val="left" w:pos="244"/>
                <w:tab w:val="left" w:pos="848"/>
                <w:tab w:val="left" w:pos="1440"/>
                <w:tab w:val="left" w:pos="2074"/>
                <w:tab w:val="left" w:pos="2660"/>
                <w:tab w:val="left" w:pos="3240"/>
                <w:tab w:val="left" w:pos="3874"/>
                <w:tab w:val="left" w:pos="4472"/>
                <w:tab w:val="left" w:pos="5076"/>
                <w:tab w:val="left" w:pos="5674"/>
                <w:tab w:val="left" w:pos="6307"/>
                <w:tab w:val="left" w:pos="6888"/>
                <w:tab w:val="left" w:pos="7474"/>
                <w:tab w:val="left" w:pos="8107"/>
                <w:tab w:val="left" w:pos="8700"/>
                <w:tab w:val="left" w:pos="9304"/>
                <w:tab w:val="left" w:pos="9908"/>
                <w:tab w:val="left" w:pos="10512"/>
                <w:tab w:val="left" w:pos="11116"/>
                <w:tab w:val="left" w:pos="11720"/>
                <w:tab w:val="left" w:pos="12324"/>
                <w:tab w:val="left" w:pos="12928"/>
              </w:tabs>
            </w:pPr>
          </w:p>
        </w:tc>
      </w:tr>
    </w:tbl>
    <w:p w14:paraId="72FCA8AB" w14:textId="77777777" w:rsidR="00C93DFD" w:rsidRPr="00F5748A" w:rsidRDefault="00C93DFD" w:rsidP="00BE3D1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p w14:paraId="72FCA8AC" w14:textId="77777777" w:rsidR="00C93DFD" w:rsidRPr="00F5748A" w:rsidRDefault="00C93DFD" w:rsidP="00BE3D1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sectPr w:rsidR="00C93DFD" w:rsidRPr="00F5748A" w:rsidSect="009717F9">
      <w:footerReference w:type="default" r:id="rId12"/>
      <w:pgSz w:w="15840" w:h="12240" w:orient="landscape"/>
      <w:pgMar w:top="1440" w:right="1440" w:bottom="1440" w:left="1440" w:header="108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E3AC0" w14:textId="77777777" w:rsidR="006351D0" w:rsidRDefault="006351D0">
      <w:r>
        <w:separator/>
      </w:r>
    </w:p>
  </w:endnote>
  <w:endnote w:type="continuationSeparator" w:id="0">
    <w:p w14:paraId="01F70505" w14:textId="77777777" w:rsidR="006351D0" w:rsidRDefault="006351D0">
      <w:r>
        <w:continuationSeparator/>
      </w:r>
    </w:p>
  </w:endnote>
  <w:endnote w:type="continuationNotice" w:id="1">
    <w:p w14:paraId="127FE51F" w14:textId="77777777" w:rsidR="006351D0" w:rsidRDefault="00635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CA8B2" w14:textId="77777777" w:rsidR="006C0284" w:rsidRDefault="006C0284">
    <w:pPr>
      <w:spacing w:line="240" w:lineRule="exact"/>
    </w:pPr>
  </w:p>
  <w:p w14:paraId="72FCA8B3" w14:textId="6D6FF83C" w:rsidR="006C0284" w:rsidRDefault="007E0773">
    <w:pPr>
      <w:tabs>
        <w:tab w:val="center" w:pos="4680"/>
        <w:tab w:val="right" w:pos="9360"/>
      </w:tabs>
    </w:pPr>
    <w:r>
      <w:t>Issue Date:</w:t>
    </w:r>
    <w:r w:rsidR="00667546">
      <w:t xml:space="preserve"> </w:t>
    </w:r>
    <w:r w:rsidR="00A776A7">
      <w:t>09/11/</w:t>
    </w:r>
    <w:r w:rsidR="00CF39EF">
      <w:t>24</w:t>
    </w:r>
    <w:r w:rsidR="006C0284">
      <w:tab/>
    </w:r>
    <w:r w:rsidR="006C0284">
      <w:fldChar w:fldCharType="begin"/>
    </w:r>
    <w:r w:rsidR="006C0284">
      <w:instrText xml:space="preserve">PAGE </w:instrText>
    </w:r>
    <w:r w:rsidR="006C0284">
      <w:fldChar w:fldCharType="separate"/>
    </w:r>
    <w:r w:rsidR="000D7F97">
      <w:rPr>
        <w:noProof/>
      </w:rPr>
      <w:t>9</w:t>
    </w:r>
    <w:r w:rsidR="006C0284">
      <w:fldChar w:fldCharType="end"/>
    </w:r>
    <w:r>
      <w:tab/>
      <w:t>60859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CA8B4" w14:textId="77777777" w:rsidR="006C0284" w:rsidRDefault="006C0284">
    <w:pPr>
      <w:spacing w:line="240" w:lineRule="exact"/>
    </w:pPr>
  </w:p>
  <w:p w14:paraId="72FCA8B5" w14:textId="5DFAF503" w:rsidR="006C0284" w:rsidRDefault="007E0773">
    <w:pPr>
      <w:tabs>
        <w:tab w:val="center" w:pos="6480"/>
        <w:tab w:val="right" w:pos="12960"/>
      </w:tabs>
    </w:pPr>
    <w:r>
      <w:t xml:space="preserve">Issue Date: </w:t>
    </w:r>
    <w:r w:rsidR="00667546">
      <w:t>09/11/</w:t>
    </w:r>
    <w:r w:rsidR="00CF39EF">
      <w:t>24</w:t>
    </w:r>
    <w:r w:rsidR="006C0284">
      <w:tab/>
      <w:t>At</w:t>
    </w:r>
    <w:r>
      <w:t>t1-1</w:t>
    </w:r>
    <w:r>
      <w:tab/>
      <w:t>60859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BB554" w14:textId="77777777" w:rsidR="006351D0" w:rsidRDefault="006351D0">
      <w:r>
        <w:separator/>
      </w:r>
    </w:p>
  </w:footnote>
  <w:footnote w:type="continuationSeparator" w:id="0">
    <w:p w14:paraId="7758E165" w14:textId="77777777" w:rsidR="006351D0" w:rsidRDefault="006351D0">
      <w:r>
        <w:continuationSeparator/>
      </w:r>
    </w:p>
  </w:footnote>
  <w:footnote w:type="continuationNotice" w:id="1">
    <w:p w14:paraId="541C9D25" w14:textId="77777777" w:rsidR="006351D0" w:rsidRDefault="006351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12B3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2725611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4DE6352A"/>
    <w:multiLevelType w:val="hybridMultilevel"/>
    <w:tmpl w:val="A82E77E0"/>
    <w:lvl w:ilvl="0" w:tplc="6D083800">
      <w:start w:val="1"/>
      <w:numFmt w:val="upperLetter"/>
      <w:lvlText w:val="%1)"/>
      <w:lvlJc w:val="left"/>
      <w:pPr>
        <w:ind w:left="1020" w:hanging="360"/>
      </w:pPr>
    </w:lvl>
    <w:lvl w:ilvl="1" w:tplc="CB52C5AC">
      <w:start w:val="1"/>
      <w:numFmt w:val="upperLetter"/>
      <w:lvlText w:val="%2)"/>
      <w:lvlJc w:val="left"/>
      <w:pPr>
        <w:ind w:left="1020" w:hanging="360"/>
      </w:pPr>
    </w:lvl>
    <w:lvl w:ilvl="2" w:tplc="0E96EA3E">
      <w:start w:val="1"/>
      <w:numFmt w:val="upperLetter"/>
      <w:lvlText w:val="%3)"/>
      <w:lvlJc w:val="left"/>
      <w:pPr>
        <w:ind w:left="1020" w:hanging="360"/>
      </w:pPr>
    </w:lvl>
    <w:lvl w:ilvl="3" w:tplc="C9AC81EC">
      <w:start w:val="1"/>
      <w:numFmt w:val="upperLetter"/>
      <w:lvlText w:val="%4)"/>
      <w:lvlJc w:val="left"/>
      <w:pPr>
        <w:ind w:left="1020" w:hanging="360"/>
      </w:pPr>
    </w:lvl>
    <w:lvl w:ilvl="4" w:tplc="BF72F50A">
      <w:start w:val="1"/>
      <w:numFmt w:val="upperLetter"/>
      <w:lvlText w:val="%5)"/>
      <w:lvlJc w:val="left"/>
      <w:pPr>
        <w:ind w:left="1020" w:hanging="360"/>
      </w:pPr>
    </w:lvl>
    <w:lvl w:ilvl="5" w:tplc="381C04C2">
      <w:start w:val="1"/>
      <w:numFmt w:val="upperLetter"/>
      <w:lvlText w:val="%6)"/>
      <w:lvlJc w:val="left"/>
      <w:pPr>
        <w:ind w:left="1020" w:hanging="360"/>
      </w:pPr>
    </w:lvl>
    <w:lvl w:ilvl="6" w:tplc="069847EC">
      <w:start w:val="1"/>
      <w:numFmt w:val="upperLetter"/>
      <w:lvlText w:val="%7)"/>
      <w:lvlJc w:val="left"/>
      <w:pPr>
        <w:ind w:left="1020" w:hanging="360"/>
      </w:pPr>
    </w:lvl>
    <w:lvl w:ilvl="7" w:tplc="ACAE2B8C">
      <w:start w:val="1"/>
      <w:numFmt w:val="upperLetter"/>
      <w:lvlText w:val="%8)"/>
      <w:lvlJc w:val="left"/>
      <w:pPr>
        <w:ind w:left="1020" w:hanging="360"/>
      </w:pPr>
    </w:lvl>
    <w:lvl w:ilvl="8" w:tplc="0E8EC9C4">
      <w:start w:val="1"/>
      <w:numFmt w:val="upperLetter"/>
      <w:lvlText w:val="%9)"/>
      <w:lvlJc w:val="left"/>
      <w:pPr>
        <w:ind w:left="1020" w:hanging="360"/>
      </w:pPr>
    </w:lvl>
  </w:abstractNum>
  <w:abstractNum w:abstractNumId="5" w15:restartNumberingAfterBreak="0">
    <w:nsid w:val="545E53BC"/>
    <w:multiLevelType w:val="multilevel"/>
    <w:tmpl w:val="56E4FF7A"/>
    <w:lvl w:ilvl="0">
      <w:start w:val="1"/>
      <w:numFmt w:val="decimalZero"/>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7" w15:restartNumberingAfterBreak="0">
    <w:nsid w:val="7465088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7AAC5E3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224827159">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03034124">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1521166467">
    <w:abstractNumId w:val="6"/>
  </w:num>
  <w:num w:numId="4" w16cid:durableId="1099715121">
    <w:abstractNumId w:val="5"/>
  </w:num>
  <w:num w:numId="5" w16cid:durableId="2011135901">
    <w:abstractNumId w:val="2"/>
  </w:num>
  <w:num w:numId="6" w16cid:durableId="2009480447">
    <w:abstractNumId w:val="3"/>
  </w:num>
  <w:num w:numId="7" w16cid:durableId="1998261660">
    <w:abstractNumId w:val="7"/>
  </w:num>
  <w:num w:numId="8" w16cid:durableId="1651909488">
    <w:abstractNumId w:val="8"/>
  </w:num>
  <w:num w:numId="9" w16cid:durableId="25494726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FD"/>
    <w:rsid w:val="0000200B"/>
    <w:rsid w:val="000020C0"/>
    <w:rsid w:val="00002829"/>
    <w:rsid w:val="00002837"/>
    <w:rsid w:val="000047ED"/>
    <w:rsid w:val="00004CA0"/>
    <w:rsid w:val="0000596C"/>
    <w:rsid w:val="00006FE7"/>
    <w:rsid w:val="00007FF8"/>
    <w:rsid w:val="0001025E"/>
    <w:rsid w:val="000134A3"/>
    <w:rsid w:val="00013A05"/>
    <w:rsid w:val="00013A0C"/>
    <w:rsid w:val="00013B8D"/>
    <w:rsid w:val="00013F24"/>
    <w:rsid w:val="00014FAC"/>
    <w:rsid w:val="00016F15"/>
    <w:rsid w:val="00017934"/>
    <w:rsid w:val="00017CAA"/>
    <w:rsid w:val="0002035A"/>
    <w:rsid w:val="0002145A"/>
    <w:rsid w:val="00021B87"/>
    <w:rsid w:val="00022579"/>
    <w:rsid w:val="00023513"/>
    <w:rsid w:val="00026468"/>
    <w:rsid w:val="00026FE1"/>
    <w:rsid w:val="000277C6"/>
    <w:rsid w:val="00036EA0"/>
    <w:rsid w:val="0003729E"/>
    <w:rsid w:val="00040B99"/>
    <w:rsid w:val="00040CAC"/>
    <w:rsid w:val="00040CBD"/>
    <w:rsid w:val="00040F1A"/>
    <w:rsid w:val="0004270D"/>
    <w:rsid w:val="00042C39"/>
    <w:rsid w:val="00043566"/>
    <w:rsid w:val="00043A48"/>
    <w:rsid w:val="00043C77"/>
    <w:rsid w:val="00043FB2"/>
    <w:rsid w:val="000444F6"/>
    <w:rsid w:val="00044908"/>
    <w:rsid w:val="00045A92"/>
    <w:rsid w:val="000462C8"/>
    <w:rsid w:val="0004765F"/>
    <w:rsid w:val="00053FAD"/>
    <w:rsid w:val="00054CE1"/>
    <w:rsid w:val="000553A4"/>
    <w:rsid w:val="00055FAD"/>
    <w:rsid w:val="000568A3"/>
    <w:rsid w:val="0005755D"/>
    <w:rsid w:val="00057CD6"/>
    <w:rsid w:val="00060E19"/>
    <w:rsid w:val="00065914"/>
    <w:rsid w:val="00065BEB"/>
    <w:rsid w:val="0006616C"/>
    <w:rsid w:val="0007060B"/>
    <w:rsid w:val="00070F8A"/>
    <w:rsid w:val="00071D04"/>
    <w:rsid w:val="00076099"/>
    <w:rsid w:val="00076BF0"/>
    <w:rsid w:val="00077270"/>
    <w:rsid w:val="00077817"/>
    <w:rsid w:val="000827E0"/>
    <w:rsid w:val="0008492D"/>
    <w:rsid w:val="00085A9F"/>
    <w:rsid w:val="00085FD1"/>
    <w:rsid w:val="00094014"/>
    <w:rsid w:val="000A039E"/>
    <w:rsid w:val="000A1FB6"/>
    <w:rsid w:val="000A390E"/>
    <w:rsid w:val="000A5A30"/>
    <w:rsid w:val="000A627E"/>
    <w:rsid w:val="000A694A"/>
    <w:rsid w:val="000B2316"/>
    <w:rsid w:val="000B3AA7"/>
    <w:rsid w:val="000B5A53"/>
    <w:rsid w:val="000B5AF7"/>
    <w:rsid w:val="000C2BB7"/>
    <w:rsid w:val="000C2F7A"/>
    <w:rsid w:val="000C44A1"/>
    <w:rsid w:val="000C6773"/>
    <w:rsid w:val="000C79D2"/>
    <w:rsid w:val="000D02B2"/>
    <w:rsid w:val="000D398C"/>
    <w:rsid w:val="000D5D4E"/>
    <w:rsid w:val="000D6DE6"/>
    <w:rsid w:val="000D7C95"/>
    <w:rsid w:val="000D7CA0"/>
    <w:rsid w:val="000D7F97"/>
    <w:rsid w:val="000E23F0"/>
    <w:rsid w:val="000E2674"/>
    <w:rsid w:val="000E2A0D"/>
    <w:rsid w:val="000E2C58"/>
    <w:rsid w:val="000E3142"/>
    <w:rsid w:val="000F18B2"/>
    <w:rsid w:val="000F1D50"/>
    <w:rsid w:val="000F1FB3"/>
    <w:rsid w:val="000F3294"/>
    <w:rsid w:val="000F32C7"/>
    <w:rsid w:val="000F3417"/>
    <w:rsid w:val="000F3CCE"/>
    <w:rsid w:val="000F498D"/>
    <w:rsid w:val="000F4FF1"/>
    <w:rsid w:val="000F514B"/>
    <w:rsid w:val="00100355"/>
    <w:rsid w:val="00101397"/>
    <w:rsid w:val="00102A1A"/>
    <w:rsid w:val="00103899"/>
    <w:rsid w:val="001042BC"/>
    <w:rsid w:val="00104373"/>
    <w:rsid w:val="001054E5"/>
    <w:rsid w:val="001056D8"/>
    <w:rsid w:val="001077E5"/>
    <w:rsid w:val="00110C0F"/>
    <w:rsid w:val="001116CD"/>
    <w:rsid w:val="0011237D"/>
    <w:rsid w:val="00112D6A"/>
    <w:rsid w:val="001138CA"/>
    <w:rsid w:val="00115A0F"/>
    <w:rsid w:val="00117A33"/>
    <w:rsid w:val="0012265A"/>
    <w:rsid w:val="001235B7"/>
    <w:rsid w:val="00124351"/>
    <w:rsid w:val="00126E65"/>
    <w:rsid w:val="0012735C"/>
    <w:rsid w:val="0013020C"/>
    <w:rsid w:val="001304E0"/>
    <w:rsid w:val="00130512"/>
    <w:rsid w:val="0013116E"/>
    <w:rsid w:val="001321D0"/>
    <w:rsid w:val="00136A86"/>
    <w:rsid w:val="001419DE"/>
    <w:rsid w:val="00142AA1"/>
    <w:rsid w:val="00144010"/>
    <w:rsid w:val="00151096"/>
    <w:rsid w:val="001514EE"/>
    <w:rsid w:val="0015169D"/>
    <w:rsid w:val="00151E54"/>
    <w:rsid w:val="0015200C"/>
    <w:rsid w:val="0015299E"/>
    <w:rsid w:val="001551A5"/>
    <w:rsid w:val="0015689C"/>
    <w:rsid w:val="00156E27"/>
    <w:rsid w:val="00157ABD"/>
    <w:rsid w:val="0016064C"/>
    <w:rsid w:val="00160C0F"/>
    <w:rsid w:val="00161086"/>
    <w:rsid w:val="00161815"/>
    <w:rsid w:val="00161DB7"/>
    <w:rsid w:val="00162148"/>
    <w:rsid w:val="00163A87"/>
    <w:rsid w:val="001653E5"/>
    <w:rsid w:val="00167B86"/>
    <w:rsid w:val="00167C43"/>
    <w:rsid w:val="00167D3D"/>
    <w:rsid w:val="00170359"/>
    <w:rsid w:val="00171F2C"/>
    <w:rsid w:val="001720BE"/>
    <w:rsid w:val="001731B2"/>
    <w:rsid w:val="00173D21"/>
    <w:rsid w:val="00175081"/>
    <w:rsid w:val="0017651E"/>
    <w:rsid w:val="00176C93"/>
    <w:rsid w:val="00176CD3"/>
    <w:rsid w:val="00180076"/>
    <w:rsid w:val="0018062B"/>
    <w:rsid w:val="0018355B"/>
    <w:rsid w:val="0018402A"/>
    <w:rsid w:val="001841C5"/>
    <w:rsid w:val="00185BD9"/>
    <w:rsid w:val="00186817"/>
    <w:rsid w:val="00186EB4"/>
    <w:rsid w:val="00187978"/>
    <w:rsid w:val="001905EC"/>
    <w:rsid w:val="00190BDA"/>
    <w:rsid w:val="00192809"/>
    <w:rsid w:val="00193F33"/>
    <w:rsid w:val="00195154"/>
    <w:rsid w:val="00195802"/>
    <w:rsid w:val="00197419"/>
    <w:rsid w:val="001974C5"/>
    <w:rsid w:val="00197AA9"/>
    <w:rsid w:val="001A3484"/>
    <w:rsid w:val="001A400E"/>
    <w:rsid w:val="001A5644"/>
    <w:rsid w:val="001A58FD"/>
    <w:rsid w:val="001A607F"/>
    <w:rsid w:val="001A70B3"/>
    <w:rsid w:val="001A77BA"/>
    <w:rsid w:val="001B00F4"/>
    <w:rsid w:val="001B2941"/>
    <w:rsid w:val="001B2B51"/>
    <w:rsid w:val="001B4F3E"/>
    <w:rsid w:val="001B53FF"/>
    <w:rsid w:val="001B6E7F"/>
    <w:rsid w:val="001C27BB"/>
    <w:rsid w:val="001C56B0"/>
    <w:rsid w:val="001C575C"/>
    <w:rsid w:val="001C6058"/>
    <w:rsid w:val="001C75A1"/>
    <w:rsid w:val="001C7D76"/>
    <w:rsid w:val="001D0DDD"/>
    <w:rsid w:val="001D179B"/>
    <w:rsid w:val="001D198D"/>
    <w:rsid w:val="001D2671"/>
    <w:rsid w:val="001D6F1E"/>
    <w:rsid w:val="001D70B1"/>
    <w:rsid w:val="001D7820"/>
    <w:rsid w:val="001E00BB"/>
    <w:rsid w:val="001E0757"/>
    <w:rsid w:val="001E1183"/>
    <w:rsid w:val="001E163C"/>
    <w:rsid w:val="001E2BC2"/>
    <w:rsid w:val="001E2F91"/>
    <w:rsid w:val="001E387E"/>
    <w:rsid w:val="001E4625"/>
    <w:rsid w:val="001E488F"/>
    <w:rsid w:val="001E54BB"/>
    <w:rsid w:val="001E54F8"/>
    <w:rsid w:val="001E5BC4"/>
    <w:rsid w:val="001E7F04"/>
    <w:rsid w:val="001F193C"/>
    <w:rsid w:val="001F1976"/>
    <w:rsid w:val="001F1CD9"/>
    <w:rsid w:val="001F60C3"/>
    <w:rsid w:val="0020139C"/>
    <w:rsid w:val="0020240F"/>
    <w:rsid w:val="00202724"/>
    <w:rsid w:val="002067AC"/>
    <w:rsid w:val="00207C65"/>
    <w:rsid w:val="002104FF"/>
    <w:rsid w:val="00211F0F"/>
    <w:rsid w:val="002126C3"/>
    <w:rsid w:val="0021406E"/>
    <w:rsid w:val="00216942"/>
    <w:rsid w:val="00220BAF"/>
    <w:rsid w:val="00221F6B"/>
    <w:rsid w:val="00224672"/>
    <w:rsid w:val="002256B6"/>
    <w:rsid w:val="00225889"/>
    <w:rsid w:val="00226B91"/>
    <w:rsid w:val="002308ED"/>
    <w:rsid w:val="002308FE"/>
    <w:rsid w:val="00232A33"/>
    <w:rsid w:val="00232D4F"/>
    <w:rsid w:val="00236A9F"/>
    <w:rsid w:val="00237E42"/>
    <w:rsid w:val="002404F6"/>
    <w:rsid w:val="00240998"/>
    <w:rsid w:val="00241BBE"/>
    <w:rsid w:val="00242DB8"/>
    <w:rsid w:val="0024327B"/>
    <w:rsid w:val="00245B23"/>
    <w:rsid w:val="00246AC2"/>
    <w:rsid w:val="0024766B"/>
    <w:rsid w:val="002500F0"/>
    <w:rsid w:val="00250A5D"/>
    <w:rsid w:val="002517B8"/>
    <w:rsid w:val="0025226F"/>
    <w:rsid w:val="0025528A"/>
    <w:rsid w:val="00257231"/>
    <w:rsid w:val="00257FA6"/>
    <w:rsid w:val="00261CF8"/>
    <w:rsid w:val="00262357"/>
    <w:rsid w:val="00262706"/>
    <w:rsid w:val="002630F9"/>
    <w:rsid w:val="00267101"/>
    <w:rsid w:val="00271D00"/>
    <w:rsid w:val="00272892"/>
    <w:rsid w:val="00273145"/>
    <w:rsid w:val="002800E0"/>
    <w:rsid w:val="00280C64"/>
    <w:rsid w:val="0028135F"/>
    <w:rsid w:val="00291D04"/>
    <w:rsid w:val="00293D48"/>
    <w:rsid w:val="002947F8"/>
    <w:rsid w:val="00294E28"/>
    <w:rsid w:val="00295722"/>
    <w:rsid w:val="00296E48"/>
    <w:rsid w:val="002A0B9B"/>
    <w:rsid w:val="002A1462"/>
    <w:rsid w:val="002A190C"/>
    <w:rsid w:val="002A229E"/>
    <w:rsid w:val="002A40DA"/>
    <w:rsid w:val="002A44C2"/>
    <w:rsid w:val="002A46A2"/>
    <w:rsid w:val="002A5556"/>
    <w:rsid w:val="002A65FD"/>
    <w:rsid w:val="002B0133"/>
    <w:rsid w:val="002B0DBB"/>
    <w:rsid w:val="002B2450"/>
    <w:rsid w:val="002B336B"/>
    <w:rsid w:val="002B5B29"/>
    <w:rsid w:val="002B5CE8"/>
    <w:rsid w:val="002C4340"/>
    <w:rsid w:val="002C5564"/>
    <w:rsid w:val="002C77C6"/>
    <w:rsid w:val="002D1185"/>
    <w:rsid w:val="002D14F8"/>
    <w:rsid w:val="002D1FB0"/>
    <w:rsid w:val="002D2DD8"/>
    <w:rsid w:val="002D5ABF"/>
    <w:rsid w:val="002D5BA6"/>
    <w:rsid w:val="002D601B"/>
    <w:rsid w:val="002D79AB"/>
    <w:rsid w:val="002E0C55"/>
    <w:rsid w:val="002E0EE6"/>
    <w:rsid w:val="002E1206"/>
    <w:rsid w:val="002E1280"/>
    <w:rsid w:val="002E2DB9"/>
    <w:rsid w:val="002E3B0C"/>
    <w:rsid w:val="002E5B0F"/>
    <w:rsid w:val="002E6783"/>
    <w:rsid w:val="002E7E4E"/>
    <w:rsid w:val="002F0C94"/>
    <w:rsid w:val="002F1897"/>
    <w:rsid w:val="002F2B2F"/>
    <w:rsid w:val="002F3165"/>
    <w:rsid w:val="002F53A0"/>
    <w:rsid w:val="002F55B9"/>
    <w:rsid w:val="00300705"/>
    <w:rsid w:val="00300E51"/>
    <w:rsid w:val="00301890"/>
    <w:rsid w:val="00303594"/>
    <w:rsid w:val="00303C44"/>
    <w:rsid w:val="00305DF9"/>
    <w:rsid w:val="00312B73"/>
    <w:rsid w:val="00312DC3"/>
    <w:rsid w:val="0031451A"/>
    <w:rsid w:val="00314F3A"/>
    <w:rsid w:val="00315597"/>
    <w:rsid w:val="00316105"/>
    <w:rsid w:val="00316358"/>
    <w:rsid w:val="00316B81"/>
    <w:rsid w:val="00317E36"/>
    <w:rsid w:val="00320F45"/>
    <w:rsid w:val="003216C8"/>
    <w:rsid w:val="00322477"/>
    <w:rsid w:val="00325EBF"/>
    <w:rsid w:val="003272B9"/>
    <w:rsid w:val="0032795B"/>
    <w:rsid w:val="0033000D"/>
    <w:rsid w:val="00330945"/>
    <w:rsid w:val="00330B8F"/>
    <w:rsid w:val="00333291"/>
    <w:rsid w:val="00333995"/>
    <w:rsid w:val="003339A2"/>
    <w:rsid w:val="00334435"/>
    <w:rsid w:val="00336B05"/>
    <w:rsid w:val="0033746F"/>
    <w:rsid w:val="00343919"/>
    <w:rsid w:val="00343F79"/>
    <w:rsid w:val="0034690B"/>
    <w:rsid w:val="00347745"/>
    <w:rsid w:val="003478F2"/>
    <w:rsid w:val="003501C2"/>
    <w:rsid w:val="00350713"/>
    <w:rsid w:val="00351799"/>
    <w:rsid w:val="003524EC"/>
    <w:rsid w:val="0035580F"/>
    <w:rsid w:val="003560AA"/>
    <w:rsid w:val="003565C8"/>
    <w:rsid w:val="00356702"/>
    <w:rsid w:val="0035735D"/>
    <w:rsid w:val="00360D91"/>
    <w:rsid w:val="003613BE"/>
    <w:rsid w:val="00371134"/>
    <w:rsid w:val="00371C26"/>
    <w:rsid w:val="003740FA"/>
    <w:rsid w:val="00374C59"/>
    <w:rsid w:val="0037514C"/>
    <w:rsid w:val="00375B14"/>
    <w:rsid w:val="00375CE7"/>
    <w:rsid w:val="00380856"/>
    <w:rsid w:val="00381CB1"/>
    <w:rsid w:val="00382BFE"/>
    <w:rsid w:val="00385615"/>
    <w:rsid w:val="00385A3F"/>
    <w:rsid w:val="00386351"/>
    <w:rsid w:val="00386745"/>
    <w:rsid w:val="00390CDA"/>
    <w:rsid w:val="0039147B"/>
    <w:rsid w:val="0039351F"/>
    <w:rsid w:val="003935B9"/>
    <w:rsid w:val="0039387A"/>
    <w:rsid w:val="003945C2"/>
    <w:rsid w:val="00395A57"/>
    <w:rsid w:val="00396335"/>
    <w:rsid w:val="00396B5C"/>
    <w:rsid w:val="00397778"/>
    <w:rsid w:val="003A2C9E"/>
    <w:rsid w:val="003A3CAD"/>
    <w:rsid w:val="003A6719"/>
    <w:rsid w:val="003A6B49"/>
    <w:rsid w:val="003A6D46"/>
    <w:rsid w:val="003A78A8"/>
    <w:rsid w:val="003B0409"/>
    <w:rsid w:val="003B31AF"/>
    <w:rsid w:val="003B420B"/>
    <w:rsid w:val="003B4B10"/>
    <w:rsid w:val="003B4C51"/>
    <w:rsid w:val="003B4C70"/>
    <w:rsid w:val="003B4E4A"/>
    <w:rsid w:val="003B5353"/>
    <w:rsid w:val="003B5B59"/>
    <w:rsid w:val="003B5E24"/>
    <w:rsid w:val="003B685F"/>
    <w:rsid w:val="003B6B24"/>
    <w:rsid w:val="003B6B9A"/>
    <w:rsid w:val="003B77FD"/>
    <w:rsid w:val="003B7A70"/>
    <w:rsid w:val="003C10AF"/>
    <w:rsid w:val="003C167A"/>
    <w:rsid w:val="003C189B"/>
    <w:rsid w:val="003C340F"/>
    <w:rsid w:val="003C4E37"/>
    <w:rsid w:val="003C6ACB"/>
    <w:rsid w:val="003D02F3"/>
    <w:rsid w:val="003D4F6C"/>
    <w:rsid w:val="003D65FB"/>
    <w:rsid w:val="003D79CC"/>
    <w:rsid w:val="003E06FE"/>
    <w:rsid w:val="003E2D03"/>
    <w:rsid w:val="003E54E9"/>
    <w:rsid w:val="003E5A34"/>
    <w:rsid w:val="003E5CB4"/>
    <w:rsid w:val="003E782C"/>
    <w:rsid w:val="003F3458"/>
    <w:rsid w:val="003F4DD8"/>
    <w:rsid w:val="004006C9"/>
    <w:rsid w:val="0040074A"/>
    <w:rsid w:val="00401204"/>
    <w:rsid w:val="00401B72"/>
    <w:rsid w:val="00402448"/>
    <w:rsid w:val="0040278B"/>
    <w:rsid w:val="004027F1"/>
    <w:rsid w:val="004043B7"/>
    <w:rsid w:val="00410094"/>
    <w:rsid w:val="00410809"/>
    <w:rsid w:val="00411534"/>
    <w:rsid w:val="004115AF"/>
    <w:rsid w:val="004149A5"/>
    <w:rsid w:val="00416018"/>
    <w:rsid w:val="00416CE0"/>
    <w:rsid w:val="00421F87"/>
    <w:rsid w:val="0042316B"/>
    <w:rsid w:val="004245BB"/>
    <w:rsid w:val="00424936"/>
    <w:rsid w:val="00424E4E"/>
    <w:rsid w:val="0042570F"/>
    <w:rsid w:val="00434080"/>
    <w:rsid w:val="00437F43"/>
    <w:rsid w:val="004415D9"/>
    <w:rsid w:val="004418DF"/>
    <w:rsid w:val="00441E58"/>
    <w:rsid w:val="004425FC"/>
    <w:rsid w:val="00442801"/>
    <w:rsid w:val="00442B8B"/>
    <w:rsid w:val="004431FB"/>
    <w:rsid w:val="00447B09"/>
    <w:rsid w:val="0045397E"/>
    <w:rsid w:val="00454946"/>
    <w:rsid w:val="00455CEA"/>
    <w:rsid w:val="004562C0"/>
    <w:rsid w:val="00456A58"/>
    <w:rsid w:val="00460F66"/>
    <w:rsid w:val="004614C4"/>
    <w:rsid w:val="00461BF8"/>
    <w:rsid w:val="00463405"/>
    <w:rsid w:val="004637F9"/>
    <w:rsid w:val="004638D5"/>
    <w:rsid w:val="0046439F"/>
    <w:rsid w:val="00465411"/>
    <w:rsid w:val="00467079"/>
    <w:rsid w:val="0046762E"/>
    <w:rsid w:val="00467C61"/>
    <w:rsid w:val="00470AC5"/>
    <w:rsid w:val="00471842"/>
    <w:rsid w:val="00475012"/>
    <w:rsid w:val="00476EF5"/>
    <w:rsid w:val="004776C6"/>
    <w:rsid w:val="00477A0A"/>
    <w:rsid w:val="00482135"/>
    <w:rsid w:val="004852EF"/>
    <w:rsid w:val="00490436"/>
    <w:rsid w:val="00492DC0"/>
    <w:rsid w:val="004954F6"/>
    <w:rsid w:val="0049758C"/>
    <w:rsid w:val="004A15D2"/>
    <w:rsid w:val="004A2862"/>
    <w:rsid w:val="004A3948"/>
    <w:rsid w:val="004B0DD2"/>
    <w:rsid w:val="004B31DA"/>
    <w:rsid w:val="004B4F69"/>
    <w:rsid w:val="004B665D"/>
    <w:rsid w:val="004B6EE0"/>
    <w:rsid w:val="004C0184"/>
    <w:rsid w:val="004C1AF4"/>
    <w:rsid w:val="004C496E"/>
    <w:rsid w:val="004C4991"/>
    <w:rsid w:val="004D0632"/>
    <w:rsid w:val="004D0877"/>
    <w:rsid w:val="004D1170"/>
    <w:rsid w:val="004D27AA"/>
    <w:rsid w:val="004D2DE6"/>
    <w:rsid w:val="004D3568"/>
    <w:rsid w:val="004D4938"/>
    <w:rsid w:val="004D5071"/>
    <w:rsid w:val="004D5C47"/>
    <w:rsid w:val="004D5E35"/>
    <w:rsid w:val="004D5F0A"/>
    <w:rsid w:val="004E0B83"/>
    <w:rsid w:val="004E15A4"/>
    <w:rsid w:val="004E22FE"/>
    <w:rsid w:val="004E2564"/>
    <w:rsid w:val="004E2B40"/>
    <w:rsid w:val="004E4285"/>
    <w:rsid w:val="004E7F01"/>
    <w:rsid w:val="004F2E6B"/>
    <w:rsid w:val="004F3727"/>
    <w:rsid w:val="004F40E6"/>
    <w:rsid w:val="004F4509"/>
    <w:rsid w:val="004F4C2C"/>
    <w:rsid w:val="004F5257"/>
    <w:rsid w:val="004F7398"/>
    <w:rsid w:val="00502830"/>
    <w:rsid w:val="00502D39"/>
    <w:rsid w:val="005056D2"/>
    <w:rsid w:val="00505C85"/>
    <w:rsid w:val="00510C20"/>
    <w:rsid w:val="00511C5A"/>
    <w:rsid w:val="005141BF"/>
    <w:rsid w:val="00517599"/>
    <w:rsid w:val="005178C1"/>
    <w:rsid w:val="00521854"/>
    <w:rsid w:val="005234AC"/>
    <w:rsid w:val="00523B16"/>
    <w:rsid w:val="00524FC7"/>
    <w:rsid w:val="005259A2"/>
    <w:rsid w:val="00525E94"/>
    <w:rsid w:val="00526056"/>
    <w:rsid w:val="00526646"/>
    <w:rsid w:val="00532095"/>
    <w:rsid w:val="005333DB"/>
    <w:rsid w:val="00534034"/>
    <w:rsid w:val="00542849"/>
    <w:rsid w:val="00543317"/>
    <w:rsid w:val="005443E3"/>
    <w:rsid w:val="00545647"/>
    <w:rsid w:val="005458F0"/>
    <w:rsid w:val="005464C2"/>
    <w:rsid w:val="00546651"/>
    <w:rsid w:val="00550F58"/>
    <w:rsid w:val="00553495"/>
    <w:rsid w:val="00553A9C"/>
    <w:rsid w:val="00553DC2"/>
    <w:rsid w:val="005551EE"/>
    <w:rsid w:val="00555DA5"/>
    <w:rsid w:val="00565D3B"/>
    <w:rsid w:val="00567ABF"/>
    <w:rsid w:val="005708F4"/>
    <w:rsid w:val="00571117"/>
    <w:rsid w:val="0057120E"/>
    <w:rsid w:val="005712FA"/>
    <w:rsid w:val="005724B6"/>
    <w:rsid w:val="00573D83"/>
    <w:rsid w:val="005741AD"/>
    <w:rsid w:val="00574F2A"/>
    <w:rsid w:val="005770A9"/>
    <w:rsid w:val="00577395"/>
    <w:rsid w:val="00577674"/>
    <w:rsid w:val="00577AAE"/>
    <w:rsid w:val="00581D29"/>
    <w:rsid w:val="00582BA6"/>
    <w:rsid w:val="0058300A"/>
    <w:rsid w:val="00583494"/>
    <w:rsid w:val="0058399A"/>
    <w:rsid w:val="00583A2E"/>
    <w:rsid w:val="00585582"/>
    <w:rsid w:val="00585B27"/>
    <w:rsid w:val="00586480"/>
    <w:rsid w:val="005869ED"/>
    <w:rsid w:val="00587922"/>
    <w:rsid w:val="0059077B"/>
    <w:rsid w:val="00590D4A"/>
    <w:rsid w:val="00591E6A"/>
    <w:rsid w:val="00592185"/>
    <w:rsid w:val="005932AD"/>
    <w:rsid w:val="00594EA1"/>
    <w:rsid w:val="00595876"/>
    <w:rsid w:val="00595BC9"/>
    <w:rsid w:val="00597AF7"/>
    <w:rsid w:val="005A0214"/>
    <w:rsid w:val="005A0C77"/>
    <w:rsid w:val="005A114E"/>
    <w:rsid w:val="005A3724"/>
    <w:rsid w:val="005A465E"/>
    <w:rsid w:val="005A4B9D"/>
    <w:rsid w:val="005A5176"/>
    <w:rsid w:val="005A5866"/>
    <w:rsid w:val="005A608E"/>
    <w:rsid w:val="005A7301"/>
    <w:rsid w:val="005A7A6A"/>
    <w:rsid w:val="005A7F3B"/>
    <w:rsid w:val="005B064A"/>
    <w:rsid w:val="005B181B"/>
    <w:rsid w:val="005B20AA"/>
    <w:rsid w:val="005B3D2A"/>
    <w:rsid w:val="005B4D23"/>
    <w:rsid w:val="005B4F5C"/>
    <w:rsid w:val="005B5779"/>
    <w:rsid w:val="005B5F15"/>
    <w:rsid w:val="005B612E"/>
    <w:rsid w:val="005B6284"/>
    <w:rsid w:val="005B62B8"/>
    <w:rsid w:val="005B7D0F"/>
    <w:rsid w:val="005C1790"/>
    <w:rsid w:val="005C1D36"/>
    <w:rsid w:val="005C3EDD"/>
    <w:rsid w:val="005C58F1"/>
    <w:rsid w:val="005C5AA2"/>
    <w:rsid w:val="005C613E"/>
    <w:rsid w:val="005C6653"/>
    <w:rsid w:val="005C7111"/>
    <w:rsid w:val="005C71E2"/>
    <w:rsid w:val="005C787C"/>
    <w:rsid w:val="005D052D"/>
    <w:rsid w:val="005D1106"/>
    <w:rsid w:val="005D33A9"/>
    <w:rsid w:val="005D5F2C"/>
    <w:rsid w:val="005D6E17"/>
    <w:rsid w:val="005D6F4A"/>
    <w:rsid w:val="005E3A81"/>
    <w:rsid w:val="005E4B85"/>
    <w:rsid w:val="005E626F"/>
    <w:rsid w:val="005E6927"/>
    <w:rsid w:val="005F0252"/>
    <w:rsid w:val="005F134A"/>
    <w:rsid w:val="005F2157"/>
    <w:rsid w:val="005F4722"/>
    <w:rsid w:val="005F4BE9"/>
    <w:rsid w:val="005F6146"/>
    <w:rsid w:val="0060146F"/>
    <w:rsid w:val="00602C17"/>
    <w:rsid w:val="0060353B"/>
    <w:rsid w:val="006067F4"/>
    <w:rsid w:val="006100A6"/>
    <w:rsid w:val="006113BE"/>
    <w:rsid w:val="00611A8D"/>
    <w:rsid w:val="00613339"/>
    <w:rsid w:val="0061341E"/>
    <w:rsid w:val="006139CA"/>
    <w:rsid w:val="00615B8B"/>
    <w:rsid w:val="00615E77"/>
    <w:rsid w:val="00616DCA"/>
    <w:rsid w:val="00617556"/>
    <w:rsid w:val="006245BD"/>
    <w:rsid w:val="00625151"/>
    <w:rsid w:val="00630CF2"/>
    <w:rsid w:val="00630F52"/>
    <w:rsid w:val="0063188E"/>
    <w:rsid w:val="00631CC2"/>
    <w:rsid w:val="00633089"/>
    <w:rsid w:val="00633A73"/>
    <w:rsid w:val="00634331"/>
    <w:rsid w:val="00634D27"/>
    <w:rsid w:val="00634FB1"/>
    <w:rsid w:val="006351D0"/>
    <w:rsid w:val="00642819"/>
    <w:rsid w:val="0064400B"/>
    <w:rsid w:val="006447B9"/>
    <w:rsid w:val="0064599C"/>
    <w:rsid w:val="0064674E"/>
    <w:rsid w:val="006468A3"/>
    <w:rsid w:val="006526C2"/>
    <w:rsid w:val="00654383"/>
    <w:rsid w:val="00654AD8"/>
    <w:rsid w:val="0065644F"/>
    <w:rsid w:val="00660654"/>
    <w:rsid w:val="00662676"/>
    <w:rsid w:val="00663102"/>
    <w:rsid w:val="006634A8"/>
    <w:rsid w:val="00664508"/>
    <w:rsid w:val="0066468E"/>
    <w:rsid w:val="00664F49"/>
    <w:rsid w:val="00665579"/>
    <w:rsid w:val="006658E2"/>
    <w:rsid w:val="006668E4"/>
    <w:rsid w:val="00666EBF"/>
    <w:rsid w:val="006673B1"/>
    <w:rsid w:val="00667546"/>
    <w:rsid w:val="0066758D"/>
    <w:rsid w:val="00670DC1"/>
    <w:rsid w:val="00671131"/>
    <w:rsid w:val="006764A1"/>
    <w:rsid w:val="00676599"/>
    <w:rsid w:val="0068038C"/>
    <w:rsid w:val="00680BF3"/>
    <w:rsid w:val="0068168F"/>
    <w:rsid w:val="00681E51"/>
    <w:rsid w:val="006847C1"/>
    <w:rsid w:val="00685452"/>
    <w:rsid w:val="00685481"/>
    <w:rsid w:val="00690DDB"/>
    <w:rsid w:val="006918BF"/>
    <w:rsid w:val="00693809"/>
    <w:rsid w:val="00693FAD"/>
    <w:rsid w:val="00694B52"/>
    <w:rsid w:val="0069561D"/>
    <w:rsid w:val="006A2028"/>
    <w:rsid w:val="006A3B72"/>
    <w:rsid w:val="006A470C"/>
    <w:rsid w:val="006A5942"/>
    <w:rsid w:val="006A68EE"/>
    <w:rsid w:val="006A737D"/>
    <w:rsid w:val="006A7A78"/>
    <w:rsid w:val="006B4652"/>
    <w:rsid w:val="006B5489"/>
    <w:rsid w:val="006C007C"/>
    <w:rsid w:val="006C01BE"/>
    <w:rsid w:val="006C0284"/>
    <w:rsid w:val="006C0348"/>
    <w:rsid w:val="006C0A8D"/>
    <w:rsid w:val="006C0DD7"/>
    <w:rsid w:val="006C171E"/>
    <w:rsid w:val="006C2171"/>
    <w:rsid w:val="006C2B52"/>
    <w:rsid w:val="006D0530"/>
    <w:rsid w:val="006D140D"/>
    <w:rsid w:val="006D17D8"/>
    <w:rsid w:val="006D1F49"/>
    <w:rsid w:val="006D2B91"/>
    <w:rsid w:val="006D37EC"/>
    <w:rsid w:val="006D39C0"/>
    <w:rsid w:val="006D5132"/>
    <w:rsid w:val="006D53E0"/>
    <w:rsid w:val="006E163D"/>
    <w:rsid w:val="006E1FEE"/>
    <w:rsid w:val="006E4235"/>
    <w:rsid w:val="006F0EDC"/>
    <w:rsid w:val="006F2479"/>
    <w:rsid w:val="006F4EC0"/>
    <w:rsid w:val="006F5804"/>
    <w:rsid w:val="006F5B63"/>
    <w:rsid w:val="006F61E7"/>
    <w:rsid w:val="006F7E5E"/>
    <w:rsid w:val="0070135B"/>
    <w:rsid w:val="0070148F"/>
    <w:rsid w:val="00702CF6"/>
    <w:rsid w:val="0070342E"/>
    <w:rsid w:val="00703BDB"/>
    <w:rsid w:val="00707BC9"/>
    <w:rsid w:val="0071023C"/>
    <w:rsid w:val="00710D1A"/>
    <w:rsid w:val="0071460E"/>
    <w:rsid w:val="00714A48"/>
    <w:rsid w:val="007167EC"/>
    <w:rsid w:val="00716ADF"/>
    <w:rsid w:val="00716BEB"/>
    <w:rsid w:val="00716DB7"/>
    <w:rsid w:val="00717D57"/>
    <w:rsid w:val="007204F4"/>
    <w:rsid w:val="00720AD1"/>
    <w:rsid w:val="00720BE5"/>
    <w:rsid w:val="007223E9"/>
    <w:rsid w:val="0072292C"/>
    <w:rsid w:val="00723055"/>
    <w:rsid w:val="00723FB7"/>
    <w:rsid w:val="00725487"/>
    <w:rsid w:val="007309C1"/>
    <w:rsid w:val="00730E33"/>
    <w:rsid w:val="00731871"/>
    <w:rsid w:val="0073271C"/>
    <w:rsid w:val="00734540"/>
    <w:rsid w:val="00734EF2"/>
    <w:rsid w:val="00736A4E"/>
    <w:rsid w:val="0073724D"/>
    <w:rsid w:val="007379CB"/>
    <w:rsid w:val="00740597"/>
    <w:rsid w:val="00741E19"/>
    <w:rsid w:val="00745554"/>
    <w:rsid w:val="007458C9"/>
    <w:rsid w:val="0074691C"/>
    <w:rsid w:val="00747221"/>
    <w:rsid w:val="007479BD"/>
    <w:rsid w:val="00750B03"/>
    <w:rsid w:val="00751085"/>
    <w:rsid w:val="00752CBD"/>
    <w:rsid w:val="00754980"/>
    <w:rsid w:val="007646CC"/>
    <w:rsid w:val="00764B0C"/>
    <w:rsid w:val="007652FA"/>
    <w:rsid w:val="00767BC6"/>
    <w:rsid w:val="00767F2B"/>
    <w:rsid w:val="0077024D"/>
    <w:rsid w:val="00770CDF"/>
    <w:rsid w:val="00774572"/>
    <w:rsid w:val="00774584"/>
    <w:rsid w:val="00774B10"/>
    <w:rsid w:val="00775BA7"/>
    <w:rsid w:val="00776644"/>
    <w:rsid w:val="00777EB2"/>
    <w:rsid w:val="00777F0A"/>
    <w:rsid w:val="00780248"/>
    <w:rsid w:val="00780686"/>
    <w:rsid w:val="00783709"/>
    <w:rsid w:val="007875AD"/>
    <w:rsid w:val="007876BE"/>
    <w:rsid w:val="00790605"/>
    <w:rsid w:val="0079065E"/>
    <w:rsid w:val="00791799"/>
    <w:rsid w:val="00791EE0"/>
    <w:rsid w:val="007925AB"/>
    <w:rsid w:val="0079297C"/>
    <w:rsid w:val="00794E0B"/>
    <w:rsid w:val="00795D3A"/>
    <w:rsid w:val="00796C77"/>
    <w:rsid w:val="007A4260"/>
    <w:rsid w:val="007A5FF4"/>
    <w:rsid w:val="007A6522"/>
    <w:rsid w:val="007A772A"/>
    <w:rsid w:val="007A777F"/>
    <w:rsid w:val="007A78A9"/>
    <w:rsid w:val="007B0F4C"/>
    <w:rsid w:val="007B16BF"/>
    <w:rsid w:val="007B219B"/>
    <w:rsid w:val="007B362A"/>
    <w:rsid w:val="007B53CE"/>
    <w:rsid w:val="007B5D81"/>
    <w:rsid w:val="007B68C3"/>
    <w:rsid w:val="007C0CCE"/>
    <w:rsid w:val="007C2622"/>
    <w:rsid w:val="007C2914"/>
    <w:rsid w:val="007C3F3E"/>
    <w:rsid w:val="007C44E3"/>
    <w:rsid w:val="007C4A8F"/>
    <w:rsid w:val="007C510D"/>
    <w:rsid w:val="007C59EC"/>
    <w:rsid w:val="007D5EDC"/>
    <w:rsid w:val="007D69AC"/>
    <w:rsid w:val="007D7464"/>
    <w:rsid w:val="007D78CD"/>
    <w:rsid w:val="007E0773"/>
    <w:rsid w:val="007E2A24"/>
    <w:rsid w:val="007E3E73"/>
    <w:rsid w:val="007E605A"/>
    <w:rsid w:val="007E64F8"/>
    <w:rsid w:val="007F074D"/>
    <w:rsid w:val="007F08FD"/>
    <w:rsid w:val="007F16AB"/>
    <w:rsid w:val="007F2859"/>
    <w:rsid w:val="007F4D17"/>
    <w:rsid w:val="007F4E11"/>
    <w:rsid w:val="00800D4A"/>
    <w:rsid w:val="00801AB4"/>
    <w:rsid w:val="008033A0"/>
    <w:rsid w:val="008042E8"/>
    <w:rsid w:val="0081033C"/>
    <w:rsid w:val="00811649"/>
    <w:rsid w:val="00815794"/>
    <w:rsid w:val="00820085"/>
    <w:rsid w:val="00820FD1"/>
    <w:rsid w:val="00823AC5"/>
    <w:rsid w:val="00825707"/>
    <w:rsid w:val="0082645A"/>
    <w:rsid w:val="00826A6B"/>
    <w:rsid w:val="00830188"/>
    <w:rsid w:val="00831D9C"/>
    <w:rsid w:val="0083614A"/>
    <w:rsid w:val="00836C26"/>
    <w:rsid w:val="00837220"/>
    <w:rsid w:val="008373F6"/>
    <w:rsid w:val="00840B15"/>
    <w:rsid w:val="0084311D"/>
    <w:rsid w:val="008432DE"/>
    <w:rsid w:val="00843470"/>
    <w:rsid w:val="0084497B"/>
    <w:rsid w:val="0084794D"/>
    <w:rsid w:val="00850976"/>
    <w:rsid w:val="008516E1"/>
    <w:rsid w:val="0085262B"/>
    <w:rsid w:val="00854C68"/>
    <w:rsid w:val="00856467"/>
    <w:rsid w:val="0085718F"/>
    <w:rsid w:val="00862C6B"/>
    <w:rsid w:val="00864EA2"/>
    <w:rsid w:val="008652AF"/>
    <w:rsid w:val="008709E3"/>
    <w:rsid w:val="00870BCB"/>
    <w:rsid w:val="008718ED"/>
    <w:rsid w:val="008720A2"/>
    <w:rsid w:val="00872D75"/>
    <w:rsid w:val="008730B9"/>
    <w:rsid w:val="008731DD"/>
    <w:rsid w:val="008731E4"/>
    <w:rsid w:val="0087486C"/>
    <w:rsid w:val="00874871"/>
    <w:rsid w:val="00874A8C"/>
    <w:rsid w:val="00875304"/>
    <w:rsid w:val="008766BF"/>
    <w:rsid w:val="00877744"/>
    <w:rsid w:val="0088000A"/>
    <w:rsid w:val="008807B9"/>
    <w:rsid w:val="008811EC"/>
    <w:rsid w:val="0088197B"/>
    <w:rsid w:val="008827A2"/>
    <w:rsid w:val="008830A2"/>
    <w:rsid w:val="0088351E"/>
    <w:rsid w:val="008837B8"/>
    <w:rsid w:val="008838C6"/>
    <w:rsid w:val="00884D74"/>
    <w:rsid w:val="00885BE0"/>
    <w:rsid w:val="00886C36"/>
    <w:rsid w:val="00890AA3"/>
    <w:rsid w:val="00891F4A"/>
    <w:rsid w:val="00892523"/>
    <w:rsid w:val="00895B33"/>
    <w:rsid w:val="00895F67"/>
    <w:rsid w:val="00897E49"/>
    <w:rsid w:val="00897FCF"/>
    <w:rsid w:val="008A1BA4"/>
    <w:rsid w:val="008A2051"/>
    <w:rsid w:val="008A2DA4"/>
    <w:rsid w:val="008A5E48"/>
    <w:rsid w:val="008A7549"/>
    <w:rsid w:val="008B03AB"/>
    <w:rsid w:val="008B157F"/>
    <w:rsid w:val="008B33BB"/>
    <w:rsid w:val="008B6F6C"/>
    <w:rsid w:val="008B6FCE"/>
    <w:rsid w:val="008C2571"/>
    <w:rsid w:val="008C4077"/>
    <w:rsid w:val="008C75B8"/>
    <w:rsid w:val="008C7BAF"/>
    <w:rsid w:val="008D0773"/>
    <w:rsid w:val="008D1EEA"/>
    <w:rsid w:val="008D209F"/>
    <w:rsid w:val="008D33AD"/>
    <w:rsid w:val="008D49A4"/>
    <w:rsid w:val="008D6AD1"/>
    <w:rsid w:val="008D6C17"/>
    <w:rsid w:val="008D7074"/>
    <w:rsid w:val="008D7939"/>
    <w:rsid w:val="008E06F6"/>
    <w:rsid w:val="008E0949"/>
    <w:rsid w:val="008E1259"/>
    <w:rsid w:val="008E1C1B"/>
    <w:rsid w:val="008E22B2"/>
    <w:rsid w:val="008E345D"/>
    <w:rsid w:val="008E3D60"/>
    <w:rsid w:val="008E46BF"/>
    <w:rsid w:val="008E6765"/>
    <w:rsid w:val="008E6C0D"/>
    <w:rsid w:val="008E7664"/>
    <w:rsid w:val="008E7826"/>
    <w:rsid w:val="008F17D2"/>
    <w:rsid w:val="008F2E55"/>
    <w:rsid w:val="008F3239"/>
    <w:rsid w:val="008F6E01"/>
    <w:rsid w:val="00900CC8"/>
    <w:rsid w:val="0090440A"/>
    <w:rsid w:val="0090755C"/>
    <w:rsid w:val="00907C20"/>
    <w:rsid w:val="00910E80"/>
    <w:rsid w:val="009113FB"/>
    <w:rsid w:val="009119BF"/>
    <w:rsid w:val="00911B1F"/>
    <w:rsid w:val="009133FE"/>
    <w:rsid w:val="009135AC"/>
    <w:rsid w:val="00915000"/>
    <w:rsid w:val="0091543C"/>
    <w:rsid w:val="00915DA2"/>
    <w:rsid w:val="0091703F"/>
    <w:rsid w:val="0092171C"/>
    <w:rsid w:val="00924808"/>
    <w:rsid w:val="009255BF"/>
    <w:rsid w:val="009326F4"/>
    <w:rsid w:val="009337F7"/>
    <w:rsid w:val="009351AD"/>
    <w:rsid w:val="009353FC"/>
    <w:rsid w:val="00936C68"/>
    <w:rsid w:val="009370BC"/>
    <w:rsid w:val="0094196C"/>
    <w:rsid w:val="00941E79"/>
    <w:rsid w:val="00941F1B"/>
    <w:rsid w:val="00942599"/>
    <w:rsid w:val="00942AAC"/>
    <w:rsid w:val="00944694"/>
    <w:rsid w:val="00946500"/>
    <w:rsid w:val="00947A8B"/>
    <w:rsid w:val="00953D16"/>
    <w:rsid w:val="00955B57"/>
    <w:rsid w:val="009561B1"/>
    <w:rsid w:val="0095624D"/>
    <w:rsid w:val="0095665D"/>
    <w:rsid w:val="00957043"/>
    <w:rsid w:val="0095733C"/>
    <w:rsid w:val="00957725"/>
    <w:rsid w:val="00960181"/>
    <w:rsid w:val="00960F1C"/>
    <w:rsid w:val="00963A97"/>
    <w:rsid w:val="00963CD6"/>
    <w:rsid w:val="0096411C"/>
    <w:rsid w:val="00964DDA"/>
    <w:rsid w:val="00964F25"/>
    <w:rsid w:val="009651EF"/>
    <w:rsid w:val="0096567B"/>
    <w:rsid w:val="009677EE"/>
    <w:rsid w:val="00970EAE"/>
    <w:rsid w:val="009717F9"/>
    <w:rsid w:val="00972AF4"/>
    <w:rsid w:val="009740E2"/>
    <w:rsid w:val="0097550A"/>
    <w:rsid w:val="00976E99"/>
    <w:rsid w:val="009801D9"/>
    <w:rsid w:val="0098173C"/>
    <w:rsid w:val="009836EE"/>
    <w:rsid w:val="00984289"/>
    <w:rsid w:val="00984464"/>
    <w:rsid w:val="00985B5F"/>
    <w:rsid w:val="00986552"/>
    <w:rsid w:val="00987283"/>
    <w:rsid w:val="009914C9"/>
    <w:rsid w:val="00991FF5"/>
    <w:rsid w:val="00994325"/>
    <w:rsid w:val="00995E0E"/>
    <w:rsid w:val="00995FDC"/>
    <w:rsid w:val="0099786D"/>
    <w:rsid w:val="009A0C41"/>
    <w:rsid w:val="009A1880"/>
    <w:rsid w:val="009A29D6"/>
    <w:rsid w:val="009A44C1"/>
    <w:rsid w:val="009A49D5"/>
    <w:rsid w:val="009A600D"/>
    <w:rsid w:val="009B07A4"/>
    <w:rsid w:val="009B089B"/>
    <w:rsid w:val="009B0E52"/>
    <w:rsid w:val="009B12BB"/>
    <w:rsid w:val="009B1337"/>
    <w:rsid w:val="009B16C8"/>
    <w:rsid w:val="009B2537"/>
    <w:rsid w:val="009B2577"/>
    <w:rsid w:val="009B5A93"/>
    <w:rsid w:val="009B7622"/>
    <w:rsid w:val="009C0AB6"/>
    <w:rsid w:val="009C11C6"/>
    <w:rsid w:val="009C6579"/>
    <w:rsid w:val="009C6614"/>
    <w:rsid w:val="009D342C"/>
    <w:rsid w:val="009D7B22"/>
    <w:rsid w:val="009E3BBA"/>
    <w:rsid w:val="009E478E"/>
    <w:rsid w:val="009E7DB1"/>
    <w:rsid w:val="009F0A7A"/>
    <w:rsid w:val="009F1A20"/>
    <w:rsid w:val="009F2741"/>
    <w:rsid w:val="009F376F"/>
    <w:rsid w:val="00A001BB"/>
    <w:rsid w:val="00A013C2"/>
    <w:rsid w:val="00A0469F"/>
    <w:rsid w:val="00A04DE1"/>
    <w:rsid w:val="00A04E00"/>
    <w:rsid w:val="00A0574A"/>
    <w:rsid w:val="00A067C6"/>
    <w:rsid w:val="00A06C60"/>
    <w:rsid w:val="00A11FB4"/>
    <w:rsid w:val="00A12114"/>
    <w:rsid w:val="00A12569"/>
    <w:rsid w:val="00A12C4F"/>
    <w:rsid w:val="00A154C9"/>
    <w:rsid w:val="00A17228"/>
    <w:rsid w:val="00A20758"/>
    <w:rsid w:val="00A212DE"/>
    <w:rsid w:val="00A2319F"/>
    <w:rsid w:val="00A24FB3"/>
    <w:rsid w:val="00A261D0"/>
    <w:rsid w:val="00A34EFB"/>
    <w:rsid w:val="00A367FF"/>
    <w:rsid w:val="00A369DE"/>
    <w:rsid w:val="00A36A81"/>
    <w:rsid w:val="00A374B2"/>
    <w:rsid w:val="00A37826"/>
    <w:rsid w:val="00A42A9C"/>
    <w:rsid w:val="00A44E94"/>
    <w:rsid w:val="00A45985"/>
    <w:rsid w:val="00A473F9"/>
    <w:rsid w:val="00A47D21"/>
    <w:rsid w:val="00A51211"/>
    <w:rsid w:val="00A51F06"/>
    <w:rsid w:val="00A51F1B"/>
    <w:rsid w:val="00A57491"/>
    <w:rsid w:val="00A60759"/>
    <w:rsid w:val="00A60D09"/>
    <w:rsid w:val="00A61E72"/>
    <w:rsid w:val="00A62FDE"/>
    <w:rsid w:val="00A65CC0"/>
    <w:rsid w:val="00A71F88"/>
    <w:rsid w:val="00A7317A"/>
    <w:rsid w:val="00A735F6"/>
    <w:rsid w:val="00A746E3"/>
    <w:rsid w:val="00A776A7"/>
    <w:rsid w:val="00A77FC5"/>
    <w:rsid w:val="00A80F4B"/>
    <w:rsid w:val="00A82313"/>
    <w:rsid w:val="00A82F8F"/>
    <w:rsid w:val="00A8445E"/>
    <w:rsid w:val="00A84FAB"/>
    <w:rsid w:val="00A8508B"/>
    <w:rsid w:val="00A8589B"/>
    <w:rsid w:val="00A86531"/>
    <w:rsid w:val="00A868CF"/>
    <w:rsid w:val="00A901ED"/>
    <w:rsid w:val="00A90D9E"/>
    <w:rsid w:val="00A92BD1"/>
    <w:rsid w:val="00AA070B"/>
    <w:rsid w:val="00AA16EF"/>
    <w:rsid w:val="00AA1B5C"/>
    <w:rsid w:val="00AA28D7"/>
    <w:rsid w:val="00AA6943"/>
    <w:rsid w:val="00AB11F5"/>
    <w:rsid w:val="00AB5A0D"/>
    <w:rsid w:val="00AB5B8C"/>
    <w:rsid w:val="00AB62AF"/>
    <w:rsid w:val="00AC0AE5"/>
    <w:rsid w:val="00AC193C"/>
    <w:rsid w:val="00AC256A"/>
    <w:rsid w:val="00AC33DD"/>
    <w:rsid w:val="00AC34FF"/>
    <w:rsid w:val="00AC4A05"/>
    <w:rsid w:val="00AC5420"/>
    <w:rsid w:val="00AC5565"/>
    <w:rsid w:val="00AC6683"/>
    <w:rsid w:val="00AC6BCC"/>
    <w:rsid w:val="00AC70EB"/>
    <w:rsid w:val="00AD0E8F"/>
    <w:rsid w:val="00AD22AC"/>
    <w:rsid w:val="00AD34A5"/>
    <w:rsid w:val="00AD5596"/>
    <w:rsid w:val="00AD5697"/>
    <w:rsid w:val="00AE08A6"/>
    <w:rsid w:val="00AE2F94"/>
    <w:rsid w:val="00AE53CE"/>
    <w:rsid w:val="00AE6489"/>
    <w:rsid w:val="00AE7CDD"/>
    <w:rsid w:val="00AE7DB7"/>
    <w:rsid w:val="00AF1BF1"/>
    <w:rsid w:val="00AF1D88"/>
    <w:rsid w:val="00AF496E"/>
    <w:rsid w:val="00AF497E"/>
    <w:rsid w:val="00AF768E"/>
    <w:rsid w:val="00AF796C"/>
    <w:rsid w:val="00AF7AED"/>
    <w:rsid w:val="00B01F17"/>
    <w:rsid w:val="00B020A8"/>
    <w:rsid w:val="00B02382"/>
    <w:rsid w:val="00B05BDF"/>
    <w:rsid w:val="00B07E52"/>
    <w:rsid w:val="00B10138"/>
    <w:rsid w:val="00B10586"/>
    <w:rsid w:val="00B129C3"/>
    <w:rsid w:val="00B1478C"/>
    <w:rsid w:val="00B14A29"/>
    <w:rsid w:val="00B15EB7"/>
    <w:rsid w:val="00B172AA"/>
    <w:rsid w:val="00B21032"/>
    <w:rsid w:val="00B21796"/>
    <w:rsid w:val="00B21CD8"/>
    <w:rsid w:val="00B21D11"/>
    <w:rsid w:val="00B22564"/>
    <w:rsid w:val="00B22C32"/>
    <w:rsid w:val="00B232CA"/>
    <w:rsid w:val="00B25835"/>
    <w:rsid w:val="00B30DFF"/>
    <w:rsid w:val="00B31293"/>
    <w:rsid w:val="00B3481D"/>
    <w:rsid w:val="00B351DE"/>
    <w:rsid w:val="00B35F34"/>
    <w:rsid w:val="00B36944"/>
    <w:rsid w:val="00B378AF"/>
    <w:rsid w:val="00B40AB7"/>
    <w:rsid w:val="00B40C37"/>
    <w:rsid w:val="00B457A1"/>
    <w:rsid w:val="00B46F92"/>
    <w:rsid w:val="00B511C3"/>
    <w:rsid w:val="00B548CD"/>
    <w:rsid w:val="00B56076"/>
    <w:rsid w:val="00B56608"/>
    <w:rsid w:val="00B566D8"/>
    <w:rsid w:val="00B5672A"/>
    <w:rsid w:val="00B57D15"/>
    <w:rsid w:val="00B6105B"/>
    <w:rsid w:val="00B63206"/>
    <w:rsid w:val="00B67404"/>
    <w:rsid w:val="00B71735"/>
    <w:rsid w:val="00B72F4E"/>
    <w:rsid w:val="00B73284"/>
    <w:rsid w:val="00B735BC"/>
    <w:rsid w:val="00B745B8"/>
    <w:rsid w:val="00B75FB2"/>
    <w:rsid w:val="00B7789F"/>
    <w:rsid w:val="00B8076D"/>
    <w:rsid w:val="00B82521"/>
    <w:rsid w:val="00B8279D"/>
    <w:rsid w:val="00B84774"/>
    <w:rsid w:val="00B873AD"/>
    <w:rsid w:val="00B91527"/>
    <w:rsid w:val="00B92DD9"/>
    <w:rsid w:val="00B94E83"/>
    <w:rsid w:val="00B957FB"/>
    <w:rsid w:val="00B97CD3"/>
    <w:rsid w:val="00BA2412"/>
    <w:rsid w:val="00BA3B17"/>
    <w:rsid w:val="00BB02F0"/>
    <w:rsid w:val="00BB2EC4"/>
    <w:rsid w:val="00BB3160"/>
    <w:rsid w:val="00BB34DF"/>
    <w:rsid w:val="00BB3558"/>
    <w:rsid w:val="00BB4740"/>
    <w:rsid w:val="00BB670E"/>
    <w:rsid w:val="00BB7FCA"/>
    <w:rsid w:val="00BC0C59"/>
    <w:rsid w:val="00BC2245"/>
    <w:rsid w:val="00BC4412"/>
    <w:rsid w:val="00BC64FB"/>
    <w:rsid w:val="00BC7C75"/>
    <w:rsid w:val="00BD0A50"/>
    <w:rsid w:val="00BD0D94"/>
    <w:rsid w:val="00BD1543"/>
    <w:rsid w:val="00BD1E7E"/>
    <w:rsid w:val="00BD2369"/>
    <w:rsid w:val="00BD2B8D"/>
    <w:rsid w:val="00BD335E"/>
    <w:rsid w:val="00BD354A"/>
    <w:rsid w:val="00BD4E65"/>
    <w:rsid w:val="00BD6ABB"/>
    <w:rsid w:val="00BD7C5E"/>
    <w:rsid w:val="00BE0EDF"/>
    <w:rsid w:val="00BE21F6"/>
    <w:rsid w:val="00BE3D15"/>
    <w:rsid w:val="00BE76BD"/>
    <w:rsid w:val="00BF0307"/>
    <w:rsid w:val="00BF13B0"/>
    <w:rsid w:val="00BF4626"/>
    <w:rsid w:val="00BF54CC"/>
    <w:rsid w:val="00BF7654"/>
    <w:rsid w:val="00BF78E4"/>
    <w:rsid w:val="00C00A8B"/>
    <w:rsid w:val="00C00E35"/>
    <w:rsid w:val="00C05489"/>
    <w:rsid w:val="00C07082"/>
    <w:rsid w:val="00C11E20"/>
    <w:rsid w:val="00C1289C"/>
    <w:rsid w:val="00C12BA6"/>
    <w:rsid w:val="00C13AED"/>
    <w:rsid w:val="00C153CE"/>
    <w:rsid w:val="00C159A2"/>
    <w:rsid w:val="00C17226"/>
    <w:rsid w:val="00C1748D"/>
    <w:rsid w:val="00C20E21"/>
    <w:rsid w:val="00C21525"/>
    <w:rsid w:val="00C218D3"/>
    <w:rsid w:val="00C21C0D"/>
    <w:rsid w:val="00C25647"/>
    <w:rsid w:val="00C27AE9"/>
    <w:rsid w:val="00C30AEC"/>
    <w:rsid w:val="00C30B81"/>
    <w:rsid w:val="00C30F8F"/>
    <w:rsid w:val="00C319C7"/>
    <w:rsid w:val="00C320EB"/>
    <w:rsid w:val="00C33E02"/>
    <w:rsid w:val="00C34B18"/>
    <w:rsid w:val="00C352FC"/>
    <w:rsid w:val="00C3625B"/>
    <w:rsid w:val="00C40C7B"/>
    <w:rsid w:val="00C43BEB"/>
    <w:rsid w:val="00C44519"/>
    <w:rsid w:val="00C45421"/>
    <w:rsid w:val="00C47BC6"/>
    <w:rsid w:val="00C52766"/>
    <w:rsid w:val="00C52E0D"/>
    <w:rsid w:val="00C5516A"/>
    <w:rsid w:val="00C555B1"/>
    <w:rsid w:val="00C55D28"/>
    <w:rsid w:val="00C61CE2"/>
    <w:rsid w:val="00C63F65"/>
    <w:rsid w:val="00C64845"/>
    <w:rsid w:val="00C67FC1"/>
    <w:rsid w:val="00C70934"/>
    <w:rsid w:val="00C716C5"/>
    <w:rsid w:val="00C7173D"/>
    <w:rsid w:val="00C71F30"/>
    <w:rsid w:val="00C72CA4"/>
    <w:rsid w:val="00C72F31"/>
    <w:rsid w:val="00C75356"/>
    <w:rsid w:val="00C75909"/>
    <w:rsid w:val="00C77DD8"/>
    <w:rsid w:val="00C8151E"/>
    <w:rsid w:val="00C8326F"/>
    <w:rsid w:val="00C84355"/>
    <w:rsid w:val="00C86191"/>
    <w:rsid w:val="00C87244"/>
    <w:rsid w:val="00C90D90"/>
    <w:rsid w:val="00C92325"/>
    <w:rsid w:val="00C9343F"/>
    <w:rsid w:val="00C93DFD"/>
    <w:rsid w:val="00C94728"/>
    <w:rsid w:val="00CA0876"/>
    <w:rsid w:val="00CA0A22"/>
    <w:rsid w:val="00CA1487"/>
    <w:rsid w:val="00CA1E0B"/>
    <w:rsid w:val="00CA386B"/>
    <w:rsid w:val="00CA6718"/>
    <w:rsid w:val="00CB07D8"/>
    <w:rsid w:val="00CB22E1"/>
    <w:rsid w:val="00CB2D1C"/>
    <w:rsid w:val="00CB3874"/>
    <w:rsid w:val="00CB3D49"/>
    <w:rsid w:val="00CB5F1A"/>
    <w:rsid w:val="00CB69B8"/>
    <w:rsid w:val="00CB6D2A"/>
    <w:rsid w:val="00CC0231"/>
    <w:rsid w:val="00CC5190"/>
    <w:rsid w:val="00CC5F4E"/>
    <w:rsid w:val="00CC665B"/>
    <w:rsid w:val="00CC6E91"/>
    <w:rsid w:val="00CD198F"/>
    <w:rsid w:val="00CD1B0B"/>
    <w:rsid w:val="00CD221A"/>
    <w:rsid w:val="00CD2477"/>
    <w:rsid w:val="00CD3B3A"/>
    <w:rsid w:val="00CD434E"/>
    <w:rsid w:val="00CD455F"/>
    <w:rsid w:val="00CD53F4"/>
    <w:rsid w:val="00CD5CE4"/>
    <w:rsid w:val="00CD6824"/>
    <w:rsid w:val="00CE3EB7"/>
    <w:rsid w:val="00CE4818"/>
    <w:rsid w:val="00CE495F"/>
    <w:rsid w:val="00CE5862"/>
    <w:rsid w:val="00CE7283"/>
    <w:rsid w:val="00CF2181"/>
    <w:rsid w:val="00CF347E"/>
    <w:rsid w:val="00CF39EF"/>
    <w:rsid w:val="00CF4D30"/>
    <w:rsid w:val="00CF4EE4"/>
    <w:rsid w:val="00CF5EA8"/>
    <w:rsid w:val="00CF6A0D"/>
    <w:rsid w:val="00CF7CF5"/>
    <w:rsid w:val="00D00600"/>
    <w:rsid w:val="00D034DD"/>
    <w:rsid w:val="00D04786"/>
    <w:rsid w:val="00D05792"/>
    <w:rsid w:val="00D0716E"/>
    <w:rsid w:val="00D11BD4"/>
    <w:rsid w:val="00D130E0"/>
    <w:rsid w:val="00D149F1"/>
    <w:rsid w:val="00D168E2"/>
    <w:rsid w:val="00D16C13"/>
    <w:rsid w:val="00D212AB"/>
    <w:rsid w:val="00D223D0"/>
    <w:rsid w:val="00D224C8"/>
    <w:rsid w:val="00D24651"/>
    <w:rsid w:val="00D27200"/>
    <w:rsid w:val="00D27D1C"/>
    <w:rsid w:val="00D3091B"/>
    <w:rsid w:val="00D33C62"/>
    <w:rsid w:val="00D402E5"/>
    <w:rsid w:val="00D40CC4"/>
    <w:rsid w:val="00D41769"/>
    <w:rsid w:val="00D42331"/>
    <w:rsid w:val="00D502EA"/>
    <w:rsid w:val="00D5049B"/>
    <w:rsid w:val="00D51F11"/>
    <w:rsid w:val="00D53C42"/>
    <w:rsid w:val="00D55FC6"/>
    <w:rsid w:val="00D569D9"/>
    <w:rsid w:val="00D57E3D"/>
    <w:rsid w:val="00D57E4B"/>
    <w:rsid w:val="00D61429"/>
    <w:rsid w:val="00D6189D"/>
    <w:rsid w:val="00D64ABF"/>
    <w:rsid w:val="00D65A4D"/>
    <w:rsid w:val="00D65DDD"/>
    <w:rsid w:val="00D71916"/>
    <w:rsid w:val="00D72758"/>
    <w:rsid w:val="00D72A23"/>
    <w:rsid w:val="00D7382A"/>
    <w:rsid w:val="00D7384B"/>
    <w:rsid w:val="00D754DA"/>
    <w:rsid w:val="00D75B38"/>
    <w:rsid w:val="00D763FE"/>
    <w:rsid w:val="00D76ACE"/>
    <w:rsid w:val="00D77ED8"/>
    <w:rsid w:val="00D77F5A"/>
    <w:rsid w:val="00D800EB"/>
    <w:rsid w:val="00D831BB"/>
    <w:rsid w:val="00D83B3C"/>
    <w:rsid w:val="00D83CC6"/>
    <w:rsid w:val="00D83DE5"/>
    <w:rsid w:val="00D84F44"/>
    <w:rsid w:val="00D87E42"/>
    <w:rsid w:val="00D90768"/>
    <w:rsid w:val="00D90D13"/>
    <w:rsid w:val="00D9244B"/>
    <w:rsid w:val="00D9344D"/>
    <w:rsid w:val="00D93544"/>
    <w:rsid w:val="00D94992"/>
    <w:rsid w:val="00D97714"/>
    <w:rsid w:val="00DA3A3D"/>
    <w:rsid w:val="00DA69F5"/>
    <w:rsid w:val="00DA7F71"/>
    <w:rsid w:val="00DB0B62"/>
    <w:rsid w:val="00DB11FF"/>
    <w:rsid w:val="00DB1C72"/>
    <w:rsid w:val="00DB3FF4"/>
    <w:rsid w:val="00DB4665"/>
    <w:rsid w:val="00DB501D"/>
    <w:rsid w:val="00DB6778"/>
    <w:rsid w:val="00DB7097"/>
    <w:rsid w:val="00DC000A"/>
    <w:rsid w:val="00DC1831"/>
    <w:rsid w:val="00DC3B48"/>
    <w:rsid w:val="00DC43CC"/>
    <w:rsid w:val="00DC4F82"/>
    <w:rsid w:val="00DC690D"/>
    <w:rsid w:val="00DC7BCE"/>
    <w:rsid w:val="00DD2CFA"/>
    <w:rsid w:val="00DD2FDE"/>
    <w:rsid w:val="00DD355D"/>
    <w:rsid w:val="00DD4FDC"/>
    <w:rsid w:val="00DD65C1"/>
    <w:rsid w:val="00DD67C8"/>
    <w:rsid w:val="00DD6F9F"/>
    <w:rsid w:val="00DE01E0"/>
    <w:rsid w:val="00DE498B"/>
    <w:rsid w:val="00DE53FD"/>
    <w:rsid w:val="00DF0B42"/>
    <w:rsid w:val="00DF0F2C"/>
    <w:rsid w:val="00DF1D26"/>
    <w:rsid w:val="00DF23DD"/>
    <w:rsid w:val="00DF2495"/>
    <w:rsid w:val="00DF24ED"/>
    <w:rsid w:val="00DF340C"/>
    <w:rsid w:val="00DF34DD"/>
    <w:rsid w:val="00DF597A"/>
    <w:rsid w:val="00DF6617"/>
    <w:rsid w:val="00DF72A6"/>
    <w:rsid w:val="00E000AB"/>
    <w:rsid w:val="00E00322"/>
    <w:rsid w:val="00E00443"/>
    <w:rsid w:val="00E00CE4"/>
    <w:rsid w:val="00E00D4A"/>
    <w:rsid w:val="00E00E13"/>
    <w:rsid w:val="00E0176D"/>
    <w:rsid w:val="00E01BEF"/>
    <w:rsid w:val="00E029AB"/>
    <w:rsid w:val="00E039F6"/>
    <w:rsid w:val="00E049C0"/>
    <w:rsid w:val="00E079C8"/>
    <w:rsid w:val="00E07C0F"/>
    <w:rsid w:val="00E07EAF"/>
    <w:rsid w:val="00E10137"/>
    <w:rsid w:val="00E10810"/>
    <w:rsid w:val="00E10BD3"/>
    <w:rsid w:val="00E115E5"/>
    <w:rsid w:val="00E13814"/>
    <w:rsid w:val="00E1687B"/>
    <w:rsid w:val="00E203C7"/>
    <w:rsid w:val="00E2596C"/>
    <w:rsid w:val="00E26445"/>
    <w:rsid w:val="00E2795E"/>
    <w:rsid w:val="00E3073D"/>
    <w:rsid w:val="00E345DC"/>
    <w:rsid w:val="00E34C6E"/>
    <w:rsid w:val="00E35521"/>
    <w:rsid w:val="00E3556C"/>
    <w:rsid w:val="00E35EC4"/>
    <w:rsid w:val="00E36745"/>
    <w:rsid w:val="00E36E4C"/>
    <w:rsid w:val="00E37845"/>
    <w:rsid w:val="00E37E23"/>
    <w:rsid w:val="00E413F0"/>
    <w:rsid w:val="00E5136E"/>
    <w:rsid w:val="00E517B2"/>
    <w:rsid w:val="00E521E2"/>
    <w:rsid w:val="00E53F4A"/>
    <w:rsid w:val="00E543D7"/>
    <w:rsid w:val="00E54F83"/>
    <w:rsid w:val="00E55FFF"/>
    <w:rsid w:val="00E57895"/>
    <w:rsid w:val="00E57B73"/>
    <w:rsid w:val="00E607D4"/>
    <w:rsid w:val="00E61E8D"/>
    <w:rsid w:val="00E628EF"/>
    <w:rsid w:val="00E64670"/>
    <w:rsid w:val="00E65B6B"/>
    <w:rsid w:val="00E662AE"/>
    <w:rsid w:val="00E6668B"/>
    <w:rsid w:val="00E72075"/>
    <w:rsid w:val="00E7222D"/>
    <w:rsid w:val="00E74310"/>
    <w:rsid w:val="00E7656F"/>
    <w:rsid w:val="00E76DC1"/>
    <w:rsid w:val="00E81993"/>
    <w:rsid w:val="00E837BF"/>
    <w:rsid w:val="00E83EA2"/>
    <w:rsid w:val="00E84A4F"/>
    <w:rsid w:val="00E855CC"/>
    <w:rsid w:val="00E855FE"/>
    <w:rsid w:val="00E85847"/>
    <w:rsid w:val="00E859CC"/>
    <w:rsid w:val="00E93991"/>
    <w:rsid w:val="00E94144"/>
    <w:rsid w:val="00E94B56"/>
    <w:rsid w:val="00E95B9A"/>
    <w:rsid w:val="00E95BB6"/>
    <w:rsid w:val="00E95DF4"/>
    <w:rsid w:val="00E962E2"/>
    <w:rsid w:val="00E96D71"/>
    <w:rsid w:val="00EA0487"/>
    <w:rsid w:val="00EA0525"/>
    <w:rsid w:val="00EA0BCC"/>
    <w:rsid w:val="00EA0C2B"/>
    <w:rsid w:val="00EA0EA0"/>
    <w:rsid w:val="00EA25E6"/>
    <w:rsid w:val="00EA2D6E"/>
    <w:rsid w:val="00EA3CB6"/>
    <w:rsid w:val="00EA440C"/>
    <w:rsid w:val="00EA4BD6"/>
    <w:rsid w:val="00EB19E3"/>
    <w:rsid w:val="00EB4946"/>
    <w:rsid w:val="00EB4AAA"/>
    <w:rsid w:val="00EB5FDA"/>
    <w:rsid w:val="00EB646D"/>
    <w:rsid w:val="00EB6BEB"/>
    <w:rsid w:val="00EB72F4"/>
    <w:rsid w:val="00EB7751"/>
    <w:rsid w:val="00EC1247"/>
    <w:rsid w:val="00EC3061"/>
    <w:rsid w:val="00EC4C36"/>
    <w:rsid w:val="00EC5E81"/>
    <w:rsid w:val="00ED11E0"/>
    <w:rsid w:val="00ED1302"/>
    <w:rsid w:val="00ED25D9"/>
    <w:rsid w:val="00ED32A3"/>
    <w:rsid w:val="00ED3C6B"/>
    <w:rsid w:val="00ED428E"/>
    <w:rsid w:val="00ED4FBB"/>
    <w:rsid w:val="00EE0DBF"/>
    <w:rsid w:val="00EE5253"/>
    <w:rsid w:val="00EE7798"/>
    <w:rsid w:val="00EF3D11"/>
    <w:rsid w:val="00EF7212"/>
    <w:rsid w:val="00EF7E19"/>
    <w:rsid w:val="00F01575"/>
    <w:rsid w:val="00F051FE"/>
    <w:rsid w:val="00F05349"/>
    <w:rsid w:val="00F0610C"/>
    <w:rsid w:val="00F066BA"/>
    <w:rsid w:val="00F06D19"/>
    <w:rsid w:val="00F1038A"/>
    <w:rsid w:val="00F1076D"/>
    <w:rsid w:val="00F12B67"/>
    <w:rsid w:val="00F12F3B"/>
    <w:rsid w:val="00F130CB"/>
    <w:rsid w:val="00F1393F"/>
    <w:rsid w:val="00F14580"/>
    <w:rsid w:val="00F15097"/>
    <w:rsid w:val="00F1599C"/>
    <w:rsid w:val="00F160EF"/>
    <w:rsid w:val="00F20AF8"/>
    <w:rsid w:val="00F218D3"/>
    <w:rsid w:val="00F21A87"/>
    <w:rsid w:val="00F21D0B"/>
    <w:rsid w:val="00F22082"/>
    <w:rsid w:val="00F26A2A"/>
    <w:rsid w:val="00F26ABD"/>
    <w:rsid w:val="00F27BC7"/>
    <w:rsid w:val="00F3186D"/>
    <w:rsid w:val="00F32164"/>
    <w:rsid w:val="00F32568"/>
    <w:rsid w:val="00F333C5"/>
    <w:rsid w:val="00F3648C"/>
    <w:rsid w:val="00F3709A"/>
    <w:rsid w:val="00F3728E"/>
    <w:rsid w:val="00F37ECE"/>
    <w:rsid w:val="00F44205"/>
    <w:rsid w:val="00F4448D"/>
    <w:rsid w:val="00F473EB"/>
    <w:rsid w:val="00F475A9"/>
    <w:rsid w:val="00F51350"/>
    <w:rsid w:val="00F52742"/>
    <w:rsid w:val="00F52755"/>
    <w:rsid w:val="00F527C5"/>
    <w:rsid w:val="00F53CE0"/>
    <w:rsid w:val="00F5452A"/>
    <w:rsid w:val="00F5748A"/>
    <w:rsid w:val="00F62B78"/>
    <w:rsid w:val="00F64E53"/>
    <w:rsid w:val="00F65077"/>
    <w:rsid w:val="00F70782"/>
    <w:rsid w:val="00F70A03"/>
    <w:rsid w:val="00F72438"/>
    <w:rsid w:val="00F72E60"/>
    <w:rsid w:val="00F731CA"/>
    <w:rsid w:val="00F735A6"/>
    <w:rsid w:val="00F73F4E"/>
    <w:rsid w:val="00F74A80"/>
    <w:rsid w:val="00F768B8"/>
    <w:rsid w:val="00F76A88"/>
    <w:rsid w:val="00F76C3C"/>
    <w:rsid w:val="00F77779"/>
    <w:rsid w:val="00F81050"/>
    <w:rsid w:val="00F9078F"/>
    <w:rsid w:val="00F91427"/>
    <w:rsid w:val="00F92F6A"/>
    <w:rsid w:val="00F93352"/>
    <w:rsid w:val="00FA3040"/>
    <w:rsid w:val="00FA338C"/>
    <w:rsid w:val="00FA357B"/>
    <w:rsid w:val="00FA4D2A"/>
    <w:rsid w:val="00FA596D"/>
    <w:rsid w:val="00FA78E3"/>
    <w:rsid w:val="00FB0564"/>
    <w:rsid w:val="00FB14AA"/>
    <w:rsid w:val="00FB1508"/>
    <w:rsid w:val="00FB3FCD"/>
    <w:rsid w:val="00FB4F61"/>
    <w:rsid w:val="00FB54C8"/>
    <w:rsid w:val="00FB5627"/>
    <w:rsid w:val="00FB5BF7"/>
    <w:rsid w:val="00FB7ECA"/>
    <w:rsid w:val="00FC1A28"/>
    <w:rsid w:val="00FC284D"/>
    <w:rsid w:val="00FC40E9"/>
    <w:rsid w:val="00FD018C"/>
    <w:rsid w:val="00FD1A82"/>
    <w:rsid w:val="00FD5C00"/>
    <w:rsid w:val="00FD6532"/>
    <w:rsid w:val="00FD7C21"/>
    <w:rsid w:val="00FE2FC0"/>
    <w:rsid w:val="00FE4EBF"/>
    <w:rsid w:val="00FE4F42"/>
    <w:rsid w:val="00FE560F"/>
    <w:rsid w:val="00FE7CC0"/>
    <w:rsid w:val="00FF1AED"/>
    <w:rsid w:val="00FF1E1C"/>
    <w:rsid w:val="00FF2AFB"/>
    <w:rsid w:val="00FF3EB1"/>
    <w:rsid w:val="00FF4303"/>
    <w:rsid w:val="00FF6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2FCA7A7"/>
  <w15:docId w15:val="{1FE25F00-F25F-4B85-8878-7D0F83FC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2E2"/>
    <w:pPr>
      <w:widowControl w:val="0"/>
      <w:autoSpaceDE w:val="0"/>
      <w:autoSpaceDN w:val="0"/>
      <w:adjustRightInd w:val="0"/>
    </w:pPr>
    <w:rPr>
      <w:rFonts w:ascii="Arial" w:eastAsiaTheme="minorHAnsi" w:hAnsi="Arial" w:cs="Arial"/>
      <w:sz w:val="22"/>
      <w:szCs w:val="22"/>
    </w:rPr>
  </w:style>
  <w:style w:type="paragraph" w:styleId="Heading1">
    <w:name w:val="heading 1"/>
    <w:next w:val="BodyText"/>
    <w:link w:val="Heading1Char"/>
    <w:qFormat/>
    <w:rsid w:val="00E962E2"/>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E962E2"/>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E962E2"/>
    <w:pPr>
      <w:outlineLvl w:val="2"/>
    </w:pPr>
  </w:style>
  <w:style w:type="paragraph" w:styleId="Heading4">
    <w:name w:val="heading 4"/>
    <w:next w:val="BodyText"/>
    <w:link w:val="Heading4Char"/>
    <w:uiPriority w:val="9"/>
    <w:semiHidden/>
    <w:unhideWhenUsed/>
    <w:qFormat/>
    <w:rsid w:val="00E962E2"/>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E962E2"/>
    <w:pPr>
      <w:tabs>
        <w:tab w:val="center" w:pos="4320"/>
        <w:tab w:val="right" w:pos="8640"/>
      </w:tabs>
    </w:pPr>
    <w:rPr>
      <w:rFonts w:eastAsia="Times New Roman"/>
    </w:rPr>
  </w:style>
  <w:style w:type="character" w:customStyle="1" w:styleId="HeaderChar">
    <w:name w:val="Header Char"/>
    <w:basedOn w:val="DefaultParagraphFont"/>
    <w:link w:val="Header"/>
    <w:rsid w:val="00E962E2"/>
    <w:rPr>
      <w:rFonts w:ascii="Arial" w:hAnsi="Arial" w:cs="Arial"/>
      <w:sz w:val="22"/>
      <w:szCs w:val="22"/>
    </w:rPr>
  </w:style>
  <w:style w:type="paragraph" w:styleId="Footer">
    <w:name w:val="footer"/>
    <w:link w:val="FooterChar"/>
    <w:uiPriority w:val="99"/>
    <w:unhideWhenUsed/>
    <w:rsid w:val="00E962E2"/>
    <w:pPr>
      <w:tabs>
        <w:tab w:val="center" w:pos="4680"/>
        <w:tab w:val="right" w:pos="9360"/>
      </w:tabs>
      <w:spacing w:after="220"/>
    </w:pPr>
    <w:rPr>
      <w:rFonts w:ascii="Arial" w:eastAsiaTheme="minorHAnsi" w:hAnsi="Arial" w:cs="Arial"/>
      <w:sz w:val="22"/>
      <w:szCs w:val="22"/>
    </w:rPr>
  </w:style>
  <w:style w:type="character" w:customStyle="1" w:styleId="FooterChar">
    <w:name w:val="Footer Char"/>
    <w:basedOn w:val="DefaultParagraphFont"/>
    <w:link w:val="Footer"/>
    <w:uiPriority w:val="99"/>
    <w:rsid w:val="00E962E2"/>
    <w:rPr>
      <w:rFonts w:ascii="Arial" w:eastAsiaTheme="minorHAnsi" w:hAnsi="Arial" w:cs="Arial"/>
      <w:sz w:val="22"/>
      <w:szCs w:val="22"/>
    </w:rPr>
  </w:style>
  <w:style w:type="paragraph" w:styleId="ListParagraph">
    <w:name w:val="List Paragraph"/>
    <w:basedOn w:val="Normal"/>
    <w:uiPriority w:val="34"/>
    <w:qFormat/>
    <w:rsid w:val="00E962E2"/>
    <w:pPr>
      <w:ind w:left="720"/>
      <w:contextualSpacing/>
    </w:pPr>
  </w:style>
  <w:style w:type="paragraph" w:styleId="BalloonText">
    <w:name w:val="Balloon Text"/>
    <w:basedOn w:val="Normal"/>
    <w:link w:val="BalloonTextChar"/>
    <w:semiHidden/>
    <w:unhideWhenUsed/>
    <w:rsid w:val="00F066BA"/>
    <w:rPr>
      <w:rFonts w:ascii="Segoe UI" w:hAnsi="Segoe UI" w:cs="Segoe UI"/>
      <w:sz w:val="18"/>
      <w:szCs w:val="18"/>
    </w:rPr>
  </w:style>
  <w:style w:type="character" w:customStyle="1" w:styleId="BalloonTextChar">
    <w:name w:val="Balloon Text Char"/>
    <w:basedOn w:val="DefaultParagraphFont"/>
    <w:link w:val="BalloonText"/>
    <w:semiHidden/>
    <w:rsid w:val="00F066BA"/>
    <w:rPr>
      <w:rFonts w:ascii="Segoe UI" w:hAnsi="Segoe UI" w:cs="Segoe UI"/>
      <w:sz w:val="18"/>
      <w:szCs w:val="18"/>
    </w:rPr>
  </w:style>
  <w:style w:type="table" w:styleId="TableGrid">
    <w:name w:val="Table Grid"/>
    <w:basedOn w:val="TableNormal"/>
    <w:rsid w:val="00BC2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42849"/>
    <w:rPr>
      <w:sz w:val="16"/>
      <w:szCs w:val="16"/>
    </w:rPr>
  </w:style>
  <w:style w:type="paragraph" w:styleId="CommentText">
    <w:name w:val="annotation text"/>
    <w:basedOn w:val="Normal"/>
    <w:link w:val="CommentTextChar"/>
    <w:unhideWhenUsed/>
    <w:rsid w:val="00542849"/>
    <w:rPr>
      <w:sz w:val="20"/>
      <w:szCs w:val="20"/>
    </w:rPr>
  </w:style>
  <w:style w:type="character" w:customStyle="1" w:styleId="CommentTextChar">
    <w:name w:val="Comment Text Char"/>
    <w:basedOn w:val="DefaultParagraphFont"/>
    <w:link w:val="CommentText"/>
    <w:rsid w:val="00542849"/>
    <w:rPr>
      <w:rFonts w:ascii="Arial" w:hAnsi="Arial"/>
    </w:rPr>
  </w:style>
  <w:style w:type="paragraph" w:styleId="CommentSubject">
    <w:name w:val="annotation subject"/>
    <w:basedOn w:val="CommentText"/>
    <w:next w:val="CommentText"/>
    <w:link w:val="CommentSubjectChar"/>
    <w:semiHidden/>
    <w:unhideWhenUsed/>
    <w:rsid w:val="00542849"/>
    <w:rPr>
      <w:b/>
      <w:bCs/>
    </w:rPr>
  </w:style>
  <w:style w:type="character" w:customStyle="1" w:styleId="CommentSubjectChar">
    <w:name w:val="Comment Subject Char"/>
    <w:basedOn w:val="CommentTextChar"/>
    <w:link w:val="CommentSubject"/>
    <w:semiHidden/>
    <w:rsid w:val="00542849"/>
    <w:rPr>
      <w:rFonts w:ascii="Arial" w:hAnsi="Arial"/>
      <w:b/>
      <w:bCs/>
    </w:rPr>
  </w:style>
  <w:style w:type="paragraph" w:styleId="Revision">
    <w:name w:val="Revision"/>
    <w:hidden/>
    <w:uiPriority w:val="99"/>
    <w:semiHidden/>
    <w:rsid w:val="00A90D9E"/>
    <w:rPr>
      <w:rFonts w:ascii="Arial" w:hAnsi="Arial"/>
      <w:sz w:val="22"/>
      <w:szCs w:val="24"/>
    </w:rPr>
  </w:style>
  <w:style w:type="paragraph" w:customStyle="1" w:styleId="NRCINSPECTIONMANUAL">
    <w:name w:val="NRC INSPECTION MANUAL"/>
    <w:next w:val="BodyText"/>
    <w:link w:val="NRCINSPECTIONMANUALChar"/>
    <w:qFormat/>
    <w:rsid w:val="00E962E2"/>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E962E2"/>
    <w:rPr>
      <w:rFonts w:ascii="Arial" w:eastAsiaTheme="minorHAnsi" w:hAnsi="Arial" w:cs="Arial"/>
      <w:szCs w:val="22"/>
    </w:rPr>
  </w:style>
  <w:style w:type="paragraph" w:styleId="BodyText">
    <w:name w:val="Body Text"/>
    <w:link w:val="BodyTextChar"/>
    <w:rsid w:val="00E962E2"/>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E962E2"/>
    <w:rPr>
      <w:rFonts w:ascii="Arial" w:eastAsiaTheme="minorHAnsi" w:hAnsi="Arial" w:cs="Arial"/>
      <w:sz w:val="22"/>
      <w:szCs w:val="22"/>
    </w:rPr>
  </w:style>
  <w:style w:type="character" w:customStyle="1" w:styleId="Heading1Char">
    <w:name w:val="Heading 1 Char"/>
    <w:basedOn w:val="DefaultParagraphFont"/>
    <w:link w:val="Heading1"/>
    <w:rsid w:val="00E962E2"/>
    <w:rPr>
      <w:rFonts w:ascii="Arial" w:eastAsiaTheme="majorEastAsia" w:hAnsi="Arial" w:cstheme="majorBidi"/>
      <w:caps/>
      <w:sz w:val="22"/>
      <w:szCs w:val="22"/>
    </w:rPr>
  </w:style>
  <w:style w:type="paragraph" w:styleId="BodyText2">
    <w:name w:val="Body Text 2"/>
    <w:link w:val="BodyText2Char"/>
    <w:rsid w:val="00E962E2"/>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E962E2"/>
    <w:rPr>
      <w:rFonts w:ascii="Arial" w:eastAsiaTheme="majorEastAsia" w:hAnsi="Arial" w:cstheme="majorBidi"/>
      <w:sz w:val="22"/>
      <w:szCs w:val="22"/>
    </w:rPr>
  </w:style>
  <w:style w:type="paragraph" w:customStyle="1" w:styleId="Appendixtitle">
    <w:name w:val="Appendix title"/>
    <w:basedOn w:val="BodyText"/>
    <w:next w:val="BodyText"/>
    <w:qFormat/>
    <w:rsid w:val="00E962E2"/>
    <w:pPr>
      <w:jc w:val="center"/>
      <w:outlineLvl w:val="0"/>
    </w:pPr>
    <w:rPr>
      <w:rFonts w:asciiTheme="minorHAnsi" w:hAnsiTheme="minorHAnsi" w:cstheme="minorHAnsi"/>
    </w:rPr>
  </w:style>
  <w:style w:type="paragraph" w:customStyle="1" w:styleId="Applicability">
    <w:name w:val="Applicability"/>
    <w:basedOn w:val="BodyText"/>
    <w:qFormat/>
    <w:rsid w:val="00E962E2"/>
    <w:pPr>
      <w:spacing w:before="440"/>
      <w:ind w:left="2160" w:hanging="2160"/>
    </w:pPr>
  </w:style>
  <w:style w:type="paragraph" w:customStyle="1" w:styleId="attachmenttitle">
    <w:name w:val="attachment title"/>
    <w:next w:val="BodyText"/>
    <w:qFormat/>
    <w:rsid w:val="00E962E2"/>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E962E2"/>
    <w:rPr>
      <w:rFonts w:ascii="Arial" w:eastAsiaTheme="minorHAnsi" w:hAnsi="Arial" w:cstheme="minorBidi"/>
      <w:sz w:val="22"/>
      <w:szCs w:val="22"/>
    </w:rPr>
  </w:style>
  <w:style w:type="paragraph" w:styleId="BodyText3">
    <w:name w:val="Body Text 3"/>
    <w:basedOn w:val="BodyText"/>
    <w:link w:val="BodyText3Char"/>
    <w:rsid w:val="00E962E2"/>
    <w:pPr>
      <w:ind w:left="720"/>
    </w:pPr>
    <w:rPr>
      <w:rFonts w:eastAsiaTheme="majorEastAsia" w:cstheme="majorBidi"/>
    </w:rPr>
  </w:style>
  <w:style w:type="character" w:customStyle="1" w:styleId="BodyText3Char">
    <w:name w:val="Body Text 3 Char"/>
    <w:basedOn w:val="DefaultParagraphFont"/>
    <w:link w:val="BodyText3"/>
    <w:rsid w:val="00E962E2"/>
    <w:rPr>
      <w:rFonts w:ascii="Arial" w:eastAsiaTheme="majorEastAsia" w:hAnsi="Arial" w:cstheme="majorBidi"/>
      <w:sz w:val="22"/>
      <w:szCs w:val="22"/>
    </w:rPr>
  </w:style>
  <w:style w:type="character" w:customStyle="1" w:styleId="Commitment">
    <w:name w:val="Commitment"/>
    <w:basedOn w:val="BodyTextChar"/>
    <w:uiPriority w:val="1"/>
    <w:qFormat/>
    <w:rsid w:val="00E962E2"/>
    <w:rPr>
      <w:rFonts w:ascii="Arial" w:eastAsiaTheme="minorHAnsi" w:hAnsi="Arial" w:cs="Arial"/>
      <w:i/>
      <w:iCs/>
      <w:sz w:val="22"/>
      <w:szCs w:val="22"/>
    </w:rPr>
  </w:style>
  <w:style w:type="paragraph" w:customStyle="1" w:styleId="CornerstoneBases">
    <w:name w:val="Cornerstone / Bases"/>
    <w:basedOn w:val="BodyText"/>
    <w:qFormat/>
    <w:rsid w:val="00E962E2"/>
    <w:pPr>
      <w:ind w:left="2160" w:hanging="2160"/>
    </w:pPr>
  </w:style>
  <w:style w:type="paragraph" w:customStyle="1" w:styleId="EffectiveDate">
    <w:name w:val="Effective Date"/>
    <w:next w:val="BodyText"/>
    <w:qFormat/>
    <w:rsid w:val="00E962E2"/>
    <w:pPr>
      <w:spacing w:before="220" w:after="440"/>
      <w:jc w:val="center"/>
    </w:pPr>
    <w:rPr>
      <w:rFonts w:ascii="Arial" w:hAnsi="Arial" w:cs="Arial"/>
      <w:sz w:val="22"/>
      <w:szCs w:val="22"/>
    </w:rPr>
  </w:style>
  <w:style w:type="paragraph" w:customStyle="1" w:styleId="END">
    <w:name w:val="END"/>
    <w:next w:val="BodyText"/>
    <w:qFormat/>
    <w:rsid w:val="00E962E2"/>
    <w:pPr>
      <w:autoSpaceDE w:val="0"/>
      <w:autoSpaceDN w:val="0"/>
      <w:adjustRightInd w:val="0"/>
      <w:spacing w:before="440" w:after="440"/>
      <w:jc w:val="center"/>
    </w:pPr>
    <w:rPr>
      <w:rFonts w:ascii="Arial" w:hAnsi="Arial" w:cs="Arial"/>
      <w:sz w:val="22"/>
      <w:szCs w:val="22"/>
    </w:rPr>
  </w:style>
  <w:style w:type="character" w:customStyle="1" w:styleId="Heading2Char">
    <w:name w:val="Heading 2 Char"/>
    <w:basedOn w:val="DefaultParagraphFont"/>
    <w:link w:val="Heading2"/>
    <w:rsid w:val="00E962E2"/>
    <w:rPr>
      <w:rFonts w:ascii="Arial" w:eastAsiaTheme="majorEastAsia" w:hAnsi="Arial" w:cstheme="majorBidi"/>
      <w:sz w:val="22"/>
      <w:szCs w:val="22"/>
    </w:rPr>
  </w:style>
  <w:style w:type="character" w:customStyle="1" w:styleId="Heading3Char">
    <w:name w:val="Heading 3 Char"/>
    <w:basedOn w:val="DefaultParagraphFont"/>
    <w:link w:val="Heading3"/>
    <w:rsid w:val="00E962E2"/>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E962E2"/>
    <w:rPr>
      <w:rFonts w:asciiTheme="majorHAnsi" w:eastAsiaTheme="majorEastAsia" w:hAnsiTheme="majorHAnsi" w:cstheme="majorBidi"/>
      <w:iCs/>
      <w:sz w:val="22"/>
      <w:szCs w:val="22"/>
    </w:rPr>
  </w:style>
  <w:style w:type="paragraph" w:customStyle="1" w:styleId="IMCIP">
    <w:name w:val="IMC/IP #"/>
    <w:next w:val="Title"/>
    <w:rsid w:val="00E962E2"/>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E962E2"/>
    <w:pPr>
      <w:spacing w:before="220" w:after="220"/>
      <w:jc w:val="center"/>
    </w:pPr>
    <w:rPr>
      <w:rFonts w:ascii="Arial" w:hAnsi="Arial" w:cs="Arial"/>
      <w:sz w:val="22"/>
      <w:szCs w:val="22"/>
    </w:rPr>
  </w:style>
  <w:style w:type="character" w:customStyle="1" w:styleId="TitleChar">
    <w:name w:val="Title Char"/>
    <w:basedOn w:val="DefaultParagraphFont"/>
    <w:link w:val="Title"/>
    <w:rsid w:val="00E962E2"/>
    <w:rPr>
      <w:rFonts w:ascii="Arial" w:hAnsi="Arial" w:cs="Arial"/>
      <w:sz w:val="22"/>
      <w:szCs w:val="22"/>
    </w:rPr>
  </w:style>
  <w:style w:type="paragraph" w:styleId="IntenseQuote">
    <w:name w:val="Intense Quote"/>
    <w:next w:val="Normal"/>
    <w:link w:val="IntenseQuoteChar"/>
    <w:qFormat/>
    <w:rsid w:val="00E962E2"/>
    <w:pPr>
      <w:pBdr>
        <w:top w:val="single" w:sz="4" w:space="3" w:color="auto"/>
        <w:bottom w:val="single" w:sz="4" w:space="3" w:color="auto"/>
      </w:pBdr>
      <w:spacing w:before="220" w:after="220"/>
      <w:jc w:val="center"/>
    </w:pPr>
    <w:rPr>
      <w:rFonts w:ascii="Arial" w:eastAsiaTheme="minorHAnsi" w:hAnsi="Arial" w:cs="Arial"/>
      <w:iCs/>
      <w:sz w:val="22"/>
      <w:szCs w:val="22"/>
    </w:rPr>
  </w:style>
  <w:style w:type="character" w:customStyle="1" w:styleId="IntenseQuoteChar">
    <w:name w:val="Intense Quote Char"/>
    <w:basedOn w:val="DefaultParagraphFont"/>
    <w:link w:val="IntenseQuote"/>
    <w:rsid w:val="00E962E2"/>
    <w:rPr>
      <w:rFonts w:ascii="Arial" w:eastAsiaTheme="minorHAnsi" w:hAnsi="Arial" w:cs="Arial"/>
      <w:iCs/>
      <w:sz w:val="22"/>
      <w:szCs w:val="22"/>
    </w:rPr>
  </w:style>
  <w:style w:type="paragraph" w:customStyle="1" w:styleId="Level2">
    <w:name w:val="Level 2"/>
    <w:basedOn w:val="Normal"/>
    <w:rsid w:val="00E962E2"/>
    <w:pPr>
      <w:numPr>
        <w:ilvl w:val="1"/>
        <w:numId w:val="1"/>
      </w:numPr>
      <w:outlineLvl w:val="1"/>
    </w:pPr>
    <w:rPr>
      <w:rFonts w:eastAsia="Times New Roman"/>
    </w:rPr>
  </w:style>
  <w:style w:type="paragraph" w:customStyle="1" w:styleId="Level3">
    <w:name w:val="Level 3"/>
    <w:basedOn w:val="Normal"/>
    <w:rsid w:val="00E962E2"/>
    <w:pPr>
      <w:numPr>
        <w:ilvl w:val="2"/>
        <w:numId w:val="2"/>
      </w:numPr>
      <w:outlineLvl w:val="2"/>
    </w:pPr>
    <w:rPr>
      <w:rFonts w:eastAsia="Times New Roman"/>
    </w:rPr>
  </w:style>
  <w:style w:type="paragraph" w:customStyle="1" w:styleId="Lista">
    <w:name w:val="List (a)"/>
    <w:qFormat/>
    <w:rsid w:val="00E962E2"/>
    <w:pPr>
      <w:numPr>
        <w:ilvl w:val="2"/>
        <w:numId w:val="3"/>
      </w:numPr>
      <w:spacing w:after="220"/>
    </w:pPr>
    <w:rPr>
      <w:rFonts w:ascii="Arial" w:hAnsi="Arial" w:cs="Arial"/>
      <w:sz w:val="22"/>
      <w:szCs w:val="22"/>
    </w:rPr>
  </w:style>
  <w:style w:type="paragraph" w:customStyle="1" w:styleId="Lista0">
    <w:name w:val="List a"/>
    <w:basedOn w:val="BodyText"/>
    <w:rsid w:val="00E962E2"/>
    <w:pPr>
      <w:widowControl w:val="0"/>
      <w:autoSpaceDE w:val="0"/>
      <w:autoSpaceDN w:val="0"/>
      <w:adjustRightInd w:val="0"/>
    </w:pPr>
    <w:rPr>
      <w:rFonts w:eastAsia="Times New Roman" w:cs="Times New Roman"/>
      <w:szCs w:val="20"/>
    </w:rPr>
  </w:style>
  <w:style w:type="character" w:styleId="PageNumber">
    <w:name w:val="page number"/>
    <w:basedOn w:val="DefaultParagraphFont"/>
    <w:rsid w:val="00E962E2"/>
  </w:style>
  <w:style w:type="paragraph" w:customStyle="1" w:styleId="Requirement">
    <w:name w:val="Requirement"/>
    <w:basedOn w:val="BodyText3"/>
    <w:qFormat/>
    <w:rsid w:val="00E962E2"/>
    <w:pPr>
      <w:keepNext/>
    </w:pPr>
    <w:rPr>
      <w:b/>
      <w:bCs/>
    </w:rPr>
  </w:style>
  <w:style w:type="paragraph" w:customStyle="1" w:styleId="SpecificGuidance">
    <w:name w:val="Specific Guidance"/>
    <w:basedOn w:val="BodyText3"/>
    <w:qFormat/>
    <w:rsid w:val="00E962E2"/>
    <w:pPr>
      <w:keepNext/>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ebc427b-1bcf-4856-a750-efc6bf2bcca6">
      <UserInfo>
        <DisplayName>Ann Dumas</DisplayName>
        <AccountId>1085</AccountId>
        <AccountType/>
      </UserInfo>
      <UserInfo>
        <DisplayName>David Hills</DisplayName>
        <AccountId>6789</AccountId>
        <AccountType/>
      </UserInfo>
      <UserInfo>
        <DisplayName>Greta Knowles</DisplayName>
        <AccountId>4842</AccountId>
        <AccountType/>
      </UserInfo>
      <UserInfo>
        <DisplayName>Kristopher Thieneman</DisplayName>
        <AccountId>13</AccountId>
        <AccountType/>
      </UserInfo>
      <UserInfo>
        <DisplayName>Manjula Gunasekera</DisplayName>
        <AccountId>21</AccountId>
        <AccountType/>
      </UserInfo>
      <UserInfo>
        <DisplayName>Munira Ghneim</DisplayName>
        <AccountId>10</AccountId>
        <AccountType/>
      </UserInfo>
      <UserInfo>
        <DisplayName>Sylvanus Davies</DisplayName>
        <AccountId>3177</AccountId>
        <AccountType/>
      </UserInfo>
      <UserInfo>
        <DisplayName>Tomeka Terry</DisplayName>
        <AccountId>7435</AccountId>
        <AccountType/>
      </UserInfo>
      <UserInfo>
        <DisplayName>Wesley Brunson</DisplayName>
        <AccountId>14</AccountId>
        <AccountType/>
      </UserInfo>
      <UserInfo>
        <DisplayName>Marlone Davis</DisplayName>
        <AccountId>2167</AccountId>
        <AccountType/>
      </UserInfo>
      <UserInfo>
        <DisplayName>Matthew Learn</DisplayName>
        <AccountId>2085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E9FBD-19F6-4A83-9F65-CE767BCC31CF}">
  <ds:schemaRefs>
    <ds:schemaRef ds:uri="http://schemas.microsoft.com/office/2006/metadata/properties"/>
    <ds:schemaRef ds:uri="http://schemas.microsoft.com/office/infopath/2007/PartnerControls"/>
    <ds:schemaRef ds:uri="d084bbf4-67d2-42b5-ad0b-bbb3e8240277"/>
    <ds:schemaRef ds:uri="ab88f1b7-a21f-483b-a912-730cef2de801"/>
  </ds:schemaRefs>
</ds:datastoreItem>
</file>

<file path=customXml/itemProps2.xml><?xml version="1.0" encoding="utf-8"?>
<ds:datastoreItem xmlns:ds="http://schemas.openxmlformats.org/officeDocument/2006/customXml" ds:itemID="{172DE494-3ED6-4A61-89F2-B3C26C2AA34B}">
  <ds:schemaRefs>
    <ds:schemaRef ds:uri="http://schemas.microsoft.com/sharepoint/v3/contenttype/forms"/>
  </ds:schemaRefs>
</ds:datastoreItem>
</file>

<file path=customXml/itemProps3.xml><?xml version="1.0" encoding="utf-8"?>
<ds:datastoreItem xmlns:ds="http://schemas.openxmlformats.org/officeDocument/2006/customXml" ds:itemID="{2E7CA801-1360-4F90-ACE7-82221EFF22F1}">
  <ds:schemaRefs>
    <ds:schemaRef ds:uri="http://schemas.openxmlformats.org/officeDocument/2006/bibliography"/>
  </ds:schemaRefs>
</ds:datastoreItem>
</file>

<file path=customXml/itemProps4.xml><?xml version="1.0" encoding="utf-8"?>
<ds:datastoreItem xmlns:ds="http://schemas.openxmlformats.org/officeDocument/2006/customXml" ds:itemID="{A673B5ED-1400-4793-ACA6-92527AD70259}"/>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10</Pages>
  <Words>3724</Words>
  <Characters>21229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Conversion</dc:creator>
  <cp:keywords/>
  <cp:lastModifiedBy>Ada Bowie</cp:lastModifiedBy>
  <cp:revision>9</cp:revision>
  <cp:lastPrinted>2024-03-06T19:44:00Z</cp:lastPrinted>
  <dcterms:created xsi:type="dcterms:W3CDTF">2024-09-10T17:54:00Z</dcterms:created>
  <dcterms:modified xsi:type="dcterms:W3CDTF">2024-09-10T18:47:00Z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y fmtid="{D5CDD505-2E9C-101B-9397-08002B2CF9AE}" pid="3" name="_dlc_DocIdItemGuid">
    <vt:lpwstr>59102511-973a-4bea-80c9-57591b4e8efb</vt:lpwstr>
  </property>
  <property fmtid="{D5CDD505-2E9C-101B-9397-08002B2CF9AE}" pid="4" name="MediaServiceImageTags">
    <vt:lpwstr/>
  </property>
</Properties>
</file>