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DE80" w14:textId="1F2DB7D5" w:rsidR="005176D2" w:rsidRPr="00F7428C" w:rsidRDefault="005176D2" w:rsidP="0098047C">
      <w:pPr>
        <w:pStyle w:val="NRCINSPECTIONMANUAL"/>
        <w:rPr>
          <w:szCs w:val="20"/>
        </w:rPr>
      </w:pPr>
      <w:r>
        <w:fldChar w:fldCharType="begin"/>
      </w:r>
      <w:r>
        <w:instrText xml:space="preserve"> ADVANCE \y 120</w:instrText>
      </w:r>
      <w:r>
        <w:fldChar w:fldCharType="end"/>
      </w:r>
      <w:r w:rsidR="0098047C">
        <w:tab/>
      </w:r>
      <w:r w:rsidRPr="00E06D19">
        <w:fldChar w:fldCharType="begin"/>
      </w:r>
      <w:r w:rsidRPr="00E06D19">
        <w:instrText xml:space="preserve"> SEQ CHAPTER \h \r 1</w:instrText>
      </w:r>
      <w:r w:rsidRPr="00E06D19">
        <w:fldChar w:fldCharType="end"/>
      </w:r>
      <w:r w:rsidRPr="00E06D19">
        <w:rPr>
          <w:b/>
          <w:sz w:val="38"/>
        </w:rPr>
        <w:t>NRC INSPECTION MANUAL</w:t>
      </w:r>
      <w:r>
        <w:rPr>
          <w:rFonts w:ascii="Univers" w:hAnsi="Univers"/>
          <w:b/>
          <w:sz w:val="38"/>
        </w:rPr>
        <w:tab/>
      </w:r>
      <w:r w:rsidR="0015507F" w:rsidRPr="00F7428C">
        <w:rPr>
          <w:szCs w:val="20"/>
        </w:rPr>
        <w:t>NMSS/DUWP</w:t>
      </w:r>
    </w:p>
    <w:p w14:paraId="2107DBAD" w14:textId="2129EAAD" w:rsidR="00BA6DB2" w:rsidRPr="008A4F66" w:rsidRDefault="00BA6DB2" w:rsidP="0098047C">
      <w:pPr>
        <w:pStyle w:val="IMCIP"/>
      </w:pPr>
      <w:r w:rsidRPr="008A4F66">
        <w:t>INSPECTION PROCEDURE 8</w:t>
      </w:r>
      <w:r>
        <w:t>4900</w:t>
      </w:r>
    </w:p>
    <w:p w14:paraId="12346778" w14:textId="649DD0F4" w:rsidR="000E16F0" w:rsidRDefault="000E16F0" w:rsidP="00D36DFE">
      <w:pPr>
        <w:pStyle w:val="Title"/>
      </w:pPr>
      <w:r w:rsidRPr="00BD3222">
        <w:t>LOW-LEVEL RADIOACTIVE WASTE STORAGE</w:t>
      </w:r>
    </w:p>
    <w:p w14:paraId="156601AD" w14:textId="133DB7B4" w:rsidR="005758B3" w:rsidRPr="005758B3" w:rsidRDefault="005758B3" w:rsidP="005758B3">
      <w:pPr>
        <w:pStyle w:val="EffectiveDate"/>
      </w:pPr>
      <w:r>
        <w:t>Effective Date: 12/30/2022</w:t>
      </w:r>
    </w:p>
    <w:p w14:paraId="02B2C82A" w14:textId="10E714E5" w:rsidR="000E16F0" w:rsidRPr="00BD3222" w:rsidRDefault="000E16F0" w:rsidP="0098047C">
      <w:pPr>
        <w:pStyle w:val="Applicability"/>
      </w:pPr>
      <w:r w:rsidRPr="00BD3222">
        <w:t xml:space="preserve">PROGRAM APPLICABILITY: </w:t>
      </w:r>
      <w:r w:rsidR="00506097" w:rsidRPr="00506097">
        <w:t>IMC</w:t>
      </w:r>
      <w:r w:rsidR="0098047C">
        <w:t>s</w:t>
      </w:r>
      <w:r w:rsidR="00506097" w:rsidRPr="00506097">
        <w:t xml:space="preserve"> </w:t>
      </w:r>
      <w:r w:rsidRPr="00BD3222">
        <w:t>2600</w:t>
      </w:r>
      <w:r w:rsidR="0015507F" w:rsidRPr="00BD3222">
        <w:t xml:space="preserve">, </w:t>
      </w:r>
      <w:r w:rsidR="00CC3100" w:rsidRPr="00CC3100">
        <w:t xml:space="preserve">2602, </w:t>
      </w:r>
      <w:r w:rsidRPr="00BD3222">
        <w:t>and 2800</w:t>
      </w:r>
    </w:p>
    <w:p w14:paraId="0F88C118" w14:textId="77777777" w:rsidR="000E16F0" w:rsidRPr="00BD3222" w:rsidRDefault="000E16F0" w:rsidP="00D36DFE">
      <w:pPr>
        <w:pStyle w:val="Heading1"/>
      </w:pPr>
      <w:r w:rsidRPr="00BD3222">
        <w:t>84900-01</w:t>
      </w:r>
      <w:r w:rsidRPr="00BD3222">
        <w:tab/>
        <w:t>INSPECTION OBJECTIVES</w:t>
      </w:r>
    </w:p>
    <w:p w14:paraId="02809C36" w14:textId="1565CEBE" w:rsidR="000E16F0" w:rsidRPr="00BD3222" w:rsidRDefault="000E16F0" w:rsidP="008B6B20">
      <w:pPr>
        <w:pStyle w:val="BodyText"/>
      </w:pPr>
      <w:r w:rsidRPr="00BD3222">
        <w:t xml:space="preserve">To determine whether fuel cycle and materials licensees </w:t>
      </w:r>
      <w:r w:rsidR="00F410D7" w:rsidRPr="00BD3222">
        <w:t>that</w:t>
      </w:r>
      <w:r w:rsidRPr="00BD3222">
        <w:t xml:space="preserve"> store low-level radioactive waste (LL</w:t>
      </w:r>
      <w:r w:rsidR="00E3116B" w:rsidRPr="00BD3222">
        <w:t>R</w:t>
      </w:r>
      <w:r w:rsidRPr="00BD3222">
        <w:t>W) are doing so safely and in accordance with</w:t>
      </w:r>
      <w:r w:rsidR="00D04934" w:rsidRPr="00BD3222">
        <w:t xml:space="preserve"> </w:t>
      </w:r>
      <w:r w:rsidR="00230ECA">
        <w:t>the U.S. Nuclear Regulatory Commission (</w:t>
      </w:r>
      <w:r w:rsidR="00F410D7" w:rsidRPr="00BD3222">
        <w:t>NRC</w:t>
      </w:r>
      <w:r w:rsidR="00230ECA">
        <w:t>)</w:t>
      </w:r>
      <w:r w:rsidR="00F410D7" w:rsidRPr="00BD3222">
        <w:t xml:space="preserve"> requirements</w:t>
      </w:r>
      <w:r w:rsidRPr="00BD3222">
        <w:t>.</w:t>
      </w:r>
    </w:p>
    <w:p w14:paraId="1A11717E" w14:textId="77777777" w:rsidR="000E16F0" w:rsidRPr="00BD3222" w:rsidRDefault="000E16F0" w:rsidP="00622FB7">
      <w:pPr>
        <w:pStyle w:val="Heading1"/>
      </w:pPr>
      <w:r w:rsidRPr="00BD3222">
        <w:t>84900-02</w:t>
      </w:r>
      <w:r w:rsidRPr="00BD3222">
        <w:tab/>
        <w:t>INSPECTION REQUIREMENTS</w:t>
      </w:r>
    </w:p>
    <w:p w14:paraId="559E6601" w14:textId="3CD21243" w:rsidR="009A478A" w:rsidRDefault="000E16F0" w:rsidP="00C41171">
      <w:pPr>
        <w:pStyle w:val="Heading2"/>
      </w:pPr>
      <w:r w:rsidRPr="00BD3222">
        <w:t>02.01</w:t>
      </w:r>
      <w:r w:rsidR="00E25B00" w:rsidRPr="00BD3222">
        <w:tab/>
      </w:r>
      <w:r w:rsidRPr="00C41171">
        <w:rPr>
          <w:u w:val="single"/>
        </w:rPr>
        <w:t>Management Controls and Surveys</w:t>
      </w:r>
    </w:p>
    <w:p w14:paraId="4CE621C2" w14:textId="38BC21FC" w:rsidR="000E16F0" w:rsidRPr="00BD3222" w:rsidRDefault="000E16F0" w:rsidP="00C41171">
      <w:pPr>
        <w:pStyle w:val="BodyText3"/>
      </w:pPr>
      <w:r w:rsidRPr="00BD3222">
        <w:t xml:space="preserve">Determine whether the procedures for </w:t>
      </w:r>
      <w:r w:rsidR="00AD346E" w:rsidRPr="00BD3222">
        <w:t>storage</w:t>
      </w:r>
      <w:r w:rsidRPr="00BD3222">
        <w:t>, inspection</w:t>
      </w:r>
      <w:r w:rsidR="00636311" w:rsidRPr="00BD3222">
        <w:t>,</w:t>
      </w:r>
      <w:r w:rsidRPr="00BD3222">
        <w:t xml:space="preserve"> and repackaging of LL</w:t>
      </w:r>
      <w:r w:rsidR="001D6F5C" w:rsidRPr="00BD3222">
        <w:t>R</w:t>
      </w:r>
      <w:r w:rsidRPr="00BD3222">
        <w:t>W are clear and available to all who need to use them, and that they have been approved by management. Confirm that inspections and surveys of stored LL</w:t>
      </w:r>
      <w:r w:rsidR="001D6F5C" w:rsidRPr="00BD3222">
        <w:t>R</w:t>
      </w:r>
      <w:r w:rsidRPr="00BD3222">
        <w:t xml:space="preserve">W have been performed at the required frequency and properly documented, and that the licensee has conducted and properly documented all required </w:t>
      </w:r>
      <w:r w:rsidR="00EE0D6F" w:rsidRPr="00BD3222">
        <w:t xml:space="preserve">subsurface surveys and </w:t>
      </w:r>
      <w:r w:rsidRPr="00BD3222">
        <w:t>effluent sampling</w:t>
      </w:r>
      <w:r w:rsidR="00EE0D6F" w:rsidRPr="00BD3222">
        <w:t>, as appropriate</w:t>
      </w:r>
      <w:r w:rsidRPr="00BD3222">
        <w:t xml:space="preserve">. Review the results of </w:t>
      </w:r>
      <w:r w:rsidR="0045400B" w:rsidRPr="00BD3222">
        <w:t xml:space="preserve">licensee </w:t>
      </w:r>
      <w:r w:rsidRPr="00BD3222">
        <w:t>inspections and surveys of LL</w:t>
      </w:r>
      <w:r w:rsidR="001D6F5C" w:rsidRPr="00BD3222">
        <w:t>R</w:t>
      </w:r>
      <w:r w:rsidRPr="00BD3222">
        <w:t>W in storage</w:t>
      </w:r>
      <w:r w:rsidR="0045400B" w:rsidRPr="00BD3222">
        <w:t>,</w:t>
      </w:r>
      <w:r w:rsidRPr="00BD3222">
        <w:t xml:space="preserve"> focusing on licensee follow</w:t>
      </w:r>
      <w:r w:rsidR="00AC435B" w:rsidRPr="00BD3222">
        <w:t>-</w:t>
      </w:r>
      <w:r w:rsidRPr="00BD3222">
        <w:t>up actions to problems identified. Check the licensee's records on LL</w:t>
      </w:r>
      <w:r w:rsidR="001D6F5C" w:rsidRPr="00BD3222">
        <w:t>R</w:t>
      </w:r>
      <w:r w:rsidRPr="00BD3222">
        <w:t>W storage, determine whether the records provide accountability and determine how long LL</w:t>
      </w:r>
      <w:r w:rsidR="001D6F5C" w:rsidRPr="00BD3222">
        <w:t>R</w:t>
      </w:r>
      <w:r w:rsidRPr="00BD3222">
        <w:t>W has been in storage. Confirm that the licensee is within authorized possession limits.</w:t>
      </w:r>
      <w:r w:rsidR="000C76A8">
        <w:t xml:space="preserve"> </w:t>
      </w:r>
      <w:r w:rsidRPr="00BD3222">
        <w:t>Confirm that any required checks of fire protection systems have been performed.</w:t>
      </w:r>
    </w:p>
    <w:p w14:paraId="18012F35" w14:textId="621375E5" w:rsidR="009A478A" w:rsidRDefault="000E16F0" w:rsidP="00C41171">
      <w:pPr>
        <w:pStyle w:val="Heading2"/>
        <w:rPr>
          <w:rFonts w:cs="Arial"/>
        </w:rPr>
      </w:pPr>
      <w:r w:rsidRPr="00BD3222">
        <w:rPr>
          <w:rFonts w:cs="Arial"/>
        </w:rPr>
        <w:t>02.02</w:t>
      </w:r>
      <w:r w:rsidR="00E25B00" w:rsidRPr="00BD3222">
        <w:rPr>
          <w:rFonts w:cs="Arial"/>
        </w:rPr>
        <w:tab/>
      </w:r>
      <w:r w:rsidRPr="00BD3222">
        <w:rPr>
          <w:rFonts w:cs="Arial"/>
          <w:u w:val="single"/>
        </w:rPr>
        <w:t>Adequacy of Storage Area</w:t>
      </w:r>
    </w:p>
    <w:p w14:paraId="188838AE" w14:textId="55F0AA7A" w:rsidR="000E16F0" w:rsidRPr="00BD3222" w:rsidRDefault="000E16F0" w:rsidP="00C41171">
      <w:pPr>
        <w:pStyle w:val="BodyText3"/>
      </w:pPr>
      <w:r w:rsidRPr="00BD3222">
        <w:t xml:space="preserve">Confirm that </w:t>
      </w:r>
      <w:r w:rsidR="000676CC" w:rsidRPr="00BD3222">
        <w:t>L</w:t>
      </w:r>
      <w:r w:rsidRPr="00BD3222">
        <w:t>L</w:t>
      </w:r>
      <w:r w:rsidR="00593313" w:rsidRPr="00BD3222">
        <w:t>R</w:t>
      </w:r>
      <w:r w:rsidRPr="00BD3222">
        <w:t xml:space="preserve">W is stored </w:t>
      </w:r>
      <w:r w:rsidR="00832D93" w:rsidRPr="00BD3222">
        <w:t xml:space="preserve">either in </w:t>
      </w:r>
      <w:r w:rsidRPr="00BD3222">
        <w:t xml:space="preserve">a restricted area </w:t>
      </w:r>
      <w:r w:rsidR="00E25B00" w:rsidRPr="00BD3222">
        <w:t xml:space="preserve">or in accordance with the requirements of </w:t>
      </w:r>
      <w:r w:rsidR="001E21C2" w:rsidRPr="00BD3222">
        <w:t xml:space="preserve">Title </w:t>
      </w:r>
      <w:r w:rsidR="00E25B00" w:rsidRPr="00BD3222">
        <w:t xml:space="preserve">10 </w:t>
      </w:r>
      <w:r w:rsidR="00711A48">
        <w:t xml:space="preserve">of the </w:t>
      </w:r>
      <w:r w:rsidR="00E25B00" w:rsidRPr="00711A48">
        <w:rPr>
          <w:i/>
          <w:iCs/>
        </w:rPr>
        <w:t>C</w:t>
      </w:r>
      <w:r w:rsidR="001E21C2" w:rsidRPr="00711A48">
        <w:rPr>
          <w:i/>
          <w:iCs/>
        </w:rPr>
        <w:t xml:space="preserve">ode of </w:t>
      </w:r>
      <w:r w:rsidR="00E25B00" w:rsidRPr="00711A48">
        <w:rPr>
          <w:i/>
          <w:iCs/>
        </w:rPr>
        <w:t>F</w:t>
      </w:r>
      <w:r w:rsidR="001E21C2" w:rsidRPr="00711A48">
        <w:rPr>
          <w:i/>
          <w:iCs/>
        </w:rPr>
        <w:t xml:space="preserve">ederal </w:t>
      </w:r>
      <w:r w:rsidR="00E25B00" w:rsidRPr="00711A48">
        <w:rPr>
          <w:i/>
          <w:iCs/>
        </w:rPr>
        <w:t>R</w:t>
      </w:r>
      <w:r w:rsidR="001E21C2" w:rsidRPr="00711A48">
        <w:rPr>
          <w:i/>
          <w:iCs/>
        </w:rPr>
        <w:t>egulations</w:t>
      </w:r>
      <w:r w:rsidR="00E25B00" w:rsidRPr="00BD3222">
        <w:t xml:space="preserve"> </w:t>
      </w:r>
      <w:r w:rsidR="006E0FC4" w:rsidRPr="00BD3222">
        <w:t xml:space="preserve">(10 CFR) </w:t>
      </w:r>
      <w:r w:rsidR="00E25B00" w:rsidRPr="00BD3222">
        <w:t>Part 20</w:t>
      </w:r>
      <w:r w:rsidR="001E21C2" w:rsidRPr="00BD3222">
        <w:t>,</w:t>
      </w:r>
      <w:r w:rsidR="00E25B00" w:rsidRPr="00BD3222">
        <w:t xml:space="preserve"> Subpart I</w:t>
      </w:r>
      <w:r w:rsidR="0092122B" w:rsidRPr="00BD3222">
        <w:t>,</w:t>
      </w:r>
      <w:r w:rsidR="00F27679" w:rsidRPr="00BD3222">
        <w:t xml:space="preserve"> </w:t>
      </w:r>
      <w:r w:rsidR="001654C5">
        <w:t>“</w:t>
      </w:r>
      <w:r w:rsidR="001654C5" w:rsidRPr="001654C5">
        <w:t>Storage and Control of Licensed Material</w:t>
      </w:r>
      <w:r w:rsidR="001654C5">
        <w:t xml:space="preserve">,” </w:t>
      </w:r>
      <w:r w:rsidRPr="00BD3222">
        <w:t>and is secured against unauthorized removal. Check that waste containers are visible to allow routine inspection and that they are readily accessible to licensee personnel.</w:t>
      </w:r>
      <w:r w:rsidR="000C76A8">
        <w:t xml:space="preserve"> </w:t>
      </w:r>
      <w:r w:rsidRPr="00BD3222">
        <w:t>Confirm that the placement or stacking of containers is stable and that containers are not deformed under load, or likely to fall.</w:t>
      </w:r>
      <w:r w:rsidR="000C76A8">
        <w:t xml:space="preserve"> </w:t>
      </w:r>
      <w:r w:rsidRPr="00BD3222">
        <w:t xml:space="preserve">Determine that </w:t>
      </w:r>
      <w:r w:rsidR="00A95419" w:rsidRPr="00BD3222">
        <w:t>“</w:t>
      </w:r>
      <w:r w:rsidR="00AE1C93" w:rsidRPr="00BD3222">
        <w:t>A</w:t>
      </w:r>
      <w:r w:rsidR="00E25B00" w:rsidRPr="00BD3222">
        <w:t xml:space="preserve">s </w:t>
      </w:r>
      <w:r w:rsidR="00AE1C93" w:rsidRPr="00BD3222">
        <w:t>L</w:t>
      </w:r>
      <w:r w:rsidR="00E25B00" w:rsidRPr="00BD3222">
        <w:t xml:space="preserve">ow </w:t>
      </w:r>
      <w:r w:rsidR="00AE1C93" w:rsidRPr="00BD3222">
        <w:t>A</w:t>
      </w:r>
      <w:r w:rsidR="00E25B00" w:rsidRPr="00BD3222">
        <w:t xml:space="preserve">s </w:t>
      </w:r>
      <w:r w:rsidR="00980760" w:rsidRPr="00BD3222">
        <w:t xml:space="preserve">is </w:t>
      </w:r>
      <w:r w:rsidR="00AE1C93" w:rsidRPr="00BD3222">
        <w:t>R</w:t>
      </w:r>
      <w:r w:rsidR="00E25B00" w:rsidRPr="00BD3222">
        <w:t xml:space="preserve">easonably </w:t>
      </w:r>
      <w:r w:rsidR="00AE1C93" w:rsidRPr="00BD3222">
        <w:t>A</w:t>
      </w:r>
      <w:r w:rsidR="00E25B00" w:rsidRPr="00BD3222">
        <w:t>chievable</w:t>
      </w:r>
      <w:r w:rsidR="00AE230E">
        <w:t xml:space="preserve"> (ALARA)</w:t>
      </w:r>
      <w:r w:rsidR="00A95419" w:rsidRPr="00BD3222">
        <w:t>”</w:t>
      </w:r>
      <w:r w:rsidRPr="00BD3222">
        <w:t xml:space="preserve"> considerations are used in the placement of the higher activity waste containers in the storage area. Check that the storage area is posted in accordance with </w:t>
      </w:r>
      <w:r w:rsidR="00051910" w:rsidRPr="00BD3222">
        <w:t xml:space="preserve">10 CFR </w:t>
      </w:r>
      <w:r w:rsidRPr="00BD3222">
        <w:t>Part 20</w:t>
      </w:r>
      <w:r w:rsidR="00604C08">
        <w:t>, “Standards for Protection Against Radiation,”</w:t>
      </w:r>
      <w:r w:rsidRPr="00BD3222">
        <w:t xml:space="preserve"> requirements.</w:t>
      </w:r>
    </w:p>
    <w:p w14:paraId="54D08469" w14:textId="77777777" w:rsidR="000E16F0" w:rsidRPr="00BD3222" w:rsidRDefault="000E16F0" w:rsidP="00C41171">
      <w:pPr>
        <w:pStyle w:val="BodyText3"/>
      </w:pPr>
      <w:r w:rsidRPr="00BD3222">
        <w:t>Confirm that the containers are protected from reasonably expected environmental conditions, including fire and flooding, and that the storage location is not subject to extremes of temperature or humidity (i.e., near a boiler room, laundry area, etc.)</w:t>
      </w:r>
      <w:r w:rsidR="00B32F7F" w:rsidRPr="00BD3222">
        <w:t>.</w:t>
      </w:r>
      <w:r w:rsidRPr="00BD3222">
        <w:t xml:space="preserve"> Check </w:t>
      </w:r>
      <w:r w:rsidRPr="00BD3222">
        <w:lastRenderedPageBreak/>
        <w:t>ventilation of the storage area to determine if it is sufficient to prevent build-up of any gases produced by waste decomposition.</w:t>
      </w:r>
    </w:p>
    <w:p w14:paraId="76C2017F" w14:textId="7B698563" w:rsidR="00E828CC" w:rsidRDefault="000E16F0" w:rsidP="00C41171">
      <w:pPr>
        <w:pStyle w:val="Heading2"/>
        <w:rPr>
          <w:rFonts w:cs="Arial"/>
        </w:rPr>
      </w:pPr>
      <w:r w:rsidRPr="00BD3222">
        <w:rPr>
          <w:rFonts w:cs="Arial"/>
        </w:rPr>
        <w:t>02.03</w:t>
      </w:r>
      <w:r w:rsidR="00E25B00" w:rsidRPr="00BD3222">
        <w:rPr>
          <w:rFonts w:cs="Arial"/>
        </w:rPr>
        <w:tab/>
      </w:r>
      <w:r w:rsidRPr="00BD3222">
        <w:rPr>
          <w:rFonts w:cs="Arial"/>
          <w:u w:val="single"/>
        </w:rPr>
        <w:t>Package Integrity and Labeling</w:t>
      </w:r>
    </w:p>
    <w:p w14:paraId="3B7350F7" w14:textId="0BC061BF" w:rsidR="000E16F0" w:rsidRPr="00BD3222" w:rsidRDefault="000E16F0" w:rsidP="00C41171">
      <w:pPr>
        <w:pStyle w:val="BodyText3"/>
      </w:pPr>
      <w:r w:rsidRPr="00BD3222">
        <w:t xml:space="preserve">Examine a representative number of packages for signs of swelling, leakage, </w:t>
      </w:r>
      <w:proofErr w:type="gramStart"/>
      <w:r w:rsidRPr="00BD3222">
        <w:t>deformation</w:t>
      </w:r>
      <w:proofErr w:type="gramEnd"/>
      <w:r w:rsidRPr="00BD3222">
        <w:t xml:space="preserve"> or deterioration (i.e., rusting or other corrosion which may lead to breach).</w:t>
      </w:r>
    </w:p>
    <w:p w14:paraId="610CBE34" w14:textId="49F0C782" w:rsidR="000E16F0" w:rsidRPr="00BD3222" w:rsidRDefault="000E16F0" w:rsidP="00C41171">
      <w:pPr>
        <w:pStyle w:val="BodyText3"/>
      </w:pPr>
      <w:r w:rsidRPr="00BD3222">
        <w:t>Check to determine that the licensee’s packages are clearly and properly labeled in accordance with 10 CFR 20.1904</w:t>
      </w:r>
      <w:r w:rsidR="00497EBE">
        <w:t xml:space="preserve">, “Labeling </w:t>
      </w:r>
      <w:r w:rsidR="00145901">
        <w:t>C</w:t>
      </w:r>
      <w:r w:rsidR="00497EBE">
        <w:t>ontainers,”</w:t>
      </w:r>
      <w:r w:rsidRPr="00BD3222">
        <w:t xml:space="preserve"> and 20.1905</w:t>
      </w:r>
      <w:r w:rsidR="00466B02">
        <w:t>, “</w:t>
      </w:r>
      <w:r w:rsidR="00466B02" w:rsidRPr="00466B02">
        <w:t xml:space="preserve">Exemptions to </w:t>
      </w:r>
      <w:r w:rsidR="00145901">
        <w:t>L</w:t>
      </w:r>
      <w:r w:rsidR="00466B02" w:rsidRPr="00466B02">
        <w:t xml:space="preserve">abeling </w:t>
      </w:r>
      <w:r w:rsidR="00145901">
        <w:t>R</w:t>
      </w:r>
      <w:r w:rsidR="00466B02" w:rsidRPr="00466B02">
        <w:t>equirements</w:t>
      </w:r>
      <w:r w:rsidR="00466B02">
        <w:t>,”</w:t>
      </w:r>
      <w:r w:rsidRPr="00BD3222">
        <w:t xml:space="preserve"> and that </w:t>
      </w:r>
      <w:r w:rsidR="00593313" w:rsidRPr="00BD3222">
        <w:t>LLRW</w:t>
      </w:r>
      <w:r w:rsidRPr="00BD3222">
        <w:t xml:space="preserve"> is transferred or disposed in accordance with 10</w:t>
      </w:r>
      <w:r w:rsidR="00466B02">
        <w:t> </w:t>
      </w:r>
      <w:r w:rsidRPr="00BD3222">
        <w:t xml:space="preserve">CFR </w:t>
      </w:r>
      <w:r w:rsidR="00B729E0">
        <w:t xml:space="preserve">Part </w:t>
      </w:r>
      <w:r w:rsidRPr="00BD3222">
        <w:t>20</w:t>
      </w:r>
      <w:r w:rsidR="00466B02">
        <w:t>,</w:t>
      </w:r>
      <w:r w:rsidR="00D74F9C" w:rsidRPr="00BD3222">
        <w:t xml:space="preserve"> Subpart K</w:t>
      </w:r>
      <w:r w:rsidR="002F0AFB">
        <w:t xml:space="preserve">, </w:t>
      </w:r>
      <w:r w:rsidR="000E2B3B">
        <w:t>“</w:t>
      </w:r>
      <w:r w:rsidR="002F0AFB">
        <w:t>Waste Disposal</w:t>
      </w:r>
      <w:r w:rsidRPr="00BD3222">
        <w:t>.</w:t>
      </w:r>
      <w:r w:rsidR="002F0AFB">
        <w:t>”</w:t>
      </w:r>
    </w:p>
    <w:p w14:paraId="7418B320" w14:textId="77777777" w:rsidR="000E16F0" w:rsidRPr="00BD3222" w:rsidRDefault="000E16F0" w:rsidP="00C41171">
      <w:pPr>
        <w:pStyle w:val="Heading1"/>
      </w:pPr>
      <w:r w:rsidRPr="00BD3222">
        <w:t>84900-03</w:t>
      </w:r>
      <w:r w:rsidRPr="00BD3222">
        <w:tab/>
        <w:t>INSPECTION GUIDANCE</w:t>
      </w:r>
    </w:p>
    <w:p w14:paraId="0220857F" w14:textId="19B4967E" w:rsidR="000E16F0" w:rsidRPr="00077573" w:rsidRDefault="000E16F0" w:rsidP="00077573">
      <w:pPr>
        <w:pStyle w:val="BodyText"/>
        <w:rPr>
          <w:u w:val="single"/>
        </w:rPr>
      </w:pPr>
      <w:r w:rsidRPr="00077573">
        <w:rPr>
          <w:u w:val="single"/>
        </w:rPr>
        <w:t>General Guidance</w:t>
      </w:r>
    </w:p>
    <w:p w14:paraId="1BABCC1D" w14:textId="4BD18403" w:rsidR="00A0299F" w:rsidRPr="00BD3222" w:rsidRDefault="00A0299F" w:rsidP="00077573">
      <w:pPr>
        <w:pStyle w:val="BodyText"/>
      </w:pPr>
      <w:r w:rsidRPr="00BD3222">
        <w:t>The requirements of this procedure are separate from</w:t>
      </w:r>
      <w:r w:rsidR="00845477" w:rsidRPr="00BD3222">
        <w:t>,</w:t>
      </w:r>
      <w:r w:rsidRPr="00BD3222">
        <w:t xml:space="preserve"> and in addition to</w:t>
      </w:r>
      <w:r w:rsidR="00845477" w:rsidRPr="00BD3222">
        <w:t>,</w:t>
      </w:r>
      <w:r w:rsidRPr="00BD3222">
        <w:t xml:space="preserve"> those of Inspection Procedure </w:t>
      </w:r>
      <w:r w:rsidR="001E21C2" w:rsidRPr="00BD3222">
        <w:t xml:space="preserve">(IP) </w:t>
      </w:r>
      <w:r w:rsidRPr="00BD3222">
        <w:t xml:space="preserve">84850, </w:t>
      </w:r>
      <w:r w:rsidR="0044464C">
        <w:t>“</w:t>
      </w:r>
      <w:r w:rsidR="0044464C" w:rsidRPr="0044464C">
        <w:t>Radioactive Waste Management - Inspection of Waste Generator Requirements of 10 CFR Part 20 and 10 CFR Part 61</w:t>
      </w:r>
      <w:r w:rsidR="0044464C">
        <w:t xml:space="preserve">,” </w:t>
      </w:r>
      <w:r w:rsidRPr="00BD3222">
        <w:t>which addresses the establishment and maintenance of procedures and quality assurance with respect to the waste form, classification, stabilization and manifest requirements of 10 CFR Part 20 and 10 CFR Part 61</w:t>
      </w:r>
      <w:r w:rsidR="001A5C80">
        <w:t>, “Licensing Requirements for Land Disposal of Radioactive Waste</w:t>
      </w:r>
      <w:r w:rsidR="00D612DF" w:rsidRPr="00BD3222">
        <w:t>.</w:t>
      </w:r>
      <w:r w:rsidR="001A5C80">
        <w:t>”</w:t>
      </w:r>
    </w:p>
    <w:p w14:paraId="124F49EC" w14:textId="073A51BF" w:rsidR="000E16F0" w:rsidRPr="00BD3222" w:rsidRDefault="00AC435B" w:rsidP="00077573">
      <w:pPr>
        <w:pStyle w:val="BodyText"/>
      </w:pPr>
      <w:r w:rsidRPr="00BD3222">
        <w:t>S</w:t>
      </w:r>
      <w:r w:rsidR="000E16F0" w:rsidRPr="00BD3222">
        <w:t>ome licensees have LL</w:t>
      </w:r>
      <w:r w:rsidR="001D6F5C" w:rsidRPr="00BD3222">
        <w:t>R</w:t>
      </w:r>
      <w:r w:rsidR="000E16F0" w:rsidRPr="00BD3222">
        <w:t>W storage facilities. Depending on the specific situation of a State or Compact, LL</w:t>
      </w:r>
      <w:r w:rsidR="002D1872" w:rsidRPr="00BD3222">
        <w:t>R</w:t>
      </w:r>
      <w:r w:rsidR="000E16F0" w:rsidRPr="00BD3222">
        <w:t xml:space="preserve">W may be in storage for several months to several years. In general, </w:t>
      </w:r>
      <w:r w:rsidR="0089790D" w:rsidRPr="00BD3222">
        <w:t xml:space="preserve">extensive inspection efforts are not warranted </w:t>
      </w:r>
      <w:r w:rsidR="000E16F0" w:rsidRPr="00BD3222">
        <w:t>because the safety hazard of LL</w:t>
      </w:r>
      <w:r w:rsidR="001D6F5C" w:rsidRPr="00BD3222">
        <w:t>R</w:t>
      </w:r>
      <w:r w:rsidR="000E16F0" w:rsidRPr="00BD3222">
        <w:t>W storage facilities</w:t>
      </w:r>
      <w:r w:rsidR="00F2624D" w:rsidRPr="00BD3222">
        <w:t xml:space="preserve"> </w:t>
      </w:r>
      <w:r w:rsidR="000E16F0" w:rsidRPr="00BD3222">
        <w:t>especially for dry LL</w:t>
      </w:r>
      <w:r w:rsidR="001D6F5C" w:rsidRPr="00BD3222">
        <w:t>R</w:t>
      </w:r>
      <w:r w:rsidR="000E16F0" w:rsidRPr="00BD3222">
        <w:t>W storage</w:t>
      </w:r>
      <w:r w:rsidR="00F2624D" w:rsidRPr="00BD3222">
        <w:t xml:space="preserve"> </w:t>
      </w:r>
      <w:r w:rsidR="000E16F0" w:rsidRPr="00BD3222">
        <w:t>is</w:t>
      </w:r>
      <w:r w:rsidRPr="00BD3222">
        <w:t xml:space="preserve"> generally </w:t>
      </w:r>
      <w:r w:rsidR="000E16F0" w:rsidRPr="00BD3222">
        <w:t>low</w:t>
      </w:r>
      <w:r w:rsidR="00F2624D" w:rsidRPr="00BD3222">
        <w:t xml:space="preserve">. </w:t>
      </w:r>
      <w:r w:rsidR="000E16F0" w:rsidRPr="00BD3222">
        <w:t xml:space="preserve">The inspection effort, </w:t>
      </w:r>
      <w:r w:rsidR="00DA4E56" w:rsidRPr="00BD3222">
        <w:t>.</w:t>
      </w:r>
      <w:r w:rsidR="000E16F0" w:rsidRPr="00BD3222">
        <w:t>therefore, should be geared toward assuring that licensees who are storing LL</w:t>
      </w:r>
      <w:r w:rsidR="001D6F5C" w:rsidRPr="00BD3222">
        <w:t>R</w:t>
      </w:r>
      <w:r w:rsidR="000E16F0" w:rsidRPr="00BD3222">
        <w:t xml:space="preserve">W are in compliance with possession limits and license conditions, and do not develop an "out-of-sight, out-of-mind" attitude. This </w:t>
      </w:r>
      <w:r w:rsidR="00011B5C" w:rsidRPr="00BD3222">
        <w:t>is</w:t>
      </w:r>
      <w:r w:rsidR="000E16F0" w:rsidRPr="00BD3222">
        <w:t xml:space="preserve"> done by examining the licensee's records to ensure that the required surveys, inspections</w:t>
      </w:r>
      <w:r w:rsidR="00011B5C" w:rsidRPr="00BD3222">
        <w:t>,</w:t>
      </w:r>
      <w:r w:rsidR="000E16F0" w:rsidRPr="00BD3222">
        <w:t xml:space="preserve"> and accountability checks are being done and then following up with a physical examination of the storage area and waste containers/packages.</w:t>
      </w:r>
    </w:p>
    <w:p w14:paraId="76784018" w14:textId="38720FEC" w:rsidR="00E25B00" w:rsidRPr="00BD3222" w:rsidRDefault="00AE1C93" w:rsidP="00077573">
      <w:pPr>
        <w:pStyle w:val="BodyText"/>
      </w:pPr>
      <w:r w:rsidRPr="00BD3222">
        <w:rPr>
          <w:shd w:val="clear" w:color="auto" w:fill="FFFFFF"/>
        </w:rPr>
        <w:t>For inspections of a licensee possessing quantities above the aggregated category</w:t>
      </w:r>
      <w:r w:rsidR="00AE230E">
        <w:rPr>
          <w:shd w:val="clear" w:color="auto" w:fill="FFFFFF"/>
        </w:rPr>
        <w:t xml:space="preserve"> 1 or</w:t>
      </w:r>
      <w:r w:rsidRPr="00BD3222">
        <w:rPr>
          <w:shd w:val="clear" w:color="auto" w:fill="FFFFFF"/>
        </w:rPr>
        <w:t xml:space="preserve"> 2 quantities of radioactive material, the inspector should also use IP 87137, “10 CFR Part 37 Materials Security Programs,” which contains the requirements and guidance for security inspections for licensees possessing category 1 and 2 quantities of radioactive material in specific areas such as security, transportation, and training.</w:t>
      </w:r>
    </w:p>
    <w:p w14:paraId="6EBFF21A" w14:textId="77777777" w:rsidR="000E16F0" w:rsidRPr="00BD3222" w:rsidRDefault="000E16F0" w:rsidP="00077573">
      <w:pPr>
        <w:pStyle w:val="BodyText"/>
        <w:rPr>
          <w:u w:val="single"/>
        </w:rPr>
      </w:pPr>
      <w:r w:rsidRPr="00BD3222">
        <w:rPr>
          <w:u w:val="single"/>
        </w:rPr>
        <w:t>Specific Guidance</w:t>
      </w:r>
    </w:p>
    <w:p w14:paraId="74B4759C" w14:textId="75FCB99C" w:rsidR="005F09CE" w:rsidRDefault="000E16F0" w:rsidP="00C41171">
      <w:pPr>
        <w:pStyle w:val="Heading2"/>
        <w:rPr>
          <w:rFonts w:cs="Arial"/>
        </w:rPr>
      </w:pPr>
      <w:r w:rsidRPr="00BD3222">
        <w:rPr>
          <w:rFonts w:cs="Arial"/>
        </w:rPr>
        <w:t>03.01</w:t>
      </w:r>
      <w:r w:rsidR="00E25B00" w:rsidRPr="00BD3222">
        <w:rPr>
          <w:rFonts w:cs="Arial"/>
        </w:rPr>
        <w:tab/>
      </w:r>
      <w:r w:rsidRPr="00BD3222">
        <w:rPr>
          <w:rFonts w:cs="Arial"/>
          <w:u w:val="single"/>
        </w:rPr>
        <w:t>Management Controls and Surveys</w:t>
      </w:r>
    </w:p>
    <w:p w14:paraId="7CBB4FE1" w14:textId="545A2F3B" w:rsidR="006C3275" w:rsidRPr="00BD3222" w:rsidRDefault="000E16F0" w:rsidP="00077573">
      <w:pPr>
        <w:pStyle w:val="BodyText3"/>
      </w:pPr>
      <w:r w:rsidRPr="00BD3222">
        <w:t>Review the license file and identify any</w:t>
      </w:r>
      <w:r w:rsidR="003C15B1" w:rsidRPr="00BD3222">
        <w:t xml:space="preserve"> </w:t>
      </w:r>
      <w:r w:rsidR="008D6B85" w:rsidRPr="00BD3222">
        <w:t>license</w:t>
      </w:r>
      <w:r w:rsidR="00DE2378" w:rsidRPr="00BD3222">
        <w:t xml:space="preserve"> conditions</w:t>
      </w:r>
      <w:r w:rsidR="002A78B4" w:rsidRPr="00BD3222">
        <w:t xml:space="preserve"> and approvals</w:t>
      </w:r>
      <w:r w:rsidR="00D74F9C" w:rsidRPr="00BD3222">
        <w:t xml:space="preserve"> </w:t>
      </w:r>
      <w:r w:rsidRPr="00BD3222">
        <w:t>for LL</w:t>
      </w:r>
      <w:r w:rsidR="001D6F5C" w:rsidRPr="00BD3222">
        <w:t>R</w:t>
      </w:r>
      <w:r w:rsidRPr="00BD3222">
        <w:t>W storage. Determine where LL</w:t>
      </w:r>
      <w:r w:rsidR="001D6F5C" w:rsidRPr="00BD3222">
        <w:t>R</w:t>
      </w:r>
      <w:r w:rsidRPr="00BD3222">
        <w:t>W is being stored.</w:t>
      </w:r>
      <w:r w:rsidR="000C76A8">
        <w:t xml:space="preserve"> </w:t>
      </w:r>
      <w:r w:rsidRPr="00BD3222">
        <w:t>Review how long the LL</w:t>
      </w:r>
      <w:r w:rsidR="001D6F5C" w:rsidRPr="00BD3222">
        <w:t>R</w:t>
      </w:r>
      <w:r w:rsidRPr="00BD3222">
        <w:t>W has been stored</w:t>
      </w:r>
      <w:r w:rsidR="00AC435B" w:rsidRPr="00BD3222">
        <w:t xml:space="preserve"> (with respect to its general physical condition)</w:t>
      </w:r>
      <w:r w:rsidRPr="00BD3222">
        <w:t xml:space="preserve"> and examine the licensee's accountability and security procedures for the waste. Determine whether the licensee is within the authorized possession limits. Review the licensee's procedures for safe placement, inspection and repackaging of LL</w:t>
      </w:r>
      <w:r w:rsidR="001D6F5C" w:rsidRPr="00BD3222">
        <w:t>R</w:t>
      </w:r>
      <w:r w:rsidRPr="00BD3222">
        <w:t>W in storage. Determine whether or not the licensee has conducted and properly documented:</w:t>
      </w:r>
    </w:p>
    <w:p w14:paraId="131398BF" w14:textId="18CCB743" w:rsidR="006C3275" w:rsidRPr="00BD3222" w:rsidRDefault="00C86AED" w:rsidP="00E049CE">
      <w:pPr>
        <w:pStyle w:val="BodyText"/>
        <w:numPr>
          <w:ilvl w:val="0"/>
          <w:numId w:val="14"/>
        </w:numPr>
      </w:pPr>
      <w:r w:rsidRPr="00BD3222">
        <w:lastRenderedPageBreak/>
        <w:t>I</w:t>
      </w:r>
      <w:r w:rsidR="000E16F0" w:rsidRPr="00BD3222">
        <w:t>nspections of LL</w:t>
      </w:r>
      <w:r w:rsidR="001D6F5C" w:rsidRPr="00BD3222">
        <w:t>R</w:t>
      </w:r>
      <w:r w:rsidR="000E16F0" w:rsidRPr="00BD3222">
        <w:t>W packages to assure they maintain integrity</w:t>
      </w:r>
      <w:r w:rsidR="005F09CE">
        <w:t>.</w:t>
      </w:r>
    </w:p>
    <w:p w14:paraId="77B19287" w14:textId="058FF968" w:rsidR="006C3275" w:rsidRPr="00BD3222" w:rsidRDefault="00C86AED" w:rsidP="00E049CE">
      <w:pPr>
        <w:pStyle w:val="BodyText"/>
        <w:numPr>
          <w:ilvl w:val="0"/>
          <w:numId w:val="14"/>
        </w:numPr>
      </w:pPr>
      <w:r w:rsidRPr="00BD3222">
        <w:t>R</w:t>
      </w:r>
      <w:r w:rsidR="000E16F0" w:rsidRPr="00BD3222">
        <w:t>adiation surveys of individual packages and the storage area,</w:t>
      </w:r>
      <w:r w:rsidR="00FE6F77" w:rsidRPr="00BD3222">
        <w:t xml:space="preserve"> </w:t>
      </w:r>
      <w:r w:rsidR="00866839" w:rsidRPr="00BD3222">
        <w:t>including the subsurface</w:t>
      </w:r>
      <w:r w:rsidR="005F09CE">
        <w:t>.</w:t>
      </w:r>
    </w:p>
    <w:p w14:paraId="32F228BB" w14:textId="7F5FCC7D" w:rsidR="006C3275" w:rsidRPr="00BD3222" w:rsidRDefault="00C86AED" w:rsidP="00E049CE">
      <w:pPr>
        <w:pStyle w:val="BodyText"/>
        <w:numPr>
          <w:ilvl w:val="0"/>
          <w:numId w:val="14"/>
        </w:numPr>
      </w:pPr>
      <w:r w:rsidRPr="00BD3222">
        <w:t>A</w:t>
      </w:r>
      <w:r w:rsidR="000E16F0" w:rsidRPr="00BD3222">
        <w:t>ny required effluent sampling</w:t>
      </w:r>
      <w:r w:rsidR="005F09CE">
        <w:t>.</w:t>
      </w:r>
    </w:p>
    <w:p w14:paraId="35BEEBD5" w14:textId="1934E314" w:rsidR="006C3275" w:rsidRPr="00BD3222" w:rsidRDefault="00C86AED" w:rsidP="00E049CE">
      <w:pPr>
        <w:pStyle w:val="BodyText"/>
        <w:numPr>
          <w:ilvl w:val="0"/>
          <w:numId w:val="14"/>
        </w:numPr>
      </w:pPr>
      <w:r w:rsidRPr="00BD3222">
        <w:t>P</w:t>
      </w:r>
      <w:r w:rsidR="00E25B00" w:rsidRPr="00BD3222">
        <w:t>lans for curtailment or modification of activities that generate LLRW (IN 89-13)</w:t>
      </w:r>
      <w:r w:rsidR="005F09CE">
        <w:t>.</w:t>
      </w:r>
    </w:p>
    <w:p w14:paraId="1A2D5354" w14:textId="24498F9F" w:rsidR="006C3275" w:rsidRPr="00BD3222" w:rsidRDefault="00C86AED" w:rsidP="00E049CE">
      <w:pPr>
        <w:pStyle w:val="BodyText"/>
        <w:numPr>
          <w:ilvl w:val="0"/>
          <w:numId w:val="14"/>
        </w:numPr>
      </w:pPr>
      <w:r w:rsidRPr="00BD3222">
        <w:t>P</w:t>
      </w:r>
      <w:r w:rsidR="00E25B00" w:rsidRPr="00BD3222">
        <w:t>lans and strategies for disposition of various waste streams (NUREG</w:t>
      </w:r>
      <w:r w:rsidR="00F82C79">
        <w:t>-</w:t>
      </w:r>
      <w:r w:rsidR="00E25B00" w:rsidRPr="00BD3222">
        <w:t>1556</w:t>
      </w:r>
      <w:r w:rsidR="00F82C79">
        <w:t>, “</w:t>
      </w:r>
      <w:r w:rsidR="00B74A27" w:rsidRPr="00B74A27">
        <w:t>Consolidated Guidance About Materials Licenses</w:t>
      </w:r>
      <w:r w:rsidR="00B74A27">
        <w:t>.”</w:t>
      </w:r>
      <w:r w:rsidR="00E25B00" w:rsidRPr="00BD3222">
        <w:t>)</w:t>
      </w:r>
    </w:p>
    <w:p w14:paraId="2942E1D6" w14:textId="11C3EE1E" w:rsidR="006C3275" w:rsidRPr="00BD3222" w:rsidRDefault="00C86AED" w:rsidP="00E049CE">
      <w:pPr>
        <w:pStyle w:val="BodyText"/>
        <w:numPr>
          <w:ilvl w:val="0"/>
          <w:numId w:val="14"/>
        </w:numPr>
      </w:pPr>
      <w:r w:rsidRPr="00BD3222">
        <w:t>I</w:t>
      </w:r>
      <w:r w:rsidR="00E25B00" w:rsidRPr="00BD3222">
        <w:t xml:space="preserve">f applicable, implementation of </w:t>
      </w:r>
      <w:r w:rsidR="00BC2A47" w:rsidRPr="00BD3222">
        <w:t>10 CFR Part 37</w:t>
      </w:r>
      <w:r w:rsidR="006C07CB">
        <w:t>, “Physical Protection</w:t>
      </w:r>
      <w:r w:rsidR="002A5574">
        <w:t xml:space="preserve"> of Category 1 and Category 2 Quantities of Radioactive Material,”</w:t>
      </w:r>
      <w:r w:rsidR="00BC2A47" w:rsidRPr="00BD3222">
        <w:t xml:space="preserve"> security requirements for licensees possessing Category 1 and Category 2 quantities of radioactive material</w:t>
      </w:r>
      <w:r w:rsidR="005F09CE">
        <w:t>.</w:t>
      </w:r>
    </w:p>
    <w:p w14:paraId="28E5793A" w14:textId="02334BFC" w:rsidR="000E16F0" w:rsidRPr="00BD3222" w:rsidRDefault="00C86AED" w:rsidP="00E049CE">
      <w:pPr>
        <w:pStyle w:val="BodyText"/>
        <w:numPr>
          <w:ilvl w:val="0"/>
          <w:numId w:val="14"/>
        </w:numPr>
      </w:pPr>
      <w:r w:rsidRPr="00BD3222">
        <w:t>Q</w:t>
      </w:r>
      <w:r w:rsidR="00E25B00" w:rsidRPr="00BD3222">
        <w:t>ualifications of persons responsible for management of stored waste (if different from qualifications for other radioactive material management).</w:t>
      </w:r>
      <w:r w:rsidR="000E16F0" w:rsidRPr="00BD3222">
        <w:t xml:space="preserve"> Review the licensee's records for waste placed in </w:t>
      </w:r>
      <w:r w:rsidR="007644F0" w:rsidRPr="00BD3222">
        <w:t>storage and</w:t>
      </w:r>
      <w:r w:rsidR="000E16F0" w:rsidRPr="00BD3222">
        <w:t xml:space="preserve"> determine whether they are adequate to account for the LL</w:t>
      </w:r>
      <w:r w:rsidR="001D6F5C" w:rsidRPr="00BD3222">
        <w:t>R</w:t>
      </w:r>
      <w:r w:rsidR="000E16F0" w:rsidRPr="00BD3222">
        <w:t>W stored</w:t>
      </w:r>
      <w:r w:rsidR="00AC435B" w:rsidRPr="00BD3222">
        <w:t>.</w:t>
      </w:r>
    </w:p>
    <w:p w14:paraId="4A22FF53" w14:textId="42296D13" w:rsidR="005F09CE" w:rsidRDefault="000E16F0" w:rsidP="00077573">
      <w:pPr>
        <w:pStyle w:val="Heading2"/>
      </w:pPr>
      <w:r w:rsidRPr="00BD3222">
        <w:t>03.02</w:t>
      </w:r>
      <w:r w:rsidR="005F09CE">
        <w:tab/>
      </w:r>
      <w:r w:rsidRPr="00077573">
        <w:rPr>
          <w:u w:val="single"/>
        </w:rPr>
        <w:t>Adequacy of Storage Area</w:t>
      </w:r>
    </w:p>
    <w:p w14:paraId="71958419" w14:textId="3BA9DD2F" w:rsidR="000E16F0" w:rsidRPr="00BD3222" w:rsidRDefault="000E16F0" w:rsidP="00077573">
      <w:pPr>
        <w:pStyle w:val="BodyText3"/>
      </w:pPr>
      <w:r w:rsidRPr="00BD3222">
        <w:t>Inspect the storage area(s) to assure its adequacy with respect to:</w:t>
      </w:r>
    </w:p>
    <w:p w14:paraId="79292BA5" w14:textId="65C20701" w:rsidR="000E16F0" w:rsidRPr="00BD3222" w:rsidRDefault="000E16F0" w:rsidP="00E049CE">
      <w:pPr>
        <w:pStyle w:val="BodyText"/>
        <w:numPr>
          <w:ilvl w:val="0"/>
          <w:numId w:val="16"/>
        </w:numPr>
      </w:pPr>
      <w:r w:rsidRPr="00BD3222">
        <w:t>Access control and security.</w:t>
      </w:r>
    </w:p>
    <w:p w14:paraId="2C9FD053" w14:textId="3EF4761F" w:rsidR="000E16F0" w:rsidRPr="00BD3222" w:rsidRDefault="000E16F0" w:rsidP="00E049CE">
      <w:pPr>
        <w:pStyle w:val="BodyText"/>
        <w:numPr>
          <w:ilvl w:val="0"/>
          <w:numId w:val="16"/>
        </w:numPr>
      </w:pPr>
      <w:r w:rsidRPr="00BD3222">
        <w:t>Access to, and housekeeping around</w:t>
      </w:r>
      <w:r w:rsidR="00AC435B" w:rsidRPr="00BD3222">
        <w:t>,</w:t>
      </w:r>
      <w:r w:rsidRPr="00BD3222">
        <w:t xml:space="preserve"> waste packages.</w:t>
      </w:r>
      <w:r w:rsidR="000C76A8">
        <w:t xml:space="preserve"> </w:t>
      </w:r>
      <w:r w:rsidRPr="00BD3222">
        <w:t>Adequate lighting should be provided to permit identification of unsafe radiological and non-radiological conditions.</w:t>
      </w:r>
    </w:p>
    <w:p w14:paraId="68C46825" w14:textId="0FA511BB" w:rsidR="000E16F0" w:rsidRPr="00BD3222" w:rsidRDefault="000E16F0" w:rsidP="00E049CE">
      <w:pPr>
        <w:pStyle w:val="BodyText"/>
        <w:numPr>
          <w:ilvl w:val="0"/>
          <w:numId w:val="16"/>
        </w:numPr>
      </w:pPr>
      <w:r w:rsidRPr="00BD3222">
        <w:t>Stable placement of waste or waste packages.</w:t>
      </w:r>
    </w:p>
    <w:p w14:paraId="08574299" w14:textId="02E3D1CF" w:rsidR="00E25B00" w:rsidRPr="00E049CE" w:rsidRDefault="000E16F0" w:rsidP="00E049CE">
      <w:pPr>
        <w:pStyle w:val="BodyText"/>
        <w:numPr>
          <w:ilvl w:val="0"/>
          <w:numId w:val="16"/>
        </w:numPr>
      </w:pPr>
      <w:r w:rsidRPr="00BD3222">
        <w:t>Protection from environmental elements, fire and flooding, avoidance of temperature/humidity extremes, and ventilation considerations.</w:t>
      </w:r>
      <w:r w:rsidR="000C76A8">
        <w:t xml:space="preserve"> </w:t>
      </w:r>
      <w:r w:rsidR="00E25B00" w:rsidRPr="00BD3222">
        <w:t>Inspection should include, as appropriate, the verification of presence of fire/smoke detection alarms and/or suppression equipment.</w:t>
      </w:r>
    </w:p>
    <w:p w14:paraId="763A8A98" w14:textId="7970247F" w:rsidR="00E25B00" w:rsidRPr="00BD3222" w:rsidRDefault="00E25B00" w:rsidP="00E049CE">
      <w:pPr>
        <w:pStyle w:val="BodyText"/>
        <w:numPr>
          <w:ilvl w:val="0"/>
          <w:numId w:val="16"/>
        </w:numPr>
      </w:pPr>
      <w:r w:rsidRPr="00BD3222">
        <w:t xml:space="preserve">Adequacy of materials (packaging, packing material, sorbents etc.) and equipment (scaffolding, shelving, </w:t>
      </w:r>
      <w:r w:rsidR="000A7295" w:rsidRPr="00BD3222">
        <w:t>forklifts</w:t>
      </w:r>
      <w:r w:rsidRPr="00BD3222">
        <w:t>, cranes</w:t>
      </w:r>
      <w:r w:rsidR="00AA0B4E" w:rsidRPr="00BD3222">
        <w:t>,</w:t>
      </w:r>
      <w:r w:rsidRPr="00BD3222">
        <w:t xml:space="preserve"> etc.) necessary for waste storage operations.</w:t>
      </w:r>
    </w:p>
    <w:p w14:paraId="46B59A78" w14:textId="3143B28E" w:rsidR="00E25B00" w:rsidRPr="00BD3222" w:rsidRDefault="00E25B00" w:rsidP="00E049CE">
      <w:pPr>
        <w:pStyle w:val="BodyText"/>
        <w:numPr>
          <w:ilvl w:val="0"/>
          <w:numId w:val="16"/>
        </w:numPr>
      </w:pPr>
      <w:r w:rsidRPr="00BD3222">
        <w:t>Adequacy of electrical and mechanical systems necessary for storage operations.</w:t>
      </w:r>
    </w:p>
    <w:p w14:paraId="069B5A79" w14:textId="6D08E381" w:rsidR="00E25B00" w:rsidRPr="00BD3222" w:rsidRDefault="00E25B00" w:rsidP="00E049CE">
      <w:pPr>
        <w:pStyle w:val="BodyText"/>
        <w:numPr>
          <w:ilvl w:val="0"/>
          <w:numId w:val="16"/>
        </w:numPr>
      </w:pPr>
      <w:r w:rsidRPr="00BD3222">
        <w:t>Effluent management (prevention, detention, collection, and processing).</w:t>
      </w:r>
    </w:p>
    <w:p w14:paraId="11AACFDE" w14:textId="5B6DF4FC" w:rsidR="000E16F0" w:rsidRPr="00BD3222" w:rsidRDefault="000E16F0" w:rsidP="00E049CE">
      <w:pPr>
        <w:pStyle w:val="BodyText"/>
        <w:numPr>
          <w:ilvl w:val="0"/>
          <w:numId w:val="16"/>
        </w:numPr>
      </w:pPr>
      <w:r w:rsidRPr="00BD3222">
        <w:t>Posting and labeling.</w:t>
      </w:r>
    </w:p>
    <w:p w14:paraId="201729BB" w14:textId="245C55D8" w:rsidR="00613B7D" w:rsidRDefault="003D6DE2" w:rsidP="00077573">
      <w:pPr>
        <w:pStyle w:val="Heading2"/>
        <w:rPr>
          <w:rFonts w:cs="Arial"/>
        </w:rPr>
      </w:pPr>
      <w:r w:rsidRPr="00BD3222">
        <w:rPr>
          <w:rFonts w:cs="Arial"/>
          <w:noProof/>
        </w:rPr>
        <mc:AlternateContent>
          <mc:Choice Requires="wps">
            <w:drawing>
              <wp:anchor distT="0" distB="0" distL="114300" distR="114300" simplePos="0" relativeHeight="251659264" behindDoc="0" locked="0" layoutInCell="1" allowOverlap="1" wp14:anchorId="1C3FD574" wp14:editId="2D898C2F">
                <wp:simplePos x="0" y="0"/>
                <wp:positionH relativeFrom="column">
                  <wp:posOffset>6297930</wp:posOffset>
                </wp:positionH>
                <wp:positionV relativeFrom="paragraph">
                  <wp:posOffset>1282065</wp:posOffset>
                </wp:positionV>
                <wp:extent cx="0" cy="914400"/>
                <wp:effectExtent l="1905" t="0" r="0" b="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102D544" id="Line 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9pt,100.95pt" to="495.9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" stroked="f"/>
            </w:pict>
          </mc:Fallback>
        </mc:AlternateContent>
      </w:r>
      <w:r w:rsidR="00E25B00" w:rsidRPr="00BD3222">
        <w:rPr>
          <w:rFonts w:cs="Arial"/>
        </w:rPr>
        <w:t>03.03</w:t>
      </w:r>
      <w:r w:rsidR="00613B7D">
        <w:rPr>
          <w:rFonts w:cs="Arial"/>
        </w:rPr>
        <w:tab/>
      </w:r>
      <w:r w:rsidR="00E25B00" w:rsidRPr="00BD3222">
        <w:rPr>
          <w:rFonts w:cs="Arial"/>
          <w:u w:val="single"/>
        </w:rPr>
        <w:t>Adequacy of Storage Area Infrastructure/Environment</w:t>
      </w:r>
    </w:p>
    <w:p w14:paraId="3AEE407E" w14:textId="33A8A96D" w:rsidR="00E25B00" w:rsidRPr="00BD3222" w:rsidRDefault="00E25B00" w:rsidP="00077573">
      <w:pPr>
        <w:pStyle w:val="BodyText3"/>
      </w:pPr>
      <w:r w:rsidRPr="00BD3222">
        <w:t>Note the relationship of LLRW storage to other activities both related and unrelated to LLRW storage. These may include both licensed and unlicensed activities and/or facilities that may impact the adequacy of certain structures to accommodate stored LLRW (e.g.</w:t>
      </w:r>
      <w:r w:rsidR="00AA0B4E" w:rsidRPr="00BD3222">
        <w:t>,</w:t>
      </w:r>
      <w:r w:rsidRPr="00BD3222">
        <w:t xml:space="preserve"> storage of LLRW in outbuildings near other, unrelated facilities that are controlled by someone other than the licensee).</w:t>
      </w:r>
      <w:r w:rsidR="00CB6B64" w:rsidRPr="00BD3222">
        <w:t xml:space="preserve"> </w:t>
      </w:r>
      <w:r w:rsidRPr="00BD3222">
        <w:t xml:space="preserve">Storage structures are likely to vary and include permanent buildings, outbuildings, sheds, </w:t>
      </w:r>
      <w:r w:rsidR="009F7906" w:rsidRPr="00BD3222">
        <w:t>shipping container</w:t>
      </w:r>
      <w:r w:rsidRPr="00BD3222">
        <w:t>, etc.</w:t>
      </w:r>
      <w:r w:rsidR="000C76A8">
        <w:t xml:space="preserve"> </w:t>
      </w:r>
      <w:r w:rsidRPr="00BD3222">
        <w:t xml:space="preserve">The adequacy </w:t>
      </w:r>
      <w:r w:rsidRPr="00BD3222">
        <w:lastRenderedPageBreak/>
        <w:t>of storage structures to accommodate long-term storage of LLRW can depend significantly on the surrounding activities and environment.</w:t>
      </w:r>
    </w:p>
    <w:p w14:paraId="2616C991" w14:textId="73AC1C35" w:rsidR="00672D41" w:rsidRDefault="00E25B00" w:rsidP="00C41171">
      <w:pPr>
        <w:pStyle w:val="Heading2"/>
        <w:rPr>
          <w:rFonts w:cs="Arial"/>
        </w:rPr>
      </w:pPr>
      <w:r w:rsidRPr="00BD3222">
        <w:rPr>
          <w:rFonts w:cs="Arial"/>
        </w:rPr>
        <w:t>03.04</w:t>
      </w:r>
      <w:r w:rsidR="00672D41">
        <w:rPr>
          <w:rFonts w:cs="Arial"/>
        </w:rPr>
        <w:tab/>
      </w:r>
      <w:r w:rsidRPr="00BD3222">
        <w:rPr>
          <w:rFonts w:cs="Arial"/>
          <w:u w:val="single"/>
        </w:rPr>
        <w:t>Package Integrity and Labeling</w:t>
      </w:r>
    </w:p>
    <w:p w14:paraId="151F6ED3" w14:textId="533F8941" w:rsidR="00E25B00" w:rsidRPr="00BD3222" w:rsidRDefault="00E25B00" w:rsidP="00077573">
      <w:pPr>
        <w:pStyle w:val="BodyText3"/>
      </w:pPr>
      <w:r w:rsidRPr="00BD3222">
        <w:t xml:space="preserve">Examine several waste packages to determine whether the packages are adequate for the expected term of storage. Determine whether the type of packaging maintains its package integrity and that the packages are properly labeled. Examine integrity of package handling considerations such as slings, hooks, and pallets. </w:t>
      </w:r>
      <w:r w:rsidR="00CE24B0" w:rsidRPr="00BD3222">
        <w:t>Visually inspect for</w:t>
      </w:r>
      <w:r w:rsidRPr="00BD3222">
        <w:t xml:space="preserve"> evidence of incipient package deterioration</w:t>
      </w:r>
      <w:r w:rsidR="000A7295" w:rsidRPr="00BD3222">
        <w:t xml:space="preserve"> and</w:t>
      </w:r>
      <w:r w:rsidRPr="00BD3222">
        <w:t xml:space="preserve"> evidence of fading or marring of marking and labels.</w:t>
      </w:r>
    </w:p>
    <w:p w14:paraId="2CA9341D" w14:textId="5A79457A" w:rsidR="000A7295" w:rsidRPr="00BD3222" w:rsidRDefault="006C3275" w:rsidP="00077573">
      <w:pPr>
        <w:pStyle w:val="Heading1"/>
      </w:pPr>
      <w:r w:rsidRPr="00BD3222">
        <w:t>84900-04</w:t>
      </w:r>
      <w:r w:rsidRPr="00BD3222">
        <w:tab/>
      </w:r>
      <w:r w:rsidR="00F52636" w:rsidRPr="00BD3222">
        <w:t>RESOURCE</w:t>
      </w:r>
      <w:r w:rsidR="00C86AED" w:rsidRPr="00BD3222">
        <w:t xml:space="preserve"> ESTIMATE</w:t>
      </w:r>
    </w:p>
    <w:p w14:paraId="22D97B7B" w14:textId="51021366" w:rsidR="006C3275" w:rsidRPr="00BD3222" w:rsidRDefault="006C3275" w:rsidP="00077573">
      <w:pPr>
        <w:pStyle w:val="BodyText"/>
        <w:rPr>
          <w:shd w:val="clear" w:color="auto" w:fill="FFFFFF"/>
        </w:rPr>
      </w:pPr>
      <w:r w:rsidRPr="00BD3222">
        <w:rPr>
          <w:shd w:val="clear" w:color="auto" w:fill="FFFFFF"/>
        </w:rPr>
        <w:t xml:space="preserve">An inspection performed using this </w:t>
      </w:r>
      <w:r w:rsidR="00E0649A">
        <w:rPr>
          <w:shd w:val="clear" w:color="auto" w:fill="FFFFFF"/>
        </w:rPr>
        <w:t>IP</w:t>
      </w:r>
      <w:r w:rsidRPr="00BD3222">
        <w:rPr>
          <w:shd w:val="clear" w:color="auto" w:fill="FFFFFF"/>
        </w:rPr>
        <w:t xml:space="preserve"> is estimated to require 2-16 hours of inspector resources. This estimate is only for the direct inspection effort and does not include preparation</w:t>
      </w:r>
      <w:r w:rsidR="002E3EED" w:rsidRPr="00BD3222">
        <w:rPr>
          <w:shd w:val="clear" w:color="auto" w:fill="FFFFFF"/>
        </w:rPr>
        <w:t xml:space="preserve"> </w:t>
      </w:r>
      <w:r w:rsidRPr="00BD3222">
        <w:rPr>
          <w:shd w:val="clear" w:color="auto" w:fill="FFFFFF"/>
        </w:rPr>
        <w:t>for and documentation of the inspection.</w:t>
      </w:r>
    </w:p>
    <w:p w14:paraId="4781C44D" w14:textId="2A4ACA68" w:rsidR="00F52636" w:rsidRPr="00BD3222" w:rsidRDefault="00F52636" w:rsidP="00077573">
      <w:pPr>
        <w:pStyle w:val="Heading1"/>
        <w:rPr>
          <w:rFonts w:cs="Arial"/>
          <w:shd w:val="clear" w:color="auto" w:fill="FFFFFF"/>
        </w:rPr>
      </w:pPr>
      <w:r w:rsidRPr="00BD3222">
        <w:rPr>
          <w:rFonts w:cs="Arial"/>
          <w:shd w:val="clear" w:color="auto" w:fill="FFFFFF"/>
        </w:rPr>
        <w:t>84900-05</w:t>
      </w:r>
      <w:r w:rsidRPr="00BD3222">
        <w:rPr>
          <w:rFonts w:cs="Arial"/>
          <w:shd w:val="clear" w:color="auto" w:fill="FFFFFF"/>
        </w:rPr>
        <w:tab/>
      </w:r>
      <w:r w:rsidR="00C86AED" w:rsidRPr="00BD3222">
        <w:rPr>
          <w:rFonts w:cs="Arial"/>
          <w:shd w:val="clear" w:color="auto" w:fill="FFFFFF"/>
        </w:rPr>
        <w:t>PROCEDURE</w:t>
      </w:r>
      <w:r w:rsidRPr="00BD3222">
        <w:rPr>
          <w:rFonts w:cs="Arial"/>
          <w:shd w:val="clear" w:color="auto" w:fill="FFFFFF"/>
        </w:rPr>
        <w:t xml:space="preserve"> COMPLETION</w:t>
      </w:r>
    </w:p>
    <w:p w14:paraId="111A892E" w14:textId="0A1480E7" w:rsidR="00F52636" w:rsidRPr="00BD3222" w:rsidRDefault="00F52636" w:rsidP="00077573">
      <w:pPr>
        <w:pStyle w:val="BodyText"/>
      </w:pPr>
      <w:r w:rsidRPr="00BD3222">
        <w:rPr>
          <w:shd w:val="clear" w:color="auto" w:fill="FFFFFF"/>
        </w:rPr>
        <w:t xml:space="preserve">This IP is considered complete when the inspector has sufficiently reviewed the licensee’s performance under </w:t>
      </w:r>
      <w:r w:rsidR="00C86AED" w:rsidRPr="00BD3222">
        <w:rPr>
          <w:shd w:val="clear" w:color="auto" w:fill="FFFFFF"/>
        </w:rPr>
        <w:t xml:space="preserve">this </w:t>
      </w:r>
      <w:r w:rsidR="00E0649A">
        <w:rPr>
          <w:shd w:val="clear" w:color="auto" w:fill="FFFFFF"/>
        </w:rPr>
        <w:t>IP</w:t>
      </w:r>
      <w:r w:rsidRPr="00BD3222">
        <w:rPr>
          <w:shd w:val="clear" w:color="auto" w:fill="FFFFFF"/>
        </w:rPr>
        <w:t xml:space="preserve"> and the objectives of this procedure have been met.</w:t>
      </w:r>
    </w:p>
    <w:p w14:paraId="1CDB9FA8" w14:textId="5AA7DB02" w:rsidR="000E16F0" w:rsidRPr="00BD3222" w:rsidRDefault="00766D27" w:rsidP="00077573">
      <w:pPr>
        <w:pStyle w:val="Heading1"/>
        <w:rPr>
          <w:rFonts w:cs="Arial"/>
        </w:rPr>
      </w:pPr>
      <w:r w:rsidRPr="00BD3222">
        <w:rPr>
          <w:rFonts w:cs="Arial"/>
        </w:rPr>
        <w:t>84900-</w:t>
      </w:r>
      <w:r w:rsidR="006C3275" w:rsidRPr="00BD3222">
        <w:rPr>
          <w:rFonts w:cs="Arial"/>
        </w:rPr>
        <w:t>0</w:t>
      </w:r>
      <w:r w:rsidR="00F52636" w:rsidRPr="00BD3222">
        <w:rPr>
          <w:rFonts w:cs="Arial"/>
        </w:rPr>
        <w:t>6</w:t>
      </w:r>
      <w:r w:rsidR="000E16F0" w:rsidRPr="00BD3222">
        <w:rPr>
          <w:rFonts w:cs="Arial"/>
        </w:rPr>
        <w:tab/>
        <w:t>REFERENCES</w:t>
      </w:r>
    </w:p>
    <w:p w14:paraId="4BFB2CBD" w14:textId="77777777" w:rsidR="00CB0F40" w:rsidRPr="00BD3222" w:rsidRDefault="00CB0F40" w:rsidP="00A24514">
      <w:pPr>
        <w:pStyle w:val="BodyText2"/>
      </w:pPr>
      <w:r>
        <w:t>IP</w:t>
      </w:r>
      <w:r w:rsidRPr="00BD3222">
        <w:t xml:space="preserve"> 84850, “Radioactive Waste Management – Inspection of Waste Generator Requirements of 10 CFR Part 20 and 10 CFR Part 61.”</w:t>
      </w:r>
    </w:p>
    <w:p w14:paraId="7DF02174" w14:textId="77777777" w:rsidR="00CB0F40" w:rsidRPr="00BD3222" w:rsidRDefault="00CB0F40" w:rsidP="00A24514">
      <w:pPr>
        <w:pStyle w:val="BodyText2"/>
      </w:pPr>
      <w:r>
        <w:t>IP</w:t>
      </w:r>
      <w:r w:rsidRPr="00077573">
        <w:t xml:space="preserve"> 87137, “10 CFR Part 37 Materials Security Programs.”</w:t>
      </w:r>
    </w:p>
    <w:p w14:paraId="00405455" w14:textId="77777777" w:rsidR="00CB0F40" w:rsidRPr="00BD3222" w:rsidRDefault="00CB0F40" w:rsidP="00A24514">
      <w:pPr>
        <w:pStyle w:val="BodyText2"/>
      </w:pPr>
      <w:r w:rsidRPr="00BD3222">
        <w:t>NRC Information Notice No.</w:t>
      </w:r>
      <w:r>
        <w:t xml:space="preserve"> </w:t>
      </w:r>
      <w:r w:rsidRPr="00BD3222">
        <w:t>89-13, "Alternative Waste Management Procedures in Case of Denial of Access to Low-Level Waste Disposal Sites</w:t>
      </w:r>
      <w:r>
        <w:t>.</w:t>
      </w:r>
      <w:r w:rsidRPr="00BD3222">
        <w:t>" February 8, 1989.</w:t>
      </w:r>
    </w:p>
    <w:p w14:paraId="3EEFF7A7" w14:textId="77777777" w:rsidR="00CB0F40" w:rsidRPr="00BD3222" w:rsidRDefault="00CB0F40" w:rsidP="00A24514">
      <w:pPr>
        <w:pStyle w:val="BodyText2"/>
      </w:pPr>
      <w:r w:rsidRPr="00BD3222">
        <w:t>NRC Information Notice No.</w:t>
      </w:r>
      <w:r>
        <w:t xml:space="preserve"> </w:t>
      </w:r>
      <w:r w:rsidRPr="00BD3222">
        <w:t>93-50, “Extended Storage of Sealed Sources</w:t>
      </w:r>
      <w:r>
        <w:t>.</w:t>
      </w:r>
      <w:r w:rsidRPr="00BD3222">
        <w:t>” July 9, 1993.</w:t>
      </w:r>
    </w:p>
    <w:p w14:paraId="16FC930B" w14:textId="77777777" w:rsidR="00CB0F40" w:rsidRPr="00BD3222" w:rsidRDefault="00CB0F40" w:rsidP="00A24514">
      <w:pPr>
        <w:pStyle w:val="BodyText2"/>
      </w:pPr>
      <w:r w:rsidRPr="00BD3222">
        <w:t xml:space="preserve">NRC Regulatory Issue Summary </w:t>
      </w:r>
      <w:r>
        <w:t xml:space="preserve">(RIS) </w:t>
      </w:r>
      <w:r w:rsidRPr="00BD3222">
        <w:t>2008-12, “Considerations for Extended Interim Storage of Low-Level Radioactive Waste by Fuel Cycle and Materials Licensees</w:t>
      </w:r>
      <w:r>
        <w:t>.</w:t>
      </w:r>
      <w:r w:rsidRPr="00BD3222">
        <w:t>” May 9, 2008.</w:t>
      </w:r>
    </w:p>
    <w:p w14:paraId="72A1D8E5" w14:textId="7DE84508" w:rsidR="00CB0F40" w:rsidRPr="00BD3222" w:rsidRDefault="00CB0F40" w:rsidP="00A24514">
      <w:pPr>
        <w:pStyle w:val="BodyText2"/>
      </w:pPr>
      <w:r w:rsidRPr="00BD3222">
        <w:t xml:space="preserve">NRC </w:t>
      </w:r>
      <w:r>
        <w:t>RIS</w:t>
      </w:r>
      <w:r w:rsidRPr="00BD3222">
        <w:t xml:space="preserve"> 2011-09, “Available Resources Associated with Extended Interim Storage of Low-Level Radioactive Waste</w:t>
      </w:r>
      <w:r>
        <w:t>.</w:t>
      </w:r>
      <w:r w:rsidRPr="00BD3222">
        <w:t>" August 16, 2011.</w:t>
      </w:r>
    </w:p>
    <w:p w14:paraId="460AC978" w14:textId="77777777" w:rsidR="00CB0F40" w:rsidRPr="00BD3222" w:rsidRDefault="00CB0F40" w:rsidP="00A24514">
      <w:pPr>
        <w:pStyle w:val="BodyText2"/>
      </w:pPr>
      <w:r w:rsidRPr="00BD3222">
        <w:t>NUREG-1556, “Consolidated Guidance About Materials Licenses,” November 2015 et seq.</w:t>
      </w:r>
    </w:p>
    <w:p w14:paraId="26DFD93C" w14:textId="77777777" w:rsidR="00CB0F40" w:rsidRPr="00BD3222" w:rsidRDefault="00CB0F40" w:rsidP="00A24514">
      <w:pPr>
        <w:pStyle w:val="BodyText2"/>
      </w:pPr>
      <w:r w:rsidRPr="00BD3222">
        <w:t>NUREG-1757, Rev</w:t>
      </w:r>
      <w:r>
        <w:t>ision</w:t>
      </w:r>
      <w:r w:rsidRPr="00BD3222">
        <w:t xml:space="preserve"> 2, “Consolidated Decommissioning Guidance," Volume 1, "Decommissioning Process for Materials Licensees</w:t>
      </w:r>
      <w:r>
        <w:t>.</w:t>
      </w:r>
      <w:r w:rsidRPr="00BD3222">
        <w:t>" September 2006.</w:t>
      </w:r>
    </w:p>
    <w:p w14:paraId="74AF5B6C" w14:textId="77777777" w:rsidR="000E16F0" w:rsidRPr="00BD3222" w:rsidRDefault="000E16F0" w:rsidP="00077573">
      <w:pPr>
        <w:pStyle w:val="END"/>
      </w:pPr>
      <w:r w:rsidRPr="00BD3222">
        <w:t>END</w:t>
      </w:r>
    </w:p>
    <w:p w14:paraId="5DD35822" w14:textId="7C24B7EC" w:rsidR="00642EBC" w:rsidRPr="008A4F66" w:rsidRDefault="00F73457" w:rsidP="00CB0F40">
      <w:pPr>
        <w:pStyle w:val="BodyText2"/>
      </w:pPr>
      <w:bookmarkStart w:id="0" w:name="_Toc166392890"/>
      <w:bookmarkStart w:id="1" w:name="_Toc166462813"/>
      <w:bookmarkStart w:id="2" w:name="_Toc168390786"/>
      <w:bookmarkStart w:id="3" w:name="_Toc168390861"/>
      <w:bookmarkStart w:id="4" w:name="_Toc168393146"/>
      <w:bookmarkStart w:id="5" w:name="_Toc168393299"/>
      <w:bookmarkStart w:id="6" w:name="_Toc168393404"/>
      <w:bookmarkStart w:id="7" w:name="_Toc168911238"/>
      <w:bookmarkStart w:id="8" w:name="_Toc168911467"/>
      <w:r>
        <w:lastRenderedPageBreak/>
        <w:t>ATTACHMENTS</w:t>
      </w:r>
      <w:r w:rsidR="00CB0F40">
        <w:br/>
      </w:r>
      <w:r>
        <w:t>Attachment</w:t>
      </w:r>
      <w:r w:rsidR="00CB0F40">
        <w:t xml:space="preserve"> 1</w:t>
      </w:r>
      <w:r w:rsidR="00642EBC">
        <w:t>:</w:t>
      </w:r>
      <w:r w:rsidR="00642EBC" w:rsidRPr="008A4F66">
        <w:t xml:space="preserve"> </w:t>
      </w:r>
      <w:r w:rsidRPr="00F73457">
        <w:t xml:space="preserve">Revision History for </w:t>
      </w:r>
      <w:r w:rsidR="00202BE0">
        <w:t xml:space="preserve">IP </w:t>
      </w:r>
      <w:r w:rsidRPr="00F73457">
        <w:t>84900</w:t>
      </w:r>
    </w:p>
    <w:p w14:paraId="3D924A05" w14:textId="77777777" w:rsidR="00B11614" w:rsidRPr="00BD3222" w:rsidRDefault="00B11614" w:rsidP="00E049CE">
      <w:pPr>
        <w:pStyle w:val="BodyText"/>
      </w:pPr>
    </w:p>
    <w:p w14:paraId="302E871F" w14:textId="77777777" w:rsidR="00C30BFD" w:rsidRPr="00BD3222" w:rsidRDefault="00C30BFD" w:rsidP="00E049CE">
      <w:pPr>
        <w:pStyle w:val="BodyText"/>
        <w:sectPr w:rsidR="00C30BFD" w:rsidRPr="00BD3222" w:rsidSect="00077573">
          <w:footerReference w:type="even" r:id="rId7"/>
          <w:footerReference w:type="default" r:id="rId8"/>
          <w:pgSz w:w="12240" w:h="15840" w:code="1"/>
          <w:pgMar w:top="1440" w:right="1440" w:bottom="1440" w:left="1440" w:header="720" w:footer="720" w:gutter="0"/>
          <w:cols w:space="720"/>
          <w:docGrid w:linePitch="360"/>
        </w:sectPr>
      </w:pPr>
    </w:p>
    <w:p w14:paraId="6E0BF50D" w14:textId="5F6BE59E" w:rsidR="00B11614" w:rsidRPr="00BD3222" w:rsidRDefault="00527C2F" w:rsidP="009C789B">
      <w:pPr>
        <w:pStyle w:val="Attachmenttitle"/>
      </w:pPr>
      <w:r w:rsidRPr="00BD3222">
        <w:lastRenderedPageBreak/>
        <w:t>Attachment 1</w:t>
      </w:r>
      <w:r w:rsidR="009C789B">
        <w:t xml:space="preserve">: </w:t>
      </w:r>
      <w:r w:rsidR="00B11614" w:rsidRPr="00BD3222">
        <w:t xml:space="preserve">Revision History </w:t>
      </w:r>
      <w:bookmarkEnd w:id="0"/>
      <w:bookmarkEnd w:id="1"/>
      <w:bookmarkEnd w:id="2"/>
      <w:bookmarkEnd w:id="3"/>
      <w:bookmarkEnd w:id="4"/>
      <w:bookmarkEnd w:id="5"/>
      <w:bookmarkEnd w:id="6"/>
      <w:bookmarkEnd w:id="7"/>
      <w:bookmarkEnd w:id="8"/>
      <w:r w:rsidR="00B11614" w:rsidRPr="00BD3222">
        <w:t xml:space="preserve">for </w:t>
      </w:r>
      <w:r w:rsidR="000835A0">
        <w:t xml:space="preserve">IP </w:t>
      </w:r>
      <w:r w:rsidR="00B11614" w:rsidRPr="00BD3222">
        <w:t>84900</w:t>
      </w:r>
    </w:p>
    <w:tbl>
      <w:tblPr>
        <w:tblW w:w="12960" w:type="dxa"/>
        <w:tblInd w:w="120" w:type="dxa"/>
        <w:tblLayout w:type="fixed"/>
        <w:tblCellMar>
          <w:left w:w="120" w:type="dxa"/>
          <w:right w:w="120" w:type="dxa"/>
        </w:tblCellMar>
        <w:tblLook w:val="0000" w:firstRow="0" w:lastRow="0" w:firstColumn="0" w:lastColumn="0" w:noHBand="0" w:noVBand="0"/>
      </w:tblPr>
      <w:tblGrid>
        <w:gridCol w:w="1401"/>
        <w:gridCol w:w="1620"/>
        <w:gridCol w:w="6120"/>
        <w:gridCol w:w="1530"/>
        <w:gridCol w:w="2289"/>
      </w:tblGrid>
      <w:tr w:rsidR="002076AA" w:rsidRPr="00BD3222" w14:paraId="69520991" w14:textId="77777777" w:rsidTr="004E4240">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0CADD2D" w14:textId="77777777" w:rsidR="002076AA" w:rsidRPr="00BD3222" w:rsidRDefault="002076AA" w:rsidP="00441C70">
            <w:pPr>
              <w:pStyle w:val="BodyText-table"/>
            </w:pPr>
            <w:r w:rsidRPr="00BD3222">
              <w:t>Commitment Tracking Number</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141FEC3" w14:textId="77777777" w:rsidR="002076AA" w:rsidRDefault="002076AA" w:rsidP="00441C70">
            <w:pPr>
              <w:pStyle w:val="BodyText-table"/>
            </w:pPr>
            <w:r>
              <w:t>Accession Number</w:t>
            </w:r>
          </w:p>
          <w:p w14:paraId="0CC83F90" w14:textId="77777777" w:rsidR="002076AA" w:rsidRDefault="002076AA" w:rsidP="00441C70">
            <w:pPr>
              <w:pStyle w:val="BodyText-table"/>
            </w:pPr>
            <w:r w:rsidRPr="00BD3222">
              <w:t>Issue Date</w:t>
            </w:r>
          </w:p>
          <w:p w14:paraId="5F2A7784" w14:textId="388F0F4C" w:rsidR="002076AA" w:rsidRPr="00BD3222" w:rsidRDefault="002076AA" w:rsidP="00441C70">
            <w:pPr>
              <w:pStyle w:val="BodyText-table"/>
            </w:pPr>
            <w:r>
              <w:t>Change Notice</w:t>
            </w:r>
          </w:p>
        </w:tc>
        <w:tc>
          <w:tcPr>
            <w:tcW w:w="61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AF8403F" w14:textId="6D7BD1D5" w:rsidR="002076AA" w:rsidRPr="00BD3222" w:rsidRDefault="002076AA" w:rsidP="00441C70">
            <w:pPr>
              <w:pStyle w:val="BodyText-table"/>
            </w:pPr>
            <w:r w:rsidRPr="00BD3222">
              <w:t>Description of Change</w:t>
            </w:r>
          </w:p>
        </w:tc>
        <w:tc>
          <w:tcPr>
            <w:tcW w:w="15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6C68378" w14:textId="76395142" w:rsidR="002076AA" w:rsidRPr="00BD3222" w:rsidRDefault="002076AA" w:rsidP="00441C70">
            <w:pPr>
              <w:pStyle w:val="BodyText-table"/>
            </w:pPr>
            <w:r>
              <w:t>Description of</w:t>
            </w:r>
            <w:r w:rsidR="0063322A">
              <w:t xml:space="preserve"> </w:t>
            </w:r>
            <w:r w:rsidRPr="00BD3222">
              <w:t xml:space="preserve">Training </w:t>
            </w:r>
            <w:r w:rsidR="0063322A">
              <w:t xml:space="preserve">Required and </w:t>
            </w:r>
            <w:r w:rsidRPr="00BD3222">
              <w:t>Completion Date</w:t>
            </w:r>
          </w:p>
        </w:tc>
        <w:tc>
          <w:tcPr>
            <w:tcW w:w="228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01679F9" w14:textId="6A437F12" w:rsidR="002076AA" w:rsidRPr="00BD3222" w:rsidRDefault="002076AA" w:rsidP="00441C70">
            <w:pPr>
              <w:pStyle w:val="BodyText-table"/>
            </w:pPr>
            <w:r w:rsidRPr="00BD3222">
              <w:t>Comment Resolution</w:t>
            </w:r>
            <w:r>
              <w:t xml:space="preserve"> and Closed Feedback Form </w:t>
            </w:r>
            <w:r w:rsidRPr="00BD3222">
              <w:t>Accession Number</w:t>
            </w:r>
            <w:r>
              <w:t xml:space="preserve"> </w:t>
            </w:r>
            <w:r>
              <w:br/>
              <w:t>(Pre-Decisional, Non-Public Information)</w:t>
            </w:r>
          </w:p>
        </w:tc>
      </w:tr>
      <w:tr w:rsidR="002076AA" w:rsidRPr="00BD3222" w14:paraId="62D7ECB9" w14:textId="77777777" w:rsidTr="004E4240">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25A4742" w14:textId="77777777" w:rsidR="002076AA" w:rsidRPr="00BD3222" w:rsidRDefault="002076AA" w:rsidP="00441C70">
            <w:pPr>
              <w:pStyle w:val="BodyText-table"/>
            </w:pPr>
            <w:r w:rsidRPr="00BD3222">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44376BC" w14:textId="77777777" w:rsidR="002076AA" w:rsidRPr="00BD3222" w:rsidRDefault="002076AA" w:rsidP="00441C70">
            <w:pPr>
              <w:pStyle w:val="BodyText-table"/>
            </w:pPr>
            <w:r w:rsidRPr="00BD3222">
              <w:t>12/22/08</w:t>
            </w:r>
          </w:p>
          <w:p w14:paraId="3B2EF37F" w14:textId="77777777" w:rsidR="002076AA" w:rsidRPr="00BD3222" w:rsidRDefault="002076AA" w:rsidP="00441C70">
            <w:pPr>
              <w:pStyle w:val="BodyText-table"/>
            </w:pPr>
            <w:r w:rsidRPr="00BD3222">
              <w:t>CN 08-037</w:t>
            </w:r>
          </w:p>
        </w:tc>
        <w:tc>
          <w:tcPr>
            <w:tcW w:w="61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F4EA311" w14:textId="77777777" w:rsidR="002076AA" w:rsidRPr="00BD3222" w:rsidRDefault="002076AA" w:rsidP="00441C70">
            <w:pPr>
              <w:pStyle w:val="BodyText-table"/>
            </w:pPr>
            <w:r w:rsidRPr="00BD3222">
              <w:t>Completed 4 year historical search and found no commitments.</w:t>
            </w:r>
          </w:p>
          <w:p w14:paraId="76D27E71" w14:textId="77777777" w:rsidR="002076AA" w:rsidRPr="00BD3222" w:rsidRDefault="002076AA" w:rsidP="00441C70">
            <w:pPr>
              <w:pStyle w:val="BodyText-table"/>
            </w:pPr>
          </w:p>
          <w:p w14:paraId="34DB34E2" w14:textId="0BA759B2" w:rsidR="002076AA" w:rsidRPr="00BD3222" w:rsidRDefault="002076AA" w:rsidP="00441C70">
            <w:pPr>
              <w:pStyle w:val="BodyText-table"/>
            </w:pPr>
            <w:r w:rsidRPr="00BD3222">
              <w:t xml:space="preserve">Added references related to Increased Control Order and Fingerprinting and Criminal History Order and qualifications of waste storage personnel. Added several additional factors related to adequacy of storage area, storage infrastructure, and storage environs; Added additional package handling considerations. Deleted </w:t>
            </w:r>
            <w:r>
              <w:t>“</w:t>
            </w:r>
            <w:r w:rsidRPr="00BD3222">
              <w:t>Resource</w:t>
            </w:r>
            <w:r>
              <w:t>”</w:t>
            </w:r>
            <w:r w:rsidRPr="00BD3222">
              <w:t xml:space="preserve"> discussion.</w:t>
            </w:r>
          </w:p>
        </w:tc>
        <w:tc>
          <w:tcPr>
            <w:tcW w:w="15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05E403F" w14:textId="053100B1" w:rsidR="002076AA" w:rsidRPr="00BD3222" w:rsidRDefault="002076AA" w:rsidP="00441C70">
            <w:pPr>
              <w:pStyle w:val="BodyText-table"/>
            </w:pPr>
            <w:r>
              <w:t>None</w:t>
            </w:r>
          </w:p>
        </w:tc>
        <w:tc>
          <w:tcPr>
            <w:tcW w:w="228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0EDEE33" w14:textId="77777777" w:rsidR="002076AA" w:rsidRPr="00BD3222" w:rsidRDefault="002076AA" w:rsidP="00441C70">
            <w:pPr>
              <w:pStyle w:val="BodyText-table"/>
            </w:pPr>
            <w:r w:rsidRPr="00BD3222">
              <w:t>ML081980823</w:t>
            </w:r>
          </w:p>
        </w:tc>
      </w:tr>
      <w:tr w:rsidR="002076AA" w:rsidRPr="00BD3222" w14:paraId="2E501515" w14:textId="77777777" w:rsidTr="004E4240">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54130A0" w14:textId="62C1D55F" w:rsidR="002076AA" w:rsidRPr="00BD3222" w:rsidRDefault="002076AA" w:rsidP="00441C70">
            <w:pPr>
              <w:pStyle w:val="BodyText-table"/>
            </w:pPr>
            <w:r w:rsidRPr="00BD3222">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4BAD712" w14:textId="77777777" w:rsidR="002076AA" w:rsidRDefault="002076AA" w:rsidP="00441C70">
            <w:pPr>
              <w:pStyle w:val="BodyText-table"/>
            </w:pPr>
            <w:r w:rsidRPr="00BD3222">
              <w:t>ML22010A148</w:t>
            </w:r>
          </w:p>
          <w:p w14:paraId="41F0C3A4" w14:textId="234F2DA5" w:rsidR="002076AA" w:rsidRDefault="00941F14" w:rsidP="00441C70">
            <w:pPr>
              <w:pStyle w:val="BodyText-table"/>
            </w:pPr>
            <w:r>
              <w:t>12/15/22</w:t>
            </w:r>
          </w:p>
          <w:p w14:paraId="00F33249" w14:textId="6DB24AE4" w:rsidR="002076AA" w:rsidRPr="00BD3222" w:rsidRDefault="002076AA" w:rsidP="00441C70">
            <w:pPr>
              <w:pStyle w:val="BodyText-table"/>
            </w:pPr>
            <w:r>
              <w:t xml:space="preserve">CN </w:t>
            </w:r>
            <w:r w:rsidR="00941F14">
              <w:t>22-026</w:t>
            </w:r>
          </w:p>
        </w:tc>
        <w:tc>
          <w:tcPr>
            <w:tcW w:w="61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D61A69E" w14:textId="7CD0C0B9" w:rsidR="002076AA" w:rsidRPr="00BD3222" w:rsidRDefault="002076AA" w:rsidP="00441C70">
            <w:pPr>
              <w:pStyle w:val="BodyText-table"/>
            </w:pPr>
            <w:r w:rsidRPr="00BD3222">
              <w:t>Clarified objectives.</w:t>
            </w:r>
            <w:r>
              <w:t xml:space="preserve"> </w:t>
            </w:r>
            <w:r w:rsidRPr="00BD3222">
              <w:t>Added applicability to Program 2602.</w:t>
            </w:r>
            <w:r>
              <w:t xml:space="preserve"> </w:t>
            </w:r>
            <w:r w:rsidRPr="00BD3222">
              <w:t>Replaced references to Increased Control Order and Fingerprinting and Criminal History Order with 10 CFR Part37.</w:t>
            </w:r>
            <w:r>
              <w:t xml:space="preserve"> </w:t>
            </w:r>
            <w:r w:rsidRPr="00BD3222">
              <w:t>Added reference to subsurface surveys (2011 Decommissioning Planning Rule).</w:t>
            </w:r>
          </w:p>
        </w:tc>
        <w:tc>
          <w:tcPr>
            <w:tcW w:w="15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641A312" w14:textId="4B88A4C3" w:rsidR="002076AA" w:rsidRPr="00BD3222" w:rsidRDefault="002076AA" w:rsidP="00441C70">
            <w:pPr>
              <w:pStyle w:val="BodyText-table"/>
            </w:pPr>
            <w:r>
              <w:t>none</w:t>
            </w:r>
          </w:p>
        </w:tc>
        <w:tc>
          <w:tcPr>
            <w:tcW w:w="228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D5E6AF3" w14:textId="77777777" w:rsidR="002076AA" w:rsidRDefault="002076AA" w:rsidP="00441C70">
            <w:pPr>
              <w:pStyle w:val="BodyText-table"/>
            </w:pPr>
            <w:r w:rsidRPr="00BD3222">
              <w:t>ML</w:t>
            </w:r>
            <w:r>
              <w:t>22327A272</w:t>
            </w:r>
          </w:p>
          <w:p w14:paraId="4F19DD6A" w14:textId="5E6AE11F" w:rsidR="002076AA" w:rsidRPr="00BD3222" w:rsidRDefault="002076AA" w:rsidP="00441C70">
            <w:pPr>
              <w:pStyle w:val="BodyText-table"/>
            </w:pPr>
            <w:r>
              <w:t>ML22327A276</w:t>
            </w:r>
          </w:p>
        </w:tc>
      </w:tr>
    </w:tbl>
    <w:p w14:paraId="10A15904" w14:textId="77777777" w:rsidR="00B11614" w:rsidRPr="00BD3222" w:rsidRDefault="00B11614" w:rsidP="001231D7"/>
    <w:sectPr w:rsidR="00B11614" w:rsidRPr="00BD3222" w:rsidSect="00077573">
      <w:headerReference w:type="default" r:id="rId9"/>
      <w:footerReference w:type="default" r:id="rId10"/>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B8407" w14:textId="77777777" w:rsidR="00922832" w:rsidRDefault="00922832">
      <w:r>
        <w:separator/>
      </w:r>
    </w:p>
  </w:endnote>
  <w:endnote w:type="continuationSeparator" w:id="0">
    <w:p w14:paraId="5BC7CD40" w14:textId="77777777" w:rsidR="00922832" w:rsidRDefault="00922832">
      <w:r>
        <w:continuationSeparator/>
      </w:r>
    </w:p>
  </w:endnote>
  <w:endnote w:type="continuationNotice" w:id="1">
    <w:p w14:paraId="4E8C2B21" w14:textId="77777777" w:rsidR="00922832" w:rsidRDefault="0092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B2F5" w14:textId="75B30D51" w:rsidR="00D27E09" w:rsidRDefault="00D27E09" w:rsidP="000E1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3457">
      <w:rPr>
        <w:rStyle w:val="PageNumber"/>
        <w:noProof/>
      </w:rPr>
      <w:t>4</w:t>
    </w:r>
    <w:r>
      <w:rPr>
        <w:rStyle w:val="PageNumber"/>
      </w:rPr>
      <w:fldChar w:fldCharType="end"/>
    </w:r>
  </w:p>
  <w:p w14:paraId="78365477" w14:textId="77777777" w:rsidR="00D27E09" w:rsidRDefault="00D27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988D" w14:textId="00262149" w:rsidR="00C905FF" w:rsidRPr="001C2615" w:rsidRDefault="001C2615" w:rsidP="001C2615">
    <w:pPr>
      <w:tabs>
        <w:tab w:val="center" w:pos="4680"/>
        <w:tab w:val="right" w:pos="9360"/>
      </w:tabs>
    </w:pPr>
    <w:r w:rsidRPr="004D542F">
      <w:t>Issue Date:</w:t>
    </w:r>
    <w:r w:rsidR="00077573">
      <w:t xml:space="preserve"> </w:t>
    </w:r>
    <w:r w:rsidR="00941F14">
      <w:t>12/15/22</w:t>
    </w:r>
    <w:r w:rsidRPr="004D542F">
      <w:tab/>
    </w:r>
    <w:r w:rsidRPr="004D542F">
      <w:fldChar w:fldCharType="begin"/>
    </w:r>
    <w:r w:rsidRPr="004D542F">
      <w:instrText xml:space="preserve">PAGE </w:instrText>
    </w:r>
    <w:r w:rsidRPr="004D542F">
      <w:fldChar w:fldCharType="separate"/>
    </w:r>
    <w:r>
      <w:t>7</w:t>
    </w:r>
    <w:r w:rsidRPr="004D542F">
      <w:fldChar w:fldCharType="end"/>
    </w:r>
    <w:r w:rsidRPr="004D542F">
      <w:tab/>
      <w:t>8</w:t>
    </w:r>
    <w:r>
      <w:t>4900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1B45" w14:textId="7291F966" w:rsidR="00527C2F" w:rsidRPr="008B7B68" w:rsidRDefault="008B7B68" w:rsidP="00355D85">
    <w:pPr>
      <w:tabs>
        <w:tab w:val="center" w:pos="6480"/>
        <w:tab w:val="right" w:pos="12960"/>
      </w:tabs>
    </w:pPr>
    <w:r w:rsidRPr="00457AD8">
      <w:t>Issue Date:</w:t>
    </w:r>
    <w:r w:rsidR="00077573">
      <w:t xml:space="preserve"> </w:t>
    </w:r>
    <w:r w:rsidR="00941F14">
      <w:t>12/15/22</w:t>
    </w:r>
    <w:r w:rsidRPr="00457AD8">
      <w:tab/>
      <w:t>Att1-</w:t>
    </w:r>
    <w:r w:rsidRPr="00457AD8">
      <w:rPr>
        <w:rStyle w:val="PageNumber"/>
      </w:rPr>
      <w:fldChar w:fldCharType="begin"/>
    </w:r>
    <w:r w:rsidRPr="00457AD8">
      <w:rPr>
        <w:rStyle w:val="PageNumber"/>
      </w:rPr>
      <w:instrText xml:space="preserve"> PAGE </w:instrText>
    </w:r>
    <w:r w:rsidRPr="00457AD8">
      <w:rPr>
        <w:rStyle w:val="PageNumber"/>
      </w:rPr>
      <w:fldChar w:fldCharType="separate"/>
    </w:r>
    <w:r>
      <w:rPr>
        <w:rStyle w:val="PageNumber"/>
      </w:rPr>
      <w:t>1</w:t>
    </w:r>
    <w:r w:rsidRPr="00457AD8">
      <w:rPr>
        <w:rStyle w:val="PageNumber"/>
      </w:rPr>
      <w:fldChar w:fldCharType="end"/>
    </w:r>
    <w:r w:rsidRPr="00457AD8">
      <w:tab/>
      <w:t>8</w:t>
    </w:r>
    <w:r w:rsidR="00E5114E">
      <w:t>4900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AD37D" w14:textId="77777777" w:rsidR="00922832" w:rsidRDefault="00922832">
      <w:r>
        <w:separator/>
      </w:r>
    </w:p>
  </w:footnote>
  <w:footnote w:type="continuationSeparator" w:id="0">
    <w:p w14:paraId="698F6389" w14:textId="77777777" w:rsidR="00922832" w:rsidRDefault="00922832">
      <w:r>
        <w:continuationSeparator/>
      </w:r>
    </w:p>
  </w:footnote>
  <w:footnote w:type="continuationNotice" w:id="1">
    <w:p w14:paraId="0613E1D0" w14:textId="77777777" w:rsidR="00922832" w:rsidRDefault="0092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16C6" w14:textId="77777777" w:rsidR="00077573" w:rsidRDefault="00077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1E95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2C6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E6C08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1EAD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9965C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4840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2EF9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104B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5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4A4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E3A3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0C210436"/>
    <w:multiLevelType w:val="hybridMultilevel"/>
    <w:tmpl w:val="65B66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122F3C"/>
    <w:multiLevelType w:val="hybridMultilevel"/>
    <w:tmpl w:val="2758AA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947931"/>
    <w:multiLevelType w:val="hybridMultilevel"/>
    <w:tmpl w:val="8AC66D74"/>
    <w:lvl w:ilvl="0" w:tplc="3CB43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B5C3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6D35554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616906791">
    <w:abstractNumId w:val="11"/>
  </w:num>
  <w:num w:numId="2" w16cid:durableId="1218933534">
    <w:abstractNumId w:val="13"/>
  </w:num>
  <w:num w:numId="3" w16cid:durableId="1843350093">
    <w:abstractNumId w:val="12"/>
  </w:num>
  <w:num w:numId="4" w16cid:durableId="1707482324">
    <w:abstractNumId w:val="9"/>
  </w:num>
  <w:num w:numId="5" w16cid:durableId="1629239961">
    <w:abstractNumId w:val="7"/>
  </w:num>
  <w:num w:numId="6" w16cid:durableId="1727336830">
    <w:abstractNumId w:val="6"/>
  </w:num>
  <w:num w:numId="7" w16cid:durableId="1593315878">
    <w:abstractNumId w:val="5"/>
  </w:num>
  <w:num w:numId="8" w16cid:durableId="1379672467">
    <w:abstractNumId w:val="4"/>
  </w:num>
  <w:num w:numId="9" w16cid:durableId="860826311">
    <w:abstractNumId w:val="8"/>
  </w:num>
  <w:num w:numId="10" w16cid:durableId="1546604126">
    <w:abstractNumId w:val="3"/>
  </w:num>
  <w:num w:numId="11" w16cid:durableId="101999852">
    <w:abstractNumId w:val="2"/>
  </w:num>
  <w:num w:numId="12" w16cid:durableId="903104243">
    <w:abstractNumId w:val="1"/>
  </w:num>
  <w:num w:numId="13" w16cid:durableId="2068185584">
    <w:abstractNumId w:val="0"/>
  </w:num>
  <w:num w:numId="14" w16cid:durableId="241373080">
    <w:abstractNumId w:val="15"/>
  </w:num>
  <w:num w:numId="15" w16cid:durableId="176359075">
    <w:abstractNumId w:val="14"/>
  </w:num>
  <w:num w:numId="16" w16cid:durableId="12259169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rawingGridHorizontalSpacing w:val="171"/>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F0"/>
    <w:rsid w:val="0001166C"/>
    <w:rsid w:val="00011B5C"/>
    <w:rsid w:val="00021047"/>
    <w:rsid w:val="0002626A"/>
    <w:rsid w:val="00051910"/>
    <w:rsid w:val="00056EF7"/>
    <w:rsid w:val="00062497"/>
    <w:rsid w:val="000676CC"/>
    <w:rsid w:val="00077573"/>
    <w:rsid w:val="00081F28"/>
    <w:rsid w:val="000835A0"/>
    <w:rsid w:val="000A119B"/>
    <w:rsid w:val="000A7295"/>
    <w:rsid w:val="000B0EE5"/>
    <w:rsid w:val="000C3E77"/>
    <w:rsid w:val="000C6D37"/>
    <w:rsid w:val="000C76A8"/>
    <w:rsid w:val="000E16F0"/>
    <w:rsid w:val="000E2B3B"/>
    <w:rsid w:val="000F0D0E"/>
    <w:rsid w:val="000F5CF2"/>
    <w:rsid w:val="001115B5"/>
    <w:rsid w:val="00111C0A"/>
    <w:rsid w:val="0011530B"/>
    <w:rsid w:val="001231D7"/>
    <w:rsid w:val="001265BB"/>
    <w:rsid w:val="00145901"/>
    <w:rsid w:val="0015507F"/>
    <w:rsid w:val="001654C5"/>
    <w:rsid w:val="00173145"/>
    <w:rsid w:val="00173650"/>
    <w:rsid w:val="00182D02"/>
    <w:rsid w:val="00182DCA"/>
    <w:rsid w:val="001A5C80"/>
    <w:rsid w:val="001B35FF"/>
    <w:rsid w:val="001C2615"/>
    <w:rsid w:val="001C46C1"/>
    <w:rsid w:val="001D3582"/>
    <w:rsid w:val="001D4422"/>
    <w:rsid w:val="001D6F5C"/>
    <w:rsid w:val="001E21C2"/>
    <w:rsid w:val="001E5E35"/>
    <w:rsid w:val="0020027E"/>
    <w:rsid w:val="00202BE0"/>
    <w:rsid w:val="00204461"/>
    <w:rsid w:val="00204960"/>
    <w:rsid w:val="002076AA"/>
    <w:rsid w:val="002266E0"/>
    <w:rsid w:val="00230ECA"/>
    <w:rsid w:val="00240DF1"/>
    <w:rsid w:val="00267CDE"/>
    <w:rsid w:val="00270ADB"/>
    <w:rsid w:val="00273966"/>
    <w:rsid w:val="002834C2"/>
    <w:rsid w:val="002A5574"/>
    <w:rsid w:val="002A78B4"/>
    <w:rsid w:val="002B173F"/>
    <w:rsid w:val="002B7413"/>
    <w:rsid w:val="002C0B20"/>
    <w:rsid w:val="002D1872"/>
    <w:rsid w:val="002E3EED"/>
    <w:rsid w:val="002F0AFB"/>
    <w:rsid w:val="00307CF5"/>
    <w:rsid w:val="00322A51"/>
    <w:rsid w:val="003502F9"/>
    <w:rsid w:val="00355D85"/>
    <w:rsid w:val="003618D9"/>
    <w:rsid w:val="00391CC1"/>
    <w:rsid w:val="003B3329"/>
    <w:rsid w:val="003B7AD2"/>
    <w:rsid w:val="003C15B1"/>
    <w:rsid w:val="003C3F54"/>
    <w:rsid w:val="003C7A88"/>
    <w:rsid w:val="003D0FF8"/>
    <w:rsid w:val="003D34B4"/>
    <w:rsid w:val="003D6DE2"/>
    <w:rsid w:val="003F0864"/>
    <w:rsid w:val="003F2C14"/>
    <w:rsid w:val="004002A4"/>
    <w:rsid w:val="00405D1D"/>
    <w:rsid w:val="0040672A"/>
    <w:rsid w:val="00420292"/>
    <w:rsid w:val="00441C70"/>
    <w:rsid w:val="0044464C"/>
    <w:rsid w:val="004451A6"/>
    <w:rsid w:val="0044648F"/>
    <w:rsid w:val="0045400B"/>
    <w:rsid w:val="00455DAC"/>
    <w:rsid w:val="00460EB3"/>
    <w:rsid w:val="00466B02"/>
    <w:rsid w:val="00477F8A"/>
    <w:rsid w:val="00497EBE"/>
    <w:rsid w:val="004A6B43"/>
    <w:rsid w:val="004D3E53"/>
    <w:rsid w:val="004E4240"/>
    <w:rsid w:val="005009DE"/>
    <w:rsid w:val="00505FC3"/>
    <w:rsid w:val="00506097"/>
    <w:rsid w:val="005176D2"/>
    <w:rsid w:val="00527C2F"/>
    <w:rsid w:val="005358EE"/>
    <w:rsid w:val="0057035C"/>
    <w:rsid w:val="005758B3"/>
    <w:rsid w:val="005832A5"/>
    <w:rsid w:val="00583496"/>
    <w:rsid w:val="005925E1"/>
    <w:rsid w:val="00593313"/>
    <w:rsid w:val="005A7D37"/>
    <w:rsid w:val="005B5434"/>
    <w:rsid w:val="005C4388"/>
    <w:rsid w:val="005D025D"/>
    <w:rsid w:val="005D2D2A"/>
    <w:rsid w:val="005D52AA"/>
    <w:rsid w:val="005E38FD"/>
    <w:rsid w:val="005F09CE"/>
    <w:rsid w:val="00604836"/>
    <w:rsid w:val="00604C08"/>
    <w:rsid w:val="00613B7D"/>
    <w:rsid w:val="00622FB7"/>
    <w:rsid w:val="0063322A"/>
    <w:rsid w:val="006344A4"/>
    <w:rsid w:val="00636311"/>
    <w:rsid w:val="00642EBC"/>
    <w:rsid w:val="0064513E"/>
    <w:rsid w:val="0065028A"/>
    <w:rsid w:val="00657EDD"/>
    <w:rsid w:val="00661DBE"/>
    <w:rsid w:val="00672D41"/>
    <w:rsid w:val="00677FCF"/>
    <w:rsid w:val="006B2035"/>
    <w:rsid w:val="006B74EC"/>
    <w:rsid w:val="006C07CB"/>
    <w:rsid w:val="006C3275"/>
    <w:rsid w:val="006E0FC4"/>
    <w:rsid w:val="007000A4"/>
    <w:rsid w:val="00711A48"/>
    <w:rsid w:val="00717478"/>
    <w:rsid w:val="007644F0"/>
    <w:rsid w:val="00766D27"/>
    <w:rsid w:val="00770B04"/>
    <w:rsid w:val="007A1C56"/>
    <w:rsid w:val="007B0416"/>
    <w:rsid w:val="007B7DC7"/>
    <w:rsid w:val="007F4EBD"/>
    <w:rsid w:val="008171B7"/>
    <w:rsid w:val="00827922"/>
    <w:rsid w:val="008303B7"/>
    <w:rsid w:val="00832D93"/>
    <w:rsid w:val="00845477"/>
    <w:rsid w:val="00847DAA"/>
    <w:rsid w:val="00862D9F"/>
    <w:rsid w:val="0086646F"/>
    <w:rsid w:val="00866839"/>
    <w:rsid w:val="00873695"/>
    <w:rsid w:val="0089790D"/>
    <w:rsid w:val="008A4B83"/>
    <w:rsid w:val="008B6B20"/>
    <w:rsid w:val="008B7B68"/>
    <w:rsid w:val="008D6B85"/>
    <w:rsid w:val="009012B2"/>
    <w:rsid w:val="00902529"/>
    <w:rsid w:val="00913A03"/>
    <w:rsid w:val="0092122B"/>
    <w:rsid w:val="00922832"/>
    <w:rsid w:val="0092450E"/>
    <w:rsid w:val="009315B5"/>
    <w:rsid w:val="00941F14"/>
    <w:rsid w:val="0095193E"/>
    <w:rsid w:val="0098047C"/>
    <w:rsid w:val="00980760"/>
    <w:rsid w:val="009A20BA"/>
    <w:rsid w:val="009A478A"/>
    <w:rsid w:val="009B6314"/>
    <w:rsid w:val="009C3BAF"/>
    <w:rsid w:val="009C789B"/>
    <w:rsid w:val="009C7D87"/>
    <w:rsid w:val="009D51BC"/>
    <w:rsid w:val="009F7906"/>
    <w:rsid w:val="00A0299F"/>
    <w:rsid w:val="00A24514"/>
    <w:rsid w:val="00A56749"/>
    <w:rsid w:val="00A613CB"/>
    <w:rsid w:val="00A63EF5"/>
    <w:rsid w:val="00A6665A"/>
    <w:rsid w:val="00A71363"/>
    <w:rsid w:val="00A95419"/>
    <w:rsid w:val="00A9691C"/>
    <w:rsid w:val="00AA0B4E"/>
    <w:rsid w:val="00AA5658"/>
    <w:rsid w:val="00AC435B"/>
    <w:rsid w:val="00AD346E"/>
    <w:rsid w:val="00AE1C93"/>
    <w:rsid w:val="00AE230E"/>
    <w:rsid w:val="00AE526D"/>
    <w:rsid w:val="00B00346"/>
    <w:rsid w:val="00B11614"/>
    <w:rsid w:val="00B32F7F"/>
    <w:rsid w:val="00B5007E"/>
    <w:rsid w:val="00B72699"/>
    <w:rsid w:val="00B729E0"/>
    <w:rsid w:val="00B74A27"/>
    <w:rsid w:val="00BA13CB"/>
    <w:rsid w:val="00BA6DB2"/>
    <w:rsid w:val="00BB1B4A"/>
    <w:rsid w:val="00BB5943"/>
    <w:rsid w:val="00BC0F10"/>
    <w:rsid w:val="00BC2A47"/>
    <w:rsid w:val="00BD3222"/>
    <w:rsid w:val="00BD34E9"/>
    <w:rsid w:val="00BE2BDA"/>
    <w:rsid w:val="00BE701F"/>
    <w:rsid w:val="00C03DDE"/>
    <w:rsid w:val="00C068B7"/>
    <w:rsid w:val="00C07202"/>
    <w:rsid w:val="00C30BFD"/>
    <w:rsid w:val="00C41171"/>
    <w:rsid w:val="00C65283"/>
    <w:rsid w:val="00C84347"/>
    <w:rsid w:val="00C86AED"/>
    <w:rsid w:val="00C905FF"/>
    <w:rsid w:val="00C91FB9"/>
    <w:rsid w:val="00CB0F40"/>
    <w:rsid w:val="00CB6B64"/>
    <w:rsid w:val="00CC3100"/>
    <w:rsid w:val="00CE1899"/>
    <w:rsid w:val="00CE198A"/>
    <w:rsid w:val="00CE24B0"/>
    <w:rsid w:val="00CF5C93"/>
    <w:rsid w:val="00D04934"/>
    <w:rsid w:val="00D125EE"/>
    <w:rsid w:val="00D21D43"/>
    <w:rsid w:val="00D27E09"/>
    <w:rsid w:val="00D35639"/>
    <w:rsid w:val="00D36DFE"/>
    <w:rsid w:val="00D46762"/>
    <w:rsid w:val="00D612DF"/>
    <w:rsid w:val="00D73DE9"/>
    <w:rsid w:val="00D74F9C"/>
    <w:rsid w:val="00D959A9"/>
    <w:rsid w:val="00DA4E56"/>
    <w:rsid w:val="00DD6C72"/>
    <w:rsid w:val="00DE2378"/>
    <w:rsid w:val="00DF7E6A"/>
    <w:rsid w:val="00E049CE"/>
    <w:rsid w:val="00E0649A"/>
    <w:rsid w:val="00E06D19"/>
    <w:rsid w:val="00E25B00"/>
    <w:rsid w:val="00E3116B"/>
    <w:rsid w:val="00E5114E"/>
    <w:rsid w:val="00E51C83"/>
    <w:rsid w:val="00E66281"/>
    <w:rsid w:val="00E828CC"/>
    <w:rsid w:val="00E92417"/>
    <w:rsid w:val="00EA6D54"/>
    <w:rsid w:val="00EB3153"/>
    <w:rsid w:val="00EB5A61"/>
    <w:rsid w:val="00EE0D6F"/>
    <w:rsid w:val="00EE2840"/>
    <w:rsid w:val="00EE29BF"/>
    <w:rsid w:val="00EF11FE"/>
    <w:rsid w:val="00F04762"/>
    <w:rsid w:val="00F06F36"/>
    <w:rsid w:val="00F2624D"/>
    <w:rsid w:val="00F27679"/>
    <w:rsid w:val="00F410D7"/>
    <w:rsid w:val="00F52636"/>
    <w:rsid w:val="00F61B07"/>
    <w:rsid w:val="00F73457"/>
    <w:rsid w:val="00F7428C"/>
    <w:rsid w:val="00F8135E"/>
    <w:rsid w:val="00F82C79"/>
    <w:rsid w:val="00F978A8"/>
    <w:rsid w:val="00FB23CF"/>
    <w:rsid w:val="00FD0E9E"/>
    <w:rsid w:val="00FD0EA5"/>
    <w:rsid w:val="00FE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4336D"/>
  <w15:chartTrackingRefBased/>
  <w15:docId w15:val="{0B5B38BC-E463-4090-966D-9D6C948B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DFE"/>
    <w:pPr>
      <w:widowControl w:val="0"/>
      <w:autoSpaceDE w:val="0"/>
      <w:autoSpaceDN w:val="0"/>
      <w:adjustRightInd w:val="0"/>
    </w:pPr>
    <w:rPr>
      <w:rFonts w:ascii="Arial" w:eastAsiaTheme="minorHAnsi" w:hAnsi="Arial" w:cs="Arial"/>
      <w:sz w:val="22"/>
      <w:szCs w:val="22"/>
    </w:rPr>
  </w:style>
  <w:style w:type="paragraph" w:styleId="Heading1">
    <w:name w:val="heading 1"/>
    <w:next w:val="BodyText"/>
    <w:link w:val="Heading1Char"/>
    <w:qFormat/>
    <w:rsid w:val="00D36DFE"/>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Normal"/>
    <w:link w:val="Heading2Char"/>
    <w:qFormat/>
    <w:rsid w:val="00D36DFE"/>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D36DF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6F0"/>
    <w:pPr>
      <w:tabs>
        <w:tab w:val="center" w:pos="4320"/>
        <w:tab w:val="right" w:pos="8640"/>
      </w:tabs>
    </w:pPr>
  </w:style>
  <w:style w:type="paragraph" w:styleId="Footer">
    <w:name w:val="footer"/>
    <w:basedOn w:val="Normal"/>
    <w:rsid w:val="000E16F0"/>
    <w:pPr>
      <w:tabs>
        <w:tab w:val="center" w:pos="4320"/>
        <w:tab w:val="right" w:pos="8640"/>
      </w:tabs>
    </w:pPr>
  </w:style>
  <w:style w:type="character" w:styleId="PageNumber">
    <w:name w:val="page number"/>
    <w:basedOn w:val="DefaultParagraphFont"/>
    <w:rsid w:val="000E16F0"/>
  </w:style>
  <w:style w:type="table" w:styleId="TableGrid">
    <w:name w:val="Table Grid"/>
    <w:basedOn w:val="TableNormal"/>
    <w:uiPriority w:val="39"/>
    <w:rsid w:val="00D36D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68B7"/>
    <w:rPr>
      <w:rFonts w:ascii="Tahoma" w:hAnsi="Tahoma" w:cs="Tahoma"/>
      <w:sz w:val="16"/>
      <w:szCs w:val="16"/>
    </w:rPr>
  </w:style>
  <w:style w:type="paragraph" w:customStyle="1" w:styleId="AppendixTitle">
    <w:name w:val="Appendix Title"/>
    <w:basedOn w:val="Normal"/>
    <w:rsid w:val="00B11614"/>
    <w:pPr>
      <w:tabs>
        <w:tab w:val="left" w:pos="2880"/>
      </w:tabs>
      <w:jc w:val="center"/>
    </w:pPr>
    <w:rPr>
      <w:sz w:val="24"/>
    </w:rPr>
  </w:style>
  <w:style w:type="character" w:styleId="CommentReference">
    <w:name w:val="annotation reference"/>
    <w:basedOn w:val="DefaultParagraphFont"/>
    <w:rsid w:val="00D612DF"/>
    <w:rPr>
      <w:sz w:val="16"/>
      <w:szCs w:val="16"/>
    </w:rPr>
  </w:style>
  <w:style w:type="paragraph" w:styleId="CommentText">
    <w:name w:val="annotation text"/>
    <w:basedOn w:val="Normal"/>
    <w:link w:val="CommentTextChar"/>
    <w:rsid w:val="00D612DF"/>
    <w:rPr>
      <w:sz w:val="20"/>
      <w:szCs w:val="20"/>
    </w:rPr>
  </w:style>
  <w:style w:type="character" w:customStyle="1" w:styleId="CommentTextChar">
    <w:name w:val="Comment Text Char"/>
    <w:basedOn w:val="DefaultParagraphFont"/>
    <w:link w:val="CommentText"/>
    <w:rsid w:val="00D612DF"/>
    <w:rPr>
      <w:rFonts w:ascii="Arial" w:hAnsi="Arial"/>
    </w:rPr>
  </w:style>
  <w:style w:type="paragraph" w:styleId="CommentSubject">
    <w:name w:val="annotation subject"/>
    <w:basedOn w:val="CommentText"/>
    <w:next w:val="CommentText"/>
    <w:link w:val="CommentSubjectChar"/>
    <w:rsid w:val="00D612DF"/>
    <w:rPr>
      <w:b/>
      <w:bCs/>
    </w:rPr>
  </w:style>
  <w:style w:type="character" w:customStyle="1" w:styleId="CommentSubjectChar">
    <w:name w:val="Comment Subject Char"/>
    <w:basedOn w:val="CommentTextChar"/>
    <w:link w:val="CommentSubject"/>
    <w:rsid w:val="00D612DF"/>
    <w:rPr>
      <w:rFonts w:ascii="Arial" w:hAnsi="Arial"/>
      <w:b/>
      <w:bCs/>
    </w:rPr>
  </w:style>
  <w:style w:type="paragraph" w:styleId="ListParagraph">
    <w:name w:val="List Paragraph"/>
    <w:basedOn w:val="Normal"/>
    <w:uiPriority w:val="34"/>
    <w:qFormat/>
    <w:rsid w:val="006C3275"/>
    <w:pPr>
      <w:ind w:left="720"/>
      <w:contextualSpacing/>
    </w:pPr>
  </w:style>
  <w:style w:type="paragraph" w:styleId="Revision">
    <w:name w:val="Revision"/>
    <w:hidden/>
    <w:uiPriority w:val="99"/>
    <w:semiHidden/>
    <w:rsid w:val="003502F9"/>
    <w:rPr>
      <w:rFonts w:ascii="Arial" w:hAnsi="Arial"/>
      <w:sz w:val="22"/>
      <w:szCs w:val="24"/>
    </w:rPr>
  </w:style>
  <w:style w:type="paragraph" w:styleId="BodyText">
    <w:name w:val="Body Text"/>
    <w:link w:val="BodyTextChar"/>
    <w:rsid w:val="00D36DFE"/>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D36DFE"/>
    <w:rPr>
      <w:rFonts w:ascii="Arial" w:eastAsiaTheme="minorHAnsi" w:hAnsi="Arial" w:cs="Arial"/>
      <w:sz w:val="22"/>
      <w:szCs w:val="22"/>
    </w:rPr>
  </w:style>
  <w:style w:type="paragraph" w:customStyle="1" w:styleId="Applicability">
    <w:name w:val="Applicability"/>
    <w:basedOn w:val="BodyText"/>
    <w:qFormat/>
    <w:rsid w:val="00D36DFE"/>
    <w:pPr>
      <w:spacing w:before="440"/>
      <w:ind w:left="2160" w:hanging="2160"/>
    </w:pPr>
  </w:style>
  <w:style w:type="character" w:customStyle="1" w:styleId="Heading1Char">
    <w:name w:val="Heading 1 Char"/>
    <w:basedOn w:val="DefaultParagraphFont"/>
    <w:link w:val="Heading1"/>
    <w:rsid w:val="00D36DFE"/>
    <w:rPr>
      <w:rFonts w:ascii="Arial" w:eastAsiaTheme="majorEastAsia" w:hAnsi="Arial" w:cstheme="majorBidi"/>
      <w:caps/>
      <w:sz w:val="22"/>
      <w:szCs w:val="22"/>
    </w:rPr>
  </w:style>
  <w:style w:type="paragraph" w:customStyle="1" w:styleId="Attachmenttitle">
    <w:name w:val="Attachment title"/>
    <w:basedOn w:val="Heading1"/>
    <w:next w:val="BodyText"/>
    <w:qFormat/>
    <w:rsid w:val="00D36DFE"/>
    <w:pPr>
      <w:spacing w:before="0"/>
      <w:ind w:left="0" w:firstLine="0"/>
      <w:jc w:val="center"/>
    </w:pPr>
    <w:rPr>
      <w:rFonts w:eastAsia="Times New Roman" w:cs="Arial"/>
      <w:caps w:val="0"/>
    </w:rPr>
  </w:style>
  <w:style w:type="paragraph" w:customStyle="1" w:styleId="BodyText-table">
    <w:name w:val="Body Text - table"/>
    <w:qFormat/>
    <w:rsid w:val="00D36DFE"/>
    <w:rPr>
      <w:rFonts w:ascii="Arial" w:eastAsiaTheme="minorHAnsi" w:hAnsi="Arial" w:cstheme="minorBidi"/>
      <w:sz w:val="22"/>
      <w:szCs w:val="22"/>
    </w:rPr>
  </w:style>
  <w:style w:type="paragraph" w:styleId="BodyText2">
    <w:name w:val="Body Text 2"/>
    <w:link w:val="BodyText2Char"/>
    <w:rsid w:val="00D36DFE"/>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D36DFE"/>
    <w:rPr>
      <w:rFonts w:ascii="Arial" w:eastAsiaTheme="majorEastAsia" w:hAnsi="Arial" w:cstheme="majorBidi"/>
      <w:sz w:val="22"/>
      <w:szCs w:val="22"/>
    </w:rPr>
  </w:style>
  <w:style w:type="paragraph" w:styleId="BodyText3">
    <w:name w:val="Body Text 3"/>
    <w:basedOn w:val="BodyText"/>
    <w:link w:val="BodyText3Char"/>
    <w:rsid w:val="00D36DFE"/>
    <w:pPr>
      <w:ind w:left="720"/>
    </w:pPr>
    <w:rPr>
      <w:rFonts w:eastAsiaTheme="majorEastAsia" w:cstheme="majorBidi"/>
    </w:rPr>
  </w:style>
  <w:style w:type="character" w:customStyle="1" w:styleId="BodyText3Char">
    <w:name w:val="Body Text 3 Char"/>
    <w:basedOn w:val="DefaultParagraphFont"/>
    <w:link w:val="BodyText3"/>
    <w:rsid w:val="00D36DFE"/>
    <w:rPr>
      <w:rFonts w:ascii="Arial" w:eastAsiaTheme="majorEastAsia" w:hAnsi="Arial" w:cstheme="majorBidi"/>
      <w:sz w:val="22"/>
      <w:szCs w:val="22"/>
    </w:rPr>
  </w:style>
  <w:style w:type="character" w:customStyle="1" w:styleId="Commitment">
    <w:name w:val="Commitment"/>
    <w:basedOn w:val="DefaultParagraphFont"/>
    <w:uiPriority w:val="1"/>
    <w:qFormat/>
    <w:rsid w:val="00D36DFE"/>
    <w:rPr>
      <w:i/>
      <w:iCs/>
    </w:rPr>
  </w:style>
  <w:style w:type="paragraph" w:customStyle="1" w:styleId="CornerstoneBases">
    <w:name w:val="Cornerstone / Bases"/>
    <w:basedOn w:val="BodyText"/>
    <w:qFormat/>
    <w:rsid w:val="00D36DFE"/>
    <w:pPr>
      <w:ind w:left="2160" w:hanging="2160"/>
    </w:pPr>
  </w:style>
  <w:style w:type="paragraph" w:customStyle="1" w:styleId="EffectiveDate">
    <w:name w:val="Effective Date"/>
    <w:next w:val="BodyText"/>
    <w:qFormat/>
    <w:rsid w:val="00D36DFE"/>
    <w:pPr>
      <w:spacing w:before="220" w:after="440"/>
      <w:jc w:val="center"/>
    </w:pPr>
    <w:rPr>
      <w:rFonts w:ascii="Arial" w:hAnsi="Arial" w:cs="Arial"/>
      <w:sz w:val="22"/>
      <w:szCs w:val="22"/>
    </w:rPr>
  </w:style>
  <w:style w:type="paragraph" w:styleId="Title">
    <w:name w:val="Title"/>
    <w:basedOn w:val="Normal"/>
    <w:next w:val="Normal"/>
    <w:link w:val="TitleChar"/>
    <w:qFormat/>
    <w:rsid w:val="00D36DFE"/>
    <w:pPr>
      <w:widowControl/>
      <w:spacing w:before="220" w:after="220"/>
      <w:jc w:val="center"/>
    </w:pPr>
    <w:rPr>
      <w:rFonts w:eastAsia="Times New Roman"/>
    </w:rPr>
  </w:style>
  <w:style w:type="character" w:customStyle="1" w:styleId="TitleChar">
    <w:name w:val="Title Char"/>
    <w:basedOn w:val="DefaultParagraphFont"/>
    <w:link w:val="Title"/>
    <w:rsid w:val="00D36DFE"/>
    <w:rPr>
      <w:rFonts w:ascii="Arial" w:hAnsi="Arial" w:cs="Arial"/>
      <w:sz w:val="22"/>
      <w:szCs w:val="22"/>
    </w:rPr>
  </w:style>
  <w:style w:type="paragraph" w:customStyle="1" w:styleId="END">
    <w:name w:val="END"/>
    <w:basedOn w:val="Title"/>
    <w:qFormat/>
    <w:rsid w:val="00D36DFE"/>
    <w:pPr>
      <w:spacing w:before="440" w:after="440"/>
    </w:pPr>
  </w:style>
  <w:style w:type="character" w:customStyle="1" w:styleId="Heading2Char">
    <w:name w:val="Heading 2 Char"/>
    <w:basedOn w:val="DefaultParagraphFont"/>
    <w:link w:val="Heading2"/>
    <w:rsid w:val="00D36DFE"/>
    <w:rPr>
      <w:rFonts w:ascii="Arial" w:eastAsiaTheme="majorEastAsia" w:hAnsi="Arial" w:cstheme="majorBidi"/>
      <w:sz w:val="22"/>
      <w:szCs w:val="22"/>
    </w:rPr>
  </w:style>
  <w:style w:type="character" w:customStyle="1" w:styleId="Heading3Char">
    <w:name w:val="Heading 3 Char"/>
    <w:basedOn w:val="DefaultParagraphFont"/>
    <w:link w:val="Heading3"/>
    <w:rsid w:val="00D36DFE"/>
    <w:rPr>
      <w:rFonts w:ascii="Arial" w:eastAsiaTheme="majorEastAsia" w:hAnsi="Arial" w:cstheme="majorBidi"/>
      <w:sz w:val="22"/>
      <w:szCs w:val="22"/>
    </w:rPr>
  </w:style>
  <w:style w:type="table" w:customStyle="1" w:styleId="IM">
    <w:name w:val="IM"/>
    <w:basedOn w:val="TableNormal"/>
    <w:uiPriority w:val="99"/>
    <w:rsid w:val="00D36DFE"/>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D36DFE"/>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D36DFE"/>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Lista">
    <w:name w:val="List a"/>
    <w:basedOn w:val="BodyText"/>
    <w:rsid w:val="00D36DFE"/>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D36DFE"/>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D36DFE"/>
    <w:rPr>
      <w:rFonts w:ascii="Arial" w:eastAsiaTheme="minorHAnsi" w:hAnsi="Arial" w:cs="Arial"/>
      <w:szCs w:val="22"/>
    </w:rPr>
  </w:style>
  <w:style w:type="paragraph" w:customStyle="1" w:styleId="Requirement">
    <w:name w:val="Requirement"/>
    <w:basedOn w:val="BodyText3"/>
    <w:qFormat/>
    <w:rsid w:val="00D36DFE"/>
    <w:pPr>
      <w:keepNext/>
    </w:pPr>
    <w:rPr>
      <w:b/>
      <w:bCs/>
    </w:rPr>
  </w:style>
  <w:style w:type="paragraph" w:customStyle="1" w:styleId="SpecificGuidance">
    <w:name w:val="Specific Guidance"/>
    <w:basedOn w:val="BodyText3"/>
    <w:qFormat/>
    <w:rsid w:val="00D36DFE"/>
    <w:pPr>
      <w:keepNext/>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BC422-7219-4B22-B642-8FD93947E44A}"/>
</file>

<file path=customXml/itemProps2.xml><?xml version="1.0" encoding="utf-8"?>
<ds:datastoreItem xmlns:ds="http://schemas.openxmlformats.org/officeDocument/2006/customXml" ds:itemID="{E48B83CC-7AA7-45B5-B04D-206E1426F6D4}"/>
</file>

<file path=customXml/itemProps3.xml><?xml version="1.0" encoding="utf-8"?>
<ds:datastoreItem xmlns:ds="http://schemas.openxmlformats.org/officeDocument/2006/customXml" ds:itemID="{5B1D4ECA-E757-401F-AA66-983C336A1365}"/>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1656</Words>
  <Characters>9441</Characters>
  <Application>Microsoft Office Word</Application>
  <DocSecurity>2</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2</cp:revision>
  <dcterms:created xsi:type="dcterms:W3CDTF">2022-12-14T14:33:00Z</dcterms:created>
  <dcterms:modified xsi:type="dcterms:W3CDTF">2022-12-14T14:33:00Z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