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CB37A" w14:textId="1ED1777A" w:rsidR="00D02567" w:rsidRDefault="00D02567" w:rsidP="00C47517">
      <w:pPr>
        <w:tabs>
          <w:tab w:val="center" w:pos="4680"/>
          <w:tab w:val="right" w:pos="9360"/>
        </w:tabs>
        <w:jc w:val="both"/>
        <w:rPr>
          <w:sz w:val="20"/>
        </w:rPr>
      </w:pPr>
      <w:r w:rsidRPr="00BC14F7">
        <w:tab/>
      </w:r>
      <w:r w:rsidRPr="00BC14F7">
        <w:rPr>
          <w:b/>
          <w:sz w:val="38"/>
          <w:szCs w:val="38"/>
        </w:rPr>
        <w:t>NRC INSPECTION MANUAL</w:t>
      </w:r>
      <w:r w:rsidRPr="00BC14F7">
        <w:tab/>
      </w:r>
      <w:r w:rsidRPr="00BC14F7">
        <w:rPr>
          <w:sz w:val="20"/>
        </w:rPr>
        <w:t>NSIR/DPR</w:t>
      </w:r>
    </w:p>
    <w:p w14:paraId="64E14D46" w14:textId="77777777" w:rsidR="002250F9" w:rsidRPr="002250F9" w:rsidRDefault="002250F9" w:rsidP="00C47517">
      <w:pPr>
        <w:tabs>
          <w:tab w:val="center" w:pos="4680"/>
          <w:tab w:val="right" w:pos="9360"/>
        </w:tabs>
        <w:jc w:val="both"/>
      </w:pPr>
      <w:bookmarkStart w:id="0" w:name="_GoBack"/>
      <w:bookmarkEnd w:id="0"/>
    </w:p>
    <w:p w14:paraId="27B5C8E4" w14:textId="656D4DD6" w:rsidR="00D02567" w:rsidRPr="00BC14F7" w:rsidRDefault="00D02567" w:rsidP="00C47517">
      <w:pPr>
        <w:pBdr>
          <w:top w:val="single" w:sz="12" w:space="2" w:color="auto"/>
          <w:bottom w:val="single" w:sz="12" w:space="3" w:color="auto"/>
        </w:pBdr>
        <w:tabs>
          <w:tab w:val="center" w:pos="4680"/>
        </w:tabs>
        <w:jc w:val="center"/>
      </w:pPr>
      <w:bookmarkStart w:id="1" w:name="_Hlk59087292"/>
      <w:r w:rsidRPr="00BC14F7">
        <w:t xml:space="preserve">INSPECTION </w:t>
      </w:r>
      <w:r w:rsidR="00D7380B">
        <w:t>MANUAL CHAPTER</w:t>
      </w:r>
      <w:r w:rsidR="00D65F8D">
        <w:t xml:space="preserve"> 0612 APPENDIX G</w:t>
      </w:r>
      <w:bookmarkEnd w:id="1"/>
    </w:p>
    <w:p w14:paraId="03E88855" w14:textId="77777777" w:rsidR="00D02567" w:rsidRPr="00BC14F7" w:rsidRDefault="00D02567" w:rsidP="00C4751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0AC2CC85" w14:textId="77777777" w:rsidR="009C04D8" w:rsidRPr="00BC14F7" w:rsidRDefault="009C04D8" w:rsidP="00C47517">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p w14:paraId="45FB4099" w14:textId="503C6FC0" w:rsidR="00D02567" w:rsidRDefault="00BD365E" w:rsidP="00BD365E">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BD365E">
        <w:t>EMERGENCY PLANNING CORNERSTONE</w:t>
      </w:r>
      <w:r w:rsidR="00BB7EE6">
        <w:t xml:space="preserve"> </w:t>
      </w:r>
      <w:r w:rsidRPr="00BD365E">
        <w:t>-</w:t>
      </w:r>
      <w:r w:rsidR="00BB7EE6">
        <w:t xml:space="preserve"> </w:t>
      </w:r>
      <w:r w:rsidRPr="00BD365E">
        <w:t>SPECIFIC SUPPLEMENTAL GUIDANCE FOR APPENDIX B</w:t>
      </w:r>
      <w:r w:rsidR="00800A29">
        <w:t xml:space="preserve"> </w:t>
      </w:r>
      <w:r w:rsidRPr="00BD365E">
        <w:t>SCREENING FIGURES 1 AND 2</w:t>
      </w:r>
    </w:p>
    <w:p w14:paraId="7E46ED8F" w14:textId="021489C7" w:rsidR="001F004A" w:rsidRDefault="001F004A" w:rsidP="00BD365E">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68F65076" w14:textId="5FE64D7B" w:rsidR="001F004A" w:rsidRPr="00BC14F7" w:rsidRDefault="001F004A" w:rsidP="00BD365E">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Effective Date:  </w:t>
      </w:r>
      <w:r w:rsidR="0024375D">
        <w:t>02/24/2021</w:t>
      </w:r>
    </w:p>
    <w:p w14:paraId="52EA0D6A" w14:textId="77777777" w:rsidR="00D02567" w:rsidRPr="00BC14F7" w:rsidRDefault="00D0256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11818F" w14:textId="4579515C" w:rsidR="00D02567" w:rsidRDefault="005D0752"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06</w:t>
      </w:r>
      <w:r w:rsidR="009F0563">
        <w:t>12</w:t>
      </w:r>
      <w:r>
        <w:t>G-01</w:t>
      </w:r>
      <w:r>
        <w:tab/>
        <w:t>PURPOSE</w:t>
      </w:r>
    </w:p>
    <w:p w14:paraId="4CF8E85F" w14:textId="03F775F5" w:rsidR="005D0752" w:rsidRDefault="005D0752"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774EBA1" w14:textId="3C62A2A3" w:rsidR="005D0752" w:rsidRDefault="00AF46E3"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AF46E3">
        <w:t xml:space="preserve">This appendix supplements, but does not supersede, the additional guidance provided in Appendix B, “Issue Screening,” and the Enforcement Policy.  This appendix provides cornerstone specific guidance for assessing typical issues of concern within the cognizance of the individual cornerstones </w:t>
      </w:r>
      <w:proofErr w:type="gramStart"/>
      <w:r w:rsidRPr="00AF46E3">
        <w:t>so as to</w:t>
      </w:r>
      <w:proofErr w:type="gramEnd"/>
      <w:r w:rsidRPr="00AF46E3">
        <w:t xml:space="preserve"> advance consistency in Reactor Oversight Process (ROP) outcomes.</w:t>
      </w:r>
    </w:p>
    <w:p w14:paraId="2F0608EE" w14:textId="52C082C6" w:rsidR="00AF46E3" w:rsidRDefault="00AF46E3"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65C67A" w14:textId="77777777" w:rsidR="00311EEC" w:rsidRDefault="00311EEC"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96BC587" w14:textId="7AA4E2C6" w:rsidR="00F07653" w:rsidRDefault="009F0563"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0612G-02</w:t>
      </w:r>
      <w:r>
        <w:tab/>
      </w:r>
      <w:r w:rsidR="00702A53">
        <w:t>EMERGENCY PREPAREDNESS CORNERSTONE</w:t>
      </w:r>
      <w:r w:rsidR="007F7AF5">
        <w:rPr>
          <w:rStyle w:val="FootnoteReference"/>
        </w:rPr>
        <w:footnoteReference w:id="1"/>
      </w:r>
    </w:p>
    <w:p w14:paraId="091B2A8C" w14:textId="77777777" w:rsidR="009118B7" w:rsidRDefault="009118B7"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F39CC49" w14:textId="457E3216" w:rsidR="00F07653" w:rsidRPr="00074832" w:rsidRDefault="00996650" w:rsidP="00D32858">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t>02</w:t>
      </w:r>
      <w:r w:rsidR="009118B7">
        <w:t>.</w:t>
      </w:r>
      <w:r>
        <w:t>01</w:t>
      </w:r>
      <w:r>
        <w:tab/>
      </w:r>
      <w:r>
        <w:tab/>
      </w:r>
      <w:r w:rsidR="001D3297" w:rsidRPr="00074832">
        <w:rPr>
          <w:u w:val="single"/>
        </w:rPr>
        <w:t>Figure 1 – Issue Screening</w:t>
      </w:r>
    </w:p>
    <w:p w14:paraId="5C2026F7" w14:textId="1300DEBF" w:rsidR="00F07653" w:rsidRDefault="00F07653"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36E1377" w14:textId="15544365" w:rsidR="004A64CF" w:rsidRDefault="002D59A5"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t>02</w:t>
      </w:r>
      <w:r w:rsidR="009118B7">
        <w:t>.</w:t>
      </w:r>
      <w:r>
        <w:t>01</w:t>
      </w:r>
      <w:r w:rsidR="009118B7">
        <w:t>.</w:t>
      </w:r>
      <w:r>
        <w:t>01</w:t>
      </w:r>
      <w:r w:rsidR="00A6677E">
        <w:tab/>
      </w:r>
      <w:r w:rsidR="00A6677E">
        <w:rPr>
          <w:u w:val="single"/>
        </w:rPr>
        <w:t>Block 1 – Issue of Concern Identified</w:t>
      </w:r>
    </w:p>
    <w:p w14:paraId="627EB97A" w14:textId="77777777" w:rsidR="002D59A5" w:rsidRPr="00A6677E" w:rsidRDefault="002D59A5"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45AD00D6" w14:textId="302107BC" w:rsidR="00B36849" w:rsidRPr="00B36849" w:rsidRDefault="00B36849" w:rsidP="00A6677E">
      <w:pPr>
        <w:ind w:left="720" w:hanging="720"/>
      </w:pPr>
      <w:r w:rsidRPr="00B36849">
        <w:t>Note:</w:t>
      </w:r>
      <w:r w:rsidR="00A6677E">
        <w:tab/>
      </w:r>
      <w:r w:rsidRPr="00B36849">
        <w:t>Use the information in this section to inform your decisions regarding Block 1 and the applicable additional guidance in IMC 0612 Appendix B.</w:t>
      </w:r>
    </w:p>
    <w:p w14:paraId="1A382326" w14:textId="28DB3533" w:rsidR="009F0563" w:rsidRDefault="009F0563"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ABEF62" w14:textId="77777777" w:rsidR="007220C0" w:rsidRDefault="002A7EE2" w:rsidP="002A7EE2">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A7EE2">
        <w:t xml:space="preserve">Because a typical emergency program relies on equipment and resources maintained by other station groups, and by the actions of personnel in other station groups, what appears as an issue of concern under the Emergency Preparedness (EP) Cornerstone, may in fact, be an issue of concern under a different cornerstone (e.g., instrumentation and control personnel </w:t>
      </w:r>
    </w:p>
    <w:p w14:paraId="6CA846A8" w14:textId="46CDFE07" w:rsidR="002A7EE2" w:rsidRPr="002A7EE2" w:rsidRDefault="007220C0" w:rsidP="002A7EE2">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mis-</w:t>
      </w:r>
      <w:r w:rsidR="002A7EE2" w:rsidRPr="002A7EE2">
        <w:t xml:space="preserve">calibrate a radiation monitor rendering ineffective an otherwise compliant emergency action level </w:t>
      </w:r>
      <w:r>
        <w:t>[</w:t>
      </w:r>
      <w:r w:rsidR="002A7EE2" w:rsidRPr="002A7EE2">
        <w:t>EAL</w:t>
      </w:r>
      <w:r>
        <w:t>]</w:t>
      </w:r>
      <w:r w:rsidR="002A7EE2" w:rsidRPr="002A7EE2">
        <w:t>).</w:t>
      </w:r>
    </w:p>
    <w:p w14:paraId="0EAB922C" w14:textId="77777777" w:rsidR="002A7EE2" w:rsidRPr="002A7EE2" w:rsidRDefault="002A7EE2" w:rsidP="002A7EE2">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134E44" w14:textId="77777777" w:rsidR="002A7EE2" w:rsidRPr="002A7EE2" w:rsidRDefault="002A7EE2" w:rsidP="002A7EE2">
      <w:pPr>
        <w:tabs>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pPr>
      <w:r w:rsidRPr="002A7EE2">
        <w:t>•</w:t>
      </w:r>
      <w:r w:rsidRPr="002A7EE2">
        <w:tab/>
        <w:t>If the licensee’s EP performance would have been compliant if the issue of concern in the other cornerstone had not occurred, the issue of concern should be screened under that cornerstone.</w:t>
      </w:r>
    </w:p>
    <w:p w14:paraId="6AAE6DF4" w14:textId="77777777" w:rsidR="002A7EE2" w:rsidRPr="002A7EE2" w:rsidRDefault="002A7EE2" w:rsidP="002A7EE2">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BD0F05" w14:textId="77777777" w:rsidR="002A7EE2" w:rsidRPr="002A7EE2" w:rsidRDefault="002A7EE2" w:rsidP="002A7EE2">
      <w:pPr>
        <w:tabs>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360"/>
      </w:pPr>
      <w:r w:rsidRPr="002A7EE2">
        <w:t>•</w:t>
      </w:r>
      <w:r w:rsidRPr="002A7EE2">
        <w:tab/>
        <w:t>However, if screening under the other cornerstone would not result in a finding or corrective action, or if the licensee’s EP performance was not fully compliant, the issue of concern should be screened under the EP Cornerstone.</w:t>
      </w:r>
    </w:p>
    <w:p w14:paraId="2FF60371" w14:textId="77777777" w:rsidR="002A7EE2" w:rsidRPr="002A7EE2" w:rsidRDefault="002A7EE2" w:rsidP="002A7EE2">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272B60" w14:textId="2DA29C5F" w:rsidR="009F0563" w:rsidRDefault="002A7EE2" w:rsidP="002A7EE2">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2A7EE2">
        <w:t>Identifying the proper cornerstone is necessary if the remaining decisions in the screening of inspection issues are to be made correctly (e.g., cornerstone attribute more-than-minor question, which severity level example set, etc.).</w:t>
      </w:r>
    </w:p>
    <w:p w14:paraId="0EA9E7F5" w14:textId="273456FB" w:rsidR="002A7EE2" w:rsidRDefault="002A7EE2"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DF99EC5" w14:textId="143D0B8D" w:rsidR="002A7EE2" w:rsidRDefault="002D59A5" w:rsidP="00CB7141">
      <w:pPr>
        <w:tabs>
          <w:tab w:val="left" w:pos="1440"/>
          <w:tab w:val="left" w:pos="2707"/>
          <w:tab w:val="left" w:pos="3240"/>
          <w:tab w:val="left" w:pos="3874"/>
          <w:tab w:val="left" w:pos="4507"/>
          <w:tab w:val="left" w:pos="5040"/>
          <w:tab w:val="left" w:pos="5674"/>
          <w:tab w:val="left" w:pos="6307"/>
          <w:tab w:val="left" w:pos="7474"/>
          <w:tab w:val="left" w:pos="8107"/>
          <w:tab w:val="left" w:pos="8726"/>
        </w:tabs>
      </w:pPr>
      <w:r>
        <w:lastRenderedPageBreak/>
        <w:t>02</w:t>
      </w:r>
      <w:r w:rsidR="000F081C">
        <w:t>.02.01</w:t>
      </w:r>
      <w:r w:rsidR="000F081C">
        <w:tab/>
      </w:r>
      <w:r w:rsidR="000F081C">
        <w:rPr>
          <w:u w:val="single"/>
        </w:rPr>
        <w:t>Block TE2 – Does Traditional Enforcement or Enforcement Discretion Apply?</w:t>
      </w:r>
    </w:p>
    <w:p w14:paraId="638CA546" w14:textId="25AD63EB" w:rsidR="001862A2" w:rsidRDefault="001862A2"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1394B80" w14:textId="77777777" w:rsidR="00D12CA7" w:rsidRDefault="00215B96" w:rsidP="00483973">
      <w:pPr>
        <w:tabs>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r w:rsidRPr="00215B96">
        <w:t>Note:</w:t>
      </w:r>
      <w:r w:rsidRPr="00215B96">
        <w:tab/>
        <w:t>Use the information in this section to inform your decisions regarding Block TE2 and the</w:t>
      </w:r>
    </w:p>
    <w:p w14:paraId="07DF0105" w14:textId="3E12580C" w:rsidR="001862A2" w:rsidRPr="001862A2" w:rsidRDefault="00215B96" w:rsidP="00483973">
      <w:pPr>
        <w:tabs>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r w:rsidRPr="00215B96">
        <w:t>applicable additional guidance in IMC 0612 Appendix B.</w:t>
      </w:r>
    </w:p>
    <w:p w14:paraId="7752430E" w14:textId="5F7FC86C" w:rsidR="002A7EE2" w:rsidRDefault="002A7EE2"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B336276" w14:textId="490783D0" w:rsidR="004B224C" w:rsidRPr="004B224C" w:rsidRDefault="00D46CB7" w:rsidP="00D46CB7">
      <w:pPr>
        <w:tabs>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rsidR="004B224C" w:rsidRPr="004B224C">
        <w:t>.</w:t>
      </w:r>
      <w:r w:rsidR="004B224C" w:rsidRPr="004B224C">
        <w:tab/>
        <w:t xml:space="preserve">Was there a violation that impacted the ability of the Nuclear Regulatory Commission (NRC) to perform its regulatory oversight?  (See Tables 1 and 2 of the </w:t>
      </w:r>
      <w:proofErr w:type="gramStart"/>
      <w:r w:rsidR="004B224C" w:rsidRPr="004B224C">
        <w:t>appendix</w:t>
      </w:r>
      <w:proofErr w:type="gramEnd"/>
      <w:r w:rsidR="004B224C" w:rsidRPr="004B224C">
        <w:t xml:space="preserve"> for comparative examples.)</w:t>
      </w:r>
    </w:p>
    <w:p w14:paraId="3D551D16" w14:textId="77777777" w:rsidR="004B224C" w:rsidRPr="004B224C" w:rsidRDefault="004B224C" w:rsidP="004B224C">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49B521" w14:textId="6E834F1C" w:rsidR="004B224C" w:rsidRPr="004B224C" w:rsidRDefault="00D46CB7" w:rsidP="00C217BB">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1.</w:t>
      </w:r>
      <w:r w:rsidR="004B224C" w:rsidRPr="004B224C">
        <w:tab/>
        <w:t xml:space="preserve">A licensee’s failure to obtain NRC approval for an EMERGENCY PLAN (E-plan) change when required by </w:t>
      </w:r>
      <w:r w:rsidR="007220C0">
        <w:t xml:space="preserve">Title </w:t>
      </w:r>
      <w:r w:rsidR="004B224C" w:rsidRPr="004B224C">
        <w:t xml:space="preserve">10 </w:t>
      </w:r>
      <w:r w:rsidR="007220C0">
        <w:t xml:space="preserve">of the </w:t>
      </w:r>
      <w:r w:rsidR="004B224C" w:rsidRPr="007220C0">
        <w:rPr>
          <w:i/>
          <w:iCs/>
        </w:rPr>
        <w:t>C</w:t>
      </w:r>
      <w:r w:rsidR="007220C0" w:rsidRPr="007220C0">
        <w:rPr>
          <w:i/>
          <w:iCs/>
        </w:rPr>
        <w:t xml:space="preserve">ode of </w:t>
      </w:r>
      <w:r w:rsidR="004B224C" w:rsidRPr="007220C0">
        <w:rPr>
          <w:i/>
          <w:iCs/>
        </w:rPr>
        <w:t>F</w:t>
      </w:r>
      <w:r w:rsidR="007220C0" w:rsidRPr="007220C0">
        <w:rPr>
          <w:i/>
          <w:iCs/>
        </w:rPr>
        <w:t xml:space="preserve">ederal </w:t>
      </w:r>
      <w:r w:rsidR="004B224C" w:rsidRPr="007220C0">
        <w:rPr>
          <w:i/>
          <w:iCs/>
        </w:rPr>
        <w:t>R</w:t>
      </w:r>
      <w:r w:rsidR="007220C0" w:rsidRPr="007220C0">
        <w:rPr>
          <w:i/>
          <w:iCs/>
        </w:rPr>
        <w:t>egulations</w:t>
      </w:r>
      <w:r w:rsidR="004B224C" w:rsidRPr="004B224C">
        <w:t xml:space="preserve"> </w:t>
      </w:r>
      <w:r w:rsidR="007220C0">
        <w:t xml:space="preserve">(10CFR) Section </w:t>
      </w:r>
      <w:r w:rsidR="004B224C" w:rsidRPr="004B224C">
        <w:t xml:space="preserve">50.54(q)(4) is a violation that impacted the ability of the NRC to perform its regulatory oversight and would be processed under traditional enforcement. </w:t>
      </w:r>
      <w:r w:rsidR="00D12CA7">
        <w:t xml:space="preserve"> </w:t>
      </w:r>
      <w:r w:rsidR="004B224C" w:rsidRPr="004B224C">
        <w:t>Based upon the language of 10 CFR 50.54(q)(4), a violation occurs only if:</w:t>
      </w:r>
    </w:p>
    <w:p w14:paraId="77B6682F" w14:textId="77777777" w:rsidR="004B224C" w:rsidRPr="004B224C" w:rsidRDefault="004B224C" w:rsidP="00CF2E84">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2BC7D1EE" w14:textId="3551875C" w:rsidR="004B224C" w:rsidRPr="004B224C" w:rsidRDefault="004B224C" w:rsidP="00C217BB">
      <w:pPr>
        <w:tabs>
          <w:tab w:val="left" w:pos="3240"/>
          <w:tab w:val="left" w:pos="3874"/>
          <w:tab w:val="left" w:pos="4507"/>
          <w:tab w:val="left" w:pos="5040"/>
          <w:tab w:val="left" w:pos="5674"/>
          <w:tab w:val="left" w:pos="6307"/>
          <w:tab w:val="left" w:pos="7474"/>
          <w:tab w:val="left" w:pos="8107"/>
          <w:tab w:val="left" w:pos="8726"/>
        </w:tabs>
        <w:ind w:left="2074" w:hanging="634"/>
      </w:pPr>
      <w:r w:rsidRPr="004B224C">
        <w:t>(</w:t>
      </w:r>
      <w:r w:rsidR="00D46CB7">
        <w:t>a</w:t>
      </w:r>
      <w:r w:rsidRPr="004B224C">
        <w:t>)</w:t>
      </w:r>
      <w:r w:rsidRPr="004B224C">
        <w:tab/>
        <w:t>the license made a change to the content of the E-plan, and,</w:t>
      </w:r>
    </w:p>
    <w:p w14:paraId="2BCD5EDF" w14:textId="77777777" w:rsidR="004B224C" w:rsidRPr="004B224C" w:rsidRDefault="004B224C" w:rsidP="00CF2E84">
      <w:pPr>
        <w:tabs>
          <w:tab w:val="left" w:pos="3240"/>
          <w:tab w:val="left" w:pos="3874"/>
          <w:tab w:val="left" w:pos="4507"/>
          <w:tab w:val="left" w:pos="5040"/>
          <w:tab w:val="left" w:pos="5674"/>
          <w:tab w:val="left" w:pos="6307"/>
          <w:tab w:val="left" w:pos="7474"/>
          <w:tab w:val="left" w:pos="8107"/>
          <w:tab w:val="left" w:pos="8726"/>
        </w:tabs>
        <w:ind w:left="2160" w:hanging="720"/>
      </w:pPr>
    </w:p>
    <w:p w14:paraId="00BD4876" w14:textId="2FAF65FC" w:rsidR="004B224C" w:rsidRPr="004B224C" w:rsidRDefault="004B224C" w:rsidP="00C217BB">
      <w:pPr>
        <w:tabs>
          <w:tab w:val="left" w:pos="3240"/>
          <w:tab w:val="left" w:pos="3874"/>
          <w:tab w:val="left" w:pos="4507"/>
          <w:tab w:val="left" w:pos="5040"/>
          <w:tab w:val="left" w:pos="5674"/>
          <w:tab w:val="left" w:pos="6307"/>
          <w:tab w:val="left" w:pos="7474"/>
          <w:tab w:val="left" w:pos="8107"/>
          <w:tab w:val="left" w:pos="8726"/>
        </w:tabs>
        <w:ind w:left="2074" w:hanging="634"/>
      </w:pPr>
      <w:r w:rsidRPr="004B224C">
        <w:t>(</w:t>
      </w:r>
      <w:r w:rsidR="00D46CB7">
        <w:t>b</w:t>
      </w:r>
      <w:r w:rsidRPr="004B224C">
        <w:t>)</w:t>
      </w:r>
      <w:r w:rsidRPr="004B224C">
        <w:tab/>
        <w:t>any one or more of the following has occurred:</w:t>
      </w:r>
    </w:p>
    <w:p w14:paraId="78919A39" w14:textId="77777777" w:rsidR="004B224C" w:rsidRPr="004B224C" w:rsidRDefault="004B224C" w:rsidP="004B224C">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2174D7" w14:textId="6243AB33" w:rsidR="00D339B4" w:rsidRDefault="00D46CB7" w:rsidP="00C217BB">
      <w:pPr>
        <w:tabs>
          <w:tab w:val="left" w:pos="2707"/>
          <w:tab w:val="left" w:pos="3240"/>
          <w:tab w:val="left" w:pos="3874"/>
          <w:tab w:val="left" w:pos="4507"/>
          <w:tab w:val="left" w:pos="5040"/>
          <w:tab w:val="left" w:pos="5674"/>
          <w:tab w:val="left" w:pos="6307"/>
          <w:tab w:val="left" w:pos="7474"/>
          <w:tab w:val="left" w:pos="8107"/>
          <w:tab w:val="left" w:pos="8726"/>
        </w:tabs>
        <w:ind w:left="2708" w:hanging="634"/>
      </w:pPr>
      <w:r>
        <w:t>(1)</w:t>
      </w:r>
      <w:r w:rsidR="004B224C" w:rsidRPr="004B224C">
        <w:tab/>
        <w:t xml:space="preserve">The change was not analyzed for its impact on the effectiveness of </w:t>
      </w:r>
    </w:p>
    <w:p w14:paraId="04D6883B" w14:textId="587CA060" w:rsidR="004B224C" w:rsidRDefault="004B224C" w:rsidP="00D339B4">
      <w:pPr>
        <w:tabs>
          <w:tab w:val="left" w:pos="2707"/>
          <w:tab w:val="left" w:pos="3240"/>
          <w:tab w:val="left" w:pos="3874"/>
          <w:tab w:val="left" w:pos="4507"/>
          <w:tab w:val="left" w:pos="5040"/>
          <w:tab w:val="left" w:pos="5674"/>
          <w:tab w:val="left" w:pos="6307"/>
          <w:tab w:val="left" w:pos="7474"/>
          <w:tab w:val="left" w:pos="8107"/>
          <w:tab w:val="left" w:pos="8726"/>
        </w:tabs>
        <w:ind w:left="3420" w:hanging="720"/>
      </w:pPr>
      <w:r w:rsidRPr="004B224C">
        <w:t>the E-plan, or,</w:t>
      </w:r>
    </w:p>
    <w:p w14:paraId="0911B933" w14:textId="77777777" w:rsidR="00650D1C" w:rsidRPr="004B224C" w:rsidRDefault="00650D1C" w:rsidP="00650D1C">
      <w:pPr>
        <w:tabs>
          <w:tab w:val="left" w:pos="2707"/>
          <w:tab w:val="left" w:pos="3240"/>
          <w:tab w:val="left" w:pos="3874"/>
          <w:tab w:val="left" w:pos="4507"/>
          <w:tab w:val="left" w:pos="5040"/>
          <w:tab w:val="left" w:pos="5674"/>
          <w:tab w:val="left" w:pos="6307"/>
          <w:tab w:val="left" w:pos="7474"/>
          <w:tab w:val="left" w:pos="8107"/>
          <w:tab w:val="left" w:pos="8726"/>
        </w:tabs>
        <w:ind w:left="2160" w:hanging="345"/>
      </w:pPr>
    </w:p>
    <w:p w14:paraId="488EC664" w14:textId="5505BE82" w:rsidR="004B224C" w:rsidRDefault="00D46CB7" w:rsidP="00C217BB">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t>(2)</w:t>
      </w:r>
      <w:r w:rsidR="004B224C" w:rsidRPr="004B224C">
        <w:tab/>
        <w:t>The analysis was deficient, or</w:t>
      </w:r>
    </w:p>
    <w:p w14:paraId="349DF2E7" w14:textId="77777777" w:rsidR="00650D1C" w:rsidRPr="004B224C" w:rsidRDefault="00650D1C" w:rsidP="00C06A3D">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15"/>
      </w:pPr>
    </w:p>
    <w:p w14:paraId="2E194FDE" w14:textId="21CD8BD2" w:rsidR="004B224C" w:rsidRPr="004B224C" w:rsidRDefault="00D46CB7" w:rsidP="00C217BB">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pPr>
      <w:r>
        <w:t>(3)</w:t>
      </w:r>
      <w:r w:rsidR="004B224C" w:rsidRPr="004B224C">
        <w:tab/>
        <w:t>Application was not made for prior approval when required.</w:t>
      </w:r>
    </w:p>
    <w:p w14:paraId="1C19BA69" w14:textId="77777777" w:rsidR="004B224C" w:rsidRPr="004B224C" w:rsidRDefault="004B224C" w:rsidP="004B224C">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21121EB" w14:textId="7323DB6B" w:rsidR="004B224C" w:rsidRPr="004B224C" w:rsidRDefault="004B224C" w:rsidP="00483973">
      <w:pPr>
        <w:tabs>
          <w:tab w:val="left" w:pos="274"/>
          <w:tab w:val="left" w:pos="801"/>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440"/>
      </w:pPr>
      <w:r w:rsidRPr="004B224C">
        <w:t>Note:</w:t>
      </w:r>
      <w:r w:rsidRPr="004B224C">
        <w:tab/>
        <w:t>A change to resources, facilities, or equipment described in the E-plan does not constitute a change to the E-plan unless the E-plan was revised to reflect the change.</w:t>
      </w:r>
      <w:r w:rsidR="00D12CA7">
        <w:t xml:space="preserve"> </w:t>
      </w:r>
      <w:r w:rsidRPr="004B224C">
        <w:t xml:space="preserve"> Nonetheless, if the resources, facilities, and equipment were not maintained as described in the approved E-plan to the extent that the effectiveness of the plan is not maintained, a violation of 10 CFR 50.54(q)(2) is involved.  Such a violation does not impact the ability of the NRC to perform its regulatory oversight. </w:t>
      </w:r>
      <w:r w:rsidR="00D12CA7">
        <w:t xml:space="preserve"> </w:t>
      </w:r>
      <w:r w:rsidRPr="004B224C">
        <w:t>Absent another reason to treat the violation under traditional enforcement, the violation is treated under ROP.</w:t>
      </w:r>
    </w:p>
    <w:p w14:paraId="064EEAB3" w14:textId="77777777" w:rsidR="004B224C" w:rsidRPr="004B224C" w:rsidRDefault="004B224C" w:rsidP="004B224C">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8E7C98" w14:textId="71CCA16B" w:rsidR="004B224C" w:rsidRPr="004B224C" w:rsidRDefault="00D46CB7" w:rsidP="00C217BB">
      <w:pPr>
        <w:tabs>
          <w:tab w:val="left" w:pos="2707"/>
          <w:tab w:val="left" w:pos="3240"/>
          <w:tab w:val="left" w:pos="3874"/>
          <w:tab w:val="left" w:pos="4507"/>
          <w:tab w:val="left" w:pos="5040"/>
          <w:tab w:val="left" w:pos="5674"/>
          <w:tab w:val="left" w:pos="6307"/>
          <w:tab w:val="left" w:pos="7474"/>
          <w:tab w:val="left" w:pos="8107"/>
          <w:tab w:val="left" w:pos="8726"/>
        </w:tabs>
        <w:ind w:left="1440" w:hanging="634"/>
      </w:pPr>
      <w:r>
        <w:t>2.</w:t>
      </w:r>
      <w:r w:rsidR="004B224C" w:rsidRPr="004B224C">
        <w:tab/>
        <w:t>A licensee’s failure to notify the NRC of a declared emergency as required by 10 CFR 50.72(a) or to make follow up notifications during the course of the event as required by 10 CFR 50.72(c) is a violation that impacted the ability of the NRC to perform its regulatory oversight and would be processed under traditional enforcement.</w:t>
      </w:r>
    </w:p>
    <w:p w14:paraId="214E831A" w14:textId="77777777" w:rsidR="004B224C" w:rsidRPr="004B224C" w:rsidRDefault="004B224C" w:rsidP="004B224C">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AB9824F" w14:textId="02C29E5F" w:rsidR="004B224C" w:rsidRPr="004B224C" w:rsidRDefault="004B224C" w:rsidP="00483973">
      <w:pPr>
        <w:tabs>
          <w:tab w:val="left" w:pos="274"/>
          <w:tab w:val="left" w:pos="801"/>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440"/>
      </w:pPr>
      <w:r w:rsidRPr="004B224C">
        <w:t>Note:</w:t>
      </w:r>
      <w:r w:rsidRPr="004B224C">
        <w:tab/>
        <w:t>Licensees are required by NRC regulations at 10 CFR 50.47(b)(5) and Section IV.D of Appendix E to 10 CFR Part 50 to have the capability for notifying local, State, and Federal officials and agencies after declaring an emergency.  Since the notification of the NRC is addressed in 10 CFR 50.72(a) and (c), “Federal” refers to those Federal agencies, other than the NRC, that the licensee may be required to notify (e.g., the commandant of a military base located within the emergency planning zone (EPZ), the Environmental Protection Agency, etc.). The failure of the licensee to make the required notifications during an actual emergency is a failure of the licensee to follow its emergency plan, a non-</w:t>
      </w:r>
      <w:r w:rsidRPr="004B224C">
        <w:lastRenderedPageBreak/>
        <w:t>compliance with 10 CFR 50.54(q)(2).  Absent another reason to treat the violation under traditional enforcement, the violation is treated under ROP.</w:t>
      </w:r>
    </w:p>
    <w:p w14:paraId="09C8D44A" w14:textId="77777777" w:rsidR="004B224C" w:rsidRPr="004B224C" w:rsidRDefault="004B224C" w:rsidP="004B224C">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884C836" w14:textId="7A7D0395" w:rsidR="004B224C" w:rsidRPr="004B224C" w:rsidRDefault="00D46CB7" w:rsidP="00C217BB">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3.</w:t>
      </w:r>
      <w:r w:rsidR="004B224C" w:rsidRPr="004B224C">
        <w:tab/>
        <w:t>A licensee’s failure to make reports to the NRC of any event that results in a major loss of emergency assessment, offsite response, or offsite communications capabilities is a violation of 10 CFR 50.72(b)(3)(xiii) that impacted the ability of the NRC to perform its regulatory oversight and would be processed under traditional enforcement.</w:t>
      </w:r>
    </w:p>
    <w:p w14:paraId="1901BBB3" w14:textId="77777777" w:rsidR="004B224C" w:rsidRPr="004B224C" w:rsidRDefault="004B224C" w:rsidP="004B224C">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8A9412" w14:textId="77777777" w:rsidR="004B224C" w:rsidRPr="004B224C" w:rsidRDefault="004B224C" w:rsidP="00483973">
      <w:pPr>
        <w:tabs>
          <w:tab w:val="left" w:pos="274"/>
          <w:tab w:val="left" w:pos="801"/>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440"/>
      </w:pPr>
      <w:r w:rsidRPr="004B224C">
        <w:t>Note:</w:t>
      </w:r>
      <w:r w:rsidRPr="004B224C">
        <w:tab/>
        <w:t>The underlying condition that was not reported may be a separate issue of concern involving 10 CFR 50.54(q)(2) and would be processed under ROP.</w:t>
      </w:r>
    </w:p>
    <w:p w14:paraId="495F72C5" w14:textId="77777777" w:rsidR="004B224C" w:rsidRPr="004B224C" w:rsidRDefault="004B224C" w:rsidP="004B224C">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DC2CFB2" w14:textId="4960A2A8" w:rsidR="004B224C" w:rsidRPr="004B224C" w:rsidRDefault="00D46CB7" w:rsidP="00C217BB">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4.</w:t>
      </w:r>
      <w:r w:rsidR="004B224C" w:rsidRPr="004B224C">
        <w:tab/>
        <w:t xml:space="preserve">A licensee’s failure to make submittals to the NRC as required by the regulations identified below impacts the ability of the NRC to perform its regulatory oversight and would </w:t>
      </w:r>
      <w:r w:rsidR="00BE5416">
        <w:t xml:space="preserve">be </w:t>
      </w:r>
      <w:r w:rsidR="004B224C" w:rsidRPr="004B224C">
        <w:t>processed under traditional enforcement.</w:t>
      </w:r>
    </w:p>
    <w:p w14:paraId="65A6E196" w14:textId="77777777" w:rsidR="004B224C" w:rsidRPr="004B224C" w:rsidRDefault="004B224C" w:rsidP="004B224C">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E29367F" w14:textId="2256D59E" w:rsidR="004B224C" w:rsidRPr="004B224C" w:rsidRDefault="004B224C" w:rsidP="00C217BB">
      <w:pPr>
        <w:tabs>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4B224C">
        <w:t>(</w:t>
      </w:r>
      <w:r w:rsidR="00D46CB7">
        <w:t>a</w:t>
      </w:r>
      <w:r w:rsidRPr="004B224C">
        <w:t>)</w:t>
      </w:r>
      <w:r w:rsidRPr="004B224C">
        <w:tab/>
        <w:t>10 CFR Part 50.54(q)(5) – report of changes made under 10 CFR Part 50.54(q)(3)</w:t>
      </w:r>
    </w:p>
    <w:p w14:paraId="1E1C7B68" w14:textId="77777777" w:rsidR="004B224C" w:rsidRPr="004B224C" w:rsidRDefault="004B224C" w:rsidP="00680FB6">
      <w:pPr>
        <w:tabs>
          <w:tab w:val="left" w:pos="2707"/>
          <w:tab w:val="left" w:pos="3240"/>
          <w:tab w:val="left" w:pos="3874"/>
          <w:tab w:val="left" w:pos="4507"/>
          <w:tab w:val="left" w:pos="5040"/>
          <w:tab w:val="left" w:pos="5674"/>
          <w:tab w:val="left" w:pos="6307"/>
          <w:tab w:val="left" w:pos="7474"/>
          <w:tab w:val="left" w:pos="8107"/>
          <w:tab w:val="left" w:pos="8726"/>
        </w:tabs>
        <w:ind w:left="2160" w:hanging="720"/>
      </w:pPr>
    </w:p>
    <w:p w14:paraId="45B71362" w14:textId="59FC8115" w:rsidR="004B224C" w:rsidRPr="004B224C" w:rsidRDefault="004B224C" w:rsidP="00C217BB">
      <w:pPr>
        <w:tabs>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4B224C">
        <w:t>(</w:t>
      </w:r>
      <w:r w:rsidR="00D46CB7">
        <w:t>b</w:t>
      </w:r>
      <w:r w:rsidRPr="004B224C">
        <w:t>)</w:t>
      </w:r>
      <w:r w:rsidRPr="004B224C">
        <w:tab/>
        <w:t>10 CFR Part 50, Appendix E, §IV.B.2 – change to entire emergency action level scheme</w:t>
      </w:r>
    </w:p>
    <w:p w14:paraId="1B6F5ED6" w14:textId="77777777" w:rsidR="004B224C" w:rsidRPr="004B224C" w:rsidRDefault="004B224C" w:rsidP="00680FB6">
      <w:pPr>
        <w:tabs>
          <w:tab w:val="left" w:pos="2707"/>
          <w:tab w:val="left" w:pos="3240"/>
          <w:tab w:val="left" w:pos="3874"/>
          <w:tab w:val="left" w:pos="4507"/>
          <w:tab w:val="left" w:pos="5040"/>
          <w:tab w:val="left" w:pos="5674"/>
          <w:tab w:val="left" w:pos="6307"/>
          <w:tab w:val="left" w:pos="7474"/>
          <w:tab w:val="left" w:pos="8107"/>
          <w:tab w:val="left" w:pos="8726"/>
        </w:tabs>
        <w:ind w:left="2160" w:hanging="720"/>
      </w:pPr>
    </w:p>
    <w:p w14:paraId="1A95EF1E" w14:textId="206C4319" w:rsidR="004B224C" w:rsidRPr="004B224C" w:rsidRDefault="004B224C" w:rsidP="00C217BB">
      <w:pPr>
        <w:tabs>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4B224C">
        <w:t>(</w:t>
      </w:r>
      <w:r w:rsidR="00D46CB7">
        <w:t>c</w:t>
      </w:r>
      <w:r w:rsidRPr="004B224C">
        <w:t>)</w:t>
      </w:r>
      <w:r w:rsidRPr="004B224C">
        <w:tab/>
        <w:t>10 CFR Part 50, Appendix E, §IV.4, 5, 6, 7 – evacuation time estimate submittal</w:t>
      </w:r>
    </w:p>
    <w:p w14:paraId="05030E4B" w14:textId="77777777" w:rsidR="004B224C" w:rsidRPr="004B224C" w:rsidRDefault="004B224C" w:rsidP="00C217BB">
      <w:pPr>
        <w:tabs>
          <w:tab w:val="left" w:pos="2707"/>
          <w:tab w:val="left" w:pos="3240"/>
          <w:tab w:val="left" w:pos="3874"/>
          <w:tab w:val="left" w:pos="4507"/>
          <w:tab w:val="left" w:pos="5040"/>
          <w:tab w:val="left" w:pos="5674"/>
          <w:tab w:val="left" w:pos="6307"/>
          <w:tab w:val="left" w:pos="7474"/>
          <w:tab w:val="left" w:pos="8107"/>
          <w:tab w:val="left" w:pos="8726"/>
        </w:tabs>
        <w:ind w:left="2074" w:hanging="634"/>
      </w:pPr>
    </w:p>
    <w:p w14:paraId="61481628" w14:textId="415F7A89" w:rsidR="004B224C" w:rsidRPr="004B224C" w:rsidRDefault="004B224C" w:rsidP="00C217BB">
      <w:pPr>
        <w:tabs>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4B224C">
        <w:t>(</w:t>
      </w:r>
      <w:r w:rsidR="00D46CB7">
        <w:t>d</w:t>
      </w:r>
      <w:r w:rsidRPr="004B224C">
        <w:t xml:space="preserve">) </w:t>
      </w:r>
      <w:r w:rsidRPr="004B224C">
        <w:tab/>
        <w:t>10 CFR Part 50, Appendix E, §V – changes to implementing procedures</w:t>
      </w:r>
    </w:p>
    <w:p w14:paraId="2586DE3D" w14:textId="77777777" w:rsidR="004B224C" w:rsidRPr="004B224C" w:rsidRDefault="004B224C" w:rsidP="004B224C">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2089E9B" w14:textId="41A59800" w:rsidR="004B224C" w:rsidRPr="004B224C" w:rsidRDefault="004B224C" w:rsidP="00483973">
      <w:pPr>
        <w:tabs>
          <w:tab w:val="left" w:pos="274"/>
          <w:tab w:val="left" w:pos="801"/>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440"/>
      </w:pPr>
      <w:r w:rsidRPr="004B224C">
        <w:t>Note:</w:t>
      </w:r>
      <w:r w:rsidRPr="004B224C">
        <w:tab/>
        <w:t xml:space="preserve">A licensee’s failure to submit a biennial exercise scenario as required by 10 CFR Part 50, Appendix E, Section IV.F.2.a, b, does not impact the ability of the NRC to perform its regulatory oversight since the inspector will identify this failure when performing inspection preparation for the exercise. </w:t>
      </w:r>
      <w:r w:rsidR="00D12CA7">
        <w:t xml:space="preserve"> </w:t>
      </w:r>
      <w:r w:rsidRPr="004B224C">
        <w:t>See IP 71114.01, “Exercise Evaluation,” Sections 02.01 and 03.01.</w:t>
      </w:r>
    </w:p>
    <w:p w14:paraId="5FB96EFB" w14:textId="77777777" w:rsidR="004B224C" w:rsidRPr="004B224C" w:rsidRDefault="004B224C" w:rsidP="004B224C">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7E388BE" w14:textId="714446B2" w:rsidR="004B224C" w:rsidRPr="004B224C" w:rsidRDefault="00D46CB7" w:rsidP="00C217BB">
      <w:pPr>
        <w:tabs>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w:t>
      </w:r>
      <w:r w:rsidR="004B224C" w:rsidRPr="004B224C">
        <w:t>.</w:t>
      </w:r>
      <w:r w:rsidR="004B224C" w:rsidRPr="004B224C">
        <w:tab/>
        <w:t>Is there a violation that resulted in actual safety or security consequences? (See Table 3 of the appendix for comparative examples.)</w:t>
      </w:r>
    </w:p>
    <w:p w14:paraId="1F01E101" w14:textId="77777777" w:rsidR="004B224C" w:rsidRPr="004B224C" w:rsidRDefault="004B224C" w:rsidP="004B224C">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9BC26D9" w14:textId="18DCE46D" w:rsidR="004B224C" w:rsidRPr="004B224C" w:rsidRDefault="004B224C" w:rsidP="00483973">
      <w:pPr>
        <w:tabs>
          <w:tab w:val="left" w:pos="990"/>
          <w:tab w:val="left" w:pos="1440"/>
          <w:tab w:val="left" w:pos="2707"/>
          <w:tab w:val="left" w:pos="3240"/>
          <w:tab w:val="left" w:pos="3874"/>
          <w:tab w:val="left" w:pos="4507"/>
          <w:tab w:val="left" w:pos="5040"/>
          <w:tab w:val="left" w:pos="5674"/>
          <w:tab w:val="left" w:pos="6307"/>
          <w:tab w:val="left" w:pos="7474"/>
          <w:tab w:val="left" w:pos="8107"/>
          <w:tab w:val="left" w:pos="8726"/>
        </w:tabs>
        <w:ind w:left="274"/>
      </w:pPr>
      <w:r w:rsidRPr="004B224C">
        <w:t>Note:</w:t>
      </w:r>
      <w:r w:rsidR="00C217BB">
        <w:tab/>
      </w:r>
      <w:r w:rsidRPr="004B224C">
        <w:t xml:space="preserve">The objective of EP is to provide for reductions of the consequences of a radiological emergency through the implementation of protective actions. </w:t>
      </w:r>
      <w:r w:rsidR="00D12CA7">
        <w:t xml:space="preserve"> </w:t>
      </w:r>
      <w:r w:rsidRPr="004B224C">
        <w:t xml:space="preserve">Accordingly, only if the licensee’s non-compliance prevented adequate protective measures can there be actual safety consequences to the public in the form of increased radiation exposures that might have been prevented had the appropriate protective action been recommended in a timely manner. </w:t>
      </w:r>
      <w:r w:rsidR="00D12CA7">
        <w:t xml:space="preserve"> </w:t>
      </w:r>
      <w:r w:rsidRPr="004B224C">
        <w:t>For EP cornerstone, this can only occur during an actual General Emergency.</w:t>
      </w:r>
    </w:p>
    <w:p w14:paraId="722B5056" w14:textId="77777777" w:rsidR="004B224C" w:rsidRPr="004B224C" w:rsidRDefault="004B224C" w:rsidP="00C217BB">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02B5D69A" w14:textId="13FED83A" w:rsidR="004B224C" w:rsidRPr="004B224C" w:rsidRDefault="00D46CB7" w:rsidP="00483973">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1.</w:t>
      </w:r>
      <w:r w:rsidR="004B224C" w:rsidRPr="004B224C">
        <w:tab/>
        <w:t>The following establishes a threshold, based on the above, for violations that could result in actual safety or security consequences:</w:t>
      </w:r>
    </w:p>
    <w:p w14:paraId="14F68007" w14:textId="77777777" w:rsidR="004B224C" w:rsidRPr="004B224C" w:rsidRDefault="004B224C" w:rsidP="004B224C">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9A5B38" w14:textId="77777777" w:rsidR="004B224C" w:rsidRPr="004B224C" w:rsidRDefault="004B224C" w:rsidP="00441D4A">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15"/>
      </w:pPr>
      <w:r w:rsidRPr="004B224C">
        <w:t>During an actual General Emergency, a licensee’s inaccurate protective action recommendation, or lack thereof, directly results in OFFSITE RESPONSE ORGANIZATIONS (ORO’s) implementing inappropriate protective actions which are ineffective in providing for the public health and safety.</w:t>
      </w:r>
    </w:p>
    <w:p w14:paraId="6FAA598B" w14:textId="77777777" w:rsidR="004B224C" w:rsidRPr="004B224C" w:rsidRDefault="004B224C" w:rsidP="004B224C">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3A2068" w14:textId="37AE7342" w:rsidR="004B224C" w:rsidRPr="004B224C" w:rsidRDefault="00D46CB7" w:rsidP="00483973">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2.</w:t>
      </w:r>
      <w:r w:rsidR="004B224C" w:rsidRPr="004B224C">
        <w:tab/>
        <w:t>Inspectors must evaluate all EP violations identified during an actual General Emergency against the above threshold.</w:t>
      </w:r>
    </w:p>
    <w:p w14:paraId="51FA19CF" w14:textId="77777777" w:rsidR="004B224C" w:rsidRPr="004B224C" w:rsidRDefault="004B224C" w:rsidP="00441D4A">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02BD06ED" w14:textId="1C88F496" w:rsidR="004B224C" w:rsidRPr="004B224C" w:rsidRDefault="00D46CB7" w:rsidP="00483973">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3.</w:t>
      </w:r>
      <w:r w:rsidR="004B224C" w:rsidRPr="004B224C">
        <w:tab/>
        <w:t>Relevant issues of concern could include:</w:t>
      </w:r>
    </w:p>
    <w:p w14:paraId="28BF54B7" w14:textId="77777777" w:rsidR="004B224C" w:rsidRPr="004B224C" w:rsidRDefault="004B224C" w:rsidP="00441D4A">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4F21C72D" w14:textId="3F52E8C4" w:rsidR="004B224C" w:rsidRPr="004B224C" w:rsidRDefault="004B224C" w:rsidP="00483973">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4B224C">
        <w:t>(</w:t>
      </w:r>
      <w:r w:rsidR="00D46CB7">
        <w:t>a</w:t>
      </w:r>
      <w:r w:rsidRPr="004B224C">
        <w:t>)</w:t>
      </w:r>
      <w:r w:rsidRPr="004B224C">
        <w:tab/>
        <w:t>Failures to properly classify and declare a General Emergency,</w:t>
      </w:r>
    </w:p>
    <w:p w14:paraId="5DE2D9E5" w14:textId="77777777" w:rsidR="004B224C" w:rsidRPr="004B224C" w:rsidRDefault="004B224C" w:rsidP="00441D4A">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720"/>
      </w:pPr>
    </w:p>
    <w:p w14:paraId="62CE0A25" w14:textId="432A1572" w:rsidR="004B224C" w:rsidRPr="004B224C" w:rsidRDefault="004B224C" w:rsidP="00483973">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4B224C">
        <w:t>(</w:t>
      </w:r>
      <w:r w:rsidR="00D46CB7">
        <w:t>b</w:t>
      </w:r>
      <w:r w:rsidRPr="004B224C">
        <w:t>)</w:t>
      </w:r>
      <w:r w:rsidRPr="004B224C">
        <w:tab/>
        <w:t>Failures to notify the OROs of General Emergency declaration,</w:t>
      </w:r>
    </w:p>
    <w:p w14:paraId="1568131F" w14:textId="77777777" w:rsidR="004B224C" w:rsidRPr="004B224C" w:rsidRDefault="004B224C" w:rsidP="00441D4A">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720"/>
      </w:pPr>
    </w:p>
    <w:p w14:paraId="54B25265" w14:textId="5CDF7799" w:rsidR="004B224C" w:rsidRPr="004B224C" w:rsidRDefault="004B224C" w:rsidP="00483973">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4B224C">
        <w:t>(</w:t>
      </w:r>
      <w:r w:rsidR="00D46CB7">
        <w:t>c</w:t>
      </w:r>
      <w:r w:rsidRPr="004B224C">
        <w:t>)</w:t>
      </w:r>
      <w:r w:rsidRPr="004B224C">
        <w:tab/>
        <w:t>Failures to perform adequate accident assessment needed for protective action recommendation (PAR) decision making, and,</w:t>
      </w:r>
    </w:p>
    <w:p w14:paraId="580FC721" w14:textId="77777777" w:rsidR="004B224C" w:rsidRPr="004B224C" w:rsidRDefault="004B224C" w:rsidP="00441D4A">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7057200A" w14:textId="11071AD9" w:rsidR="004B224C" w:rsidRPr="004B224C" w:rsidRDefault="004B224C" w:rsidP="00483973">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rsidRPr="004B224C">
        <w:t>(</w:t>
      </w:r>
      <w:r w:rsidR="00D46CB7">
        <w:t>d</w:t>
      </w:r>
      <w:r w:rsidRPr="004B224C">
        <w:t>)</w:t>
      </w:r>
      <w:r w:rsidRPr="004B224C">
        <w:tab/>
        <w:t>Failures to provide an adequate PAR to the OROs, to the extent that the above threshold is exceeded.</w:t>
      </w:r>
    </w:p>
    <w:p w14:paraId="597524C7" w14:textId="77777777" w:rsidR="004B224C" w:rsidRPr="004B224C" w:rsidRDefault="004B224C" w:rsidP="00441D4A">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7E10DDF3" w14:textId="3E42E59E" w:rsidR="004B224C" w:rsidRPr="004B224C" w:rsidRDefault="00D46CB7" w:rsidP="00483973">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4.</w:t>
      </w:r>
      <w:r w:rsidR="004B224C" w:rsidRPr="004B224C">
        <w:tab/>
        <w:t>All other violations identified during an actual emergency are treated under ROP absent another reason to treat the violation under traditional enforcement.</w:t>
      </w:r>
    </w:p>
    <w:p w14:paraId="681FB68D" w14:textId="77777777" w:rsidR="004B224C" w:rsidRPr="004B224C" w:rsidRDefault="004B224C" w:rsidP="004B224C">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38B6C5" w14:textId="6D33DD12" w:rsidR="00215B96" w:rsidRDefault="004B224C" w:rsidP="0048397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4B224C">
        <w:t>Note:</w:t>
      </w:r>
      <w:r w:rsidRPr="004B224C">
        <w:tab/>
        <w:t xml:space="preserve">An ORO’s failure to properly act on an adequate and timely licensee’s PAR is not a violation on the part of the licensee. </w:t>
      </w:r>
      <w:r w:rsidR="00D12CA7">
        <w:t xml:space="preserve"> </w:t>
      </w:r>
      <w:r w:rsidRPr="004B224C">
        <w:t>The Federal Emergency Management Agency (FEMA) is responsible for pursuing such failures with the OROs.  Although a State may implement anticipatory protective actions at a Site Area Emergency (e.g., closing parks and recreational facilities, early closure of schools, etc.), the licensee is not required to make PARs prior to a General Emergency.</w:t>
      </w:r>
    </w:p>
    <w:p w14:paraId="7A270B7B" w14:textId="46F05862" w:rsidR="00215B96" w:rsidRDefault="00215B96"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D7B7442" w14:textId="617BFEB3" w:rsidR="00215B96" w:rsidRDefault="004B233B" w:rsidP="00820A8A">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u w:val="single"/>
        </w:rPr>
      </w:pPr>
      <w:r>
        <w:t>02.02.02</w:t>
      </w:r>
      <w:r>
        <w:tab/>
      </w:r>
      <w:r>
        <w:rPr>
          <w:u w:val="single"/>
        </w:rPr>
        <w:t xml:space="preserve">Block 2 – Is </w:t>
      </w:r>
      <w:r w:rsidR="00D93B55">
        <w:rPr>
          <w:u w:val="single"/>
        </w:rPr>
        <w:t>There a Performance Deficiency</w:t>
      </w:r>
    </w:p>
    <w:p w14:paraId="50441CAB" w14:textId="600CA0A3" w:rsidR="00C91F92" w:rsidRDefault="00C91F92" w:rsidP="004B233B">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u w:val="single"/>
        </w:rPr>
      </w:pPr>
    </w:p>
    <w:p w14:paraId="0D1EC88C" w14:textId="77777777" w:rsidR="00D12CA7" w:rsidRDefault="002C0768" w:rsidP="002C0768">
      <w:pPr>
        <w:tabs>
          <w:tab w:val="left" w:pos="2707"/>
          <w:tab w:val="left" w:pos="3240"/>
          <w:tab w:val="left" w:pos="3874"/>
          <w:tab w:val="left" w:pos="4507"/>
          <w:tab w:val="left" w:pos="5040"/>
          <w:tab w:val="left" w:pos="5674"/>
          <w:tab w:val="left" w:pos="6307"/>
          <w:tab w:val="left" w:pos="7474"/>
          <w:tab w:val="left" w:pos="8107"/>
          <w:tab w:val="left" w:pos="8726"/>
        </w:tabs>
        <w:ind w:left="720" w:hanging="720"/>
      </w:pPr>
      <w:r w:rsidRPr="002C0768">
        <w:t>Note:</w:t>
      </w:r>
      <w:r w:rsidRPr="002C0768">
        <w:tab/>
        <w:t xml:space="preserve">Use the information in this section to inform your decisions regarding Block 2 and the </w:t>
      </w:r>
    </w:p>
    <w:p w14:paraId="5F7B8938" w14:textId="60C8A996" w:rsidR="00C91F92" w:rsidRPr="00C91F92" w:rsidRDefault="002C0768" w:rsidP="002C0768">
      <w:pPr>
        <w:tabs>
          <w:tab w:val="left" w:pos="2707"/>
          <w:tab w:val="left" w:pos="3240"/>
          <w:tab w:val="left" w:pos="3874"/>
          <w:tab w:val="left" w:pos="4507"/>
          <w:tab w:val="left" w:pos="5040"/>
          <w:tab w:val="left" w:pos="5674"/>
          <w:tab w:val="left" w:pos="6307"/>
          <w:tab w:val="left" w:pos="7474"/>
          <w:tab w:val="left" w:pos="8107"/>
          <w:tab w:val="left" w:pos="8726"/>
        </w:tabs>
        <w:ind w:left="720" w:hanging="720"/>
      </w:pPr>
      <w:r w:rsidRPr="002C0768">
        <w:t>applicable additional guidance in IMC 0612 Appendix B.</w:t>
      </w:r>
    </w:p>
    <w:p w14:paraId="142CA615" w14:textId="023D4A23" w:rsidR="002A7EE2" w:rsidRDefault="002A7EE2"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F36759" w14:textId="79B4F392" w:rsidR="00621F6D" w:rsidRPr="00621F6D" w:rsidRDefault="00D46CB7" w:rsidP="00D12CA7">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w:t>
      </w:r>
      <w:r w:rsidR="00621F6D" w:rsidRPr="00621F6D">
        <w:t>.</w:t>
      </w:r>
      <w:r w:rsidR="00621F6D" w:rsidRPr="00621F6D">
        <w:tab/>
        <w:t xml:space="preserve">Although NRC regulations require the execution of drills and exercises and require that WEAKNESSES be identified in a CRITIQUE and be corrected, the regulations do not require that the EMERGENCY RESPONSE ORGANIZATION (ERO) performance be free of error.  Accordingly, an ERO performance WEAKNESS observed during a drill, exercise, or training does not violate any regulation or standard and, therefore, is not a performance deficiency (PD) or violation and does not require documentation in an inspection report. </w:t>
      </w:r>
      <w:r w:rsidR="00D12CA7">
        <w:t xml:space="preserve"> </w:t>
      </w:r>
      <w:r w:rsidR="00621F6D" w:rsidRPr="00621F6D">
        <w:t>However, following are PDs because they involve a noncompliance that was within the licensee’s ability to foresee and correct:</w:t>
      </w:r>
    </w:p>
    <w:p w14:paraId="4AD093AE" w14:textId="77777777" w:rsidR="00621F6D" w:rsidRPr="00621F6D" w:rsidRDefault="00621F6D" w:rsidP="00621F6D">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EBE4597" w14:textId="5F47DC3A" w:rsidR="00621F6D" w:rsidRPr="00621F6D" w:rsidRDefault="00D46CB7" w:rsidP="00D12CA7">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1.</w:t>
      </w:r>
      <w:r w:rsidR="00621F6D" w:rsidRPr="00621F6D">
        <w:tab/>
        <w:t>The licensee failed to identify a WEAKNESS during a CRITIQUE, or complete corrective actions as required by 10 CFR Part 50, Appendix E, Section IV.F.2.g.</w:t>
      </w:r>
    </w:p>
    <w:p w14:paraId="2480815B" w14:textId="77777777" w:rsidR="00621F6D" w:rsidRPr="00621F6D" w:rsidRDefault="00621F6D" w:rsidP="00C46C63">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70EF4F2E" w14:textId="0FF44E8B" w:rsidR="00621F6D" w:rsidRPr="00621F6D" w:rsidRDefault="00D46CB7" w:rsidP="00D12CA7">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2.</w:t>
      </w:r>
      <w:r w:rsidR="00621F6D" w:rsidRPr="00621F6D">
        <w:tab/>
        <w:t>The licensee or inspector determines that the WEAKNESS was due to a deficiency in the E-plan, the E-plan implementing procedures, ERO training, or emergency response facilities and equipment (i.e., licensee failed to maintain the E-plan as required by 10 CFR 50.54(q)(2)).</w:t>
      </w:r>
    </w:p>
    <w:p w14:paraId="27BD90B9" w14:textId="77777777" w:rsidR="00621F6D" w:rsidRPr="00621F6D" w:rsidRDefault="00621F6D" w:rsidP="00621F6D">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E65CA2C" w14:textId="0901F1EA" w:rsidR="00621F6D" w:rsidRPr="00621F6D" w:rsidRDefault="00D46CB7" w:rsidP="00D12CA7">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b</w:t>
      </w:r>
      <w:r w:rsidR="00621F6D" w:rsidRPr="00621F6D">
        <w:t>.</w:t>
      </w:r>
      <w:r w:rsidR="00621F6D" w:rsidRPr="00621F6D">
        <w:tab/>
        <w:t xml:space="preserve">The licensee is not required by NRC regulations to develop and maintain offsite preparedness.  Offsite preparedness is a responsibility of State and local authorities and is evaluated by the FEMA.  The licensee, as a private concern, has no control over </w:t>
      </w:r>
      <w:r w:rsidR="00621F6D" w:rsidRPr="00621F6D">
        <w:lastRenderedPageBreak/>
        <w:t>the activities of those public entities.  Accordingly, offsite EP issues are not PDs, even if the licensee developed the offsite response plans pursuant to 10 CFR 50.47(c).</w:t>
      </w:r>
    </w:p>
    <w:p w14:paraId="1209BFF8" w14:textId="77777777" w:rsidR="00621F6D" w:rsidRPr="00621F6D" w:rsidRDefault="00621F6D" w:rsidP="00C46C63">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1B165999" w14:textId="63413100" w:rsidR="00621F6D" w:rsidRPr="00621F6D" w:rsidRDefault="00D46CB7" w:rsidP="00D12CA7">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c</w:t>
      </w:r>
      <w:r w:rsidR="00621F6D" w:rsidRPr="00621F6D">
        <w:t>.</w:t>
      </w:r>
      <w:r w:rsidR="00621F6D" w:rsidRPr="00621F6D">
        <w:tab/>
        <w:t>The following are requirements and self-imposed standards applicable to the EP Cornerstone:</w:t>
      </w:r>
    </w:p>
    <w:p w14:paraId="43780784" w14:textId="77777777" w:rsidR="00621F6D" w:rsidRPr="00621F6D" w:rsidRDefault="00621F6D" w:rsidP="00621F6D">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C530FC" w14:textId="1F262FAC" w:rsidR="00621F6D" w:rsidRPr="00621F6D" w:rsidRDefault="00D46CB7" w:rsidP="00D12CA7">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1.</w:t>
      </w:r>
      <w:r w:rsidR="00621F6D" w:rsidRPr="00621F6D">
        <w:tab/>
      </w:r>
      <w:r w:rsidR="00D12CA7">
        <w:t>T</w:t>
      </w:r>
      <w:r w:rsidR="00621F6D" w:rsidRPr="00621F6D">
        <w:t>he approved E-plan,</w:t>
      </w:r>
    </w:p>
    <w:p w14:paraId="1DF5322E" w14:textId="77777777" w:rsidR="00621F6D" w:rsidRPr="00621F6D" w:rsidRDefault="00621F6D" w:rsidP="00621F6D">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92C149" w14:textId="2DF127F1" w:rsidR="00621F6D" w:rsidRPr="00621F6D" w:rsidRDefault="00621F6D" w:rsidP="00483973">
      <w:pPr>
        <w:tabs>
          <w:tab w:val="left" w:pos="274"/>
          <w:tab w:val="left" w:pos="801"/>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440"/>
      </w:pPr>
      <w:r w:rsidRPr="00621F6D">
        <w:t>Note:</w:t>
      </w:r>
      <w:r w:rsidRPr="00621F6D">
        <w:tab/>
        <w:t xml:space="preserve">The submittal of an acceptable E-plan is a license application requirement. </w:t>
      </w:r>
      <w:r w:rsidR="00D12CA7">
        <w:t xml:space="preserve"> </w:t>
      </w:r>
      <w:r w:rsidRPr="00621F6D">
        <w:t>Once the license is issued, the licensee is required by license condition 10 CFR 50.54(q)(2) to follow and maintain the effectiveness of an E-plan that meets the requirements in 10 CFR Part 50 Appendix E and the planning standards of 10 CFR 50.47(b).  Accordingly, the E-plan is a “requirement” as used in the definition of a PD.</w:t>
      </w:r>
    </w:p>
    <w:p w14:paraId="330DFEAA" w14:textId="77777777" w:rsidR="00621F6D" w:rsidRPr="00621F6D" w:rsidRDefault="00621F6D" w:rsidP="00621F6D">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AEF7DE0" w14:textId="5ABE4A23" w:rsidR="00621F6D" w:rsidRPr="00621F6D" w:rsidRDefault="00D46CB7" w:rsidP="00D12CA7">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2.</w:t>
      </w:r>
      <w:r w:rsidR="00621F6D" w:rsidRPr="00621F6D">
        <w:tab/>
        <w:t>10 CFR 50.47(b),</w:t>
      </w:r>
    </w:p>
    <w:p w14:paraId="10BCC41C" w14:textId="77777777" w:rsidR="00621F6D" w:rsidRPr="00621F6D" w:rsidRDefault="00621F6D" w:rsidP="00C46C63">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34BC0F75" w14:textId="69064867" w:rsidR="00621F6D" w:rsidRPr="00621F6D" w:rsidRDefault="00D46CB7" w:rsidP="00D12CA7">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3.</w:t>
      </w:r>
      <w:r w:rsidR="00621F6D" w:rsidRPr="00621F6D">
        <w:tab/>
        <w:t>10 CFR Part 50, Appendix E, Sections IV, V, VI,</w:t>
      </w:r>
    </w:p>
    <w:p w14:paraId="2DA9D891" w14:textId="77777777" w:rsidR="00621F6D" w:rsidRPr="00621F6D" w:rsidRDefault="00621F6D" w:rsidP="00C46C63">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67E5FD14" w14:textId="348A20C5" w:rsidR="00621F6D" w:rsidRPr="00621F6D" w:rsidRDefault="00D46CB7" w:rsidP="00D12CA7">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4.</w:t>
      </w:r>
      <w:r w:rsidR="00621F6D" w:rsidRPr="00621F6D">
        <w:tab/>
        <w:t>10 CFR 50.54(q),</w:t>
      </w:r>
    </w:p>
    <w:p w14:paraId="7D2AD043" w14:textId="77777777" w:rsidR="00621F6D" w:rsidRPr="00621F6D" w:rsidRDefault="00621F6D" w:rsidP="00C46C63">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6E849F09" w14:textId="3673B6D2" w:rsidR="00621F6D" w:rsidRPr="00621F6D" w:rsidRDefault="00D46CB7" w:rsidP="00D12CA7">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5.</w:t>
      </w:r>
      <w:r w:rsidR="00621F6D" w:rsidRPr="00621F6D">
        <w:tab/>
        <w:t>10 CFR 50.54(t), and,</w:t>
      </w:r>
    </w:p>
    <w:p w14:paraId="70D6107B" w14:textId="77777777" w:rsidR="00621F6D" w:rsidRPr="00621F6D" w:rsidRDefault="00621F6D" w:rsidP="00C46C63">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pPr>
    </w:p>
    <w:p w14:paraId="5F433465" w14:textId="49D3A384" w:rsidR="00621F6D" w:rsidRPr="00621F6D" w:rsidRDefault="00D46CB7" w:rsidP="00D12CA7">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6.</w:t>
      </w:r>
      <w:r w:rsidR="00621F6D" w:rsidRPr="00621F6D">
        <w:tab/>
      </w:r>
      <w:r w:rsidR="00D12CA7">
        <w:t>T</w:t>
      </w:r>
      <w:r w:rsidR="00621F6D" w:rsidRPr="00621F6D">
        <w:t>he FEMA approved final Alert and Notification System (ANS) design report, a self-imposed standard for licensees who have assumed responsibility for the maintenance and testing of the ANS on behalf of State or local officials.</w:t>
      </w:r>
    </w:p>
    <w:p w14:paraId="303DEE52" w14:textId="77777777" w:rsidR="00621F6D" w:rsidRPr="00621F6D" w:rsidRDefault="00621F6D" w:rsidP="00621F6D">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0CA21A0" w14:textId="29ACB71E" w:rsidR="00621F6D" w:rsidRPr="00621F6D" w:rsidRDefault="00621F6D" w:rsidP="00483973">
      <w:pPr>
        <w:tabs>
          <w:tab w:val="left" w:pos="274"/>
          <w:tab w:val="left" w:pos="801"/>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440"/>
      </w:pPr>
      <w:r w:rsidRPr="00621F6D">
        <w:t>Note:</w:t>
      </w:r>
      <w:r w:rsidRPr="00621F6D">
        <w:tab/>
        <w:t>Licensees are required by 10 CFR Part 50, Appendix E, to demonstrate that administrative and physical means have been established for alerting and providing prompt instructions to the public.  Many licensees have assumed responsibility, as agents of the States in their respective EPZs, for the performance of maintenance and testing of the public ANS identified in the site’s FEMA Final ANS Design Report.</w:t>
      </w:r>
    </w:p>
    <w:p w14:paraId="2578C9C6" w14:textId="77777777" w:rsidR="00621F6D" w:rsidRPr="00621F6D" w:rsidRDefault="00621F6D" w:rsidP="00621F6D">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E171D2" w14:textId="77777777" w:rsidR="00621F6D" w:rsidRPr="00621F6D" w:rsidRDefault="00621F6D" w:rsidP="00483973">
      <w:pPr>
        <w:tabs>
          <w:tab w:val="left" w:pos="274"/>
          <w:tab w:val="left" w:pos="801"/>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1440"/>
      </w:pPr>
      <w:r w:rsidRPr="00621F6D">
        <w:t>Note:</w:t>
      </w:r>
      <w:r w:rsidRPr="00621F6D">
        <w:tab/>
        <w:t>Since FEMA evaluates and approves ANS designs, NRC will solicit input from FEMA regarding the significance of a licensee failure to maintain the ANS as described in the FEMA Final ANS Design Report.</w:t>
      </w:r>
    </w:p>
    <w:p w14:paraId="54D8444E" w14:textId="77777777" w:rsidR="00621F6D" w:rsidRPr="00621F6D" w:rsidRDefault="00621F6D" w:rsidP="00621F6D">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C134F6" w14:textId="179624CA" w:rsidR="00621F6D" w:rsidRPr="00621F6D" w:rsidRDefault="00D46CB7" w:rsidP="00D12CA7">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d</w:t>
      </w:r>
      <w:r w:rsidR="00621F6D" w:rsidRPr="00621F6D">
        <w:t>.</w:t>
      </w:r>
      <w:r w:rsidR="00621F6D" w:rsidRPr="00621F6D">
        <w:tab/>
        <w:t xml:space="preserve">Licensees are required by 10 CFR Part 50, Appendix E, Section IV.D.3 to have the capability to make notifications to State and local government agencies within 15 minutes of an emergency declaration and to have established that capability in their E-plan. </w:t>
      </w:r>
      <w:r w:rsidR="00D12CA7">
        <w:t xml:space="preserve"> </w:t>
      </w:r>
      <w:r w:rsidR="00621F6D" w:rsidRPr="00621F6D">
        <w:t>During an actual radiological emergency, a licensee may not be able to contact such an agency within 15 minutes for reasons that are not reasonably within the ability of the licensee to foresee or correct.  This inability would not be a PD.  However, if the reason for the delay was reasonably within the ability of the licensee to foresee and correct, the delay would be a PD.</w:t>
      </w:r>
    </w:p>
    <w:p w14:paraId="1A1985EE" w14:textId="77777777" w:rsidR="00621F6D" w:rsidRPr="00621F6D" w:rsidRDefault="00621F6D" w:rsidP="008F240C">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6033B6A7" w14:textId="760E23DC" w:rsidR="00621F6D" w:rsidRPr="00621F6D" w:rsidRDefault="00D46CB7" w:rsidP="00D12CA7">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e</w:t>
      </w:r>
      <w:r w:rsidR="00621F6D" w:rsidRPr="00621F6D">
        <w:t>.</w:t>
      </w:r>
      <w:r w:rsidR="00621F6D" w:rsidRPr="00621F6D">
        <w:tab/>
        <w:t xml:space="preserve">Licensees are required by 10 CFR Part 50, Appendix E, Section IV.C.2 to have the capability to assess, classify, and declare an emergency condition within 15 minutes after the availability of indications to plant operators.  However, the rule language does provide for a delay in classification during an actual event if doing so was necessary for </w:t>
      </w:r>
      <w:r w:rsidR="00621F6D" w:rsidRPr="00621F6D">
        <w:lastRenderedPageBreak/>
        <w:t>the implementation of response actions deemed by the licensee to be necessary to protect public health and safety.</w:t>
      </w:r>
      <w:r w:rsidR="00D12CA7">
        <w:t xml:space="preserve"> </w:t>
      </w:r>
      <w:r w:rsidR="00621F6D" w:rsidRPr="00621F6D">
        <w:t xml:space="preserve"> This provision was added to address unanticipated circum-stances that might arise.  Such a delay would not be a PD.  However, a delay in making a required declaration that was reasonably within the licensee’s ability to foresee and correct (e.g., insufficient shift staffing), should be treated as a PD.</w:t>
      </w:r>
    </w:p>
    <w:p w14:paraId="3AF3118A" w14:textId="77777777" w:rsidR="00621F6D" w:rsidRPr="00621F6D" w:rsidRDefault="00621F6D" w:rsidP="008F240C">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p>
    <w:p w14:paraId="0451BFD0" w14:textId="052315F5" w:rsidR="002C0768" w:rsidRDefault="00D46CB7" w:rsidP="00D12CA7">
      <w:pPr>
        <w:tabs>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f</w:t>
      </w:r>
      <w:r w:rsidR="00621F6D" w:rsidRPr="00621F6D">
        <w:t>.</w:t>
      </w:r>
      <w:r w:rsidR="00621F6D" w:rsidRPr="00621F6D">
        <w:tab/>
        <w:t>An unplanned outage of emergency facilities, systems, and equipment relied upon in the E-plan is not a PD unless it can be shown that the licensee could have foreseen and prevented the outage (e.g., missed or ineffective maintenance).  However, the licensee’s failure to take timely action to restore the capability or to implement COMPENSATORY ACTIONS necessary to maintain the effectiveness of the E-plan as required by 10 CFR 50.54(q)(2), is a PD.</w:t>
      </w:r>
    </w:p>
    <w:p w14:paraId="3E7AE915" w14:textId="0C4C8DB1" w:rsidR="002C0768" w:rsidRDefault="002C0768"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77FEB8D" w14:textId="77777777" w:rsidR="00856FBB" w:rsidRDefault="00856FBB"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856FBB" w:rsidSect="00D7380B">
          <w:headerReference w:type="even" r:id="rId11"/>
          <w:footerReference w:type="even" r:id="rId12"/>
          <w:footerReference w:type="default" r:id="rId13"/>
          <w:endnotePr>
            <w:numFmt w:val="decimal"/>
          </w:endnotePr>
          <w:type w:val="continuous"/>
          <w:pgSz w:w="12240" w:h="15840" w:code="1"/>
          <w:pgMar w:top="1440" w:right="1440" w:bottom="1440" w:left="1440" w:header="720" w:footer="720" w:gutter="0"/>
          <w:pgNumType w:start="1"/>
          <w:cols w:space="720"/>
          <w:docGrid w:linePitch="326"/>
        </w:sectPr>
      </w:pPr>
    </w:p>
    <w:p w14:paraId="6FE48894" w14:textId="4AAEB779" w:rsidR="002C0768" w:rsidRPr="00800A29" w:rsidRDefault="00856FBB" w:rsidP="00856FBB">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u w:val="single"/>
        </w:rPr>
      </w:pPr>
      <w:r w:rsidRPr="00800A29">
        <w:rPr>
          <w:u w:val="single"/>
        </w:rPr>
        <w:lastRenderedPageBreak/>
        <w:t>Table 1</w:t>
      </w:r>
    </w:p>
    <w:p w14:paraId="2BC17C44" w14:textId="6B443176" w:rsidR="00856FBB" w:rsidRPr="00800A29" w:rsidRDefault="00856FBB" w:rsidP="00856FBB">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u w:val="single"/>
        </w:rPr>
      </w:pPr>
      <w:r w:rsidRPr="00800A29">
        <w:rPr>
          <w:u w:val="single"/>
        </w:rPr>
        <w:t>Improper E-Plan Change Examples</w:t>
      </w:r>
    </w:p>
    <w:p w14:paraId="3872F461" w14:textId="2D15FC5D" w:rsidR="002C0768" w:rsidRPr="00800A29" w:rsidRDefault="002C0768"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tbl>
      <w:tblPr>
        <w:tblW w:w="9450" w:type="dxa"/>
        <w:tblInd w:w="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left w:w="115" w:type="dxa"/>
          <w:bottom w:w="115" w:type="dxa"/>
          <w:right w:w="115" w:type="dxa"/>
        </w:tblCellMar>
        <w:tblLook w:val="01E0" w:firstRow="1" w:lastRow="1" w:firstColumn="1" w:lastColumn="1" w:noHBand="0" w:noVBand="0"/>
      </w:tblPr>
      <w:tblGrid>
        <w:gridCol w:w="4723"/>
        <w:gridCol w:w="4727"/>
      </w:tblGrid>
      <w:tr w:rsidR="00C1240A" w:rsidRPr="00800A29" w14:paraId="0D460148" w14:textId="77777777" w:rsidTr="00721A84">
        <w:tc>
          <w:tcPr>
            <w:tcW w:w="4725" w:type="dxa"/>
            <w:tcMar>
              <w:top w:w="58" w:type="dxa"/>
              <w:bottom w:w="58" w:type="dxa"/>
            </w:tcMar>
          </w:tcPr>
          <w:p w14:paraId="2F3A5DFC" w14:textId="77777777" w:rsidR="00C1240A" w:rsidRPr="00800A29" w:rsidRDefault="00C1240A" w:rsidP="00C1240A">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color w:val="000000" w:themeColor="text1"/>
                <w:u w:val="single"/>
              </w:rPr>
            </w:pPr>
            <w:r w:rsidRPr="00800A29">
              <w:rPr>
                <w:color w:val="000000" w:themeColor="text1"/>
                <w:u w:val="single"/>
              </w:rPr>
              <w:t>Reduced the Effectiveness of the Licensee’s E-plan</w:t>
            </w:r>
          </w:p>
        </w:tc>
        <w:tc>
          <w:tcPr>
            <w:tcW w:w="4725" w:type="dxa"/>
            <w:tcMar>
              <w:top w:w="58" w:type="dxa"/>
              <w:bottom w:w="58" w:type="dxa"/>
            </w:tcMar>
          </w:tcPr>
          <w:p w14:paraId="6D345FA4" w14:textId="77777777" w:rsidR="00C1240A" w:rsidRPr="00800A29" w:rsidRDefault="00C1240A" w:rsidP="00C1240A">
            <w:pPr>
              <w:tabs>
                <w:tab w:val="left" w:pos="-144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jc w:val="center"/>
              <w:rPr>
                <w:color w:val="000000" w:themeColor="text1"/>
                <w:u w:val="single"/>
              </w:rPr>
            </w:pPr>
            <w:r w:rsidRPr="00800A29">
              <w:rPr>
                <w:color w:val="000000" w:themeColor="text1"/>
                <w:u w:val="single"/>
              </w:rPr>
              <w:t>Impeded the NRC Oversight of the Licensee Performance</w:t>
            </w:r>
          </w:p>
        </w:tc>
      </w:tr>
      <w:tr w:rsidR="00C1240A" w:rsidRPr="00C1240A" w14:paraId="4EA20350" w14:textId="77777777" w:rsidTr="00721A84">
        <w:tc>
          <w:tcPr>
            <w:tcW w:w="4725" w:type="dxa"/>
            <w:tcMar>
              <w:top w:w="58" w:type="dxa"/>
              <w:bottom w:w="58" w:type="dxa"/>
            </w:tcMar>
          </w:tcPr>
          <w:p w14:paraId="51ABCD72" w14:textId="77777777" w:rsidR="00C1240A" w:rsidRPr="00C1240A" w:rsidRDefault="00C1240A" w:rsidP="00C1240A">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29"/>
              <w:rPr>
                <w:color w:val="000000" w:themeColor="text1"/>
              </w:rPr>
            </w:pPr>
            <w:r w:rsidRPr="00C1240A">
              <w:rPr>
                <w:color w:val="000000" w:themeColor="text1"/>
                <w:u w:color="000000" w:themeColor="text1"/>
              </w:rPr>
              <w:t>Issue of concern involving 10 CFR 50.54(q)(2).</w:t>
            </w:r>
          </w:p>
        </w:tc>
        <w:tc>
          <w:tcPr>
            <w:tcW w:w="4725" w:type="dxa"/>
            <w:tcMar>
              <w:top w:w="58" w:type="dxa"/>
              <w:bottom w:w="58" w:type="dxa"/>
            </w:tcMar>
          </w:tcPr>
          <w:p w14:paraId="46F56149" w14:textId="77777777" w:rsidR="00C1240A" w:rsidRPr="00C1240A" w:rsidRDefault="00C1240A" w:rsidP="00C1240A">
            <w:pPr>
              <w:tabs>
                <w:tab w:val="left" w:pos="-144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4"/>
              <w:rPr>
                <w:color w:val="000000" w:themeColor="text1"/>
                <w:u w:color="000000" w:themeColor="text1"/>
              </w:rPr>
            </w:pPr>
            <w:r w:rsidRPr="00C1240A">
              <w:rPr>
                <w:color w:val="000000" w:themeColor="text1"/>
                <w:u w:color="000000" w:themeColor="text1"/>
              </w:rPr>
              <w:t>Issue of concern involving 10 CFR 50.54(q)(4).</w:t>
            </w:r>
          </w:p>
        </w:tc>
      </w:tr>
      <w:tr w:rsidR="00C1240A" w:rsidRPr="00C1240A" w14:paraId="23D25573" w14:textId="77777777" w:rsidTr="00721A84">
        <w:tc>
          <w:tcPr>
            <w:tcW w:w="4721" w:type="dxa"/>
            <w:tcMar>
              <w:top w:w="58" w:type="dxa"/>
              <w:bottom w:w="58" w:type="dxa"/>
            </w:tcMar>
          </w:tcPr>
          <w:p w14:paraId="3865ED14" w14:textId="77777777" w:rsidR="00C1240A" w:rsidRPr="00C1240A" w:rsidRDefault="00C1240A" w:rsidP="00C1240A">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29"/>
              <w:rPr>
                <w:color w:val="000000" w:themeColor="text1"/>
              </w:rPr>
            </w:pPr>
            <w:r w:rsidRPr="00C1240A">
              <w:rPr>
                <w:color w:val="000000" w:themeColor="text1"/>
                <w:u w:color="000000" w:themeColor="text1"/>
              </w:rPr>
              <w:t>Seismic instrumentation relied upon in the EAL scheme was retired invalidating an EAL. No compensatory changes made to E-plan.</w:t>
            </w:r>
          </w:p>
        </w:tc>
        <w:tc>
          <w:tcPr>
            <w:tcW w:w="4729" w:type="dxa"/>
            <w:tcMar>
              <w:top w:w="58" w:type="dxa"/>
              <w:bottom w:w="58" w:type="dxa"/>
            </w:tcMar>
          </w:tcPr>
          <w:p w14:paraId="3944EA03" w14:textId="77777777" w:rsidR="00C1240A" w:rsidRPr="00C1240A" w:rsidRDefault="00C1240A" w:rsidP="00C1240A">
            <w:pPr>
              <w:tabs>
                <w:tab w:val="left" w:pos="-144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4"/>
              <w:rPr>
                <w:color w:val="000000" w:themeColor="text1"/>
                <w:u w:color="000000" w:themeColor="text1"/>
              </w:rPr>
            </w:pPr>
            <w:r w:rsidRPr="00C1240A">
              <w:rPr>
                <w:color w:val="000000" w:themeColor="text1"/>
                <w:u w:color="000000" w:themeColor="text1"/>
              </w:rPr>
              <w:t>Licensee changed EAL scheme to use alternative method of assessing a seismic event that could not be performed 24/7, resulting in a reduction in effectiveness. Licensee did not obtain prior NRC approval of a license amendment.</w:t>
            </w:r>
          </w:p>
        </w:tc>
      </w:tr>
      <w:tr w:rsidR="00C1240A" w:rsidRPr="00C1240A" w14:paraId="278A8C34" w14:textId="77777777" w:rsidTr="00721A84">
        <w:tc>
          <w:tcPr>
            <w:tcW w:w="4721" w:type="dxa"/>
            <w:tcMar>
              <w:top w:w="58" w:type="dxa"/>
              <w:bottom w:w="58" w:type="dxa"/>
            </w:tcMar>
          </w:tcPr>
          <w:p w14:paraId="5724E6E1" w14:textId="226897CD" w:rsidR="00C1240A" w:rsidRPr="00C1240A" w:rsidRDefault="00C1240A" w:rsidP="00C1240A">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29"/>
              <w:rPr>
                <w:color w:val="000000" w:themeColor="text1"/>
                <w:u w:color="000000" w:themeColor="text1"/>
              </w:rPr>
            </w:pPr>
            <w:r w:rsidRPr="00C1240A">
              <w:rPr>
                <w:color w:val="000000" w:themeColor="text1"/>
                <w:u w:color="000000" w:themeColor="text1"/>
              </w:rPr>
              <w:t>After implementing a change to its EAL scheme, it was determined that the calculation, upon which the threshold was based, was in error having the effect of rendering the EAL ineffective.</w:t>
            </w:r>
            <w:r w:rsidR="007220C0">
              <w:rPr>
                <w:color w:val="000000" w:themeColor="text1"/>
                <w:u w:color="000000" w:themeColor="text1"/>
              </w:rPr>
              <w:t xml:space="preserve"> </w:t>
            </w:r>
            <w:r w:rsidRPr="00C1240A">
              <w:rPr>
                <w:color w:val="000000" w:themeColor="text1"/>
                <w:u w:color="000000" w:themeColor="text1"/>
              </w:rPr>
              <w:t xml:space="preserve"> It cannot be shown that the licensee knew or should have known, of the error.</w:t>
            </w:r>
          </w:p>
          <w:p w14:paraId="3DBA383B" w14:textId="77777777" w:rsidR="00C1240A" w:rsidRPr="00C1240A" w:rsidRDefault="00C1240A" w:rsidP="00C1240A">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29"/>
              <w:rPr>
                <w:color w:val="000000" w:themeColor="text1"/>
                <w:u w:color="000000" w:themeColor="text1"/>
              </w:rPr>
            </w:pPr>
          </w:p>
          <w:p w14:paraId="2C0BF7E4" w14:textId="77777777" w:rsidR="00C1240A" w:rsidRPr="00C1240A" w:rsidRDefault="00C1240A" w:rsidP="00C1240A">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29"/>
              <w:rPr>
                <w:color w:val="000000" w:themeColor="text1"/>
              </w:rPr>
            </w:pPr>
            <w:r w:rsidRPr="00C1240A">
              <w:rPr>
                <w:color w:val="000000" w:themeColor="text1"/>
                <w:u w:color="000000" w:themeColor="text1"/>
              </w:rPr>
              <w:t>An EAL threshold based on values in an EOP was rendered ineffective when the EOP was revised and the EAL was not.</w:t>
            </w:r>
          </w:p>
        </w:tc>
        <w:tc>
          <w:tcPr>
            <w:tcW w:w="4729" w:type="dxa"/>
            <w:tcMar>
              <w:top w:w="58" w:type="dxa"/>
              <w:bottom w:w="58" w:type="dxa"/>
            </w:tcMar>
          </w:tcPr>
          <w:p w14:paraId="6231B21A" w14:textId="77777777" w:rsidR="00C1240A" w:rsidRPr="00C1240A" w:rsidRDefault="00C1240A" w:rsidP="00C1240A">
            <w:pPr>
              <w:tabs>
                <w:tab w:val="left" w:pos="-144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4"/>
              <w:rPr>
                <w:color w:val="000000" w:themeColor="text1"/>
                <w:u w:color="000000" w:themeColor="text1"/>
              </w:rPr>
            </w:pPr>
            <w:r w:rsidRPr="00C1240A">
              <w:rPr>
                <w:color w:val="000000" w:themeColor="text1"/>
                <w:u w:color="000000" w:themeColor="text1"/>
              </w:rPr>
              <w:t>Licensee implemented a revised EAL threshold for which the 10 CFR 50.54(q)(3) analysis did not recognize that the change would reduce the effectiveness of the E-plan. Licensee did not obtain prior NRC approval of a license amendment.</w:t>
            </w:r>
          </w:p>
        </w:tc>
      </w:tr>
      <w:tr w:rsidR="00C1240A" w:rsidRPr="00C1240A" w14:paraId="72375083" w14:textId="77777777" w:rsidTr="00721A84">
        <w:tc>
          <w:tcPr>
            <w:tcW w:w="4721" w:type="dxa"/>
            <w:tcMar>
              <w:top w:w="58" w:type="dxa"/>
              <w:bottom w:w="58" w:type="dxa"/>
            </w:tcMar>
          </w:tcPr>
          <w:p w14:paraId="09316AEE" w14:textId="21945A0F" w:rsidR="00C1240A" w:rsidRPr="00C1240A" w:rsidRDefault="00C1240A" w:rsidP="00C1240A">
            <w:pPr>
              <w:tabs>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29"/>
              <w:rPr>
                <w:color w:val="000000" w:themeColor="text1"/>
              </w:rPr>
            </w:pPr>
            <w:r w:rsidRPr="00C1240A">
              <w:rPr>
                <w:color w:val="000000" w:themeColor="text1"/>
                <w:u w:color="000000" w:themeColor="text1"/>
              </w:rPr>
              <w:t xml:space="preserve">Offsite volunteer fire company identified in the E-plan for onsite response disbanded. </w:t>
            </w:r>
            <w:r w:rsidR="007220C0">
              <w:rPr>
                <w:color w:val="000000" w:themeColor="text1"/>
                <w:u w:color="000000" w:themeColor="text1"/>
              </w:rPr>
              <w:t xml:space="preserve"> </w:t>
            </w:r>
            <w:r w:rsidRPr="00C1240A">
              <w:rPr>
                <w:color w:val="000000" w:themeColor="text1"/>
                <w:u w:color="000000" w:themeColor="text1"/>
              </w:rPr>
              <w:t>No compensatory changes made to E-plan.</w:t>
            </w:r>
          </w:p>
        </w:tc>
        <w:tc>
          <w:tcPr>
            <w:tcW w:w="4729" w:type="dxa"/>
            <w:tcMar>
              <w:top w:w="58" w:type="dxa"/>
              <w:bottom w:w="58" w:type="dxa"/>
            </w:tcMar>
          </w:tcPr>
          <w:p w14:paraId="47DFDD3D" w14:textId="534FA8F8" w:rsidR="00C1240A" w:rsidRPr="00C1240A" w:rsidRDefault="00C1240A" w:rsidP="00C1240A">
            <w:pPr>
              <w:tabs>
                <w:tab w:val="left" w:pos="-144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4"/>
              <w:rPr>
                <w:color w:val="000000" w:themeColor="text1"/>
                <w:u w:color="000000" w:themeColor="text1"/>
              </w:rPr>
            </w:pPr>
            <w:r w:rsidRPr="00C1240A">
              <w:rPr>
                <w:color w:val="000000" w:themeColor="text1"/>
                <w:u w:color="000000" w:themeColor="text1"/>
              </w:rPr>
              <w:t xml:space="preserve">Offsite volunteer fire company identified in the E-plan for onsite response disbanded. Licensee changed the E-plan to refer to another fire company having a substantially longer response time, resulting in a reduction in effectiveness. </w:t>
            </w:r>
            <w:r w:rsidR="007220C0">
              <w:rPr>
                <w:color w:val="000000" w:themeColor="text1"/>
                <w:u w:color="000000" w:themeColor="text1"/>
              </w:rPr>
              <w:t xml:space="preserve"> </w:t>
            </w:r>
            <w:r w:rsidRPr="00C1240A">
              <w:rPr>
                <w:color w:val="000000" w:themeColor="text1"/>
                <w:u w:color="000000" w:themeColor="text1"/>
              </w:rPr>
              <w:t>Licensee did not obtain prior NRC approval of a license amendment.</w:t>
            </w:r>
          </w:p>
        </w:tc>
      </w:tr>
    </w:tbl>
    <w:p w14:paraId="3F7F4E6E" w14:textId="11F0B937" w:rsidR="002C0768" w:rsidRDefault="002C0768"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5178774" w14:textId="77777777" w:rsidR="00C1240A" w:rsidRDefault="00C1240A"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C1240A" w:rsidSect="00856FBB">
          <w:footerReference w:type="default" r:id="rId14"/>
          <w:endnotePr>
            <w:numFmt w:val="decimal"/>
          </w:endnotePr>
          <w:pgSz w:w="12240" w:h="15840" w:code="1"/>
          <w:pgMar w:top="1440" w:right="1440" w:bottom="1440" w:left="1440" w:header="720" w:footer="720" w:gutter="0"/>
          <w:pgNumType w:start="1"/>
          <w:cols w:space="720"/>
          <w:docGrid w:linePitch="326"/>
        </w:sectPr>
      </w:pPr>
    </w:p>
    <w:p w14:paraId="5AFE31FE" w14:textId="64CD9774" w:rsidR="002C0768" w:rsidRPr="00800A29" w:rsidRDefault="00C1240A" w:rsidP="00C1240A">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u w:val="single"/>
        </w:rPr>
      </w:pPr>
      <w:r w:rsidRPr="00800A29">
        <w:rPr>
          <w:u w:val="single"/>
        </w:rPr>
        <w:lastRenderedPageBreak/>
        <w:t>Table 2</w:t>
      </w:r>
    </w:p>
    <w:p w14:paraId="3E381BC7" w14:textId="02DF040A" w:rsidR="00C1240A" w:rsidRPr="00800A29" w:rsidRDefault="00C1240A" w:rsidP="00C1240A">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u w:val="single"/>
        </w:rPr>
      </w:pPr>
      <w:r w:rsidRPr="00800A29">
        <w:rPr>
          <w:u w:val="single"/>
        </w:rPr>
        <w:t>Failure to Notify Examples</w:t>
      </w:r>
    </w:p>
    <w:p w14:paraId="40AAB50C" w14:textId="6FF056CA" w:rsidR="00C1240A" w:rsidRPr="00800A29" w:rsidRDefault="00C1240A" w:rsidP="00C1240A">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u w:val="single"/>
        </w:rPr>
      </w:pPr>
    </w:p>
    <w:p w14:paraId="723E7486" w14:textId="77777777" w:rsidR="00C1240A" w:rsidRPr="00800A29" w:rsidRDefault="00C1240A" w:rsidP="00C1240A">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tbl>
      <w:tblPr>
        <w:tblW w:w="9792" w:type="dxa"/>
        <w:tblInd w:w="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top w:w="115" w:type="dxa"/>
          <w:left w:w="115" w:type="dxa"/>
          <w:bottom w:w="115" w:type="dxa"/>
          <w:right w:w="115" w:type="dxa"/>
        </w:tblCellMar>
        <w:tblLook w:val="01E0" w:firstRow="1" w:lastRow="1" w:firstColumn="1" w:lastColumn="1" w:noHBand="0" w:noVBand="0"/>
      </w:tblPr>
      <w:tblGrid>
        <w:gridCol w:w="4896"/>
        <w:gridCol w:w="4896"/>
      </w:tblGrid>
      <w:tr w:rsidR="00A570B4" w:rsidRPr="00800A29" w14:paraId="7C2428BC" w14:textId="77777777" w:rsidTr="00721A84">
        <w:tc>
          <w:tcPr>
            <w:tcW w:w="4896" w:type="dxa"/>
            <w:tcMar>
              <w:top w:w="58" w:type="dxa"/>
              <w:bottom w:w="58" w:type="dxa"/>
            </w:tcMar>
            <w:vAlign w:val="center"/>
          </w:tcPr>
          <w:p w14:paraId="63090E0B" w14:textId="77777777" w:rsidR="00A570B4" w:rsidRPr="00800A29" w:rsidRDefault="00A570B4" w:rsidP="00A570B4">
            <w:pPr>
              <w:autoSpaceDE w:val="0"/>
              <w:autoSpaceDN w:val="0"/>
              <w:adjustRightInd w:val="0"/>
              <w:ind w:right="-129"/>
              <w:jc w:val="center"/>
              <w:rPr>
                <w:color w:val="000000" w:themeColor="text1"/>
                <w:sz w:val="18"/>
                <w:szCs w:val="18"/>
                <w:u w:val="single"/>
              </w:rPr>
            </w:pPr>
            <w:r w:rsidRPr="00800A29">
              <w:rPr>
                <w:color w:val="000000" w:themeColor="text1"/>
                <w:u w:val="single"/>
              </w:rPr>
              <w:t>Failure to Follow the E-plan</w:t>
            </w:r>
          </w:p>
        </w:tc>
        <w:tc>
          <w:tcPr>
            <w:tcW w:w="4896" w:type="dxa"/>
            <w:tcMar>
              <w:top w:w="58" w:type="dxa"/>
              <w:bottom w:w="58" w:type="dxa"/>
            </w:tcMar>
          </w:tcPr>
          <w:p w14:paraId="6D6CA5DE" w14:textId="77777777" w:rsidR="00A570B4" w:rsidRPr="00800A29" w:rsidRDefault="00A570B4" w:rsidP="00A570B4">
            <w:pPr>
              <w:tabs>
                <w:tab w:val="left" w:pos="-144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4"/>
              <w:jc w:val="center"/>
              <w:rPr>
                <w:color w:val="000000" w:themeColor="text1"/>
                <w:sz w:val="18"/>
                <w:szCs w:val="18"/>
                <w:u w:val="single"/>
              </w:rPr>
            </w:pPr>
            <w:r w:rsidRPr="00800A29">
              <w:rPr>
                <w:color w:val="000000" w:themeColor="text1"/>
                <w:u w:val="single"/>
              </w:rPr>
              <w:t>Failure to Make a Required Report to the NRC</w:t>
            </w:r>
          </w:p>
        </w:tc>
      </w:tr>
      <w:tr w:rsidR="00A570B4" w:rsidRPr="00A570B4" w14:paraId="667AA53E" w14:textId="77777777" w:rsidTr="00721A84">
        <w:tc>
          <w:tcPr>
            <w:tcW w:w="4896" w:type="dxa"/>
            <w:tcMar>
              <w:top w:w="58" w:type="dxa"/>
              <w:bottom w:w="58" w:type="dxa"/>
            </w:tcMar>
          </w:tcPr>
          <w:p w14:paraId="123BB481" w14:textId="77777777" w:rsidR="00A570B4" w:rsidRPr="00A570B4" w:rsidRDefault="00A570B4" w:rsidP="00A570B4">
            <w:pPr>
              <w:tabs>
                <w:tab w:val="left" w:pos="-144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29"/>
              <w:rPr>
                <w:color w:val="000000" w:themeColor="text1"/>
              </w:rPr>
            </w:pPr>
            <w:r w:rsidRPr="00A570B4">
              <w:rPr>
                <w:color w:val="000000" w:themeColor="text1"/>
                <w:u w:color="000000" w:themeColor="text1"/>
              </w:rPr>
              <w:t>Licensee fails to make an emergency notification to one or more State or local OROs as required by Section IV.D of Appendix E to 10 CFR Part 50.</w:t>
            </w:r>
          </w:p>
        </w:tc>
        <w:tc>
          <w:tcPr>
            <w:tcW w:w="4896" w:type="dxa"/>
            <w:tcMar>
              <w:top w:w="58" w:type="dxa"/>
              <w:bottom w:w="58" w:type="dxa"/>
            </w:tcMar>
          </w:tcPr>
          <w:p w14:paraId="17886440" w14:textId="77777777" w:rsidR="00A570B4" w:rsidRPr="00A570B4" w:rsidRDefault="00A570B4" w:rsidP="00A570B4">
            <w:pPr>
              <w:tabs>
                <w:tab w:val="left" w:pos="-144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4"/>
              <w:rPr>
                <w:color w:val="000000" w:themeColor="text1"/>
                <w:u w:color="000000" w:themeColor="text1"/>
              </w:rPr>
            </w:pPr>
            <w:r w:rsidRPr="00A570B4">
              <w:rPr>
                <w:color w:val="000000" w:themeColor="text1"/>
                <w:u w:color="000000" w:themeColor="text1"/>
              </w:rPr>
              <w:t>Licensee fails to make a report of an emergency declaration to the NRC, as required by 10 CFR 50.72.</w:t>
            </w:r>
          </w:p>
        </w:tc>
      </w:tr>
      <w:tr w:rsidR="00A570B4" w:rsidRPr="00A570B4" w14:paraId="4CD0E6E0" w14:textId="77777777" w:rsidTr="00721A84">
        <w:tc>
          <w:tcPr>
            <w:tcW w:w="4896" w:type="dxa"/>
            <w:tcMar>
              <w:top w:w="58" w:type="dxa"/>
              <w:bottom w:w="58" w:type="dxa"/>
            </w:tcMar>
          </w:tcPr>
          <w:p w14:paraId="0A222BFF" w14:textId="77777777" w:rsidR="00A570B4" w:rsidRPr="00A570B4" w:rsidRDefault="00A570B4" w:rsidP="00A570B4">
            <w:pPr>
              <w:tabs>
                <w:tab w:val="left" w:pos="-144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29"/>
              <w:rPr>
                <w:color w:val="000000" w:themeColor="text1"/>
              </w:rPr>
            </w:pPr>
            <w:r w:rsidRPr="00A570B4">
              <w:rPr>
                <w:color w:val="000000" w:themeColor="text1"/>
                <w:u w:color="000000" w:themeColor="text1"/>
              </w:rPr>
              <w:t>Licensee fails to maintain the readiness of the Emergency Response Data System (ERDS).</w:t>
            </w:r>
          </w:p>
        </w:tc>
        <w:tc>
          <w:tcPr>
            <w:tcW w:w="4896" w:type="dxa"/>
            <w:tcMar>
              <w:top w:w="58" w:type="dxa"/>
              <w:bottom w:w="58" w:type="dxa"/>
            </w:tcMar>
          </w:tcPr>
          <w:p w14:paraId="5BFE7B66" w14:textId="77777777" w:rsidR="00A570B4" w:rsidRPr="00A570B4" w:rsidRDefault="00A570B4" w:rsidP="00A570B4">
            <w:pPr>
              <w:tabs>
                <w:tab w:val="left" w:pos="-144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4"/>
              <w:rPr>
                <w:color w:val="000000" w:themeColor="text1"/>
                <w:u w:color="000000" w:themeColor="text1"/>
              </w:rPr>
            </w:pPr>
            <w:r w:rsidRPr="00A570B4">
              <w:rPr>
                <w:color w:val="000000" w:themeColor="text1"/>
                <w:u w:color="000000" w:themeColor="text1"/>
              </w:rPr>
              <w:t>Licensee fails to activate the ERDS within 1 hour after declaring an Alert or higher emergency.</w:t>
            </w:r>
          </w:p>
        </w:tc>
      </w:tr>
      <w:tr w:rsidR="00A570B4" w:rsidRPr="00A570B4" w14:paraId="5172F5D9" w14:textId="77777777" w:rsidTr="00721A84">
        <w:tc>
          <w:tcPr>
            <w:tcW w:w="4896" w:type="dxa"/>
            <w:tcMar>
              <w:top w:w="58" w:type="dxa"/>
              <w:bottom w:w="58" w:type="dxa"/>
            </w:tcMar>
          </w:tcPr>
          <w:p w14:paraId="0535EBA8" w14:textId="77777777" w:rsidR="00A570B4" w:rsidRPr="00A570B4" w:rsidRDefault="00A570B4" w:rsidP="00A570B4">
            <w:pPr>
              <w:tabs>
                <w:tab w:val="left" w:pos="-144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129"/>
              <w:rPr>
                <w:color w:val="000000" w:themeColor="text1"/>
              </w:rPr>
            </w:pPr>
            <w:r w:rsidRPr="00A570B4">
              <w:rPr>
                <w:color w:val="000000" w:themeColor="text1"/>
                <w:u w:color="000000" w:themeColor="text1"/>
              </w:rPr>
              <w:t>Licensee’s E-plan does not provide for staffing of the emergency notification system (ENS) or health physics network (HPN) upon request.</w:t>
            </w:r>
          </w:p>
        </w:tc>
        <w:tc>
          <w:tcPr>
            <w:tcW w:w="4896" w:type="dxa"/>
            <w:tcMar>
              <w:top w:w="58" w:type="dxa"/>
              <w:bottom w:w="58" w:type="dxa"/>
            </w:tcMar>
          </w:tcPr>
          <w:p w14:paraId="009E3C11" w14:textId="77777777" w:rsidR="00A570B4" w:rsidRPr="00A570B4" w:rsidRDefault="00A570B4" w:rsidP="00A570B4">
            <w:pPr>
              <w:tabs>
                <w:tab w:val="left" w:pos="-1440"/>
                <w:tab w:val="num"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right="4"/>
              <w:rPr>
                <w:color w:val="000000" w:themeColor="text1"/>
                <w:u w:color="000000" w:themeColor="text1"/>
              </w:rPr>
            </w:pPr>
            <w:r w:rsidRPr="00A570B4">
              <w:rPr>
                <w:color w:val="000000" w:themeColor="text1"/>
                <w:u w:color="000000" w:themeColor="text1"/>
              </w:rPr>
              <w:t>Licensee fails to maintain an open, continuous communication channel with the NRC Operations Center when requested.</w:t>
            </w:r>
          </w:p>
        </w:tc>
      </w:tr>
    </w:tbl>
    <w:p w14:paraId="3A6BD2E6" w14:textId="5586A31C" w:rsidR="002C0768" w:rsidRDefault="002C0768"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062F11E" w14:textId="77777777" w:rsidR="00A570B4" w:rsidRDefault="00A570B4"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A570B4" w:rsidSect="00856FBB">
          <w:footerReference w:type="default" r:id="rId15"/>
          <w:endnotePr>
            <w:numFmt w:val="decimal"/>
          </w:endnotePr>
          <w:pgSz w:w="12240" w:h="15840" w:code="1"/>
          <w:pgMar w:top="1440" w:right="1440" w:bottom="1440" w:left="1440" w:header="720" w:footer="720" w:gutter="0"/>
          <w:pgNumType w:start="1"/>
          <w:cols w:space="720"/>
          <w:docGrid w:linePitch="326"/>
        </w:sectPr>
      </w:pPr>
    </w:p>
    <w:p w14:paraId="292C560B" w14:textId="4DE47560" w:rsidR="002C0768" w:rsidRPr="00800A29" w:rsidRDefault="006B7E35" w:rsidP="00A570B4">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u w:val="single"/>
        </w:rPr>
      </w:pPr>
      <w:r w:rsidRPr="00800A29">
        <w:rPr>
          <w:u w:val="single"/>
        </w:rPr>
        <w:lastRenderedPageBreak/>
        <w:t>Table 3</w:t>
      </w:r>
    </w:p>
    <w:p w14:paraId="5077C954" w14:textId="5DFAAFD1" w:rsidR="006B7E35" w:rsidRPr="00800A29" w:rsidRDefault="006B7E35" w:rsidP="00A570B4">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u w:val="single"/>
        </w:rPr>
      </w:pPr>
      <w:r w:rsidRPr="00800A29">
        <w:rPr>
          <w:u w:val="single"/>
        </w:rPr>
        <w:t>Actual Safety Consequence Examples</w:t>
      </w:r>
    </w:p>
    <w:p w14:paraId="7537D1CB" w14:textId="79785606" w:rsidR="006B7E35" w:rsidRPr="00800A29" w:rsidRDefault="006B7E35" w:rsidP="006B7E35">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tbl>
      <w:tblPr>
        <w:tblW w:w="9810" w:type="dxa"/>
        <w:tblInd w:w="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15" w:type="dxa"/>
          <w:left w:w="115" w:type="dxa"/>
          <w:bottom w:w="115" w:type="dxa"/>
          <w:right w:w="115" w:type="dxa"/>
        </w:tblCellMar>
        <w:tblLook w:val="01E0" w:firstRow="1" w:lastRow="1" w:firstColumn="1" w:lastColumn="1" w:noHBand="0" w:noVBand="0"/>
      </w:tblPr>
      <w:tblGrid>
        <w:gridCol w:w="4905"/>
        <w:gridCol w:w="4905"/>
      </w:tblGrid>
      <w:tr w:rsidR="003F4551" w:rsidRPr="00800A29" w14:paraId="64797DB6" w14:textId="77777777" w:rsidTr="00721A84">
        <w:tc>
          <w:tcPr>
            <w:tcW w:w="4905" w:type="dxa"/>
            <w:tcMar>
              <w:top w:w="58" w:type="dxa"/>
              <w:bottom w:w="58" w:type="dxa"/>
            </w:tcMar>
          </w:tcPr>
          <w:p w14:paraId="1D43B867" w14:textId="77777777" w:rsidR="003F4551" w:rsidRPr="00800A29" w:rsidRDefault="003F4551" w:rsidP="003F4551">
            <w:pPr>
              <w:pBdr>
                <w:between w:val="single" w:sz="4" w:space="1" w:color="auto"/>
              </w:pBdr>
              <w:tabs>
                <w:tab w:val="left" w:pos="-1440"/>
                <w:tab w:val="num" w:pos="-115"/>
              </w:tabs>
              <w:autoSpaceDE w:val="0"/>
              <w:autoSpaceDN w:val="0"/>
              <w:adjustRightInd w:val="0"/>
              <w:ind w:right="-70"/>
              <w:jc w:val="center"/>
              <w:rPr>
                <w:color w:val="000000" w:themeColor="text1"/>
                <w:sz w:val="18"/>
                <w:szCs w:val="18"/>
                <w:u w:val="single"/>
              </w:rPr>
            </w:pPr>
            <w:r w:rsidRPr="00800A29">
              <w:rPr>
                <w:color w:val="000000" w:themeColor="text1"/>
                <w:u w:val="single"/>
              </w:rPr>
              <w:t>Failure to Follow the E-plan</w:t>
            </w:r>
          </w:p>
        </w:tc>
        <w:tc>
          <w:tcPr>
            <w:tcW w:w="4905" w:type="dxa"/>
            <w:tcMar>
              <w:top w:w="58" w:type="dxa"/>
              <w:bottom w:w="58" w:type="dxa"/>
            </w:tcMar>
          </w:tcPr>
          <w:p w14:paraId="4A06084E" w14:textId="77777777" w:rsidR="003F4551" w:rsidRPr="00800A29" w:rsidRDefault="003F4551" w:rsidP="003F4551">
            <w:pPr>
              <w:pBdr>
                <w:between w:val="single" w:sz="4" w:space="1" w:color="auto"/>
              </w:pBdr>
              <w:tabs>
                <w:tab w:val="left" w:pos="-1440"/>
                <w:tab w:val="num" w:pos="-115"/>
                <w:tab w:val="num" w:pos="720"/>
                <w:tab w:val="left" w:pos="2160"/>
                <w:tab w:val="left" w:pos="2880"/>
                <w:tab w:val="left" w:pos="4320"/>
                <w:tab w:val="left" w:pos="5040"/>
                <w:tab w:val="left" w:pos="5760"/>
                <w:tab w:val="left" w:pos="6480"/>
                <w:tab w:val="left" w:pos="7200"/>
                <w:tab w:val="left" w:pos="8640"/>
              </w:tabs>
              <w:autoSpaceDE w:val="0"/>
              <w:autoSpaceDN w:val="0"/>
              <w:adjustRightInd w:val="0"/>
              <w:ind w:right="-9"/>
              <w:jc w:val="center"/>
              <w:rPr>
                <w:color w:val="000000" w:themeColor="text1"/>
                <w:sz w:val="18"/>
                <w:szCs w:val="18"/>
                <w:u w:val="single"/>
              </w:rPr>
            </w:pPr>
            <w:r w:rsidRPr="00800A29">
              <w:rPr>
                <w:color w:val="000000" w:themeColor="text1"/>
                <w:u w:val="single"/>
              </w:rPr>
              <w:t>Actual Safety Consequences</w:t>
            </w:r>
          </w:p>
        </w:tc>
      </w:tr>
      <w:tr w:rsidR="003F4551" w:rsidRPr="003F4551" w14:paraId="60BEDDB4" w14:textId="77777777" w:rsidTr="00721A84">
        <w:tc>
          <w:tcPr>
            <w:tcW w:w="4905" w:type="dxa"/>
            <w:tcMar>
              <w:top w:w="58" w:type="dxa"/>
              <w:bottom w:w="58" w:type="dxa"/>
            </w:tcMar>
          </w:tcPr>
          <w:p w14:paraId="23D8A61B" w14:textId="77777777" w:rsidR="003F4551" w:rsidRPr="003F4551" w:rsidRDefault="003F4551" w:rsidP="003F4551">
            <w:pPr>
              <w:pBdr>
                <w:between w:val="single" w:sz="4" w:space="1" w:color="auto"/>
              </w:pBdr>
              <w:tabs>
                <w:tab w:val="left" w:pos="-1440"/>
                <w:tab w:val="num" w:pos="-115"/>
                <w:tab w:val="left" w:pos="2160"/>
                <w:tab w:val="left" w:pos="2880"/>
                <w:tab w:val="left" w:pos="4320"/>
                <w:tab w:val="left" w:pos="5040"/>
                <w:tab w:val="left" w:pos="5760"/>
                <w:tab w:val="left" w:pos="6480"/>
                <w:tab w:val="left" w:pos="7200"/>
                <w:tab w:val="left" w:pos="8640"/>
              </w:tabs>
              <w:autoSpaceDE w:val="0"/>
              <w:autoSpaceDN w:val="0"/>
              <w:adjustRightInd w:val="0"/>
              <w:ind w:right="-421"/>
              <w:rPr>
                <w:color w:val="000000" w:themeColor="text1"/>
              </w:rPr>
            </w:pPr>
            <w:r w:rsidRPr="003F4551">
              <w:rPr>
                <w:color w:val="000000" w:themeColor="text1"/>
                <w:u w:color="000000" w:themeColor="text1"/>
              </w:rPr>
              <w:t>During an actual General Emergency, licensee failed to dispatch field monitoring teams.</w:t>
            </w:r>
          </w:p>
        </w:tc>
        <w:tc>
          <w:tcPr>
            <w:tcW w:w="4905" w:type="dxa"/>
            <w:tcMar>
              <w:top w:w="58" w:type="dxa"/>
              <w:bottom w:w="58" w:type="dxa"/>
            </w:tcMar>
          </w:tcPr>
          <w:p w14:paraId="49691E5E" w14:textId="77777777" w:rsidR="003F4551" w:rsidRPr="003F4551" w:rsidRDefault="003F4551" w:rsidP="003F4551">
            <w:pPr>
              <w:pBdr>
                <w:between w:val="single" w:sz="4" w:space="1" w:color="auto"/>
              </w:pBdr>
              <w:tabs>
                <w:tab w:val="left" w:pos="-1440"/>
                <w:tab w:val="num" w:pos="-115"/>
                <w:tab w:val="num" w:pos="720"/>
                <w:tab w:val="left" w:pos="2160"/>
                <w:tab w:val="left" w:pos="2880"/>
                <w:tab w:val="left" w:pos="4320"/>
                <w:tab w:val="left" w:pos="5040"/>
                <w:tab w:val="left" w:pos="5760"/>
                <w:tab w:val="left" w:pos="6480"/>
                <w:tab w:val="left" w:pos="7200"/>
                <w:tab w:val="left" w:pos="8640"/>
              </w:tabs>
              <w:autoSpaceDE w:val="0"/>
              <w:autoSpaceDN w:val="0"/>
              <w:adjustRightInd w:val="0"/>
              <w:ind w:right="-9"/>
              <w:rPr>
                <w:color w:val="000000" w:themeColor="text1"/>
                <w:u w:color="000000" w:themeColor="text1"/>
              </w:rPr>
            </w:pPr>
            <w:r w:rsidRPr="003F4551">
              <w:rPr>
                <w:color w:val="000000" w:themeColor="text1"/>
                <w:u w:color="000000" w:themeColor="text1"/>
              </w:rPr>
              <w:t>During an actual General Emergency, licensee fails to make an adequate and timely protective action recommendation to the OROs.</w:t>
            </w:r>
          </w:p>
        </w:tc>
      </w:tr>
    </w:tbl>
    <w:p w14:paraId="188918FF" w14:textId="77777777" w:rsidR="006B7E35" w:rsidRPr="006B7E35" w:rsidRDefault="006B7E35" w:rsidP="006B7E35">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5107442" w14:textId="77777777" w:rsidR="003F4551" w:rsidRDefault="003F4551" w:rsidP="008145E3">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3F4551" w:rsidSect="00856FBB">
          <w:footerReference w:type="default" r:id="rId16"/>
          <w:endnotePr>
            <w:numFmt w:val="decimal"/>
          </w:endnotePr>
          <w:pgSz w:w="12240" w:h="15840" w:code="1"/>
          <w:pgMar w:top="1440" w:right="1440" w:bottom="1440" w:left="1440" w:header="720" w:footer="720" w:gutter="0"/>
          <w:pgNumType w:start="1"/>
          <w:cols w:space="720"/>
          <w:docGrid w:linePitch="326"/>
        </w:sectPr>
      </w:pPr>
    </w:p>
    <w:p w14:paraId="4E100ED8" w14:textId="4D06ADD8" w:rsidR="00CA4874" w:rsidRDefault="00CA4874" w:rsidP="003F455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lastRenderedPageBreak/>
        <w:t>ATTACHMENT 1</w:t>
      </w:r>
    </w:p>
    <w:p w14:paraId="4F287175" w14:textId="63805A2B" w:rsidR="002C0768" w:rsidRDefault="003F4551" w:rsidP="003F455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Revision History</w:t>
      </w:r>
      <w:r w:rsidR="00FF6710">
        <w:t xml:space="preserve"> for IMC 0612, Appendix G</w:t>
      </w:r>
    </w:p>
    <w:p w14:paraId="3F13B8A4" w14:textId="729F348E" w:rsidR="00FF6710" w:rsidRDefault="00FF6710" w:rsidP="003F4551">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60B028A4" w14:textId="77777777" w:rsidR="00FF6710" w:rsidRDefault="00FF6710" w:rsidP="00FF6710">
      <w:pPr>
        <w:tabs>
          <w:tab w:val="left" w:pos="274"/>
          <w:tab w:val="left" w:pos="801"/>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Style w:val="TableGrid"/>
        <w:tblW w:w="13165" w:type="dxa"/>
        <w:tblLayout w:type="fixed"/>
        <w:tblLook w:val="04A0" w:firstRow="1" w:lastRow="0" w:firstColumn="1" w:lastColumn="0" w:noHBand="0" w:noVBand="1"/>
      </w:tblPr>
      <w:tblGrid>
        <w:gridCol w:w="1638"/>
        <w:gridCol w:w="1710"/>
        <w:gridCol w:w="5857"/>
        <w:gridCol w:w="1710"/>
        <w:gridCol w:w="2250"/>
      </w:tblGrid>
      <w:tr w:rsidR="000D0715" w:rsidRPr="000D0715" w14:paraId="062DF3F7" w14:textId="77777777" w:rsidTr="00721A84">
        <w:trPr>
          <w:cantSplit/>
          <w:tblHeader/>
        </w:trPr>
        <w:tc>
          <w:tcPr>
            <w:tcW w:w="1638" w:type="dxa"/>
            <w:tcMar>
              <w:top w:w="58" w:type="dxa"/>
              <w:left w:w="115" w:type="dxa"/>
              <w:bottom w:w="58" w:type="dxa"/>
              <w:right w:w="115" w:type="dxa"/>
            </w:tcMar>
          </w:tcPr>
          <w:p w14:paraId="536F885F" w14:textId="77777777" w:rsidR="000D0715" w:rsidRPr="000D0715" w:rsidRDefault="000D0715" w:rsidP="000D0715">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rPr>
                <w:rFonts w:ascii="Arial" w:hAnsi="Arial" w:cs="Arial"/>
              </w:rPr>
            </w:pPr>
            <w:r w:rsidRPr="000D0715">
              <w:rPr>
                <w:rFonts w:ascii="Arial" w:hAnsi="Arial" w:cs="Arial"/>
              </w:rPr>
              <w:t>Commitment Tracking Number</w:t>
            </w:r>
          </w:p>
        </w:tc>
        <w:tc>
          <w:tcPr>
            <w:tcW w:w="1710" w:type="dxa"/>
            <w:tcMar>
              <w:top w:w="58" w:type="dxa"/>
              <w:left w:w="115" w:type="dxa"/>
              <w:bottom w:w="58" w:type="dxa"/>
              <w:right w:w="115" w:type="dxa"/>
            </w:tcMar>
          </w:tcPr>
          <w:p w14:paraId="78CF77C1" w14:textId="77777777" w:rsidR="000D0715" w:rsidRPr="000D0715" w:rsidRDefault="000D0715" w:rsidP="000D07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bookmarkStart w:id="2" w:name="_Toc322953153"/>
            <w:bookmarkStart w:id="3" w:name="_Toc330541679"/>
            <w:bookmarkStart w:id="4" w:name="_Toc343509847"/>
            <w:r w:rsidRPr="000D0715">
              <w:rPr>
                <w:rFonts w:ascii="Arial" w:hAnsi="Arial" w:cs="Arial"/>
              </w:rPr>
              <w:t>Accession Number</w:t>
            </w:r>
            <w:bookmarkEnd w:id="2"/>
            <w:bookmarkEnd w:id="3"/>
            <w:bookmarkEnd w:id="4"/>
          </w:p>
          <w:p w14:paraId="4A321FBF" w14:textId="77777777" w:rsidR="000D0715" w:rsidRPr="000D0715" w:rsidRDefault="000D0715" w:rsidP="000D071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hAnsi="Arial" w:cs="Arial"/>
              </w:rPr>
            </w:pPr>
            <w:bookmarkStart w:id="5" w:name="_Toc322953154"/>
            <w:bookmarkStart w:id="6" w:name="_Toc330541680"/>
            <w:bookmarkStart w:id="7" w:name="_Toc343509848"/>
            <w:r w:rsidRPr="000D0715">
              <w:rPr>
                <w:rFonts w:ascii="Arial" w:hAnsi="Arial" w:cs="Arial"/>
              </w:rPr>
              <w:t>Issue Date</w:t>
            </w:r>
            <w:bookmarkEnd w:id="5"/>
            <w:bookmarkEnd w:id="6"/>
            <w:bookmarkEnd w:id="7"/>
          </w:p>
          <w:p w14:paraId="7FF8CD4E" w14:textId="77777777" w:rsidR="000D0715" w:rsidRPr="000D0715" w:rsidRDefault="000D0715" w:rsidP="000D0715">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rPr>
                <w:rFonts w:ascii="Arial" w:hAnsi="Arial" w:cs="Arial"/>
              </w:rPr>
            </w:pPr>
            <w:r w:rsidRPr="000D0715">
              <w:rPr>
                <w:rFonts w:ascii="Arial" w:hAnsi="Arial" w:cs="Arial"/>
              </w:rPr>
              <w:t>Change Notice</w:t>
            </w:r>
          </w:p>
        </w:tc>
        <w:tc>
          <w:tcPr>
            <w:tcW w:w="5857" w:type="dxa"/>
            <w:tcMar>
              <w:top w:w="58" w:type="dxa"/>
              <w:left w:w="115" w:type="dxa"/>
              <w:bottom w:w="58" w:type="dxa"/>
              <w:right w:w="115" w:type="dxa"/>
            </w:tcMar>
          </w:tcPr>
          <w:p w14:paraId="06E93142" w14:textId="77777777" w:rsidR="000D0715" w:rsidRPr="000D0715" w:rsidRDefault="000D0715" w:rsidP="000D0715">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rPr>
                <w:rFonts w:ascii="Arial" w:hAnsi="Arial" w:cs="Arial"/>
              </w:rPr>
            </w:pPr>
            <w:r w:rsidRPr="000D0715">
              <w:rPr>
                <w:rFonts w:ascii="Arial" w:hAnsi="Arial" w:cs="Arial"/>
              </w:rPr>
              <w:t>Description of Change</w:t>
            </w:r>
          </w:p>
        </w:tc>
        <w:tc>
          <w:tcPr>
            <w:tcW w:w="1710" w:type="dxa"/>
            <w:tcMar>
              <w:top w:w="58" w:type="dxa"/>
              <w:left w:w="115" w:type="dxa"/>
              <w:bottom w:w="58" w:type="dxa"/>
              <w:right w:w="115" w:type="dxa"/>
            </w:tcMar>
          </w:tcPr>
          <w:p w14:paraId="3B1377A2" w14:textId="77777777" w:rsidR="000D0715" w:rsidRPr="000D0715" w:rsidRDefault="000D0715" w:rsidP="000D0715">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rPr>
                <w:rFonts w:ascii="Arial" w:hAnsi="Arial" w:cs="Arial"/>
              </w:rPr>
            </w:pPr>
            <w:r w:rsidRPr="000D0715">
              <w:rPr>
                <w:rFonts w:ascii="Arial" w:hAnsi="Arial" w:cs="Arial"/>
              </w:rPr>
              <w:t>Training Required and Completion Date</w:t>
            </w:r>
          </w:p>
        </w:tc>
        <w:tc>
          <w:tcPr>
            <w:tcW w:w="2250" w:type="dxa"/>
            <w:tcMar>
              <w:top w:w="58" w:type="dxa"/>
              <w:left w:w="115" w:type="dxa"/>
              <w:bottom w:w="58" w:type="dxa"/>
              <w:right w:w="115" w:type="dxa"/>
            </w:tcMar>
          </w:tcPr>
          <w:p w14:paraId="74E166B4" w14:textId="64BC48F4" w:rsidR="000D0715" w:rsidRPr="00917692" w:rsidRDefault="00917692" w:rsidP="000D0715">
            <w:pPr>
              <w:tabs>
                <w:tab w:val="left" w:pos="270"/>
                <w:tab w:val="left" w:pos="810"/>
                <w:tab w:val="left" w:pos="1440"/>
                <w:tab w:val="left" w:pos="2070"/>
                <w:tab w:val="left" w:pos="2700"/>
                <w:tab w:val="left" w:pos="4838"/>
                <w:tab w:val="left" w:pos="5644"/>
                <w:tab w:val="left" w:pos="6450"/>
                <w:tab w:val="left" w:pos="7256"/>
                <w:tab w:val="left" w:pos="8062"/>
                <w:tab w:val="left" w:pos="8868"/>
                <w:tab w:val="left" w:pos="9674"/>
                <w:tab w:val="left" w:pos="10480"/>
                <w:tab w:val="left" w:pos="11286"/>
                <w:tab w:val="left" w:pos="12092"/>
                <w:tab w:val="left" w:pos="12898"/>
              </w:tabs>
              <w:spacing w:after="58"/>
              <w:rPr>
                <w:rFonts w:ascii="Arial" w:hAnsi="Arial" w:cs="Arial"/>
              </w:rPr>
            </w:pPr>
            <w:r w:rsidRPr="00917692">
              <w:rPr>
                <w:rFonts w:ascii="Arial" w:hAnsi="Arial" w:cs="Arial"/>
              </w:rPr>
              <w:t>Comment Resolution and Closed Feedback Form Accession Number (Pre-Decisional, Non-Public Information)</w:t>
            </w:r>
          </w:p>
        </w:tc>
      </w:tr>
      <w:tr w:rsidR="000D0715" w:rsidRPr="000D0715" w14:paraId="15DB2048" w14:textId="77777777" w:rsidTr="00721A84">
        <w:tc>
          <w:tcPr>
            <w:tcW w:w="1638" w:type="dxa"/>
            <w:tcMar>
              <w:top w:w="58" w:type="dxa"/>
              <w:left w:w="115" w:type="dxa"/>
              <w:bottom w:w="58" w:type="dxa"/>
              <w:right w:w="115" w:type="dxa"/>
            </w:tcMar>
          </w:tcPr>
          <w:p w14:paraId="2BF505DA" w14:textId="77777777" w:rsidR="000D0715" w:rsidRPr="000D0715" w:rsidRDefault="000D0715" w:rsidP="000D0715">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r w:rsidRPr="000D0715">
              <w:rPr>
                <w:rFonts w:ascii="Arial" w:hAnsi="Arial" w:cs="Arial"/>
              </w:rPr>
              <w:t>N/A</w:t>
            </w:r>
          </w:p>
        </w:tc>
        <w:tc>
          <w:tcPr>
            <w:tcW w:w="1710" w:type="dxa"/>
            <w:tcMar>
              <w:top w:w="58" w:type="dxa"/>
              <w:left w:w="115" w:type="dxa"/>
              <w:bottom w:w="58" w:type="dxa"/>
              <w:right w:w="115" w:type="dxa"/>
            </w:tcMar>
          </w:tcPr>
          <w:p w14:paraId="71EE3BBB" w14:textId="77777777" w:rsidR="000D0715" w:rsidRPr="000D0715" w:rsidRDefault="000D0715" w:rsidP="000D0715">
            <w:pPr>
              <w:ind w:right="-30"/>
              <w:rPr>
                <w:rFonts w:ascii="Arial" w:hAnsi="Arial" w:cs="Arial"/>
                <w:color w:val="000000"/>
              </w:rPr>
            </w:pPr>
            <w:r w:rsidRPr="000D0715">
              <w:rPr>
                <w:rFonts w:ascii="Arial" w:hAnsi="Arial" w:cs="Arial"/>
                <w:color w:val="000000"/>
              </w:rPr>
              <w:t>ML13112B000</w:t>
            </w:r>
          </w:p>
          <w:p w14:paraId="5B767655" w14:textId="77777777" w:rsidR="000D0715" w:rsidRPr="000D0715" w:rsidRDefault="000D0715" w:rsidP="000D0715">
            <w:pPr>
              <w:ind w:right="-30"/>
              <w:rPr>
                <w:rFonts w:ascii="Arial" w:hAnsi="Arial" w:cs="Arial"/>
                <w:color w:val="000000"/>
              </w:rPr>
            </w:pPr>
            <w:r w:rsidRPr="000D0715">
              <w:rPr>
                <w:rFonts w:ascii="Arial" w:hAnsi="Arial" w:cs="Arial"/>
                <w:color w:val="000000"/>
              </w:rPr>
              <w:t>09/09/13</w:t>
            </w:r>
          </w:p>
          <w:p w14:paraId="6AA68F64" w14:textId="77777777" w:rsidR="000D0715" w:rsidRPr="000D0715" w:rsidRDefault="000D0715" w:rsidP="000D0715">
            <w:pPr>
              <w:ind w:right="-30"/>
              <w:rPr>
                <w:rFonts w:ascii="Arial" w:hAnsi="Arial" w:cs="Arial"/>
              </w:rPr>
            </w:pPr>
            <w:r w:rsidRPr="000D0715">
              <w:rPr>
                <w:rFonts w:ascii="Arial" w:hAnsi="Arial" w:cs="Arial"/>
                <w:color w:val="000000"/>
              </w:rPr>
              <w:t>CN 13-020</w:t>
            </w:r>
          </w:p>
        </w:tc>
        <w:tc>
          <w:tcPr>
            <w:tcW w:w="5857" w:type="dxa"/>
            <w:tcMar>
              <w:top w:w="58" w:type="dxa"/>
              <w:left w:w="115" w:type="dxa"/>
              <w:bottom w:w="58" w:type="dxa"/>
              <w:right w:w="115" w:type="dxa"/>
            </w:tcMar>
          </w:tcPr>
          <w:p w14:paraId="12D7DA7B" w14:textId="77777777" w:rsidR="000D0715" w:rsidRPr="000D0715" w:rsidRDefault="000D0715" w:rsidP="000D0715">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r w:rsidRPr="000D0715">
              <w:rPr>
                <w:rFonts w:ascii="Arial" w:hAnsi="Arial" w:cs="Arial"/>
              </w:rPr>
              <w:t>Initial issue.  Commitments reviewed for the last four years and found none.</w:t>
            </w:r>
          </w:p>
        </w:tc>
        <w:tc>
          <w:tcPr>
            <w:tcW w:w="1710" w:type="dxa"/>
            <w:tcMar>
              <w:top w:w="58" w:type="dxa"/>
              <w:left w:w="115" w:type="dxa"/>
              <w:bottom w:w="58" w:type="dxa"/>
              <w:right w:w="115" w:type="dxa"/>
            </w:tcMar>
          </w:tcPr>
          <w:p w14:paraId="7DE54A6A" w14:textId="77777777" w:rsidR="000D0715" w:rsidRPr="000D0715" w:rsidRDefault="000D0715" w:rsidP="000D0715">
            <w:pPr>
              <w:rPr>
                <w:rFonts w:ascii="Arial" w:hAnsi="Arial" w:cs="Arial"/>
              </w:rPr>
            </w:pPr>
            <w:r w:rsidRPr="000D0715">
              <w:rPr>
                <w:rFonts w:ascii="Arial" w:hAnsi="Arial" w:cs="Arial"/>
              </w:rPr>
              <w:t>No</w:t>
            </w:r>
          </w:p>
        </w:tc>
        <w:tc>
          <w:tcPr>
            <w:tcW w:w="2250" w:type="dxa"/>
            <w:tcMar>
              <w:top w:w="58" w:type="dxa"/>
              <w:left w:w="115" w:type="dxa"/>
              <w:bottom w:w="58" w:type="dxa"/>
              <w:right w:w="115" w:type="dxa"/>
            </w:tcMar>
          </w:tcPr>
          <w:p w14:paraId="6064CB61" w14:textId="77777777" w:rsidR="000D0715" w:rsidRPr="000D0715" w:rsidRDefault="00F20FE6" w:rsidP="000D0715">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hyperlink r:id="rId17" w:history="1">
              <w:r w:rsidR="000D0715" w:rsidRPr="000D0715">
                <w:rPr>
                  <w:rFonts w:ascii="Arial" w:hAnsi="Arial" w:cs="Arial"/>
                  <w:color w:val="0000FF"/>
                  <w:u w:val="single"/>
                </w:rPr>
                <w:t>ML13225A070</w:t>
              </w:r>
            </w:hyperlink>
          </w:p>
        </w:tc>
      </w:tr>
      <w:tr w:rsidR="00CA4874" w:rsidRPr="000D0715" w14:paraId="0053D755" w14:textId="77777777" w:rsidTr="00721A84">
        <w:tc>
          <w:tcPr>
            <w:tcW w:w="1638" w:type="dxa"/>
            <w:tcMar>
              <w:top w:w="58" w:type="dxa"/>
              <w:left w:w="115" w:type="dxa"/>
              <w:bottom w:w="58" w:type="dxa"/>
              <w:right w:w="115" w:type="dxa"/>
            </w:tcMar>
          </w:tcPr>
          <w:p w14:paraId="0F9C676F" w14:textId="3C533839" w:rsidR="00CA4874" w:rsidRPr="000D0715" w:rsidRDefault="00CA4874" w:rsidP="000D0715">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r>
              <w:rPr>
                <w:rFonts w:ascii="Arial" w:hAnsi="Arial" w:cs="Arial"/>
              </w:rPr>
              <w:t>N/A</w:t>
            </w:r>
          </w:p>
        </w:tc>
        <w:tc>
          <w:tcPr>
            <w:tcW w:w="1710" w:type="dxa"/>
            <w:tcMar>
              <w:top w:w="58" w:type="dxa"/>
              <w:left w:w="115" w:type="dxa"/>
              <w:bottom w:w="58" w:type="dxa"/>
              <w:right w:w="115" w:type="dxa"/>
            </w:tcMar>
          </w:tcPr>
          <w:p w14:paraId="2CB8724D" w14:textId="64C5E591" w:rsidR="000453A6" w:rsidRDefault="00757422" w:rsidP="000D0715">
            <w:pPr>
              <w:ind w:right="-30"/>
              <w:rPr>
                <w:rFonts w:ascii="Arial" w:hAnsi="Arial" w:cs="Arial"/>
                <w:color w:val="000000"/>
              </w:rPr>
            </w:pPr>
            <w:r w:rsidRPr="00757422">
              <w:rPr>
                <w:rFonts w:ascii="Arial" w:hAnsi="Arial" w:cs="Arial"/>
                <w:color w:val="000000"/>
              </w:rPr>
              <w:t>ML20351A258</w:t>
            </w:r>
          </w:p>
          <w:p w14:paraId="1704CA9D" w14:textId="62411CC3" w:rsidR="00800A29" w:rsidRDefault="0024375D" w:rsidP="000D0715">
            <w:pPr>
              <w:ind w:right="-30"/>
              <w:rPr>
                <w:rFonts w:ascii="Arial" w:hAnsi="Arial" w:cs="Arial"/>
                <w:color w:val="000000"/>
              </w:rPr>
            </w:pPr>
            <w:r>
              <w:rPr>
                <w:rFonts w:ascii="Arial" w:hAnsi="Arial" w:cs="Arial"/>
                <w:color w:val="000000"/>
              </w:rPr>
              <w:t>02/24/21</w:t>
            </w:r>
          </w:p>
          <w:p w14:paraId="7E38BA5A" w14:textId="0EA86036" w:rsidR="000453A6" w:rsidRPr="000D0715" w:rsidRDefault="000453A6" w:rsidP="000D0715">
            <w:pPr>
              <w:ind w:right="-30"/>
              <w:rPr>
                <w:rFonts w:ascii="Arial" w:hAnsi="Arial" w:cs="Arial"/>
                <w:color w:val="000000"/>
              </w:rPr>
            </w:pPr>
            <w:r>
              <w:rPr>
                <w:rFonts w:ascii="Arial" w:hAnsi="Arial" w:cs="Arial"/>
                <w:color w:val="000000"/>
              </w:rPr>
              <w:t xml:space="preserve">CN </w:t>
            </w:r>
            <w:r w:rsidR="0024375D">
              <w:rPr>
                <w:rFonts w:ascii="Arial" w:hAnsi="Arial" w:cs="Arial"/>
                <w:color w:val="000000"/>
              </w:rPr>
              <w:t>21-010</w:t>
            </w:r>
          </w:p>
        </w:tc>
        <w:tc>
          <w:tcPr>
            <w:tcW w:w="5857" w:type="dxa"/>
            <w:tcMar>
              <w:top w:w="58" w:type="dxa"/>
              <w:left w:w="115" w:type="dxa"/>
              <w:bottom w:w="58" w:type="dxa"/>
              <w:right w:w="115" w:type="dxa"/>
            </w:tcMar>
          </w:tcPr>
          <w:p w14:paraId="61521544" w14:textId="399631E0" w:rsidR="00CA4874" w:rsidRPr="000D0715" w:rsidRDefault="00800A29" w:rsidP="008F4CC7">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rPr>
            </w:pPr>
            <w:r>
              <w:rPr>
                <w:rFonts w:ascii="Arial" w:hAnsi="Arial" w:cs="Arial"/>
              </w:rPr>
              <w:t xml:space="preserve">Five-year periodic review.  </w:t>
            </w:r>
            <w:r w:rsidR="000453A6">
              <w:rPr>
                <w:rFonts w:ascii="Arial" w:hAnsi="Arial" w:cs="Arial"/>
              </w:rPr>
              <w:t>Reformat to current template per IMC</w:t>
            </w:r>
            <w:r w:rsidR="00701E37">
              <w:rPr>
                <w:rFonts w:ascii="Arial" w:hAnsi="Arial" w:cs="Arial"/>
              </w:rPr>
              <w:t xml:space="preserve"> 0040, “</w:t>
            </w:r>
            <w:r w:rsidR="008F4CC7" w:rsidRPr="00701E37">
              <w:rPr>
                <w:rFonts w:ascii="Arial" w:hAnsi="Arial" w:cs="Arial"/>
              </w:rPr>
              <w:t xml:space="preserve">Preparing, Revising, </w:t>
            </w:r>
            <w:r w:rsidR="00D32858">
              <w:rPr>
                <w:rFonts w:ascii="Arial" w:hAnsi="Arial" w:cs="Arial"/>
              </w:rPr>
              <w:t>a</w:t>
            </w:r>
            <w:r w:rsidR="008F4CC7" w:rsidRPr="00701E37">
              <w:rPr>
                <w:rFonts w:ascii="Arial" w:hAnsi="Arial" w:cs="Arial"/>
              </w:rPr>
              <w:t>nd Issuing Documents</w:t>
            </w:r>
            <w:r w:rsidR="008F4CC7">
              <w:rPr>
                <w:rFonts w:ascii="Arial" w:hAnsi="Arial" w:cs="Arial"/>
              </w:rPr>
              <w:t xml:space="preserve"> f</w:t>
            </w:r>
            <w:r w:rsidR="008F4CC7" w:rsidRPr="00701E37">
              <w:rPr>
                <w:rFonts w:ascii="Arial" w:hAnsi="Arial" w:cs="Arial"/>
              </w:rPr>
              <w:t xml:space="preserve">or </w:t>
            </w:r>
            <w:r w:rsidR="008F4CC7">
              <w:rPr>
                <w:rFonts w:ascii="Arial" w:hAnsi="Arial" w:cs="Arial"/>
              </w:rPr>
              <w:t>t</w:t>
            </w:r>
            <w:r w:rsidR="008F4CC7" w:rsidRPr="00701E37">
              <w:rPr>
                <w:rFonts w:ascii="Arial" w:hAnsi="Arial" w:cs="Arial"/>
              </w:rPr>
              <w:t>he NRC Inspection Manual</w:t>
            </w:r>
            <w:r w:rsidR="00701E37">
              <w:rPr>
                <w:rFonts w:ascii="Arial" w:hAnsi="Arial" w:cs="Arial"/>
              </w:rPr>
              <w:t xml:space="preserve">”, </w:t>
            </w:r>
            <w:r w:rsidR="00172CEC">
              <w:rPr>
                <w:rFonts w:ascii="Arial" w:hAnsi="Arial" w:cs="Arial"/>
              </w:rPr>
              <w:t xml:space="preserve">dated </w:t>
            </w:r>
            <w:r w:rsidR="00654314">
              <w:rPr>
                <w:rFonts w:ascii="Arial" w:hAnsi="Arial" w:cs="Arial"/>
              </w:rPr>
              <w:t>07/23/2020</w:t>
            </w:r>
            <w:r w:rsidR="0024375D">
              <w:rPr>
                <w:rFonts w:ascii="Arial" w:hAnsi="Arial" w:cs="Arial"/>
              </w:rPr>
              <w:t>.</w:t>
            </w:r>
          </w:p>
        </w:tc>
        <w:tc>
          <w:tcPr>
            <w:tcW w:w="1710" w:type="dxa"/>
            <w:tcMar>
              <w:top w:w="58" w:type="dxa"/>
              <w:left w:w="115" w:type="dxa"/>
              <w:bottom w:w="58" w:type="dxa"/>
              <w:right w:w="115" w:type="dxa"/>
            </w:tcMar>
          </w:tcPr>
          <w:p w14:paraId="2506B43C" w14:textId="3C1F04EB" w:rsidR="00CA4874" w:rsidRPr="000D0715" w:rsidRDefault="00654314" w:rsidP="000D0715">
            <w:pPr>
              <w:rPr>
                <w:rFonts w:ascii="Arial" w:hAnsi="Arial" w:cs="Arial"/>
              </w:rPr>
            </w:pPr>
            <w:r>
              <w:rPr>
                <w:rFonts w:ascii="Arial" w:hAnsi="Arial" w:cs="Arial"/>
              </w:rPr>
              <w:t>No</w:t>
            </w:r>
          </w:p>
        </w:tc>
        <w:tc>
          <w:tcPr>
            <w:tcW w:w="2250" w:type="dxa"/>
            <w:tcMar>
              <w:top w:w="58" w:type="dxa"/>
              <w:left w:w="115" w:type="dxa"/>
              <w:bottom w:w="58" w:type="dxa"/>
              <w:right w:w="115" w:type="dxa"/>
            </w:tcMar>
          </w:tcPr>
          <w:p w14:paraId="0D3D362B" w14:textId="274830E3" w:rsidR="00CA4874" w:rsidRPr="000D0715" w:rsidRDefault="00654314" w:rsidP="000D0715">
            <w:pPr>
              <w:tabs>
                <w:tab w:val="left" w:pos="27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N/A</w:t>
            </w:r>
          </w:p>
        </w:tc>
      </w:tr>
    </w:tbl>
    <w:p w14:paraId="7D56B433" w14:textId="77777777" w:rsidR="00EA5574" w:rsidRPr="00BC14F7" w:rsidRDefault="00EA5574" w:rsidP="00C47517">
      <w:pPr>
        <w:tabs>
          <w:tab w:val="left" w:pos="0"/>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p>
    <w:sectPr w:rsidR="00EA5574" w:rsidRPr="00BC14F7" w:rsidSect="00D7380B">
      <w:footerReference w:type="default" r:id="rId18"/>
      <w:endnotePr>
        <w:numFmt w:val="decimal"/>
      </w:endnotePr>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65933" w14:textId="77777777" w:rsidR="00F20FE6" w:rsidRDefault="00F20FE6">
      <w:r>
        <w:separator/>
      </w:r>
    </w:p>
  </w:endnote>
  <w:endnote w:type="continuationSeparator" w:id="0">
    <w:p w14:paraId="3EDEDA76" w14:textId="77777777" w:rsidR="00F20FE6" w:rsidRDefault="00F2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2A36E" w14:textId="77777777" w:rsidR="009C04D8" w:rsidRDefault="009C04D8">
    <w:pPr>
      <w:tabs>
        <w:tab w:val="center" w:pos="6480"/>
        <w:tab w:val="right" w:pos="12960"/>
      </w:tabs>
    </w:pPr>
    <w:r>
      <w:t>Issue Date: 06/29/06</w:t>
    </w:r>
    <w:r>
      <w:tab/>
    </w:r>
    <w:r>
      <w:tab/>
      <w:t>71114</w:t>
    </w:r>
  </w:p>
  <w:p w14:paraId="4E848156" w14:textId="77777777" w:rsidR="009C04D8" w:rsidRDefault="009C04D8">
    <w:pPr>
      <w:framePr w:w="9360" w:h="280" w:hRule="exact" w:wrap="notBeside" w:vAnchor="page" w:hAnchor="text" w:y="11232"/>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center"/>
      <w:rPr>
        <w:vanish/>
      </w:rPr>
    </w:pPr>
    <w:r>
      <w:t>-</w:t>
    </w:r>
    <w:r>
      <w:pgNum/>
    </w:r>
    <w:r>
      <w:t>-</w:t>
    </w:r>
  </w:p>
  <w:p w14:paraId="4C6299EE" w14:textId="77777777" w:rsidR="009C04D8" w:rsidRDefault="009C04D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75349A" w14:textId="5D1304B8" w:rsidR="009258B8" w:rsidRDefault="009C04D8" w:rsidP="00527533">
    <w:pPr>
      <w:tabs>
        <w:tab w:val="center" w:pos="4680"/>
        <w:tab w:val="right" w:pos="9360"/>
        <w:tab w:val="right" w:pos="12960"/>
      </w:tabs>
    </w:pPr>
    <w:r w:rsidRPr="00151792">
      <w:t xml:space="preserve">Issue Date: </w:t>
    </w:r>
    <w:r w:rsidR="00527533">
      <w:t xml:space="preserve"> </w:t>
    </w:r>
    <w:r w:rsidR="0024375D">
      <w:t>02/24/21</w:t>
    </w:r>
    <w:r w:rsidRPr="00151792">
      <w:tab/>
    </w:r>
    <w:r w:rsidR="00B03EAF" w:rsidRPr="00151792">
      <w:fldChar w:fldCharType="begin"/>
    </w:r>
    <w:r w:rsidRPr="00151792">
      <w:instrText xml:space="preserve"> PAGE   \* MERGEFORMAT </w:instrText>
    </w:r>
    <w:r w:rsidR="00B03EAF" w:rsidRPr="00151792">
      <w:fldChar w:fldCharType="separate"/>
    </w:r>
    <w:r w:rsidR="00F16014">
      <w:rPr>
        <w:noProof/>
      </w:rPr>
      <w:t>1</w:t>
    </w:r>
    <w:r w:rsidR="00B03EAF" w:rsidRPr="00151792">
      <w:fldChar w:fldCharType="end"/>
    </w:r>
    <w:r w:rsidRPr="00151792">
      <w:tab/>
    </w:r>
    <w:r w:rsidR="00EA0C3E">
      <w:t>0612 Appendix 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1571D" w14:textId="4D788705" w:rsidR="009258B8" w:rsidRDefault="009258B8" w:rsidP="00527533">
    <w:pPr>
      <w:tabs>
        <w:tab w:val="center" w:pos="4680"/>
        <w:tab w:val="right" w:pos="9360"/>
        <w:tab w:val="right" w:pos="12960"/>
      </w:tabs>
    </w:pPr>
    <w:r w:rsidRPr="00151792">
      <w:t xml:space="preserve">Issue Date: </w:t>
    </w:r>
    <w:r>
      <w:t xml:space="preserve"> </w:t>
    </w:r>
    <w:r w:rsidR="0024375D">
      <w:t>02/24/21</w:t>
    </w:r>
    <w:r w:rsidRPr="00151792">
      <w:tab/>
    </w:r>
    <w:r>
      <w:t>7</w:t>
    </w:r>
    <w:r w:rsidRPr="00151792">
      <w:tab/>
    </w:r>
    <w:r>
      <w:t>0612 Appendix G</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4AD02" w14:textId="1A1B035A" w:rsidR="009258B8" w:rsidRDefault="009258B8" w:rsidP="00527533">
    <w:pPr>
      <w:tabs>
        <w:tab w:val="center" w:pos="4680"/>
        <w:tab w:val="right" w:pos="9360"/>
        <w:tab w:val="right" w:pos="12960"/>
      </w:tabs>
    </w:pPr>
    <w:r w:rsidRPr="00151792">
      <w:t xml:space="preserve">Issue Date: </w:t>
    </w:r>
    <w:r>
      <w:t xml:space="preserve"> </w:t>
    </w:r>
    <w:r w:rsidR="0024375D">
      <w:t>02/24/21</w:t>
    </w:r>
    <w:r w:rsidRPr="00151792">
      <w:tab/>
    </w:r>
    <w:r>
      <w:t>8</w:t>
    </w:r>
    <w:r w:rsidRPr="00151792">
      <w:tab/>
    </w:r>
    <w:r>
      <w:t>0612 Appendix G</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0FCDE" w14:textId="157DFBB6" w:rsidR="009258B8" w:rsidRPr="00A06D1B" w:rsidRDefault="009258B8" w:rsidP="00A06D1B">
    <w:pPr>
      <w:tabs>
        <w:tab w:val="center" w:pos="4680"/>
        <w:tab w:val="right" w:pos="9360"/>
        <w:tab w:val="right" w:pos="12960"/>
      </w:tabs>
    </w:pPr>
    <w:r w:rsidRPr="00151792">
      <w:t xml:space="preserve">Issue Date: </w:t>
    </w:r>
    <w:r>
      <w:t xml:space="preserve"> </w:t>
    </w:r>
    <w:r w:rsidR="0024375D">
      <w:t>02/24/21</w:t>
    </w:r>
    <w:r w:rsidRPr="00151792">
      <w:tab/>
    </w:r>
    <w:r>
      <w:t>9</w:t>
    </w:r>
    <w:r w:rsidRPr="00151792">
      <w:tab/>
    </w:r>
    <w:r>
      <w:t>0612 Appendix 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363332"/>
      <w:docPartObj>
        <w:docPartGallery w:val="Page Numbers (Bottom of Page)"/>
        <w:docPartUnique/>
      </w:docPartObj>
    </w:sdtPr>
    <w:sdtEndPr/>
    <w:sdtContent>
      <w:p w14:paraId="71772229" w14:textId="0E438CC5" w:rsidR="0047304E" w:rsidRPr="00A06D1B" w:rsidRDefault="0047304E" w:rsidP="00A06D1B">
        <w:pPr>
          <w:pStyle w:val="Footer"/>
          <w:tabs>
            <w:tab w:val="clear" w:pos="4320"/>
            <w:tab w:val="clear" w:pos="8640"/>
            <w:tab w:val="center" w:pos="6480"/>
            <w:tab w:val="right" w:pos="12960"/>
          </w:tabs>
        </w:pPr>
        <w:r w:rsidRPr="00151792">
          <w:t xml:space="preserve">Issue Date: </w:t>
        </w:r>
        <w:r w:rsidR="00527533">
          <w:t xml:space="preserve"> </w:t>
        </w:r>
        <w:r w:rsidR="0024375D">
          <w:t>02/24/21</w:t>
        </w:r>
        <w:r>
          <w:tab/>
        </w:r>
        <w:r w:rsidRPr="00E85CD1">
          <w:t>Att</w:t>
        </w:r>
        <w:r w:rsidR="00C51819">
          <w:t>1</w:t>
        </w:r>
        <w:r w:rsidRPr="00E85CD1">
          <w:t>-</w:t>
        </w:r>
        <w:r w:rsidR="00B03EAF" w:rsidRPr="00E85CD1">
          <w:fldChar w:fldCharType="begin"/>
        </w:r>
        <w:r w:rsidRPr="00E85CD1">
          <w:instrText xml:space="preserve"> PAGE   \* MERGEFORMAT </w:instrText>
        </w:r>
        <w:r w:rsidR="00B03EAF" w:rsidRPr="00E85CD1">
          <w:fldChar w:fldCharType="separate"/>
        </w:r>
        <w:r w:rsidR="00F16014">
          <w:rPr>
            <w:noProof/>
          </w:rPr>
          <w:t>1</w:t>
        </w:r>
        <w:r w:rsidR="00B03EAF" w:rsidRPr="00E85CD1">
          <w:fldChar w:fldCharType="end"/>
        </w:r>
        <w:r w:rsidRPr="00E85CD1">
          <w:tab/>
        </w:r>
        <w:r w:rsidR="00C51819">
          <w:t>0612 Appendix 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6A011" w14:textId="77777777" w:rsidR="00F20FE6" w:rsidRDefault="00F20FE6">
      <w:r>
        <w:separator/>
      </w:r>
    </w:p>
  </w:footnote>
  <w:footnote w:type="continuationSeparator" w:id="0">
    <w:p w14:paraId="658B0240" w14:textId="77777777" w:rsidR="00F20FE6" w:rsidRDefault="00F20FE6">
      <w:r>
        <w:continuationSeparator/>
      </w:r>
    </w:p>
  </w:footnote>
  <w:footnote w:id="1">
    <w:p w14:paraId="229CB55A" w14:textId="7608DB1E" w:rsidR="007F7AF5" w:rsidRPr="00B62F3D" w:rsidRDefault="007F7AF5" w:rsidP="00B62F3D">
      <w:pPr>
        <w:pStyle w:val="FootnoteText"/>
        <w:ind w:left="180" w:hanging="180"/>
        <w:rPr>
          <w:sz w:val="16"/>
          <w:szCs w:val="16"/>
        </w:rPr>
      </w:pPr>
      <w:r w:rsidRPr="00B62F3D">
        <w:rPr>
          <w:rStyle w:val="FootnoteReference"/>
          <w:sz w:val="16"/>
          <w:szCs w:val="16"/>
        </w:rPr>
        <w:footnoteRef/>
      </w:r>
      <w:r w:rsidRPr="00B62F3D">
        <w:rPr>
          <w:sz w:val="16"/>
          <w:szCs w:val="16"/>
        </w:rPr>
        <w:t xml:space="preserve"> </w:t>
      </w:r>
      <w:r w:rsidR="00B62F3D" w:rsidRPr="00B62F3D">
        <w:rPr>
          <w:sz w:val="16"/>
          <w:szCs w:val="16"/>
        </w:rPr>
        <w:tab/>
        <w:t>Capitalized phrases in Section I of the appendix are defined in Appendix B, “Emergency Preparedness Significance Determination Process,” of IMC 0609, “Significance Determination Process.”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BF314" w14:textId="77777777" w:rsidR="009C04D8" w:rsidRDefault="009C04D8">
    <w:pPr>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54FE4"/>
    <w:multiLevelType w:val="hybridMultilevel"/>
    <w:tmpl w:val="3A9493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C41DC"/>
    <w:multiLevelType w:val="hybridMultilevel"/>
    <w:tmpl w:val="20B08A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695BC1"/>
    <w:multiLevelType w:val="hybridMultilevel"/>
    <w:tmpl w:val="9A0A151E"/>
    <w:lvl w:ilvl="0" w:tplc="04090019">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 w15:restartNumberingAfterBreak="0">
    <w:nsid w:val="29F12C78"/>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 w15:restartNumberingAfterBreak="0">
    <w:nsid w:val="2A1B785D"/>
    <w:multiLevelType w:val="hybridMultilevel"/>
    <w:tmpl w:val="A81224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D76ACB"/>
    <w:multiLevelType w:val="multilevel"/>
    <w:tmpl w:val="85CA17A4"/>
    <w:lvl w:ilvl="0">
      <w:start w:val="2"/>
      <w:numFmt w:val="lowerLetter"/>
      <w:lvlText w:val="%1."/>
      <w:lvlJc w:val="left"/>
      <w:pPr>
        <w:tabs>
          <w:tab w:val="num" w:pos="806"/>
        </w:tabs>
        <w:ind w:left="806" w:hanging="532"/>
      </w:pPr>
      <w:rPr>
        <w:rFonts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6" w15:restartNumberingAfterBreak="0">
    <w:nsid w:val="2F405616"/>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7" w15:restartNumberingAfterBreak="0">
    <w:nsid w:val="3226232A"/>
    <w:multiLevelType w:val="hybridMultilevel"/>
    <w:tmpl w:val="857459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372A1"/>
    <w:multiLevelType w:val="hybridMultilevel"/>
    <w:tmpl w:val="91CE2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E3816"/>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0" w15:restartNumberingAfterBreak="0">
    <w:nsid w:val="396D4EA4"/>
    <w:multiLevelType w:val="hybridMultilevel"/>
    <w:tmpl w:val="6B90CA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6C7EA7"/>
    <w:multiLevelType w:val="multilevel"/>
    <w:tmpl w:val="F4E48B9E"/>
    <w:lvl w:ilvl="0">
      <w:start w:val="1"/>
      <w:numFmt w:val="lowerLetter"/>
      <w:lvlText w:val="%1."/>
      <w:lvlJc w:val="left"/>
      <w:pPr>
        <w:tabs>
          <w:tab w:val="num" w:pos="802"/>
        </w:tabs>
        <w:ind w:left="802" w:hanging="532"/>
      </w:pPr>
      <w:rPr>
        <w:rFonts w:ascii="Arial" w:hAnsi="Arial" w:hint="default"/>
        <w:b w:val="0"/>
        <w:i w:val="0"/>
        <w:color w:val="000000" w:themeColor="text1"/>
        <w:sz w:val="24"/>
        <w:szCs w:val="24"/>
      </w:rPr>
    </w:lvl>
    <w:lvl w:ilvl="1">
      <w:start w:val="1"/>
      <w:numFmt w:val="decimal"/>
      <w:lvlText w:val="%2."/>
      <w:lvlJc w:val="left"/>
      <w:pPr>
        <w:tabs>
          <w:tab w:val="num" w:pos="1436"/>
        </w:tabs>
        <w:ind w:left="1436" w:hanging="634"/>
      </w:pPr>
      <w:rPr>
        <w:rFonts w:ascii="Arial" w:hAnsi="Arial" w:hint="default"/>
        <w:b w:val="0"/>
        <w:i w:val="0"/>
        <w:sz w:val="24"/>
        <w:szCs w:val="24"/>
      </w:rPr>
    </w:lvl>
    <w:lvl w:ilvl="2">
      <w:start w:val="1"/>
      <w:numFmt w:val="lowerLetter"/>
      <w:lvlText w:val="(%3)"/>
      <w:lvlJc w:val="left"/>
      <w:pPr>
        <w:tabs>
          <w:tab w:val="num" w:pos="2070"/>
        </w:tabs>
        <w:ind w:left="2070" w:hanging="634"/>
      </w:pPr>
      <w:rPr>
        <w:rFonts w:ascii="Arial" w:hAnsi="Arial" w:hint="default"/>
        <w:b w:val="0"/>
        <w:i w:val="0"/>
        <w:sz w:val="24"/>
        <w:szCs w:val="24"/>
      </w:rPr>
    </w:lvl>
    <w:lvl w:ilvl="3">
      <w:start w:val="1"/>
      <w:numFmt w:val="decimal"/>
      <w:lvlText w:val="(%4)"/>
      <w:lvlJc w:val="left"/>
      <w:pPr>
        <w:tabs>
          <w:tab w:val="num" w:pos="2703"/>
        </w:tabs>
        <w:ind w:left="2703" w:hanging="633"/>
      </w:pPr>
      <w:rPr>
        <w:rFonts w:ascii="Arial" w:hAnsi="Arial" w:hint="default"/>
        <w:b w:val="0"/>
        <w:i w:val="0"/>
        <w:sz w:val="24"/>
        <w:szCs w:val="24"/>
      </w:rPr>
    </w:lvl>
    <w:lvl w:ilvl="4">
      <w:start w:val="1"/>
      <w:numFmt w:val="none"/>
      <w:lvlText w:val=""/>
      <w:lvlJc w:val="left"/>
      <w:pPr>
        <w:tabs>
          <w:tab w:val="num" w:pos="1796"/>
        </w:tabs>
        <w:ind w:left="1796" w:hanging="360"/>
      </w:pPr>
      <w:rPr>
        <w:rFonts w:hint="default"/>
      </w:rPr>
    </w:lvl>
    <w:lvl w:ilvl="5">
      <w:start w:val="1"/>
      <w:numFmt w:val="none"/>
      <w:lvlText w:val=""/>
      <w:lvlJc w:val="left"/>
      <w:pPr>
        <w:tabs>
          <w:tab w:val="num" w:pos="3956"/>
        </w:tabs>
        <w:ind w:left="3596" w:firstLine="0"/>
      </w:pPr>
      <w:rPr>
        <w:rFonts w:hint="default"/>
      </w:rPr>
    </w:lvl>
    <w:lvl w:ilvl="6">
      <w:start w:val="1"/>
      <w:numFmt w:val="none"/>
      <w:lvlText w:val=""/>
      <w:lvlJc w:val="left"/>
      <w:pPr>
        <w:tabs>
          <w:tab w:val="num" w:pos="4676"/>
        </w:tabs>
        <w:ind w:left="4316" w:firstLine="0"/>
      </w:pPr>
      <w:rPr>
        <w:rFonts w:hint="default"/>
      </w:rPr>
    </w:lvl>
    <w:lvl w:ilvl="7">
      <w:start w:val="1"/>
      <w:numFmt w:val="none"/>
      <w:lvlText w:val=""/>
      <w:lvlJc w:val="left"/>
      <w:pPr>
        <w:tabs>
          <w:tab w:val="num" w:pos="5396"/>
        </w:tabs>
        <w:ind w:left="5036" w:firstLine="0"/>
      </w:pPr>
      <w:rPr>
        <w:rFonts w:hint="default"/>
      </w:rPr>
    </w:lvl>
    <w:lvl w:ilvl="8">
      <w:start w:val="1"/>
      <w:numFmt w:val="none"/>
      <w:lvlText w:val=""/>
      <w:lvlJc w:val="left"/>
      <w:pPr>
        <w:tabs>
          <w:tab w:val="num" w:pos="10076"/>
        </w:tabs>
        <w:ind w:left="10076" w:hanging="4320"/>
      </w:pPr>
      <w:rPr>
        <w:rFonts w:hint="default"/>
      </w:rPr>
    </w:lvl>
  </w:abstractNum>
  <w:abstractNum w:abstractNumId="12" w15:restartNumberingAfterBreak="0">
    <w:nsid w:val="3F2A7C56"/>
    <w:multiLevelType w:val="hybridMultilevel"/>
    <w:tmpl w:val="878A60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22950"/>
    <w:multiLevelType w:val="hybridMultilevel"/>
    <w:tmpl w:val="29BC683E"/>
    <w:lvl w:ilvl="0" w:tplc="04090019">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4" w15:restartNumberingAfterBreak="0">
    <w:nsid w:val="411B69B3"/>
    <w:multiLevelType w:val="hybridMultilevel"/>
    <w:tmpl w:val="9C8A0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E4345"/>
    <w:multiLevelType w:val="hybridMultilevel"/>
    <w:tmpl w:val="F2E61D94"/>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E140CE"/>
    <w:multiLevelType w:val="multilevel"/>
    <w:tmpl w:val="091A977E"/>
    <w:lvl w:ilvl="0">
      <w:start w:val="1"/>
      <w:numFmt w:val="decimal"/>
      <w:lvlText w:val="%1."/>
      <w:lvlJc w:val="left"/>
      <w:pPr>
        <w:tabs>
          <w:tab w:val="num" w:pos="806"/>
        </w:tabs>
        <w:ind w:left="806" w:hanging="532"/>
      </w:pPr>
      <w:rPr>
        <w:rFonts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17" w15:restartNumberingAfterBreak="0">
    <w:nsid w:val="46113CD0"/>
    <w:multiLevelType w:val="hybridMultilevel"/>
    <w:tmpl w:val="773C9A42"/>
    <w:lvl w:ilvl="0" w:tplc="B3E25F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F94F0B"/>
    <w:multiLevelType w:val="hybridMultilevel"/>
    <w:tmpl w:val="26725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D10FCB"/>
    <w:multiLevelType w:val="hybridMultilevel"/>
    <w:tmpl w:val="1B448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393410"/>
    <w:multiLevelType w:val="hybridMultilevel"/>
    <w:tmpl w:val="AB8CB94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B70807"/>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2" w15:restartNumberingAfterBreak="0">
    <w:nsid w:val="56913EEC"/>
    <w:multiLevelType w:val="multilevel"/>
    <w:tmpl w:val="FC641614"/>
    <w:lvl w:ilvl="0">
      <w:start w:val="1"/>
      <w:numFmt w:val="lowerLetter"/>
      <w:lvlText w:val="%1."/>
      <w:lvlJc w:val="left"/>
      <w:pPr>
        <w:tabs>
          <w:tab w:val="num" w:pos="806"/>
        </w:tabs>
        <w:ind w:left="806" w:hanging="532"/>
      </w:pPr>
      <w:rPr>
        <w:rFonts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3" w15:restartNumberingAfterBreak="0">
    <w:nsid w:val="58F02A35"/>
    <w:multiLevelType w:val="hybridMultilevel"/>
    <w:tmpl w:val="FFC61B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9A964E4"/>
    <w:multiLevelType w:val="hybridMultilevel"/>
    <w:tmpl w:val="7E5C3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312C8C"/>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6" w15:restartNumberingAfterBreak="0">
    <w:nsid w:val="64E87005"/>
    <w:multiLevelType w:val="multilevel"/>
    <w:tmpl w:val="F4E48B9E"/>
    <w:lvl w:ilvl="0">
      <w:start w:val="1"/>
      <w:numFmt w:val="lowerLetter"/>
      <w:lvlText w:val="%1."/>
      <w:lvlJc w:val="left"/>
      <w:pPr>
        <w:tabs>
          <w:tab w:val="num" w:pos="806"/>
        </w:tabs>
        <w:ind w:left="806" w:hanging="532"/>
      </w:pPr>
      <w:rPr>
        <w:rFonts w:ascii="Arial" w:hAnsi="Arial" w:hint="default"/>
        <w:b w:val="0"/>
        <w:i w:val="0"/>
        <w:color w:val="000000" w:themeColor="text1"/>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27" w15:restartNumberingAfterBreak="0">
    <w:nsid w:val="730E2704"/>
    <w:multiLevelType w:val="hybridMultilevel"/>
    <w:tmpl w:val="12AEE6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A83E26"/>
    <w:multiLevelType w:val="hybridMultilevel"/>
    <w:tmpl w:val="EF648F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E50C1D"/>
    <w:multiLevelType w:val="multilevel"/>
    <w:tmpl w:val="FC641614"/>
    <w:lvl w:ilvl="0">
      <w:start w:val="1"/>
      <w:numFmt w:val="lowerLetter"/>
      <w:lvlText w:val="%1."/>
      <w:lvlJc w:val="left"/>
      <w:pPr>
        <w:tabs>
          <w:tab w:val="num" w:pos="806"/>
        </w:tabs>
        <w:ind w:left="806" w:hanging="532"/>
      </w:pPr>
      <w:rPr>
        <w:rFonts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26"/>
  </w:num>
  <w:num w:numId="2">
    <w:abstractNumId w:val="9"/>
  </w:num>
  <w:num w:numId="3">
    <w:abstractNumId w:val="25"/>
  </w:num>
  <w:num w:numId="4">
    <w:abstractNumId w:val="3"/>
  </w:num>
  <w:num w:numId="5">
    <w:abstractNumId w:val="6"/>
  </w:num>
  <w:num w:numId="6">
    <w:abstractNumId w:val="21"/>
  </w:num>
  <w:num w:numId="7">
    <w:abstractNumId w:val="11"/>
  </w:num>
  <w:num w:numId="8">
    <w:abstractNumId w:val="20"/>
  </w:num>
  <w:num w:numId="9">
    <w:abstractNumId w:val="13"/>
  </w:num>
  <w:num w:numId="10">
    <w:abstractNumId w:val="1"/>
  </w:num>
  <w:num w:numId="11">
    <w:abstractNumId w:val="0"/>
  </w:num>
  <w:num w:numId="12">
    <w:abstractNumId w:val="10"/>
  </w:num>
  <w:num w:numId="13">
    <w:abstractNumId w:val="27"/>
  </w:num>
  <w:num w:numId="14">
    <w:abstractNumId w:val="4"/>
  </w:num>
  <w:num w:numId="15">
    <w:abstractNumId w:val="23"/>
  </w:num>
  <w:num w:numId="16">
    <w:abstractNumId w:val="7"/>
  </w:num>
  <w:num w:numId="17">
    <w:abstractNumId w:val="19"/>
  </w:num>
  <w:num w:numId="18">
    <w:abstractNumId w:val="8"/>
  </w:num>
  <w:num w:numId="19">
    <w:abstractNumId w:val="14"/>
  </w:num>
  <w:num w:numId="20">
    <w:abstractNumId w:val="17"/>
  </w:num>
  <w:num w:numId="21">
    <w:abstractNumId w:val="12"/>
  </w:num>
  <w:num w:numId="22">
    <w:abstractNumId w:val="18"/>
  </w:num>
  <w:num w:numId="23">
    <w:abstractNumId w:val="24"/>
  </w:num>
  <w:num w:numId="24">
    <w:abstractNumId w:val="28"/>
  </w:num>
  <w:num w:numId="25">
    <w:abstractNumId w:val="22"/>
  </w:num>
  <w:num w:numId="26">
    <w:abstractNumId w:val="29"/>
  </w:num>
  <w:num w:numId="27">
    <w:abstractNumId w:val="5"/>
  </w:num>
  <w:num w:numId="28">
    <w:abstractNumId w:val="2"/>
  </w:num>
  <w:num w:numId="29">
    <w:abstractNumId w:val="16"/>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E40"/>
    <w:rsid w:val="00003013"/>
    <w:rsid w:val="0000633F"/>
    <w:rsid w:val="00016DA0"/>
    <w:rsid w:val="00027D08"/>
    <w:rsid w:val="000453A6"/>
    <w:rsid w:val="00050C38"/>
    <w:rsid w:val="00050FD1"/>
    <w:rsid w:val="000650D0"/>
    <w:rsid w:val="00074832"/>
    <w:rsid w:val="00077D12"/>
    <w:rsid w:val="0008567B"/>
    <w:rsid w:val="000A39C9"/>
    <w:rsid w:val="000B2F88"/>
    <w:rsid w:val="000C7314"/>
    <w:rsid w:val="000D01F2"/>
    <w:rsid w:val="000D0715"/>
    <w:rsid w:val="000F081C"/>
    <w:rsid w:val="00104555"/>
    <w:rsid w:val="001062BB"/>
    <w:rsid w:val="00125E02"/>
    <w:rsid w:val="001270D6"/>
    <w:rsid w:val="00135B5D"/>
    <w:rsid w:val="00135C52"/>
    <w:rsid w:val="00143BAE"/>
    <w:rsid w:val="0015108C"/>
    <w:rsid w:val="00151792"/>
    <w:rsid w:val="00154567"/>
    <w:rsid w:val="00172CEC"/>
    <w:rsid w:val="001862A2"/>
    <w:rsid w:val="00194320"/>
    <w:rsid w:val="001A5CC8"/>
    <w:rsid w:val="001B408E"/>
    <w:rsid w:val="001D3297"/>
    <w:rsid w:val="001E235E"/>
    <w:rsid w:val="001F004A"/>
    <w:rsid w:val="001F2542"/>
    <w:rsid w:val="001F7320"/>
    <w:rsid w:val="00203EF3"/>
    <w:rsid w:val="0020715D"/>
    <w:rsid w:val="00215B96"/>
    <w:rsid w:val="00216BA3"/>
    <w:rsid w:val="002250F9"/>
    <w:rsid w:val="00233D25"/>
    <w:rsid w:val="002412E1"/>
    <w:rsid w:val="0024375D"/>
    <w:rsid w:val="002853E9"/>
    <w:rsid w:val="002A25AA"/>
    <w:rsid w:val="002A7EE2"/>
    <w:rsid w:val="002C0768"/>
    <w:rsid w:val="002D59A5"/>
    <w:rsid w:val="002D78BA"/>
    <w:rsid w:val="002E00B9"/>
    <w:rsid w:val="002E6262"/>
    <w:rsid w:val="002F2568"/>
    <w:rsid w:val="00311EEC"/>
    <w:rsid w:val="00324BFC"/>
    <w:rsid w:val="00337B2F"/>
    <w:rsid w:val="0034526B"/>
    <w:rsid w:val="003701B0"/>
    <w:rsid w:val="003755E7"/>
    <w:rsid w:val="003917C8"/>
    <w:rsid w:val="003C4628"/>
    <w:rsid w:val="003F3B1C"/>
    <w:rsid w:val="003F4551"/>
    <w:rsid w:val="004150EF"/>
    <w:rsid w:val="00416BD3"/>
    <w:rsid w:val="00416FCB"/>
    <w:rsid w:val="00417F17"/>
    <w:rsid w:val="0042366D"/>
    <w:rsid w:val="00440042"/>
    <w:rsid w:val="00441D4A"/>
    <w:rsid w:val="00445A00"/>
    <w:rsid w:val="0045157A"/>
    <w:rsid w:val="0047304E"/>
    <w:rsid w:val="00482E40"/>
    <w:rsid w:val="0048349C"/>
    <w:rsid w:val="00483973"/>
    <w:rsid w:val="0048534F"/>
    <w:rsid w:val="004A64CF"/>
    <w:rsid w:val="004B224C"/>
    <w:rsid w:val="004B233B"/>
    <w:rsid w:val="004C7B70"/>
    <w:rsid w:val="004D115D"/>
    <w:rsid w:val="004E0FA8"/>
    <w:rsid w:val="004E161E"/>
    <w:rsid w:val="004E75F6"/>
    <w:rsid w:val="004F1363"/>
    <w:rsid w:val="00503FAB"/>
    <w:rsid w:val="005143EF"/>
    <w:rsid w:val="005237A2"/>
    <w:rsid w:val="00527533"/>
    <w:rsid w:val="00533D3C"/>
    <w:rsid w:val="00563D36"/>
    <w:rsid w:val="005A0276"/>
    <w:rsid w:val="005B00C1"/>
    <w:rsid w:val="005C4D89"/>
    <w:rsid w:val="005D0752"/>
    <w:rsid w:val="005D414D"/>
    <w:rsid w:val="005D511E"/>
    <w:rsid w:val="005E0E41"/>
    <w:rsid w:val="005E7511"/>
    <w:rsid w:val="005F39AB"/>
    <w:rsid w:val="005F71FA"/>
    <w:rsid w:val="0060758D"/>
    <w:rsid w:val="006116E8"/>
    <w:rsid w:val="00621F6D"/>
    <w:rsid w:val="0063018D"/>
    <w:rsid w:val="00650D1C"/>
    <w:rsid w:val="00650E0A"/>
    <w:rsid w:val="00654314"/>
    <w:rsid w:val="00654789"/>
    <w:rsid w:val="00662747"/>
    <w:rsid w:val="0066363F"/>
    <w:rsid w:val="00665949"/>
    <w:rsid w:val="00680FB6"/>
    <w:rsid w:val="00687BF0"/>
    <w:rsid w:val="006B7E35"/>
    <w:rsid w:val="006C1377"/>
    <w:rsid w:val="006C1DF0"/>
    <w:rsid w:val="00701E37"/>
    <w:rsid w:val="00702A53"/>
    <w:rsid w:val="00712AC1"/>
    <w:rsid w:val="0071562A"/>
    <w:rsid w:val="00720CEA"/>
    <w:rsid w:val="007220C0"/>
    <w:rsid w:val="0074455F"/>
    <w:rsid w:val="00757422"/>
    <w:rsid w:val="00762927"/>
    <w:rsid w:val="00765722"/>
    <w:rsid w:val="00766A47"/>
    <w:rsid w:val="00782319"/>
    <w:rsid w:val="007836A6"/>
    <w:rsid w:val="007862ED"/>
    <w:rsid w:val="007B5CEF"/>
    <w:rsid w:val="007B77FC"/>
    <w:rsid w:val="007F7AF5"/>
    <w:rsid w:val="00800A29"/>
    <w:rsid w:val="00807D63"/>
    <w:rsid w:val="008145E3"/>
    <w:rsid w:val="008202B4"/>
    <w:rsid w:val="00820A8A"/>
    <w:rsid w:val="008223FB"/>
    <w:rsid w:val="00824CE6"/>
    <w:rsid w:val="008267E1"/>
    <w:rsid w:val="0084019C"/>
    <w:rsid w:val="00841857"/>
    <w:rsid w:val="008436EC"/>
    <w:rsid w:val="00856FBB"/>
    <w:rsid w:val="00861075"/>
    <w:rsid w:val="0086483A"/>
    <w:rsid w:val="00865E62"/>
    <w:rsid w:val="008760E7"/>
    <w:rsid w:val="00897918"/>
    <w:rsid w:val="008A6C21"/>
    <w:rsid w:val="008B0FC2"/>
    <w:rsid w:val="008C640F"/>
    <w:rsid w:val="008D51A9"/>
    <w:rsid w:val="008E36A0"/>
    <w:rsid w:val="008E4330"/>
    <w:rsid w:val="008E67BA"/>
    <w:rsid w:val="008F240C"/>
    <w:rsid w:val="008F4736"/>
    <w:rsid w:val="008F4AD8"/>
    <w:rsid w:val="008F4CC7"/>
    <w:rsid w:val="009109DC"/>
    <w:rsid w:val="009118B7"/>
    <w:rsid w:val="00917692"/>
    <w:rsid w:val="009258B8"/>
    <w:rsid w:val="0097094A"/>
    <w:rsid w:val="00981DF2"/>
    <w:rsid w:val="00984677"/>
    <w:rsid w:val="00996650"/>
    <w:rsid w:val="009A33AB"/>
    <w:rsid w:val="009C04D8"/>
    <w:rsid w:val="009D56D8"/>
    <w:rsid w:val="009F0563"/>
    <w:rsid w:val="009F528D"/>
    <w:rsid w:val="009F58CE"/>
    <w:rsid w:val="00A06D1B"/>
    <w:rsid w:val="00A123A0"/>
    <w:rsid w:val="00A16C7D"/>
    <w:rsid w:val="00A23B07"/>
    <w:rsid w:val="00A460D3"/>
    <w:rsid w:val="00A54639"/>
    <w:rsid w:val="00A570B4"/>
    <w:rsid w:val="00A6179D"/>
    <w:rsid w:val="00A6677E"/>
    <w:rsid w:val="00A91E49"/>
    <w:rsid w:val="00A94052"/>
    <w:rsid w:val="00A94583"/>
    <w:rsid w:val="00AA057E"/>
    <w:rsid w:val="00AA289B"/>
    <w:rsid w:val="00AB111E"/>
    <w:rsid w:val="00AB2917"/>
    <w:rsid w:val="00AF2E39"/>
    <w:rsid w:val="00AF46E3"/>
    <w:rsid w:val="00B0050E"/>
    <w:rsid w:val="00B03EAF"/>
    <w:rsid w:val="00B11691"/>
    <w:rsid w:val="00B11D8E"/>
    <w:rsid w:val="00B12002"/>
    <w:rsid w:val="00B20C8A"/>
    <w:rsid w:val="00B36849"/>
    <w:rsid w:val="00B50644"/>
    <w:rsid w:val="00B62F3D"/>
    <w:rsid w:val="00B739D9"/>
    <w:rsid w:val="00B740F8"/>
    <w:rsid w:val="00B74336"/>
    <w:rsid w:val="00B84104"/>
    <w:rsid w:val="00B86D04"/>
    <w:rsid w:val="00B91399"/>
    <w:rsid w:val="00BA2043"/>
    <w:rsid w:val="00BA7AA2"/>
    <w:rsid w:val="00BB7EE6"/>
    <w:rsid w:val="00BC0C92"/>
    <w:rsid w:val="00BC14F7"/>
    <w:rsid w:val="00BC5927"/>
    <w:rsid w:val="00BD365E"/>
    <w:rsid w:val="00BD50F8"/>
    <w:rsid w:val="00BE5416"/>
    <w:rsid w:val="00C02301"/>
    <w:rsid w:val="00C06A3D"/>
    <w:rsid w:val="00C1240A"/>
    <w:rsid w:val="00C17ABA"/>
    <w:rsid w:val="00C217BB"/>
    <w:rsid w:val="00C223E9"/>
    <w:rsid w:val="00C27A7B"/>
    <w:rsid w:val="00C3730A"/>
    <w:rsid w:val="00C37ACB"/>
    <w:rsid w:val="00C46C63"/>
    <w:rsid w:val="00C47517"/>
    <w:rsid w:val="00C501D3"/>
    <w:rsid w:val="00C51819"/>
    <w:rsid w:val="00C66BFF"/>
    <w:rsid w:val="00C74394"/>
    <w:rsid w:val="00C77F79"/>
    <w:rsid w:val="00C8033E"/>
    <w:rsid w:val="00C91F92"/>
    <w:rsid w:val="00CA4874"/>
    <w:rsid w:val="00CA561D"/>
    <w:rsid w:val="00CB2727"/>
    <w:rsid w:val="00CB7141"/>
    <w:rsid w:val="00CC7FA2"/>
    <w:rsid w:val="00CD252C"/>
    <w:rsid w:val="00CE3FA4"/>
    <w:rsid w:val="00CF2E84"/>
    <w:rsid w:val="00D02567"/>
    <w:rsid w:val="00D122D2"/>
    <w:rsid w:val="00D12CA7"/>
    <w:rsid w:val="00D23B3F"/>
    <w:rsid w:val="00D30334"/>
    <w:rsid w:val="00D32858"/>
    <w:rsid w:val="00D339B4"/>
    <w:rsid w:val="00D3738D"/>
    <w:rsid w:val="00D44C35"/>
    <w:rsid w:val="00D45125"/>
    <w:rsid w:val="00D46CB7"/>
    <w:rsid w:val="00D5606C"/>
    <w:rsid w:val="00D65F8D"/>
    <w:rsid w:val="00D7380B"/>
    <w:rsid w:val="00D83694"/>
    <w:rsid w:val="00D92F7D"/>
    <w:rsid w:val="00D93B55"/>
    <w:rsid w:val="00DB06D1"/>
    <w:rsid w:val="00DC20BB"/>
    <w:rsid w:val="00DD2FE5"/>
    <w:rsid w:val="00DD6064"/>
    <w:rsid w:val="00DD659A"/>
    <w:rsid w:val="00DD7BAF"/>
    <w:rsid w:val="00DE4E60"/>
    <w:rsid w:val="00DF0B75"/>
    <w:rsid w:val="00E4529E"/>
    <w:rsid w:val="00E46E27"/>
    <w:rsid w:val="00E669D5"/>
    <w:rsid w:val="00E815A9"/>
    <w:rsid w:val="00E8360C"/>
    <w:rsid w:val="00E85CD1"/>
    <w:rsid w:val="00E90F03"/>
    <w:rsid w:val="00E92B46"/>
    <w:rsid w:val="00EA0C3E"/>
    <w:rsid w:val="00EA4E97"/>
    <w:rsid w:val="00EA5574"/>
    <w:rsid w:val="00EA705E"/>
    <w:rsid w:val="00EB13B8"/>
    <w:rsid w:val="00EC1BF0"/>
    <w:rsid w:val="00EE4564"/>
    <w:rsid w:val="00EF0F85"/>
    <w:rsid w:val="00EF1676"/>
    <w:rsid w:val="00F07653"/>
    <w:rsid w:val="00F110AD"/>
    <w:rsid w:val="00F16014"/>
    <w:rsid w:val="00F20FE6"/>
    <w:rsid w:val="00F234CB"/>
    <w:rsid w:val="00F26C6C"/>
    <w:rsid w:val="00F338DE"/>
    <w:rsid w:val="00F80762"/>
    <w:rsid w:val="00F92E51"/>
    <w:rsid w:val="00F95244"/>
    <w:rsid w:val="00FD19D4"/>
    <w:rsid w:val="00FD51A5"/>
    <w:rsid w:val="00FE15C4"/>
    <w:rsid w:val="00FE44D4"/>
    <w:rsid w:val="00FF5021"/>
    <w:rsid w:val="00FF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ADF58"/>
  <w15:docId w15:val="{53D61573-7E0D-4824-B454-A35E3EDF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E16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20BB"/>
    <w:pPr>
      <w:tabs>
        <w:tab w:val="center" w:pos="4320"/>
        <w:tab w:val="right" w:pos="8640"/>
      </w:tabs>
    </w:pPr>
  </w:style>
  <w:style w:type="paragraph" w:customStyle="1" w:styleId="Level1">
    <w:name w:val="Level 1"/>
    <w:basedOn w:val="Normal"/>
    <w:rsid w:val="00D45125"/>
    <w:pPr>
      <w:widowControl w:val="0"/>
    </w:pPr>
  </w:style>
  <w:style w:type="paragraph" w:customStyle="1" w:styleId="Level2">
    <w:name w:val="Level 2"/>
    <w:basedOn w:val="Normal"/>
    <w:rsid w:val="00D45125"/>
    <w:pPr>
      <w:widowControl w:val="0"/>
    </w:pPr>
  </w:style>
  <w:style w:type="paragraph" w:customStyle="1" w:styleId="Level3">
    <w:name w:val="Level 3"/>
    <w:basedOn w:val="Normal"/>
    <w:rsid w:val="00D45125"/>
    <w:pPr>
      <w:widowControl w:val="0"/>
    </w:pPr>
  </w:style>
  <w:style w:type="paragraph" w:customStyle="1" w:styleId="Level4">
    <w:name w:val="Level 4"/>
    <w:basedOn w:val="Normal"/>
    <w:rsid w:val="00D45125"/>
    <w:pPr>
      <w:widowControl w:val="0"/>
    </w:pPr>
  </w:style>
  <w:style w:type="paragraph" w:customStyle="1" w:styleId="Level5">
    <w:name w:val="Level 5"/>
    <w:basedOn w:val="Normal"/>
    <w:rsid w:val="00D45125"/>
    <w:pPr>
      <w:widowControl w:val="0"/>
    </w:pPr>
  </w:style>
  <w:style w:type="paragraph" w:customStyle="1" w:styleId="Level6">
    <w:name w:val="Level 6"/>
    <w:basedOn w:val="Normal"/>
    <w:rsid w:val="00D45125"/>
    <w:pPr>
      <w:widowControl w:val="0"/>
    </w:pPr>
  </w:style>
  <w:style w:type="paragraph" w:customStyle="1" w:styleId="Level7">
    <w:name w:val="Level 7"/>
    <w:basedOn w:val="Normal"/>
    <w:rsid w:val="00D45125"/>
    <w:pPr>
      <w:widowControl w:val="0"/>
    </w:pPr>
  </w:style>
  <w:style w:type="paragraph" w:customStyle="1" w:styleId="Level8">
    <w:name w:val="Level 8"/>
    <w:basedOn w:val="Normal"/>
    <w:rsid w:val="00D45125"/>
    <w:pPr>
      <w:widowControl w:val="0"/>
    </w:pPr>
  </w:style>
  <w:style w:type="paragraph" w:customStyle="1" w:styleId="Level9">
    <w:name w:val="Level 9"/>
    <w:basedOn w:val="Normal"/>
    <w:rsid w:val="00D45125"/>
    <w:pPr>
      <w:widowControl w:val="0"/>
    </w:pPr>
    <w:rPr>
      <w:b/>
    </w:rPr>
  </w:style>
  <w:style w:type="character" w:styleId="EndnoteReference">
    <w:name w:val="endnote reference"/>
    <w:basedOn w:val="DefaultParagraphFont"/>
    <w:semiHidden/>
    <w:rsid w:val="00D45125"/>
    <w:rPr>
      <w:vertAlign w:val="superscript"/>
    </w:rPr>
  </w:style>
  <w:style w:type="paragraph" w:styleId="EndnoteText">
    <w:name w:val="endnote text"/>
    <w:basedOn w:val="Normal"/>
    <w:semiHidden/>
    <w:rsid w:val="00D45125"/>
    <w:pPr>
      <w:widowControl w:val="0"/>
      <w:tabs>
        <w:tab w:val="left" w:pos="-1440"/>
        <w:tab w:val="left" w:pos="-360"/>
        <w:tab w:val="left" w:pos="0"/>
        <w:tab w:val="left" w:pos="720"/>
        <w:tab w:val="left" w:pos="120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styleId="Footer">
    <w:name w:val="footer"/>
    <w:basedOn w:val="Normal"/>
    <w:link w:val="FooterChar"/>
    <w:uiPriority w:val="99"/>
    <w:rsid w:val="00DC20BB"/>
    <w:pPr>
      <w:tabs>
        <w:tab w:val="center" w:pos="4320"/>
        <w:tab w:val="right" w:pos="8640"/>
      </w:tabs>
    </w:pPr>
  </w:style>
  <w:style w:type="character" w:styleId="PageNumber">
    <w:name w:val="page number"/>
    <w:basedOn w:val="DefaultParagraphFont"/>
    <w:uiPriority w:val="99"/>
    <w:rsid w:val="00EB13B8"/>
  </w:style>
  <w:style w:type="paragraph" w:styleId="BalloonText">
    <w:name w:val="Balloon Text"/>
    <w:basedOn w:val="Normal"/>
    <w:link w:val="BalloonTextChar"/>
    <w:rsid w:val="005143EF"/>
    <w:rPr>
      <w:rFonts w:ascii="Tahoma" w:hAnsi="Tahoma" w:cs="Tahoma"/>
      <w:sz w:val="16"/>
      <w:szCs w:val="16"/>
    </w:rPr>
  </w:style>
  <w:style w:type="character" w:customStyle="1" w:styleId="BalloonTextChar">
    <w:name w:val="Balloon Text Char"/>
    <w:basedOn w:val="DefaultParagraphFont"/>
    <w:link w:val="BalloonText"/>
    <w:rsid w:val="005143EF"/>
    <w:rPr>
      <w:rFonts w:ascii="Tahoma" w:hAnsi="Tahoma" w:cs="Tahoma"/>
      <w:sz w:val="16"/>
      <w:szCs w:val="16"/>
    </w:rPr>
  </w:style>
  <w:style w:type="character" w:styleId="CommentReference">
    <w:name w:val="annotation reference"/>
    <w:basedOn w:val="DefaultParagraphFont"/>
    <w:rsid w:val="0048349C"/>
    <w:rPr>
      <w:sz w:val="16"/>
      <w:szCs w:val="16"/>
    </w:rPr>
  </w:style>
  <w:style w:type="paragraph" w:styleId="CommentText">
    <w:name w:val="annotation text"/>
    <w:basedOn w:val="Normal"/>
    <w:link w:val="CommentTextChar"/>
    <w:rsid w:val="0048349C"/>
    <w:rPr>
      <w:sz w:val="20"/>
    </w:rPr>
  </w:style>
  <w:style w:type="character" w:customStyle="1" w:styleId="CommentTextChar">
    <w:name w:val="Comment Text Char"/>
    <w:basedOn w:val="DefaultParagraphFont"/>
    <w:link w:val="CommentText"/>
    <w:rsid w:val="0048349C"/>
  </w:style>
  <w:style w:type="paragraph" w:styleId="CommentSubject">
    <w:name w:val="annotation subject"/>
    <w:basedOn w:val="CommentText"/>
    <w:next w:val="CommentText"/>
    <w:link w:val="CommentSubjectChar"/>
    <w:rsid w:val="0048349C"/>
    <w:rPr>
      <w:b/>
      <w:bCs/>
    </w:rPr>
  </w:style>
  <w:style w:type="character" w:customStyle="1" w:styleId="CommentSubjectChar">
    <w:name w:val="Comment Subject Char"/>
    <w:basedOn w:val="CommentTextChar"/>
    <w:link w:val="CommentSubject"/>
    <w:rsid w:val="0048349C"/>
    <w:rPr>
      <w:b/>
      <w:bCs/>
    </w:rPr>
  </w:style>
  <w:style w:type="character" w:customStyle="1" w:styleId="FooterChar">
    <w:name w:val="Footer Char"/>
    <w:basedOn w:val="DefaultParagraphFont"/>
    <w:link w:val="Footer"/>
    <w:uiPriority w:val="99"/>
    <w:rsid w:val="00B11D8E"/>
    <w:rPr>
      <w:sz w:val="24"/>
    </w:rPr>
  </w:style>
  <w:style w:type="paragraph" w:styleId="ListParagraph">
    <w:name w:val="List Paragraph"/>
    <w:basedOn w:val="Normal"/>
    <w:uiPriority w:val="34"/>
    <w:qFormat/>
    <w:rsid w:val="00D44C35"/>
    <w:pPr>
      <w:ind w:left="720"/>
      <w:contextualSpacing/>
    </w:pPr>
  </w:style>
  <w:style w:type="character" w:styleId="Hyperlink">
    <w:name w:val="Hyperlink"/>
    <w:basedOn w:val="DefaultParagraphFont"/>
    <w:rsid w:val="00FF5021"/>
    <w:rPr>
      <w:color w:val="0000FF"/>
      <w:u w:val="single"/>
    </w:rPr>
  </w:style>
  <w:style w:type="paragraph" w:customStyle="1" w:styleId="aindent">
    <w:name w:val="(a)_indent"/>
    <w:basedOn w:val="Normal"/>
    <w:link w:val="aindentChar"/>
    <w:qFormat/>
    <w:rsid w:val="00FF5021"/>
    <w:pPr>
      <w:tabs>
        <w:tab w:val="left" w:pos="-1380"/>
        <w:tab w:val="left" w:pos="720"/>
      </w:tabs>
      <w:autoSpaceDE w:val="0"/>
      <w:autoSpaceDN w:val="0"/>
      <w:adjustRightInd w:val="0"/>
      <w:ind w:left="720" w:hanging="720"/>
      <w:jc w:val="both"/>
    </w:pPr>
    <w:rPr>
      <w:szCs w:val="24"/>
    </w:rPr>
  </w:style>
  <w:style w:type="character" w:customStyle="1" w:styleId="aindentChar">
    <w:name w:val="(a)_indent Char"/>
    <w:basedOn w:val="DefaultParagraphFont"/>
    <w:link w:val="aindent"/>
    <w:rsid w:val="00FF5021"/>
    <w:rPr>
      <w:rFonts w:ascii="Arial" w:hAnsi="Arial" w:cs="Arial"/>
      <w:sz w:val="24"/>
      <w:szCs w:val="24"/>
    </w:rPr>
  </w:style>
  <w:style w:type="paragraph" w:styleId="NormalWeb">
    <w:name w:val="Normal (Web)"/>
    <w:basedOn w:val="Normal"/>
    <w:uiPriority w:val="99"/>
    <w:rsid w:val="00E669D5"/>
    <w:pPr>
      <w:spacing w:before="100" w:beforeAutospacing="1" w:after="100" w:afterAutospacing="1"/>
    </w:pPr>
    <w:rPr>
      <w:rFonts w:ascii="Verdana" w:hAnsi="Verdana"/>
      <w:color w:val="000000"/>
      <w:sz w:val="18"/>
      <w:szCs w:val="18"/>
    </w:rPr>
  </w:style>
  <w:style w:type="paragraph" w:customStyle="1" w:styleId="Default">
    <w:name w:val="Default"/>
    <w:rsid w:val="003F3B1C"/>
    <w:pPr>
      <w:autoSpaceDE w:val="0"/>
      <w:autoSpaceDN w:val="0"/>
      <w:adjustRightInd w:val="0"/>
    </w:pPr>
    <w:rPr>
      <w:color w:val="000000"/>
      <w:sz w:val="24"/>
      <w:szCs w:val="24"/>
    </w:rPr>
  </w:style>
  <w:style w:type="character" w:customStyle="1" w:styleId="HeaderChar">
    <w:name w:val="Header Char"/>
    <w:basedOn w:val="DefaultParagraphFont"/>
    <w:link w:val="Header"/>
    <w:uiPriority w:val="99"/>
    <w:rsid w:val="0047304E"/>
    <w:rPr>
      <w:sz w:val="24"/>
    </w:rPr>
  </w:style>
  <w:style w:type="character" w:styleId="LineNumber">
    <w:name w:val="line number"/>
    <w:basedOn w:val="DefaultParagraphFont"/>
    <w:semiHidden/>
    <w:unhideWhenUsed/>
    <w:rsid w:val="005D511E"/>
  </w:style>
  <w:style w:type="table" w:styleId="TableGrid">
    <w:name w:val="Table Grid"/>
    <w:basedOn w:val="TableNormal"/>
    <w:uiPriority w:val="59"/>
    <w:rsid w:val="000D0715"/>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F7AF5"/>
    <w:rPr>
      <w:sz w:val="20"/>
    </w:rPr>
  </w:style>
  <w:style w:type="character" w:customStyle="1" w:styleId="FootnoteTextChar">
    <w:name w:val="Footnote Text Char"/>
    <w:basedOn w:val="DefaultParagraphFont"/>
    <w:link w:val="FootnoteText"/>
    <w:semiHidden/>
    <w:rsid w:val="007F7AF5"/>
  </w:style>
  <w:style w:type="character" w:styleId="FootnoteReference">
    <w:name w:val="footnote reference"/>
    <w:basedOn w:val="DefaultParagraphFont"/>
    <w:semiHidden/>
    <w:unhideWhenUsed/>
    <w:rsid w:val="007F7A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nrodrp.nrc.gov/idmws/ViewDocByAccession.asp?AccessionNumber=ML13225A070"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5E4182BF399C4D82AC0CDCD5D75027" ma:contentTypeVersion="13" ma:contentTypeDescription="Create a new document." ma:contentTypeScope="" ma:versionID="f01e303a52f33b828cf620fc7281b121">
  <xsd:schema xmlns:xsd="http://www.w3.org/2001/XMLSchema" xmlns:xs="http://www.w3.org/2001/XMLSchema" xmlns:p="http://schemas.microsoft.com/office/2006/metadata/properties" xmlns:ns1="http://schemas.microsoft.com/sharepoint/v3" xmlns:ns3="6c4596b4-deaa-4e42-9398-8b9d3202fd30" xmlns:ns4="e5e4a380-6b1d-49f3-b23f-4727291aff80" targetNamespace="http://schemas.microsoft.com/office/2006/metadata/properties" ma:root="true" ma:fieldsID="41f16a449a313723fbd32cfba83eebc2" ns1:_="" ns3:_="" ns4:_="">
    <xsd:import namespace="http://schemas.microsoft.com/sharepoint/v3"/>
    <xsd:import namespace="6c4596b4-deaa-4e42-9398-8b9d3202fd30"/>
    <xsd:import namespace="e5e4a380-6b1d-49f3-b23f-4727291aff8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596b4-deaa-4e42-9398-8b9d3202fd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e4a380-6b1d-49f3-b23f-4727291aff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3CD4A-CBCE-42C0-AE36-061DD8B65608}">
  <ds:schemaRefs>
    <ds:schemaRef ds:uri="http://schemas.microsoft.com/sharepoint/v3/contenttype/forms"/>
  </ds:schemaRefs>
</ds:datastoreItem>
</file>

<file path=customXml/itemProps2.xml><?xml version="1.0" encoding="utf-8"?>
<ds:datastoreItem xmlns:ds="http://schemas.openxmlformats.org/officeDocument/2006/customXml" ds:itemID="{B85C6D82-71A8-4FC7-89F2-1D384C45D7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4596b4-deaa-4e42-9398-8b9d3202fd30"/>
    <ds:schemaRef ds:uri="e5e4a380-6b1d-49f3-b23f-4727291af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ECBA56-85F2-4D21-B34F-F304B0576C7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ADBDB8EB-3F60-4138-8A22-608F5C76B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lavie</dc:creator>
  <cp:keywords/>
  <cp:lastModifiedBy>Curran, Bridget</cp:lastModifiedBy>
  <cp:revision>2</cp:revision>
  <cp:lastPrinted>2012-05-29T15:50:00Z</cp:lastPrinted>
  <dcterms:created xsi:type="dcterms:W3CDTF">2021-02-24T14:40:00Z</dcterms:created>
  <dcterms:modified xsi:type="dcterms:W3CDTF">2021-02-24T14:40:00Z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0x010100435E4182BF399C4D82AC0CDCD5D75027</vt:lpwstr>
  </property>
</Properties>
</file>