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480"/>
        <w:gridCol w:w="1440"/>
      </w:tblGrid>
      <w:tr w:rsidR="00D01970" w:rsidRPr="001A74D2" w14:paraId="03CE47BB" w14:textId="77777777" w:rsidTr="00A02C59">
        <w:trPr>
          <w:trHeight w:val="20"/>
        </w:trPr>
        <w:tc>
          <w:tcPr>
            <w:tcW w:w="1440" w:type="dxa"/>
            <w:vAlign w:val="center"/>
          </w:tcPr>
          <w:p w14:paraId="42136F6A" w14:textId="77777777" w:rsidR="00D01970" w:rsidRPr="001A74D2" w:rsidRDefault="00D01970" w:rsidP="00A02C59">
            <w:pPr>
              <w:widowControl/>
              <w:jc w:val="center"/>
            </w:pPr>
          </w:p>
        </w:tc>
        <w:tc>
          <w:tcPr>
            <w:tcW w:w="6480" w:type="dxa"/>
            <w:vAlign w:val="center"/>
          </w:tcPr>
          <w:p w14:paraId="7EA61C61" w14:textId="77777777" w:rsidR="00D01970" w:rsidRPr="001A74D2" w:rsidRDefault="00D01970" w:rsidP="00A02C59">
            <w:pPr>
              <w:widowControl/>
              <w:jc w:val="center"/>
            </w:pPr>
            <w:r w:rsidRPr="001A74D2">
              <w:rPr>
                <w:b/>
                <w:sz w:val="38"/>
                <w:szCs w:val="38"/>
              </w:rPr>
              <w:t>NRC INSPECTION MANUAL</w:t>
            </w:r>
          </w:p>
        </w:tc>
        <w:tc>
          <w:tcPr>
            <w:tcW w:w="1440" w:type="dxa"/>
            <w:vAlign w:val="center"/>
          </w:tcPr>
          <w:p w14:paraId="459BC480" w14:textId="77777777" w:rsidR="00D01970" w:rsidRPr="001A74D2" w:rsidRDefault="00D01970" w:rsidP="00A02C59">
            <w:pPr>
              <w:widowControl/>
              <w:jc w:val="right"/>
              <w:rPr>
                <w:sz w:val="20"/>
                <w:szCs w:val="20"/>
              </w:rPr>
            </w:pPr>
            <w:r>
              <w:rPr>
                <w:sz w:val="20"/>
                <w:szCs w:val="20"/>
              </w:rPr>
              <w:t>ARCB</w:t>
            </w:r>
          </w:p>
        </w:tc>
      </w:tr>
    </w:tbl>
    <w:p w14:paraId="1BA2939F" w14:textId="77777777" w:rsidR="00D01970" w:rsidRDefault="00D01970" w:rsidP="00D01970">
      <w:pPr>
        <w:pStyle w:val="IntenseQuote"/>
      </w:pPr>
      <w:r w:rsidRPr="002A5724">
        <w:t>INSPECTION MANUAL CHAPTER 0</w:t>
      </w:r>
      <w:r>
        <w:t xml:space="preserve">609 </w:t>
      </w:r>
      <w:r w:rsidRPr="002A5724">
        <w:t>APPENDIX D</w:t>
      </w:r>
    </w:p>
    <w:p w14:paraId="47060790" w14:textId="77777777" w:rsidR="00D01970" w:rsidRPr="005C112A" w:rsidRDefault="00D01970" w:rsidP="00D01970">
      <w:pPr>
        <w:pStyle w:val="Title-IMC"/>
      </w:pPr>
      <w:r w:rsidRPr="001F3036">
        <w:t>PUBLIC RADIATION SAFETY</w:t>
      </w:r>
      <w:r>
        <w:br/>
      </w:r>
      <w:r w:rsidRPr="001F3036">
        <w:t>SIGNIFICANCE DETERMINATION PROCESS</w:t>
      </w:r>
    </w:p>
    <w:p w14:paraId="04D4CA3F" w14:textId="77777777" w:rsidR="00602E1A" w:rsidRDefault="00602E1A" w:rsidP="003B09CB">
      <w:pPr>
        <w:widowControl/>
        <w:tabs>
          <w:tab w:val="center" w:pos="4680"/>
        </w:tabs>
        <w:jc w:val="center"/>
        <w:sectPr w:rsidR="00602E1A" w:rsidSect="000104E1">
          <w:footerReference w:type="even" r:id="rId11"/>
          <w:footerReference w:type="default" r:id="rId12"/>
          <w:type w:val="continuous"/>
          <w:pgSz w:w="12240" w:h="15840"/>
          <w:pgMar w:top="1440" w:right="1440" w:bottom="1440" w:left="1440" w:header="720" w:footer="720" w:gutter="0"/>
          <w:pgNumType w:start="1"/>
          <w:cols w:space="720"/>
          <w:noEndnote/>
          <w:titlePg/>
          <w:docGrid w:linePitch="326"/>
        </w:sectPr>
      </w:pPr>
    </w:p>
    <w:p w14:paraId="1CE4BC4E" w14:textId="7F9D5693" w:rsidR="006843BE" w:rsidRPr="006843BE" w:rsidRDefault="006843BE" w:rsidP="00AB1288">
      <w:pPr>
        <w:pStyle w:val="TOC1"/>
      </w:pPr>
      <w:r w:rsidRPr="006843BE">
        <w:lastRenderedPageBreak/>
        <w:t>TABLE OF CONTENTS</w:t>
      </w:r>
      <w:r w:rsidRPr="006843BE">
        <w:br/>
      </w:r>
    </w:p>
    <w:p w14:paraId="5D88345B" w14:textId="3C215932" w:rsidR="00D747CA" w:rsidRDefault="00D747CA" w:rsidP="00AB1288">
      <w:pPr>
        <w:pStyle w:val="TOC1"/>
        <w:rPr>
          <w:rFonts w:asciiTheme="minorHAnsi" w:eastAsiaTheme="minorEastAsia" w:hAnsiTheme="minorHAnsi" w:cstheme="minorBidi"/>
        </w:rPr>
      </w:pPr>
      <w:r>
        <w:fldChar w:fldCharType="begin"/>
      </w:r>
      <w:r>
        <w:instrText xml:space="preserve"> TOC \f </w:instrText>
      </w:r>
      <w:r>
        <w:fldChar w:fldCharType="separate"/>
      </w:r>
      <w:r>
        <w:t>0609D-01</w:t>
      </w:r>
      <w:r>
        <w:rPr>
          <w:rFonts w:asciiTheme="minorHAnsi" w:eastAsiaTheme="minorEastAsia" w:hAnsiTheme="minorHAnsi" w:cstheme="minorBidi"/>
        </w:rPr>
        <w:tab/>
      </w:r>
      <w:r>
        <w:t>INTRODUCTION</w:t>
      </w:r>
      <w:r>
        <w:tab/>
      </w:r>
      <w:r>
        <w:fldChar w:fldCharType="begin"/>
      </w:r>
      <w:r>
        <w:instrText xml:space="preserve"> PAGEREF _Toc58919753 \h </w:instrText>
      </w:r>
      <w:r>
        <w:fldChar w:fldCharType="separate"/>
      </w:r>
      <w:r w:rsidR="00937C17">
        <w:t>1</w:t>
      </w:r>
      <w:r>
        <w:fldChar w:fldCharType="end"/>
      </w:r>
    </w:p>
    <w:p w14:paraId="4D4D6817" w14:textId="313CBE5B" w:rsidR="00D747CA" w:rsidRDefault="00D747CA" w:rsidP="00AB1288">
      <w:pPr>
        <w:pStyle w:val="TOC1"/>
        <w:rPr>
          <w:rFonts w:asciiTheme="minorHAnsi" w:eastAsiaTheme="minorEastAsia" w:hAnsiTheme="minorHAnsi" w:cstheme="minorBidi"/>
        </w:rPr>
      </w:pPr>
      <w:r>
        <w:t>0609D-02</w:t>
      </w:r>
      <w:r>
        <w:rPr>
          <w:rFonts w:asciiTheme="minorHAnsi" w:eastAsiaTheme="minorEastAsia" w:hAnsiTheme="minorHAnsi" w:cstheme="minorBidi"/>
        </w:rPr>
        <w:tab/>
      </w:r>
      <w:r>
        <w:t>GUIDANCE</w:t>
      </w:r>
      <w:r>
        <w:tab/>
      </w:r>
      <w:r>
        <w:fldChar w:fldCharType="begin"/>
      </w:r>
      <w:r>
        <w:instrText xml:space="preserve"> PAGEREF _Toc58919754 \h </w:instrText>
      </w:r>
      <w:r>
        <w:fldChar w:fldCharType="separate"/>
      </w:r>
      <w:r w:rsidR="00937C17">
        <w:t>1</w:t>
      </w:r>
      <w:r>
        <w:fldChar w:fldCharType="end"/>
      </w:r>
    </w:p>
    <w:p w14:paraId="2D9F1CD0" w14:textId="257B1FBD"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02.01</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Radioactive Effluent Release Program</w:t>
      </w:r>
      <w:r w:rsidRPr="00D747CA">
        <w:rPr>
          <w:rFonts w:ascii="Arial" w:hAnsi="Arial" w:cs="Arial"/>
          <w:b w:val="0"/>
          <w:bCs w:val="0"/>
          <w:noProof/>
          <w:sz w:val="22"/>
          <w:szCs w:val="22"/>
        </w:rPr>
        <w:tab/>
      </w:r>
      <w:r w:rsidRPr="00D747CA">
        <w:rPr>
          <w:rFonts w:ascii="Arial" w:hAnsi="Arial" w:cs="Arial"/>
          <w:b w:val="0"/>
          <w:bCs w:val="0"/>
          <w:noProof/>
          <w:sz w:val="22"/>
          <w:szCs w:val="22"/>
        </w:rPr>
        <w:fldChar w:fldCharType="begin"/>
      </w:r>
      <w:r w:rsidRPr="00D747CA">
        <w:rPr>
          <w:rFonts w:ascii="Arial" w:hAnsi="Arial" w:cs="Arial"/>
          <w:b w:val="0"/>
          <w:bCs w:val="0"/>
          <w:noProof/>
          <w:sz w:val="22"/>
          <w:szCs w:val="22"/>
        </w:rPr>
        <w:instrText xml:space="preserve"> PAGEREF _Toc58919755 \h </w:instrText>
      </w:r>
      <w:r w:rsidRPr="00D747CA">
        <w:rPr>
          <w:rFonts w:ascii="Arial" w:hAnsi="Arial" w:cs="Arial"/>
          <w:b w:val="0"/>
          <w:bCs w:val="0"/>
          <w:noProof/>
          <w:sz w:val="22"/>
          <w:szCs w:val="22"/>
        </w:rPr>
      </w:r>
      <w:r w:rsidRPr="00D747CA">
        <w:rPr>
          <w:rFonts w:ascii="Arial" w:hAnsi="Arial" w:cs="Arial"/>
          <w:b w:val="0"/>
          <w:bCs w:val="0"/>
          <w:noProof/>
          <w:sz w:val="22"/>
          <w:szCs w:val="22"/>
        </w:rPr>
        <w:fldChar w:fldCharType="separate"/>
      </w:r>
      <w:r w:rsidR="00937C17">
        <w:rPr>
          <w:rFonts w:ascii="Arial" w:hAnsi="Arial" w:cs="Arial"/>
          <w:b w:val="0"/>
          <w:bCs w:val="0"/>
          <w:noProof/>
          <w:sz w:val="22"/>
          <w:szCs w:val="22"/>
        </w:rPr>
        <w:t>1</w:t>
      </w:r>
      <w:r w:rsidRPr="00D747CA">
        <w:rPr>
          <w:rFonts w:ascii="Arial" w:hAnsi="Arial" w:cs="Arial"/>
          <w:b w:val="0"/>
          <w:bCs w:val="0"/>
          <w:noProof/>
          <w:sz w:val="22"/>
          <w:szCs w:val="22"/>
        </w:rPr>
        <w:fldChar w:fldCharType="end"/>
      </w:r>
    </w:p>
    <w:p w14:paraId="4C2124F7" w14:textId="0F594986"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02.02</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Radioactive Environmental Monitoring Program</w:t>
      </w:r>
      <w:r w:rsidRPr="00D747CA">
        <w:rPr>
          <w:rFonts w:ascii="Arial" w:hAnsi="Arial" w:cs="Arial"/>
          <w:b w:val="0"/>
          <w:bCs w:val="0"/>
          <w:noProof/>
          <w:sz w:val="22"/>
          <w:szCs w:val="22"/>
        </w:rPr>
        <w:tab/>
      </w:r>
      <w:r w:rsidR="004A297E">
        <w:rPr>
          <w:rFonts w:ascii="Arial" w:hAnsi="Arial" w:cs="Arial"/>
          <w:b w:val="0"/>
          <w:bCs w:val="0"/>
          <w:noProof/>
          <w:sz w:val="22"/>
          <w:szCs w:val="22"/>
        </w:rPr>
        <w:t>2</w:t>
      </w:r>
    </w:p>
    <w:p w14:paraId="2E93E38F" w14:textId="446E14E6"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02.03</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Radioactive Material Control Program</w:t>
      </w:r>
      <w:r w:rsidRPr="00D747CA">
        <w:rPr>
          <w:rFonts w:ascii="Arial" w:hAnsi="Arial" w:cs="Arial"/>
          <w:b w:val="0"/>
          <w:bCs w:val="0"/>
          <w:noProof/>
          <w:sz w:val="22"/>
          <w:szCs w:val="22"/>
        </w:rPr>
        <w:tab/>
      </w:r>
      <w:r w:rsidR="004A297E">
        <w:rPr>
          <w:rFonts w:ascii="Arial" w:hAnsi="Arial" w:cs="Arial"/>
          <w:b w:val="0"/>
          <w:bCs w:val="0"/>
          <w:noProof/>
          <w:sz w:val="22"/>
          <w:szCs w:val="22"/>
        </w:rPr>
        <w:t>2</w:t>
      </w:r>
    </w:p>
    <w:p w14:paraId="7A8DB7E4" w14:textId="04ED0693"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02.04</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Transportation</w:t>
      </w:r>
      <w:r w:rsidRPr="00D747CA">
        <w:rPr>
          <w:rFonts w:ascii="Arial" w:hAnsi="Arial" w:cs="Arial"/>
          <w:b w:val="0"/>
          <w:bCs w:val="0"/>
          <w:noProof/>
          <w:sz w:val="22"/>
          <w:szCs w:val="22"/>
        </w:rPr>
        <w:tab/>
      </w:r>
      <w:r w:rsidRPr="00D747CA">
        <w:rPr>
          <w:rFonts w:ascii="Arial" w:hAnsi="Arial" w:cs="Arial"/>
          <w:b w:val="0"/>
          <w:bCs w:val="0"/>
          <w:noProof/>
          <w:sz w:val="22"/>
          <w:szCs w:val="22"/>
        </w:rPr>
        <w:fldChar w:fldCharType="begin"/>
      </w:r>
      <w:r w:rsidRPr="00D747CA">
        <w:rPr>
          <w:rFonts w:ascii="Arial" w:hAnsi="Arial" w:cs="Arial"/>
          <w:b w:val="0"/>
          <w:bCs w:val="0"/>
          <w:noProof/>
          <w:sz w:val="22"/>
          <w:szCs w:val="22"/>
        </w:rPr>
        <w:instrText xml:space="preserve"> PAGEREF _Toc58919758 \h </w:instrText>
      </w:r>
      <w:r w:rsidRPr="00D747CA">
        <w:rPr>
          <w:rFonts w:ascii="Arial" w:hAnsi="Arial" w:cs="Arial"/>
          <w:b w:val="0"/>
          <w:bCs w:val="0"/>
          <w:noProof/>
          <w:sz w:val="22"/>
          <w:szCs w:val="22"/>
        </w:rPr>
      </w:r>
      <w:r w:rsidRPr="00D747CA">
        <w:rPr>
          <w:rFonts w:ascii="Arial" w:hAnsi="Arial" w:cs="Arial"/>
          <w:b w:val="0"/>
          <w:bCs w:val="0"/>
          <w:noProof/>
          <w:sz w:val="22"/>
          <w:szCs w:val="22"/>
        </w:rPr>
        <w:fldChar w:fldCharType="separate"/>
      </w:r>
      <w:r w:rsidR="00937C17">
        <w:rPr>
          <w:rFonts w:ascii="Arial" w:hAnsi="Arial" w:cs="Arial"/>
          <w:b w:val="0"/>
          <w:bCs w:val="0"/>
          <w:noProof/>
          <w:sz w:val="22"/>
          <w:szCs w:val="22"/>
        </w:rPr>
        <w:t>3</w:t>
      </w:r>
      <w:r w:rsidRPr="00D747CA">
        <w:rPr>
          <w:rFonts w:ascii="Arial" w:hAnsi="Arial" w:cs="Arial"/>
          <w:b w:val="0"/>
          <w:bCs w:val="0"/>
          <w:noProof/>
          <w:sz w:val="22"/>
          <w:szCs w:val="22"/>
        </w:rPr>
        <w:fldChar w:fldCharType="end"/>
      </w:r>
    </w:p>
    <w:p w14:paraId="29D4A8F4" w14:textId="1D3A1F0E"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02.05</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Licensing Requirements for Land Disposal of Radioactive Waste</w:t>
      </w:r>
      <w:r w:rsidRPr="00D747CA">
        <w:rPr>
          <w:rFonts w:ascii="Arial" w:hAnsi="Arial" w:cs="Arial"/>
          <w:b w:val="0"/>
          <w:bCs w:val="0"/>
          <w:noProof/>
          <w:sz w:val="22"/>
          <w:szCs w:val="22"/>
        </w:rPr>
        <w:tab/>
      </w:r>
      <w:r w:rsidR="00457AC5">
        <w:rPr>
          <w:rFonts w:ascii="Arial" w:hAnsi="Arial" w:cs="Arial"/>
          <w:b w:val="0"/>
          <w:bCs w:val="0"/>
          <w:noProof/>
          <w:sz w:val="22"/>
          <w:szCs w:val="22"/>
        </w:rPr>
        <w:t>7</w:t>
      </w:r>
    </w:p>
    <w:p w14:paraId="5E626DAF" w14:textId="45E6DC5F" w:rsidR="00D747CA" w:rsidRPr="00D747CA" w:rsidRDefault="00D747CA" w:rsidP="00D747CA">
      <w:pPr>
        <w:pStyle w:val="TOC2"/>
        <w:tabs>
          <w:tab w:val="left" w:pos="720"/>
          <w:tab w:val="right" w:leader="hyphen" w:pos="9350"/>
        </w:tabs>
        <w:spacing w:before="0"/>
        <w:contextualSpacing/>
        <w:rPr>
          <w:rFonts w:ascii="Arial" w:eastAsiaTheme="minorEastAsia" w:hAnsi="Arial" w:cs="Arial"/>
          <w:b w:val="0"/>
          <w:bCs w:val="0"/>
          <w:noProof/>
          <w:sz w:val="22"/>
          <w:szCs w:val="22"/>
        </w:rPr>
      </w:pPr>
      <w:r w:rsidRPr="00D747CA">
        <w:rPr>
          <w:rFonts w:ascii="Arial" w:hAnsi="Arial" w:cs="Arial"/>
          <w:b w:val="0"/>
          <w:bCs w:val="0"/>
          <w:noProof/>
          <w:sz w:val="22"/>
          <w:szCs w:val="22"/>
        </w:rPr>
        <w:t>02.06</w:t>
      </w:r>
      <w:r w:rsidRPr="00D747CA">
        <w:rPr>
          <w:rFonts w:ascii="Arial" w:eastAsiaTheme="minorEastAsia" w:hAnsi="Arial" w:cs="Arial"/>
          <w:b w:val="0"/>
          <w:bCs w:val="0"/>
          <w:noProof/>
          <w:sz w:val="22"/>
          <w:szCs w:val="22"/>
        </w:rPr>
        <w:tab/>
      </w:r>
      <w:r w:rsidRPr="00D747CA">
        <w:rPr>
          <w:rFonts w:ascii="Arial" w:hAnsi="Arial" w:cs="Arial"/>
          <w:b w:val="0"/>
          <w:bCs w:val="0"/>
          <w:noProof/>
          <w:sz w:val="22"/>
          <w:szCs w:val="22"/>
        </w:rPr>
        <w:t>Physical Protection of Category 1 and Category 2 Quantities of Radioactive Material</w:t>
      </w:r>
      <w:r w:rsidRPr="00D747CA">
        <w:rPr>
          <w:rFonts w:ascii="Arial" w:hAnsi="Arial" w:cs="Arial"/>
          <w:b w:val="0"/>
          <w:bCs w:val="0"/>
          <w:noProof/>
          <w:sz w:val="22"/>
          <w:szCs w:val="22"/>
        </w:rPr>
        <w:tab/>
      </w:r>
      <w:r w:rsidR="00D016B7">
        <w:rPr>
          <w:rFonts w:ascii="Arial" w:hAnsi="Arial" w:cs="Arial"/>
          <w:b w:val="0"/>
          <w:bCs w:val="0"/>
          <w:noProof/>
          <w:sz w:val="22"/>
          <w:szCs w:val="22"/>
        </w:rPr>
        <w:t>8</w:t>
      </w:r>
    </w:p>
    <w:p w14:paraId="1045F509" w14:textId="77777777" w:rsidR="00D747CA" w:rsidRPr="00D747CA" w:rsidRDefault="00D747CA" w:rsidP="00AB1288">
      <w:pPr>
        <w:pStyle w:val="TOC1"/>
      </w:pPr>
    </w:p>
    <w:p w14:paraId="40947F1F" w14:textId="45C6F96B" w:rsidR="00D747CA" w:rsidRPr="00D747CA" w:rsidRDefault="00D747CA" w:rsidP="00AB1288">
      <w:pPr>
        <w:pStyle w:val="TOC1"/>
      </w:pPr>
      <w:r w:rsidRPr="00D747CA">
        <w:t>FIGURES</w:t>
      </w:r>
    </w:p>
    <w:p w14:paraId="227DBBA7" w14:textId="77777777" w:rsidR="00D747CA" w:rsidRPr="00D747CA" w:rsidRDefault="00D747CA" w:rsidP="00AB1288">
      <w:pPr>
        <w:pStyle w:val="TOC1"/>
      </w:pPr>
    </w:p>
    <w:p w14:paraId="5ECFC572" w14:textId="5CB25247" w:rsidR="00D747CA" w:rsidRPr="00D747CA" w:rsidRDefault="00D747CA" w:rsidP="00AB1288">
      <w:pPr>
        <w:pStyle w:val="TOC1"/>
        <w:rPr>
          <w:rFonts w:eastAsiaTheme="minorEastAsia"/>
        </w:rPr>
      </w:pPr>
      <w:r w:rsidRPr="00D747CA">
        <w:t xml:space="preserve">Figure </w:t>
      </w:r>
      <w:r w:rsidR="007D3CB4">
        <w:t>1</w:t>
      </w:r>
      <w:r w:rsidR="007D3CB4" w:rsidRPr="00D747CA">
        <w:t xml:space="preserve"> </w:t>
      </w:r>
      <w:r w:rsidRPr="00D747CA">
        <w:rPr>
          <w:rFonts w:eastAsiaTheme="minorEastAsia"/>
        </w:rPr>
        <w:tab/>
      </w:r>
      <w:r w:rsidRPr="00D747CA">
        <w:t>Rad Material Control, Effluent Release Program and Environmental Monitoring Program SDP Flowchart</w:t>
      </w:r>
      <w:r w:rsidRPr="00D747CA">
        <w:tab/>
      </w:r>
      <w:r w:rsidR="004C21DB">
        <w:t>1</w:t>
      </w:r>
      <w:r w:rsidR="007F434D">
        <w:t>3</w:t>
      </w:r>
    </w:p>
    <w:p w14:paraId="7D535713" w14:textId="04CDC434" w:rsidR="00D747CA" w:rsidRPr="00D747CA" w:rsidRDefault="00D747CA" w:rsidP="00AB1288">
      <w:pPr>
        <w:pStyle w:val="TOC1"/>
        <w:rPr>
          <w:rFonts w:eastAsiaTheme="minorEastAsia"/>
        </w:rPr>
      </w:pPr>
      <w:r w:rsidRPr="00D747CA">
        <w:t xml:space="preserve">Figure </w:t>
      </w:r>
      <w:r w:rsidR="007D3CB4">
        <w:t>2</w:t>
      </w:r>
      <w:r w:rsidRPr="00D747CA">
        <w:rPr>
          <w:rFonts w:eastAsiaTheme="minorEastAsia"/>
        </w:rPr>
        <w:tab/>
      </w:r>
      <w:r w:rsidRPr="00D747CA">
        <w:t>Transportation – Incorrect Packaging and Rad Limits Exceeded SDP Flowchart</w:t>
      </w:r>
      <w:r w:rsidRPr="00D747CA">
        <w:tab/>
      </w:r>
      <w:r w:rsidR="004C21DB">
        <w:t>1</w:t>
      </w:r>
      <w:r w:rsidR="007F434D">
        <w:t>4</w:t>
      </w:r>
    </w:p>
    <w:p w14:paraId="014065A6" w14:textId="3B77FD82" w:rsidR="00D747CA" w:rsidRPr="00D747CA" w:rsidRDefault="00D747CA" w:rsidP="00AB1288">
      <w:pPr>
        <w:pStyle w:val="TOC1"/>
        <w:rPr>
          <w:rFonts w:eastAsiaTheme="minorEastAsia"/>
        </w:rPr>
      </w:pPr>
      <w:r w:rsidRPr="00D747CA">
        <w:t xml:space="preserve">Figure </w:t>
      </w:r>
      <w:r w:rsidR="007D3CB4">
        <w:t>3</w:t>
      </w:r>
      <w:r w:rsidRPr="00D747CA">
        <w:rPr>
          <w:rFonts w:eastAsiaTheme="minorEastAsia"/>
        </w:rPr>
        <w:tab/>
      </w:r>
      <w:r w:rsidRPr="00D747CA">
        <w:t>Transportation – Package Breach</w:t>
      </w:r>
      <w:r w:rsidR="008E72A0">
        <w:t xml:space="preserve"> </w:t>
      </w:r>
      <w:r w:rsidR="00C427EE">
        <w:t xml:space="preserve">SDP </w:t>
      </w:r>
      <w:r w:rsidR="008E72A0">
        <w:t>flowchart</w:t>
      </w:r>
      <w:r w:rsidRPr="00D747CA">
        <w:tab/>
      </w:r>
      <w:r w:rsidR="004C21DB">
        <w:t>1</w:t>
      </w:r>
      <w:r w:rsidR="007F434D">
        <w:t>5</w:t>
      </w:r>
    </w:p>
    <w:p w14:paraId="1E883A98" w14:textId="6CF3B250" w:rsidR="00D747CA" w:rsidRDefault="00D747CA" w:rsidP="00AB1288">
      <w:pPr>
        <w:pStyle w:val="TOC1"/>
      </w:pPr>
      <w:r w:rsidRPr="00D747CA">
        <w:t xml:space="preserve">Figure </w:t>
      </w:r>
      <w:r w:rsidR="007D3CB4">
        <w:t>4</w:t>
      </w:r>
      <w:r w:rsidRPr="00D747CA">
        <w:rPr>
          <w:rFonts w:eastAsiaTheme="minorEastAsia"/>
        </w:rPr>
        <w:tab/>
      </w:r>
      <w:r w:rsidRPr="00D747CA">
        <w:t>Transportation – Certificate of Compliance and Near Surface Disposal SDP Flowchart</w:t>
      </w:r>
      <w:r w:rsidRPr="00D747CA">
        <w:tab/>
      </w:r>
      <w:r w:rsidR="004C21DB">
        <w:t>1</w:t>
      </w:r>
      <w:r w:rsidR="007F434D">
        <w:t>6</w:t>
      </w:r>
    </w:p>
    <w:p w14:paraId="777EF168" w14:textId="4A963A24" w:rsidR="007152E0" w:rsidRPr="007152E0" w:rsidRDefault="007152E0" w:rsidP="008E72A0">
      <w:pPr>
        <w:ind w:left="1170" w:hanging="1170"/>
        <w:rPr>
          <w:rFonts w:eastAsiaTheme="minorEastAsia"/>
          <w:noProof/>
        </w:rPr>
      </w:pPr>
      <w:r>
        <w:rPr>
          <w:rFonts w:eastAsiaTheme="minorEastAsia"/>
          <w:noProof/>
        </w:rPr>
        <w:t>FIGURE 5</w:t>
      </w:r>
      <w:r w:rsidR="00584E9E">
        <w:rPr>
          <w:rFonts w:eastAsiaTheme="minorEastAsia"/>
          <w:noProof/>
        </w:rPr>
        <w:tab/>
        <w:t xml:space="preserve">TRANSPORTATION </w:t>
      </w:r>
      <w:r w:rsidR="00584E9E" w:rsidRPr="00D747CA">
        <w:rPr>
          <w:noProof/>
        </w:rPr>
        <w:t>–</w:t>
      </w:r>
      <w:r w:rsidR="00584E9E">
        <w:rPr>
          <w:rFonts w:eastAsiaTheme="minorEastAsia"/>
          <w:noProof/>
        </w:rPr>
        <w:t xml:space="preserve"> N</w:t>
      </w:r>
      <w:r w:rsidR="001B4AA4">
        <w:rPr>
          <w:rFonts w:eastAsiaTheme="minorEastAsia"/>
          <w:noProof/>
        </w:rPr>
        <w:t>OTIFICATION AND EMERGENCY INFORMATION</w:t>
      </w:r>
      <w:r w:rsidR="008E72A0">
        <w:rPr>
          <w:rFonts w:eastAsiaTheme="minorEastAsia"/>
          <w:noProof/>
        </w:rPr>
        <w:t xml:space="preserve"> </w:t>
      </w:r>
      <w:r w:rsidR="00C427EE">
        <w:rPr>
          <w:rFonts w:eastAsiaTheme="minorEastAsia"/>
          <w:noProof/>
        </w:rPr>
        <w:t xml:space="preserve">SDP </w:t>
      </w:r>
      <w:r w:rsidR="008E72A0">
        <w:rPr>
          <w:rFonts w:eastAsiaTheme="minorEastAsia"/>
          <w:noProof/>
        </w:rPr>
        <w:t xml:space="preserve">FLOWCHART </w:t>
      </w:r>
      <w:r w:rsidR="008210C4">
        <w:rPr>
          <w:rFonts w:eastAsiaTheme="minorEastAsia"/>
          <w:noProof/>
        </w:rPr>
        <w:t xml:space="preserve">   </w:t>
      </w:r>
      <w:r w:rsidR="008E72A0">
        <w:rPr>
          <w:rFonts w:eastAsiaTheme="minorEastAsia"/>
          <w:noProof/>
        </w:rPr>
        <w:t>---------------------------</w:t>
      </w:r>
      <w:r w:rsidR="00BF2030">
        <w:rPr>
          <w:rFonts w:eastAsiaTheme="minorEastAsia"/>
          <w:noProof/>
        </w:rPr>
        <w:t>---</w:t>
      </w:r>
      <w:r w:rsidR="00EB2FC1">
        <w:rPr>
          <w:rFonts w:eastAsiaTheme="minorEastAsia"/>
          <w:noProof/>
        </w:rPr>
        <w:t>--------------------------------------------------</w:t>
      </w:r>
      <w:r w:rsidR="008210C4">
        <w:rPr>
          <w:rFonts w:eastAsiaTheme="minorEastAsia"/>
          <w:noProof/>
        </w:rPr>
        <w:t>----</w:t>
      </w:r>
      <w:r w:rsidR="00EB2FC1">
        <w:rPr>
          <w:rFonts w:eastAsiaTheme="minorEastAsia"/>
          <w:noProof/>
        </w:rPr>
        <w:t>--</w:t>
      </w:r>
      <w:r w:rsidR="00BF2030">
        <w:rPr>
          <w:rFonts w:eastAsiaTheme="minorEastAsia"/>
          <w:noProof/>
        </w:rPr>
        <w:t>17</w:t>
      </w:r>
      <w:r w:rsidR="001B4AA4">
        <w:rPr>
          <w:rFonts w:eastAsiaTheme="minorEastAsia"/>
          <w:noProof/>
        </w:rPr>
        <w:t xml:space="preserve"> </w:t>
      </w:r>
    </w:p>
    <w:p w14:paraId="6B3C8FEA" w14:textId="77A892A6" w:rsidR="00D747CA" w:rsidRPr="00D747CA" w:rsidRDefault="00D747CA" w:rsidP="00AB1288">
      <w:pPr>
        <w:pStyle w:val="TOC1"/>
        <w:rPr>
          <w:rFonts w:eastAsiaTheme="minorEastAsia"/>
        </w:rPr>
      </w:pPr>
      <w:r w:rsidRPr="00D747CA">
        <w:t xml:space="preserve">Figure </w:t>
      </w:r>
      <w:r w:rsidR="00BF2030">
        <w:t>6</w:t>
      </w:r>
      <w:r w:rsidRPr="00D747CA">
        <w:rPr>
          <w:rFonts w:eastAsiaTheme="minorEastAsia"/>
        </w:rPr>
        <w:tab/>
      </w:r>
      <w:r w:rsidRPr="00D747CA">
        <w:t>Part 37 Subpart A, B or C Finding SDP Flowchart</w:t>
      </w:r>
      <w:r w:rsidRPr="00D747CA">
        <w:tab/>
      </w:r>
      <w:r w:rsidR="004C21DB">
        <w:t>1</w:t>
      </w:r>
      <w:r w:rsidR="00BF2030">
        <w:t>8</w:t>
      </w:r>
    </w:p>
    <w:p w14:paraId="0D6A0048" w14:textId="282F4BDB" w:rsidR="00D747CA" w:rsidRPr="00D747CA" w:rsidRDefault="00D747CA" w:rsidP="00AB1288">
      <w:pPr>
        <w:pStyle w:val="TOC1"/>
        <w:rPr>
          <w:rFonts w:eastAsiaTheme="minorEastAsia"/>
        </w:rPr>
      </w:pPr>
      <w:r w:rsidRPr="00D747CA">
        <w:t xml:space="preserve">Figure </w:t>
      </w:r>
      <w:r w:rsidR="00BF2030">
        <w:t>7</w:t>
      </w:r>
      <w:r w:rsidR="007D3CB4" w:rsidRPr="00D747CA">
        <w:t xml:space="preserve"> </w:t>
      </w:r>
      <w:r w:rsidRPr="00D747CA">
        <w:rPr>
          <w:rFonts w:eastAsiaTheme="minorEastAsia"/>
        </w:rPr>
        <w:tab/>
      </w:r>
      <w:r w:rsidRPr="00D747CA">
        <w:t>Part 37 Subpart D Finding SDP Flowchart</w:t>
      </w:r>
      <w:r w:rsidRPr="00D747CA">
        <w:tab/>
      </w:r>
      <w:r w:rsidR="004C21DB">
        <w:t>1</w:t>
      </w:r>
      <w:r w:rsidR="00BF2030">
        <w:t>9</w:t>
      </w:r>
    </w:p>
    <w:p w14:paraId="6284FA3C" w14:textId="5B9ABF37" w:rsidR="006843BE" w:rsidRDefault="00D747CA" w:rsidP="004D782A">
      <w:pPr>
        <w:pStyle w:val="TOC1"/>
        <w:tabs>
          <w:tab w:val="clear" w:pos="9350"/>
          <w:tab w:val="left" w:pos="7000"/>
        </w:tabs>
      </w:pPr>
      <w:r w:rsidRPr="00D747CA">
        <w:rPr>
          <w:color w:val="000000"/>
        </w:rPr>
        <w:tab/>
      </w:r>
      <w:r>
        <w:fldChar w:fldCharType="end"/>
      </w:r>
      <w:r w:rsidR="004D782A">
        <w:tab/>
      </w:r>
    </w:p>
    <w:p w14:paraId="76945240" w14:textId="3324479A" w:rsidR="00643FC4" w:rsidRDefault="00643FC4" w:rsidP="00643FC4"/>
    <w:p w14:paraId="11DBBD95" w14:textId="723605B6" w:rsidR="00643FC4" w:rsidRPr="00643FC4" w:rsidRDefault="00643FC4" w:rsidP="00643FC4">
      <w:r w:rsidRPr="00643FC4">
        <w:t>ATTACHMENTS</w:t>
      </w:r>
    </w:p>
    <w:p w14:paraId="092DF770" w14:textId="5AA68F0C" w:rsidR="00643FC4" w:rsidRPr="00643FC4" w:rsidRDefault="004D782A" w:rsidP="004D782A">
      <w:pPr>
        <w:tabs>
          <w:tab w:val="left" w:pos="6574"/>
        </w:tabs>
      </w:pPr>
      <w:r>
        <w:tab/>
      </w:r>
    </w:p>
    <w:p w14:paraId="45BC743C" w14:textId="24D70F66" w:rsidR="00643FC4" w:rsidRPr="00643FC4" w:rsidRDefault="007F3892" w:rsidP="00643FC4">
      <w:r w:rsidRPr="00DD04C2">
        <w:t>Attachment 1   Revision History Table</w:t>
      </w:r>
      <w:r>
        <w:t>……………………………………………………………Att1-1</w:t>
      </w:r>
    </w:p>
    <w:p w14:paraId="34E0E6C5" w14:textId="77777777" w:rsidR="00AB1288" w:rsidRDefault="00AB1288">
      <w:pPr>
        <w:widowControl/>
        <w:autoSpaceDE/>
        <w:autoSpaceDN/>
        <w:adjustRightInd/>
        <w:sectPr w:rsidR="00AB1288" w:rsidSect="00AD35B6">
          <w:headerReference w:type="default" r:id="rId13"/>
          <w:footerReference w:type="default" r:id="rId14"/>
          <w:pgSz w:w="12240" w:h="15840"/>
          <w:pgMar w:top="1440" w:right="1440" w:bottom="1440" w:left="1440" w:header="720" w:footer="720" w:gutter="0"/>
          <w:pgNumType w:fmt="lowerRoman" w:start="1"/>
          <w:cols w:space="720"/>
          <w:noEndnote/>
          <w:docGrid w:linePitch="326"/>
        </w:sectPr>
      </w:pPr>
    </w:p>
    <w:p w14:paraId="259F215E" w14:textId="57B9B1DC" w:rsidR="00F45464" w:rsidRPr="0099555C" w:rsidRDefault="00F45464" w:rsidP="00CA67BD">
      <w:pPr>
        <w:pStyle w:val="TOCLevel1"/>
      </w:pPr>
      <w:bookmarkStart w:id="0" w:name="_Toc58853596"/>
      <w:bookmarkStart w:id="1" w:name="_Toc58854258"/>
      <w:bookmarkStart w:id="2" w:name="_Toc58854390"/>
      <w:bookmarkStart w:id="3" w:name="_Toc58854567"/>
      <w:r w:rsidRPr="0099555C">
        <w:lastRenderedPageBreak/>
        <w:t>0609D-01</w:t>
      </w:r>
      <w:r w:rsidRPr="0099555C">
        <w:tab/>
        <w:t>INTRODUCTION</w:t>
      </w:r>
      <w:bookmarkEnd w:id="0"/>
      <w:bookmarkEnd w:id="1"/>
      <w:bookmarkEnd w:id="2"/>
      <w:bookmarkEnd w:id="3"/>
      <w:r w:rsidR="00E050BE">
        <w:fldChar w:fldCharType="begin"/>
      </w:r>
      <w:r w:rsidR="00E050BE">
        <w:instrText xml:space="preserve"> TC "</w:instrText>
      </w:r>
      <w:bookmarkStart w:id="4" w:name="_Toc58919254"/>
      <w:bookmarkStart w:id="5" w:name="_Toc58919591"/>
      <w:bookmarkStart w:id="6" w:name="_Toc58919684"/>
      <w:bookmarkStart w:id="7" w:name="_Toc58919753"/>
      <w:r w:rsidR="00E050BE" w:rsidRPr="00136791">
        <w:instrText>0609D-01</w:instrText>
      </w:r>
      <w:r w:rsidR="00E050BE" w:rsidRPr="00136791">
        <w:tab/>
        <w:instrText>INTRODUCTION</w:instrText>
      </w:r>
      <w:bookmarkEnd w:id="4"/>
      <w:bookmarkEnd w:id="5"/>
      <w:bookmarkEnd w:id="6"/>
      <w:bookmarkEnd w:id="7"/>
      <w:r w:rsidR="00E050BE">
        <w:instrText xml:space="preserve">" \f C \l "1" </w:instrText>
      </w:r>
      <w:r w:rsidR="00E050BE">
        <w:fldChar w:fldCharType="end"/>
      </w:r>
    </w:p>
    <w:p w14:paraId="51552B1F" w14:textId="77777777" w:rsidR="00F367F9" w:rsidRPr="0099555C" w:rsidRDefault="00F367F9"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6847B0" w14:textId="7185E917" w:rsidR="00EE76AD" w:rsidRPr="0099555C" w:rsidRDefault="008C58FC"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555C">
        <w:t>The significance determination process (SDP) in this Appendix provide</w:t>
      </w:r>
      <w:r w:rsidR="008A01D5" w:rsidRPr="0099555C">
        <w:t>s</w:t>
      </w:r>
      <w:r w:rsidRPr="0099555C">
        <w:t xml:space="preserve"> a means </w:t>
      </w:r>
      <w:r w:rsidR="008A01D5" w:rsidRPr="0099555C">
        <w:t>for</w:t>
      </w:r>
      <w:r w:rsidRPr="0099555C">
        <w:t xml:space="preserve"> NRC </w:t>
      </w:r>
      <w:r w:rsidR="00334B42" w:rsidRPr="0099555C">
        <w:t>staff</w:t>
      </w:r>
      <w:r w:rsidRPr="0099555C">
        <w:t xml:space="preserve"> </w:t>
      </w:r>
      <w:r w:rsidR="008A01D5" w:rsidRPr="0099555C">
        <w:t>to</w:t>
      </w:r>
      <w:r w:rsidRPr="0099555C">
        <w:t xml:space="preserve"> assess the significance of inspection findings </w:t>
      </w:r>
      <w:r w:rsidR="00D62F2F" w:rsidRPr="0099555C">
        <w:t>within the Public Radiation Safety Cornerstone</w:t>
      </w:r>
      <w:r w:rsidRPr="0099555C">
        <w:t>.</w:t>
      </w:r>
      <w:r w:rsidR="001C1DE3" w:rsidRPr="0099555C">
        <w:t xml:space="preserve">  </w:t>
      </w:r>
      <w:r w:rsidR="00230C6D" w:rsidRPr="0099555C">
        <w:t>The SDP is depicted as a set of interconnected diagrams that provide risk-informed</w:t>
      </w:r>
      <w:r w:rsidR="008A01D5" w:rsidRPr="0099555C">
        <w:t xml:space="preserve"> decision</w:t>
      </w:r>
      <w:r w:rsidR="00825BDB">
        <w:noBreakHyphen/>
      </w:r>
      <w:r w:rsidR="008A01D5" w:rsidRPr="0099555C">
        <w:t>making</w:t>
      </w:r>
      <w:r w:rsidR="00230C6D" w:rsidRPr="0099555C">
        <w:t xml:space="preserve"> criteria for dispositioning inspection findings.  </w:t>
      </w:r>
      <w:r w:rsidR="00D62F2F" w:rsidRPr="0099555C">
        <w:t xml:space="preserve">A single issue </w:t>
      </w:r>
      <w:r w:rsidR="008A01D5" w:rsidRPr="0099555C">
        <w:t>should</w:t>
      </w:r>
      <w:r w:rsidR="00D62F2F" w:rsidRPr="0099555C">
        <w:t xml:space="preserve"> be evaluated using all applicable branches of the SDP with the </w:t>
      </w:r>
      <w:r w:rsidR="005325F7" w:rsidRPr="0099555C">
        <w:t xml:space="preserve">final </w:t>
      </w:r>
      <w:r w:rsidR="00D62F2F" w:rsidRPr="0099555C">
        <w:t xml:space="preserve">significance determined by the outcome that provides the highest significance.  The diagrams </w:t>
      </w:r>
      <w:r w:rsidR="0016541D">
        <w:t>shall</w:t>
      </w:r>
      <w:r w:rsidR="00D62F2F" w:rsidRPr="0099555C">
        <w:t xml:space="preserve"> be used in conjunction with the</w:t>
      </w:r>
      <w:r w:rsidR="0016541D">
        <w:t xml:space="preserve"> relevant</w:t>
      </w:r>
      <w:r w:rsidR="00D62F2F" w:rsidRPr="0099555C">
        <w:t xml:space="preserve"> text in the body of this document</w:t>
      </w:r>
      <w:r w:rsidR="0016541D">
        <w:t>.  T</w:t>
      </w:r>
      <w:r w:rsidR="00D62F2F" w:rsidRPr="0099555C">
        <w:t>he basis to this SDP</w:t>
      </w:r>
      <w:r w:rsidR="0016541D">
        <w:t xml:space="preserve"> can be found in</w:t>
      </w:r>
      <w:r w:rsidR="00D62F2F" w:rsidRPr="0099555C">
        <w:t>, IMC 0308, Attachment 3, Appendix D, “Technical Basis for Public Radiation Safety Significance Determination Process.”</w:t>
      </w:r>
    </w:p>
    <w:p w14:paraId="1A6FFECE" w14:textId="77777777" w:rsidR="00180771" w:rsidRPr="00117530" w:rsidRDefault="00180771"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3284DB" w14:textId="67791368" w:rsidR="00E33C5A" w:rsidRPr="00117530" w:rsidRDefault="00E33C5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5F931795" w14:textId="586E8216" w:rsidR="005A151F" w:rsidRPr="00117530" w:rsidRDefault="00F367F9" w:rsidP="00CA67BD">
      <w:pPr>
        <w:pStyle w:val="TOCLevel1"/>
      </w:pPr>
      <w:bookmarkStart w:id="8" w:name="_Toc58853597"/>
      <w:bookmarkStart w:id="9" w:name="_Toc58854259"/>
      <w:bookmarkStart w:id="10" w:name="_Toc58854391"/>
      <w:bookmarkStart w:id="11" w:name="_Toc58854568"/>
      <w:r w:rsidRPr="00117530">
        <w:t>0609D-02</w:t>
      </w:r>
      <w:r w:rsidRPr="00117530">
        <w:tab/>
        <w:t>GUIDANCE</w:t>
      </w:r>
      <w:bookmarkEnd w:id="8"/>
      <w:bookmarkEnd w:id="9"/>
      <w:bookmarkEnd w:id="10"/>
      <w:bookmarkEnd w:id="11"/>
      <w:r w:rsidR="00E050BE">
        <w:fldChar w:fldCharType="begin"/>
      </w:r>
      <w:r w:rsidR="00E050BE">
        <w:instrText xml:space="preserve"> TC "</w:instrText>
      </w:r>
      <w:bookmarkStart w:id="12" w:name="_Toc58919255"/>
      <w:bookmarkStart w:id="13" w:name="_Toc58919592"/>
      <w:bookmarkStart w:id="14" w:name="_Toc58919685"/>
      <w:bookmarkStart w:id="15" w:name="_Toc58919754"/>
      <w:r w:rsidR="00E050BE" w:rsidRPr="00136791">
        <w:instrText>0609D-02</w:instrText>
      </w:r>
      <w:r w:rsidR="00E050BE" w:rsidRPr="00136791">
        <w:tab/>
        <w:instrText>GUIDANCE</w:instrText>
      </w:r>
      <w:bookmarkEnd w:id="12"/>
      <w:bookmarkEnd w:id="13"/>
      <w:bookmarkEnd w:id="14"/>
      <w:bookmarkEnd w:id="15"/>
      <w:r w:rsidR="00E050BE">
        <w:instrText xml:space="preserve">" \f C \l "1" </w:instrText>
      </w:r>
      <w:r w:rsidR="00E050BE">
        <w:fldChar w:fldCharType="end"/>
      </w:r>
    </w:p>
    <w:p w14:paraId="7EC2056C" w14:textId="73249D70" w:rsidR="00F367F9" w:rsidRPr="00117530" w:rsidRDefault="00F367F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28FC97A8" w14:textId="07B4B473" w:rsidR="00AE4442" w:rsidRPr="00117530" w:rsidRDefault="00F367F9" w:rsidP="00CA67BD">
      <w:pPr>
        <w:pStyle w:val="TOCLevel1"/>
      </w:pPr>
      <w:bookmarkStart w:id="16" w:name="_Toc58853598"/>
      <w:bookmarkStart w:id="17" w:name="_Toc58854260"/>
      <w:bookmarkStart w:id="18" w:name="_Toc58854392"/>
      <w:bookmarkStart w:id="19" w:name="_Toc58854569"/>
      <w:r w:rsidRPr="00117530">
        <w:t>02.01</w:t>
      </w:r>
      <w:r w:rsidRPr="00117530">
        <w:tab/>
      </w:r>
      <w:r w:rsidR="00117530" w:rsidRPr="00561EC6">
        <w:rPr>
          <w:u w:val="single"/>
        </w:rPr>
        <w:t>Radioactive Effluent Release Program</w:t>
      </w:r>
      <w:bookmarkEnd w:id="16"/>
      <w:bookmarkEnd w:id="17"/>
      <w:bookmarkEnd w:id="18"/>
      <w:bookmarkEnd w:id="19"/>
      <w:r w:rsidR="00E050BE">
        <w:rPr>
          <w:u w:val="single"/>
        </w:rPr>
        <w:fldChar w:fldCharType="begin"/>
      </w:r>
      <w:r w:rsidR="00E050BE">
        <w:instrText xml:space="preserve"> TC "</w:instrText>
      </w:r>
      <w:bookmarkStart w:id="20" w:name="_Toc58919256"/>
      <w:bookmarkStart w:id="21" w:name="_Toc58919593"/>
      <w:bookmarkStart w:id="22" w:name="_Toc58919686"/>
      <w:bookmarkStart w:id="23" w:name="_Toc58919755"/>
      <w:r w:rsidR="00E050BE" w:rsidRPr="00136791">
        <w:instrText>02.01</w:instrText>
      </w:r>
      <w:r w:rsidR="00E050BE" w:rsidRPr="00136791">
        <w:tab/>
      </w:r>
      <w:r w:rsidR="00E050BE" w:rsidRPr="00136791">
        <w:rPr>
          <w:u w:val="single"/>
        </w:rPr>
        <w:instrText>Radioactive Effluent Release Program</w:instrText>
      </w:r>
      <w:bookmarkEnd w:id="20"/>
      <w:bookmarkEnd w:id="21"/>
      <w:bookmarkEnd w:id="22"/>
      <w:bookmarkEnd w:id="23"/>
      <w:r w:rsidR="00E050BE">
        <w:instrText xml:space="preserve">" \f C \l "2" </w:instrText>
      </w:r>
      <w:r w:rsidR="00E050BE">
        <w:rPr>
          <w:u w:val="single"/>
        </w:rPr>
        <w:fldChar w:fldCharType="end"/>
      </w:r>
    </w:p>
    <w:p w14:paraId="7D52CA6A" w14:textId="77777777" w:rsidR="00AE4442" w:rsidRPr="0099555C"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A3986D" w14:textId="7C328CAF" w:rsidR="00F54510" w:rsidRPr="00C42D43" w:rsidRDefault="00AE4442"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Th</w:t>
      </w:r>
      <w:r w:rsidR="00985E24" w:rsidRPr="001C5D96">
        <w:t>e</w:t>
      </w:r>
      <w:r w:rsidRPr="001C5D96">
        <w:t xml:space="preserve"> </w:t>
      </w:r>
      <w:r w:rsidR="008C58FC" w:rsidRPr="001C5D96">
        <w:t xml:space="preserve">Radioactive Effluent Release </w:t>
      </w:r>
      <w:r w:rsidRPr="001C5D96">
        <w:t xml:space="preserve">branch of the </w:t>
      </w:r>
      <w:r w:rsidR="00230C6D" w:rsidRPr="001C5D96">
        <w:t>SDP</w:t>
      </w:r>
      <w:r w:rsidR="00554F65">
        <w:t xml:space="preserve"> (see Figure 1)</w:t>
      </w:r>
      <w:r w:rsidRPr="001C5D96">
        <w:t xml:space="preserve"> focuses on the licensee</w:t>
      </w:r>
      <w:r w:rsidR="00C204D3" w:rsidRPr="001C5D96">
        <w:t>’</w:t>
      </w:r>
      <w:r w:rsidRPr="001C5D96">
        <w:t>s routine (i.e., non-accident) radioactive effluent release program.</w:t>
      </w:r>
      <w:r w:rsidR="009D3E09" w:rsidRPr="001C5D96">
        <w:t xml:space="preserve">  Issues involving radioactive effluent releases resulting from accident</w:t>
      </w:r>
      <w:r w:rsidR="00230C6D" w:rsidRPr="001C5D96">
        <w:t>s</w:t>
      </w:r>
      <w:r w:rsidR="009D3E09" w:rsidRPr="001C5D96">
        <w:t xml:space="preserve"> are addressed</w:t>
      </w:r>
      <w:r w:rsidR="00230C6D" w:rsidRPr="001C5D96">
        <w:t xml:space="preserve"> </w:t>
      </w:r>
      <w:r w:rsidR="009D3E09" w:rsidRPr="001C5D96">
        <w:t>per the NRC Enforcement Policy.</w:t>
      </w:r>
      <w:r w:rsidR="00CC5DEE" w:rsidRPr="001C5D96">
        <w:t xml:space="preserve">  </w:t>
      </w:r>
      <w:r w:rsidR="008C58FC" w:rsidRPr="001C5D96">
        <w:t xml:space="preserve">This </w:t>
      </w:r>
      <w:r w:rsidR="000E7243" w:rsidRPr="001C5D96">
        <w:t xml:space="preserve">branch of the SDP </w:t>
      </w:r>
      <w:r w:rsidR="008C58FC" w:rsidRPr="001C5D96">
        <w:t xml:space="preserve">addresses </w:t>
      </w:r>
      <w:r w:rsidR="000B234E" w:rsidRPr="001C5D96">
        <w:t>findings</w:t>
      </w:r>
      <w:r w:rsidR="008C58FC" w:rsidRPr="001C5D96">
        <w:t xml:space="preserve"> </w:t>
      </w:r>
      <w:r w:rsidR="00F56C42" w:rsidRPr="001C5D96">
        <w:t>involving</w:t>
      </w:r>
      <w:r w:rsidR="008C58FC" w:rsidRPr="001C5D96">
        <w:t xml:space="preserve"> radioactive effluents, leaks and spills and direct radiation from the facility. </w:t>
      </w:r>
      <w:r w:rsidRPr="001C5D96">
        <w:t xml:space="preserve"> It assesses the </w:t>
      </w:r>
      <w:r w:rsidR="009750E7" w:rsidRPr="001C5D96">
        <w:t>licensee’s</w:t>
      </w:r>
      <w:r w:rsidRPr="001C5D96">
        <w:t xml:space="preserve"> ability to monitor and maintain radioactive effluents </w:t>
      </w:r>
      <w:r w:rsidR="00C17124" w:rsidRPr="001C5D96">
        <w:t>at</w:t>
      </w:r>
      <w:r w:rsidR="00AF4738" w:rsidRPr="001C5D96">
        <w:t xml:space="preserve"> levels that are </w:t>
      </w:r>
      <w:r w:rsidR="00985E24" w:rsidRPr="001C5D96">
        <w:t>as low as is reasonably achievable (</w:t>
      </w:r>
      <w:r w:rsidRPr="001C5D96">
        <w:t>ALARA</w:t>
      </w:r>
      <w:r w:rsidR="00985E24" w:rsidRPr="001C5D96">
        <w:t>)</w:t>
      </w:r>
      <w:r w:rsidRPr="001C5D96">
        <w:t xml:space="preserve"> </w:t>
      </w:r>
      <w:r w:rsidR="00AF4738" w:rsidRPr="001C5D96">
        <w:t>as demonstrated by</w:t>
      </w:r>
      <w:r w:rsidR="00985E24" w:rsidRPr="001C5D96">
        <w:t xml:space="preserve"> radioactive effluents </w:t>
      </w:r>
      <w:r w:rsidR="00AF4738" w:rsidRPr="001C5D96">
        <w:t>being</w:t>
      </w:r>
      <w:r w:rsidRPr="001C5D96">
        <w:t xml:space="preserve"> </w:t>
      </w:r>
      <w:r w:rsidR="00723269" w:rsidRPr="001C5D96">
        <w:t xml:space="preserve">within </w:t>
      </w:r>
      <w:r w:rsidRPr="001C5D96">
        <w:t xml:space="preserve">the design dose objectives contained in Appendix I to 10 CFR Part 50 and </w:t>
      </w:r>
      <w:r w:rsidR="00AF4738" w:rsidRPr="001C5D96">
        <w:t>the U.S. Environmental Protection Agenc</w:t>
      </w:r>
      <w:r w:rsidR="00440A3E" w:rsidRPr="001C5D96">
        <w:t>y’</w:t>
      </w:r>
      <w:r w:rsidR="00AF4738" w:rsidRPr="001C5D96">
        <w:t>s</w:t>
      </w:r>
      <w:r w:rsidR="00737EFD" w:rsidRPr="001C5D96">
        <w:t xml:space="preserve"> (EPA)</w:t>
      </w:r>
      <w:r w:rsidR="00AF4738" w:rsidRPr="001C5D96">
        <w:t xml:space="preserve"> standards </w:t>
      </w:r>
      <w:r w:rsidR="00737EFD" w:rsidRPr="001C5D96">
        <w:t xml:space="preserve">pursuant to </w:t>
      </w:r>
      <w:r w:rsidRPr="001C5D96">
        <w:t>10 CFR 20.</w:t>
      </w:r>
      <w:r w:rsidR="00C200B1" w:rsidRPr="001C5D96">
        <w:t>1301</w:t>
      </w:r>
      <w:r w:rsidR="008C58FC" w:rsidRPr="001C5D96">
        <w:t>(e)</w:t>
      </w:r>
      <w:r w:rsidRPr="001C5D96">
        <w:t xml:space="preserve">. </w:t>
      </w:r>
      <w:r w:rsidR="00CC5DEE" w:rsidRPr="001C5D96">
        <w:t xml:space="preserve"> </w:t>
      </w:r>
      <w:r w:rsidR="00F54510" w:rsidRPr="001C5D96">
        <w:t xml:space="preserve">Inspection findings </w:t>
      </w:r>
      <w:r w:rsidR="004718E4" w:rsidRPr="001C5D96">
        <w:t>involving</w:t>
      </w:r>
      <w:r w:rsidR="00F54510" w:rsidRPr="001C5D96">
        <w:t xml:space="preserve"> </w:t>
      </w:r>
      <w:r w:rsidR="004718E4" w:rsidRPr="001C5D96">
        <w:t xml:space="preserve">deficiencies in </w:t>
      </w:r>
      <w:r w:rsidR="00F54510" w:rsidRPr="001C5D96">
        <w:t xml:space="preserve">monitoring and reporting radioactive effluent releases, performing direct radiation </w:t>
      </w:r>
      <w:proofErr w:type="gramStart"/>
      <w:r w:rsidR="00F54510" w:rsidRPr="001C5D96">
        <w:t>measurements</w:t>
      </w:r>
      <w:proofErr w:type="gramEnd"/>
      <w:r w:rsidR="00F54510" w:rsidRPr="001C5D96">
        <w:t xml:space="preserve"> and completing evaluations of doses to members of the public will be evaluated through this branch of the SDP.</w:t>
      </w:r>
    </w:p>
    <w:p w14:paraId="59C94B2C" w14:textId="250B0EA4" w:rsidR="00293699" w:rsidRPr="001C5D96" w:rsidRDefault="0029369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CDD07E" w14:textId="629020ED" w:rsidR="00AE4442" w:rsidRPr="001C5D96" w:rsidRDefault="008C58F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If the dose impact to a member of the public from the radiological release, spill or leak </w:t>
      </w:r>
      <w:r w:rsidR="00046FF4" w:rsidRPr="001C5D96">
        <w:t>did not exceed the</w:t>
      </w:r>
      <w:r w:rsidRPr="001C5D96">
        <w:t xml:space="preserve"> dose values in Appendix I to 10 CFR Part 50 and/or 10 CFR 20.1301(e), then there is </w:t>
      </w:r>
      <w:r w:rsidR="00F76232" w:rsidRPr="001C5D96">
        <w:t xml:space="preserve">a very low radiological </w:t>
      </w:r>
      <w:r w:rsidR="00EC6D0E" w:rsidRPr="001C5D96">
        <w:t>significance,</w:t>
      </w:r>
      <w:r w:rsidRPr="001C5D96">
        <w:t xml:space="preserve"> and the SDP classifies </w:t>
      </w:r>
      <w:r w:rsidR="000B234E" w:rsidRPr="001C5D96">
        <w:t>this finding</w:t>
      </w:r>
      <w:r w:rsidRPr="001C5D96">
        <w:t xml:space="preserve"> as G</w:t>
      </w:r>
      <w:r w:rsidR="00942B2D">
        <w:t>reen</w:t>
      </w:r>
      <w:r w:rsidRPr="001C5D96">
        <w:t>.</w:t>
      </w:r>
    </w:p>
    <w:p w14:paraId="4DC912C7" w14:textId="77777777" w:rsidR="0040697D" w:rsidRPr="001C5D96"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96751D" w14:textId="4860606B" w:rsidR="008C58FC" w:rsidRPr="001C5D96" w:rsidRDefault="008C58F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If the licensee has a substantial failure to implement the radioactive effluent release program, then the finding would be </w:t>
      </w:r>
      <w:r w:rsidR="00942B2D">
        <w:t>White</w:t>
      </w:r>
      <w:r w:rsidRPr="001C5D96">
        <w:t xml:space="preserve">.  Failure to identify a </w:t>
      </w:r>
      <w:r w:rsidR="00CC5DEE" w:rsidRPr="001C5D96">
        <w:t>significant</w:t>
      </w:r>
      <w:r w:rsidR="00F271F7">
        <w:t xml:space="preserve"> radiological</w:t>
      </w:r>
      <w:r w:rsidR="00CC5DEE" w:rsidRPr="001C5D96">
        <w:t xml:space="preserve"> </w:t>
      </w:r>
      <w:r w:rsidRPr="001C5D96">
        <w:t>release event</w:t>
      </w:r>
      <w:r w:rsidR="00E156E0" w:rsidRPr="001C5D96">
        <w:t xml:space="preserve"> or</w:t>
      </w:r>
      <w:r w:rsidRPr="001C5D96">
        <w:t xml:space="preserve"> assess the dose consequences and the impact to the environment in a timely manner, consistent with ODCM requirements, could be considered a substantial failure to implement the radioactive effluent release program.</w:t>
      </w:r>
    </w:p>
    <w:p w14:paraId="1217D971" w14:textId="77777777" w:rsidR="008C58FC" w:rsidRPr="001C5D96" w:rsidRDefault="008C58F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FD79DA" w14:textId="77777777" w:rsidR="008C58FC" w:rsidRPr="001C5D96" w:rsidRDefault="008C58FC"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42D43">
        <w:rPr>
          <w:lang w:val="en-CA"/>
        </w:rPr>
        <w:fldChar w:fldCharType="begin"/>
      </w:r>
      <w:r w:rsidRPr="00C42D43">
        <w:rPr>
          <w:lang w:val="en-CA"/>
        </w:rPr>
        <w:instrText xml:space="preserve"> SEQ CHAPTER \h \r 1</w:instrText>
      </w:r>
      <w:r w:rsidRPr="00C42D43">
        <w:rPr>
          <w:lang w:val="en-CA"/>
        </w:rPr>
        <w:fldChar w:fldCharType="end"/>
      </w:r>
      <w:r w:rsidRPr="001C5D96">
        <w:t>Examples of a substantial failure to implement the radioactive effluent release program are:</w:t>
      </w:r>
    </w:p>
    <w:p w14:paraId="123863B5" w14:textId="77777777" w:rsidR="008C58FC" w:rsidRPr="001C5D96" w:rsidRDefault="008C58FC"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55E37C" w14:textId="46BE9E74" w:rsidR="008C58FC" w:rsidRPr="001C5D96" w:rsidRDefault="008C58FC" w:rsidP="0031608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1C5D96">
        <w:t xml:space="preserve">Significant deficiency in implementing the effluent release program as defined in the plant’s </w:t>
      </w:r>
      <w:r w:rsidR="00F21552" w:rsidRPr="001C5D96">
        <w:t>T</w:t>
      </w:r>
      <w:r w:rsidRPr="001C5D96">
        <w:t xml:space="preserve">echnical </w:t>
      </w:r>
      <w:r w:rsidR="00F21552" w:rsidRPr="001C5D96">
        <w:t>S</w:t>
      </w:r>
      <w:r w:rsidRPr="001C5D96">
        <w:t>pecifications, resulting in the gross inability or gross inaccuracy in characterizing an effluent release</w:t>
      </w:r>
    </w:p>
    <w:p w14:paraId="3204BF86" w14:textId="0EF529D4" w:rsidR="008C58FC" w:rsidRPr="001C5D96" w:rsidRDefault="008C58FC" w:rsidP="0031608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1C5D96">
        <w:t>Significant deficiency in evaluating an effluent release (either planned or unplanned) where the resulting dose has been grossly underestimated</w:t>
      </w:r>
    </w:p>
    <w:p w14:paraId="7B344959" w14:textId="66F3B24D" w:rsidR="008C58FC" w:rsidRPr="001C5D96" w:rsidRDefault="008C58FC" w:rsidP="0031608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1C5D96">
        <w:t>Significant deficiency in calibrating effluent monitors used to assess effluent releases, resulting in a gross inability or gross inaccuracy in characterizing an effluent release</w:t>
      </w:r>
    </w:p>
    <w:p w14:paraId="1FEEDB16" w14:textId="204F6CAB" w:rsidR="008C58FC" w:rsidRPr="001C5D96" w:rsidRDefault="008C58FC" w:rsidP="0031608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1C5D96">
        <w:t>Failure to have any data by which to assess the dose to a member of the public from an effluent release (i.e., no monitor data, no independent sample data, no actual release sample data, etc.)</w:t>
      </w:r>
    </w:p>
    <w:p w14:paraId="6143F362" w14:textId="77777777" w:rsidR="00351C3C" w:rsidRDefault="00351C3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57A94B" w14:textId="494DFA10" w:rsidR="0018159E" w:rsidRDefault="005A01DB"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Note:</w:t>
      </w:r>
      <w:r w:rsidR="00351C3C">
        <w:t xml:space="preserve"> </w:t>
      </w:r>
      <w:r w:rsidR="00CC747A">
        <w:t xml:space="preserve"> </w:t>
      </w:r>
      <w:r w:rsidR="00351C3C">
        <w:t>See</w:t>
      </w:r>
      <w:r w:rsidR="0074685F">
        <w:t xml:space="preserve"> </w:t>
      </w:r>
      <w:r w:rsidR="007A28C7">
        <w:t xml:space="preserve">section 02.01 of </w:t>
      </w:r>
      <w:r w:rsidR="0074685F">
        <w:t>IMC 0308</w:t>
      </w:r>
      <w:r w:rsidR="00EC6D0E">
        <w:t>,</w:t>
      </w:r>
      <w:r w:rsidR="0074685F">
        <w:t xml:space="preserve"> Attachment 3</w:t>
      </w:r>
      <w:r w:rsidR="00EC6D0E">
        <w:t>,</w:t>
      </w:r>
      <w:r w:rsidR="0074685F">
        <w:t xml:space="preserve"> Appendix D for additional </w:t>
      </w:r>
      <w:r w:rsidR="00A95B48">
        <w:t xml:space="preserve">information regarding </w:t>
      </w:r>
      <w:r w:rsidR="009A54D3">
        <w:t>the basis</w:t>
      </w:r>
      <w:r w:rsidR="00CE0EFE">
        <w:t xml:space="preserve"> for issuing</w:t>
      </w:r>
      <w:r w:rsidR="00DE5BC5">
        <w:t xml:space="preserve"> a White finding </w:t>
      </w:r>
      <w:r w:rsidR="0019665C">
        <w:t xml:space="preserve">for </w:t>
      </w:r>
      <w:r w:rsidR="003C1CDC">
        <w:t>substantial</w:t>
      </w:r>
      <w:r w:rsidR="00C15915">
        <w:t xml:space="preserve"> failures to implement the radioactive effluent release program.</w:t>
      </w:r>
    </w:p>
    <w:p w14:paraId="152714D8" w14:textId="77777777" w:rsidR="005A01DB" w:rsidRPr="001C5D96" w:rsidRDefault="005A01DB"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0674F8" w14:textId="77777777" w:rsidR="008C58FC" w:rsidRPr="001C5D96" w:rsidRDefault="00AA7B7B"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gramStart"/>
      <w:r w:rsidRPr="001C5D96">
        <w:t>Usually</w:t>
      </w:r>
      <w:proofErr w:type="gramEnd"/>
      <w:r w:rsidRPr="001C5D96">
        <w:t xml:space="preserve"> the licensee has enough plant data (</w:t>
      </w:r>
      <w:r w:rsidR="0049400D" w:rsidRPr="001C5D96">
        <w:t>e.g</w:t>
      </w:r>
      <w:r w:rsidRPr="001C5D96">
        <w:t xml:space="preserve">., from tank volumes and periodic sample analysis of the radioactive material in the tank) to reconstruct a source term and calculate a bounding dose from the unmonitored release.  </w:t>
      </w:r>
      <w:r w:rsidR="008C58FC" w:rsidRPr="001C5D96">
        <w:t>A failure to properly calibrate an instrument or adequately train an individual on effluent monitor calibration or usage would usually not result in the White finding.</w:t>
      </w:r>
    </w:p>
    <w:p w14:paraId="49C215F3"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D0EC89" w14:textId="25EEB5FD"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If the event resulted in an effluent release of radioactive material that, based on the methodology in the licensee</w:t>
      </w:r>
      <w:r w:rsidR="000B234E" w:rsidRPr="001C5D96">
        <w:t>’</w:t>
      </w:r>
      <w:r w:rsidRPr="001C5D96">
        <w:t>s ODCM, exceeded the dose values in Appendix I to 10</w:t>
      </w:r>
      <w:r w:rsidR="00F942B2" w:rsidRPr="001C5D96">
        <w:t> </w:t>
      </w:r>
      <w:r w:rsidRPr="001C5D96">
        <w:t>CFR</w:t>
      </w:r>
      <w:r w:rsidR="00F942B2" w:rsidRPr="001C5D96">
        <w:t> </w:t>
      </w:r>
      <w:r w:rsidRPr="001C5D96">
        <w:t>Part</w:t>
      </w:r>
      <w:r w:rsidR="00F942B2" w:rsidRPr="001C5D96">
        <w:t> </w:t>
      </w:r>
      <w:r w:rsidRPr="001C5D96">
        <w:t>50 and/or 10 CFR 20.1301</w:t>
      </w:r>
      <w:r w:rsidR="008C58FC" w:rsidRPr="001C5D96">
        <w:t>(e)</w:t>
      </w:r>
      <w:r w:rsidRPr="001C5D96">
        <w:t xml:space="preserve"> but </w:t>
      </w:r>
      <w:r w:rsidR="00046FF4" w:rsidRPr="001C5D96">
        <w:t>did not exceed</w:t>
      </w:r>
      <w:r w:rsidRPr="001C5D96">
        <w:t xml:space="preserve"> 0.1 rem, the SDP classifies the event as W</w:t>
      </w:r>
      <w:r w:rsidR="0062527D" w:rsidRPr="001C5D96">
        <w:t>hite</w:t>
      </w:r>
      <w:r w:rsidRPr="001C5D96">
        <w:t>.</w:t>
      </w:r>
    </w:p>
    <w:p w14:paraId="2B0F14C5"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9C8A9A" w14:textId="598B3C79"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If the event resulted in effluent release of radioactive material that, based on the methodology in the licensee</w:t>
      </w:r>
      <w:r w:rsidR="000B234E" w:rsidRPr="001C5D96">
        <w:t>’</w:t>
      </w:r>
      <w:r w:rsidRPr="001C5D96">
        <w:t xml:space="preserve">s ODCM, exceeded the annual public dose limit in 10 CFR Part 20 of 0.1 rem but </w:t>
      </w:r>
      <w:r w:rsidR="00046FF4" w:rsidRPr="001C5D96">
        <w:t>did not exceed</w:t>
      </w:r>
      <w:r w:rsidRPr="001C5D96">
        <w:t xml:space="preserve"> 0.5 rem, the SDP classifies the event as Y</w:t>
      </w:r>
      <w:r w:rsidR="0062527D" w:rsidRPr="001C5D96">
        <w:t>ellow</w:t>
      </w:r>
      <w:r w:rsidRPr="001C5D96">
        <w:t>.</w:t>
      </w:r>
    </w:p>
    <w:p w14:paraId="1C7E2943"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01B7CC" w14:textId="13893EB2"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If the event resulted in effluent release of radioactive material that, based on the methodology in the licensee</w:t>
      </w:r>
      <w:r w:rsidR="000B234E" w:rsidRPr="001C5D96">
        <w:t>’</w:t>
      </w:r>
      <w:r w:rsidRPr="001C5D96">
        <w:t>s ODCM, exceeded 0.5 rem, the SDP classifies the event as R</w:t>
      </w:r>
      <w:r w:rsidR="0062527D" w:rsidRPr="001C5D96">
        <w:t>ed</w:t>
      </w:r>
      <w:r w:rsidRPr="001C5D96">
        <w:t>.</w:t>
      </w:r>
    </w:p>
    <w:p w14:paraId="1606B6A5" w14:textId="77777777" w:rsidR="00554F65" w:rsidRDefault="00554F65" w:rsidP="00CA67BD">
      <w:pPr>
        <w:pStyle w:val="TOCLevel1"/>
      </w:pPr>
      <w:bookmarkStart w:id="24" w:name="_Toc58853599"/>
      <w:bookmarkStart w:id="25" w:name="_Toc58854261"/>
      <w:bookmarkStart w:id="26" w:name="_Toc58854393"/>
      <w:bookmarkStart w:id="27" w:name="_Toc58854570"/>
    </w:p>
    <w:p w14:paraId="5BD93A1B" w14:textId="1468DD83" w:rsidR="00AE4442" w:rsidRPr="001C5D96" w:rsidRDefault="00F367F9" w:rsidP="00CA67BD">
      <w:pPr>
        <w:pStyle w:val="TOCLevel1"/>
      </w:pPr>
      <w:r w:rsidRPr="001C5D96">
        <w:t>02.02</w:t>
      </w:r>
      <w:r w:rsidRPr="001C5D96">
        <w:tab/>
      </w:r>
      <w:r w:rsidR="00B56ED6" w:rsidRPr="00561EC6">
        <w:rPr>
          <w:u w:val="single"/>
        </w:rPr>
        <w:t>Radioactive Environmental Monitoring Program</w:t>
      </w:r>
      <w:bookmarkEnd w:id="24"/>
      <w:bookmarkEnd w:id="25"/>
      <w:bookmarkEnd w:id="26"/>
      <w:bookmarkEnd w:id="27"/>
      <w:r w:rsidR="00E050BE">
        <w:rPr>
          <w:u w:val="single"/>
        </w:rPr>
        <w:fldChar w:fldCharType="begin"/>
      </w:r>
      <w:r w:rsidR="00E050BE">
        <w:instrText xml:space="preserve"> TC "</w:instrText>
      </w:r>
      <w:bookmarkStart w:id="28" w:name="_Toc58919257"/>
      <w:bookmarkStart w:id="29" w:name="_Toc58919594"/>
      <w:bookmarkStart w:id="30" w:name="_Toc58919687"/>
      <w:bookmarkStart w:id="31" w:name="_Toc58919756"/>
      <w:r w:rsidR="00E050BE" w:rsidRPr="00136791">
        <w:instrText>02.02</w:instrText>
      </w:r>
      <w:r w:rsidR="00E050BE" w:rsidRPr="00136791">
        <w:tab/>
      </w:r>
      <w:r w:rsidR="00E050BE" w:rsidRPr="00136791">
        <w:rPr>
          <w:u w:val="single"/>
        </w:rPr>
        <w:instrText>Radioactive Environmental Monitoring Program</w:instrText>
      </w:r>
      <w:bookmarkEnd w:id="28"/>
      <w:bookmarkEnd w:id="29"/>
      <w:bookmarkEnd w:id="30"/>
      <w:bookmarkEnd w:id="31"/>
      <w:r w:rsidR="00E050BE">
        <w:instrText xml:space="preserve">" \f C \l "2" </w:instrText>
      </w:r>
      <w:r w:rsidR="00E050BE">
        <w:rPr>
          <w:u w:val="single"/>
        </w:rPr>
        <w:fldChar w:fldCharType="end"/>
      </w:r>
    </w:p>
    <w:p w14:paraId="4F5B25C7"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C51C9B" w14:textId="2A09A815"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This branch of the </w:t>
      </w:r>
      <w:r w:rsidR="009F1F7D">
        <w:t>SDP</w:t>
      </w:r>
      <w:r w:rsidR="00554F65">
        <w:t xml:space="preserve"> (see Figure 1)</w:t>
      </w:r>
      <w:r w:rsidRPr="001C5D96">
        <w:t xml:space="preserve"> focuses on the licensee</w:t>
      </w:r>
      <w:r w:rsidR="00F21552" w:rsidRPr="001C5D96">
        <w:t>’</w:t>
      </w:r>
      <w:r w:rsidRPr="001C5D96">
        <w:t xml:space="preserve">s ability to operate </w:t>
      </w:r>
      <w:r w:rsidR="00893BA1" w:rsidRPr="001C5D96">
        <w:t>a compliant</w:t>
      </w:r>
      <w:r w:rsidR="00DE7983" w:rsidRPr="001C5D96">
        <w:t xml:space="preserve"> radioactive</w:t>
      </w:r>
      <w:r w:rsidRPr="001C5D96">
        <w:t xml:space="preserve"> environmental monitoring program.</w:t>
      </w:r>
      <w:r w:rsidR="00875669" w:rsidRPr="001C5D96">
        <w:t xml:space="preserve">  </w:t>
      </w:r>
      <w:r w:rsidR="00BC78DD" w:rsidRPr="00BC78DD">
        <w:t>The environmental monitoring program verifies the effectiveness of the plant systems used for controlling the release of radioactive effluents and direct radiation and confirms that the levels of radioactive material in the environment and direct radiation exposures to members of the public.  Because these are not controlling functions, a Green significance is given to all findings involving environmental monitoring programs</w:t>
      </w:r>
      <w:r w:rsidR="00875669" w:rsidRPr="001C5D96">
        <w:t>.  However, when the environmental monitoring program identifies unexpected radiological conditions in the environment, the performance deficiencies should be assessed under the Radioactive Effluent Program branch of this SDP.</w:t>
      </w:r>
    </w:p>
    <w:p w14:paraId="0FFE4EE7" w14:textId="28271F4C" w:rsidR="00E5648E" w:rsidRPr="001C5D96" w:rsidRDefault="00E5648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AC8DCF" w14:textId="07D9E9D6" w:rsidR="00AE4442" w:rsidRPr="001C5D96" w:rsidRDefault="00E33C5A" w:rsidP="00CA67BD">
      <w:pPr>
        <w:pStyle w:val="TOCLevel1"/>
      </w:pPr>
      <w:bookmarkStart w:id="32" w:name="_Toc58853600"/>
      <w:bookmarkStart w:id="33" w:name="_Toc58854262"/>
      <w:bookmarkStart w:id="34" w:name="_Toc58854394"/>
      <w:bookmarkStart w:id="35" w:name="_Toc58854571"/>
      <w:r w:rsidRPr="001C5D96">
        <w:t>02.03</w:t>
      </w:r>
      <w:r w:rsidRPr="001C5D96">
        <w:tab/>
      </w:r>
      <w:r w:rsidR="00B56ED6" w:rsidRPr="00561EC6">
        <w:rPr>
          <w:u w:val="single"/>
        </w:rPr>
        <w:t>Radioactive Material Control Program</w:t>
      </w:r>
      <w:bookmarkEnd w:id="32"/>
      <w:bookmarkEnd w:id="33"/>
      <w:bookmarkEnd w:id="34"/>
      <w:bookmarkEnd w:id="35"/>
      <w:r w:rsidR="00E050BE">
        <w:rPr>
          <w:u w:val="single"/>
        </w:rPr>
        <w:fldChar w:fldCharType="begin"/>
      </w:r>
      <w:r w:rsidR="00E050BE">
        <w:instrText xml:space="preserve"> TC "</w:instrText>
      </w:r>
      <w:bookmarkStart w:id="36" w:name="_Toc58919258"/>
      <w:bookmarkStart w:id="37" w:name="_Toc58919595"/>
      <w:bookmarkStart w:id="38" w:name="_Toc58919688"/>
      <w:bookmarkStart w:id="39" w:name="_Toc58919757"/>
      <w:r w:rsidR="00E050BE" w:rsidRPr="00136791">
        <w:instrText>02.03</w:instrText>
      </w:r>
      <w:r w:rsidR="00E050BE" w:rsidRPr="00136791">
        <w:tab/>
      </w:r>
      <w:r w:rsidR="00E050BE" w:rsidRPr="00136791">
        <w:rPr>
          <w:u w:val="single"/>
        </w:rPr>
        <w:instrText>Radioactive Material Control Program</w:instrText>
      </w:r>
      <w:bookmarkEnd w:id="36"/>
      <w:bookmarkEnd w:id="37"/>
      <w:bookmarkEnd w:id="38"/>
      <w:bookmarkEnd w:id="39"/>
      <w:r w:rsidR="00E050BE">
        <w:instrText xml:space="preserve">" \f C \l "2" </w:instrText>
      </w:r>
      <w:r w:rsidR="00E050BE">
        <w:rPr>
          <w:u w:val="single"/>
        </w:rPr>
        <w:fldChar w:fldCharType="end"/>
      </w:r>
    </w:p>
    <w:p w14:paraId="64C90AC6"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47A3F6" w14:textId="2D772DC4" w:rsidR="00897FE4"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This branch of the </w:t>
      </w:r>
      <w:r w:rsidR="00293699" w:rsidRPr="001C5D96">
        <w:t>SDP</w:t>
      </w:r>
      <w:r w:rsidR="00554F65">
        <w:t xml:space="preserve"> (see Figure 1)</w:t>
      </w:r>
      <w:r w:rsidRPr="001C5D96">
        <w:t xml:space="preserve"> focuses on the licensee</w:t>
      </w:r>
      <w:r w:rsidR="005477CA" w:rsidRPr="001C5D96">
        <w:t>’</w:t>
      </w:r>
      <w:r w:rsidRPr="001C5D96">
        <w:t xml:space="preserve">s radioactive material control program. </w:t>
      </w:r>
      <w:r w:rsidR="005477CA" w:rsidRPr="001C5D96">
        <w:t xml:space="preserve"> </w:t>
      </w:r>
      <w:r w:rsidRPr="001C5D96">
        <w:t xml:space="preserve">It assesses the </w:t>
      </w:r>
      <w:r w:rsidR="00875669" w:rsidRPr="001C5D96">
        <w:t xml:space="preserve">significance of findings involving the </w:t>
      </w:r>
      <w:r w:rsidRPr="001C5D96">
        <w:t>inadvertent release and/or loss of control of licensed radioactive material to an unrestricted area that can cause an actual or credible radiation dose to members of the public.</w:t>
      </w:r>
      <w:r w:rsidR="00293699" w:rsidRPr="001C5D96">
        <w:t xml:space="preserve"> </w:t>
      </w:r>
      <w:r w:rsidR="00875669" w:rsidRPr="001C5D96">
        <w:t>When dispositioning these findings</w:t>
      </w:r>
      <w:r w:rsidR="008A01D5" w:rsidRPr="001C5D96">
        <w:t>,</w:t>
      </w:r>
      <w:r w:rsidR="00875669" w:rsidRPr="001C5D96">
        <w:t xml:space="preserve"> </w:t>
      </w:r>
      <w:r w:rsidRPr="001C5D96">
        <w:t xml:space="preserve">the dose impact </w:t>
      </w:r>
      <w:r w:rsidR="008C58FC" w:rsidRPr="001C5D96">
        <w:t xml:space="preserve">to a member of the public in the restricted area, controlled </w:t>
      </w:r>
      <w:proofErr w:type="gramStart"/>
      <w:r w:rsidR="008C58FC" w:rsidRPr="001C5D96">
        <w:t>area</w:t>
      </w:r>
      <w:proofErr w:type="gramEnd"/>
      <w:r w:rsidR="008C58FC" w:rsidRPr="001C5D96">
        <w:t xml:space="preserve"> or the unrestricted area </w:t>
      </w:r>
      <w:r w:rsidRPr="001C5D96">
        <w:t>(as calculated by the licensee)</w:t>
      </w:r>
      <w:r w:rsidR="00875669" w:rsidRPr="001C5D96">
        <w:t xml:space="preserve"> must be known.</w:t>
      </w:r>
      <w:r w:rsidRPr="001C5D96">
        <w:t xml:space="preserve">  </w:t>
      </w:r>
      <w:r w:rsidR="006C7032" w:rsidRPr="001C5D96">
        <w:t>It should be noted that doses from discrete radioactive particles (also known as hot particles, or fuel fleas) are not within the scope of th</w:t>
      </w:r>
      <w:r w:rsidR="00184091" w:rsidRPr="001C5D96">
        <w:t>e radioactive material control</w:t>
      </w:r>
      <w:r w:rsidR="006C7032" w:rsidRPr="001C5D96">
        <w:t xml:space="preserve"> SDP if the doses do not result in a </w:t>
      </w:r>
      <w:r w:rsidR="00514E05" w:rsidRPr="001C5D96">
        <w:t xml:space="preserve">total effective dose equivalent </w:t>
      </w:r>
      <w:r w:rsidR="00514E05">
        <w:t>(</w:t>
      </w:r>
      <w:r w:rsidR="006C7032" w:rsidRPr="001C5D96">
        <w:t>TEDE</w:t>
      </w:r>
      <w:r w:rsidR="00514E05">
        <w:t>)</w:t>
      </w:r>
      <w:r w:rsidR="006C7032" w:rsidRPr="001C5D96">
        <w:t xml:space="preserve"> dose as defined in 10 CFR Part 20.</w:t>
      </w:r>
    </w:p>
    <w:p w14:paraId="27449BBA" w14:textId="77777777" w:rsidR="0040697D" w:rsidRPr="001C5D96"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FA03D9" w14:textId="3679A4E3" w:rsidR="00897FE4" w:rsidRPr="001C5D96" w:rsidRDefault="00CD668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finding is Green i</w:t>
      </w:r>
      <w:r w:rsidR="00AE4442" w:rsidRPr="001C5D96">
        <w:t xml:space="preserve">f the </w:t>
      </w:r>
      <w:r w:rsidR="00535DBD" w:rsidRPr="001C5D96">
        <w:t xml:space="preserve">public dose did not exceed </w:t>
      </w:r>
      <w:r w:rsidR="00AE4442" w:rsidRPr="001C5D96">
        <w:t>0.005 rem TEDE</w:t>
      </w:r>
      <w:r w:rsidR="00D97055" w:rsidRPr="001C5D96">
        <w:t>.</w:t>
      </w:r>
    </w:p>
    <w:p w14:paraId="414B14ED" w14:textId="77777777" w:rsidR="00897FE4" w:rsidRPr="001C5D96" w:rsidRDefault="00897FE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CCFFD6" w14:textId="4F9F09C0" w:rsidR="00897FE4" w:rsidRPr="001C5D96" w:rsidRDefault="00CD668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finding is White i</w:t>
      </w:r>
      <w:r w:rsidR="00AE4442" w:rsidRPr="001C5D96">
        <w:t xml:space="preserve">f the </w:t>
      </w:r>
      <w:r w:rsidR="00535DBD" w:rsidRPr="001C5D96">
        <w:t>public dose exceeded</w:t>
      </w:r>
      <w:r w:rsidR="00AE4442" w:rsidRPr="001C5D96">
        <w:t xml:space="preserve"> 0.005 rem TEDE </w:t>
      </w:r>
      <w:r w:rsidR="00535DBD" w:rsidRPr="001C5D96">
        <w:t>but did not exceed 0.1 rem</w:t>
      </w:r>
      <w:r w:rsidR="00AE4442" w:rsidRPr="001C5D96">
        <w:t>.</w:t>
      </w:r>
    </w:p>
    <w:p w14:paraId="4FDC6E3F" w14:textId="77777777" w:rsidR="00897FE4" w:rsidRPr="001C5D96" w:rsidRDefault="00897FE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366F2A" w14:textId="5197321C" w:rsidR="00897FE4" w:rsidRPr="001C5D96" w:rsidRDefault="00CD668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The finding is Yellow i</w:t>
      </w:r>
      <w:r w:rsidR="00AE4442" w:rsidRPr="001C5D96">
        <w:t xml:space="preserve">f the </w:t>
      </w:r>
      <w:r w:rsidR="00535DBD" w:rsidRPr="001C5D96">
        <w:t>public dose exceeded</w:t>
      </w:r>
      <w:r w:rsidR="00AE4442" w:rsidRPr="001C5D96">
        <w:t xml:space="preserve"> 0.1 rem </w:t>
      </w:r>
      <w:r w:rsidR="00535DBD" w:rsidRPr="001C5D96">
        <w:t>TEDE but did not exceed 0.5 rem</w:t>
      </w:r>
      <w:r w:rsidR="00AE4442" w:rsidRPr="001C5D96">
        <w:t>.</w:t>
      </w:r>
    </w:p>
    <w:p w14:paraId="45E58CC6" w14:textId="77777777" w:rsidR="00897FE4" w:rsidRPr="001C5D96" w:rsidRDefault="00897FE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DE5FCF" w14:textId="10BE4BA9" w:rsidR="00AE4442" w:rsidRDefault="00CD668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finding is Red i</w:t>
      </w:r>
      <w:r w:rsidR="00AE4442" w:rsidRPr="001C5D96">
        <w:t xml:space="preserve">f the </w:t>
      </w:r>
      <w:r w:rsidR="00535DBD" w:rsidRPr="001C5D96">
        <w:t>public dose exceeded</w:t>
      </w:r>
      <w:r w:rsidR="00AE4442" w:rsidRPr="001C5D96">
        <w:t xml:space="preserve"> 0.5 rem TEDE.</w:t>
      </w:r>
    </w:p>
    <w:p w14:paraId="79186731" w14:textId="754FFD78" w:rsidR="00643FC4" w:rsidRDefault="00643FC4" w:rsidP="00CA67BD">
      <w:pPr>
        <w:pStyle w:val="TOCLevel1"/>
      </w:pPr>
    </w:p>
    <w:p w14:paraId="1A8A203D" w14:textId="22C27E0C" w:rsidR="00AE4442" w:rsidRPr="001C5D96" w:rsidRDefault="00E33C5A" w:rsidP="00CA67BD">
      <w:pPr>
        <w:pStyle w:val="TOCLevel1"/>
      </w:pPr>
      <w:bookmarkStart w:id="40" w:name="_Toc58853601"/>
      <w:bookmarkStart w:id="41" w:name="_Toc58854263"/>
      <w:bookmarkStart w:id="42" w:name="_Toc58854395"/>
      <w:bookmarkStart w:id="43" w:name="_Toc58854572"/>
      <w:r w:rsidRPr="001C5D96">
        <w:t>02.04</w:t>
      </w:r>
      <w:r w:rsidR="00AE4442" w:rsidRPr="001C5D96">
        <w:tab/>
      </w:r>
      <w:r w:rsidR="00B56ED6" w:rsidRPr="00561EC6">
        <w:rPr>
          <w:u w:val="single"/>
        </w:rPr>
        <w:t>Transportation</w:t>
      </w:r>
      <w:bookmarkEnd w:id="40"/>
      <w:bookmarkEnd w:id="41"/>
      <w:bookmarkEnd w:id="42"/>
      <w:bookmarkEnd w:id="43"/>
      <w:r w:rsidR="00E050BE">
        <w:rPr>
          <w:u w:val="single"/>
        </w:rPr>
        <w:fldChar w:fldCharType="begin"/>
      </w:r>
      <w:r w:rsidR="00E050BE">
        <w:instrText xml:space="preserve"> TC "</w:instrText>
      </w:r>
      <w:bookmarkStart w:id="44" w:name="_Toc58919259"/>
      <w:bookmarkStart w:id="45" w:name="_Toc58919596"/>
      <w:bookmarkStart w:id="46" w:name="_Toc58919689"/>
      <w:bookmarkStart w:id="47" w:name="_Toc58919758"/>
      <w:r w:rsidR="00E050BE" w:rsidRPr="00136791">
        <w:instrText>02.04</w:instrText>
      </w:r>
      <w:r w:rsidR="00E050BE" w:rsidRPr="00136791">
        <w:tab/>
      </w:r>
      <w:r w:rsidR="00E050BE" w:rsidRPr="00136791">
        <w:rPr>
          <w:u w:val="single"/>
        </w:rPr>
        <w:instrText>Transportation</w:instrText>
      </w:r>
      <w:bookmarkEnd w:id="44"/>
      <w:bookmarkEnd w:id="45"/>
      <w:bookmarkEnd w:id="46"/>
      <w:bookmarkEnd w:id="47"/>
      <w:r w:rsidR="00E050BE">
        <w:instrText xml:space="preserve">" \f C \l "2" </w:instrText>
      </w:r>
      <w:r w:rsidR="00E050BE">
        <w:rPr>
          <w:u w:val="single"/>
        </w:rPr>
        <w:fldChar w:fldCharType="end"/>
      </w:r>
    </w:p>
    <w:p w14:paraId="4003838D"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BAF908" w14:textId="02DD39B7" w:rsidR="00393D1C"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This </w:t>
      </w:r>
      <w:r w:rsidR="00251E7B" w:rsidRPr="001C5D96">
        <w:t>section of the SDP</w:t>
      </w:r>
      <w:r w:rsidRPr="001C5D96">
        <w:t xml:space="preserve"> focuses on the licensee</w:t>
      </w:r>
      <w:r w:rsidR="00ED30A4" w:rsidRPr="001C5D96">
        <w:t>’</w:t>
      </w:r>
      <w:r w:rsidRPr="001C5D96">
        <w:t>s ability to safely transport radioactive material on public roadways in accordance with regulations.</w:t>
      </w:r>
      <w:r w:rsidR="0058404F" w:rsidRPr="001C5D96">
        <w:t xml:space="preserve">  This section is</w:t>
      </w:r>
      <w:r w:rsidRPr="001C5D96">
        <w:t xml:space="preserve"> intended to be used for </w:t>
      </w:r>
      <w:r w:rsidR="0063080C" w:rsidRPr="001C5D96">
        <w:t xml:space="preserve">findings involving </w:t>
      </w:r>
      <w:r w:rsidRPr="001C5D96">
        <w:t xml:space="preserve">those radioactive material shipments classified as </w:t>
      </w:r>
      <w:r w:rsidR="00AD3716" w:rsidRPr="001C5D96">
        <w:t>Low Specific Activity I (LSA-I)</w:t>
      </w:r>
      <w:r w:rsidRPr="001C5D96">
        <w:t xml:space="preserve"> through </w:t>
      </w:r>
      <w:r w:rsidR="00AD3716" w:rsidRPr="001C5D96">
        <w:t>Fissile Radioactive Material</w:t>
      </w:r>
      <w:r w:rsidR="00DF4D35" w:rsidRPr="001C5D96">
        <w:t>.</w:t>
      </w:r>
      <w:r w:rsidR="005C67D1" w:rsidRPr="001C5D96">
        <w:t xml:space="preserve">  </w:t>
      </w:r>
      <w:r w:rsidR="00DF4D35" w:rsidRPr="001C5D96">
        <w:t>The</w:t>
      </w:r>
      <w:r w:rsidR="0058404F" w:rsidRPr="001C5D96">
        <w:t>se</w:t>
      </w:r>
      <w:r w:rsidR="00DF4D35" w:rsidRPr="001C5D96">
        <w:t xml:space="preserve"> shipments </w:t>
      </w:r>
      <w:r w:rsidR="00E84176" w:rsidRPr="001C5D96">
        <w:t xml:space="preserve">are </w:t>
      </w:r>
      <w:r w:rsidR="00DF4D35" w:rsidRPr="001C5D96">
        <w:t>described as Schedule 5 through 11, respective</w:t>
      </w:r>
      <w:r w:rsidR="0058404F" w:rsidRPr="001C5D96">
        <w:t>ly</w:t>
      </w:r>
      <w:r w:rsidR="0063080C" w:rsidRPr="001C5D96">
        <w:t>,</w:t>
      </w:r>
      <w:r w:rsidR="00DF4D35" w:rsidRPr="001C5D96">
        <w:t xml:space="preserve"> in </w:t>
      </w:r>
      <w:r w:rsidRPr="001C5D96">
        <w:t xml:space="preserve">NUREG-1660, </w:t>
      </w:r>
      <w:r w:rsidR="00DF4D35" w:rsidRPr="001C5D96">
        <w:t>“</w:t>
      </w:r>
      <w:r w:rsidRPr="001C5D96">
        <w:t>U.S. Specific Schedules of Requirements for Transport of Specified Types of Radioactive Material Consignments.</w:t>
      </w:r>
      <w:r w:rsidR="00DF4D35" w:rsidRPr="001C5D96">
        <w:t>”</w:t>
      </w:r>
      <w:r w:rsidR="006C159F" w:rsidRPr="001C5D96">
        <w:t xml:space="preserve">  </w:t>
      </w:r>
      <w:r w:rsidR="005D1D75">
        <w:t>If the p</w:t>
      </w:r>
      <w:r w:rsidR="00CC2F59" w:rsidRPr="001C5D96">
        <w:t>erformance deficienc</w:t>
      </w:r>
      <w:r w:rsidR="005D1D75">
        <w:t>y</w:t>
      </w:r>
      <w:r w:rsidR="00CC2F59" w:rsidRPr="001C5D96">
        <w:t xml:space="preserve"> involv</w:t>
      </w:r>
      <w:r w:rsidR="005D1D75">
        <w:t>es a</w:t>
      </w:r>
      <w:r w:rsidR="00CC2F59" w:rsidRPr="001C5D96">
        <w:t xml:space="preserve"> correctly classified shipment in </w:t>
      </w:r>
      <w:r w:rsidR="005D1D75">
        <w:t xml:space="preserve">one of </w:t>
      </w:r>
      <w:r w:rsidR="00CC2F59" w:rsidRPr="001C5D96">
        <w:t xml:space="preserve">the </w:t>
      </w:r>
      <w:r w:rsidR="00CC2F59" w:rsidRPr="005D1D75">
        <w:t xml:space="preserve">radioactive </w:t>
      </w:r>
      <w:proofErr w:type="gramStart"/>
      <w:r w:rsidR="00CC2F59" w:rsidRPr="005D1D75">
        <w:t>material</w:t>
      </w:r>
      <w:proofErr w:type="gramEnd"/>
      <w:r w:rsidR="00CC2F59" w:rsidRPr="005D1D75">
        <w:t>, excepted package</w:t>
      </w:r>
      <w:r w:rsidR="00CC2F59" w:rsidRPr="001C5D96">
        <w:t xml:space="preserve"> classifications (i.e.,</w:t>
      </w:r>
      <w:r w:rsidR="00704C42" w:rsidRPr="001C5D96">
        <w:t> </w:t>
      </w:r>
      <w:r w:rsidR="00CC2F59" w:rsidRPr="001C5D96">
        <w:t>UN2908, UN2909, UN2910, and UN 2911)</w:t>
      </w:r>
      <w:r w:rsidR="005D1D75">
        <w:t xml:space="preserve">, then it </w:t>
      </w:r>
      <w:r w:rsidR="00CC2F59" w:rsidRPr="001C5D96">
        <w:t xml:space="preserve">should be dispositioned as </w:t>
      </w:r>
      <w:r w:rsidR="005D1D75">
        <w:t xml:space="preserve">a </w:t>
      </w:r>
      <w:r w:rsidR="00CC2F59" w:rsidRPr="001C5D96">
        <w:t xml:space="preserve">minor violation.  </w:t>
      </w:r>
      <w:r w:rsidR="002E19BC" w:rsidRPr="001C5D96">
        <w:t>However, i</w:t>
      </w:r>
      <w:r w:rsidR="00CC2F59" w:rsidRPr="001C5D96">
        <w:t xml:space="preserve">f </w:t>
      </w:r>
      <w:r w:rsidR="005D1D75">
        <w:t>the</w:t>
      </w:r>
      <w:r w:rsidR="00CC2F59" w:rsidRPr="001C5D96">
        <w:t xml:space="preserve"> shipment was incorrectly classified in the radioactive material, excepted package classifications, but was </w:t>
      </w:r>
      <w:proofErr w:type="gramStart"/>
      <w:r w:rsidR="00CC2F59" w:rsidRPr="001C5D96">
        <w:t>actually an</w:t>
      </w:r>
      <w:proofErr w:type="gramEnd"/>
      <w:r w:rsidR="00CC2F59" w:rsidRPr="001C5D96">
        <w:t xml:space="preserve"> LSA-I through Fissile Radioactive Material shipment, then this branch of the SDP is used.</w:t>
      </w:r>
    </w:p>
    <w:p w14:paraId="5BC355B6" w14:textId="77777777" w:rsidR="00031B03" w:rsidRDefault="00031B03" w:rsidP="00554F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C8D4B0F" w14:textId="1FB3E405" w:rsidR="00AE4442" w:rsidRPr="001C5D96" w:rsidRDefault="00A6157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r w:rsidRPr="001C5D96">
        <w:rPr>
          <w:u w:val="single"/>
        </w:rPr>
        <w:t>Incorrect Packaging Used</w:t>
      </w:r>
    </w:p>
    <w:p w14:paraId="16488C04" w14:textId="77777777" w:rsidR="00E6135C" w:rsidRPr="001C5D96" w:rsidRDefault="00E6135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1425D9" w14:textId="7E8CBACB" w:rsidR="00E6135C" w:rsidRPr="001C5D96" w:rsidRDefault="00E6135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This branch of the </w:t>
      </w:r>
      <w:r w:rsidRPr="00C42D43">
        <w:t>SDP</w:t>
      </w:r>
      <w:r w:rsidR="008E37AD">
        <w:t xml:space="preserve"> (see Figure 2)</w:t>
      </w:r>
      <w:r w:rsidRPr="00C42D43">
        <w:t xml:space="preserve"> </w:t>
      </w:r>
      <w:r w:rsidRPr="001C5D96">
        <w:t>categorizes the significance of a licensee’s failure to properly package and ship radioactive material</w:t>
      </w:r>
      <w:r w:rsidR="00347718" w:rsidRPr="001C5D96">
        <w:t xml:space="preserve">; </w:t>
      </w:r>
      <w:r w:rsidRPr="001C5D96">
        <w:t>regardless of whether the shipment occurred without incident.</w:t>
      </w:r>
    </w:p>
    <w:p w14:paraId="6B0F11D5" w14:textId="77777777" w:rsidR="00E84176" w:rsidRPr="001C5D96" w:rsidRDefault="00E84176"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2B90D0" w14:textId="6F3904C2" w:rsidR="00E84176" w:rsidRPr="001C5D96" w:rsidRDefault="002415E7"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finding is Green w</w:t>
      </w:r>
      <w:r w:rsidR="00E84176" w:rsidRPr="001C5D96">
        <w:t>hen</w:t>
      </w:r>
      <w:r w:rsidR="00185F77">
        <w:t xml:space="preserve"> radioactive material is shipped in the</w:t>
      </w:r>
      <w:r w:rsidR="00E84176" w:rsidRPr="001C5D96">
        <w:t xml:space="preserve"> incorrect packaging and the prescribed package is less than Type B (i.e., the shipped material does not exceed Type A quantity, or is composed of LSA or SCO that meets the applicable conditions of transport of 49 CFR 173.427).</w:t>
      </w:r>
    </w:p>
    <w:p w14:paraId="3F3277C6" w14:textId="77777777" w:rsidR="00C820BF" w:rsidRPr="001C5D96" w:rsidRDefault="00C820B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0AB4A0" w14:textId="752C181F" w:rsidR="00E6135C" w:rsidRPr="001C5D96" w:rsidRDefault="002415E7"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finding is White w</w:t>
      </w:r>
      <w:r w:rsidR="00C820BF" w:rsidRPr="001C5D96">
        <w:t xml:space="preserve">hen </w:t>
      </w:r>
      <w:r w:rsidR="00185F77">
        <w:t xml:space="preserve">radioactive material is shipped in the </w:t>
      </w:r>
      <w:r w:rsidR="00C820BF" w:rsidRPr="001C5D96">
        <w:t>incorrect packaging and</w:t>
      </w:r>
      <w:r w:rsidR="00FE6B1D" w:rsidRPr="001C5D96">
        <w:t xml:space="preserve"> the prescribed package is a Type B (</w:t>
      </w:r>
      <w:r w:rsidR="00E84176" w:rsidRPr="001C5D96">
        <w:t>i.e.</w:t>
      </w:r>
      <w:r w:rsidR="00FE6B1D" w:rsidRPr="001C5D96">
        <w:t>,</w:t>
      </w:r>
      <w:r w:rsidR="00C820BF" w:rsidRPr="001C5D96">
        <w:t xml:space="preserve"> the shipped material exceeds a Type A quantity, or is composed of LSA or SCO that exceeds the </w:t>
      </w:r>
      <w:r w:rsidR="000D4AE6" w:rsidRPr="001C5D96">
        <w:t>applicable conditions of transport</w:t>
      </w:r>
      <w:r w:rsidR="00C820BF" w:rsidRPr="001C5D96">
        <w:t xml:space="preserve"> of</w:t>
      </w:r>
      <w:r w:rsidR="007D6C64" w:rsidRPr="001C5D96">
        <w:t xml:space="preserve"> </w:t>
      </w:r>
      <w:r w:rsidR="00C820BF" w:rsidRPr="001C5D96">
        <w:t>49</w:t>
      </w:r>
      <w:r w:rsidR="007D6C64" w:rsidRPr="001C5D96">
        <w:t> </w:t>
      </w:r>
      <w:r w:rsidR="00C820BF" w:rsidRPr="001C5D96">
        <w:t>CFR</w:t>
      </w:r>
      <w:r w:rsidR="007D6C64" w:rsidRPr="001C5D96">
        <w:t> </w:t>
      </w:r>
      <w:r w:rsidR="00C820BF" w:rsidRPr="001C5D96">
        <w:t>173.427</w:t>
      </w:r>
      <w:r w:rsidR="00FE6B1D" w:rsidRPr="001C5D96">
        <w:t>)</w:t>
      </w:r>
      <w:r w:rsidR="00E84176" w:rsidRPr="001C5D96">
        <w:t>.</w:t>
      </w:r>
    </w:p>
    <w:p w14:paraId="75DE8269" w14:textId="77777777" w:rsidR="00E6135C" w:rsidRPr="001C5D96" w:rsidRDefault="00E6135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6270BE" w14:textId="37A659B8" w:rsidR="00E6135C" w:rsidRPr="001C5D96" w:rsidRDefault="00C820B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If the shipped </w:t>
      </w:r>
      <w:r w:rsidR="009A7C0F" w:rsidRPr="001C5D96">
        <w:t xml:space="preserve">radioactive </w:t>
      </w:r>
      <w:r w:rsidRPr="001C5D96">
        <w:t xml:space="preserve">material </w:t>
      </w:r>
      <w:r w:rsidR="00A6157E" w:rsidRPr="001C5D96">
        <w:t xml:space="preserve">activity </w:t>
      </w:r>
      <w:r w:rsidRPr="001C5D96">
        <w:t>exceeds multiples (</w:t>
      </w:r>
      <w:proofErr w:type="gramStart"/>
      <w:r w:rsidRPr="001C5D96">
        <w:t>i.e.</w:t>
      </w:r>
      <w:proofErr w:type="gramEnd"/>
      <w:r w:rsidRPr="001C5D96">
        <w:t xml:space="preserve"> 5x and 10x) of the </w:t>
      </w:r>
      <w:r w:rsidR="00852797" w:rsidRPr="001C5D96">
        <w:t xml:space="preserve">Type A limit or, in the case of LSA or SCO the </w:t>
      </w:r>
      <w:r w:rsidR="00BA4B56" w:rsidRPr="001C5D96">
        <w:t xml:space="preserve">approximate </w:t>
      </w:r>
      <w:r w:rsidR="00852797" w:rsidRPr="001C5D96">
        <w:t>external exposure</w:t>
      </w:r>
      <w:r w:rsidR="00FA44C2" w:rsidRPr="001C5D96">
        <w:t xml:space="preserve"> rate</w:t>
      </w:r>
      <w:r w:rsidR="00BA4B56" w:rsidRPr="001C5D96">
        <w:t xml:space="preserve"> at 3 meters</w:t>
      </w:r>
      <w:r w:rsidR="00852797" w:rsidRPr="001C5D96">
        <w:t xml:space="preserve"> </w:t>
      </w:r>
      <w:r w:rsidR="00BA4B56" w:rsidRPr="001C5D96">
        <w:t>corresponding to those multiples</w:t>
      </w:r>
      <w:r w:rsidR="00852797" w:rsidRPr="001C5D96">
        <w:t xml:space="preserve">, as applicable, </w:t>
      </w:r>
      <w:r w:rsidRPr="001C5D96">
        <w:t>then the significance of the finding increases to Y</w:t>
      </w:r>
      <w:r w:rsidR="0062527D" w:rsidRPr="001C5D96">
        <w:t>ellow</w:t>
      </w:r>
      <w:r w:rsidRPr="001C5D96">
        <w:t xml:space="preserve"> </w:t>
      </w:r>
      <w:r w:rsidR="0076064F">
        <w:t>or</w:t>
      </w:r>
      <w:r w:rsidRPr="001C5D96">
        <w:t xml:space="preserve"> R</w:t>
      </w:r>
      <w:r w:rsidR="0062527D" w:rsidRPr="001C5D96">
        <w:t>ed</w:t>
      </w:r>
      <w:r w:rsidRPr="001C5D96">
        <w:t>, respectively.</w:t>
      </w:r>
    </w:p>
    <w:p w14:paraId="7CAF3E9F" w14:textId="32EEE6E9" w:rsidR="00E84176" w:rsidRPr="001C5D96" w:rsidRDefault="00E84176"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7325BD" w14:textId="31F7354B" w:rsidR="002F0C68" w:rsidRPr="00C42D43" w:rsidRDefault="002F0C6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u w:val="single"/>
        </w:rPr>
      </w:pPr>
      <w:r w:rsidRPr="001C5D96">
        <w:rPr>
          <w:u w:val="single"/>
        </w:rPr>
        <w:t>Radiation Limits Exceeded</w:t>
      </w:r>
    </w:p>
    <w:p w14:paraId="767B9F4B" w14:textId="77777777" w:rsidR="00C820BF" w:rsidRPr="00C42D43" w:rsidRDefault="00C820B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u w:val="single"/>
        </w:rPr>
      </w:pPr>
    </w:p>
    <w:p w14:paraId="0E9CB798" w14:textId="7BF29937" w:rsidR="006A1FE9" w:rsidRPr="001C5D96" w:rsidRDefault="00B575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t>The external radiation level branch</w:t>
      </w:r>
      <w:r w:rsidR="005457E3">
        <w:t xml:space="preserve"> of the SDP</w:t>
      </w:r>
      <w:r w:rsidRPr="001C5D96">
        <w:t xml:space="preserve"> </w:t>
      </w:r>
      <w:r w:rsidR="000A1CFB">
        <w:t>(</w:t>
      </w:r>
      <w:r w:rsidR="008E37AD">
        <w:t xml:space="preserve">see Figure 2) </w:t>
      </w:r>
      <w:r w:rsidRPr="001C5D96">
        <w:t xml:space="preserve">provides for a graded approach </w:t>
      </w:r>
      <w:r w:rsidR="00957901" w:rsidRPr="001C5D96">
        <w:t xml:space="preserve">for </w:t>
      </w:r>
      <w:r w:rsidR="00FC5069" w:rsidRPr="001C5D96">
        <w:t>determining</w:t>
      </w:r>
      <w:r w:rsidRPr="001C5D96">
        <w:t xml:space="preserve"> the significance of findings.</w:t>
      </w:r>
      <w:r w:rsidR="006765F6" w:rsidRPr="001C5D96">
        <w:t xml:space="preserve"> </w:t>
      </w:r>
      <w:r w:rsidRPr="001C5D96">
        <w:t xml:space="preserve"> </w:t>
      </w:r>
      <w:r w:rsidR="00390BB2" w:rsidRPr="001C5D96">
        <w:rPr>
          <w:color w:val="000000"/>
        </w:rPr>
        <w:t xml:space="preserve">When assessing the significance of a finding, consideration can be given to risk-informing outcomes based on the accessibility of the package to members of the public.  An accessible area is defined in this SDP as an area that can reasonably be occupied by a major portion of an individual’s whole body.  </w:t>
      </w:r>
      <w:bookmarkStart w:id="48" w:name="_Hlk47016324"/>
      <w:r w:rsidR="00390BB2" w:rsidRPr="001C5D96">
        <w:rPr>
          <w:color w:val="000000"/>
        </w:rPr>
        <w:t xml:space="preserve">In addition to accessibility, consideration may be given to risk-informing findings associated with situations where only a small area of a package exceeds the radiation limits if </w:t>
      </w:r>
      <w:bookmarkEnd w:id="48"/>
      <w:r w:rsidR="00390BB2" w:rsidRPr="001C5D96">
        <w:rPr>
          <w:color w:val="000000"/>
        </w:rPr>
        <w:t>the licensee averaged radiation levels over a cross-sectional area of a probe of reasonable size</w:t>
      </w:r>
      <w:r w:rsidR="00514E05">
        <w:rPr>
          <w:color w:val="000000"/>
        </w:rPr>
        <w:t>, as described in IMC</w:t>
      </w:r>
      <w:r w:rsidR="00C20E44">
        <w:rPr>
          <w:color w:val="000000"/>
        </w:rPr>
        <w:t> </w:t>
      </w:r>
      <w:r w:rsidR="00514E05">
        <w:rPr>
          <w:color w:val="000000"/>
        </w:rPr>
        <w:t>030</w:t>
      </w:r>
      <w:r w:rsidR="00966B29">
        <w:rPr>
          <w:color w:val="000000"/>
        </w:rPr>
        <w:t>8</w:t>
      </w:r>
      <w:r w:rsidR="00514E05">
        <w:rPr>
          <w:color w:val="000000"/>
        </w:rPr>
        <w:t>, Att</w:t>
      </w:r>
      <w:r w:rsidR="00EC6D0E">
        <w:rPr>
          <w:color w:val="000000"/>
        </w:rPr>
        <w:t>achment</w:t>
      </w:r>
      <w:r w:rsidR="00514E05">
        <w:rPr>
          <w:color w:val="000000"/>
        </w:rPr>
        <w:t xml:space="preserve"> 3, App</w:t>
      </w:r>
      <w:r w:rsidR="00EC6D0E">
        <w:rPr>
          <w:color w:val="000000"/>
        </w:rPr>
        <w:t>endix</w:t>
      </w:r>
      <w:r w:rsidR="00514E05">
        <w:rPr>
          <w:color w:val="000000"/>
        </w:rPr>
        <w:t xml:space="preserve"> D</w:t>
      </w:r>
      <w:r w:rsidR="00390BB2" w:rsidRPr="001C5D96">
        <w:rPr>
          <w:color w:val="000000"/>
        </w:rPr>
        <w:t>.</w:t>
      </w:r>
    </w:p>
    <w:p w14:paraId="34D0BCD8" w14:textId="77777777" w:rsidR="00390BB2" w:rsidRPr="001C5D96" w:rsidRDefault="00390BB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F13651" w14:textId="34C1B9F4" w:rsidR="006A1FE9" w:rsidRDefault="00F26D0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26D08">
        <w:lastRenderedPageBreak/>
        <w:t>A Green significance is given to those findings in which an external radiation limit was exceeded, but the dose rate was not accessible by the public and the dose rate did not exceed twice the applicable limit.</w:t>
      </w:r>
    </w:p>
    <w:p w14:paraId="0707A6D4" w14:textId="77777777" w:rsidR="00F26D08" w:rsidRPr="001C5D96" w:rsidRDefault="00F26D0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95D9F2" w14:textId="312E6F64" w:rsidR="006A1FE9" w:rsidRPr="001C5D96" w:rsidRDefault="006A1F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 xml:space="preserve">A White significance is given to those findings in which an external radiation limit was exceeded, </w:t>
      </w:r>
      <w:r w:rsidR="00AC7E21">
        <w:t>and (1)</w:t>
      </w:r>
      <w:r w:rsidRPr="001C5D96">
        <w:t xml:space="preserve"> either the dose </w:t>
      </w:r>
      <w:r w:rsidR="00F26D08">
        <w:t xml:space="preserve">rate </w:t>
      </w:r>
      <w:r w:rsidRPr="001C5D96">
        <w:t xml:space="preserve">was accessible by the public, or </w:t>
      </w:r>
      <w:r w:rsidR="00AC7E21">
        <w:t xml:space="preserve">(2) </w:t>
      </w:r>
      <w:r w:rsidRPr="001C5D96">
        <w:t>the dose</w:t>
      </w:r>
      <w:r w:rsidR="00F26D08">
        <w:t xml:space="preserve"> rate</w:t>
      </w:r>
      <w:r w:rsidRPr="001C5D96">
        <w:t xml:space="preserve"> was not accessible by the </w:t>
      </w:r>
      <w:r w:rsidR="00EC6D0E" w:rsidRPr="001C5D96">
        <w:t>public,</w:t>
      </w:r>
      <w:r w:rsidRPr="001C5D96">
        <w:t xml:space="preserve"> </w:t>
      </w:r>
      <w:r w:rsidR="00AC7E21">
        <w:t>but</w:t>
      </w:r>
      <w:r w:rsidRPr="001C5D96">
        <w:t xml:space="preserve"> it exceeded twice the applicable limit, but did not exceed five times the limit.</w:t>
      </w:r>
      <w:r w:rsidR="00F26D08">
        <w:t xml:space="preserve">  T</w:t>
      </w:r>
      <w:r w:rsidR="00F26D08" w:rsidRPr="00F26D08">
        <w:t xml:space="preserve">he NRC </w:t>
      </w:r>
      <w:r w:rsidR="00F26D08">
        <w:t>can</w:t>
      </w:r>
      <w:r w:rsidR="00F26D08" w:rsidRPr="00F26D08">
        <w:t xml:space="preserve"> consider mitigating factors for determining if a finding reaches the White significance (e.g., location/size of the radiation field, whether the shipment was exclusive use, </w:t>
      </w:r>
      <w:r w:rsidR="00EC6D0E" w:rsidRPr="00F26D08">
        <w:t>etc.</w:t>
      </w:r>
      <w:r w:rsidR="00F26D08" w:rsidRPr="00F26D08">
        <w:t xml:space="preserve">). </w:t>
      </w:r>
      <w:r w:rsidR="00AC7E21">
        <w:t xml:space="preserve"> </w:t>
      </w:r>
      <w:r w:rsidR="00F26D08" w:rsidRPr="00F26D08">
        <w:t xml:space="preserve">In </w:t>
      </w:r>
      <w:r w:rsidR="00F26D08">
        <w:t>some</w:t>
      </w:r>
      <w:r w:rsidR="00F26D08" w:rsidRPr="00F26D08">
        <w:t xml:space="preserve"> cases, exceed</w:t>
      </w:r>
      <w:r w:rsidR="00F26D08">
        <w:t>ing</w:t>
      </w:r>
      <w:r w:rsidR="00F26D08" w:rsidRPr="00F26D08">
        <w:t xml:space="preserve"> limits may</w:t>
      </w:r>
      <w:r w:rsidR="00F26D08">
        <w:t xml:space="preserve"> still</w:t>
      </w:r>
      <w:r w:rsidR="00F26D08" w:rsidRPr="00F26D08">
        <w:t xml:space="preserve"> result in conditions of very low radiation risk to the public</w:t>
      </w:r>
      <w:r w:rsidR="00F26D08">
        <w:t>.</w:t>
      </w:r>
    </w:p>
    <w:p w14:paraId="6141D2B2" w14:textId="0DBFAF4E" w:rsidR="006A1FE9" w:rsidRPr="001C5D96" w:rsidRDefault="006A1F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B4F611" w14:textId="4139DBE7" w:rsidR="006A1FE9" w:rsidRPr="001C5D96" w:rsidRDefault="006A1F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A Yellow significance is given to those findings in which an external radiation limit was exceeded by five times but did not exceed ten times the limit.</w:t>
      </w:r>
    </w:p>
    <w:p w14:paraId="7315B77C" w14:textId="28BD17D1" w:rsidR="006A1FE9" w:rsidRPr="001C5D96" w:rsidRDefault="006A1F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47626C" w14:textId="79EF4EDB" w:rsidR="006A1FE9" w:rsidRPr="001C5D96" w:rsidRDefault="006A1FE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A Red significance is given to those findings in which an external radiation limit was exceeded by 10 times the limit.</w:t>
      </w:r>
    </w:p>
    <w:p w14:paraId="31C4BF36" w14:textId="77777777" w:rsidR="009A7C0F" w:rsidRPr="00C42D43" w:rsidRDefault="009A7C0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40CF41" w14:textId="74634640" w:rsidR="008803F3" w:rsidRPr="001C5D96" w:rsidRDefault="008803F3"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The </w:t>
      </w:r>
      <w:r w:rsidR="00AC7E21">
        <w:rPr>
          <w:color w:val="000000"/>
        </w:rPr>
        <w:t>“surface contamination” branch</w:t>
      </w:r>
      <w:r w:rsidR="003E3D51">
        <w:rPr>
          <w:color w:val="000000"/>
        </w:rPr>
        <w:t xml:space="preserve"> </w:t>
      </w:r>
      <w:r w:rsidR="008E37AD">
        <w:rPr>
          <w:color w:val="000000"/>
        </w:rPr>
        <w:t xml:space="preserve">(see </w:t>
      </w:r>
      <w:r w:rsidR="003E3D51">
        <w:rPr>
          <w:color w:val="000000"/>
        </w:rPr>
        <w:t xml:space="preserve">Figure </w:t>
      </w:r>
      <w:r w:rsidR="007A410B">
        <w:rPr>
          <w:color w:val="000000"/>
        </w:rPr>
        <w:t>2</w:t>
      </w:r>
      <w:r w:rsidR="008E37AD">
        <w:rPr>
          <w:color w:val="000000"/>
        </w:rPr>
        <w:t>)</w:t>
      </w:r>
      <w:r w:rsidR="00AC7E21">
        <w:rPr>
          <w:color w:val="000000"/>
        </w:rPr>
        <w:t xml:space="preserve"> addresses findings associated with </w:t>
      </w:r>
      <w:r w:rsidRPr="001C5D96">
        <w:rPr>
          <w:color w:val="000000"/>
        </w:rPr>
        <w:t>removable</w:t>
      </w:r>
      <w:r w:rsidR="00962EA4">
        <w:rPr>
          <w:color w:val="000000"/>
        </w:rPr>
        <w:t xml:space="preserve"> (or non-fixed)</w:t>
      </w:r>
      <w:r w:rsidRPr="001C5D96">
        <w:rPr>
          <w:color w:val="000000"/>
        </w:rPr>
        <w:t xml:space="preserve"> surface contamination</w:t>
      </w:r>
      <w:r w:rsidR="00AC7E21">
        <w:rPr>
          <w:color w:val="000000"/>
        </w:rPr>
        <w:t xml:space="preserve"> requirements; this</w:t>
      </w:r>
      <w:r w:rsidRPr="001C5D96">
        <w:rPr>
          <w:color w:val="000000"/>
        </w:rPr>
        <w:t xml:space="preserve"> branch provides for a graded approach for assessing the level of significance of findings.  </w:t>
      </w:r>
      <w:r w:rsidRPr="00C42D43">
        <w:t xml:space="preserve">Exceeding the limit </w:t>
      </w:r>
      <w:r w:rsidRPr="001C5D96">
        <w:t>yields a G</w:t>
      </w:r>
      <w:r w:rsidR="0062527D" w:rsidRPr="001C5D96">
        <w:t>reen</w:t>
      </w:r>
      <w:r w:rsidRPr="001C5D96">
        <w:t xml:space="preserve"> finding </w:t>
      </w:r>
      <w:r w:rsidRPr="00C42D43">
        <w:t xml:space="preserve">and then increasing </w:t>
      </w:r>
      <w:r w:rsidRPr="001C5D96">
        <w:t>multiples</w:t>
      </w:r>
      <w:r w:rsidRPr="00C42D43">
        <w:t xml:space="preserve"> of the </w:t>
      </w:r>
      <w:r w:rsidRPr="001C5D96">
        <w:t>limit provides</w:t>
      </w:r>
      <w:r w:rsidRPr="00C42D43">
        <w:t xml:space="preserve"> for </w:t>
      </w:r>
      <w:r w:rsidRPr="001C5D96">
        <w:t>W</w:t>
      </w:r>
      <w:r w:rsidR="00390BB2" w:rsidRPr="001C5D96">
        <w:t>hite</w:t>
      </w:r>
      <w:r w:rsidR="00657486">
        <w:t xml:space="preserve"> (</w:t>
      </w:r>
      <w:r w:rsidR="00325B63">
        <w:t>&gt;</w:t>
      </w:r>
      <w:r w:rsidR="00657486">
        <w:t>5x) and</w:t>
      </w:r>
      <w:r w:rsidRPr="001C5D96">
        <w:t xml:space="preserve"> Y</w:t>
      </w:r>
      <w:r w:rsidR="00390BB2" w:rsidRPr="001C5D96">
        <w:t>ellow</w:t>
      </w:r>
      <w:r w:rsidR="00657486">
        <w:t xml:space="preserve"> (</w:t>
      </w:r>
      <w:r w:rsidR="008941BA">
        <w:t>&gt;5</w:t>
      </w:r>
      <w:r w:rsidR="00657486">
        <w:t xml:space="preserve">0x).  For </w:t>
      </w:r>
      <w:r w:rsidRPr="001C5D96">
        <w:t>R</w:t>
      </w:r>
      <w:r w:rsidR="00390BB2" w:rsidRPr="001C5D96">
        <w:t>ed</w:t>
      </w:r>
      <w:r w:rsidRPr="00C42D43">
        <w:t xml:space="preserve"> findings</w:t>
      </w:r>
      <w:r w:rsidR="00657486">
        <w:t xml:space="preserve"> </w:t>
      </w:r>
      <w:r w:rsidRPr="001C5D96">
        <w:rPr>
          <w:color w:val="000000"/>
        </w:rPr>
        <w:t>the surface contamination levels must not only exceed 100 times the limit, but the unrestricted area must have been contaminated as well.</w:t>
      </w:r>
    </w:p>
    <w:p w14:paraId="21177AE4" w14:textId="77777777" w:rsidR="005540FF" w:rsidRPr="001C5D96" w:rsidRDefault="005540F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3563017" w14:textId="6D3F03C2"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color w:val="000000"/>
        </w:rPr>
      </w:pPr>
      <w:r w:rsidRPr="001C5D96">
        <w:rPr>
          <w:color w:val="000000"/>
          <w:u w:val="single"/>
        </w:rPr>
        <w:t xml:space="preserve">Breach of Package </w:t>
      </w:r>
      <w:r w:rsidR="0002182B" w:rsidRPr="001C5D96">
        <w:rPr>
          <w:color w:val="000000"/>
          <w:u w:val="single"/>
        </w:rPr>
        <w:t>during</w:t>
      </w:r>
      <w:r w:rsidRPr="001C5D96">
        <w:rPr>
          <w:color w:val="000000"/>
          <w:u w:val="single"/>
        </w:rPr>
        <w:t xml:space="preserve"> Transit</w:t>
      </w:r>
    </w:p>
    <w:p w14:paraId="3C7FB9A6"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28A892D" w14:textId="4BE5C6AD" w:rsidR="008519DC"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The </w:t>
      </w:r>
      <w:r w:rsidR="00083804" w:rsidRPr="001C5D96">
        <w:rPr>
          <w:color w:val="000000"/>
        </w:rPr>
        <w:t>“Package Breach”</w:t>
      </w:r>
      <w:r w:rsidRPr="001C5D96">
        <w:rPr>
          <w:color w:val="000000"/>
        </w:rPr>
        <w:t xml:space="preserve"> branch</w:t>
      </w:r>
      <w:r w:rsidR="00B876CF">
        <w:rPr>
          <w:color w:val="000000"/>
        </w:rPr>
        <w:t xml:space="preserve"> of the SDP</w:t>
      </w:r>
      <w:r w:rsidR="00BA0B89">
        <w:rPr>
          <w:color w:val="000000"/>
        </w:rPr>
        <w:t xml:space="preserve"> </w:t>
      </w:r>
      <w:r w:rsidR="00B876CF">
        <w:rPr>
          <w:color w:val="000000"/>
        </w:rPr>
        <w:t xml:space="preserve">(see </w:t>
      </w:r>
      <w:r w:rsidR="00BA0B89">
        <w:rPr>
          <w:color w:val="000000"/>
        </w:rPr>
        <w:t>Figure 3</w:t>
      </w:r>
      <w:r w:rsidR="00B876CF">
        <w:rPr>
          <w:color w:val="000000"/>
        </w:rPr>
        <w:t>)</w:t>
      </w:r>
      <w:r w:rsidRPr="001C5D96">
        <w:rPr>
          <w:color w:val="000000"/>
        </w:rPr>
        <w:t xml:space="preserve"> provides for a graded approach for assessing the level of significance of findings. </w:t>
      </w:r>
      <w:r w:rsidR="005327A1" w:rsidRPr="001C5D96">
        <w:rPr>
          <w:color w:val="000000"/>
        </w:rPr>
        <w:t xml:space="preserve"> </w:t>
      </w:r>
    </w:p>
    <w:p w14:paraId="36E0B19A" w14:textId="77777777" w:rsidR="008519DC" w:rsidRPr="001C5D96" w:rsidRDefault="008519D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627D56BD" w14:textId="449A2576" w:rsidR="008519DC"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A Green significance is given to those findings in which there was no loss of contents from the package and the radioactive material was shipped in less than a Type B package.</w:t>
      </w:r>
    </w:p>
    <w:p w14:paraId="16155214" w14:textId="77777777"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76B4FB4" w14:textId="49A6D2DF" w:rsidR="008519DC"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A </w:t>
      </w:r>
      <w:r w:rsidR="00470B3A" w:rsidRPr="001C5D96">
        <w:rPr>
          <w:color w:val="000000"/>
        </w:rPr>
        <w:t>G</w:t>
      </w:r>
      <w:r w:rsidRPr="001C5D96">
        <w:rPr>
          <w:color w:val="000000"/>
        </w:rPr>
        <w:t xml:space="preserve">reen significance is given to those findings involving a loss of contents from a general design package, provided </w:t>
      </w:r>
      <w:r w:rsidR="00C1429A" w:rsidRPr="001C5D96">
        <w:rPr>
          <w:color w:val="000000"/>
        </w:rPr>
        <w:t>there was no actual dose to a member of the public or a responder</w:t>
      </w:r>
      <w:r w:rsidRPr="001C5D96">
        <w:rPr>
          <w:color w:val="000000"/>
        </w:rPr>
        <w:t>.</w:t>
      </w:r>
    </w:p>
    <w:p w14:paraId="2AB2DBD4" w14:textId="77777777"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E7C5E2E" w14:textId="5D742A84" w:rsidR="00AE4442" w:rsidRPr="001C5D96" w:rsidRDefault="00C1429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A White significance is given to those findings in which there was a loss of contents from the package and the radioactive material was shipped in less than a Type B package (not including a general design package).  </w:t>
      </w:r>
      <w:r w:rsidR="004C182A" w:rsidRPr="001C5D96">
        <w:rPr>
          <w:color w:val="000000"/>
        </w:rPr>
        <w:t>Additionally,</w:t>
      </w:r>
      <w:r w:rsidRPr="001C5D96">
        <w:rPr>
          <w:color w:val="000000"/>
        </w:rPr>
        <w:t xml:space="preserve"> a White significance is given to those findings in which there was a loss of contents from any package less than a Type B package where actual doses were given to the public or responders and the dose to a member of the public did not exceed 25 mrem and/or the dose to </w:t>
      </w:r>
      <w:proofErr w:type="gramStart"/>
      <w:r w:rsidRPr="001C5D96">
        <w:rPr>
          <w:color w:val="000000"/>
        </w:rPr>
        <w:t>an</w:t>
      </w:r>
      <w:proofErr w:type="gramEnd"/>
      <w:r w:rsidRPr="001C5D96">
        <w:rPr>
          <w:color w:val="000000"/>
        </w:rPr>
        <w:t xml:space="preserve"> radiation worker did not exceed 5 rem.</w:t>
      </w:r>
    </w:p>
    <w:p w14:paraId="6CDFCBB7" w14:textId="77777777" w:rsidR="008519DC" w:rsidRPr="001C5D96" w:rsidRDefault="008519D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DA2BF8A" w14:textId="620AFF72" w:rsidR="00AE4442"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A Yellow significance is given to those findings in which there was a loss of contents from the package and the radioactive material was shipped in less than a Type B package, where the dose to a member of the public exceeded 25 mrem</w:t>
      </w:r>
      <w:r w:rsidR="00C1429A" w:rsidRPr="001C5D96">
        <w:rPr>
          <w:color w:val="000000"/>
        </w:rPr>
        <w:t>, but did not exceed 100 mrem,</w:t>
      </w:r>
      <w:r w:rsidRPr="001C5D96">
        <w:rPr>
          <w:color w:val="000000"/>
        </w:rPr>
        <w:t xml:space="preserve"> and/or the dose to a radiation worker exceeded 5 </w:t>
      </w:r>
      <w:proofErr w:type="gramStart"/>
      <w:r w:rsidRPr="001C5D96">
        <w:rPr>
          <w:color w:val="000000"/>
        </w:rPr>
        <w:t>rem</w:t>
      </w:r>
      <w:proofErr w:type="gramEnd"/>
      <w:r w:rsidR="00C1429A" w:rsidRPr="001C5D96">
        <w:rPr>
          <w:color w:val="000000"/>
        </w:rPr>
        <w:t>, but did not exceed 25 rem</w:t>
      </w:r>
      <w:r w:rsidRPr="001C5D96">
        <w:rPr>
          <w:color w:val="000000"/>
        </w:rPr>
        <w:t>.</w:t>
      </w:r>
    </w:p>
    <w:p w14:paraId="40EA13AE" w14:textId="2944D19E"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02A5D29" w14:textId="4C8FE5F7"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A Red significance is given to those findings in which there was a loss of contents from the package and the radioactive material was shipped in less than a Type B package, where the </w:t>
      </w:r>
      <w:r w:rsidRPr="001C5D96">
        <w:rPr>
          <w:color w:val="000000"/>
        </w:rPr>
        <w:lastRenderedPageBreak/>
        <w:t xml:space="preserve">dose to a member of the public exceeded 100 mrem and/or the dose to </w:t>
      </w:r>
      <w:r w:rsidR="004C182A" w:rsidRPr="001C5D96">
        <w:rPr>
          <w:color w:val="000000"/>
        </w:rPr>
        <w:t>a</w:t>
      </w:r>
      <w:r w:rsidRPr="001C5D96">
        <w:rPr>
          <w:color w:val="000000"/>
        </w:rPr>
        <w:t xml:space="preserve"> radiation worker exceeded 25 rem.</w:t>
      </w:r>
    </w:p>
    <w:p w14:paraId="40FDDC38" w14:textId="77777777"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BAAE8C2" w14:textId="230810F5"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A Yellow significance is given to those findings in which there was no loss of contents from the package, but the radioactive material was shipped in a Type B package.</w:t>
      </w:r>
    </w:p>
    <w:p w14:paraId="542A6F7C" w14:textId="77777777" w:rsidR="000801FA" w:rsidRPr="001C5D96"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64BA581" w14:textId="10D4A2E9" w:rsidR="005F665E" w:rsidRDefault="000801F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A Red significance is given to those findings in which there was a loss of contents from a Type</w:t>
      </w:r>
      <w:r w:rsidR="00BC3F36">
        <w:rPr>
          <w:color w:val="000000"/>
        </w:rPr>
        <w:t> </w:t>
      </w:r>
      <w:r w:rsidRPr="001C5D96">
        <w:rPr>
          <w:color w:val="000000"/>
        </w:rPr>
        <w:t xml:space="preserve">B package in less than </w:t>
      </w:r>
      <w:r w:rsidR="00C1429A" w:rsidRPr="001C5D96">
        <w:rPr>
          <w:color w:val="000000"/>
        </w:rPr>
        <w:t xml:space="preserve">or equal to </w:t>
      </w:r>
      <w:r w:rsidRPr="001C5D96">
        <w:rPr>
          <w:color w:val="000000"/>
        </w:rPr>
        <w:t>hypothetical accident conditions.</w:t>
      </w:r>
    </w:p>
    <w:p w14:paraId="6A71A7B0" w14:textId="77777777" w:rsidR="00C11F42" w:rsidRPr="001C5D96" w:rsidRDefault="00C11F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53AEBD2" w14:textId="626317C9"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color w:val="000000"/>
        </w:rPr>
      </w:pPr>
      <w:r w:rsidRPr="001C5D96">
        <w:rPr>
          <w:color w:val="000000"/>
          <w:u w:val="single"/>
        </w:rPr>
        <w:t>Certificates of Compliance</w:t>
      </w:r>
    </w:p>
    <w:p w14:paraId="6075ABCE"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67D3329" w14:textId="14658471" w:rsidR="00440FEE" w:rsidRPr="001C5D96" w:rsidRDefault="00440FE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The following discussion provides a step-by-step description of the decision steps which make up the </w:t>
      </w:r>
      <w:r w:rsidR="00D96B92" w:rsidRPr="001C5D96">
        <w:rPr>
          <w:color w:val="000000"/>
        </w:rPr>
        <w:t>Certificate of Compliance</w:t>
      </w:r>
      <w:r w:rsidRPr="001C5D96">
        <w:rPr>
          <w:color w:val="000000"/>
        </w:rPr>
        <w:t xml:space="preserve"> </w:t>
      </w:r>
      <w:r w:rsidR="00D96B92" w:rsidRPr="001C5D96">
        <w:rPr>
          <w:color w:val="000000"/>
        </w:rPr>
        <w:t xml:space="preserve">(CoC) </w:t>
      </w:r>
      <w:r w:rsidRPr="001C5D96">
        <w:rPr>
          <w:color w:val="000000"/>
        </w:rPr>
        <w:t>portion of the SDP</w:t>
      </w:r>
      <w:r w:rsidR="00B876CF">
        <w:rPr>
          <w:color w:val="000000"/>
        </w:rPr>
        <w:t xml:space="preserve"> (see Figure 4)</w:t>
      </w:r>
      <w:r w:rsidRPr="001C5D96">
        <w:rPr>
          <w:color w:val="000000"/>
        </w:rPr>
        <w:t xml:space="preserve">.  </w:t>
      </w:r>
    </w:p>
    <w:p w14:paraId="04F6B40A"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B588AEE" w14:textId="1596A511" w:rsidR="00AE4442" w:rsidRPr="001C5D96" w:rsidRDefault="004F3BB3"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t xml:space="preserve">For the 1st decision block, </w:t>
      </w:r>
      <w:r w:rsidR="00AE4442" w:rsidRPr="00C42D43">
        <w:t>D</w:t>
      </w:r>
      <w:r w:rsidR="004F75E3" w:rsidRPr="00C42D43">
        <w:t>esign</w:t>
      </w:r>
      <w:r w:rsidR="00AE4442" w:rsidRPr="00C42D43">
        <w:t xml:space="preserve"> D</w:t>
      </w:r>
      <w:r w:rsidR="004F75E3" w:rsidRPr="00C42D43">
        <w:t>ocumentation</w:t>
      </w:r>
      <w:r w:rsidR="00AE4442" w:rsidRPr="00C42D43">
        <w:t xml:space="preserve"> </w:t>
      </w:r>
      <w:r w:rsidR="00393D1C" w:rsidRPr="00C42D43">
        <w:t>Deficiency</w:t>
      </w:r>
      <w:r w:rsidRPr="001C5D96">
        <w:t xml:space="preserve">, </w:t>
      </w:r>
      <w:r w:rsidR="004358E8">
        <w:t xml:space="preserve">the finding is Green </w:t>
      </w:r>
      <w:r w:rsidRPr="001C5D96">
        <w:t>if the finding involves a</w:t>
      </w:r>
      <w:r w:rsidR="00AE4442" w:rsidRPr="00C42D43">
        <w:t xml:space="preserve"> documentation deficiency</w:t>
      </w:r>
      <w:r w:rsidRPr="00C42D43">
        <w:t xml:space="preserve"> </w:t>
      </w:r>
      <w:r w:rsidR="00AE4442" w:rsidRPr="00C42D43">
        <w:t xml:space="preserve">related to maintenance or use of an NRC-approved </w:t>
      </w:r>
      <w:r w:rsidR="00D96B92" w:rsidRPr="00C42D43">
        <w:t>package</w:t>
      </w:r>
      <w:r w:rsidR="00D96B92" w:rsidRPr="001C5D96">
        <w:t xml:space="preserve"> and</w:t>
      </w:r>
      <w:r w:rsidRPr="00C42D43">
        <w:t xml:space="preserve"> does not </w:t>
      </w:r>
      <w:r w:rsidRPr="001C5D96">
        <w:t>involve</w:t>
      </w:r>
      <w:r w:rsidRPr="00C42D43">
        <w:t xml:space="preserve"> the failure to perform a required action</w:t>
      </w:r>
      <w:r w:rsidR="00AE4442" w:rsidRPr="001C5D96">
        <w:t xml:space="preserve">.  </w:t>
      </w:r>
      <w:r w:rsidR="00AE4442" w:rsidRPr="001C5D96">
        <w:rPr>
          <w:color w:val="000000"/>
        </w:rPr>
        <w:t xml:space="preserve"> </w:t>
      </w:r>
      <w:r w:rsidR="00AE4442" w:rsidRPr="00C42D43">
        <w:t>Examples of documentation deficiencies include, but are not limited to, the failure to properly document compliance with:</w:t>
      </w:r>
    </w:p>
    <w:p w14:paraId="6ED6B582" w14:textId="77777777" w:rsidR="00AE4442" w:rsidRPr="00C42D43" w:rsidRDefault="00AE4442" w:rsidP="00CA67B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FE2F64" w14:textId="1E3886D2"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49 CFR requirements such as shipping papers</w:t>
      </w:r>
    </w:p>
    <w:p w14:paraId="5B6CF036" w14:textId="4F4731A0"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71.87, Routine determinations (failure to document</w:t>
      </w:r>
      <w:r w:rsidR="004F3BB3" w:rsidRPr="001C5D96">
        <w:t xml:space="preserve"> </w:t>
      </w:r>
      <w:r w:rsidRPr="00C42D43">
        <w:t>performance of the loading checklist</w:t>
      </w:r>
      <w:r w:rsidR="007E3F8C" w:rsidRPr="001C5D96">
        <w:t>)</w:t>
      </w:r>
    </w:p>
    <w:p w14:paraId="7D481C22" w14:textId="5A9BD9B2"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71.89, Opening instructions (failing to document providing them when necessary)</w:t>
      </w:r>
    </w:p>
    <w:p w14:paraId="526C405B" w14:textId="5792BCDE"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71.91, Records (shipment records and evidence of package quality)</w:t>
      </w:r>
    </w:p>
    <w:p w14:paraId="1DEDD494" w14:textId="0492E64A"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71.95, Reports</w:t>
      </w:r>
    </w:p>
    <w:p w14:paraId="4800EC5C" w14:textId="6D44E14D"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CoC conditions such as the loading/unloading requirements of Section 7 of the Package SAR or CoC holder supplied procedures (including failure to use latest revision)</w:t>
      </w:r>
    </w:p>
    <w:p w14:paraId="667860E8" w14:textId="33AA240A" w:rsidR="00AE4442" w:rsidRPr="00C42D43" w:rsidRDefault="00AE4442" w:rsidP="00316087">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CoC conditions such as the maintenance requirements of Section 8 of the Package SAR or CoC holder supplied procedures (including failure to use latest revision)</w:t>
      </w:r>
    </w:p>
    <w:p w14:paraId="332A9C2B"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97EF297" w14:textId="7947A6A8" w:rsidR="00AE4442" w:rsidRPr="001C5D96" w:rsidRDefault="00FD005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F</w:t>
      </w:r>
      <w:r w:rsidR="00A847CD" w:rsidRPr="001C5D96">
        <w:rPr>
          <w:color w:val="000000"/>
        </w:rPr>
        <w:t xml:space="preserve">or the </w:t>
      </w:r>
      <w:r w:rsidR="00B627A1">
        <w:rPr>
          <w:color w:val="000000"/>
        </w:rPr>
        <w:t xml:space="preserve">2nd </w:t>
      </w:r>
      <w:r w:rsidR="00A847CD" w:rsidRPr="001C5D96">
        <w:rPr>
          <w:color w:val="000000"/>
        </w:rPr>
        <w:t>decision bloc</w:t>
      </w:r>
      <w:r w:rsidRPr="001C5D96">
        <w:rPr>
          <w:color w:val="000000"/>
        </w:rPr>
        <w:t>k</w:t>
      </w:r>
      <w:r w:rsidR="00A847CD" w:rsidRPr="001C5D96">
        <w:rPr>
          <w:color w:val="000000"/>
        </w:rPr>
        <w:t>, Maintenance/Use Performance Deficiency,</w:t>
      </w:r>
      <w:r w:rsidR="009C2A80">
        <w:rPr>
          <w:color w:val="000000"/>
        </w:rPr>
        <w:t xml:space="preserve"> the finding is Green</w:t>
      </w:r>
      <w:r w:rsidR="00A847CD" w:rsidRPr="001C5D96">
        <w:rPr>
          <w:color w:val="000000"/>
        </w:rPr>
        <w:t xml:space="preserve"> if the finding involves </w:t>
      </w:r>
      <w:r w:rsidR="00AE4442" w:rsidRPr="001C5D96">
        <w:rPr>
          <w:color w:val="000000"/>
        </w:rPr>
        <w:t>physical problems with the package or the failure to verify the physical condition of the package.</w:t>
      </w:r>
      <w:r w:rsidRPr="001C5D96">
        <w:rPr>
          <w:color w:val="000000"/>
        </w:rPr>
        <w:t xml:space="preserve">  </w:t>
      </w:r>
      <w:r w:rsidR="00AE4442" w:rsidRPr="001C5D96">
        <w:rPr>
          <w:color w:val="000000"/>
        </w:rPr>
        <w:t>Examples of performance deficiencies include, but are not limited to, the failure to properly perform:</w:t>
      </w:r>
    </w:p>
    <w:p w14:paraId="562D703B"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8377E6C" w14:textId="2FE15A35"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71.87, Routine determinations (failure to perform the loading checklist, verify package is in unimpaired physical condition)</w:t>
      </w:r>
    </w:p>
    <w:p w14:paraId="73F9B9CA" w14:textId="6F92EAFA"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Section 71.89, Opening instructions (failure to provide the</w:t>
      </w:r>
      <w:r w:rsidR="00E320B5">
        <w:t>m</w:t>
      </w:r>
      <w:r w:rsidRPr="00C42D43">
        <w:t xml:space="preserve"> when necessary)</w:t>
      </w:r>
    </w:p>
    <w:p w14:paraId="4E59824D" w14:textId="6F78795A"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Package is found to not meet the basic design criteria of the CoC (wall thickness is too thin</w:t>
      </w:r>
      <w:r w:rsidR="007E3F8C" w:rsidRPr="001C5D96">
        <w:t>,</w:t>
      </w:r>
      <w:r w:rsidRPr="00C42D43">
        <w:t xml:space="preserve"> empty weight is incorrect, package is rusted/corroded beyond tolerances)</w:t>
      </w:r>
    </w:p>
    <w:p w14:paraId="5AE8B0FE" w14:textId="161DFC45"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CoC conditions such as the loading/unloading requirements of Section 7 of the Package SAR or CoC holder supplied procedures</w:t>
      </w:r>
    </w:p>
    <w:p w14:paraId="2BDAE521" w14:textId="1BE9BD32"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CoC conditions such as the maintenance requirements of Section 8 of the Package SAR or CoC holder supplied procedures as evidenced by the wrong closure bolts, wrong gaskets (no gasket), or weld problems</w:t>
      </w:r>
    </w:p>
    <w:p w14:paraId="0794E933" w14:textId="10D4759E" w:rsidR="00AE4442" w:rsidRPr="00C42D43" w:rsidRDefault="00AE4442" w:rsidP="00316087">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 xml:space="preserve">Section 71.85, Preliminary </w:t>
      </w:r>
      <w:proofErr w:type="gramStart"/>
      <w:r w:rsidRPr="00C42D43">
        <w:t>determinations</w:t>
      </w:r>
      <w:proofErr w:type="gramEnd"/>
      <w:r w:rsidRPr="00C42D43">
        <w:t xml:space="preserve"> or Section 8 of the SAR (failure to verify that the container is in accordance with the CoC)</w:t>
      </w:r>
    </w:p>
    <w:p w14:paraId="4DABA5AC"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03923CA" w14:textId="5158BDF9" w:rsidR="00AE4442" w:rsidRDefault="00FD005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lastRenderedPageBreak/>
        <w:t xml:space="preserve">For the </w:t>
      </w:r>
      <w:r w:rsidR="00B627A1">
        <w:rPr>
          <w:color w:val="000000"/>
        </w:rPr>
        <w:t>3rd</w:t>
      </w:r>
      <w:r w:rsidRPr="001C5D96">
        <w:rPr>
          <w:color w:val="000000"/>
        </w:rPr>
        <w:t xml:space="preserve"> decision block, Minor Contents Deficiency, </w:t>
      </w:r>
      <w:r w:rsidR="00FD47EC">
        <w:rPr>
          <w:color w:val="000000"/>
        </w:rPr>
        <w:t xml:space="preserve">the finding is Green </w:t>
      </w:r>
      <w:r w:rsidRPr="001C5D96">
        <w:rPr>
          <w:color w:val="000000"/>
        </w:rPr>
        <w:t xml:space="preserve">if </w:t>
      </w:r>
      <w:r w:rsidR="00FD47EC">
        <w:rPr>
          <w:color w:val="000000"/>
        </w:rPr>
        <w:t>it</w:t>
      </w:r>
      <w:r w:rsidRPr="001C5D96">
        <w:rPr>
          <w:color w:val="000000"/>
        </w:rPr>
        <w:t xml:space="preserve"> involved</w:t>
      </w:r>
      <w:r w:rsidR="00AE4442" w:rsidRPr="001C5D96">
        <w:rPr>
          <w:color w:val="000000"/>
        </w:rPr>
        <w:t xml:space="preserve"> a </w:t>
      </w:r>
      <w:r w:rsidR="00FD47EC">
        <w:rPr>
          <w:color w:val="000000"/>
        </w:rPr>
        <w:t xml:space="preserve">failure to meet a CoC criteria for </w:t>
      </w:r>
      <w:r w:rsidR="00AE4442" w:rsidRPr="001C5D96">
        <w:rPr>
          <w:color w:val="000000"/>
        </w:rPr>
        <w:t>cask contents</w:t>
      </w:r>
      <w:r w:rsidR="00FD47EC">
        <w:rPr>
          <w:color w:val="000000"/>
        </w:rPr>
        <w:t xml:space="preserve"> that did not adversely impact the following: </w:t>
      </w:r>
      <w:r w:rsidR="00AE4442" w:rsidRPr="001C5D96">
        <w:rPr>
          <w:color w:val="000000"/>
        </w:rPr>
        <w:t xml:space="preserve"> temperature, pressure, geometry, weight, burn-up, enrichment, or moderator specification nonconformance.</w:t>
      </w:r>
      <w:r w:rsidR="00954AF3" w:rsidRPr="001C5D96">
        <w:rPr>
          <w:color w:val="000000"/>
        </w:rPr>
        <w:t xml:space="preserve">  </w:t>
      </w:r>
      <w:r w:rsidR="00AE4442" w:rsidRPr="001C5D96">
        <w:rPr>
          <w:color w:val="000000"/>
        </w:rPr>
        <w:t xml:space="preserve">Examples </w:t>
      </w:r>
      <w:r w:rsidR="00954AF3" w:rsidRPr="001C5D96">
        <w:rPr>
          <w:color w:val="000000"/>
        </w:rPr>
        <w:t>of these types of findings are</w:t>
      </w:r>
      <w:r w:rsidR="00AE4442" w:rsidRPr="001C5D96">
        <w:rPr>
          <w:color w:val="000000"/>
        </w:rPr>
        <w:t>:</w:t>
      </w:r>
    </w:p>
    <w:p w14:paraId="7524D8EC" w14:textId="77777777" w:rsidR="006D3D8A" w:rsidRPr="001C5D96" w:rsidRDefault="006D3D8A" w:rsidP="003160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14:paraId="3B1ECF1B" w14:textId="44BBF70D"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Minor</w:t>
      </w:r>
      <w:r w:rsidR="00AE4442" w:rsidRPr="00C42D43">
        <w:t xml:space="preserve"> structural component left out or improperly configured (those not required to maintain content arrangement</w:t>
      </w:r>
      <w:r w:rsidR="0028157D" w:rsidRPr="001C5D96">
        <w:t>)</w:t>
      </w:r>
    </w:p>
    <w:p w14:paraId="27FC06AB" w14:textId="358437FF"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N</w:t>
      </w:r>
      <w:r w:rsidR="00AE4442" w:rsidRPr="00C42D43">
        <w:t>on-load bearing and not shielding related</w:t>
      </w:r>
    </w:p>
    <w:p w14:paraId="0A988905" w14:textId="01A9160A"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Non-fissile</w:t>
      </w:r>
      <w:r w:rsidR="00AE4442" w:rsidRPr="00C42D43">
        <w:t xml:space="preserve"> material curie content exceeds the specification in the CoC</w:t>
      </w:r>
    </w:p>
    <w:p w14:paraId="18CD2F74" w14:textId="2246C429"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A</w:t>
      </w:r>
      <w:r w:rsidR="00AE4442" w:rsidRPr="00C42D43">
        <w:t xml:space="preserve"> non-fissile isotope other than what is allowed by the CoC is loaded</w:t>
      </w:r>
    </w:p>
    <w:p w14:paraId="12A2362E" w14:textId="08C7F344"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Residual</w:t>
      </w:r>
      <w:r w:rsidR="00AE4442" w:rsidRPr="00C42D43">
        <w:t xml:space="preserve"> water in a non-fissile package</w:t>
      </w:r>
    </w:p>
    <w:p w14:paraId="74054FA9" w14:textId="3CD40D13" w:rsidR="00AE4442" w:rsidRPr="00C42D43" w:rsidRDefault="004842C9" w:rsidP="00316087">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42D43">
        <w:t>Inclusion</w:t>
      </w:r>
      <w:r w:rsidR="00AE4442" w:rsidRPr="00C42D43">
        <w:t xml:space="preserve"> of non-radioactive material not intended to be in the package</w:t>
      </w:r>
    </w:p>
    <w:p w14:paraId="0ACDF524"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71FDE8C5" w14:textId="6C2E3092" w:rsidR="00AE4442" w:rsidRPr="001C5D96" w:rsidRDefault="00A54656"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For the </w:t>
      </w:r>
      <w:r w:rsidR="00B627A1">
        <w:rPr>
          <w:color w:val="000000"/>
        </w:rPr>
        <w:t>4th</w:t>
      </w:r>
      <w:r w:rsidRPr="001C5D96">
        <w:rPr>
          <w:color w:val="000000"/>
        </w:rPr>
        <w:t xml:space="preserve"> decision block, Major Contents Deficiencies, if</w:t>
      </w:r>
      <w:r w:rsidR="00AE4442" w:rsidRPr="001C5D96">
        <w:rPr>
          <w:color w:val="000000"/>
        </w:rPr>
        <w:t xml:space="preserve"> it is determined that the package contained material such that a critical parameter was outside of the limits of the CoC, or that the closure/containment system was deficient, then the significance would be determined here</w:t>
      </w:r>
      <w:r w:rsidR="000552B5" w:rsidRPr="001C5D96">
        <w:rPr>
          <w:color w:val="000000"/>
        </w:rPr>
        <w:t xml:space="preserve">.  </w:t>
      </w:r>
      <w:r w:rsidR="00962EA4">
        <w:rPr>
          <w:color w:val="000000"/>
        </w:rPr>
        <w:t>The finding would be White if one critical parameter deficiency was identified.  The finding would be Yellow if more than one critical parameter deficiency was identified</w:t>
      </w:r>
      <w:r w:rsidR="00AE4442" w:rsidRPr="001C5D96">
        <w:rPr>
          <w:color w:val="000000"/>
        </w:rPr>
        <w:t>.</w:t>
      </w:r>
      <w:r w:rsidR="00954AF3" w:rsidRPr="001C5D96">
        <w:rPr>
          <w:color w:val="000000"/>
        </w:rPr>
        <w:t xml:space="preserve">  E</w:t>
      </w:r>
      <w:r w:rsidR="00AE4442" w:rsidRPr="001C5D96">
        <w:rPr>
          <w:color w:val="000000"/>
        </w:rPr>
        <w:t>xamples</w:t>
      </w:r>
      <w:r w:rsidR="00954AF3" w:rsidRPr="001C5D96">
        <w:rPr>
          <w:color w:val="000000"/>
        </w:rPr>
        <w:t xml:space="preserve"> of </w:t>
      </w:r>
      <w:r w:rsidR="000552B5" w:rsidRPr="001C5D96">
        <w:rPr>
          <w:color w:val="000000"/>
        </w:rPr>
        <w:t>critical parameters which could result in major contents deficiencies</w:t>
      </w:r>
      <w:r w:rsidR="00AE4442" w:rsidRPr="001C5D96">
        <w:rPr>
          <w:color w:val="000000"/>
        </w:rPr>
        <w:t xml:space="preserve"> are:</w:t>
      </w:r>
    </w:p>
    <w:p w14:paraId="34D7C647" w14:textId="77777777" w:rsidR="00AE4442" w:rsidRPr="001C5D96"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4DE5D3F" w14:textId="6726EBC5"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Temperature</w:t>
      </w:r>
    </w:p>
    <w:p w14:paraId="71AC105A" w14:textId="52BE78E1"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Pressure</w:t>
      </w:r>
    </w:p>
    <w:p w14:paraId="70FC3E0F" w14:textId="59A5704C"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Geometry/configuration</w:t>
      </w:r>
    </w:p>
    <w:p w14:paraId="17E5BEE9" w14:textId="744B58A7"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Weight</w:t>
      </w:r>
    </w:p>
    <w:p w14:paraId="63D9B50D" w14:textId="47939336"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B</w:t>
      </w:r>
      <w:r w:rsidR="00AE4442" w:rsidRPr="00C42D43">
        <w:t>urn-up</w:t>
      </w:r>
    </w:p>
    <w:p w14:paraId="3203ADB5" w14:textId="6BD18496"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Enrichment</w:t>
      </w:r>
    </w:p>
    <w:p w14:paraId="522BC781" w14:textId="7356A18A"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Moderator</w:t>
      </w:r>
      <w:r w:rsidR="00AE4442" w:rsidRPr="00C42D43">
        <w:t xml:space="preserve"> presence when not allowed/moderator exclusion when required</w:t>
      </w:r>
    </w:p>
    <w:p w14:paraId="74917607" w14:textId="52B0221D"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Neutron</w:t>
      </w:r>
      <w:r w:rsidR="00AE4442" w:rsidRPr="00C42D43">
        <w:t xml:space="preserve"> absorber not present when required</w:t>
      </w:r>
    </w:p>
    <w:p w14:paraId="52AF5A73" w14:textId="56B8F636" w:rsidR="00954AF3"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Fissile</w:t>
      </w:r>
      <w:r w:rsidR="00AE4442" w:rsidRPr="00C42D43">
        <w:t xml:space="preserve"> material curie content or quantity exceeds the specification in the CoC</w:t>
      </w:r>
    </w:p>
    <w:p w14:paraId="61DCC20D" w14:textId="6A894C0D" w:rsidR="00AE4442" w:rsidRPr="00C42D43" w:rsidRDefault="004842C9" w:rsidP="00316087">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pPr>
      <w:r w:rsidRPr="00C42D43">
        <w:t>Major</w:t>
      </w:r>
      <w:r w:rsidR="00AE4442" w:rsidRPr="00C42D43">
        <w:t xml:space="preserve"> structural item left out (internal brace, b</w:t>
      </w:r>
      <w:r w:rsidR="00BB36ED" w:rsidRPr="00C42D43">
        <w:t xml:space="preserve">asket, shoring, foam, shielding </w:t>
      </w:r>
      <w:r w:rsidR="00AE4442" w:rsidRPr="00C42D43">
        <w:t>etc.) or structural deficiency/failure.</w:t>
      </w:r>
    </w:p>
    <w:p w14:paraId="6D0D4775" w14:textId="10F5629D" w:rsidR="00AE4442" w:rsidRDefault="00AE444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6F1A39B"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color w:val="000000"/>
        </w:rPr>
      </w:pPr>
      <w:r w:rsidRPr="001C5D96">
        <w:rPr>
          <w:color w:val="000000"/>
          <w:u w:val="single"/>
        </w:rPr>
        <w:t>Failure to Make Notifications or Provide Emergency Information</w:t>
      </w:r>
    </w:p>
    <w:p w14:paraId="5F1E6B5D"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D09CADE" w14:textId="4CD16B93"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This branch of </w:t>
      </w:r>
      <w:r>
        <w:rPr>
          <w:color w:val="000000"/>
        </w:rPr>
        <w:t xml:space="preserve">SDP (see Figure </w:t>
      </w:r>
      <w:r w:rsidR="003D5869">
        <w:rPr>
          <w:color w:val="000000"/>
        </w:rPr>
        <w:t>5</w:t>
      </w:r>
      <w:r>
        <w:rPr>
          <w:color w:val="000000"/>
        </w:rPr>
        <w:t>)</w:t>
      </w:r>
      <w:r w:rsidRPr="001C5D96">
        <w:rPr>
          <w:color w:val="000000"/>
        </w:rPr>
        <w:t xml:space="preserve"> focuses on vital communication, information, and notification requirements that must be met by the licensee.  Shippers of hazardous materials are required to provide emergency response information</w:t>
      </w:r>
      <w:r>
        <w:rPr>
          <w:color w:val="000000"/>
        </w:rPr>
        <w:t xml:space="preserve"> in certain situations</w:t>
      </w:r>
      <w:r w:rsidRPr="001C5D96">
        <w:rPr>
          <w:color w:val="000000"/>
        </w:rPr>
        <w:t xml:space="preserve">.  Failure to provide these required notifications could seriously hamper or prevent the ability of the federal, </w:t>
      </w:r>
      <w:proofErr w:type="gramStart"/>
      <w:r w:rsidRPr="001C5D96">
        <w:rPr>
          <w:color w:val="000000"/>
        </w:rPr>
        <w:t>state</w:t>
      </w:r>
      <w:proofErr w:type="gramEnd"/>
      <w:r w:rsidRPr="001C5D96">
        <w:rPr>
          <w:color w:val="000000"/>
        </w:rPr>
        <w:t xml:space="preserve"> and local agencies to adequately respond as needed to transportation events and accidents.  By hampering or preventing this regulatory response, the public health and safety could be negatively impacted.</w:t>
      </w:r>
    </w:p>
    <w:p w14:paraId="6BB878B1"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1EFB1A89"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For Block N1 (10 CFR 71.97),</w:t>
      </w:r>
      <w:r>
        <w:rPr>
          <w:color w:val="000000"/>
        </w:rPr>
        <w:t xml:space="preserve"> the finding is White</w:t>
      </w:r>
      <w:r w:rsidRPr="001C5D96">
        <w:rPr>
          <w:color w:val="000000"/>
        </w:rPr>
        <w:t xml:space="preserve"> if the licensee fails to make the required notifications to the governor of a State,</w:t>
      </w:r>
      <w:r>
        <w:rPr>
          <w:color w:val="000000"/>
        </w:rPr>
        <w:t xml:space="preserve"> </w:t>
      </w:r>
      <w:r w:rsidRPr="001C5D96">
        <w:rPr>
          <w:color w:val="000000"/>
        </w:rPr>
        <w:t>the governor’s designee,</w:t>
      </w:r>
      <w:r>
        <w:rPr>
          <w:color w:val="000000"/>
        </w:rPr>
        <w:t xml:space="preserve"> or the Tribal official </w:t>
      </w:r>
      <w:r w:rsidRPr="001C5D96">
        <w:rPr>
          <w:color w:val="000000"/>
          <w:u w:val="single"/>
        </w:rPr>
        <w:t>before</w:t>
      </w:r>
      <w:r w:rsidRPr="001C5D96">
        <w:rPr>
          <w:color w:val="000000"/>
        </w:rPr>
        <w:t xml:space="preserve"> the shipment entered the </w:t>
      </w:r>
      <w:proofErr w:type="gramStart"/>
      <w:r>
        <w:rPr>
          <w:color w:val="000000"/>
        </w:rPr>
        <w:t>s</w:t>
      </w:r>
      <w:r w:rsidRPr="001C5D96">
        <w:rPr>
          <w:color w:val="000000"/>
        </w:rPr>
        <w:t>tate’</w:t>
      </w:r>
      <w:r>
        <w:rPr>
          <w:color w:val="000000"/>
        </w:rPr>
        <w:t>s</w:t>
      </w:r>
      <w:proofErr w:type="gramEnd"/>
      <w:r>
        <w:rPr>
          <w:color w:val="000000"/>
        </w:rPr>
        <w:t xml:space="preserve"> or reservation’s</w:t>
      </w:r>
      <w:r w:rsidRPr="001C5D96">
        <w:rPr>
          <w:color w:val="000000"/>
        </w:rPr>
        <w:t xml:space="preserve"> boundary for interstate shipments.  For intrastate shipments, if the shipment was put on public roads/rails before the Governor, his designee, </w:t>
      </w:r>
      <w:r>
        <w:rPr>
          <w:color w:val="000000"/>
        </w:rPr>
        <w:t xml:space="preserve">or the Tribal official </w:t>
      </w:r>
      <w:r w:rsidRPr="001C5D96">
        <w:rPr>
          <w:color w:val="000000"/>
        </w:rPr>
        <w:t xml:space="preserve">received the required notification, then a finding </w:t>
      </w:r>
      <w:r>
        <w:rPr>
          <w:color w:val="000000"/>
        </w:rPr>
        <w:t>is</w:t>
      </w:r>
      <w:r w:rsidRPr="001C5D96">
        <w:rPr>
          <w:color w:val="000000"/>
        </w:rPr>
        <w:t xml:space="preserve"> White.  </w:t>
      </w:r>
      <w:r>
        <w:rPr>
          <w:color w:val="000000"/>
        </w:rPr>
        <w:t xml:space="preserve">If the licensee fails to meet a </w:t>
      </w:r>
      <w:r w:rsidRPr="001C5D96">
        <w:rPr>
          <w:color w:val="000000"/>
        </w:rPr>
        <w:t xml:space="preserve">timeliness </w:t>
      </w:r>
      <w:r>
        <w:rPr>
          <w:color w:val="000000"/>
        </w:rPr>
        <w:t>of notification requirement</w:t>
      </w:r>
      <w:r w:rsidRPr="001C5D96">
        <w:rPr>
          <w:color w:val="000000"/>
        </w:rPr>
        <w:t xml:space="preserve"> (</w:t>
      </w:r>
      <w:r>
        <w:rPr>
          <w:color w:val="000000"/>
        </w:rPr>
        <w:t>i.e</w:t>
      </w:r>
      <w:r w:rsidRPr="001C5D96">
        <w:rPr>
          <w:color w:val="000000"/>
        </w:rPr>
        <w:t>., notification not postmarked at least 7 days before the 7-day shipment period</w:t>
      </w:r>
      <w:r>
        <w:rPr>
          <w:color w:val="000000"/>
        </w:rPr>
        <w:t>)</w:t>
      </w:r>
      <w:r w:rsidRPr="001C5D96">
        <w:rPr>
          <w:color w:val="000000"/>
        </w:rPr>
        <w:t xml:space="preserve">, </w:t>
      </w:r>
      <w:r>
        <w:rPr>
          <w:color w:val="000000"/>
        </w:rPr>
        <w:t xml:space="preserve">then the </w:t>
      </w:r>
      <w:r w:rsidRPr="001C5D96">
        <w:rPr>
          <w:color w:val="000000"/>
        </w:rPr>
        <w:t xml:space="preserve">finding </w:t>
      </w:r>
      <w:r>
        <w:rPr>
          <w:color w:val="000000"/>
        </w:rPr>
        <w:t>is</w:t>
      </w:r>
      <w:r w:rsidRPr="001C5D96">
        <w:rPr>
          <w:color w:val="000000"/>
        </w:rPr>
        <w:t xml:space="preserve"> Green.  The NRC can consider information provided by the licensee that would assist in dispositioning the significance of the finding (e.g., letter from state agency characterizing the impact of the non-compliance).  Such information would be considered through the normal SERP process.</w:t>
      </w:r>
    </w:p>
    <w:p w14:paraId="2235B38B"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013590B3"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For Block N2 (49 CFR 172.602 non-compliance),</w:t>
      </w:r>
      <w:r>
        <w:rPr>
          <w:color w:val="000000"/>
        </w:rPr>
        <w:t xml:space="preserve"> the finding is White</w:t>
      </w:r>
      <w:r w:rsidRPr="001C5D96">
        <w:rPr>
          <w:color w:val="000000"/>
        </w:rPr>
        <w:t xml:space="preserve"> if the licensee fails to provide the required emergency response information to the shipment carrier and the error or omission would seriously hamper emergency response efforts.</w:t>
      </w:r>
      <w:r>
        <w:rPr>
          <w:color w:val="000000"/>
        </w:rPr>
        <w:t xml:space="preserve">  </w:t>
      </w:r>
      <w:r w:rsidRPr="00945791">
        <w:rPr>
          <w:color w:val="000000"/>
        </w:rPr>
        <w:t xml:space="preserve">Examples of violations that </w:t>
      </w:r>
      <w:r>
        <w:rPr>
          <w:color w:val="000000"/>
        </w:rPr>
        <w:t>w</w:t>
      </w:r>
      <w:r w:rsidRPr="00945791">
        <w:rPr>
          <w:color w:val="000000"/>
        </w:rPr>
        <w:t>ould seriously hamper emergency response efforts include, substantial errors or omissions</w:t>
      </w:r>
      <w:r>
        <w:rPr>
          <w:color w:val="000000"/>
        </w:rPr>
        <w:t xml:space="preserve"> (e.g., missing pages or uncommunicated hazards)</w:t>
      </w:r>
      <w:r w:rsidRPr="00945791">
        <w:rPr>
          <w:color w:val="000000"/>
        </w:rPr>
        <w:t xml:space="preserve"> in </w:t>
      </w:r>
      <w:r>
        <w:rPr>
          <w:color w:val="000000"/>
        </w:rPr>
        <w:t xml:space="preserve">communicating </w:t>
      </w:r>
      <w:r w:rsidRPr="00945791">
        <w:rPr>
          <w:color w:val="000000"/>
        </w:rPr>
        <w:t>the immediate hazards to health</w:t>
      </w:r>
      <w:r>
        <w:rPr>
          <w:color w:val="000000"/>
        </w:rPr>
        <w:t>;</w:t>
      </w:r>
      <w:r w:rsidRPr="00945791">
        <w:rPr>
          <w:color w:val="000000"/>
        </w:rPr>
        <w:t xml:space="preserve"> risks of fire or explosion</w:t>
      </w:r>
      <w:r>
        <w:rPr>
          <w:color w:val="000000"/>
        </w:rPr>
        <w:t>;</w:t>
      </w:r>
      <w:r w:rsidRPr="00945791">
        <w:rPr>
          <w:color w:val="000000"/>
        </w:rPr>
        <w:t xml:space="preserve"> and immediate precautions</w:t>
      </w:r>
      <w:r>
        <w:rPr>
          <w:color w:val="000000"/>
        </w:rPr>
        <w:t xml:space="preserve">—or, </w:t>
      </w:r>
      <w:r w:rsidRPr="00945791">
        <w:rPr>
          <w:color w:val="000000"/>
        </w:rPr>
        <w:t>if the</w:t>
      </w:r>
      <w:r>
        <w:rPr>
          <w:color w:val="000000"/>
        </w:rPr>
        <w:t xml:space="preserve"> aforementioned</w:t>
      </w:r>
      <w:r w:rsidRPr="00945791">
        <w:rPr>
          <w:color w:val="000000"/>
        </w:rPr>
        <w:t xml:space="preserve"> information is in an unusable/unreadable format.</w:t>
      </w:r>
      <w:r>
        <w:rPr>
          <w:color w:val="000000"/>
        </w:rPr>
        <w:t xml:space="preserve">  </w:t>
      </w:r>
      <w:r w:rsidRPr="00194C52">
        <w:rPr>
          <w:color w:val="000000"/>
        </w:rPr>
        <w:t xml:space="preserve">Additionally, discrepancies between the basic description information (e.g., proper shipping name and United Nations identification number) and the package markings </w:t>
      </w:r>
      <w:r>
        <w:rPr>
          <w:color w:val="000000"/>
        </w:rPr>
        <w:t>w</w:t>
      </w:r>
      <w:r w:rsidRPr="00194C52">
        <w:rPr>
          <w:color w:val="000000"/>
        </w:rPr>
        <w:t>ould significantly hamper emergency response actions.</w:t>
      </w:r>
      <w:r>
        <w:rPr>
          <w:color w:val="000000"/>
        </w:rPr>
        <w:t xml:space="preserve">  If the finding involves a deficiency in emergency response information that would not seriously hamper emergency response efforts, then the finding is Green.  Examples of these cases include situations where errors are made in emergency information, but the hazards contained in the shipment are still sufficiently communicated. </w:t>
      </w:r>
    </w:p>
    <w:p w14:paraId="7EFCD527"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48A26DD"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For Block N3 (49 CFR 172.604 non-compliance),</w:t>
      </w:r>
      <w:r>
        <w:rPr>
          <w:color w:val="000000"/>
        </w:rPr>
        <w:t xml:space="preserve"> the finding is White</w:t>
      </w:r>
      <w:r w:rsidRPr="001C5D96">
        <w:rPr>
          <w:color w:val="000000"/>
        </w:rPr>
        <w:t xml:space="preserve"> if during an actual emergency the licensee does not respond in a timely manner in accordance with the requirements (or had not provided the 24-hour telephone number).   For an incorrect or missing emergency response telephone number, as required by 49 CFR 172.604, if there were no actual accidents or situations where the emergency contact information was needed, then the risk significance would be very low, and the finding is Green.</w:t>
      </w:r>
    </w:p>
    <w:p w14:paraId="0301CEAC"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77623C8D" w14:textId="77777777" w:rsidR="00506907" w:rsidRPr="001C5D96" w:rsidRDefault="00506907" w:rsidP="0050690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D96">
        <w:rPr>
          <w:color w:val="000000"/>
        </w:rPr>
        <w:t xml:space="preserve">For Block N4 (10 CFR 20.1906), </w:t>
      </w:r>
      <w:r>
        <w:rPr>
          <w:color w:val="000000"/>
        </w:rPr>
        <w:t xml:space="preserve">the finding is White </w:t>
      </w:r>
      <w:r w:rsidRPr="001C5D96">
        <w:rPr>
          <w:color w:val="000000"/>
        </w:rPr>
        <w:t xml:space="preserve">if the licensee’s receipt surveys show 1) the package’s external radiation levels </w:t>
      </w:r>
      <w:proofErr w:type="gramStart"/>
      <w:r w:rsidRPr="001C5D96">
        <w:rPr>
          <w:color w:val="000000"/>
        </w:rPr>
        <w:t>in excess of</w:t>
      </w:r>
      <w:proofErr w:type="gramEnd"/>
      <w:r w:rsidRPr="001C5D96">
        <w:rPr>
          <w:color w:val="000000"/>
        </w:rPr>
        <w:t xml:space="preserve"> five times the Part 71 limits, or 2) the surface radioactive contamination level in excess of five times the Part 71 (49 CFR 173) limits, and the licensee fails to make notifications to the final delivery carrier.  Other non-compliances are Green.  </w:t>
      </w:r>
      <w:r>
        <w:rPr>
          <w:color w:val="000000"/>
        </w:rPr>
        <w:t>A finding that involves a licensee’s f</w:t>
      </w:r>
      <w:r w:rsidRPr="001C5D96">
        <w:rPr>
          <w:color w:val="000000"/>
        </w:rPr>
        <w:t>ailure to notify the NRC when required</w:t>
      </w:r>
      <w:r>
        <w:rPr>
          <w:color w:val="000000"/>
        </w:rPr>
        <w:t xml:space="preserve"> is to be</w:t>
      </w:r>
      <w:r w:rsidRPr="001C5D96">
        <w:rPr>
          <w:color w:val="000000"/>
        </w:rPr>
        <w:t xml:space="preserve"> dispositioned </w:t>
      </w:r>
      <w:r>
        <w:rPr>
          <w:color w:val="000000"/>
        </w:rPr>
        <w:t>as a Traditional Enforcement violation as stated in</w:t>
      </w:r>
      <w:r w:rsidRPr="001C5D96">
        <w:rPr>
          <w:color w:val="000000"/>
        </w:rPr>
        <w:t xml:space="preserve"> section 2.2.4</w:t>
      </w:r>
      <w:r>
        <w:rPr>
          <w:color w:val="000000"/>
        </w:rPr>
        <w:t xml:space="preserve"> of NRC’s Enforcement Policy (i.e., </w:t>
      </w:r>
      <w:r w:rsidRPr="001C5D96">
        <w:rPr>
          <w:color w:val="000000"/>
        </w:rPr>
        <w:t>a</w:t>
      </w:r>
      <w:r>
        <w:rPr>
          <w:color w:val="000000"/>
        </w:rPr>
        <w:t>s a</w:t>
      </w:r>
      <w:r w:rsidRPr="001C5D96">
        <w:rPr>
          <w:color w:val="000000"/>
        </w:rPr>
        <w:t xml:space="preserve"> violation that may impact the ability of the NRC to perform its regulatory oversight function</w:t>
      </w:r>
      <w:r>
        <w:rPr>
          <w:color w:val="000000"/>
        </w:rPr>
        <w:t>)</w:t>
      </w:r>
      <w:r w:rsidRPr="001C5D96">
        <w:rPr>
          <w:color w:val="000000"/>
        </w:rPr>
        <w:t>.</w:t>
      </w:r>
    </w:p>
    <w:p w14:paraId="14164E77" w14:textId="77777777" w:rsidR="00506907" w:rsidRPr="001C5D96" w:rsidRDefault="00506907"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108EBE6C" w14:textId="4F8DA35E" w:rsidR="00953FFD" w:rsidRPr="001C5D96" w:rsidRDefault="00D9409D" w:rsidP="00CA67BD">
      <w:pPr>
        <w:pStyle w:val="TOCLevel1"/>
      </w:pPr>
      <w:bookmarkStart w:id="49" w:name="_Toc58853602"/>
      <w:bookmarkStart w:id="50" w:name="_Toc58854264"/>
      <w:bookmarkStart w:id="51" w:name="_Toc58854396"/>
      <w:bookmarkStart w:id="52" w:name="_Toc58854573"/>
      <w:r w:rsidRPr="001C5D96">
        <w:t>02.05</w:t>
      </w:r>
      <w:r w:rsidRPr="001C5D96">
        <w:tab/>
      </w:r>
      <w:r w:rsidR="00FA2C63" w:rsidRPr="00561EC6">
        <w:rPr>
          <w:u w:val="single"/>
        </w:rPr>
        <w:t>Licensing Requirements for Land Disposal of Radioactive Waste</w:t>
      </w:r>
      <w:bookmarkEnd w:id="49"/>
      <w:bookmarkEnd w:id="50"/>
      <w:bookmarkEnd w:id="51"/>
      <w:bookmarkEnd w:id="52"/>
      <w:r w:rsidR="00E050BE">
        <w:rPr>
          <w:u w:val="single"/>
        </w:rPr>
        <w:fldChar w:fldCharType="begin"/>
      </w:r>
      <w:r w:rsidR="00E050BE">
        <w:instrText xml:space="preserve"> TC "</w:instrText>
      </w:r>
      <w:bookmarkStart w:id="53" w:name="_Toc58919260"/>
      <w:bookmarkStart w:id="54" w:name="_Toc58919597"/>
      <w:bookmarkStart w:id="55" w:name="_Toc58919690"/>
      <w:bookmarkStart w:id="56" w:name="_Toc58919759"/>
      <w:r w:rsidR="00E050BE" w:rsidRPr="00136791">
        <w:instrText>02.05</w:instrText>
      </w:r>
      <w:r w:rsidR="00E050BE" w:rsidRPr="00136791">
        <w:tab/>
      </w:r>
      <w:r w:rsidR="00E050BE" w:rsidRPr="00136791">
        <w:rPr>
          <w:u w:val="single"/>
        </w:rPr>
        <w:instrText>Licensing Requirements for Land Disposal of Radioactive Waste</w:instrText>
      </w:r>
      <w:bookmarkEnd w:id="53"/>
      <w:bookmarkEnd w:id="54"/>
      <w:bookmarkEnd w:id="55"/>
      <w:bookmarkEnd w:id="56"/>
      <w:r w:rsidR="00E050BE">
        <w:instrText xml:space="preserve">" \f C \l "2" </w:instrText>
      </w:r>
      <w:r w:rsidR="00E050BE">
        <w:rPr>
          <w:u w:val="single"/>
        </w:rPr>
        <w:fldChar w:fldCharType="end"/>
      </w:r>
    </w:p>
    <w:p w14:paraId="4F2BFEF7" w14:textId="77415E82" w:rsidR="00953FFD" w:rsidRPr="001C5D96" w:rsidRDefault="00953FF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D38841" w14:textId="1918B9A6" w:rsidR="000552B5" w:rsidRPr="001C5D96" w:rsidRDefault="00294BD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Near Surface Disposal</w:t>
      </w:r>
      <w:r w:rsidR="000552B5" w:rsidRPr="001C5D96">
        <w:rPr>
          <w:u w:val="single"/>
        </w:rPr>
        <w:t xml:space="preserve"> Nonconformance</w:t>
      </w:r>
    </w:p>
    <w:p w14:paraId="05CA5CB4" w14:textId="77777777" w:rsidR="000552B5" w:rsidRPr="001C5D96" w:rsidRDefault="000552B5"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F0E891C" w14:textId="2199ED95" w:rsidR="0033166A" w:rsidRPr="001C5D96" w:rsidRDefault="00AD76D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5D96">
        <w:t>This section of the SDP</w:t>
      </w:r>
      <w:r w:rsidR="0033166A" w:rsidRPr="001C5D96">
        <w:t xml:space="preserve"> </w:t>
      </w:r>
      <w:r w:rsidR="004379B3">
        <w:t xml:space="preserve">(see Figure 4) </w:t>
      </w:r>
      <w:r w:rsidR="0033166A" w:rsidRPr="001C5D96">
        <w:t>evaluates findings related to the classification (i.e., Class A, B, C, etc.) and characterization of radioactive material intended for near-surface disposal at facilities licensed for such activities.</w:t>
      </w:r>
    </w:p>
    <w:p w14:paraId="66539459" w14:textId="77777777" w:rsidR="0040697D" w:rsidRPr="001C5D96"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088B06B0" w14:textId="37885027" w:rsidR="000552B5" w:rsidRPr="001C5D96" w:rsidRDefault="00F95130"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The finding is White i</w:t>
      </w:r>
      <w:r w:rsidR="00953FFD" w:rsidRPr="001C5D96">
        <w:rPr>
          <w:color w:val="000000"/>
        </w:rPr>
        <w:t>f a licensee ships Class C or greater waste and it is determined that the waste was under-classified</w:t>
      </w:r>
      <w:r w:rsidR="000552B5" w:rsidRPr="001C5D96">
        <w:rPr>
          <w:color w:val="000000"/>
        </w:rPr>
        <w:t xml:space="preserve"> when considering </w:t>
      </w:r>
      <w:r w:rsidR="00953FFD" w:rsidRPr="001C5D96">
        <w:rPr>
          <w:color w:val="000000"/>
        </w:rPr>
        <w:t xml:space="preserve">the requirements of 10 CFR 61.55 (e.g., waste classified as Class A or Class B, but later found to be Class C or greater).  </w:t>
      </w:r>
      <w:r w:rsidR="009D782D" w:rsidRPr="001C5D96">
        <w:rPr>
          <w:color w:val="000000"/>
        </w:rPr>
        <w:t>Other violations of 10</w:t>
      </w:r>
      <w:r w:rsidR="002D7E5D">
        <w:rPr>
          <w:color w:val="000000"/>
        </w:rPr>
        <w:t> </w:t>
      </w:r>
      <w:r w:rsidR="009D782D" w:rsidRPr="001C5D96">
        <w:rPr>
          <w:color w:val="000000"/>
        </w:rPr>
        <w:t>CFR 61.55 that do not involve under-classification are Green.</w:t>
      </w:r>
    </w:p>
    <w:p w14:paraId="48565E4D" w14:textId="77777777" w:rsidR="000552B5" w:rsidRPr="001C5D96" w:rsidRDefault="000552B5"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E231A2A" w14:textId="236E65BA" w:rsidR="00953FFD" w:rsidRPr="001C5D96" w:rsidRDefault="001401A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The finding is White i</w:t>
      </w:r>
      <w:r w:rsidR="00953FFD" w:rsidRPr="001C5D96">
        <w:rPr>
          <w:color w:val="000000"/>
        </w:rPr>
        <w:t>f a licensee ships Class A or Class B waste and it is determined that the waste was under-classified</w:t>
      </w:r>
      <w:r w:rsidR="000552B5" w:rsidRPr="001C5D96">
        <w:rPr>
          <w:color w:val="000000"/>
        </w:rPr>
        <w:t xml:space="preserve"> when considering</w:t>
      </w:r>
      <w:r w:rsidR="00953FFD" w:rsidRPr="001C5D96">
        <w:rPr>
          <w:color w:val="000000"/>
        </w:rPr>
        <w:t xml:space="preserve"> the requirements of 10 CFR Part 61.55 </w:t>
      </w:r>
      <w:r w:rsidR="00953FFD" w:rsidRPr="001C5D96">
        <w:rPr>
          <w:color w:val="000000"/>
          <w:u w:val="single"/>
        </w:rPr>
        <w:t>and</w:t>
      </w:r>
      <w:r w:rsidR="00953FFD" w:rsidRPr="001C5D96">
        <w:rPr>
          <w:color w:val="000000"/>
        </w:rPr>
        <w:t xml:space="preserve"> </w:t>
      </w:r>
      <w:r w:rsidR="009D782D" w:rsidRPr="001C5D96">
        <w:rPr>
          <w:color w:val="000000"/>
        </w:rPr>
        <w:t>the finding involved</w:t>
      </w:r>
      <w:r w:rsidR="00953FFD" w:rsidRPr="001C5D96">
        <w:rPr>
          <w:color w:val="000000"/>
        </w:rPr>
        <w:t xml:space="preserve"> the improper disposal of</w:t>
      </w:r>
      <w:r w:rsidR="009D782D" w:rsidRPr="001C5D96">
        <w:rPr>
          <w:color w:val="000000"/>
        </w:rPr>
        <w:t xml:space="preserve"> the</w:t>
      </w:r>
      <w:r w:rsidR="00953FFD" w:rsidRPr="001C5D96">
        <w:rPr>
          <w:color w:val="000000"/>
        </w:rPr>
        <w:t xml:space="preserve"> waste, contrary to the requirements of 10 CFR 61.56.  </w:t>
      </w:r>
      <w:r>
        <w:rPr>
          <w:color w:val="000000"/>
        </w:rPr>
        <w:t>The finding is Green i</w:t>
      </w:r>
      <w:r w:rsidR="00953FFD" w:rsidRPr="001C5D96">
        <w:rPr>
          <w:color w:val="000000"/>
        </w:rPr>
        <w:t>f the under-classification of Class A or Class B waste did not result in the improper disposal of the waste.</w:t>
      </w:r>
    </w:p>
    <w:p w14:paraId="6EC10661" w14:textId="7E1E96C5" w:rsidR="00001284" w:rsidRPr="001C5D96" w:rsidRDefault="0000128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BC68936" w14:textId="3F02A759" w:rsidR="00001284" w:rsidRPr="00561EC6" w:rsidRDefault="00D9409D" w:rsidP="00CA67BD">
      <w:pPr>
        <w:pStyle w:val="TOCLevel1"/>
        <w:rPr>
          <w:u w:val="single"/>
        </w:rPr>
      </w:pPr>
      <w:bookmarkStart w:id="57" w:name="_Toc58853603"/>
      <w:bookmarkStart w:id="58" w:name="_Toc58854265"/>
      <w:bookmarkStart w:id="59" w:name="_Toc58854397"/>
      <w:bookmarkStart w:id="60" w:name="_Toc58854574"/>
      <w:r w:rsidRPr="001C5D96">
        <w:lastRenderedPageBreak/>
        <w:t>02.06</w:t>
      </w:r>
      <w:r w:rsidRPr="001C5D96">
        <w:tab/>
      </w:r>
      <w:r w:rsidR="00FA2C63" w:rsidRPr="00561EC6">
        <w:rPr>
          <w:u w:val="single"/>
        </w:rPr>
        <w:t xml:space="preserve">Physical Protection </w:t>
      </w:r>
      <w:r w:rsidR="005C63D9" w:rsidRPr="00561EC6">
        <w:rPr>
          <w:u w:val="single"/>
        </w:rPr>
        <w:t>o</w:t>
      </w:r>
      <w:r w:rsidR="00FA2C63" w:rsidRPr="00561EC6">
        <w:rPr>
          <w:u w:val="single"/>
        </w:rPr>
        <w:t>f Category 1 and Category 2 Quantities of Radioactive Material</w:t>
      </w:r>
      <w:bookmarkEnd w:id="57"/>
      <w:bookmarkEnd w:id="58"/>
      <w:bookmarkEnd w:id="59"/>
      <w:bookmarkEnd w:id="60"/>
      <w:r w:rsidR="00A06CE3">
        <w:rPr>
          <w:u w:val="single"/>
        </w:rPr>
        <w:t xml:space="preserve"> per 10 CFR Part 37</w:t>
      </w:r>
      <w:r w:rsidR="00E050BE">
        <w:rPr>
          <w:u w:val="single"/>
        </w:rPr>
        <w:fldChar w:fldCharType="begin"/>
      </w:r>
      <w:r w:rsidR="00E050BE">
        <w:instrText xml:space="preserve"> TC "</w:instrText>
      </w:r>
      <w:bookmarkStart w:id="61" w:name="_Toc58919261"/>
      <w:bookmarkStart w:id="62" w:name="_Toc58919598"/>
      <w:bookmarkStart w:id="63" w:name="_Toc58919691"/>
      <w:bookmarkStart w:id="64" w:name="_Toc58919760"/>
      <w:r w:rsidR="00E050BE" w:rsidRPr="00136791">
        <w:instrText>02.06</w:instrText>
      </w:r>
      <w:r w:rsidR="00E050BE" w:rsidRPr="00136791">
        <w:tab/>
      </w:r>
      <w:r w:rsidR="00E050BE" w:rsidRPr="00136791">
        <w:rPr>
          <w:u w:val="single"/>
        </w:rPr>
        <w:instrText>Physical Protection of Category 1 and Category 2 Quantities of Radioactive Material</w:instrText>
      </w:r>
      <w:bookmarkEnd w:id="61"/>
      <w:bookmarkEnd w:id="62"/>
      <w:bookmarkEnd w:id="63"/>
      <w:bookmarkEnd w:id="64"/>
      <w:r w:rsidR="00E050BE">
        <w:instrText xml:space="preserve">" \f C \l "2" </w:instrText>
      </w:r>
      <w:r w:rsidR="00E050BE">
        <w:rPr>
          <w:u w:val="single"/>
        </w:rPr>
        <w:fldChar w:fldCharType="end"/>
      </w:r>
    </w:p>
    <w:p w14:paraId="4AC420EF" w14:textId="613049FD" w:rsidR="00001284" w:rsidRPr="001C5D96" w:rsidRDefault="0000128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3F17BAF4" w14:textId="4EE49DE0" w:rsidR="00C845D9" w:rsidRPr="001C5D96" w:rsidRDefault="009A3B9A"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This section of the SDP</w:t>
      </w:r>
      <w:r w:rsidR="00300EC1">
        <w:t xml:space="preserve"> (see Figures</w:t>
      </w:r>
      <w:r w:rsidR="00725879">
        <w:t xml:space="preserve"> </w:t>
      </w:r>
      <w:r w:rsidR="003D5869">
        <w:t>6</w:t>
      </w:r>
      <w:r w:rsidR="00725879">
        <w:t xml:space="preserve"> &amp; </w:t>
      </w:r>
      <w:r w:rsidR="003D5869">
        <w:t>7</w:t>
      </w:r>
      <w:r w:rsidR="00725879">
        <w:t>)</w:t>
      </w:r>
      <w:r w:rsidRPr="001C5D96">
        <w:t xml:space="preserve"> focuses on findings associated with the licensee’s physical protection of Category 1 and Category 2 radioactive material, as defined in 10 CFR Part 37.</w:t>
      </w:r>
      <w:r w:rsidR="005D3190" w:rsidRPr="001C5D96">
        <w:t xml:space="preserve">  These findings can occur while the material is on site or while the material is in transit to another facility.</w:t>
      </w:r>
      <w:r w:rsidR="005A4033" w:rsidRPr="001C5D96">
        <w:t xml:space="preserve">  </w:t>
      </w:r>
      <w:bookmarkStart w:id="65" w:name="_Hlk56771171"/>
      <w:r w:rsidR="005A4033" w:rsidRPr="001C5D96">
        <w:t>Of</w:t>
      </w:r>
      <w:r w:rsidR="001C66CE" w:rsidRPr="001C5D96">
        <w:t xml:space="preserve">tentimes, Part 37 violations result from </w:t>
      </w:r>
      <w:r w:rsidR="0081278B" w:rsidRPr="001C5D96">
        <w:t>failures on the part of</w:t>
      </w:r>
      <w:r w:rsidR="001C66CE" w:rsidRPr="001C5D96">
        <w:t xml:space="preserve"> licensees</w:t>
      </w:r>
      <w:r w:rsidR="0081278B" w:rsidRPr="001C5D96">
        <w:t xml:space="preserve"> in</w:t>
      </w:r>
      <w:r w:rsidR="001C66CE" w:rsidRPr="001C5D96">
        <w:t xml:space="preserve"> identifying that radioactive material exceed</w:t>
      </w:r>
      <w:r w:rsidR="005A4033" w:rsidRPr="001C5D96">
        <w:t>ed</w:t>
      </w:r>
      <w:r w:rsidR="001C66CE" w:rsidRPr="001C5D96">
        <w:t xml:space="preserve"> the category 2 threshold.  In these instances, </w:t>
      </w:r>
      <w:r w:rsidR="0030680F" w:rsidRPr="001C5D96">
        <w:t>multiple</w:t>
      </w:r>
      <w:r w:rsidR="001C66CE" w:rsidRPr="001C5D96">
        <w:t xml:space="preserve"> Part 37 findings </w:t>
      </w:r>
      <w:r w:rsidR="0030680F" w:rsidRPr="001C5D96">
        <w:t>may</w:t>
      </w:r>
      <w:r w:rsidR="001C66CE" w:rsidRPr="001C5D96">
        <w:t xml:space="preserve"> be </w:t>
      </w:r>
      <w:r w:rsidR="00F20CBF" w:rsidRPr="001C5D96">
        <w:t>identified,</w:t>
      </w:r>
      <w:r w:rsidR="001C66CE" w:rsidRPr="001C5D96">
        <w:t xml:space="preserve"> and it </w:t>
      </w:r>
      <w:r w:rsidR="00BC1935" w:rsidRPr="001C5D96">
        <w:t xml:space="preserve">may </w:t>
      </w:r>
      <w:r w:rsidR="001C66CE" w:rsidRPr="001C5D96">
        <w:t>become necessary to evaluate the significance of the combined impa</w:t>
      </w:r>
      <w:r w:rsidR="00E60335" w:rsidRPr="001C5D96">
        <w:t>ct of multiple</w:t>
      </w:r>
      <w:r w:rsidR="001C66CE" w:rsidRPr="001C5D96">
        <w:t xml:space="preserve"> </w:t>
      </w:r>
      <w:r w:rsidR="00F20CBF" w:rsidRPr="001C5D96">
        <w:t>findings</w:t>
      </w:r>
      <w:r w:rsidR="00E60335" w:rsidRPr="001C5D96">
        <w:t xml:space="preserve"> as described in Section </w:t>
      </w:r>
      <w:r w:rsidR="00D96B92" w:rsidRPr="001C5D96">
        <w:t>02.0</w:t>
      </w:r>
      <w:r w:rsidR="00E60335" w:rsidRPr="001C5D96">
        <w:t>6 of IMC 0308, Att</w:t>
      </w:r>
      <w:r w:rsidR="004C182A">
        <w:t>achment</w:t>
      </w:r>
      <w:r w:rsidR="00E60335" w:rsidRPr="001C5D96">
        <w:t xml:space="preserve"> 3, App</w:t>
      </w:r>
      <w:r w:rsidR="004B3A75">
        <w:t>endix</w:t>
      </w:r>
      <w:r w:rsidR="00E60335" w:rsidRPr="001C5D96">
        <w:t xml:space="preserve"> D.</w:t>
      </w:r>
    </w:p>
    <w:p w14:paraId="3F159306" w14:textId="77777777" w:rsidR="00C845D9" w:rsidRPr="001C5D96" w:rsidRDefault="00C845D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bookmarkEnd w:id="65"/>
    <w:p w14:paraId="353CE29E" w14:textId="07AC7315" w:rsidR="00E60335" w:rsidRDefault="00DD32F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applicability of this SDP depends on where the radioactive material is located and what protective measures the licensee has put into place </w:t>
      </w:r>
      <w:r w:rsidR="007D7D30">
        <w:t>to protect the material.  First, t</w:t>
      </w:r>
      <w:r w:rsidR="00313AF6" w:rsidRPr="001C5D96">
        <w:t>he licensee is exempt from Subpart B and C of Part 37</w:t>
      </w:r>
      <w:r w:rsidR="00694005">
        <w:t xml:space="preserve"> </w:t>
      </w:r>
      <w:r w:rsidR="00313AF6">
        <w:t>i</w:t>
      </w:r>
      <w:r w:rsidR="009121AE" w:rsidRPr="001C5D96">
        <w:t>n cases</w:t>
      </w:r>
      <w:r w:rsidR="00313AF6">
        <w:t xml:space="preserve"> </w:t>
      </w:r>
      <w:r w:rsidR="009121AE" w:rsidRPr="001C5D96">
        <w:t xml:space="preserve">where radioactive material exceeding the category 2 </w:t>
      </w:r>
      <w:r w:rsidR="00720E43">
        <w:t>threshold</w:t>
      </w:r>
      <w:r w:rsidR="009121AE" w:rsidRPr="001C5D96">
        <w:t xml:space="preserve"> </w:t>
      </w:r>
      <w:r w:rsidR="00313AF6" w:rsidRPr="00313AF6">
        <w:t>is protected under the Part 73 program</w:t>
      </w:r>
      <w:r w:rsidR="00313AF6">
        <w:t xml:space="preserve"> as</w:t>
      </w:r>
      <w:r w:rsidR="00313AF6" w:rsidRPr="00313AF6">
        <w:t xml:space="preserve"> documented in either the Part 73 </w:t>
      </w:r>
      <w:r w:rsidR="00694005">
        <w:t xml:space="preserve">security </w:t>
      </w:r>
      <w:r w:rsidR="00313AF6" w:rsidRPr="00313AF6">
        <w:t>plan or a Part 37</w:t>
      </w:r>
      <w:r w:rsidR="00694005">
        <w:t xml:space="preserve"> </w:t>
      </w:r>
      <w:r w:rsidR="00313AF6" w:rsidRPr="00313AF6">
        <w:t>security plan</w:t>
      </w:r>
      <w:r w:rsidR="00694005">
        <w:t xml:space="preserve">.  </w:t>
      </w:r>
      <w:r w:rsidR="009121AE" w:rsidRPr="001C5D96">
        <w:t>RIS 2015-15</w:t>
      </w:r>
      <w:r w:rsidR="00694005">
        <w:t xml:space="preserve"> provides the staff’s position on the applicability of this exemption and the criteria that must be documented by the licensee</w:t>
      </w:r>
      <w:r w:rsidR="009121AE" w:rsidRPr="001C5D96">
        <w:t xml:space="preserve"> (i.e., physical protection measures, material accountability and training</w:t>
      </w:r>
      <w:r w:rsidR="00313AF6">
        <w:t>)</w:t>
      </w:r>
      <w:r w:rsidR="009121AE" w:rsidRPr="001C5D96">
        <w:t xml:space="preserve">.  </w:t>
      </w:r>
      <w:r w:rsidR="00D96B92" w:rsidRPr="001C5D96">
        <w:t>T</w:t>
      </w:r>
      <w:r w:rsidR="009121AE" w:rsidRPr="001C5D96">
        <w:t>he portions of this SDP that address non-compliances with 10 CFR Part 37, subparts B and C do not apply</w:t>
      </w:r>
      <w:r w:rsidR="00D96B92" w:rsidRPr="001C5D96">
        <w:t xml:space="preserve"> in cases where a licensee is exempt from Subparts B and C</w:t>
      </w:r>
      <w:r w:rsidR="009121AE" w:rsidRPr="001C5D96">
        <w:t xml:space="preserve">.  </w:t>
      </w:r>
      <w:bookmarkStart w:id="66" w:name="_Hlk58322768"/>
      <w:r>
        <w:t>Second, i</w:t>
      </w:r>
      <w:r w:rsidR="00313AF6">
        <w:t xml:space="preserve">n cases where material is in the </w:t>
      </w:r>
      <w:r w:rsidR="00E55231">
        <w:t>protected area (</w:t>
      </w:r>
      <w:r w:rsidR="00313AF6">
        <w:t>PA</w:t>
      </w:r>
      <w:r w:rsidR="00E55231">
        <w:t>)</w:t>
      </w:r>
      <w:r w:rsidR="00313AF6">
        <w:t xml:space="preserve">, </w:t>
      </w:r>
      <w:r w:rsidR="00694005">
        <w:t>but</w:t>
      </w:r>
      <w:r w:rsidR="00313AF6">
        <w:t xml:space="preserve"> </w:t>
      </w:r>
      <w:bookmarkStart w:id="67" w:name="_Hlk62726248"/>
      <w:r w:rsidR="00313AF6">
        <w:t>the licensee has not</w:t>
      </w:r>
      <w:r w:rsidR="00313AF6" w:rsidRPr="001C5D96">
        <w:t xml:space="preserve"> </w:t>
      </w:r>
      <w:r w:rsidR="00313AF6">
        <w:t>documented that the material is protected under the Part 73 program</w:t>
      </w:r>
      <w:bookmarkEnd w:id="67"/>
      <w:r w:rsidR="00985092" w:rsidRPr="001C5D96">
        <w:t>,</w:t>
      </w:r>
      <w:r w:rsidR="00CA4D56" w:rsidRPr="001C5D96">
        <w:t xml:space="preserve"> then the finding should be dispositioned using this SDP</w:t>
      </w:r>
      <w:r w:rsidR="006B7A71">
        <w:t>;</w:t>
      </w:r>
      <w:r w:rsidR="00CA4D56" w:rsidRPr="001C5D96">
        <w:t xml:space="preserve"> with consideration given to the security that is provided to the PA by Part 73 requirements.  </w:t>
      </w:r>
      <w:r w:rsidR="007D7D30">
        <w:t>Lastly, i</w:t>
      </w:r>
      <w:r w:rsidR="00CA4D56" w:rsidRPr="001C5D96">
        <w:t>n cases where</w:t>
      </w:r>
      <w:r w:rsidR="009121AE" w:rsidRPr="001C5D96">
        <w:t xml:space="preserve"> the radioactive material</w:t>
      </w:r>
      <w:r w:rsidR="00CA4D56" w:rsidRPr="001C5D96">
        <w:t xml:space="preserve"> exceeding the category 2 </w:t>
      </w:r>
      <w:r w:rsidR="00720E43">
        <w:t>threshold</w:t>
      </w:r>
      <w:r w:rsidR="009121AE" w:rsidRPr="001C5D96">
        <w:t xml:space="preserve"> is not located within the PA</w:t>
      </w:r>
      <w:r w:rsidR="000616F6" w:rsidRPr="001C5D96">
        <w:t xml:space="preserve"> then finding</w:t>
      </w:r>
      <w:r w:rsidR="00BE26AD" w:rsidRPr="001C5D96">
        <w:t>s regarding this material</w:t>
      </w:r>
      <w:r w:rsidR="000616F6" w:rsidRPr="001C5D96">
        <w:t xml:space="preserve"> should be dispositioned using this SDP</w:t>
      </w:r>
      <w:bookmarkEnd w:id="66"/>
      <w:r w:rsidR="000616F6" w:rsidRPr="001C5D96">
        <w:t>.</w:t>
      </w:r>
    </w:p>
    <w:p w14:paraId="7F7D123A" w14:textId="7C312EC2" w:rsidR="00DB217C" w:rsidRDefault="00DB217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DBB3B4" w14:textId="2B17FF6F" w:rsidR="00DB217C" w:rsidRDefault="00DB217C"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B217C">
        <w:t>Failures to respond, investigate</w:t>
      </w:r>
      <w:r w:rsidR="00764FEB">
        <w:t>,</w:t>
      </w:r>
      <w:r w:rsidRPr="00DB217C">
        <w:t xml:space="preserve"> or report per 10 CFR 37.49(d), 10 CFR 37.79(</w:t>
      </w:r>
      <w:r w:rsidR="00764FEB">
        <w:t>e</w:t>
      </w:r>
      <w:r w:rsidRPr="00DB217C">
        <w:t>) or 10 CFR 37.81</w:t>
      </w:r>
      <w:r w:rsidR="00764FEB">
        <w:t>, respectively,</w:t>
      </w:r>
      <w:r w:rsidRPr="00DB217C">
        <w:t xml:space="preserve"> shall be dispositioned using Traditional Enforcement as violations that may impact the ability of the NRC to perform its regulatory oversight function</w:t>
      </w:r>
      <w:r w:rsidR="00764FEB" w:rsidRPr="00764FEB">
        <w:t xml:space="preserve"> to determine the severity level of the associated violation</w:t>
      </w:r>
      <w:r w:rsidR="00764FEB">
        <w:t xml:space="preserve"> and this SDP, to determine the significance of the finding for </w:t>
      </w:r>
      <w:r w:rsidR="000504C3">
        <w:t xml:space="preserve">ROP </w:t>
      </w:r>
      <w:r w:rsidR="00764FEB">
        <w:t>assessment purposes.</w:t>
      </w:r>
    </w:p>
    <w:p w14:paraId="237546EA" w14:textId="77777777" w:rsidR="00694005" w:rsidRPr="001C5D96" w:rsidRDefault="00694005"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815F55" w14:textId="039500A5" w:rsidR="00720E43" w:rsidRDefault="00720E43" w:rsidP="00720E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u w:val="single"/>
        </w:rPr>
      </w:pPr>
      <w:r>
        <w:rPr>
          <w:u w:val="single"/>
        </w:rPr>
        <w:t xml:space="preserve">Part 37 Finding - Actual </w:t>
      </w:r>
      <w:r w:rsidR="00F90EAF">
        <w:rPr>
          <w:u w:val="single"/>
        </w:rPr>
        <w:t>l</w:t>
      </w:r>
      <w:r>
        <w:rPr>
          <w:u w:val="single"/>
        </w:rPr>
        <w:t xml:space="preserve">oss of </w:t>
      </w:r>
      <w:r w:rsidR="00F90EAF">
        <w:rPr>
          <w:u w:val="single"/>
        </w:rPr>
        <w:t>m</w:t>
      </w:r>
      <w:r>
        <w:rPr>
          <w:u w:val="single"/>
        </w:rPr>
        <w:t>aterial (i.e., a</w:t>
      </w:r>
      <w:r w:rsidR="0007487D">
        <w:rPr>
          <w:u w:val="single"/>
        </w:rPr>
        <w:t xml:space="preserve">ny </w:t>
      </w:r>
      <w:r w:rsidR="00773B66" w:rsidRPr="001C5D96">
        <w:rPr>
          <w:u w:val="single"/>
        </w:rPr>
        <w:t xml:space="preserve">Part 37 </w:t>
      </w:r>
      <w:r w:rsidR="0007487D" w:rsidRPr="001C5D96">
        <w:rPr>
          <w:u w:val="single"/>
        </w:rPr>
        <w:t xml:space="preserve">finding </w:t>
      </w:r>
      <w:r w:rsidR="0007487D">
        <w:rPr>
          <w:u w:val="single"/>
        </w:rPr>
        <w:t xml:space="preserve">that is a causal factor in the </w:t>
      </w:r>
    </w:p>
    <w:p w14:paraId="3D013039" w14:textId="420CCE5D" w:rsidR="00773B66" w:rsidRDefault="0007487D" w:rsidP="00720E4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rPr>
          <w:u w:val="single"/>
        </w:rPr>
      </w:pPr>
      <w:r w:rsidRPr="001C5D96">
        <w:rPr>
          <w:u w:val="single"/>
        </w:rPr>
        <w:t xml:space="preserve">actual </w:t>
      </w:r>
      <w:r w:rsidR="00B54194">
        <w:rPr>
          <w:u w:val="single"/>
        </w:rPr>
        <w:t>theft or diversion</w:t>
      </w:r>
      <w:r w:rsidRPr="001C5D96">
        <w:rPr>
          <w:u w:val="single"/>
        </w:rPr>
        <w:t xml:space="preserve"> of material</w:t>
      </w:r>
      <w:r w:rsidR="00A75348">
        <w:rPr>
          <w:u w:val="single"/>
        </w:rPr>
        <w:t>)</w:t>
      </w:r>
    </w:p>
    <w:p w14:paraId="068BF985" w14:textId="77777777" w:rsidR="00BD7341" w:rsidRPr="001C5D96" w:rsidRDefault="00BD734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hanging="590"/>
      </w:pPr>
    </w:p>
    <w:p w14:paraId="7EBD0E7D" w14:textId="0D644B38" w:rsidR="00BD7341" w:rsidRPr="001C5D96" w:rsidRDefault="00BD7341" w:rsidP="00BD734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C5D96">
        <w:t>Instances of actual theft or diversion of radioactive material would likely be the subject of NRC</w:t>
      </w:r>
      <w:r w:rsidR="00A06CE3">
        <w:t xml:space="preserve"> investigations.  To ensure that the staff’s inspection efforts do not impede or otherwise affect any </w:t>
      </w:r>
      <w:r w:rsidRPr="001C5D96">
        <w:t>investigations</w:t>
      </w:r>
      <w:r w:rsidR="00A06CE3">
        <w:t xml:space="preserve">, </w:t>
      </w:r>
      <w:r w:rsidRPr="001C5D96">
        <w:t>NRC staff should contact NRC’s Office of Investigations to determine the appropriate course of action in those cases.</w:t>
      </w:r>
      <w:r>
        <w:t xml:space="preserve">  </w:t>
      </w:r>
      <w:r w:rsidR="00764FEB">
        <w:t>Additionally, f</w:t>
      </w:r>
      <w:r>
        <w:t>indings that are causal factors in actual theft and diversion would be dispositione</w:t>
      </w:r>
      <w:r w:rsidR="0007487D">
        <w:t xml:space="preserve">d using </w:t>
      </w:r>
      <w:r w:rsidR="00764FEB">
        <w:t>T</w:t>
      </w:r>
      <w:r w:rsidR="0007487D">
        <w:t xml:space="preserve">raditional </w:t>
      </w:r>
      <w:r w:rsidR="00764FEB">
        <w:t>E</w:t>
      </w:r>
      <w:r w:rsidR="0007487D">
        <w:t>nforcement</w:t>
      </w:r>
      <w:r w:rsidR="00764FEB">
        <w:t xml:space="preserve"> as</w:t>
      </w:r>
      <w:r w:rsidR="0007487D">
        <w:t xml:space="preserve"> </w:t>
      </w:r>
      <w:r w:rsidR="00764FEB" w:rsidRPr="00764FEB">
        <w:t>violations that resulted in actual safety or security consequences</w:t>
      </w:r>
      <w:r w:rsidR="000504C3">
        <w:t>,</w:t>
      </w:r>
      <w:r w:rsidR="00764FEB" w:rsidRPr="00764FEB">
        <w:t xml:space="preserve"> </w:t>
      </w:r>
      <w:r w:rsidR="0007487D">
        <w:t xml:space="preserve">to determine the severity level of the associated violation, and this SDP, to determine the significance of the finding for </w:t>
      </w:r>
      <w:r w:rsidR="000504C3">
        <w:t xml:space="preserve">ROP </w:t>
      </w:r>
      <w:r w:rsidR="0007487D">
        <w:t>assessment purposes.</w:t>
      </w:r>
    </w:p>
    <w:p w14:paraId="6ED6CEFF" w14:textId="41D00B44" w:rsidR="00A9425E" w:rsidRPr="00DC40FC" w:rsidRDefault="00A9425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6166E8" w14:textId="16385528" w:rsidR="005A4033" w:rsidRPr="001C5D96" w:rsidRDefault="00001102"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The finding is Red i</w:t>
      </w:r>
      <w:r w:rsidR="00A9425E" w:rsidRPr="001C5D96">
        <w:t xml:space="preserve">f the finding was a causal factor in the </w:t>
      </w:r>
      <w:r w:rsidR="002E2A33" w:rsidRPr="001C5D96">
        <w:t xml:space="preserve">actual </w:t>
      </w:r>
      <w:r w:rsidR="00B54194">
        <w:t>theft or diversion</w:t>
      </w:r>
      <w:r w:rsidR="00A9425E" w:rsidRPr="001C5D96">
        <w:t xml:space="preserve"> of category 1 radioactive material.</w:t>
      </w:r>
    </w:p>
    <w:p w14:paraId="091EB494" w14:textId="77777777" w:rsidR="005A4033" w:rsidRPr="001C5D96" w:rsidRDefault="005A4033"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A4443B3" w14:textId="356F6C46" w:rsidR="009E1151" w:rsidRPr="001C5D96" w:rsidRDefault="00390766"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The finding is Yellow i</w:t>
      </w:r>
      <w:r w:rsidR="00A9425E" w:rsidRPr="001C5D96">
        <w:t>f the finding was a causal factor in the</w:t>
      </w:r>
      <w:r w:rsidR="002E2A33" w:rsidRPr="001C5D96">
        <w:t xml:space="preserve"> actual</w:t>
      </w:r>
      <w:r w:rsidR="00A9425E" w:rsidRPr="001C5D96">
        <w:t xml:space="preserve"> </w:t>
      </w:r>
      <w:r w:rsidR="00B54194">
        <w:t>theft or diversion</w:t>
      </w:r>
      <w:r w:rsidR="00A9425E" w:rsidRPr="001C5D96">
        <w:t xml:space="preserve"> of category</w:t>
      </w:r>
      <w:r w:rsidR="00B4204E">
        <w:t> </w:t>
      </w:r>
      <w:r w:rsidR="00A9425E" w:rsidRPr="001C5D96">
        <w:t>2 radioactive material.</w:t>
      </w:r>
    </w:p>
    <w:p w14:paraId="654D08A4" w14:textId="52AF0B52" w:rsidR="00A9425E" w:rsidRPr="00DC40FC" w:rsidRDefault="00A9425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1EE205" w14:textId="451BD91E" w:rsidR="00773B66" w:rsidRPr="001C5D96"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1C5D96">
        <w:rPr>
          <w:u w:val="single"/>
        </w:rPr>
        <w:lastRenderedPageBreak/>
        <w:t xml:space="preserve">Part 37 Subpart A, B or C Finding - </w:t>
      </w:r>
      <w:r w:rsidR="00773B66" w:rsidRPr="001C5D96">
        <w:rPr>
          <w:u w:val="single"/>
        </w:rPr>
        <w:t xml:space="preserve">Access </w:t>
      </w:r>
      <w:r w:rsidR="00694005">
        <w:rPr>
          <w:u w:val="single"/>
        </w:rPr>
        <w:t>granted to</w:t>
      </w:r>
      <w:r w:rsidR="00773B66" w:rsidRPr="001C5D96">
        <w:rPr>
          <w:u w:val="single"/>
        </w:rPr>
        <w:t xml:space="preserve"> individual who is not trustworthy and reliable</w:t>
      </w:r>
    </w:p>
    <w:p w14:paraId="4B40EF13" w14:textId="75B69F85" w:rsidR="009E1151" w:rsidRPr="00DC40FC" w:rsidRDefault="009E115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95878D" w14:textId="6E49CDAC" w:rsidR="003954A7" w:rsidRPr="001C5D96" w:rsidRDefault="003954A7"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1C5D96">
        <w:t xml:space="preserve">In cases where the licensee is satisfying the requirements of Subpart B to 10 CFR 37 through programs established to meet personnel access authorization requirements for nuclear power plants in accordance with 10 CFR 73.56, NRC </w:t>
      </w:r>
      <w:r w:rsidR="007D4FE1" w:rsidRPr="001C5D96">
        <w:t xml:space="preserve">physical </w:t>
      </w:r>
      <w:r w:rsidRPr="001C5D96">
        <w:t xml:space="preserve">security inspection personnel should be consulted to determine if the finding </w:t>
      </w:r>
      <w:r w:rsidR="00362ABD" w:rsidRPr="001C5D96">
        <w:t>should be d</w:t>
      </w:r>
      <w:r w:rsidRPr="001C5D96">
        <w:t>ispositioned using an SDP in the Physical Security cornerstone.</w:t>
      </w:r>
      <w:r w:rsidR="007D4FE1" w:rsidRPr="001C5D96">
        <w:t xml:space="preserve">  </w:t>
      </w:r>
      <w:bookmarkStart w:id="68" w:name="_Hlk58327024"/>
      <w:r w:rsidR="007D4FE1" w:rsidRPr="001C5D96">
        <w:t>Because access to PAs is controlled by Part 73.56 programs, this SDP should only be used to evaluate findings involving access authorization to</w:t>
      </w:r>
      <w:r w:rsidR="0089398D">
        <w:t xml:space="preserve"> category 1 or category 2</w:t>
      </w:r>
      <w:r w:rsidR="007D4FE1" w:rsidRPr="001C5D96">
        <w:t xml:space="preserve"> radioactive material that is stored outside of the PA.</w:t>
      </w:r>
      <w:bookmarkEnd w:id="68"/>
    </w:p>
    <w:p w14:paraId="315DC326" w14:textId="77777777" w:rsidR="003954A7" w:rsidRPr="001C5D96" w:rsidRDefault="003954A7"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1C8318D" w14:textId="2AEF0905" w:rsidR="0081278B" w:rsidRPr="001C5D96" w:rsidRDefault="009E1151"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1C5D96">
        <w:t xml:space="preserve">If the finding resulted in </w:t>
      </w:r>
      <w:r w:rsidR="005A4035" w:rsidRPr="001C5D96">
        <w:t>the licensee granting</w:t>
      </w:r>
      <w:r w:rsidRPr="001C5D96">
        <w:t xml:space="preserve"> </w:t>
      </w:r>
      <w:r w:rsidR="0011427E" w:rsidRPr="001C5D96">
        <w:t xml:space="preserve">unescorted </w:t>
      </w:r>
      <w:r w:rsidRPr="001C5D96">
        <w:t>access</w:t>
      </w:r>
      <w:r w:rsidR="0089398D">
        <w:t xml:space="preserve"> authorization </w:t>
      </w:r>
      <w:r w:rsidRPr="001C5D96">
        <w:t xml:space="preserve">to radioactive material </w:t>
      </w:r>
      <w:r w:rsidR="00720E43" w:rsidRPr="00720E43">
        <w:t>of category 2 quantity or greater</w:t>
      </w:r>
      <w:r w:rsidR="00720E43">
        <w:t xml:space="preserve"> </w:t>
      </w:r>
      <w:r w:rsidR="005A4035" w:rsidRPr="001C5D96">
        <w:t>to</w:t>
      </w:r>
      <w:r w:rsidRPr="001C5D96">
        <w:t xml:space="preserve"> an individual who was not trustworthy or reliable</w:t>
      </w:r>
      <w:r w:rsidR="00A06CE3">
        <w:t xml:space="preserve"> </w:t>
      </w:r>
      <w:r w:rsidR="0089398D">
        <w:t>(including actual access to the material, as well as the ability to access the material)</w:t>
      </w:r>
      <w:r w:rsidRPr="001C5D96">
        <w:t>, then the finding is White.</w:t>
      </w:r>
    </w:p>
    <w:p w14:paraId="2F0F8C7B" w14:textId="77777777" w:rsidR="0081278B" w:rsidRPr="001C5D96" w:rsidRDefault="0081278B"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B681DC0" w14:textId="27F8EB9A" w:rsidR="005A4033" w:rsidRPr="001C5D96" w:rsidRDefault="009E1151"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bookmarkStart w:id="69" w:name="_Hlk58327360"/>
      <w:r w:rsidRPr="001C5D96">
        <w:t xml:space="preserve">In situations where the licensee completes a timely and adequate background </w:t>
      </w:r>
      <w:r w:rsidR="004C182A" w:rsidRPr="001C5D96">
        <w:t>investigation or</w:t>
      </w:r>
      <w:r w:rsidR="00D87393" w:rsidRPr="001C5D96">
        <w:t xml:space="preserve"> supplements the existing background investigation to address the underlying performance deficiency</w:t>
      </w:r>
      <w:r w:rsidRPr="001C5D96">
        <w:t xml:space="preserve">, </w:t>
      </w:r>
      <w:r w:rsidR="002E2A33" w:rsidRPr="001C5D96">
        <w:t xml:space="preserve">to obtain information </w:t>
      </w:r>
      <w:r w:rsidRPr="001C5D96">
        <w:t xml:space="preserve">which the licensee can use to conclude that the individual was in fact trustworthy and reliable at the time unescorted access was granted, then the finding </w:t>
      </w:r>
      <w:r w:rsidR="00362ABD" w:rsidRPr="001C5D96">
        <w:t>is</w:t>
      </w:r>
      <w:r w:rsidRPr="001C5D96">
        <w:t xml:space="preserve"> Green</w:t>
      </w:r>
      <w:r w:rsidR="002E2A33" w:rsidRPr="001C5D96">
        <w:t xml:space="preserve">—even </w:t>
      </w:r>
      <w:r w:rsidR="005A4033" w:rsidRPr="001C5D96">
        <w:t>if such actions are taken after the non-compliance is identified</w:t>
      </w:r>
      <w:bookmarkEnd w:id="69"/>
      <w:r w:rsidRPr="001C5D96">
        <w:t>.  However, if the licensee does not conduct a background investigation</w:t>
      </w:r>
      <w:r w:rsidR="00422B95" w:rsidRPr="001C5D96">
        <w:t xml:space="preserve"> or supplement the existing background investigation</w:t>
      </w:r>
      <w:r w:rsidRPr="001C5D96">
        <w:t xml:space="preserve">, or if the licensee cannot conclude </w:t>
      </w:r>
      <w:r w:rsidR="007D4FE1" w:rsidRPr="001C5D96">
        <w:t xml:space="preserve">using the newly acquired information that </w:t>
      </w:r>
      <w:r w:rsidRPr="001C5D96">
        <w:t>the individual</w:t>
      </w:r>
      <w:r w:rsidR="00D87393" w:rsidRPr="001C5D96">
        <w:t xml:space="preserve"> who was granted access</w:t>
      </w:r>
      <w:r w:rsidRPr="001C5D96">
        <w:t xml:space="preserve"> </w:t>
      </w:r>
      <w:r w:rsidR="008864D6" w:rsidRPr="001C5D96">
        <w:t>was</w:t>
      </w:r>
      <w:r w:rsidRPr="001C5D96">
        <w:t xml:space="preserve"> trustworthy and reliable, then the finding</w:t>
      </w:r>
      <w:r w:rsidR="00BC11E5">
        <w:t xml:space="preserve"> would remain</w:t>
      </w:r>
      <w:r w:rsidRPr="001C5D96">
        <w:t xml:space="preserve"> White.</w:t>
      </w:r>
    </w:p>
    <w:p w14:paraId="274F90B7" w14:textId="77777777" w:rsidR="005A4033" w:rsidRPr="001C5D96" w:rsidRDefault="005A4033"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A12AB26" w14:textId="04C6346A" w:rsidR="009E1151" w:rsidRPr="001C5D96" w:rsidRDefault="009E1151"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1C5D96">
        <w:t>“Timely” as used in this section of the SDP is defined as the licensee being able to make a</w:t>
      </w:r>
      <w:r w:rsidR="005A4033" w:rsidRPr="001C5D96">
        <w:t xml:space="preserve">n adequate </w:t>
      </w:r>
      <w:r w:rsidRPr="001C5D96">
        <w:t xml:space="preserve">trustworthy and reliability determination within the </w:t>
      </w:r>
      <w:proofErr w:type="gramStart"/>
      <w:r w:rsidRPr="001C5D96">
        <w:t>time period</w:t>
      </w:r>
      <w:proofErr w:type="gramEnd"/>
      <w:r w:rsidRPr="001C5D96">
        <w:t xml:space="preserve"> it would take the NRC to disposition the finding using the Significance and Enforcement Review Panel Process described in IMC 0609, Att</w:t>
      </w:r>
      <w:r w:rsidR="004C182A">
        <w:t>achment</w:t>
      </w:r>
      <w:r w:rsidRPr="001C5D96">
        <w:t xml:space="preserve"> 1.</w:t>
      </w:r>
    </w:p>
    <w:p w14:paraId="50E2B083" w14:textId="452BA7DF" w:rsidR="00171EA7" w:rsidRPr="001C5D96" w:rsidRDefault="00171EA7"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7BCE17F" w14:textId="7854C611" w:rsidR="002465B4" w:rsidRPr="001C5D96"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1C5D96">
        <w:rPr>
          <w:u w:val="single"/>
        </w:rPr>
        <w:t xml:space="preserve">Part 37 Subpart A, B or C Finding - </w:t>
      </w:r>
      <w:r w:rsidR="00773B66" w:rsidRPr="001C5D96">
        <w:rPr>
          <w:u w:val="single"/>
        </w:rPr>
        <w:t>Ineffective security zone</w:t>
      </w:r>
    </w:p>
    <w:p w14:paraId="1E1B856B" w14:textId="77777777" w:rsidR="008C5F1F" w:rsidRPr="00DC40FC" w:rsidRDefault="008C5F1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D57737" w14:textId="45C548A5" w:rsidR="00786344" w:rsidRPr="001C5D96" w:rsidRDefault="00C90007"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w:t>
      </w:r>
      <w:r w:rsidR="009D1CD9" w:rsidRPr="001C5D96">
        <w:t xml:space="preserve">n ineffective security zone is one where a reasonable analysis would indicate the radioactive material is not </w:t>
      </w:r>
      <w:r w:rsidR="00CC3E20" w:rsidRPr="001C5D96">
        <w:t xml:space="preserve">physically </w:t>
      </w:r>
      <w:r w:rsidR="009D1CD9" w:rsidRPr="001C5D96">
        <w:t xml:space="preserve">protected from unauthorized access </w:t>
      </w:r>
      <w:r w:rsidR="001970C8" w:rsidRPr="001C5D96">
        <w:t>as</w:t>
      </w:r>
      <w:r w:rsidR="009D1CD9" w:rsidRPr="001C5D96">
        <w:t xml:space="preserve"> intended by </w:t>
      </w:r>
      <w:r w:rsidR="00786344" w:rsidRPr="001C5D96">
        <w:t>10 CFR Part 37</w:t>
      </w:r>
      <w:r w:rsidR="009D1CD9" w:rsidRPr="001C5D96">
        <w:t>.</w:t>
      </w:r>
      <w:r w:rsidR="00E60335" w:rsidRPr="001C5D96">
        <w:t xml:space="preserve"> </w:t>
      </w:r>
      <w:r w:rsidR="001970C8" w:rsidRPr="001C5D96">
        <w:t xml:space="preserve"> </w:t>
      </w:r>
      <w:r>
        <w:t xml:space="preserve">For the purposes of this SDP, an ineffective security zone is one in which deficiencies exist that result in concurrent failure of physical barriers/direct observation of the security zone and inability of the licensee to monitor and detect unauthorized access to security zones.  </w:t>
      </w:r>
      <w:r w:rsidR="00E60335" w:rsidRPr="001C5D96">
        <w:t xml:space="preserve">Refer to Figure </w:t>
      </w:r>
      <w:r w:rsidR="00DC5D63">
        <w:t>6</w:t>
      </w:r>
      <w:r w:rsidR="00E60335" w:rsidRPr="001C5D96">
        <w:t xml:space="preserve"> </w:t>
      </w:r>
      <w:r w:rsidR="001970C8" w:rsidRPr="001C5D96">
        <w:t>as an aid in identifying if a security zone was ineffective.</w:t>
      </w:r>
    </w:p>
    <w:p w14:paraId="7756083A" w14:textId="77777777" w:rsidR="001970C8" w:rsidRPr="001C5D96" w:rsidRDefault="001970C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E6F7C5" w14:textId="09BAD832" w:rsidR="007C264C" w:rsidRPr="00DC40FC" w:rsidRDefault="0078634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t>Examples of failures of physical barriers and/or direct observation processes include uncontrolled keys (or combinations) to doors which serve as part of the physical barrier such that personnel who are no</w:t>
      </w:r>
      <w:r w:rsidR="001970C8" w:rsidRPr="00DC40FC">
        <w:t>t</w:t>
      </w:r>
      <w:r w:rsidRPr="00DC40FC">
        <w:t xml:space="preserve"> trustworthy and reliable have access to the keys (or combinations)</w:t>
      </w:r>
      <w:r w:rsidR="00CC3E20" w:rsidRPr="00DC40FC">
        <w:t>; physical barriers that are not continuous, or have openings greater than 96 square inches where the smallest dimension is equal to or greater than 6 inches that are not hardened as described in A3 of 10 CFR 37.47, “Security Zones,” in NUREG-2155</w:t>
      </w:r>
      <w:r w:rsidR="007C264C" w:rsidRPr="00DC40FC">
        <w:t>;</w:t>
      </w:r>
      <w:r w:rsidR="00362ABD" w:rsidRPr="00DC40FC">
        <w:t xml:space="preserve"> and</w:t>
      </w:r>
      <w:r w:rsidR="007C264C" w:rsidRPr="00DC40FC">
        <w:t xml:space="preserve"> lapses in direct observation for extended periods of time</w:t>
      </w:r>
      <w:r w:rsidR="00362ABD" w:rsidRPr="00DC40FC">
        <w:t>.</w:t>
      </w:r>
    </w:p>
    <w:p w14:paraId="615F8C81" w14:textId="299E0B61" w:rsidR="001970C8" w:rsidRPr="00DC40FC" w:rsidRDefault="001970C8"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48864" w14:textId="4117959B" w:rsidR="009D1CD9" w:rsidRPr="00DC40FC" w:rsidRDefault="009F5E9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t>E</w:t>
      </w:r>
      <w:r w:rsidR="007C264C" w:rsidRPr="00DC40FC">
        <w:t xml:space="preserve">xamples of inability to monitor and detect unauthorized access </w:t>
      </w:r>
      <w:r w:rsidR="001C66CE" w:rsidRPr="00DC40FC">
        <w:t xml:space="preserve">include </w:t>
      </w:r>
      <w:r w:rsidR="007C264C" w:rsidRPr="00DC40FC">
        <w:t>failure</w:t>
      </w:r>
      <w:r w:rsidR="001C66CE" w:rsidRPr="00DC40FC">
        <w:t>s</w:t>
      </w:r>
      <w:r w:rsidR="007C264C" w:rsidRPr="00DC40FC">
        <w:t xml:space="preserve"> of the primary and </w:t>
      </w:r>
      <w:r w:rsidR="00C90007">
        <w:t>alternate</w:t>
      </w:r>
      <w:r w:rsidR="007C264C" w:rsidRPr="00DC40FC">
        <w:t xml:space="preserve"> intrusion detection system</w:t>
      </w:r>
      <w:r w:rsidR="00C90007">
        <w:t>s</w:t>
      </w:r>
      <w:r w:rsidR="007C264C" w:rsidRPr="00DC40FC">
        <w:t>; lapses in monitoring</w:t>
      </w:r>
      <w:r w:rsidR="00E60335" w:rsidRPr="00DC40FC">
        <w:t xml:space="preserve"> of</w:t>
      </w:r>
      <w:r w:rsidR="007C264C" w:rsidRPr="00DC40FC">
        <w:t xml:space="preserve"> video surveillance</w:t>
      </w:r>
      <w:r w:rsidR="00C90007">
        <w:t xml:space="preserve"> for </w:t>
      </w:r>
      <w:r w:rsidR="00C90007">
        <w:lastRenderedPageBreak/>
        <w:t>extended periods of time</w:t>
      </w:r>
      <w:r w:rsidRPr="00DC40FC">
        <w:t>;</w:t>
      </w:r>
      <w:r w:rsidR="00362ABD" w:rsidRPr="00DC40FC">
        <w:t xml:space="preserve"> </w:t>
      </w:r>
      <w:r w:rsidR="007C264C" w:rsidRPr="00DC40FC">
        <w:t>not enabling the intrusion detection system</w:t>
      </w:r>
      <w:r w:rsidR="00E60335" w:rsidRPr="00DC40FC">
        <w:t xml:space="preserve"> as required</w:t>
      </w:r>
      <w:r w:rsidR="007C264C" w:rsidRPr="00DC40FC">
        <w:t xml:space="preserve"> (e.g., not setting an alarm); or </w:t>
      </w:r>
      <w:r w:rsidR="001C66CE" w:rsidRPr="00DC40FC">
        <w:t>lapses in direct observation for extended periods of time.</w:t>
      </w:r>
    </w:p>
    <w:p w14:paraId="71044EC2" w14:textId="4D4E6D19" w:rsidR="009F5E92" w:rsidRPr="00DC40FC" w:rsidRDefault="009F5E9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BC4567" w14:textId="0A383963" w:rsidR="009F5E92" w:rsidRPr="00DC40FC" w:rsidRDefault="009F5E9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t xml:space="preserve">For the purposes of this section, “extended periods of time,” is defined as the amount of time it would take an unauthorized person to access and </w:t>
      </w:r>
      <w:r w:rsidR="00BE26AD" w:rsidRPr="00DC40FC">
        <w:t>re</w:t>
      </w:r>
      <w:r w:rsidRPr="00DC40FC">
        <w:t xml:space="preserve">move the radioactive material from its intended location; if the licensee does not provide a reasonable analysis and basis for this </w:t>
      </w:r>
      <w:proofErr w:type="gramStart"/>
      <w:r w:rsidRPr="00DC40FC">
        <w:t>period of time</w:t>
      </w:r>
      <w:proofErr w:type="gramEnd"/>
      <w:r w:rsidRPr="00DC40FC">
        <w:t>, the NRC will use inspector judgement as a basis.</w:t>
      </w:r>
    </w:p>
    <w:p w14:paraId="2A446C24" w14:textId="77777777" w:rsidR="009D1CD9" w:rsidRPr="00DC40FC" w:rsidRDefault="009D1CD9"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2980F7" w14:textId="2BF6AF01" w:rsidR="002465B4" w:rsidRPr="00DC40FC" w:rsidRDefault="009F5E92"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t xml:space="preserve">If the </w:t>
      </w:r>
      <w:r w:rsidR="002465B4" w:rsidRPr="00DC40FC">
        <w:t>finding(s) being evaluated result</w:t>
      </w:r>
      <w:r w:rsidRPr="00DC40FC">
        <w:t>ed</w:t>
      </w:r>
      <w:r w:rsidR="002465B4" w:rsidRPr="00DC40FC">
        <w:t xml:space="preserve"> in </w:t>
      </w:r>
      <w:r w:rsidR="008C5F1F" w:rsidRPr="00DC40FC">
        <w:t xml:space="preserve">(1) </w:t>
      </w:r>
      <w:r w:rsidR="002465B4" w:rsidRPr="00DC40FC">
        <w:t xml:space="preserve">a failure </w:t>
      </w:r>
      <w:r w:rsidR="009D1CD9" w:rsidRPr="00DC40FC">
        <w:t>of the physical barrier or direct observation process that is used to control access to the security zone,</w:t>
      </w:r>
      <w:r w:rsidR="007148DE" w:rsidRPr="00DC40FC">
        <w:t xml:space="preserve"> and </w:t>
      </w:r>
      <w:r w:rsidR="008C5F1F" w:rsidRPr="00DC40FC">
        <w:t xml:space="preserve">(2) </w:t>
      </w:r>
      <w:r w:rsidRPr="00DC40FC">
        <w:t xml:space="preserve">an </w:t>
      </w:r>
      <w:r w:rsidR="00E60335" w:rsidRPr="00DC40FC">
        <w:t>inability</w:t>
      </w:r>
      <w:r w:rsidR="007148DE" w:rsidRPr="00DC40FC">
        <w:t xml:space="preserve"> to monitor and detect unauthorized access to the security zone without delay</w:t>
      </w:r>
      <w:r w:rsidRPr="00DC40FC">
        <w:t xml:space="preserve">, then the security zone is considered </w:t>
      </w:r>
      <w:r w:rsidR="004C182A" w:rsidRPr="00DC40FC">
        <w:t>ineffective,</w:t>
      </w:r>
      <w:r w:rsidRPr="00DC40FC">
        <w:t xml:space="preserve"> and the finding is White</w:t>
      </w:r>
      <w:r w:rsidR="007148DE" w:rsidRPr="00DC40FC">
        <w:t>.</w:t>
      </w:r>
    </w:p>
    <w:p w14:paraId="00117A78" w14:textId="4AE28B49" w:rsidR="004D0F1D" w:rsidRPr="00DC40FC" w:rsidRDefault="004D0F1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065C2A" w14:textId="0671167F" w:rsidR="004D0F1D" w:rsidRPr="00DC40FC" w:rsidRDefault="00C93841"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t>In cases where the radioactive material is located within the PA</w:t>
      </w:r>
      <w:r w:rsidR="00F204B0" w:rsidRPr="00DC40FC">
        <w:t xml:space="preserve"> of a nuclear power plant</w:t>
      </w:r>
      <w:r w:rsidR="00440FC4">
        <w:t>, but</w:t>
      </w:r>
      <w:r w:rsidRPr="00DC40FC">
        <w:t xml:space="preserve"> the licensee has not </w:t>
      </w:r>
      <w:r w:rsidR="00CF492B" w:rsidRPr="00DC40FC">
        <w:t xml:space="preserve">adequately </w:t>
      </w:r>
      <w:r w:rsidRPr="00DC40FC">
        <w:t xml:space="preserve">described the material in a security plan, then </w:t>
      </w:r>
      <w:r w:rsidR="00BE26AD" w:rsidRPr="00DC40FC">
        <w:t>the finding is</w:t>
      </w:r>
      <w:r w:rsidR="00C845D9" w:rsidRPr="00DC40FC">
        <w:t xml:space="preserve"> Green.</w:t>
      </w:r>
    </w:p>
    <w:p w14:paraId="531783C3" w14:textId="03FD87F6" w:rsidR="00171EA7" w:rsidRPr="00DC40FC" w:rsidRDefault="00171EA7"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2A3FFF" w14:textId="5306A1F5" w:rsidR="00773B66" w:rsidRPr="00DC40FC"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C40FC">
        <w:rPr>
          <w:u w:val="single"/>
        </w:rPr>
        <w:t xml:space="preserve">Part 37 Subpart A, B or C Finding - </w:t>
      </w:r>
      <w:r w:rsidR="00773B66" w:rsidRPr="00DC40FC">
        <w:rPr>
          <w:u w:val="single"/>
        </w:rPr>
        <w:t>Deficient Security Zone</w:t>
      </w:r>
      <w:r w:rsidR="00AC2F5D" w:rsidRPr="00DC40FC">
        <w:rPr>
          <w:u w:val="single"/>
        </w:rPr>
        <w:t xml:space="preserve"> and Deficient Material Detection Capability</w:t>
      </w:r>
    </w:p>
    <w:p w14:paraId="6A2C3D65" w14:textId="3E3C46A6" w:rsidR="00B14864" w:rsidRPr="00DC40FC" w:rsidRDefault="00B1486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541209" w14:textId="31A47814" w:rsidR="009F5E92" w:rsidRPr="00DC40FC" w:rsidRDefault="001C66CE"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 xml:space="preserve">A deficient security zone is one in which there are one, or more, </w:t>
      </w:r>
      <w:r w:rsidR="00104407">
        <w:t>findings</w:t>
      </w:r>
      <w:r w:rsidR="00440FC4">
        <w:t xml:space="preserve"> associated with the </w:t>
      </w:r>
      <w:r w:rsidR="00104407">
        <w:t>security zone or monitoring of access to the security zone; h</w:t>
      </w:r>
      <w:r w:rsidRPr="00DC40FC">
        <w:t>owever, the non-co</w:t>
      </w:r>
      <w:r w:rsidR="00576DFA" w:rsidRPr="00DC40FC">
        <w:t>mpliances</w:t>
      </w:r>
      <w:r w:rsidRPr="00DC40FC">
        <w:t xml:space="preserve"> underlying the finding(s) do not result in an ineffective security zone.  If</w:t>
      </w:r>
      <w:r w:rsidR="00E60335" w:rsidRPr="00DC40FC">
        <w:t xml:space="preserve"> the</w:t>
      </w:r>
      <w:r w:rsidRPr="00DC40FC">
        <w:t xml:space="preserve"> finding being considered </w:t>
      </w:r>
      <w:r w:rsidR="00104407">
        <w:t>results from a violation of 10 CFR 37.47 or 10 CFR 37.49(a)(1) – (2)</w:t>
      </w:r>
      <w:r w:rsidRPr="00DC40FC">
        <w:t xml:space="preserve">, then the security zone is considered </w:t>
      </w:r>
      <w:r w:rsidR="004C182A" w:rsidRPr="00DC40FC">
        <w:t>deficient,</w:t>
      </w:r>
      <w:r w:rsidR="00E60335" w:rsidRPr="00DC40FC">
        <w:t xml:space="preserve"> and the status of the material detection capability should be evaluated to determine the significance</w:t>
      </w:r>
      <w:r w:rsidRPr="00DC40FC">
        <w:t xml:space="preserve">.  </w:t>
      </w:r>
    </w:p>
    <w:p w14:paraId="500E8AC7" w14:textId="77777777" w:rsidR="009F5E92" w:rsidRPr="00DC40FC" w:rsidRDefault="009F5E92"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5B4FEC91" w14:textId="24872290" w:rsidR="009F5E92" w:rsidRPr="00DC40FC" w:rsidRDefault="00576DFA"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Non-compliances in meeting the following requirements are examples of deficient</w:t>
      </w:r>
      <w:r w:rsidR="009F5E92" w:rsidRPr="00DC40FC">
        <w:t xml:space="preserve"> material detection capabilit</w:t>
      </w:r>
      <w:r w:rsidRPr="00DC40FC">
        <w:t>ies</w:t>
      </w:r>
      <w:r w:rsidR="009F5E92" w:rsidRPr="00DC40FC">
        <w:t xml:space="preserve">.  </w:t>
      </w:r>
      <w:r w:rsidR="00E60335" w:rsidRPr="00DC40FC">
        <w:t xml:space="preserve">For category 1 radioactive materials, immediate detection of any attempted unauthorized removal </w:t>
      </w:r>
      <w:r w:rsidR="00D575F2" w:rsidRPr="00DC40FC">
        <w:t>must be provided by (1) electronic sensors linked to an alarm; (2) continuous monitored video surveillance; or (3) direct visual surveillance.  For category 2 radioactive materials material detection is provided by weekly verification through physical checks, tamper indicating devices, or other means to ensure the radioactive material is present.</w:t>
      </w:r>
    </w:p>
    <w:p w14:paraId="61FD6E98" w14:textId="77777777" w:rsidR="009F5E92" w:rsidRPr="00DC40FC" w:rsidRDefault="009F5E92"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493F9E27" w14:textId="2019BD5C" w:rsidR="00FD1FA3" w:rsidRPr="00DC40FC" w:rsidRDefault="00E60335"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If the finding(s) being consider</w:t>
      </w:r>
      <w:r w:rsidR="00D575F2" w:rsidRPr="00DC40FC">
        <w:t>ed</w:t>
      </w:r>
      <w:r w:rsidRPr="00DC40FC">
        <w:t xml:space="preserve"> result</w:t>
      </w:r>
      <w:r w:rsidR="00FD1FA3" w:rsidRPr="00DC40FC">
        <w:t>s</w:t>
      </w:r>
      <w:r w:rsidRPr="00DC40FC">
        <w:t xml:space="preserve"> in </w:t>
      </w:r>
      <w:r w:rsidR="00576DFA" w:rsidRPr="00DC40FC">
        <w:t>a concurrent</w:t>
      </w:r>
      <w:r w:rsidRPr="00DC40FC">
        <w:t xml:space="preserve"> deficient</w:t>
      </w:r>
      <w:r w:rsidR="00D575F2" w:rsidRPr="00DC40FC">
        <w:t xml:space="preserve"> security zone and a deficient</w:t>
      </w:r>
      <w:r w:rsidRPr="00DC40FC">
        <w:t xml:space="preserve"> material detection capability, th</w:t>
      </w:r>
      <w:r w:rsidR="00D575F2" w:rsidRPr="00DC40FC">
        <w:t>e</w:t>
      </w:r>
      <w:r w:rsidRPr="00DC40FC">
        <w:t>n</w:t>
      </w:r>
      <w:r w:rsidR="00D575F2" w:rsidRPr="00DC40FC">
        <w:t xml:space="preserve"> the significance of the finding(s) is White.</w:t>
      </w:r>
    </w:p>
    <w:p w14:paraId="1421D34C" w14:textId="77777777" w:rsidR="00FD1FA3" w:rsidRPr="00DC40FC" w:rsidRDefault="00FD1FA3"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71579D8" w14:textId="58AC3739" w:rsidR="00B14864" w:rsidRPr="00DC40FC" w:rsidRDefault="00FD1FA3"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If the finding(s) being considered does not result in a c</w:t>
      </w:r>
      <w:r w:rsidR="00576DFA" w:rsidRPr="00DC40FC">
        <w:t>oncurrent</w:t>
      </w:r>
      <w:r w:rsidRPr="00DC40FC">
        <w:t xml:space="preserve"> deficient security zone and a deficient material detection capability, then the significance of the finding(s) is Green.</w:t>
      </w:r>
    </w:p>
    <w:p w14:paraId="24D7EF98" w14:textId="77777777" w:rsidR="00B14864" w:rsidRPr="00DC40FC" w:rsidRDefault="00B14864"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44110A" w14:textId="34872686" w:rsidR="00773B66" w:rsidRPr="00DC40FC"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C40FC">
        <w:rPr>
          <w:u w:val="single"/>
        </w:rPr>
        <w:t xml:space="preserve">Part 37 Subpart D Finding - </w:t>
      </w:r>
      <w:r w:rsidR="00773B66" w:rsidRPr="00DC40FC">
        <w:rPr>
          <w:u w:val="single"/>
        </w:rPr>
        <w:t>License Verification</w:t>
      </w:r>
    </w:p>
    <w:p w14:paraId="029F5A23" w14:textId="77777777" w:rsidR="00BD7996" w:rsidRPr="00DC40FC" w:rsidRDefault="00BD7996"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470B8B" w14:textId="0855BEA5" w:rsidR="00A32F28" w:rsidRPr="00DC40FC" w:rsidRDefault="00A32F28"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bookmarkStart w:id="70" w:name="_Hlk56776105"/>
      <w:r w:rsidRPr="00DC40FC">
        <w:t>If a license transfer</w:t>
      </w:r>
      <w:r w:rsidR="009F2FBB">
        <w:t>s</w:t>
      </w:r>
      <w:r w:rsidRPr="00DC40FC">
        <w:t xml:space="preserve"> material exceeding the category 2 limit to</w:t>
      </w:r>
      <w:r w:rsidR="009F2FBB">
        <w:t xml:space="preserve"> a</w:t>
      </w:r>
      <w:r w:rsidRPr="00DC40FC">
        <w:t xml:space="preserve"> </w:t>
      </w:r>
      <w:r w:rsidR="00764FEB" w:rsidRPr="00764FEB">
        <w:t>recipient not licensed for</w:t>
      </w:r>
      <w:r w:rsidR="009F2FBB">
        <w:t xml:space="preserve"> </w:t>
      </w:r>
      <w:r w:rsidR="00764FEB" w:rsidRPr="00764FEB">
        <w:t>the receipt of the type, form, and quantity of radioactive material</w:t>
      </w:r>
      <w:r w:rsidR="009F2FBB">
        <w:t xml:space="preserve"> (</w:t>
      </w:r>
      <w:r w:rsidR="00764FEB" w:rsidRPr="00764FEB">
        <w:t>and for category 1</w:t>
      </w:r>
      <w:r w:rsidR="009F2FBB">
        <w:t xml:space="preserve"> material, </w:t>
      </w:r>
      <w:r w:rsidR="000D58BC">
        <w:t xml:space="preserve">at </w:t>
      </w:r>
      <w:r w:rsidR="00764FEB" w:rsidRPr="00764FEB">
        <w:t>th</w:t>
      </w:r>
      <w:r w:rsidR="009F2FBB">
        <w:t>e</w:t>
      </w:r>
      <w:r w:rsidR="00764FEB" w:rsidRPr="00764FEB">
        <w:t xml:space="preserve"> locatio</w:t>
      </w:r>
      <w:r w:rsidR="009F2FBB">
        <w:t>n where the material will be delivered),</w:t>
      </w:r>
      <w:r w:rsidR="00764FEB" w:rsidRPr="00764FEB">
        <w:t xml:space="preserve"> </w:t>
      </w:r>
      <w:r w:rsidRPr="00DC40FC">
        <w:t>and the licensee is unable to regain custody of the material, then the finding is Yellow if the material is category 2 and Red if the material is category 1.</w:t>
      </w:r>
    </w:p>
    <w:p w14:paraId="0C3072ED" w14:textId="77777777" w:rsidR="00BD7996" w:rsidRPr="00DC40FC" w:rsidRDefault="00BD7996"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996C3F9" w14:textId="36E04BE9" w:rsidR="00BD7996" w:rsidRPr="00DC40FC" w:rsidRDefault="00BD7996"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 xml:space="preserve">If the licensee delivers material to an </w:t>
      </w:r>
      <w:r w:rsidR="002E5B18">
        <w:t>entity or location not licensed for the material, but</w:t>
      </w:r>
      <w:r w:rsidRPr="00DC40FC">
        <w:t xml:space="preserve"> regains custody of the material, then the finding i</w:t>
      </w:r>
      <w:r w:rsidR="002E5B18">
        <w:t>s</w:t>
      </w:r>
      <w:r w:rsidRPr="00DC40FC">
        <w:t xml:space="preserve"> White.</w:t>
      </w:r>
    </w:p>
    <w:bookmarkEnd w:id="70"/>
    <w:p w14:paraId="266B7361" w14:textId="03362942" w:rsidR="00B21BEB" w:rsidRDefault="00B21BEB"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4FD9745C" w14:textId="69B4E616" w:rsidR="00B21BEB" w:rsidRPr="00DC40FC" w:rsidRDefault="00B21BEB"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bookmarkStart w:id="71" w:name="_Hlk63962773"/>
      <w:r w:rsidRPr="00B21BEB">
        <w:lastRenderedPageBreak/>
        <w:t>If a finding occurs in license verification</w:t>
      </w:r>
      <w:r w:rsidR="009F2FBB">
        <w:t xml:space="preserve"> and </w:t>
      </w:r>
      <w:r w:rsidRPr="00B21BEB">
        <w:t xml:space="preserve">before the material </w:t>
      </w:r>
      <w:r>
        <w:t xml:space="preserve">is delivered to the </w:t>
      </w:r>
      <w:r w:rsidRPr="00B21BEB">
        <w:t>recipient the licensee can either (1) recall/redirect the shipment</w:t>
      </w:r>
      <w:r>
        <w:t>,</w:t>
      </w:r>
      <w:r w:rsidRPr="00B21BEB">
        <w:t xml:space="preserve"> or (2) complete the verification</w:t>
      </w:r>
      <w:r w:rsidR="009F2FBB">
        <w:t xml:space="preserve">, then </w:t>
      </w:r>
      <w:r w:rsidR="009F2FBB" w:rsidRPr="009F2FBB">
        <w:t>the finding is Green</w:t>
      </w:r>
      <w:r w:rsidRPr="00B21BEB">
        <w:t>.</w:t>
      </w:r>
      <w:r>
        <w:t xml:space="preserve">  Additionally, </w:t>
      </w:r>
      <w:r w:rsidRPr="00B21BEB">
        <w:t xml:space="preserve">if </w:t>
      </w:r>
      <w:r>
        <w:t>the licensee determines that the recipient was licensed to receive the material</w:t>
      </w:r>
      <w:r w:rsidR="00714967">
        <w:t xml:space="preserve"> (even if the verification occurred after the material was delivered)</w:t>
      </w:r>
      <w:r w:rsidR="009F2FBB">
        <w:t>, then t</w:t>
      </w:r>
      <w:r w:rsidR="009F2FBB" w:rsidRPr="00B21BEB">
        <w:t>he finding is Green</w:t>
      </w:r>
      <w:bookmarkEnd w:id="71"/>
      <w:r w:rsidR="009F2FBB">
        <w:t>.</w:t>
      </w:r>
    </w:p>
    <w:p w14:paraId="75DB148C" w14:textId="77777777" w:rsidR="00BD7996" w:rsidRPr="00DC40FC" w:rsidRDefault="00BD7996"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29C59E" w14:textId="1B0A7256" w:rsidR="009D62AF" w:rsidRPr="00DC40FC"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rPr>
          <w:u w:val="single"/>
        </w:rPr>
        <w:t xml:space="preserve">Part 37 Subpart D Finding - </w:t>
      </w:r>
      <w:r w:rsidR="00773B66" w:rsidRPr="00DC40FC">
        <w:rPr>
          <w:u w:val="single"/>
        </w:rPr>
        <w:t>Preplanning and Coordination</w:t>
      </w:r>
    </w:p>
    <w:p w14:paraId="13DE2D8F" w14:textId="77777777" w:rsidR="009D62AF" w:rsidRPr="00DC40FC" w:rsidRDefault="009D62AF"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6CEA5D" w14:textId="2E7D137A" w:rsidR="003F0DAD" w:rsidRPr="00DC40FC" w:rsidRDefault="003F0DAD"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If the finding resulted in a failure to adequately provide advanced notification of a category 1 shipment, then the finding is White.</w:t>
      </w:r>
    </w:p>
    <w:p w14:paraId="1E960F50" w14:textId="7DD62BED" w:rsidR="003F0DAD" w:rsidRPr="00DC40FC" w:rsidRDefault="003F0DAD"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1C602853" w14:textId="6C4D1E7B" w:rsidR="003F0DAD" w:rsidRPr="00DC40FC" w:rsidRDefault="003F0DAD"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C40FC">
        <w:t>If the finding resulted in a failure to adequately coordinate the delivery of a category 2 shipment, then the finding is White.</w:t>
      </w:r>
      <w:r w:rsidR="00B96A2A">
        <w:t xml:space="preserve">  However, </w:t>
      </w:r>
      <w:r w:rsidR="00B96A2A" w:rsidRPr="00C7678C">
        <w:t xml:space="preserve">if a recipient fails to confirm with the originator receipt of category 2 quantity of material, then the finding is Green.  </w:t>
      </w:r>
    </w:p>
    <w:p w14:paraId="227470E1" w14:textId="77777777" w:rsidR="003F0DAD" w:rsidRPr="00DC40FC" w:rsidRDefault="003F0DAD"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7DDE556" w14:textId="1F4EE6E0" w:rsidR="009D62AF" w:rsidRDefault="002A264D"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FC60D7">
        <w:t xml:space="preserve">The assigned significance of these types of findings can be lessened if the </w:t>
      </w:r>
      <w:r>
        <w:t>licensee can demonstrate</w:t>
      </w:r>
      <w:r w:rsidRPr="00FC60D7">
        <w:t xml:space="preserve"> a minimal adverse impact on material security resulted from the finding.</w:t>
      </w:r>
      <w:r>
        <w:t xml:space="preserve">  For example, </w:t>
      </w:r>
      <w:r w:rsidR="00F90EAF">
        <w:t xml:space="preserve">if </w:t>
      </w:r>
      <w:r>
        <w:t>the state was still able to meet its function</w:t>
      </w:r>
      <w:r w:rsidR="00F90EAF">
        <w:t>s;</w:t>
      </w:r>
      <w:r>
        <w:t xml:space="preserve"> if</w:t>
      </w:r>
      <w:r w:rsidRPr="003005CD">
        <w:t xml:space="preserve"> a licensee procedurally verifies the arrival of all radioactive material shipments at the receiving facility at the expected shipment arrival time</w:t>
      </w:r>
      <w:r w:rsidR="00F90EAF">
        <w:t>; o</w:t>
      </w:r>
      <w:r w:rsidR="00F90EAF" w:rsidRPr="00F90EAF">
        <w:t>r, if, for category 2 shipments</w:t>
      </w:r>
      <w:r w:rsidR="00F90EAF">
        <w:t xml:space="preserve"> only</w:t>
      </w:r>
      <w:r w:rsidR="00F90EAF" w:rsidRPr="00F90EAF">
        <w:t xml:space="preserve">, the carrier applies a tracking system that provides continuous active monitoring, which is </w:t>
      </w:r>
      <w:proofErr w:type="gramStart"/>
      <w:r w:rsidR="00F90EAF" w:rsidRPr="00F90EAF">
        <w:t>in excess of</w:t>
      </w:r>
      <w:proofErr w:type="gramEnd"/>
      <w:r w:rsidR="00F90EAF" w:rsidRPr="00F90EAF">
        <w:t xml:space="preserve"> the tracking required </w:t>
      </w:r>
      <w:r w:rsidR="00F90EAF">
        <w:t>for</w:t>
      </w:r>
      <w:r w:rsidR="00F90EAF" w:rsidRPr="00F90EAF">
        <w:t xml:space="preserve"> a category</w:t>
      </w:r>
      <w:r w:rsidR="00C34569">
        <w:t> </w:t>
      </w:r>
      <w:r w:rsidR="00F90EAF" w:rsidRPr="00F90EAF">
        <w:t>2 shipment.</w:t>
      </w:r>
    </w:p>
    <w:p w14:paraId="3839066B" w14:textId="77777777" w:rsidR="002D16A4" w:rsidRDefault="002D16A4" w:rsidP="00CA67B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06D64E7" w14:textId="049BD0B6" w:rsidR="00773B66" w:rsidRPr="00DC40FC" w:rsidRDefault="00D9409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40FC">
        <w:rPr>
          <w:u w:val="single"/>
        </w:rPr>
        <w:t xml:space="preserve">Part 37 Subpart D Finding - </w:t>
      </w:r>
      <w:r w:rsidR="00773B66" w:rsidRPr="00DC40FC">
        <w:rPr>
          <w:u w:val="single"/>
        </w:rPr>
        <w:t>Physical Protection in Transit</w:t>
      </w:r>
    </w:p>
    <w:p w14:paraId="45932AC8" w14:textId="77777777" w:rsidR="0084526E" w:rsidRPr="00DC40FC" w:rsidRDefault="0084526E"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0053C9" w14:textId="77777777" w:rsidR="002B29CE" w:rsidRDefault="002B29CE" w:rsidP="002B29CE">
      <w:bookmarkStart w:id="72" w:name="_Hlk63781983"/>
      <w:r>
        <w:t xml:space="preserve">NRC reactor licensees commonly use third party carriers to transport radioactive materials.  In these cases, if a violation of NRC requirements occurs the violation must be evaluated from the perspective of whether a performance deficiency occurred on the part of the NRC licensee that contracted with the third party.  If a performance deficiency occurred and it screens to more than minor, then a finding is assigned to the licensee at a significance level as determined by this SDP.  If a non-minor violation occurs absent a performance deficiency on the part of the NRC licensee, then follow the screening guidance in IMC 0612, App B for these types of situations.  </w:t>
      </w:r>
    </w:p>
    <w:p w14:paraId="489B1512" w14:textId="77777777" w:rsidR="002B29CE" w:rsidRDefault="002B29CE" w:rsidP="002B29CE"/>
    <w:p w14:paraId="00841F39" w14:textId="77777777" w:rsidR="002B29CE" w:rsidRDefault="002B29CE" w:rsidP="002B29CE">
      <w:r>
        <w:t>Findings that indicate significant deficiencies in physical protection of material while in transit are White.  Otherwise, the finding is Green.</w:t>
      </w:r>
    </w:p>
    <w:p w14:paraId="67AE6C5A" w14:textId="77777777" w:rsidR="002B29CE" w:rsidRDefault="002B29CE" w:rsidP="002B29CE"/>
    <w:p w14:paraId="297F9DB4" w14:textId="77777777" w:rsidR="002B29CE" w:rsidRDefault="002B29CE" w:rsidP="002B29CE">
      <w:r>
        <w:t>Significant deficiencies in physical protection of Category 1 material are:</w:t>
      </w:r>
    </w:p>
    <w:p w14:paraId="1FD1BBA3" w14:textId="77777777" w:rsidR="002B29CE" w:rsidRDefault="002B29CE" w:rsidP="002B29CE">
      <w:pPr>
        <w:pStyle w:val="ListParagraph"/>
        <w:numPr>
          <w:ilvl w:val="0"/>
          <w:numId w:val="15"/>
        </w:numPr>
      </w:pPr>
      <w:r>
        <w:t>Failure to establish and maintain a movement control center (MCC) for the duration of the transit</w:t>
      </w:r>
    </w:p>
    <w:p w14:paraId="4C182D5D" w14:textId="77777777" w:rsidR="002B29CE" w:rsidRDefault="002B29CE" w:rsidP="002B29CE">
      <w:pPr>
        <w:pStyle w:val="ListParagraph"/>
        <w:numPr>
          <w:ilvl w:val="0"/>
          <w:numId w:val="15"/>
        </w:numPr>
      </w:pPr>
      <w:r>
        <w:t xml:space="preserve">Failure to establish and maintain primary and secondary means of communication between the transport and the MCC prior to commencing transit (however, deficiencies that result in isolated failures of either the primary or secondary means of communication are Green provided the licensee commenced the transit with both means in place, and, </w:t>
      </w:r>
      <w:proofErr w:type="gramStart"/>
      <w:r>
        <w:t>at all times</w:t>
      </w:r>
      <w:proofErr w:type="gramEnd"/>
      <w:r>
        <w:t xml:space="preserve"> during the transit, there existed at least one form of continuous communication between the transport and the (MCC))</w:t>
      </w:r>
    </w:p>
    <w:p w14:paraId="569117C2" w14:textId="77777777" w:rsidR="002B29CE" w:rsidRDefault="002B29CE" w:rsidP="002B29CE">
      <w:pPr>
        <w:pStyle w:val="ListParagraph"/>
        <w:numPr>
          <w:ilvl w:val="0"/>
          <w:numId w:val="15"/>
        </w:numPr>
      </w:pPr>
      <w:r>
        <w:t xml:space="preserve">Failure to establish </w:t>
      </w:r>
      <w:bookmarkStart w:id="73" w:name="_Hlk63964388"/>
      <w:r>
        <w:t xml:space="preserve">active monitoring by a tracking system </w:t>
      </w:r>
      <w:bookmarkEnd w:id="73"/>
      <w:r>
        <w:t xml:space="preserve">(e.g., telemetric position monitoring system or alternate) prior to commencing transit (however, deficiencies that result in isolated failures of the tracking system during transit are Green if </w:t>
      </w:r>
      <w:bookmarkStart w:id="74" w:name="_Hlk63798426"/>
      <w:r>
        <w:t>an acceptable secondary means of maintaining positive confirmation of the location, status and control over the shipment is provided for the duration of the transit</w:t>
      </w:r>
      <w:bookmarkEnd w:id="74"/>
      <w:r>
        <w:t xml:space="preserve">) </w:t>
      </w:r>
    </w:p>
    <w:p w14:paraId="1749588D" w14:textId="77777777" w:rsidR="002B29CE" w:rsidRDefault="002B29CE" w:rsidP="002B29CE">
      <w:pPr>
        <w:pStyle w:val="ListParagraph"/>
        <w:numPr>
          <w:ilvl w:val="0"/>
          <w:numId w:val="15"/>
        </w:numPr>
      </w:pPr>
      <w:r>
        <w:lastRenderedPageBreak/>
        <w:t>Procedural deficiencies that result in failures to adequately respond to actual or attempted theft or diversion of category 1 material while in transit</w:t>
      </w:r>
    </w:p>
    <w:p w14:paraId="73D6E25A" w14:textId="77777777" w:rsidR="002B29CE" w:rsidRDefault="002B29CE" w:rsidP="002B29CE">
      <w:pPr>
        <w:pStyle w:val="ListParagraph"/>
        <w:numPr>
          <w:ilvl w:val="0"/>
          <w:numId w:val="15"/>
        </w:numPr>
      </w:pPr>
      <w:r>
        <w:t xml:space="preserve">Failure to provide an accompanying driver, if required </w:t>
      </w:r>
    </w:p>
    <w:p w14:paraId="34F6D48D" w14:textId="77777777" w:rsidR="007C15DB" w:rsidRPr="00DC40FC" w:rsidRDefault="007C15DB"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bookmarkEnd w:id="72"/>
    <w:p w14:paraId="08580626" w14:textId="77777777" w:rsidR="00963E99" w:rsidRDefault="00963E99" w:rsidP="00963E99">
      <w:r>
        <w:t>Significant deficiencies in physical protection of Category 2 material are:</w:t>
      </w:r>
    </w:p>
    <w:p w14:paraId="33F0A231" w14:textId="708C82F9" w:rsidR="00963E99" w:rsidRDefault="00963E99" w:rsidP="00963E99">
      <w:pPr>
        <w:pStyle w:val="ListParagraph"/>
        <w:numPr>
          <w:ilvl w:val="0"/>
          <w:numId w:val="16"/>
        </w:numPr>
      </w:pPr>
      <w:bookmarkStart w:id="75" w:name="_Hlk63801579"/>
      <w:r>
        <w:t>Failure</w:t>
      </w:r>
      <w:r w:rsidR="00F70AB0">
        <w:t xml:space="preserve"> to</w:t>
      </w:r>
      <w:r>
        <w:t xml:space="preserve"> establish and maintain </w:t>
      </w:r>
      <w:bookmarkStart w:id="76" w:name="_Hlk63800970"/>
      <w:r>
        <w:t xml:space="preserve">the ability (or use carriers that maintain the ability) to </w:t>
      </w:r>
      <w:r w:rsidRPr="00342FE2">
        <w:t>identify when and where the package was last and when it should arrive at the next point of control</w:t>
      </w:r>
      <w:r>
        <w:t xml:space="preserve"> </w:t>
      </w:r>
      <w:bookmarkEnd w:id="76"/>
      <w:r>
        <w:t>for the duration of the transit (i.e., constant control and surveillance)</w:t>
      </w:r>
    </w:p>
    <w:p w14:paraId="318B0918" w14:textId="6E0E67DB" w:rsidR="00963E99" w:rsidRDefault="00963E99" w:rsidP="00963E99">
      <w:pPr>
        <w:pStyle w:val="ListParagraph"/>
        <w:numPr>
          <w:ilvl w:val="0"/>
          <w:numId w:val="16"/>
        </w:numPr>
      </w:pPr>
      <w:r>
        <w:t>Failure</w:t>
      </w:r>
      <w:r w:rsidR="00F70AB0">
        <w:t xml:space="preserve"> to</w:t>
      </w:r>
      <w:r>
        <w:t xml:space="preserve"> establish and maintain </w:t>
      </w:r>
      <w:bookmarkStart w:id="77" w:name="_Hlk63801000"/>
      <w:r>
        <w:t>the ability (or use carriers that maintain the ability) to immediately communicate to summon appropriate response or assistance</w:t>
      </w:r>
      <w:bookmarkEnd w:id="77"/>
    </w:p>
    <w:p w14:paraId="3DE8A8A6" w14:textId="77777777" w:rsidR="00963E99" w:rsidRDefault="00963E99" w:rsidP="00963E99">
      <w:pPr>
        <w:pStyle w:val="ListParagraph"/>
        <w:numPr>
          <w:ilvl w:val="0"/>
          <w:numId w:val="16"/>
        </w:numPr>
      </w:pPr>
      <w:bookmarkStart w:id="78" w:name="_Hlk63801024"/>
      <w:r>
        <w:t>Failure to use carriers that require authorized signature prior to releasing the package</w:t>
      </w:r>
      <w:bookmarkEnd w:id="75"/>
      <w:bookmarkEnd w:id="78"/>
    </w:p>
    <w:p w14:paraId="7A16F1DD" w14:textId="3AAD20CA" w:rsidR="0040697D" w:rsidRPr="00DC40FC"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1ECFB6C2" w14:textId="2D60BE50" w:rsidR="0040697D" w:rsidRPr="00DC40FC"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7371D9D4" w14:textId="77777777" w:rsidR="0040697D" w:rsidRPr="00DC40FC"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40B07A91" w14:textId="3CF2DA8E" w:rsidR="0040697D" w:rsidRPr="00C42D43" w:rsidRDefault="0040697D" w:rsidP="00CA67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C40FC">
        <w:rPr>
          <w:color w:val="000000"/>
        </w:rPr>
        <w:t>E</w:t>
      </w:r>
      <w:r w:rsidR="00AE4442" w:rsidRPr="00DC40FC">
        <w:rPr>
          <w:color w:val="000000"/>
        </w:rPr>
        <w:t>ND</w:t>
      </w:r>
    </w:p>
    <w:p w14:paraId="0DE20556" w14:textId="7AC9AEFD" w:rsidR="0040697D" w:rsidRPr="00DC40FC" w:rsidRDefault="0040697D" w:rsidP="0040697D"/>
    <w:p w14:paraId="5E04F08A" w14:textId="77777777" w:rsidR="00AE4442" w:rsidRDefault="00A8510A" w:rsidP="00561E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4327A2">
        <w:rPr>
          <w:noProof/>
        </w:rPr>
        <w:lastRenderedPageBreak/>
        <w:drawing>
          <wp:inline distT="0" distB="0" distL="0" distR="0" wp14:anchorId="6823EF6C" wp14:editId="020C3216">
            <wp:extent cx="5030661" cy="6798365"/>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882" cy="6809475"/>
                    </a:xfrm>
                    <a:prstGeom prst="rect">
                      <a:avLst/>
                    </a:prstGeom>
                    <a:noFill/>
                    <a:ln>
                      <a:noFill/>
                    </a:ln>
                  </pic:spPr>
                </pic:pic>
              </a:graphicData>
            </a:graphic>
          </wp:inline>
        </w:drawing>
      </w:r>
    </w:p>
    <w:p w14:paraId="248D4527" w14:textId="77777777" w:rsidR="00561EC6" w:rsidRDefault="00561EC6" w:rsidP="00561E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CA22921" w14:textId="7A1FA834" w:rsidR="00561EC6" w:rsidRDefault="00D7180D" w:rsidP="00486182">
      <w:pPr>
        <w:pStyle w:val="TOCLevel1"/>
        <w:tabs>
          <w:tab w:val="clear" w:pos="806"/>
        </w:tabs>
        <w:ind w:left="1440" w:hanging="1440"/>
      </w:pPr>
      <w:bookmarkStart w:id="79" w:name="_Toc58853604"/>
      <w:bookmarkStart w:id="80" w:name="_Toc58854266"/>
      <w:bookmarkStart w:id="81" w:name="_Toc58854398"/>
      <w:bookmarkStart w:id="82" w:name="_Toc58854575"/>
      <w:r>
        <w:t xml:space="preserve">Figure </w:t>
      </w:r>
      <w:r w:rsidR="00DC5D63">
        <w:t>1</w:t>
      </w:r>
      <w:r>
        <w:t xml:space="preserve"> </w:t>
      </w:r>
      <w:r w:rsidR="00561EC6">
        <w:tab/>
        <w:t>Rad Material Control, Effluent Release Program and Environmental Monitoring</w:t>
      </w:r>
      <w:r w:rsidR="00294BD8">
        <w:t xml:space="preserve"> </w:t>
      </w:r>
      <w:r w:rsidR="00561EC6">
        <w:t>Program SDP</w:t>
      </w:r>
      <w:r w:rsidR="00294BD8">
        <w:t xml:space="preserve"> Flowchart</w:t>
      </w:r>
      <w:bookmarkEnd w:id="79"/>
      <w:bookmarkEnd w:id="80"/>
      <w:bookmarkEnd w:id="81"/>
      <w:bookmarkEnd w:id="82"/>
      <w:r>
        <w:fldChar w:fldCharType="begin"/>
      </w:r>
      <w:r>
        <w:instrText xml:space="preserve"> TC "</w:instrText>
      </w:r>
      <w:bookmarkStart w:id="83" w:name="_Toc58919762"/>
      <w:r w:rsidRPr="0057392A">
        <w:instrText xml:space="preserve">Figure 2 </w:instrText>
      </w:r>
      <w:r w:rsidRPr="0057392A">
        <w:tab/>
        <w:instrText>Rad Material Control, Effluent Release Program and Environmental Monitoring Program SDP Flowchart</w:instrText>
      </w:r>
      <w:bookmarkEnd w:id="83"/>
      <w:r>
        <w:instrText xml:space="preserve">" \f C \l "1" </w:instrText>
      </w:r>
      <w:r>
        <w:fldChar w:fldCharType="end"/>
      </w:r>
      <w:r w:rsidR="00E050BE">
        <w:fldChar w:fldCharType="begin"/>
      </w:r>
      <w:r w:rsidR="00E050BE">
        <w:instrText xml:space="preserve"> TC "</w:instrText>
      </w:r>
      <w:bookmarkStart w:id="84" w:name="_Toc58919263"/>
      <w:bookmarkStart w:id="85" w:name="_Toc58919600"/>
      <w:bookmarkStart w:id="86" w:name="_Toc58919693"/>
      <w:bookmarkStart w:id="87" w:name="_Toc58919763"/>
      <w:r w:rsidR="00E050BE" w:rsidRPr="00136791">
        <w:instrText>Exhibit 1</w:instrText>
      </w:r>
      <w:r w:rsidR="00E050BE" w:rsidRPr="00136791">
        <w:tab/>
        <w:instrText>Rad Material Control, Effluent Release Program and Environmental Monitoring Program SDP Flowchart</w:instrText>
      </w:r>
      <w:bookmarkEnd w:id="84"/>
      <w:bookmarkEnd w:id="85"/>
      <w:bookmarkEnd w:id="86"/>
      <w:bookmarkEnd w:id="87"/>
      <w:r w:rsidR="00E050BE">
        <w:instrText xml:space="preserve">" \f C \l "1" </w:instrText>
      </w:r>
      <w:r w:rsidR="00E050BE">
        <w:fldChar w:fldCharType="end"/>
      </w:r>
      <w:r>
        <w:fldChar w:fldCharType="begin"/>
      </w:r>
      <w:r>
        <w:instrText xml:space="preserve"> TC "</w:instrText>
      </w:r>
      <w:bookmarkStart w:id="88" w:name="_Toc58919694"/>
      <w:bookmarkStart w:id="89" w:name="_Toc58919764"/>
      <w:r w:rsidRPr="004A38A5">
        <w:instrText xml:space="preserve">Figure 2 </w:instrText>
      </w:r>
      <w:r w:rsidRPr="004A38A5">
        <w:tab/>
        <w:instrText>Rad Material Control, Effluent Release Program and Environmental Monitoring Program SDP Flowchart</w:instrText>
      </w:r>
      <w:bookmarkEnd w:id="88"/>
      <w:bookmarkEnd w:id="89"/>
      <w:r>
        <w:instrText xml:space="preserve">" \f C \l "1" </w:instrText>
      </w:r>
      <w:r>
        <w:fldChar w:fldCharType="end"/>
      </w:r>
    </w:p>
    <w:p w14:paraId="6F1D4988" w14:textId="77777777" w:rsidR="00561EC6" w:rsidRDefault="00561EC6" w:rsidP="00561E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839EF6E" w14:textId="0F398844" w:rsidR="00AE4442" w:rsidRDefault="00AE4442"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noProof/>
          <w:color w:val="000000"/>
        </w:rPr>
      </w:pPr>
    </w:p>
    <w:p w14:paraId="68B7A183" w14:textId="7CA5DE52" w:rsidR="00561EC6" w:rsidRDefault="00561EC6"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noProof/>
          <w:color w:val="000000"/>
        </w:rPr>
      </w:pPr>
    </w:p>
    <w:p w14:paraId="1088B0C9" w14:textId="090BA8A9" w:rsidR="00D7180D" w:rsidRDefault="00D7180D" w:rsidP="00294BD8">
      <w:pPr>
        <w:pStyle w:val="TOCLevel1"/>
        <w:rPr>
          <w:noProof/>
        </w:rPr>
      </w:pPr>
      <w:bookmarkStart w:id="90" w:name="_Toc58853605"/>
      <w:bookmarkStart w:id="91" w:name="_Toc58854267"/>
      <w:bookmarkStart w:id="92" w:name="_Toc58854399"/>
      <w:bookmarkStart w:id="93" w:name="_Toc58854576"/>
    </w:p>
    <w:p w14:paraId="4C8D2C60" w14:textId="07700C52" w:rsidR="00D208A4" w:rsidRDefault="00D208A4" w:rsidP="00AC20DA">
      <w:pPr>
        <w:pStyle w:val="TOCLevel1"/>
        <w:jc w:val="center"/>
        <w:rPr>
          <w:noProof/>
        </w:rPr>
      </w:pPr>
    </w:p>
    <w:p w14:paraId="1D6C51B2" w14:textId="6A3BE522" w:rsidR="000E2A4A" w:rsidRDefault="000E2A4A" w:rsidP="00AC20DA">
      <w:pPr>
        <w:pStyle w:val="TOCLevel1"/>
        <w:jc w:val="center"/>
        <w:rPr>
          <w:noProof/>
        </w:rPr>
      </w:pPr>
      <w:r>
        <w:object w:dxaOrig="10632" w:dyaOrig="11844" w14:anchorId="0C63E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2pt" o:ole="">
            <v:imagedata r:id="rId16" o:title=""/>
          </v:shape>
          <o:OLEObject Type="Embed" ProgID="Visio.Drawing.15" ShapeID="_x0000_i1025" DrawAspect="Content" ObjectID="_1693823670" r:id="rId17"/>
        </w:object>
      </w:r>
    </w:p>
    <w:p w14:paraId="0ED8B5B2" w14:textId="77777777" w:rsidR="00C427EE" w:rsidRDefault="00C427EE" w:rsidP="00FC64C3">
      <w:pPr>
        <w:pStyle w:val="TOCLevel1"/>
        <w:jc w:val="center"/>
        <w:rPr>
          <w:noProof/>
        </w:rPr>
      </w:pPr>
    </w:p>
    <w:p w14:paraId="762B2D45" w14:textId="7F44D628" w:rsidR="00561EC6" w:rsidRDefault="00561EC6" w:rsidP="00FC64C3">
      <w:pPr>
        <w:pStyle w:val="TOCLevel1"/>
        <w:jc w:val="center"/>
        <w:sectPr w:rsidR="00561EC6" w:rsidSect="002D16A4">
          <w:headerReference w:type="default" r:id="rId18"/>
          <w:footerReference w:type="default" r:id="rId19"/>
          <w:pgSz w:w="12240" w:h="15840"/>
          <w:pgMar w:top="1440" w:right="1440" w:bottom="1440" w:left="1440" w:header="720" w:footer="720" w:gutter="0"/>
          <w:pgNumType w:start="1"/>
          <w:cols w:space="720"/>
          <w:noEndnote/>
        </w:sectPr>
      </w:pPr>
      <w:r>
        <w:rPr>
          <w:noProof/>
        </w:rPr>
        <w:t xml:space="preserve">Figure </w:t>
      </w:r>
      <w:r w:rsidR="00DC5D63">
        <w:rPr>
          <w:noProof/>
        </w:rPr>
        <w:t>2</w:t>
      </w:r>
      <w:r>
        <w:rPr>
          <w:noProof/>
        </w:rPr>
        <w:tab/>
      </w:r>
      <w:r w:rsidR="00294BD8">
        <w:rPr>
          <w:noProof/>
        </w:rPr>
        <w:tab/>
      </w:r>
      <w:r>
        <w:rPr>
          <w:noProof/>
        </w:rPr>
        <w:t>Transportation – Incorrect Packaging and Rad Limits Exceeded SDP</w:t>
      </w:r>
      <w:r w:rsidR="00294BD8">
        <w:rPr>
          <w:noProof/>
        </w:rPr>
        <w:t xml:space="preserve"> Flowchart</w:t>
      </w:r>
      <w:bookmarkEnd w:id="90"/>
      <w:bookmarkEnd w:id="91"/>
      <w:bookmarkEnd w:id="92"/>
      <w:bookmarkEnd w:id="93"/>
      <w:r w:rsidR="00E050BE">
        <w:rPr>
          <w:noProof/>
        </w:rPr>
        <w:fldChar w:fldCharType="begin"/>
      </w:r>
      <w:r w:rsidR="00E050BE">
        <w:instrText xml:space="preserve"> TC "</w:instrText>
      </w:r>
      <w:bookmarkStart w:id="94" w:name="_Toc58919264"/>
      <w:bookmarkStart w:id="95" w:name="_Toc58919601"/>
      <w:bookmarkStart w:id="96" w:name="_Toc58919695"/>
      <w:bookmarkStart w:id="97" w:name="_Toc58919765"/>
      <w:r w:rsidR="00E050BE" w:rsidRPr="00136791">
        <w:rPr>
          <w:noProof/>
        </w:rPr>
        <w:instrText>Figure 3</w:instrText>
      </w:r>
      <w:r w:rsidR="00E050BE" w:rsidRPr="00136791">
        <w:rPr>
          <w:noProof/>
        </w:rPr>
        <w:tab/>
      </w:r>
      <w:r w:rsidR="00E050BE" w:rsidRPr="00136791">
        <w:rPr>
          <w:noProof/>
        </w:rPr>
        <w:tab/>
        <w:instrText>Transportation – Incorrect Packaging and Rad Limits Exceeded SDP Flowchart</w:instrText>
      </w:r>
      <w:bookmarkEnd w:id="94"/>
      <w:bookmarkEnd w:id="95"/>
      <w:bookmarkEnd w:id="96"/>
      <w:bookmarkEnd w:id="97"/>
      <w:r w:rsidR="00E050BE">
        <w:instrText xml:space="preserve">" \f C \l "1" </w:instrText>
      </w:r>
      <w:r w:rsidR="00E050BE">
        <w:rPr>
          <w:noProof/>
        </w:rPr>
        <w:fldChar w:fldCharType="end"/>
      </w:r>
    </w:p>
    <w:p w14:paraId="21341FED" w14:textId="6CA847C7" w:rsidR="00966469" w:rsidRDefault="00FC64C3" w:rsidP="004361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object w:dxaOrig="9841" w:dyaOrig="11844" w14:anchorId="520BCE74">
          <v:shape id="_x0000_i1026" type="#_x0000_t75" style="width:468pt;height:564pt" o:ole="">
            <v:imagedata r:id="rId20" o:title=""/>
          </v:shape>
          <o:OLEObject Type="Embed" ProgID="Visio.Drawing.15" ShapeID="_x0000_i1026" DrawAspect="Content" ObjectID="_1693823671" r:id="rId21"/>
        </w:object>
      </w:r>
    </w:p>
    <w:p w14:paraId="76E805AC" w14:textId="29AA6B51" w:rsidR="00AE25DD" w:rsidRDefault="004361B0" w:rsidP="004361B0">
      <w:pPr>
        <w:pStyle w:val="TOCLevel1"/>
        <w:jc w:val="both"/>
      </w:pPr>
      <w:bookmarkStart w:id="98" w:name="_Toc58853606"/>
      <w:bookmarkStart w:id="99" w:name="_Toc58854268"/>
      <w:bookmarkStart w:id="100" w:name="_Toc58854400"/>
      <w:bookmarkStart w:id="101" w:name="_Toc58854577"/>
      <w:r w:rsidRPr="004361B0">
        <w:t xml:space="preserve"> </w:t>
      </w:r>
    </w:p>
    <w:p w14:paraId="7FC386A1" w14:textId="77777777" w:rsidR="00C427EE" w:rsidRDefault="00C427EE" w:rsidP="004361B0">
      <w:pPr>
        <w:pStyle w:val="TOCLevel1"/>
        <w:jc w:val="both"/>
      </w:pPr>
    </w:p>
    <w:p w14:paraId="67B98F40" w14:textId="2ABF1634" w:rsidR="00966469" w:rsidRDefault="00294BD8" w:rsidP="004361B0">
      <w:pPr>
        <w:pStyle w:val="TOCLevel1"/>
        <w:jc w:val="both"/>
      </w:pPr>
      <w:r>
        <w:t xml:space="preserve">Figure </w:t>
      </w:r>
      <w:r w:rsidR="00DC5D63">
        <w:t>3</w:t>
      </w:r>
      <w:r>
        <w:tab/>
      </w:r>
      <w:r>
        <w:tab/>
        <w:t>Transportation – Package Breach</w:t>
      </w:r>
      <w:bookmarkEnd w:id="98"/>
      <w:bookmarkEnd w:id="99"/>
      <w:bookmarkEnd w:id="100"/>
      <w:bookmarkEnd w:id="101"/>
      <w:r w:rsidR="00486182">
        <w:t xml:space="preserve"> SDP Flowchart</w:t>
      </w:r>
      <w:r w:rsidR="00E050BE">
        <w:fldChar w:fldCharType="begin"/>
      </w:r>
      <w:r w:rsidR="00E050BE">
        <w:instrText xml:space="preserve"> TC "</w:instrText>
      </w:r>
      <w:bookmarkStart w:id="102" w:name="_Toc58919265"/>
      <w:bookmarkStart w:id="103" w:name="_Toc58919602"/>
      <w:bookmarkStart w:id="104" w:name="_Toc58919696"/>
      <w:bookmarkStart w:id="105" w:name="_Toc58919766"/>
      <w:r w:rsidR="00E050BE" w:rsidRPr="00136791">
        <w:instrText>Figure 4</w:instrText>
      </w:r>
      <w:r w:rsidR="00E050BE" w:rsidRPr="00136791">
        <w:tab/>
      </w:r>
      <w:r w:rsidR="00E050BE" w:rsidRPr="00136791">
        <w:tab/>
        <w:instrText>Transportation – Package Breach</w:instrText>
      </w:r>
      <w:bookmarkEnd w:id="102"/>
      <w:bookmarkEnd w:id="103"/>
      <w:bookmarkEnd w:id="104"/>
      <w:bookmarkEnd w:id="105"/>
      <w:r w:rsidR="00E050BE">
        <w:instrText xml:space="preserve">" \f C \l "1" </w:instrText>
      </w:r>
      <w:r w:rsidR="00E050BE">
        <w:fldChar w:fldCharType="end"/>
      </w:r>
    </w:p>
    <w:p w14:paraId="54B98761" w14:textId="77777777" w:rsidR="00966469" w:rsidRDefault="00966469"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C8B7B1D" w14:textId="77777777" w:rsidR="00534DEB" w:rsidRDefault="00534DEB"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3DFEF06F" w14:textId="77777777" w:rsidR="00534DEB" w:rsidRDefault="00534DEB"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785AB78D" w14:textId="77777777" w:rsidR="00534DEB" w:rsidRDefault="00534DEB"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7554B10B" w14:textId="643A2722" w:rsidR="004977AC" w:rsidRDefault="004977AC"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50842948" w14:textId="77777777" w:rsidR="00294BD8" w:rsidRDefault="00294BD8"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04D8401F" w14:textId="77777777" w:rsidR="00DC5D63" w:rsidRDefault="00DC5D63" w:rsidP="00294BD8">
      <w:pPr>
        <w:pStyle w:val="TOCLevel1"/>
        <w:ind w:left="0" w:firstLine="0"/>
      </w:pPr>
      <w:bookmarkStart w:id="106" w:name="_Toc58853607"/>
      <w:bookmarkStart w:id="107" w:name="_Toc58854269"/>
      <w:bookmarkStart w:id="108" w:name="_Toc58854401"/>
      <w:bookmarkStart w:id="109" w:name="_Toc58854578"/>
    </w:p>
    <w:p w14:paraId="393714D5" w14:textId="5086D3F5" w:rsidR="00DC5D63" w:rsidRDefault="00DC5D63" w:rsidP="00294BD8">
      <w:pPr>
        <w:pStyle w:val="TOCLevel1"/>
        <w:ind w:left="0" w:firstLine="0"/>
      </w:pPr>
    </w:p>
    <w:p w14:paraId="4B4CEA0B" w14:textId="09E3DA8C" w:rsidR="00091A1A" w:rsidRDefault="00486182" w:rsidP="00AC20DA">
      <w:pPr>
        <w:pStyle w:val="TOCLevel1"/>
        <w:ind w:left="0" w:firstLine="0"/>
        <w:jc w:val="center"/>
      </w:pPr>
      <w:r>
        <w:object w:dxaOrig="10668" w:dyaOrig="10776" w14:anchorId="5E95D6B8">
          <v:shape id="_x0000_i1027" type="#_x0000_t75" style="width:468pt;height:528pt" o:ole="">
            <v:imagedata r:id="rId22" o:title=""/>
          </v:shape>
          <o:OLEObject Type="Embed" ProgID="Visio.Drawing.15" ShapeID="_x0000_i1027" DrawAspect="Content" ObjectID="_1693823672" r:id="rId23"/>
        </w:object>
      </w:r>
    </w:p>
    <w:p w14:paraId="1CF343C7" w14:textId="77777777" w:rsidR="00C427EE" w:rsidRDefault="00C427EE" w:rsidP="00486182">
      <w:pPr>
        <w:pStyle w:val="TOCLevel1"/>
        <w:tabs>
          <w:tab w:val="clear" w:pos="806"/>
        </w:tabs>
        <w:ind w:left="1440" w:hanging="1440"/>
      </w:pPr>
    </w:p>
    <w:p w14:paraId="48ED0A9B" w14:textId="0B10C21B" w:rsidR="00294BD8" w:rsidRDefault="00294BD8" w:rsidP="00486182">
      <w:pPr>
        <w:pStyle w:val="TOCLevel1"/>
        <w:tabs>
          <w:tab w:val="clear" w:pos="806"/>
        </w:tabs>
        <w:ind w:left="1440" w:hanging="1440"/>
      </w:pPr>
      <w:r>
        <w:t xml:space="preserve">Figure </w:t>
      </w:r>
      <w:r w:rsidR="00DC5D63">
        <w:t>4</w:t>
      </w:r>
      <w:r>
        <w:tab/>
        <w:t>Transportation – Certificate of Compliance and Near Surface Disposal SDP</w:t>
      </w:r>
      <w:bookmarkEnd w:id="106"/>
      <w:bookmarkEnd w:id="107"/>
      <w:bookmarkEnd w:id="108"/>
      <w:bookmarkEnd w:id="109"/>
      <w:r w:rsidR="00486182">
        <w:t xml:space="preserve"> Flowchart</w:t>
      </w:r>
      <w:r w:rsidR="00E050BE">
        <w:fldChar w:fldCharType="begin"/>
      </w:r>
      <w:r w:rsidR="00E050BE">
        <w:instrText xml:space="preserve"> TC "</w:instrText>
      </w:r>
      <w:bookmarkStart w:id="110" w:name="_Toc58919266"/>
      <w:bookmarkStart w:id="111" w:name="_Toc58919603"/>
      <w:bookmarkStart w:id="112" w:name="_Toc58919697"/>
      <w:bookmarkStart w:id="113" w:name="_Toc58919767"/>
      <w:r w:rsidR="00E050BE" w:rsidRPr="00136791">
        <w:instrText>Figure 5</w:instrText>
      </w:r>
      <w:r w:rsidR="00E050BE" w:rsidRPr="00136791">
        <w:tab/>
        <w:instrText>Transportation – Certificate of Compliance and Near Surface Disposal SDP Flowchart</w:instrText>
      </w:r>
      <w:bookmarkEnd w:id="110"/>
      <w:bookmarkEnd w:id="111"/>
      <w:bookmarkEnd w:id="112"/>
      <w:bookmarkEnd w:id="113"/>
      <w:r w:rsidR="00E050BE">
        <w:instrText xml:space="preserve">" \f C \l "1" </w:instrText>
      </w:r>
      <w:r w:rsidR="00E050BE">
        <w:fldChar w:fldCharType="end"/>
      </w:r>
    </w:p>
    <w:p w14:paraId="0DA13F14" w14:textId="77777777" w:rsidR="00294BD8" w:rsidRDefault="00294BD8"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B408546" w14:textId="48BCCA14" w:rsidR="00294BD8" w:rsidRPr="004977AC" w:rsidRDefault="00294BD8"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sectPr w:rsidR="00294BD8" w:rsidRPr="004977AC" w:rsidSect="001C5C27">
          <w:pgSz w:w="12240" w:h="15840"/>
          <w:pgMar w:top="1440" w:right="1440" w:bottom="1440" w:left="1440" w:header="720" w:footer="72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60"/>
      </w:tblGrid>
      <w:tr w:rsidR="00665911" w14:paraId="089CD2EE" w14:textId="77777777" w:rsidTr="001F4ABE">
        <w:trPr>
          <w:trHeight w:val="4410"/>
        </w:trPr>
        <w:tc>
          <w:tcPr>
            <w:tcW w:w="9350" w:type="dxa"/>
            <w:tcBorders>
              <w:bottom w:val="nil"/>
            </w:tcBorders>
          </w:tcPr>
          <w:p w14:paraId="679D239F" w14:textId="77777777" w:rsidR="00DC5D63" w:rsidRDefault="00DC5D63" w:rsidP="001F4ABE">
            <w:pPr>
              <w:widowControl/>
              <w:tabs>
                <w:tab w:val="left" w:pos="806"/>
              </w:tabs>
              <w:jc w:val="center"/>
              <w:rPr>
                <w:noProof/>
              </w:rPr>
            </w:pPr>
          </w:p>
          <w:p w14:paraId="16F32345" w14:textId="0543D15A" w:rsidR="00665911" w:rsidRPr="00665911" w:rsidRDefault="002742A9" w:rsidP="001F4ABE">
            <w:pPr>
              <w:widowControl/>
              <w:tabs>
                <w:tab w:val="left" w:pos="806"/>
              </w:tabs>
              <w:jc w:val="center"/>
              <w:rPr>
                <w:color w:val="000000"/>
                <w:sz w:val="28"/>
                <w:szCs w:val="28"/>
              </w:rPr>
            </w:pPr>
            <w:r>
              <w:t xml:space="preserve"> </w:t>
            </w:r>
            <w:r>
              <w:object w:dxaOrig="9516" w:dyaOrig="5196" w14:anchorId="71BE9C65">
                <v:shape id="_x0000_i1028" type="#_x0000_t75" style="width:462pt;height:258pt" o:ole="">
                  <v:imagedata r:id="rId24" o:title=""/>
                </v:shape>
                <o:OLEObject Type="Embed" ProgID="Visio.Drawing.15" ShapeID="_x0000_i1028" DrawAspect="Content" ObjectID="_1693823673" r:id="rId25"/>
              </w:object>
            </w:r>
          </w:p>
        </w:tc>
      </w:tr>
      <w:tr w:rsidR="00665911" w14:paraId="615118A5" w14:textId="77777777" w:rsidTr="001F4ABE">
        <w:trPr>
          <w:trHeight w:val="684"/>
        </w:trPr>
        <w:tc>
          <w:tcPr>
            <w:tcW w:w="9350" w:type="dxa"/>
            <w:tcBorders>
              <w:top w:val="nil"/>
              <w:bottom w:val="nil"/>
            </w:tcBorders>
          </w:tcPr>
          <w:p w14:paraId="0354A52B" w14:textId="77777777"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tc>
      </w:tr>
      <w:tr w:rsidR="00665911" w14:paraId="3AD082CA" w14:textId="77777777" w:rsidTr="001F4ABE">
        <w:tc>
          <w:tcPr>
            <w:tcW w:w="9350" w:type="dxa"/>
            <w:tcBorders>
              <w:top w:val="nil"/>
            </w:tcBorders>
          </w:tcPr>
          <w:p w14:paraId="7F2B4A5B" w14:textId="742129FB"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rPr>
                <w:color w:val="000000"/>
              </w:rPr>
              <w:t>N1 – Failure to comply wit</w:t>
            </w:r>
            <w:r w:rsidR="00DB217C">
              <w:rPr>
                <w:color w:val="000000"/>
              </w:rPr>
              <w:t>h</w:t>
            </w:r>
            <w:r>
              <w:rPr>
                <w:color w:val="000000"/>
              </w:rPr>
              <w:t xml:space="preserve"> 10 CFR 71.97 – Made shipment without notifying </w:t>
            </w:r>
            <w:r w:rsidR="00066C29">
              <w:rPr>
                <w:color w:val="000000"/>
              </w:rPr>
              <w:t xml:space="preserve">the </w:t>
            </w:r>
            <w:r>
              <w:rPr>
                <w:color w:val="000000"/>
              </w:rPr>
              <w:t>state governor</w:t>
            </w:r>
            <w:r w:rsidR="00066C29">
              <w:rPr>
                <w:color w:val="000000"/>
              </w:rPr>
              <w:t>, or Tribal official,</w:t>
            </w:r>
            <w:r>
              <w:rPr>
                <w:color w:val="000000"/>
              </w:rPr>
              <w:t xml:space="preserve"> prior to shipment entering state</w:t>
            </w:r>
          </w:p>
        </w:tc>
      </w:tr>
      <w:tr w:rsidR="00665911" w14:paraId="7ADEBED3" w14:textId="77777777" w:rsidTr="001F4ABE">
        <w:tc>
          <w:tcPr>
            <w:tcW w:w="9350" w:type="dxa"/>
          </w:tcPr>
          <w:p w14:paraId="09E3C3F9" w14:textId="77777777" w:rsidR="003D24D4" w:rsidRDefault="003D24D4"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C36516D" w14:textId="3FA72283"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rPr>
                <w:color w:val="000000"/>
              </w:rPr>
              <w:t xml:space="preserve">N2 – Failure to provide emergency response info </w:t>
            </w:r>
            <w:r w:rsidR="001F4ABE">
              <w:rPr>
                <w:color w:val="000000"/>
              </w:rPr>
              <w:t>resulting in serious hampering of emergency response efforts</w:t>
            </w:r>
          </w:p>
        </w:tc>
      </w:tr>
      <w:tr w:rsidR="00665911" w14:paraId="47F1AC71" w14:textId="77777777" w:rsidTr="001F4ABE">
        <w:tc>
          <w:tcPr>
            <w:tcW w:w="9350" w:type="dxa"/>
            <w:tcBorders>
              <w:bottom w:val="single" w:sz="4" w:space="0" w:color="auto"/>
            </w:tcBorders>
          </w:tcPr>
          <w:p w14:paraId="5344F5B7" w14:textId="77777777" w:rsidR="003D24D4" w:rsidRDefault="003D24D4"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E4BAB26" w14:textId="01E1ECC5"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rPr>
                <w:color w:val="000000"/>
              </w:rPr>
              <w:t>N3 – Failure to respond during actual request IAW 49 CFR 172.604</w:t>
            </w:r>
          </w:p>
        </w:tc>
      </w:tr>
      <w:tr w:rsidR="00665911" w14:paraId="1E4446CE" w14:textId="77777777" w:rsidTr="001F4ABE">
        <w:tc>
          <w:tcPr>
            <w:tcW w:w="9350" w:type="dxa"/>
            <w:tcBorders>
              <w:top w:val="single" w:sz="4" w:space="0" w:color="auto"/>
              <w:bottom w:val="single" w:sz="4" w:space="0" w:color="auto"/>
            </w:tcBorders>
          </w:tcPr>
          <w:p w14:paraId="0A90E188" w14:textId="77777777" w:rsidR="003D24D4" w:rsidRDefault="003D24D4"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1D714A83" w14:textId="17935782"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rPr>
                <w:color w:val="000000"/>
              </w:rPr>
              <w:t>N4 – Failure to make notification of 5x limits exceeded as required by 10 CFR 20.1906</w:t>
            </w:r>
          </w:p>
        </w:tc>
      </w:tr>
    </w:tbl>
    <w:p w14:paraId="05EA707A"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C55F6D2" w14:textId="23E257D6"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3D50835C" w14:textId="2D570BE5" w:rsidR="00294BD8" w:rsidRDefault="00294BD8" w:rsidP="00294BD8">
      <w:pPr>
        <w:pStyle w:val="TOCLevel1"/>
      </w:pPr>
      <w:bookmarkStart w:id="114" w:name="_Toc58853608"/>
      <w:bookmarkStart w:id="115" w:name="_Toc58854270"/>
      <w:bookmarkStart w:id="116" w:name="_Toc58854402"/>
      <w:bookmarkStart w:id="117" w:name="_Toc58854579"/>
      <w:r>
        <w:t xml:space="preserve">Figure </w:t>
      </w:r>
      <w:r w:rsidR="00DC5D63">
        <w:t>5</w:t>
      </w:r>
      <w:r>
        <w:tab/>
      </w:r>
      <w:r>
        <w:tab/>
        <w:t>Transportation – Notification and Emergency Information</w:t>
      </w:r>
      <w:bookmarkEnd w:id="114"/>
      <w:bookmarkEnd w:id="115"/>
      <w:bookmarkEnd w:id="116"/>
      <w:bookmarkEnd w:id="117"/>
      <w:r w:rsidR="00486182">
        <w:t xml:space="preserve"> SDP Flowchart</w:t>
      </w:r>
    </w:p>
    <w:p w14:paraId="21E06C38"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717B0216"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13CF605"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38B7D4A9"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0D5389CB"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3A65ACC2" w14:textId="0C55A113"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C1114FE" w14:textId="465F2BDD"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C22A416" w14:textId="67FDC1EC"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0D056416" w14:textId="22DD624E"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22111AA9" w14:textId="05389473"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6A3A517" w14:textId="2F014EBB"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0361A92" w14:textId="16A64D8D"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4E40B083" w14:textId="22C07D90" w:rsidR="00665911" w:rsidRDefault="00665911"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5D18B399" w14:textId="77777777" w:rsidR="00173E3D" w:rsidRPr="001C5C27" w:rsidRDefault="00173E3D" w:rsidP="00173E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1C5C27">
        <w:rPr>
          <w:color w:val="000000"/>
        </w:rPr>
        <w:lastRenderedPageBreak/>
        <w:t xml:space="preserve">Physical Protection of </w:t>
      </w:r>
    </w:p>
    <w:p w14:paraId="44CE6B33" w14:textId="5C8B0A58" w:rsidR="00AE4442" w:rsidRPr="001C5C27" w:rsidRDefault="00173E3D" w:rsidP="00173E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1C5C27">
        <w:rPr>
          <w:color w:val="000000"/>
        </w:rPr>
        <w:t>Category 1 and Category 2 Quantities of Radioactive Material</w:t>
      </w:r>
    </w:p>
    <w:p w14:paraId="399CEFFD"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6E81FD91" w14:textId="56818755" w:rsidR="00173E3D" w:rsidRDefault="0071793B"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r w:rsidRPr="0071793B">
        <w:t xml:space="preserve"> </w:t>
      </w:r>
      <w:r>
        <w:object w:dxaOrig="8388" w:dyaOrig="12144" w14:anchorId="7D003354">
          <v:shape id="_x0000_i1029" type="#_x0000_t75" style="width:420pt;height:492pt" o:ole="">
            <v:imagedata r:id="rId26" o:title=""/>
          </v:shape>
          <o:OLEObject Type="Embed" ProgID="Visio.Drawing.15" ShapeID="_x0000_i1029" DrawAspect="Content" ObjectID="_1693823674" r:id="rId27"/>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7060" w14:paraId="10F93E21" w14:textId="77777777" w:rsidTr="00E87060">
        <w:trPr>
          <w:jc w:val="center"/>
        </w:trPr>
        <w:tc>
          <w:tcPr>
            <w:tcW w:w="9350" w:type="dxa"/>
          </w:tcPr>
          <w:p w14:paraId="1700B3AA" w14:textId="6255E2F1" w:rsidR="00921C06" w:rsidRDefault="00921C06" w:rsidP="00F058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E87060" w14:paraId="2621758D" w14:textId="77777777" w:rsidTr="00E87060">
        <w:trPr>
          <w:jc w:val="center"/>
        </w:trPr>
        <w:tc>
          <w:tcPr>
            <w:tcW w:w="9350" w:type="dxa"/>
          </w:tcPr>
          <w:p w14:paraId="3EAD907E" w14:textId="654DD978" w:rsidR="00E87060" w:rsidRDefault="00E87060" w:rsidP="00DB217C">
            <w:pPr>
              <w:widowControl/>
              <w:spacing w:line="288" w:lineRule="auto"/>
              <w:rPr>
                <w:rFonts w:ascii="Calibri" w:hAnsi="Calibri" w:cs="Calibri"/>
                <w:color w:val="000000"/>
                <w:sz w:val="20"/>
                <w:szCs w:val="20"/>
              </w:rPr>
            </w:pPr>
            <w:r>
              <w:rPr>
                <w:rFonts w:ascii="Calibri" w:hAnsi="Calibri" w:cs="Calibri"/>
                <w:color w:val="000000"/>
                <w:sz w:val="20"/>
                <w:szCs w:val="20"/>
              </w:rPr>
              <w:t xml:space="preserve">*Failures </w:t>
            </w:r>
            <w:r w:rsidR="00DB217C">
              <w:rPr>
                <w:rFonts w:ascii="Calibri" w:hAnsi="Calibri" w:cs="Calibri"/>
                <w:color w:val="000000"/>
                <w:sz w:val="20"/>
                <w:szCs w:val="20"/>
              </w:rPr>
              <w:t>to respond</w:t>
            </w:r>
            <w:r w:rsidR="00921C06">
              <w:rPr>
                <w:rFonts w:ascii="Calibri" w:hAnsi="Calibri" w:cs="Calibri"/>
                <w:color w:val="000000"/>
                <w:sz w:val="20"/>
                <w:szCs w:val="20"/>
              </w:rPr>
              <w:t xml:space="preserve"> </w:t>
            </w:r>
            <w:r w:rsidR="00DB217C">
              <w:rPr>
                <w:rFonts w:ascii="Calibri" w:hAnsi="Calibri" w:cs="Calibri"/>
                <w:color w:val="000000"/>
                <w:sz w:val="20"/>
                <w:szCs w:val="20"/>
              </w:rPr>
              <w:t>or report per 10 CFR 37.49(d)</w:t>
            </w:r>
            <w:r w:rsidR="00921C06">
              <w:rPr>
                <w:rFonts w:ascii="Calibri" w:hAnsi="Calibri" w:cs="Calibri"/>
                <w:color w:val="000000"/>
                <w:sz w:val="20"/>
                <w:szCs w:val="20"/>
              </w:rPr>
              <w:t xml:space="preserve"> </w:t>
            </w:r>
            <w:r w:rsidR="00DB217C">
              <w:rPr>
                <w:rFonts w:ascii="Calibri" w:hAnsi="Calibri" w:cs="Calibri"/>
                <w:color w:val="000000"/>
                <w:sz w:val="20"/>
                <w:szCs w:val="20"/>
              </w:rPr>
              <w:t>or 10 CFR 37.81 shall be dispositioned</w:t>
            </w:r>
            <w:r>
              <w:rPr>
                <w:rFonts w:ascii="Calibri" w:hAnsi="Calibri" w:cs="Calibri"/>
                <w:color w:val="000000"/>
                <w:sz w:val="20"/>
                <w:szCs w:val="20"/>
              </w:rPr>
              <w:t xml:space="preserve"> </w:t>
            </w:r>
            <w:r w:rsidR="00FE0603">
              <w:rPr>
                <w:rFonts w:ascii="Calibri" w:hAnsi="Calibri" w:cs="Calibri"/>
                <w:color w:val="000000"/>
                <w:sz w:val="20"/>
                <w:szCs w:val="20"/>
              </w:rPr>
              <w:t xml:space="preserve">using </w:t>
            </w:r>
            <w:r w:rsidR="00DB217C">
              <w:rPr>
                <w:rFonts w:ascii="Calibri" w:hAnsi="Calibri" w:cs="Calibri"/>
                <w:color w:val="000000"/>
                <w:sz w:val="20"/>
                <w:szCs w:val="20"/>
              </w:rPr>
              <w:t>T</w:t>
            </w:r>
            <w:r w:rsidR="00FE0603">
              <w:rPr>
                <w:rFonts w:ascii="Calibri" w:hAnsi="Calibri" w:cs="Calibri"/>
                <w:color w:val="000000"/>
                <w:sz w:val="20"/>
                <w:szCs w:val="20"/>
              </w:rPr>
              <w:t xml:space="preserve">raditional </w:t>
            </w:r>
            <w:r w:rsidR="00DB217C">
              <w:rPr>
                <w:rFonts w:ascii="Calibri" w:hAnsi="Calibri" w:cs="Calibri"/>
                <w:color w:val="000000"/>
                <w:sz w:val="20"/>
                <w:szCs w:val="20"/>
              </w:rPr>
              <w:t>E</w:t>
            </w:r>
            <w:r w:rsidR="00FE0603">
              <w:rPr>
                <w:rFonts w:ascii="Calibri" w:hAnsi="Calibri" w:cs="Calibri"/>
                <w:color w:val="000000"/>
                <w:sz w:val="20"/>
                <w:szCs w:val="20"/>
              </w:rPr>
              <w:t>nforcement</w:t>
            </w:r>
            <w:r>
              <w:rPr>
                <w:rFonts w:ascii="Calibri" w:hAnsi="Calibri" w:cs="Calibri"/>
                <w:color w:val="000000"/>
                <w:sz w:val="20"/>
                <w:szCs w:val="20"/>
              </w:rPr>
              <w:t xml:space="preserve"> </w:t>
            </w:r>
            <w:r w:rsidR="00DB217C">
              <w:rPr>
                <w:rFonts w:ascii="Calibri" w:hAnsi="Calibri" w:cs="Calibri"/>
                <w:color w:val="000000"/>
                <w:sz w:val="20"/>
                <w:szCs w:val="20"/>
              </w:rPr>
              <w:t xml:space="preserve">as </w:t>
            </w:r>
            <w:r w:rsidR="00DB217C" w:rsidRPr="00DB217C">
              <w:rPr>
                <w:rFonts w:ascii="Calibri" w:hAnsi="Calibri" w:cs="Calibri"/>
                <w:color w:val="000000"/>
                <w:sz w:val="20"/>
                <w:szCs w:val="20"/>
              </w:rPr>
              <w:t>violations that may impact the ability of the NRC to perform its regulatory oversight</w:t>
            </w:r>
            <w:r w:rsidR="00DB217C">
              <w:rPr>
                <w:rFonts w:ascii="Calibri" w:hAnsi="Calibri" w:cs="Calibri"/>
                <w:color w:val="000000"/>
                <w:sz w:val="20"/>
                <w:szCs w:val="20"/>
              </w:rPr>
              <w:t xml:space="preserve"> </w:t>
            </w:r>
            <w:r w:rsidR="00DB217C" w:rsidRPr="00DB217C">
              <w:rPr>
                <w:rFonts w:ascii="Calibri" w:hAnsi="Calibri" w:cs="Calibri"/>
                <w:color w:val="000000"/>
                <w:sz w:val="20"/>
                <w:szCs w:val="20"/>
              </w:rPr>
              <w:t>function</w:t>
            </w:r>
            <w:r>
              <w:rPr>
                <w:rFonts w:ascii="Calibri" w:hAnsi="Calibri" w:cs="Calibri"/>
                <w:color w:val="000000"/>
                <w:sz w:val="20"/>
                <w:szCs w:val="20"/>
              </w:rPr>
              <w:t xml:space="preserve"> </w:t>
            </w:r>
          </w:p>
          <w:p w14:paraId="44D12266" w14:textId="139CA190" w:rsidR="00E87060" w:rsidRDefault="00E87060" w:rsidP="00921C06">
            <w:pPr>
              <w:widowControl/>
              <w:spacing w:line="288" w:lineRule="auto"/>
              <w:rPr>
                <w:color w:val="000000"/>
              </w:rPr>
            </w:pPr>
            <w:r>
              <w:rPr>
                <w:rFonts w:ascii="Calibri" w:hAnsi="Calibri" w:cs="Calibri"/>
                <w:color w:val="000000"/>
                <w:sz w:val="20"/>
                <w:szCs w:val="20"/>
              </w:rPr>
              <w:t xml:space="preserve">**Consult with NRC Office of Investigations prior to dispositioning findings associated with actual cases of theft, </w:t>
            </w:r>
            <w:proofErr w:type="gramStart"/>
            <w:r>
              <w:rPr>
                <w:rFonts w:ascii="Calibri" w:hAnsi="Calibri" w:cs="Calibri"/>
                <w:color w:val="000000"/>
                <w:sz w:val="20"/>
                <w:szCs w:val="20"/>
              </w:rPr>
              <w:t>diversion</w:t>
            </w:r>
            <w:proofErr w:type="gramEnd"/>
            <w:r>
              <w:rPr>
                <w:rFonts w:ascii="Calibri" w:hAnsi="Calibri" w:cs="Calibri"/>
                <w:color w:val="000000"/>
                <w:sz w:val="20"/>
                <w:szCs w:val="20"/>
              </w:rPr>
              <w:t xml:space="preserve"> or sabotage of radioactive materials</w:t>
            </w:r>
          </w:p>
        </w:tc>
      </w:tr>
    </w:tbl>
    <w:p w14:paraId="64419900"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2886061A" w14:textId="53CC3573" w:rsidR="00173E3D" w:rsidRDefault="00294BD8" w:rsidP="00294BD8">
      <w:pPr>
        <w:pStyle w:val="TOCLevel1"/>
      </w:pPr>
      <w:bookmarkStart w:id="118" w:name="_Toc58853609"/>
      <w:bookmarkStart w:id="119" w:name="_Toc58854271"/>
      <w:bookmarkStart w:id="120" w:name="_Toc58854403"/>
      <w:bookmarkStart w:id="121" w:name="_Toc58854580"/>
      <w:r>
        <w:t xml:space="preserve">Figure </w:t>
      </w:r>
      <w:r w:rsidR="00DC5D63">
        <w:t>6</w:t>
      </w:r>
      <w:r>
        <w:tab/>
      </w:r>
      <w:r>
        <w:tab/>
        <w:t>Part 37 Subpart A, B or C Finding SDP Flowchart</w:t>
      </w:r>
      <w:bookmarkEnd w:id="118"/>
      <w:bookmarkEnd w:id="119"/>
      <w:bookmarkEnd w:id="120"/>
      <w:bookmarkEnd w:id="121"/>
      <w:r w:rsidR="00E050BE">
        <w:fldChar w:fldCharType="begin"/>
      </w:r>
      <w:r w:rsidR="00E050BE">
        <w:instrText xml:space="preserve"> TC "</w:instrText>
      </w:r>
      <w:bookmarkStart w:id="122" w:name="_Toc58919267"/>
      <w:bookmarkStart w:id="123" w:name="_Toc58919604"/>
      <w:bookmarkStart w:id="124" w:name="_Toc58919698"/>
      <w:bookmarkStart w:id="125" w:name="_Toc58919768"/>
      <w:r w:rsidR="00E050BE" w:rsidRPr="00DA3E3E">
        <w:instrText>Figure 7</w:instrText>
      </w:r>
      <w:r w:rsidR="00E050BE" w:rsidRPr="00DA3E3E">
        <w:tab/>
      </w:r>
      <w:r w:rsidR="00E050BE" w:rsidRPr="00DA3E3E">
        <w:tab/>
        <w:instrText>Part 37 Subpart A, B or C Finding SDP Flowchart</w:instrText>
      </w:r>
      <w:bookmarkEnd w:id="122"/>
      <w:bookmarkEnd w:id="123"/>
      <w:bookmarkEnd w:id="124"/>
      <w:bookmarkEnd w:id="125"/>
      <w:r w:rsidR="00E050BE">
        <w:instrText xml:space="preserve">" \f C \l "1" </w:instrText>
      </w:r>
      <w:r w:rsidR="00E050BE">
        <w:fldChar w:fldCharType="end"/>
      </w:r>
    </w:p>
    <w:p w14:paraId="275E064F" w14:textId="01EAAAA9"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22A1BDA2" w14:textId="77777777" w:rsidR="00921C06" w:rsidRDefault="00921C06"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755CBDCF" w14:textId="77777777" w:rsidR="00921C06" w:rsidRDefault="00921C06"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0B420065" w14:textId="77777777" w:rsidR="00484527" w:rsidRPr="001C5C27" w:rsidRDefault="00484527" w:rsidP="0048452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1C5C27">
        <w:rPr>
          <w:color w:val="000000"/>
        </w:rPr>
        <w:t xml:space="preserve">Physical Protection of </w:t>
      </w:r>
    </w:p>
    <w:p w14:paraId="7E15EA8B" w14:textId="77777777" w:rsidR="00484527" w:rsidRPr="001C5C27" w:rsidRDefault="00484527" w:rsidP="0048452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1C5C27">
        <w:rPr>
          <w:color w:val="000000"/>
        </w:rPr>
        <w:t>Category 1 and Category 2 Quantities of Radioactive Material</w:t>
      </w:r>
    </w:p>
    <w:p w14:paraId="67AB56C6" w14:textId="77777777" w:rsidR="00173E3D" w:rsidRDefault="00173E3D" w:rsidP="00DB29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1C06" w14:paraId="41B30E7F" w14:textId="77777777" w:rsidTr="00921C06">
        <w:trPr>
          <w:jc w:val="center"/>
        </w:trPr>
        <w:tc>
          <w:tcPr>
            <w:tcW w:w="9350" w:type="dxa"/>
          </w:tcPr>
          <w:p w14:paraId="30F1A77C" w14:textId="409DBA54" w:rsidR="00921C06" w:rsidRDefault="00C34CF9" w:rsidP="00921C0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t xml:space="preserve"> </w:t>
            </w:r>
            <w:r w:rsidR="00DD7C22">
              <w:object w:dxaOrig="9865" w:dyaOrig="11544" w14:anchorId="66C6AC04">
                <v:shape id="_x0000_i1030" type="#_x0000_t75" style="width:450pt;height:498pt" o:ole="">
                  <v:imagedata r:id="rId28" o:title=""/>
                </v:shape>
                <o:OLEObject Type="Embed" ProgID="Visio.Drawing.15" ShapeID="_x0000_i1030" DrawAspect="Content" ObjectID="_1693823675" r:id="rId29"/>
              </w:object>
            </w:r>
          </w:p>
        </w:tc>
      </w:tr>
      <w:tr w:rsidR="00921C06" w14:paraId="6B1E97B9" w14:textId="77777777" w:rsidTr="00921C06">
        <w:trPr>
          <w:jc w:val="center"/>
        </w:trPr>
        <w:tc>
          <w:tcPr>
            <w:tcW w:w="9350" w:type="dxa"/>
          </w:tcPr>
          <w:p w14:paraId="289238A7" w14:textId="77777777" w:rsidR="00921C06" w:rsidRDefault="00921C06" w:rsidP="00921C06">
            <w:pPr>
              <w:widowControl/>
              <w:spacing w:line="288" w:lineRule="auto"/>
              <w:rPr>
                <w:rFonts w:ascii="Calibri" w:hAnsi="Calibri" w:cs="Calibri"/>
                <w:color w:val="000000"/>
                <w:sz w:val="20"/>
                <w:szCs w:val="20"/>
              </w:rPr>
            </w:pPr>
          </w:p>
          <w:p w14:paraId="0D3FFECC" w14:textId="507CB932" w:rsidR="00921C06" w:rsidRDefault="00921C06" w:rsidP="00DD7C22">
            <w:pPr>
              <w:widowControl/>
              <w:spacing w:line="288" w:lineRule="auto"/>
              <w:rPr>
                <w:color w:val="000000"/>
              </w:rPr>
            </w:pPr>
            <w:r>
              <w:rPr>
                <w:rFonts w:ascii="Calibri" w:hAnsi="Calibri" w:cs="Calibri"/>
                <w:color w:val="000000"/>
                <w:sz w:val="20"/>
                <w:szCs w:val="20"/>
              </w:rPr>
              <w:t xml:space="preserve">*Failures to investigate or report per 10 CFR 37.79(3) or 10 CFR 37.81 shall be dispositioned using Traditional Enforcement as </w:t>
            </w:r>
            <w:r w:rsidRPr="00DB217C">
              <w:rPr>
                <w:rFonts w:ascii="Calibri" w:hAnsi="Calibri" w:cs="Calibri"/>
                <w:color w:val="000000"/>
                <w:sz w:val="20"/>
                <w:szCs w:val="20"/>
              </w:rPr>
              <w:t>violations that may impact the ability of the NRC to perform its regulatory oversight</w:t>
            </w:r>
            <w:r>
              <w:rPr>
                <w:rFonts w:ascii="Calibri" w:hAnsi="Calibri" w:cs="Calibri"/>
                <w:color w:val="000000"/>
                <w:sz w:val="20"/>
                <w:szCs w:val="20"/>
              </w:rPr>
              <w:t xml:space="preserve"> </w:t>
            </w:r>
            <w:r w:rsidRPr="00DB217C">
              <w:rPr>
                <w:rFonts w:ascii="Calibri" w:hAnsi="Calibri" w:cs="Calibri"/>
                <w:color w:val="000000"/>
                <w:sz w:val="20"/>
                <w:szCs w:val="20"/>
              </w:rPr>
              <w:t>function</w:t>
            </w:r>
            <w:r>
              <w:rPr>
                <w:rFonts w:ascii="Calibri" w:hAnsi="Calibri" w:cs="Calibri"/>
                <w:color w:val="000000"/>
                <w:sz w:val="20"/>
                <w:szCs w:val="20"/>
              </w:rPr>
              <w:t xml:space="preserve"> </w:t>
            </w:r>
          </w:p>
        </w:tc>
      </w:tr>
    </w:tbl>
    <w:p w14:paraId="6D8839AD" w14:textId="7F26951B" w:rsidR="0040697D" w:rsidRDefault="0040697D" w:rsidP="00DD7C2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3EC76DB" w14:textId="68C4C0F3" w:rsidR="00633AB0" w:rsidRPr="00004326" w:rsidRDefault="00294BD8" w:rsidP="0055235B">
      <w:pPr>
        <w:pStyle w:val="TOCLevel1"/>
        <w:rPr>
          <w:color w:val="000000"/>
        </w:rPr>
        <w:sectPr w:rsidR="00633AB0" w:rsidRPr="00004326" w:rsidSect="001C5C27">
          <w:pgSz w:w="12240" w:h="15840"/>
          <w:pgMar w:top="1440" w:right="1440" w:bottom="1440" w:left="1440" w:header="720" w:footer="720" w:gutter="0"/>
          <w:cols w:space="720"/>
          <w:noEndnote/>
        </w:sectPr>
      </w:pPr>
      <w:bookmarkStart w:id="126" w:name="_Toc58853610"/>
      <w:bookmarkStart w:id="127" w:name="_Toc58854272"/>
      <w:bookmarkStart w:id="128" w:name="_Toc58854404"/>
      <w:bookmarkStart w:id="129" w:name="_Toc58854581"/>
      <w:r w:rsidRPr="00294BD8">
        <w:t xml:space="preserve">Figure </w:t>
      </w:r>
      <w:r w:rsidR="00DC5D63">
        <w:t>7</w:t>
      </w:r>
      <w:r w:rsidRPr="00294BD8">
        <w:t xml:space="preserve"> </w:t>
      </w:r>
      <w:r>
        <w:tab/>
      </w:r>
      <w:r w:rsidRPr="00294BD8">
        <w:t>Part 37 Subpart D Finding SDP</w:t>
      </w:r>
      <w:bookmarkEnd w:id="126"/>
      <w:bookmarkEnd w:id="127"/>
      <w:bookmarkEnd w:id="128"/>
      <w:bookmarkEnd w:id="129"/>
      <w:r w:rsidR="003C799D">
        <w:t xml:space="preserve"> Flowchart</w:t>
      </w:r>
    </w:p>
    <w:p w14:paraId="088C174C" w14:textId="5DD811EB" w:rsidR="00AE4442" w:rsidRPr="00004326" w:rsidRDefault="00AE4442" w:rsidP="002D16A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004326">
        <w:rPr>
          <w:color w:val="000000"/>
        </w:rPr>
        <w:lastRenderedPageBreak/>
        <w:t>ATTACHMENT 1</w:t>
      </w:r>
      <w:r w:rsidR="002D16A4">
        <w:rPr>
          <w:color w:val="000000"/>
        </w:rPr>
        <w:t xml:space="preserve">: </w:t>
      </w:r>
      <w:r w:rsidRPr="00004326">
        <w:rPr>
          <w:color w:val="000000"/>
        </w:rPr>
        <w:t xml:space="preserve">Revision History </w:t>
      </w:r>
      <w:r w:rsidR="00057D4C" w:rsidRPr="00004326">
        <w:rPr>
          <w:color w:val="000000"/>
        </w:rPr>
        <w:t>f</w:t>
      </w:r>
      <w:r w:rsidRPr="00004326">
        <w:rPr>
          <w:color w:val="000000"/>
        </w:rPr>
        <w:t>or IMC 0609, Appendix D</w:t>
      </w:r>
      <w:r w:rsidRPr="00004326">
        <w:rPr>
          <w:color w:val="000000"/>
        </w:rPr>
        <w:fldChar w:fldCharType="begin"/>
      </w:r>
      <w:r w:rsidRPr="00004326">
        <w:rPr>
          <w:color w:val="000000"/>
        </w:rPr>
        <w:instrText>tc \l1 "</w:instrText>
      </w:r>
      <w:bookmarkStart w:id="130" w:name="_Toc58919269"/>
      <w:bookmarkStart w:id="131" w:name="_Toc58919606"/>
      <w:bookmarkStart w:id="132" w:name="_Toc58919700"/>
      <w:bookmarkStart w:id="133" w:name="_Toc58919770"/>
      <w:r w:rsidRPr="00004326">
        <w:rPr>
          <w:color w:val="000000"/>
        </w:rPr>
        <w:instrText>ATTACHMENT 1Revision History For IMC 00609, Appendix D</w:instrText>
      </w:r>
      <w:bookmarkEnd w:id="130"/>
      <w:bookmarkEnd w:id="131"/>
      <w:bookmarkEnd w:id="132"/>
      <w:bookmarkEnd w:id="133"/>
      <w:r w:rsidRPr="00004326">
        <w:rPr>
          <w:color w:val="000000"/>
        </w:rPr>
        <w:fldChar w:fldCharType="end"/>
      </w:r>
    </w:p>
    <w:p w14:paraId="01666A99" w14:textId="77777777" w:rsidR="00AE4442" w:rsidRPr="00004326" w:rsidRDefault="00AE44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tbl>
      <w:tblPr>
        <w:tblW w:w="12561" w:type="dxa"/>
        <w:tblInd w:w="120" w:type="dxa"/>
        <w:tblLayout w:type="fixed"/>
        <w:tblCellMar>
          <w:left w:w="120" w:type="dxa"/>
          <w:right w:w="120" w:type="dxa"/>
        </w:tblCellMar>
        <w:tblLook w:val="0000" w:firstRow="0" w:lastRow="0" w:firstColumn="0" w:lastColumn="0" w:noHBand="0" w:noVBand="0"/>
      </w:tblPr>
      <w:tblGrid>
        <w:gridCol w:w="1620"/>
        <w:gridCol w:w="1761"/>
        <w:gridCol w:w="4770"/>
        <w:gridCol w:w="2070"/>
        <w:gridCol w:w="2340"/>
      </w:tblGrid>
      <w:tr w:rsidR="00727D27" w:rsidRPr="00F61D24" w14:paraId="0CD99A1F" w14:textId="77777777" w:rsidTr="00BF1A0E">
        <w:trPr>
          <w:tblHeader/>
        </w:trPr>
        <w:tc>
          <w:tcPr>
            <w:tcW w:w="1620" w:type="dxa"/>
            <w:tcBorders>
              <w:top w:val="single" w:sz="7" w:space="0" w:color="000000"/>
              <w:left w:val="single" w:sz="7" w:space="0" w:color="000000"/>
              <w:bottom w:val="single" w:sz="7" w:space="0" w:color="000000"/>
              <w:right w:val="single" w:sz="7" w:space="0" w:color="000000"/>
            </w:tcBorders>
            <w:vAlign w:val="center"/>
          </w:tcPr>
          <w:p w14:paraId="0A670116"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004326">
              <w:rPr>
                <w:color w:val="000000"/>
              </w:rPr>
              <w:t>Commitment Tracking Number</w:t>
            </w:r>
          </w:p>
        </w:tc>
        <w:tc>
          <w:tcPr>
            <w:tcW w:w="1761" w:type="dxa"/>
            <w:tcBorders>
              <w:top w:val="single" w:sz="7" w:space="0" w:color="000000"/>
              <w:left w:val="single" w:sz="7" w:space="0" w:color="000000"/>
              <w:bottom w:val="single" w:sz="7" w:space="0" w:color="000000"/>
              <w:right w:val="single" w:sz="7" w:space="0" w:color="000000"/>
            </w:tcBorders>
            <w:vAlign w:val="center"/>
          </w:tcPr>
          <w:p w14:paraId="3DA6D576" w14:textId="77777777" w:rsidR="00727D27" w:rsidRPr="00F61D24"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1D24">
              <w:rPr>
                <w:color w:val="000000"/>
              </w:rPr>
              <w:t>Accession Number</w:t>
            </w:r>
          </w:p>
          <w:p w14:paraId="4457E702" w14:textId="77777777" w:rsidR="00727D27" w:rsidRPr="00F61D24"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1D24">
              <w:rPr>
                <w:color w:val="000000"/>
              </w:rPr>
              <w:t>Issue Date</w:t>
            </w:r>
          </w:p>
          <w:p w14:paraId="4581F7F9" w14:textId="7B461B14"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1D24">
              <w:rPr>
                <w:color w:val="000000"/>
              </w:rPr>
              <w:t>Change Notice</w:t>
            </w:r>
          </w:p>
        </w:tc>
        <w:tc>
          <w:tcPr>
            <w:tcW w:w="4770" w:type="dxa"/>
            <w:tcBorders>
              <w:top w:val="single" w:sz="7" w:space="0" w:color="000000"/>
              <w:left w:val="single" w:sz="7" w:space="0" w:color="000000"/>
              <w:bottom w:val="single" w:sz="7" w:space="0" w:color="000000"/>
              <w:right w:val="single" w:sz="7" w:space="0" w:color="000000"/>
            </w:tcBorders>
            <w:vAlign w:val="center"/>
          </w:tcPr>
          <w:p w14:paraId="3D74EBF9"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004326">
              <w:rPr>
                <w:color w:val="000000"/>
              </w:rPr>
              <w:t>Description of Change</w:t>
            </w:r>
          </w:p>
        </w:tc>
        <w:tc>
          <w:tcPr>
            <w:tcW w:w="2070" w:type="dxa"/>
            <w:tcBorders>
              <w:top w:val="single" w:sz="7" w:space="0" w:color="000000"/>
              <w:left w:val="single" w:sz="7" w:space="0" w:color="000000"/>
              <w:bottom w:val="single" w:sz="7" w:space="0" w:color="000000"/>
              <w:right w:val="single" w:sz="7" w:space="0" w:color="000000"/>
            </w:tcBorders>
            <w:vAlign w:val="center"/>
          </w:tcPr>
          <w:p w14:paraId="31528C7B" w14:textId="7A7FBBD7" w:rsidR="00727D27" w:rsidRPr="00004326" w:rsidRDefault="008466ED"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1D24">
              <w:rPr>
                <w:color w:val="000000"/>
              </w:rPr>
              <w:t>Description of Training Required and Completion Date</w:t>
            </w:r>
          </w:p>
        </w:tc>
        <w:tc>
          <w:tcPr>
            <w:tcW w:w="2340" w:type="dxa"/>
            <w:tcBorders>
              <w:top w:val="single" w:sz="7" w:space="0" w:color="000000"/>
              <w:left w:val="single" w:sz="7" w:space="0" w:color="000000"/>
              <w:bottom w:val="single" w:sz="7" w:space="0" w:color="000000"/>
              <w:right w:val="single" w:sz="7" w:space="0" w:color="000000"/>
            </w:tcBorders>
            <w:vAlign w:val="bottom"/>
          </w:tcPr>
          <w:p w14:paraId="398DB806" w14:textId="53B5AD7B" w:rsidR="00727D27" w:rsidRPr="00004326" w:rsidRDefault="00F61D24"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F61D24">
              <w:rPr>
                <w:color w:val="000000"/>
              </w:rPr>
              <w:t>Comment Resolution and Closed Feedback Form Accession Number (Pre-Decisional, Non-Public Information)</w:t>
            </w:r>
          </w:p>
        </w:tc>
      </w:tr>
      <w:tr w:rsidR="00472EEE" w:rsidRPr="00F61D24" w14:paraId="19DDFA6C"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34AAE2A8" w14:textId="77777777" w:rsidR="00472EEE" w:rsidRPr="00004326"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761" w:type="dxa"/>
            <w:tcBorders>
              <w:top w:val="single" w:sz="7" w:space="0" w:color="000000"/>
              <w:left w:val="single" w:sz="7" w:space="0" w:color="000000"/>
              <w:bottom w:val="single" w:sz="7" w:space="0" w:color="000000"/>
              <w:right w:val="single" w:sz="7" w:space="0" w:color="000000"/>
            </w:tcBorders>
          </w:tcPr>
          <w:p w14:paraId="180F4B11" w14:textId="77777777" w:rsidR="00472EEE"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04/21/00</w:t>
            </w:r>
          </w:p>
          <w:p w14:paraId="1AC62512" w14:textId="2009DCD0" w:rsidR="00472EEE"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CN 00-007</w:t>
            </w:r>
          </w:p>
        </w:tc>
        <w:tc>
          <w:tcPr>
            <w:tcW w:w="4770" w:type="dxa"/>
            <w:tcBorders>
              <w:top w:val="single" w:sz="7" w:space="0" w:color="000000"/>
              <w:left w:val="single" w:sz="7" w:space="0" w:color="000000"/>
              <w:bottom w:val="single" w:sz="7" w:space="0" w:color="000000"/>
              <w:right w:val="single" w:sz="7" w:space="0" w:color="000000"/>
            </w:tcBorders>
          </w:tcPr>
          <w:p w14:paraId="3E88D571" w14:textId="55A1BDF3" w:rsidR="00472EEE" w:rsidRPr="00AC434B"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472EEE">
              <w:rPr>
                <w:color w:val="000000"/>
              </w:rPr>
              <w:t>This manual chapter supports the New Reactor Oversight Program for the significance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2070" w:type="dxa"/>
            <w:tcBorders>
              <w:top w:val="single" w:sz="7" w:space="0" w:color="000000"/>
              <w:left w:val="single" w:sz="7" w:space="0" w:color="000000"/>
              <w:bottom w:val="single" w:sz="7" w:space="0" w:color="000000"/>
              <w:right w:val="single" w:sz="7" w:space="0" w:color="000000"/>
            </w:tcBorders>
          </w:tcPr>
          <w:p w14:paraId="227128D8" w14:textId="77777777" w:rsidR="00472EEE" w:rsidRPr="00004326"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2340" w:type="dxa"/>
            <w:tcBorders>
              <w:top w:val="single" w:sz="7" w:space="0" w:color="000000"/>
              <w:left w:val="single" w:sz="7" w:space="0" w:color="000000"/>
              <w:bottom w:val="single" w:sz="7" w:space="0" w:color="000000"/>
              <w:right w:val="single" w:sz="7" w:space="0" w:color="000000"/>
            </w:tcBorders>
          </w:tcPr>
          <w:p w14:paraId="6A38A34F" w14:textId="77777777" w:rsidR="00472EEE" w:rsidRPr="00004326" w:rsidRDefault="00472E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BA6D02" w:rsidRPr="00F61D24" w14:paraId="6B423858"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36126066"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761" w:type="dxa"/>
            <w:tcBorders>
              <w:top w:val="single" w:sz="7" w:space="0" w:color="000000"/>
              <w:left w:val="single" w:sz="7" w:space="0" w:color="000000"/>
              <w:bottom w:val="single" w:sz="7" w:space="0" w:color="000000"/>
              <w:right w:val="single" w:sz="7" w:space="0" w:color="000000"/>
            </w:tcBorders>
          </w:tcPr>
          <w:p w14:paraId="74E1124E" w14:textId="77777777" w:rsidR="00BA6D02"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12/29/</w:t>
            </w:r>
            <w:r w:rsidR="00AC434B">
              <w:rPr>
                <w:color w:val="000000"/>
              </w:rPr>
              <w:t>0</w:t>
            </w:r>
            <w:r>
              <w:rPr>
                <w:color w:val="000000"/>
              </w:rPr>
              <w:t>0</w:t>
            </w:r>
          </w:p>
          <w:p w14:paraId="7A0903A4" w14:textId="242F603D" w:rsidR="00AC434B"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CN 00-030</w:t>
            </w:r>
          </w:p>
        </w:tc>
        <w:tc>
          <w:tcPr>
            <w:tcW w:w="4770" w:type="dxa"/>
            <w:tcBorders>
              <w:top w:val="single" w:sz="7" w:space="0" w:color="000000"/>
              <w:left w:val="single" w:sz="7" w:space="0" w:color="000000"/>
              <w:bottom w:val="single" w:sz="7" w:space="0" w:color="000000"/>
              <w:right w:val="single" w:sz="7" w:space="0" w:color="000000"/>
            </w:tcBorders>
          </w:tcPr>
          <w:p w14:paraId="46DD9B92" w14:textId="56DAEA85" w:rsidR="00BA6D02" w:rsidRPr="00004326"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C434B">
              <w:rPr>
                <w:color w:val="000000"/>
              </w:rPr>
              <w:t>IMC 0609, App D (Public Radiation Safety - Significance Determination Process) has been revised to incorporate stakeholder comments.  It also expands the Part 61 finding section to add a Green finding event where previously there was only a White finding</w:t>
            </w:r>
          </w:p>
        </w:tc>
        <w:tc>
          <w:tcPr>
            <w:tcW w:w="2070" w:type="dxa"/>
            <w:tcBorders>
              <w:top w:val="single" w:sz="7" w:space="0" w:color="000000"/>
              <w:left w:val="single" w:sz="7" w:space="0" w:color="000000"/>
              <w:bottom w:val="single" w:sz="7" w:space="0" w:color="000000"/>
              <w:right w:val="single" w:sz="7" w:space="0" w:color="000000"/>
            </w:tcBorders>
          </w:tcPr>
          <w:p w14:paraId="3EA60695"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2340" w:type="dxa"/>
            <w:tcBorders>
              <w:top w:val="single" w:sz="7" w:space="0" w:color="000000"/>
              <w:left w:val="single" w:sz="7" w:space="0" w:color="000000"/>
              <w:bottom w:val="single" w:sz="7" w:space="0" w:color="000000"/>
              <w:right w:val="single" w:sz="7" w:space="0" w:color="000000"/>
            </w:tcBorders>
          </w:tcPr>
          <w:p w14:paraId="0257541B"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BA6D02" w:rsidRPr="00F61D24" w14:paraId="52D1DB94"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247B4144"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761" w:type="dxa"/>
            <w:tcBorders>
              <w:top w:val="single" w:sz="7" w:space="0" w:color="000000"/>
              <w:left w:val="single" w:sz="7" w:space="0" w:color="000000"/>
              <w:bottom w:val="single" w:sz="7" w:space="0" w:color="000000"/>
              <w:right w:val="single" w:sz="7" w:space="0" w:color="000000"/>
            </w:tcBorders>
          </w:tcPr>
          <w:p w14:paraId="60C8BD21" w14:textId="77777777" w:rsidR="00BA6D02"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03/06/02</w:t>
            </w:r>
          </w:p>
          <w:p w14:paraId="2783A0F3" w14:textId="153BDD7A" w:rsidR="00AC434B"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CN 02-008</w:t>
            </w:r>
          </w:p>
        </w:tc>
        <w:tc>
          <w:tcPr>
            <w:tcW w:w="4770" w:type="dxa"/>
            <w:tcBorders>
              <w:top w:val="single" w:sz="7" w:space="0" w:color="000000"/>
              <w:left w:val="single" w:sz="7" w:space="0" w:color="000000"/>
              <w:bottom w:val="single" w:sz="7" w:space="0" w:color="000000"/>
              <w:right w:val="single" w:sz="7" w:space="0" w:color="000000"/>
            </w:tcBorders>
          </w:tcPr>
          <w:p w14:paraId="6109425A" w14:textId="77777777" w:rsidR="00AC434B"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C434B">
              <w:rPr>
                <w:color w:val="000000"/>
              </w:rPr>
              <w:t>IMC 0609, Appendix D (Public Radiation Safety) has been revised to incorporate feedback from the regional inspectors based on its implementation.  These include:</w:t>
            </w:r>
            <w:r>
              <w:rPr>
                <w:color w:val="000000"/>
              </w:rPr>
              <w:t xml:space="preserve">  </w:t>
            </w:r>
          </w:p>
          <w:p w14:paraId="7FC25C8C" w14:textId="624E31B1" w:rsidR="00BA6D02" w:rsidRPr="00004326"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C434B">
              <w:rPr>
                <w:color w:val="000000"/>
              </w:rPr>
              <w:t>1.</w:t>
            </w:r>
            <w:r>
              <w:rPr>
                <w:color w:val="000000"/>
              </w:rPr>
              <w:t xml:space="preserve">  </w:t>
            </w:r>
            <w:r w:rsidRPr="00AC434B">
              <w:rPr>
                <w:color w:val="000000"/>
              </w:rPr>
              <w:t>Additional guidance to clarify that the inspection period for the assessment of findings is for two years, based on eight rolling calendar quarters.</w:t>
            </w:r>
            <w:r>
              <w:rPr>
                <w:color w:val="000000"/>
              </w:rPr>
              <w:t xml:space="preserve">  </w:t>
            </w:r>
            <w:r w:rsidR="004D782A">
              <w:rPr>
                <w:color w:val="000000"/>
              </w:rPr>
              <w:br/>
            </w:r>
            <w:r w:rsidRPr="00AC434B">
              <w:rPr>
                <w:color w:val="000000"/>
              </w:rPr>
              <w:t>2.</w:t>
            </w:r>
            <w:r w:rsidR="004D782A">
              <w:rPr>
                <w:color w:val="000000"/>
              </w:rPr>
              <w:t xml:space="preserve"> </w:t>
            </w:r>
            <w:r w:rsidRPr="00AC434B">
              <w:rPr>
                <w:color w:val="000000"/>
              </w:rPr>
              <w:t xml:space="preserve">Additional guidance which added a quantitative dose value to determine when it is appropriate to use the SDP for risk assessment of a finding which involved a </w:t>
            </w:r>
            <w:r w:rsidRPr="00AC434B">
              <w:rPr>
                <w:color w:val="000000"/>
              </w:rPr>
              <w:lastRenderedPageBreak/>
              <w:t>discrete radioactive particle.</w:t>
            </w:r>
            <w:r>
              <w:rPr>
                <w:color w:val="000000"/>
              </w:rPr>
              <w:t xml:space="preserve">  </w:t>
            </w:r>
            <w:r w:rsidR="004D782A">
              <w:rPr>
                <w:color w:val="000000"/>
              </w:rPr>
              <w:br/>
            </w:r>
            <w:r w:rsidRPr="00AC434B">
              <w:rPr>
                <w:color w:val="000000"/>
              </w:rPr>
              <w:t>3.</w:t>
            </w:r>
            <w:r w:rsidR="004D782A">
              <w:rPr>
                <w:color w:val="000000"/>
              </w:rPr>
              <w:t xml:space="preserve"> </w:t>
            </w:r>
            <w:r w:rsidRPr="00AC434B">
              <w:rPr>
                <w:color w:val="000000"/>
              </w:rPr>
              <w:t>Additional guidance to clarify the types of radioactive material covered by the SDP.</w:t>
            </w:r>
            <w:r>
              <w:rPr>
                <w:color w:val="000000"/>
              </w:rPr>
              <w:t xml:space="preserve">  </w:t>
            </w:r>
            <w:r w:rsidR="004D782A">
              <w:rPr>
                <w:color w:val="000000"/>
              </w:rPr>
              <w:br/>
            </w:r>
            <w:r w:rsidRPr="00AC434B">
              <w:rPr>
                <w:color w:val="000000"/>
              </w:rPr>
              <w:t>4.</w:t>
            </w:r>
            <w:r w:rsidR="004D782A">
              <w:rPr>
                <w:color w:val="000000"/>
              </w:rPr>
              <w:t xml:space="preserve"> </w:t>
            </w:r>
            <w:r w:rsidRPr="00AC434B">
              <w:rPr>
                <w:color w:val="000000"/>
              </w:rPr>
              <w:t>The narrative discussion was revised to agree with the headings in the SDP flowcharts.</w:t>
            </w:r>
            <w:r>
              <w:rPr>
                <w:color w:val="000000"/>
              </w:rPr>
              <w:t xml:space="preserve">  </w:t>
            </w:r>
            <w:r w:rsidR="004D782A">
              <w:rPr>
                <w:color w:val="000000"/>
              </w:rPr>
              <w:br/>
            </w:r>
            <w:r w:rsidRPr="00AC434B">
              <w:rPr>
                <w:color w:val="000000"/>
              </w:rPr>
              <w:t>5.</w:t>
            </w:r>
            <w:r w:rsidR="004D782A">
              <w:rPr>
                <w:color w:val="000000"/>
              </w:rPr>
              <w:t xml:space="preserve"> </w:t>
            </w:r>
            <w:r w:rsidRPr="00AC434B">
              <w:rPr>
                <w:color w:val="000000"/>
              </w:rPr>
              <w:t>Clarifying the handling/processing of DRP exposure occurrences</w:t>
            </w:r>
          </w:p>
        </w:tc>
        <w:tc>
          <w:tcPr>
            <w:tcW w:w="2070" w:type="dxa"/>
            <w:tcBorders>
              <w:top w:val="single" w:sz="7" w:space="0" w:color="000000"/>
              <w:left w:val="single" w:sz="7" w:space="0" w:color="000000"/>
              <w:bottom w:val="single" w:sz="7" w:space="0" w:color="000000"/>
              <w:right w:val="single" w:sz="7" w:space="0" w:color="000000"/>
            </w:tcBorders>
          </w:tcPr>
          <w:p w14:paraId="5E6551A1"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2340" w:type="dxa"/>
            <w:tcBorders>
              <w:top w:val="single" w:sz="7" w:space="0" w:color="000000"/>
              <w:left w:val="single" w:sz="7" w:space="0" w:color="000000"/>
              <w:bottom w:val="single" w:sz="7" w:space="0" w:color="000000"/>
              <w:right w:val="single" w:sz="7" w:space="0" w:color="000000"/>
            </w:tcBorders>
          </w:tcPr>
          <w:p w14:paraId="6FF9878B"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BA6D02" w:rsidRPr="00F61D24" w14:paraId="1161EC3A"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2F3E8DE3"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761" w:type="dxa"/>
            <w:tcBorders>
              <w:top w:val="single" w:sz="7" w:space="0" w:color="000000"/>
              <w:left w:val="single" w:sz="7" w:space="0" w:color="000000"/>
              <w:bottom w:val="single" w:sz="7" w:space="0" w:color="000000"/>
              <w:right w:val="single" w:sz="7" w:space="0" w:color="000000"/>
            </w:tcBorders>
          </w:tcPr>
          <w:p w14:paraId="02F58A6B" w14:textId="77777777" w:rsidR="00BA6D02"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11/15/02</w:t>
            </w:r>
          </w:p>
          <w:p w14:paraId="0DD617AF" w14:textId="101328C1" w:rsidR="00AC434B"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CN 02-042</w:t>
            </w:r>
          </w:p>
        </w:tc>
        <w:tc>
          <w:tcPr>
            <w:tcW w:w="4770" w:type="dxa"/>
            <w:tcBorders>
              <w:top w:val="single" w:sz="7" w:space="0" w:color="000000"/>
              <w:left w:val="single" w:sz="7" w:space="0" w:color="000000"/>
              <w:bottom w:val="single" w:sz="7" w:space="0" w:color="000000"/>
              <w:right w:val="single" w:sz="7" w:space="0" w:color="000000"/>
            </w:tcBorders>
          </w:tcPr>
          <w:p w14:paraId="69573C5C" w14:textId="736A4C71" w:rsidR="00BA6D02" w:rsidRPr="00004326"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C434B">
              <w:rPr>
                <w:color w:val="000000"/>
              </w:rPr>
              <w:t>IMC 0609, Appendix D (Public Radiation Safety SDP) has been revised to modify the use of the "greater than 5 occurrence" counter.  Findings in the program will no longer be counted as an occurrence when the finding involves licensed radioactive material within the licensee's Protected or Restricted Areas</w:t>
            </w:r>
            <w:r>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14:paraId="52B38092"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2340" w:type="dxa"/>
            <w:tcBorders>
              <w:top w:val="single" w:sz="7" w:space="0" w:color="000000"/>
              <w:left w:val="single" w:sz="7" w:space="0" w:color="000000"/>
              <w:bottom w:val="single" w:sz="7" w:space="0" w:color="000000"/>
              <w:right w:val="single" w:sz="7" w:space="0" w:color="000000"/>
            </w:tcBorders>
          </w:tcPr>
          <w:p w14:paraId="4B583123"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BA6D02" w:rsidRPr="00F61D24" w14:paraId="3C870412"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3859146E"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1761" w:type="dxa"/>
            <w:tcBorders>
              <w:top w:val="single" w:sz="7" w:space="0" w:color="000000"/>
              <w:left w:val="single" w:sz="7" w:space="0" w:color="000000"/>
              <w:bottom w:val="single" w:sz="7" w:space="0" w:color="000000"/>
              <w:right w:val="single" w:sz="7" w:space="0" w:color="000000"/>
            </w:tcBorders>
          </w:tcPr>
          <w:p w14:paraId="550CD6D4" w14:textId="77777777" w:rsidR="00BA6D02"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07/24/03</w:t>
            </w:r>
          </w:p>
          <w:p w14:paraId="4C718D36" w14:textId="64F3D8D8" w:rsidR="00AC434B"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CN 03-025</w:t>
            </w:r>
          </w:p>
        </w:tc>
        <w:tc>
          <w:tcPr>
            <w:tcW w:w="4770" w:type="dxa"/>
            <w:tcBorders>
              <w:top w:val="single" w:sz="7" w:space="0" w:color="000000"/>
              <w:left w:val="single" w:sz="7" w:space="0" w:color="000000"/>
              <w:bottom w:val="single" w:sz="7" w:space="0" w:color="000000"/>
              <w:right w:val="single" w:sz="7" w:space="0" w:color="000000"/>
            </w:tcBorders>
          </w:tcPr>
          <w:p w14:paraId="3B4334DF" w14:textId="17EB070F" w:rsidR="00BA6D02" w:rsidRPr="00004326" w:rsidRDefault="00AC434B"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AC434B">
              <w:rPr>
                <w:color w:val="000000"/>
              </w:rPr>
              <w:t xml:space="preserve">IMC 0609, Appendix D (Public Radiation Safety - Significance Determination Process) has been revised to clarify the intent of the SDP </w:t>
            </w:r>
            <w:proofErr w:type="gramStart"/>
            <w:r w:rsidRPr="00AC434B">
              <w:rPr>
                <w:color w:val="000000"/>
              </w:rPr>
              <w:t>as a result of</w:t>
            </w:r>
            <w:proofErr w:type="gramEnd"/>
            <w:r w:rsidRPr="00AC434B">
              <w:rPr>
                <w:color w:val="000000"/>
              </w:rPr>
              <w:t xml:space="preserve"> questions posed by an ROP Feedback Form.  The changes now allow for consideration of 'accessible' locations of the radioactive package and a more graded approach that allows for a GREEN finding if exceeded dose rates are inaccessible to the public and not greater than two times the Department of Transportation limit</w:t>
            </w:r>
            <w:r>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14:paraId="1C502A34"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c>
          <w:tcPr>
            <w:tcW w:w="2340" w:type="dxa"/>
            <w:tcBorders>
              <w:top w:val="single" w:sz="7" w:space="0" w:color="000000"/>
              <w:left w:val="single" w:sz="7" w:space="0" w:color="000000"/>
              <w:bottom w:val="single" w:sz="7" w:space="0" w:color="000000"/>
              <w:right w:val="single" w:sz="7" w:space="0" w:color="000000"/>
            </w:tcBorders>
          </w:tcPr>
          <w:p w14:paraId="4A6FC28A" w14:textId="77777777" w:rsidR="00BA6D02" w:rsidRPr="00004326" w:rsidRDefault="00BA6D02"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tc>
      </w:tr>
      <w:tr w:rsidR="00727D27" w:rsidRPr="00F61D24" w14:paraId="358C1006"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26572EBD"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lastRenderedPageBreak/>
              <w:t>N/A</w:t>
            </w:r>
            <w:r w:rsidRPr="00004326">
              <w:rPr>
                <w:color w:val="000000"/>
              </w:rPr>
              <w:tab/>
            </w:r>
          </w:p>
        </w:tc>
        <w:tc>
          <w:tcPr>
            <w:tcW w:w="1761" w:type="dxa"/>
            <w:tcBorders>
              <w:top w:val="single" w:sz="7" w:space="0" w:color="000000"/>
              <w:left w:val="single" w:sz="7" w:space="0" w:color="000000"/>
              <w:bottom w:val="single" w:sz="7" w:space="0" w:color="000000"/>
              <w:right w:val="single" w:sz="7" w:space="0" w:color="000000"/>
            </w:tcBorders>
          </w:tcPr>
          <w:p w14:paraId="5EDAFC1C" w14:textId="7DE415D0" w:rsidR="00727D27" w:rsidRPr="00004326" w:rsidRDefault="00920D26"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920D26">
              <w:rPr>
                <w:color w:val="000000"/>
              </w:rPr>
              <w:t>ML062890413</w:t>
            </w:r>
            <w:r w:rsidR="00727D27" w:rsidRPr="00004326">
              <w:rPr>
                <w:color w:val="000000"/>
              </w:rPr>
              <w:t>10/16/06</w:t>
            </w:r>
          </w:p>
          <w:p w14:paraId="1206AF18"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CN 06-027</w:t>
            </w:r>
          </w:p>
        </w:tc>
        <w:tc>
          <w:tcPr>
            <w:tcW w:w="4770" w:type="dxa"/>
            <w:tcBorders>
              <w:top w:val="single" w:sz="7" w:space="0" w:color="000000"/>
              <w:left w:val="single" w:sz="7" w:space="0" w:color="000000"/>
              <w:bottom w:val="single" w:sz="7" w:space="0" w:color="000000"/>
              <w:right w:val="single" w:sz="7" w:space="0" w:color="000000"/>
            </w:tcBorders>
          </w:tcPr>
          <w:p w14:paraId="0130848F"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This IMC has been revised to incorporate comments from the Commission in which the term public confidence has been change to openness</w:t>
            </w:r>
          </w:p>
        </w:tc>
        <w:tc>
          <w:tcPr>
            <w:tcW w:w="2070" w:type="dxa"/>
            <w:tcBorders>
              <w:top w:val="single" w:sz="7" w:space="0" w:color="000000"/>
              <w:left w:val="single" w:sz="7" w:space="0" w:color="000000"/>
              <w:bottom w:val="single" w:sz="7" w:space="0" w:color="000000"/>
              <w:right w:val="single" w:sz="7" w:space="0" w:color="000000"/>
            </w:tcBorders>
          </w:tcPr>
          <w:p w14:paraId="3E384C53"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N/A</w:t>
            </w:r>
          </w:p>
        </w:tc>
        <w:tc>
          <w:tcPr>
            <w:tcW w:w="2340" w:type="dxa"/>
            <w:tcBorders>
              <w:top w:val="single" w:sz="7" w:space="0" w:color="000000"/>
              <w:left w:val="single" w:sz="7" w:space="0" w:color="000000"/>
              <w:bottom w:val="single" w:sz="7" w:space="0" w:color="000000"/>
              <w:right w:val="single" w:sz="7" w:space="0" w:color="000000"/>
            </w:tcBorders>
          </w:tcPr>
          <w:p w14:paraId="52DE4F11"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N/A</w:t>
            </w:r>
          </w:p>
        </w:tc>
      </w:tr>
      <w:tr w:rsidR="00727D27" w:rsidRPr="00F61D24" w14:paraId="131A2834" w14:textId="77777777" w:rsidTr="008208F5">
        <w:trPr>
          <w:trHeight w:val="2323"/>
        </w:trPr>
        <w:tc>
          <w:tcPr>
            <w:tcW w:w="1620" w:type="dxa"/>
            <w:tcBorders>
              <w:top w:val="single" w:sz="7" w:space="0" w:color="000000"/>
              <w:left w:val="single" w:sz="7" w:space="0" w:color="000000"/>
              <w:bottom w:val="single" w:sz="7" w:space="0" w:color="000000"/>
              <w:right w:val="single" w:sz="7" w:space="0" w:color="000000"/>
            </w:tcBorders>
          </w:tcPr>
          <w:p w14:paraId="5C468222"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N/A</w:t>
            </w:r>
          </w:p>
        </w:tc>
        <w:tc>
          <w:tcPr>
            <w:tcW w:w="1761" w:type="dxa"/>
            <w:tcBorders>
              <w:top w:val="single" w:sz="7" w:space="0" w:color="000000"/>
              <w:left w:val="single" w:sz="7" w:space="0" w:color="000000"/>
              <w:bottom w:val="single" w:sz="7" w:space="0" w:color="000000"/>
              <w:right w:val="single" w:sz="7" w:space="0" w:color="000000"/>
            </w:tcBorders>
          </w:tcPr>
          <w:p w14:paraId="7316C21F" w14:textId="0553F0AD" w:rsidR="002457EE" w:rsidRDefault="002457EE"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1C5C27">
              <w:rPr>
                <w:color w:val="000000"/>
              </w:rPr>
              <w:t>ML07297</w:t>
            </w:r>
            <w:r w:rsidR="006D3D8A" w:rsidRPr="001C5C27">
              <w:rPr>
                <w:color w:val="000000"/>
              </w:rPr>
              <w:t>0802</w:t>
            </w:r>
          </w:p>
          <w:p w14:paraId="19A6FD4B" w14:textId="77777777" w:rsidR="006D3D8A"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02/12/08</w:t>
            </w:r>
          </w:p>
          <w:p w14:paraId="17FB4059" w14:textId="3B8C8A6B"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CN 08-007</w:t>
            </w:r>
          </w:p>
        </w:tc>
        <w:tc>
          <w:tcPr>
            <w:tcW w:w="4770" w:type="dxa"/>
            <w:tcBorders>
              <w:top w:val="single" w:sz="7" w:space="0" w:color="000000"/>
              <w:left w:val="single" w:sz="7" w:space="0" w:color="000000"/>
              <w:bottom w:val="single" w:sz="7" w:space="0" w:color="000000"/>
              <w:right w:val="single" w:sz="7" w:space="0" w:color="000000"/>
            </w:tcBorders>
          </w:tcPr>
          <w:p w14:paraId="1CE062B0" w14:textId="23D14D15"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This IMC has been revised to incorporate changes approved by the Commission in SECY-07-0112, including eliminating the White finding in the Environmental Monitoring branch.  Other changes include removing the Yellow finding from the Low</w:t>
            </w:r>
            <w:r w:rsidRPr="00F61D24">
              <w:rPr>
                <w:color w:val="000000"/>
              </w:rPr>
              <w:t>-</w:t>
            </w:r>
            <w:r w:rsidRPr="00004326">
              <w:rPr>
                <w:color w:val="000000"/>
              </w:rPr>
              <w:t>Level Burial Ground branch and eliminating the aggregation of findings in the Radioactive Materials Control Branch</w:t>
            </w:r>
            <w:r w:rsidRPr="00F61D24">
              <w:rPr>
                <w:color w:val="000000"/>
              </w:rPr>
              <w:t>.</w:t>
            </w:r>
          </w:p>
        </w:tc>
        <w:tc>
          <w:tcPr>
            <w:tcW w:w="2070" w:type="dxa"/>
            <w:tcBorders>
              <w:top w:val="single" w:sz="7" w:space="0" w:color="000000"/>
              <w:left w:val="single" w:sz="7" w:space="0" w:color="000000"/>
              <w:bottom w:val="single" w:sz="7" w:space="0" w:color="000000"/>
              <w:right w:val="single" w:sz="7" w:space="0" w:color="000000"/>
            </w:tcBorders>
          </w:tcPr>
          <w:p w14:paraId="382EA71A" w14:textId="77777777"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N/A</w:t>
            </w:r>
          </w:p>
        </w:tc>
        <w:tc>
          <w:tcPr>
            <w:tcW w:w="2340" w:type="dxa"/>
            <w:tcBorders>
              <w:top w:val="single" w:sz="7" w:space="0" w:color="000000"/>
              <w:left w:val="single" w:sz="7" w:space="0" w:color="000000"/>
              <w:bottom w:val="single" w:sz="7" w:space="0" w:color="000000"/>
              <w:right w:val="single" w:sz="7" w:space="0" w:color="000000"/>
            </w:tcBorders>
          </w:tcPr>
          <w:p w14:paraId="70CD67F5" w14:textId="43EAF02E" w:rsidR="00727D27" w:rsidRPr="00004326" w:rsidRDefault="00727D27" w:rsidP="00BA6D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004326">
              <w:rPr>
                <w:color w:val="000000"/>
              </w:rPr>
              <w:t>ML080220247</w:t>
            </w:r>
          </w:p>
        </w:tc>
      </w:tr>
      <w:tr w:rsidR="00727D27" w:rsidRPr="00F61D24" w14:paraId="105FCF7F" w14:textId="77777777" w:rsidTr="008208F5">
        <w:tc>
          <w:tcPr>
            <w:tcW w:w="1620" w:type="dxa"/>
            <w:tcBorders>
              <w:top w:val="single" w:sz="7" w:space="0" w:color="000000"/>
              <w:left w:val="single" w:sz="7" w:space="0" w:color="000000"/>
              <w:bottom w:val="single" w:sz="7" w:space="0" w:color="000000"/>
              <w:right w:val="single" w:sz="7" w:space="0" w:color="000000"/>
            </w:tcBorders>
          </w:tcPr>
          <w:p w14:paraId="6D8512A7" w14:textId="77777777" w:rsidR="00727D27" w:rsidRPr="00004326" w:rsidRDefault="00727D27" w:rsidP="00004326">
            <w:r w:rsidRPr="00F61D24">
              <w:t>N/A</w:t>
            </w:r>
          </w:p>
        </w:tc>
        <w:tc>
          <w:tcPr>
            <w:tcW w:w="1761" w:type="dxa"/>
            <w:tcBorders>
              <w:top w:val="single" w:sz="7" w:space="0" w:color="000000"/>
              <w:left w:val="single" w:sz="7" w:space="0" w:color="000000"/>
              <w:bottom w:val="single" w:sz="7" w:space="0" w:color="000000"/>
              <w:right w:val="single" w:sz="7" w:space="0" w:color="000000"/>
            </w:tcBorders>
          </w:tcPr>
          <w:p w14:paraId="1CA9956B" w14:textId="0C952F72" w:rsidR="00727D27" w:rsidRDefault="006D3D8A" w:rsidP="00004326">
            <w:pPr>
              <w:rPr>
                <w:color w:val="000000"/>
              </w:rPr>
            </w:pPr>
            <w:r>
              <w:rPr>
                <w:color w:val="000000"/>
              </w:rPr>
              <w:t>ML</w:t>
            </w:r>
            <w:r w:rsidR="001C5C27">
              <w:rPr>
                <w:color w:val="000000"/>
              </w:rPr>
              <w:t>20346A515</w:t>
            </w:r>
          </w:p>
          <w:p w14:paraId="19655C50" w14:textId="7603C3CC" w:rsidR="001C5C27" w:rsidRPr="000B1FFB" w:rsidRDefault="000B1FFB" w:rsidP="00004326">
            <w:pPr>
              <w:rPr>
                <w:color w:val="000000"/>
              </w:rPr>
            </w:pPr>
            <w:r w:rsidRPr="000B1FFB">
              <w:rPr>
                <w:color w:val="000000"/>
              </w:rPr>
              <w:t>09/24/21</w:t>
            </w:r>
          </w:p>
          <w:p w14:paraId="2529809D" w14:textId="4B19EE33" w:rsidR="001C5C27" w:rsidRPr="00004326" w:rsidRDefault="001C5C27" w:rsidP="00004326">
            <w:r w:rsidRPr="000B1FFB">
              <w:rPr>
                <w:color w:val="000000"/>
              </w:rPr>
              <w:t>CN 21-</w:t>
            </w:r>
            <w:r w:rsidR="000B1FFB" w:rsidRPr="000B1FFB">
              <w:rPr>
                <w:color w:val="000000"/>
              </w:rPr>
              <w:t>032</w:t>
            </w:r>
          </w:p>
        </w:tc>
        <w:tc>
          <w:tcPr>
            <w:tcW w:w="4770" w:type="dxa"/>
            <w:tcBorders>
              <w:top w:val="single" w:sz="7" w:space="0" w:color="000000"/>
              <w:left w:val="single" w:sz="7" w:space="0" w:color="000000"/>
              <w:bottom w:val="single" w:sz="7" w:space="0" w:color="000000"/>
              <w:right w:val="single" w:sz="7" w:space="0" w:color="000000"/>
            </w:tcBorders>
          </w:tcPr>
          <w:p w14:paraId="55D4B9AD" w14:textId="77777777" w:rsidR="00727D27" w:rsidRDefault="0000060C" w:rsidP="00720829">
            <w:pPr>
              <w:rPr>
                <w:color w:val="000000"/>
              </w:rPr>
            </w:pPr>
            <w:r>
              <w:rPr>
                <w:color w:val="000000"/>
              </w:rPr>
              <w:t>This issue is a m</w:t>
            </w:r>
            <w:r w:rsidRPr="0000060C">
              <w:rPr>
                <w:color w:val="000000"/>
              </w:rPr>
              <w:t>ajor revisi</w:t>
            </w:r>
            <w:r>
              <w:rPr>
                <w:color w:val="000000"/>
              </w:rPr>
              <w:t>on</w:t>
            </w:r>
            <w:r w:rsidRPr="0000060C">
              <w:rPr>
                <w:color w:val="000000"/>
              </w:rPr>
              <w:t xml:space="preserve"> that was coupled with a revision of corresponding bases in IMC 0308, </w:t>
            </w:r>
            <w:proofErr w:type="spellStart"/>
            <w:r w:rsidRPr="0000060C">
              <w:rPr>
                <w:color w:val="000000"/>
              </w:rPr>
              <w:t>Att</w:t>
            </w:r>
            <w:proofErr w:type="spellEnd"/>
            <w:r w:rsidRPr="0000060C">
              <w:rPr>
                <w:color w:val="000000"/>
              </w:rPr>
              <w:t xml:space="preserve"> 3, App D.  Changes include addition of guidance to address inspection findings involving 10 CFR Part 37 at Part 50 licensees; updated guidance within the transportation SDP to address incorrect packaging of radioactive material; to provide more detail when dispositioning package breach issues and clarification that white significance for notification issues should be assigned to those issues that seriously hamper emergency response efforts.  Additionally, information that explains bases was moved to IMC 0308, </w:t>
            </w:r>
            <w:proofErr w:type="spellStart"/>
            <w:r w:rsidRPr="0000060C">
              <w:rPr>
                <w:color w:val="000000"/>
              </w:rPr>
              <w:t>Att</w:t>
            </w:r>
            <w:proofErr w:type="spellEnd"/>
            <w:r w:rsidRPr="0000060C">
              <w:rPr>
                <w:color w:val="000000"/>
              </w:rPr>
              <w:t xml:space="preserve"> 3, App D to better align both documents with their </w:t>
            </w:r>
            <w:r w:rsidRPr="0000060C">
              <w:rPr>
                <w:color w:val="000000"/>
              </w:rPr>
              <w:lastRenderedPageBreak/>
              <w:t>intended purposes.</w:t>
            </w:r>
          </w:p>
          <w:p w14:paraId="30ABA714" w14:textId="77777777" w:rsidR="0000060C" w:rsidRDefault="0000060C" w:rsidP="00720829">
            <w:pPr>
              <w:rPr>
                <w:color w:val="000000"/>
              </w:rPr>
            </w:pPr>
          </w:p>
          <w:p w14:paraId="2F1DD19B" w14:textId="54A6CDB5" w:rsidR="0000060C" w:rsidRDefault="00941B47" w:rsidP="0000060C">
            <w:pPr>
              <w:pStyle w:val="Default"/>
              <w:rPr>
                <w:sz w:val="22"/>
                <w:szCs w:val="22"/>
              </w:rPr>
            </w:pPr>
            <w:r>
              <w:rPr>
                <w:sz w:val="22"/>
                <w:szCs w:val="22"/>
              </w:rPr>
              <w:t>Approval for this change was obtained from</w:t>
            </w:r>
            <w:r w:rsidR="0000060C">
              <w:rPr>
                <w:sz w:val="22"/>
                <w:szCs w:val="22"/>
              </w:rPr>
              <w:t xml:space="preserve"> the Commission in accordance with Management Directive 8.13, “Reactor Oversight Process” January 31, 2020 </w:t>
            </w:r>
            <w:r>
              <w:rPr>
                <w:sz w:val="22"/>
                <w:szCs w:val="22"/>
              </w:rPr>
              <w:t>through COMSECY-21-</w:t>
            </w:r>
            <w:r w:rsidR="00075318">
              <w:rPr>
                <w:sz w:val="22"/>
                <w:szCs w:val="22"/>
              </w:rPr>
              <w:t>0010</w:t>
            </w:r>
            <w:r>
              <w:rPr>
                <w:sz w:val="22"/>
                <w:szCs w:val="22"/>
              </w:rPr>
              <w:t xml:space="preserve"> </w:t>
            </w:r>
            <w:r w:rsidR="0000060C">
              <w:rPr>
                <w:sz w:val="22"/>
                <w:szCs w:val="22"/>
              </w:rPr>
              <w:t>(</w:t>
            </w:r>
            <w:r w:rsidR="0000060C" w:rsidRPr="001C5C27">
              <w:rPr>
                <w:sz w:val="22"/>
                <w:szCs w:val="22"/>
              </w:rPr>
              <w:t>ML</w:t>
            </w:r>
            <w:r w:rsidR="00EC0B7D">
              <w:rPr>
                <w:sz w:val="22"/>
                <w:szCs w:val="22"/>
              </w:rPr>
              <w:t>2</w:t>
            </w:r>
            <w:r w:rsidR="003D40B1">
              <w:rPr>
                <w:sz w:val="22"/>
                <w:szCs w:val="22"/>
              </w:rPr>
              <w:t>1144A140</w:t>
            </w:r>
            <w:r w:rsidR="00EC0B7D" w:rsidRPr="001C5C27">
              <w:rPr>
                <w:sz w:val="22"/>
                <w:szCs w:val="22"/>
              </w:rPr>
              <w:t>)</w:t>
            </w:r>
            <w:r w:rsidR="00EC0B7D">
              <w:rPr>
                <w:sz w:val="22"/>
                <w:szCs w:val="22"/>
              </w:rPr>
              <w:t xml:space="preserve"> </w:t>
            </w:r>
            <w:r>
              <w:rPr>
                <w:sz w:val="22"/>
                <w:szCs w:val="22"/>
              </w:rPr>
              <w:t>and SRM-COMSECY-21-</w:t>
            </w:r>
            <w:r w:rsidR="00075318">
              <w:rPr>
                <w:sz w:val="22"/>
                <w:szCs w:val="22"/>
              </w:rPr>
              <w:t>0010</w:t>
            </w:r>
            <w:r>
              <w:rPr>
                <w:sz w:val="22"/>
                <w:szCs w:val="22"/>
              </w:rPr>
              <w:t xml:space="preserve"> (ML</w:t>
            </w:r>
            <w:r w:rsidR="00A81188">
              <w:rPr>
                <w:sz w:val="22"/>
                <w:szCs w:val="22"/>
              </w:rPr>
              <w:t>21231A250</w:t>
            </w:r>
            <w:r>
              <w:rPr>
                <w:sz w:val="22"/>
                <w:szCs w:val="22"/>
              </w:rPr>
              <w:t>)</w:t>
            </w:r>
          </w:p>
          <w:p w14:paraId="43435BD2" w14:textId="77777777" w:rsidR="00941B47" w:rsidRDefault="00941B47" w:rsidP="0000060C">
            <w:pPr>
              <w:pStyle w:val="Default"/>
              <w:rPr>
                <w:sz w:val="22"/>
                <w:szCs w:val="22"/>
              </w:rPr>
            </w:pPr>
          </w:p>
          <w:p w14:paraId="3D5C1475" w14:textId="77777777" w:rsidR="00941B47" w:rsidRDefault="00941B47" w:rsidP="0000060C">
            <w:pPr>
              <w:pStyle w:val="Default"/>
              <w:rPr>
                <w:sz w:val="22"/>
                <w:szCs w:val="22"/>
              </w:rPr>
            </w:pPr>
            <w:r>
              <w:rPr>
                <w:sz w:val="22"/>
                <w:szCs w:val="22"/>
              </w:rPr>
              <w:t>Conducted public meetings as summarized in the following:</w:t>
            </w:r>
          </w:p>
          <w:p w14:paraId="14110EBD" w14:textId="77777777" w:rsidR="00941B47" w:rsidRDefault="00941B47" w:rsidP="0000060C">
            <w:pPr>
              <w:pStyle w:val="Default"/>
              <w:rPr>
                <w:sz w:val="22"/>
                <w:szCs w:val="22"/>
              </w:rPr>
            </w:pPr>
            <w:r w:rsidRPr="00941B47">
              <w:rPr>
                <w:sz w:val="22"/>
                <w:szCs w:val="22"/>
              </w:rPr>
              <w:t xml:space="preserve">ML21039A660 </w:t>
            </w:r>
            <w:r>
              <w:rPr>
                <w:sz w:val="22"/>
                <w:szCs w:val="22"/>
              </w:rPr>
              <w:t>–</w:t>
            </w:r>
            <w:r w:rsidRPr="00941B47">
              <w:rPr>
                <w:sz w:val="22"/>
                <w:szCs w:val="22"/>
              </w:rPr>
              <w:t xml:space="preserve"> Oct</w:t>
            </w:r>
            <w:r>
              <w:rPr>
                <w:sz w:val="22"/>
                <w:szCs w:val="22"/>
              </w:rPr>
              <w:t xml:space="preserve">ober 21, </w:t>
            </w:r>
            <w:r w:rsidRPr="00941B47">
              <w:rPr>
                <w:sz w:val="22"/>
                <w:szCs w:val="22"/>
              </w:rPr>
              <w:t xml:space="preserve">2020 </w:t>
            </w:r>
          </w:p>
          <w:p w14:paraId="4437C8E6" w14:textId="7DCC84DD" w:rsidR="00941B47" w:rsidRPr="00004326" w:rsidRDefault="00941B47" w:rsidP="0000060C">
            <w:pPr>
              <w:pStyle w:val="Default"/>
              <w:rPr>
                <w:sz w:val="22"/>
                <w:szCs w:val="22"/>
              </w:rPr>
            </w:pPr>
            <w:r>
              <w:rPr>
                <w:sz w:val="22"/>
                <w:szCs w:val="22"/>
              </w:rPr>
              <w:t>ML</w:t>
            </w:r>
            <w:r w:rsidR="00DA687D">
              <w:rPr>
                <w:sz w:val="22"/>
                <w:szCs w:val="22"/>
              </w:rPr>
              <w:t>21078</w:t>
            </w:r>
            <w:r w:rsidR="00F277E7">
              <w:rPr>
                <w:sz w:val="22"/>
                <w:szCs w:val="22"/>
              </w:rPr>
              <w:t>A504</w:t>
            </w:r>
            <w:r w:rsidR="00DA687D">
              <w:rPr>
                <w:sz w:val="22"/>
                <w:szCs w:val="22"/>
              </w:rPr>
              <w:t xml:space="preserve"> </w:t>
            </w:r>
            <w:r>
              <w:rPr>
                <w:sz w:val="22"/>
                <w:szCs w:val="22"/>
              </w:rPr>
              <w:t>- February 25, 2021</w:t>
            </w:r>
          </w:p>
        </w:tc>
        <w:tc>
          <w:tcPr>
            <w:tcW w:w="2070" w:type="dxa"/>
            <w:tcBorders>
              <w:top w:val="single" w:sz="7" w:space="0" w:color="000000"/>
              <w:left w:val="single" w:sz="7" w:space="0" w:color="000000"/>
              <w:bottom w:val="single" w:sz="7" w:space="0" w:color="000000"/>
              <w:right w:val="single" w:sz="7" w:space="0" w:color="000000"/>
            </w:tcBorders>
          </w:tcPr>
          <w:p w14:paraId="1B260B15" w14:textId="69EC0CD2" w:rsidR="006254A2" w:rsidRDefault="00AB467C" w:rsidP="00004326">
            <w:pPr>
              <w:rPr>
                <w:color w:val="000000"/>
              </w:rPr>
            </w:pPr>
            <w:r>
              <w:rPr>
                <w:color w:val="000000"/>
              </w:rPr>
              <w:lastRenderedPageBreak/>
              <w:t xml:space="preserve">Staff </w:t>
            </w:r>
            <w:r w:rsidR="00DB1F78">
              <w:rPr>
                <w:color w:val="000000"/>
              </w:rPr>
              <w:t xml:space="preserve">Public Radiation Safety </w:t>
            </w:r>
            <w:r>
              <w:rPr>
                <w:color w:val="000000"/>
              </w:rPr>
              <w:t xml:space="preserve">SDP </w:t>
            </w:r>
            <w:r w:rsidR="00DB1F78">
              <w:rPr>
                <w:color w:val="000000"/>
              </w:rPr>
              <w:t>Tabl</w:t>
            </w:r>
            <w:r w:rsidR="00FE4DFC">
              <w:rPr>
                <w:color w:val="000000"/>
              </w:rPr>
              <w:t>etop Sessions (</w:t>
            </w:r>
            <w:r w:rsidR="00424D82">
              <w:rPr>
                <w:color w:val="000000"/>
              </w:rPr>
              <w:t>01/22/2021</w:t>
            </w:r>
            <w:r w:rsidR="00A01B41">
              <w:rPr>
                <w:color w:val="000000"/>
              </w:rPr>
              <w:t>, 01/26/2021, 01/28/2021</w:t>
            </w:r>
            <w:r w:rsidR="006254A2">
              <w:rPr>
                <w:color w:val="000000"/>
              </w:rPr>
              <w:t>)</w:t>
            </w:r>
            <w:r w:rsidR="00424D82">
              <w:rPr>
                <w:color w:val="000000"/>
              </w:rPr>
              <w:t xml:space="preserve"> </w:t>
            </w:r>
          </w:p>
          <w:p w14:paraId="69B52B0F" w14:textId="77777777" w:rsidR="006254A2" w:rsidRDefault="006254A2" w:rsidP="00004326">
            <w:pPr>
              <w:rPr>
                <w:color w:val="000000"/>
              </w:rPr>
            </w:pPr>
          </w:p>
          <w:p w14:paraId="75D51FBC" w14:textId="4DCC3499" w:rsidR="001C5C27" w:rsidRPr="00004326" w:rsidRDefault="00301F0E" w:rsidP="00004326">
            <w:r>
              <w:rPr>
                <w:color w:val="000000"/>
              </w:rPr>
              <w:t xml:space="preserve">Verbal discussion of changes during the 2021 HP Counterpart meeting. </w:t>
            </w:r>
            <w:r w:rsidR="00125DF4">
              <w:rPr>
                <w:color w:val="000000"/>
              </w:rPr>
              <w:t xml:space="preserve">09/07/2021 </w:t>
            </w:r>
          </w:p>
        </w:tc>
        <w:tc>
          <w:tcPr>
            <w:tcW w:w="2340" w:type="dxa"/>
            <w:tcBorders>
              <w:top w:val="single" w:sz="7" w:space="0" w:color="000000"/>
              <w:left w:val="single" w:sz="7" w:space="0" w:color="000000"/>
              <w:bottom w:val="single" w:sz="7" w:space="0" w:color="000000"/>
              <w:right w:val="single" w:sz="7" w:space="0" w:color="000000"/>
            </w:tcBorders>
          </w:tcPr>
          <w:p w14:paraId="7987BE19" w14:textId="77777777" w:rsidR="00727D27" w:rsidRDefault="001C5C27" w:rsidP="00004326">
            <w:r w:rsidRPr="001C5C27">
              <w:t>ML20349A077</w:t>
            </w:r>
          </w:p>
          <w:p w14:paraId="4E75F4E4" w14:textId="77777777" w:rsidR="000C5B62" w:rsidRDefault="000C5B62" w:rsidP="00004326"/>
          <w:p w14:paraId="531D4BF9" w14:textId="77777777" w:rsidR="000C5B62" w:rsidRPr="00C41B1A" w:rsidRDefault="000C5B62" w:rsidP="00004326">
            <w:r w:rsidRPr="00C41B1A">
              <w:t>Closed FBFs:</w:t>
            </w:r>
          </w:p>
          <w:p w14:paraId="2AE4A18F" w14:textId="30FBD28D" w:rsidR="000C5B62" w:rsidRPr="00C41B1A" w:rsidRDefault="00343CFB" w:rsidP="00004326">
            <w:r w:rsidRPr="00C41B1A">
              <w:t>0609D-2197</w:t>
            </w:r>
          </w:p>
          <w:p w14:paraId="47C94762" w14:textId="51072625" w:rsidR="00C34569" w:rsidRPr="00C41B1A" w:rsidRDefault="00C34569" w:rsidP="00004326">
            <w:r w:rsidRPr="00C41B1A">
              <w:t>ML</w:t>
            </w:r>
            <w:r w:rsidR="00C41B1A" w:rsidRPr="00C41B1A">
              <w:t>21250A322</w:t>
            </w:r>
          </w:p>
          <w:p w14:paraId="217D4E1B" w14:textId="77777777" w:rsidR="00343CFB" w:rsidRPr="00C41B1A" w:rsidRDefault="00343CFB" w:rsidP="00004326"/>
          <w:p w14:paraId="0BF5088A" w14:textId="77777777" w:rsidR="00343CFB" w:rsidRPr="00C41B1A" w:rsidRDefault="004C3869" w:rsidP="00004326">
            <w:r w:rsidRPr="00C41B1A">
              <w:t>0609D-2099</w:t>
            </w:r>
          </w:p>
          <w:p w14:paraId="0C2F5F18" w14:textId="4A94D028" w:rsidR="00C34569" w:rsidRPr="00004326" w:rsidRDefault="00C34569" w:rsidP="00004326">
            <w:r w:rsidRPr="00C41B1A">
              <w:t>ML</w:t>
            </w:r>
            <w:r w:rsidR="00C41B1A" w:rsidRPr="00C41B1A">
              <w:t>21250A321</w:t>
            </w:r>
          </w:p>
        </w:tc>
      </w:tr>
    </w:tbl>
    <w:p w14:paraId="536B506F" w14:textId="77777777" w:rsidR="00AE4442" w:rsidRDefault="00AE44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sectPr w:rsidR="00AE4442" w:rsidSect="001C5C27">
      <w:headerReference w:type="even" r:id="rId30"/>
      <w:headerReference w:type="default" r:id="rId31"/>
      <w:footerReference w:type="even" r:id="rId32"/>
      <w:footerReference w:type="default" r:id="rId33"/>
      <w:headerReference w:type="first" r:id="rId34"/>
      <w:pgSz w:w="15840" w:h="12240" w:orient="landscape"/>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B824" w14:textId="77777777" w:rsidR="00815E88" w:rsidRDefault="00815E88">
      <w:r>
        <w:separator/>
      </w:r>
    </w:p>
  </w:endnote>
  <w:endnote w:type="continuationSeparator" w:id="0">
    <w:p w14:paraId="57534942" w14:textId="77777777" w:rsidR="00815E88" w:rsidRDefault="00815E88">
      <w:r>
        <w:continuationSeparator/>
      </w:r>
    </w:p>
  </w:endnote>
  <w:endnote w:type="continuationNotice" w:id="1">
    <w:p w14:paraId="56B4DE5F" w14:textId="77777777" w:rsidR="00815E88" w:rsidRDefault="00815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31C5" w14:textId="77777777" w:rsidR="00D224BA" w:rsidRDefault="00D224BA">
    <w:pPr>
      <w:spacing w:line="240" w:lineRule="exact"/>
    </w:pPr>
  </w:p>
  <w:p w14:paraId="37622849" w14:textId="77777777" w:rsidR="00D224BA" w:rsidRDefault="00D224BA" w:rsidP="003D24D4">
    <w:pPr>
      <w:tabs>
        <w:tab w:val="center" w:pos="4680"/>
        <w:tab w:val="right" w:pos="9360"/>
      </w:tabs>
    </w:pPr>
    <w:r>
      <w:t>0609, App D</w:t>
    </w:r>
    <w:r>
      <w:tab/>
      <w:t>D-</w:t>
    </w:r>
    <w:r>
      <w:fldChar w:fldCharType="begin"/>
    </w:r>
    <w:r>
      <w:instrText xml:space="preserve">PAGE </w:instrText>
    </w:r>
    <w:r>
      <w:fldChar w:fldCharType="separate"/>
    </w:r>
    <w:r>
      <w:rPr>
        <w:noProof/>
      </w:rPr>
      <w:t>2</w:t>
    </w:r>
    <w:r>
      <w:fldChar w:fldCharType="end"/>
    </w:r>
    <w:r>
      <w:tab/>
      <w:t>Issue Date: 10/16/06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1301" w14:textId="77777777" w:rsidR="00AB1288" w:rsidRPr="00CA67BD" w:rsidRDefault="00AB1288">
    <w:pPr>
      <w:tabs>
        <w:tab w:val="center" w:pos="4680"/>
        <w:tab w:val="right" w:pos="9360"/>
      </w:tabs>
    </w:pPr>
    <w:r w:rsidRPr="00CA67BD">
      <w:t xml:space="preserve">Issue Date: </w:t>
    </w:r>
    <w:r>
      <w:t xml:space="preserve"> xx/xx/</w:t>
    </w:r>
    <w:proofErr w:type="spellStart"/>
    <w:r>
      <w:t>xxxx</w:t>
    </w:r>
    <w:proofErr w:type="spellEnd"/>
    <w:r w:rsidRPr="00CA67BD">
      <w:tab/>
    </w:r>
    <w:r w:rsidRPr="00CA67BD">
      <w:fldChar w:fldCharType="begin"/>
    </w:r>
    <w:r w:rsidRPr="00CA67BD">
      <w:instrText xml:space="preserve"> PAGE   \* MERGEFORMAT </w:instrText>
    </w:r>
    <w:r w:rsidRPr="00CA67BD">
      <w:fldChar w:fldCharType="separate"/>
    </w:r>
    <w:r w:rsidRPr="00CA67BD">
      <w:rPr>
        <w:noProof/>
      </w:rPr>
      <w:t>1</w:t>
    </w:r>
    <w:r w:rsidRPr="00CA67BD">
      <w:rPr>
        <w:noProof/>
      </w:rPr>
      <w:fldChar w:fldCharType="end"/>
    </w:r>
    <w:r w:rsidRPr="00CA67BD">
      <w:tab/>
      <w:t>0609 App</w:t>
    </w:r>
    <w:r>
      <w:t>endix</w:t>
    </w:r>
    <w:r w:rsidRPr="00CA67BD">
      <w:t xml:space="preserve">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C130" w14:textId="693D12BD" w:rsidR="00CC455E" w:rsidRPr="00CA67BD" w:rsidRDefault="00CC455E">
    <w:pPr>
      <w:tabs>
        <w:tab w:val="center" w:pos="4680"/>
        <w:tab w:val="right" w:pos="9360"/>
      </w:tabs>
    </w:pPr>
    <w:r w:rsidRPr="00CA67BD">
      <w:t xml:space="preserve">Issue Date: </w:t>
    </w:r>
    <w:r>
      <w:t xml:space="preserve"> </w:t>
    </w:r>
    <w:r w:rsidR="009017E3">
      <w:t>09/24/21</w:t>
    </w:r>
    <w:r w:rsidRPr="00CA67BD">
      <w:tab/>
    </w:r>
    <w:r>
      <w:fldChar w:fldCharType="begin"/>
    </w:r>
    <w:r>
      <w:instrText xml:space="preserve"> PAGE   \* MERGEFORMAT </w:instrText>
    </w:r>
    <w:r>
      <w:fldChar w:fldCharType="separate"/>
    </w:r>
    <w:r>
      <w:rPr>
        <w:noProof/>
      </w:rPr>
      <w:t>1</w:t>
    </w:r>
    <w:r>
      <w:rPr>
        <w:noProof/>
      </w:rPr>
      <w:fldChar w:fldCharType="end"/>
    </w:r>
    <w:r w:rsidRPr="00CA67BD">
      <w:tab/>
      <w:t>0609 App</w:t>
    </w:r>
    <w:r>
      <w:t>endix</w:t>
    </w:r>
    <w:r w:rsidRPr="00CA67BD">
      <w:t xml:space="preserve">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3B7F" w14:textId="0D15123B" w:rsidR="00AB1288" w:rsidRPr="00CA67BD" w:rsidRDefault="00AB1288">
    <w:pPr>
      <w:tabs>
        <w:tab w:val="center" w:pos="4680"/>
        <w:tab w:val="right" w:pos="9360"/>
      </w:tabs>
    </w:pPr>
    <w:r w:rsidRPr="00CA67BD">
      <w:t xml:space="preserve">Issue Date: </w:t>
    </w:r>
    <w:r>
      <w:t xml:space="preserve"> </w:t>
    </w:r>
    <w:r w:rsidR="009017E3">
      <w:t>09/24/21</w:t>
    </w:r>
    <w:r w:rsidRPr="00CA67BD">
      <w:tab/>
    </w:r>
    <w:r w:rsidRPr="00CA67BD">
      <w:fldChar w:fldCharType="begin"/>
    </w:r>
    <w:r w:rsidRPr="00CA67BD">
      <w:instrText xml:space="preserve"> PAGE   \* MERGEFORMAT </w:instrText>
    </w:r>
    <w:r w:rsidRPr="00CA67BD">
      <w:fldChar w:fldCharType="separate"/>
    </w:r>
    <w:r w:rsidRPr="00CA67BD">
      <w:rPr>
        <w:noProof/>
      </w:rPr>
      <w:t>1</w:t>
    </w:r>
    <w:r w:rsidRPr="00CA67BD">
      <w:rPr>
        <w:noProof/>
      </w:rPr>
      <w:fldChar w:fldCharType="end"/>
    </w:r>
    <w:r w:rsidRPr="00CA67BD">
      <w:tab/>
      <w:t>0609 App</w:t>
    </w:r>
    <w:r>
      <w:t>endix</w:t>
    </w:r>
    <w:r w:rsidRPr="00CA67BD">
      <w:t xml:space="preserve">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72597" w14:textId="77777777" w:rsidR="00D224BA" w:rsidRDefault="00D224BA">
    <w:pPr>
      <w:spacing w:line="240" w:lineRule="exact"/>
    </w:pPr>
  </w:p>
  <w:p w14:paraId="1469D166" w14:textId="77777777" w:rsidR="00D224BA" w:rsidRDefault="00D224BA">
    <w:pPr>
      <w:tabs>
        <w:tab w:val="center" w:pos="6480"/>
        <w:tab w:val="right" w:pos="12960"/>
      </w:tabs>
    </w:pPr>
    <w:r>
      <w:rPr>
        <w:rFonts w:ascii="Segoe Script" w:hAnsi="Segoe Script" w:cs="Segoe Script"/>
      </w:rPr>
      <w:t>Issue Date: 10/16/06</w:t>
    </w:r>
    <w:r>
      <w:rPr>
        <w:rFonts w:ascii="Segoe Script" w:hAnsi="Segoe Script" w:cs="Segoe Script"/>
      </w:rPr>
      <w:tab/>
      <w:t>A1-</w:t>
    </w:r>
    <w:r>
      <w:rPr>
        <w:rFonts w:ascii="Segoe Script" w:hAnsi="Segoe Script" w:cs="Segoe Script"/>
      </w:rPr>
      <w:fldChar w:fldCharType="begin"/>
    </w:r>
    <w:r>
      <w:rPr>
        <w:rFonts w:ascii="Segoe Script" w:hAnsi="Segoe Script" w:cs="Segoe Script"/>
      </w:rPr>
      <w:instrText xml:space="preserve">PAGE </w:instrText>
    </w:r>
    <w:r>
      <w:rPr>
        <w:rFonts w:ascii="Segoe Script" w:hAnsi="Segoe Script" w:cs="Segoe Script"/>
      </w:rPr>
      <w:fldChar w:fldCharType="end"/>
    </w:r>
    <w:r>
      <w:rPr>
        <w:rFonts w:ascii="Segoe Script" w:hAnsi="Segoe Script" w:cs="Segoe Script"/>
      </w:rPr>
      <w:tab/>
      <w:t>0609, App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EEE9" w14:textId="0C3C3335" w:rsidR="00D224BA" w:rsidRPr="001C5C27" w:rsidRDefault="00D224BA">
    <w:pPr>
      <w:tabs>
        <w:tab w:val="center" w:pos="6480"/>
        <w:tab w:val="right" w:pos="12960"/>
      </w:tabs>
    </w:pPr>
    <w:r w:rsidRPr="001C5C27">
      <w:rPr>
        <w:rFonts w:cs="Segoe Script"/>
      </w:rPr>
      <w:t>Issue Date:</w:t>
    </w:r>
    <w:r w:rsidR="002D16A4">
      <w:rPr>
        <w:rFonts w:cs="Segoe Script"/>
      </w:rPr>
      <w:t xml:space="preserve">  </w:t>
    </w:r>
    <w:r w:rsidR="009017E3">
      <w:rPr>
        <w:rFonts w:cs="Segoe Script"/>
      </w:rPr>
      <w:t>09/24/21</w:t>
    </w:r>
    <w:r w:rsidRPr="001C5C27">
      <w:rPr>
        <w:rFonts w:cs="Segoe Script"/>
      </w:rPr>
      <w:tab/>
      <w:t>Att1-</w:t>
    </w:r>
    <w:r w:rsidRPr="001C5C27">
      <w:rPr>
        <w:rFonts w:cs="Segoe Script"/>
      </w:rPr>
      <w:fldChar w:fldCharType="begin"/>
    </w:r>
    <w:r w:rsidRPr="001C5C27">
      <w:rPr>
        <w:rFonts w:cs="Segoe Script"/>
      </w:rPr>
      <w:instrText xml:space="preserve">PAGE </w:instrText>
    </w:r>
    <w:r w:rsidRPr="001C5C27">
      <w:rPr>
        <w:rFonts w:cs="Segoe Script"/>
      </w:rPr>
      <w:fldChar w:fldCharType="separate"/>
    </w:r>
    <w:r w:rsidRPr="001C5C27">
      <w:rPr>
        <w:rFonts w:cs="Segoe Script"/>
        <w:noProof/>
      </w:rPr>
      <w:t>2</w:t>
    </w:r>
    <w:r w:rsidRPr="001C5C27">
      <w:rPr>
        <w:rFonts w:cs="Segoe Script"/>
      </w:rPr>
      <w:fldChar w:fldCharType="end"/>
    </w:r>
    <w:r w:rsidRPr="001C5C27">
      <w:rPr>
        <w:rFonts w:cs="Segoe Script"/>
      </w:rPr>
      <w:tab/>
      <w:t>0609 App</w:t>
    </w:r>
    <w:r w:rsidR="002D16A4">
      <w:rPr>
        <w:rFonts w:cs="Segoe Script"/>
      </w:rPr>
      <w:t>endix</w:t>
    </w:r>
    <w:r w:rsidRPr="001C5C27">
      <w:rPr>
        <w:rFonts w:cs="Segoe Script"/>
      </w:rPr>
      <w:t xml:space="preserve">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1CB4B" w14:textId="77777777" w:rsidR="00815E88" w:rsidRDefault="00815E88">
      <w:r>
        <w:separator/>
      </w:r>
    </w:p>
  </w:footnote>
  <w:footnote w:type="continuationSeparator" w:id="0">
    <w:p w14:paraId="12BCC3D1" w14:textId="77777777" w:rsidR="00815E88" w:rsidRDefault="00815E88">
      <w:r>
        <w:continuationSeparator/>
      </w:r>
    </w:p>
  </w:footnote>
  <w:footnote w:type="continuationNotice" w:id="1">
    <w:p w14:paraId="109CDD42" w14:textId="77777777" w:rsidR="00815E88" w:rsidRDefault="00815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87F64" w14:textId="77777777" w:rsidR="00CC455E" w:rsidRPr="00AB1288" w:rsidRDefault="00CC455E" w:rsidP="00AB1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C8F97" w14:textId="77777777" w:rsidR="00AD35B6" w:rsidRPr="00AB1288" w:rsidRDefault="00AD35B6" w:rsidP="00AB1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37E6" w14:textId="7DD5F750" w:rsidR="002C729F" w:rsidRDefault="002C72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17965" w14:textId="147DB62B" w:rsidR="002C729F" w:rsidRDefault="002C72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028B" w14:textId="7916E180" w:rsidR="002C729F" w:rsidRDefault="002C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3B65"/>
    <w:multiLevelType w:val="hybridMultilevel"/>
    <w:tmpl w:val="946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193B"/>
    <w:multiLevelType w:val="hybridMultilevel"/>
    <w:tmpl w:val="569C16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B7BCC"/>
    <w:multiLevelType w:val="hybridMultilevel"/>
    <w:tmpl w:val="1A9296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60F08"/>
    <w:multiLevelType w:val="hybridMultilevel"/>
    <w:tmpl w:val="949A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06E67"/>
    <w:multiLevelType w:val="hybridMultilevel"/>
    <w:tmpl w:val="5508AB8A"/>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5" w15:restartNumberingAfterBreak="0">
    <w:nsid w:val="1E5304CE"/>
    <w:multiLevelType w:val="hybridMultilevel"/>
    <w:tmpl w:val="DA72D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C2DA2"/>
    <w:multiLevelType w:val="hybridMultilevel"/>
    <w:tmpl w:val="C216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8362C"/>
    <w:multiLevelType w:val="hybridMultilevel"/>
    <w:tmpl w:val="D084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674CA"/>
    <w:multiLevelType w:val="hybridMultilevel"/>
    <w:tmpl w:val="95F08F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31BAE"/>
    <w:multiLevelType w:val="hybridMultilevel"/>
    <w:tmpl w:val="4F5856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E5EF4"/>
    <w:multiLevelType w:val="hybridMultilevel"/>
    <w:tmpl w:val="569C16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86"/>
    <w:multiLevelType w:val="hybridMultilevel"/>
    <w:tmpl w:val="3050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F5540"/>
    <w:multiLevelType w:val="hybridMultilevel"/>
    <w:tmpl w:val="83C4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521DE"/>
    <w:multiLevelType w:val="hybridMultilevel"/>
    <w:tmpl w:val="DDFC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756E3"/>
    <w:multiLevelType w:val="hybridMultilevel"/>
    <w:tmpl w:val="C60C6142"/>
    <w:lvl w:ilvl="0" w:tplc="CB1EBB8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A0287"/>
    <w:multiLevelType w:val="hybridMultilevel"/>
    <w:tmpl w:val="67FCA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4"/>
  </w:num>
  <w:num w:numId="3">
    <w:abstractNumId w:val="5"/>
  </w:num>
  <w:num w:numId="4">
    <w:abstractNumId w:val="15"/>
  </w:num>
  <w:num w:numId="5">
    <w:abstractNumId w:val="6"/>
  </w:num>
  <w:num w:numId="6">
    <w:abstractNumId w:val="13"/>
  </w:num>
  <w:num w:numId="7">
    <w:abstractNumId w:val="12"/>
  </w:num>
  <w:num w:numId="8">
    <w:abstractNumId w:val="11"/>
  </w:num>
  <w:num w:numId="9">
    <w:abstractNumId w:val="7"/>
  </w:num>
  <w:num w:numId="10">
    <w:abstractNumId w:val="1"/>
  </w:num>
  <w:num w:numId="11">
    <w:abstractNumId w:val="10"/>
  </w:num>
  <w:num w:numId="12">
    <w:abstractNumId w:val="8"/>
  </w:num>
  <w:num w:numId="13">
    <w:abstractNumId w:val="2"/>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42"/>
    <w:rsid w:val="0000060C"/>
    <w:rsid w:val="00001102"/>
    <w:rsid w:val="00001284"/>
    <w:rsid w:val="00004326"/>
    <w:rsid w:val="000077F6"/>
    <w:rsid w:val="000104E1"/>
    <w:rsid w:val="000143DE"/>
    <w:rsid w:val="00020296"/>
    <w:rsid w:val="0002182B"/>
    <w:rsid w:val="0002314E"/>
    <w:rsid w:val="00030806"/>
    <w:rsid w:val="00031B03"/>
    <w:rsid w:val="00032D16"/>
    <w:rsid w:val="000333B4"/>
    <w:rsid w:val="00037260"/>
    <w:rsid w:val="00043E28"/>
    <w:rsid w:val="00046ED4"/>
    <w:rsid w:val="00046FF4"/>
    <w:rsid w:val="000504C3"/>
    <w:rsid w:val="00053EBE"/>
    <w:rsid w:val="000552B5"/>
    <w:rsid w:val="00057D4C"/>
    <w:rsid w:val="000616F6"/>
    <w:rsid w:val="00063C8C"/>
    <w:rsid w:val="00063E04"/>
    <w:rsid w:val="00066528"/>
    <w:rsid w:val="00066C29"/>
    <w:rsid w:val="0007168F"/>
    <w:rsid w:val="0007487D"/>
    <w:rsid w:val="00075318"/>
    <w:rsid w:val="00075504"/>
    <w:rsid w:val="000801FA"/>
    <w:rsid w:val="00081D9F"/>
    <w:rsid w:val="00083804"/>
    <w:rsid w:val="00091A1A"/>
    <w:rsid w:val="0009480A"/>
    <w:rsid w:val="00094B6B"/>
    <w:rsid w:val="00095323"/>
    <w:rsid w:val="000A0218"/>
    <w:rsid w:val="000A1241"/>
    <w:rsid w:val="000A1CFB"/>
    <w:rsid w:val="000A222B"/>
    <w:rsid w:val="000A39D9"/>
    <w:rsid w:val="000A6797"/>
    <w:rsid w:val="000B1FFB"/>
    <w:rsid w:val="000B234E"/>
    <w:rsid w:val="000B4E80"/>
    <w:rsid w:val="000C2EC4"/>
    <w:rsid w:val="000C5608"/>
    <w:rsid w:val="000C5B62"/>
    <w:rsid w:val="000D0CC6"/>
    <w:rsid w:val="000D35AA"/>
    <w:rsid w:val="000D4AE6"/>
    <w:rsid w:val="000D58BC"/>
    <w:rsid w:val="000E05CE"/>
    <w:rsid w:val="000E206F"/>
    <w:rsid w:val="000E2A4A"/>
    <w:rsid w:val="000E4011"/>
    <w:rsid w:val="000E4F35"/>
    <w:rsid w:val="000E7243"/>
    <w:rsid w:val="00101B7A"/>
    <w:rsid w:val="00103340"/>
    <w:rsid w:val="00104407"/>
    <w:rsid w:val="00107D9D"/>
    <w:rsid w:val="0011406F"/>
    <w:rsid w:val="0011427E"/>
    <w:rsid w:val="00116AAC"/>
    <w:rsid w:val="00117530"/>
    <w:rsid w:val="001179F3"/>
    <w:rsid w:val="00125DF4"/>
    <w:rsid w:val="00130127"/>
    <w:rsid w:val="00130946"/>
    <w:rsid w:val="00130C7B"/>
    <w:rsid w:val="00135AEC"/>
    <w:rsid w:val="001401A9"/>
    <w:rsid w:val="00152728"/>
    <w:rsid w:val="0016499D"/>
    <w:rsid w:val="0016541D"/>
    <w:rsid w:val="00171070"/>
    <w:rsid w:val="00171B58"/>
    <w:rsid w:val="00171EA7"/>
    <w:rsid w:val="00172F48"/>
    <w:rsid w:val="00173E3D"/>
    <w:rsid w:val="00174FC3"/>
    <w:rsid w:val="001762C8"/>
    <w:rsid w:val="00180771"/>
    <w:rsid w:val="0018159E"/>
    <w:rsid w:val="00184091"/>
    <w:rsid w:val="0018426C"/>
    <w:rsid w:val="00184A87"/>
    <w:rsid w:val="00185857"/>
    <w:rsid w:val="00185F77"/>
    <w:rsid w:val="00192105"/>
    <w:rsid w:val="00193E45"/>
    <w:rsid w:val="00193EE8"/>
    <w:rsid w:val="00194508"/>
    <w:rsid w:val="00194C52"/>
    <w:rsid w:val="00195710"/>
    <w:rsid w:val="001965D5"/>
    <w:rsid w:val="0019665C"/>
    <w:rsid w:val="001970C8"/>
    <w:rsid w:val="001A57DE"/>
    <w:rsid w:val="001B06BF"/>
    <w:rsid w:val="001B241D"/>
    <w:rsid w:val="001B4AA4"/>
    <w:rsid w:val="001B71EA"/>
    <w:rsid w:val="001C1DE3"/>
    <w:rsid w:val="001C2D5B"/>
    <w:rsid w:val="001C3B54"/>
    <w:rsid w:val="001C46A2"/>
    <w:rsid w:val="001C5C27"/>
    <w:rsid w:val="001C5D96"/>
    <w:rsid w:val="001C627E"/>
    <w:rsid w:val="001C66CE"/>
    <w:rsid w:val="001C6A07"/>
    <w:rsid w:val="001C7B3E"/>
    <w:rsid w:val="001D39EB"/>
    <w:rsid w:val="001D3B39"/>
    <w:rsid w:val="001D66D5"/>
    <w:rsid w:val="001E04DB"/>
    <w:rsid w:val="001F3036"/>
    <w:rsid w:val="001F4ABE"/>
    <w:rsid w:val="001F767A"/>
    <w:rsid w:val="002009F8"/>
    <w:rsid w:val="00201D30"/>
    <w:rsid w:val="00204823"/>
    <w:rsid w:val="00205C04"/>
    <w:rsid w:val="00207A19"/>
    <w:rsid w:val="002102C4"/>
    <w:rsid w:val="00217ADF"/>
    <w:rsid w:val="00220336"/>
    <w:rsid w:val="00224358"/>
    <w:rsid w:val="00224611"/>
    <w:rsid w:val="002252FB"/>
    <w:rsid w:val="00225A20"/>
    <w:rsid w:val="00230C6D"/>
    <w:rsid w:val="00232AD4"/>
    <w:rsid w:val="00233DE3"/>
    <w:rsid w:val="00234FD1"/>
    <w:rsid w:val="00237F37"/>
    <w:rsid w:val="002412DD"/>
    <w:rsid w:val="002415E7"/>
    <w:rsid w:val="00242C68"/>
    <w:rsid w:val="00244043"/>
    <w:rsid w:val="002457EE"/>
    <w:rsid w:val="00246016"/>
    <w:rsid w:val="002465B4"/>
    <w:rsid w:val="00251E7B"/>
    <w:rsid w:val="00254DCA"/>
    <w:rsid w:val="002613B9"/>
    <w:rsid w:val="00264908"/>
    <w:rsid w:val="002742A9"/>
    <w:rsid w:val="00274A26"/>
    <w:rsid w:val="002813D8"/>
    <w:rsid w:val="0028157D"/>
    <w:rsid w:val="00282D87"/>
    <w:rsid w:val="00285E29"/>
    <w:rsid w:val="0028612F"/>
    <w:rsid w:val="00293699"/>
    <w:rsid w:val="00293E76"/>
    <w:rsid w:val="00294BD8"/>
    <w:rsid w:val="002A264D"/>
    <w:rsid w:val="002B06EE"/>
    <w:rsid w:val="002B29CE"/>
    <w:rsid w:val="002B5372"/>
    <w:rsid w:val="002C43A8"/>
    <w:rsid w:val="002C729F"/>
    <w:rsid w:val="002D16A4"/>
    <w:rsid w:val="002D38DC"/>
    <w:rsid w:val="002D3E46"/>
    <w:rsid w:val="002D7E5D"/>
    <w:rsid w:val="002E19BC"/>
    <w:rsid w:val="002E2A33"/>
    <w:rsid w:val="002E3E59"/>
    <w:rsid w:val="002E4CCE"/>
    <w:rsid w:val="002E5B18"/>
    <w:rsid w:val="002F0C68"/>
    <w:rsid w:val="002F5827"/>
    <w:rsid w:val="00300191"/>
    <w:rsid w:val="00300D01"/>
    <w:rsid w:val="00300EC1"/>
    <w:rsid w:val="00301F0E"/>
    <w:rsid w:val="0030232C"/>
    <w:rsid w:val="003062BA"/>
    <w:rsid w:val="0030680F"/>
    <w:rsid w:val="00307B57"/>
    <w:rsid w:val="00310F92"/>
    <w:rsid w:val="00313AF6"/>
    <w:rsid w:val="00316087"/>
    <w:rsid w:val="00317414"/>
    <w:rsid w:val="00325B63"/>
    <w:rsid w:val="00330135"/>
    <w:rsid w:val="00331553"/>
    <w:rsid w:val="0033166A"/>
    <w:rsid w:val="003324A6"/>
    <w:rsid w:val="00334B42"/>
    <w:rsid w:val="00336D3E"/>
    <w:rsid w:val="00343145"/>
    <w:rsid w:val="00343CFB"/>
    <w:rsid w:val="00347718"/>
    <w:rsid w:val="00350D28"/>
    <w:rsid w:val="00351815"/>
    <w:rsid w:val="00351C3C"/>
    <w:rsid w:val="00353241"/>
    <w:rsid w:val="00360BD1"/>
    <w:rsid w:val="00361084"/>
    <w:rsid w:val="003612D9"/>
    <w:rsid w:val="00362156"/>
    <w:rsid w:val="00362877"/>
    <w:rsid w:val="00362ABD"/>
    <w:rsid w:val="00363F96"/>
    <w:rsid w:val="003659F5"/>
    <w:rsid w:val="00373806"/>
    <w:rsid w:val="00376C63"/>
    <w:rsid w:val="00386F7A"/>
    <w:rsid w:val="00390766"/>
    <w:rsid w:val="00390BB2"/>
    <w:rsid w:val="00393D1C"/>
    <w:rsid w:val="003954A7"/>
    <w:rsid w:val="003967D0"/>
    <w:rsid w:val="003A159C"/>
    <w:rsid w:val="003B09CB"/>
    <w:rsid w:val="003B13C3"/>
    <w:rsid w:val="003B2E06"/>
    <w:rsid w:val="003C13F1"/>
    <w:rsid w:val="003C188E"/>
    <w:rsid w:val="003C1CDC"/>
    <w:rsid w:val="003C799D"/>
    <w:rsid w:val="003D0022"/>
    <w:rsid w:val="003D1DE2"/>
    <w:rsid w:val="003D24D4"/>
    <w:rsid w:val="003D2EEC"/>
    <w:rsid w:val="003D40B1"/>
    <w:rsid w:val="003D5869"/>
    <w:rsid w:val="003D786F"/>
    <w:rsid w:val="003E3D51"/>
    <w:rsid w:val="003E6E4C"/>
    <w:rsid w:val="003F0308"/>
    <w:rsid w:val="003F0DAD"/>
    <w:rsid w:val="003F3D33"/>
    <w:rsid w:val="003F5639"/>
    <w:rsid w:val="003F590D"/>
    <w:rsid w:val="003F7A60"/>
    <w:rsid w:val="003F7F14"/>
    <w:rsid w:val="00402F32"/>
    <w:rsid w:val="0040697D"/>
    <w:rsid w:val="0041329D"/>
    <w:rsid w:val="0041619F"/>
    <w:rsid w:val="00422B95"/>
    <w:rsid w:val="00422BF4"/>
    <w:rsid w:val="00423F06"/>
    <w:rsid w:val="00424D82"/>
    <w:rsid w:val="004269F8"/>
    <w:rsid w:val="00426EB2"/>
    <w:rsid w:val="004358E8"/>
    <w:rsid w:val="004361B0"/>
    <w:rsid w:val="004379B3"/>
    <w:rsid w:val="00440A3E"/>
    <w:rsid w:val="00440FC4"/>
    <w:rsid w:val="00440FEE"/>
    <w:rsid w:val="004424CC"/>
    <w:rsid w:val="00442931"/>
    <w:rsid w:val="0045063D"/>
    <w:rsid w:val="004518D5"/>
    <w:rsid w:val="00451B58"/>
    <w:rsid w:val="00455B97"/>
    <w:rsid w:val="00457AC5"/>
    <w:rsid w:val="00461EC3"/>
    <w:rsid w:val="0046239A"/>
    <w:rsid w:val="00466A76"/>
    <w:rsid w:val="00470B3A"/>
    <w:rsid w:val="004718E4"/>
    <w:rsid w:val="00472EEE"/>
    <w:rsid w:val="004734D5"/>
    <w:rsid w:val="004737BE"/>
    <w:rsid w:val="004748BC"/>
    <w:rsid w:val="00481030"/>
    <w:rsid w:val="00482589"/>
    <w:rsid w:val="00484173"/>
    <w:rsid w:val="004842C9"/>
    <w:rsid w:val="00484527"/>
    <w:rsid w:val="00485B38"/>
    <w:rsid w:val="00486182"/>
    <w:rsid w:val="004862CC"/>
    <w:rsid w:val="00486D19"/>
    <w:rsid w:val="0049400D"/>
    <w:rsid w:val="004955B9"/>
    <w:rsid w:val="004977AC"/>
    <w:rsid w:val="004A1332"/>
    <w:rsid w:val="004A2111"/>
    <w:rsid w:val="004A297E"/>
    <w:rsid w:val="004A2CF5"/>
    <w:rsid w:val="004A54BC"/>
    <w:rsid w:val="004B193B"/>
    <w:rsid w:val="004B3A75"/>
    <w:rsid w:val="004B4C2D"/>
    <w:rsid w:val="004C182A"/>
    <w:rsid w:val="004C21DB"/>
    <w:rsid w:val="004C3869"/>
    <w:rsid w:val="004D0F1D"/>
    <w:rsid w:val="004D1640"/>
    <w:rsid w:val="004D2347"/>
    <w:rsid w:val="004D25DB"/>
    <w:rsid w:val="004D2C57"/>
    <w:rsid w:val="004D6FB6"/>
    <w:rsid w:val="004D7760"/>
    <w:rsid w:val="004D782A"/>
    <w:rsid w:val="004E4DAD"/>
    <w:rsid w:val="004F135E"/>
    <w:rsid w:val="004F3BB3"/>
    <w:rsid w:val="004F7235"/>
    <w:rsid w:val="004F75E3"/>
    <w:rsid w:val="005056F7"/>
    <w:rsid w:val="00506907"/>
    <w:rsid w:val="00506DFE"/>
    <w:rsid w:val="00514E05"/>
    <w:rsid w:val="00514F3A"/>
    <w:rsid w:val="00520DD2"/>
    <w:rsid w:val="00522633"/>
    <w:rsid w:val="0052773C"/>
    <w:rsid w:val="005325F7"/>
    <w:rsid w:val="005327A1"/>
    <w:rsid w:val="00532A2C"/>
    <w:rsid w:val="0053320F"/>
    <w:rsid w:val="00534906"/>
    <w:rsid w:val="00534DEB"/>
    <w:rsid w:val="00535DBD"/>
    <w:rsid w:val="00544B74"/>
    <w:rsid w:val="005457E3"/>
    <w:rsid w:val="00546C1A"/>
    <w:rsid w:val="005477CA"/>
    <w:rsid w:val="0055235B"/>
    <w:rsid w:val="005523E4"/>
    <w:rsid w:val="005540FF"/>
    <w:rsid w:val="005541CD"/>
    <w:rsid w:val="005549F0"/>
    <w:rsid w:val="00554F65"/>
    <w:rsid w:val="00560895"/>
    <w:rsid w:val="00561EC6"/>
    <w:rsid w:val="005645C5"/>
    <w:rsid w:val="00576DFA"/>
    <w:rsid w:val="005803E1"/>
    <w:rsid w:val="00582828"/>
    <w:rsid w:val="00583760"/>
    <w:rsid w:val="0058404F"/>
    <w:rsid w:val="00584E9E"/>
    <w:rsid w:val="00585B65"/>
    <w:rsid w:val="00587E1A"/>
    <w:rsid w:val="005908B9"/>
    <w:rsid w:val="00592390"/>
    <w:rsid w:val="005A01DB"/>
    <w:rsid w:val="005A151F"/>
    <w:rsid w:val="005A1FA9"/>
    <w:rsid w:val="005A4033"/>
    <w:rsid w:val="005A4035"/>
    <w:rsid w:val="005B0C98"/>
    <w:rsid w:val="005B1E91"/>
    <w:rsid w:val="005B4CCE"/>
    <w:rsid w:val="005C63D9"/>
    <w:rsid w:val="005C67D1"/>
    <w:rsid w:val="005C6FCF"/>
    <w:rsid w:val="005C726B"/>
    <w:rsid w:val="005D1CB8"/>
    <w:rsid w:val="005D1D75"/>
    <w:rsid w:val="005D23E4"/>
    <w:rsid w:val="005D3190"/>
    <w:rsid w:val="005D5706"/>
    <w:rsid w:val="005E0C5C"/>
    <w:rsid w:val="005E1E68"/>
    <w:rsid w:val="005E2D40"/>
    <w:rsid w:val="005E3CD3"/>
    <w:rsid w:val="005F0C3D"/>
    <w:rsid w:val="005F4A1F"/>
    <w:rsid w:val="005F665E"/>
    <w:rsid w:val="00601044"/>
    <w:rsid w:val="00602C0D"/>
    <w:rsid w:val="00602E1A"/>
    <w:rsid w:val="006035D9"/>
    <w:rsid w:val="00604316"/>
    <w:rsid w:val="006069B8"/>
    <w:rsid w:val="006128B2"/>
    <w:rsid w:val="00614F4A"/>
    <w:rsid w:val="00617972"/>
    <w:rsid w:val="0062527D"/>
    <w:rsid w:val="006254A2"/>
    <w:rsid w:val="00627B1A"/>
    <w:rsid w:val="0063080C"/>
    <w:rsid w:val="00631FE9"/>
    <w:rsid w:val="00633AB0"/>
    <w:rsid w:val="006365E8"/>
    <w:rsid w:val="00640410"/>
    <w:rsid w:val="00643FC4"/>
    <w:rsid w:val="00654076"/>
    <w:rsid w:val="00657486"/>
    <w:rsid w:val="00657A72"/>
    <w:rsid w:val="006643B1"/>
    <w:rsid w:val="00665129"/>
    <w:rsid w:val="00665911"/>
    <w:rsid w:val="0067310D"/>
    <w:rsid w:val="006765F6"/>
    <w:rsid w:val="00676FF7"/>
    <w:rsid w:val="0068147F"/>
    <w:rsid w:val="006843BE"/>
    <w:rsid w:val="00686CD2"/>
    <w:rsid w:val="006878BF"/>
    <w:rsid w:val="00694005"/>
    <w:rsid w:val="0069515F"/>
    <w:rsid w:val="006A1FE9"/>
    <w:rsid w:val="006A4DB6"/>
    <w:rsid w:val="006B5D45"/>
    <w:rsid w:val="006B7A71"/>
    <w:rsid w:val="006C063A"/>
    <w:rsid w:val="006C0C21"/>
    <w:rsid w:val="006C1407"/>
    <w:rsid w:val="006C159F"/>
    <w:rsid w:val="006C7032"/>
    <w:rsid w:val="006D1575"/>
    <w:rsid w:val="006D3D8A"/>
    <w:rsid w:val="006D495E"/>
    <w:rsid w:val="006E0ED8"/>
    <w:rsid w:val="006E542A"/>
    <w:rsid w:val="006E6D63"/>
    <w:rsid w:val="006F2CAF"/>
    <w:rsid w:val="006F37A6"/>
    <w:rsid w:val="006F4A98"/>
    <w:rsid w:val="006F4EE0"/>
    <w:rsid w:val="00704C42"/>
    <w:rsid w:val="007074B5"/>
    <w:rsid w:val="007140E4"/>
    <w:rsid w:val="007148DE"/>
    <w:rsid w:val="00714967"/>
    <w:rsid w:val="00714A71"/>
    <w:rsid w:val="007152E0"/>
    <w:rsid w:val="0071793B"/>
    <w:rsid w:val="00720829"/>
    <w:rsid w:val="00720E43"/>
    <w:rsid w:val="00721D6E"/>
    <w:rsid w:val="00722E8D"/>
    <w:rsid w:val="00723269"/>
    <w:rsid w:val="00723DCE"/>
    <w:rsid w:val="00725879"/>
    <w:rsid w:val="00727D27"/>
    <w:rsid w:val="00730A35"/>
    <w:rsid w:val="0073182B"/>
    <w:rsid w:val="0073417C"/>
    <w:rsid w:val="00734444"/>
    <w:rsid w:val="007373B3"/>
    <w:rsid w:val="00737EFD"/>
    <w:rsid w:val="0074118C"/>
    <w:rsid w:val="0074685F"/>
    <w:rsid w:val="007578F1"/>
    <w:rsid w:val="0076064F"/>
    <w:rsid w:val="00764FEB"/>
    <w:rsid w:val="0076536D"/>
    <w:rsid w:val="00773B66"/>
    <w:rsid w:val="007750E2"/>
    <w:rsid w:val="007804E0"/>
    <w:rsid w:val="00784E5A"/>
    <w:rsid w:val="00785DC7"/>
    <w:rsid w:val="00786344"/>
    <w:rsid w:val="007A2513"/>
    <w:rsid w:val="007A28C7"/>
    <w:rsid w:val="007A3E91"/>
    <w:rsid w:val="007A410B"/>
    <w:rsid w:val="007B3422"/>
    <w:rsid w:val="007B663B"/>
    <w:rsid w:val="007C096C"/>
    <w:rsid w:val="007C0F02"/>
    <w:rsid w:val="007C15DB"/>
    <w:rsid w:val="007C264C"/>
    <w:rsid w:val="007D3CB4"/>
    <w:rsid w:val="007D4FE1"/>
    <w:rsid w:val="007D6C64"/>
    <w:rsid w:val="007D7D30"/>
    <w:rsid w:val="007E3113"/>
    <w:rsid w:val="007E3F8C"/>
    <w:rsid w:val="007E6B9D"/>
    <w:rsid w:val="007E7952"/>
    <w:rsid w:val="007F2025"/>
    <w:rsid w:val="007F2C03"/>
    <w:rsid w:val="007F3892"/>
    <w:rsid w:val="007F434D"/>
    <w:rsid w:val="008037B9"/>
    <w:rsid w:val="00812721"/>
    <w:rsid w:val="0081278B"/>
    <w:rsid w:val="00815E88"/>
    <w:rsid w:val="008208F5"/>
    <w:rsid w:val="008210C4"/>
    <w:rsid w:val="00825BDB"/>
    <w:rsid w:val="00832A0A"/>
    <w:rsid w:val="00833AD6"/>
    <w:rsid w:val="00834AEC"/>
    <w:rsid w:val="008364C1"/>
    <w:rsid w:val="00841E73"/>
    <w:rsid w:val="008449EB"/>
    <w:rsid w:val="0084526E"/>
    <w:rsid w:val="00846209"/>
    <w:rsid w:val="008466ED"/>
    <w:rsid w:val="008519DC"/>
    <w:rsid w:val="00852797"/>
    <w:rsid w:val="00854D8D"/>
    <w:rsid w:val="0086215A"/>
    <w:rsid w:val="008630FC"/>
    <w:rsid w:val="0086601B"/>
    <w:rsid w:val="0087015A"/>
    <w:rsid w:val="00874F01"/>
    <w:rsid w:val="00875669"/>
    <w:rsid w:val="008803F3"/>
    <w:rsid w:val="008864D6"/>
    <w:rsid w:val="008869FF"/>
    <w:rsid w:val="0089398D"/>
    <w:rsid w:val="00893BA1"/>
    <w:rsid w:val="008941BA"/>
    <w:rsid w:val="0089471E"/>
    <w:rsid w:val="00897FE4"/>
    <w:rsid w:val="008A01D5"/>
    <w:rsid w:val="008A0CCC"/>
    <w:rsid w:val="008A1C77"/>
    <w:rsid w:val="008A5B3D"/>
    <w:rsid w:val="008B0592"/>
    <w:rsid w:val="008C50C5"/>
    <w:rsid w:val="008C52BE"/>
    <w:rsid w:val="008C58FC"/>
    <w:rsid w:val="008C5F1F"/>
    <w:rsid w:val="008D709A"/>
    <w:rsid w:val="008E37AD"/>
    <w:rsid w:val="008E5381"/>
    <w:rsid w:val="008E5806"/>
    <w:rsid w:val="008E7254"/>
    <w:rsid w:val="008E72A0"/>
    <w:rsid w:val="008E759A"/>
    <w:rsid w:val="008F171C"/>
    <w:rsid w:val="008F70E4"/>
    <w:rsid w:val="008F73BC"/>
    <w:rsid w:val="008F79DA"/>
    <w:rsid w:val="009017E3"/>
    <w:rsid w:val="00903C99"/>
    <w:rsid w:val="009121AE"/>
    <w:rsid w:val="0091578E"/>
    <w:rsid w:val="00920D26"/>
    <w:rsid w:val="00921007"/>
    <w:rsid w:val="00921C06"/>
    <w:rsid w:val="00931A48"/>
    <w:rsid w:val="00935067"/>
    <w:rsid w:val="0093544D"/>
    <w:rsid w:val="00937C17"/>
    <w:rsid w:val="00941B47"/>
    <w:rsid w:val="00942B2D"/>
    <w:rsid w:val="00945791"/>
    <w:rsid w:val="00945C3D"/>
    <w:rsid w:val="00953AF9"/>
    <w:rsid w:val="00953FFD"/>
    <w:rsid w:val="00954242"/>
    <w:rsid w:val="0095457D"/>
    <w:rsid w:val="00954AF3"/>
    <w:rsid w:val="00955170"/>
    <w:rsid w:val="009560EE"/>
    <w:rsid w:val="00957901"/>
    <w:rsid w:val="00960B96"/>
    <w:rsid w:val="00962EA4"/>
    <w:rsid w:val="00963E99"/>
    <w:rsid w:val="009645D5"/>
    <w:rsid w:val="00966469"/>
    <w:rsid w:val="00966B29"/>
    <w:rsid w:val="00970445"/>
    <w:rsid w:val="009750E7"/>
    <w:rsid w:val="0098158B"/>
    <w:rsid w:val="0098161B"/>
    <w:rsid w:val="009819A6"/>
    <w:rsid w:val="00985092"/>
    <w:rsid w:val="00985AE0"/>
    <w:rsid w:val="00985E24"/>
    <w:rsid w:val="0099555C"/>
    <w:rsid w:val="009A035D"/>
    <w:rsid w:val="009A3B9A"/>
    <w:rsid w:val="009A4628"/>
    <w:rsid w:val="009A54C1"/>
    <w:rsid w:val="009A54D3"/>
    <w:rsid w:val="009A7C0F"/>
    <w:rsid w:val="009B092A"/>
    <w:rsid w:val="009B2DAD"/>
    <w:rsid w:val="009C2A80"/>
    <w:rsid w:val="009C4B8A"/>
    <w:rsid w:val="009C4E65"/>
    <w:rsid w:val="009C5132"/>
    <w:rsid w:val="009D1CD9"/>
    <w:rsid w:val="009D3E09"/>
    <w:rsid w:val="009D62AF"/>
    <w:rsid w:val="009D782D"/>
    <w:rsid w:val="009E1151"/>
    <w:rsid w:val="009E5A0B"/>
    <w:rsid w:val="009F028D"/>
    <w:rsid w:val="009F1F7D"/>
    <w:rsid w:val="009F2FBB"/>
    <w:rsid w:val="009F35C4"/>
    <w:rsid w:val="009F4CDC"/>
    <w:rsid w:val="009F5E92"/>
    <w:rsid w:val="00A00C59"/>
    <w:rsid w:val="00A01B41"/>
    <w:rsid w:val="00A02149"/>
    <w:rsid w:val="00A05BF3"/>
    <w:rsid w:val="00A06A42"/>
    <w:rsid w:val="00A06BF0"/>
    <w:rsid w:val="00A06CE3"/>
    <w:rsid w:val="00A11A17"/>
    <w:rsid w:val="00A13222"/>
    <w:rsid w:val="00A1325B"/>
    <w:rsid w:val="00A13A1B"/>
    <w:rsid w:val="00A16BE9"/>
    <w:rsid w:val="00A22231"/>
    <w:rsid w:val="00A258DB"/>
    <w:rsid w:val="00A32F28"/>
    <w:rsid w:val="00A35C57"/>
    <w:rsid w:val="00A37B91"/>
    <w:rsid w:val="00A408E7"/>
    <w:rsid w:val="00A41A16"/>
    <w:rsid w:val="00A54656"/>
    <w:rsid w:val="00A56B9A"/>
    <w:rsid w:val="00A6157E"/>
    <w:rsid w:val="00A6244C"/>
    <w:rsid w:val="00A6371B"/>
    <w:rsid w:val="00A63F7F"/>
    <w:rsid w:val="00A70636"/>
    <w:rsid w:val="00A7339A"/>
    <w:rsid w:val="00A733A6"/>
    <w:rsid w:val="00A75348"/>
    <w:rsid w:val="00A76E69"/>
    <w:rsid w:val="00A81188"/>
    <w:rsid w:val="00A847CD"/>
    <w:rsid w:val="00A8510A"/>
    <w:rsid w:val="00A85F69"/>
    <w:rsid w:val="00A9425E"/>
    <w:rsid w:val="00A95B48"/>
    <w:rsid w:val="00A962C4"/>
    <w:rsid w:val="00AA07C9"/>
    <w:rsid w:val="00AA7B7B"/>
    <w:rsid w:val="00AB1288"/>
    <w:rsid w:val="00AB1B87"/>
    <w:rsid w:val="00AB467C"/>
    <w:rsid w:val="00AB674E"/>
    <w:rsid w:val="00AC20DA"/>
    <w:rsid w:val="00AC2655"/>
    <w:rsid w:val="00AC2F5D"/>
    <w:rsid w:val="00AC434B"/>
    <w:rsid w:val="00AC5E3A"/>
    <w:rsid w:val="00AC6DA2"/>
    <w:rsid w:val="00AC7174"/>
    <w:rsid w:val="00AC7E21"/>
    <w:rsid w:val="00AD0ABF"/>
    <w:rsid w:val="00AD35B6"/>
    <w:rsid w:val="00AD3716"/>
    <w:rsid w:val="00AD656F"/>
    <w:rsid w:val="00AD68DD"/>
    <w:rsid w:val="00AD76D9"/>
    <w:rsid w:val="00AD7AC3"/>
    <w:rsid w:val="00AE13AF"/>
    <w:rsid w:val="00AE25DD"/>
    <w:rsid w:val="00AE36DF"/>
    <w:rsid w:val="00AE4442"/>
    <w:rsid w:val="00AF4738"/>
    <w:rsid w:val="00AF5535"/>
    <w:rsid w:val="00B01609"/>
    <w:rsid w:val="00B0484B"/>
    <w:rsid w:val="00B0577D"/>
    <w:rsid w:val="00B07499"/>
    <w:rsid w:val="00B10F9A"/>
    <w:rsid w:val="00B11488"/>
    <w:rsid w:val="00B14864"/>
    <w:rsid w:val="00B15BA1"/>
    <w:rsid w:val="00B21BEB"/>
    <w:rsid w:val="00B22399"/>
    <w:rsid w:val="00B30404"/>
    <w:rsid w:val="00B30F44"/>
    <w:rsid w:val="00B40B44"/>
    <w:rsid w:val="00B412F9"/>
    <w:rsid w:val="00B4204E"/>
    <w:rsid w:val="00B42052"/>
    <w:rsid w:val="00B444FF"/>
    <w:rsid w:val="00B47EAB"/>
    <w:rsid w:val="00B502E2"/>
    <w:rsid w:val="00B53000"/>
    <w:rsid w:val="00B54194"/>
    <w:rsid w:val="00B54741"/>
    <w:rsid w:val="00B56ED6"/>
    <w:rsid w:val="00B575E9"/>
    <w:rsid w:val="00B627A1"/>
    <w:rsid w:val="00B63690"/>
    <w:rsid w:val="00B63E9D"/>
    <w:rsid w:val="00B73905"/>
    <w:rsid w:val="00B73CB2"/>
    <w:rsid w:val="00B84531"/>
    <w:rsid w:val="00B8589E"/>
    <w:rsid w:val="00B8680D"/>
    <w:rsid w:val="00B876CF"/>
    <w:rsid w:val="00B877F1"/>
    <w:rsid w:val="00B90104"/>
    <w:rsid w:val="00B923EF"/>
    <w:rsid w:val="00B96A2A"/>
    <w:rsid w:val="00BA0B89"/>
    <w:rsid w:val="00BA4B56"/>
    <w:rsid w:val="00BA5502"/>
    <w:rsid w:val="00BA66B5"/>
    <w:rsid w:val="00BA6D02"/>
    <w:rsid w:val="00BA7E36"/>
    <w:rsid w:val="00BB2E04"/>
    <w:rsid w:val="00BB36ED"/>
    <w:rsid w:val="00BC11E5"/>
    <w:rsid w:val="00BC1935"/>
    <w:rsid w:val="00BC3F36"/>
    <w:rsid w:val="00BC416F"/>
    <w:rsid w:val="00BC78DD"/>
    <w:rsid w:val="00BD64E8"/>
    <w:rsid w:val="00BD7341"/>
    <w:rsid w:val="00BD7996"/>
    <w:rsid w:val="00BE2668"/>
    <w:rsid w:val="00BE26AD"/>
    <w:rsid w:val="00BF1A0E"/>
    <w:rsid w:val="00BF2030"/>
    <w:rsid w:val="00BF498C"/>
    <w:rsid w:val="00C0483F"/>
    <w:rsid w:val="00C04858"/>
    <w:rsid w:val="00C0646B"/>
    <w:rsid w:val="00C1116E"/>
    <w:rsid w:val="00C11F42"/>
    <w:rsid w:val="00C1213F"/>
    <w:rsid w:val="00C1429A"/>
    <w:rsid w:val="00C1557F"/>
    <w:rsid w:val="00C15915"/>
    <w:rsid w:val="00C17124"/>
    <w:rsid w:val="00C200B1"/>
    <w:rsid w:val="00C204D3"/>
    <w:rsid w:val="00C20E44"/>
    <w:rsid w:val="00C21C28"/>
    <w:rsid w:val="00C25668"/>
    <w:rsid w:val="00C30BC4"/>
    <w:rsid w:val="00C32B7E"/>
    <w:rsid w:val="00C34569"/>
    <w:rsid w:val="00C34CF9"/>
    <w:rsid w:val="00C376A7"/>
    <w:rsid w:val="00C410DD"/>
    <w:rsid w:val="00C41B1A"/>
    <w:rsid w:val="00C427EE"/>
    <w:rsid w:val="00C42D43"/>
    <w:rsid w:val="00C440E3"/>
    <w:rsid w:val="00C44547"/>
    <w:rsid w:val="00C44BCF"/>
    <w:rsid w:val="00C4547D"/>
    <w:rsid w:val="00C537AE"/>
    <w:rsid w:val="00C53B03"/>
    <w:rsid w:val="00C56546"/>
    <w:rsid w:val="00C74409"/>
    <w:rsid w:val="00C7613F"/>
    <w:rsid w:val="00C820BF"/>
    <w:rsid w:val="00C845D9"/>
    <w:rsid w:val="00C84C0E"/>
    <w:rsid w:val="00C8670E"/>
    <w:rsid w:val="00C90007"/>
    <w:rsid w:val="00C916FF"/>
    <w:rsid w:val="00C93643"/>
    <w:rsid w:val="00C93841"/>
    <w:rsid w:val="00C94A56"/>
    <w:rsid w:val="00C97013"/>
    <w:rsid w:val="00CA04FE"/>
    <w:rsid w:val="00CA4D56"/>
    <w:rsid w:val="00CA67BD"/>
    <w:rsid w:val="00CC2DF8"/>
    <w:rsid w:val="00CC2F59"/>
    <w:rsid w:val="00CC3E20"/>
    <w:rsid w:val="00CC455E"/>
    <w:rsid w:val="00CC5DEE"/>
    <w:rsid w:val="00CC747A"/>
    <w:rsid w:val="00CD1930"/>
    <w:rsid w:val="00CD6681"/>
    <w:rsid w:val="00CE0EFE"/>
    <w:rsid w:val="00CE1030"/>
    <w:rsid w:val="00CE1287"/>
    <w:rsid w:val="00CE18B6"/>
    <w:rsid w:val="00CE4E73"/>
    <w:rsid w:val="00CF47A8"/>
    <w:rsid w:val="00CF492B"/>
    <w:rsid w:val="00D013F3"/>
    <w:rsid w:val="00D016B7"/>
    <w:rsid w:val="00D01733"/>
    <w:rsid w:val="00D01970"/>
    <w:rsid w:val="00D208A4"/>
    <w:rsid w:val="00D224BA"/>
    <w:rsid w:val="00D262FA"/>
    <w:rsid w:val="00D42822"/>
    <w:rsid w:val="00D4527B"/>
    <w:rsid w:val="00D45918"/>
    <w:rsid w:val="00D575F2"/>
    <w:rsid w:val="00D627DB"/>
    <w:rsid w:val="00D62F2F"/>
    <w:rsid w:val="00D6725F"/>
    <w:rsid w:val="00D67CD5"/>
    <w:rsid w:val="00D7180D"/>
    <w:rsid w:val="00D73FEA"/>
    <w:rsid w:val="00D747CA"/>
    <w:rsid w:val="00D7566F"/>
    <w:rsid w:val="00D776A2"/>
    <w:rsid w:val="00D8241F"/>
    <w:rsid w:val="00D84ACE"/>
    <w:rsid w:val="00D87393"/>
    <w:rsid w:val="00D92BFE"/>
    <w:rsid w:val="00D9409D"/>
    <w:rsid w:val="00D9590C"/>
    <w:rsid w:val="00D96B92"/>
    <w:rsid w:val="00D97055"/>
    <w:rsid w:val="00DA687D"/>
    <w:rsid w:val="00DB061A"/>
    <w:rsid w:val="00DB1F78"/>
    <w:rsid w:val="00DB217C"/>
    <w:rsid w:val="00DB29E6"/>
    <w:rsid w:val="00DB593B"/>
    <w:rsid w:val="00DB6499"/>
    <w:rsid w:val="00DB6A19"/>
    <w:rsid w:val="00DC310D"/>
    <w:rsid w:val="00DC3D86"/>
    <w:rsid w:val="00DC40FC"/>
    <w:rsid w:val="00DC54CC"/>
    <w:rsid w:val="00DC5D63"/>
    <w:rsid w:val="00DC6ED8"/>
    <w:rsid w:val="00DD1C35"/>
    <w:rsid w:val="00DD32F4"/>
    <w:rsid w:val="00DD59E6"/>
    <w:rsid w:val="00DD7C22"/>
    <w:rsid w:val="00DE23BC"/>
    <w:rsid w:val="00DE2C76"/>
    <w:rsid w:val="00DE5BC5"/>
    <w:rsid w:val="00DE5DD2"/>
    <w:rsid w:val="00DE66CD"/>
    <w:rsid w:val="00DE6920"/>
    <w:rsid w:val="00DE7983"/>
    <w:rsid w:val="00DF25A2"/>
    <w:rsid w:val="00DF4D35"/>
    <w:rsid w:val="00DF5F3A"/>
    <w:rsid w:val="00DF6248"/>
    <w:rsid w:val="00E027DA"/>
    <w:rsid w:val="00E050BE"/>
    <w:rsid w:val="00E10C57"/>
    <w:rsid w:val="00E14DBF"/>
    <w:rsid w:val="00E156E0"/>
    <w:rsid w:val="00E15D38"/>
    <w:rsid w:val="00E300E8"/>
    <w:rsid w:val="00E30A55"/>
    <w:rsid w:val="00E31C4C"/>
    <w:rsid w:val="00E320B5"/>
    <w:rsid w:val="00E33C5A"/>
    <w:rsid w:val="00E35EEB"/>
    <w:rsid w:val="00E36FBD"/>
    <w:rsid w:val="00E406AC"/>
    <w:rsid w:val="00E45F77"/>
    <w:rsid w:val="00E519D2"/>
    <w:rsid w:val="00E53F2D"/>
    <w:rsid w:val="00E546F9"/>
    <w:rsid w:val="00E55231"/>
    <w:rsid w:val="00E55D5F"/>
    <w:rsid w:val="00E5648E"/>
    <w:rsid w:val="00E60335"/>
    <w:rsid w:val="00E6135C"/>
    <w:rsid w:val="00E645DE"/>
    <w:rsid w:val="00E75F79"/>
    <w:rsid w:val="00E77995"/>
    <w:rsid w:val="00E84176"/>
    <w:rsid w:val="00E84605"/>
    <w:rsid w:val="00E87060"/>
    <w:rsid w:val="00EA06DD"/>
    <w:rsid w:val="00EA2B3A"/>
    <w:rsid w:val="00EA5E67"/>
    <w:rsid w:val="00EA6444"/>
    <w:rsid w:val="00EA7A1E"/>
    <w:rsid w:val="00EA7F50"/>
    <w:rsid w:val="00EB143E"/>
    <w:rsid w:val="00EB2FC1"/>
    <w:rsid w:val="00EB4005"/>
    <w:rsid w:val="00EB5786"/>
    <w:rsid w:val="00EB57D0"/>
    <w:rsid w:val="00EC0B7D"/>
    <w:rsid w:val="00EC6D0E"/>
    <w:rsid w:val="00ED17DC"/>
    <w:rsid w:val="00ED30A4"/>
    <w:rsid w:val="00ED4510"/>
    <w:rsid w:val="00ED7E62"/>
    <w:rsid w:val="00EE0376"/>
    <w:rsid w:val="00EE1508"/>
    <w:rsid w:val="00EE2464"/>
    <w:rsid w:val="00EE45AC"/>
    <w:rsid w:val="00EE76AD"/>
    <w:rsid w:val="00EF1886"/>
    <w:rsid w:val="00EF5308"/>
    <w:rsid w:val="00F0331A"/>
    <w:rsid w:val="00F04C8E"/>
    <w:rsid w:val="00F0582D"/>
    <w:rsid w:val="00F10CF7"/>
    <w:rsid w:val="00F112B7"/>
    <w:rsid w:val="00F12E41"/>
    <w:rsid w:val="00F16578"/>
    <w:rsid w:val="00F1694E"/>
    <w:rsid w:val="00F16A4D"/>
    <w:rsid w:val="00F204B0"/>
    <w:rsid w:val="00F20CBF"/>
    <w:rsid w:val="00F21552"/>
    <w:rsid w:val="00F23A06"/>
    <w:rsid w:val="00F24E7C"/>
    <w:rsid w:val="00F26D08"/>
    <w:rsid w:val="00F271F7"/>
    <w:rsid w:val="00F277E7"/>
    <w:rsid w:val="00F3127A"/>
    <w:rsid w:val="00F3163F"/>
    <w:rsid w:val="00F3167B"/>
    <w:rsid w:val="00F326C7"/>
    <w:rsid w:val="00F367F9"/>
    <w:rsid w:val="00F42FB9"/>
    <w:rsid w:val="00F45464"/>
    <w:rsid w:val="00F47232"/>
    <w:rsid w:val="00F54510"/>
    <w:rsid w:val="00F54516"/>
    <w:rsid w:val="00F56C42"/>
    <w:rsid w:val="00F57384"/>
    <w:rsid w:val="00F61693"/>
    <w:rsid w:val="00F61D24"/>
    <w:rsid w:val="00F6488E"/>
    <w:rsid w:val="00F70AB0"/>
    <w:rsid w:val="00F714B1"/>
    <w:rsid w:val="00F7220C"/>
    <w:rsid w:val="00F73624"/>
    <w:rsid w:val="00F73EB3"/>
    <w:rsid w:val="00F746C3"/>
    <w:rsid w:val="00F76232"/>
    <w:rsid w:val="00F82118"/>
    <w:rsid w:val="00F850D7"/>
    <w:rsid w:val="00F87DFA"/>
    <w:rsid w:val="00F90D55"/>
    <w:rsid w:val="00F90EAF"/>
    <w:rsid w:val="00F942B2"/>
    <w:rsid w:val="00F95130"/>
    <w:rsid w:val="00FA2C63"/>
    <w:rsid w:val="00FA43C3"/>
    <w:rsid w:val="00FA44C2"/>
    <w:rsid w:val="00FB278B"/>
    <w:rsid w:val="00FB54AA"/>
    <w:rsid w:val="00FB74D9"/>
    <w:rsid w:val="00FC33A5"/>
    <w:rsid w:val="00FC45F9"/>
    <w:rsid w:val="00FC5069"/>
    <w:rsid w:val="00FC64C3"/>
    <w:rsid w:val="00FC70ED"/>
    <w:rsid w:val="00FC74DD"/>
    <w:rsid w:val="00FD0054"/>
    <w:rsid w:val="00FD1E77"/>
    <w:rsid w:val="00FD1FA3"/>
    <w:rsid w:val="00FD4388"/>
    <w:rsid w:val="00FD47EC"/>
    <w:rsid w:val="00FD7173"/>
    <w:rsid w:val="00FE0603"/>
    <w:rsid w:val="00FE2ED9"/>
    <w:rsid w:val="00FE2EDA"/>
    <w:rsid w:val="00FE3F7D"/>
    <w:rsid w:val="00FE4DFC"/>
    <w:rsid w:val="00FE5E82"/>
    <w:rsid w:val="00FE6B1D"/>
    <w:rsid w:val="00FF46AB"/>
    <w:rsid w:val="00FF6F0F"/>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86BBB8"/>
  <w15:chartTrackingRefBased/>
  <w15:docId w15:val="{6E8920B6-0B76-404D-9959-F7D56ED6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294B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94BD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94BD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6843B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6843B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6843B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6843B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84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84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908B9"/>
    <w:pPr>
      <w:tabs>
        <w:tab w:val="center" w:pos="4320"/>
        <w:tab w:val="right" w:pos="8640"/>
      </w:tabs>
    </w:pPr>
  </w:style>
  <w:style w:type="paragraph" w:styleId="Footer">
    <w:name w:val="footer"/>
    <w:basedOn w:val="Normal"/>
    <w:link w:val="FooterChar"/>
    <w:uiPriority w:val="99"/>
    <w:rsid w:val="005908B9"/>
    <w:pPr>
      <w:tabs>
        <w:tab w:val="center" w:pos="4320"/>
        <w:tab w:val="right" w:pos="8640"/>
      </w:tabs>
    </w:pPr>
  </w:style>
  <w:style w:type="paragraph" w:styleId="BalloonText">
    <w:name w:val="Balloon Text"/>
    <w:basedOn w:val="Normal"/>
    <w:semiHidden/>
    <w:rsid w:val="006F4EE0"/>
    <w:rPr>
      <w:rFonts w:ascii="Tahoma" w:hAnsi="Tahoma" w:cs="Tahoma"/>
      <w:sz w:val="16"/>
      <w:szCs w:val="16"/>
    </w:rPr>
  </w:style>
  <w:style w:type="character" w:styleId="CommentReference">
    <w:name w:val="annotation reference"/>
    <w:rsid w:val="008869FF"/>
    <w:rPr>
      <w:sz w:val="16"/>
      <w:szCs w:val="16"/>
    </w:rPr>
  </w:style>
  <w:style w:type="paragraph" w:styleId="CommentText">
    <w:name w:val="annotation text"/>
    <w:basedOn w:val="Normal"/>
    <w:link w:val="CommentTextChar"/>
    <w:rsid w:val="008869FF"/>
    <w:rPr>
      <w:sz w:val="20"/>
      <w:szCs w:val="20"/>
    </w:rPr>
  </w:style>
  <w:style w:type="character" w:customStyle="1" w:styleId="CommentTextChar">
    <w:name w:val="Comment Text Char"/>
    <w:basedOn w:val="DefaultParagraphFont"/>
    <w:link w:val="CommentText"/>
    <w:rsid w:val="008869FF"/>
  </w:style>
  <w:style w:type="paragraph" w:styleId="CommentSubject">
    <w:name w:val="annotation subject"/>
    <w:basedOn w:val="CommentText"/>
    <w:next w:val="CommentText"/>
    <w:link w:val="CommentSubjectChar"/>
    <w:rsid w:val="008869FF"/>
    <w:rPr>
      <w:b/>
      <w:bCs/>
    </w:rPr>
  </w:style>
  <w:style w:type="character" w:customStyle="1" w:styleId="CommentSubjectChar">
    <w:name w:val="Comment Subject Char"/>
    <w:link w:val="CommentSubject"/>
    <w:rsid w:val="008869FF"/>
    <w:rPr>
      <w:b/>
      <w:bCs/>
    </w:rPr>
  </w:style>
  <w:style w:type="paragraph" w:styleId="Revision">
    <w:name w:val="Revision"/>
    <w:hidden/>
    <w:uiPriority w:val="99"/>
    <w:semiHidden/>
    <w:rsid w:val="008869FF"/>
    <w:rPr>
      <w:sz w:val="24"/>
      <w:szCs w:val="24"/>
    </w:rPr>
  </w:style>
  <w:style w:type="paragraph" w:styleId="FootnoteText">
    <w:name w:val="footnote text"/>
    <w:basedOn w:val="Normal"/>
    <w:link w:val="FootnoteTextChar"/>
    <w:rsid w:val="00083804"/>
    <w:rPr>
      <w:sz w:val="20"/>
      <w:szCs w:val="20"/>
    </w:rPr>
  </w:style>
  <w:style w:type="character" w:customStyle="1" w:styleId="FootnoteTextChar">
    <w:name w:val="Footnote Text Char"/>
    <w:basedOn w:val="DefaultParagraphFont"/>
    <w:link w:val="FootnoteText"/>
    <w:rsid w:val="00083804"/>
  </w:style>
  <w:style w:type="paragraph" w:styleId="NormalWeb">
    <w:name w:val="Normal (Web)"/>
    <w:basedOn w:val="Normal"/>
    <w:uiPriority w:val="99"/>
    <w:unhideWhenUsed/>
    <w:rsid w:val="004A2111"/>
    <w:pPr>
      <w:widowControl/>
      <w:autoSpaceDE/>
      <w:autoSpaceDN/>
      <w:adjustRightInd/>
      <w:spacing w:before="100" w:beforeAutospacing="1" w:after="100" w:afterAutospacing="1"/>
    </w:pPr>
  </w:style>
  <w:style w:type="character" w:styleId="LineNumber">
    <w:name w:val="line number"/>
    <w:basedOn w:val="DefaultParagraphFont"/>
    <w:rsid w:val="00D62F2F"/>
  </w:style>
  <w:style w:type="paragraph" w:styleId="ListParagraph">
    <w:name w:val="List Paragraph"/>
    <w:basedOn w:val="Normal"/>
    <w:uiPriority w:val="34"/>
    <w:qFormat/>
    <w:rsid w:val="00001284"/>
    <w:pPr>
      <w:ind w:left="720"/>
      <w:contextualSpacing/>
    </w:pPr>
  </w:style>
  <w:style w:type="table" w:styleId="TableGrid">
    <w:name w:val="Table Grid"/>
    <w:basedOn w:val="TableNormal"/>
    <w:uiPriority w:val="59"/>
    <w:rsid w:val="00B1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60C"/>
    <w:pPr>
      <w:autoSpaceDE w:val="0"/>
      <w:autoSpaceDN w:val="0"/>
      <w:adjustRightInd w:val="0"/>
    </w:pPr>
    <w:rPr>
      <w:color w:val="000000"/>
      <w:sz w:val="24"/>
      <w:szCs w:val="24"/>
    </w:rPr>
  </w:style>
  <w:style w:type="paragraph" w:customStyle="1" w:styleId="TOCLevel1">
    <w:name w:val="TOC Level 1"/>
    <w:basedOn w:val="Normal"/>
    <w:link w:val="TOCLevel1Char"/>
    <w:qFormat/>
    <w:rsid w:val="00561E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style>
  <w:style w:type="character" w:customStyle="1" w:styleId="Heading3Char">
    <w:name w:val="Heading 3 Char"/>
    <w:basedOn w:val="DefaultParagraphFont"/>
    <w:link w:val="Heading3"/>
    <w:semiHidden/>
    <w:rsid w:val="00294BD8"/>
    <w:rPr>
      <w:rFonts w:asciiTheme="majorHAnsi" w:eastAsiaTheme="majorEastAsia" w:hAnsiTheme="majorHAnsi" w:cstheme="majorBidi"/>
      <w:color w:val="1F4D78" w:themeColor="accent1" w:themeShade="7F"/>
      <w:sz w:val="24"/>
      <w:szCs w:val="24"/>
    </w:rPr>
  </w:style>
  <w:style w:type="character" w:customStyle="1" w:styleId="TOCLevel1Char">
    <w:name w:val="TOC Level 1 Char"/>
    <w:basedOn w:val="DefaultParagraphFont"/>
    <w:link w:val="TOCLevel1"/>
    <w:rsid w:val="00561EC6"/>
    <w:rPr>
      <w:rFonts w:ascii="Arial" w:hAnsi="Arial" w:cs="Arial"/>
      <w:sz w:val="22"/>
      <w:szCs w:val="22"/>
    </w:rPr>
  </w:style>
  <w:style w:type="character" w:customStyle="1" w:styleId="Heading2Char">
    <w:name w:val="Heading 2 Char"/>
    <w:basedOn w:val="DefaultParagraphFont"/>
    <w:link w:val="Heading2"/>
    <w:semiHidden/>
    <w:rsid w:val="00294BD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294BD8"/>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rsid w:val="00E519D2"/>
    <w:pPr>
      <w:tabs>
        <w:tab w:val="left" w:pos="1200"/>
        <w:tab w:val="right" w:leader="hyphen" w:pos="9350"/>
      </w:tabs>
      <w:ind w:left="1195" w:hanging="1195"/>
      <w:contextualSpacing/>
    </w:pPr>
    <w:rPr>
      <w:caps/>
      <w:noProof/>
    </w:rPr>
  </w:style>
  <w:style w:type="character" w:styleId="Hyperlink">
    <w:name w:val="Hyperlink"/>
    <w:basedOn w:val="DefaultParagraphFont"/>
    <w:uiPriority w:val="99"/>
    <w:unhideWhenUsed/>
    <w:rsid w:val="00294BD8"/>
    <w:rPr>
      <w:color w:val="0563C1" w:themeColor="hyperlink"/>
      <w:u w:val="single"/>
    </w:rPr>
  </w:style>
  <w:style w:type="character" w:customStyle="1" w:styleId="Heading9Char">
    <w:name w:val="Heading 9 Char"/>
    <w:basedOn w:val="DefaultParagraphFont"/>
    <w:link w:val="Heading9"/>
    <w:semiHidden/>
    <w:rsid w:val="006843BE"/>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semiHidden/>
    <w:rsid w:val="006843BE"/>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semiHidden/>
    <w:rsid w:val="006843BE"/>
    <w:rPr>
      <w:rFonts w:asciiTheme="majorHAnsi" w:eastAsiaTheme="majorEastAsia" w:hAnsiTheme="majorHAnsi" w:cstheme="majorBidi"/>
      <w:i/>
      <w:iCs/>
      <w:color w:val="1F4D78" w:themeColor="accent1" w:themeShade="7F"/>
      <w:sz w:val="24"/>
      <w:szCs w:val="24"/>
    </w:rPr>
  </w:style>
  <w:style w:type="character" w:customStyle="1" w:styleId="Heading6Char">
    <w:name w:val="Heading 6 Char"/>
    <w:basedOn w:val="DefaultParagraphFont"/>
    <w:link w:val="Heading6"/>
    <w:semiHidden/>
    <w:rsid w:val="006843BE"/>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6843BE"/>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semiHidden/>
    <w:rsid w:val="006843B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843BE"/>
    <w:pPr>
      <w:widowControl/>
      <w:autoSpaceDE/>
      <w:autoSpaceDN/>
      <w:adjustRightInd/>
      <w:spacing w:line="259" w:lineRule="auto"/>
      <w:outlineLvl w:val="9"/>
    </w:pPr>
  </w:style>
  <w:style w:type="paragraph" w:styleId="TOC2">
    <w:name w:val="toc 2"/>
    <w:basedOn w:val="Normal"/>
    <w:next w:val="Normal"/>
    <w:autoRedefine/>
    <w:uiPriority w:val="39"/>
    <w:rsid w:val="006843BE"/>
    <w:pPr>
      <w:spacing w:before="240"/>
    </w:pPr>
    <w:rPr>
      <w:rFonts w:asciiTheme="minorHAnsi" w:hAnsiTheme="minorHAnsi" w:cstheme="minorHAnsi"/>
      <w:b/>
      <w:bCs/>
      <w:sz w:val="20"/>
      <w:szCs w:val="20"/>
    </w:rPr>
  </w:style>
  <w:style w:type="paragraph" w:styleId="TOC3">
    <w:name w:val="toc 3"/>
    <w:basedOn w:val="Normal"/>
    <w:next w:val="Normal"/>
    <w:autoRedefine/>
    <w:rsid w:val="006843BE"/>
    <w:pPr>
      <w:ind w:left="240"/>
    </w:pPr>
    <w:rPr>
      <w:rFonts w:asciiTheme="minorHAnsi" w:hAnsiTheme="minorHAnsi" w:cstheme="minorHAnsi"/>
      <w:sz w:val="20"/>
      <w:szCs w:val="20"/>
    </w:rPr>
  </w:style>
  <w:style w:type="paragraph" w:styleId="TOC4">
    <w:name w:val="toc 4"/>
    <w:basedOn w:val="Normal"/>
    <w:next w:val="Normal"/>
    <w:autoRedefine/>
    <w:rsid w:val="006843BE"/>
    <w:pPr>
      <w:ind w:left="480"/>
    </w:pPr>
    <w:rPr>
      <w:rFonts w:asciiTheme="minorHAnsi" w:hAnsiTheme="minorHAnsi" w:cstheme="minorHAnsi"/>
      <w:sz w:val="20"/>
      <w:szCs w:val="20"/>
    </w:rPr>
  </w:style>
  <w:style w:type="paragraph" w:styleId="TOC5">
    <w:name w:val="toc 5"/>
    <w:basedOn w:val="Normal"/>
    <w:next w:val="Normal"/>
    <w:autoRedefine/>
    <w:rsid w:val="006843BE"/>
    <w:pPr>
      <w:ind w:left="720"/>
    </w:pPr>
    <w:rPr>
      <w:rFonts w:asciiTheme="minorHAnsi" w:hAnsiTheme="minorHAnsi" w:cstheme="minorHAnsi"/>
      <w:sz w:val="20"/>
      <w:szCs w:val="20"/>
    </w:rPr>
  </w:style>
  <w:style w:type="paragraph" w:styleId="TOC6">
    <w:name w:val="toc 6"/>
    <w:basedOn w:val="Normal"/>
    <w:next w:val="Normal"/>
    <w:autoRedefine/>
    <w:rsid w:val="006843BE"/>
    <w:pPr>
      <w:ind w:left="960"/>
    </w:pPr>
    <w:rPr>
      <w:rFonts w:asciiTheme="minorHAnsi" w:hAnsiTheme="minorHAnsi" w:cstheme="minorHAnsi"/>
      <w:sz w:val="20"/>
      <w:szCs w:val="20"/>
    </w:rPr>
  </w:style>
  <w:style w:type="paragraph" w:styleId="TOC7">
    <w:name w:val="toc 7"/>
    <w:basedOn w:val="Normal"/>
    <w:next w:val="Normal"/>
    <w:autoRedefine/>
    <w:rsid w:val="006843BE"/>
    <w:pPr>
      <w:ind w:left="1200"/>
    </w:pPr>
    <w:rPr>
      <w:rFonts w:asciiTheme="minorHAnsi" w:hAnsiTheme="minorHAnsi" w:cstheme="minorHAnsi"/>
      <w:sz w:val="20"/>
      <w:szCs w:val="20"/>
    </w:rPr>
  </w:style>
  <w:style w:type="paragraph" w:styleId="TOC8">
    <w:name w:val="toc 8"/>
    <w:basedOn w:val="Normal"/>
    <w:next w:val="Normal"/>
    <w:autoRedefine/>
    <w:rsid w:val="006843BE"/>
    <w:pPr>
      <w:ind w:left="1440"/>
    </w:pPr>
    <w:rPr>
      <w:rFonts w:asciiTheme="minorHAnsi" w:hAnsiTheme="minorHAnsi" w:cstheme="minorHAnsi"/>
      <w:sz w:val="20"/>
      <w:szCs w:val="20"/>
    </w:rPr>
  </w:style>
  <w:style w:type="paragraph" w:styleId="TOC9">
    <w:name w:val="toc 9"/>
    <w:basedOn w:val="Normal"/>
    <w:next w:val="Normal"/>
    <w:autoRedefine/>
    <w:rsid w:val="006843BE"/>
    <w:pPr>
      <w:ind w:left="1680"/>
    </w:pPr>
    <w:rPr>
      <w:rFonts w:asciiTheme="minorHAnsi" w:hAnsiTheme="minorHAnsi" w:cstheme="minorHAnsi"/>
      <w:sz w:val="20"/>
      <w:szCs w:val="20"/>
    </w:rPr>
  </w:style>
  <w:style w:type="character" w:customStyle="1" w:styleId="FooterChar">
    <w:name w:val="Footer Char"/>
    <w:basedOn w:val="DefaultParagraphFont"/>
    <w:link w:val="Footer"/>
    <w:uiPriority w:val="99"/>
    <w:rsid w:val="00232AD4"/>
    <w:rPr>
      <w:sz w:val="24"/>
      <w:szCs w:val="24"/>
    </w:rPr>
  </w:style>
  <w:style w:type="paragraph" w:styleId="IntenseQuote">
    <w:name w:val="Intense Quote"/>
    <w:basedOn w:val="Normal"/>
    <w:next w:val="Normal"/>
    <w:link w:val="IntenseQuoteChar"/>
    <w:uiPriority w:val="30"/>
    <w:qFormat/>
    <w:rsid w:val="00D01970"/>
    <w:pPr>
      <w:pBdr>
        <w:top w:val="single" w:sz="4" w:space="3" w:color="auto"/>
        <w:bottom w:val="single" w:sz="4" w:space="3" w:color="auto"/>
      </w:pBdr>
      <w:spacing w:before="120" w:after="120"/>
      <w:jc w:val="center"/>
    </w:pPr>
    <w:rPr>
      <w:rFonts w:eastAsiaTheme="minorEastAsia"/>
      <w:iCs/>
      <w:szCs w:val="24"/>
    </w:rPr>
  </w:style>
  <w:style w:type="character" w:customStyle="1" w:styleId="IntenseQuoteChar">
    <w:name w:val="Intense Quote Char"/>
    <w:basedOn w:val="DefaultParagraphFont"/>
    <w:link w:val="IntenseQuote"/>
    <w:uiPriority w:val="30"/>
    <w:rsid w:val="00D01970"/>
    <w:rPr>
      <w:rFonts w:eastAsiaTheme="minorEastAsia"/>
      <w:iCs/>
      <w:szCs w:val="24"/>
    </w:rPr>
  </w:style>
  <w:style w:type="paragraph" w:customStyle="1" w:styleId="Title-IMC">
    <w:name w:val="Title - IMC"/>
    <w:basedOn w:val="Subtitle"/>
    <w:qFormat/>
    <w:rsid w:val="00D01970"/>
    <w:pPr>
      <w:spacing w:before="440" w:after="220"/>
      <w:jc w:val="center"/>
    </w:pPr>
    <w:rPr>
      <w:rFonts w:ascii="Arial" w:hAnsi="Arial"/>
      <w:color w:val="000000" w:themeColor="text1"/>
      <w:spacing w:val="0"/>
    </w:rPr>
  </w:style>
  <w:style w:type="paragraph" w:styleId="Subtitle">
    <w:name w:val="Subtitle"/>
    <w:basedOn w:val="Normal"/>
    <w:next w:val="Normal"/>
    <w:link w:val="SubtitleChar"/>
    <w:qFormat/>
    <w:rsid w:val="00D0197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01970"/>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843656">
      <w:bodyDiv w:val="1"/>
      <w:marLeft w:val="0"/>
      <w:marRight w:val="0"/>
      <w:marTop w:val="0"/>
      <w:marBottom w:val="0"/>
      <w:divBdr>
        <w:top w:val="none" w:sz="0" w:space="0" w:color="auto"/>
        <w:left w:val="none" w:sz="0" w:space="0" w:color="auto"/>
        <w:bottom w:val="none" w:sz="0" w:space="0" w:color="auto"/>
        <w:right w:val="none" w:sz="0" w:space="0" w:color="auto"/>
      </w:divBdr>
    </w:div>
    <w:div w:id="779573821">
      <w:bodyDiv w:val="1"/>
      <w:marLeft w:val="0"/>
      <w:marRight w:val="0"/>
      <w:marTop w:val="0"/>
      <w:marBottom w:val="0"/>
      <w:divBdr>
        <w:top w:val="none" w:sz="0" w:space="0" w:color="auto"/>
        <w:left w:val="none" w:sz="0" w:space="0" w:color="auto"/>
        <w:bottom w:val="none" w:sz="0" w:space="0" w:color="auto"/>
        <w:right w:val="none" w:sz="0" w:space="0" w:color="auto"/>
      </w:divBdr>
    </w:div>
    <w:div w:id="14209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package" Target="embeddings/Microsoft_Visio_Drawing2.vsd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package" Target="embeddings/Microsoft_Visio_Drawing4.vsdx"/><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D9ACBF-89A2-4949-A659-52185E372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786FF1-A52B-4BA1-80BC-FAD4716CD334}">
  <ds:schemaRefs>
    <ds:schemaRef ds:uri="http://schemas.openxmlformats.org/officeDocument/2006/bibliography"/>
  </ds:schemaRefs>
</ds:datastoreItem>
</file>

<file path=customXml/itemProps3.xml><?xml version="1.0" encoding="utf-8"?>
<ds:datastoreItem xmlns:ds="http://schemas.openxmlformats.org/officeDocument/2006/customXml" ds:itemID="{8CE856EF-382A-460B-8D1E-E05FFDEAA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72BDF-F8AE-4B83-9848-44CC41187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6844</Words>
  <Characters>39247</Characters>
  <Application>Microsoft Office Word</Application>
  <DocSecurity>2</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6</cp:revision>
  <dcterms:created xsi:type="dcterms:W3CDTF">2021-09-22T20:27:00Z</dcterms:created>
  <dcterms:modified xsi:type="dcterms:W3CDTF">2021-09-22T20:48:00Z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