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8320" w14:textId="296C2745" w:rsidR="00D07321" w:rsidRPr="00662392" w:rsidRDefault="00A33522" w:rsidP="00194415">
      <w:pPr>
        <w:widowControl/>
        <w:tabs>
          <w:tab w:val="center" w:pos="4680"/>
          <w:tab w:val="right" w:pos="9360"/>
        </w:tabs>
        <w:rPr>
          <w:sz w:val="22"/>
          <w:szCs w:val="22"/>
        </w:rPr>
      </w:pPr>
      <w:bookmarkStart w:id="0" w:name="_GoBack"/>
      <w:bookmarkEnd w:id="0"/>
      <w:r w:rsidRPr="00662392">
        <w:rPr>
          <w:sz w:val="22"/>
          <w:szCs w:val="22"/>
        </w:rPr>
        <w:tab/>
      </w:r>
      <w:r w:rsidR="00D07321" w:rsidRPr="00662392">
        <w:rPr>
          <w:b/>
          <w:sz w:val="38"/>
          <w:szCs w:val="38"/>
        </w:rPr>
        <w:t>NRC INSPECTION MANUAL</w:t>
      </w:r>
      <w:r w:rsidR="00D07321" w:rsidRPr="00662392">
        <w:rPr>
          <w:sz w:val="22"/>
          <w:szCs w:val="22"/>
        </w:rPr>
        <w:tab/>
      </w:r>
      <w:r w:rsidR="00835DE2" w:rsidRPr="00662392">
        <w:rPr>
          <w:sz w:val="22"/>
          <w:szCs w:val="22"/>
        </w:rPr>
        <w:t>IR</w:t>
      </w:r>
      <w:r w:rsidR="0020188A" w:rsidRPr="00662392">
        <w:rPr>
          <w:sz w:val="22"/>
          <w:szCs w:val="22"/>
        </w:rPr>
        <w:t>I</w:t>
      </w:r>
      <w:r w:rsidR="00835DE2" w:rsidRPr="00662392">
        <w:rPr>
          <w:sz w:val="22"/>
          <w:szCs w:val="22"/>
        </w:rPr>
        <w:t>B</w:t>
      </w:r>
    </w:p>
    <w:p w14:paraId="4D104694" w14:textId="77777777" w:rsidR="00C74D01" w:rsidRPr="00662392" w:rsidRDefault="00C74D01" w:rsidP="00194415">
      <w:pPr>
        <w:widowControl/>
        <w:tabs>
          <w:tab w:val="center" w:pos="4680"/>
          <w:tab w:val="right" w:pos="9360"/>
        </w:tabs>
        <w:rPr>
          <w:sz w:val="22"/>
          <w:szCs w:val="22"/>
        </w:rPr>
      </w:pPr>
    </w:p>
    <w:tbl>
      <w:tblPr>
        <w:tblStyle w:val="TableGrid"/>
        <w:tblW w:w="0" w:type="auto"/>
        <w:tblLook w:val="04A0" w:firstRow="1" w:lastRow="0" w:firstColumn="1" w:lastColumn="0" w:noHBand="0" w:noVBand="1"/>
      </w:tblPr>
      <w:tblGrid>
        <w:gridCol w:w="9350"/>
      </w:tblGrid>
      <w:tr w:rsidR="00E37116" w:rsidRPr="00662392" w14:paraId="6B22B88B" w14:textId="77777777" w:rsidTr="00E37116">
        <w:tc>
          <w:tcPr>
            <w:tcW w:w="9350" w:type="dxa"/>
            <w:tcBorders>
              <w:left w:val="nil"/>
              <w:right w:val="nil"/>
            </w:tcBorders>
          </w:tcPr>
          <w:p w14:paraId="04708173" w14:textId="1B5FCA3A" w:rsidR="00E37116" w:rsidRPr="00662392" w:rsidRDefault="00C74D01" w:rsidP="00194415">
            <w:pPr>
              <w:widowControl/>
              <w:tabs>
                <w:tab w:val="center" w:pos="4680"/>
              </w:tabs>
              <w:rPr>
                <w:sz w:val="22"/>
                <w:szCs w:val="22"/>
              </w:rPr>
            </w:pPr>
            <w:r w:rsidRPr="00662392">
              <w:rPr>
                <w:sz w:val="22"/>
                <w:szCs w:val="22"/>
              </w:rPr>
              <w:tab/>
            </w:r>
            <w:r w:rsidR="00E37116" w:rsidRPr="00662392">
              <w:rPr>
                <w:sz w:val="22"/>
                <w:szCs w:val="22"/>
              </w:rPr>
              <w:t xml:space="preserve">INSPECTION MANUAL CHAPTER </w:t>
            </w:r>
            <w:r w:rsidR="00835DE2" w:rsidRPr="00662392">
              <w:rPr>
                <w:sz w:val="22"/>
                <w:szCs w:val="22"/>
              </w:rPr>
              <w:t>0335</w:t>
            </w:r>
          </w:p>
        </w:tc>
      </w:tr>
    </w:tbl>
    <w:p w14:paraId="2E0EAD4D" w14:textId="77777777" w:rsidR="00C74D01" w:rsidRPr="00662392" w:rsidRDefault="00C74D01" w:rsidP="00194415">
      <w:pPr>
        <w:widowControl/>
        <w:rPr>
          <w:sz w:val="22"/>
          <w:szCs w:val="22"/>
        </w:rPr>
      </w:pPr>
    </w:p>
    <w:p w14:paraId="041B1FBE" w14:textId="77777777" w:rsidR="00D07321" w:rsidRPr="00662392" w:rsidRDefault="00D07321" w:rsidP="00194415">
      <w:pPr>
        <w:widowControl/>
        <w:tabs>
          <w:tab w:val="center" w:pos="4680"/>
        </w:tabs>
        <w:rPr>
          <w:sz w:val="22"/>
          <w:szCs w:val="22"/>
        </w:rPr>
      </w:pPr>
    </w:p>
    <w:p w14:paraId="32BC6109" w14:textId="77777777" w:rsidR="004F210C" w:rsidRDefault="00B47750" w:rsidP="00194415">
      <w:pPr>
        <w:pStyle w:val="AppendixTitle"/>
        <w:rPr>
          <w:rFonts w:cs="Arial"/>
          <w:sz w:val="22"/>
          <w:szCs w:val="22"/>
        </w:rPr>
      </w:pPr>
      <w:bookmarkStart w:id="1" w:name="_Toc62642770"/>
      <w:r w:rsidRPr="00662392">
        <w:rPr>
          <w:rFonts w:cs="Arial"/>
          <w:sz w:val="22"/>
          <w:szCs w:val="22"/>
        </w:rPr>
        <w:t>CHANGES, TEST</w:t>
      </w:r>
      <w:r w:rsidR="00355EC4" w:rsidRPr="00662392">
        <w:rPr>
          <w:rFonts w:cs="Arial"/>
          <w:sz w:val="22"/>
          <w:szCs w:val="22"/>
        </w:rPr>
        <w:t>S</w:t>
      </w:r>
      <w:r w:rsidRPr="00662392">
        <w:rPr>
          <w:rFonts w:cs="Arial"/>
          <w:sz w:val="22"/>
          <w:szCs w:val="22"/>
        </w:rPr>
        <w:t>, AND EXPERIMENTS</w:t>
      </w:r>
      <w:bookmarkEnd w:id="1"/>
      <w:r w:rsidR="00E37116" w:rsidRPr="00662392">
        <w:rPr>
          <w:rFonts w:cs="Arial"/>
          <w:sz w:val="22"/>
          <w:szCs w:val="22"/>
        </w:rPr>
        <w:t xml:space="preserve"> </w:t>
      </w:r>
    </w:p>
    <w:p w14:paraId="7134091B" w14:textId="77777777" w:rsidR="00E33D1B" w:rsidRDefault="00E33D1B" w:rsidP="00194415">
      <w:pPr>
        <w:pStyle w:val="AppendixTitle"/>
        <w:rPr>
          <w:rFonts w:cs="Arial"/>
          <w:sz w:val="22"/>
          <w:szCs w:val="22"/>
        </w:rPr>
      </w:pPr>
    </w:p>
    <w:p w14:paraId="789E3341" w14:textId="77777777" w:rsidR="00E33D1B" w:rsidRDefault="00E33D1B" w:rsidP="00194415">
      <w:pPr>
        <w:pStyle w:val="AppendixTitle"/>
        <w:rPr>
          <w:rFonts w:cs="Arial"/>
          <w:sz w:val="22"/>
          <w:szCs w:val="22"/>
        </w:rPr>
      </w:pPr>
    </w:p>
    <w:p w14:paraId="77945E9B" w14:textId="2C139A34" w:rsidR="00E33D1B" w:rsidRPr="00662392" w:rsidRDefault="00E33D1B" w:rsidP="00194415">
      <w:pPr>
        <w:pStyle w:val="AppendixTitle"/>
        <w:rPr>
          <w:rFonts w:cs="Arial"/>
          <w:sz w:val="22"/>
          <w:szCs w:val="22"/>
        </w:rPr>
        <w:sectPr w:rsidR="00E33D1B" w:rsidRPr="00662392" w:rsidSect="00BE6F35">
          <w:footerReference w:type="default" r:id="rId12"/>
          <w:footerReference w:type="first" r:id="rId13"/>
          <w:pgSz w:w="12240" w:h="15840" w:code="1"/>
          <w:pgMar w:top="1440" w:right="1440" w:bottom="1440" w:left="1440" w:header="720" w:footer="720" w:gutter="0"/>
          <w:pgNumType w:fmt="lowerRoman" w:start="1"/>
          <w:cols w:space="720"/>
          <w:noEndnote/>
          <w:titlePg/>
          <w:docGrid w:linePitch="326"/>
        </w:sectPr>
      </w:pPr>
      <w:r>
        <w:rPr>
          <w:rFonts w:cs="Arial"/>
          <w:sz w:val="22"/>
          <w:szCs w:val="22"/>
        </w:rPr>
        <w:t>Effective Date:  02/01/2021</w:t>
      </w:r>
    </w:p>
    <w:p w14:paraId="76B4831A" w14:textId="77777777" w:rsidR="002E4EB0" w:rsidRPr="00662392" w:rsidRDefault="002E4EB0" w:rsidP="00194415">
      <w:pPr>
        <w:jc w:val="center"/>
        <w:rPr>
          <w:sz w:val="22"/>
          <w:szCs w:val="22"/>
        </w:rPr>
      </w:pPr>
      <w:r w:rsidRPr="00662392">
        <w:rPr>
          <w:sz w:val="22"/>
          <w:szCs w:val="22"/>
        </w:rPr>
        <w:lastRenderedPageBreak/>
        <w:t>TABLE OF CONTENTS</w:t>
      </w:r>
    </w:p>
    <w:p w14:paraId="1A7EDB41" w14:textId="77777777" w:rsidR="006B6F93" w:rsidRPr="00662392" w:rsidRDefault="006B6F93" w:rsidP="00194415">
      <w:pPr>
        <w:rPr>
          <w:sz w:val="22"/>
          <w:szCs w:val="22"/>
        </w:rPr>
      </w:pPr>
    </w:p>
    <w:p w14:paraId="08A9E1A6" w14:textId="132E6E73" w:rsidR="00463668" w:rsidRPr="00F26A7B" w:rsidRDefault="00CE16A5">
      <w:pPr>
        <w:pStyle w:val="TOC1"/>
        <w:rPr>
          <w:rFonts w:asciiTheme="minorHAnsi" w:hAnsiTheme="minorHAnsi" w:cstheme="minorBidi"/>
          <w:noProof/>
          <w:szCs w:val="22"/>
        </w:rPr>
      </w:pPr>
      <w:r w:rsidRPr="009507AB">
        <w:rPr>
          <w:szCs w:val="22"/>
        </w:rPr>
        <w:fldChar w:fldCharType="begin"/>
      </w:r>
      <w:r w:rsidRPr="009507AB">
        <w:rPr>
          <w:szCs w:val="22"/>
        </w:rPr>
        <w:instrText xml:space="preserve"> TOC \f </w:instrText>
      </w:r>
      <w:r w:rsidRPr="009507AB">
        <w:rPr>
          <w:szCs w:val="22"/>
        </w:rPr>
        <w:fldChar w:fldCharType="separate"/>
      </w:r>
      <w:r w:rsidR="00463668" w:rsidRPr="00F26A7B">
        <w:rPr>
          <w:noProof/>
        </w:rPr>
        <w:t>0335-01</w:t>
      </w:r>
      <w:r w:rsidR="00463668" w:rsidRPr="00F26A7B">
        <w:rPr>
          <w:rFonts w:asciiTheme="minorHAnsi" w:hAnsiTheme="minorHAnsi" w:cstheme="minorBidi"/>
          <w:noProof/>
          <w:szCs w:val="22"/>
        </w:rPr>
        <w:tab/>
      </w:r>
      <w:r w:rsidR="00463668" w:rsidRPr="00F26A7B">
        <w:rPr>
          <w:noProof/>
        </w:rPr>
        <w:t>PURPOSE</w:t>
      </w:r>
      <w:r w:rsidR="00463668" w:rsidRPr="00F26A7B">
        <w:rPr>
          <w:noProof/>
        </w:rPr>
        <w:tab/>
      </w:r>
      <w:r w:rsidR="00463668" w:rsidRPr="00F26A7B">
        <w:rPr>
          <w:noProof/>
        </w:rPr>
        <w:fldChar w:fldCharType="begin"/>
      </w:r>
      <w:r w:rsidR="00463668" w:rsidRPr="00F26A7B">
        <w:rPr>
          <w:noProof/>
        </w:rPr>
        <w:instrText xml:space="preserve"> PAGEREF _Toc63142068 \h </w:instrText>
      </w:r>
      <w:r w:rsidR="00463668" w:rsidRPr="00F26A7B">
        <w:rPr>
          <w:noProof/>
        </w:rPr>
      </w:r>
      <w:r w:rsidR="00463668" w:rsidRPr="00F26A7B">
        <w:rPr>
          <w:noProof/>
        </w:rPr>
        <w:fldChar w:fldCharType="separate"/>
      </w:r>
      <w:r w:rsidR="00EB30DC">
        <w:rPr>
          <w:noProof/>
        </w:rPr>
        <w:t>1</w:t>
      </w:r>
      <w:r w:rsidR="00463668" w:rsidRPr="00F26A7B">
        <w:rPr>
          <w:noProof/>
        </w:rPr>
        <w:fldChar w:fldCharType="end"/>
      </w:r>
    </w:p>
    <w:p w14:paraId="78423F9E" w14:textId="4E48E9BA" w:rsidR="00463668" w:rsidRPr="00F26A7B" w:rsidRDefault="00463668">
      <w:pPr>
        <w:pStyle w:val="TOC1"/>
        <w:rPr>
          <w:rFonts w:asciiTheme="minorHAnsi" w:hAnsiTheme="minorHAnsi" w:cstheme="minorBidi"/>
          <w:noProof/>
          <w:szCs w:val="22"/>
        </w:rPr>
      </w:pPr>
      <w:r w:rsidRPr="00F26A7B">
        <w:rPr>
          <w:noProof/>
        </w:rPr>
        <w:t>0335-02</w:t>
      </w:r>
      <w:r w:rsidRPr="00F26A7B">
        <w:rPr>
          <w:rFonts w:asciiTheme="minorHAnsi" w:hAnsiTheme="minorHAnsi" w:cstheme="minorBidi"/>
          <w:noProof/>
          <w:szCs w:val="22"/>
        </w:rPr>
        <w:tab/>
      </w:r>
      <w:r w:rsidRPr="00F26A7B">
        <w:rPr>
          <w:noProof/>
        </w:rPr>
        <w:t>OBJECTIVES</w:t>
      </w:r>
      <w:r w:rsidRPr="00F26A7B">
        <w:rPr>
          <w:noProof/>
        </w:rPr>
        <w:tab/>
      </w:r>
      <w:r w:rsidRPr="00F26A7B">
        <w:rPr>
          <w:noProof/>
        </w:rPr>
        <w:fldChar w:fldCharType="begin"/>
      </w:r>
      <w:r w:rsidRPr="00F26A7B">
        <w:rPr>
          <w:noProof/>
        </w:rPr>
        <w:instrText xml:space="preserve"> PAGEREF _Toc63142069 \h </w:instrText>
      </w:r>
      <w:r w:rsidRPr="00F26A7B">
        <w:rPr>
          <w:noProof/>
        </w:rPr>
      </w:r>
      <w:r w:rsidRPr="00F26A7B">
        <w:rPr>
          <w:noProof/>
        </w:rPr>
        <w:fldChar w:fldCharType="separate"/>
      </w:r>
      <w:r w:rsidR="00EB30DC">
        <w:rPr>
          <w:noProof/>
        </w:rPr>
        <w:t>1</w:t>
      </w:r>
      <w:r w:rsidRPr="00F26A7B">
        <w:rPr>
          <w:noProof/>
        </w:rPr>
        <w:fldChar w:fldCharType="end"/>
      </w:r>
    </w:p>
    <w:p w14:paraId="208F97F2" w14:textId="25AA7EF1" w:rsidR="00463668" w:rsidRPr="00F26A7B" w:rsidRDefault="00463668">
      <w:pPr>
        <w:pStyle w:val="TOC1"/>
        <w:rPr>
          <w:rFonts w:asciiTheme="minorHAnsi" w:hAnsiTheme="minorHAnsi" w:cstheme="minorBidi"/>
          <w:noProof/>
          <w:szCs w:val="22"/>
        </w:rPr>
      </w:pPr>
      <w:r w:rsidRPr="00F26A7B">
        <w:rPr>
          <w:noProof/>
        </w:rPr>
        <w:t>0335-03</w:t>
      </w:r>
      <w:r w:rsidRPr="00F26A7B">
        <w:rPr>
          <w:rFonts w:asciiTheme="minorHAnsi" w:hAnsiTheme="minorHAnsi" w:cstheme="minorBidi"/>
          <w:noProof/>
          <w:szCs w:val="22"/>
        </w:rPr>
        <w:tab/>
      </w:r>
      <w:r w:rsidRPr="00F26A7B">
        <w:rPr>
          <w:noProof/>
        </w:rPr>
        <w:t>APPLICABILITY</w:t>
      </w:r>
      <w:r w:rsidRPr="00F26A7B">
        <w:rPr>
          <w:noProof/>
        </w:rPr>
        <w:tab/>
      </w:r>
      <w:r w:rsidRPr="00F26A7B">
        <w:rPr>
          <w:noProof/>
        </w:rPr>
        <w:fldChar w:fldCharType="begin"/>
      </w:r>
      <w:r w:rsidRPr="00F26A7B">
        <w:rPr>
          <w:noProof/>
        </w:rPr>
        <w:instrText xml:space="preserve"> PAGEREF _Toc63142070 \h </w:instrText>
      </w:r>
      <w:r w:rsidRPr="00F26A7B">
        <w:rPr>
          <w:noProof/>
        </w:rPr>
      </w:r>
      <w:r w:rsidRPr="00F26A7B">
        <w:rPr>
          <w:noProof/>
        </w:rPr>
        <w:fldChar w:fldCharType="separate"/>
      </w:r>
      <w:r w:rsidR="00EB30DC">
        <w:rPr>
          <w:noProof/>
        </w:rPr>
        <w:t>1</w:t>
      </w:r>
      <w:r w:rsidRPr="00F26A7B">
        <w:rPr>
          <w:noProof/>
        </w:rPr>
        <w:fldChar w:fldCharType="end"/>
      </w:r>
    </w:p>
    <w:p w14:paraId="3FC4E905" w14:textId="30002A37" w:rsidR="00463668" w:rsidRPr="00F26A7B" w:rsidRDefault="00463668">
      <w:pPr>
        <w:pStyle w:val="TOC1"/>
        <w:rPr>
          <w:rFonts w:asciiTheme="minorHAnsi" w:hAnsiTheme="minorHAnsi" w:cstheme="minorBidi"/>
          <w:noProof/>
          <w:szCs w:val="22"/>
        </w:rPr>
      </w:pPr>
      <w:r w:rsidRPr="00F26A7B">
        <w:rPr>
          <w:noProof/>
        </w:rPr>
        <w:t>0335-04</w:t>
      </w:r>
      <w:r w:rsidRPr="00F26A7B">
        <w:rPr>
          <w:rFonts w:asciiTheme="minorHAnsi" w:hAnsiTheme="minorHAnsi" w:cstheme="minorBidi"/>
          <w:noProof/>
          <w:szCs w:val="22"/>
        </w:rPr>
        <w:tab/>
      </w:r>
      <w:r w:rsidRPr="00F26A7B">
        <w:rPr>
          <w:noProof/>
        </w:rPr>
        <w:t>DEFINITIONS</w:t>
      </w:r>
      <w:r w:rsidRPr="00F26A7B">
        <w:rPr>
          <w:noProof/>
        </w:rPr>
        <w:tab/>
      </w:r>
      <w:r w:rsidRPr="00F26A7B">
        <w:rPr>
          <w:noProof/>
        </w:rPr>
        <w:fldChar w:fldCharType="begin"/>
      </w:r>
      <w:r w:rsidRPr="00F26A7B">
        <w:rPr>
          <w:noProof/>
        </w:rPr>
        <w:instrText xml:space="preserve"> PAGEREF _Toc63142071 \h </w:instrText>
      </w:r>
      <w:r w:rsidRPr="00F26A7B">
        <w:rPr>
          <w:noProof/>
        </w:rPr>
      </w:r>
      <w:r w:rsidRPr="00F26A7B">
        <w:rPr>
          <w:noProof/>
        </w:rPr>
        <w:fldChar w:fldCharType="separate"/>
      </w:r>
      <w:r w:rsidR="00EB30DC">
        <w:rPr>
          <w:noProof/>
        </w:rPr>
        <w:t>2</w:t>
      </w:r>
      <w:r w:rsidRPr="00F26A7B">
        <w:rPr>
          <w:noProof/>
        </w:rPr>
        <w:fldChar w:fldCharType="end"/>
      </w:r>
    </w:p>
    <w:p w14:paraId="002C30F3" w14:textId="35AAFE42" w:rsidR="00463668" w:rsidRPr="00F26A7B" w:rsidRDefault="00463668">
      <w:pPr>
        <w:pStyle w:val="TOC1"/>
        <w:rPr>
          <w:rFonts w:asciiTheme="minorHAnsi" w:hAnsiTheme="minorHAnsi" w:cstheme="minorBidi"/>
          <w:noProof/>
          <w:szCs w:val="22"/>
        </w:rPr>
      </w:pPr>
      <w:r w:rsidRPr="00F26A7B">
        <w:rPr>
          <w:noProof/>
        </w:rPr>
        <w:t>0335-05</w:t>
      </w:r>
      <w:r w:rsidRPr="00F26A7B">
        <w:rPr>
          <w:rFonts w:asciiTheme="minorHAnsi" w:hAnsiTheme="minorHAnsi" w:cstheme="minorBidi"/>
          <w:noProof/>
          <w:szCs w:val="22"/>
        </w:rPr>
        <w:tab/>
      </w:r>
      <w:r w:rsidRPr="00F26A7B">
        <w:rPr>
          <w:noProof/>
        </w:rPr>
        <w:t>RESPONSIBILITIES AND AUTHORITIES</w:t>
      </w:r>
      <w:r w:rsidRPr="00F26A7B">
        <w:rPr>
          <w:noProof/>
        </w:rPr>
        <w:tab/>
      </w:r>
      <w:r w:rsidRPr="00F26A7B">
        <w:rPr>
          <w:noProof/>
        </w:rPr>
        <w:fldChar w:fldCharType="begin"/>
      </w:r>
      <w:r w:rsidRPr="00F26A7B">
        <w:rPr>
          <w:noProof/>
        </w:rPr>
        <w:instrText xml:space="preserve"> PAGEREF _Toc63142072 \h </w:instrText>
      </w:r>
      <w:r w:rsidRPr="00F26A7B">
        <w:rPr>
          <w:noProof/>
        </w:rPr>
      </w:r>
      <w:r w:rsidRPr="00F26A7B">
        <w:rPr>
          <w:noProof/>
        </w:rPr>
        <w:fldChar w:fldCharType="separate"/>
      </w:r>
      <w:r w:rsidR="00EB30DC">
        <w:rPr>
          <w:noProof/>
        </w:rPr>
        <w:t>5</w:t>
      </w:r>
      <w:r w:rsidRPr="00F26A7B">
        <w:rPr>
          <w:noProof/>
        </w:rPr>
        <w:fldChar w:fldCharType="end"/>
      </w:r>
    </w:p>
    <w:p w14:paraId="3A5E7C5F" w14:textId="352D3BA2" w:rsidR="00463668" w:rsidRPr="00F26A7B" w:rsidRDefault="00463668">
      <w:pPr>
        <w:pStyle w:val="TOC1"/>
        <w:rPr>
          <w:rFonts w:asciiTheme="minorHAnsi" w:hAnsiTheme="minorHAnsi" w:cstheme="minorBidi"/>
          <w:noProof/>
          <w:szCs w:val="22"/>
        </w:rPr>
      </w:pPr>
      <w:r w:rsidRPr="00F26A7B">
        <w:rPr>
          <w:noProof/>
        </w:rPr>
        <w:t>0335-06</w:t>
      </w:r>
      <w:r w:rsidRPr="00F26A7B">
        <w:rPr>
          <w:rFonts w:asciiTheme="minorHAnsi" w:hAnsiTheme="minorHAnsi" w:cstheme="minorBidi"/>
          <w:noProof/>
          <w:szCs w:val="22"/>
        </w:rPr>
        <w:tab/>
      </w:r>
      <w:r w:rsidRPr="00F26A7B">
        <w:rPr>
          <w:noProof/>
        </w:rPr>
        <w:t>10 CFR 50.59 PROCESS</w:t>
      </w:r>
      <w:r w:rsidRPr="00F26A7B">
        <w:rPr>
          <w:noProof/>
        </w:rPr>
        <w:tab/>
      </w:r>
      <w:r w:rsidRPr="00F26A7B">
        <w:rPr>
          <w:noProof/>
        </w:rPr>
        <w:fldChar w:fldCharType="begin"/>
      </w:r>
      <w:r w:rsidRPr="00F26A7B">
        <w:rPr>
          <w:noProof/>
        </w:rPr>
        <w:instrText xml:space="preserve"> PAGEREF _Toc63142073 \h </w:instrText>
      </w:r>
      <w:r w:rsidRPr="00F26A7B">
        <w:rPr>
          <w:noProof/>
        </w:rPr>
      </w:r>
      <w:r w:rsidRPr="00F26A7B">
        <w:rPr>
          <w:noProof/>
        </w:rPr>
        <w:fldChar w:fldCharType="separate"/>
      </w:r>
      <w:r w:rsidR="00EB30DC">
        <w:rPr>
          <w:noProof/>
        </w:rPr>
        <w:t>6</w:t>
      </w:r>
      <w:r w:rsidRPr="00F26A7B">
        <w:rPr>
          <w:noProof/>
        </w:rPr>
        <w:fldChar w:fldCharType="end"/>
      </w:r>
    </w:p>
    <w:p w14:paraId="55D614CA" w14:textId="239BD4CE" w:rsidR="00463668" w:rsidRPr="00F26A7B" w:rsidRDefault="00463668">
      <w:pPr>
        <w:pStyle w:val="TOC2"/>
        <w:rPr>
          <w:rFonts w:asciiTheme="minorHAnsi" w:hAnsiTheme="minorHAnsi" w:cstheme="minorBidi"/>
          <w:noProof/>
          <w:szCs w:val="22"/>
        </w:rPr>
      </w:pPr>
      <w:r w:rsidRPr="00F26A7B">
        <w:rPr>
          <w:noProof/>
        </w:rPr>
        <w:t>06.01</w:t>
      </w:r>
      <w:r w:rsidRPr="00F26A7B">
        <w:rPr>
          <w:rFonts w:asciiTheme="minorHAnsi" w:hAnsiTheme="minorHAnsi" w:cstheme="minorBidi"/>
          <w:noProof/>
          <w:szCs w:val="22"/>
        </w:rPr>
        <w:tab/>
      </w:r>
      <w:r w:rsidRPr="00F26A7B">
        <w:rPr>
          <w:noProof/>
        </w:rPr>
        <w:t>Relationship Between 10 CFR 50.59 and Fire Protection</w:t>
      </w:r>
      <w:r w:rsidRPr="00F26A7B">
        <w:rPr>
          <w:noProof/>
        </w:rPr>
        <w:tab/>
      </w:r>
      <w:r w:rsidRPr="00F26A7B">
        <w:rPr>
          <w:noProof/>
        </w:rPr>
        <w:fldChar w:fldCharType="begin"/>
      </w:r>
      <w:r w:rsidRPr="00F26A7B">
        <w:rPr>
          <w:noProof/>
        </w:rPr>
        <w:instrText xml:space="preserve"> PAGEREF _Toc63142074 \h </w:instrText>
      </w:r>
      <w:r w:rsidRPr="00F26A7B">
        <w:rPr>
          <w:noProof/>
        </w:rPr>
      </w:r>
      <w:r w:rsidRPr="00F26A7B">
        <w:rPr>
          <w:noProof/>
        </w:rPr>
        <w:fldChar w:fldCharType="separate"/>
      </w:r>
      <w:r w:rsidR="00EB30DC">
        <w:rPr>
          <w:noProof/>
        </w:rPr>
        <w:t>6</w:t>
      </w:r>
      <w:r w:rsidRPr="00F26A7B">
        <w:rPr>
          <w:noProof/>
        </w:rPr>
        <w:fldChar w:fldCharType="end"/>
      </w:r>
    </w:p>
    <w:p w14:paraId="10E86E2A" w14:textId="1F5682A6" w:rsidR="00463668" w:rsidRPr="00F26A7B" w:rsidRDefault="00463668">
      <w:pPr>
        <w:pStyle w:val="TOC2"/>
        <w:rPr>
          <w:rFonts w:asciiTheme="minorHAnsi" w:hAnsiTheme="minorHAnsi" w:cstheme="minorBidi"/>
          <w:noProof/>
          <w:szCs w:val="22"/>
        </w:rPr>
      </w:pPr>
      <w:r w:rsidRPr="00F26A7B">
        <w:rPr>
          <w:noProof/>
        </w:rPr>
        <w:t xml:space="preserve">06.02 </w:t>
      </w:r>
      <w:r w:rsidRPr="00F26A7B">
        <w:rPr>
          <w:noProof/>
        </w:rPr>
        <w:tab/>
        <w:t>Relationship Between 10 CFR 50.59 and Technical Specification Bases</w:t>
      </w:r>
      <w:r w:rsidRPr="00F26A7B">
        <w:rPr>
          <w:noProof/>
        </w:rPr>
        <w:tab/>
      </w:r>
      <w:r w:rsidRPr="00F26A7B">
        <w:rPr>
          <w:noProof/>
        </w:rPr>
        <w:fldChar w:fldCharType="begin"/>
      </w:r>
      <w:r w:rsidRPr="00F26A7B">
        <w:rPr>
          <w:noProof/>
        </w:rPr>
        <w:instrText xml:space="preserve"> PAGEREF _Toc63142075 \h </w:instrText>
      </w:r>
      <w:r w:rsidRPr="00F26A7B">
        <w:rPr>
          <w:noProof/>
        </w:rPr>
      </w:r>
      <w:r w:rsidRPr="00F26A7B">
        <w:rPr>
          <w:noProof/>
        </w:rPr>
        <w:fldChar w:fldCharType="separate"/>
      </w:r>
      <w:r w:rsidR="00EB30DC">
        <w:rPr>
          <w:noProof/>
        </w:rPr>
        <w:t>7</w:t>
      </w:r>
      <w:r w:rsidRPr="00F26A7B">
        <w:rPr>
          <w:noProof/>
        </w:rPr>
        <w:fldChar w:fldCharType="end"/>
      </w:r>
    </w:p>
    <w:p w14:paraId="3FD7007F" w14:textId="060A1AFB" w:rsidR="00463668" w:rsidRPr="00F26A7B" w:rsidRDefault="00463668">
      <w:pPr>
        <w:pStyle w:val="TOC2"/>
        <w:rPr>
          <w:rFonts w:asciiTheme="minorHAnsi" w:hAnsiTheme="minorHAnsi" w:cstheme="minorBidi"/>
          <w:noProof/>
          <w:szCs w:val="22"/>
        </w:rPr>
      </w:pPr>
      <w:r w:rsidRPr="00F26A7B">
        <w:rPr>
          <w:noProof/>
        </w:rPr>
        <w:t xml:space="preserve">06.03 </w:t>
      </w:r>
      <w:r w:rsidRPr="00F26A7B">
        <w:rPr>
          <w:noProof/>
        </w:rPr>
        <w:tab/>
        <w:t>Relationship Between 10 CFR 50.59 and 10 CFR 50.2 Design Bases</w:t>
      </w:r>
      <w:r w:rsidRPr="00F26A7B">
        <w:rPr>
          <w:noProof/>
        </w:rPr>
        <w:tab/>
      </w:r>
      <w:r w:rsidRPr="00F26A7B">
        <w:rPr>
          <w:noProof/>
        </w:rPr>
        <w:fldChar w:fldCharType="begin"/>
      </w:r>
      <w:r w:rsidRPr="00F26A7B">
        <w:rPr>
          <w:noProof/>
        </w:rPr>
        <w:instrText xml:space="preserve"> PAGEREF _Toc63142076 \h </w:instrText>
      </w:r>
      <w:r w:rsidRPr="00F26A7B">
        <w:rPr>
          <w:noProof/>
        </w:rPr>
      </w:r>
      <w:r w:rsidRPr="00F26A7B">
        <w:rPr>
          <w:noProof/>
        </w:rPr>
        <w:fldChar w:fldCharType="separate"/>
      </w:r>
      <w:r w:rsidR="00EB30DC">
        <w:rPr>
          <w:noProof/>
        </w:rPr>
        <w:t>7</w:t>
      </w:r>
      <w:r w:rsidRPr="00F26A7B">
        <w:rPr>
          <w:noProof/>
        </w:rPr>
        <w:fldChar w:fldCharType="end"/>
      </w:r>
    </w:p>
    <w:p w14:paraId="363AEDAA" w14:textId="10253FC6" w:rsidR="00463668" w:rsidRPr="00F26A7B" w:rsidRDefault="00463668">
      <w:pPr>
        <w:pStyle w:val="TOC2"/>
        <w:rPr>
          <w:rFonts w:asciiTheme="minorHAnsi" w:hAnsiTheme="minorHAnsi" w:cstheme="minorBidi"/>
          <w:noProof/>
          <w:szCs w:val="22"/>
        </w:rPr>
      </w:pPr>
      <w:r w:rsidRPr="00F26A7B">
        <w:rPr>
          <w:noProof/>
        </w:rPr>
        <w:t>06.04</w:t>
      </w:r>
      <w:r w:rsidRPr="00F26A7B">
        <w:rPr>
          <w:rFonts w:asciiTheme="minorHAnsi" w:hAnsiTheme="minorHAnsi" w:cstheme="minorBidi"/>
          <w:noProof/>
          <w:szCs w:val="22"/>
        </w:rPr>
        <w:tab/>
      </w:r>
      <w:r w:rsidRPr="00F26A7B">
        <w:rPr>
          <w:noProof/>
        </w:rPr>
        <w:t xml:space="preserve">Relationship Between 10 CFR 50.59 and </w:t>
      </w:r>
      <w:r w:rsidRPr="00F26A7B">
        <w:rPr>
          <w:noProof/>
          <w:color w:val="333333"/>
          <w:shd w:val="clear" w:color="auto" w:fill="FFFFFF"/>
        </w:rPr>
        <w:t>10 CFR </w:t>
      </w:r>
      <w:r w:rsidRPr="00F26A7B">
        <w:rPr>
          <w:noProof/>
        </w:rPr>
        <w:t>50.69</w:t>
      </w:r>
      <w:r w:rsidRPr="00F26A7B">
        <w:rPr>
          <w:noProof/>
        </w:rPr>
        <w:tab/>
      </w:r>
      <w:r w:rsidRPr="00F26A7B">
        <w:rPr>
          <w:noProof/>
        </w:rPr>
        <w:fldChar w:fldCharType="begin"/>
      </w:r>
      <w:r w:rsidRPr="00F26A7B">
        <w:rPr>
          <w:noProof/>
        </w:rPr>
        <w:instrText xml:space="preserve"> PAGEREF _Toc63142077 \h </w:instrText>
      </w:r>
      <w:r w:rsidRPr="00F26A7B">
        <w:rPr>
          <w:noProof/>
        </w:rPr>
      </w:r>
      <w:r w:rsidRPr="00F26A7B">
        <w:rPr>
          <w:noProof/>
        </w:rPr>
        <w:fldChar w:fldCharType="separate"/>
      </w:r>
      <w:r w:rsidR="00EB30DC">
        <w:rPr>
          <w:noProof/>
        </w:rPr>
        <w:t>7</w:t>
      </w:r>
      <w:r w:rsidRPr="00F26A7B">
        <w:rPr>
          <w:noProof/>
        </w:rPr>
        <w:fldChar w:fldCharType="end"/>
      </w:r>
    </w:p>
    <w:p w14:paraId="0DBC7152" w14:textId="7150E1F8" w:rsidR="00463668" w:rsidRPr="00F26A7B" w:rsidRDefault="00463668">
      <w:pPr>
        <w:pStyle w:val="TOC2"/>
        <w:rPr>
          <w:rFonts w:asciiTheme="minorHAnsi" w:hAnsiTheme="minorHAnsi" w:cstheme="minorBidi"/>
          <w:noProof/>
          <w:szCs w:val="22"/>
        </w:rPr>
      </w:pPr>
      <w:r w:rsidRPr="00F26A7B">
        <w:rPr>
          <w:noProof/>
        </w:rPr>
        <w:t>06.05</w:t>
      </w:r>
      <w:r w:rsidRPr="00F26A7B">
        <w:rPr>
          <w:rFonts w:asciiTheme="minorHAnsi" w:hAnsiTheme="minorHAnsi" w:cstheme="minorBidi"/>
          <w:noProof/>
          <w:szCs w:val="22"/>
        </w:rPr>
        <w:tab/>
      </w:r>
      <w:r w:rsidRPr="00F26A7B">
        <w:rPr>
          <w:noProof/>
        </w:rPr>
        <w:t>Relationship Between 10 CFR 50.59 and 10 CFR 72.48</w:t>
      </w:r>
      <w:r w:rsidRPr="00F26A7B">
        <w:rPr>
          <w:noProof/>
        </w:rPr>
        <w:tab/>
      </w:r>
      <w:r w:rsidRPr="00F26A7B">
        <w:rPr>
          <w:noProof/>
        </w:rPr>
        <w:fldChar w:fldCharType="begin"/>
      </w:r>
      <w:r w:rsidRPr="00F26A7B">
        <w:rPr>
          <w:noProof/>
        </w:rPr>
        <w:instrText xml:space="preserve"> PAGEREF _Toc63142078 \h </w:instrText>
      </w:r>
      <w:r w:rsidRPr="00F26A7B">
        <w:rPr>
          <w:noProof/>
        </w:rPr>
      </w:r>
      <w:r w:rsidRPr="00F26A7B">
        <w:rPr>
          <w:noProof/>
        </w:rPr>
        <w:fldChar w:fldCharType="separate"/>
      </w:r>
      <w:r w:rsidR="00EB30DC">
        <w:rPr>
          <w:noProof/>
        </w:rPr>
        <w:t>8</w:t>
      </w:r>
      <w:r w:rsidRPr="00F26A7B">
        <w:rPr>
          <w:noProof/>
        </w:rPr>
        <w:fldChar w:fldCharType="end"/>
      </w:r>
    </w:p>
    <w:p w14:paraId="1154131C" w14:textId="78D29487" w:rsidR="00463668" w:rsidRPr="00F26A7B" w:rsidRDefault="00463668">
      <w:pPr>
        <w:pStyle w:val="TOC2"/>
        <w:rPr>
          <w:rFonts w:asciiTheme="minorHAnsi" w:hAnsiTheme="minorHAnsi" w:cstheme="minorBidi"/>
          <w:noProof/>
          <w:szCs w:val="22"/>
        </w:rPr>
      </w:pPr>
      <w:r w:rsidRPr="00F26A7B">
        <w:rPr>
          <w:noProof/>
        </w:rPr>
        <w:t>06.06</w:t>
      </w:r>
      <w:r w:rsidRPr="00F26A7B">
        <w:rPr>
          <w:rFonts w:asciiTheme="minorHAnsi" w:hAnsiTheme="minorHAnsi" w:cstheme="minorBidi"/>
          <w:noProof/>
          <w:szCs w:val="22"/>
        </w:rPr>
        <w:tab/>
      </w:r>
      <w:r w:rsidRPr="00F26A7B">
        <w:rPr>
          <w:noProof/>
        </w:rPr>
        <w:t xml:space="preserve">Relationship Between 10 CFR 50.59, Regulatory Commitments, and Surveillance </w:t>
      </w:r>
      <w:r w:rsidRPr="00F26A7B">
        <w:rPr>
          <w:noProof/>
        </w:rPr>
        <w:tab/>
        <w:t>Frequency Control Program</w:t>
      </w:r>
      <w:r w:rsidRPr="00F26A7B">
        <w:rPr>
          <w:noProof/>
        </w:rPr>
        <w:tab/>
      </w:r>
      <w:r w:rsidRPr="00F26A7B">
        <w:rPr>
          <w:noProof/>
        </w:rPr>
        <w:fldChar w:fldCharType="begin"/>
      </w:r>
      <w:r w:rsidRPr="00F26A7B">
        <w:rPr>
          <w:noProof/>
        </w:rPr>
        <w:instrText xml:space="preserve"> PAGEREF _Toc63142079 \h </w:instrText>
      </w:r>
      <w:r w:rsidRPr="00F26A7B">
        <w:rPr>
          <w:noProof/>
        </w:rPr>
      </w:r>
      <w:r w:rsidRPr="00F26A7B">
        <w:rPr>
          <w:noProof/>
        </w:rPr>
        <w:fldChar w:fldCharType="separate"/>
      </w:r>
      <w:r w:rsidR="00EB30DC">
        <w:rPr>
          <w:noProof/>
        </w:rPr>
        <w:t>8</w:t>
      </w:r>
      <w:r w:rsidRPr="00F26A7B">
        <w:rPr>
          <w:noProof/>
        </w:rPr>
        <w:fldChar w:fldCharType="end"/>
      </w:r>
    </w:p>
    <w:p w14:paraId="616DD51D" w14:textId="26E675CE" w:rsidR="00463668" w:rsidRPr="00F26A7B" w:rsidRDefault="00463668">
      <w:pPr>
        <w:pStyle w:val="TOC2"/>
        <w:rPr>
          <w:rFonts w:asciiTheme="minorHAnsi" w:hAnsiTheme="minorHAnsi" w:cstheme="minorBidi"/>
          <w:noProof/>
          <w:szCs w:val="22"/>
        </w:rPr>
      </w:pPr>
      <w:r w:rsidRPr="00F26A7B">
        <w:rPr>
          <w:noProof/>
        </w:rPr>
        <w:t>06.07</w:t>
      </w:r>
      <w:r w:rsidRPr="00F26A7B">
        <w:rPr>
          <w:rFonts w:asciiTheme="minorHAnsi" w:hAnsiTheme="minorHAnsi" w:cstheme="minorBidi"/>
          <w:noProof/>
          <w:szCs w:val="22"/>
        </w:rPr>
        <w:tab/>
      </w:r>
      <w:r w:rsidRPr="00F26A7B">
        <w:rPr>
          <w:noProof/>
        </w:rPr>
        <w:t xml:space="preserve">Relationship Between 10 CFR 50.59 and </w:t>
      </w:r>
      <w:r w:rsidRPr="00F26A7B">
        <w:rPr>
          <w:noProof/>
          <w:color w:val="333333"/>
          <w:shd w:val="clear" w:color="auto" w:fill="FFFFFF"/>
        </w:rPr>
        <w:t>10 CFR </w:t>
      </w:r>
      <w:r w:rsidRPr="00F26A7B">
        <w:rPr>
          <w:noProof/>
        </w:rPr>
        <w:t>50.155</w:t>
      </w:r>
      <w:r w:rsidRPr="00F26A7B">
        <w:rPr>
          <w:noProof/>
        </w:rPr>
        <w:tab/>
      </w:r>
      <w:r w:rsidRPr="00F26A7B">
        <w:rPr>
          <w:noProof/>
        </w:rPr>
        <w:fldChar w:fldCharType="begin"/>
      </w:r>
      <w:r w:rsidRPr="00F26A7B">
        <w:rPr>
          <w:noProof/>
        </w:rPr>
        <w:instrText xml:space="preserve"> PAGEREF _Toc63142080 \h </w:instrText>
      </w:r>
      <w:r w:rsidRPr="00F26A7B">
        <w:rPr>
          <w:noProof/>
        </w:rPr>
      </w:r>
      <w:r w:rsidRPr="00F26A7B">
        <w:rPr>
          <w:noProof/>
        </w:rPr>
        <w:fldChar w:fldCharType="separate"/>
      </w:r>
      <w:r w:rsidR="00EB30DC">
        <w:rPr>
          <w:noProof/>
        </w:rPr>
        <w:t>9</w:t>
      </w:r>
      <w:r w:rsidRPr="00F26A7B">
        <w:rPr>
          <w:noProof/>
        </w:rPr>
        <w:fldChar w:fldCharType="end"/>
      </w:r>
    </w:p>
    <w:p w14:paraId="4D959F5D" w14:textId="6CB7CC8D" w:rsidR="00463668" w:rsidRPr="00F26A7B" w:rsidRDefault="00463668">
      <w:pPr>
        <w:pStyle w:val="TOC2"/>
        <w:rPr>
          <w:rFonts w:asciiTheme="minorHAnsi" w:hAnsiTheme="minorHAnsi" w:cstheme="minorBidi"/>
          <w:noProof/>
          <w:szCs w:val="22"/>
        </w:rPr>
      </w:pPr>
      <w:r w:rsidRPr="00F26A7B">
        <w:rPr>
          <w:noProof/>
        </w:rPr>
        <w:t>06.08</w:t>
      </w:r>
      <w:r w:rsidRPr="00F26A7B">
        <w:rPr>
          <w:rFonts w:asciiTheme="minorHAnsi" w:hAnsiTheme="minorHAnsi" w:cstheme="minorBidi"/>
          <w:noProof/>
          <w:szCs w:val="22"/>
        </w:rPr>
        <w:tab/>
      </w:r>
      <w:r w:rsidRPr="00F26A7B">
        <w:rPr>
          <w:noProof/>
        </w:rPr>
        <w:t>Applicability Determination</w:t>
      </w:r>
      <w:r w:rsidRPr="00F26A7B">
        <w:rPr>
          <w:noProof/>
        </w:rPr>
        <w:tab/>
      </w:r>
      <w:r w:rsidRPr="00F26A7B">
        <w:rPr>
          <w:noProof/>
        </w:rPr>
        <w:fldChar w:fldCharType="begin"/>
      </w:r>
      <w:r w:rsidRPr="00F26A7B">
        <w:rPr>
          <w:noProof/>
        </w:rPr>
        <w:instrText xml:space="preserve"> PAGEREF _Toc63142081 \h </w:instrText>
      </w:r>
      <w:r w:rsidRPr="00F26A7B">
        <w:rPr>
          <w:noProof/>
        </w:rPr>
      </w:r>
      <w:r w:rsidRPr="00F26A7B">
        <w:rPr>
          <w:noProof/>
        </w:rPr>
        <w:fldChar w:fldCharType="separate"/>
      </w:r>
      <w:r w:rsidR="00EB30DC">
        <w:rPr>
          <w:noProof/>
        </w:rPr>
        <w:t>9</w:t>
      </w:r>
      <w:r w:rsidRPr="00F26A7B">
        <w:rPr>
          <w:noProof/>
        </w:rPr>
        <w:fldChar w:fldCharType="end"/>
      </w:r>
    </w:p>
    <w:p w14:paraId="000F86DC" w14:textId="45AB3A81" w:rsidR="00463668" w:rsidRPr="00F26A7B" w:rsidRDefault="00463668">
      <w:pPr>
        <w:pStyle w:val="TOC2"/>
        <w:rPr>
          <w:rFonts w:asciiTheme="minorHAnsi" w:hAnsiTheme="minorHAnsi" w:cstheme="minorBidi"/>
          <w:noProof/>
          <w:szCs w:val="22"/>
        </w:rPr>
      </w:pPr>
      <w:r w:rsidRPr="00F26A7B">
        <w:rPr>
          <w:noProof/>
        </w:rPr>
        <w:t>06.09</w:t>
      </w:r>
      <w:r w:rsidRPr="00F26A7B">
        <w:rPr>
          <w:rFonts w:asciiTheme="minorHAnsi" w:hAnsiTheme="minorHAnsi" w:cstheme="minorBidi"/>
          <w:noProof/>
          <w:szCs w:val="22"/>
        </w:rPr>
        <w:tab/>
      </w:r>
      <w:r w:rsidRPr="00F26A7B">
        <w:rPr>
          <w:noProof/>
        </w:rPr>
        <w:t>Screening</w:t>
      </w:r>
      <w:r w:rsidRPr="00F26A7B">
        <w:rPr>
          <w:noProof/>
        </w:rPr>
        <w:tab/>
      </w:r>
      <w:r w:rsidRPr="00F26A7B">
        <w:rPr>
          <w:noProof/>
        </w:rPr>
        <w:fldChar w:fldCharType="begin"/>
      </w:r>
      <w:r w:rsidRPr="00F26A7B">
        <w:rPr>
          <w:noProof/>
        </w:rPr>
        <w:instrText xml:space="preserve"> PAGEREF _Toc63142082 \h </w:instrText>
      </w:r>
      <w:r w:rsidRPr="00F26A7B">
        <w:rPr>
          <w:noProof/>
        </w:rPr>
      </w:r>
      <w:r w:rsidRPr="00F26A7B">
        <w:rPr>
          <w:noProof/>
        </w:rPr>
        <w:fldChar w:fldCharType="separate"/>
      </w:r>
      <w:r w:rsidR="00EB30DC">
        <w:rPr>
          <w:noProof/>
        </w:rPr>
        <w:t>10</w:t>
      </w:r>
      <w:r w:rsidRPr="00F26A7B">
        <w:rPr>
          <w:noProof/>
        </w:rPr>
        <w:fldChar w:fldCharType="end"/>
      </w:r>
    </w:p>
    <w:p w14:paraId="6EB551C1" w14:textId="2105DE85" w:rsidR="00463668" w:rsidRPr="00F26A7B" w:rsidRDefault="00463668">
      <w:pPr>
        <w:pStyle w:val="TOC2"/>
        <w:rPr>
          <w:rFonts w:asciiTheme="minorHAnsi" w:hAnsiTheme="minorHAnsi" w:cstheme="minorBidi"/>
          <w:noProof/>
          <w:szCs w:val="22"/>
        </w:rPr>
      </w:pPr>
      <w:r w:rsidRPr="00F26A7B">
        <w:rPr>
          <w:noProof/>
        </w:rPr>
        <w:t>06.10</w:t>
      </w:r>
      <w:r w:rsidRPr="00F26A7B">
        <w:rPr>
          <w:rFonts w:asciiTheme="minorHAnsi" w:hAnsiTheme="minorHAnsi" w:cstheme="minorBidi"/>
          <w:noProof/>
          <w:szCs w:val="22"/>
        </w:rPr>
        <w:tab/>
      </w:r>
      <w:r w:rsidRPr="00F26A7B">
        <w:rPr>
          <w:noProof/>
        </w:rPr>
        <w:t>Changes To The Facility Or Procedures</w:t>
      </w:r>
      <w:r w:rsidRPr="00F26A7B">
        <w:rPr>
          <w:noProof/>
        </w:rPr>
        <w:tab/>
      </w:r>
      <w:r w:rsidRPr="00F26A7B">
        <w:rPr>
          <w:noProof/>
        </w:rPr>
        <w:fldChar w:fldCharType="begin"/>
      </w:r>
      <w:r w:rsidRPr="00F26A7B">
        <w:rPr>
          <w:noProof/>
        </w:rPr>
        <w:instrText xml:space="preserve"> PAGEREF _Toc63142083 \h </w:instrText>
      </w:r>
      <w:r w:rsidRPr="00F26A7B">
        <w:rPr>
          <w:noProof/>
        </w:rPr>
      </w:r>
      <w:r w:rsidRPr="00F26A7B">
        <w:rPr>
          <w:noProof/>
        </w:rPr>
        <w:fldChar w:fldCharType="separate"/>
      </w:r>
      <w:r w:rsidR="00EB30DC">
        <w:rPr>
          <w:noProof/>
        </w:rPr>
        <w:t>11</w:t>
      </w:r>
      <w:r w:rsidRPr="00F26A7B">
        <w:rPr>
          <w:noProof/>
        </w:rPr>
        <w:fldChar w:fldCharType="end"/>
      </w:r>
    </w:p>
    <w:p w14:paraId="3D0E3CEB" w14:textId="35B182C9" w:rsidR="00463668" w:rsidRPr="00F26A7B" w:rsidRDefault="00463668">
      <w:pPr>
        <w:pStyle w:val="TOC2"/>
        <w:rPr>
          <w:rFonts w:asciiTheme="minorHAnsi" w:hAnsiTheme="minorHAnsi" w:cstheme="minorBidi"/>
          <w:noProof/>
          <w:szCs w:val="22"/>
        </w:rPr>
      </w:pPr>
      <w:r w:rsidRPr="00F26A7B">
        <w:rPr>
          <w:noProof/>
        </w:rPr>
        <w:t>06.11</w:t>
      </w:r>
      <w:r w:rsidRPr="00F26A7B">
        <w:rPr>
          <w:rFonts w:asciiTheme="minorHAnsi" w:hAnsiTheme="minorHAnsi" w:cstheme="minorBidi"/>
          <w:noProof/>
          <w:szCs w:val="22"/>
        </w:rPr>
        <w:tab/>
      </w:r>
      <w:r w:rsidRPr="00F26A7B">
        <w:rPr>
          <w:noProof/>
        </w:rPr>
        <w:t>Tests or Experiments Not Described in the UFSAR</w:t>
      </w:r>
      <w:r w:rsidRPr="00F26A7B">
        <w:rPr>
          <w:noProof/>
        </w:rPr>
        <w:tab/>
      </w:r>
      <w:r w:rsidRPr="00F26A7B">
        <w:rPr>
          <w:noProof/>
        </w:rPr>
        <w:fldChar w:fldCharType="begin"/>
      </w:r>
      <w:r w:rsidRPr="00F26A7B">
        <w:rPr>
          <w:noProof/>
        </w:rPr>
        <w:instrText xml:space="preserve"> PAGEREF _Toc63142084 \h </w:instrText>
      </w:r>
      <w:r w:rsidRPr="00F26A7B">
        <w:rPr>
          <w:noProof/>
        </w:rPr>
      </w:r>
      <w:r w:rsidRPr="00F26A7B">
        <w:rPr>
          <w:noProof/>
        </w:rPr>
        <w:fldChar w:fldCharType="separate"/>
      </w:r>
      <w:r w:rsidR="00EB30DC">
        <w:rPr>
          <w:noProof/>
        </w:rPr>
        <w:t>12</w:t>
      </w:r>
      <w:r w:rsidRPr="00F26A7B">
        <w:rPr>
          <w:noProof/>
        </w:rPr>
        <w:fldChar w:fldCharType="end"/>
      </w:r>
    </w:p>
    <w:p w14:paraId="6643E8E6" w14:textId="0C664572" w:rsidR="00463668" w:rsidRPr="00F26A7B" w:rsidRDefault="00463668">
      <w:pPr>
        <w:pStyle w:val="TOC2"/>
        <w:rPr>
          <w:rFonts w:asciiTheme="minorHAnsi" w:hAnsiTheme="minorHAnsi" w:cstheme="minorBidi"/>
          <w:noProof/>
          <w:szCs w:val="22"/>
        </w:rPr>
      </w:pPr>
      <w:r w:rsidRPr="00F26A7B">
        <w:rPr>
          <w:noProof/>
        </w:rPr>
        <w:t>06.12</w:t>
      </w:r>
      <w:r w:rsidRPr="00F26A7B">
        <w:rPr>
          <w:rFonts w:asciiTheme="minorHAnsi" w:hAnsiTheme="minorHAnsi" w:cstheme="minorBidi"/>
          <w:noProof/>
          <w:szCs w:val="22"/>
        </w:rPr>
        <w:tab/>
      </w:r>
      <w:r w:rsidRPr="00F26A7B">
        <w:rPr>
          <w:noProof/>
        </w:rPr>
        <w:t>Evaluation Process</w:t>
      </w:r>
      <w:r w:rsidRPr="00F26A7B">
        <w:rPr>
          <w:noProof/>
        </w:rPr>
        <w:tab/>
      </w:r>
      <w:r w:rsidRPr="00F26A7B">
        <w:rPr>
          <w:noProof/>
        </w:rPr>
        <w:fldChar w:fldCharType="begin"/>
      </w:r>
      <w:r w:rsidRPr="00F26A7B">
        <w:rPr>
          <w:noProof/>
        </w:rPr>
        <w:instrText xml:space="preserve"> PAGEREF _Toc63142085 \h </w:instrText>
      </w:r>
      <w:r w:rsidRPr="00F26A7B">
        <w:rPr>
          <w:noProof/>
        </w:rPr>
      </w:r>
      <w:r w:rsidRPr="00F26A7B">
        <w:rPr>
          <w:noProof/>
        </w:rPr>
        <w:fldChar w:fldCharType="separate"/>
      </w:r>
      <w:r w:rsidR="00EB30DC">
        <w:rPr>
          <w:noProof/>
        </w:rPr>
        <w:t>13</w:t>
      </w:r>
      <w:r w:rsidRPr="00F26A7B">
        <w:rPr>
          <w:noProof/>
        </w:rPr>
        <w:fldChar w:fldCharType="end"/>
      </w:r>
    </w:p>
    <w:p w14:paraId="564A9E1D" w14:textId="17D9DDEB" w:rsidR="00463668" w:rsidRPr="00F26A7B" w:rsidRDefault="00463668">
      <w:pPr>
        <w:pStyle w:val="TOC2"/>
        <w:rPr>
          <w:rFonts w:asciiTheme="minorHAnsi" w:hAnsiTheme="minorHAnsi" w:cstheme="minorBidi"/>
          <w:noProof/>
          <w:szCs w:val="22"/>
        </w:rPr>
      </w:pPr>
      <w:r w:rsidRPr="00F26A7B">
        <w:rPr>
          <w:noProof/>
        </w:rPr>
        <w:t>06.13</w:t>
      </w:r>
      <w:r w:rsidRPr="00F26A7B">
        <w:rPr>
          <w:rFonts w:asciiTheme="minorHAnsi" w:hAnsiTheme="minorHAnsi" w:cstheme="minorBidi"/>
          <w:noProof/>
          <w:szCs w:val="22"/>
        </w:rPr>
        <w:tab/>
      </w:r>
      <w:r w:rsidRPr="00F26A7B">
        <w:rPr>
          <w:noProof/>
        </w:rPr>
        <w:t>Minimal Increase Principle</w:t>
      </w:r>
      <w:r w:rsidRPr="00F26A7B">
        <w:rPr>
          <w:noProof/>
        </w:rPr>
        <w:tab/>
      </w:r>
      <w:r w:rsidRPr="00F26A7B">
        <w:rPr>
          <w:noProof/>
        </w:rPr>
        <w:fldChar w:fldCharType="begin"/>
      </w:r>
      <w:r w:rsidRPr="00F26A7B">
        <w:rPr>
          <w:noProof/>
        </w:rPr>
        <w:instrText xml:space="preserve"> PAGEREF _Toc63142086 \h </w:instrText>
      </w:r>
      <w:r w:rsidRPr="00F26A7B">
        <w:rPr>
          <w:noProof/>
        </w:rPr>
      </w:r>
      <w:r w:rsidRPr="00F26A7B">
        <w:rPr>
          <w:noProof/>
        </w:rPr>
        <w:fldChar w:fldCharType="separate"/>
      </w:r>
      <w:r w:rsidR="00EB30DC">
        <w:rPr>
          <w:noProof/>
        </w:rPr>
        <w:t>13</w:t>
      </w:r>
      <w:r w:rsidRPr="00F26A7B">
        <w:rPr>
          <w:noProof/>
        </w:rPr>
        <w:fldChar w:fldCharType="end"/>
      </w:r>
    </w:p>
    <w:p w14:paraId="07A0A138" w14:textId="0F438997" w:rsidR="00463668" w:rsidRPr="00F26A7B" w:rsidRDefault="00463668">
      <w:pPr>
        <w:pStyle w:val="TOC2"/>
        <w:rPr>
          <w:rFonts w:asciiTheme="minorHAnsi" w:hAnsiTheme="minorHAnsi" w:cstheme="minorBidi"/>
          <w:noProof/>
          <w:szCs w:val="22"/>
        </w:rPr>
      </w:pPr>
      <w:r w:rsidRPr="00F26A7B">
        <w:rPr>
          <w:noProof/>
        </w:rPr>
        <w:t>06.14</w:t>
      </w:r>
      <w:r w:rsidRPr="00F26A7B">
        <w:rPr>
          <w:rFonts w:asciiTheme="minorHAnsi" w:hAnsiTheme="minorHAnsi" w:cstheme="minorBidi"/>
          <w:noProof/>
          <w:szCs w:val="22"/>
        </w:rPr>
        <w:tab/>
      </w:r>
      <w:r w:rsidRPr="00F26A7B">
        <w:rPr>
          <w:noProof/>
        </w:rPr>
        <w:t>Probabilistic Risk Assessment and Risk Insights</w:t>
      </w:r>
      <w:r w:rsidRPr="00F26A7B">
        <w:rPr>
          <w:noProof/>
        </w:rPr>
        <w:tab/>
      </w:r>
      <w:r w:rsidRPr="00F26A7B">
        <w:rPr>
          <w:noProof/>
        </w:rPr>
        <w:fldChar w:fldCharType="begin"/>
      </w:r>
      <w:r w:rsidRPr="00F26A7B">
        <w:rPr>
          <w:noProof/>
        </w:rPr>
        <w:instrText xml:space="preserve"> PAGEREF _Toc63142087 \h </w:instrText>
      </w:r>
      <w:r w:rsidRPr="00F26A7B">
        <w:rPr>
          <w:noProof/>
        </w:rPr>
      </w:r>
      <w:r w:rsidRPr="00F26A7B">
        <w:rPr>
          <w:noProof/>
        </w:rPr>
        <w:fldChar w:fldCharType="separate"/>
      </w:r>
      <w:r w:rsidR="00EB30DC">
        <w:rPr>
          <w:noProof/>
        </w:rPr>
        <w:t>14</w:t>
      </w:r>
      <w:r w:rsidRPr="00F26A7B">
        <w:rPr>
          <w:noProof/>
        </w:rPr>
        <w:fldChar w:fldCharType="end"/>
      </w:r>
    </w:p>
    <w:p w14:paraId="38559D4A" w14:textId="47220610" w:rsidR="00463668" w:rsidRPr="00F26A7B" w:rsidRDefault="00463668">
      <w:pPr>
        <w:pStyle w:val="TOC2"/>
        <w:rPr>
          <w:rFonts w:asciiTheme="minorHAnsi" w:hAnsiTheme="minorHAnsi" w:cstheme="minorBidi"/>
          <w:noProof/>
          <w:szCs w:val="22"/>
        </w:rPr>
      </w:pPr>
      <w:r w:rsidRPr="00F26A7B">
        <w:rPr>
          <w:noProof/>
        </w:rPr>
        <w:t>06.15</w:t>
      </w:r>
      <w:r w:rsidRPr="00F26A7B">
        <w:rPr>
          <w:rFonts w:asciiTheme="minorHAnsi" w:hAnsiTheme="minorHAnsi" w:cstheme="minorBidi"/>
          <w:noProof/>
          <w:szCs w:val="22"/>
        </w:rPr>
        <w:tab/>
      </w:r>
      <w:r w:rsidRPr="00F26A7B">
        <w:rPr>
          <w:noProof/>
        </w:rPr>
        <w:t>Review Licensee Evaluation of Criterion (c)(2)(i)</w:t>
      </w:r>
      <w:r w:rsidRPr="00F26A7B">
        <w:rPr>
          <w:noProof/>
        </w:rPr>
        <w:tab/>
      </w:r>
      <w:r w:rsidRPr="00F26A7B">
        <w:rPr>
          <w:noProof/>
        </w:rPr>
        <w:fldChar w:fldCharType="begin"/>
      </w:r>
      <w:r w:rsidRPr="00F26A7B">
        <w:rPr>
          <w:noProof/>
        </w:rPr>
        <w:instrText xml:space="preserve"> PAGEREF _Toc63142088 \h </w:instrText>
      </w:r>
      <w:r w:rsidRPr="00F26A7B">
        <w:rPr>
          <w:noProof/>
        </w:rPr>
      </w:r>
      <w:r w:rsidRPr="00F26A7B">
        <w:rPr>
          <w:noProof/>
        </w:rPr>
        <w:fldChar w:fldCharType="separate"/>
      </w:r>
      <w:r w:rsidR="00EB30DC">
        <w:rPr>
          <w:noProof/>
        </w:rPr>
        <w:t>15</w:t>
      </w:r>
      <w:r w:rsidRPr="00F26A7B">
        <w:rPr>
          <w:noProof/>
        </w:rPr>
        <w:fldChar w:fldCharType="end"/>
      </w:r>
    </w:p>
    <w:p w14:paraId="477FDF59" w14:textId="2808907E" w:rsidR="00463668" w:rsidRPr="00F26A7B" w:rsidRDefault="00463668">
      <w:pPr>
        <w:pStyle w:val="TOC2"/>
        <w:rPr>
          <w:rFonts w:asciiTheme="minorHAnsi" w:hAnsiTheme="minorHAnsi" w:cstheme="minorBidi"/>
          <w:noProof/>
          <w:szCs w:val="22"/>
        </w:rPr>
      </w:pPr>
      <w:r w:rsidRPr="00F26A7B">
        <w:rPr>
          <w:noProof/>
        </w:rPr>
        <w:t>06.16</w:t>
      </w:r>
      <w:r w:rsidRPr="00F26A7B">
        <w:rPr>
          <w:rFonts w:asciiTheme="minorHAnsi" w:hAnsiTheme="minorHAnsi" w:cstheme="minorBidi"/>
          <w:noProof/>
          <w:szCs w:val="22"/>
        </w:rPr>
        <w:tab/>
      </w:r>
      <w:r w:rsidRPr="00F26A7B">
        <w:rPr>
          <w:noProof/>
        </w:rPr>
        <w:t>Review Licensee Evaluation of Criterion (c)(2)(ii)</w:t>
      </w:r>
      <w:r w:rsidRPr="00F26A7B">
        <w:rPr>
          <w:noProof/>
        </w:rPr>
        <w:tab/>
      </w:r>
      <w:r w:rsidRPr="00F26A7B">
        <w:rPr>
          <w:noProof/>
        </w:rPr>
        <w:fldChar w:fldCharType="begin"/>
      </w:r>
      <w:r w:rsidRPr="00F26A7B">
        <w:rPr>
          <w:noProof/>
        </w:rPr>
        <w:instrText xml:space="preserve"> PAGEREF _Toc63142089 \h </w:instrText>
      </w:r>
      <w:r w:rsidRPr="00F26A7B">
        <w:rPr>
          <w:noProof/>
        </w:rPr>
      </w:r>
      <w:r w:rsidRPr="00F26A7B">
        <w:rPr>
          <w:noProof/>
        </w:rPr>
        <w:fldChar w:fldCharType="separate"/>
      </w:r>
      <w:r w:rsidR="00EB30DC">
        <w:rPr>
          <w:noProof/>
        </w:rPr>
        <w:t>16</w:t>
      </w:r>
      <w:r w:rsidRPr="00F26A7B">
        <w:rPr>
          <w:noProof/>
        </w:rPr>
        <w:fldChar w:fldCharType="end"/>
      </w:r>
    </w:p>
    <w:p w14:paraId="0FA82D68" w14:textId="5AC16B5D" w:rsidR="00463668" w:rsidRPr="00F26A7B" w:rsidRDefault="00463668">
      <w:pPr>
        <w:pStyle w:val="TOC2"/>
        <w:rPr>
          <w:rFonts w:asciiTheme="minorHAnsi" w:hAnsiTheme="minorHAnsi" w:cstheme="minorBidi"/>
          <w:noProof/>
          <w:szCs w:val="22"/>
        </w:rPr>
      </w:pPr>
      <w:r w:rsidRPr="00F26A7B">
        <w:rPr>
          <w:noProof/>
        </w:rPr>
        <w:t>06.17</w:t>
      </w:r>
      <w:r w:rsidRPr="00F26A7B">
        <w:rPr>
          <w:rFonts w:asciiTheme="minorHAnsi" w:hAnsiTheme="minorHAnsi" w:cstheme="minorBidi"/>
          <w:noProof/>
          <w:szCs w:val="22"/>
        </w:rPr>
        <w:tab/>
      </w:r>
      <w:r w:rsidRPr="00F26A7B">
        <w:rPr>
          <w:noProof/>
        </w:rPr>
        <w:t>Review Licensee Evaluation of Criteria (c)(2)(iii) and (c)(2)(iv)</w:t>
      </w:r>
      <w:r w:rsidRPr="00F26A7B">
        <w:rPr>
          <w:noProof/>
        </w:rPr>
        <w:tab/>
      </w:r>
      <w:r w:rsidRPr="00F26A7B">
        <w:rPr>
          <w:noProof/>
        </w:rPr>
        <w:fldChar w:fldCharType="begin"/>
      </w:r>
      <w:r w:rsidRPr="00F26A7B">
        <w:rPr>
          <w:noProof/>
        </w:rPr>
        <w:instrText xml:space="preserve"> PAGEREF _Toc63142090 \h </w:instrText>
      </w:r>
      <w:r w:rsidRPr="00F26A7B">
        <w:rPr>
          <w:noProof/>
        </w:rPr>
      </w:r>
      <w:r w:rsidRPr="00F26A7B">
        <w:rPr>
          <w:noProof/>
        </w:rPr>
        <w:fldChar w:fldCharType="separate"/>
      </w:r>
      <w:r w:rsidR="00EB30DC">
        <w:rPr>
          <w:noProof/>
        </w:rPr>
        <w:t>17</w:t>
      </w:r>
      <w:r w:rsidRPr="00F26A7B">
        <w:rPr>
          <w:noProof/>
        </w:rPr>
        <w:fldChar w:fldCharType="end"/>
      </w:r>
    </w:p>
    <w:p w14:paraId="41E29A9D" w14:textId="52693E96" w:rsidR="00463668" w:rsidRPr="00F26A7B" w:rsidRDefault="00463668">
      <w:pPr>
        <w:pStyle w:val="TOC2"/>
        <w:rPr>
          <w:rFonts w:asciiTheme="minorHAnsi" w:hAnsiTheme="minorHAnsi" w:cstheme="minorBidi"/>
          <w:noProof/>
          <w:szCs w:val="22"/>
        </w:rPr>
      </w:pPr>
      <w:r w:rsidRPr="00F26A7B">
        <w:rPr>
          <w:noProof/>
        </w:rPr>
        <w:t>06.18</w:t>
      </w:r>
      <w:r w:rsidRPr="00F26A7B">
        <w:rPr>
          <w:rFonts w:asciiTheme="minorHAnsi" w:hAnsiTheme="minorHAnsi" w:cstheme="minorBidi"/>
          <w:noProof/>
          <w:szCs w:val="22"/>
        </w:rPr>
        <w:tab/>
      </w:r>
      <w:r w:rsidRPr="00F26A7B">
        <w:rPr>
          <w:noProof/>
        </w:rPr>
        <w:t>Review Licensee Evaluation of Criterion (c)(2)(v)</w:t>
      </w:r>
      <w:r w:rsidRPr="00F26A7B">
        <w:rPr>
          <w:noProof/>
        </w:rPr>
        <w:tab/>
      </w:r>
      <w:r w:rsidRPr="00F26A7B">
        <w:rPr>
          <w:noProof/>
        </w:rPr>
        <w:fldChar w:fldCharType="begin"/>
      </w:r>
      <w:r w:rsidRPr="00F26A7B">
        <w:rPr>
          <w:noProof/>
        </w:rPr>
        <w:instrText xml:space="preserve"> PAGEREF _Toc63142091 \h </w:instrText>
      </w:r>
      <w:r w:rsidRPr="00F26A7B">
        <w:rPr>
          <w:noProof/>
        </w:rPr>
      </w:r>
      <w:r w:rsidRPr="00F26A7B">
        <w:rPr>
          <w:noProof/>
        </w:rPr>
        <w:fldChar w:fldCharType="separate"/>
      </w:r>
      <w:r w:rsidR="00EB30DC">
        <w:rPr>
          <w:noProof/>
        </w:rPr>
        <w:t>19</w:t>
      </w:r>
      <w:r w:rsidRPr="00F26A7B">
        <w:rPr>
          <w:noProof/>
        </w:rPr>
        <w:fldChar w:fldCharType="end"/>
      </w:r>
    </w:p>
    <w:p w14:paraId="2D525CD7" w14:textId="60F0E7FA" w:rsidR="00463668" w:rsidRPr="00F26A7B" w:rsidRDefault="00463668">
      <w:pPr>
        <w:pStyle w:val="TOC2"/>
        <w:rPr>
          <w:rFonts w:asciiTheme="minorHAnsi" w:hAnsiTheme="minorHAnsi" w:cstheme="minorBidi"/>
          <w:noProof/>
          <w:szCs w:val="22"/>
        </w:rPr>
      </w:pPr>
      <w:r w:rsidRPr="00F26A7B">
        <w:rPr>
          <w:noProof/>
        </w:rPr>
        <w:t>06.19</w:t>
      </w:r>
      <w:r w:rsidRPr="00F26A7B">
        <w:rPr>
          <w:rFonts w:asciiTheme="minorHAnsi" w:hAnsiTheme="minorHAnsi" w:cstheme="minorBidi"/>
          <w:noProof/>
          <w:szCs w:val="22"/>
        </w:rPr>
        <w:tab/>
      </w:r>
      <w:r w:rsidRPr="00F26A7B">
        <w:rPr>
          <w:noProof/>
        </w:rPr>
        <w:t>Review Licensee Evaluation of Criterion (c)(2)(vi)</w:t>
      </w:r>
      <w:r w:rsidRPr="00F26A7B">
        <w:rPr>
          <w:noProof/>
        </w:rPr>
        <w:tab/>
      </w:r>
      <w:r w:rsidRPr="00F26A7B">
        <w:rPr>
          <w:noProof/>
        </w:rPr>
        <w:fldChar w:fldCharType="begin"/>
      </w:r>
      <w:r w:rsidRPr="00F26A7B">
        <w:rPr>
          <w:noProof/>
        </w:rPr>
        <w:instrText xml:space="preserve"> PAGEREF _Toc63142092 \h </w:instrText>
      </w:r>
      <w:r w:rsidRPr="00F26A7B">
        <w:rPr>
          <w:noProof/>
        </w:rPr>
      </w:r>
      <w:r w:rsidRPr="00F26A7B">
        <w:rPr>
          <w:noProof/>
        </w:rPr>
        <w:fldChar w:fldCharType="separate"/>
      </w:r>
      <w:r w:rsidR="00EB30DC">
        <w:rPr>
          <w:noProof/>
        </w:rPr>
        <w:t>19</w:t>
      </w:r>
      <w:r w:rsidRPr="00F26A7B">
        <w:rPr>
          <w:noProof/>
        </w:rPr>
        <w:fldChar w:fldCharType="end"/>
      </w:r>
    </w:p>
    <w:p w14:paraId="4BC07BD9" w14:textId="48506DC9" w:rsidR="00463668" w:rsidRPr="00F26A7B" w:rsidRDefault="00463668">
      <w:pPr>
        <w:pStyle w:val="TOC2"/>
        <w:rPr>
          <w:rFonts w:asciiTheme="minorHAnsi" w:hAnsiTheme="minorHAnsi" w:cstheme="minorBidi"/>
          <w:noProof/>
          <w:szCs w:val="22"/>
        </w:rPr>
      </w:pPr>
      <w:r w:rsidRPr="00F26A7B">
        <w:rPr>
          <w:noProof/>
        </w:rPr>
        <w:t>06.20</w:t>
      </w:r>
      <w:r w:rsidRPr="00F26A7B">
        <w:rPr>
          <w:rFonts w:asciiTheme="minorHAnsi" w:hAnsiTheme="minorHAnsi" w:cstheme="minorBidi"/>
          <w:noProof/>
          <w:szCs w:val="22"/>
        </w:rPr>
        <w:tab/>
      </w:r>
      <w:r w:rsidRPr="00F26A7B">
        <w:rPr>
          <w:noProof/>
        </w:rPr>
        <w:t>Review Licensee Evaluation of Criterion (c)(2)(vii)</w:t>
      </w:r>
      <w:r w:rsidRPr="00F26A7B">
        <w:rPr>
          <w:noProof/>
        </w:rPr>
        <w:tab/>
      </w:r>
      <w:r w:rsidRPr="00F26A7B">
        <w:rPr>
          <w:noProof/>
        </w:rPr>
        <w:fldChar w:fldCharType="begin"/>
      </w:r>
      <w:r w:rsidRPr="00F26A7B">
        <w:rPr>
          <w:noProof/>
        </w:rPr>
        <w:instrText xml:space="preserve"> PAGEREF _Toc63142093 \h </w:instrText>
      </w:r>
      <w:r w:rsidRPr="00F26A7B">
        <w:rPr>
          <w:noProof/>
        </w:rPr>
      </w:r>
      <w:r w:rsidRPr="00F26A7B">
        <w:rPr>
          <w:noProof/>
        </w:rPr>
        <w:fldChar w:fldCharType="separate"/>
      </w:r>
      <w:r w:rsidR="00EB30DC">
        <w:rPr>
          <w:noProof/>
        </w:rPr>
        <w:t>20</w:t>
      </w:r>
      <w:r w:rsidRPr="00F26A7B">
        <w:rPr>
          <w:noProof/>
        </w:rPr>
        <w:fldChar w:fldCharType="end"/>
      </w:r>
    </w:p>
    <w:p w14:paraId="325C0235" w14:textId="565229EB" w:rsidR="00463668" w:rsidRPr="00F26A7B" w:rsidRDefault="00463668">
      <w:pPr>
        <w:pStyle w:val="TOC2"/>
        <w:rPr>
          <w:rFonts w:asciiTheme="minorHAnsi" w:hAnsiTheme="minorHAnsi" w:cstheme="minorBidi"/>
          <w:noProof/>
          <w:szCs w:val="22"/>
        </w:rPr>
      </w:pPr>
      <w:r w:rsidRPr="00F26A7B">
        <w:rPr>
          <w:noProof/>
        </w:rPr>
        <w:t>06.21</w:t>
      </w:r>
      <w:r w:rsidRPr="00F26A7B">
        <w:rPr>
          <w:rFonts w:asciiTheme="minorHAnsi" w:hAnsiTheme="minorHAnsi" w:cstheme="minorBidi"/>
          <w:noProof/>
          <w:szCs w:val="22"/>
        </w:rPr>
        <w:tab/>
      </w:r>
      <w:r w:rsidRPr="00F26A7B">
        <w:rPr>
          <w:noProof/>
        </w:rPr>
        <w:t>Review Licensee Evaluation of Criterion (c)(2)(viii)</w:t>
      </w:r>
      <w:r w:rsidRPr="00F26A7B">
        <w:rPr>
          <w:noProof/>
        </w:rPr>
        <w:tab/>
      </w:r>
      <w:r w:rsidRPr="00F26A7B">
        <w:rPr>
          <w:noProof/>
        </w:rPr>
        <w:fldChar w:fldCharType="begin"/>
      </w:r>
      <w:r w:rsidRPr="00F26A7B">
        <w:rPr>
          <w:noProof/>
        </w:rPr>
        <w:instrText xml:space="preserve"> PAGEREF _Toc63142094 \h </w:instrText>
      </w:r>
      <w:r w:rsidRPr="00F26A7B">
        <w:rPr>
          <w:noProof/>
        </w:rPr>
      </w:r>
      <w:r w:rsidRPr="00F26A7B">
        <w:rPr>
          <w:noProof/>
        </w:rPr>
        <w:fldChar w:fldCharType="separate"/>
      </w:r>
      <w:r w:rsidR="00EB30DC">
        <w:rPr>
          <w:noProof/>
        </w:rPr>
        <w:t>22</w:t>
      </w:r>
      <w:r w:rsidRPr="00F26A7B">
        <w:rPr>
          <w:noProof/>
        </w:rPr>
        <w:fldChar w:fldCharType="end"/>
      </w:r>
    </w:p>
    <w:p w14:paraId="0ECD84F2" w14:textId="267EA8C5" w:rsidR="00463668" w:rsidRPr="00F26A7B" w:rsidRDefault="00463668">
      <w:pPr>
        <w:pStyle w:val="TOC2"/>
        <w:rPr>
          <w:rFonts w:asciiTheme="minorHAnsi" w:hAnsiTheme="minorHAnsi" w:cstheme="minorBidi"/>
          <w:noProof/>
          <w:szCs w:val="22"/>
        </w:rPr>
      </w:pPr>
      <w:r w:rsidRPr="00F26A7B">
        <w:rPr>
          <w:noProof/>
        </w:rPr>
        <w:t>06.22</w:t>
      </w:r>
      <w:r w:rsidRPr="00F26A7B">
        <w:rPr>
          <w:rFonts w:asciiTheme="minorHAnsi" w:hAnsiTheme="minorHAnsi" w:cstheme="minorBidi"/>
          <w:noProof/>
          <w:szCs w:val="22"/>
        </w:rPr>
        <w:tab/>
      </w:r>
      <w:r w:rsidRPr="00F26A7B">
        <w:rPr>
          <w:noProof/>
        </w:rPr>
        <w:t>Maintenance Activities</w:t>
      </w:r>
      <w:r w:rsidRPr="00F26A7B">
        <w:rPr>
          <w:noProof/>
        </w:rPr>
        <w:tab/>
      </w:r>
      <w:r w:rsidRPr="00F26A7B">
        <w:rPr>
          <w:noProof/>
        </w:rPr>
        <w:fldChar w:fldCharType="begin"/>
      </w:r>
      <w:r w:rsidRPr="00F26A7B">
        <w:rPr>
          <w:noProof/>
        </w:rPr>
        <w:instrText xml:space="preserve"> PAGEREF _Toc63142095 \h </w:instrText>
      </w:r>
      <w:r w:rsidRPr="00F26A7B">
        <w:rPr>
          <w:noProof/>
        </w:rPr>
      </w:r>
      <w:r w:rsidRPr="00F26A7B">
        <w:rPr>
          <w:noProof/>
        </w:rPr>
        <w:fldChar w:fldCharType="separate"/>
      </w:r>
      <w:r w:rsidR="00EB30DC">
        <w:rPr>
          <w:noProof/>
        </w:rPr>
        <w:t>25</w:t>
      </w:r>
      <w:r w:rsidRPr="00F26A7B">
        <w:rPr>
          <w:noProof/>
        </w:rPr>
        <w:fldChar w:fldCharType="end"/>
      </w:r>
    </w:p>
    <w:p w14:paraId="7D71FBA5" w14:textId="54FE2A82" w:rsidR="00463668" w:rsidRPr="00F26A7B" w:rsidRDefault="00463668">
      <w:pPr>
        <w:pStyle w:val="TOC2"/>
        <w:rPr>
          <w:rFonts w:asciiTheme="minorHAnsi" w:hAnsiTheme="minorHAnsi" w:cstheme="minorBidi"/>
          <w:noProof/>
          <w:szCs w:val="22"/>
        </w:rPr>
      </w:pPr>
      <w:r w:rsidRPr="00F26A7B">
        <w:rPr>
          <w:noProof/>
        </w:rPr>
        <w:t>06.23</w:t>
      </w:r>
      <w:r w:rsidRPr="00F26A7B">
        <w:rPr>
          <w:rFonts w:asciiTheme="minorHAnsi" w:hAnsiTheme="minorHAnsi" w:cstheme="minorBidi"/>
          <w:noProof/>
          <w:szCs w:val="22"/>
        </w:rPr>
        <w:tab/>
      </w:r>
      <w:r w:rsidRPr="00F26A7B">
        <w:rPr>
          <w:noProof/>
        </w:rPr>
        <w:t>Compensatory Actions</w:t>
      </w:r>
      <w:r w:rsidRPr="00F26A7B">
        <w:rPr>
          <w:noProof/>
        </w:rPr>
        <w:tab/>
      </w:r>
      <w:r w:rsidRPr="00F26A7B">
        <w:rPr>
          <w:noProof/>
        </w:rPr>
        <w:fldChar w:fldCharType="begin"/>
      </w:r>
      <w:r w:rsidRPr="00F26A7B">
        <w:rPr>
          <w:noProof/>
        </w:rPr>
        <w:instrText xml:space="preserve"> PAGEREF _Toc63142096 \h </w:instrText>
      </w:r>
      <w:r w:rsidRPr="00F26A7B">
        <w:rPr>
          <w:noProof/>
        </w:rPr>
      </w:r>
      <w:r w:rsidRPr="00F26A7B">
        <w:rPr>
          <w:noProof/>
        </w:rPr>
        <w:fldChar w:fldCharType="separate"/>
      </w:r>
      <w:r w:rsidR="00EB30DC">
        <w:rPr>
          <w:noProof/>
        </w:rPr>
        <w:t>26</w:t>
      </w:r>
      <w:r w:rsidRPr="00F26A7B">
        <w:rPr>
          <w:noProof/>
        </w:rPr>
        <w:fldChar w:fldCharType="end"/>
      </w:r>
    </w:p>
    <w:p w14:paraId="18CFF0F0" w14:textId="78CF3AEA" w:rsidR="00463668" w:rsidRPr="00F26A7B" w:rsidRDefault="00463668">
      <w:pPr>
        <w:pStyle w:val="TOC2"/>
        <w:rPr>
          <w:rFonts w:asciiTheme="minorHAnsi" w:hAnsiTheme="minorHAnsi" w:cstheme="minorBidi"/>
          <w:noProof/>
          <w:szCs w:val="22"/>
        </w:rPr>
      </w:pPr>
      <w:r w:rsidRPr="00F26A7B">
        <w:rPr>
          <w:noProof/>
        </w:rPr>
        <w:t>06.24</w:t>
      </w:r>
      <w:r w:rsidRPr="00F26A7B">
        <w:rPr>
          <w:rFonts w:asciiTheme="minorHAnsi" w:hAnsiTheme="minorHAnsi" w:cstheme="minorBidi"/>
          <w:noProof/>
          <w:szCs w:val="22"/>
        </w:rPr>
        <w:tab/>
      </w:r>
      <w:r w:rsidRPr="00F26A7B">
        <w:rPr>
          <w:noProof/>
        </w:rPr>
        <w:t>Guidance for Digital Modifications</w:t>
      </w:r>
      <w:r w:rsidRPr="00F26A7B">
        <w:rPr>
          <w:noProof/>
        </w:rPr>
        <w:tab/>
      </w:r>
      <w:r w:rsidRPr="00F26A7B">
        <w:rPr>
          <w:noProof/>
        </w:rPr>
        <w:fldChar w:fldCharType="begin"/>
      </w:r>
      <w:r w:rsidRPr="00F26A7B">
        <w:rPr>
          <w:noProof/>
        </w:rPr>
        <w:instrText xml:space="preserve"> PAGEREF _Toc63142097 \h </w:instrText>
      </w:r>
      <w:r w:rsidRPr="00F26A7B">
        <w:rPr>
          <w:noProof/>
        </w:rPr>
      </w:r>
      <w:r w:rsidRPr="00F26A7B">
        <w:rPr>
          <w:noProof/>
        </w:rPr>
        <w:fldChar w:fldCharType="separate"/>
      </w:r>
      <w:r w:rsidR="00EB30DC">
        <w:rPr>
          <w:noProof/>
        </w:rPr>
        <w:t>26</w:t>
      </w:r>
      <w:r w:rsidRPr="00F26A7B">
        <w:rPr>
          <w:noProof/>
        </w:rPr>
        <w:fldChar w:fldCharType="end"/>
      </w:r>
    </w:p>
    <w:p w14:paraId="7C5AF4BC" w14:textId="3AE873C3" w:rsidR="00463668" w:rsidRPr="00F26A7B" w:rsidRDefault="00463668">
      <w:pPr>
        <w:pStyle w:val="TOC2"/>
        <w:rPr>
          <w:rFonts w:asciiTheme="minorHAnsi" w:hAnsiTheme="minorHAnsi" w:cstheme="minorBidi"/>
          <w:noProof/>
          <w:szCs w:val="22"/>
        </w:rPr>
      </w:pPr>
      <w:r w:rsidRPr="00F26A7B">
        <w:rPr>
          <w:noProof/>
        </w:rPr>
        <w:t>06.25</w:t>
      </w:r>
      <w:r w:rsidRPr="00F26A7B">
        <w:rPr>
          <w:rFonts w:asciiTheme="minorHAnsi" w:hAnsiTheme="minorHAnsi" w:cstheme="minorBidi"/>
          <w:noProof/>
          <w:szCs w:val="22"/>
        </w:rPr>
        <w:tab/>
      </w:r>
      <w:r w:rsidRPr="00F26A7B">
        <w:rPr>
          <w:noProof/>
        </w:rPr>
        <w:t>Documentation and Reporting</w:t>
      </w:r>
      <w:r w:rsidRPr="00F26A7B">
        <w:rPr>
          <w:noProof/>
        </w:rPr>
        <w:tab/>
      </w:r>
      <w:r w:rsidRPr="00F26A7B">
        <w:rPr>
          <w:noProof/>
        </w:rPr>
        <w:fldChar w:fldCharType="begin"/>
      </w:r>
      <w:r w:rsidRPr="00F26A7B">
        <w:rPr>
          <w:noProof/>
        </w:rPr>
        <w:instrText xml:space="preserve"> PAGEREF _Toc63142098 \h </w:instrText>
      </w:r>
      <w:r w:rsidRPr="00F26A7B">
        <w:rPr>
          <w:noProof/>
        </w:rPr>
      </w:r>
      <w:r w:rsidRPr="00F26A7B">
        <w:rPr>
          <w:noProof/>
        </w:rPr>
        <w:fldChar w:fldCharType="separate"/>
      </w:r>
      <w:r w:rsidR="00EB30DC">
        <w:rPr>
          <w:noProof/>
        </w:rPr>
        <w:t>27</w:t>
      </w:r>
      <w:r w:rsidRPr="00F26A7B">
        <w:rPr>
          <w:noProof/>
        </w:rPr>
        <w:fldChar w:fldCharType="end"/>
      </w:r>
    </w:p>
    <w:p w14:paraId="486BD06D" w14:textId="64258721" w:rsidR="00463668" w:rsidRPr="00F26A7B" w:rsidRDefault="00463668">
      <w:pPr>
        <w:pStyle w:val="TOC1"/>
        <w:rPr>
          <w:rFonts w:asciiTheme="minorHAnsi" w:hAnsiTheme="minorHAnsi" w:cstheme="minorBidi"/>
          <w:noProof/>
          <w:szCs w:val="22"/>
        </w:rPr>
      </w:pPr>
      <w:r w:rsidRPr="00F26A7B">
        <w:rPr>
          <w:noProof/>
        </w:rPr>
        <w:t>0335-07</w:t>
      </w:r>
      <w:r w:rsidRPr="00F26A7B">
        <w:rPr>
          <w:rFonts w:asciiTheme="minorHAnsi" w:hAnsiTheme="minorHAnsi" w:cstheme="minorBidi"/>
          <w:noProof/>
          <w:szCs w:val="22"/>
        </w:rPr>
        <w:tab/>
      </w:r>
      <w:r w:rsidRPr="00F26A7B">
        <w:rPr>
          <w:noProof/>
        </w:rPr>
        <w:t>10 CFR 72.48 PROCESS</w:t>
      </w:r>
      <w:r w:rsidRPr="00F26A7B">
        <w:rPr>
          <w:noProof/>
        </w:rPr>
        <w:tab/>
      </w:r>
      <w:r w:rsidRPr="00F26A7B">
        <w:rPr>
          <w:noProof/>
        </w:rPr>
        <w:fldChar w:fldCharType="begin"/>
      </w:r>
      <w:r w:rsidRPr="00F26A7B">
        <w:rPr>
          <w:noProof/>
        </w:rPr>
        <w:instrText xml:space="preserve"> PAGEREF _Toc63142099 \h </w:instrText>
      </w:r>
      <w:r w:rsidRPr="00F26A7B">
        <w:rPr>
          <w:noProof/>
        </w:rPr>
      </w:r>
      <w:r w:rsidRPr="00F26A7B">
        <w:rPr>
          <w:noProof/>
        </w:rPr>
        <w:fldChar w:fldCharType="separate"/>
      </w:r>
      <w:r w:rsidR="00EB30DC">
        <w:rPr>
          <w:noProof/>
        </w:rPr>
        <w:t>27</w:t>
      </w:r>
      <w:r w:rsidRPr="00F26A7B">
        <w:rPr>
          <w:noProof/>
        </w:rPr>
        <w:fldChar w:fldCharType="end"/>
      </w:r>
    </w:p>
    <w:p w14:paraId="6B27B073" w14:textId="2645F068" w:rsidR="00463668" w:rsidRPr="00F26A7B" w:rsidRDefault="00463668">
      <w:pPr>
        <w:pStyle w:val="TOC2"/>
        <w:rPr>
          <w:rFonts w:asciiTheme="minorHAnsi" w:hAnsiTheme="minorHAnsi" w:cstheme="minorBidi"/>
          <w:noProof/>
          <w:szCs w:val="22"/>
        </w:rPr>
      </w:pPr>
      <w:r w:rsidRPr="00F26A7B">
        <w:rPr>
          <w:noProof/>
        </w:rPr>
        <w:t>07.01</w:t>
      </w:r>
      <w:r w:rsidRPr="00F26A7B">
        <w:rPr>
          <w:rFonts w:asciiTheme="minorHAnsi" w:hAnsiTheme="minorHAnsi" w:cstheme="minorBidi"/>
          <w:noProof/>
          <w:szCs w:val="22"/>
        </w:rPr>
        <w:tab/>
      </w:r>
      <w:r w:rsidRPr="00F26A7B">
        <w:rPr>
          <w:noProof/>
        </w:rPr>
        <w:t>Relationship Between 10 CFR 50.59 and 10 CFR 72.48</w:t>
      </w:r>
      <w:r w:rsidRPr="00F26A7B">
        <w:rPr>
          <w:noProof/>
        </w:rPr>
        <w:tab/>
      </w:r>
      <w:r w:rsidRPr="00F26A7B">
        <w:rPr>
          <w:noProof/>
        </w:rPr>
        <w:fldChar w:fldCharType="begin"/>
      </w:r>
      <w:r w:rsidRPr="00F26A7B">
        <w:rPr>
          <w:noProof/>
        </w:rPr>
        <w:instrText xml:space="preserve"> PAGEREF _Toc63142100 \h </w:instrText>
      </w:r>
      <w:r w:rsidRPr="00F26A7B">
        <w:rPr>
          <w:noProof/>
        </w:rPr>
      </w:r>
      <w:r w:rsidRPr="00F26A7B">
        <w:rPr>
          <w:noProof/>
        </w:rPr>
        <w:fldChar w:fldCharType="separate"/>
      </w:r>
      <w:r w:rsidR="00EB30DC">
        <w:rPr>
          <w:noProof/>
        </w:rPr>
        <w:t>28</w:t>
      </w:r>
      <w:r w:rsidRPr="00F26A7B">
        <w:rPr>
          <w:noProof/>
        </w:rPr>
        <w:fldChar w:fldCharType="end"/>
      </w:r>
    </w:p>
    <w:p w14:paraId="17D9FCD5" w14:textId="77777777" w:rsidR="00463668" w:rsidRPr="00F26A7B" w:rsidRDefault="00463668">
      <w:pPr>
        <w:pStyle w:val="TOC2"/>
        <w:rPr>
          <w:noProof/>
        </w:rPr>
      </w:pPr>
      <w:r w:rsidRPr="00F26A7B">
        <w:rPr>
          <w:noProof/>
        </w:rPr>
        <w:t>07.02</w:t>
      </w:r>
      <w:r w:rsidRPr="00F26A7B">
        <w:rPr>
          <w:rFonts w:asciiTheme="minorHAnsi" w:hAnsiTheme="minorHAnsi" w:cstheme="minorBidi"/>
          <w:noProof/>
          <w:szCs w:val="22"/>
        </w:rPr>
        <w:tab/>
      </w:r>
      <w:r w:rsidRPr="00F26A7B">
        <w:rPr>
          <w:noProof/>
        </w:rPr>
        <w:t xml:space="preserve">Relationship Between 10 CFR 72.48 and Quality Assurance Program </w:t>
      </w:r>
    </w:p>
    <w:p w14:paraId="6CA91739" w14:textId="66CB24F5" w:rsidR="00463668" w:rsidRPr="00F26A7B" w:rsidRDefault="00463668">
      <w:pPr>
        <w:pStyle w:val="TOC2"/>
        <w:rPr>
          <w:rFonts w:asciiTheme="minorHAnsi" w:hAnsiTheme="minorHAnsi" w:cstheme="minorBidi"/>
          <w:noProof/>
          <w:szCs w:val="22"/>
        </w:rPr>
      </w:pPr>
      <w:r w:rsidRPr="00F26A7B">
        <w:rPr>
          <w:noProof/>
        </w:rPr>
        <w:tab/>
        <w:t>Requirements</w:t>
      </w:r>
      <w:r w:rsidRPr="00F26A7B">
        <w:rPr>
          <w:noProof/>
        </w:rPr>
        <w:tab/>
      </w:r>
      <w:r w:rsidRPr="00F26A7B">
        <w:rPr>
          <w:noProof/>
        </w:rPr>
        <w:fldChar w:fldCharType="begin"/>
      </w:r>
      <w:r w:rsidRPr="00F26A7B">
        <w:rPr>
          <w:noProof/>
        </w:rPr>
        <w:instrText xml:space="preserve"> PAGEREF _Toc63142101 \h </w:instrText>
      </w:r>
      <w:r w:rsidRPr="00F26A7B">
        <w:rPr>
          <w:noProof/>
        </w:rPr>
      </w:r>
      <w:r w:rsidRPr="00F26A7B">
        <w:rPr>
          <w:noProof/>
        </w:rPr>
        <w:fldChar w:fldCharType="separate"/>
      </w:r>
      <w:r w:rsidR="00EB30DC">
        <w:rPr>
          <w:noProof/>
        </w:rPr>
        <w:t>28</w:t>
      </w:r>
      <w:r w:rsidRPr="00F26A7B">
        <w:rPr>
          <w:noProof/>
        </w:rPr>
        <w:fldChar w:fldCharType="end"/>
      </w:r>
    </w:p>
    <w:p w14:paraId="2DECD1D4" w14:textId="6422F2CF" w:rsidR="00463668" w:rsidRPr="00F26A7B" w:rsidRDefault="00463668">
      <w:pPr>
        <w:pStyle w:val="TOC2"/>
        <w:rPr>
          <w:rFonts w:asciiTheme="minorHAnsi" w:hAnsiTheme="minorHAnsi" w:cstheme="minorBidi"/>
          <w:noProof/>
          <w:szCs w:val="22"/>
        </w:rPr>
      </w:pPr>
      <w:r w:rsidRPr="00F26A7B">
        <w:rPr>
          <w:noProof/>
        </w:rPr>
        <w:t>07.03</w:t>
      </w:r>
      <w:r w:rsidRPr="00F26A7B">
        <w:rPr>
          <w:noProof/>
        </w:rPr>
        <w:tab/>
        <w:t>Relationship Between 10 CFR 72.48 and Transportation (10 CFR Part 71)</w:t>
      </w:r>
      <w:r w:rsidRPr="00F26A7B">
        <w:rPr>
          <w:noProof/>
        </w:rPr>
        <w:tab/>
      </w:r>
      <w:r w:rsidRPr="00F26A7B">
        <w:rPr>
          <w:noProof/>
        </w:rPr>
        <w:fldChar w:fldCharType="begin"/>
      </w:r>
      <w:r w:rsidRPr="00F26A7B">
        <w:rPr>
          <w:noProof/>
        </w:rPr>
        <w:instrText xml:space="preserve"> PAGEREF _Toc63142102 \h </w:instrText>
      </w:r>
      <w:r w:rsidRPr="00F26A7B">
        <w:rPr>
          <w:noProof/>
        </w:rPr>
      </w:r>
      <w:r w:rsidRPr="00F26A7B">
        <w:rPr>
          <w:noProof/>
        </w:rPr>
        <w:fldChar w:fldCharType="separate"/>
      </w:r>
      <w:r w:rsidR="00EB30DC">
        <w:rPr>
          <w:noProof/>
        </w:rPr>
        <w:t>29</w:t>
      </w:r>
      <w:r w:rsidRPr="00F26A7B">
        <w:rPr>
          <w:noProof/>
        </w:rPr>
        <w:fldChar w:fldCharType="end"/>
      </w:r>
    </w:p>
    <w:p w14:paraId="713A900C" w14:textId="7A9C2EFD" w:rsidR="00463668" w:rsidRPr="00F26A7B" w:rsidRDefault="00463668">
      <w:pPr>
        <w:pStyle w:val="TOC2"/>
        <w:rPr>
          <w:rFonts w:asciiTheme="minorHAnsi" w:hAnsiTheme="minorHAnsi" w:cstheme="minorBidi"/>
          <w:noProof/>
          <w:szCs w:val="22"/>
        </w:rPr>
      </w:pPr>
      <w:r w:rsidRPr="00F26A7B">
        <w:rPr>
          <w:noProof/>
        </w:rPr>
        <w:t>07.04</w:t>
      </w:r>
      <w:r w:rsidRPr="00F26A7B">
        <w:rPr>
          <w:noProof/>
        </w:rPr>
        <w:tab/>
        <w:t>Relationship Between 10 CFR 72.48 and Maintenance (10 CFR 50.65)</w:t>
      </w:r>
      <w:r w:rsidRPr="00F26A7B">
        <w:rPr>
          <w:noProof/>
        </w:rPr>
        <w:tab/>
      </w:r>
      <w:r w:rsidRPr="00F26A7B">
        <w:rPr>
          <w:noProof/>
        </w:rPr>
        <w:fldChar w:fldCharType="begin"/>
      </w:r>
      <w:r w:rsidRPr="00F26A7B">
        <w:rPr>
          <w:noProof/>
        </w:rPr>
        <w:instrText xml:space="preserve"> PAGEREF _Toc63142103 \h </w:instrText>
      </w:r>
      <w:r w:rsidRPr="00F26A7B">
        <w:rPr>
          <w:noProof/>
        </w:rPr>
      </w:r>
      <w:r w:rsidRPr="00F26A7B">
        <w:rPr>
          <w:noProof/>
        </w:rPr>
        <w:fldChar w:fldCharType="separate"/>
      </w:r>
      <w:r w:rsidR="00EB30DC">
        <w:rPr>
          <w:noProof/>
        </w:rPr>
        <w:t>29</w:t>
      </w:r>
      <w:r w:rsidRPr="00F26A7B">
        <w:rPr>
          <w:noProof/>
        </w:rPr>
        <w:fldChar w:fldCharType="end"/>
      </w:r>
    </w:p>
    <w:p w14:paraId="6EB51AFC" w14:textId="6C0B3682" w:rsidR="00463668" w:rsidRPr="00F26A7B" w:rsidRDefault="00463668">
      <w:pPr>
        <w:pStyle w:val="TOC2"/>
        <w:rPr>
          <w:rFonts w:asciiTheme="minorHAnsi" w:hAnsiTheme="minorHAnsi" w:cstheme="minorBidi"/>
          <w:noProof/>
          <w:szCs w:val="22"/>
        </w:rPr>
      </w:pPr>
      <w:r w:rsidRPr="00F26A7B">
        <w:rPr>
          <w:noProof/>
        </w:rPr>
        <w:t>07.05</w:t>
      </w:r>
      <w:r w:rsidRPr="00F26A7B">
        <w:rPr>
          <w:noProof/>
        </w:rPr>
        <w:tab/>
        <w:t>Relationship Between 10 CFR 72.48 and 10 CFR 72.212 Evaluation Report</w:t>
      </w:r>
      <w:r w:rsidRPr="00F26A7B">
        <w:rPr>
          <w:noProof/>
        </w:rPr>
        <w:tab/>
      </w:r>
      <w:r w:rsidRPr="00F26A7B">
        <w:rPr>
          <w:noProof/>
        </w:rPr>
        <w:fldChar w:fldCharType="begin"/>
      </w:r>
      <w:r w:rsidRPr="00F26A7B">
        <w:rPr>
          <w:noProof/>
        </w:rPr>
        <w:instrText xml:space="preserve"> PAGEREF _Toc63142104 \h </w:instrText>
      </w:r>
      <w:r w:rsidRPr="00F26A7B">
        <w:rPr>
          <w:noProof/>
        </w:rPr>
      </w:r>
      <w:r w:rsidRPr="00F26A7B">
        <w:rPr>
          <w:noProof/>
        </w:rPr>
        <w:fldChar w:fldCharType="separate"/>
      </w:r>
      <w:r w:rsidR="00EB30DC">
        <w:rPr>
          <w:noProof/>
        </w:rPr>
        <w:t>29</w:t>
      </w:r>
      <w:r w:rsidRPr="00F26A7B">
        <w:rPr>
          <w:noProof/>
        </w:rPr>
        <w:fldChar w:fldCharType="end"/>
      </w:r>
    </w:p>
    <w:p w14:paraId="34D934DA" w14:textId="2D5048B6" w:rsidR="00463668" w:rsidRPr="00F26A7B" w:rsidRDefault="00463668">
      <w:pPr>
        <w:pStyle w:val="TOC2"/>
        <w:rPr>
          <w:rFonts w:asciiTheme="minorHAnsi" w:hAnsiTheme="minorHAnsi" w:cstheme="minorBidi"/>
          <w:noProof/>
          <w:szCs w:val="22"/>
        </w:rPr>
      </w:pPr>
      <w:r w:rsidRPr="00F26A7B">
        <w:rPr>
          <w:noProof/>
        </w:rPr>
        <w:t>07.06</w:t>
      </w:r>
      <w:r w:rsidRPr="00F26A7B">
        <w:rPr>
          <w:rFonts w:asciiTheme="minorHAnsi" w:hAnsiTheme="minorHAnsi" w:cstheme="minorBidi"/>
          <w:noProof/>
          <w:szCs w:val="22"/>
        </w:rPr>
        <w:tab/>
      </w:r>
      <w:r w:rsidRPr="00F26A7B">
        <w:rPr>
          <w:noProof/>
        </w:rPr>
        <w:t>Applicability Determination</w:t>
      </w:r>
      <w:r w:rsidRPr="00F26A7B">
        <w:rPr>
          <w:noProof/>
        </w:rPr>
        <w:tab/>
      </w:r>
      <w:r w:rsidRPr="00F26A7B">
        <w:rPr>
          <w:noProof/>
        </w:rPr>
        <w:fldChar w:fldCharType="begin"/>
      </w:r>
      <w:r w:rsidRPr="00F26A7B">
        <w:rPr>
          <w:noProof/>
        </w:rPr>
        <w:instrText xml:space="preserve"> PAGEREF _Toc63142105 \h </w:instrText>
      </w:r>
      <w:r w:rsidRPr="00F26A7B">
        <w:rPr>
          <w:noProof/>
        </w:rPr>
      </w:r>
      <w:r w:rsidRPr="00F26A7B">
        <w:rPr>
          <w:noProof/>
        </w:rPr>
        <w:fldChar w:fldCharType="separate"/>
      </w:r>
      <w:r w:rsidR="00EB30DC">
        <w:rPr>
          <w:noProof/>
        </w:rPr>
        <w:t>30</w:t>
      </w:r>
      <w:r w:rsidRPr="00F26A7B">
        <w:rPr>
          <w:noProof/>
        </w:rPr>
        <w:fldChar w:fldCharType="end"/>
      </w:r>
    </w:p>
    <w:p w14:paraId="0BCD5A0D" w14:textId="7EC5F137" w:rsidR="00463668" w:rsidRPr="00F26A7B" w:rsidRDefault="00463668">
      <w:pPr>
        <w:pStyle w:val="TOC2"/>
        <w:rPr>
          <w:rFonts w:asciiTheme="minorHAnsi" w:hAnsiTheme="minorHAnsi" w:cstheme="minorBidi"/>
          <w:noProof/>
          <w:szCs w:val="22"/>
        </w:rPr>
      </w:pPr>
      <w:r w:rsidRPr="00F26A7B">
        <w:rPr>
          <w:noProof/>
        </w:rPr>
        <w:t>07.07</w:t>
      </w:r>
      <w:r w:rsidRPr="00F26A7B">
        <w:rPr>
          <w:rFonts w:asciiTheme="minorHAnsi" w:hAnsiTheme="minorHAnsi" w:cstheme="minorBidi"/>
          <w:noProof/>
          <w:szCs w:val="22"/>
        </w:rPr>
        <w:tab/>
      </w:r>
      <w:r w:rsidRPr="00F26A7B">
        <w:rPr>
          <w:noProof/>
        </w:rPr>
        <w:t>Screening</w:t>
      </w:r>
      <w:r w:rsidRPr="00F26A7B">
        <w:rPr>
          <w:noProof/>
        </w:rPr>
        <w:tab/>
      </w:r>
      <w:r w:rsidRPr="00F26A7B">
        <w:rPr>
          <w:noProof/>
        </w:rPr>
        <w:fldChar w:fldCharType="begin"/>
      </w:r>
      <w:r w:rsidRPr="00F26A7B">
        <w:rPr>
          <w:noProof/>
        </w:rPr>
        <w:instrText xml:space="preserve"> PAGEREF _Toc63142106 \h </w:instrText>
      </w:r>
      <w:r w:rsidRPr="00F26A7B">
        <w:rPr>
          <w:noProof/>
        </w:rPr>
      </w:r>
      <w:r w:rsidRPr="00F26A7B">
        <w:rPr>
          <w:noProof/>
        </w:rPr>
        <w:fldChar w:fldCharType="separate"/>
      </w:r>
      <w:r w:rsidR="00EB30DC">
        <w:rPr>
          <w:noProof/>
        </w:rPr>
        <w:t>30</w:t>
      </w:r>
      <w:r w:rsidRPr="00F26A7B">
        <w:rPr>
          <w:noProof/>
        </w:rPr>
        <w:fldChar w:fldCharType="end"/>
      </w:r>
    </w:p>
    <w:p w14:paraId="600469CE" w14:textId="140BDF30" w:rsidR="00463668" w:rsidRPr="00F26A7B" w:rsidRDefault="00463668">
      <w:pPr>
        <w:pStyle w:val="TOC2"/>
        <w:rPr>
          <w:rFonts w:asciiTheme="minorHAnsi" w:hAnsiTheme="minorHAnsi" w:cstheme="minorBidi"/>
          <w:noProof/>
          <w:szCs w:val="22"/>
        </w:rPr>
      </w:pPr>
      <w:r w:rsidRPr="00F26A7B">
        <w:rPr>
          <w:noProof/>
        </w:rPr>
        <w:t>07.08</w:t>
      </w:r>
      <w:r w:rsidRPr="00F26A7B">
        <w:rPr>
          <w:rFonts w:asciiTheme="minorHAnsi" w:hAnsiTheme="minorHAnsi" w:cstheme="minorBidi"/>
          <w:noProof/>
          <w:szCs w:val="22"/>
        </w:rPr>
        <w:tab/>
      </w:r>
      <w:r w:rsidRPr="00F26A7B">
        <w:rPr>
          <w:noProof/>
        </w:rPr>
        <w:t>Changes to the Facility or to Procedures</w:t>
      </w:r>
      <w:r w:rsidRPr="00F26A7B">
        <w:rPr>
          <w:noProof/>
        </w:rPr>
        <w:tab/>
      </w:r>
      <w:r w:rsidRPr="00F26A7B">
        <w:rPr>
          <w:noProof/>
        </w:rPr>
        <w:fldChar w:fldCharType="begin"/>
      </w:r>
      <w:r w:rsidRPr="00F26A7B">
        <w:rPr>
          <w:noProof/>
        </w:rPr>
        <w:instrText xml:space="preserve"> PAGEREF _Toc63142107 \h </w:instrText>
      </w:r>
      <w:r w:rsidRPr="00F26A7B">
        <w:rPr>
          <w:noProof/>
        </w:rPr>
      </w:r>
      <w:r w:rsidRPr="00F26A7B">
        <w:rPr>
          <w:noProof/>
        </w:rPr>
        <w:fldChar w:fldCharType="separate"/>
      </w:r>
      <w:r w:rsidR="00EB30DC">
        <w:rPr>
          <w:noProof/>
        </w:rPr>
        <w:t>31</w:t>
      </w:r>
      <w:r w:rsidRPr="00F26A7B">
        <w:rPr>
          <w:noProof/>
        </w:rPr>
        <w:fldChar w:fldCharType="end"/>
      </w:r>
    </w:p>
    <w:p w14:paraId="245BEFCF" w14:textId="47003023" w:rsidR="00463668" w:rsidRPr="00F26A7B" w:rsidRDefault="00463668">
      <w:pPr>
        <w:pStyle w:val="TOC2"/>
        <w:rPr>
          <w:rFonts w:asciiTheme="minorHAnsi" w:hAnsiTheme="minorHAnsi" w:cstheme="minorBidi"/>
          <w:noProof/>
          <w:szCs w:val="22"/>
        </w:rPr>
      </w:pPr>
      <w:r w:rsidRPr="00F26A7B">
        <w:rPr>
          <w:noProof/>
        </w:rPr>
        <w:t>07.09</w:t>
      </w:r>
      <w:r w:rsidRPr="00F26A7B">
        <w:rPr>
          <w:rFonts w:asciiTheme="minorHAnsi" w:hAnsiTheme="minorHAnsi" w:cstheme="minorBidi"/>
          <w:noProof/>
          <w:szCs w:val="22"/>
        </w:rPr>
        <w:tab/>
      </w:r>
      <w:r w:rsidRPr="00F26A7B">
        <w:rPr>
          <w:noProof/>
        </w:rPr>
        <w:t>Tests or Experiments Not Described in the UFSAR</w:t>
      </w:r>
      <w:r w:rsidRPr="00F26A7B">
        <w:rPr>
          <w:noProof/>
        </w:rPr>
        <w:tab/>
      </w:r>
      <w:r w:rsidRPr="00F26A7B">
        <w:rPr>
          <w:noProof/>
        </w:rPr>
        <w:fldChar w:fldCharType="begin"/>
      </w:r>
      <w:r w:rsidRPr="00F26A7B">
        <w:rPr>
          <w:noProof/>
        </w:rPr>
        <w:instrText xml:space="preserve"> PAGEREF _Toc63142108 \h </w:instrText>
      </w:r>
      <w:r w:rsidRPr="00F26A7B">
        <w:rPr>
          <w:noProof/>
        </w:rPr>
      </w:r>
      <w:r w:rsidRPr="00F26A7B">
        <w:rPr>
          <w:noProof/>
        </w:rPr>
        <w:fldChar w:fldCharType="separate"/>
      </w:r>
      <w:r w:rsidR="00EB30DC">
        <w:rPr>
          <w:noProof/>
        </w:rPr>
        <w:t>32</w:t>
      </w:r>
      <w:r w:rsidRPr="00F26A7B">
        <w:rPr>
          <w:noProof/>
        </w:rPr>
        <w:fldChar w:fldCharType="end"/>
      </w:r>
    </w:p>
    <w:p w14:paraId="760BA838" w14:textId="53059F51" w:rsidR="00463668" w:rsidRPr="00F26A7B" w:rsidRDefault="00463668">
      <w:pPr>
        <w:pStyle w:val="TOC2"/>
        <w:rPr>
          <w:rFonts w:asciiTheme="minorHAnsi" w:hAnsiTheme="minorHAnsi" w:cstheme="minorBidi"/>
          <w:noProof/>
          <w:szCs w:val="22"/>
        </w:rPr>
      </w:pPr>
      <w:r w:rsidRPr="00F26A7B">
        <w:rPr>
          <w:noProof/>
        </w:rPr>
        <w:t>07.10</w:t>
      </w:r>
      <w:r w:rsidRPr="00F26A7B">
        <w:rPr>
          <w:rFonts w:asciiTheme="minorHAnsi" w:hAnsiTheme="minorHAnsi" w:cstheme="minorBidi"/>
          <w:noProof/>
          <w:szCs w:val="22"/>
        </w:rPr>
        <w:tab/>
      </w:r>
      <w:r w:rsidRPr="00F26A7B">
        <w:rPr>
          <w:noProof/>
        </w:rPr>
        <w:t>Evaluation Process</w:t>
      </w:r>
      <w:r w:rsidRPr="00F26A7B">
        <w:rPr>
          <w:noProof/>
        </w:rPr>
        <w:tab/>
      </w:r>
      <w:r w:rsidRPr="00F26A7B">
        <w:rPr>
          <w:noProof/>
        </w:rPr>
        <w:fldChar w:fldCharType="begin"/>
      </w:r>
      <w:r w:rsidRPr="00F26A7B">
        <w:rPr>
          <w:noProof/>
        </w:rPr>
        <w:instrText xml:space="preserve"> PAGEREF _Toc63142109 \h </w:instrText>
      </w:r>
      <w:r w:rsidRPr="00F26A7B">
        <w:rPr>
          <w:noProof/>
        </w:rPr>
      </w:r>
      <w:r w:rsidRPr="00F26A7B">
        <w:rPr>
          <w:noProof/>
        </w:rPr>
        <w:fldChar w:fldCharType="separate"/>
      </w:r>
      <w:r w:rsidR="00EB30DC">
        <w:rPr>
          <w:noProof/>
        </w:rPr>
        <w:t>32</w:t>
      </w:r>
      <w:r w:rsidRPr="00F26A7B">
        <w:rPr>
          <w:noProof/>
        </w:rPr>
        <w:fldChar w:fldCharType="end"/>
      </w:r>
    </w:p>
    <w:p w14:paraId="38416C3F" w14:textId="21B3694A" w:rsidR="00463668" w:rsidRPr="00F26A7B" w:rsidRDefault="00463668">
      <w:pPr>
        <w:pStyle w:val="TOC2"/>
        <w:rPr>
          <w:rFonts w:asciiTheme="minorHAnsi" w:hAnsiTheme="minorHAnsi" w:cstheme="minorBidi"/>
          <w:noProof/>
          <w:szCs w:val="22"/>
        </w:rPr>
      </w:pPr>
      <w:r w:rsidRPr="00F26A7B">
        <w:rPr>
          <w:noProof/>
        </w:rPr>
        <w:t>07.11</w:t>
      </w:r>
      <w:r w:rsidRPr="00F26A7B">
        <w:rPr>
          <w:rFonts w:asciiTheme="minorHAnsi" w:hAnsiTheme="minorHAnsi" w:cstheme="minorBidi"/>
          <w:noProof/>
          <w:szCs w:val="22"/>
        </w:rPr>
        <w:tab/>
      </w:r>
      <w:r w:rsidRPr="00F26A7B">
        <w:rPr>
          <w:noProof/>
        </w:rPr>
        <w:t>Minimal Increase Principle</w:t>
      </w:r>
      <w:r w:rsidRPr="00F26A7B">
        <w:rPr>
          <w:noProof/>
        </w:rPr>
        <w:tab/>
      </w:r>
      <w:r w:rsidRPr="00F26A7B">
        <w:rPr>
          <w:noProof/>
        </w:rPr>
        <w:fldChar w:fldCharType="begin"/>
      </w:r>
      <w:r w:rsidRPr="00F26A7B">
        <w:rPr>
          <w:noProof/>
        </w:rPr>
        <w:instrText xml:space="preserve"> PAGEREF _Toc63142110 \h </w:instrText>
      </w:r>
      <w:r w:rsidRPr="00F26A7B">
        <w:rPr>
          <w:noProof/>
        </w:rPr>
      </w:r>
      <w:r w:rsidRPr="00F26A7B">
        <w:rPr>
          <w:noProof/>
        </w:rPr>
        <w:fldChar w:fldCharType="separate"/>
      </w:r>
      <w:r w:rsidR="00EB30DC">
        <w:rPr>
          <w:noProof/>
        </w:rPr>
        <w:t>33</w:t>
      </w:r>
      <w:r w:rsidRPr="00F26A7B">
        <w:rPr>
          <w:noProof/>
        </w:rPr>
        <w:fldChar w:fldCharType="end"/>
      </w:r>
    </w:p>
    <w:p w14:paraId="40E28920" w14:textId="3CF7E444" w:rsidR="00463668" w:rsidRPr="00F26A7B" w:rsidRDefault="00463668">
      <w:pPr>
        <w:pStyle w:val="TOC2"/>
        <w:rPr>
          <w:rFonts w:asciiTheme="minorHAnsi" w:hAnsiTheme="minorHAnsi" w:cstheme="minorBidi"/>
          <w:noProof/>
          <w:szCs w:val="22"/>
        </w:rPr>
      </w:pPr>
      <w:r w:rsidRPr="00F26A7B">
        <w:rPr>
          <w:noProof/>
        </w:rPr>
        <w:t>07.12</w:t>
      </w:r>
      <w:r w:rsidRPr="00F26A7B">
        <w:rPr>
          <w:rFonts w:asciiTheme="minorHAnsi" w:hAnsiTheme="minorHAnsi" w:cstheme="minorBidi"/>
          <w:noProof/>
          <w:szCs w:val="22"/>
        </w:rPr>
        <w:tab/>
      </w:r>
      <w:r w:rsidRPr="00F26A7B">
        <w:rPr>
          <w:noProof/>
          <w:color w:val="000000"/>
        </w:rPr>
        <w:t>Probabilistic Risk Assessment and Risk Insights</w:t>
      </w:r>
      <w:r w:rsidRPr="00F26A7B">
        <w:rPr>
          <w:noProof/>
        </w:rPr>
        <w:tab/>
      </w:r>
      <w:r w:rsidRPr="00F26A7B">
        <w:rPr>
          <w:noProof/>
        </w:rPr>
        <w:fldChar w:fldCharType="begin"/>
      </w:r>
      <w:r w:rsidRPr="00F26A7B">
        <w:rPr>
          <w:noProof/>
        </w:rPr>
        <w:instrText xml:space="preserve"> PAGEREF _Toc63142111 \h </w:instrText>
      </w:r>
      <w:r w:rsidRPr="00F26A7B">
        <w:rPr>
          <w:noProof/>
        </w:rPr>
      </w:r>
      <w:r w:rsidRPr="00F26A7B">
        <w:rPr>
          <w:noProof/>
        </w:rPr>
        <w:fldChar w:fldCharType="separate"/>
      </w:r>
      <w:r w:rsidR="00EB30DC">
        <w:rPr>
          <w:noProof/>
        </w:rPr>
        <w:t>33</w:t>
      </w:r>
      <w:r w:rsidRPr="00F26A7B">
        <w:rPr>
          <w:noProof/>
        </w:rPr>
        <w:fldChar w:fldCharType="end"/>
      </w:r>
    </w:p>
    <w:p w14:paraId="4DB35B1A" w14:textId="5AF5578C" w:rsidR="00463668" w:rsidRPr="00F26A7B" w:rsidRDefault="00463668">
      <w:pPr>
        <w:pStyle w:val="TOC2"/>
        <w:rPr>
          <w:rFonts w:asciiTheme="minorHAnsi" w:hAnsiTheme="minorHAnsi" w:cstheme="minorBidi"/>
          <w:noProof/>
          <w:szCs w:val="22"/>
        </w:rPr>
      </w:pPr>
      <w:r w:rsidRPr="00F26A7B">
        <w:rPr>
          <w:noProof/>
        </w:rPr>
        <w:t xml:space="preserve">07.13 </w:t>
      </w:r>
      <w:r w:rsidRPr="00F26A7B">
        <w:rPr>
          <w:noProof/>
        </w:rPr>
        <w:tab/>
        <w:t>Review Licensee or CoC Holder Evaluation of Criterion (c)(2)(i)</w:t>
      </w:r>
      <w:r w:rsidRPr="00F26A7B">
        <w:rPr>
          <w:noProof/>
        </w:rPr>
        <w:tab/>
      </w:r>
      <w:r w:rsidRPr="00F26A7B">
        <w:rPr>
          <w:noProof/>
        </w:rPr>
        <w:fldChar w:fldCharType="begin"/>
      </w:r>
      <w:r w:rsidRPr="00F26A7B">
        <w:rPr>
          <w:noProof/>
        </w:rPr>
        <w:instrText xml:space="preserve"> PAGEREF _Toc63142112 \h </w:instrText>
      </w:r>
      <w:r w:rsidRPr="00F26A7B">
        <w:rPr>
          <w:noProof/>
        </w:rPr>
      </w:r>
      <w:r w:rsidRPr="00F26A7B">
        <w:rPr>
          <w:noProof/>
        </w:rPr>
        <w:fldChar w:fldCharType="separate"/>
      </w:r>
      <w:r w:rsidR="00EB30DC">
        <w:rPr>
          <w:noProof/>
        </w:rPr>
        <w:t>34</w:t>
      </w:r>
      <w:r w:rsidRPr="00F26A7B">
        <w:rPr>
          <w:noProof/>
        </w:rPr>
        <w:fldChar w:fldCharType="end"/>
      </w:r>
    </w:p>
    <w:p w14:paraId="7AAC3B7E" w14:textId="734F9A78" w:rsidR="000E0ACD" w:rsidRDefault="00463668">
      <w:pPr>
        <w:pStyle w:val="TOC2"/>
        <w:rPr>
          <w:noProof/>
        </w:rPr>
        <w:sectPr w:rsidR="000E0ACD" w:rsidSect="001C775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noEndnote/>
          <w:docGrid w:linePitch="326"/>
        </w:sectPr>
      </w:pPr>
      <w:r w:rsidRPr="00F26A7B">
        <w:rPr>
          <w:noProof/>
        </w:rPr>
        <w:t xml:space="preserve">07.14 </w:t>
      </w:r>
      <w:r w:rsidRPr="00F26A7B">
        <w:rPr>
          <w:noProof/>
        </w:rPr>
        <w:tab/>
        <w:t>Review Licensee or CoC Holder Evaluation of Criterion (c)(2)(ii)</w:t>
      </w:r>
      <w:r w:rsidRPr="00F26A7B">
        <w:rPr>
          <w:noProof/>
        </w:rPr>
        <w:tab/>
      </w:r>
      <w:r w:rsidRPr="00F26A7B">
        <w:rPr>
          <w:noProof/>
        </w:rPr>
        <w:fldChar w:fldCharType="begin"/>
      </w:r>
      <w:r w:rsidRPr="00F26A7B">
        <w:rPr>
          <w:noProof/>
        </w:rPr>
        <w:instrText xml:space="preserve"> PAGEREF _Toc63142113 \h </w:instrText>
      </w:r>
      <w:r w:rsidRPr="00F26A7B">
        <w:rPr>
          <w:noProof/>
        </w:rPr>
      </w:r>
      <w:r w:rsidRPr="00F26A7B">
        <w:rPr>
          <w:noProof/>
        </w:rPr>
        <w:fldChar w:fldCharType="separate"/>
      </w:r>
      <w:r w:rsidR="00EB30DC">
        <w:rPr>
          <w:noProof/>
        </w:rPr>
        <w:t>35</w:t>
      </w:r>
      <w:r w:rsidRPr="00F26A7B">
        <w:rPr>
          <w:noProof/>
        </w:rPr>
        <w:fldChar w:fldCharType="end"/>
      </w:r>
    </w:p>
    <w:p w14:paraId="74BAE369" w14:textId="6E8B8CFA" w:rsidR="00463668" w:rsidRPr="002D67F8" w:rsidRDefault="00463668">
      <w:pPr>
        <w:pStyle w:val="TOC2"/>
        <w:rPr>
          <w:noProof/>
          <w:szCs w:val="22"/>
        </w:rPr>
      </w:pPr>
    </w:p>
    <w:p w14:paraId="40B333B9" w14:textId="590F435E" w:rsidR="00463668" w:rsidRPr="00F26A7B" w:rsidRDefault="00463668">
      <w:pPr>
        <w:pStyle w:val="TOC2"/>
        <w:rPr>
          <w:rFonts w:asciiTheme="minorHAnsi" w:hAnsiTheme="minorHAnsi" w:cstheme="minorBidi"/>
          <w:noProof/>
          <w:szCs w:val="22"/>
        </w:rPr>
      </w:pPr>
      <w:r w:rsidRPr="00F26A7B">
        <w:rPr>
          <w:noProof/>
        </w:rPr>
        <w:t xml:space="preserve">07.15 </w:t>
      </w:r>
      <w:r w:rsidRPr="00F26A7B">
        <w:rPr>
          <w:noProof/>
        </w:rPr>
        <w:tab/>
        <w:t>Review Licensee or CoC Holder Evaluation of Criterion (c)(2)(iii)</w:t>
      </w:r>
      <w:r w:rsidRPr="00F26A7B">
        <w:rPr>
          <w:noProof/>
        </w:rPr>
        <w:tab/>
      </w:r>
      <w:r w:rsidRPr="00F26A7B">
        <w:rPr>
          <w:noProof/>
        </w:rPr>
        <w:fldChar w:fldCharType="begin"/>
      </w:r>
      <w:r w:rsidRPr="00F26A7B">
        <w:rPr>
          <w:noProof/>
        </w:rPr>
        <w:instrText xml:space="preserve"> PAGEREF _Toc63142114 \h </w:instrText>
      </w:r>
      <w:r w:rsidRPr="00F26A7B">
        <w:rPr>
          <w:noProof/>
        </w:rPr>
      </w:r>
      <w:r w:rsidRPr="00F26A7B">
        <w:rPr>
          <w:noProof/>
        </w:rPr>
        <w:fldChar w:fldCharType="separate"/>
      </w:r>
      <w:r w:rsidR="00EB30DC">
        <w:rPr>
          <w:noProof/>
        </w:rPr>
        <w:t>36</w:t>
      </w:r>
      <w:r w:rsidRPr="00F26A7B">
        <w:rPr>
          <w:noProof/>
        </w:rPr>
        <w:fldChar w:fldCharType="end"/>
      </w:r>
    </w:p>
    <w:p w14:paraId="35D40E5C" w14:textId="261B3937" w:rsidR="00463668" w:rsidRPr="00F26A7B" w:rsidRDefault="00463668">
      <w:pPr>
        <w:pStyle w:val="TOC2"/>
        <w:rPr>
          <w:rFonts w:asciiTheme="minorHAnsi" w:hAnsiTheme="minorHAnsi" w:cstheme="minorBidi"/>
          <w:noProof/>
          <w:szCs w:val="22"/>
        </w:rPr>
      </w:pPr>
      <w:r w:rsidRPr="00F26A7B">
        <w:rPr>
          <w:noProof/>
        </w:rPr>
        <w:t xml:space="preserve">07.16 </w:t>
      </w:r>
      <w:r w:rsidRPr="00F26A7B">
        <w:rPr>
          <w:noProof/>
        </w:rPr>
        <w:tab/>
        <w:t>Review Licensee or CoC Holder Evaluation of Criterion (c)(2)(iv)</w:t>
      </w:r>
      <w:r w:rsidRPr="00F26A7B">
        <w:rPr>
          <w:noProof/>
        </w:rPr>
        <w:tab/>
      </w:r>
      <w:r w:rsidRPr="00F26A7B">
        <w:rPr>
          <w:noProof/>
        </w:rPr>
        <w:fldChar w:fldCharType="begin"/>
      </w:r>
      <w:r w:rsidRPr="00F26A7B">
        <w:rPr>
          <w:noProof/>
        </w:rPr>
        <w:instrText xml:space="preserve"> PAGEREF _Toc63142115 \h </w:instrText>
      </w:r>
      <w:r w:rsidRPr="00F26A7B">
        <w:rPr>
          <w:noProof/>
        </w:rPr>
      </w:r>
      <w:r w:rsidRPr="00F26A7B">
        <w:rPr>
          <w:noProof/>
        </w:rPr>
        <w:fldChar w:fldCharType="separate"/>
      </w:r>
      <w:r w:rsidR="00EB30DC">
        <w:rPr>
          <w:noProof/>
        </w:rPr>
        <w:t>37</w:t>
      </w:r>
      <w:r w:rsidRPr="00F26A7B">
        <w:rPr>
          <w:noProof/>
        </w:rPr>
        <w:fldChar w:fldCharType="end"/>
      </w:r>
    </w:p>
    <w:p w14:paraId="2337A435" w14:textId="1DA07261" w:rsidR="00463668" w:rsidRPr="00F26A7B" w:rsidRDefault="00463668">
      <w:pPr>
        <w:pStyle w:val="TOC2"/>
        <w:rPr>
          <w:rFonts w:asciiTheme="minorHAnsi" w:hAnsiTheme="minorHAnsi" w:cstheme="minorBidi"/>
          <w:noProof/>
          <w:szCs w:val="22"/>
        </w:rPr>
      </w:pPr>
      <w:r w:rsidRPr="00F26A7B">
        <w:rPr>
          <w:noProof/>
        </w:rPr>
        <w:t xml:space="preserve">07.17 </w:t>
      </w:r>
      <w:r w:rsidRPr="00F26A7B">
        <w:rPr>
          <w:noProof/>
        </w:rPr>
        <w:tab/>
        <w:t>Review Licensee or CoC Holder Evaluation of Criterion (c)(2)(v)</w:t>
      </w:r>
      <w:r w:rsidRPr="00F26A7B">
        <w:rPr>
          <w:noProof/>
        </w:rPr>
        <w:tab/>
      </w:r>
      <w:r w:rsidRPr="00F26A7B">
        <w:rPr>
          <w:noProof/>
        </w:rPr>
        <w:fldChar w:fldCharType="begin"/>
      </w:r>
      <w:r w:rsidRPr="00F26A7B">
        <w:rPr>
          <w:noProof/>
        </w:rPr>
        <w:instrText xml:space="preserve"> PAGEREF _Toc63142116 \h </w:instrText>
      </w:r>
      <w:r w:rsidRPr="00F26A7B">
        <w:rPr>
          <w:noProof/>
        </w:rPr>
      </w:r>
      <w:r w:rsidRPr="00F26A7B">
        <w:rPr>
          <w:noProof/>
        </w:rPr>
        <w:fldChar w:fldCharType="separate"/>
      </w:r>
      <w:r w:rsidR="00EB30DC">
        <w:rPr>
          <w:noProof/>
        </w:rPr>
        <w:t>37</w:t>
      </w:r>
      <w:r w:rsidRPr="00F26A7B">
        <w:rPr>
          <w:noProof/>
        </w:rPr>
        <w:fldChar w:fldCharType="end"/>
      </w:r>
    </w:p>
    <w:p w14:paraId="28A3555B" w14:textId="45D8F7FA" w:rsidR="00463668" w:rsidRPr="00F26A7B" w:rsidRDefault="00463668">
      <w:pPr>
        <w:pStyle w:val="TOC2"/>
        <w:rPr>
          <w:rFonts w:asciiTheme="minorHAnsi" w:hAnsiTheme="minorHAnsi" w:cstheme="minorBidi"/>
          <w:noProof/>
          <w:szCs w:val="22"/>
        </w:rPr>
      </w:pPr>
      <w:r w:rsidRPr="00F26A7B">
        <w:rPr>
          <w:noProof/>
        </w:rPr>
        <w:t xml:space="preserve">07.18 </w:t>
      </w:r>
      <w:r w:rsidRPr="00F26A7B">
        <w:rPr>
          <w:noProof/>
        </w:rPr>
        <w:tab/>
        <w:t>Review Licensee or CoC Holder Evaluation of Criterion (c)(2)(vi)</w:t>
      </w:r>
      <w:r w:rsidRPr="00F26A7B">
        <w:rPr>
          <w:noProof/>
        </w:rPr>
        <w:tab/>
      </w:r>
      <w:r w:rsidRPr="00F26A7B">
        <w:rPr>
          <w:noProof/>
        </w:rPr>
        <w:fldChar w:fldCharType="begin"/>
      </w:r>
      <w:r w:rsidRPr="00F26A7B">
        <w:rPr>
          <w:noProof/>
        </w:rPr>
        <w:instrText xml:space="preserve"> PAGEREF _Toc63142117 \h </w:instrText>
      </w:r>
      <w:r w:rsidRPr="00F26A7B">
        <w:rPr>
          <w:noProof/>
        </w:rPr>
      </w:r>
      <w:r w:rsidRPr="00F26A7B">
        <w:rPr>
          <w:noProof/>
        </w:rPr>
        <w:fldChar w:fldCharType="separate"/>
      </w:r>
      <w:r w:rsidR="00EB30DC">
        <w:rPr>
          <w:noProof/>
        </w:rPr>
        <w:t>38</w:t>
      </w:r>
      <w:r w:rsidRPr="00F26A7B">
        <w:rPr>
          <w:noProof/>
        </w:rPr>
        <w:fldChar w:fldCharType="end"/>
      </w:r>
    </w:p>
    <w:p w14:paraId="1D0E3E35" w14:textId="445554CE" w:rsidR="00463668" w:rsidRPr="00F26A7B" w:rsidRDefault="00463668">
      <w:pPr>
        <w:pStyle w:val="TOC2"/>
        <w:rPr>
          <w:rFonts w:asciiTheme="minorHAnsi" w:hAnsiTheme="minorHAnsi" w:cstheme="minorBidi"/>
          <w:noProof/>
          <w:szCs w:val="22"/>
        </w:rPr>
      </w:pPr>
      <w:r w:rsidRPr="00F26A7B">
        <w:rPr>
          <w:noProof/>
        </w:rPr>
        <w:t xml:space="preserve">07.19 </w:t>
      </w:r>
      <w:r w:rsidRPr="00F26A7B">
        <w:rPr>
          <w:noProof/>
        </w:rPr>
        <w:tab/>
        <w:t>Review Licensee or CoC Holder Evaluation of Criterion (c)(2)(vii)</w:t>
      </w:r>
      <w:r w:rsidRPr="00F26A7B">
        <w:rPr>
          <w:noProof/>
        </w:rPr>
        <w:tab/>
      </w:r>
      <w:r w:rsidRPr="00F26A7B">
        <w:rPr>
          <w:noProof/>
        </w:rPr>
        <w:fldChar w:fldCharType="begin"/>
      </w:r>
      <w:r w:rsidRPr="00F26A7B">
        <w:rPr>
          <w:noProof/>
        </w:rPr>
        <w:instrText xml:space="preserve"> PAGEREF _Toc63142118 \h </w:instrText>
      </w:r>
      <w:r w:rsidRPr="00F26A7B">
        <w:rPr>
          <w:noProof/>
        </w:rPr>
      </w:r>
      <w:r w:rsidRPr="00F26A7B">
        <w:rPr>
          <w:noProof/>
        </w:rPr>
        <w:fldChar w:fldCharType="separate"/>
      </w:r>
      <w:r w:rsidR="00EB30DC">
        <w:rPr>
          <w:noProof/>
        </w:rPr>
        <w:t>38</w:t>
      </w:r>
      <w:r w:rsidRPr="00F26A7B">
        <w:rPr>
          <w:noProof/>
        </w:rPr>
        <w:fldChar w:fldCharType="end"/>
      </w:r>
    </w:p>
    <w:p w14:paraId="467528EE" w14:textId="4B2775D4" w:rsidR="00463668" w:rsidRPr="00F26A7B" w:rsidRDefault="00463668">
      <w:pPr>
        <w:pStyle w:val="TOC2"/>
        <w:rPr>
          <w:rFonts w:asciiTheme="minorHAnsi" w:hAnsiTheme="minorHAnsi" w:cstheme="minorBidi"/>
          <w:noProof/>
          <w:szCs w:val="22"/>
        </w:rPr>
      </w:pPr>
      <w:r w:rsidRPr="00F26A7B">
        <w:rPr>
          <w:noProof/>
        </w:rPr>
        <w:t xml:space="preserve">07.20 </w:t>
      </w:r>
      <w:r w:rsidRPr="00F26A7B">
        <w:rPr>
          <w:noProof/>
        </w:rPr>
        <w:tab/>
        <w:t>Review Licensee or CoC Holder Evaluation of Criterion (c)(2)(viii)</w:t>
      </w:r>
      <w:r w:rsidRPr="00F26A7B">
        <w:rPr>
          <w:noProof/>
        </w:rPr>
        <w:tab/>
      </w:r>
      <w:r w:rsidRPr="00F26A7B">
        <w:rPr>
          <w:noProof/>
        </w:rPr>
        <w:fldChar w:fldCharType="begin"/>
      </w:r>
      <w:r w:rsidRPr="00F26A7B">
        <w:rPr>
          <w:noProof/>
        </w:rPr>
        <w:instrText xml:space="preserve"> PAGEREF _Toc63142119 \h </w:instrText>
      </w:r>
      <w:r w:rsidRPr="00F26A7B">
        <w:rPr>
          <w:noProof/>
        </w:rPr>
      </w:r>
      <w:r w:rsidRPr="00F26A7B">
        <w:rPr>
          <w:noProof/>
        </w:rPr>
        <w:fldChar w:fldCharType="separate"/>
      </w:r>
      <w:r w:rsidR="00EB30DC">
        <w:rPr>
          <w:noProof/>
        </w:rPr>
        <w:t>39</w:t>
      </w:r>
      <w:r w:rsidRPr="00F26A7B">
        <w:rPr>
          <w:noProof/>
        </w:rPr>
        <w:fldChar w:fldCharType="end"/>
      </w:r>
    </w:p>
    <w:p w14:paraId="17B01CB6" w14:textId="070DB36D" w:rsidR="00463668" w:rsidRPr="00F26A7B" w:rsidRDefault="00463668">
      <w:pPr>
        <w:pStyle w:val="TOC2"/>
        <w:rPr>
          <w:rFonts w:asciiTheme="minorHAnsi" w:hAnsiTheme="minorHAnsi" w:cstheme="minorBidi"/>
          <w:noProof/>
          <w:szCs w:val="22"/>
        </w:rPr>
      </w:pPr>
      <w:r w:rsidRPr="00F26A7B">
        <w:rPr>
          <w:noProof/>
        </w:rPr>
        <w:t>07.21</w:t>
      </w:r>
      <w:r w:rsidRPr="00F26A7B">
        <w:rPr>
          <w:rFonts w:asciiTheme="minorHAnsi" w:hAnsiTheme="minorHAnsi" w:cstheme="minorBidi"/>
          <w:noProof/>
          <w:szCs w:val="22"/>
        </w:rPr>
        <w:tab/>
      </w:r>
      <w:r w:rsidRPr="00F26A7B">
        <w:rPr>
          <w:noProof/>
        </w:rPr>
        <w:t>Compensatory Actions</w:t>
      </w:r>
      <w:r w:rsidRPr="00F26A7B">
        <w:rPr>
          <w:noProof/>
        </w:rPr>
        <w:tab/>
      </w:r>
      <w:r w:rsidRPr="00F26A7B">
        <w:rPr>
          <w:noProof/>
        </w:rPr>
        <w:fldChar w:fldCharType="begin"/>
      </w:r>
      <w:r w:rsidRPr="00F26A7B">
        <w:rPr>
          <w:noProof/>
        </w:rPr>
        <w:instrText xml:space="preserve"> PAGEREF _Toc63142120 \h </w:instrText>
      </w:r>
      <w:r w:rsidRPr="00F26A7B">
        <w:rPr>
          <w:noProof/>
        </w:rPr>
      </w:r>
      <w:r w:rsidRPr="00F26A7B">
        <w:rPr>
          <w:noProof/>
        </w:rPr>
        <w:fldChar w:fldCharType="separate"/>
      </w:r>
      <w:r w:rsidR="00EB30DC">
        <w:rPr>
          <w:noProof/>
        </w:rPr>
        <w:t>42</w:t>
      </w:r>
      <w:r w:rsidRPr="00F26A7B">
        <w:rPr>
          <w:noProof/>
        </w:rPr>
        <w:fldChar w:fldCharType="end"/>
      </w:r>
    </w:p>
    <w:p w14:paraId="5A4A3B52" w14:textId="7789FE31" w:rsidR="00463668" w:rsidRPr="00F26A7B" w:rsidRDefault="00463668">
      <w:pPr>
        <w:pStyle w:val="TOC2"/>
        <w:rPr>
          <w:rFonts w:asciiTheme="minorHAnsi" w:hAnsiTheme="minorHAnsi" w:cstheme="minorBidi"/>
          <w:noProof/>
          <w:szCs w:val="22"/>
        </w:rPr>
      </w:pPr>
      <w:r w:rsidRPr="00F26A7B">
        <w:rPr>
          <w:noProof/>
        </w:rPr>
        <w:t>07.22</w:t>
      </w:r>
      <w:r w:rsidRPr="00F26A7B">
        <w:rPr>
          <w:rFonts w:asciiTheme="minorHAnsi" w:hAnsiTheme="minorHAnsi" w:cstheme="minorBidi"/>
          <w:noProof/>
          <w:szCs w:val="22"/>
        </w:rPr>
        <w:tab/>
      </w:r>
      <w:r w:rsidRPr="00F26A7B">
        <w:rPr>
          <w:noProof/>
        </w:rPr>
        <w:t>Documentation and Reporting</w:t>
      </w:r>
      <w:r w:rsidRPr="00F26A7B">
        <w:rPr>
          <w:noProof/>
        </w:rPr>
        <w:tab/>
      </w:r>
      <w:r w:rsidRPr="00F26A7B">
        <w:rPr>
          <w:noProof/>
        </w:rPr>
        <w:fldChar w:fldCharType="begin"/>
      </w:r>
      <w:r w:rsidRPr="00F26A7B">
        <w:rPr>
          <w:noProof/>
        </w:rPr>
        <w:instrText xml:space="preserve"> PAGEREF _Toc63142121 \h </w:instrText>
      </w:r>
      <w:r w:rsidRPr="00F26A7B">
        <w:rPr>
          <w:noProof/>
        </w:rPr>
      </w:r>
      <w:r w:rsidRPr="00F26A7B">
        <w:rPr>
          <w:noProof/>
        </w:rPr>
        <w:fldChar w:fldCharType="separate"/>
      </w:r>
      <w:r w:rsidR="00EB30DC">
        <w:rPr>
          <w:noProof/>
        </w:rPr>
        <w:t>42</w:t>
      </w:r>
      <w:r w:rsidRPr="00F26A7B">
        <w:rPr>
          <w:noProof/>
        </w:rPr>
        <w:fldChar w:fldCharType="end"/>
      </w:r>
    </w:p>
    <w:p w14:paraId="6CD2A462" w14:textId="34599E5F" w:rsidR="00463668" w:rsidRPr="00F26A7B" w:rsidRDefault="00463668">
      <w:pPr>
        <w:pStyle w:val="TOC1"/>
        <w:rPr>
          <w:rFonts w:asciiTheme="minorHAnsi" w:hAnsiTheme="minorHAnsi" w:cstheme="minorBidi"/>
          <w:noProof/>
          <w:szCs w:val="22"/>
        </w:rPr>
      </w:pPr>
      <w:r w:rsidRPr="00F26A7B">
        <w:rPr>
          <w:noProof/>
        </w:rPr>
        <w:t>0335-08</w:t>
      </w:r>
      <w:r w:rsidRPr="00F26A7B">
        <w:rPr>
          <w:rFonts w:asciiTheme="minorHAnsi" w:hAnsiTheme="minorHAnsi" w:cstheme="minorBidi"/>
          <w:noProof/>
          <w:szCs w:val="22"/>
        </w:rPr>
        <w:tab/>
      </w:r>
      <w:r w:rsidRPr="00F26A7B">
        <w:rPr>
          <w:noProof/>
        </w:rPr>
        <w:t>ISSUE RESOLUTION AND INTERNAL ALIGNMENT</w:t>
      </w:r>
      <w:r w:rsidRPr="00F26A7B">
        <w:rPr>
          <w:noProof/>
        </w:rPr>
        <w:tab/>
      </w:r>
      <w:r w:rsidRPr="00F26A7B">
        <w:rPr>
          <w:noProof/>
        </w:rPr>
        <w:fldChar w:fldCharType="begin"/>
      </w:r>
      <w:r w:rsidRPr="00F26A7B">
        <w:rPr>
          <w:noProof/>
        </w:rPr>
        <w:instrText xml:space="preserve"> PAGEREF _Toc63142122 \h </w:instrText>
      </w:r>
      <w:r w:rsidRPr="00F26A7B">
        <w:rPr>
          <w:noProof/>
        </w:rPr>
      </w:r>
      <w:r w:rsidRPr="00F26A7B">
        <w:rPr>
          <w:noProof/>
        </w:rPr>
        <w:fldChar w:fldCharType="separate"/>
      </w:r>
      <w:r w:rsidR="00EB30DC">
        <w:rPr>
          <w:noProof/>
        </w:rPr>
        <w:t>43</w:t>
      </w:r>
      <w:r w:rsidRPr="00F26A7B">
        <w:rPr>
          <w:noProof/>
        </w:rPr>
        <w:fldChar w:fldCharType="end"/>
      </w:r>
    </w:p>
    <w:p w14:paraId="67F93D82" w14:textId="2DD519A1" w:rsidR="00463668" w:rsidRDefault="002D67F8">
      <w:pPr>
        <w:pStyle w:val="TOC1"/>
        <w:rPr>
          <w:rFonts w:asciiTheme="minorHAnsi" w:hAnsiTheme="minorHAnsi" w:cstheme="minorBidi"/>
          <w:noProof/>
          <w:szCs w:val="22"/>
        </w:rPr>
      </w:pPr>
      <w:r>
        <w:rPr>
          <w:noProof/>
        </w:rPr>
        <w:t>0335-09</w:t>
      </w:r>
      <w:r>
        <w:rPr>
          <w:noProof/>
        </w:rPr>
        <w:tab/>
        <w:t>REFERENCES</w:t>
      </w:r>
      <w:r>
        <w:rPr>
          <w:noProof/>
        </w:rPr>
        <w:tab/>
        <w:t>4</w:t>
      </w:r>
      <w:r w:rsidR="00116926">
        <w:rPr>
          <w:noProof/>
        </w:rPr>
        <w:t>3</w:t>
      </w:r>
    </w:p>
    <w:p w14:paraId="4814CC76" w14:textId="216A5E21" w:rsidR="002E4EB0" w:rsidRPr="009507AB" w:rsidRDefault="00CE16A5" w:rsidP="009B6D57">
      <w:pPr>
        <w:keepNext/>
        <w:widowControl/>
        <w:rPr>
          <w:sz w:val="22"/>
          <w:szCs w:val="22"/>
        </w:rPr>
      </w:pPr>
      <w:r w:rsidRPr="009507AB">
        <w:rPr>
          <w:sz w:val="22"/>
          <w:szCs w:val="22"/>
        </w:rPr>
        <w:fldChar w:fldCharType="end"/>
      </w:r>
    </w:p>
    <w:p w14:paraId="692EF9FF" w14:textId="3621C1CE" w:rsidR="002E4EB0" w:rsidRPr="009507AB" w:rsidRDefault="002E4EB0" w:rsidP="009B6D57">
      <w:pPr>
        <w:keepNext/>
        <w:widowControl/>
        <w:rPr>
          <w:sz w:val="22"/>
          <w:szCs w:val="22"/>
        </w:rPr>
      </w:pPr>
      <w:r w:rsidRPr="009507AB">
        <w:rPr>
          <w:sz w:val="22"/>
          <w:szCs w:val="22"/>
        </w:rPr>
        <w:t>ATTACHMENT 1</w:t>
      </w:r>
      <w:r w:rsidRPr="009507AB">
        <w:rPr>
          <w:sz w:val="22"/>
          <w:szCs w:val="22"/>
        </w:rPr>
        <w:tab/>
        <w:t>Revision History for IMC 0335</w:t>
      </w:r>
      <w:r w:rsidRPr="009507AB">
        <w:rPr>
          <w:sz w:val="22"/>
          <w:szCs w:val="22"/>
        </w:rPr>
        <w:tab/>
      </w:r>
      <w:r w:rsidRPr="009507AB">
        <w:rPr>
          <w:sz w:val="22"/>
          <w:szCs w:val="22"/>
        </w:rPr>
        <w:tab/>
      </w:r>
      <w:r w:rsidRPr="009507AB">
        <w:rPr>
          <w:sz w:val="22"/>
          <w:szCs w:val="22"/>
        </w:rPr>
        <w:tab/>
      </w:r>
      <w:r w:rsidRPr="009507AB">
        <w:rPr>
          <w:sz w:val="22"/>
          <w:szCs w:val="22"/>
        </w:rPr>
        <w:tab/>
      </w:r>
      <w:r w:rsidRPr="009507AB">
        <w:rPr>
          <w:sz w:val="22"/>
          <w:szCs w:val="22"/>
        </w:rPr>
        <w:tab/>
        <w:t xml:space="preserve"> Att1-1</w:t>
      </w:r>
    </w:p>
    <w:p w14:paraId="5A54CD6E" w14:textId="0107691F" w:rsidR="00D9609E" w:rsidRPr="009507AB" w:rsidRDefault="00D9609E" w:rsidP="009B6D57">
      <w:pPr>
        <w:widowControl/>
        <w:autoSpaceDE/>
        <w:autoSpaceDN/>
        <w:adjustRightInd/>
        <w:rPr>
          <w:sz w:val="22"/>
          <w:szCs w:val="22"/>
        </w:rPr>
      </w:pPr>
    </w:p>
    <w:p w14:paraId="42731445" w14:textId="77777777" w:rsidR="001C775D" w:rsidRPr="00662392" w:rsidRDefault="001C775D" w:rsidP="00194415">
      <w:pPr>
        <w:keepNext/>
        <w:widowControl/>
        <w:rPr>
          <w:sz w:val="22"/>
          <w:szCs w:val="22"/>
        </w:rPr>
        <w:sectPr w:rsidR="001C775D" w:rsidRPr="00662392" w:rsidSect="00012998">
          <w:footerReference w:type="default" r:id="rId20"/>
          <w:pgSz w:w="12240" w:h="15840" w:code="1"/>
          <w:pgMar w:top="1440" w:right="1440" w:bottom="1440" w:left="1440" w:header="720" w:footer="720" w:gutter="0"/>
          <w:pgNumType w:fmt="lowerRoman"/>
          <w:cols w:space="720"/>
          <w:noEndnote/>
          <w:docGrid w:linePitch="326"/>
        </w:sectPr>
      </w:pPr>
    </w:p>
    <w:p w14:paraId="0E5ABD9A" w14:textId="5EA6C426" w:rsidR="006B09DB" w:rsidRPr="00662392" w:rsidRDefault="003D7A4C" w:rsidP="00194415">
      <w:pPr>
        <w:keepNext/>
        <w:widowControl/>
        <w:rPr>
          <w:sz w:val="22"/>
          <w:szCs w:val="22"/>
        </w:rPr>
      </w:pPr>
      <w:r w:rsidRPr="00662392">
        <w:rPr>
          <w:sz w:val="22"/>
          <w:szCs w:val="22"/>
        </w:rPr>
        <w:lastRenderedPageBreak/>
        <w:t>0335</w:t>
      </w:r>
      <w:r w:rsidR="00777AC3" w:rsidRPr="00662392">
        <w:rPr>
          <w:sz w:val="22"/>
          <w:szCs w:val="22"/>
        </w:rPr>
        <w:t>-01</w:t>
      </w:r>
      <w:r w:rsidR="00D07321" w:rsidRPr="00662392">
        <w:rPr>
          <w:sz w:val="22"/>
          <w:szCs w:val="22"/>
        </w:rPr>
        <w:tab/>
        <w:t>PURPOSE</w:t>
      </w:r>
      <w:r w:rsidR="00BF79C4" w:rsidRPr="00662392">
        <w:rPr>
          <w:sz w:val="22"/>
          <w:szCs w:val="22"/>
        </w:rPr>
        <w:fldChar w:fldCharType="begin"/>
      </w:r>
      <w:r w:rsidR="00BF79C4" w:rsidRPr="00662392">
        <w:rPr>
          <w:sz w:val="22"/>
          <w:szCs w:val="22"/>
        </w:rPr>
        <w:instrText xml:space="preserve"> TC "</w:instrText>
      </w:r>
      <w:bookmarkStart w:id="2" w:name="_Toc62642886"/>
      <w:bookmarkStart w:id="3" w:name="_Toc63142068"/>
      <w:r w:rsidR="00BF79C4" w:rsidRPr="00662392">
        <w:rPr>
          <w:sz w:val="22"/>
          <w:szCs w:val="22"/>
        </w:rPr>
        <w:instrText>0335-01</w:instrText>
      </w:r>
      <w:r w:rsidR="00BF79C4" w:rsidRPr="00662392">
        <w:rPr>
          <w:sz w:val="22"/>
          <w:szCs w:val="22"/>
        </w:rPr>
        <w:tab/>
        <w:instrText>PURPOSE</w:instrText>
      </w:r>
      <w:bookmarkEnd w:id="2"/>
      <w:bookmarkEnd w:id="3"/>
      <w:r w:rsidR="00BF79C4" w:rsidRPr="00662392">
        <w:rPr>
          <w:sz w:val="22"/>
          <w:szCs w:val="22"/>
        </w:rPr>
        <w:instrText xml:space="preserve">" \f C \l "1" </w:instrText>
      </w:r>
      <w:r w:rsidR="00BF79C4" w:rsidRPr="00662392">
        <w:rPr>
          <w:sz w:val="22"/>
          <w:szCs w:val="22"/>
        </w:rPr>
        <w:fldChar w:fldCharType="end"/>
      </w:r>
    </w:p>
    <w:p w14:paraId="0AE3E2A1" w14:textId="77777777" w:rsidR="006B09DB" w:rsidRPr="00662392" w:rsidRDefault="006B09DB" w:rsidP="00194415">
      <w:pPr>
        <w:widowControl/>
        <w:rPr>
          <w:sz w:val="22"/>
          <w:szCs w:val="22"/>
        </w:rPr>
      </w:pPr>
    </w:p>
    <w:p w14:paraId="59D21478" w14:textId="74D934C7" w:rsidR="00CD01EE" w:rsidRPr="00662392" w:rsidRDefault="007E1499" w:rsidP="00194415">
      <w:pPr>
        <w:widowControl/>
        <w:rPr>
          <w:sz w:val="22"/>
          <w:szCs w:val="22"/>
        </w:rPr>
      </w:pPr>
      <w:r w:rsidRPr="00662392">
        <w:rPr>
          <w:sz w:val="22"/>
          <w:szCs w:val="22"/>
        </w:rPr>
        <w:t xml:space="preserve">To provide </w:t>
      </w:r>
      <w:r w:rsidR="00941B2B" w:rsidRPr="00662392">
        <w:rPr>
          <w:sz w:val="22"/>
          <w:szCs w:val="22"/>
        </w:rPr>
        <w:t>the regulatory background of</w:t>
      </w:r>
      <w:r w:rsidRPr="00662392">
        <w:rPr>
          <w:sz w:val="22"/>
          <w:szCs w:val="22"/>
        </w:rPr>
        <w:t xml:space="preserve"> Title 10 of the </w:t>
      </w:r>
      <w:r w:rsidRPr="0078347A">
        <w:rPr>
          <w:i/>
          <w:iCs/>
          <w:sz w:val="22"/>
          <w:szCs w:val="22"/>
        </w:rPr>
        <w:t>Code of Federal Regulations</w:t>
      </w:r>
      <w:r w:rsidRPr="00662392">
        <w:rPr>
          <w:sz w:val="22"/>
          <w:szCs w:val="22"/>
        </w:rPr>
        <w:t xml:space="preserve"> (10 CFR) Sections 50.59, “Changes, tests and experiments,” and 72.48, “Changes, tests, and experiments.”  This guidance is intended to assist staff when reviewing </w:t>
      </w:r>
      <w:r w:rsidR="00295DD7" w:rsidRPr="00662392">
        <w:rPr>
          <w:sz w:val="22"/>
          <w:szCs w:val="22"/>
        </w:rPr>
        <w:t xml:space="preserve">licensee evaluations of </w:t>
      </w:r>
      <w:r w:rsidRPr="00662392">
        <w:rPr>
          <w:sz w:val="22"/>
          <w:szCs w:val="22"/>
        </w:rPr>
        <w:t>changes in the facility or spent fuel storage cask design as described in the final safety analysis report (FSAR) (as updated), changes in the procedures as described in the FSAR (as updated), and tests or experiments not described in the FSAR (as updated), without obtaining a license amendment.</w:t>
      </w:r>
    </w:p>
    <w:p w14:paraId="3D6BA85D" w14:textId="77777777" w:rsidR="007E1499" w:rsidRPr="00662392" w:rsidRDefault="007E1499" w:rsidP="00194415">
      <w:pPr>
        <w:widowControl/>
        <w:rPr>
          <w:sz w:val="22"/>
          <w:szCs w:val="22"/>
        </w:rPr>
      </w:pPr>
    </w:p>
    <w:p w14:paraId="0B537AC7" w14:textId="77777777" w:rsidR="00304128" w:rsidRPr="00662392" w:rsidRDefault="00530714" w:rsidP="00194415">
      <w:pPr>
        <w:widowControl/>
        <w:rPr>
          <w:sz w:val="22"/>
          <w:szCs w:val="22"/>
        </w:rPr>
      </w:pPr>
      <w:r w:rsidRPr="00662392">
        <w:rPr>
          <w:sz w:val="22"/>
          <w:szCs w:val="22"/>
        </w:rPr>
        <w:t xml:space="preserve">Inspectors should recognize the following regarding the content of this </w:t>
      </w:r>
      <w:r w:rsidR="00304128" w:rsidRPr="00662392">
        <w:rPr>
          <w:sz w:val="22"/>
          <w:szCs w:val="22"/>
        </w:rPr>
        <w:t>Inspection Manual Chapter (IMC):</w:t>
      </w:r>
    </w:p>
    <w:p w14:paraId="563683E2" w14:textId="77777777" w:rsidR="00304128" w:rsidRPr="00662392" w:rsidRDefault="00304128" w:rsidP="00194415">
      <w:pPr>
        <w:widowControl/>
        <w:rPr>
          <w:sz w:val="22"/>
          <w:szCs w:val="22"/>
        </w:rPr>
      </w:pPr>
    </w:p>
    <w:p w14:paraId="5AEBE0B1" w14:textId="60F584DD" w:rsidR="00CD01EE" w:rsidRPr="00662392" w:rsidRDefault="00CD01EE" w:rsidP="00194415">
      <w:pPr>
        <w:pStyle w:val="ListParagraph"/>
        <w:numPr>
          <w:ilvl w:val="0"/>
          <w:numId w:val="12"/>
        </w:numPr>
        <w:rPr>
          <w:rFonts w:ascii="Arial" w:hAnsi="Arial" w:cs="Arial"/>
          <w:sz w:val="22"/>
          <w:szCs w:val="22"/>
        </w:rPr>
      </w:pPr>
      <w:r w:rsidRPr="00662392">
        <w:rPr>
          <w:rFonts w:ascii="Arial" w:hAnsi="Arial" w:cs="Arial"/>
          <w:sz w:val="22"/>
          <w:szCs w:val="22"/>
        </w:rPr>
        <w:t xml:space="preserve">10 CFR 50.59 </w:t>
      </w:r>
      <w:r w:rsidR="0091576D" w:rsidRPr="00662392">
        <w:rPr>
          <w:rFonts w:ascii="Arial" w:hAnsi="Arial" w:cs="Arial"/>
          <w:sz w:val="22"/>
          <w:szCs w:val="22"/>
        </w:rPr>
        <w:t>uses the term</w:t>
      </w:r>
      <w:r w:rsidRPr="00662392">
        <w:rPr>
          <w:rFonts w:ascii="Arial" w:hAnsi="Arial" w:cs="Arial"/>
          <w:sz w:val="22"/>
          <w:szCs w:val="22"/>
        </w:rPr>
        <w:t xml:space="preserve"> </w:t>
      </w:r>
      <w:r w:rsidR="00B91BCC" w:rsidRPr="00662392">
        <w:rPr>
          <w:rFonts w:ascii="Arial" w:hAnsi="Arial" w:cs="Arial"/>
          <w:sz w:val="22"/>
          <w:szCs w:val="22"/>
        </w:rPr>
        <w:t>“</w:t>
      </w:r>
      <w:r w:rsidRPr="00662392">
        <w:rPr>
          <w:rFonts w:ascii="Arial" w:hAnsi="Arial" w:cs="Arial"/>
          <w:sz w:val="22"/>
          <w:szCs w:val="22"/>
        </w:rPr>
        <w:t>FSAR (as updated)</w:t>
      </w:r>
      <w:r w:rsidR="00504DFE" w:rsidRPr="00662392">
        <w:rPr>
          <w:rFonts w:ascii="Arial" w:hAnsi="Arial" w:cs="Arial"/>
          <w:sz w:val="22"/>
          <w:szCs w:val="22"/>
        </w:rPr>
        <w:t>.”</w:t>
      </w:r>
      <w:r w:rsidRPr="00662392">
        <w:rPr>
          <w:rFonts w:ascii="Arial" w:hAnsi="Arial" w:cs="Arial"/>
          <w:sz w:val="22"/>
          <w:szCs w:val="22"/>
        </w:rPr>
        <w:t xml:space="preserve">  For simplicity in </w:t>
      </w:r>
      <w:r w:rsidR="005C3E6E" w:rsidRPr="00662392">
        <w:rPr>
          <w:rFonts w:ascii="Arial" w:hAnsi="Arial" w:cs="Arial"/>
          <w:sz w:val="22"/>
          <w:szCs w:val="22"/>
        </w:rPr>
        <w:t>this IMC</w:t>
      </w:r>
      <w:r w:rsidRPr="00662392">
        <w:rPr>
          <w:rFonts w:ascii="Arial" w:hAnsi="Arial" w:cs="Arial"/>
          <w:sz w:val="22"/>
          <w:szCs w:val="22"/>
        </w:rPr>
        <w:t>, the acronym “UFSAR</w:t>
      </w:r>
      <w:r w:rsidR="001D3564" w:rsidRPr="00662392">
        <w:rPr>
          <w:rFonts w:ascii="Arial" w:hAnsi="Arial" w:cs="Arial"/>
          <w:sz w:val="22"/>
          <w:szCs w:val="22"/>
        </w:rPr>
        <w:t>,</w:t>
      </w:r>
      <w:r w:rsidRPr="00662392">
        <w:rPr>
          <w:rFonts w:ascii="Arial" w:hAnsi="Arial" w:cs="Arial"/>
          <w:sz w:val="22"/>
          <w:szCs w:val="22"/>
        </w:rPr>
        <w:t>”</w:t>
      </w:r>
      <w:r w:rsidR="001D3564" w:rsidRPr="00662392">
        <w:rPr>
          <w:rFonts w:ascii="Arial" w:hAnsi="Arial" w:cs="Arial"/>
          <w:sz w:val="22"/>
          <w:szCs w:val="22"/>
        </w:rPr>
        <w:t xml:space="preserve"> which is synonymous with “FSAR (as updated),”</w:t>
      </w:r>
      <w:r w:rsidRPr="00662392">
        <w:rPr>
          <w:rFonts w:ascii="Arial" w:hAnsi="Arial" w:cs="Arial"/>
          <w:sz w:val="22"/>
          <w:szCs w:val="22"/>
        </w:rPr>
        <w:t xml:space="preserve"> will be used</w:t>
      </w:r>
      <w:r w:rsidR="0023236B" w:rsidRPr="00662392">
        <w:rPr>
          <w:rFonts w:ascii="Arial" w:hAnsi="Arial" w:cs="Arial"/>
          <w:sz w:val="22"/>
          <w:szCs w:val="22"/>
        </w:rPr>
        <w:t>.</w:t>
      </w:r>
    </w:p>
    <w:p w14:paraId="3A5F27D0" w14:textId="2DAECC28" w:rsidR="00304128" w:rsidRPr="00662392" w:rsidRDefault="003F0C76" w:rsidP="00194415">
      <w:pPr>
        <w:pStyle w:val="ListParagraph"/>
        <w:numPr>
          <w:ilvl w:val="0"/>
          <w:numId w:val="12"/>
        </w:numPr>
        <w:rPr>
          <w:rFonts w:ascii="Arial" w:hAnsi="Arial" w:cs="Arial"/>
          <w:sz w:val="22"/>
          <w:szCs w:val="22"/>
        </w:rPr>
      </w:pPr>
      <w:r w:rsidRPr="00662392">
        <w:rPr>
          <w:rFonts w:ascii="Arial" w:hAnsi="Arial" w:cs="Arial"/>
          <w:sz w:val="22"/>
          <w:szCs w:val="22"/>
        </w:rPr>
        <w:t>The guidance in this IMC is based on underlying documents</w:t>
      </w:r>
      <w:r w:rsidRPr="00662392" w:rsidDel="000A70E6">
        <w:rPr>
          <w:rFonts w:ascii="Arial" w:hAnsi="Arial" w:cs="Arial"/>
          <w:sz w:val="22"/>
          <w:szCs w:val="22"/>
        </w:rPr>
        <w:t xml:space="preserve"> </w:t>
      </w:r>
      <w:r w:rsidR="000A70E6" w:rsidRPr="00662392">
        <w:rPr>
          <w:rFonts w:ascii="Arial" w:hAnsi="Arial" w:cs="Arial"/>
          <w:sz w:val="22"/>
          <w:szCs w:val="22"/>
        </w:rPr>
        <w:t xml:space="preserve">such as </w:t>
      </w:r>
      <w:r w:rsidRPr="00662392">
        <w:rPr>
          <w:rFonts w:ascii="Arial" w:hAnsi="Arial" w:cs="Arial"/>
          <w:sz w:val="22"/>
          <w:szCs w:val="22"/>
        </w:rPr>
        <w:t xml:space="preserve">the </w:t>
      </w:r>
      <w:r w:rsidR="006B3EB1" w:rsidRPr="00662392">
        <w:rPr>
          <w:rFonts w:ascii="Arial" w:hAnsi="Arial" w:cs="Arial"/>
          <w:sz w:val="22"/>
          <w:szCs w:val="22"/>
        </w:rPr>
        <w:t xml:space="preserve">regulations in </w:t>
      </w:r>
      <w:r w:rsidR="00040AE8" w:rsidRPr="00662392">
        <w:rPr>
          <w:rFonts w:ascii="Arial" w:hAnsi="Arial" w:cs="Arial"/>
          <w:sz w:val="22"/>
          <w:szCs w:val="22"/>
        </w:rPr>
        <w:t xml:space="preserve">10 CFR </w:t>
      </w:r>
      <w:r w:rsidRPr="00662392">
        <w:rPr>
          <w:rFonts w:ascii="Arial" w:hAnsi="Arial" w:cs="Arial"/>
          <w:sz w:val="22"/>
          <w:szCs w:val="22"/>
        </w:rPr>
        <w:t>50.59 and 72</w:t>
      </w:r>
      <w:r w:rsidR="00040AE8" w:rsidRPr="00662392">
        <w:rPr>
          <w:rFonts w:ascii="Arial" w:hAnsi="Arial" w:cs="Arial"/>
          <w:sz w:val="22"/>
          <w:szCs w:val="22"/>
        </w:rPr>
        <w:t>.48</w:t>
      </w:r>
      <w:r w:rsidRPr="00662392">
        <w:rPr>
          <w:rFonts w:ascii="Arial" w:hAnsi="Arial" w:cs="Arial"/>
          <w:sz w:val="22"/>
          <w:szCs w:val="22"/>
        </w:rPr>
        <w:t xml:space="preserve">, </w:t>
      </w:r>
      <w:r w:rsidR="00244ACA" w:rsidRPr="00662392">
        <w:rPr>
          <w:rFonts w:ascii="Arial" w:hAnsi="Arial" w:cs="Arial"/>
          <w:sz w:val="22"/>
          <w:szCs w:val="22"/>
        </w:rPr>
        <w:t>Statements of Consideration (</w:t>
      </w:r>
      <w:r w:rsidRPr="00662392">
        <w:rPr>
          <w:rFonts w:ascii="Arial" w:hAnsi="Arial" w:cs="Arial"/>
          <w:sz w:val="22"/>
          <w:szCs w:val="22"/>
        </w:rPr>
        <w:t>SOCs</w:t>
      </w:r>
      <w:r w:rsidR="00244ACA" w:rsidRPr="00662392">
        <w:rPr>
          <w:rFonts w:ascii="Arial" w:hAnsi="Arial" w:cs="Arial"/>
          <w:sz w:val="22"/>
          <w:szCs w:val="22"/>
        </w:rPr>
        <w:t>)</w:t>
      </w:r>
      <w:r w:rsidR="00040AE8" w:rsidRPr="00662392">
        <w:rPr>
          <w:rFonts w:ascii="Arial" w:hAnsi="Arial" w:cs="Arial"/>
          <w:sz w:val="22"/>
          <w:szCs w:val="22"/>
        </w:rPr>
        <w:t xml:space="preserve"> (</w:t>
      </w:r>
      <w:r w:rsidR="00E66027" w:rsidRPr="00662392">
        <w:rPr>
          <w:rFonts w:ascii="Arial" w:hAnsi="Arial" w:cs="Arial"/>
          <w:sz w:val="22"/>
          <w:szCs w:val="22"/>
        </w:rPr>
        <w:t>specifically</w:t>
      </w:r>
      <w:r w:rsidR="00040AE8" w:rsidRPr="00662392">
        <w:rPr>
          <w:rFonts w:ascii="Arial" w:hAnsi="Arial" w:cs="Arial"/>
          <w:sz w:val="22"/>
          <w:szCs w:val="22"/>
        </w:rPr>
        <w:t xml:space="preserve"> </w:t>
      </w:r>
      <w:r w:rsidR="006B4224" w:rsidRPr="00662392">
        <w:rPr>
          <w:rFonts w:ascii="Arial" w:hAnsi="Arial" w:cs="Arial"/>
          <w:sz w:val="22"/>
          <w:szCs w:val="22"/>
        </w:rPr>
        <w:t xml:space="preserve">the 1999 final rule SOCs for 50.59 at </w:t>
      </w:r>
      <w:r w:rsidR="00536835" w:rsidRPr="00662392">
        <w:rPr>
          <w:rFonts w:ascii="Arial" w:hAnsi="Arial" w:cs="Arial"/>
          <w:sz w:val="22"/>
          <w:szCs w:val="22"/>
        </w:rPr>
        <w:t>64 Fed. Reg. 53582</w:t>
      </w:r>
      <w:r w:rsidR="00E66027" w:rsidRPr="00662392">
        <w:rPr>
          <w:rFonts w:ascii="Arial" w:hAnsi="Arial" w:cs="Arial"/>
          <w:sz w:val="22"/>
          <w:szCs w:val="22"/>
        </w:rPr>
        <w:t>, referred to herein as, “the SOCs”</w:t>
      </w:r>
      <w:r w:rsidR="00536835" w:rsidRPr="00662392">
        <w:rPr>
          <w:rFonts w:ascii="Arial" w:hAnsi="Arial" w:cs="Arial"/>
          <w:sz w:val="22"/>
          <w:szCs w:val="22"/>
        </w:rPr>
        <w:t>)</w:t>
      </w:r>
      <w:r w:rsidRPr="00662392">
        <w:rPr>
          <w:rFonts w:ascii="Arial" w:hAnsi="Arial" w:cs="Arial"/>
          <w:sz w:val="22"/>
          <w:szCs w:val="22"/>
        </w:rPr>
        <w:t xml:space="preserve">, </w:t>
      </w:r>
      <w:r w:rsidR="00BF71A6" w:rsidRPr="00662392">
        <w:rPr>
          <w:rFonts w:ascii="Arial" w:hAnsi="Arial" w:cs="Arial"/>
          <w:sz w:val="22"/>
          <w:szCs w:val="22"/>
        </w:rPr>
        <w:t>Nuclear Energy Institute (</w:t>
      </w:r>
      <w:r w:rsidRPr="00662392">
        <w:rPr>
          <w:rFonts w:ascii="Arial" w:hAnsi="Arial" w:cs="Arial"/>
          <w:sz w:val="22"/>
          <w:szCs w:val="22"/>
        </w:rPr>
        <w:t>NEI</w:t>
      </w:r>
      <w:r w:rsidR="00BF71A6" w:rsidRPr="00662392">
        <w:rPr>
          <w:rFonts w:ascii="Arial" w:hAnsi="Arial" w:cs="Arial"/>
          <w:sz w:val="22"/>
          <w:szCs w:val="22"/>
        </w:rPr>
        <w:t>)</w:t>
      </w:r>
      <w:r w:rsidRPr="00662392">
        <w:rPr>
          <w:rFonts w:ascii="Arial" w:hAnsi="Arial" w:cs="Arial"/>
          <w:sz w:val="22"/>
          <w:szCs w:val="22"/>
        </w:rPr>
        <w:t xml:space="preserve"> 96-07,</w:t>
      </w:r>
      <w:r w:rsidR="00F63DE0" w:rsidRPr="00662392">
        <w:rPr>
          <w:rFonts w:ascii="Arial" w:hAnsi="Arial" w:cs="Arial"/>
          <w:sz w:val="22"/>
          <w:szCs w:val="22"/>
        </w:rPr>
        <w:t xml:space="preserve"> “Guidelines for 10 CFR 50.59 Evaluations,”</w:t>
      </w:r>
      <w:r w:rsidR="00DB0930" w:rsidRPr="00662392">
        <w:rPr>
          <w:rFonts w:ascii="Arial" w:hAnsi="Arial" w:cs="Arial"/>
          <w:sz w:val="22"/>
          <w:szCs w:val="22"/>
        </w:rPr>
        <w:t xml:space="preserve"> Revision 1,</w:t>
      </w:r>
      <w:r w:rsidRPr="00662392">
        <w:rPr>
          <w:rFonts w:ascii="Arial" w:hAnsi="Arial" w:cs="Arial"/>
          <w:sz w:val="22"/>
          <w:szCs w:val="22"/>
        </w:rPr>
        <w:t xml:space="preserve"> etc</w:t>
      </w:r>
      <w:r w:rsidR="008316B7" w:rsidRPr="00662392">
        <w:rPr>
          <w:rFonts w:ascii="Arial" w:hAnsi="Arial" w:cs="Arial"/>
          <w:sz w:val="22"/>
          <w:szCs w:val="22"/>
        </w:rPr>
        <w:t>.</w:t>
      </w:r>
      <w:r w:rsidR="000A70E6" w:rsidRPr="00662392">
        <w:rPr>
          <w:rFonts w:ascii="Arial" w:hAnsi="Arial" w:cs="Arial"/>
          <w:sz w:val="22"/>
          <w:szCs w:val="22"/>
        </w:rPr>
        <w:t xml:space="preserve"> This IMC does not provide new guidance interpreting 10 CFR 50.59.</w:t>
      </w:r>
    </w:p>
    <w:p w14:paraId="23CC5EFA" w14:textId="5A914E39" w:rsidR="00244ACA" w:rsidRPr="00662392" w:rsidRDefault="00244ACA" w:rsidP="00194415">
      <w:pPr>
        <w:pStyle w:val="ListParagraph"/>
        <w:numPr>
          <w:ilvl w:val="0"/>
          <w:numId w:val="12"/>
        </w:numPr>
        <w:rPr>
          <w:rFonts w:ascii="Arial" w:hAnsi="Arial" w:cs="Arial"/>
          <w:sz w:val="22"/>
          <w:szCs w:val="22"/>
        </w:rPr>
      </w:pPr>
      <w:r w:rsidRPr="00662392">
        <w:rPr>
          <w:rFonts w:ascii="Arial" w:hAnsi="Arial" w:cs="Arial"/>
          <w:sz w:val="22"/>
          <w:szCs w:val="22"/>
        </w:rPr>
        <w:t>All documents refer</w:t>
      </w:r>
      <w:r w:rsidR="003B474B" w:rsidRPr="00662392">
        <w:rPr>
          <w:rFonts w:ascii="Arial" w:hAnsi="Arial" w:cs="Arial"/>
          <w:sz w:val="22"/>
          <w:szCs w:val="22"/>
        </w:rPr>
        <w:t>enced</w:t>
      </w:r>
      <w:r w:rsidRPr="00662392">
        <w:rPr>
          <w:rFonts w:ascii="Arial" w:hAnsi="Arial" w:cs="Arial"/>
          <w:sz w:val="22"/>
          <w:szCs w:val="22"/>
        </w:rPr>
        <w:t xml:space="preserve"> in this IMC are listed in Section </w:t>
      </w:r>
      <w:r w:rsidR="00CC5532" w:rsidRPr="00662392">
        <w:rPr>
          <w:rFonts w:ascii="Arial" w:hAnsi="Arial" w:cs="Arial"/>
          <w:sz w:val="22"/>
          <w:szCs w:val="22"/>
        </w:rPr>
        <w:t>9</w:t>
      </w:r>
      <w:r w:rsidRPr="00662392">
        <w:rPr>
          <w:rFonts w:ascii="Arial" w:hAnsi="Arial" w:cs="Arial"/>
          <w:sz w:val="22"/>
          <w:szCs w:val="22"/>
        </w:rPr>
        <w:t>, “References</w:t>
      </w:r>
      <w:r w:rsidR="00390D77" w:rsidRPr="00662392">
        <w:rPr>
          <w:rFonts w:ascii="Arial" w:hAnsi="Arial" w:cs="Arial"/>
          <w:sz w:val="22"/>
          <w:szCs w:val="22"/>
        </w:rPr>
        <w:t>.</w:t>
      </w:r>
      <w:r w:rsidRPr="00662392">
        <w:rPr>
          <w:rFonts w:ascii="Arial" w:hAnsi="Arial" w:cs="Arial"/>
          <w:sz w:val="22"/>
          <w:szCs w:val="22"/>
        </w:rPr>
        <w:t>”</w:t>
      </w:r>
    </w:p>
    <w:p w14:paraId="2D0B4727" w14:textId="10177C25" w:rsidR="001D7EB8" w:rsidRPr="00662392" w:rsidRDefault="001D7EB8" w:rsidP="00194415">
      <w:pPr>
        <w:rPr>
          <w:sz w:val="22"/>
          <w:szCs w:val="22"/>
        </w:rPr>
      </w:pPr>
    </w:p>
    <w:p w14:paraId="700258DA" w14:textId="77777777" w:rsidR="00434004" w:rsidRPr="00662392" w:rsidRDefault="00434004" w:rsidP="00194415">
      <w:pPr>
        <w:rPr>
          <w:sz w:val="22"/>
          <w:szCs w:val="22"/>
        </w:rPr>
      </w:pPr>
    </w:p>
    <w:p w14:paraId="24B57D89" w14:textId="61D358FA" w:rsidR="006B54EA" w:rsidRPr="00662392" w:rsidRDefault="003D7A4C" w:rsidP="00194415">
      <w:pPr>
        <w:rPr>
          <w:sz w:val="22"/>
          <w:szCs w:val="22"/>
        </w:rPr>
      </w:pPr>
      <w:r w:rsidRPr="00662392">
        <w:rPr>
          <w:sz w:val="22"/>
          <w:szCs w:val="22"/>
        </w:rPr>
        <w:t>0335</w:t>
      </w:r>
      <w:r w:rsidR="00E94E2B" w:rsidRPr="00662392">
        <w:rPr>
          <w:sz w:val="22"/>
          <w:szCs w:val="22"/>
        </w:rPr>
        <w:t>-02</w:t>
      </w:r>
      <w:r w:rsidR="00D07321" w:rsidRPr="00662392">
        <w:rPr>
          <w:sz w:val="22"/>
          <w:szCs w:val="22"/>
        </w:rPr>
        <w:tab/>
      </w:r>
      <w:r w:rsidR="006B54EA" w:rsidRPr="00662392">
        <w:rPr>
          <w:sz w:val="22"/>
          <w:szCs w:val="22"/>
        </w:rPr>
        <w:t>OBJECTIVES</w:t>
      </w:r>
      <w:r w:rsidR="00BF79C4" w:rsidRPr="00662392">
        <w:rPr>
          <w:sz w:val="22"/>
          <w:szCs w:val="22"/>
        </w:rPr>
        <w:fldChar w:fldCharType="begin"/>
      </w:r>
      <w:r w:rsidR="00BF79C4" w:rsidRPr="00662392">
        <w:rPr>
          <w:sz w:val="22"/>
          <w:szCs w:val="22"/>
        </w:rPr>
        <w:instrText xml:space="preserve"> TC "</w:instrText>
      </w:r>
      <w:bookmarkStart w:id="4" w:name="_Toc62642887"/>
      <w:bookmarkStart w:id="5" w:name="_Toc63142069"/>
      <w:r w:rsidR="00BF79C4" w:rsidRPr="00662392">
        <w:rPr>
          <w:sz w:val="22"/>
          <w:szCs w:val="22"/>
        </w:rPr>
        <w:instrText>0335-02</w:instrText>
      </w:r>
      <w:r w:rsidR="00BF79C4" w:rsidRPr="00662392">
        <w:rPr>
          <w:sz w:val="22"/>
          <w:szCs w:val="22"/>
        </w:rPr>
        <w:tab/>
        <w:instrText>OBJECTIVES</w:instrText>
      </w:r>
      <w:bookmarkEnd w:id="4"/>
      <w:bookmarkEnd w:id="5"/>
      <w:r w:rsidR="00BF79C4" w:rsidRPr="00662392">
        <w:rPr>
          <w:sz w:val="22"/>
          <w:szCs w:val="22"/>
        </w:rPr>
        <w:instrText xml:space="preserve">" \f C \l "1" </w:instrText>
      </w:r>
      <w:r w:rsidR="00BF79C4" w:rsidRPr="00662392">
        <w:rPr>
          <w:sz w:val="22"/>
          <w:szCs w:val="22"/>
        </w:rPr>
        <w:fldChar w:fldCharType="end"/>
      </w:r>
    </w:p>
    <w:p w14:paraId="4221173C" w14:textId="77777777" w:rsidR="0042622B" w:rsidRPr="00662392" w:rsidRDefault="0042622B" w:rsidP="00194415">
      <w:pPr>
        <w:rPr>
          <w:sz w:val="22"/>
          <w:szCs w:val="22"/>
        </w:rPr>
      </w:pPr>
    </w:p>
    <w:p w14:paraId="313422BF" w14:textId="363CAADB" w:rsidR="007B5666" w:rsidRPr="00662392" w:rsidRDefault="007B5666" w:rsidP="00165AF5">
      <w:pPr>
        <w:widowControl/>
        <w:autoSpaceDE/>
        <w:autoSpaceDN/>
        <w:adjustRightInd/>
        <w:rPr>
          <w:rFonts w:eastAsia="Calibri"/>
          <w:b/>
          <w:bCs/>
          <w:i/>
          <w:iCs/>
          <w:sz w:val="22"/>
          <w:szCs w:val="22"/>
        </w:rPr>
      </w:pPr>
      <w:r w:rsidRPr="00662392">
        <w:rPr>
          <w:rFonts w:eastAsia="Calibri"/>
          <w:sz w:val="22"/>
          <w:szCs w:val="22"/>
        </w:rPr>
        <w:t>02.01</w:t>
      </w:r>
      <w:r w:rsidR="004729E7" w:rsidRPr="00662392">
        <w:rPr>
          <w:rFonts w:eastAsia="Calibri"/>
          <w:sz w:val="22"/>
          <w:szCs w:val="22"/>
        </w:rPr>
        <w:tab/>
      </w:r>
      <w:r w:rsidRPr="00662392">
        <w:rPr>
          <w:rFonts w:eastAsia="Calibri"/>
          <w:sz w:val="22"/>
          <w:szCs w:val="22"/>
        </w:rPr>
        <w:t xml:space="preserve">To provide inspectors guidance regarding the </w:t>
      </w:r>
      <w:r w:rsidR="00987015" w:rsidRPr="00662392">
        <w:rPr>
          <w:rFonts w:eastAsia="Calibri"/>
          <w:sz w:val="22"/>
          <w:szCs w:val="22"/>
        </w:rPr>
        <w:t>review</w:t>
      </w:r>
      <w:r w:rsidR="00F76468" w:rsidRPr="00662392">
        <w:rPr>
          <w:rFonts w:eastAsia="Calibri"/>
          <w:sz w:val="22"/>
          <w:szCs w:val="22"/>
        </w:rPr>
        <w:t xml:space="preserve"> </w:t>
      </w:r>
      <w:r w:rsidRPr="00662392">
        <w:rPr>
          <w:rFonts w:eastAsia="Calibri"/>
          <w:sz w:val="22"/>
          <w:szCs w:val="22"/>
        </w:rPr>
        <w:t>of licensee</w:t>
      </w:r>
      <w:r w:rsidR="008176DA" w:rsidRPr="00662392">
        <w:rPr>
          <w:rFonts w:eastAsia="Calibri"/>
          <w:sz w:val="22"/>
          <w:szCs w:val="22"/>
        </w:rPr>
        <w:t xml:space="preserve"> or spent fuel storage cask </w:t>
      </w:r>
      <w:r w:rsidR="00D36C50" w:rsidRPr="00662392">
        <w:rPr>
          <w:rFonts w:eastAsia="Calibri"/>
          <w:sz w:val="22"/>
          <w:szCs w:val="22"/>
        </w:rPr>
        <w:t>certificate holder</w:t>
      </w:r>
      <w:r w:rsidR="00F76468" w:rsidRPr="00662392">
        <w:rPr>
          <w:rFonts w:eastAsia="Calibri"/>
          <w:sz w:val="22"/>
          <w:szCs w:val="22"/>
        </w:rPr>
        <w:t xml:space="preserve"> </w:t>
      </w:r>
      <w:r w:rsidR="00320938" w:rsidRPr="00662392">
        <w:rPr>
          <w:rFonts w:eastAsia="Calibri"/>
          <w:sz w:val="22"/>
          <w:szCs w:val="22"/>
        </w:rPr>
        <w:t>applicability determination</w:t>
      </w:r>
      <w:r w:rsidR="00813FEA" w:rsidRPr="00662392">
        <w:rPr>
          <w:rFonts w:eastAsia="Calibri"/>
          <w:sz w:val="22"/>
          <w:szCs w:val="22"/>
        </w:rPr>
        <w:t>s</w:t>
      </w:r>
      <w:r w:rsidR="00320938" w:rsidRPr="00662392">
        <w:rPr>
          <w:rFonts w:eastAsia="Calibri"/>
          <w:sz w:val="22"/>
          <w:szCs w:val="22"/>
        </w:rPr>
        <w:t xml:space="preserve">, screening, and </w:t>
      </w:r>
      <w:r w:rsidR="00F76468" w:rsidRPr="00662392">
        <w:rPr>
          <w:rFonts w:eastAsia="Calibri"/>
          <w:sz w:val="22"/>
          <w:szCs w:val="22"/>
        </w:rPr>
        <w:t>evaluations of</w:t>
      </w:r>
      <w:r w:rsidRPr="00662392">
        <w:rPr>
          <w:rFonts w:eastAsia="Calibri"/>
          <w:sz w:val="22"/>
          <w:szCs w:val="22"/>
        </w:rPr>
        <w:t xml:space="preserve"> changes, tests, and experiments</w:t>
      </w:r>
      <w:r w:rsidR="00890F69" w:rsidRPr="00662392">
        <w:rPr>
          <w:rFonts w:eastAsia="Calibri"/>
          <w:sz w:val="22"/>
          <w:szCs w:val="22"/>
        </w:rPr>
        <w:t xml:space="preserve"> (CTEs)</w:t>
      </w:r>
      <w:r w:rsidR="009311E2" w:rsidRPr="00662392">
        <w:rPr>
          <w:rFonts w:eastAsia="Calibri"/>
          <w:sz w:val="22"/>
          <w:szCs w:val="22"/>
        </w:rPr>
        <w:t>,</w:t>
      </w:r>
    </w:p>
    <w:p w14:paraId="3825CD88" w14:textId="77777777" w:rsidR="007B5666" w:rsidRPr="00662392" w:rsidRDefault="007B5666" w:rsidP="00194415">
      <w:pPr>
        <w:widowControl/>
        <w:autoSpaceDE/>
        <w:autoSpaceDN/>
        <w:adjustRightInd/>
        <w:rPr>
          <w:rFonts w:eastAsia="Calibri"/>
          <w:sz w:val="22"/>
          <w:szCs w:val="22"/>
        </w:rPr>
      </w:pPr>
    </w:p>
    <w:p w14:paraId="1D4AB393" w14:textId="740E1832" w:rsidR="007B5666" w:rsidRPr="00662392" w:rsidRDefault="007B5666" w:rsidP="00165AF5">
      <w:pPr>
        <w:widowControl/>
        <w:autoSpaceDE/>
        <w:autoSpaceDN/>
        <w:adjustRightInd/>
        <w:rPr>
          <w:rFonts w:eastAsia="Calibri"/>
          <w:b/>
          <w:bCs/>
          <w:i/>
          <w:iCs/>
          <w:sz w:val="22"/>
          <w:szCs w:val="22"/>
        </w:rPr>
      </w:pPr>
      <w:r w:rsidRPr="00662392">
        <w:rPr>
          <w:rFonts w:eastAsia="Calibri"/>
          <w:sz w:val="22"/>
          <w:szCs w:val="22"/>
        </w:rPr>
        <w:t>02.02</w:t>
      </w:r>
      <w:r w:rsidR="004729E7" w:rsidRPr="00662392">
        <w:rPr>
          <w:rFonts w:eastAsia="Calibri"/>
          <w:sz w:val="22"/>
          <w:szCs w:val="22"/>
        </w:rPr>
        <w:tab/>
      </w:r>
      <w:r w:rsidRPr="00662392">
        <w:rPr>
          <w:rFonts w:eastAsia="Calibri"/>
          <w:sz w:val="22"/>
          <w:szCs w:val="22"/>
        </w:rPr>
        <w:t xml:space="preserve">To ensure </w:t>
      </w:r>
      <w:r w:rsidR="006B5325" w:rsidRPr="00662392">
        <w:rPr>
          <w:rFonts w:eastAsia="Calibri"/>
          <w:sz w:val="22"/>
          <w:szCs w:val="22"/>
        </w:rPr>
        <w:t>inspectors</w:t>
      </w:r>
      <w:r w:rsidR="00987015" w:rsidRPr="00662392">
        <w:rPr>
          <w:rFonts w:eastAsia="Calibri"/>
          <w:sz w:val="22"/>
          <w:szCs w:val="22"/>
        </w:rPr>
        <w:t xml:space="preserve"> review</w:t>
      </w:r>
      <w:r w:rsidR="00D1645B" w:rsidRPr="00662392">
        <w:rPr>
          <w:rFonts w:eastAsia="Calibri"/>
          <w:sz w:val="22"/>
          <w:szCs w:val="22"/>
        </w:rPr>
        <w:t xml:space="preserve"> </w:t>
      </w:r>
      <w:r w:rsidRPr="00662392">
        <w:rPr>
          <w:rFonts w:eastAsia="Calibri"/>
          <w:sz w:val="22"/>
          <w:szCs w:val="22"/>
        </w:rPr>
        <w:t xml:space="preserve">licensee </w:t>
      </w:r>
      <w:r w:rsidR="009311E2" w:rsidRPr="00662392">
        <w:rPr>
          <w:rFonts w:eastAsia="Calibri"/>
          <w:sz w:val="22"/>
          <w:szCs w:val="22"/>
        </w:rPr>
        <w:t>CTE</w:t>
      </w:r>
      <w:r w:rsidR="003A04AB" w:rsidRPr="00662392">
        <w:rPr>
          <w:rFonts w:eastAsia="Calibri"/>
          <w:sz w:val="22"/>
          <w:szCs w:val="22"/>
        </w:rPr>
        <w:t xml:space="preserve"> </w:t>
      </w:r>
      <w:r w:rsidR="00987015" w:rsidRPr="00662392">
        <w:rPr>
          <w:rFonts w:eastAsia="Calibri"/>
          <w:sz w:val="22"/>
          <w:szCs w:val="22"/>
        </w:rPr>
        <w:t>applicability determinations, screening</w:t>
      </w:r>
      <w:r w:rsidR="000F1E40" w:rsidRPr="00662392">
        <w:rPr>
          <w:rFonts w:eastAsia="Calibri"/>
          <w:sz w:val="22"/>
          <w:szCs w:val="22"/>
        </w:rPr>
        <w:t xml:space="preserve">, and </w:t>
      </w:r>
      <w:r w:rsidR="003A04AB" w:rsidRPr="00662392">
        <w:rPr>
          <w:rFonts w:eastAsia="Calibri"/>
          <w:sz w:val="22"/>
          <w:szCs w:val="22"/>
        </w:rPr>
        <w:t>evaluation</w:t>
      </w:r>
      <w:r w:rsidRPr="00662392">
        <w:rPr>
          <w:rFonts w:eastAsia="Calibri"/>
          <w:sz w:val="22"/>
          <w:szCs w:val="22"/>
        </w:rPr>
        <w:t>s consistently throughout the agency utilizing sound engineering practices</w:t>
      </w:r>
      <w:r w:rsidR="009311E2" w:rsidRPr="00662392">
        <w:rPr>
          <w:rFonts w:eastAsia="Calibri"/>
          <w:sz w:val="22"/>
          <w:szCs w:val="22"/>
        </w:rPr>
        <w:t>, and</w:t>
      </w:r>
    </w:p>
    <w:p w14:paraId="55D7C7B9" w14:textId="77777777" w:rsidR="007B5666" w:rsidRPr="00662392" w:rsidRDefault="007B5666" w:rsidP="00194415">
      <w:pPr>
        <w:widowControl/>
        <w:autoSpaceDE/>
        <w:autoSpaceDN/>
        <w:adjustRightInd/>
        <w:ind w:left="720" w:hanging="720"/>
        <w:rPr>
          <w:rFonts w:eastAsia="Calibri"/>
          <w:sz w:val="22"/>
          <w:szCs w:val="22"/>
        </w:rPr>
      </w:pPr>
    </w:p>
    <w:p w14:paraId="5215DC52" w14:textId="66E7B57C" w:rsidR="007B5666" w:rsidRPr="00662392" w:rsidRDefault="007B5666" w:rsidP="00165AF5">
      <w:pPr>
        <w:widowControl/>
        <w:autoSpaceDE/>
        <w:autoSpaceDN/>
        <w:adjustRightInd/>
        <w:rPr>
          <w:rFonts w:eastAsia="Calibri"/>
          <w:b/>
          <w:bCs/>
          <w:i/>
          <w:iCs/>
          <w:sz w:val="22"/>
          <w:szCs w:val="22"/>
        </w:rPr>
      </w:pPr>
      <w:r w:rsidRPr="00662392">
        <w:rPr>
          <w:rFonts w:eastAsia="Calibri"/>
          <w:sz w:val="22"/>
          <w:szCs w:val="22"/>
        </w:rPr>
        <w:t>02.03</w:t>
      </w:r>
      <w:r w:rsidR="004729E7" w:rsidRPr="00662392">
        <w:rPr>
          <w:rFonts w:eastAsia="Calibri"/>
          <w:sz w:val="22"/>
          <w:szCs w:val="22"/>
        </w:rPr>
        <w:tab/>
      </w:r>
      <w:r w:rsidRPr="00662392">
        <w:rPr>
          <w:rFonts w:eastAsia="Calibri"/>
          <w:sz w:val="22"/>
          <w:szCs w:val="22"/>
        </w:rPr>
        <w:t xml:space="preserve">To provide </w:t>
      </w:r>
      <w:r w:rsidR="006B5325" w:rsidRPr="00662392">
        <w:rPr>
          <w:rFonts w:eastAsia="Calibri"/>
          <w:sz w:val="22"/>
          <w:szCs w:val="22"/>
        </w:rPr>
        <w:t>inspectors</w:t>
      </w:r>
      <w:r w:rsidR="00E95FB7" w:rsidRPr="00662392">
        <w:rPr>
          <w:rFonts w:eastAsia="Calibri"/>
          <w:sz w:val="22"/>
          <w:szCs w:val="22"/>
        </w:rPr>
        <w:t xml:space="preserve"> </w:t>
      </w:r>
      <w:r w:rsidRPr="00662392">
        <w:rPr>
          <w:rFonts w:eastAsia="Calibri"/>
          <w:sz w:val="22"/>
          <w:szCs w:val="22"/>
        </w:rPr>
        <w:t xml:space="preserve">references to guidance/documents available to aid when assessing licensee </w:t>
      </w:r>
      <w:r w:rsidR="009311E2" w:rsidRPr="00662392">
        <w:rPr>
          <w:rFonts w:eastAsia="Calibri"/>
          <w:sz w:val="22"/>
          <w:szCs w:val="22"/>
        </w:rPr>
        <w:t>CTE</w:t>
      </w:r>
      <w:r w:rsidR="00FA4C6D" w:rsidRPr="00662392">
        <w:rPr>
          <w:rFonts w:eastAsia="Calibri"/>
          <w:sz w:val="22"/>
          <w:szCs w:val="22"/>
        </w:rPr>
        <w:t xml:space="preserve"> </w:t>
      </w:r>
      <w:r w:rsidR="000F1E40" w:rsidRPr="00662392">
        <w:rPr>
          <w:rFonts w:eastAsia="Calibri"/>
          <w:sz w:val="22"/>
          <w:szCs w:val="22"/>
        </w:rPr>
        <w:t xml:space="preserve">applicability determinations, screening, </w:t>
      </w:r>
      <w:r w:rsidR="000F2CCE" w:rsidRPr="00662392">
        <w:rPr>
          <w:rFonts w:eastAsia="Calibri"/>
          <w:sz w:val="22"/>
          <w:szCs w:val="22"/>
        </w:rPr>
        <w:t xml:space="preserve">and </w:t>
      </w:r>
      <w:r w:rsidR="00E95FB7" w:rsidRPr="00662392">
        <w:rPr>
          <w:rFonts w:eastAsia="Calibri"/>
          <w:sz w:val="22"/>
          <w:szCs w:val="22"/>
        </w:rPr>
        <w:t>evaluations</w:t>
      </w:r>
      <w:r w:rsidR="009311E2" w:rsidRPr="00662392">
        <w:rPr>
          <w:rFonts w:eastAsia="Calibri"/>
          <w:sz w:val="22"/>
          <w:szCs w:val="22"/>
        </w:rPr>
        <w:t>.</w:t>
      </w:r>
    </w:p>
    <w:p w14:paraId="35A1AFBF" w14:textId="251792FE" w:rsidR="00650736" w:rsidRPr="00662392" w:rsidRDefault="00650736" w:rsidP="00194415">
      <w:pPr>
        <w:rPr>
          <w:sz w:val="22"/>
          <w:szCs w:val="22"/>
        </w:rPr>
      </w:pPr>
    </w:p>
    <w:p w14:paraId="146ECE0D" w14:textId="77777777" w:rsidR="00434004" w:rsidRPr="00662392" w:rsidRDefault="00434004" w:rsidP="00194415">
      <w:pPr>
        <w:rPr>
          <w:sz w:val="22"/>
          <w:szCs w:val="22"/>
        </w:rPr>
      </w:pPr>
    </w:p>
    <w:p w14:paraId="32F468E3" w14:textId="681B1D79" w:rsidR="00D07321" w:rsidRPr="00662392" w:rsidRDefault="003D7A4C" w:rsidP="00194415">
      <w:pPr>
        <w:rPr>
          <w:sz w:val="22"/>
          <w:szCs w:val="22"/>
        </w:rPr>
      </w:pPr>
      <w:r w:rsidRPr="00662392">
        <w:rPr>
          <w:sz w:val="22"/>
          <w:szCs w:val="22"/>
        </w:rPr>
        <w:t>0335</w:t>
      </w:r>
      <w:r w:rsidR="006B54EA" w:rsidRPr="00662392">
        <w:rPr>
          <w:sz w:val="22"/>
          <w:szCs w:val="22"/>
        </w:rPr>
        <w:t>-03</w:t>
      </w:r>
      <w:r w:rsidR="006B54EA" w:rsidRPr="00662392">
        <w:rPr>
          <w:sz w:val="22"/>
          <w:szCs w:val="22"/>
        </w:rPr>
        <w:tab/>
        <w:t>APPLICABILITY</w:t>
      </w:r>
      <w:r w:rsidR="00BF79C4" w:rsidRPr="00662392">
        <w:rPr>
          <w:sz w:val="22"/>
          <w:szCs w:val="22"/>
        </w:rPr>
        <w:fldChar w:fldCharType="begin"/>
      </w:r>
      <w:r w:rsidR="00BF79C4" w:rsidRPr="00662392">
        <w:rPr>
          <w:sz w:val="22"/>
          <w:szCs w:val="22"/>
        </w:rPr>
        <w:instrText xml:space="preserve"> TC "</w:instrText>
      </w:r>
      <w:bookmarkStart w:id="6" w:name="_Toc62642888"/>
      <w:bookmarkStart w:id="7" w:name="_Toc63142070"/>
      <w:r w:rsidR="00BF79C4" w:rsidRPr="00662392">
        <w:rPr>
          <w:sz w:val="22"/>
          <w:szCs w:val="22"/>
        </w:rPr>
        <w:instrText>0335-03</w:instrText>
      </w:r>
      <w:r w:rsidR="00BF79C4" w:rsidRPr="00662392">
        <w:rPr>
          <w:sz w:val="22"/>
          <w:szCs w:val="22"/>
        </w:rPr>
        <w:tab/>
        <w:instrText>APPLICABILITY</w:instrText>
      </w:r>
      <w:bookmarkEnd w:id="6"/>
      <w:bookmarkEnd w:id="7"/>
      <w:r w:rsidR="00BF79C4" w:rsidRPr="00662392">
        <w:rPr>
          <w:sz w:val="22"/>
          <w:szCs w:val="22"/>
        </w:rPr>
        <w:instrText xml:space="preserve">" \f C \l "1" </w:instrText>
      </w:r>
      <w:r w:rsidR="00BF79C4" w:rsidRPr="00662392">
        <w:rPr>
          <w:sz w:val="22"/>
          <w:szCs w:val="22"/>
        </w:rPr>
        <w:fldChar w:fldCharType="end"/>
      </w:r>
    </w:p>
    <w:p w14:paraId="6568A5DA" w14:textId="77777777" w:rsidR="00D07321" w:rsidRPr="00662392" w:rsidRDefault="00D07321" w:rsidP="00194415">
      <w:pPr>
        <w:rPr>
          <w:sz w:val="22"/>
          <w:szCs w:val="22"/>
        </w:rPr>
      </w:pPr>
    </w:p>
    <w:p w14:paraId="7FDD9ECE" w14:textId="7CDFCC05" w:rsidR="003F30FD" w:rsidRPr="00662392" w:rsidRDefault="00E941CA" w:rsidP="00194415">
      <w:pPr>
        <w:pStyle w:val="NoSpacing"/>
      </w:pPr>
      <w:r w:rsidRPr="00662392">
        <w:rPr>
          <w:rFonts w:eastAsia="Calibri"/>
        </w:rPr>
        <w:t>As described in 10 CFR 50.59(</w:t>
      </w:r>
      <w:r w:rsidR="002E5669" w:rsidRPr="00662392">
        <w:rPr>
          <w:rFonts w:eastAsia="Calibri"/>
        </w:rPr>
        <w:t xml:space="preserve">b), </w:t>
      </w:r>
      <w:r w:rsidR="00C00812" w:rsidRPr="00662392">
        <w:rPr>
          <w:rFonts w:eastAsia="Calibri"/>
        </w:rPr>
        <w:t>the requirements of 10 CFR 50.59</w:t>
      </w:r>
      <w:r w:rsidR="002E5669" w:rsidRPr="00662392">
        <w:rPr>
          <w:rFonts w:eastAsia="Calibri"/>
        </w:rPr>
        <w:t xml:space="preserve"> apply to </w:t>
      </w:r>
      <w:r w:rsidR="00AD2950" w:rsidRPr="00662392">
        <w:rPr>
          <w:rFonts w:eastAsia="Calibri"/>
        </w:rPr>
        <w:t>holders</w:t>
      </w:r>
      <w:r w:rsidR="002E5669" w:rsidRPr="00662392">
        <w:rPr>
          <w:rFonts w:eastAsia="Calibri"/>
        </w:rPr>
        <w:t xml:space="preserve"> of operating licenses under Part 50 and combined licenses under Part 52</w:t>
      </w:r>
      <w:r w:rsidR="00C00812" w:rsidRPr="00662392">
        <w:rPr>
          <w:rFonts w:eastAsia="Calibri"/>
        </w:rPr>
        <w:t xml:space="preserve">.  </w:t>
      </w:r>
      <w:r w:rsidR="003F30FD" w:rsidRPr="00662392">
        <w:rPr>
          <w:rFonts w:eastAsia="Calibri"/>
        </w:rPr>
        <w:t xml:space="preserve">Licensees are required to </w:t>
      </w:r>
      <w:r w:rsidR="00783BEB" w:rsidRPr="00662392">
        <w:rPr>
          <w:rFonts w:eastAsia="Calibri"/>
        </w:rPr>
        <w:t xml:space="preserve">follow </w:t>
      </w:r>
      <w:r w:rsidR="00B553F1" w:rsidRPr="00662392">
        <w:rPr>
          <w:rFonts w:eastAsia="Calibri"/>
        </w:rPr>
        <w:t>10 CFR 50.59</w:t>
      </w:r>
      <w:r w:rsidR="003F30FD" w:rsidRPr="00662392">
        <w:rPr>
          <w:rFonts w:eastAsia="Calibri"/>
        </w:rPr>
        <w:t xml:space="preserve"> when making changes to their facility as described in their UFSAR, making changes to procedures as described in their UFSAR, and when considering the conduct of tests or experiments not described in their facility UFSAR. 10 CFR 50.59 applies </w:t>
      </w:r>
      <w:r w:rsidR="003F30FD" w:rsidRPr="00662392" w:rsidDel="00B553F1">
        <w:rPr>
          <w:rFonts w:eastAsia="Calibri"/>
        </w:rPr>
        <w:t xml:space="preserve">to </w:t>
      </w:r>
      <w:r w:rsidR="003F30FD" w:rsidRPr="00662392">
        <w:rPr>
          <w:rFonts w:eastAsia="Calibri"/>
        </w:rPr>
        <w:t>power and non-power reactors that are authorized to operate and reactors (both power and non</w:t>
      </w:r>
      <w:r w:rsidR="00FC5D5B" w:rsidRPr="00662392">
        <w:rPr>
          <w:rFonts w:eastAsia="Calibri"/>
        </w:rPr>
        <w:t>-</w:t>
      </w:r>
      <w:r w:rsidR="003F30FD" w:rsidRPr="00662392">
        <w:rPr>
          <w:rFonts w:eastAsia="Calibri"/>
        </w:rPr>
        <w:t xml:space="preserve">power) that have permanently ceased operations. </w:t>
      </w:r>
    </w:p>
    <w:p w14:paraId="742231EE" w14:textId="77777777" w:rsidR="003F30FD" w:rsidRPr="00662392" w:rsidRDefault="003F30FD" w:rsidP="00194415">
      <w:pPr>
        <w:widowControl/>
        <w:autoSpaceDE/>
        <w:autoSpaceDN/>
        <w:adjustRightInd/>
        <w:rPr>
          <w:rFonts w:eastAsia="Calibri"/>
          <w:sz w:val="22"/>
          <w:szCs w:val="22"/>
        </w:rPr>
      </w:pPr>
    </w:p>
    <w:p w14:paraId="2D8C28DD" w14:textId="77777777" w:rsidR="000E0ACD" w:rsidRDefault="003F30FD" w:rsidP="00194415">
      <w:pPr>
        <w:widowControl/>
        <w:autoSpaceDE/>
        <w:autoSpaceDN/>
        <w:adjustRightInd/>
        <w:rPr>
          <w:rFonts w:eastAsia="Calibri"/>
          <w:sz w:val="22"/>
          <w:szCs w:val="22"/>
        </w:rPr>
        <w:sectPr w:rsidR="000E0ACD" w:rsidSect="001C775D">
          <w:pgSz w:w="12240" w:h="15840" w:code="1"/>
          <w:pgMar w:top="1440" w:right="1440" w:bottom="1440" w:left="1440" w:header="720" w:footer="720" w:gutter="0"/>
          <w:pgNumType w:start="1"/>
          <w:cols w:space="720"/>
          <w:noEndnote/>
          <w:docGrid w:linePitch="326"/>
        </w:sectPr>
      </w:pPr>
      <w:r w:rsidRPr="00662392">
        <w:rPr>
          <w:rFonts w:eastAsia="Calibri"/>
          <w:sz w:val="22"/>
          <w:szCs w:val="22"/>
        </w:rPr>
        <w:t xml:space="preserve">10 CFR 72.48 provides parallel requirements applicable to Independent Spent Fuel Storage Installation (ISFSI) or monitored retrievable storage (MRS) license holders and holders of </w:t>
      </w:r>
      <w:r w:rsidR="003F1AEF" w:rsidRPr="00662392">
        <w:rPr>
          <w:rFonts w:eastAsia="Calibri"/>
          <w:sz w:val="22"/>
          <w:szCs w:val="22"/>
        </w:rPr>
        <w:t xml:space="preserve">Nuclear Regulatory Commission </w:t>
      </w:r>
      <w:r w:rsidR="001C12F6" w:rsidRPr="00662392">
        <w:rPr>
          <w:rFonts w:eastAsia="Calibri"/>
          <w:sz w:val="22"/>
          <w:szCs w:val="22"/>
        </w:rPr>
        <w:t>(</w:t>
      </w:r>
      <w:r w:rsidRPr="00662392">
        <w:rPr>
          <w:rFonts w:eastAsia="Calibri"/>
          <w:sz w:val="22"/>
          <w:szCs w:val="22"/>
        </w:rPr>
        <w:t>NRC</w:t>
      </w:r>
      <w:r w:rsidR="001C12F6" w:rsidRPr="00662392">
        <w:rPr>
          <w:rFonts w:eastAsia="Calibri"/>
          <w:sz w:val="22"/>
          <w:szCs w:val="22"/>
        </w:rPr>
        <w:t>)</w:t>
      </w:r>
      <w:r w:rsidRPr="00662392">
        <w:rPr>
          <w:rFonts w:eastAsia="Calibri"/>
          <w:sz w:val="22"/>
          <w:szCs w:val="22"/>
        </w:rPr>
        <w:t xml:space="preserve"> Certificates of Compliance (</w:t>
      </w:r>
      <w:proofErr w:type="spellStart"/>
      <w:r w:rsidRPr="00662392">
        <w:rPr>
          <w:rFonts w:eastAsia="Calibri"/>
          <w:sz w:val="22"/>
          <w:szCs w:val="22"/>
        </w:rPr>
        <w:t>CoC</w:t>
      </w:r>
      <w:proofErr w:type="spellEnd"/>
      <w:r w:rsidRPr="00662392">
        <w:rPr>
          <w:rFonts w:eastAsia="Calibri"/>
          <w:sz w:val="22"/>
          <w:szCs w:val="22"/>
        </w:rPr>
        <w:t>) for a spent fuel storage cask design.</w:t>
      </w:r>
    </w:p>
    <w:p w14:paraId="55CCFDBF" w14:textId="342F73E9" w:rsidR="00F5241B" w:rsidRPr="00662392" w:rsidRDefault="00F5241B" w:rsidP="00194415">
      <w:pPr>
        <w:widowControl/>
        <w:autoSpaceDE/>
        <w:autoSpaceDN/>
        <w:adjustRightInd/>
        <w:rPr>
          <w:rFonts w:eastAsia="Calibri"/>
          <w:sz w:val="22"/>
          <w:szCs w:val="22"/>
        </w:rPr>
      </w:pPr>
    </w:p>
    <w:p w14:paraId="1B7E7E39" w14:textId="0EA0DC43" w:rsidR="00F5241B" w:rsidRPr="00662392" w:rsidRDefault="00F5241B" w:rsidP="00194415">
      <w:pPr>
        <w:widowControl/>
        <w:autoSpaceDE/>
        <w:autoSpaceDN/>
        <w:adjustRightInd/>
        <w:rPr>
          <w:rFonts w:eastAsia="Calibri"/>
          <w:sz w:val="22"/>
          <w:szCs w:val="22"/>
        </w:rPr>
      </w:pPr>
      <w:r w:rsidRPr="00662392">
        <w:rPr>
          <w:rFonts w:eastAsia="Calibri"/>
          <w:sz w:val="22"/>
          <w:szCs w:val="22"/>
        </w:rPr>
        <w:t>Licensees may also have procedures to implement the guidance of NEI 96-07</w:t>
      </w:r>
      <w:r w:rsidR="00ED01BA" w:rsidRPr="00662392">
        <w:rPr>
          <w:rFonts w:eastAsia="Calibri"/>
          <w:sz w:val="22"/>
          <w:szCs w:val="22"/>
        </w:rPr>
        <w:t>, Revision 1,</w:t>
      </w:r>
      <w:r w:rsidR="008316B7" w:rsidRPr="00662392">
        <w:rPr>
          <w:rFonts w:eastAsia="Calibri"/>
          <w:sz w:val="22"/>
          <w:szCs w:val="22"/>
        </w:rPr>
        <w:t xml:space="preserve"> </w:t>
      </w:r>
      <w:r w:rsidRPr="00662392">
        <w:rPr>
          <w:rFonts w:eastAsia="Calibri"/>
          <w:sz w:val="22"/>
          <w:szCs w:val="22"/>
        </w:rPr>
        <w:t>and NEI 12-04</w:t>
      </w:r>
      <w:r w:rsidR="0002160B" w:rsidRPr="00662392">
        <w:rPr>
          <w:rFonts w:eastAsia="Calibri"/>
          <w:sz w:val="22"/>
          <w:szCs w:val="22"/>
        </w:rPr>
        <w:t>, “</w:t>
      </w:r>
      <w:r w:rsidR="00705730" w:rsidRPr="00662392">
        <w:rPr>
          <w:rFonts w:eastAsia="Calibri"/>
          <w:sz w:val="22"/>
          <w:szCs w:val="22"/>
        </w:rPr>
        <w:t xml:space="preserve">Guidelines </w:t>
      </w:r>
      <w:r w:rsidR="00D07D1A" w:rsidRPr="00662392">
        <w:rPr>
          <w:rFonts w:eastAsia="Calibri"/>
          <w:sz w:val="22"/>
          <w:szCs w:val="22"/>
        </w:rPr>
        <w:t>for 10 CFR 72.48 Implementation</w:t>
      </w:r>
      <w:r w:rsidR="00ED01BA" w:rsidRPr="00662392">
        <w:rPr>
          <w:rFonts w:eastAsia="Calibri"/>
          <w:sz w:val="22"/>
          <w:szCs w:val="22"/>
        </w:rPr>
        <w:t>,</w:t>
      </w:r>
      <w:r w:rsidR="00D07D1A" w:rsidRPr="00662392">
        <w:rPr>
          <w:rFonts w:eastAsia="Calibri"/>
          <w:sz w:val="22"/>
          <w:szCs w:val="22"/>
        </w:rPr>
        <w:t>”</w:t>
      </w:r>
      <w:r w:rsidR="00ED01BA" w:rsidRPr="00662392">
        <w:rPr>
          <w:rFonts w:eastAsia="Calibri"/>
          <w:sz w:val="22"/>
          <w:szCs w:val="22"/>
        </w:rPr>
        <w:t xml:space="preserve"> Revision 2.</w:t>
      </w:r>
    </w:p>
    <w:p w14:paraId="7349A70C" w14:textId="79E38FE7" w:rsidR="005A6618" w:rsidRPr="00662392" w:rsidRDefault="005A6618" w:rsidP="00194415">
      <w:pPr>
        <w:rPr>
          <w:sz w:val="22"/>
          <w:szCs w:val="22"/>
        </w:rPr>
      </w:pPr>
    </w:p>
    <w:p w14:paraId="2A148030" w14:textId="77777777" w:rsidR="00434004" w:rsidRPr="00662392" w:rsidRDefault="00434004" w:rsidP="00194415">
      <w:pPr>
        <w:rPr>
          <w:sz w:val="22"/>
          <w:szCs w:val="22"/>
        </w:rPr>
      </w:pPr>
    </w:p>
    <w:p w14:paraId="31CC17E4" w14:textId="09740FB9" w:rsidR="00B93541" w:rsidRPr="00662392" w:rsidRDefault="003D7A4C" w:rsidP="00194415">
      <w:pPr>
        <w:rPr>
          <w:b/>
          <w:bCs/>
          <w:i/>
          <w:iCs/>
          <w:sz w:val="22"/>
          <w:szCs w:val="22"/>
        </w:rPr>
      </w:pPr>
      <w:r w:rsidRPr="00662392">
        <w:rPr>
          <w:sz w:val="22"/>
          <w:szCs w:val="22"/>
        </w:rPr>
        <w:t>0335</w:t>
      </w:r>
      <w:r w:rsidR="0085486A" w:rsidRPr="00662392">
        <w:rPr>
          <w:sz w:val="22"/>
          <w:szCs w:val="22"/>
        </w:rPr>
        <w:t>-0</w:t>
      </w:r>
      <w:r w:rsidR="006B54EA" w:rsidRPr="00662392">
        <w:rPr>
          <w:sz w:val="22"/>
          <w:szCs w:val="22"/>
        </w:rPr>
        <w:t>4</w:t>
      </w:r>
      <w:r w:rsidR="00D07321" w:rsidRPr="00662392">
        <w:rPr>
          <w:sz w:val="22"/>
          <w:szCs w:val="22"/>
        </w:rPr>
        <w:tab/>
        <w:t>DEFIN</w:t>
      </w:r>
      <w:r w:rsidR="006B54EA" w:rsidRPr="00662392">
        <w:rPr>
          <w:sz w:val="22"/>
          <w:szCs w:val="22"/>
        </w:rPr>
        <w:t>ITIONS</w:t>
      </w:r>
      <w:r w:rsidR="00BF79C4" w:rsidRPr="00662392">
        <w:rPr>
          <w:sz w:val="22"/>
          <w:szCs w:val="22"/>
        </w:rPr>
        <w:fldChar w:fldCharType="begin"/>
      </w:r>
      <w:r w:rsidR="00BF79C4" w:rsidRPr="00662392">
        <w:rPr>
          <w:sz w:val="22"/>
          <w:szCs w:val="22"/>
        </w:rPr>
        <w:instrText xml:space="preserve"> TC "</w:instrText>
      </w:r>
      <w:bookmarkStart w:id="8" w:name="_Toc62642889"/>
      <w:bookmarkStart w:id="9" w:name="_Toc63142071"/>
      <w:r w:rsidR="00BF79C4" w:rsidRPr="00662392">
        <w:rPr>
          <w:sz w:val="22"/>
          <w:szCs w:val="22"/>
        </w:rPr>
        <w:instrText>0335-04</w:instrText>
      </w:r>
      <w:r w:rsidR="00BF79C4" w:rsidRPr="00662392">
        <w:rPr>
          <w:sz w:val="22"/>
          <w:szCs w:val="22"/>
        </w:rPr>
        <w:tab/>
        <w:instrText>DEFINITIONS</w:instrText>
      </w:r>
      <w:bookmarkEnd w:id="8"/>
      <w:bookmarkEnd w:id="9"/>
      <w:r w:rsidR="00BF79C4" w:rsidRPr="00662392">
        <w:rPr>
          <w:sz w:val="22"/>
          <w:szCs w:val="22"/>
        </w:rPr>
        <w:instrText xml:space="preserve">" \f C \l "1" </w:instrText>
      </w:r>
      <w:r w:rsidR="00BF79C4" w:rsidRPr="00662392">
        <w:rPr>
          <w:sz w:val="22"/>
          <w:szCs w:val="22"/>
        </w:rPr>
        <w:fldChar w:fldCharType="end"/>
      </w:r>
    </w:p>
    <w:p w14:paraId="7DBD498F" w14:textId="77777777" w:rsidR="00B93541" w:rsidRPr="00662392" w:rsidRDefault="00B93541" w:rsidP="00194415">
      <w:pPr>
        <w:rPr>
          <w:sz w:val="22"/>
          <w:szCs w:val="22"/>
        </w:rPr>
      </w:pPr>
    </w:p>
    <w:p w14:paraId="3200A06E" w14:textId="2C0D73C6" w:rsidR="00666FB2" w:rsidRPr="00662392" w:rsidRDefault="0085486A" w:rsidP="00194415">
      <w:pPr>
        <w:rPr>
          <w:sz w:val="22"/>
          <w:szCs w:val="22"/>
        </w:rPr>
      </w:pPr>
      <w:r w:rsidRPr="00662392">
        <w:rPr>
          <w:sz w:val="22"/>
          <w:szCs w:val="22"/>
        </w:rPr>
        <w:t>0</w:t>
      </w:r>
      <w:r w:rsidR="00CA4D9F" w:rsidRPr="00662392">
        <w:rPr>
          <w:sz w:val="22"/>
          <w:szCs w:val="22"/>
        </w:rPr>
        <w:t>4</w:t>
      </w:r>
      <w:r w:rsidRPr="00662392">
        <w:rPr>
          <w:sz w:val="22"/>
          <w:szCs w:val="22"/>
        </w:rPr>
        <w:t>.0</w:t>
      </w:r>
      <w:r w:rsidR="005E2FBB" w:rsidRPr="00662392">
        <w:rPr>
          <w:sz w:val="22"/>
          <w:szCs w:val="22"/>
        </w:rPr>
        <w:t>1</w:t>
      </w:r>
      <w:r w:rsidR="00D07321" w:rsidRPr="00662392">
        <w:rPr>
          <w:sz w:val="22"/>
          <w:szCs w:val="22"/>
        </w:rPr>
        <w:tab/>
      </w:r>
      <w:r w:rsidR="000A163D" w:rsidRPr="00662392">
        <w:rPr>
          <w:sz w:val="22"/>
          <w:szCs w:val="22"/>
          <w:u w:val="single"/>
        </w:rPr>
        <w:t>Change</w:t>
      </w:r>
      <w:r w:rsidR="000A163D" w:rsidRPr="00662392">
        <w:rPr>
          <w:sz w:val="22"/>
          <w:szCs w:val="22"/>
        </w:rPr>
        <w:t xml:space="preserve">:  A modification or addition to, or removal from, the </w:t>
      </w:r>
      <w:r w:rsidR="00B23879" w:rsidRPr="00662392">
        <w:rPr>
          <w:sz w:val="22"/>
          <w:szCs w:val="22"/>
        </w:rPr>
        <w:t>reactor</w:t>
      </w:r>
      <w:r w:rsidR="00AB5346" w:rsidRPr="00662392">
        <w:rPr>
          <w:sz w:val="22"/>
          <w:szCs w:val="22"/>
        </w:rPr>
        <w:t>/ISFSI/MRS</w:t>
      </w:r>
      <w:r w:rsidR="00B23879" w:rsidRPr="00662392">
        <w:rPr>
          <w:sz w:val="22"/>
          <w:szCs w:val="22"/>
        </w:rPr>
        <w:t xml:space="preserve"> </w:t>
      </w:r>
      <w:r w:rsidR="000A163D" w:rsidRPr="00662392">
        <w:rPr>
          <w:sz w:val="22"/>
          <w:szCs w:val="22"/>
        </w:rPr>
        <w:t>facility</w:t>
      </w:r>
      <w:r w:rsidR="00AB5346" w:rsidRPr="00662392">
        <w:rPr>
          <w:sz w:val="22"/>
          <w:szCs w:val="22"/>
        </w:rPr>
        <w:t>, or spent fuel storage cask design,</w:t>
      </w:r>
      <w:r w:rsidR="000A163D" w:rsidRPr="00662392">
        <w:rPr>
          <w:sz w:val="22"/>
          <w:szCs w:val="22"/>
        </w:rPr>
        <w:t xml:space="preserve"> or procedures that affects a design function, method of performing or controlling the function, or an evaluation that demonstrates that intended functions will be accomplished.</w:t>
      </w:r>
    </w:p>
    <w:p w14:paraId="21DDFCDB" w14:textId="5C3A20EB" w:rsidR="00703809" w:rsidRPr="00662392" w:rsidRDefault="00703809" w:rsidP="00194415">
      <w:pPr>
        <w:rPr>
          <w:sz w:val="22"/>
          <w:szCs w:val="22"/>
        </w:rPr>
      </w:pPr>
    </w:p>
    <w:p w14:paraId="5F4B350D" w14:textId="5604F552" w:rsidR="00A1631D" w:rsidRPr="00662392" w:rsidRDefault="003B7614" w:rsidP="00194415">
      <w:pPr>
        <w:rPr>
          <w:sz w:val="22"/>
          <w:szCs w:val="22"/>
        </w:rPr>
      </w:pPr>
      <w:r w:rsidRPr="00662392">
        <w:rPr>
          <w:sz w:val="22"/>
          <w:szCs w:val="22"/>
        </w:rPr>
        <w:t>0</w:t>
      </w:r>
      <w:r w:rsidR="00CA4D9F" w:rsidRPr="00662392">
        <w:rPr>
          <w:sz w:val="22"/>
          <w:szCs w:val="22"/>
        </w:rPr>
        <w:t>4</w:t>
      </w:r>
      <w:r w:rsidRPr="00662392">
        <w:rPr>
          <w:sz w:val="22"/>
          <w:szCs w:val="22"/>
        </w:rPr>
        <w:t>.0</w:t>
      </w:r>
      <w:r w:rsidR="005E2FBB" w:rsidRPr="00662392">
        <w:rPr>
          <w:sz w:val="22"/>
          <w:szCs w:val="22"/>
        </w:rPr>
        <w:t>2</w:t>
      </w:r>
      <w:r w:rsidRPr="00662392">
        <w:rPr>
          <w:sz w:val="22"/>
          <w:szCs w:val="22"/>
        </w:rPr>
        <w:tab/>
      </w:r>
      <w:r w:rsidR="00A1631D" w:rsidRPr="00662392">
        <w:rPr>
          <w:sz w:val="22"/>
          <w:szCs w:val="22"/>
          <w:u w:val="single"/>
        </w:rPr>
        <w:t xml:space="preserve">Departure from a method of evaluation described in the </w:t>
      </w:r>
      <w:r w:rsidR="008E73ED" w:rsidRPr="00662392">
        <w:rPr>
          <w:sz w:val="22"/>
          <w:szCs w:val="22"/>
          <w:u w:val="single"/>
        </w:rPr>
        <w:t>U</w:t>
      </w:r>
      <w:r w:rsidR="00A1631D" w:rsidRPr="00662392">
        <w:rPr>
          <w:sz w:val="22"/>
          <w:szCs w:val="22"/>
          <w:u w:val="single"/>
        </w:rPr>
        <w:t>FSAR used in establishing the design bases or in the safety analyses</w:t>
      </w:r>
      <w:r w:rsidR="00A1631D" w:rsidRPr="00662392">
        <w:rPr>
          <w:sz w:val="22"/>
          <w:szCs w:val="22"/>
        </w:rPr>
        <w:t xml:space="preserve">:  (1) Changing any of the elements of the method described in the </w:t>
      </w:r>
      <w:r w:rsidR="008E73ED" w:rsidRPr="00662392">
        <w:rPr>
          <w:sz w:val="22"/>
          <w:szCs w:val="22"/>
        </w:rPr>
        <w:t>U</w:t>
      </w:r>
      <w:r w:rsidR="00A1631D" w:rsidRPr="00662392">
        <w:rPr>
          <w:sz w:val="22"/>
          <w:szCs w:val="22"/>
        </w:rPr>
        <w:t xml:space="preserve">FSAR unless the results of the analysis are conservative or essentially the same; or (2) </w:t>
      </w:r>
      <w:r w:rsidR="002E07B5" w:rsidRPr="00662392">
        <w:rPr>
          <w:sz w:val="22"/>
          <w:szCs w:val="22"/>
        </w:rPr>
        <w:t>c</w:t>
      </w:r>
      <w:r w:rsidR="00A1631D" w:rsidRPr="00662392">
        <w:rPr>
          <w:sz w:val="22"/>
          <w:szCs w:val="22"/>
        </w:rPr>
        <w:t>hanging from a method described in the FSAR to another method unless that method has been approved by NRC for the intended application.</w:t>
      </w:r>
    </w:p>
    <w:p w14:paraId="7A378EE4" w14:textId="77777777" w:rsidR="00AB5E82" w:rsidRPr="00662392" w:rsidRDefault="00AB5E82" w:rsidP="00194415">
      <w:pPr>
        <w:rPr>
          <w:sz w:val="22"/>
          <w:szCs w:val="22"/>
        </w:rPr>
      </w:pPr>
    </w:p>
    <w:p w14:paraId="02EB96FE" w14:textId="3528D31B" w:rsidR="00A1631D" w:rsidRPr="00662392" w:rsidRDefault="00A152F2" w:rsidP="00194415">
      <w:pPr>
        <w:rPr>
          <w:sz w:val="22"/>
          <w:szCs w:val="22"/>
        </w:rPr>
      </w:pPr>
      <w:r w:rsidRPr="00662392">
        <w:rPr>
          <w:sz w:val="22"/>
          <w:szCs w:val="22"/>
        </w:rPr>
        <w:t>Analytical r</w:t>
      </w:r>
      <w:r w:rsidR="00A1631D" w:rsidRPr="00662392">
        <w:rPr>
          <w:sz w:val="22"/>
          <w:szCs w:val="22"/>
        </w:rPr>
        <w:t>esults from chang</w:t>
      </w:r>
      <w:r w:rsidRPr="00662392">
        <w:rPr>
          <w:sz w:val="22"/>
          <w:szCs w:val="22"/>
        </w:rPr>
        <w:t>ing</w:t>
      </w:r>
      <w:r w:rsidR="001B75AF" w:rsidRPr="00662392">
        <w:rPr>
          <w:sz w:val="22"/>
          <w:szCs w:val="22"/>
        </w:rPr>
        <w:t xml:space="preserve"> any element of a</w:t>
      </w:r>
      <w:r w:rsidR="00A1631D" w:rsidRPr="00662392">
        <w:rPr>
          <w:sz w:val="22"/>
          <w:szCs w:val="22"/>
        </w:rPr>
        <w:t xml:space="preserve"> method are </w:t>
      </w:r>
      <w:r w:rsidR="001B75AF" w:rsidRPr="00662392">
        <w:rPr>
          <w:sz w:val="22"/>
          <w:szCs w:val="22"/>
        </w:rPr>
        <w:t>“</w:t>
      </w:r>
      <w:r w:rsidR="00A1631D" w:rsidRPr="00662392">
        <w:rPr>
          <w:sz w:val="22"/>
          <w:szCs w:val="22"/>
        </w:rPr>
        <w:t>conservative</w:t>
      </w:r>
      <w:r w:rsidR="001B75AF" w:rsidRPr="00662392">
        <w:rPr>
          <w:sz w:val="22"/>
          <w:szCs w:val="22"/>
        </w:rPr>
        <w:t>”</w:t>
      </w:r>
      <w:r w:rsidR="00A1631D" w:rsidRPr="00662392">
        <w:rPr>
          <w:sz w:val="22"/>
          <w:szCs w:val="22"/>
        </w:rPr>
        <w:t xml:space="preserve"> relative to results from the previous method if closer to the</w:t>
      </w:r>
      <w:r w:rsidR="00B82825" w:rsidRPr="00662392">
        <w:rPr>
          <w:sz w:val="22"/>
          <w:szCs w:val="22"/>
        </w:rPr>
        <w:t xml:space="preserve"> design basis</w:t>
      </w:r>
      <w:r w:rsidR="00A1631D" w:rsidRPr="00662392">
        <w:rPr>
          <w:sz w:val="22"/>
          <w:szCs w:val="22"/>
        </w:rPr>
        <w:t xml:space="preserve"> limits or </w:t>
      </w:r>
      <w:r w:rsidR="0051250F" w:rsidRPr="00662392">
        <w:rPr>
          <w:sz w:val="22"/>
          <w:szCs w:val="22"/>
        </w:rPr>
        <w:t>safety analyses limi</w:t>
      </w:r>
      <w:r w:rsidR="00340497" w:rsidRPr="00662392">
        <w:rPr>
          <w:sz w:val="22"/>
          <w:szCs w:val="22"/>
        </w:rPr>
        <w:t>ts</w:t>
      </w:r>
      <w:r w:rsidR="00A1631D" w:rsidRPr="00662392">
        <w:rPr>
          <w:sz w:val="22"/>
          <w:szCs w:val="22"/>
        </w:rPr>
        <w:t>.  Results are "essentially the same" if they are within the margin of error needed for the type of analysis being performed, even if tending in the nonconservative direction.</w:t>
      </w:r>
    </w:p>
    <w:p w14:paraId="0153C927" w14:textId="77777777" w:rsidR="005D06E0" w:rsidRPr="00662392" w:rsidRDefault="005D06E0" w:rsidP="00194415">
      <w:pPr>
        <w:rPr>
          <w:sz w:val="22"/>
          <w:szCs w:val="22"/>
        </w:rPr>
      </w:pPr>
    </w:p>
    <w:p w14:paraId="3B4D213D" w14:textId="0585C099" w:rsidR="002C4CAF" w:rsidRPr="00662392" w:rsidRDefault="0085486A" w:rsidP="00194415">
      <w:pPr>
        <w:rPr>
          <w:sz w:val="22"/>
          <w:szCs w:val="22"/>
        </w:rPr>
      </w:pPr>
      <w:r w:rsidRPr="00662392">
        <w:rPr>
          <w:sz w:val="22"/>
          <w:szCs w:val="22"/>
        </w:rPr>
        <w:t>0</w:t>
      </w:r>
      <w:r w:rsidR="00B93541" w:rsidRPr="00662392">
        <w:rPr>
          <w:sz w:val="22"/>
          <w:szCs w:val="22"/>
        </w:rPr>
        <w:t>4</w:t>
      </w:r>
      <w:r w:rsidR="00D07321" w:rsidRPr="00662392">
        <w:rPr>
          <w:sz w:val="22"/>
          <w:szCs w:val="22"/>
        </w:rPr>
        <w:t>.</w:t>
      </w:r>
      <w:r w:rsidRPr="00662392">
        <w:rPr>
          <w:sz w:val="22"/>
          <w:szCs w:val="22"/>
        </w:rPr>
        <w:t>0</w:t>
      </w:r>
      <w:r w:rsidR="005E2FBB" w:rsidRPr="00662392">
        <w:rPr>
          <w:sz w:val="22"/>
          <w:szCs w:val="22"/>
        </w:rPr>
        <w:t>3</w:t>
      </w:r>
      <w:r w:rsidR="00D07321" w:rsidRPr="00662392">
        <w:rPr>
          <w:sz w:val="22"/>
          <w:szCs w:val="22"/>
        </w:rPr>
        <w:tab/>
      </w:r>
      <w:r w:rsidR="002C4CAF" w:rsidRPr="00662392">
        <w:rPr>
          <w:sz w:val="22"/>
          <w:szCs w:val="22"/>
          <w:u w:val="single"/>
        </w:rPr>
        <w:t>Methods of evaluation</w:t>
      </w:r>
      <w:r w:rsidR="002C4CAF" w:rsidRPr="00662392">
        <w:rPr>
          <w:sz w:val="22"/>
          <w:szCs w:val="22"/>
        </w:rPr>
        <w:t xml:space="preserve">:  The calculational framework </w:t>
      </w:r>
      <w:r w:rsidR="00C27160" w:rsidRPr="00662392">
        <w:rPr>
          <w:sz w:val="22"/>
          <w:szCs w:val="22"/>
        </w:rPr>
        <w:t xml:space="preserve">used </w:t>
      </w:r>
      <w:r w:rsidR="002C4CAF" w:rsidRPr="00662392">
        <w:rPr>
          <w:sz w:val="22"/>
          <w:szCs w:val="22"/>
        </w:rPr>
        <w:t>for evaluating behavior or response of the reactor</w:t>
      </w:r>
      <w:r w:rsidR="008B403D" w:rsidRPr="00662392">
        <w:rPr>
          <w:sz w:val="22"/>
          <w:szCs w:val="22"/>
        </w:rPr>
        <w:t>/ISFSI</w:t>
      </w:r>
      <w:r w:rsidR="005620FB" w:rsidRPr="00662392">
        <w:rPr>
          <w:sz w:val="22"/>
          <w:szCs w:val="22"/>
        </w:rPr>
        <w:t>/MRS, cask design,</w:t>
      </w:r>
      <w:r w:rsidR="002C4CAF" w:rsidRPr="00662392">
        <w:rPr>
          <w:sz w:val="22"/>
          <w:szCs w:val="22"/>
        </w:rPr>
        <w:t xml:space="preserve"> or any structure, system, and component (SSC).  This includes</w:t>
      </w:r>
      <w:r w:rsidR="00135AAF" w:rsidRPr="00662392">
        <w:rPr>
          <w:sz w:val="22"/>
          <w:szCs w:val="22"/>
        </w:rPr>
        <w:t xml:space="preserve"> but isn’t limited to</w:t>
      </w:r>
      <w:r w:rsidR="002C4CAF" w:rsidRPr="00662392">
        <w:rPr>
          <w:sz w:val="22"/>
          <w:szCs w:val="22"/>
        </w:rPr>
        <w:t xml:space="preserve"> the following </w:t>
      </w:r>
      <w:r w:rsidR="00354500" w:rsidRPr="00662392">
        <w:rPr>
          <w:sz w:val="22"/>
          <w:szCs w:val="22"/>
        </w:rPr>
        <w:t xml:space="preserve">elements of methodology </w:t>
      </w:r>
      <w:r w:rsidR="002C4CAF" w:rsidRPr="00662392">
        <w:rPr>
          <w:sz w:val="22"/>
          <w:szCs w:val="22"/>
        </w:rPr>
        <w:t xml:space="preserve">(to the extent that they are described or applicable for a </w:t>
      </w:r>
      <w:proofErr w:type="gramStart"/>
      <w:r w:rsidR="002C4CAF" w:rsidRPr="00662392">
        <w:rPr>
          <w:sz w:val="22"/>
          <w:szCs w:val="22"/>
        </w:rPr>
        <w:t>particular method</w:t>
      </w:r>
      <w:proofErr w:type="gramEnd"/>
      <w:r w:rsidR="002C4CAF" w:rsidRPr="00662392">
        <w:rPr>
          <w:sz w:val="22"/>
          <w:szCs w:val="22"/>
        </w:rPr>
        <w:t>):</w:t>
      </w:r>
    </w:p>
    <w:p w14:paraId="35F67289" w14:textId="77777777" w:rsidR="00B43D11" w:rsidRPr="00662392" w:rsidRDefault="00B43D11" w:rsidP="00194415">
      <w:pPr>
        <w:rPr>
          <w:sz w:val="22"/>
          <w:szCs w:val="22"/>
        </w:rPr>
      </w:pPr>
    </w:p>
    <w:p w14:paraId="1900FFF2" w14:textId="4A9B79E3" w:rsidR="002C4CAF" w:rsidRPr="00662392" w:rsidRDefault="002C4CAF" w:rsidP="00194415">
      <w:pPr>
        <w:ind w:left="720"/>
        <w:rPr>
          <w:sz w:val="22"/>
          <w:szCs w:val="22"/>
        </w:rPr>
      </w:pPr>
      <w:r w:rsidRPr="00662392">
        <w:rPr>
          <w:sz w:val="22"/>
          <w:szCs w:val="22"/>
        </w:rPr>
        <w:t xml:space="preserve">a. </w:t>
      </w:r>
      <w:r w:rsidR="00194415" w:rsidRPr="00662392">
        <w:rPr>
          <w:sz w:val="22"/>
          <w:szCs w:val="22"/>
        </w:rPr>
        <w:t xml:space="preserve"> </w:t>
      </w:r>
      <w:r w:rsidRPr="00662392">
        <w:rPr>
          <w:sz w:val="22"/>
          <w:szCs w:val="22"/>
        </w:rPr>
        <w:t>Data correlations,</w:t>
      </w:r>
    </w:p>
    <w:p w14:paraId="5667B823" w14:textId="53BE67A8" w:rsidR="002C4CAF" w:rsidRPr="00662392" w:rsidRDefault="002C4CAF" w:rsidP="00194415">
      <w:pPr>
        <w:ind w:left="720"/>
        <w:rPr>
          <w:sz w:val="22"/>
          <w:szCs w:val="22"/>
        </w:rPr>
      </w:pPr>
      <w:r w:rsidRPr="00662392">
        <w:rPr>
          <w:sz w:val="22"/>
          <w:szCs w:val="22"/>
        </w:rPr>
        <w:t xml:space="preserve">b. </w:t>
      </w:r>
      <w:r w:rsidR="00194415" w:rsidRPr="00662392">
        <w:rPr>
          <w:sz w:val="22"/>
          <w:szCs w:val="22"/>
        </w:rPr>
        <w:t xml:space="preserve"> </w:t>
      </w:r>
      <w:r w:rsidRPr="00662392">
        <w:rPr>
          <w:sz w:val="22"/>
          <w:szCs w:val="22"/>
        </w:rPr>
        <w:t>Means of data reduction,</w:t>
      </w:r>
    </w:p>
    <w:p w14:paraId="640FECA8" w14:textId="1C6E6FA9" w:rsidR="002C4CAF" w:rsidRPr="00662392" w:rsidRDefault="002C4CAF" w:rsidP="00194415">
      <w:pPr>
        <w:ind w:left="720"/>
        <w:rPr>
          <w:sz w:val="22"/>
          <w:szCs w:val="22"/>
        </w:rPr>
      </w:pPr>
      <w:r w:rsidRPr="00662392">
        <w:rPr>
          <w:sz w:val="22"/>
          <w:szCs w:val="22"/>
        </w:rPr>
        <w:t xml:space="preserve">c. </w:t>
      </w:r>
      <w:r w:rsidR="00194415" w:rsidRPr="00662392">
        <w:rPr>
          <w:sz w:val="22"/>
          <w:szCs w:val="22"/>
        </w:rPr>
        <w:t xml:space="preserve"> </w:t>
      </w:r>
      <w:r w:rsidRPr="00662392">
        <w:rPr>
          <w:sz w:val="22"/>
          <w:szCs w:val="22"/>
        </w:rPr>
        <w:t>Physical constants or coefficients,</w:t>
      </w:r>
    </w:p>
    <w:p w14:paraId="51F6CFFB" w14:textId="3F6B8F8A" w:rsidR="002C4CAF" w:rsidRPr="00662392" w:rsidRDefault="002C4CAF" w:rsidP="00194415">
      <w:pPr>
        <w:ind w:left="720"/>
        <w:rPr>
          <w:sz w:val="22"/>
          <w:szCs w:val="22"/>
        </w:rPr>
      </w:pPr>
      <w:r w:rsidRPr="00662392">
        <w:rPr>
          <w:sz w:val="22"/>
          <w:szCs w:val="22"/>
        </w:rPr>
        <w:t xml:space="preserve">d. </w:t>
      </w:r>
      <w:r w:rsidR="00194415" w:rsidRPr="00662392">
        <w:rPr>
          <w:sz w:val="22"/>
          <w:szCs w:val="22"/>
        </w:rPr>
        <w:t xml:space="preserve"> </w:t>
      </w:r>
      <w:r w:rsidRPr="00662392">
        <w:rPr>
          <w:sz w:val="22"/>
          <w:szCs w:val="22"/>
        </w:rPr>
        <w:t>Mathematical models,</w:t>
      </w:r>
    </w:p>
    <w:p w14:paraId="0495C00E" w14:textId="07F0E41B" w:rsidR="002C4CAF" w:rsidRPr="00662392" w:rsidRDefault="002C4CAF" w:rsidP="00194415">
      <w:pPr>
        <w:ind w:left="720"/>
        <w:rPr>
          <w:sz w:val="22"/>
          <w:szCs w:val="22"/>
        </w:rPr>
      </w:pPr>
      <w:r w:rsidRPr="00662392">
        <w:rPr>
          <w:sz w:val="22"/>
          <w:szCs w:val="22"/>
        </w:rPr>
        <w:t xml:space="preserve">e. </w:t>
      </w:r>
      <w:r w:rsidR="00194415" w:rsidRPr="00662392">
        <w:rPr>
          <w:sz w:val="22"/>
          <w:szCs w:val="22"/>
        </w:rPr>
        <w:t xml:space="preserve"> </w:t>
      </w:r>
      <w:r w:rsidRPr="00662392">
        <w:rPr>
          <w:sz w:val="22"/>
          <w:szCs w:val="22"/>
        </w:rPr>
        <w:t>Specific assumptions in a computer program,</w:t>
      </w:r>
    </w:p>
    <w:p w14:paraId="7FF593D3" w14:textId="405B419C" w:rsidR="002C4CAF" w:rsidRPr="00662392" w:rsidRDefault="002C4CAF" w:rsidP="00194415">
      <w:pPr>
        <w:ind w:left="720"/>
        <w:rPr>
          <w:sz w:val="22"/>
          <w:szCs w:val="22"/>
        </w:rPr>
      </w:pPr>
      <w:r w:rsidRPr="00662392">
        <w:rPr>
          <w:sz w:val="22"/>
          <w:szCs w:val="22"/>
        </w:rPr>
        <w:t xml:space="preserve">f. </w:t>
      </w:r>
      <w:r w:rsidR="00194415" w:rsidRPr="00662392">
        <w:rPr>
          <w:sz w:val="22"/>
          <w:szCs w:val="22"/>
        </w:rPr>
        <w:t xml:space="preserve"> </w:t>
      </w:r>
      <w:r w:rsidRPr="00662392">
        <w:rPr>
          <w:sz w:val="22"/>
          <w:szCs w:val="22"/>
        </w:rPr>
        <w:t>Specified factors to account for uncertainty in measurements or data,</w:t>
      </w:r>
    </w:p>
    <w:p w14:paraId="0B351571" w14:textId="0325131F" w:rsidR="002C4CAF" w:rsidRPr="00662392" w:rsidRDefault="002C4CAF" w:rsidP="00194415">
      <w:pPr>
        <w:ind w:left="720"/>
        <w:rPr>
          <w:sz w:val="22"/>
          <w:szCs w:val="22"/>
        </w:rPr>
      </w:pPr>
      <w:r w:rsidRPr="00662392">
        <w:rPr>
          <w:sz w:val="22"/>
          <w:szCs w:val="22"/>
        </w:rPr>
        <w:t xml:space="preserve">g. </w:t>
      </w:r>
      <w:r w:rsidR="00194415" w:rsidRPr="00662392">
        <w:rPr>
          <w:sz w:val="22"/>
          <w:szCs w:val="22"/>
        </w:rPr>
        <w:t xml:space="preserve"> </w:t>
      </w:r>
      <w:r w:rsidRPr="00662392">
        <w:rPr>
          <w:sz w:val="22"/>
          <w:szCs w:val="22"/>
        </w:rPr>
        <w:t>Statistical treatment of results, and</w:t>
      </w:r>
    </w:p>
    <w:p w14:paraId="0E845969" w14:textId="4CFC390A" w:rsidR="002C4CAF" w:rsidRPr="00662392" w:rsidRDefault="002C4CAF" w:rsidP="00194415">
      <w:pPr>
        <w:ind w:left="720"/>
        <w:rPr>
          <w:sz w:val="22"/>
          <w:szCs w:val="22"/>
        </w:rPr>
      </w:pPr>
      <w:r w:rsidRPr="00662392">
        <w:rPr>
          <w:sz w:val="22"/>
          <w:szCs w:val="22"/>
        </w:rPr>
        <w:t xml:space="preserve">h. </w:t>
      </w:r>
      <w:r w:rsidR="00194415" w:rsidRPr="00662392">
        <w:rPr>
          <w:sz w:val="22"/>
          <w:szCs w:val="22"/>
        </w:rPr>
        <w:t xml:space="preserve"> </w:t>
      </w:r>
      <w:r w:rsidRPr="00662392">
        <w:rPr>
          <w:sz w:val="22"/>
          <w:szCs w:val="22"/>
        </w:rPr>
        <w:t>Dose conversion factors and assumed source term(s).</w:t>
      </w:r>
    </w:p>
    <w:p w14:paraId="0C1139E1" w14:textId="2F6663D5" w:rsidR="00D07321" w:rsidRPr="00662392" w:rsidRDefault="00D07321" w:rsidP="00194415">
      <w:pPr>
        <w:widowControl/>
        <w:rPr>
          <w:sz w:val="22"/>
          <w:szCs w:val="22"/>
        </w:rPr>
      </w:pPr>
    </w:p>
    <w:p w14:paraId="18DFB58A" w14:textId="3DB65ADB" w:rsidR="003B7614" w:rsidRPr="00662392" w:rsidRDefault="003B7614" w:rsidP="00194415">
      <w:pPr>
        <w:rPr>
          <w:sz w:val="22"/>
          <w:szCs w:val="22"/>
        </w:rPr>
      </w:pPr>
      <w:r w:rsidRPr="00662392">
        <w:rPr>
          <w:sz w:val="22"/>
          <w:szCs w:val="22"/>
        </w:rPr>
        <w:t>0</w:t>
      </w:r>
      <w:r w:rsidR="00B93541" w:rsidRPr="00662392">
        <w:rPr>
          <w:sz w:val="22"/>
          <w:szCs w:val="22"/>
        </w:rPr>
        <w:t>4</w:t>
      </w:r>
      <w:r w:rsidRPr="00662392">
        <w:rPr>
          <w:sz w:val="22"/>
          <w:szCs w:val="22"/>
        </w:rPr>
        <w:t>.0</w:t>
      </w:r>
      <w:r w:rsidR="005E2FBB" w:rsidRPr="00662392">
        <w:rPr>
          <w:sz w:val="22"/>
          <w:szCs w:val="22"/>
        </w:rPr>
        <w:t>4</w:t>
      </w:r>
      <w:r w:rsidRPr="00662392">
        <w:rPr>
          <w:sz w:val="22"/>
          <w:szCs w:val="22"/>
        </w:rPr>
        <w:tab/>
      </w:r>
      <w:r w:rsidR="002A7597" w:rsidRPr="00662392">
        <w:rPr>
          <w:sz w:val="22"/>
          <w:szCs w:val="22"/>
          <w:u w:val="single"/>
        </w:rPr>
        <w:t>Input parameters</w:t>
      </w:r>
      <w:r w:rsidR="002A7597" w:rsidRPr="00662392">
        <w:rPr>
          <w:sz w:val="22"/>
          <w:szCs w:val="22"/>
        </w:rPr>
        <w:t xml:space="preserve">:  Those values derived directly from the physical characteristics of </w:t>
      </w:r>
      <w:r w:rsidR="00925E18" w:rsidRPr="00662392">
        <w:rPr>
          <w:sz w:val="22"/>
          <w:szCs w:val="22"/>
        </w:rPr>
        <w:t>SSCs</w:t>
      </w:r>
      <w:r w:rsidR="002A7597" w:rsidRPr="00662392">
        <w:rPr>
          <w:sz w:val="22"/>
          <w:szCs w:val="22"/>
        </w:rPr>
        <w:t xml:space="preserve"> or processes in the </w:t>
      </w:r>
      <w:r w:rsidR="000305AD" w:rsidRPr="00662392">
        <w:rPr>
          <w:sz w:val="22"/>
          <w:szCs w:val="22"/>
        </w:rPr>
        <w:t>facility/ISFSI/cask design</w:t>
      </w:r>
      <w:r w:rsidR="002A7597" w:rsidRPr="00662392">
        <w:rPr>
          <w:sz w:val="22"/>
          <w:szCs w:val="22"/>
        </w:rPr>
        <w:t xml:space="preserve">.  These would include such things as:  </w:t>
      </w:r>
      <w:r w:rsidR="00925E18" w:rsidRPr="00662392">
        <w:rPr>
          <w:sz w:val="22"/>
          <w:szCs w:val="22"/>
        </w:rPr>
        <w:t>f</w:t>
      </w:r>
      <w:r w:rsidR="002A7597" w:rsidRPr="00662392">
        <w:rPr>
          <w:sz w:val="22"/>
          <w:szCs w:val="22"/>
        </w:rPr>
        <w:t xml:space="preserve">low rates, temperatures, pressures, dimensions or measurements (e.g., volume, weight, size), or system response times.  Changes to input parameters described in the </w:t>
      </w:r>
      <w:r w:rsidR="00CD1CBA" w:rsidRPr="00662392">
        <w:rPr>
          <w:sz w:val="22"/>
          <w:szCs w:val="22"/>
        </w:rPr>
        <w:t>U</w:t>
      </w:r>
      <w:r w:rsidR="002A7597" w:rsidRPr="00662392">
        <w:rPr>
          <w:sz w:val="22"/>
          <w:szCs w:val="22"/>
        </w:rPr>
        <w:t xml:space="preserve">FSAR are </w:t>
      </w:r>
      <w:r w:rsidR="008E65F5" w:rsidRPr="00662392">
        <w:rPr>
          <w:sz w:val="22"/>
          <w:szCs w:val="22"/>
        </w:rPr>
        <w:t>considered</w:t>
      </w:r>
      <w:r w:rsidR="002A7597" w:rsidRPr="00662392">
        <w:rPr>
          <w:sz w:val="22"/>
          <w:szCs w:val="22"/>
        </w:rPr>
        <w:t xml:space="preserve"> facility changes</w:t>
      </w:r>
      <w:r w:rsidR="00B70F7D" w:rsidRPr="00662392">
        <w:rPr>
          <w:sz w:val="22"/>
          <w:szCs w:val="22"/>
        </w:rPr>
        <w:t xml:space="preserve"> that would be evaluated under</w:t>
      </w:r>
      <w:r w:rsidR="009D0D2D" w:rsidRPr="00662392">
        <w:rPr>
          <w:sz w:val="22"/>
          <w:szCs w:val="22"/>
        </w:rPr>
        <w:t xml:space="preserve"> 10 CFR 50.59(c)(</w:t>
      </w:r>
      <w:r w:rsidR="0049538F" w:rsidRPr="00662392">
        <w:rPr>
          <w:sz w:val="22"/>
          <w:szCs w:val="22"/>
        </w:rPr>
        <w:t>2)(</w:t>
      </w:r>
      <w:proofErr w:type="spellStart"/>
      <w:r w:rsidR="0049538F" w:rsidRPr="00662392">
        <w:rPr>
          <w:sz w:val="22"/>
          <w:szCs w:val="22"/>
        </w:rPr>
        <w:t>i</w:t>
      </w:r>
      <w:proofErr w:type="spellEnd"/>
      <w:r w:rsidR="0049538F" w:rsidRPr="00662392">
        <w:rPr>
          <w:sz w:val="22"/>
          <w:szCs w:val="22"/>
        </w:rPr>
        <w:t>)-(vii)</w:t>
      </w:r>
      <w:r w:rsidR="002A7597" w:rsidRPr="00662392">
        <w:rPr>
          <w:sz w:val="22"/>
          <w:szCs w:val="22"/>
        </w:rPr>
        <w:t xml:space="preserve">, </w:t>
      </w:r>
      <w:r w:rsidR="0049538F" w:rsidRPr="00662392">
        <w:rPr>
          <w:sz w:val="22"/>
          <w:szCs w:val="22"/>
        </w:rPr>
        <w:t xml:space="preserve">but not </w:t>
      </w:r>
      <w:r w:rsidR="002A7597" w:rsidRPr="00662392">
        <w:rPr>
          <w:sz w:val="22"/>
          <w:szCs w:val="22"/>
        </w:rPr>
        <w:t>criterion (viii).</w:t>
      </w:r>
    </w:p>
    <w:p w14:paraId="594977AF" w14:textId="72814B30" w:rsidR="00C06F46" w:rsidRPr="00662392" w:rsidRDefault="00C06F46" w:rsidP="00194415">
      <w:pPr>
        <w:rPr>
          <w:sz w:val="22"/>
          <w:szCs w:val="22"/>
        </w:rPr>
      </w:pPr>
    </w:p>
    <w:p w14:paraId="607610D3" w14:textId="77777777" w:rsidR="000E0ACD" w:rsidRDefault="00C537D8" w:rsidP="00194415">
      <w:pPr>
        <w:widowControl/>
        <w:rPr>
          <w:sz w:val="22"/>
          <w:szCs w:val="22"/>
        </w:rPr>
        <w:sectPr w:rsidR="000E0ACD" w:rsidSect="00150A95">
          <w:pgSz w:w="12240" w:h="15840" w:code="1"/>
          <w:pgMar w:top="1440" w:right="1440" w:bottom="1440" w:left="1440" w:header="720" w:footer="720" w:gutter="0"/>
          <w:cols w:space="720"/>
          <w:noEndnote/>
          <w:docGrid w:linePitch="326"/>
        </w:sectPr>
      </w:pPr>
      <w:r w:rsidRPr="00662392">
        <w:rPr>
          <w:sz w:val="22"/>
          <w:szCs w:val="22"/>
        </w:rPr>
        <w:t>0</w:t>
      </w:r>
      <w:r w:rsidR="00B93541" w:rsidRPr="00662392">
        <w:rPr>
          <w:sz w:val="22"/>
          <w:szCs w:val="22"/>
        </w:rPr>
        <w:t>4</w:t>
      </w:r>
      <w:r w:rsidRPr="00662392">
        <w:rPr>
          <w:sz w:val="22"/>
          <w:szCs w:val="22"/>
        </w:rPr>
        <w:t>.0</w:t>
      </w:r>
      <w:r w:rsidR="005E2FBB" w:rsidRPr="00662392">
        <w:rPr>
          <w:sz w:val="22"/>
          <w:szCs w:val="22"/>
        </w:rPr>
        <w:t>5</w:t>
      </w:r>
      <w:r w:rsidRPr="00662392">
        <w:rPr>
          <w:sz w:val="22"/>
          <w:szCs w:val="22"/>
        </w:rPr>
        <w:tab/>
      </w:r>
      <w:r w:rsidR="004E6265" w:rsidRPr="00662392">
        <w:rPr>
          <w:sz w:val="22"/>
          <w:szCs w:val="22"/>
          <w:u w:val="single"/>
        </w:rPr>
        <w:t>Facility or Spent Fuel Storage Cask Design as described in the UFSAR</w:t>
      </w:r>
      <w:r w:rsidR="00C552B8" w:rsidRPr="00662392">
        <w:rPr>
          <w:sz w:val="22"/>
          <w:szCs w:val="22"/>
        </w:rPr>
        <w:t>:  (1) The SSC</w:t>
      </w:r>
      <w:r w:rsidR="00925E18" w:rsidRPr="00662392">
        <w:rPr>
          <w:sz w:val="22"/>
          <w:szCs w:val="22"/>
        </w:rPr>
        <w:t>s</w:t>
      </w:r>
      <w:r w:rsidR="00C552B8" w:rsidRPr="00662392">
        <w:rPr>
          <w:sz w:val="22"/>
          <w:szCs w:val="22"/>
        </w:rPr>
        <w:t xml:space="preserve"> that are described in the </w:t>
      </w:r>
      <w:r w:rsidR="00925E18" w:rsidRPr="00662392">
        <w:rPr>
          <w:sz w:val="22"/>
          <w:szCs w:val="22"/>
        </w:rPr>
        <w:t>U</w:t>
      </w:r>
      <w:r w:rsidR="00C552B8" w:rsidRPr="00662392">
        <w:rPr>
          <w:sz w:val="22"/>
          <w:szCs w:val="22"/>
        </w:rPr>
        <w:t xml:space="preserve">FSAR, (2) </w:t>
      </w:r>
      <w:r w:rsidR="00F4146E" w:rsidRPr="00662392">
        <w:rPr>
          <w:sz w:val="22"/>
          <w:szCs w:val="22"/>
        </w:rPr>
        <w:t>t</w:t>
      </w:r>
      <w:r w:rsidR="00C552B8" w:rsidRPr="00662392">
        <w:rPr>
          <w:sz w:val="22"/>
          <w:szCs w:val="22"/>
        </w:rPr>
        <w:t xml:space="preserve">he design and performance requirements for such SSCs described in the </w:t>
      </w:r>
      <w:r w:rsidR="00F4146E" w:rsidRPr="00662392">
        <w:rPr>
          <w:sz w:val="22"/>
          <w:szCs w:val="22"/>
        </w:rPr>
        <w:t>U</w:t>
      </w:r>
      <w:r w:rsidR="00C552B8" w:rsidRPr="00662392">
        <w:rPr>
          <w:sz w:val="22"/>
          <w:szCs w:val="22"/>
        </w:rPr>
        <w:t xml:space="preserve">FSAR, and (3) </w:t>
      </w:r>
      <w:r w:rsidR="00F4146E" w:rsidRPr="00662392">
        <w:rPr>
          <w:sz w:val="22"/>
          <w:szCs w:val="22"/>
        </w:rPr>
        <w:t>t</w:t>
      </w:r>
      <w:r w:rsidR="00C552B8" w:rsidRPr="00662392">
        <w:rPr>
          <w:sz w:val="22"/>
          <w:szCs w:val="22"/>
        </w:rPr>
        <w:t>he evaluations or methods of evaluation</w:t>
      </w:r>
      <w:r w:rsidR="00BF71A6" w:rsidRPr="00662392">
        <w:rPr>
          <w:sz w:val="22"/>
          <w:szCs w:val="22"/>
        </w:rPr>
        <w:t xml:space="preserve"> (MOEs) </w:t>
      </w:r>
      <w:r w:rsidR="00C552B8" w:rsidRPr="00662392">
        <w:rPr>
          <w:sz w:val="22"/>
          <w:szCs w:val="22"/>
        </w:rPr>
        <w:t xml:space="preserve">included in the </w:t>
      </w:r>
      <w:r w:rsidR="00F4146E" w:rsidRPr="00662392">
        <w:rPr>
          <w:sz w:val="22"/>
          <w:szCs w:val="22"/>
        </w:rPr>
        <w:t>U</w:t>
      </w:r>
      <w:r w:rsidR="00C552B8" w:rsidRPr="00662392">
        <w:rPr>
          <w:sz w:val="22"/>
          <w:szCs w:val="22"/>
        </w:rPr>
        <w:t>FSAR for such SSCs which demonstrate that their intended function(s) will be accomplished.</w:t>
      </w:r>
    </w:p>
    <w:p w14:paraId="1BBEC23A" w14:textId="14C1DA45" w:rsidR="00C552B8" w:rsidRPr="00662392" w:rsidRDefault="00C552B8" w:rsidP="00194415">
      <w:pPr>
        <w:widowControl/>
        <w:rPr>
          <w:sz w:val="22"/>
          <w:szCs w:val="22"/>
        </w:rPr>
      </w:pPr>
    </w:p>
    <w:p w14:paraId="1B9E1961" w14:textId="745A22A8" w:rsidR="00787BA6" w:rsidRPr="00662392" w:rsidRDefault="00C552B8" w:rsidP="00194415">
      <w:pPr>
        <w:widowControl/>
        <w:rPr>
          <w:sz w:val="22"/>
          <w:szCs w:val="22"/>
        </w:rPr>
      </w:pPr>
      <w:r w:rsidRPr="00662392">
        <w:rPr>
          <w:sz w:val="22"/>
          <w:szCs w:val="22"/>
        </w:rPr>
        <w:t>Some SSC</w:t>
      </w:r>
      <w:r w:rsidR="00F4146E" w:rsidRPr="00662392">
        <w:rPr>
          <w:sz w:val="22"/>
          <w:szCs w:val="22"/>
        </w:rPr>
        <w:t>s</w:t>
      </w:r>
      <w:r w:rsidRPr="00662392">
        <w:rPr>
          <w:sz w:val="22"/>
          <w:szCs w:val="22"/>
        </w:rPr>
        <w:t xml:space="preserve"> or subcomponents may not be explicitly described in the FSAR, but they have the potential to affect the function of an SSC that is described.</w:t>
      </w:r>
      <w:r w:rsidRPr="00662392">
        <w:rPr>
          <w:rFonts w:eastAsiaTheme="minorHAnsi"/>
          <w:b/>
          <w:bCs/>
          <w:sz w:val="22"/>
          <w:szCs w:val="22"/>
        </w:rPr>
        <w:t xml:space="preserve">  </w:t>
      </w:r>
      <w:r w:rsidRPr="00662392">
        <w:rPr>
          <w:sz w:val="22"/>
          <w:szCs w:val="22"/>
        </w:rPr>
        <w:t xml:space="preserve">Some changes to a component or </w:t>
      </w:r>
      <w:r w:rsidR="00787BA6" w:rsidRPr="00662392">
        <w:rPr>
          <w:sz w:val="22"/>
          <w:szCs w:val="22"/>
        </w:rPr>
        <w:t>procedure could affect the</w:t>
      </w:r>
      <w:r w:rsidR="001613BC" w:rsidRPr="00662392">
        <w:rPr>
          <w:sz w:val="22"/>
          <w:szCs w:val="22"/>
        </w:rPr>
        <w:t xml:space="preserve"> SSC design</w:t>
      </w:r>
      <w:r w:rsidR="00787BA6" w:rsidRPr="00662392">
        <w:rPr>
          <w:sz w:val="22"/>
          <w:szCs w:val="22"/>
        </w:rPr>
        <w:t xml:space="preserve"> functions.  If a </w:t>
      </w:r>
      <w:r w:rsidR="00686805" w:rsidRPr="00662392">
        <w:rPr>
          <w:sz w:val="22"/>
          <w:szCs w:val="22"/>
        </w:rPr>
        <w:t xml:space="preserve">change </w:t>
      </w:r>
      <w:r w:rsidR="00787BA6" w:rsidRPr="00662392">
        <w:rPr>
          <w:sz w:val="22"/>
          <w:szCs w:val="22"/>
        </w:rPr>
        <w:t xml:space="preserve">to that (non-described) component could </w:t>
      </w:r>
      <w:r w:rsidR="00E45CCB" w:rsidRPr="00662392">
        <w:rPr>
          <w:sz w:val="22"/>
          <w:szCs w:val="22"/>
        </w:rPr>
        <w:t xml:space="preserve">adversely </w:t>
      </w:r>
      <w:r w:rsidR="00787BA6" w:rsidRPr="00662392">
        <w:rPr>
          <w:sz w:val="22"/>
          <w:szCs w:val="22"/>
        </w:rPr>
        <w:t xml:space="preserve">affect any </w:t>
      </w:r>
      <w:r w:rsidR="00E45CCB" w:rsidRPr="00662392">
        <w:rPr>
          <w:sz w:val="22"/>
          <w:szCs w:val="22"/>
        </w:rPr>
        <w:t xml:space="preserve">UFSAR-described </w:t>
      </w:r>
      <w:r w:rsidR="00787BA6" w:rsidRPr="00662392">
        <w:rPr>
          <w:sz w:val="22"/>
          <w:szCs w:val="22"/>
        </w:rPr>
        <w:t xml:space="preserve">design function or </w:t>
      </w:r>
      <w:r w:rsidR="00E45CCB" w:rsidRPr="00662392">
        <w:rPr>
          <w:sz w:val="22"/>
          <w:szCs w:val="22"/>
        </w:rPr>
        <w:t xml:space="preserve">method of </w:t>
      </w:r>
      <w:r w:rsidR="00787BA6" w:rsidRPr="00662392">
        <w:rPr>
          <w:sz w:val="22"/>
          <w:szCs w:val="22"/>
        </w:rPr>
        <w:t>perform</w:t>
      </w:r>
      <w:r w:rsidR="00E45CCB" w:rsidRPr="00662392">
        <w:rPr>
          <w:sz w:val="22"/>
          <w:szCs w:val="22"/>
        </w:rPr>
        <w:t>ing or controlling the design function</w:t>
      </w:r>
      <w:r w:rsidR="00787BA6" w:rsidRPr="00662392">
        <w:rPr>
          <w:sz w:val="22"/>
          <w:szCs w:val="22"/>
        </w:rPr>
        <w:t xml:space="preserve">, </w:t>
      </w:r>
      <w:r w:rsidR="00B9108A" w:rsidRPr="00662392">
        <w:rPr>
          <w:sz w:val="22"/>
          <w:szCs w:val="22"/>
        </w:rPr>
        <w:t xml:space="preserve">then </w:t>
      </w:r>
      <w:r w:rsidR="00B105B5" w:rsidRPr="00662392">
        <w:rPr>
          <w:sz w:val="22"/>
          <w:szCs w:val="22"/>
        </w:rPr>
        <w:t xml:space="preserve">that change </w:t>
      </w:r>
      <w:r w:rsidR="00787BA6" w:rsidRPr="00662392">
        <w:rPr>
          <w:sz w:val="22"/>
          <w:szCs w:val="22"/>
        </w:rPr>
        <w:t>requires evaluation under</w:t>
      </w:r>
      <w:r w:rsidR="003C2CE9" w:rsidRPr="00662392">
        <w:rPr>
          <w:sz w:val="22"/>
          <w:szCs w:val="22"/>
        </w:rPr>
        <w:t xml:space="preserve"> </w:t>
      </w:r>
      <w:r w:rsidR="00787BA6" w:rsidRPr="00662392">
        <w:rPr>
          <w:sz w:val="22"/>
          <w:szCs w:val="22"/>
        </w:rPr>
        <w:t>10 CFR 50.59</w:t>
      </w:r>
      <w:r w:rsidR="00C234D6" w:rsidRPr="00662392">
        <w:rPr>
          <w:sz w:val="22"/>
          <w:szCs w:val="22"/>
        </w:rPr>
        <w:t xml:space="preserve"> or </w:t>
      </w:r>
      <w:r w:rsidR="009E3819" w:rsidRPr="00662392">
        <w:rPr>
          <w:sz w:val="22"/>
          <w:szCs w:val="22"/>
        </w:rPr>
        <w:t>72.48</w:t>
      </w:r>
      <w:r w:rsidR="00787BA6" w:rsidRPr="00662392">
        <w:rPr>
          <w:sz w:val="22"/>
          <w:szCs w:val="22"/>
        </w:rPr>
        <w:t>.</w:t>
      </w:r>
    </w:p>
    <w:p w14:paraId="1C09B262" w14:textId="3B0D16F8" w:rsidR="00C06F46" w:rsidRPr="00662392" w:rsidRDefault="00C06F46" w:rsidP="00194415">
      <w:pPr>
        <w:rPr>
          <w:sz w:val="22"/>
          <w:szCs w:val="22"/>
        </w:rPr>
      </w:pPr>
    </w:p>
    <w:p w14:paraId="725F2919" w14:textId="730E71AA" w:rsidR="00787BA6" w:rsidRPr="00662392" w:rsidRDefault="00CB22C8" w:rsidP="00194415">
      <w:pPr>
        <w:widowControl/>
        <w:rPr>
          <w:sz w:val="22"/>
          <w:szCs w:val="22"/>
        </w:rPr>
      </w:pPr>
      <w:r w:rsidRPr="00662392">
        <w:rPr>
          <w:sz w:val="22"/>
          <w:szCs w:val="22"/>
        </w:rPr>
        <w:t>04.0</w:t>
      </w:r>
      <w:r w:rsidR="003A72F2" w:rsidRPr="00662392">
        <w:rPr>
          <w:sz w:val="22"/>
          <w:szCs w:val="22"/>
        </w:rPr>
        <w:t>6</w:t>
      </w:r>
      <w:r w:rsidRPr="00662392">
        <w:rPr>
          <w:sz w:val="22"/>
          <w:szCs w:val="22"/>
        </w:rPr>
        <w:tab/>
      </w:r>
      <w:r w:rsidR="00E73C16" w:rsidRPr="00662392">
        <w:rPr>
          <w:sz w:val="22"/>
          <w:szCs w:val="22"/>
          <w:u w:val="single"/>
        </w:rPr>
        <w:t xml:space="preserve">Facility as described in 10 CFR 72.48: Either an ISFSI or </w:t>
      </w:r>
      <w:proofErr w:type="gramStart"/>
      <w:r w:rsidR="00E73C16" w:rsidRPr="00662392">
        <w:rPr>
          <w:sz w:val="22"/>
          <w:szCs w:val="22"/>
          <w:u w:val="single"/>
        </w:rPr>
        <w:t>a</w:t>
      </w:r>
      <w:proofErr w:type="gramEnd"/>
      <w:r w:rsidR="00E73C16" w:rsidRPr="00662392">
        <w:rPr>
          <w:sz w:val="22"/>
          <w:szCs w:val="22"/>
          <w:u w:val="single"/>
        </w:rPr>
        <w:t xml:space="preserve"> MRS facility</w:t>
      </w:r>
      <w:r w:rsidR="00B71282" w:rsidRPr="00662392">
        <w:rPr>
          <w:sz w:val="22"/>
          <w:szCs w:val="22"/>
        </w:rPr>
        <w:t xml:space="preserve">:  </w:t>
      </w:r>
      <w:r w:rsidR="00C06F46" w:rsidRPr="00662392">
        <w:rPr>
          <w:sz w:val="22"/>
          <w:szCs w:val="22"/>
        </w:rPr>
        <w:t xml:space="preserve">For specific licensees, </w:t>
      </w:r>
      <w:r w:rsidR="008A6083" w:rsidRPr="00662392">
        <w:rPr>
          <w:sz w:val="22"/>
          <w:szCs w:val="22"/>
        </w:rPr>
        <w:t xml:space="preserve">the “facility” </w:t>
      </w:r>
      <w:r w:rsidR="00C06F46" w:rsidRPr="00662392">
        <w:rPr>
          <w:sz w:val="22"/>
          <w:szCs w:val="22"/>
        </w:rPr>
        <w:t xml:space="preserve">is the ISFSI described in the Part 72 UFSAR. For general licensees, </w:t>
      </w:r>
      <w:r w:rsidR="00A54F57" w:rsidRPr="00662392">
        <w:rPr>
          <w:sz w:val="22"/>
          <w:szCs w:val="22"/>
        </w:rPr>
        <w:t xml:space="preserve">the “facility” </w:t>
      </w:r>
      <w:r w:rsidR="00C06F46" w:rsidRPr="00662392">
        <w:rPr>
          <w:sz w:val="22"/>
          <w:szCs w:val="22"/>
        </w:rPr>
        <w:t xml:space="preserve">is the ISFSI described in the </w:t>
      </w:r>
      <w:r w:rsidR="00173F99" w:rsidRPr="00662392">
        <w:rPr>
          <w:sz w:val="22"/>
          <w:szCs w:val="22"/>
        </w:rPr>
        <w:t xml:space="preserve">evaluation report for 10 CFR 72.212 </w:t>
      </w:r>
      <w:r w:rsidR="00C605B6" w:rsidRPr="00662392">
        <w:rPr>
          <w:sz w:val="22"/>
          <w:szCs w:val="22"/>
        </w:rPr>
        <w:t>(</w:t>
      </w:r>
      <w:r w:rsidR="00C06F46" w:rsidRPr="00662392">
        <w:rPr>
          <w:sz w:val="22"/>
          <w:szCs w:val="22"/>
        </w:rPr>
        <w:t>212 Report</w:t>
      </w:r>
      <w:r w:rsidR="00C605B6" w:rsidRPr="00662392">
        <w:rPr>
          <w:sz w:val="22"/>
          <w:szCs w:val="22"/>
        </w:rPr>
        <w:t>)</w:t>
      </w:r>
      <w:r w:rsidR="002111D2" w:rsidRPr="00662392">
        <w:rPr>
          <w:sz w:val="22"/>
          <w:szCs w:val="22"/>
        </w:rPr>
        <w:t xml:space="preserve"> (see section 07.07 for further details on 212 Reports)</w:t>
      </w:r>
      <w:r w:rsidRPr="00662392">
        <w:rPr>
          <w:sz w:val="22"/>
          <w:szCs w:val="22"/>
        </w:rPr>
        <w:t>.</w:t>
      </w:r>
    </w:p>
    <w:p w14:paraId="400716F4" w14:textId="77777777" w:rsidR="00247C81" w:rsidRPr="00662392" w:rsidRDefault="00247C81" w:rsidP="00194415">
      <w:pPr>
        <w:rPr>
          <w:sz w:val="22"/>
          <w:szCs w:val="22"/>
        </w:rPr>
      </w:pPr>
    </w:p>
    <w:p w14:paraId="2467CBA9" w14:textId="2EF67584" w:rsidR="004B7A7D" w:rsidRPr="00662392" w:rsidRDefault="008F71E3" w:rsidP="00194415">
      <w:pPr>
        <w:rPr>
          <w:sz w:val="22"/>
          <w:szCs w:val="22"/>
        </w:rPr>
      </w:pPr>
      <w:r w:rsidRPr="00662392">
        <w:rPr>
          <w:sz w:val="22"/>
          <w:szCs w:val="22"/>
        </w:rPr>
        <w:t>0</w:t>
      </w:r>
      <w:r w:rsidR="00B93541" w:rsidRPr="00662392">
        <w:rPr>
          <w:sz w:val="22"/>
          <w:szCs w:val="22"/>
        </w:rPr>
        <w:t>4</w:t>
      </w:r>
      <w:r w:rsidRPr="00662392">
        <w:rPr>
          <w:sz w:val="22"/>
          <w:szCs w:val="22"/>
        </w:rPr>
        <w:t>.0</w:t>
      </w:r>
      <w:r w:rsidR="0075596E" w:rsidRPr="00662392">
        <w:rPr>
          <w:sz w:val="22"/>
          <w:szCs w:val="22"/>
        </w:rPr>
        <w:t>7</w:t>
      </w:r>
      <w:r w:rsidRPr="00662392">
        <w:rPr>
          <w:sz w:val="22"/>
          <w:szCs w:val="22"/>
        </w:rPr>
        <w:tab/>
      </w:r>
      <w:r w:rsidR="004B7A7D" w:rsidRPr="00662392">
        <w:rPr>
          <w:sz w:val="22"/>
          <w:szCs w:val="22"/>
          <w:u w:val="single"/>
        </w:rPr>
        <w:t>Final Safety Analysis Report (as updated)</w:t>
      </w:r>
      <w:r w:rsidR="004B7A7D" w:rsidRPr="00662392">
        <w:rPr>
          <w:sz w:val="22"/>
          <w:szCs w:val="22"/>
        </w:rPr>
        <w:t xml:space="preserve">:  </w:t>
      </w:r>
      <w:r w:rsidR="000E0033" w:rsidRPr="00662392">
        <w:rPr>
          <w:sz w:val="22"/>
          <w:szCs w:val="22"/>
        </w:rPr>
        <w:t xml:space="preserve">As used throughout this guidance document, UFSAR is synonymous with "FSAR (as updated)."  </w:t>
      </w:r>
      <w:r w:rsidR="00CD60D9" w:rsidRPr="00662392">
        <w:rPr>
          <w:sz w:val="22"/>
          <w:szCs w:val="22"/>
        </w:rPr>
        <w:t>For reactor licensees</w:t>
      </w:r>
      <w:r w:rsidR="00023A97" w:rsidRPr="00662392">
        <w:rPr>
          <w:sz w:val="22"/>
          <w:szCs w:val="22"/>
        </w:rPr>
        <w:t>,</w:t>
      </w:r>
      <w:r w:rsidR="00CD60D9" w:rsidRPr="00662392">
        <w:rPr>
          <w:sz w:val="22"/>
          <w:szCs w:val="22"/>
        </w:rPr>
        <w:t xml:space="preserve"> t</w:t>
      </w:r>
      <w:r w:rsidR="004B7A7D" w:rsidRPr="00662392">
        <w:rPr>
          <w:sz w:val="22"/>
          <w:szCs w:val="22"/>
        </w:rPr>
        <w:t xml:space="preserve">he </w:t>
      </w:r>
      <w:r w:rsidR="003F5AD7" w:rsidRPr="00662392">
        <w:rPr>
          <w:sz w:val="22"/>
          <w:szCs w:val="22"/>
        </w:rPr>
        <w:t>U</w:t>
      </w:r>
      <w:r w:rsidR="004B7A7D" w:rsidRPr="00662392">
        <w:rPr>
          <w:sz w:val="22"/>
          <w:szCs w:val="22"/>
        </w:rPr>
        <w:t>F</w:t>
      </w:r>
      <w:r w:rsidR="00BB2BE9" w:rsidRPr="00662392">
        <w:rPr>
          <w:sz w:val="22"/>
          <w:szCs w:val="22"/>
        </w:rPr>
        <w:t>SAR</w:t>
      </w:r>
      <w:r w:rsidR="004B7A7D" w:rsidRPr="00662392">
        <w:rPr>
          <w:sz w:val="22"/>
          <w:szCs w:val="22"/>
        </w:rPr>
        <w:t xml:space="preserve"> (or Final Hazards Summary Report) submitted in accordance with 10 CFR 50.34, </w:t>
      </w:r>
      <w:r w:rsidR="00966A42" w:rsidRPr="00662392">
        <w:rPr>
          <w:sz w:val="22"/>
          <w:szCs w:val="22"/>
        </w:rPr>
        <w:t xml:space="preserve">“Contents of applications; technical information,” </w:t>
      </w:r>
      <w:r w:rsidR="004B7A7D" w:rsidRPr="00662392">
        <w:rPr>
          <w:sz w:val="22"/>
          <w:szCs w:val="22"/>
        </w:rPr>
        <w:t>as amended and supplemented, and as updated per the requirements of 10 CFR 50.71</w:t>
      </w:r>
      <w:r w:rsidR="00566A8E" w:rsidRPr="00662392">
        <w:rPr>
          <w:sz w:val="22"/>
          <w:szCs w:val="22"/>
        </w:rPr>
        <w:t xml:space="preserve">, “Maintenance of records, making of reports,” </w:t>
      </w:r>
      <w:r w:rsidR="005C1BB2" w:rsidRPr="00662392">
        <w:rPr>
          <w:sz w:val="22"/>
          <w:szCs w:val="22"/>
        </w:rPr>
        <w:t xml:space="preserve">Section </w:t>
      </w:r>
      <w:r w:rsidR="004B7A7D" w:rsidRPr="00662392">
        <w:rPr>
          <w:sz w:val="22"/>
          <w:szCs w:val="22"/>
        </w:rPr>
        <w:t>50.71</w:t>
      </w:r>
      <w:r w:rsidR="00DA6E8E" w:rsidRPr="00662392">
        <w:rPr>
          <w:sz w:val="22"/>
          <w:szCs w:val="22"/>
        </w:rPr>
        <w:t xml:space="preserve">(e) or </w:t>
      </w:r>
      <w:r w:rsidR="004B7A7D" w:rsidRPr="00662392">
        <w:rPr>
          <w:sz w:val="22"/>
          <w:szCs w:val="22"/>
        </w:rPr>
        <w:t>(f), as applicable.</w:t>
      </w:r>
    </w:p>
    <w:p w14:paraId="7A1C9620" w14:textId="77777777" w:rsidR="00950790" w:rsidRPr="00662392" w:rsidRDefault="00950790" w:rsidP="00194415">
      <w:pPr>
        <w:rPr>
          <w:sz w:val="22"/>
          <w:szCs w:val="22"/>
        </w:rPr>
      </w:pPr>
    </w:p>
    <w:p w14:paraId="4C1F35DF" w14:textId="77777777" w:rsidR="005C3303" w:rsidRPr="00662392" w:rsidRDefault="00D7470A" w:rsidP="00194415">
      <w:pPr>
        <w:rPr>
          <w:sz w:val="22"/>
          <w:szCs w:val="22"/>
        </w:rPr>
      </w:pPr>
      <w:r w:rsidRPr="00662392">
        <w:rPr>
          <w:sz w:val="22"/>
          <w:szCs w:val="22"/>
        </w:rPr>
        <w:t xml:space="preserve">For specific licensees and </w:t>
      </w:r>
      <w:proofErr w:type="spellStart"/>
      <w:r w:rsidRPr="00662392">
        <w:rPr>
          <w:sz w:val="22"/>
          <w:szCs w:val="22"/>
        </w:rPr>
        <w:t>CoC</w:t>
      </w:r>
      <w:proofErr w:type="spellEnd"/>
      <w:r w:rsidRPr="00662392">
        <w:rPr>
          <w:sz w:val="22"/>
          <w:szCs w:val="22"/>
        </w:rPr>
        <w:t xml:space="preserve"> holders, the FSAR submitted in accordance with 10 CFR 72.4 within 90 days after issuance of the license and after the spent fuel storage cask design approved pursuant to 10 CFR 72.238, respectively.</w:t>
      </w:r>
    </w:p>
    <w:p w14:paraId="559212C9" w14:textId="6CA7033D" w:rsidR="008279DA" w:rsidRPr="00662392" w:rsidRDefault="008279DA" w:rsidP="00194415">
      <w:pPr>
        <w:rPr>
          <w:sz w:val="22"/>
          <w:szCs w:val="22"/>
        </w:rPr>
      </w:pPr>
    </w:p>
    <w:p w14:paraId="57503558" w14:textId="6E8CC4E2" w:rsidR="007B38E1" w:rsidRPr="00662392" w:rsidRDefault="00C87BEC" w:rsidP="00194415">
      <w:pPr>
        <w:rPr>
          <w:sz w:val="22"/>
          <w:szCs w:val="22"/>
        </w:rPr>
      </w:pPr>
      <w:r w:rsidRPr="00662392">
        <w:rPr>
          <w:sz w:val="22"/>
          <w:szCs w:val="22"/>
        </w:rPr>
        <w:t xml:space="preserve">The UFSAR for specific licensees and </w:t>
      </w:r>
      <w:proofErr w:type="spellStart"/>
      <w:r w:rsidRPr="00662392">
        <w:rPr>
          <w:sz w:val="22"/>
          <w:szCs w:val="22"/>
        </w:rPr>
        <w:t>CoC</w:t>
      </w:r>
      <w:proofErr w:type="spellEnd"/>
      <w:r w:rsidRPr="00662392">
        <w:rPr>
          <w:sz w:val="22"/>
          <w:szCs w:val="22"/>
        </w:rPr>
        <w:t xml:space="preserve"> holders is always the latest revision updated thereafter, pursuant to 10 CFR 72.70 and 10 CFR 72.248, respectively, as supplemented by changes authorized under the provisions of 10 CFR 72.48.  For general licensees, the </w:t>
      </w:r>
      <w:proofErr w:type="spellStart"/>
      <w:r w:rsidRPr="00662392">
        <w:rPr>
          <w:sz w:val="22"/>
          <w:szCs w:val="22"/>
        </w:rPr>
        <w:t>CoC</w:t>
      </w:r>
      <w:proofErr w:type="spellEnd"/>
      <w:r w:rsidRPr="00662392">
        <w:rPr>
          <w:sz w:val="22"/>
          <w:szCs w:val="22"/>
        </w:rPr>
        <w:t xml:space="preserve"> holder owns and maintains the UFSAR for the cask design(s) used at the ISFSI. </w:t>
      </w:r>
      <w:r w:rsidR="00111D15">
        <w:rPr>
          <w:sz w:val="22"/>
          <w:szCs w:val="22"/>
        </w:rPr>
        <w:t xml:space="preserve"> </w:t>
      </w:r>
      <w:r w:rsidRPr="00662392">
        <w:rPr>
          <w:sz w:val="22"/>
          <w:szCs w:val="22"/>
        </w:rPr>
        <w:t xml:space="preserve">The UFSAR for the general licensee is the UFSAR revision used for the specific loaded cask(s), and as revised by any applicable 10 CFR 72.48 changes made by the </w:t>
      </w:r>
      <w:proofErr w:type="spellStart"/>
      <w:r w:rsidRPr="00662392">
        <w:rPr>
          <w:sz w:val="22"/>
          <w:szCs w:val="22"/>
        </w:rPr>
        <w:t>CoC</w:t>
      </w:r>
      <w:proofErr w:type="spellEnd"/>
      <w:r w:rsidRPr="00662392">
        <w:rPr>
          <w:sz w:val="22"/>
          <w:szCs w:val="22"/>
        </w:rPr>
        <w:t xml:space="preserve"> holder and the general licensee.</w:t>
      </w:r>
    </w:p>
    <w:p w14:paraId="525CE385" w14:textId="37389A0E" w:rsidR="008279DA" w:rsidRPr="00085EEF" w:rsidRDefault="008279DA" w:rsidP="00194415">
      <w:pPr>
        <w:rPr>
          <w:sz w:val="22"/>
          <w:szCs w:val="22"/>
        </w:rPr>
      </w:pPr>
    </w:p>
    <w:p w14:paraId="11FC6EEE" w14:textId="3426A976" w:rsidR="008F71E3" w:rsidRPr="00662392" w:rsidRDefault="004B7A7D" w:rsidP="00194415">
      <w:pPr>
        <w:rPr>
          <w:sz w:val="22"/>
          <w:szCs w:val="22"/>
        </w:rPr>
      </w:pPr>
      <w:r w:rsidRPr="00662392">
        <w:rPr>
          <w:sz w:val="22"/>
          <w:szCs w:val="22"/>
        </w:rPr>
        <w:t xml:space="preserve">The </w:t>
      </w:r>
      <w:r w:rsidR="00BB2BE9" w:rsidRPr="00662392">
        <w:rPr>
          <w:sz w:val="22"/>
          <w:szCs w:val="22"/>
        </w:rPr>
        <w:t>U</w:t>
      </w:r>
      <w:r w:rsidRPr="00662392">
        <w:rPr>
          <w:sz w:val="22"/>
          <w:szCs w:val="22"/>
        </w:rPr>
        <w:t xml:space="preserve">FSAR includes its text, tables, diagrams, etc., as well as supplemental information explicitly incorporated by reference.  References that are merely listed in the UFSAR and documents that are not incorporated by reference are not considered part of the </w:t>
      </w:r>
      <w:r w:rsidR="00795DCD" w:rsidRPr="00662392">
        <w:rPr>
          <w:sz w:val="22"/>
          <w:szCs w:val="22"/>
        </w:rPr>
        <w:t>U</w:t>
      </w:r>
      <w:r w:rsidRPr="00662392">
        <w:rPr>
          <w:sz w:val="22"/>
          <w:szCs w:val="22"/>
        </w:rPr>
        <w:t>FSAR and therefore are not subject to control under 10 CFR 50.59</w:t>
      </w:r>
      <w:r w:rsidR="00F6463F" w:rsidRPr="00662392">
        <w:rPr>
          <w:sz w:val="22"/>
          <w:szCs w:val="22"/>
        </w:rPr>
        <w:t xml:space="preserve"> and 10 CFR 72.48</w:t>
      </w:r>
      <w:r w:rsidRPr="00662392">
        <w:rPr>
          <w:sz w:val="22"/>
          <w:szCs w:val="22"/>
        </w:rPr>
        <w:t>.</w:t>
      </w:r>
    </w:p>
    <w:p w14:paraId="7BAB2DE3" w14:textId="77777777" w:rsidR="00750B97" w:rsidRPr="00662392" w:rsidRDefault="00750B97" w:rsidP="00194415">
      <w:pPr>
        <w:rPr>
          <w:sz w:val="22"/>
          <w:szCs w:val="22"/>
        </w:rPr>
      </w:pPr>
    </w:p>
    <w:p w14:paraId="63E3F3BF" w14:textId="356E4239" w:rsidR="00B92040" w:rsidRPr="00662392" w:rsidRDefault="00F73BFE" w:rsidP="00194415">
      <w:pPr>
        <w:widowControl/>
        <w:rPr>
          <w:sz w:val="22"/>
          <w:szCs w:val="22"/>
        </w:rPr>
      </w:pPr>
      <w:r w:rsidRPr="00662392">
        <w:rPr>
          <w:sz w:val="22"/>
          <w:szCs w:val="22"/>
        </w:rPr>
        <w:t>0</w:t>
      </w:r>
      <w:r w:rsidR="00B93541" w:rsidRPr="00662392">
        <w:rPr>
          <w:sz w:val="22"/>
          <w:szCs w:val="22"/>
        </w:rPr>
        <w:t>4</w:t>
      </w:r>
      <w:r w:rsidRPr="00662392">
        <w:rPr>
          <w:sz w:val="22"/>
          <w:szCs w:val="22"/>
        </w:rPr>
        <w:t>.</w:t>
      </w:r>
      <w:r w:rsidR="00B93541" w:rsidRPr="00662392">
        <w:rPr>
          <w:sz w:val="22"/>
          <w:szCs w:val="22"/>
        </w:rPr>
        <w:t>0</w:t>
      </w:r>
      <w:r w:rsidR="007E0573" w:rsidRPr="00662392">
        <w:rPr>
          <w:sz w:val="22"/>
          <w:szCs w:val="22"/>
        </w:rPr>
        <w:t>8</w:t>
      </w:r>
      <w:r w:rsidRPr="00662392">
        <w:rPr>
          <w:sz w:val="22"/>
          <w:szCs w:val="22"/>
        </w:rPr>
        <w:tab/>
      </w:r>
      <w:r w:rsidR="006E7BBD" w:rsidRPr="00662392">
        <w:rPr>
          <w:sz w:val="22"/>
          <w:szCs w:val="22"/>
          <w:u w:val="single"/>
        </w:rPr>
        <w:t xml:space="preserve">Procedures as described in the </w:t>
      </w:r>
      <w:r w:rsidR="00235D47" w:rsidRPr="00662392">
        <w:rPr>
          <w:sz w:val="22"/>
          <w:szCs w:val="22"/>
          <w:u w:val="single"/>
        </w:rPr>
        <w:t>UFSAR</w:t>
      </w:r>
      <w:r w:rsidR="006E7BBD" w:rsidRPr="00662392">
        <w:rPr>
          <w:sz w:val="22"/>
          <w:szCs w:val="22"/>
        </w:rPr>
        <w:t>:  Those procedures</w:t>
      </w:r>
      <w:r w:rsidR="00750B97" w:rsidRPr="00662392">
        <w:rPr>
          <w:sz w:val="22"/>
          <w:szCs w:val="22"/>
        </w:rPr>
        <w:t xml:space="preserve"> </w:t>
      </w:r>
      <w:r w:rsidR="006E7BBD" w:rsidRPr="00662392">
        <w:rPr>
          <w:sz w:val="22"/>
          <w:szCs w:val="22"/>
        </w:rPr>
        <w:t xml:space="preserve">that contain information described in the </w:t>
      </w:r>
      <w:r w:rsidR="00795DCD" w:rsidRPr="00662392">
        <w:rPr>
          <w:sz w:val="22"/>
          <w:szCs w:val="22"/>
        </w:rPr>
        <w:t>U</w:t>
      </w:r>
      <w:r w:rsidR="006E7BBD" w:rsidRPr="00662392">
        <w:rPr>
          <w:sz w:val="22"/>
          <w:szCs w:val="22"/>
        </w:rPr>
        <w:t xml:space="preserve">FSAR such as how </w:t>
      </w:r>
      <w:r w:rsidR="00795DCD" w:rsidRPr="00662392">
        <w:rPr>
          <w:sz w:val="22"/>
          <w:szCs w:val="22"/>
        </w:rPr>
        <w:t>SSCs</w:t>
      </w:r>
      <w:r w:rsidR="006E7BBD" w:rsidRPr="00662392">
        <w:rPr>
          <w:sz w:val="22"/>
          <w:szCs w:val="22"/>
        </w:rPr>
        <w:t xml:space="preserve"> are operated and controlled (including assumed operator actions and response times). </w:t>
      </w:r>
      <w:r w:rsidR="00B92040" w:rsidRPr="00662392">
        <w:rPr>
          <w:sz w:val="22"/>
          <w:szCs w:val="22"/>
        </w:rPr>
        <w:t xml:space="preserve"> See </w:t>
      </w:r>
      <w:r w:rsidR="00F53F38" w:rsidRPr="00662392">
        <w:rPr>
          <w:sz w:val="22"/>
          <w:szCs w:val="22"/>
        </w:rPr>
        <w:t>d</w:t>
      </w:r>
      <w:r w:rsidR="00B92040" w:rsidRPr="00662392">
        <w:rPr>
          <w:sz w:val="22"/>
          <w:szCs w:val="22"/>
        </w:rPr>
        <w:t>efinition 04.0</w:t>
      </w:r>
      <w:r w:rsidR="007B7E83" w:rsidRPr="00662392">
        <w:rPr>
          <w:sz w:val="22"/>
          <w:szCs w:val="22"/>
        </w:rPr>
        <w:t>6</w:t>
      </w:r>
      <w:r w:rsidR="00B92040" w:rsidRPr="00662392">
        <w:rPr>
          <w:sz w:val="22"/>
          <w:szCs w:val="22"/>
        </w:rPr>
        <w:t xml:space="preserve"> </w:t>
      </w:r>
      <w:r w:rsidR="00D03764" w:rsidRPr="00662392">
        <w:rPr>
          <w:sz w:val="22"/>
          <w:szCs w:val="22"/>
        </w:rPr>
        <w:t>f</w:t>
      </w:r>
      <w:r w:rsidR="00B92040" w:rsidRPr="00662392">
        <w:rPr>
          <w:sz w:val="22"/>
          <w:szCs w:val="22"/>
        </w:rPr>
        <w:t>or discussion on the scope of information that is the focus</w:t>
      </w:r>
      <w:r w:rsidR="007B7E83" w:rsidRPr="00662392">
        <w:rPr>
          <w:sz w:val="22"/>
          <w:szCs w:val="22"/>
        </w:rPr>
        <w:t xml:space="preserve"> </w:t>
      </w:r>
      <w:r w:rsidR="00B92040" w:rsidRPr="00662392">
        <w:rPr>
          <w:sz w:val="22"/>
          <w:szCs w:val="22"/>
        </w:rPr>
        <w:t>of 10 CFR 72.48.</w:t>
      </w:r>
    </w:p>
    <w:p w14:paraId="57EB937F" w14:textId="2093E360" w:rsidR="006E7BBD" w:rsidRPr="00662392" w:rsidRDefault="006E7BBD" w:rsidP="00194415">
      <w:pPr>
        <w:rPr>
          <w:sz w:val="22"/>
          <w:szCs w:val="22"/>
        </w:rPr>
      </w:pPr>
    </w:p>
    <w:p w14:paraId="6BD04D7A" w14:textId="77777777" w:rsidR="000E0ACD" w:rsidRDefault="006E7BBD" w:rsidP="00194415">
      <w:pPr>
        <w:rPr>
          <w:sz w:val="22"/>
          <w:szCs w:val="22"/>
        </w:rPr>
        <w:sectPr w:rsidR="000E0ACD" w:rsidSect="00012998">
          <w:footerReference w:type="default" r:id="rId21"/>
          <w:pgSz w:w="12240" w:h="15840" w:code="1"/>
          <w:pgMar w:top="1440" w:right="1440" w:bottom="1440" w:left="1440" w:header="720" w:footer="720" w:gutter="0"/>
          <w:cols w:space="720"/>
          <w:noEndnote/>
          <w:docGrid w:linePitch="326"/>
        </w:sectPr>
      </w:pPr>
      <w:r w:rsidRPr="00662392">
        <w:rPr>
          <w:sz w:val="22"/>
          <w:szCs w:val="22"/>
        </w:rPr>
        <w:t>For purposes of 10 CFR 50.59</w:t>
      </w:r>
      <w:r w:rsidR="00CB22C8" w:rsidRPr="00662392">
        <w:rPr>
          <w:sz w:val="22"/>
          <w:szCs w:val="22"/>
        </w:rPr>
        <w:t xml:space="preserve"> and 10 CFR 72.48</w:t>
      </w:r>
      <w:r w:rsidRPr="00662392">
        <w:rPr>
          <w:sz w:val="22"/>
          <w:szCs w:val="22"/>
        </w:rPr>
        <w:t xml:space="preserve">, "procedures" are not limited to plant procedures specifically identified in the </w:t>
      </w:r>
      <w:r w:rsidR="007D3882" w:rsidRPr="00662392">
        <w:rPr>
          <w:sz w:val="22"/>
          <w:szCs w:val="22"/>
        </w:rPr>
        <w:t>U</w:t>
      </w:r>
      <w:r w:rsidRPr="00662392">
        <w:rPr>
          <w:sz w:val="22"/>
          <w:szCs w:val="22"/>
        </w:rPr>
        <w:t xml:space="preserve">FSAR (e.g., operating and emergency procedures).  Procedures include </w:t>
      </w:r>
      <w:r w:rsidR="007D3882" w:rsidRPr="00662392">
        <w:rPr>
          <w:sz w:val="22"/>
          <w:szCs w:val="22"/>
        </w:rPr>
        <w:t>U</w:t>
      </w:r>
      <w:r w:rsidRPr="00662392">
        <w:rPr>
          <w:sz w:val="22"/>
          <w:szCs w:val="22"/>
        </w:rPr>
        <w:t xml:space="preserve">FSAR descriptions of how actions related to system operation are to be performed and controls over the performance of design functions.  This includes </w:t>
      </w:r>
      <w:r w:rsidR="007D3882" w:rsidRPr="00662392">
        <w:rPr>
          <w:sz w:val="22"/>
          <w:szCs w:val="22"/>
        </w:rPr>
        <w:t>U</w:t>
      </w:r>
      <w:r w:rsidRPr="00662392">
        <w:rPr>
          <w:sz w:val="22"/>
          <w:szCs w:val="22"/>
        </w:rPr>
        <w:t xml:space="preserve">FSAR descriptions of operator action sequencing or response times, certain descriptions (text or figure) of SSC operation and operating modes, operational and radiological controls, and similar information.  If changes to these activities or controls are made, such changes are considered changes to procedures described in the </w:t>
      </w:r>
      <w:r w:rsidR="007D3882" w:rsidRPr="00662392">
        <w:rPr>
          <w:sz w:val="22"/>
          <w:szCs w:val="22"/>
        </w:rPr>
        <w:t>U</w:t>
      </w:r>
      <w:r w:rsidRPr="00662392">
        <w:rPr>
          <w:sz w:val="22"/>
          <w:szCs w:val="22"/>
        </w:rPr>
        <w:t>FSAR and are subject to 10 CFR 50.59</w:t>
      </w:r>
      <w:r w:rsidR="00750B97" w:rsidRPr="00662392">
        <w:rPr>
          <w:sz w:val="22"/>
          <w:szCs w:val="22"/>
        </w:rPr>
        <w:t xml:space="preserve"> </w:t>
      </w:r>
      <w:r w:rsidR="003336B5" w:rsidRPr="00662392">
        <w:rPr>
          <w:sz w:val="22"/>
          <w:szCs w:val="22"/>
        </w:rPr>
        <w:t>and/</w:t>
      </w:r>
      <w:r w:rsidR="00750B97" w:rsidRPr="00662392">
        <w:rPr>
          <w:sz w:val="22"/>
          <w:szCs w:val="22"/>
        </w:rPr>
        <w:t>or 10 CFR 72.48</w:t>
      </w:r>
      <w:r w:rsidRPr="00662392">
        <w:rPr>
          <w:sz w:val="22"/>
          <w:szCs w:val="22"/>
        </w:rPr>
        <w:t xml:space="preserve">. </w:t>
      </w:r>
    </w:p>
    <w:p w14:paraId="1C85B273" w14:textId="77777777" w:rsidR="006E7BBD" w:rsidRPr="00662392" w:rsidRDefault="006E7BBD" w:rsidP="00194415">
      <w:pPr>
        <w:rPr>
          <w:sz w:val="22"/>
          <w:szCs w:val="22"/>
        </w:rPr>
      </w:pPr>
    </w:p>
    <w:p w14:paraId="3A93D1DB" w14:textId="2E5F1406" w:rsidR="00F73BFE" w:rsidRPr="00662392" w:rsidRDefault="006E7BBD" w:rsidP="00194415">
      <w:pPr>
        <w:keepLines/>
        <w:rPr>
          <w:sz w:val="22"/>
          <w:szCs w:val="22"/>
        </w:rPr>
      </w:pPr>
      <w:r w:rsidRPr="00662392">
        <w:rPr>
          <w:sz w:val="22"/>
          <w:szCs w:val="22"/>
        </w:rPr>
        <w:t xml:space="preserve">Even if described in the </w:t>
      </w:r>
      <w:r w:rsidR="007D3882" w:rsidRPr="00662392">
        <w:rPr>
          <w:sz w:val="22"/>
          <w:szCs w:val="22"/>
        </w:rPr>
        <w:t>U</w:t>
      </w:r>
      <w:r w:rsidRPr="00662392">
        <w:rPr>
          <w:sz w:val="22"/>
          <w:szCs w:val="22"/>
        </w:rPr>
        <w:t>FSAR, procedures that do not contain information on how SSCs are operated or controlled do not meet the definition of "procedures as described in the UFSAR" and are not subject to 10 CFR 50.59</w:t>
      </w:r>
      <w:r w:rsidR="00750B97" w:rsidRPr="00662392">
        <w:rPr>
          <w:sz w:val="22"/>
          <w:szCs w:val="22"/>
        </w:rPr>
        <w:t xml:space="preserve"> or 10 CFR 72.48</w:t>
      </w:r>
      <w:r w:rsidRPr="00662392">
        <w:rPr>
          <w:sz w:val="22"/>
          <w:szCs w:val="22"/>
        </w:rPr>
        <w:t xml:space="preserve">. </w:t>
      </w:r>
    </w:p>
    <w:p w14:paraId="53E69AF2" w14:textId="72664845" w:rsidR="00F73BFE" w:rsidRPr="00662392" w:rsidRDefault="00F73BFE" w:rsidP="00194415">
      <w:pPr>
        <w:rPr>
          <w:sz w:val="22"/>
          <w:szCs w:val="22"/>
        </w:rPr>
      </w:pPr>
    </w:p>
    <w:p w14:paraId="58EF7334" w14:textId="78359C3E" w:rsidR="00CB22C8" w:rsidRPr="00662392" w:rsidRDefault="00CB22C8" w:rsidP="006B18FB">
      <w:pPr>
        <w:widowControl/>
        <w:rPr>
          <w:sz w:val="22"/>
          <w:szCs w:val="22"/>
        </w:rPr>
      </w:pPr>
      <w:r w:rsidRPr="00662392">
        <w:rPr>
          <w:sz w:val="22"/>
          <w:szCs w:val="22"/>
        </w:rPr>
        <w:t>04.</w:t>
      </w:r>
      <w:r w:rsidR="00161D92" w:rsidRPr="00662392">
        <w:rPr>
          <w:sz w:val="22"/>
          <w:szCs w:val="22"/>
        </w:rPr>
        <w:t>09</w:t>
      </w:r>
      <w:r w:rsidRPr="00662392">
        <w:rPr>
          <w:sz w:val="22"/>
          <w:szCs w:val="22"/>
        </w:rPr>
        <w:tab/>
      </w:r>
      <w:r w:rsidRPr="00662392">
        <w:rPr>
          <w:sz w:val="22"/>
          <w:szCs w:val="22"/>
          <w:u w:val="single"/>
        </w:rPr>
        <w:t>Reference Bounds</w:t>
      </w:r>
      <w:r w:rsidRPr="00662392">
        <w:rPr>
          <w:sz w:val="22"/>
          <w:szCs w:val="22"/>
        </w:rPr>
        <w:t xml:space="preserve">: </w:t>
      </w:r>
      <w:r w:rsidR="00A55B3B" w:rsidRPr="00662392">
        <w:rPr>
          <w:sz w:val="22"/>
          <w:szCs w:val="22"/>
        </w:rPr>
        <w:t xml:space="preserve"> </w:t>
      </w:r>
      <w:r w:rsidR="00D9548F" w:rsidRPr="00662392">
        <w:rPr>
          <w:sz w:val="22"/>
          <w:szCs w:val="22"/>
        </w:rPr>
        <w:t>T</w:t>
      </w:r>
      <w:r w:rsidR="00A55B3B" w:rsidRPr="00662392">
        <w:rPr>
          <w:sz w:val="22"/>
          <w:szCs w:val="22"/>
        </w:rPr>
        <w:t>he limits or requirements (e.g., design, physical, operational, etc.)</w:t>
      </w:r>
      <w:r w:rsidR="006B18FB">
        <w:rPr>
          <w:sz w:val="22"/>
          <w:szCs w:val="22"/>
        </w:rPr>
        <w:t xml:space="preserve"> </w:t>
      </w:r>
      <w:r w:rsidR="00A55B3B" w:rsidRPr="00662392">
        <w:rPr>
          <w:sz w:val="22"/>
          <w:szCs w:val="22"/>
        </w:rPr>
        <w:t>imposed by the numerical values or ranges of values of input parameters and any other</w:t>
      </w:r>
      <w:r w:rsidR="006B18FB">
        <w:rPr>
          <w:sz w:val="22"/>
          <w:szCs w:val="22"/>
        </w:rPr>
        <w:t xml:space="preserve"> </w:t>
      </w:r>
      <w:r w:rsidR="00A55B3B" w:rsidRPr="00662392">
        <w:rPr>
          <w:sz w:val="22"/>
          <w:szCs w:val="22"/>
        </w:rPr>
        <w:t>applicable design bases values or ranges of values for the SSCs utilized or controlled in</w:t>
      </w:r>
      <w:r w:rsidR="006B18FB">
        <w:rPr>
          <w:sz w:val="22"/>
          <w:szCs w:val="22"/>
        </w:rPr>
        <w:t xml:space="preserve"> </w:t>
      </w:r>
      <w:r w:rsidR="00A55B3B" w:rsidRPr="00662392">
        <w:rPr>
          <w:sz w:val="22"/>
          <w:szCs w:val="22"/>
        </w:rPr>
        <w:t>the test or experiment.</w:t>
      </w:r>
    </w:p>
    <w:p w14:paraId="6E0D9264" w14:textId="77777777" w:rsidR="00CB22C8" w:rsidRPr="00662392" w:rsidRDefault="00CB22C8" w:rsidP="00194415">
      <w:pPr>
        <w:rPr>
          <w:sz w:val="22"/>
          <w:szCs w:val="22"/>
        </w:rPr>
      </w:pPr>
    </w:p>
    <w:p w14:paraId="691EE252" w14:textId="4FDB5E3A" w:rsidR="00E3592E" w:rsidRPr="00662392" w:rsidRDefault="0085486A" w:rsidP="00194415">
      <w:pPr>
        <w:rPr>
          <w:sz w:val="22"/>
          <w:szCs w:val="22"/>
        </w:rPr>
      </w:pPr>
      <w:r w:rsidRPr="00662392" w:rsidDel="000703F8">
        <w:rPr>
          <w:sz w:val="22"/>
          <w:szCs w:val="22"/>
        </w:rPr>
        <w:t>0</w:t>
      </w:r>
      <w:r w:rsidR="00B93541" w:rsidRPr="00662392">
        <w:rPr>
          <w:sz w:val="22"/>
          <w:szCs w:val="22"/>
        </w:rPr>
        <w:t>4</w:t>
      </w:r>
      <w:r w:rsidR="00D07321" w:rsidRPr="00662392" w:rsidDel="000703F8">
        <w:rPr>
          <w:sz w:val="22"/>
          <w:szCs w:val="22"/>
        </w:rPr>
        <w:t>.</w:t>
      </w:r>
      <w:r w:rsidR="000F2944" w:rsidRPr="00662392">
        <w:rPr>
          <w:sz w:val="22"/>
          <w:szCs w:val="22"/>
        </w:rPr>
        <w:t>1</w:t>
      </w:r>
      <w:r w:rsidR="00161D92" w:rsidRPr="00662392">
        <w:rPr>
          <w:sz w:val="22"/>
          <w:szCs w:val="22"/>
        </w:rPr>
        <w:t>0</w:t>
      </w:r>
      <w:r w:rsidR="00D07321" w:rsidRPr="00662392" w:rsidDel="000703F8">
        <w:rPr>
          <w:sz w:val="22"/>
          <w:szCs w:val="22"/>
        </w:rPr>
        <w:tab/>
      </w:r>
      <w:r w:rsidR="00E3592E" w:rsidRPr="00662392">
        <w:rPr>
          <w:sz w:val="22"/>
          <w:szCs w:val="22"/>
          <w:u w:val="single"/>
        </w:rPr>
        <w:t xml:space="preserve">Tests or experiments not described in the </w:t>
      </w:r>
      <w:r w:rsidR="00B57A1A" w:rsidRPr="00662392">
        <w:rPr>
          <w:sz w:val="22"/>
          <w:szCs w:val="22"/>
          <w:u w:val="single"/>
        </w:rPr>
        <w:t>UFSAR</w:t>
      </w:r>
      <w:r w:rsidR="00E3592E" w:rsidRPr="00662392">
        <w:rPr>
          <w:sz w:val="22"/>
          <w:szCs w:val="22"/>
        </w:rPr>
        <w:t xml:space="preserve">:  Any activity where any </w:t>
      </w:r>
      <w:r w:rsidR="00117A33" w:rsidRPr="00662392">
        <w:rPr>
          <w:sz w:val="22"/>
          <w:szCs w:val="22"/>
        </w:rPr>
        <w:t>SSC</w:t>
      </w:r>
      <w:r w:rsidR="00E3592E" w:rsidRPr="00662392">
        <w:rPr>
          <w:sz w:val="22"/>
          <w:szCs w:val="22"/>
        </w:rPr>
        <w:t xml:space="preserve"> is utilized or controlled in a manner which is either (1) </w:t>
      </w:r>
      <w:r w:rsidR="00C437CB" w:rsidRPr="00662392">
        <w:rPr>
          <w:sz w:val="22"/>
          <w:szCs w:val="22"/>
        </w:rPr>
        <w:t>o</w:t>
      </w:r>
      <w:r w:rsidR="00E3592E" w:rsidRPr="00662392">
        <w:rPr>
          <w:sz w:val="22"/>
          <w:szCs w:val="22"/>
        </w:rPr>
        <w:t>utside the reference bounds of the design bases as described in the</w:t>
      </w:r>
      <w:r w:rsidR="00117A33" w:rsidRPr="00662392">
        <w:rPr>
          <w:sz w:val="22"/>
          <w:szCs w:val="22"/>
        </w:rPr>
        <w:t xml:space="preserve"> UFSAR</w:t>
      </w:r>
      <w:r w:rsidR="00656B3E" w:rsidRPr="00662392">
        <w:rPr>
          <w:sz w:val="22"/>
          <w:szCs w:val="22"/>
        </w:rPr>
        <w:t>,</w:t>
      </w:r>
      <w:r w:rsidR="00E3592E" w:rsidRPr="00662392">
        <w:rPr>
          <w:sz w:val="22"/>
          <w:szCs w:val="22"/>
        </w:rPr>
        <w:t xml:space="preserve"> or (2) </w:t>
      </w:r>
      <w:r w:rsidR="00656B3E" w:rsidRPr="00662392">
        <w:rPr>
          <w:sz w:val="22"/>
          <w:szCs w:val="22"/>
        </w:rPr>
        <w:t>i</w:t>
      </w:r>
      <w:r w:rsidR="00E3592E" w:rsidRPr="00662392">
        <w:rPr>
          <w:sz w:val="22"/>
          <w:szCs w:val="22"/>
        </w:rPr>
        <w:t xml:space="preserve">nconsistent with the analyses or descriptions in the </w:t>
      </w:r>
      <w:r w:rsidR="00117A33" w:rsidRPr="00662392">
        <w:rPr>
          <w:sz w:val="22"/>
          <w:szCs w:val="22"/>
        </w:rPr>
        <w:t>UFSAR</w:t>
      </w:r>
      <w:r w:rsidR="00E3592E" w:rsidRPr="00662392">
        <w:rPr>
          <w:sz w:val="22"/>
          <w:szCs w:val="22"/>
        </w:rPr>
        <w:t>.</w:t>
      </w:r>
    </w:p>
    <w:p w14:paraId="60DD60C5" w14:textId="77777777" w:rsidR="00E3592E" w:rsidRPr="00662392" w:rsidRDefault="00E3592E" w:rsidP="00194415">
      <w:pPr>
        <w:rPr>
          <w:sz w:val="22"/>
          <w:szCs w:val="22"/>
        </w:rPr>
      </w:pPr>
      <w:r w:rsidRPr="00662392">
        <w:rPr>
          <w:sz w:val="22"/>
          <w:szCs w:val="22"/>
        </w:rPr>
        <w:t> </w:t>
      </w:r>
    </w:p>
    <w:p w14:paraId="27D65583" w14:textId="1710E5A3" w:rsidR="00E3592E" w:rsidRPr="00662392" w:rsidRDefault="003329BA" w:rsidP="00194415">
      <w:pPr>
        <w:rPr>
          <w:sz w:val="22"/>
          <w:szCs w:val="22"/>
        </w:rPr>
      </w:pPr>
      <w:r w:rsidRPr="00662392">
        <w:rPr>
          <w:sz w:val="22"/>
          <w:szCs w:val="22"/>
        </w:rPr>
        <w:t xml:space="preserve">As stated in the </w:t>
      </w:r>
      <w:r w:rsidR="00F129AF" w:rsidRPr="00662392">
        <w:rPr>
          <w:sz w:val="22"/>
          <w:szCs w:val="22"/>
        </w:rPr>
        <w:t xml:space="preserve">1999 </w:t>
      </w:r>
      <w:r w:rsidRPr="00662392">
        <w:rPr>
          <w:sz w:val="22"/>
          <w:szCs w:val="22"/>
        </w:rPr>
        <w:t>SOCs, t</w:t>
      </w:r>
      <w:r w:rsidR="00E3592E" w:rsidRPr="00662392">
        <w:rPr>
          <w:sz w:val="22"/>
          <w:szCs w:val="22"/>
        </w:rPr>
        <w:t xml:space="preserve">he intent of the requirement </w:t>
      </w:r>
      <w:r w:rsidR="002934F3" w:rsidRPr="00662392">
        <w:rPr>
          <w:sz w:val="22"/>
          <w:szCs w:val="22"/>
        </w:rPr>
        <w:t xml:space="preserve">(i.e., 10 CFR 50.59) </w:t>
      </w:r>
      <w:r w:rsidR="00E3592E" w:rsidRPr="00662392">
        <w:rPr>
          <w:sz w:val="22"/>
          <w:szCs w:val="22"/>
        </w:rPr>
        <w:t>is that tests that put the facility</w:t>
      </w:r>
      <w:r w:rsidRPr="00662392">
        <w:rPr>
          <w:sz w:val="22"/>
          <w:szCs w:val="22"/>
        </w:rPr>
        <w:t>/ISFSI/or cask design</w:t>
      </w:r>
      <w:r w:rsidR="00E3592E" w:rsidRPr="00662392">
        <w:rPr>
          <w:sz w:val="22"/>
          <w:szCs w:val="22"/>
        </w:rPr>
        <w:t xml:space="preserve"> in a situation that has not previously been evaluated or that could affect the capability of SSC to perform their intended functions should be evaluated before they are conducted.</w:t>
      </w:r>
    </w:p>
    <w:p w14:paraId="18EE500F" w14:textId="09820421" w:rsidR="00894291" w:rsidRPr="00662392" w:rsidRDefault="00894291" w:rsidP="00194415">
      <w:pPr>
        <w:rPr>
          <w:sz w:val="22"/>
          <w:szCs w:val="22"/>
        </w:rPr>
      </w:pPr>
    </w:p>
    <w:p w14:paraId="5BE524B4" w14:textId="4931805F" w:rsidR="00894291" w:rsidRPr="00662392" w:rsidRDefault="00894291" w:rsidP="00194415">
      <w:pPr>
        <w:rPr>
          <w:sz w:val="22"/>
          <w:szCs w:val="22"/>
        </w:rPr>
      </w:pPr>
      <w:r w:rsidRPr="00662392">
        <w:rPr>
          <w:sz w:val="22"/>
          <w:szCs w:val="22"/>
        </w:rPr>
        <w:t>04.1</w:t>
      </w:r>
      <w:r w:rsidR="00161D92" w:rsidRPr="00662392">
        <w:rPr>
          <w:sz w:val="22"/>
          <w:szCs w:val="22"/>
        </w:rPr>
        <w:t>1</w:t>
      </w:r>
      <w:r w:rsidRPr="00662392">
        <w:rPr>
          <w:sz w:val="22"/>
          <w:szCs w:val="22"/>
        </w:rPr>
        <w:t xml:space="preserve"> </w:t>
      </w:r>
      <w:r w:rsidR="00156750" w:rsidRPr="00662392">
        <w:rPr>
          <w:sz w:val="22"/>
          <w:szCs w:val="22"/>
        </w:rPr>
        <w:tab/>
      </w:r>
      <w:r w:rsidR="00156750" w:rsidRPr="00662392">
        <w:rPr>
          <w:sz w:val="22"/>
          <w:szCs w:val="22"/>
          <w:u w:val="single"/>
        </w:rPr>
        <w:t>Design bas</w:t>
      </w:r>
      <w:r w:rsidR="00A878F1" w:rsidRPr="00662392">
        <w:rPr>
          <w:sz w:val="22"/>
          <w:szCs w:val="22"/>
          <w:u w:val="single"/>
        </w:rPr>
        <w:t>i</w:t>
      </w:r>
      <w:r w:rsidR="00156750" w:rsidRPr="00662392">
        <w:rPr>
          <w:sz w:val="22"/>
          <w:szCs w:val="22"/>
          <w:u w:val="single"/>
        </w:rPr>
        <w:t>s event</w:t>
      </w:r>
      <w:r w:rsidR="00992D94" w:rsidRPr="00662392">
        <w:rPr>
          <w:sz w:val="22"/>
          <w:szCs w:val="22"/>
          <w:u w:val="single"/>
        </w:rPr>
        <w:t>s</w:t>
      </w:r>
      <w:r w:rsidR="00156750" w:rsidRPr="00662392">
        <w:rPr>
          <w:sz w:val="22"/>
          <w:szCs w:val="22"/>
        </w:rPr>
        <w:t xml:space="preserve">:  </w:t>
      </w:r>
      <w:r w:rsidR="00B17A51" w:rsidRPr="00662392">
        <w:rPr>
          <w:sz w:val="22"/>
          <w:szCs w:val="22"/>
        </w:rPr>
        <w:t>C</w:t>
      </w:r>
      <w:r w:rsidR="0023579F" w:rsidRPr="00662392">
        <w:rPr>
          <w:sz w:val="22"/>
          <w:szCs w:val="22"/>
        </w:rPr>
        <w:t xml:space="preserve">onditions of normal operation, </w:t>
      </w:r>
      <w:r w:rsidR="008710B7" w:rsidRPr="00662392">
        <w:rPr>
          <w:sz w:val="22"/>
          <w:szCs w:val="22"/>
        </w:rPr>
        <w:t xml:space="preserve">including </w:t>
      </w:r>
      <w:r w:rsidR="0023579F" w:rsidRPr="00662392">
        <w:rPr>
          <w:sz w:val="22"/>
          <w:szCs w:val="22"/>
        </w:rPr>
        <w:t>anticipated operational occurrences</w:t>
      </w:r>
      <w:r w:rsidR="00C539F6" w:rsidRPr="00662392">
        <w:rPr>
          <w:sz w:val="22"/>
          <w:szCs w:val="22"/>
        </w:rPr>
        <w:t>,</w:t>
      </w:r>
      <w:r w:rsidR="0023579F" w:rsidRPr="00662392">
        <w:rPr>
          <w:sz w:val="22"/>
          <w:szCs w:val="22"/>
        </w:rPr>
        <w:t xml:space="preserve"> design basis accidents</w:t>
      </w:r>
      <w:r w:rsidR="00D67E45" w:rsidRPr="00662392">
        <w:rPr>
          <w:sz w:val="22"/>
          <w:szCs w:val="22"/>
        </w:rPr>
        <w:t xml:space="preserve"> (DBAs)</w:t>
      </w:r>
      <w:r w:rsidR="0023579F" w:rsidRPr="00662392">
        <w:rPr>
          <w:sz w:val="22"/>
          <w:szCs w:val="22"/>
        </w:rPr>
        <w:t>, external events</w:t>
      </w:r>
      <w:r w:rsidR="00C539F6" w:rsidRPr="00662392">
        <w:rPr>
          <w:sz w:val="22"/>
          <w:szCs w:val="22"/>
        </w:rPr>
        <w:t>,</w:t>
      </w:r>
      <w:r w:rsidR="0023579F" w:rsidRPr="00662392">
        <w:rPr>
          <w:sz w:val="22"/>
          <w:szCs w:val="22"/>
        </w:rPr>
        <w:t xml:space="preserve"> and natural phenomena for which the plant</w:t>
      </w:r>
      <w:r w:rsidR="008C2CE8" w:rsidRPr="00662392">
        <w:rPr>
          <w:sz w:val="22"/>
          <w:szCs w:val="22"/>
        </w:rPr>
        <w:t>/I</w:t>
      </w:r>
      <w:r w:rsidR="008B384C" w:rsidRPr="00662392">
        <w:rPr>
          <w:sz w:val="22"/>
          <w:szCs w:val="22"/>
        </w:rPr>
        <w:t>SFSI</w:t>
      </w:r>
      <w:r w:rsidR="0023579F" w:rsidRPr="00662392">
        <w:rPr>
          <w:sz w:val="22"/>
          <w:szCs w:val="22"/>
        </w:rPr>
        <w:t xml:space="preserve"> has been designed to ensure the integrity of the pressure boundary, the capability to shutdown safely, and the capability to prevent or mitigate the consequences of accidents</w:t>
      </w:r>
      <w:r w:rsidR="00DC7CFF" w:rsidRPr="00662392">
        <w:rPr>
          <w:sz w:val="22"/>
          <w:szCs w:val="22"/>
        </w:rPr>
        <w:t xml:space="preserve"> that could result in potential offsite exposures</w:t>
      </w:r>
      <w:r w:rsidR="0023579F" w:rsidRPr="00662392">
        <w:rPr>
          <w:sz w:val="22"/>
          <w:szCs w:val="22"/>
        </w:rPr>
        <w:t>.</w:t>
      </w:r>
    </w:p>
    <w:p w14:paraId="714C8357" w14:textId="1F579C64" w:rsidR="00A55B3B" w:rsidRPr="00662392" w:rsidRDefault="00A55B3B" w:rsidP="00194415">
      <w:pPr>
        <w:rPr>
          <w:sz w:val="22"/>
          <w:szCs w:val="22"/>
        </w:rPr>
      </w:pPr>
    </w:p>
    <w:p w14:paraId="74F28C7C" w14:textId="1DD55705" w:rsidR="00D07321" w:rsidRPr="00662392" w:rsidRDefault="0085486A" w:rsidP="00194415">
      <w:pPr>
        <w:rPr>
          <w:sz w:val="22"/>
          <w:szCs w:val="22"/>
        </w:rPr>
      </w:pPr>
      <w:r w:rsidRPr="00662392">
        <w:rPr>
          <w:sz w:val="22"/>
          <w:szCs w:val="22"/>
        </w:rPr>
        <w:t>0</w:t>
      </w:r>
      <w:r w:rsidR="00B93541" w:rsidRPr="00662392">
        <w:rPr>
          <w:sz w:val="22"/>
          <w:szCs w:val="22"/>
        </w:rPr>
        <w:t>4</w:t>
      </w:r>
      <w:r w:rsidR="00D07321" w:rsidRPr="00662392">
        <w:rPr>
          <w:sz w:val="22"/>
          <w:szCs w:val="22"/>
        </w:rPr>
        <w:t>.</w:t>
      </w:r>
      <w:r w:rsidR="000F2944" w:rsidRPr="00662392">
        <w:rPr>
          <w:sz w:val="22"/>
          <w:szCs w:val="22"/>
        </w:rPr>
        <w:t>1</w:t>
      </w:r>
      <w:r w:rsidR="005A16A8" w:rsidRPr="00662392">
        <w:rPr>
          <w:sz w:val="22"/>
          <w:szCs w:val="22"/>
        </w:rPr>
        <w:t>2</w:t>
      </w:r>
      <w:r w:rsidR="00B25707" w:rsidRPr="00662392">
        <w:rPr>
          <w:sz w:val="22"/>
          <w:szCs w:val="22"/>
        </w:rPr>
        <w:tab/>
      </w:r>
      <w:r w:rsidR="003E2502" w:rsidRPr="00662392">
        <w:rPr>
          <w:sz w:val="22"/>
          <w:szCs w:val="22"/>
          <w:u w:val="single"/>
        </w:rPr>
        <w:t xml:space="preserve">Accident previously evaluated in the </w:t>
      </w:r>
      <w:r w:rsidR="00010477" w:rsidRPr="00662392">
        <w:rPr>
          <w:sz w:val="22"/>
          <w:szCs w:val="22"/>
          <w:u w:val="single"/>
        </w:rPr>
        <w:t>UFSAR</w:t>
      </w:r>
      <w:r w:rsidR="003E2502" w:rsidRPr="00662392">
        <w:rPr>
          <w:sz w:val="22"/>
          <w:szCs w:val="22"/>
        </w:rPr>
        <w:t xml:space="preserve">:  A </w:t>
      </w:r>
      <w:r w:rsidR="00BC6B2C" w:rsidRPr="00662392">
        <w:rPr>
          <w:sz w:val="22"/>
          <w:szCs w:val="22"/>
        </w:rPr>
        <w:t xml:space="preserve">DBA </w:t>
      </w:r>
      <w:r w:rsidR="003E2502" w:rsidRPr="00662392">
        <w:rPr>
          <w:sz w:val="22"/>
          <w:szCs w:val="22"/>
        </w:rPr>
        <w:t>or event described in the UFSAR including accidents</w:t>
      </w:r>
      <w:r w:rsidR="004E49EE" w:rsidRPr="00662392">
        <w:rPr>
          <w:sz w:val="22"/>
          <w:szCs w:val="22"/>
        </w:rPr>
        <w:t xml:space="preserve">, </w:t>
      </w:r>
      <w:r w:rsidR="003E2502" w:rsidRPr="00662392">
        <w:rPr>
          <w:sz w:val="22"/>
          <w:szCs w:val="22"/>
        </w:rPr>
        <w:t>transients and events the facility is required to withstand such as</w:t>
      </w:r>
      <w:r w:rsidR="00566A6F" w:rsidRPr="00662392">
        <w:rPr>
          <w:sz w:val="22"/>
          <w:szCs w:val="22"/>
        </w:rPr>
        <w:t xml:space="preserve"> but not limited to</w:t>
      </w:r>
      <w:r w:rsidR="00BD2C9F" w:rsidRPr="00662392">
        <w:rPr>
          <w:sz w:val="22"/>
          <w:szCs w:val="22"/>
        </w:rPr>
        <w:t xml:space="preserve"> </w:t>
      </w:r>
      <w:r w:rsidR="003E2502" w:rsidRPr="00662392">
        <w:rPr>
          <w:sz w:val="22"/>
          <w:szCs w:val="22"/>
        </w:rPr>
        <w:t>floods, fires, earthquakes, other external hazards</w:t>
      </w:r>
      <w:r w:rsidR="00566A6F" w:rsidRPr="00662392">
        <w:rPr>
          <w:sz w:val="22"/>
          <w:szCs w:val="22"/>
        </w:rPr>
        <w:t>; reactor lic</w:t>
      </w:r>
      <w:r w:rsidR="00117A46" w:rsidRPr="00662392">
        <w:rPr>
          <w:sz w:val="22"/>
          <w:szCs w:val="22"/>
        </w:rPr>
        <w:t xml:space="preserve">ensee’s also include but are not limited to </w:t>
      </w:r>
      <w:r w:rsidR="003E2502" w:rsidRPr="00662392">
        <w:rPr>
          <w:sz w:val="22"/>
          <w:szCs w:val="22"/>
        </w:rPr>
        <w:t>anticipated transients without scram</w:t>
      </w:r>
      <w:r w:rsidR="00BD2C9F" w:rsidRPr="00662392">
        <w:rPr>
          <w:sz w:val="22"/>
          <w:szCs w:val="22"/>
        </w:rPr>
        <w:t>, pressurized thermal shock events</w:t>
      </w:r>
      <w:r w:rsidR="00BB5C97" w:rsidRPr="00662392">
        <w:rPr>
          <w:sz w:val="22"/>
          <w:szCs w:val="22"/>
        </w:rPr>
        <w:t>,</w:t>
      </w:r>
      <w:r w:rsidR="003E2502" w:rsidRPr="00662392">
        <w:rPr>
          <w:sz w:val="22"/>
          <w:szCs w:val="22"/>
        </w:rPr>
        <w:t xml:space="preserve"> and station blackout.</w:t>
      </w:r>
    </w:p>
    <w:p w14:paraId="48A481C7" w14:textId="6A1393D8" w:rsidR="00154964" w:rsidRPr="00662392" w:rsidRDefault="00154964" w:rsidP="00194415">
      <w:pPr>
        <w:rPr>
          <w:sz w:val="22"/>
          <w:szCs w:val="22"/>
        </w:rPr>
      </w:pPr>
    </w:p>
    <w:p w14:paraId="022CDE7F" w14:textId="02930B10" w:rsidR="006978FF" w:rsidRPr="00662392" w:rsidRDefault="0085486A" w:rsidP="00194415">
      <w:pPr>
        <w:rPr>
          <w:sz w:val="22"/>
          <w:szCs w:val="22"/>
        </w:rPr>
      </w:pPr>
      <w:r w:rsidRPr="00662392">
        <w:rPr>
          <w:sz w:val="22"/>
          <w:szCs w:val="22"/>
        </w:rPr>
        <w:t>0</w:t>
      </w:r>
      <w:r w:rsidR="00D1464F" w:rsidRPr="00662392">
        <w:rPr>
          <w:sz w:val="22"/>
          <w:szCs w:val="22"/>
        </w:rPr>
        <w:t>4</w:t>
      </w:r>
      <w:r w:rsidR="00D07321" w:rsidRPr="00662392">
        <w:rPr>
          <w:sz w:val="22"/>
          <w:szCs w:val="22"/>
        </w:rPr>
        <w:t>.</w:t>
      </w:r>
      <w:r w:rsidR="00C32AD9" w:rsidRPr="00662392">
        <w:rPr>
          <w:sz w:val="22"/>
          <w:szCs w:val="22"/>
        </w:rPr>
        <w:t>1</w:t>
      </w:r>
      <w:r w:rsidR="00232BAD" w:rsidRPr="00662392">
        <w:rPr>
          <w:sz w:val="22"/>
          <w:szCs w:val="22"/>
        </w:rPr>
        <w:t>3</w:t>
      </w:r>
      <w:r w:rsidR="00D07321" w:rsidRPr="00662392">
        <w:rPr>
          <w:sz w:val="22"/>
          <w:szCs w:val="22"/>
        </w:rPr>
        <w:tab/>
      </w:r>
      <w:r w:rsidR="006978FF" w:rsidRPr="00662392">
        <w:rPr>
          <w:sz w:val="22"/>
          <w:szCs w:val="22"/>
          <w:u w:val="single"/>
        </w:rPr>
        <w:t>Design Function</w:t>
      </w:r>
      <w:r w:rsidR="006978FF" w:rsidRPr="00662392">
        <w:rPr>
          <w:sz w:val="22"/>
          <w:szCs w:val="22"/>
        </w:rPr>
        <w:t xml:space="preserve">:  </w:t>
      </w:r>
      <w:r w:rsidR="00117A33" w:rsidRPr="00662392">
        <w:rPr>
          <w:sz w:val="22"/>
          <w:szCs w:val="22"/>
        </w:rPr>
        <w:t>U</w:t>
      </w:r>
      <w:r w:rsidR="006978FF" w:rsidRPr="00662392">
        <w:rPr>
          <w:sz w:val="22"/>
          <w:szCs w:val="22"/>
        </w:rPr>
        <w:t xml:space="preserve">FSAR-described design bases functions and other SSC functions described in the </w:t>
      </w:r>
      <w:r w:rsidR="00117A33" w:rsidRPr="00662392">
        <w:rPr>
          <w:sz w:val="22"/>
          <w:szCs w:val="22"/>
        </w:rPr>
        <w:t>U</w:t>
      </w:r>
      <w:r w:rsidR="006978FF" w:rsidRPr="00662392">
        <w:rPr>
          <w:sz w:val="22"/>
          <w:szCs w:val="22"/>
        </w:rPr>
        <w:t>FSAR that support or impact design bases functions.  Implicitly included within the meaning of design function are the conditions under which intended functions are required to be performed, such as equipment response times, process conditions, equipment qualification and single failure.</w:t>
      </w:r>
    </w:p>
    <w:p w14:paraId="678F343D" w14:textId="77777777" w:rsidR="002376A9" w:rsidRPr="00662392" w:rsidRDefault="002376A9" w:rsidP="00194415">
      <w:pPr>
        <w:rPr>
          <w:sz w:val="22"/>
          <w:szCs w:val="22"/>
        </w:rPr>
      </w:pPr>
    </w:p>
    <w:p w14:paraId="73E742D5" w14:textId="5ADB38D9" w:rsidR="008E4721" w:rsidRPr="00662392" w:rsidRDefault="0085486A" w:rsidP="00194415">
      <w:pPr>
        <w:rPr>
          <w:sz w:val="22"/>
          <w:szCs w:val="22"/>
        </w:rPr>
      </w:pPr>
      <w:r w:rsidRPr="00662392">
        <w:rPr>
          <w:sz w:val="22"/>
          <w:szCs w:val="22"/>
        </w:rPr>
        <w:t>0</w:t>
      </w:r>
      <w:r w:rsidR="00D1464F" w:rsidRPr="00662392">
        <w:rPr>
          <w:sz w:val="22"/>
          <w:szCs w:val="22"/>
        </w:rPr>
        <w:t>4</w:t>
      </w:r>
      <w:r w:rsidR="00D07321" w:rsidRPr="00662392">
        <w:rPr>
          <w:sz w:val="22"/>
          <w:szCs w:val="22"/>
        </w:rPr>
        <w:t>.1</w:t>
      </w:r>
      <w:r w:rsidR="00232BAD" w:rsidRPr="00662392">
        <w:rPr>
          <w:sz w:val="22"/>
          <w:szCs w:val="22"/>
        </w:rPr>
        <w:t>4</w:t>
      </w:r>
      <w:r w:rsidR="00D07321" w:rsidRPr="00662392">
        <w:rPr>
          <w:sz w:val="22"/>
          <w:szCs w:val="22"/>
        </w:rPr>
        <w:tab/>
      </w:r>
      <w:r w:rsidR="0053386A" w:rsidRPr="00662392">
        <w:rPr>
          <w:sz w:val="22"/>
          <w:szCs w:val="22"/>
          <w:u w:val="single"/>
        </w:rPr>
        <w:t>Design bases functions</w:t>
      </w:r>
      <w:r w:rsidR="0053386A" w:rsidRPr="00662392">
        <w:rPr>
          <w:sz w:val="22"/>
          <w:szCs w:val="22"/>
        </w:rPr>
        <w:t>:  Functions performed by SSCs that are (1) required by, or otherwise necessary to comply with, regulations, license conditions, orders or technical specifications</w:t>
      </w:r>
      <w:r w:rsidR="00F431E4" w:rsidRPr="00662392">
        <w:rPr>
          <w:sz w:val="22"/>
          <w:szCs w:val="22"/>
        </w:rPr>
        <w:t xml:space="preserve"> (TS)</w:t>
      </w:r>
      <w:r w:rsidR="0053386A" w:rsidRPr="00662392">
        <w:rPr>
          <w:sz w:val="22"/>
          <w:szCs w:val="22"/>
        </w:rPr>
        <w:t>, or (2) credited in licensee safety analyses to meet NRC requirements.</w:t>
      </w:r>
    </w:p>
    <w:p w14:paraId="75FA84B6" w14:textId="26C243FD" w:rsidR="006978FF" w:rsidRPr="00662392" w:rsidRDefault="006978FF" w:rsidP="00194415">
      <w:pPr>
        <w:rPr>
          <w:sz w:val="22"/>
          <w:szCs w:val="22"/>
        </w:rPr>
      </w:pPr>
    </w:p>
    <w:p w14:paraId="790CEC08" w14:textId="77777777" w:rsidR="000E0ACD" w:rsidRDefault="006978FF" w:rsidP="00194415">
      <w:pPr>
        <w:rPr>
          <w:sz w:val="22"/>
          <w:szCs w:val="22"/>
        </w:rPr>
        <w:sectPr w:rsidR="000E0ACD" w:rsidSect="00012998">
          <w:footerReference w:type="default" r:id="rId22"/>
          <w:pgSz w:w="12240" w:h="15840" w:code="1"/>
          <w:pgMar w:top="1440" w:right="1440" w:bottom="1440" w:left="1440" w:header="720" w:footer="720" w:gutter="0"/>
          <w:cols w:space="720"/>
          <w:noEndnote/>
          <w:docGrid w:linePitch="326"/>
        </w:sectPr>
      </w:pPr>
      <w:r w:rsidRPr="00662392">
        <w:rPr>
          <w:sz w:val="22"/>
          <w:szCs w:val="22"/>
        </w:rPr>
        <w:t>04.1</w:t>
      </w:r>
      <w:r w:rsidR="00666B96" w:rsidRPr="00662392">
        <w:rPr>
          <w:sz w:val="22"/>
          <w:szCs w:val="22"/>
        </w:rPr>
        <w:t>5</w:t>
      </w:r>
      <w:r w:rsidRPr="00662392">
        <w:rPr>
          <w:sz w:val="22"/>
          <w:szCs w:val="22"/>
        </w:rPr>
        <w:tab/>
      </w:r>
      <w:r w:rsidR="00F64BED" w:rsidRPr="00662392">
        <w:rPr>
          <w:sz w:val="22"/>
          <w:szCs w:val="22"/>
          <w:u w:val="single"/>
        </w:rPr>
        <w:t>Design Bases</w:t>
      </w:r>
      <w:r w:rsidR="00F64BED" w:rsidRPr="00662392">
        <w:rPr>
          <w:sz w:val="22"/>
          <w:szCs w:val="22"/>
        </w:rPr>
        <w:t>:  Per 10 CFR 50.2</w:t>
      </w:r>
      <w:r w:rsidR="00781930" w:rsidRPr="00662392">
        <w:rPr>
          <w:sz w:val="22"/>
          <w:szCs w:val="22"/>
        </w:rPr>
        <w:t>,</w:t>
      </w:r>
      <w:r w:rsidR="009F3509" w:rsidRPr="00662392">
        <w:rPr>
          <w:sz w:val="22"/>
          <w:szCs w:val="22"/>
        </w:rPr>
        <w:t xml:space="preserve"> </w:t>
      </w:r>
      <w:r w:rsidR="00781930" w:rsidRPr="00662392">
        <w:rPr>
          <w:sz w:val="22"/>
          <w:szCs w:val="22"/>
        </w:rPr>
        <w:t xml:space="preserve">“Definitions,” </w:t>
      </w:r>
      <w:r w:rsidR="009F3509" w:rsidRPr="00662392">
        <w:rPr>
          <w:sz w:val="22"/>
          <w:szCs w:val="22"/>
        </w:rPr>
        <w:t>and 72.3</w:t>
      </w:r>
      <w:r w:rsidR="00F64BED" w:rsidRPr="00662392">
        <w:rPr>
          <w:sz w:val="22"/>
          <w:szCs w:val="22"/>
        </w:rPr>
        <w:t>, that information which identifies the specific functions to be performed by a</w:t>
      </w:r>
      <w:r w:rsidR="005D1D19" w:rsidRPr="00662392">
        <w:rPr>
          <w:sz w:val="22"/>
          <w:szCs w:val="22"/>
        </w:rPr>
        <w:t>n</w:t>
      </w:r>
      <w:r w:rsidR="00F64BED" w:rsidRPr="00662392">
        <w:rPr>
          <w:sz w:val="22"/>
          <w:szCs w:val="22"/>
        </w:rPr>
        <w:t xml:space="preserve"> </w:t>
      </w:r>
      <w:r w:rsidR="00117A33" w:rsidRPr="00662392">
        <w:rPr>
          <w:sz w:val="22"/>
          <w:szCs w:val="22"/>
        </w:rPr>
        <w:t>SSC</w:t>
      </w:r>
      <w:r w:rsidR="00F64BED" w:rsidRPr="00662392">
        <w:rPr>
          <w:sz w:val="22"/>
          <w:szCs w:val="22"/>
        </w:rPr>
        <w:t xml:space="preserve"> of a facility</w:t>
      </w:r>
      <w:r w:rsidR="00DE491A" w:rsidRPr="00662392">
        <w:rPr>
          <w:sz w:val="22"/>
          <w:szCs w:val="22"/>
        </w:rPr>
        <w:t xml:space="preserve"> or </w:t>
      </w:r>
      <w:r w:rsidR="00DA5B0D" w:rsidRPr="00662392">
        <w:rPr>
          <w:sz w:val="22"/>
          <w:szCs w:val="22"/>
        </w:rPr>
        <w:t>storage cask</w:t>
      </w:r>
      <w:r w:rsidR="00F64BED" w:rsidRPr="00662392">
        <w:rPr>
          <w:sz w:val="22"/>
          <w:szCs w:val="22"/>
        </w:rPr>
        <w:t xml:space="preserve"> and the specific values or ranges of values chosen for controlling parameters as reference bounds for design.  These values may be (1) restraints derived from generally accepted "state-of-the-art" practices for achieving functional goals or (2) requirements derived from analysis (based on calculations and/or experiments) of the effects of a postulated accident for which a</w:t>
      </w:r>
      <w:r w:rsidR="005D1D19" w:rsidRPr="00662392">
        <w:rPr>
          <w:sz w:val="22"/>
          <w:szCs w:val="22"/>
        </w:rPr>
        <w:t>n</w:t>
      </w:r>
      <w:r w:rsidR="00F64BED" w:rsidRPr="00662392">
        <w:rPr>
          <w:sz w:val="22"/>
          <w:szCs w:val="22"/>
        </w:rPr>
        <w:t xml:space="preserve"> </w:t>
      </w:r>
      <w:r w:rsidR="00FB3912" w:rsidRPr="00662392">
        <w:rPr>
          <w:sz w:val="22"/>
          <w:szCs w:val="22"/>
        </w:rPr>
        <w:t>SSC</w:t>
      </w:r>
      <w:r w:rsidR="00F64BED" w:rsidRPr="00662392">
        <w:rPr>
          <w:sz w:val="22"/>
          <w:szCs w:val="22"/>
        </w:rPr>
        <w:t xml:space="preserve"> must meet its functional goals. </w:t>
      </w:r>
    </w:p>
    <w:p w14:paraId="6832C155" w14:textId="7E2FC7ED" w:rsidR="006978FF" w:rsidRPr="00662392" w:rsidRDefault="006978FF" w:rsidP="00194415">
      <w:pPr>
        <w:rPr>
          <w:sz w:val="22"/>
          <w:szCs w:val="22"/>
        </w:rPr>
      </w:pPr>
    </w:p>
    <w:p w14:paraId="0DA71F5B" w14:textId="1918ACC1" w:rsidR="001576F7" w:rsidRPr="00662392" w:rsidRDefault="006978FF" w:rsidP="00194415">
      <w:pPr>
        <w:keepLines/>
        <w:rPr>
          <w:sz w:val="22"/>
          <w:szCs w:val="22"/>
        </w:rPr>
      </w:pPr>
      <w:r w:rsidRPr="00662392">
        <w:rPr>
          <w:sz w:val="22"/>
          <w:szCs w:val="22"/>
        </w:rPr>
        <w:t>04.1</w:t>
      </w:r>
      <w:r w:rsidR="004170F3" w:rsidRPr="00662392">
        <w:rPr>
          <w:sz w:val="22"/>
          <w:szCs w:val="22"/>
        </w:rPr>
        <w:t>6</w:t>
      </w:r>
      <w:r w:rsidRPr="00662392">
        <w:rPr>
          <w:sz w:val="22"/>
          <w:szCs w:val="22"/>
        </w:rPr>
        <w:tab/>
      </w:r>
      <w:r w:rsidR="001576F7" w:rsidRPr="00662392">
        <w:rPr>
          <w:sz w:val="22"/>
          <w:szCs w:val="22"/>
          <w:u w:val="single"/>
        </w:rPr>
        <w:t>Malfunction of SSCs important to safety</w:t>
      </w:r>
      <w:r w:rsidR="001576F7" w:rsidRPr="00662392">
        <w:rPr>
          <w:sz w:val="22"/>
          <w:szCs w:val="22"/>
        </w:rPr>
        <w:t xml:space="preserve">:  </w:t>
      </w:r>
      <w:r w:rsidR="00E13A3F" w:rsidRPr="00662392">
        <w:rPr>
          <w:sz w:val="22"/>
          <w:szCs w:val="22"/>
        </w:rPr>
        <w:t xml:space="preserve">The failure of SSCs to perform their intended design functions described in the UFSAR.  For reactor licensees, </w:t>
      </w:r>
      <w:r w:rsidR="009939D5" w:rsidRPr="00662392">
        <w:rPr>
          <w:sz w:val="22"/>
          <w:szCs w:val="22"/>
        </w:rPr>
        <w:t xml:space="preserve">this means whether </w:t>
      </w:r>
      <w:r w:rsidR="003D405F" w:rsidRPr="00662392">
        <w:rPr>
          <w:sz w:val="22"/>
          <w:szCs w:val="22"/>
        </w:rPr>
        <w:t xml:space="preserve">or not the </w:t>
      </w:r>
      <w:r w:rsidR="00A2550C" w:rsidRPr="00662392">
        <w:rPr>
          <w:sz w:val="22"/>
          <w:szCs w:val="22"/>
        </w:rPr>
        <w:t xml:space="preserve">SSC is classified as </w:t>
      </w:r>
      <w:proofErr w:type="gramStart"/>
      <w:r w:rsidR="00E13A3F" w:rsidRPr="00662392">
        <w:rPr>
          <w:sz w:val="22"/>
          <w:szCs w:val="22"/>
        </w:rPr>
        <w:t>safety-related</w:t>
      </w:r>
      <w:proofErr w:type="gramEnd"/>
      <w:r w:rsidR="00E13A3F" w:rsidRPr="00662392">
        <w:rPr>
          <w:sz w:val="22"/>
          <w:szCs w:val="22"/>
        </w:rPr>
        <w:t>.</w:t>
      </w:r>
    </w:p>
    <w:p w14:paraId="01F24C65" w14:textId="55988C7F" w:rsidR="006978FF" w:rsidRPr="00662392" w:rsidRDefault="006978FF" w:rsidP="00194415">
      <w:pPr>
        <w:rPr>
          <w:sz w:val="22"/>
          <w:szCs w:val="22"/>
        </w:rPr>
      </w:pPr>
    </w:p>
    <w:p w14:paraId="07FE1EA2" w14:textId="7AF300F7" w:rsidR="00A61644" w:rsidRPr="00662392" w:rsidRDefault="001576F7" w:rsidP="00194415">
      <w:pPr>
        <w:rPr>
          <w:sz w:val="22"/>
          <w:szCs w:val="22"/>
          <w:u w:val="single"/>
        </w:rPr>
      </w:pPr>
      <w:r w:rsidRPr="00662392">
        <w:rPr>
          <w:sz w:val="22"/>
          <w:szCs w:val="22"/>
        </w:rPr>
        <w:t>04.1</w:t>
      </w:r>
      <w:r w:rsidR="0010789F" w:rsidRPr="00662392">
        <w:rPr>
          <w:sz w:val="22"/>
          <w:szCs w:val="22"/>
        </w:rPr>
        <w:t>7</w:t>
      </w:r>
      <w:r w:rsidRPr="00662392">
        <w:rPr>
          <w:sz w:val="22"/>
          <w:szCs w:val="22"/>
        </w:rPr>
        <w:tab/>
      </w:r>
      <w:r w:rsidR="00A61644" w:rsidRPr="00662392">
        <w:rPr>
          <w:sz w:val="22"/>
          <w:szCs w:val="22"/>
          <w:u w:val="single"/>
        </w:rPr>
        <w:t>Screening</w:t>
      </w:r>
      <w:r w:rsidR="00A61644" w:rsidRPr="00662392">
        <w:rPr>
          <w:sz w:val="22"/>
          <w:szCs w:val="22"/>
        </w:rPr>
        <w:t xml:space="preserve">:  </w:t>
      </w:r>
      <w:r w:rsidR="00DA6A56" w:rsidRPr="00662392">
        <w:rPr>
          <w:sz w:val="22"/>
          <w:szCs w:val="22"/>
        </w:rPr>
        <w:t>As discussed in NEI 96-07</w:t>
      </w:r>
      <w:r w:rsidR="00ED01BA" w:rsidRPr="00662392">
        <w:rPr>
          <w:sz w:val="22"/>
          <w:szCs w:val="22"/>
        </w:rPr>
        <w:t>, Revision 1,</w:t>
      </w:r>
      <w:r w:rsidR="00E20238" w:rsidRPr="00662392">
        <w:rPr>
          <w:sz w:val="22"/>
          <w:szCs w:val="22"/>
        </w:rPr>
        <w:t xml:space="preserve"> and NEI 12-04</w:t>
      </w:r>
      <w:r w:rsidR="00DA6A56" w:rsidRPr="00662392">
        <w:rPr>
          <w:sz w:val="22"/>
          <w:szCs w:val="22"/>
        </w:rPr>
        <w:t xml:space="preserve">, </w:t>
      </w:r>
      <w:r w:rsidR="00ED01BA" w:rsidRPr="00662392">
        <w:rPr>
          <w:sz w:val="22"/>
          <w:szCs w:val="22"/>
        </w:rPr>
        <w:t xml:space="preserve">Revision 2, </w:t>
      </w:r>
      <w:r w:rsidR="00DA6A56" w:rsidRPr="00662392">
        <w:rPr>
          <w:sz w:val="22"/>
          <w:szCs w:val="22"/>
        </w:rPr>
        <w:t xml:space="preserve">screening is a </w:t>
      </w:r>
      <w:r w:rsidR="009F3509" w:rsidRPr="00662392">
        <w:rPr>
          <w:sz w:val="22"/>
          <w:szCs w:val="22"/>
        </w:rPr>
        <w:t xml:space="preserve">licensee </w:t>
      </w:r>
      <w:r w:rsidR="00A61644" w:rsidRPr="00662392">
        <w:rPr>
          <w:sz w:val="22"/>
          <w:szCs w:val="22"/>
        </w:rPr>
        <w:t>process for determining whether a proposed activity requires a 10 CFR 50.59</w:t>
      </w:r>
      <w:r w:rsidR="00E20238" w:rsidRPr="00662392">
        <w:rPr>
          <w:sz w:val="22"/>
          <w:szCs w:val="22"/>
        </w:rPr>
        <w:t xml:space="preserve"> or 10 CFR 72.48 </w:t>
      </w:r>
      <w:r w:rsidR="00A61644" w:rsidRPr="00662392">
        <w:rPr>
          <w:sz w:val="22"/>
          <w:szCs w:val="22"/>
        </w:rPr>
        <w:t>evaluatio</w:t>
      </w:r>
      <w:r w:rsidR="009F3509" w:rsidRPr="00662392">
        <w:rPr>
          <w:sz w:val="22"/>
          <w:szCs w:val="22"/>
        </w:rPr>
        <w:t>n</w:t>
      </w:r>
      <w:r w:rsidR="00A61644" w:rsidRPr="00662392">
        <w:rPr>
          <w:sz w:val="22"/>
          <w:szCs w:val="22"/>
        </w:rPr>
        <w:t>.</w:t>
      </w:r>
    </w:p>
    <w:p w14:paraId="3AE9D0F8" w14:textId="77777777" w:rsidR="00A61644" w:rsidRPr="00662392" w:rsidRDefault="00A61644" w:rsidP="00194415">
      <w:pPr>
        <w:rPr>
          <w:sz w:val="22"/>
          <w:szCs w:val="22"/>
          <w:u w:val="single"/>
        </w:rPr>
      </w:pPr>
    </w:p>
    <w:p w14:paraId="370282B3" w14:textId="69C50592" w:rsidR="00A61644" w:rsidRPr="00662392" w:rsidRDefault="00A61644" w:rsidP="00194415">
      <w:pPr>
        <w:rPr>
          <w:sz w:val="22"/>
          <w:szCs w:val="22"/>
        </w:rPr>
      </w:pPr>
      <w:r w:rsidRPr="00662392">
        <w:rPr>
          <w:sz w:val="22"/>
          <w:szCs w:val="22"/>
        </w:rPr>
        <w:t xml:space="preserve">The definitions of "change," "facility as described in the </w:t>
      </w:r>
      <w:r w:rsidR="00FB3912" w:rsidRPr="00662392">
        <w:rPr>
          <w:sz w:val="22"/>
          <w:szCs w:val="22"/>
        </w:rPr>
        <w:t>U</w:t>
      </w:r>
      <w:r w:rsidRPr="00662392">
        <w:rPr>
          <w:sz w:val="22"/>
          <w:szCs w:val="22"/>
        </w:rPr>
        <w:t xml:space="preserve">FSAR (as updated)," "procedures as described in the FSAR (as updated)" and "test or experiment not described in the FSAR (as updated)" constitute criteria for the </w:t>
      </w:r>
      <w:r w:rsidR="00DA6A56" w:rsidRPr="00662392">
        <w:rPr>
          <w:sz w:val="22"/>
          <w:szCs w:val="22"/>
        </w:rPr>
        <w:t>licensee’s screening process</w:t>
      </w:r>
      <w:r w:rsidR="00F0113E" w:rsidRPr="00662392">
        <w:rPr>
          <w:sz w:val="22"/>
          <w:szCs w:val="22"/>
        </w:rPr>
        <w:t>, and is used</w:t>
      </w:r>
      <w:r w:rsidR="00DA6A56" w:rsidRPr="00662392">
        <w:rPr>
          <w:sz w:val="22"/>
          <w:szCs w:val="22"/>
        </w:rPr>
        <w:t xml:space="preserve"> to determine the need for a </w:t>
      </w:r>
      <w:r w:rsidRPr="00662392">
        <w:rPr>
          <w:sz w:val="22"/>
          <w:szCs w:val="22"/>
        </w:rPr>
        <w:t>10 CFR 50.59</w:t>
      </w:r>
      <w:r w:rsidR="00E20238" w:rsidRPr="00662392">
        <w:rPr>
          <w:sz w:val="22"/>
          <w:szCs w:val="22"/>
        </w:rPr>
        <w:t xml:space="preserve"> or 10 CFR 72.48</w:t>
      </w:r>
      <w:r w:rsidRPr="00662392">
        <w:rPr>
          <w:sz w:val="22"/>
          <w:szCs w:val="22"/>
        </w:rPr>
        <w:t xml:space="preserve"> </w:t>
      </w:r>
      <w:r w:rsidR="00DA6A56" w:rsidRPr="00662392">
        <w:rPr>
          <w:sz w:val="22"/>
          <w:szCs w:val="22"/>
        </w:rPr>
        <w:t>evaluation</w:t>
      </w:r>
      <w:r w:rsidRPr="00662392">
        <w:rPr>
          <w:sz w:val="22"/>
          <w:szCs w:val="22"/>
        </w:rPr>
        <w:t>.  Activities that do not meet these criteria are said to "screen out" from further review under 10 CFR 50.59</w:t>
      </w:r>
      <w:r w:rsidR="00E20238" w:rsidRPr="00662392">
        <w:rPr>
          <w:sz w:val="22"/>
          <w:szCs w:val="22"/>
        </w:rPr>
        <w:t xml:space="preserve"> or 10 CFR 72.48</w:t>
      </w:r>
      <w:r w:rsidRPr="00662392">
        <w:rPr>
          <w:sz w:val="22"/>
          <w:szCs w:val="22"/>
        </w:rPr>
        <w:t xml:space="preserve">, i.e., </w:t>
      </w:r>
      <w:r w:rsidR="00044804" w:rsidRPr="00662392">
        <w:rPr>
          <w:sz w:val="22"/>
          <w:szCs w:val="22"/>
        </w:rPr>
        <w:t xml:space="preserve">the activities </w:t>
      </w:r>
      <w:r w:rsidRPr="00662392">
        <w:rPr>
          <w:sz w:val="22"/>
          <w:szCs w:val="22"/>
        </w:rPr>
        <w:t>may be implemented without a 10 CFR 50.59</w:t>
      </w:r>
      <w:r w:rsidR="00E20238" w:rsidRPr="00662392">
        <w:rPr>
          <w:sz w:val="22"/>
          <w:szCs w:val="22"/>
        </w:rPr>
        <w:t xml:space="preserve"> or 10 CFR 72.48</w:t>
      </w:r>
      <w:r w:rsidRPr="00662392">
        <w:rPr>
          <w:sz w:val="22"/>
          <w:szCs w:val="22"/>
        </w:rPr>
        <w:t xml:space="preserve"> evaluation.</w:t>
      </w:r>
    </w:p>
    <w:p w14:paraId="317C7B1E" w14:textId="5D504D4A" w:rsidR="00CA7E6D" w:rsidRPr="00662392" w:rsidRDefault="00CA7E6D" w:rsidP="00194415">
      <w:pPr>
        <w:rPr>
          <w:sz w:val="22"/>
          <w:szCs w:val="22"/>
        </w:rPr>
      </w:pPr>
    </w:p>
    <w:p w14:paraId="6CB1F4BC" w14:textId="77777777" w:rsidR="00434004" w:rsidRPr="00662392" w:rsidRDefault="00434004" w:rsidP="00194415">
      <w:pPr>
        <w:rPr>
          <w:sz w:val="22"/>
          <w:szCs w:val="22"/>
        </w:rPr>
      </w:pPr>
    </w:p>
    <w:p w14:paraId="1F1F1CD4" w14:textId="7BE0FD90" w:rsidR="00EF7630" w:rsidRPr="00662392" w:rsidRDefault="00D908D4" w:rsidP="00194415">
      <w:pPr>
        <w:rPr>
          <w:sz w:val="22"/>
          <w:szCs w:val="22"/>
        </w:rPr>
      </w:pPr>
      <w:r w:rsidRPr="00662392">
        <w:rPr>
          <w:sz w:val="22"/>
          <w:szCs w:val="22"/>
        </w:rPr>
        <w:t>0335</w:t>
      </w:r>
      <w:r w:rsidR="0085486A" w:rsidRPr="00662392">
        <w:rPr>
          <w:sz w:val="22"/>
          <w:szCs w:val="22"/>
        </w:rPr>
        <w:t>-0</w:t>
      </w:r>
      <w:r w:rsidR="00EF7630" w:rsidRPr="00662392">
        <w:rPr>
          <w:sz w:val="22"/>
          <w:szCs w:val="22"/>
        </w:rPr>
        <w:t>5</w:t>
      </w:r>
      <w:r w:rsidR="00D07321" w:rsidRPr="00662392">
        <w:rPr>
          <w:sz w:val="22"/>
          <w:szCs w:val="22"/>
        </w:rPr>
        <w:tab/>
      </w:r>
      <w:r w:rsidR="00EF7630" w:rsidRPr="00662392">
        <w:rPr>
          <w:sz w:val="22"/>
          <w:szCs w:val="22"/>
        </w:rPr>
        <w:t>RESPONSIBILITIES AND AUTHORITIES</w:t>
      </w:r>
      <w:r w:rsidR="00BF79C4" w:rsidRPr="00662392">
        <w:rPr>
          <w:sz w:val="22"/>
          <w:szCs w:val="22"/>
        </w:rPr>
        <w:fldChar w:fldCharType="begin"/>
      </w:r>
      <w:r w:rsidR="00BF79C4" w:rsidRPr="00662392">
        <w:rPr>
          <w:sz w:val="22"/>
          <w:szCs w:val="22"/>
        </w:rPr>
        <w:instrText xml:space="preserve"> TC "</w:instrText>
      </w:r>
      <w:bookmarkStart w:id="10" w:name="_Toc62642890"/>
      <w:bookmarkStart w:id="11" w:name="_Toc63142072"/>
      <w:r w:rsidR="00BF79C4" w:rsidRPr="00662392">
        <w:rPr>
          <w:sz w:val="22"/>
          <w:szCs w:val="22"/>
        </w:rPr>
        <w:instrText>0335-05</w:instrText>
      </w:r>
      <w:r w:rsidR="00BF79C4" w:rsidRPr="00662392">
        <w:rPr>
          <w:sz w:val="22"/>
          <w:szCs w:val="22"/>
        </w:rPr>
        <w:tab/>
        <w:instrText>RESPONSIBILITIES AND AUTHORITIES</w:instrText>
      </w:r>
      <w:bookmarkEnd w:id="10"/>
      <w:bookmarkEnd w:id="11"/>
      <w:r w:rsidR="00BF79C4" w:rsidRPr="00662392">
        <w:rPr>
          <w:sz w:val="22"/>
          <w:szCs w:val="22"/>
        </w:rPr>
        <w:instrText xml:space="preserve">" \f C \l "1" </w:instrText>
      </w:r>
      <w:r w:rsidR="00BF79C4" w:rsidRPr="00662392">
        <w:rPr>
          <w:sz w:val="22"/>
          <w:szCs w:val="22"/>
        </w:rPr>
        <w:fldChar w:fldCharType="end"/>
      </w:r>
      <w:r w:rsidR="00995B31" w:rsidRPr="00662392">
        <w:rPr>
          <w:sz w:val="22"/>
          <w:szCs w:val="22"/>
        </w:rPr>
        <w:t xml:space="preserve"> </w:t>
      </w:r>
    </w:p>
    <w:p w14:paraId="07A1A8C4" w14:textId="77777777" w:rsidR="0079737A" w:rsidRPr="00662392" w:rsidRDefault="0079737A" w:rsidP="00194415">
      <w:pPr>
        <w:rPr>
          <w:sz w:val="22"/>
          <w:szCs w:val="22"/>
        </w:rPr>
      </w:pPr>
    </w:p>
    <w:p w14:paraId="1CB18777" w14:textId="19ECB27A" w:rsidR="00D95B1F" w:rsidRDefault="00D95B1F" w:rsidP="00194415">
      <w:pPr>
        <w:ind w:left="720" w:hanging="720"/>
        <w:rPr>
          <w:rFonts w:eastAsia="Times New Roman"/>
          <w:sz w:val="22"/>
          <w:szCs w:val="22"/>
          <w:u w:val="single"/>
        </w:rPr>
      </w:pPr>
      <w:r w:rsidRPr="00662392">
        <w:rPr>
          <w:rFonts w:eastAsia="Times New Roman"/>
          <w:sz w:val="22"/>
          <w:szCs w:val="22"/>
        </w:rPr>
        <w:t>05.01</w:t>
      </w:r>
      <w:r w:rsidRPr="00662392">
        <w:rPr>
          <w:rFonts w:eastAsia="Times New Roman"/>
          <w:sz w:val="22"/>
          <w:szCs w:val="22"/>
        </w:rPr>
        <w:tab/>
      </w:r>
      <w:r w:rsidRPr="00662392">
        <w:rPr>
          <w:rFonts w:eastAsia="Times New Roman"/>
          <w:sz w:val="22"/>
          <w:szCs w:val="22"/>
          <w:u w:val="single"/>
        </w:rPr>
        <w:t>Director/Deputy Director, Division of Reactor Oversight (DRO), Office of Nuclear Reactor Regulation (NRR)</w:t>
      </w:r>
    </w:p>
    <w:p w14:paraId="2887BF6C" w14:textId="77777777" w:rsidR="00BA6766" w:rsidRPr="00662392" w:rsidRDefault="00BA6766" w:rsidP="00194415">
      <w:pPr>
        <w:ind w:left="720" w:hanging="720"/>
        <w:rPr>
          <w:rFonts w:eastAsia="Times New Roman"/>
          <w:sz w:val="22"/>
          <w:szCs w:val="22"/>
        </w:rPr>
      </w:pPr>
    </w:p>
    <w:p w14:paraId="61A69FD8" w14:textId="257FB1C0" w:rsidR="00D95B1F" w:rsidRDefault="00D95B1F" w:rsidP="00BA6766">
      <w:pPr>
        <w:pStyle w:val="ListParagraph"/>
        <w:numPr>
          <w:ilvl w:val="0"/>
          <w:numId w:val="24"/>
        </w:numPr>
        <w:ind w:left="720" w:hanging="450"/>
        <w:rPr>
          <w:rFonts w:ascii="Arial" w:hAnsi="Arial" w:cs="Arial"/>
          <w:sz w:val="22"/>
          <w:szCs w:val="22"/>
        </w:rPr>
      </w:pPr>
      <w:r w:rsidRPr="00BA6766">
        <w:rPr>
          <w:rFonts w:ascii="Arial" w:hAnsi="Arial" w:cs="Arial"/>
          <w:sz w:val="22"/>
          <w:szCs w:val="22"/>
        </w:rPr>
        <w:t>Coordinates development and revision preparation to the manual chapter,</w:t>
      </w:r>
    </w:p>
    <w:p w14:paraId="2ED2D789" w14:textId="77777777" w:rsidR="00BA6766" w:rsidRPr="00BA6766" w:rsidRDefault="00BA6766" w:rsidP="00BA6766">
      <w:pPr>
        <w:pStyle w:val="ListParagraph"/>
        <w:rPr>
          <w:rFonts w:ascii="Arial" w:hAnsi="Arial" w:cs="Arial"/>
          <w:sz w:val="22"/>
          <w:szCs w:val="22"/>
        </w:rPr>
      </w:pPr>
    </w:p>
    <w:p w14:paraId="504F0379" w14:textId="77777777" w:rsidR="00D95B1F" w:rsidRPr="00BA6766" w:rsidRDefault="00D95B1F" w:rsidP="00BA6766">
      <w:pPr>
        <w:pStyle w:val="ListParagraph"/>
        <w:numPr>
          <w:ilvl w:val="0"/>
          <w:numId w:val="24"/>
        </w:numPr>
        <w:ind w:left="720" w:hanging="450"/>
        <w:rPr>
          <w:rFonts w:ascii="Arial" w:hAnsi="Arial" w:cs="Arial"/>
          <w:sz w:val="22"/>
          <w:szCs w:val="22"/>
        </w:rPr>
      </w:pPr>
      <w:r w:rsidRPr="00BA6766">
        <w:rPr>
          <w:rFonts w:ascii="Arial" w:hAnsi="Arial" w:cs="Arial"/>
          <w:sz w:val="22"/>
          <w:szCs w:val="22"/>
        </w:rPr>
        <w:t>Serves as the NRR contact with the regional offices for guidance development and implementation.</w:t>
      </w:r>
    </w:p>
    <w:p w14:paraId="02452947" w14:textId="77777777" w:rsidR="00D95B1F" w:rsidRPr="00662392" w:rsidRDefault="00D95B1F" w:rsidP="00194415">
      <w:pPr>
        <w:rPr>
          <w:rFonts w:eastAsia="Times New Roman"/>
          <w:sz w:val="22"/>
          <w:szCs w:val="22"/>
        </w:rPr>
      </w:pPr>
    </w:p>
    <w:p w14:paraId="324D46FC" w14:textId="63B9F8A7" w:rsidR="00D95B1F" w:rsidRDefault="00D95B1F" w:rsidP="00194415">
      <w:pPr>
        <w:ind w:left="720" w:hanging="720"/>
        <w:rPr>
          <w:rFonts w:eastAsia="Times New Roman"/>
          <w:sz w:val="22"/>
          <w:szCs w:val="22"/>
          <w:u w:val="single"/>
        </w:rPr>
      </w:pPr>
      <w:r w:rsidRPr="00662392">
        <w:rPr>
          <w:rFonts w:eastAsia="Times New Roman"/>
          <w:sz w:val="22"/>
          <w:szCs w:val="22"/>
        </w:rPr>
        <w:t>05.02</w:t>
      </w:r>
      <w:r w:rsidRPr="00662392">
        <w:rPr>
          <w:rFonts w:eastAsia="Times New Roman"/>
          <w:sz w:val="22"/>
          <w:szCs w:val="22"/>
        </w:rPr>
        <w:tab/>
      </w:r>
      <w:r w:rsidRPr="00662392">
        <w:rPr>
          <w:rFonts w:eastAsia="Times New Roman"/>
          <w:sz w:val="22"/>
          <w:szCs w:val="22"/>
          <w:u w:val="single"/>
        </w:rPr>
        <w:t xml:space="preserve">Branch Chief, </w:t>
      </w:r>
      <w:r w:rsidR="00FD56C6" w:rsidRPr="00662392">
        <w:rPr>
          <w:rFonts w:eastAsia="Times New Roman"/>
          <w:sz w:val="22"/>
          <w:szCs w:val="22"/>
          <w:u w:val="single"/>
        </w:rPr>
        <w:t xml:space="preserve">Reactor </w:t>
      </w:r>
      <w:r w:rsidR="00C55700" w:rsidRPr="00662392">
        <w:rPr>
          <w:rFonts w:eastAsia="Times New Roman"/>
          <w:sz w:val="22"/>
          <w:szCs w:val="22"/>
          <w:u w:val="single"/>
        </w:rPr>
        <w:t>Inspection</w:t>
      </w:r>
      <w:r w:rsidRPr="00662392">
        <w:rPr>
          <w:rFonts w:eastAsia="Times New Roman"/>
          <w:sz w:val="22"/>
          <w:szCs w:val="22"/>
          <w:u w:val="single"/>
        </w:rPr>
        <w:t xml:space="preserve"> Branch (</w:t>
      </w:r>
      <w:r w:rsidR="00BA6766">
        <w:rPr>
          <w:rFonts w:eastAsia="Times New Roman"/>
          <w:sz w:val="22"/>
          <w:szCs w:val="22"/>
          <w:u w:val="single"/>
        </w:rPr>
        <w:t>NRR/</w:t>
      </w:r>
      <w:r w:rsidRPr="00662392">
        <w:rPr>
          <w:rFonts w:eastAsia="Times New Roman"/>
          <w:sz w:val="22"/>
          <w:szCs w:val="22"/>
          <w:u w:val="single"/>
        </w:rPr>
        <w:t>DRO/IR</w:t>
      </w:r>
      <w:r w:rsidR="00C55700" w:rsidRPr="00662392">
        <w:rPr>
          <w:rFonts w:eastAsia="Times New Roman"/>
          <w:sz w:val="22"/>
          <w:szCs w:val="22"/>
          <w:u w:val="single"/>
        </w:rPr>
        <w:t>IB</w:t>
      </w:r>
      <w:r w:rsidRPr="00662392">
        <w:rPr>
          <w:rFonts w:eastAsia="Times New Roman"/>
          <w:sz w:val="22"/>
          <w:szCs w:val="22"/>
          <w:u w:val="single"/>
        </w:rPr>
        <w:t>)</w:t>
      </w:r>
    </w:p>
    <w:p w14:paraId="3E7A8F28" w14:textId="77777777" w:rsidR="00BA6766" w:rsidRPr="00662392" w:rsidRDefault="00BA6766" w:rsidP="00194415">
      <w:pPr>
        <w:ind w:left="720" w:hanging="720"/>
        <w:rPr>
          <w:rFonts w:eastAsia="Times New Roman"/>
          <w:sz w:val="22"/>
          <w:szCs w:val="22"/>
          <w:u w:val="single"/>
        </w:rPr>
      </w:pPr>
    </w:p>
    <w:p w14:paraId="59A9023F" w14:textId="77777777" w:rsidR="00D95B1F" w:rsidRPr="00BA6766" w:rsidRDefault="00D95B1F" w:rsidP="00BA6766">
      <w:pPr>
        <w:pStyle w:val="ListParagraph"/>
        <w:numPr>
          <w:ilvl w:val="0"/>
          <w:numId w:val="25"/>
        </w:numPr>
        <w:ind w:left="720" w:hanging="450"/>
        <w:rPr>
          <w:rFonts w:ascii="Arial" w:hAnsi="Arial" w:cs="Arial"/>
          <w:sz w:val="22"/>
          <w:szCs w:val="22"/>
        </w:rPr>
      </w:pPr>
      <w:r w:rsidRPr="00BA6766">
        <w:rPr>
          <w:rFonts w:ascii="Arial" w:hAnsi="Arial" w:cs="Arial"/>
          <w:sz w:val="22"/>
          <w:szCs w:val="22"/>
        </w:rPr>
        <w:t>Reviews and approves the technical content of periodic revisions to the content contained in the manual chapter.</w:t>
      </w:r>
    </w:p>
    <w:p w14:paraId="43C80D6B" w14:textId="77777777" w:rsidR="00D95B1F" w:rsidRPr="00BA6766" w:rsidRDefault="00D95B1F" w:rsidP="00BA6766">
      <w:pPr>
        <w:numPr>
          <w:ilvl w:val="0"/>
          <w:numId w:val="25"/>
        </w:numPr>
        <w:ind w:left="720" w:hanging="450"/>
        <w:contextualSpacing/>
        <w:rPr>
          <w:rFonts w:eastAsia="Times New Roman"/>
          <w:sz w:val="22"/>
          <w:szCs w:val="22"/>
        </w:rPr>
      </w:pPr>
      <w:r w:rsidRPr="00BA6766">
        <w:rPr>
          <w:rFonts w:eastAsia="Times New Roman"/>
          <w:sz w:val="22"/>
          <w:szCs w:val="22"/>
        </w:rPr>
        <w:t>Serves as the program owner for 10 CFR 50.59 inspection issues.</w:t>
      </w:r>
    </w:p>
    <w:p w14:paraId="79C01262" w14:textId="77777777" w:rsidR="00D95B1F" w:rsidRPr="00BA6766" w:rsidRDefault="00D95B1F" w:rsidP="00BA6766">
      <w:pPr>
        <w:ind w:left="720" w:hanging="450"/>
        <w:rPr>
          <w:sz w:val="22"/>
          <w:szCs w:val="22"/>
        </w:rPr>
      </w:pPr>
    </w:p>
    <w:p w14:paraId="4D7C3C5B" w14:textId="0921320F" w:rsidR="00963433" w:rsidRDefault="00963433" w:rsidP="00194415">
      <w:pPr>
        <w:ind w:left="720" w:hanging="720"/>
        <w:rPr>
          <w:sz w:val="22"/>
          <w:szCs w:val="22"/>
          <w:u w:val="single"/>
        </w:rPr>
      </w:pPr>
      <w:r w:rsidRPr="00662392">
        <w:rPr>
          <w:sz w:val="22"/>
          <w:szCs w:val="22"/>
        </w:rPr>
        <w:t>05.03</w:t>
      </w:r>
      <w:r w:rsidRPr="00662392">
        <w:rPr>
          <w:sz w:val="22"/>
          <w:szCs w:val="22"/>
        </w:rPr>
        <w:tab/>
      </w:r>
      <w:r w:rsidRPr="00662392">
        <w:rPr>
          <w:sz w:val="22"/>
          <w:szCs w:val="22"/>
          <w:u w:val="single"/>
        </w:rPr>
        <w:t xml:space="preserve">Director/Deputy Director, Division of Fuel Management (DFM), Office of Nuclear Material Safety </w:t>
      </w:r>
      <w:r w:rsidR="00AB5875" w:rsidRPr="00662392">
        <w:rPr>
          <w:sz w:val="22"/>
          <w:szCs w:val="22"/>
          <w:u w:val="single"/>
        </w:rPr>
        <w:t xml:space="preserve">and </w:t>
      </w:r>
      <w:r w:rsidRPr="00662392">
        <w:rPr>
          <w:sz w:val="22"/>
          <w:szCs w:val="22"/>
          <w:u w:val="single"/>
        </w:rPr>
        <w:t>Safeguards (NMSS)</w:t>
      </w:r>
    </w:p>
    <w:p w14:paraId="598A11AF" w14:textId="77777777" w:rsidR="00BA6766" w:rsidRPr="00662392" w:rsidRDefault="00BA6766" w:rsidP="00194415">
      <w:pPr>
        <w:ind w:left="720" w:hanging="720"/>
        <w:rPr>
          <w:sz w:val="22"/>
          <w:szCs w:val="22"/>
        </w:rPr>
      </w:pPr>
    </w:p>
    <w:p w14:paraId="322450B1" w14:textId="3A1704FC" w:rsidR="00963433" w:rsidRDefault="00963433" w:rsidP="00BA6766">
      <w:pPr>
        <w:pStyle w:val="ListParagraph"/>
        <w:numPr>
          <w:ilvl w:val="0"/>
          <w:numId w:val="26"/>
        </w:numPr>
        <w:ind w:left="720" w:hanging="450"/>
        <w:rPr>
          <w:rFonts w:ascii="Arial" w:hAnsi="Arial" w:cs="Arial"/>
          <w:sz w:val="22"/>
          <w:szCs w:val="22"/>
        </w:rPr>
      </w:pPr>
      <w:r w:rsidRPr="00BA6766">
        <w:rPr>
          <w:rFonts w:ascii="Arial" w:hAnsi="Arial" w:cs="Arial"/>
          <w:sz w:val="22"/>
          <w:szCs w:val="22"/>
        </w:rPr>
        <w:t>Directs the activities of the DFM and is responsible for their implementation.</w:t>
      </w:r>
    </w:p>
    <w:p w14:paraId="2026FFB5" w14:textId="77777777" w:rsidR="00BA6766" w:rsidRPr="00BA6766" w:rsidRDefault="00BA6766" w:rsidP="00BA6766">
      <w:pPr>
        <w:pStyle w:val="ListParagraph"/>
        <w:ind w:hanging="450"/>
        <w:rPr>
          <w:rFonts w:ascii="Arial" w:hAnsi="Arial" w:cs="Arial"/>
          <w:sz w:val="22"/>
          <w:szCs w:val="22"/>
        </w:rPr>
      </w:pPr>
    </w:p>
    <w:p w14:paraId="363863C7" w14:textId="77777777" w:rsidR="00963433" w:rsidRPr="00BA6766" w:rsidRDefault="00963433" w:rsidP="00BA6766">
      <w:pPr>
        <w:pStyle w:val="ListParagraph"/>
        <w:numPr>
          <w:ilvl w:val="0"/>
          <w:numId w:val="26"/>
        </w:numPr>
        <w:ind w:left="720" w:hanging="450"/>
        <w:rPr>
          <w:rFonts w:ascii="Arial" w:hAnsi="Arial" w:cs="Arial"/>
          <w:sz w:val="22"/>
          <w:szCs w:val="22"/>
        </w:rPr>
      </w:pPr>
      <w:r w:rsidRPr="00BA6766">
        <w:rPr>
          <w:rFonts w:ascii="Arial" w:hAnsi="Arial" w:cs="Arial"/>
          <w:sz w:val="22"/>
          <w:szCs w:val="22"/>
        </w:rPr>
        <w:t>Approves the inspection program and procedures for activities.</w:t>
      </w:r>
    </w:p>
    <w:p w14:paraId="2C589C17" w14:textId="77777777" w:rsidR="00963433" w:rsidRPr="00662392" w:rsidRDefault="00963433" w:rsidP="00194415">
      <w:pPr>
        <w:rPr>
          <w:rFonts w:eastAsiaTheme="minorHAnsi"/>
          <w:sz w:val="22"/>
          <w:szCs w:val="22"/>
        </w:rPr>
      </w:pPr>
    </w:p>
    <w:p w14:paraId="5E68ED2E" w14:textId="7662CC97" w:rsidR="00963433" w:rsidRDefault="00963433" w:rsidP="00194415">
      <w:pPr>
        <w:ind w:left="720" w:hanging="720"/>
        <w:rPr>
          <w:sz w:val="22"/>
          <w:szCs w:val="22"/>
          <w:u w:val="single"/>
        </w:rPr>
      </w:pPr>
      <w:r w:rsidRPr="00662392">
        <w:rPr>
          <w:sz w:val="22"/>
          <w:szCs w:val="22"/>
        </w:rPr>
        <w:t>05.04</w:t>
      </w:r>
      <w:r w:rsidRPr="00662392">
        <w:rPr>
          <w:sz w:val="22"/>
          <w:szCs w:val="22"/>
        </w:rPr>
        <w:tab/>
      </w:r>
      <w:r w:rsidRPr="00662392">
        <w:rPr>
          <w:sz w:val="22"/>
          <w:szCs w:val="22"/>
          <w:u w:val="single"/>
        </w:rPr>
        <w:t>Branch Chief, Inspection and O</w:t>
      </w:r>
      <w:r w:rsidR="00CB3989" w:rsidRPr="00662392">
        <w:rPr>
          <w:sz w:val="22"/>
          <w:szCs w:val="22"/>
          <w:u w:val="single"/>
        </w:rPr>
        <w:t>versight</w:t>
      </w:r>
      <w:r w:rsidRPr="00662392">
        <w:rPr>
          <w:sz w:val="22"/>
          <w:szCs w:val="22"/>
          <w:u w:val="single"/>
        </w:rPr>
        <w:t xml:space="preserve"> Branch (</w:t>
      </w:r>
      <w:r w:rsidR="00BA6766" w:rsidRPr="00662392">
        <w:rPr>
          <w:sz w:val="22"/>
          <w:szCs w:val="22"/>
          <w:u w:val="single"/>
        </w:rPr>
        <w:t>NMSS</w:t>
      </w:r>
      <w:r w:rsidR="00BA6766">
        <w:rPr>
          <w:sz w:val="22"/>
          <w:szCs w:val="22"/>
          <w:u w:val="single"/>
        </w:rPr>
        <w:t>/</w:t>
      </w:r>
      <w:r w:rsidRPr="00662392">
        <w:rPr>
          <w:sz w:val="22"/>
          <w:szCs w:val="22"/>
          <w:u w:val="single"/>
        </w:rPr>
        <w:t>DFM/IOB)</w:t>
      </w:r>
    </w:p>
    <w:p w14:paraId="474FB99C" w14:textId="77777777" w:rsidR="000C31C4" w:rsidRPr="00662392" w:rsidRDefault="000C31C4" w:rsidP="00194415">
      <w:pPr>
        <w:ind w:left="720" w:hanging="720"/>
        <w:rPr>
          <w:sz w:val="22"/>
          <w:szCs w:val="22"/>
          <w:u w:val="single"/>
        </w:rPr>
      </w:pPr>
    </w:p>
    <w:p w14:paraId="4556E6A7" w14:textId="58908025" w:rsidR="00963433" w:rsidRDefault="00963433" w:rsidP="000C31C4">
      <w:pPr>
        <w:widowControl/>
        <w:numPr>
          <w:ilvl w:val="0"/>
          <w:numId w:val="14"/>
        </w:numPr>
        <w:adjustRightInd/>
        <w:ind w:hanging="450"/>
        <w:rPr>
          <w:rFonts w:eastAsia="Times New Roman"/>
          <w:sz w:val="22"/>
          <w:szCs w:val="22"/>
        </w:rPr>
      </w:pPr>
      <w:r w:rsidRPr="00662392">
        <w:rPr>
          <w:rFonts w:eastAsia="Times New Roman"/>
          <w:sz w:val="22"/>
          <w:szCs w:val="22"/>
        </w:rPr>
        <w:t>Reviews and approves the technical content of periodic revisions to the content contained in the manual chapter.</w:t>
      </w:r>
    </w:p>
    <w:p w14:paraId="3A90E98D" w14:textId="77777777" w:rsidR="000C31C4" w:rsidRPr="00662392" w:rsidRDefault="000C31C4" w:rsidP="000C31C4">
      <w:pPr>
        <w:widowControl/>
        <w:adjustRightInd/>
        <w:ind w:left="720" w:hanging="450"/>
        <w:rPr>
          <w:rFonts w:eastAsia="Times New Roman"/>
          <w:sz w:val="22"/>
          <w:szCs w:val="22"/>
        </w:rPr>
      </w:pPr>
    </w:p>
    <w:p w14:paraId="339A3D71" w14:textId="77777777" w:rsidR="000E0ACD" w:rsidRDefault="00963433" w:rsidP="000C31C4">
      <w:pPr>
        <w:widowControl/>
        <w:numPr>
          <w:ilvl w:val="0"/>
          <w:numId w:val="14"/>
        </w:numPr>
        <w:adjustRightInd/>
        <w:ind w:hanging="450"/>
        <w:rPr>
          <w:rFonts w:eastAsia="Times New Roman"/>
          <w:sz w:val="22"/>
          <w:szCs w:val="22"/>
        </w:rPr>
        <w:sectPr w:rsidR="000E0ACD" w:rsidSect="00012998">
          <w:footerReference w:type="default" r:id="rId23"/>
          <w:pgSz w:w="12240" w:h="15840" w:code="1"/>
          <w:pgMar w:top="1440" w:right="1440" w:bottom="1440" w:left="1440" w:header="720" w:footer="720" w:gutter="0"/>
          <w:cols w:space="720"/>
          <w:noEndnote/>
          <w:docGrid w:linePitch="326"/>
        </w:sectPr>
      </w:pPr>
      <w:r w:rsidRPr="00662392">
        <w:rPr>
          <w:rFonts w:eastAsia="Times New Roman"/>
          <w:sz w:val="22"/>
          <w:szCs w:val="22"/>
        </w:rPr>
        <w:t>Serves as the program owner for 10 CFR 72.48 inspection issues.</w:t>
      </w:r>
    </w:p>
    <w:p w14:paraId="728129D7" w14:textId="77777777" w:rsidR="000C31C4" w:rsidRPr="00662392" w:rsidRDefault="000C31C4" w:rsidP="00194415">
      <w:pPr>
        <w:rPr>
          <w:sz w:val="22"/>
          <w:szCs w:val="22"/>
        </w:rPr>
      </w:pPr>
    </w:p>
    <w:p w14:paraId="045A8F86" w14:textId="5E341B97" w:rsidR="0018273E" w:rsidRPr="00662392" w:rsidRDefault="0018273E" w:rsidP="00194415">
      <w:pPr>
        <w:ind w:right="-90"/>
        <w:rPr>
          <w:sz w:val="22"/>
          <w:szCs w:val="22"/>
        </w:rPr>
      </w:pPr>
      <w:r w:rsidRPr="00662392">
        <w:rPr>
          <w:sz w:val="22"/>
          <w:szCs w:val="22"/>
        </w:rPr>
        <w:t>0335-06</w:t>
      </w:r>
      <w:r w:rsidRPr="00662392">
        <w:rPr>
          <w:sz w:val="22"/>
          <w:szCs w:val="22"/>
        </w:rPr>
        <w:tab/>
      </w:r>
      <w:r w:rsidR="00DE694E" w:rsidRPr="00662392">
        <w:rPr>
          <w:sz w:val="22"/>
          <w:szCs w:val="22"/>
        </w:rPr>
        <w:t xml:space="preserve">10 CFR </w:t>
      </w:r>
      <w:r w:rsidRPr="00662392">
        <w:rPr>
          <w:sz w:val="22"/>
          <w:szCs w:val="22"/>
        </w:rPr>
        <w:t>50.59 PROCESS</w:t>
      </w:r>
      <w:r w:rsidR="00BF79C4" w:rsidRPr="00662392">
        <w:rPr>
          <w:sz w:val="22"/>
          <w:szCs w:val="22"/>
        </w:rPr>
        <w:fldChar w:fldCharType="begin"/>
      </w:r>
      <w:r w:rsidR="00BF79C4" w:rsidRPr="00662392">
        <w:rPr>
          <w:sz w:val="22"/>
          <w:szCs w:val="22"/>
        </w:rPr>
        <w:instrText xml:space="preserve"> TC "</w:instrText>
      </w:r>
      <w:bookmarkStart w:id="12" w:name="_Toc62642891"/>
      <w:bookmarkStart w:id="13" w:name="_Toc63142073"/>
      <w:r w:rsidR="00BF79C4" w:rsidRPr="00662392">
        <w:rPr>
          <w:sz w:val="22"/>
          <w:szCs w:val="22"/>
        </w:rPr>
        <w:instrText>0335-06</w:instrText>
      </w:r>
      <w:r w:rsidR="00BF79C4" w:rsidRPr="00662392">
        <w:rPr>
          <w:sz w:val="22"/>
          <w:szCs w:val="22"/>
        </w:rPr>
        <w:tab/>
        <w:instrText>10 CFR 50.59 PROCESS</w:instrText>
      </w:r>
      <w:bookmarkEnd w:id="12"/>
      <w:bookmarkEnd w:id="13"/>
      <w:r w:rsidR="00BF79C4" w:rsidRPr="00662392">
        <w:rPr>
          <w:sz w:val="22"/>
          <w:szCs w:val="22"/>
        </w:rPr>
        <w:instrText>" \f C \l "1"</w:instrText>
      </w:r>
      <w:r w:rsidR="00BF79C4" w:rsidRPr="00662392">
        <w:rPr>
          <w:sz w:val="22"/>
          <w:szCs w:val="22"/>
        </w:rPr>
        <w:fldChar w:fldCharType="end"/>
      </w:r>
    </w:p>
    <w:p w14:paraId="2140C306" w14:textId="77777777" w:rsidR="0018273E" w:rsidRPr="00662392" w:rsidRDefault="0018273E" w:rsidP="00194415">
      <w:pPr>
        <w:rPr>
          <w:sz w:val="22"/>
          <w:szCs w:val="22"/>
        </w:rPr>
      </w:pPr>
    </w:p>
    <w:p w14:paraId="4C8691A0" w14:textId="49081E16" w:rsidR="0018273E" w:rsidRPr="00662392" w:rsidRDefault="0018273E" w:rsidP="00194415">
      <w:pPr>
        <w:rPr>
          <w:sz w:val="22"/>
          <w:szCs w:val="22"/>
        </w:rPr>
      </w:pPr>
      <w:r w:rsidRPr="00662392">
        <w:rPr>
          <w:sz w:val="22"/>
          <w:szCs w:val="22"/>
        </w:rPr>
        <w:t>The requirements allowing licensees to make changes to their facilities and procedures or to conduct tests or experiments without prior NRC approval are contained in 10 CFR 50.59.  Comparable provisions exist in 10 CFR 72.48</w:t>
      </w:r>
      <w:r w:rsidR="00FD0260" w:rsidRPr="00662392">
        <w:rPr>
          <w:sz w:val="22"/>
          <w:szCs w:val="22"/>
        </w:rPr>
        <w:t xml:space="preserve"> </w:t>
      </w:r>
      <w:r w:rsidRPr="00662392">
        <w:rPr>
          <w:sz w:val="22"/>
          <w:szCs w:val="22"/>
        </w:rPr>
        <w:t>for licensees of facilities for the independent storage of spent nuclear fuel and high-level radioactive waste and are discussed in Section 0335-07</w:t>
      </w:r>
      <w:r w:rsidR="00A50403" w:rsidRPr="00662392">
        <w:rPr>
          <w:sz w:val="22"/>
          <w:szCs w:val="22"/>
        </w:rPr>
        <w:t xml:space="preserve"> of this IMC</w:t>
      </w:r>
      <w:r w:rsidRPr="00662392">
        <w:rPr>
          <w:sz w:val="22"/>
          <w:szCs w:val="22"/>
        </w:rPr>
        <w:t xml:space="preserve">.  </w:t>
      </w:r>
      <w:r w:rsidR="00F467D2" w:rsidRPr="00662392">
        <w:rPr>
          <w:sz w:val="22"/>
          <w:szCs w:val="22"/>
        </w:rPr>
        <w:t>Licensees apply</w:t>
      </w:r>
      <w:r w:rsidR="00893DB6" w:rsidRPr="00662392">
        <w:rPr>
          <w:sz w:val="22"/>
          <w:szCs w:val="22"/>
        </w:rPr>
        <w:t xml:space="preserve"> the</w:t>
      </w:r>
      <w:r w:rsidRPr="00662392">
        <w:rPr>
          <w:sz w:val="22"/>
          <w:szCs w:val="22"/>
        </w:rPr>
        <w:t xml:space="preserve"> 10 CFR 50.59 process to determine if a license amendment is required prior to implementing the CTE.  10 CFR 50.59 </w:t>
      </w:r>
      <w:r w:rsidR="00D500DB" w:rsidRPr="00662392">
        <w:rPr>
          <w:sz w:val="22"/>
          <w:szCs w:val="22"/>
        </w:rPr>
        <w:t xml:space="preserve">applies to </w:t>
      </w:r>
      <w:r w:rsidRPr="00662392">
        <w:rPr>
          <w:sz w:val="22"/>
          <w:szCs w:val="22"/>
        </w:rPr>
        <w:t xml:space="preserve">(1) changes to facilities or procedures as described in the </w:t>
      </w:r>
      <w:r w:rsidR="00DB1F65" w:rsidRPr="00662392">
        <w:rPr>
          <w:sz w:val="22"/>
          <w:szCs w:val="22"/>
        </w:rPr>
        <w:t>U</w:t>
      </w:r>
      <w:r w:rsidRPr="00662392">
        <w:rPr>
          <w:sz w:val="22"/>
          <w:szCs w:val="22"/>
        </w:rPr>
        <w:t>F</w:t>
      </w:r>
      <w:r w:rsidR="00DB1F65" w:rsidRPr="00662392">
        <w:rPr>
          <w:sz w:val="22"/>
          <w:szCs w:val="22"/>
        </w:rPr>
        <w:t>S</w:t>
      </w:r>
      <w:r w:rsidRPr="00662392">
        <w:rPr>
          <w:sz w:val="22"/>
          <w:szCs w:val="22"/>
        </w:rPr>
        <w:t>AR</w:t>
      </w:r>
      <w:r w:rsidR="00E21C93" w:rsidRPr="00662392">
        <w:rPr>
          <w:sz w:val="22"/>
          <w:szCs w:val="22"/>
        </w:rPr>
        <w:t>,</w:t>
      </w:r>
      <w:r w:rsidRPr="00662392">
        <w:rPr>
          <w:sz w:val="22"/>
          <w:szCs w:val="22"/>
        </w:rPr>
        <w:t xml:space="preserve"> or (2) conduct of tests or experiments not described in the UFSAR in accordance with </w:t>
      </w:r>
      <w:bookmarkStart w:id="14" w:name="_Hlk51939989"/>
      <w:r w:rsidRPr="00662392">
        <w:rPr>
          <w:sz w:val="22"/>
          <w:szCs w:val="22"/>
        </w:rPr>
        <w:t>10 CFR </w:t>
      </w:r>
      <w:bookmarkEnd w:id="14"/>
      <w:r w:rsidRPr="00662392">
        <w:rPr>
          <w:sz w:val="22"/>
          <w:szCs w:val="22"/>
        </w:rPr>
        <w:t>50.59.  Th</w:t>
      </w:r>
      <w:r w:rsidR="00AD6358" w:rsidRPr="00662392">
        <w:rPr>
          <w:sz w:val="22"/>
          <w:szCs w:val="22"/>
        </w:rPr>
        <w:t>rough the</w:t>
      </w:r>
      <w:r w:rsidRPr="00662392">
        <w:rPr>
          <w:sz w:val="22"/>
          <w:szCs w:val="22"/>
        </w:rPr>
        <w:t xml:space="preserve"> 10 CFR 50.59 process</w:t>
      </w:r>
      <w:r w:rsidR="00AD6358" w:rsidRPr="00662392">
        <w:rPr>
          <w:sz w:val="22"/>
          <w:szCs w:val="22"/>
        </w:rPr>
        <w:t>, a license</w:t>
      </w:r>
      <w:r w:rsidR="00FC6271" w:rsidRPr="00662392">
        <w:rPr>
          <w:sz w:val="22"/>
          <w:szCs w:val="22"/>
        </w:rPr>
        <w:t>e</w:t>
      </w:r>
      <w:r w:rsidRPr="00662392">
        <w:rPr>
          <w:sz w:val="22"/>
          <w:szCs w:val="22"/>
        </w:rPr>
        <w:t xml:space="preserve"> determines when a license amendment pursuant to 10 CFR 50.90,</w:t>
      </w:r>
      <w:r w:rsidR="00413968" w:rsidRPr="00662392">
        <w:rPr>
          <w:sz w:val="22"/>
          <w:szCs w:val="22"/>
        </w:rPr>
        <w:t xml:space="preserve"> “Application for amendment of license, construction permit, or early site permit,”</w:t>
      </w:r>
      <w:r w:rsidRPr="00662392">
        <w:rPr>
          <w:sz w:val="22"/>
          <w:szCs w:val="22"/>
        </w:rPr>
        <w:t xml:space="preserve"> is required prior to a licensee implementing changes to the facility or procedures described in the UFSAR or tests and experiments not described in the UFSAR.</w:t>
      </w:r>
      <w:r w:rsidR="00A22C4D" w:rsidRPr="00662392">
        <w:rPr>
          <w:sz w:val="22"/>
          <w:szCs w:val="22"/>
        </w:rPr>
        <w:t xml:space="preserve"> </w:t>
      </w:r>
    </w:p>
    <w:p w14:paraId="618D75CC" w14:textId="77777777" w:rsidR="0018273E" w:rsidRPr="00662392" w:rsidRDefault="0018273E" w:rsidP="00194415">
      <w:pPr>
        <w:rPr>
          <w:sz w:val="22"/>
          <w:szCs w:val="22"/>
        </w:rPr>
      </w:pPr>
    </w:p>
    <w:p w14:paraId="0AED08AD" w14:textId="5342BCFF" w:rsidR="0018273E" w:rsidRPr="00662392" w:rsidRDefault="0018273E" w:rsidP="00194415">
      <w:pPr>
        <w:rPr>
          <w:sz w:val="22"/>
          <w:szCs w:val="22"/>
        </w:rPr>
      </w:pPr>
      <w:r w:rsidRPr="00662392">
        <w:rPr>
          <w:sz w:val="22"/>
          <w:szCs w:val="22"/>
        </w:rPr>
        <w:t>As stated in the</w:t>
      </w:r>
      <w:r w:rsidR="00D42208" w:rsidRPr="00662392">
        <w:rPr>
          <w:sz w:val="22"/>
          <w:szCs w:val="22"/>
        </w:rPr>
        <w:t xml:space="preserve"> 1999</w:t>
      </w:r>
      <w:r w:rsidRPr="00662392">
        <w:rPr>
          <w:sz w:val="22"/>
          <w:szCs w:val="22"/>
        </w:rPr>
        <w:t xml:space="preserve"> SOCs for 10 CFR 50.59, the intent of 10 CFR 50.59 process is to permit licensees to make changes to the facility, provided the changes maintain acceptable levels of safety as documented in the safety analysis report.  The process was structured around the licensing approach of design basis events (anticipated operational occurrences and accidents), safety-related mitigation systems, and consequence calculations for the </w:t>
      </w:r>
      <w:r w:rsidR="0000460D" w:rsidRPr="00662392">
        <w:rPr>
          <w:sz w:val="22"/>
          <w:szCs w:val="22"/>
        </w:rPr>
        <w:t>DBA</w:t>
      </w:r>
      <w:r w:rsidRPr="00662392">
        <w:rPr>
          <w:sz w:val="22"/>
          <w:szCs w:val="22"/>
        </w:rPr>
        <w:t xml:space="preserve">s.  The purpose </w:t>
      </w:r>
      <w:r w:rsidR="000165BC" w:rsidRPr="00662392">
        <w:rPr>
          <w:sz w:val="22"/>
          <w:szCs w:val="22"/>
        </w:rPr>
        <w:t xml:space="preserve">of the evaluation required by 10 CFR 50.59 </w:t>
      </w:r>
      <w:r w:rsidRPr="00662392">
        <w:rPr>
          <w:sz w:val="22"/>
          <w:szCs w:val="22"/>
        </w:rPr>
        <w:t xml:space="preserve">is to identify possible changes that might affect the basis for licensing the facility so that any changes that might pose a safety concern are reviewed by NRC </w:t>
      </w:r>
      <w:r w:rsidR="003A2586" w:rsidRPr="00662392">
        <w:rPr>
          <w:sz w:val="22"/>
          <w:szCs w:val="22"/>
        </w:rPr>
        <w:t>in a license amendment</w:t>
      </w:r>
      <w:r w:rsidRPr="00662392">
        <w:rPr>
          <w:sz w:val="22"/>
          <w:szCs w:val="22"/>
        </w:rPr>
        <w:t xml:space="preserve"> </w:t>
      </w:r>
      <w:r w:rsidR="003A2586" w:rsidRPr="00662392">
        <w:rPr>
          <w:sz w:val="22"/>
          <w:szCs w:val="22"/>
        </w:rPr>
        <w:t xml:space="preserve">request </w:t>
      </w:r>
      <w:r w:rsidRPr="00662392">
        <w:rPr>
          <w:sz w:val="22"/>
          <w:szCs w:val="22"/>
        </w:rPr>
        <w:t xml:space="preserve">to confirm their safety before implementation.  </w:t>
      </w:r>
    </w:p>
    <w:p w14:paraId="42728819" w14:textId="77777777" w:rsidR="0018273E" w:rsidRPr="00662392" w:rsidRDefault="0018273E" w:rsidP="00194415">
      <w:pPr>
        <w:rPr>
          <w:sz w:val="22"/>
          <w:szCs w:val="22"/>
        </w:rPr>
      </w:pPr>
    </w:p>
    <w:p w14:paraId="3EDC0A36" w14:textId="6D955FB4" w:rsidR="0018273E" w:rsidRPr="00662392" w:rsidRDefault="0018273E" w:rsidP="00194415">
      <w:pPr>
        <w:rPr>
          <w:sz w:val="22"/>
          <w:szCs w:val="22"/>
        </w:rPr>
      </w:pPr>
      <w:r w:rsidRPr="00662392">
        <w:rPr>
          <w:sz w:val="22"/>
          <w:szCs w:val="22"/>
        </w:rPr>
        <w:t>Inspectors should understand the basis for the NRC’s approval of the license in order to perform an independent review of the licensee’s evaluated CTE.</w:t>
      </w:r>
    </w:p>
    <w:p w14:paraId="1A809F5F" w14:textId="77777777" w:rsidR="0018273E" w:rsidRPr="00662392" w:rsidRDefault="0018273E" w:rsidP="00194415">
      <w:pPr>
        <w:rPr>
          <w:sz w:val="22"/>
          <w:szCs w:val="22"/>
        </w:rPr>
      </w:pPr>
    </w:p>
    <w:p w14:paraId="536ECC9D" w14:textId="771A2C77" w:rsidR="0018273E" w:rsidRPr="00662392" w:rsidRDefault="0018273E" w:rsidP="00194415">
      <w:pPr>
        <w:rPr>
          <w:sz w:val="22"/>
          <w:szCs w:val="22"/>
        </w:rPr>
      </w:pPr>
      <w:r w:rsidRPr="00662392">
        <w:rPr>
          <w:sz w:val="22"/>
          <w:szCs w:val="22"/>
        </w:rPr>
        <w:t xml:space="preserve">For each individual plant, the basis of the NRC’s approval is provided in the Safety Evaluation Report (SER), supplements to the SER, and safety evaluations </w:t>
      </w:r>
      <w:r w:rsidR="00EA2E57" w:rsidRPr="00662392">
        <w:rPr>
          <w:sz w:val="22"/>
          <w:szCs w:val="22"/>
        </w:rPr>
        <w:t>for</w:t>
      </w:r>
      <w:r w:rsidRPr="00662392">
        <w:rPr>
          <w:sz w:val="22"/>
          <w:szCs w:val="22"/>
        </w:rPr>
        <w:t xml:space="preserve"> license</w:t>
      </w:r>
      <w:r w:rsidR="00EA2E57" w:rsidRPr="00662392">
        <w:rPr>
          <w:sz w:val="22"/>
          <w:szCs w:val="22"/>
        </w:rPr>
        <w:t xml:space="preserve"> amendment requests</w:t>
      </w:r>
      <w:r w:rsidRPr="00662392">
        <w:rPr>
          <w:sz w:val="22"/>
          <w:szCs w:val="22"/>
        </w:rPr>
        <w:t xml:space="preserve">.  To aid understanding of the licensing bases, </w:t>
      </w:r>
      <w:r w:rsidR="004A4251" w:rsidRPr="00662392">
        <w:rPr>
          <w:sz w:val="22"/>
          <w:szCs w:val="22"/>
        </w:rPr>
        <w:t>i</w:t>
      </w:r>
      <w:r w:rsidRPr="00662392">
        <w:rPr>
          <w:sz w:val="22"/>
          <w:szCs w:val="22"/>
        </w:rPr>
        <w:t xml:space="preserve">nspectors can review the applicable sections of NUREG-0800, “Standard Review Plan </w:t>
      </w:r>
      <w:r w:rsidR="00B204B2" w:rsidRPr="00662392">
        <w:rPr>
          <w:sz w:val="22"/>
          <w:szCs w:val="22"/>
        </w:rPr>
        <w:t>(</w:t>
      </w:r>
      <w:r w:rsidRPr="00662392">
        <w:rPr>
          <w:sz w:val="22"/>
          <w:szCs w:val="22"/>
        </w:rPr>
        <w:t>SRP</w:t>
      </w:r>
      <w:r w:rsidR="00B204B2" w:rsidRPr="00662392">
        <w:rPr>
          <w:sz w:val="22"/>
          <w:szCs w:val="22"/>
        </w:rPr>
        <w:t>)</w:t>
      </w:r>
      <w:r w:rsidRPr="00662392">
        <w:rPr>
          <w:sz w:val="22"/>
          <w:szCs w:val="22"/>
        </w:rPr>
        <w:t xml:space="preserve"> for the Review of Safety Analysis Reports for Nuclear Power Plants: LWR [light water reactor] Edition,” </w:t>
      </w:r>
      <w:r w:rsidR="000A0B9D" w:rsidRPr="00662392">
        <w:rPr>
          <w:sz w:val="22"/>
          <w:szCs w:val="22"/>
        </w:rPr>
        <w:t xml:space="preserve">as applicable, </w:t>
      </w:r>
      <w:r w:rsidRPr="00662392">
        <w:rPr>
          <w:sz w:val="22"/>
          <w:szCs w:val="22"/>
        </w:rPr>
        <w:t>and Regulatory Guide (RG) 1.70, Revision 3</w:t>
      </w:r>
      <w:r w:rsidR="000E14BB" w:rsidRPr="00662392">
        <w:rPr>
          <w:sz w:val="22"/>
          <w:szCs w:val="22"/>
        </w:rPr>
        <w:t>,</w:t>
      </w:r>
      <w:r w:rsidRPr="00662392">
        <w:rPr>
          <w:sz w:val="22"/>
          <w:szCs w:val="22"/>
        </w:rPr>
        <w:t xml:space="preserve"> “Standard Format and Content of Safety Analysis Reports for Nuclear Power Plants LWR Edition.”  NUREG-0800 identifies the specific areas of review and the associated acceptance criteria used by the NRC staff when a Safety Analysis Report is reviewed, and RG 1.70 provides guidance on what information should be included in the Safety Analysis Report.  </w:t>
      </w:r>
    </w:p>
    <w:p w14:paraId="5CAC795A" w14:textId="77777777" w:rsidR="0018273E" w:rsidRPr="00662392" w:rsidRDefault="0018273E" w:rsidP="00194415">
      <w:pPr>
        <w:rPr>
          <w:sz w:val="22"/>
          <w:szCs w:val="22"/>
        </w:rPr>
      </w:pPr>
    </w:p>
    <w:p w14:paraId="5FB85520" w14:textId="6F84C572" w:rsidR="0018273E" w:rsidRPr="00662392" w:rsidRDefault="0018273E" w:rsidP="00194415">
      <w:pPr>
        <w:rPr>
          <w:sz w:val="22"/>
          <w:szCs w:val="22"/>
        </w:rPr>
      </w:pPr>
      <w:r w:rsidRPr="00662392">
        <w:rPr>
          <w:sz w:val="22"/>
          <w:szCs w:val="22"/>
        </w:rPr>
        <w:t xml:space="preserve">The SRP and the RG are not requirements for the licensee unless the licensee committed to an SRP or RG as a method of complying with a regulation, </w:t>
      </w:r>
      <w:r w:rsidR="009507AB">
        <w:rPr>
          <w:sz w:val="22"/>
          <w:szCs w:val="22"/>
        </w:rPr>
        <w:t xml:space="preserve">therefore </w:t>
      </w:r>
      <w:r w:rsidRPr="00662392">
        <w:rPr>
          <w:sz w:val="22"/>
          <w:szCs w:val="22"/>
        </w:rPr>
        <w:t>making it part of the licensing basis.</w:t>
      </w:r>
    </w:p>
    <w:p w14:paraId="3DA687E3" w14:textId="77777777" w:rsidR="0018273E" w:rsidRPr="00662392" w:rsidRDefault="0018273E" w:rsidP="00194415">
      <w:pPr>
        <w:rPr>
          <w:sz w:val="22"/>
          <w:szCs w:val="22"/>
        </w:rPr>
      </w:pPr>
    </w:p>
    <w:p w14:paraId="724E6359" w14:textId="53AF2756" w:rsidR="0018273E" w:rsidRPr="00662392" w:rsidRDefault="0018273E" w:rsidP="00194415">
      <w:pPr>
        <w:widowControl/>
        <w:rPr>
          <w:sz w:val="22"/>
          <w:szCs w:val="22"/>
        </w:rPr>
      </w:pPr>
      <w:r w:rsidRPr="00662392">
        <w:rPr>
          <w:sz w:val="22"/>
          <w:szCs w:val="22"/>
        </w:rPr>
        <w:t>06.0</w:t>
      </w:r>
      <w:r w:rsidR="00A73105" w:rsidRPr="00662392">
        <w:rPr>
          <w:sz w:val="22"/>
          <w:szCs w:val="22"/>
        </w:rPr>
        <w:t>1</w:t>
      </w:r>
      <w:r w:rsidRPr="00662392">
        <w:rPr>
          <w:sz w:val="22"/>
          <w:szCs w:val="22"/>
        </w:rPr>
        <w:tab/>
      </w:r>
      <w:r w:rsidR="00BF79C4" w:rsidRPr="00662392">
        <w:rPr>
          <w:sz w:val="22"/>
          <w:szCs w:val="22"/>
          <w:u w:val="single"/>
        </w:rPr>
        <w:t>Relationship Between 10 CFR 50.59 and Fire Protection</w:t>
      </w:r>
      <w:r w:rsidR="00BF79C4" w:rsidRPr="00662392">
        <w:rPr>
          <w:sz w:val="22"/>
          <w:szCs w:val="22"/>
          <w:u w:val="single"/>
        </w:rPr>
        <w:fldChar w:fldCharType="begin"/>
      </w:r>
      <w:r w:rsidR="00BF79C4" w:rsidRPr="00662392">
        <w:rPr>
          <w:sz w:val="22"/>
          <w:szCs w:val="22"/>
        </w:rPr>
        <w:instrText xml:space="preserve"> TC "</w:instrText>
      </w:r>
      <w:bookmarkStart w:id="15" w:name="_Toc62642892"/>
      <w:bookmarkStart w:id="16" w:name="_Toc63142074"/>
      <w:r w:rsidR="00BF79C4" w:rsidRPr="00662392">
        <w:rPr>
          <w:sz w:val="22"/>
          <w:szCs w:val="22"/>
        </w:rPr>
        <w:instrText>06.01</w:instrText>
      </w:r>
      <w:r w:rsidR="00BF79C4" w:rsidRPr="00662392">
        <w:rPr>
          <w:sz w:val="22"/>
          <w:szCs w:val="22"/>
        </w:rPr>
        <w:tab/>
      </w:r>
      <w:r w:rsidR="00BF79C4" w:rsidRPr="00662392">
        <w:rPr>
          <w:sz w:val="22"/>
          <w:szCs w:val="22"/>
          <w:u w:val="single"/>
        </w:rPr>
        <w:instrText>Relationship Between 10 CFR 50.59 and Fire Protection</w:instrText>
      </w:r>
      <w:bookmarkEnd w:id="15"/>
      <w:bookmarkEnd w:id="16"/>
      <w:r w:rsidR="00BF79C4" w:rsidRPr="00662392">
        <w:rPr>
          <w:sz w:val="22"/>
          <w:szCs w:val="22"/>
        </w:rPr>
        <w:instrText xml:space="preserve">" \f C \l "2" </w:instrText>
      </w:r>
      <w:r w:rsidR="00BF79C4" w:rsidRPr="00662392">
        <w:rPr>
          <w:sz w:val="22"/>
          <w:szCs w:val="22"/>
          <w:u w:val="single"/>
        </w:rPr>
        <w:fldChar w:fldCharType="end"/>
      </w:r>
    </w:p>
    <w:p w14:paraId="44463CC0" w14:textId="77777777" w:rsidR="0018273E" w:rsidRPr="00662392" w:rsidRDefault="0018273E" w:rsidP="00194415">
      <w:pPr>
        <w:widowControl/>
        <w:rPr>
          <w:sz w:val="22"/>
          <w:szCs w:val="22"/>
        </w:rPr>
      </w:pPr>
    </w:p>
    <w:p w14:paraId="43C5ACAD" w14:textId="77777777" w:rsidR="000E0ACD" w:rsidRDefault="0018273E" w:rsidP="00194415">
      <w:pPr>
        <w:widowControl/>
        <w:rPr>
          <w:sz w:val="22"/>
          <w:szCs w:val="22"/>
        </w:rPr>
        <w:sectPr w:rsidR="000E0ACD" w:rsidSect="00012998">
          <w:footerReference w:type="default" r:id="rId24"/>
          <w:pgSz w:w="12240" w:h="15840" w:code="1"/>
          <w:pgMar w:top="1440" w:right="1440" w:bottom="1440" w:left="1440" w:header="720" w:footer="720" w:gutter="0"/>
          <w:cols w:space="720"/>
          <w:noEndnote/>
          <w:docGrid w:linePitch="326"/>
        </w:sectPr>
      </w:pPr>
      <w:r w:rsidRPr="00662392">
        <w:rPr>
          <w:sz w:val="22"/>
          <w:szCs w:val="22"/>
        </w:rPr>
        <w:t xml:space="preserve">If the licensee’s fire protection program is required by a specific license condition or is not part of the UFSAR for the facility, the provisions of 10 CFR 50.59 cannot be applied to make changes without prior NRC approval.  Some licensees have a license condition that specifically permits changes to the NRC-approved fire protection program.  For those licensees with the standard license condition (stated in Generic Letter </w:t>
      </w:r>
      <w:r w:rsidR="0093664C" w:rsidRPr="00662392">
        <w:rPr>
          <w:sz w:val="22"/>
          <w:szCs w:val="22"/>
        </w:rPr>
        <w:t xml:space="preserve">(GL) </w:t>
      </w:r>
      <w:r w:rsidRPr="00662392">
        <w:rPr>
          <w:sz w:val="22"/>
          <w:szCs w:val="22"/>
        </w:rPr>
        <w:t>86-10</w:t>
      </w:r>
      <w:r w:rsidR="0093664C" w:rsidRPr="00662392">
        <w:rPr>
          <w:sz w:val="22"/>
          <w:szCs w:val="22"/>
        </w:rPr>
        <w:t>,</w:t>
      </w:r>
      <w:r w:rsidR="00442C54" w:rsidRPr="00662392">
        <w:rPr>
          <w:sz w:val="22"/>
          <w:szCs w:val="22"/>
        </w:rPr>
        <w:t xml:space="preserve"> “Implementation for Fire </w:t>
      </w:r>
    </w:p>
    <w:p w14:paraId="3501DDE7" w14:textId="77777777" w:rsidR="000E0ACD" w:rsidRDefault="000E0ACD" w:rsidP="00194415">
      <w:pPr>
        <w:widowControl/>
        <w:rPr>
          <w:sz w:val="22"/>
          <w:szCs w:val="22"/>
        </w:rPr>
      </w:pPr>
    </w:p>
    <w:p w14:paraId="55956F7C" w14:textId="117E4AA2" w:rsidR="0018273E" w:rsidRPr="00662392" w:rsidRDefault="00442C54" w:rsidP="00194415">
      <w:pPr>
        <w:widowControl/>
        <w:rPr>
          <w:sz w:val="22"/>
          <w:szCs w:val="22"/>
        </w:rPr>
      </w:pPr>
      <w:r w:rsidRPr="00662392">
        <w:rPr>
          <w:sz w:val="22"/>
          <w:szCs w:val="22"/>
        </w:rPr>
        <w:t>Protection Requirements</w:t>
      </w:r>
      <w:r w:rsidR="0093664C" w:rsidRPr="00662392">
        <w:rPr>
          <w:sz w:val="22"/>
          <w:szCs w:val="22"/>
        </w:rPr>
        <w:t>,</w:t>
      </w:r>
      <w:r w:rsidRPr="00662392">
        <w:rPr>
          <w:sz w:val="22"/>
          <w:szCs w:val="22"/>
        </w:rPr>
        <w:t>”</w:t>
      </w:r>
      <w:r w:rsidR="0018273E" w:rsidRPr="00662392">
        <w:rPr>
          <w:sz w:val="22"/>
          <w:szCs w:val="22"/>
        </w:rPr>
        <w:t xml:space="preserve">) allowing changes that do not “adversely affect the ability to achieve and maintain safe shutdown in the event of a fire,” the changes are controlled under the license condition and 10 CFR 50.59 </w:t>
      </w:r>
      <w:proofErr w:type="gramStart"/>
      <w:r w:rsidR="0018273E" w:rsidRPr="00662392">
        <w:rPr>
          <w:sz w:val="22"/>
          <w:szCs w:val="22"/>
        </w:rPr>
        <w:t>does</w:t>
      </w:r>
      <w:proofErr w:type="gramEnd"/>
      <w:r w:rsidR="0018273E" w:rsidRPr="00662392">
        <w:rPr>
          <w:sz w:val="22"/>
          <w:szCs w:val="22"/>
        </w:rPr>
        <w:t xml:space="preserve"> not apply.</w:t>
      </w:r>
    </w:p>
    <w:p w14:paraId="60E2CACD" w14:textId="77777777" w:rsidR="0018273E" w:rsidRPr="00662392" w:rsidRDefault="0018273E" w:rsidP="00194415">
      <w:pPr>
        <w:widowControl/>
        <w:rPr>
          <w:sz w:val="22"/>
          <w:szCs w:val="22"/>
        </w:rPr>
      </w:pPr>
    </w:p>
    <w:p w14:paraId="778B03BE" w14:textId="62A61E2E" w:rsidR="0018273E" w:rsidRPr="00662392" w:rsidRDefault="0018273E" w:rsidP="00194415">
      <w:pPr>
        <w:widowControl/>
        <w:rPr>
          <w:sz w:val="22"/>
          <w:szCs w:val="22"/>
        </w:rPr>
      </w:pPr>
      <w:r w:rsidRPr="00662392">
        <w:rPr>
          <w:sz w:val="22"/>
          <w:szCs w:val="22"/>
        </w:rPr>
        <w:t>06.0</w:t>
      </w:r>
      <w:r w:rsidR="007A315A" w:rsidRPr="00662392">
        <w:rPr>
          <w:sz w:val="22"/>
          <w:szCs w:val="22"/>
        </w:rPr>
        <w:t>2</w:t>
      </w:r>
      <w:r w:rsidRPr="00662392">
        <w:rPr>
          <w:sz w:val="22"/>
          <w:szCs w:val="22"/>
        </w:rPr>
        <w:tab/>
      </w:r>
      <w:r w:rsidR="0084498C" w:rsidRPr="00662392">
        <w:rPr>
          <w:sz w:val="22"/>
          <w:szCs w:val="22"/>
          <w:u w:val="single"/>
        </w:rPr>
        <w:t xml:space="preserve">Relationship Between </w:t>
      </w:r>
      <w:r w:rsidRPr="00662392">
        <w:rPr>
          <w:sz w:val="22"/>
          <w:szCs w:val="22"/>
          <w:u w:val="single"/>
        </w:rPr>
        <w:t xml:space="preserve">10 CFR 50.59 </w:t>
      </w:r>
      <w:r w:rsidR="0084498C" w:rsidRPr="00662392">
        <w:rPr>
          <w:sz w:val="22"/>
          <w:szCs w:val="22"/>
          <w:u w:val="single"/>
        </w:rPr>
        <w:t>and Technical Specification Bases</w:t>
      </w:r>
      <w:r w:rsidR="0084498C" w:rsidRPr="00662392">
        <w:rPr>
          <w:sz w:val="22"/>
          <w:szCs w:val="22"/>
          <w:u w:val="single"/>
        </w:rPr>
        <w:fldChar w:fldCharType="begin"/>
      </w:r>
      <w:r w:rsidR="0084498C" w:rsidRPr="00662392">
        <w:rPr>
          <w:sz w:val="22"/>
          <w:szCs w:val="22"/>
        </w:rPr>
        <w:instrText xml:space="preserve"> TC "</w:instrText>
      </w:r>
      <w:bookmarkStart w:id="17" w:name="_Toc62642893"/>
      <w:bookmarkStart w:id="18" w:name="_Toc63142075"/>
      <w:r w:rsidR="0084498C" w:rsidRPr="00662392">
        <w:rPr>
          <w:sz w:val="22"/>
          <w:szCs w:val="22"/>
        </w:rPr>
        <w:instrText>06.02</w:instrText>
      </w:r>
      <w:r w:rsidR="00662392">
        <w:rPr>
          <w:sz w:val="22"/>
          <w:szCs w:val="22"/>
        </w:rPr>
        <w:instrText xml:space="preserve"> </w:instrText>
      </w:r>
      <w:r w:rsidR="0084498C" w:rsidRPr="00662392">
        <w:rPr>
          <w:sz w:val="22"/>
          <w:szCs w:val="22"/>
          <w:u w:val="single"/>
        </w:rPr>
        <w:instrText>Relationship Between 10 CFR 50.59 and Technical Specification Bases</w:instrText>
      </w:r>
      <w:bookmarkEnd w:id="17"/>
      <w:bookmarkEnd w:id="18"/>
      <w:r w:rsidR="0084498C" w:rsidRPr="00662392">
        <w:rPr>
          <w:sz w:val="22"/>
          <w:szCs w:val="22"/>
        </w:rPr>
        <w:instrText xml:space="preserve">" \f C \l "2" </w:instrText>
      </w:r>
      <w:r w:rsidR="0084498C" w:rsidRPr="00662392">
        <w:rPr>
          <w:sz w:val="22"/>
          <w:szCs w:val="22"/>
          <w:u w:val="single"/>
        </w:rPr>
        <w:fldChar w:fldCharType="end"/>
      </w:r>
    </w:p>
    <w:p w14:paraId="2B1B9818" w14:textId="77777777" w:rsidR="0018273E" w:rsidRPr="00662392" w:rsidRDefault="0018273E" w:rsidP="00194415">
      <w:pPr>
        <w:widowControl/>
        <w:rPr>
          <w:sz w:val="22"/>
          <w:szCs w:val="22"/>
        </w:rPr>
      </w:pPr>
    </w:p>
    <w:p w14:paraId="5CA6A529" w14:textId="08F74784" w:rsidR="0018273E" w:rsidRPr="00662392" w:rsidRDefault="00A1302D" w:rsidP="00194415">
      <w:pPr>
        <w:widowControl/>
        <w:rPr>
          <w:sz w:val="22"/>
          <w:szCs w:val="22"/>
        </w:rPr>
      </w:pPr>
      <w:r w:rsidRPr="00662392">
        <w:rPr>
          <w:sz w:val="22"/>
          <w:szCs w:val="22"/>
        </w:rPr>
        <w:t xml:space="preserve">Generally, </w:t>
      </w:r>
      <w:r w:rsidR="00A01695" w:rsidRPr="00662392">
        <w:rPr>
          <w:sz w:val="22"/>
          <w:szCs w:val="22"/>
        </w:rPr>
        <w:t>10 CFR 50.59 does not apply to changes made to t</w:t>
      </w:r>
      <w:r w:rsidR="0018273E" w:rsidRPr="00662392">
        <w:rPr>
          <w:sz w:val="22"/>
          <w:szCs w:val="22"/>
        </w:rPr>
        <w:t xml:space="preserve">he TS bases </w:t>
      </w:r>
      <w:r w:rsidR="005E77C1" w:rsidRPr="00662392">
        <w:rPr>
          <w:sz w:val="22"/>
          <w:szCs w:val="22"/>
        </w:rPr>
        <w:t xml:space="preserve">because TS bases </w:t>
      </w:r>
      <w:r w:rsidR="0018273E" w:rsidRPr="00662392">
        <w:rPr>
          <w:sz w:val="22"/>
          <w:szCs w:val="22"/>
        </w:rPr>
        <w:t xml:space="preserve">are not part of the UFSAR.  </w:t>
      </w:r>
      <w:r w:rsidR="005E77C1" w:rsidRPr="00662392">
        <w:rPr>
          <w:sz w:val="22"/>
          <w:szCs w:val="22"/>
        </w:rPr>
        <w:t>However, a</w:t>
      </w:r>
      <w:r w:rsidR="0018273E" w:rsidRPr="00662392">
        <w:rPr>
          <w:sz w:val="22"/>
          <w:szCs w:val="22"/>
        </w:rPr>
        <w:t>s part of improved Standard Technical Specifications</w:t>
      </w:r>
      <w:r w:rsidR="00D35691" w:rsidRPr="00662392">
        <w:rPr>
          <w:sz w:val="22"/>
          <w:szCs w:val="22"/>
        </w:rPr>
        <w:t xml:space="preserve"> conversion</w:t>
      </w:r>
      <w:r w:rsidR="0018273E" w:rsidRPr="00662392">
        <w:rPr>
          <w:sz w:val="22"/>
          <w:szCs w:val="22"/>
        </w:rPr>
        <w:t xml:space="preserve">, many licensees have a TS section </w:t>
      </w:r>
      <w:r w:rsidR="003D27BD" w:rsidRPr="00662392">
        <w:rPr>
          <w:sz w:val="22"/>
          <w:szCs w:val="22"/>
        </w:rPr>
        <w:t xml:space="preserve">that </w:t>
      </w:r>
      <w:r w:rsidR="0018273E" w:rsidRPr="00662392">
        <w:rPr>
          <w:sz w:val="22"/>
          <w:szCs w:val="22"/>
        </w:rPr>
        <w:t xml:space="preserve">specifies the requirements of 10 CFR 50.59 </w:t>
      </w:r>
      <w:r w:rsidR="00C4065F" w:rsidRPr="00662392">
        <w:rPr>
          <w:sz w:val="22"/>
          <w:szCs w:val="22"/>
        </w:rPr>
        <w:t>are applicable</w:t>
      </w:r>
      <w:r w:rsidR="0018273E" w:rsidRPr="00662392">
        <w:rPr>
          <w:sz w:val="22"/>
          <w:szCs w:val="22"/>
        </w:rPr>
        <w:t xml:space="preserve"> to changes affecting the TS bases</w:t>
      </w:r>
      <w:r w:rsidR="0093664C" w:rsidRPr="00662392">
        <w:rPr>
          <w:sz w:val="22"/>
          <w:szCs w:val="22"/>
        </w:rPr>
        <w:t>.</w:t>
      </w:r>
    </w:p>
    <w:p w14:paraId="214DBDEF" w14:textId="767AC454" w:rsidR="00640886" w:rsidRPr="00662392" w:rsidRDefault="00640886" w:rsidP="00194415">
      <w:pPr>
        <w:widowControl/>
        <w:autoSpaceDE/>
        <w:autoSpaceDN/>
        <w:adjustRightInd/>
        <w:rPr>
          <w:sz w:val="22"/>
          <w:szCs w:val="22"/>
        </w:rPr>
      </w:pPr>
    </w:p>
    <w:p w14:paraId="287F4206" w14:textId="73461525" w:rsidR="0018273E" w:rsidRPr="00662392" w:rsidRDefault="0084498C" w:rsidP="00194415">
      <w:pPr>
        <w:keepLines/>
        <w:rPr>
          <w:sz w:val="22"/>
          <w:szCs w:val="22"/>
        </w:rPr>
      </w:pPr>
      <w:r w:rsidRPr="00662392">
        <w:rPr>
          <w:sz w:val="22"/>
          <w:szCs w:val="22"/>
        </w:rPr>
        <w:t>06.03</w:t>
      </w:r>
      <w:r w:rsidRPr="00662392">
        <w:rPr>
          <w:sz w:val="22"/>
          <w:szCs w:val="22"/>
        </w:rPr>
        <w:tab/>
      </w:r>
      <w:r w:rsidRPr="00662392">
        <w:rPr>
          <w:sz w:val="22"/>
          <w:szCs w:val="22"/>
          <w:u w:val="single"/>
        </w:rPr>
        <w:t>Relationship Between 10 CFR 50.59 and 10 CFR 50.2 Design Bases</w:t>
      </w:r>
      <w:r w:rsidRPr="00662392">
        <w:rPr>
          <w:sz w:val="22"/>
          <w:szCs w:val="22"/>
          <w:u w:val="single"/>
        </w:rPr>
        <w:fldChar w:fldCharType="begin"/>
      </w:r>
      <w:r w:rsidRPr="00662392">
        <w:rPr>
          <w:sz w:val="22"/>
          <w:szCs w:val="22"/>
        </w:rPr>
        <w:instrText xml:space="preserve"> TC "</w:instrText>
      </w:r>
      <w:bookmarkStart w:id="19" w:name="_Toc62642894"/>
      <w:bookmarkStart w:id="20" w:name="_Toc63142076"/>
      <w:r w:rsidRPr="00662392">
        <w:rPr>
          <w:sz w:val="22"/>
          <w:szCs w:val="22"/>
        </w:rPr>
        <w:instrText>06.03</w:instrText>
      </w:r>
      <w:r w:rsidR="00662392">
        <w:rPr>
          <w:sz w:val="22"/>
          <w:szCs w:val="22"/>
        </w:rPr>
        <w:instrText xml:space="preserve"> </w:instrText>
      </w:r>
      <w:r w:rsidRPr="00662392">
        <w:rPr>
          <w:sz w:val="22"/>
          <w:szCs w:val="22"/>
          <w:u w:val="single"/>
        </w:rPr>
        <w:instrText>Relationship Between 10 CFR 50.59 and 10 CFR 50.2 Design Bases</w:instrText>
      </w:r>
      <w:bookmarkEnd w:id="19"/>
      <w:bookmarkEnd w:id="20"/>
      <w:r w:rsidRPr="00662392">
        <w:rPr>
          <w:sz w:val="22"/>
          <w:szCs w:val="22"/>
        </w:rPr>
        <w:instrText xml:space="preserve">" \f C \l "2" </w:instrText>
      </w:r>
      <w:r w:rsidRPr="00662392">
        <w:rPr>
          <w:sz w:val="22"/>
          <w:szCs w:val="22"/>
          <w:u w:val="single"/>
        </w:rPr>
        <w:fldChar w:fldCharType="end"/>
      </w:r>
    </w:p>
    <w:p w14:paraId="3514B9CC" w14:textId="77777777" w:rsidR="0018273E" w:rsidRPr="00662392" w:rsidRDefault="0018273E" w:rsidP="00194415">
      <w:pPr>
        <w:keepLines/>
        <w:rPr>
          <w:sz w:val="22"/>
          <w:szCs w:val="22"/>
        </w:rPr>
      </w:pPr>
    </w:p>
    <w:p w14:paraId="77289242" w14:textId="6EDE136D" w:rsidR="0018273E" w:rsidRPr="00662392" w:rsidRDefault="0018273E" w:rsidP="00194415">
      <w:pPr>
        <w:keepLines/>
        <w:rPr>
          <w:sz w:val="22"/>
          <w:szCs w:val="22"/>
        </w:rPr>
      </w:pPr>
      <w:r w:rsidRPr="00662392">
        <w:rPr>
          <w:sz w:val="22"/>
          <w:szCs w:val="22"/>
        </w:rPr>
        <w:t>10 CFR 50.59 controls changes to both 10 CFR 50.2 design bases and supporting design information contained in the UFSAR.  Section 06.</w:t>
      </w:r>
      <w:r w:rsidR="00B6266C" w:rsidRPr="00662392">
        <w:rPr>
          <w:sz w:val="22"/>
          <w:szCs w:val="22"/>
        </w:rPr>
        <w:t>20</w:t>
      </w:r>
      <w:r w:rsidRPr="00662392">
        <w:rPr>
          <w:sz w:val="22"/>
          <w:szCs w:val="22"/>
        </w:rPr>
        <w:t xml:space="preserve"> of this IMC provides further information regarding the design basis limits for fission product barriers that are subject to 10 CFR 50.59(c)(2)(vii) and Section 06.</w:t>
      </w:r>
      <w:r w:rsidR="00B6266C" w:rsidRPr="00662392">
        <w:rPr>
          <w:sz w:val="22"/>
          <w:szCs w:val="22"/>
        </w:rPr>
        <w:t xml:space="preserve">21 </w:t>
      </w:r>
      <w:r w:rsidRPr="00662392">
        <w:rPr>
          <w:sz w:val="22"/>
          <w:szCs w:val="22"/>
        </w:rPr>
        <w:t>provides guidance on the scope of methods of evaluation used in establishing design bases or in the safety analyses that are subject to 10 CFR 50.59(c)(2)(viii).  RG 1.186, “Guidance and Examples for Identifying 10 CFR 50.2 Design Bases,” December 2000</w:t>
      </w:r>
      <w:r w:rsidR="0066694F" w:rsidRPr="00662392">
        <w:rPr>
          <w:sz w:val="22"/>
          <w:szCs w:val="22"/>
        </w:rPr>
        <w:t>,</w:t>
      </w:r>
      <w:r w:rsidRPr="00662392">
        <w:rPr>
          <w:sz w:val="22"/>
          <w:szCs w:val="22"/>
        </w:rPr>
        <w:t xml:space="preserve"> provides clarification of the term design bases in connection with the NRC’s regulations that use this term.</w:t>
      </w:r>
    </w:p>
    <w:p w14:paraId="6A7FF54B" w14:textId="77777777" w:rsidR="0018273E" w:rsidRPr="00662392" w:rsidRDefault="0018273E" w:rsidP="00194415">
      <w:pPr>
        <w:rPr>
          <w:sz w:val="22"/>
          <w:szCs w:val="22"/>
        </w:rPr>
      </w:pPr>
    </w:p>
    <w:p w14:paraId="49F2403F" w14:textId="139AEA5F" w:rsidR="0018273E" w:rsidRPr="00662392" w:rsidRDefault="0084498C" w:rsidP="00194415">
      <w:pPr>
        <w:rPr>
          <w:sz w:val="22"/>
          <w:szCs w:val="22"/>
        </w:rPr>
      </w:pPr>
      <w:r w:rsidRPr="00662392">
        <w:rPr>
          <w:sz w:val="22"/>
          <w:szCs w:val="22"/>
        </w:rPr>
        <w:t>06.04</w:t>
      </w:r>
      <w:r w:rsidRPr="00662392">
        <w:rPr>
          <w:sz w:val="22"/>
          <w:szCs w:val="22"/>
        </w:rPr>
        <w:tab/>
      </w:r>
      <w:r w:rsidRPr="00662392">
        <w:rPr>
          <w:sz w:val="22"/>
          <w:szCs w:val="22"/>
          <w:u w:val="single"/>
        </w:rPr>
        <w:t xml:space="preserve">Relationship Between 10 CFR 50.59 and </w:t>
      </w:r>
      <w:r w:rsidRPr="00662392">
        <w:rPr>
          <w:color w:val="333333"/>
          <w:sz w:val="22"/>
          <w:szCs w:val="22"/>
          <w:u w:val="single"/>
          <w:shd w:val="clear" w:color="auto" w:fill="FFFFFF"/>
        </w:rPr>
        <w:t>10 CFR </w:t>
      </w:r>
      <w:r w:rsidRPr="00662392">
        <w:rPr>
          <w:sz w:val="22"/>
          <w:szCs w:val="22"/>
          <w:u w:val="single"/>
        </w:rPr>
        <w:t>50.69</w:t>
      </w:r>
      <w:r w:rsidR="006B6F93" w:rsidRPr="00662392">
        <w:rPr>
          <w:sz w:val="22"/>
          <w:szCs w:val="22"/>
          <w:u w:val="single"/>
        </w:rPr>
        <w:fldChar w:fldCharType="begin"/>
      </w:r>
      <w:r w:rsidR="006B6F93" w:rsidRPr="00662392">
        <w:rPr>
          <w:sz w:val="22"/>
          <w:szCs w:val="22"/>
        </w:rPr>
        <w:instrText xml:space="preserve"> TC "</w:instrText>
      </w:r>
      <w:bookmarkStart w:id="21" w:name="_Toc63142077"/>
      <w:r w:rsidR="006B6F93" w:rsidRPr="00662392">
        <w:rPr>
          <w:sz w:val="22"/>
          <w:szCs w:val="22"/>
        </w:rPr>
        <w:instrText>06.04</w:instrText>
      </w:r>
      <w:r w:rsidR="006B6F93" w:rsidRPr="00662392">
        <w:rPr>
          <w:sz w:val="22"/>
          <w:szCs w:val="22"/>
        </w:rPr>
        <w:tab/>
      </w:r>
      <w:r w:rsidR="006B6F93" w:rsidRPr="00662392">
        <w:rPr>
          <w:sz w:val="22"/>
          <w:szCs w:val="22"/>
          <w:u w:val="single"/>
        </w:rPr>
        <w:instrText xml:space="preserve">Relationship Between 10 CFR 50.59 and </w:instrText>
      </w:r>
      <w:r w:rsidR="006B6F93" w:rsidRPr="00662392">
        <w:rPr>
          <w:color w:val="333333"/>
          <w:sz w:val="22"/>
          <w:szCs w:val="22"/>
          <w:u w:val="single"/>
          <w:shd w:val="clear" w:color="auto" w:fill="FFFFFF"/>
        </w:rPr>
        <w:instrText>10 CFR </w:instrText>
      </w:r>
      <w:r w:rsidR="006B6F93" w:rsidRPr="00662392">
        <w:rPr>
          <w:sz w:val="22"/>
          <w:szCs w:val="22"/>
          <w:u w:val="single"/>
        </w:rPr>
        <w:instrText>50.69</w:instrText>
      </w:r>
      <w:bookmarkEnd w:id="21"/>
      <w:r w:rsidR="006B6F93" w:rsidRPr="00662392">
        <w:rPr>
          <w:sz w:val="22"/>
          <w:szCs w:val="22"/>
        </w:rPr>
        <w:instrText xml:space="preserve">" \f C \l "2" </w:instrText>
      </w:r>
      <w:r w:rsidR="006B6F93" w:rsidRPr="00662392">
        <w:rPr>
          <w:sz w:val="22"/>
          <w:szCs w:val="22"/>
          <w:u w:val="single"/>
        </w:rPr>
        <w:fldChar w:fldCharType="end"/>
      </w:r>
    </w:p>
    <w:p w14:paraId="6D979058" w14:textId="77777777" w:rsidR="0018273E" w:rsidRPr="00662392" w:rsidRDefault="0018273E" w:rsidP="00194415">
      <w:pPr>
        <w:rPr>
          <w:sz w:val="22"/>
          <w:szCs w:val="22"/>
        </w:rPr>
      </w:pPr>
    </w:p>
    <w:p w14:paraId="6A89698A" w14:textId="06055AEB" w:rsidR="0018273E" w:rsidRPr="00662392" w:rsidRDefault="0018273E" w:rsidP="00194415">
      <w:pPr>
        <w:rPr>
          <w:sz w:val="22"/>
          <w:szCs w:val="22"/>
        </w:rPr>
      </w:pPr>
      <w:r w:rsidRPr="00662392">
        <w:rPr>
          <w:sz w:val="22"/>
          <w:szCs w:val="22"/>
        </w:rPr>
        <w:t>As stated in the</w:t>
      </w:r>
      <w:r w:rsidR="00BA324F" w:rsidRPr="00662392">
        <w:rPr>
          <w:sz w:val="22"/>
          <w:szCs w:val="22"/>
        </w:rPr>
        <w:t xml:space="preserve"> 2004</w:t>
      </w:r>
      <w:r w:rsidRPr="00662392">
        <w:rPr>
          <w:sz w:val="22"/>
          <w:szCs w:val="22"/>
        </w:rPr>
        <w:t xml:space="preserve"> SOCs for 10 CFR 50.69</w:t>
      </w:r>
      <w:r w:rsidR="00FB5F03" w:rsidRPr="00662392">
        <w:rPr>
          <w:sz w:val="22"/>
          <w:szCs w:val="22"/>
        </w:rPr>
        <w:t>, “Risk-informed categorization and treatment of structures, systems and components for nuclear power reactors,”</w:t>
      </w:r>
      <w:r w:rsidRPr="00662392">
        <w:rPr>
          <w:sz w:val="22"/>
          <w:szCs w:val="22"/>
        </w:rPr>
        <w:t xml:space="preserve"> no change was made to 10 CFR 50.59 as a result of 10 CFR 50.69; however, the Commission does not believe that a 10 CFR 50.59 evaluation need be performed when a licensee initially implements 10 CFR 50.69 and thereby changes the special treatment requirements applied to risk-informed safety class (RISC) categories 3 and 4 </w:t>
      </w:r>
      <w:r w:rsidR="00C754C2" w:rsidRPr="00662392">
        <w:rPr>
          <w:sz w:val="22"/>
          <w:szCs w:val="22"/>
        </w:rPr>
        <w:t>S</w:t>
      </w:r>
      <w:r w:rsidRPr="00662392">
        <w:rPr>
          <w:sz w:val="22"/>
          <w:szCs w:val="22"/>
        </w:rPr>
        <w:t>SCs.  Accordingly, 10 CFR 50.69(f) contains language that removes the requirement for licensees to perform 10 CFR 50.59 evaluations for the changes in special treatment that stem from 10 CFR 50.69 implementation.</w:t>
      </w:r>
    </w:p>
    <w:p w14:paraId="34A2D0CA" w14:textId="77777777" w:rsidR="0018273E" w:rsidRPr="00662392" w:rsidRDefault="0018273E" w:rsidP="00194415">
      <w:pPr>
        <w:rPr>
          <w:sz w:val="22"/>
          <w:szCs w:val="22"/>
        </w:rPr>
      </w:pPr>
    </w:p>
    <w:p w14:paraId="6530A04F" w14:textId="7E7095C9" w:rsidR="0018273E" w:rsidRPr="00662392" w:rsidRDefault="0018273E" w:rsidP="00194415">
      <w:pPr>
        <w:rPr>
          <w:sz w:val="22"/>
          <w:szCs w:val="22"/>
        </w:rPr>
      </w:pPr>
      <w:r w:rsidRPr="00662392">
        <w:rPr>
          <w:sz w:val="22"/>
          <w:szCs w:val="22"/>
        </w:rPr>
        <w:t>The process of adjusting treatment for RISC–3 and RISC–4 SSCs does not need to be subject to 10 CFR 50.59 because 10 CFR 50.69 provides the decision process for categorization and determination of revision to requirements resulting from the categorization.  Because it is only in the area of treatment for RISC-3 and RISC-4 SSCs that might be viewed as involving a reduction in requirements, these are the only aspects for which 10 CFR 50.69 provision applies.  As required by 10 CFR 50.69(f), the licensee or applicant will be required to update the FSAR appropriately to reflect incorporation of its treatment processes into the FSAR.  However, it is important to recognize that changes that may affect any nontreatment aspects of an SSC (e.g., changes to the SSC design basis functional requirements) are required to be evaluated in accordance with the requirements of 10 CFR 50.59.</w:t>
      </w:r>
    </w:p>
    <w:p w14:paraId="1582E91E" w14:textId="77777777" w:rsidR="0018273E" w:rsidRPr="00662392" w:rsidRDefault="0018273E" w:rsidP="00194415">
      <w:pPr>
        <w:rPr>
          <w:sz w:val="22"/>
          <w:szCs w:val="22"/>
        </w:rPr>
      </w:pPr>
    </w:p>
    <w:p w14:paraId="66673E87" w14:textId="77777777" w:rsidR="000E0ACD" w:rsidRDefault="0018273E" w:rsidP="00194415">
      <w:pPr>
        <w:rPr>
          <w:sz w:val="22"/>
          <w:szCs w:val="22"/>
        </w:rPr>
        <w:sectPr w:rsidR="000E0ACD" w:rsidSect="00012998">
          <w:footerReference w:type="default" r:id="rId25"/>
          <w:pgSz w:w="12240" w:h="15840" w:code="1"/>
          <w:pgMar w:top="1440" w:right="1440" w:bottom="1440" w:left="1440" w:header="720" w:footer="720" w:gutter="0"/>
          <w:cols w:space="720"/>
          <w:noEndnote/>
          <w:docGrid w:linePitch="326"/>
        </w:sectPr>
      </w:pPr>
      <w:r w:rsidRPr="00662392">
        <w:rPr>
          <w:sz w:val="22"/>
          <w:szCs w:val="22"/>
        </w:rPr>
        <w:t xml:space="preserve">The Commission, while developing 10 CFR 50.69, drew a distinction between treatment (managed through 10 CFR 50.69) and design changes (managed through other processes such as 10 CFR 50.59).  10 CFR 50.69 only risk-informs the scope of special treatment </w:t>
      </w:r>
    </w:p>
    <w:p w14:paraId="60ADD75C" w14:textId="1AA249FD" w:rsidR="0018273E" w:rsidRPr="00662392" w:rsidRDefault="00165AF5" w:rsidP="00194415">
      <w:pPr>
        <w:rPr>
          <w:sz w:val="22"/>
          <w:szCs w:val="22"/>
        </w:rPr>
      </w:pPr>
      <w:r>
        <w:rPr>
          <w:sz w:val="22"/>
          <w:szCs w:val="22"/>
        </w:rPr>
        <w:lastRenderedPageBreak/>
        <w:t>r</w:t>
      </w:r>
      <w:r w:rsidR="0018273E" w:rsidRPr="00662392">
        <w:rPr>
          <w:sz w:val="22"/>
          <w:szCs w:val="22"/>
        </w:rPr>
        <w:t>equirements.  The process and requirements established in 10 CFR 50.69 do not extend to making changes to the non-treatment portion of the design basis of SSCs.  Section 50.69(f)(3) specifies that for initial implementation of the rule, changes to the UFSAR for implementation of this rule need not include a supporting 10 CFR 50.59 evaluation of changes directly related to implementation.  Future changes to the treatment processes and procedures for 10 CFR 50.69 implementation may be made provided the requirements of 10 CFR 50.69 and 10 CFR 50.59 continue to be met.</w:t>
      </w:r>
    </w:p>
    <w:p w14:paraId="1682BB90" w14:textId="30623DAF" w:rsidR="00194415" w:rsidRPr="00662392" w:rsidRDefault="00194415" w:rsidP="00194415">
      <w:pPr>
        <w:rPr>
          <w:sz w:val="22"/>
          <w:szCs w:val="22"/>
        </w:rPr>
      </w:pPr>
    </w:p>
    <w:p w14:paraId="01E4558B" w14:textId="29B9A98A" w:rsidR="00601A9E" w:rsidRPr="00662392" w:rsidRDefault="0084498C" w:rsidP="00194415">
      <w:pPr>
        <w:rPr>
          <w:sz w:val="22"/>
          <w:szCs w:val="22"/>
        </w:rPr>
      </w:pPr>
      <w:r w:rsidRPr="00E33D1B">
        <w:rPr>
          <w:sz w:val="22"/>
          <w:szCs w:val="22"/>
        </w:rPr>
        <w:t>06.05</w:t>
      </w:r>
      <w:r w:rsidRPr="00E33D1B">
        <w:rPr>
          <w:sz w:val="22"/>
          <w:szCs w:val="22"/>
        </w:rPr>
        <w:tab/>
      </w:r>
      <w:r w:rsidRPr="00662392">
        <w:rPr>
          <w:sz w:val="22"/>
          <w:szCs w:val="22"/>
          <w:u w:val="single"/>
        </w:rPr>
        <w:t xml:space="preserve">Relationship Between </w:t>
      </w:r>
      <w:r w:rsidR="00601A9E" w:rsidRPr="00662392">
        <w:rPr>
          <w:sz w:val="22"/>
          <w:szCs w:val="22"/>
          <w:u w:val="single"/>
        </w:rPr>
        <w:t xml:space="preserve">10 CFR 50.59 </w:t>
      </w:r>
      <w:r w:rsidRPr="00662392">
        <w:rPr>
          <w:sz w:val="22"/>
          <w:szCs w:val="22"/>
          <w:u w:val="single"/>
        </w:rPr>
        <w:t>and</w:t>
      </w:r>
      <w:r w:rsidR="00601A9E" w:rsidRPr="00662392">
        <w:rPr>
          <w:sz w:val="22"/>
          <w:szCs w:val="22"/>
          <w:u w:val="single"/>
        </w:rPr>
        <w:t xml:space="preserve"> 10 CFR 72.48</w:t>
      </w:r>
      <w:r w:rsidRPr="00662392">
        <w:rPr>
          <w:sz w:val="22"/>
          <w:szCs w:val="22"/>
          <w:u w:val="single"/>
        </w:rPr>
        <w:fldChar w:fldCharType="begin"/>
      </w:r>
      <w:r w:rsidRPr="00662392">
        <w:rPr>
          <w:sz w:val="22"/>
          <w:szCs w:val="22"/>
        </w:rPr>
        <w:instrText xml:space="preserve"> TC "</w:instrText>
      </w:r>
      <w:bookmarkStart w:id="22" w:name="_Toc62642896"/>
      <w:bookmarkStart w:id="23" w:name="_Toc63142078"/>
      <w:r w:rsidRPr="00662392">
        <w:rPr>
          <w:sz w:val="22"/>
          <w:szCs w:val="22"/>
          <w:u w:val="single"/>
        </w:rPr>
        <w:instrText>06.05</w:instrText>
      </w:r>
      <w:r w:rsidRPr="00662392">
        <w:rPr>
          <w:sz w:val="22"/>
          <w:szCs w:val="22"/>
          <w:u w:val="single"/>
        </w:rPr>
        <w:tab/>
        <w:instrText>Relationship Between 10 CFR 50.59 and 10 CFR 72.48</w:instrText>
      </w:r>
      <w:bookmarkEnd w:id="22"/>
      <w:bookmarkEnd w:id="23"/>
      <w:r w:rsidRPr="00662392">
        <w:rPr>
          <w:sz w:val="22"/>
          <w:szCs w:val="22"/>
        </w:rPr>
        <w:instrText xml:space="preserve">" \f C \l "2" </w:instrText>
      </w:r>
      <w:r w:rsidRPr="00662392">
        <w:rPr>
          <w:sz w:val="22"/>
          <w:szCs w:val="22"/>
          <w:u w:val="single"/>
        </w:rPr>
        <w:fldChar w:fldCharType="end"/>
      </w:r>
    </w:p>
    <w:p w14:paraId="2FB254D1" w14:textId="77777777" w:rsidR="00601A9E" w:rsidRPr="00662392" w:rsidRDefault="00601A9E" w:rsidP="00194415">
      <w:pPr>
        <w:rPr>
          <w:sz w:val="22"/>
          <w:szCs w:val="22"/>
        </w:rPr>
      </w:pPr>
    </w:p>
    <w:p w14:paraId="676CACEB" w14:textId="3DFB436C" w:rsidR="00601A9E" w:rsidRPr="00662392" w:rsidRDefault="00601A9E" w:rsidP="00194415">
      <w:pPr>
        <w:rPr>
          <w:sz w:val="22"/>
          <w:szCs w:val="22"/>
        </w:rPr>
      </w:pPr>
      <w:r w:rsidRPr="00662392">
        <w:rPr>
          <w:sz w:val="22"/>
          <w:szCs w:val="22"/>
        </w:rPr>
        <w:t xml:space="preserve">As a part of rulemaking in 1999, the staff revised the regulations in 10 CFR 72.48 to conform with the revised 10 CFR 50.59 rule in order to provide consistent implementation of these two regulations.  </w:t>
      </w:r>
    </w:p>
    <w:p w14:paraId="4F329FCB" w14:textId="77777777" w:rsidR="00601A9E" w:rsidRPr="00662392" w:rsidRDefault="00601A9E" w:rsidP="00194415">
      <w:pPr>
        <w:rPr>
          <w:sz w:val="22"/>
          <w:szCs w:val="22"/>
        </w:rPr>
      </w:pPr>
    </w:p>
    <w:p w14:paraId="0B2D88F5" w14:textId="64290237" w:rsidR="00601A9E" w:rsidRPr="00662392" w:rsidRDefault="00601A9E" w:rsidP="00194415">
      <w:pPr>
        <w:widowControl/>
        <w:rPr>
          <w:sz w:val="22"/>
          <w:szCs w:val="22"/>
        </w:rPr>
      </w:pPr>
      <w:r w:rsidRPr="00662392">
        <w:rPr>
          <w:sz w:val="22"/>
          <w:szCs w:val="22"/>
        </w:rPr>
        <w:t xml:space="preserve">Other sections of this IMC discuss key definitions, provide guidance for reviewing the licensee’s and </w:t>
      </w:r>
      <w:proofErr w:type="spellStart"/>
      <w:r w:rsidRPr="00662392">
        <w:rPr>
          <w:sz w:val="22"/>
          <w:szCs w:val="22"/>
        </w:rPr>
        <w:t>CoC</w:t>
      </w:r>
      <w:proofErr w:type="spellEnd"/>
      <w:r w:rsidRPr="00662392">
        <w:rPr>
          <w:sz w:val="22"/>
          <w:szCs w:val="22"/>
        </w:rPr>
        <w:t xml:space="preserve"> holder’s processes for applicability and screening, and performing an assessment of 10 CFR 72.48 evaluations.  Inspectors should be aware that changes in the ISFSI and spent fuel storage cask design may affect the Part 50 license if co-located and may require analyses in 10 CFR 50.59 and 10 CFR 72.48.</w:t>
      </w:r>
    </w:p>
    <w:p w14:paraId="2F131D8E" w14:textId="77777777" w:rsidR="00601A9E" w:rsidRPr="00662392" w:rsidRDefault="00601A9E" w:rsidP="00194415">
      <w:pPr>
        <w:rPr>
          <w:sz w:val="22"/>
          <w:szCs w:val="22"/>
        </w:rPr>
      </w:pPr>
    </w:p>
    <w:p w14:paraId="12DA9057" w14:textId="643CB977" w:rsidR="00BF20F4" w:rsidRPr="00662392" w:rsidRDefault="007C6D52" w:rsidP="00194415">
      <w:pPr>
        <w:rPr>
          <w:sz w:val="22"/>
          <w:szCs w:val="22"/>
        </w:rPr>
      </w:pPr>
      <w:bookmarkStart w:id="24" w:name="_Hlk51159330"/>
      <w:r w:rsidRPr="00662392">
        <w:rPr>
          <w:sz w:val="22"/>
          <w:szCs w:val="22"/>
        </w:rPr>
        <w:t>06.06</w:t>
      </w:r>
      <w:r w:rsidRPr="00662392">
        <w:rPr>
          <w:sz w:val="22"/>
          <w:szCs w:val="22"/>
        </w:rPr>
        <w:tab/>
      </w:r>
      <w:r w:rsidR="0084498C" w:rsidRPr="00662392">
        <w:rPr>
          <w:sz w:val="22"/>
          <w:szCs w:val="22"/>
          <w:u w:val="single"/>
        </w:rPr>
        <w:t xml:space="preserve">Relationship Between </w:t>
      </w:r>
      <w:r w:rsidR="00DB59DC" w:rsidRPr="00662392">
        <w:rPr>
          <w:sz w:val="22"/>
          <w:szCs w:val="22"/>
          <w:u w:val="single"/>
        </w:rPr>
        <w:t>10 CFR 50.59</w:t>
      </w:r>
      <w:r w:rsidR="00C236FE" w:rsidRPr="00662392">
        <w:rPr>
          <w:sz w:val="22"/>
          <w:szCs w:val="22"/>
          <w:u w:val="single"/>
        </w:rPr>
        <w:t xml:space="preserve">, </w:t>
      </w:r>
      <w:r w:rsidR="0084498C" w:rsidRPr="00662392">
        <w:rPr>
          <w:sz w:val="22"/>
          <w:szCs w:val="22"/>
          <w:u w:val="single"/>
        </w:rPr>
        <w:t>Regulatory Commitments</w:t>
      </w:r>
      <w:r w:rsidR="00C236FE" w:rsidRPr="00662392">
        <w:rPr>
          <w:sz w:val="22"/>
          <w:szCs w:val="22"/>
          <w:u w:val="single"/>
        </w:rPr>
        <w:t>,</w:t>
      </w:r>
      <w:r w:rsidR="00DB59DC" w:rsidRPr="00662392">
        <w:rPr>
          <w:sz w:val="22"/>
          <w:szCs w:val="22"/>
          <w:u w:val="single"/>
        </w:rPr>
        <w:t xml:space="preserve"> </w:t>
      </w:r>
      <w:r w:rsidR="0084498C" w:rsidRPr="00662392">
        <w:rPr>
          <w:sz w:val="22"/>
          <w:szCs w:val="22"/>
          <w:u w:val="single"/>
        </w:rPr>
        <w:t>and</w:t>
      </w:r>
      <w:r w:rsidR="00DB59DC" w:rsidRPr="00662392">
        <w:rPr>
          <w:sz w:val="22"/>
          <w:szCs w:val="22"/>
          <w:u w:val="single"/>
        </w:rPr>
        <w:t xml:space="preserve"> </w:t>
      </w:r>
      <w:r w:rsidR="0084498C" w:rsidRPr="00662392">
        <w:rPr>
          <w:sz w:val="22"/>
          <w:szCs w:val="22"/>
          <w:u w:val="single"/>
        </w:rPr>
        <w:t>Surveillance Frequency Control Program</w:t>
      </w:r>
      <w:r w:rsidR="006B6F93" w:rsidRPr="00662392">
        <w:rPr>
          <w:sz w:val="22"/>
          <w:szCs w:val="22"/>
          <w:u w:val="single"/>
        </w:rPr>
        <w:fldChar w:fldCharType="begin"/>
      </w:r>
      <w:r w:rsidR="006B6F93" w:rsidRPr="00662392">
        <w:rPr>
          <w:sz w:val="22"/>
          <w:szCs w:val="22"/>
        </w:rPr>
        <w:instrText xml:space="preserve"> TC "</w:instrText>
      </w:r>
      <w:bookmarkStart w:id="25" w:name="_Toc63142079"/>
      <w:r w:rsidR="006B6F93" w:rsidRPr="00662392">
        <w:rPr>
          <w:sz w:val="22"/>
          <w:szCs w:val="22"/>
        </w:rPr>
        <w:instrText>06.06</w:instrText>
      </w:r>
      <w:r w:rsidR="006B6F93" w:rsidRPr="00662392">
        <w:rPr>
          <w:sz w:val="22"/>
          <w:szCs w:val="22"/>
        </w:rPr>
        <w:tab/>
      </w:r>
      <w:r w:rsidR="006B6F93" w:rsidRPr="00662392">
        <w:rPr>
          <w:sz w:val="22"/>
          <w:szCs w:val="22"/>
          <w:u w:val="single"/>
        </w:rPr>
        <w:instrText>Relationship Between 10 CFR 50.59, Regulatory Commitments, and Surveillance Frequency Control Program</w:instrText>
      </w:r>
      <w:bookmarkEnd w:id="25"/>
      <w:r w:rsidR="006B6F93" w:rsidRPr="00662392">
        <w:rPr>
          <w:sz w:val="22"/>
          <w:szCs w:val="22"/>
        </w:rPr>
        <w:instrText xml:space="preserve">" \f C \l "2" </w:instrText>
      </w:r>
      <w:r w:rsidR="006B6F93" w:rsidRPr="00662392">
        <w:rPr>
          <w:sz w:val="22"/>
          <w:szCs w:val="22"/>
          <w:u w:val="single"/>
        </w:rPr>
        <w:fldChar w:fldCharType="end"/>
      </w:r>
    </w:p>
    <w:p w14:paraId="22109C61" w14:textId="724BF8AC" w:rsidR="007208C8" w:rsidRPr="00662392" w:rsidRDefault="007208C8" w:rsidP="00194415">
      <w:pPr>
        <w:rPr>
          <w:sz w:val="22"/>
          <w:szCs w:val="22"/>
        </w:rPr>
      </w:pPr>
    </w:p>
    <w:p w14:paraId="7FCFAA79" w14:textId="02DC1A52" w:rsidR="00BE5F65" w:rsidRPr="00662392" w:rsidRDefault="00357B44" w:rsidP="00194415">
      <w:pPr>
        <w:rPr>
          <w:sz w:val="22"/>
          <w:szCs w:val="22"/>
        </w:rPr>
      </w:pPr>
      <w:r w:rsidRPr="00662392">
        <w:rPr>
          <w:sz w:val="22"/>
          <w:szCs w:val="22"/>
        </w:rPr>
        <w:t>By letter dated September 28, 2006, the NRC found NEI 04-10, Revision 0, “Risk-Informed Technical Specification Initiative 5b, Risk-Informed Method for Control of Surveillance Frequencies,” acceptable for referencing by licensees proposing to amend their Technical Specifications (TS) to establish a Surveillance Frequency Control Program (SFCP)</w:t>
      </w:r>
      <w:r w:rsidR="00272D05" w:rsidRPr="00662392">
        <w:rPr>
          <w:sz w:val="22"/>
          <w:szCs w:val="22"/>
        </w:rPr>
        <w:t xml:space="preserve">, </w:t>
      </w:r>
      <w:r w:rsidR="001D11C2" w:rsidRPr="00662392">
        <w:rPr>
          <w:sz w:val="22"/>
          <w:szCs w:val="22"/>
        </w:rPr>
        <w:t>for</w:t>
      </w:r>
      <w:r w:rsidR="00F96037" w:rsidRPr="00662392">
        <w:rPr>
          <w:sz w:val="22"/>
          <w:szCs w:val="22"/>
        </w:rPr>
        <w:t xml:space="preserve"> </w:t>
      </w:r>
      <w:r w:rsidR="001D11C2" w:rsidRPr="00662392">
        <w:rPr>
          <w:sz w:val="22"/>
          <w:szCs w:val="22"/>
        </w:rPr>
        <w:t>boiling water reactors to the extent specified and under the limitations delineated in NEI 04-10, Revision 0, and in the final SE</w:t>
      </w:r>
      <w:r w:rsidRPr="00662392">
        <w:rPr>
          <w:sz w:val="22"/>
          <w:szCs w:val="22"/>
        </w:rPr>
        <w:t xml:space="preserve">.  </w:t>
      </w:r>
      <w:r w:rsidR="00603987" w:rsidRPr="00662392">
        <w:rPr>
          <w:sz w:val="22"/>
          <w:szCs w:val="22"/>
        </w:rPr>
        <w:t>Subs</w:t>
      </w:r>
      <w:r w:rsidR="00954755" w:rsidRPr="00662392">
        <w:rPr>
          <w:sz w:val="22"/>
          <w:szCs w:val="22"/>
        </w:rPr>
        <w:t>equently, b</w:t>
      </w:r>
      <w:r w:rsidR="007208C8" w:rsidRPr="00662392">
        <w:rPr>
          <w:sz w:val="22"/>
          <w:szCs w:val="22"/>
        </w:rPr>
        <w:t xml:space="preserve">y letter dated September 19, 2007, the NRC found NEI 04-10, Revision 1, acceptable </w:t>
      </w:r>
      <w:r w:rsidR="0023219E" w:rsidRPr="00662392">
        <w:rPr>
          <w:sz w:val="22"/>
          <w:szCs w:val="22"/>
        </w:rPr>
        <w:t>for referencing by licensees proposing to amend their</w:t>
      </w:r>
      <w:r w:rsidR="007A1164" w:rsidRPr="00662392">
        <w:rPr>
          <w:sz w:val="22"/>
          <w:szCs w:val="22"/>
        </w:rPr>
        <w:t xml:space="preserve"> </w:t>
      </w:r>
      <w:r w:rsidR="000C0ED9" w:rsidRPr="00662392">
        <w:rPr>
          <w:sz w:val="22"/>
          <w:szCs w:val="22"/>
        </w:rPr>
        <w:t xml:space="preserve">TS </w:t>
      </w:r>
      <w:r w:rsidR="0023219E" w:rsidRPr="00662392">
        <w:rPr>
          <w:sz w:val="22"/>
          <w:szCs w:val="22"/>
        </w:rPr>
        <w:t xml:space="preserve">to establish a SFCP </w:t>
      </w:r>
      <w:r w:rsidR="007208C8" w:rsidRPr="00662392">
        <w:rPr>
          <w:sz w:val="22"/>
          <w:szCs w:val="22"/>
        </w:rPr>
        <w:t>to the extent specified and under the limitations delineated in NEI 04-10,</w:t>
      </w:r>
      <w:r w:rsidR="006B130A" w:rsidRPr="00662392">
        <w:rPr>
          <w:sz w:val="22"/>
          <w:szCs w:val="22"/>
        </w:rPr>
        <w:t xml:space="preserve"> Risk-Informed Method for Control of Surveillance Frequencies,” </w:t>
      </w:r>
      <w:r w:rsidR="007208C8" w:rsidRPr="00662392">
        <w:rPr>
          <w:sz w:val="22"/>
          <w:szCs w:val="22"/>
        </w:rPr>
        <w:t>Revision 1, and in the final safety evaluation.</w:t>
      </w:r>
      <w:r w:rsidR="007A6BC0" w:rsidRPr="00662392">
        <w:rPr>
          <w:sz w:val="22"/>
          <w:szCs w:val="22"/>
        </w:rPr>
        <w:t xml:space="preserve"> </w:t>
      </w:r>
    </w:p>
    <w:p w14:paraId="129E45DB" w14:textId="77777777" w:rsidR="00BE5F65" w:rsidRPr="00662392" w:rsidRDefault="00BE5F65" w:rsidP="00194415">
      <w:pPr>
        <w:rPr>
          <w:sz w:val="22"/>
          <w:szCs w:val="22"/>
        </w:rPr>
      </w:pPr>
    </w:p>
    <w:p w14:paraId="19167356" w14:textId="7E4A0AC6" w:rsidR="007208C8" w:rsidRPr="00662392" w:rsidRDefault="007208C8" w:rsidP="00194415">
      <w:pPr>
        <w:rPr>
          <w:sz w:val="22"/>
          <w:szCs w:val="22"/>
        </w:rPr>
      </w:pPr>
      <w:r w:rsidRPr="00662392">
        <w:rPr>
          <w:sz w:val="22"/>
          <w:szCs w:val="22"/>
        </w:rPr>
        <w:t>The SFCP allows a licensee to change the frequency at which certain TS surveillance requirements are performed using the process in NEI 04-10, Revision 1.   If a licensee determines that the change to the surveillance frequency is acceptable per the NEI 04-10 methodology, then the licensee must make appropriate changes to procedures, the UFSAR, and other documents in order to implement the revised surveillance frequency.</w:t>
      </w:r>
    </w:p>
    <w:p w14:paraId="0D535E8C" w14:textId="77777777" w:rsidR="007208C8" w:rsidRPr="00662392" w:rsidRDefault="007208C8" w:rsidP="00194415">
      <w:pPr>
        <w:rPr>
          <w:sz w:val="22"/>
          <w:szCs w:val="22"/>
        </w:rPr>
      </w:pPr>
    </w:p>
    <w:p w14:paraId="4630A606" w14:textId="77777777" w:rsidR="000E0ACD" w:rsidRDefault="007208C8" w:rsidP="00194415">
      <w:pPr>
        <w:widowControl/>
        <w:rPr>
          <w:sz w:val="22"/>
          <w:szCs w:val="22"/>
        </w:rPr>
        <w:sectPr w:rsidR="000E0ACD" w:rsidSect="00012998">
          <w:footerReference w:type="default" r:id="rId26"/>
          <w:pgSz w:w="12240" w:h="15840" w:code="1"/>
          <w:pgMar w:top="1440" w:right="1440" w:bottom="1440" w:left="1440" w:header="720" w:footer="720" w:gutter="0"/>
          <w:cols w:space="720"/>
          <w:noEndnote/>
          <w:docGrid w:linePitch="326"/>
        </w:sectPr>
      </w:pPr>
      <w:r w:rsidRPr="00662392">
        <w:rPr>
          <w:sz w:val="22"/>
          <w:szCs w:val="22"/>
        </w:rPr>
        <w:t xml:space="preserve">Licensees are required by 10 CFR 50.71(e) to update their UFSAR to include the effects of approved license amendments. </w:t>
      </w:r>
      <w:r w:rsidR="00062385">
        <w:rPr>
          <w:sz w:val="22"/>
          <w:szCs w:val="22"/>
        </w:rPr>
        <w:t xml:space="preserve"> F</w:t>
      </w:r>
      <w:r w:rsidRPr="00662392">
        <w:rPr>
          <w:sz w:val="22"/>
          <w:szCs w:val="22"/>
        </w:rPr>
        <w:t xml:space="preserve">ollowing </w:t>
      </w:r>
      <w:r w:rsidR="00EF1F30" w:rsidRPr="00662392">
        <w:rPr>
          <w:sz w:val="22"/>
          <w:szCs w:val="22"/>
        </w:rPr>
        <w:t xml:space="preserve">NRC </w:t>
      </w:r>
      <w:r w:rsidRPr="00662392">
        <w:rPr>
          <w:sz w:val="22"/>
          <w:szCs w:val="22"/>
        </w:rPr>
        <w:t xml:space="preserve">approval of an SFCP amendment, the licensee </w:t>
      </w:r>
      <w:r w:rsidR="003B6C42" w:rsidRPr="00662392">
        <w:rPr>
          <w:sz w:val="22"/>
          <w:szCs w:val="22"/>
        </w:rPr>
        <w:t>must</w:t>
      </w:r>
      <w:r w:rsidRPr="00662392">
        <w:rPr>
          <w:sz w:val="22"/>
          <w:szCs w:val="22"/>
        </w:rPr>
        <w:t xml:space="preserve"> </w:t>
      </w:r>
      <w:r w:rsidR="003B6C42" w:rsidRPr="00662392">
        <w:rPr>
          <w:sz w:val="22"/>
          <w:szCs w:val="22"/>
        </w:rPr>
        <w:t xml:space="preserve">update its UFSAR to </w:t>
      </w:r>
      <w:r w:rsidRPr="00662392">
        <w:rPr>
          <w:sz w:val="22"/>
          <w:szCs w:val="22"/>
        </w:rPr>
        <w:t>describe the program</w:t>
      </w:r>
      <w:r w:rsidR="00FE3880" w:rsidRPr="00662392">
        <w:rPr>
          <w:sz w:val="22"/>
          <w:szCs w:val="22"/>
        </w:rPr>
        <w:t xml:space="preserve"> </w:t>
      </w:r>
      <w:r w:rsidRPr="00662392">
        <w:rPr>
          <w:sz w:val="22"/>
          <w:szCs w:val="22"/>
        </w:rPr>
        <w:t xml:space="preserve">within its UFSAR and how future changes to surveillance frequencies in the SFCP will be addressed. </w:t>
      </w:r>
      <w:r w:rsidR="00062385">
        <w:rPr>
          <w:sz w:val="22"/>
          <w:szCs w:val="22"/>
        </w:rPr>
        <w:t xml:space="preserve"> </w:t>
      </w:r>
      <w:r w:rsidR="00707E92" w:rsidRPr="00662392">
        <w:rPr>
          <w:sz w:val="22"/>
          <w:szCs w:val="22"/>
        </w:rPr>
        <w:t>C</w:t>
      </w:r>
      <w:r w:rsidR="00C52CEE" w:rsidRPr="00662392">
        <w:rPr>
          <w:sz w:val="22"/>
          <w:szCs w:val="22"/>
        </w:rPr>
        <w:t xml:space="preserve">hanges to the SFCP are controlled in accordance with the requirements of </w:t>
      </w:r>
      <w:r w:rsidR="00707E92" w:rsidRPr="00662392">
        <w:rPr>
          <w:sz w:val="22"/>
          <w:szCs w:val="22"/>
        </w:rPr>
        <w:t xml:space="preserve">10 CFR </w:t>
      </w:r>
      <w:r w:rsidR="00C52CEE" w:rsidRPr="00662392">
        <w:rPr>
          <w:sz w:val="22"/>
          <w:szCs w:val="22"/>
        </w:rPr>
        <w:t xml:space="preserve">50.59. </w:t>
      </w:r>
      <w:r w:rsidR="00062385">
        <w:rPr>
          <w:sz w:val="22"/>
          <w:szCs w:val="22"/>
        </w:rPr>
        <w:t xml:space="preserve"> </w:t>
      </w:r>
      <w:r w:rsidRPr="00662392">
        <w:rPr>
          <w:sz w:val="22"/>
          <w:szCs w:val="22"/>
        </w:rPr>
        <w:t xml:space="preserve">However, 10 CFR 50.59 is not applicable to </w:t>
      </w:r>
      <w:r w:rsidR="00395C6F" w:rsidRPr="00662392">
        <w:rPr>
          <w:sz w:val="22"/>
          <w:szCs w:val="22"/>
        </w:rPr>
        <w:t>changes</w:t>
      </w:r>
      <w:r w:rsidR="005C3946" w:rsidRPr="00662392">
        <w:rPr>
          <w:sz w:val="22"/>
          <w:szCs w:val="22"/>
        </w:rPr>
        <w:t xml:space="preserve"> to </w:t>
      </w:r>
      <w:r w:rsidR="00F74D1A" w:rsidRPr="00662392">
        <w:rPr>
          <w:sz w:val="22"/>
          <w:szCs w:val="22"/>
        </w:rPr>
        <w:t xml:space="preserve">the specific </w:t>
      </w:r>
      <w:r w:rsidR="005C3946" w:rsidRPr="00662392">
        <w:rPr>
          <w:sz w:val="22"/>
          <w:szCs w:val="22"/>
        </w:rPr>
        <w:t>surveillance frequencies</w:t>
      </w:r>
      <w:r w:rsidR="00395C6F" w:rsidRPr="00662392">
        <w:rPr>
          <w:sz w:val="22"/>
          <w:szCs w:val="22"/>
        </w:rPr>
        <w:t xml:space="preserve"> </w:t>
      </w:r>
      <w:r w:rsidRPr="00662392">
        <w:rPr>
          <w:sz w:val="22"/>
          <w:szCs w:val="22"/>
        </w:rPr>
        <w:t xml:space="preserve">in accordance with </w:t>
      </w:r>
      <w:r w:rsidR="0094739D" w:rsidRPr="00662392">
        <w:rPr>
          <w:sz w:val="22"/>
          <w:szCs w:val="22"/>
        </w:rPr>
        <w:t>an approved</w:t>
      </w:r>
      <w:r w:rsidRPr="00662392">
        <w:rPr>
          <w:sz w:val="22"/>
          <w:szCs w:val="22"/>
        </w:rPr>
        <w:t xml:space="preserve"> SFCP</w:t>
      </w:r>
      <w:r w:rsidR="006A5903" w:rsidRPr="00662392">
        <w:rPr>
          <w:sz w:val="22"/>
          <w:szCs w:val="22"/>
        </w:rPr>
        <w:t>.</w:t>
      </w:r>
      <w:r w:rsidRPr="00662392">
        <w:rPr>
          <w:sz w:val="22"/>
          <w:szCs w:val="22"/>
        </w:rPr>
        <w:t xml:space="preserve"> </w:t>
      </w:r>
      <w:r w:rsidR="00451810" w:rsidRPr="00662392">
        <w:rPr>
          <w:sz w:val="22"/>
          <w:szCs w:val="22"/>
        </w:rPr>
        <w:t xml:space="preserve"> </w:t>
      </w:r>
    </w:p>
    <w:p w14:paraId="523F365F" w14:textId="6500B1E9" w:rsidR="007208C8" w:rsidRPr="00662392" w:rsidRDefault="007208C8" w:rsidP="00194415">
      <w:pPr>
        <w:rPr>
          <w:sz w:val="22"/>
          <w:szCs w:val="22"/>
        </w:rPr>
      </w:pPr>
    </w:p>
    <w:p w14:paraId="678FCA9B" w14:textId="42FF8E22" w:rsidR="007208C8" w:rsidRPr="00662392" w:rsidRDefault="00A310ED" w:rsidP="00194415">
      <w:pPr>
        <w:rPr>
          <w:sz w:val="22"/>
          <w:szCs w:val="22"/>
        </w:rPr>
      </w:pPr>
      <w:r w:rsidRPr="00662392">
        <w:rPr>
          <w:sz w:val="22"/>
          <w:szCs w:val="22"/>
        </w:rPr>
        <w:t>The</w:t>
      </w:r>
      <w:r w:rsidR="002301F0" w:rsidRPr="00662392">
        <w:rPr>
          <w:sz w:val="22"/>
          <w:szCs w:val="22"/>
        </w:rPr>
        <w:t xml:space="preserve"> guidance for the SFCP in NEI</w:t>
      </w:r>
      <w:r w:rsidRPr="00662392">
        <w:rPr>
          <w:sz w:val="22"/>
          <w:szCs w:val="22"/>
        </w:rPr>
        <w:t xml:space="preserve"> 04-10, refers to the commitment change process, which is addressed in </w:t>
      </w:r>
      <w:r w:rsidR="004322FC" w:rsidRPr="00662392">
        <w:rPr>
          <w:sz w:val="22"/>
          <w:szCs w:val="22"/>
        </w:rPr>
        <w:t>NEI 99-04, Revision 0, “Guidelines for Managing NRC Commitment Changes” (endorsed Regulatory Information Summary 00-017, “Managing Regulatory Commitments Made by Power Reactor Licensees to the NRC Staff”).</w:t>
      </w:r>
      <w:r w:rsidRPr="00662392">
        <w:rPr>
          <w:sz w:val="22"/>
          <w:szCs w:val="22"/>
        </w:rPr>
        <w:t xml:space="preserve"> </w:t>
      </w:r>
      <w:r w:rsidR="00A0079D" w:rsidRPr="00662392">
        <w:rPr>
          <w:sz w:val="22"/>
          <w:szCs w:val="22"/>
        </w:rPr>
        <w:t>Specifically, NEI 04-10 instructs licensee to review “regulatory commitments,” which are defined in NEI 99-04 as “an explicit statement to take a specific action agreed to, or volunteered by, a licensee and submitted in writing on the docket to the NRC.”</w:t>
      </w:r>
      <w:r w:rsidR="000C31C4">
        <w:rPr>
          <w:sz w:val="22"/>
          <w:szCs w:val="22"/>
        </w:rPr>
        <w:t xml:space="preserve">  </w:t>
      </w:r>
      <w:r w:rsidR="007208C8" w:rsidRPr="00662392">
        <w:rPr>
          <w:sz w:val="22"/>
          <w:szCs w:val="22"/>
        </w:rPr>
        <w:t xml:space="preserve">The commitment change process described in NEI 99-04 would result in a 10 CFR 50.59 review only if the regulatory commitment is </w:t>
      </w:r>
      <w:r w:rsidR="009E4FE7" w:rsidRPr="00662392">
        <w:rPr>
          <w:sz w:val="22"/>
          <w:szCs w:val="22"/>
        </w:rPr>
        <w:t>captured</w:t>
      </w:r>
      <w:r w:rsidR="007208C8" w:rsidRPr="00662392">
        <w:rPr>
          <w:sz w:val="22"/>
          <w:szCs w:val="22"/>
        </w:rPr>
        <w:t xml:space="preserve"> in the facility UFSAR or</w:t>
      </w:r>
      <w:r w:rsidR="00F50F3B" w:rsidRPr="00662392">
        <w:rPr>
          <w:sz w:val="22"/>
          <w:szCs w:val="22"/>
        </w:rPr>
        <w:t xml:space="preserve"> if</w:t>
      </w:r>
      <w:r w:rsidR="007208C8" w:rsidRPr="00662392">
        <w:rPr>
          <w:sz w:val="22"/>
          <w:szCs w:val="22"/>
        </w:rPr>
        <w:t xml:space="preserve"> a station procedure is changed.</w:t>
      </w:r>
      <w:r w:rsidR="000C31C4">
        <w:rPr>
          <w:sz w:val="22"/>
          <w:szCs w:val="22"/>
        </w:rPr>
        <w:t xml:space="preserve"> </w:t>
      </w:r>
      <w:r w:rsidR="007208C8" w:rsidRPr="00662392">
        <w:rPr>
          <w:sz w:val="22"/>
          <w:szCs w:val="22"/>
        </w:rPr>
        <w:t xml:space="preserve"> These types of changes </w:t>
      </w:r>
      <w:r w:rsidR="00CF22DE" w:rsidRPr="00662392">
        <w:rPr>
          <w:sz w:val="22"/>
          <w:szCs w:val="22"/>
        </w:rPr>
        <w:t xml:space="preserve">to the facility or procedures </w:t>
      </w:r>
      <w:r w:rsidR="007208C8" w:rsidRPr="00662392">
        <w:rPr>
          <w:sz w:val="22"/>
          <w:szCs w:val="22"/>
        </w:rPr>
        <w:t>are discussed in Section 06.</w:t>
      </w:r>
      <w:r w:rsidR="00CF22DE" w:rsidRPr="00662392">
        <w:rPr>
          <w:sz w:val="22"/>
          <w:szCs w:val="22"/>
        </w:rPr>
        <w:t>10</w:t>
      </w:r>
      <w:r w:rsidR="007208C8" w:rsidRPr="00662392">
        <w:rPr>
          <w:sz w:val="22"/>
          <w:szCs w:val="22"/>
        </w:rPr>
        <w:t>.</w:t>
      </w:r>
    </w:p>
    <w:p w14:paraId="34DA1794" w14:textId="77777777" w:rsidR="007C6D52" w:rsidRPr="00662392" w:rsidRDefault="007C6D52" w:rsidP="00194415">
      <w:pPr>
        <w:rPr>
          <w:sz w:val="22"/>
          <w:szCs w:val="22"/>
        </w:rPr>
      </w:pPr>
    </w:p>
    <w:p w14:paraId="082BE0CE" w14:textId="344370F5" w:rsidR="0018273E" w:rsidRPr="00662392" w:rsidRDefault="0018273E" w:rsidP="00194415">
      <w:pPr>
        <w:rPr>
          <w:sz w:val="22"/>
          <w:szCs w:val="22"/>
        </w:rPr>
      </w:pPr>
      <w:r w:rsidRPr="00662392">
        <w:rPr>
          <w:sz w:val="22"/>
          <w:szCs w:val="22"/>
        </w:rPr>
        <w:t>06.0</w:t>
      </w:r>
      <w:r w:rsidR="00B21B57" w:rsidRPr="00662392">
        <w:rPr>
          <w:sz w:val="22"/>
          <w:szCs w:val="22"/>
        </w:rPr>
        <w:t>7</w:t>
      </w:r>
      <w:r w:rsidRPr="00662392">
        <w:rPr>
          <w:sz w:val="22"/>
          <w:szCs w:val="22"/>
        </w:rPr>
        <w:tab/>
      </w:r>
      <w:r w:rsidR="0084498C" w:rsidRPr="00662392">
        <w:rPr>
          <w:sz w:val="22"/>
          <w:szCs w:val="22"/>
          <w:u w:val="single"/>
        </w:rPr>
        <w:t xml:space="preserve">Relationship Between </w:t>
      </w:r>
      <w:r w:rsidRPr="00662392">
        <w:rPr>
          <w:sz w:val="22"/>
          <w:szCs w:val="22"/>
          <w:u w:val="single"/>
        </w:rPr>
        <w:t xml:space="preserve">10 CFR 50.59 </w:t>
      </w:r>
      <w:r w:rsidR="0084498C" w:rsidRPr="00662392">
        <w:rPr>
          <w:sz w:val="22"/>
          <w:szCs w:val="22"/>
          <w:u w:val="single"/>
        </w:rPr>
        <w:t>and</w:t>
      </w:r>
      <w:r w:rsidRPr="00662392">
        <w:rPr>
          <w:sz w:val="22"/>
          <w:szCs w:val="22"/>
          <w:u w:val="single"/>
        </w:rPr>
        <w:t xml:space="preserve"> </w:t>
      </w:r>
      <w:r w:rsidRPr="00662392">
        <w:rPr>
          <w:color w:val="333333"/>
          <w:sz w:val="22"/>
          <w:szCs w:val="22"/>
          <w:u w:val="single"/>
          <w:shd w:val="clear" w:color="auto" w:fill="FFFFFF"/>
        </w:rPr>
        <w:t>10 CFR </w:t>
      </w:r>
      <w:r w:rsidRPr="00662392">
        <w:rPr>
          <w:sz w:val="22"/>
          <w:szCs w:val="22"/>
          <w:u w:val="single"/>
        </w:rPr>
        <w:t>50.155</w:t>
      </w:r>
      <w:r w:rsidR="0084498C" w:rsidRPr="00662392">
        <w:rPr>
          <w:sz w:val="22"/>
          <w:szCs w:val="22"/>
          <w:u w:val="single"/>
        </w:rPr>
        <w:fldChar w:fldCharType="begin"/>
      </w:r>
      <w:r w:rsidR="0084498C" w:rsidRPr="00662392">
        <w:rPr>
          <w:sz w:val="22"/>
          <w:szCs w:val="22"/>
        </w:rPr>
        <w:instrText xml:space="preserve"> TC "</w:instrText>
      </w:r>
      <w:bookmarkStart w:id="26" w:name="_Toc62642898"/>
      <w:bookmarkStart w:id="27" w:name="_Toc63142080"/>
      <w:r w:rsidR="0084498C" w:rsidRPr="00662392">
        <w:rPr>
          <w:sz w:val="22"/>
          <w:szCs w:val="22"/>
        </w:rPr>
        <w:instrText>06.07</w:instrText>
      </w:r>
      <w:r w:rsidR="0084498C" w:rsidRPr="00662392">
        <w:rPr>
          <w:sz w:val="22"/>
          <w:szCs w:val="22"/>
        </w:rPr>
        <w:tab/>
      </w:r>
      <w:r w:rsidR="0084498C" w:rsidRPr="00662392">
        <w:rPr>
          <w:sz w:val="22"/>
          <w:szCs w:val="22"/>
          <w:u w:val="single"/>
        </w:rPr>
        <w:instrText xml:space="preserve">Relationship Between 10 CFR 50.59 and </w:instrText>
      </w:r>
      <w:r w:rsidR="0084498C" w:rsidRPr="00662392">
        <w:rPr>
          <w:color w:val="333333"/>
          <w:sz w:val="22"/>
          <w:szCs w:val="22"/>
          <w:u w:val="single"/>
          <w:shd w:val="clear" w:color="auto" w:fill="FFFFFF"/>
        </w:rPr>
        <w:instrText>10 CFR </w:instrText>
      </w:r>
      <w:r w:rsidR="0084498C" w:rsidRPr="00662392">
        <w:rPr>
          <w:sz w:val="22"/>
          <w:szCs w:val="22"/>
          <w:u w:val="single"/>
        </w:rPr>
        <w:instrText>50.155</w:instrText>
      </w:r>
      <w:bookmarkEnd w:id="26"/>
      <w:bookmarkEnd w:id="27"/>
      <w:r w:rsidR="0084498C" w:rsidRPr="00662392">
        <w:rPr>
          <w:sz w:val="22"/>
          <w:szCs w:val="22"/>
        </w:rPr>
        <w:instrText xml:space="preserve">" \f C \l "2" </w:instrText>
      </w:r>
      <w:r w:rsidR="0084498C" w:rsidRPr="00662392">
        <w:rPr>
          <w:sz w:val="22"/>
          <w:szCs w:val="22"/>
          <w:u w:val="single"/>
        </w:rPr>
        <w:fldChar w:fldCharType="end"/>
      </w:r>
    </w:p>
    <w:p w14:paraId="165C0665" w14:textId="77777777" w:rsidR="0018273E" w:rsidRPr="00662392" w:rsidRDefault="0018273E" w:rsidP="00194415">
      <w:pPr>
        <w:rPr>
          <w:sz w:val="22"/>
          <w:szCs w:val="22"/>
        </w:rPr>
      </w:pPr>
    </w:p>
    <w:p w14:paraId="636E1613" w14:textId="3BB7EB99" w:rsidR="0018273E" w:rsidRPr="00662392" w:rsidRDefault="0018273E" w:rsidP="00194415">
      <w:pPr>
        <w:rPr>
          <w:sz w:val="22"/>
          <w:szCs w:val="22"/>
        </w:rPr>
      </w:pPr>
      <w:bookmarkStart w:id="28" w:name="_Hlk50473611"/>
      <w:r w:rsidRPr="00662392">
        <w:rPr>
          <w:sz w:val="22"/>
          <w:szCs w:val="22"/>
        </w:rPr>
        <w:t>10 CFR 50.155</w:t>
      </w:r>
      <w:bookmarkEnd w:id="28"/>
      <w:r w:rsidR="00517DD7" w:rsidRPr="00662392">
        <w:rPr>
          <w:sz w:val="22"/>
          <w:szCs w:val="22"/>
        </w:rPr>
        <w:t>, “Mitigation of beyond-design-basis events,”</w:t>
      </w:r>
      <w:r w:rsidRPr="00662392">
        <w:rPr>
          <w:sz w:val="22"/>
          <w:szCs w:val="22"/>
        </w:rPr>
        <w:t xml:space="preserve"> establishes the regulatory requirements for nuclear power reactor applicants and licensees to mitigate beyond-design-basis events (MBDBE).  10 CFR 50.155</w:t>
      </w:r>
      <w:r w:rsidR="00B10AC7" w:rsidRPr="00662392">
        <w:rPr>
          <w:sz w:val="22"/>
          <w:szCs w:val="22"/>
        </w:rPr>
        <w:t>(f)</w:t>
      </w:r>
      <w:r w:rsidRPr="00662392">
        <w:rPr>
          <w:sz w:val="22"/>
          <w:szCs w:val="22"/>
        </w:rPr>
        <w:t xml:space="preserve"> allows a licensee to make changes in the implementation of the requirements in the MBDBE rule without NRC approval</w:t>
      </w:r>
      <w:r w:rsidR="005643A5" w:rsidRPr="00662392">
        <w:rPr>
          <w:sz w:val="22"/>
          <w:szCs w:val="22"/>
        </w:rPr>
        <w:t>,</w:t>
      </w:r>
      <w:r w:rsidRPr="00662392">
        <w:rPr>
          <w:sz w:val="22"/>
          <w:szCs w:val="22"/>
        </w:rPr>
        <w:t xml:space="preserve"> provided that before implementing each such change the licensee demonstrates that the provisions of the 10 CFR 50.155 continue to be met</w:t>
      </w:r>
      <w:r w:rsidR="00B05785" w:rsidRPr="00662392">
        <w:rPr>
          <w:sz w:val="22"/>
          <w:szCs w:val="22"/>
        </w:rPr>
        <w:t xml:space="preserve"> and maintains documentation of changes until the requirements of </w:t>
      </w:r>
      <w:r w:rsidR="00674B50" w:rsidRPr="00662392">
        <w:rPr>
          <w:sz w:val="22"/>
          <w:szCs w:val="22"/>
        </w:rPr>
        <w:t xml:space="preserve">10 CFR 50.155 </w:t>
      </w:r>
      <w:r w:rsidR="00B05785" w:rsidRPr="00662392">
        <w:rPr>
          <w:sz w:val="22"/>
          <w:szCs w:val="22"/>
        </w:rPr>
        <w:t>no longer apply</w:t>
      </w:r>
      <w:r w:rsidRPr="00662392">
        <w:rPr>
          <w:sz w:val="22"/>
          <w:szCs w:val="22"/>
        </w:rPr>
        <w:t xml:space="preserve">.  As stated in the </w:t>
      </w:r>
      <w:r w:rsidR="008E38F8" w:rsidRPr="00662392">
        <w:rPr>
          <w:sz w:val="22"/>
          <w:szCs w:val="22"/>
        </w:rPr>
        <w:t xml:space="preserve">2019 </w:t>
      </w:r>
      <w:r w:rsidRPr="00662392">
        <w:rPr>
          <w:sz w:val="22"/>
          <w:szCs w:val="22"/>
        </w:rPr>
        <w:t xml:space="preserve">SOCs for </w:t>
      </w:r>
      <w:r w:rsidR="00217385" w:rsidRPr="00662392">
        <w:rPr>
          <w:sz w:val="22"/>
          <w:szCs w:val="22"/>
        </w:rPr>
        <w:t>the MBD</w:t>
      </w:r>
      <w:r w:rsidR="002F3121" w:rsidRPr="00662392">
        <w:rPr>
          <w:sz w:val="22"/>
          <w:szCs w:val="22"/>
        </w:rPr>
        <w:t>BE</w:t>
      </w:r>
      <w:r w:rsidR="005F4505" w:rsidRPr="00662392">
        <w:rPr>
          <w:sz w:val="22"/>
          <w:szCs w:val="22"/>
        </w:rPr>
        <w:t xml:space="preserve"> rule establishing </w:t>
      </w:r>
      <w:r w:rsidRPr="00662392">
        <w:rPr>
          <w:sz w:val="22"/>
          <w:szCs w:val="22"/>
        </w:rPr>
        <w:t>10 CFR 50.155</w:t>
      </w:r>
      <w:r w:rsidR="00F924A3" w:rsidRPr="00662392">
        <w:rPr>
          <w:sz w:val="22"/>
          <w:szCs w:val="22"/>
        </w:rPr>
        <w:t>,</w:t>
      </w:r>
      <w:r w:rsidRPr="00662392">
        <w:rPr>
          <w:sz w:val="22"/>
          <w:szCs w:val="22"/>
        </w:rPr>
        <w:t xml:space="preserve"> a licensee may intend to change its facility, procedures, or guideline sets to revise some aspect of beyond-design basis mitigation governed by the MBDBE rule in a manner that can impact multiple aspects of the facility, including design basis aspects of the facility subject to other regulations and change control processes.  This same change also could impact safety-related SSCs, either directly (e.g., a proposed change that impacts a physical connection of mitigation strategies equipment to a safety-related component or system) or indirectly (e.g., a proposed change that involves the physical location of mitigation equipment in the vicinity of safety-related equipment that presents a potential for adverse physical/spatial interactions with safety-related components).  As a result, 10 CFR 50.59 and other change control processes, as appropriate, need to be applied to evaluate the acceptability of the proposed change.</w:t>
      </w:r>
    </w:p>
    <w:p w14:paraId="1151B863" w14:textId="77777777" w:rsidR="0018273E" w:rsidRPr="00662392" w:rsidRDefault="0018273E" w:rsidP="00194415">
      <w:pPr>
        <w:rPr>
          <w:sz w:val="22"/>
          <w:szCs w:val="22"/>
        </w:rPr>
      </w:pPr>
    </w:p>
    <w:p w14:paraId="071B6D82" w14:textId="0C60B08C" w:rsidR="0018273E" w:rsidRPr="00662392" w:rsidRDefault="0018273E" w:rsidP="00194415">
      <w:pPr>
        <w:rPr>
          <w:sz w:val="22"/>
          <w:szCs w:val="22"/>
        </w:rPr>
      </w:pPr>
      <w:r w:rsidRPr="00662392">
        <w:rPr>
          <w:sz w:val="22"/>
          <w:szCs w:val="22"/>
        </w:rPr>
        <w:t xml:space="preserve">10 CFR 50.155(f)(2) </w:t>
      </w:r>
      <w:r w:rsidR="00EC1493" w:rsidRPr="00662392">
        <w:rPr>
          <w:sz w:val="22"/>
          <w:szCs w:val="22"/>
        </w:rPr>
        <w:t>serves</w:t>
      </w:r>
      <w:r w:rsidRPr="00662392">
        <w:rPr>
          <w:sz w:val="22"/>
          <w:szCs w:val="22"/>
        </w:rPr>
        <w:t xml:space="preserve"> to</w:t>
      </w:r>
      <w:r w:rsidRPr="00662392" w:rsidDel="00383881">
        <w:rPr>
          <w:sz w:val="22"/>
          <w:szCs w:val="22"/>
        </w:rPr>
        <w:t xml:space="preserve"> </w:t>
      </w:r>
      <w:r w:rsidRPr="00662392">
        <w:rPr>
          <w:sz w:val="22"/>
          <w:szCs w:val="22"/>
        </w:rPr>
        <w:t>identify that other change control requirements such as those in 10 CFR 50.59</w:t>
      </w:r>
      <w:r w:rsidRPr="00662392" w:rsidDel="00421E04">
        <w:rPr>
          <w:sz w:val="22"/>
          <w:szCs w:val="22"/>
        </w:rPr>
        <w:t>,</w:t>
      </w:r>
      <w:r w:rsidRPr="00662392">
        <w:rPr>
          <w:sz w:val="22"/>
          <w:szCs w:val="22"/>
        </w:rPr>
        <w:t xml:space="preserve"> </w:t>
      </w:r>
      <w:r w:rsidRPr="00662392" w:rsidDel="00421E04">
        <w:rPr>
          <w:sz w:val="22"/>
          <w:szCs w:val="22"/>
        </w:rPr>
        <w:t>10 CFR 50.54(p), 10 CFR 50.54(q), 10 CFR 73.58</w:t>
      </w:r>
      <w:r w:rsidR="00BC225A" w:rsidRPr="00662392" w:rsidDel="00421E04">
        <w:rPr>
          <w:sz w:val="22"/>
          <w:szCs w:val="22"/>
        </w:rPr>
        <w:t xml:space="preserve"> (within 10 CFR 73, “Physical protection of plants and materials,”)</w:t>
      </w:r>
      <w:r w:rsidRPr="00662392" w:rsidDel="00421E04">
        <w:rPr>
          <w:sz w:val="22"/>
          <w:szCs w:val="22"/>
        </w:rPr>
        <w:t xml:space="preserve"> and fire protection change controls </w:t>
      </w:r>
      <w:r w:rsidRPr="00662392">
        <w:rPr>
          <w:sz w:val="22"/>
          <w:szCs w:val="22"/>
        </w:rPr>
        <w:t xml:space="preserve">may apply </w:t>
      </w:r>
      <w:r w:rsidRPr="00662392" w:rsidDel="00C454E7">
        <w:rPr>
          <w:sz w:val="22"/>
          <w:szCs w:val="22"/>
        </w:rPr>
        <w:t>depending on the extent of the change and the aspects of the facility that are impacted</w:t>
      </w:r>
      <w:r w:rsidRPr="00662392">
        <w:rPr>
          <w:sz w:val="22"/>
          <w:szCs w:val="22"/>
        </w:rPr>
        <w:t xml:space="preserve">.  </w:t>
      </w:r>
      <w:r w:rsidR="00A40A2A" w:rsidRPr="00662392">
        <w:rPr>
          <w:sz w:val="22"/>
          <w:szCs w:val="22"/>
        </w:rPr>
        <w:t>As the 2019 SOCs explain, the MBDBE rule includes a provision intended to supplement the existing change control processes and focus on the beyon</w:t>
      </w:r>
      <w:r w:rsidR="006F0E1E" w:rsidRPr="00662392">
        <w:rPr>
          <w:sz w:val="22"/>
          <w:szCs w:val="22"/>
        </w:rPr>
        <w:t>d</w:t>
      </w:r>
      <w:r w:rsidR="00A40A2A" w:rsidRPr="00662392">
        <w:rPr>
          <w:sz w:val="22"/>
          <w:szCs w:val="22"/>
        </w:rPr>
        <w:t>-design-basis aspects of proposed</w:t>
      </w:r>
      <w:r w:rsidR="000C31C4">
        <w:rPr>
          <w:sz w:val="22"/>
          <w:szCs w:val="22"/>
        </w:rPr>
        <w:t xml:space="preserve"> </w:t>
      </w:r>
      <w:r w:rsidR="00A40A2A" w:rsidRPr="00662392">
        <w:rPr>
          <w:sz w:val="22"/>
          <w:szCs w:val="22"/>
        </w:rPr>
        <w:t xml:space="preserve">changes. </w:t>
      </w:r>
      <w:r w:rsidR="000C31C4">
        <w:rPr>
          <w:sz w:val="22"/>
          <w:szCs w:val="22"/>
        </w:rPr>
        <w:t xml:space="preserve"> </w:t>
      </w:r>
      <w:r w:rsidRPr="00662392">
        <w:rPr>
          <w:sz w:val="22"/>
          <w:szCs w:val="22"/>
        </w:rPr>
        <w:t>For example, a change to an SSC having both a beyond-design-basis function and a design-basis function would have the aspects of the change involving its beyond-design-basis functions addressed under 10 CFR 50.155(f) and the aspects of the change involving the design-basis functions addressed under 10 CFR 50.59 or any other applicable change control requirement.</w:t>
      </w:r>
    </w:p>
    <w:p w14:paraId="0DFBCC4D" w14:textId="0FD95D7F" w:rsidR="00A73105" w:rsidRPr="00662392" w:rsidRDefault="00A73105" w:rsidP="00194415">
      <w:pPr>
        <w:rPr>
          <w:sz w:val="22"/>
          <w:szCs w:val="22"/>
        </w:rPr>
      </w:pPr>
    </w:p>
    <w:p w14:paraId="40669099" w14:textId="4E0A5EA7" w:rsidR="00A73105" w:rsidRPr="00662392" w:rsidRDefault="0084498C" w:rsidP="00194415">
      <w:pPr>
        <w:rPr>
          <w:sz w:val="22"/>
          <w:szCs w:val="22"/>
        </w:rPr>
      </w:pPr>
      <w:bookmarkStart w:id="29" w:name="_Hlk7503941"/>
      <w:r w:rsidRPr="00662392">
        <w:rPr>
          <w:sz w:val="22"/>
          <w:szCs w:val="22"/>
        </w:rPr>
        <w:t>06.08</w:t>
      </w:r>
      <w:r w:rsidRPr="00662392">
        <w:rPr>
          <w:sz w:val="22"/>
          <w:szCs w:val="22"/>
        </w:rPr>
        <w:tab/>
      </w:r>
      <w:r w:rsidRPr="00662392">
        <w:rPr>
          <w:sz w:val="22"/>
          <w:szCs w:val="22"/>
          <w:u w:val="single"/>
        </w:rPr>
        <w:t>Applicability Determination</w:t>
      </w:r>
      <w:r w:rsidRPr="00662392">
        <w:rPr>
          <w:sz w:val="22"/>
          <w:szCs w:val="22"/>
          <w:u w:val="single"/>
        </w:rPr>
        <w:fldChar w:fldCharType="begin"/>
      </w:r>
      <w:r w:rsidRPr="00662392">
        <w:rPr>
          <w:sz w:val="22"/>
          <w:szCs w:val="22"/>
        </w:rPr>
        <w:instrText xml:space="preserve"> TC "</w:instrText>
      </w:r>
      <w:bookmarkStart w:id="30" w:name="_Toc62642899"/>
      <w:bookmarkStart w:id="31" w:name="_Toc63142081"/>
      <w:r w:rsidRPr="00662392">
        <w:rPr>
          <w:sz w:val="22"/>
          <w:szCs w:val="22"/>
        </w:rPr>
        <w:instrText>06.08</w:instrText>
      </w:r>
      <w:r w:rsidRPr="00662392">
        <w:rPr>
          <w:sz w:val="22"/>
          <w:szCs w:val="22"/>
        </w:rPr>
        <w:tab/>
      </w:r>
      <w:r w:rsidRPr="00662392">
        <w:rPr>
          <w:sz w:val="22"/>
          <w:szCs w:val="22"/>
          <w:u w:val="single"/>
        </w:rPr>
        <w:instrText>Applicability Determination</w:instrText>
      </w:r>
      <w:bookmarkEnd w:id="30"/>
      <w:bookmarkEnd w:id="31"/>
      <w:r w:rsidRPr="00662392">
        <w:rPr>
          <w:sz w:val="22"/>
          <w:szCs w:val="22"/>
        </w:rPr>
        <w:instrText xml:space="preserve">" \f C \l "2" </w:instrText>
      </w:r>
      <w:r w:rsidRPr="00662392">
        <w:rPr>
          <w:sz w:val="22"/>
          <w:szCs w:val="22"/>
          <w:u w:val="single"/>
        </w:rPr>
        <w:fldChar w:fldCharType="end"/>
      </w:r>
    </w:p>
    <w:p w14:paraId="39C61B2B" w14:textId="77777777" w:rsidR="00A73105" w:rsidRPr="00662392" w:rsidRDefault="00A73105" w:rsidP="00194415">
      <w:pPr>
        <w:rPr>
          <w:sz w:val="22"/>
          <w:szCs w:val="22"/>
        </w:rPr>
      </w:pPr>
    </w:p>
    <w:bookmarkEnd w:id="29"/>
    <w:p w14:paraId="5C5D8FB1" w14:textId="77777777" w:rsidR="000E0ACD" w:rsidRDefault="00861B97" w:rsidP="00194415">
      <w:pPr>
        <w:rPr>
          <w:sz w:val="22"/>
          <w:szCs w:val="22"/>
        </w:rPr>
        <w:sectPr w:rsidR="000E0ACD" w:rsidSect="00012998">
          <w:footerReference w:type="default" r:id="rId27"/>
          <w:pgSz w:w="12240" w:h="15840" w:code="1"/>
          <w:pgMar w:top="1440" w:right="1440" w:bottom="1440" w:left="1440" w:header="720" w:footer="720" w:gutter="0"/>
          <w:cols w:space="720"/>
          <w:noEndnote/>
          <w:docGrid w:linePitch="326"/>
        </w:sectPr>
      </w:pPr>
      <w:r w:rsidRPr="00662392">
        <w:rPr>
          <w:sz w:val="22"/>
          <w:szCs w:val="22"/>
        </w:rPr>
        <w:t>L</w:t>
      </w:r>
      <w:r w:rsidR="00A73105" w:rsidRPr="00662392">
        <w:rPr>
          <w:sz w:val="22"/>
          <w:szCs w:val="22"/>
        </w:rPr>
        <w:t xml:space="preserve">icensees </w:t>
      </w:r>
      <w:r w:rsidRPr="00662392">
        <w:rPr>
          <w:sz w:val="22"/>
          <w:szCs w:val="22"/>
        </w:rPr>
        <w:t xml:space="preserve">may perform </w:t>
      </w:r>
      <w:r w:rsidR="00A73105" w:rsidRPr="00662392">
        <w:rPr>
          <w:sz w:val="22"/>
          <w:szCs w:val="22"/>
        </w:rPr>
        <w:t>applicability determin</w:t>
      </w:r>
      <w:r w:rsidRPr="00662392">
        <w:rPr>
          <w:sz w:val="22"/>
          <w:szCs w:val="22"/>
        </w:rPr>
        <w:t xml:space="preserve">ations to ascertain whether </w:t>
      </w:r>
      <w:r w:rsidR="00A73105" w:rsidRPr="00662392">
        <w:rPr>
          <w:sz w:val="22"/>
          <w:szCs w:val="22"/>
        </w:rPr>
        <w:t>a 10 CFR 50.59 evaluation is required for a proposed CTE</w:t>
      </w:r>
      <w:r w:rsidR="00A73105" w:rsidRPr="000039FE">
        <w:rPr>
          <w:sz w:val="22"/>
          <w:szCs w:val="22"/>
        </w:rPr>
        <w:t xml:space="preserve">.  </w:t>
      </w:r>
      <w:r w:rsidR="000039FE" w:rsidRPr="000039FE">
        <w:rPr>
          <w:sz w:val="22"/>
          <w:szCs w:val="22"/>
        </w:rPr>
        <w:t>Note that 10 CFR 50.59 does not require the licensee to perform an applicability determination for the proposed CTE.</w:t>
      </w:r>
      <w:r w:rsidR="000039FE">
        <w:rPr>
          <w:sz w:val="22"/>
          <w:szCs w:val="22"/>
        </w:rPr>
        <w:t xml:space="preserve"> </w:t>
      </w:r>
      <w:r w:rsidR="000039FE" w:rsidRPr="000039FE">
        <w:rPr>
          <w:sz w:val="22"/>
          <w:szCs w:val="22"/>
        </w:rPr>
        <w:t xml:space="preserve"> </w:t>
      </w:r>
      <w:r w:rsidR="00A73105" w:rsidRPr="000039FE">
        <w:rPr>
          <w:sz w:val="22"/>
          <w:szCs w:val="22"/>
        </w:rPr>
        <w:t xml:space="preserve">For </w:t>
      </w:r>
      <w:r w:rsidR="00A73105" w:rsidRPr="00662392">
        <w:rPr>
          <w:sz w:val="22"/>
          <w:szCs w:val="22"/>
        </w:rPr>
        <w:t xml:space="preserve">example, as stated in 10 CFR 50.59(c)(4), an evaluation in accordance with 10 CFR 50.59(c)(2) is not </w:t>
      </w:r>
    </w:p>
    <w:p w14:paraId="1AF00F02" w14:textId="77777777" w:rsidR="000E0ACD" w:rsidRDefault="000E0ACD" w:rsidP="00194415">
      <w:pPr>
        <w:rPr>
          <w:sz w:val="22"/>
          <w:szCs w:val="22"/>
        </w:rPr>
      </w:pPr>
    </w:p>
    <w:p w14:paraId="3C43BADA" w14:textId="0C5E5BAF" w:rsidR="00A73105" w:rsidRPr="00662392" w:rsidRDefault="00A73105" w:rsidP="00194415">
      <w:pPr>
        <w:rPr>
          <w:sz w:val="22"/>
          <w:szCs w:val="22"/>
        </w:rPr>
      </w:pPr>
      <w:r w:rsidRPr="00662392">
        <w:rPr>
          <w:sz w:val="22"/>
          <w:szCs w:val="22"/>
        </w:rPr>
        <w:t>required when other applicable regulations establish more specific criteria for accomplishing a proposed CTE</w:t>
      </w:r>
      <w:r w:rsidR="00D7731B" w:rsidRPr="00662392">
        <w:rPr>
          <w:sz w:val="22"/>
          <w:szCs w:val="22"/>
        </w:rPr>
        <w:t>.</w:t>
      </w:r>
      <w:r w:rsidRPr="00662392">
        <w:rPr>
          <w:sz w:val="22"/>
          <w:szCs w:val="22"/>
        </w:rPr>
        <w:t xml:space="preserve">  In some instances, depending upon the nature of the proposed CTE, more than one regulation may apply to different aspects of the proposed CTE.</w:t>
      </w:r>
      <w:r w:rsidR="009702C1" w:rsidRPr="00662392">
        <w:rPr>
          <w:sz w:val="22"/>
          <w:szCs w:val="22"/>
        </w:rPr>
        <w:t xml:space="preserve">  </w:t>
      </w:r>
      <w:r w:rsidRPr="00662392">
        <w:rPr>
          <w:sz w:val="22"/>
          <w:szCs w:val="22"/>
        </w:rPr>
        <w:t xml:space="preserve">Licensees are responsible for determining if a change control process in another regulation other than 10 CFR 50.59 is applicable to the CTEs at issue.  </w:t>
      </w:r>
    </w:p>
    <w:p w14:paraId="0D63FFFB" w14:textId="54FDC1D9" w:rsidR="00A73105" w:rsidRPr="00662392" w:rsidRDefault="00A73105" w:rsidP="00194415">
      <w:pPr>
        <w:rPr>
          <w:sz w:val="22"/>
          <w:szCs w:val="22"/>
        </w:rPr>
      </w:pPr>
    </w:p>
    <w:p w14:paraId="505FE5B9" w14:textId="77777777" w:rsidR="00A73105" w:rsidRPr="00662392" w:rsidRDefault="00A73105" w:rsidP="00194415">
      <w:pPr>
        <w:rPr>
          <w:sz w:val="22"/>
          <w:szCs w:val="22"/>
        </w:rPr>
      </w:pPr>
      <w:r w:rsidRPr="00662392">
        <w:rPr>
          <w:sz w:val="22"/>
          <w:szCs w:val="22"/>
        </w:rPr>
        <w:t>Regulations that contain change control processes include but are not limited to:</w:t>
      </w:r>
    </w:p>
    <w:p w14:paraId="09FCC420" w14:textId="77777777" w:rsidR="00A73105" w:rsidRPr="00662392" w:rsidRDefault="00A73105" w:rsidP="00194415">
      <w:pPr>
        <w:rPr>
          <w:sz w:val="22"/>
          <w:szCs w:val="22"/>
        </w:rPr>
      </w:pPr>
    </w:p>
    <w:p w14:paraId="40FCB1E7" w14:textId="249F045A" w:rsidR="00A73105" w:rsidRPr="00662392" w:rsidRDefault="00A73105" w:rsidP="000C31C4">
      <w:pPr>
        <w:pStyle w:val="ListParagraph"/>
        <w:numPr>
          <w:ilvl w:val="0"/>
          <w:numId w:val="27"/>
        </w:numPr>
        <w:ind w:left="810" w:hanging="450"/>
        <w:rPr>
          <w:rFonts w:ascii="Arial" w:hAnsi="Arial" w:cs="Arial"/>
          <w:sz w:val="22"/>
          <w:szCs w:val="22"/>
        </w:rPr>
      </w:pPr>
      <w:r w:rsidRPr="00662392">
        <w:rPr>
          <w:rFonts w:ascii="Arial" w:hAnsi="Arial" w:cs="Arial"/>
          <w:sz w:val="22"/>
          <w:szCs w:val="22"/>
        </w:rPr>
        <w:t xml:space="preserve">10 CFR Part 20, Standards for </w:t>
      </w:r>
      <w:r w:rsidR="001229E3" w:rsidRPr="00662392">
        <w:rPr>
          <w:rFonts w:ascii="Arial" w:hAnsi="Arial" w:cs="Arial"/>
          <w:sz w:val="22"/>
          <w:szCs w:val="22"/>
        </w:rPr>
        <w:t>p</w:t>
      </w:r>
      <w:r w:rsidRPr="00662392">
        <w:rPr>
          <w:rFonts w:ascii="Arial" w:hAnsi="Arial" w:cs="Arial"/>
          <w:sz w:val="22"/>
          <w:szCs w:val="22"/>
        </w:rPr>
        <w:t xml:space="preserve">rotection </w:t>
      </w:r>
      <w:r w:rsidR="00636CE4" w:rsidRPr="00662392">
        <w:rPr>
          <w:rFonts w:ascii="Arial" w:hAnsi="Arial" w:cs="Arial"/>
          <w:sz w:val="22"/>
          <w:szCs w:val="22"/>
        </w:rPr>
        <w:t>a</w:t>
      </w:r>
      <w:r w:rsidRPr="00662392">
        <w:rPr>
          <w:rFonts w:ascii="Arial" w:hAnsi="Arial" w:cs="Arial"/>
          <w:sz w:val="22"/>
          <w:szCs w:val="22"/>
        </w:rPr>
        <w:t xml:space="preserve">gainst </w:t>
      </w:r>
      <w:r w:rsidR="00636CE4" w:rsidRPr="00662392">
        <w:rPr>
          <w:rFonts w:ascii="Arial" w:hAnsi="Arial" w:cs="Arial"/>
          <w:sz w:val="22"/>
          <w:szCs w:val="22"/>
        </w:rPr>
        <w:t>r</w:t>
      </w:r>
      <w:r w:rsidRPr="00662392">
        <w:rPr>
          <w:rFonts w:ascii="Arial" w:hAnsi="Arial" w:cs="Arial"/>
          <w:sz w:val="22"/>
          <w:szCs w:val="22"/>
        </w:rPr>
        <w:t>adiation,</w:t>
      </w:r>
    </w:p>
    <w:p w14:paraId="3941C030" w14:textId="0376C764" w:rsidR="00A73105" w:rsidRPr="00662392" w:rsidRDefault="00A73105" w:rsidP="000C31C4">
      <w:pPr>
        <w:pStyle w:val="ListParagraph"/>
        <w:numPr>
          <w:ilvl w:val="0"/>
          <w:numId w:val="27"/>
        </w:numPr>
        <w:ind w:left="810" w:hanging="450"/>
        <w:rPr>
          <w:rFonts w:ascii="Arial" w:hAnsi="Arial" w:cs="Arial"/>
          <w:sz w:val="22"/>
          <w:szCs w:val="22"/>
        </w:rPr>
      </w:pPr>
      <w:r w:rsidRPr="00662392">
        <w:rPr>
          <w:rFonts w:ascii="Arial" w:hAnsi="Arial" w:cs="Arial"/>
          <w:sz w:val="22"/>
          <w:szCs w:val="22"/>
        </w:rPr>
        <w:t xml:space="preserve">10 CFR 50.12, Specific </w:t>
      </w:r>
      <w:r w:rsidR="00636CE4" w:rsidRPr="00662392">
        <w:rPr>
          <w:rFonts w:ascii="Arial" w:hAnsi="Arial" w:cs="Arial"/>
          <w:sz w:val="22"/>
          <w:szCs w:val="22"/>
        </w:rPr>
        <w:t>e</w:t>
      </w:r>
      <w:r w:rsidRPr="00662392">
        <w:rPr>
          <w:rFonts w:ascii="Arial" w:hAnsi="Arial" w:cs="Arial"/>
          <w:sz w:val="22"/>
          <w:szCs w:val="22"/>
        </w:rPr>
        <w:t>xemptions,</w:t>
      </w:r>
    </w:p>
    <w:p w14:paraId="2A76C00A" w14:textId="2C54533B" w:rsidR="00A73105" w:rsidRPr="00662392" w:rsidRDefault="00A73105" w:rsidP="000C31C4">
      <w:pPr>
        <w:pStyle w:val="ListParagraph"/>
        <w:numPr>
          <w:ilvl w:val="0"/>
          <w:numId w:val="27"/>
        </w:numPr>
        <w:ind w:left="810" w:hanging="450"/>
        <w:rPr>
          <w:rFonts w:ascii="Arial" w:hAnsi="Arial" w:cs="Arial"/>
          <w:sz w:val="22"/>
          <w:szCs w:val="22"/>
        </w:rPr>
      </w:pPr>
      <w:r w:rsidRPr="00662392">
        <w:rPr>
          <w:rFonts w:ascii="Arial" w:hAnsi="Arial" w:cs="Arial"/>
          <w:sz w:val="22"/>
          <w:szCs w:val="22"/>
        </w:rPr>
        <w:t xml:space="preserve">10 CFR 50.46, Acceptance </w:t>
      </w:r>
      <w:r w:rsidR="002C2634" w:rsidRPr="00662392">
        <w:rPr>
          <w:rFonts w:ascii="Arial" w:hAnsi="Arial" w:cs="Arial"/>
          <w:sz w:val="22"/>
          <w:szCs w:val="22"/>
        </w:rPr>
        <w:t>c</w:t>
      </w:r>
      <w:r w:rsidRPr="00662392">
        <w:rPr>
          <w:rFonts w:ascii="Arial" w:hAnsi="Arial" w:cs="Arial"/>
          <w:sz w:val="22"/>
          <w:szCs w:val="22"/>
        </w:rPr>
        <w:t xml:space="preserve">riteria for </w:t>
      </w:r>
      <w:r w:rsidR="002C2634" w:rsidRPr="00662392">
        <w:rPr>
          <w:rFonts w:ascii="Arial" w:hAnsi="Arial" w:cs="Arial"/>
          <w:sz w:val="22"/>
          <w:szCs w:val="22"/>
        </w:rPr>
        <w:t>e</w:t>
      </w:r>
      <w:r w:rsidRPr="00662392">
        <w:rPr>
          <w:rFonts w:ascii="Arial" w:hAnsi="Arial" w:cs="Arial"/>
          <w:sz w:val="22"/>
          <w:szCs w:val="22"/>
        </w:rPr>
        <w:t xml:space="preserve">mergency </w:t>
      </w:r>
      <w:r w:rsidR="002C2634" w:rsidRPr="00662392">
        <w:rPr>
          <w:rFonts w:ascii="Arial" w:hAnsi="Arial" w:cs="Arial"/>
          <w:sz w:val="22"/>
          <w:szCs w:val="22"/>
        </w:rPr>
        <w:t>c</w:t>
      </w:r>
      <w:r w:rsidRPr="00662392">
        <w:rPr>
          <w:rFonts w:ascii="Arial" w:hAnsi="Arial" w:cs="Arial"/>
          <w:sz w:val="22"/>
          <w:szCs w:val="22"/>
        </w:rPr>
        <w:t xml:space="preserve">ore </w:t>
      </w:r>
      <w:r w:rsidR="002C2634" w:rsidRPr="00662392">
        <w:rPr>
          <w:rFonts w:ascii="Arial" w:hAnsi="Arial" w:cs="Arial"/>
          <w:sz w:val="22"/>
          <w:szCs w:val="22"/>
        </w:rPr>
        <w:t>c</w:t>
      </w:r>
      <w:r w:rsidRPr="00662392">
        <w:rPr>
          <w:rFonts w:ascii="Arial" w:hAnsi="Arial" w:cs="Arial"/>
          <w:sz w:val="22"/>
          <w:szCs w:val="22"/>
        </w:rPr>
        <w:t xml:space="preserve">ooling </w:t>
      </w:r>
      <w:r w:rsidR="002C2634" w:rsidRPr="00662392">
        <w:rPr>
          <w:rFonts w:ascii="Arial" w:hAnsi="Arial" w:cs="Arial"/>
          <w:sz w:val="22"/>
          <w:szCs w:val="22"/>
        </w:rPr>
        <w:t>s</w:t>
      </w:r>
      <w:r w:rsidRPr="00662392">
        <w:rPr>
          <w:rFonts w:ascii="Arial" w:hAnsi="Arial" w:cs="Arial"/>
          <w:sz w:val="22"/>
          <w:szCs w:val="22"/>
        </w:rPr>
        <w:t xml:space="preserve">ystems for </w:t>
      </w:r>
      <w:r w:rsidR="002C2634" w:rsidRPr="00662392">
        <w:rPr>
          <w:rFonts w:ascii="Arial" w:hAnsi="Arial" w:cs="Arial"/>
          <w:sz w:val="22"/>
          <w:szCs w:val="22"/>
        </w:rPr>
        <w:t>l</w:t>
      </w:r>
      <w:r w:rsidRPr="00662392">
        <w:rPr>
          <w:rFonts w:ascii="Arial" w:hAnsi="Arial" w:cs="Arial"/>
          <w:sz w:val="22"/>
          <w:szCs w:val="22"/>
        </w:rPr>
        <w:t>ight-</w:t>
      </w:r>
    </w:p>
    <w:p w14:paraId="28B207DE" w14:textId="12AC3ADA" w:rsidR="00A73105" w:rsidRPr="00662392" w:rsidRDefault="002C2634" w:rsidP="000C31C4">
      <w:pPr>
        <w:pStyle w:val="ListParagraph"/>
        <w:ind w:left="810"/>
        <w:rPr>
          <w:rFonts w:ascii="Arial" w:hAnsi="Arial" w:cs="Arial"/>
          <w:sz w:val="22"/>
          <w:szCs w:val="22"/>
        </w:rPr>
      </w:pPr>
      <w:r w:rsidRPr="00662392">
        <w:rPr>
          <w:rFonts w:ascii="Arial" w:hAnsi="Arial" w:cs="Arial"/>
          <w:sz w:val="22"/>
          <w:szCs w:val="22"/>
        </w:rPr>
        <w:t>w</w:t>
      </w:r>
      <w:r w:rsidR="00A73105" w:rsidRPr="00662392">
        <w:rPr>
          <w:rFonts w:ascii="Arial" w:hAnsi="Arial" w:cs="Arial"/>
          <w:sz w:val="22"/>
          <w:szCs w:val="22"/>
        </w:rPr>
        <w:t xml:space="preserve">ater </w:t>
      </w:r>
      <w:r w:rsidRPr="00662392">
        <w:rPr>
          <w:rFonts w:ascii="Arial" w:hAnsi="Arial" w:cs="Arial"/>
          <w:sz w:val="22"/>
          <w:szCs w:val="22"/>
        </w:rPr>
        <w:t>n</w:t>
      </w:r>
      <w:r w:rsidR="00A73105" w:rsidRPr="00662392">
        <w:rPr>
          <w:rFonts w:ascii="Arial" w:hAnsi="Arial" w:cs="Arial"/>
          <w:sz w:val="22"/>
          <w:szCs w:val="22"/>
        </w:rPr>
        <w:t xml:space="preserve">uclear </w:t>
      </w:r>
      <w:r w:rsidRPr="00662392">
        <w:rPr>
          <w:rFonts w:ascii="Arial" w:hAnsi="Arial" w:cs="Arial"/>
          <w:sz w:val="22"/>
          <w:szCs w:val="22"/>
        </w:rPr>
        <w:t>p</w:t>
      </w:r>
      <w:r w:rsidR="00A73105" w:rsidRPr="00662392">
        <w:rPr>
          <w:rFonts w:ascii="Arial" w:hAnsi="Arial" w:cs="Arial"/>
          <w:sz w:val="22"/>
          <w:szCs w:val="22"/>
        </w:rPr>
        <w:t xml:space="preserve">ower </w:t>
      </w:r>
      <w:r w:rsidRPr="00662392">
        <w:rPr>
          <w:rFonts w:ascii="Arial" w:hAnsi="Arial" w:cs="Arial"/>
          <w:sz w:val="22"/>
          <w:szCs w:val="22"/>
        </w:rPr>
        <w:t>r</w:t>
      </w:r>
      <w:r w:rsidR="00A73105" w:rsidRPr="00662392">
        <w:rPr>
          <w:rFonts w:ascii="Arial" w:hAnsi="Arial" w:cs="Arial"/>
          <w:sz w:val="22"/>
          <w:szCs w:val="22"/>
        </w:rPr>
        <w:t>eactors,</w:t>
      </w:r>
    </w:p>
    <w:p w14:paraId="50E48705" w14:textId="6FDF31D5" w:rsidR="00A73105" w:rsidRPr="00662392" w:rsidRDefault="00A73105" w:rsidP="000C31C4">
      <w:pPr>
        <w:pStyle w:val="ListParagraph"/>
        <w:numPr>
          <w:ilvl w:val="0"/>
          <w:numId w:val="27"/>
        </w:numPr>
        <w:ind w:left="810" w:hanging="450"/>
        <w:rPr>
          <w:rFonts w:ascii="Arial" w:hAnsi="Arial" w:cs="Arial"/>
          <w:sz w:val="22"/>
          <w:szCs w:val="22"/>
        </w:rPr>
      </w:pPr>
      <w:r w:rsidRPr="00662392">
        <w:rPr>
          <w:rFonts w:ascii="Arial" w:hAnsi="Arial" w:cs="Arial"/>
          <w:sz w:val="22"/>
          <w:szCs w:val="22"/>
        </w:rPr>
        <w:t xml:space="preserve">10 CFR 50.54, Conditions of </w:t>
      </w:r>
      <w:r w:rsidR="006A04D4" w:rsidRPr="00662392">
        <w:rPr>
          <w:rFonts w:ascii="Arial" w:hAnsi="Arial" w:cs="Arial"/>
          <w:sz w:val="22"/>
          <w:szCs w:val="22"/>
        </w:rPr>
        <w:t>l</w:t>
      </w:r>
      <w:r w:rsidRPr="00662392">
        <w:rPr>
          <w:rFonts w:ascii="Arial" w:hAnsi="Arial" w:cs="Arial"/>
          <w:sz w:val="22"/>
          <w:szCs w:val="22"/>
        </w:rPr>
        <w:t>icenses,</w:t>
      </w:r>
    </w:p>
    <w:p w14:paraId="6A1CAD92" w14:textId="6087A03A" w:rsidR="00A73105" w:rsidRPr="00662392" w:rsidRDefault="00A73105" w:rsidP="000C31C4">
      <w:pPr>
        <w:pStyle w:val="ListParagraph"/>
        <w:numPr>
          <w:ilvl w:val="0"/>
          <w:numId w:val="27"/>
        </w:numPr>
        <w:ind w:left="810" w:hanging="450"/>
        <w:rPr>
          <w:rFonts w:ascii="Arial" w:hAnsi="Arial" w:cs="Arial"/>
          <w:sz w:val="22"/>
          <w:szCs w:val="22"/>
        </w:rPr>
      </w:pPr>
      <w:r w:rsidRPr="00662392">
        <w:rPr>
          <w:rFonts w:ascii="Arial" w:hAnsi="Arial" w:cs="Arial"/>
          <w:sz w:val="22"/>
          <w:szCs w:val="22"/>
        </w:rPr>
        <w:t xml:space="preserve">10 CFR 50.55a, Codes and </w:t>
      </w:r>
      <w:r w:rsidR="006A04D4" w:rsidRPr="00662392">
        <w:rPr>
          <w:rFonts w:ascii="Arial" w:hAnsi="Arial" w:cs="Arial"/>
          <w:sz w:val="22"/>
          <w:szCs w:val="22"/>
        </w:rPr>
        <w:t>s</w:t>
      </w:r>
      <w:r w:rsidRPr="00662392">
        <w:rPr>
          <w:rFonts w:ascii="Arial" w:hAnsi="Arial" w:cs="Arial"/>
          <w:sz w:val="22"/>
          <w:szCs w:val="22"/>
        </w:rPr>
        <w:t>tandards, and</w:t>
      </w:r>
    </w:p>
    <w:p w14:paraId="2FF515C5" w14:textId="65CDFF07" w:rsidR="00A73105" w:rsidRPr="000C31C4" w:rsidRDefault="00A73105" w:rsidP="000C31C4">
      <w:pPr>
        <w:pStyle w:val="ListParagraph"/>
        <w:numPr>
          <w:ilvl w:val="0"/>
          <w:numId w:val="27"/>
        </w:numPr>
        <w:ind w:left="810" w:hanging="450"/>
        <w:rPr>
          <w:rFonts w:ascii="Arial" w:hAnsi="Arial" w:cs="Arial"/>
          <w:sz w:val="22"/>
          <w:szCs w:val="22"/>
        </w:rPr>
      </w:pPr>
      <w:r w:rsidRPr="000C31C4">
        <w:rPr>
          <w:rFonts w:ascii="Arial" w:hAnsi="Arial" w:cs="Arial"/>
          <w:sz w:val="22"/>
          <w:szCs w:val="22"/>
        </w:rPr>
        <w:t xml:space="preserve">10 CFR 50.65, </w:t>
      </w:r>
      <w:r w:rsidR="00F6529E" w:rsidRPr="000C31C4">
        <w:rPr>
          <w:rFonts w:ascii="Arial" w:hAnsi="Arial" w:cs="Arial"/>
          <w:sz w:val="22"/>
          <w:szCs w:val="22"/>
        </w:rPr>
        <w:t>r</w:t>
      </w:r>
      <w:r w:rsidRPr="000C31C4">
        <w:rPr>
          <w:rFonts w:ascii="Arial" w:hAnsi="Arial" w:cs="Arial"/>
          <w:sz w:val="22"/>
          <w:szCs w:val="22"/>
        </w:rPr>
        <w:t xml:space="preserve">equirements for </w:t>
      </w:r>
      <w:r w:rsidR="00F6529E" w:rsidRPr="000C31C4">
        <w:rPr>
          <w:rFonts w:ascii="Arial" w:hAnsi="Arial" w:cs="Arial"/>
          <w:sz w:val="22"/>
          <w:szCs w:val="22"/>
        </w:rPr>
        <w:t>m</w:t>
      </w:r>
      <w:r w:rsidRPr="000C31C4">
        <w:rPr>
          <w:rFonts w:ascii="Arial" w:hAnsi="Arial" w:cs="Arial"/>
          <w:sz w:val="22"/>
          <w:szCs w:val="22"/>
        </w:rPr>
        <w:t xml:space="preserve">onitoring the </w:t>
      </w:r>
      <w:r w:rsidR="00F6529E" w:rsidRPr="000C31C4">
        <w:rPr>
          <w:rFonts w:ascii="Arial" w:hAnsi="Arial" w:cs="Arial"/>
          <w:sz w:val="22"/>
          <w:szCs w:val="22"/>
        </w:rPr>
        <w:t>e</w:t>
      </w:r>
      <w:r w:rsidRPr="000C31C4">
        <w:rPr>
          <w:rFonts w:ascii="Arial" w:hAnsi="Arial" w:cs="Arial"/>
          <w:sz w:val="22"/>
          <w:szCs w:val="22"/>
        </w:rPr>
        <w:t xml:space="preserve">ffectiveness of </w:t>
      </w:r>
      <w:r w:rsidR="00F6529E" w:rsidRPr="000C31C4">
        <w:rPr>
          <w:rFonts w:ascii="Arial" w:hAnsi="Arial" w:cs="Arial"/>
          <w:sz w:val="22"/>
          <w:szCs w:val="22"/>
        </w:rPr>
        <w:t>m</w:t>
      </w:r>
      <w:r w:rsidRPr="000C31C4">
        <w:rPr>
          <w:rFonts w:ascii="Arial" w:hAnsi="Arial" w:cs="Arial"/>
          <w:sz w:val="22"/>
          <w:szCs w:val="22"/>
        </w:rPr>
        <w:t xml:space="preserve">aintenance at </w:t>
      </w:r>
      <w:r w:rsidR="00F6529E" w:rsidRPr="000C31C4">
        <w:rPr>
          <w:rFonts w:ascii="Arial" w:hAnsi="Arial" w:cs="Arial"/>
          <w:sz w:val="22"/>
          <w:szCs w:val="22"/>
        </w:rPr>
        <w:t>n</w:t>
      </w:r>
      <w:r w:rsidRPr="000C31C4">
        <w:rPr>
          <w:rFonts w:ascii="Arial" w:hAnsi="Arial" w:cs="Arial"/>
          <w:sz w:val="22"/>
          <w:szCs w:val="22"/>
        </w:rPr>
        <w:t xml:space="preserve">uclear </w:t>
      </w:r>
      <w:r w:rsidR="00F6529E" w:rsidRPr="000C31C4">
        <w:rPr>
          <w:rFonts w:ascii="Arial" w:hAnsi="Arial" w:cs="Arial"/>
          <w:sz w:val="22"/>
          <w:szCs w:val="22"/>
        </w:rPr>
        <w:t>p</w:t>
      </w:r>
      <w:r w:rsidRPr="000C31C4">
        <w:rPr>
          <w:rFonts w:ascii="Arial" w:hAnsi="Arial" w:cs="Arial"/>
          <w:sz w:val="22"/>
          <w:szCs w:val="22"/>
        </w:rPr>
        <w:t xml:space="preserve">ower </w:t>
      </w:r>
      <w:r w:rsidR="00F6529E" w:rsidRPr="000C31C4">
        <w:rPr>
          <w:rFonts w:ascii="Arial" w:hAnsi="Arial" w:cs="Arial"/>
          <w:sz w:val="22"/>
          <w:szCs w:val="22"/>
        </w:rPr>
        <w:t>p</w:t>
      </w:r>
      <w:r w:rsidRPr="000C31C4">
        <w:rPr>
          <w:rFonts w:ascii="Arial" w:hAnsi="Arial" w:cs="Arial"/>
          <w:sz w:val="22"/>
          <w:szCs w:val="22"/>
        </w:rPr>
        <w:t>lants.</w:t>
      </w:r>
    </w:p>
    <w:p w14:paraId="6850FB02" w14:textId="77777777" w:rsidR="00A73105" w:rsidRPr="00662392" w:rsidRDefault="00A73105" w:rsidP="000C31C4">
      <w:pPr>
        <w:rPr>
          <w:sz w:val="22"/>
          <w:szCs w:val="22"/>
        </w:rPr>
      </w:pPr>
    </w:p>
    <w:p w14:paraId="5C84DE67" w14:textId="19C9DC90" w:rsidR="00A73105" w:rsidRPr="00662392" w:rsidRDefault="00A73105" w:rsidP="00194415">
      <w:pPr>
        <w:widowControl/>
        <w:rPr>
          <w:sz w:val="22"/>
          <w:szCs w:val="22"/>
        </w:rPr>
      </w:pPr>
      <w:r w:rsidRPr="00662392">
        <w:rPr>
          <w:sz w:val="22"/>
          <w:szCs w:val="22"/>
        </w:rPr>
        <w:t xml:space="preserve">A few examples </w:t>
      </w:r>
      <w:r w:rsidR="000F7521" w:rsidRPr="00662392">
        <w:rPr>
          <w:sz w:val="22"/>
          <w:szCs w:val="22"/>
        </w:rPr>
        <w:t xml:space="preserve">of </w:t>
      </w:r>
      <w:r w:rsidRPr="00662392">
        <w:rPr>
          <w:sz w:val="22"/>
          <w:szCs w:val="22"/>
        </w:rPr>
        <w:t>the above-mentioned change control processes that may govern the CTE</w:t>
      </w:r>
      <w:r w:rsidR="0036394F" w:rsidRPr="00662392">
        <w:rPr>
          <w:sz w:val="22"/>
          <w:szCs w:val="22"/>
        </w:rPr>
        <w:t xml:space="preserve"> include</w:t>
      </w:r>
      <w:r w:rsidRPr="00662392">
        <w:rPr>
          <w:sz w:val="22"/>
          <w:szCs w:val="22"/>
        </w:rPr>
        <w:t>:</w:t>
      </w:r>
    </w:p>
    <w:p w14:paraId="701F3BBA" w14:textId="77777777" w:rsidR="00194415" w:rsidRPr="00662392" w:rsidRDefault="00194415" w:rsidP="00194415">
      <w:pPr>
        <w:widowControl/>
        <w:rPr>
          <w:sz w:val="22"/>
          <w:szCs w:val="22"/>
        </w:rPr>
      </w:pPr>
    </w:p>
    <w:p w14:paraId="7054EF08" w14:textId="77777777" w:rsidR="00A73105" w:rsidRPr="00662392" w:rsidRDefault="00A73105" w:rsidP="00194415">
      <w:pPr>
        <w:pStyle w:val="ListParagraph"/>
        <w:numPr>
          <w:ilvl w:val="0"/>
          <w:numId w:val="4"/>
        </w:numPr>
        <w:rPr>
          <w:rFonts w:ascii="Arial" w:hAnsi="Arial" w:cs="Arial"/>
          <w:sz w:val="22"/>
          <w:szCs w:val="22"/>
        </w:rPr>
      </w:pPr>
      <w:r w:rsidRPr="00662392">
        <w:rPr>
          <w:rFonts w:ascii="Arial" w:hAnsi="Arial" w:cs="Arial"/>
          <w:sz w:val="22"/>
          <w:szCs w:val="22"/>
        </w:rPr>
        <w:t>changes to procedures involved with the quality assurance plan that may be described in the UFSAR, but where 10 CFR 50.54(a) establishes criteria and reporting requirements for such changes,</w:t>
      </w:r>
    </w:p>
    <w:p w14:paraId="0562E90A" w14:textId="77777777" w:rsidR="00A73105" w:rsidRPr="00662392" w:rsidRDefault="00A73105" w:rsidP="00194415">
      <w:pPr>
        <w:pStyle w:val="ListParagraph"/>
        <w:numPr>
          <w:ilvl w:val="0"/>
          <w:numId w:val="4"/>
        </w:numPr>
        <w:rPr>
          <w:rFonts w:ascii="Arial" w:hAnsi="Arial" w:cs="Arial"/>
          <w:sz w:val="22"/>
          <w:szCs w:val="22"/>
        </w:rPr>
      </w:pPr>
      <w:r w:rsidRPr="00662392">
        <w:rPr>
          <w:rFonts w:ascii="Arial" w:hAnsi="Arial" w:cs="Arial"/>
          <w:sz w:val="22"/>
          <w:szCs w:val="22"/>
        </w:rPr>
        <w:t xml:space="preserve">changes to physical security plan or guard training and qualification plan covered by 10 CFR 50.54(p), </w:t>
      </w:r>
    </w:p>
    <w:p w14:paraId="3E92E419" w14:textId="77777777" w:rsidR="00A73105" w:rsidRPr="00662392" w:rsidRDefault="00A73105" w:rsidP="00194415">
      <w:pPr>
        <w:pStyle w:val="ListParagraph"/>
        <w:numPr>
          <w:ilvl w:val="0"/>
          <w:numId w:val="4"/>
        </w:numPr>
        <w:rPr>
          <w:rFonts w:ascii="Arial" w:hAnsi="Arial" w:cs="Arial"/>
          <w:sz w:val="22"/>
          <w:szCs w:val="22"/>
        </w:rPr>
      </w:pPr>
      <w:r w:rsidRPr="00662392">
        <w:rPr>
          <w:rFonts w:ascii="Arial" w:hAnsi="Arial" w:cs="Arial"/>
          <w:sz w:val="22"/>
          <w:szCs w:val="22"/>
        </w:rPr>
        <w:t>changes to emergency response facilities covered by 10 CFR 50.54(q), and</w:t>
      </w:r>
    </w:p>
    <w:p w14:paraId="24456727" w14:textId="77777777" w:rsidR="00A73105" w:rsidRPr="00662392" w:rsidRDefault="00A73105" w:rsidP="00194415">
      <w:pPr>
        <w:pStyle w:val="ListParagraph"/>
        <w:numPr>
          <w:ilvl w:val="0"/>
          <w:numId w:val="4"/>
        </w:numPr>
        <w:rPr>
          <w:rFonts w:ascii="Arial" w:hAnsi="Arial" w:cs="Arial"/>
          <w:sz w:val="22"/>
          <w:szCs w:val="22"/>
        </w:rPr>
      </w:pPr>
      <w:r w:rsidRPr="00662392">
        <w:rPr>
          <w:rFonts w:ascii="Arial" w:hAnsi="Arial" w:cs="Arial"/>
          <w:sz w:val="22"/>
          <w:szCs w:val="22"/>
        </w:rPr>
        <w:t xml:space="preserve">loss-of-coolant accident evaluation methods covered by 10 CFR 50.46. </w:t>
      </w:r>
    </w:p>
    <w:p w14:paraId="20E49B78" w14:textId="77777777" w:rsidR="00A73105" w:rsidRPr="00662392" w:rsidRDefault="00A73105" w:rsidP="00194415">
      <w:pPr>
        <w:rPr>
          <w:sz w:val="22"/>
          <w:szCs w:val="22"/>
        </w:rPr>
      </w:pPr>
    </w:p>
    <w:bookmarkEnd w:id="24"/>
    <w:p w14:paraId="63DC13FE" w14:textId="1B6D6C22" w:rsidR="0018273E" w:rsidRPr="00662392" w:rsidRDefault="0084498C" w:rsidP="00194415">
      <w:pPr>
        <w:rPr>
          <w:sz w:val="22"/>
          <w:szCs w:val="22"/>
        </w:rPr>
      </w:pPr>
      <w:r w:rsidRPr="00662392">
        <w:rPr>
          <w:sz w:val="22"/>
          <w:szCs w:val="22"/>
        </w:rPr>
        <w:t>06.09</w:t>
      </w:r>
      <w:r w:rsidRPr="00662392">
        <w:rPr>
          <w:sz w:val="22"/>
          <w:szCs w:val="22"/>
        </w:rPr>
        <w:tab/>
      </w:r>
      <w:r w:rsidRPr="00662392">
        <w:rPr>
          <w:sz w:val="22"/>
          <w:szCs w:val="22"/>
          <w:u w:val="single"/>
        </w:rPr>
        <w:t>Screening</w:t>
      </w:r>
      <w:r w:rsidRPr="00662392">
        <w:rPr>
          <w:sz w:val="22"/>
          <w:szCs w:val="22"/>
          <w:u w:val="single"/>
        </w:rPr>
        <w:fldChar w:fldCharType="begin"/>
      </w:r>
      <w:r w:rsidRPr="00662392">
        <w:rPr>
          <w:sz w:val="22"/>
          <w:szCs w:val="22"/>
        </w:rPr>
        <w:instrText xml:space="preserve"> TC "</w:instrText>
      </w:r>
      <w:bookmarkStart w:id="32" w:name="_Toc62642900"/>
      <w:bookmarkStart w:id="33" w:name="_Toc63142082"/>
      <w:r w:rsidRPr="00662392">
        <w:rPr>
          <w:sz w:val="22"/>
          <w:szCs w:val="22"/>
        </w:rPr>
        <w:instrText>06.09</w:instrText>
      </w:r>
      <w:r w:rsidRPr="00662392">
        <w:rPr>
          <w:sz w:val="22"/>
          <w:szCs w:val="22"/>
        </w:rPr>
        <w:tab/>
      </w:r>
      <w:r w:rsidRPr="00662392">
        <w:rPr>
          <w:sz w:val="22"/>
          <w:szCs w:val="22"/>
          <w:u w:val="single"/>
        </w:rPr>
        <w:instrText>Screening</w:instrText>
      </w:r>
      <w:bookmarkEnd w:id="32"/>
      <w:bookmarkEnd w:id="33"/>
      <w:r w:rsidRPr="00662392">
        <w:rPr>
          <w:sz w:val="22"/>
          <w:szCs w:val="22"/>
        </w:rPr>
        <w:instrText xml:space="preserve">" \f C \l "2" </w:instrText>
      </w:r>
      <w:r w:rsidRPr="00662392">
        <w:rPr>
          <w:sz w:val="22"/>
          <w:szCs w:val="22"/>
          <w:u w:val="single"/>
        </w:rPr>
        <w:fldChar w:fldCharType="end"/>
      </w:r>
    </w:p>
    <w:p w14:paraId="0CF7DB75" w14:textId="77777777" w:rsidR="0018273E" w:rsidRPr="00662392" w:rsidRDefault="0018273E" w:rsidP="00194415">
      <w:pPr>
        <w:rPr>
          <w:sz w:val="22"/>
          <w:szCs w:val="22"/>
        </w:rPr>
      </w:pPr>
    </w:p>
    <w:p w14:paraId="1BAAC55D" w14:textId="2F755D35" w:rsidR="0018273E" w:rsidRPr="00662392" w:rsidRDefault="00EC0363" w:rsidP="00194415">
      <w:pPr>
        <w:rPr>
          <w:sz w:val="22"/>
          <w:szCs w:val="22"/>
        </w:rPr>
      </w:pPr>
      <w:r w:rsidRPr="00662392">
        <w:rPr>
          <w:sz w:val="22"/>
          <w:szCs w:val="22"/>
        </w:rPr>
        <w:t>Once a licensee determines that 10 CFR 50.59 is applicable (e.g., change control process in another regulation does not fully encompass the proposed CTE), the licensee may perform screening to determine if the proposed activity requires evaluation against the criteria in 10 CFR 50.59(c)(2).</w:t>
      </w:r>
      <w:r w:rsidR="0018273E" w:rsidRPr="00662392">
        <w:rPr>
          <w:sz w:val="22"/>
          <w:szCs w:val="22"/>
        </w:rPr>
        <w:t xml:space="preserve">  Note that 10 CFR 50.59 does not require the licensee to screen the proposed CTE.  However, it does require the licensee to obtain a license amendment pursuant to 10 CFR 50.90 prior to implementing a proposed CTE if any of the criteria in 10 CFR 50.59(c)(2) are met.  The licensee may forgo screening the proposed CTE and perform an evaluation of the criteria in 10 CFR 50.59(c)(2).  </w:t>
      </w:r>
    </w:p>
    <w:p w14:paraId="01623A8F" w14:textId="77777777" w:rsidR="0018273E" w:rsidRPr="00662392" w:rsidRDefault="0018273E" w:rsidP="00194415">
      <w:pPr>
        <w:rPr>
          <w:sz w:val="22"/>
          <w:szCs w:val="22"/>
        </w:rPr>
      </w:pPr>
    </w:p>
    <w:p w14:paraId="73A0B26A" w14:textId="77777777" w:rsidR="000E0ACD" w:rsidRDefault="0018273E" w:rsidP="00194415">
      <w:pPr>
        <w:widowControl/>
        <w:rPr>
          <w:sz w:val="22"/>
          <w:szCs w:val="22"/>
        </w:rPr>
        <w:sectPr w:rsidR="000E0ACD" w:rsidSect="00012998">
          <w:footerReference w:type="default" r:id="rId28"/>
          <w:pgSz w:w="12240" w:h="15840" w:code="1"/>
          <w:pgMar w:top="1440" w:right="1440" w:bottom="1440" w:left="1440" w:header="720" w:footer="720" w:gutter="0"/>
          <w:cols w:space="720"/>
          <w:noEndnote/>
          <w:docGrid w:linePitch="326"/>
        </w:sectPr>
      </w:pPr>
      <w:bookmarkStart w:id="34" w:name="_Hlk51250925"/>
      <w:r w:rsidRPr="00662392">
        <w:rPr>
          <w:sz w:val="22"/>
          <w:szCs w:val="22"/>
        </w:rPr>
        <w:t>As described in NEI 96-07</w:t>
      </w:r>
      <w:r w:rsidR="00ED01BA" w:rsidRPr="00662392">
        <w:rPr>
          <w:sz w:val="22"/>
          <w:szCs w:val="22"/>
        </w:rPr>
        <w:t>, Revision 1,</w:t>
      </w:r>
      <w:r w:rsidRPr="00662392">
        <w:rPr>
          <w:sz w:val="22"/>
          <w:szCs w:val="22"/>
        </w:rPr>
        <w:t xml:space="preserve"> and endorsed in RG 1.187, </w:t>
      </w:r>
      <w:r w:rsidR="0096604F" w:rsidRPr="00662392">
        <w:rPr>
          <w:sz w:val="22"/>
          <w:szCs w:val="22"/>
        </w:rPr>
        <w:t xml:space="preserve">“Guidance for Implementation of 10 CFR 50.59, Changes, Tests, and Experiments,” </w:t>
      </w:r>
      <w:r w:rsidR="00647CF9" w:rsidRPr="00662392">
        <w:rPr>
          <w:sz w:val="22"/>
          <w:szCs w:val="22"/>
        </w:rPr>
        <w:t xml:space="preserve">for licensees that choose to implement a 10 CFR 50.59 screening procedure, </w:t>
      </w:r>
      <w:r w:rsidRPr="00662392">
        <w:rPr>
          <w:sz w:val="22"/>
          <w:szCs w:val="22"/>
        </w:rPr>
        <w:t xml:space="preserve">licensees </w:t>
      </w:r>
      <w:bookmarkEnd w:id="34"/>
      <w:r w:rsidRPr="00662392">
        <w:rPr>
          <w:sz w:val="22"/>
          <w:szCs w:val="22"/>
        </w:rPr>
        <w:t>should screen each element of a proposed CTE separately and independently of each other, unless they are interdependent</w:t>
      </w:r>
      <w:r w:rsidR="00647CF9" w:rsidRPr="00662392">
        <w:rPr>
          <w:sz w:val="22"/>
          <w:szCs w:val="22"/>
        </w:rPr>
        <w:t>;</w:t>
      </w:r>
      <w:r w:rsidRPr="00662392">
        <w:rPr>
          <w:sz w:val="22"/>
          <w:szCs w:val="22"/>
        </w:rPr>
        <w:t xml:space="preserve"> that is, linked to each other and not separable for functional reasons.  </w:t>
      </w:r>
      <w:r w:rsidR="006260DC" w:rsidRPr="00662392">
        <w:rPr>
          <w:sz w:val="22"/>
          <w:szCs w:val="22"/>
        </w:rPr>
        <w:t xml:space="preserve">Generally, the licensee’s screening determinations for 10 CFR </w:t>
      </w:r>
      <w:r w:rsidR="005653F9" w:rsidRPr="00662392">
        <w:rPr>
          <w:sz w:val="22"/>
          <w:szCs w:val="22"/>
        </w:rPr>
        <w:t>50.59</w:t>
      </w:r>
      <w:r w:rsidR="006260DC" w:rsidRPr="00662392">
        <w:rPr>
          <w:sz w:val="22"/>
          <w:szCs w:val="22"/>
        </w:rPr>
        <w:t xml:space="preserve"> are available as quality assurance records.</w:t>
      </w:r>
      <w:r w:rsidR="005653F9" w:rsidRPr="00662392">
        <w:rPr>
          <w:sz w:val="22"/>
          <w:szCs w:val="22"/>
        </w:rPr>
        <w:t xml:space="preserve"> </w:t>
      </w:r>
      <w:r w:rsidR="006260DC" w:rsidRPr="00662392">
        <w:rPr>
          <w:sz w:val="22"/>
          <w:szCs w:val="22"/>
        </w:rPr>
        <w:t xml:space="preserve"> </w:t>
      </w:r>
      <w:r w:rsidRPr="00662392">
        <w:rPr>
          <w:sz w:val="22"/>
          <w:szCs w:val="22"/>
        </w:rPr>
        <w:t xml:space="preserve">When a licensee determined that a proposed CTE screened out, the inspector’s independent review of the screening </w:t>
      </w:r>
      <w:r w:rsidR="007A7057" w:rsidRPr="00662392">
        <w:rPr>
          <w:sz w:val="22"/>
          <w:szCs w:val="22"/>
        </w:rPr>
        <w:t xml:space="preserve">documentation </w:t>
      </w:r>
      <w:r w:rsidRPr="00662392">
        <w:rPr>
          <w:sz w:val="22"/>
          <w:szCs w:val="22"/>
        </w:rPr>
        <w:t>and the licensee’s basis for the screening should confirm that evaluation against the eight criteria in 10 CFR 50.59(c)(2) was not necessary. See Sections 06.1</w:t>
      </w:r>
      <w:r w:rsidR="00223ABA" w:rsidRPr="00662392">
        <w:rPr>
          <w:sz w:val="22"/>
          <w:szCs w:val="22"/>
        </w:rPr>
        <w:t>5</w:t>
      </w:r>
      <w:r w:rsidRPr="00662392">
        <w:rPr>
          <w:sz w:val="22"/>
          <w:szCs w:val="22"/>
        </w:rPr>
        <w:t xml:space="preserve"> through 06.</w:t>
      </w:r>
      <w:r w:rsidR="00223ABA" w:rsidRPr="00662392">
        <w:rPr>
          <w:sz w:val="22"/>
          <w:szCs w:val="22"/>
        </w:rPr>
        <w:t>21</w:t>
      </w:r>
      <w:r w:rsidRPr="00662392">
        <w:rPr>
          <w:sz w:val="22"/>
          <w:szCs w:val="22"/>
        </w:rPr>
        <w:t xml:space="preserve"> of this IMC for discussions on the eight criteria in 10 CFR 50.59(c)(2).</w:t>
      </w:r>
    </w:p>
    <w:p w14:paraId="5A56E01A" w14:textId="51E03696" w:rsidR="004A3008" w:rsidRPr="00662392" w:rsidRDefault="004A3008" w:rsidP="00194415">
      <w:pPr>
        <w:widowControl/>
        <w:rPr>
          <w:sz w:val="22"/>
          <w:szCs w:val="22"/>
        </w:rPr>
      </w:pPr>
    </w:p>
    <w:p w14:paraId="219AFCF9" w14:textId="2D58083A" w:rsidR="004A3008" w:rsidRPr="00662392" w:rsidRDefault="004A3008" w:rsidP="00194415">
      <w:pPr>
        <w:widowControl/>
        <w:rPr>
          <w:sz w:val="22"/>
          <w:szCs w:val="22"/>
        </w:rPr>
      </w:pPr>
      <w:r w:rsidRPr="00662392">
        <w:rPr>
          <w:sz w:val="22"/>
          <w:szCs w:val="22"/>
        </w:rPr>
        <w:t>Equivalent replacement is a type of change to the facility that does not alter the design functions of SSCs.  Licensee equivalence assessments, e.g., consideration of performance/operating characteristics and other factors, may form the basis for screening determinations that no 10 CFR 50.59 evaluation is required.</w:t>
      </w:r>
    </w:p>
    <w:p w14:paraId="79D40366" w14:textId="77777777" w:rsidR="002726BE" w:rsidRPr="00662392" w:rsidRDefault="002726BE" w:rsidP="00194415">
      <w:pPr>
        <w:widowControl/>
        <w:rPr>
          <w:sz w:val="22"/>
          <w:szCs w:val="22"/>
        </w:rPr>
      </w:pPr>
    </w:p>
    <w:p w14:paraId="622FF571" w14:textId="79435058" w:rsidR="0018273E" w:rsidRPr="00662392" w:rsidRDefault="0084498C" w:rsidP="00194415">
      <w:pPr>
        <w:widowControl/>
        <w:rPr>
          <w:sz w:val="22"/>
          <w:szCs w:val="22"/>
        </w:rPr>
      </w:pPr>
      <w:r w:rsidRPr="00662392">
        <w:rPr>
          <w:sz w:val="22"/>
          <w:szCs w:val="22"/>
        </w:rPr>
        <w:t>06.10</w:t>
      </w:r>
      <w:r w:rsidRPr="00662392">
        <w:rPr>
          <w:sz w:val="22"/>
          <w:szCs w:val="22"/>
        </w:rPr>
        <w:tab/>
      </w:r>
      <w:r w:rsidRPr="00662392">
        <w:rPr>
          <w:sz w:val="22"/>
          <w:szCs w:val="22"/>
          <w:u w:val="single"/>
        </w:rPr>
        <w:t xml:space="preserve">Changes </w:t>
      </w:r>
      <w:proofErr w:type="gramStart"/>
      <w:r w:rsidRPr="00662392">
        <w:rPr>
          <w:sz w:val="22"/>
          <w:szCs w:val="22"/>
          <w:u w:val="single"/>
        </w:rPr>
        <w:t>To</w:t>
      </w:r>
      <w:proofErr w:type="gramEnd"/>
      <w:r w:rsidRPr="00662392">
        <w:rPr>
          <w:sz w:val="22"/>
          <w:szCs w:val="22"/>
          <w:u w:val="single"/>
        </w:rPr>
        <w:t xml:space="preserve"> The Facility Or Procedures</w:t>
      </w:r>
      <w:r w:rsidRPr="00662392">
        <w:rPr>
          <w:sz w:val="22"/>
          <w:szCs w:val="22"/>
          <w:u w:val="single"/>
        </w:rPr>
        <w:fldChar w:fldCharType="begin"/>
      </w:r>
      <w:r w:rsidRPr="00662392">
        <w:rPr>
          <w:sz w:val="22"/>
          <w:szCs w:val="22"/>
        </w:rPr>
        <w:instrText xml:space="preserve"> TC "</w:instrText>
      </w:r>
      <w:bookmarkStart w:id="35" w:name="_Toc62642901"/>
      <w:bookmarkStart w:id="36" w:name="_Toc63142083"/>
      <w:r w:rsidRPr="00662392">
        <w:rPr>
          <w:sz w:val="22"/>
          <w:szCs w:val="22"/>
        </w:rPr>
        <w:instrText>06.10</w:instrText>
      </w:r>
      <w:r w:rsidRPr="00662392">
        <w:rPr>
          <w:sz w:val="22"/>
          <w:szCs w:val="22"/>
        </w:rPr>
        <w:tab/>
      </w:r>
      <w:r w:rsidRPr="00662392">
        <w:rPr>
          <w:sz w:val="22"/>
          <w:szCs w:val="22"/>
          <w:u w:val="single"/>
        </w:rPr>
        <w:instrText>Changes To The Facility Or Procedures</w:instrText>
      </w:r>
      <w:bookmarkEnd w:id="35"/>
      <w:bookmarkEnd w:id="36"/>
      <w:r w:rsidRPr="00662392">
        <w:rPr>
          <w:sz w:val="22"/>
          <w:szCs w:val="22"/>
        </w:rPr>
        <w:instrText xml:space="preserve">" \f C \l "2" </w:instrText>
      </w:r>
      <w:r w:rsidRPr="00662392">
        <w:rPr>
          <w:sz w:val="22"/>
          <w:szCs w:val="22"/>
          <w:u w:val="single"/>
        </w:rPr>
        <w:fldChar w:fldCharType="end"/>
      </w:r>
    </w:p>
    <w:p w14:paraId="64E7D580" w14:textId="77777777" w:rsidR="0018273E" w:rsidRPr="00662392" w:rsidRDefault="0018273E" w:rsidP="00194415">
      <w:pPr>
        <w:widowControl/>
        <w:rPr>
          <w:sz w:val="22"/>
          <w:szCs w:val="22"/>
          <w:u w:val="single"/>
        </w:rPr>
      </w:pPr>
    </w:p>
    <w:p w14:paraId="2CF68D75" w14:textId="0A5C0008" w:rsidR="0018273E" w:rsidRPr="00662392" w:rsidRDefault="0018273E" w:rsidP="00194415">
      <w:pPr>
        <w:widowControl/>
        <w:rPr>
          <w:sz w:val="22"/>
          <w:szCs w:val="22"/>
        </w:rPr>
      </w:pPr>
      <w:r w:rsidRPr="00662392">
        <w:rPr>
          <w:sz w:val="22"/>
          <w:szCs w:val="22"/>
        </w:rPr>
        <w:t>See Section</w:t>
      </w:r>
      <w:r w:rsidR="002246A6" w:rsidRPr="00662392">
        <w:rPr>
          <w:sz w:val="22"/>
          <w:szCs w:val="22"/>
        </w:rPr>
        <w:t>s</w:t>
      </w:r>
      <w:r w:rsidRPr="00662392">
        <w:rPr>
          <w:sz w:val="22"/>
          <w:szCs w:val="22"/>
        </w:rPr>
        <w:t xml:space="preserve"> 04.01, 04.05, and 04.0</w:t>
      </w:r>
      <w:r w:rsidR="0088553C" w:rsidRPr="00662392">
        <w:rPr>
          <w:sz w:val="22"/>
          <w:szCs w:val="22"/>
        </w:rPr>
        <w:t>8</w:t>
      </w:r>
      <w:r w:rsidRPr="00662392">
        <w:rPr>
          <w:sz w:val="22"/>
          <w:szCs w:val="22"/>
        </w:rPr>
        <w:t xml:space="preserve"> of this IMC for the definition of </w:t>
      </w:r>
      <w:r w:rsidR="001A6CCB" w:rsidRPr="00662392">
        <w:rPr>
          <w:sz w:val="22"/>
          <w:szCs w:val="22"/>
        </w:rPr>
        <w:t>“</w:t>
      </w:r>
      <w:r w:rsidRPr="00662392">
        <w:rPr>
          <w:sz w:val="22"/>
          <w:szCs w:val="22"/>
        </w:rPr>
        <w:t>change,</w:t>
      </w:r>
      <w:r w:rsidR="001A6CCB" w:rsidRPr="00662392">
        <w:rPr>
          <w:sz w:val="22"/>
          <w:szCs w:val="22"/>
        </w:rPr>
        <w:t>”</w:t>
      </w:r>
      <w:r w:rsidRPr="00662392">
        <w:rPr>
          <w:sz w:val="22"/>
          <w:szCs w:val="22"/>
        </w:rPr>
        <w:t xml:space="preserve"> </w:t>
      </w:r>
      <w:r w:rsidR="001A6CCB" w:rsidRPr="00662392">
        <w:rPr>
          <w:sz w:val="22"/>
          <w:szCs w:val="22"/>
        </w:rPr>
        <w:t>“</w:t>
      </w:r>
      <w:r w:rsidRPr="00662392">
        <w:rPr>
          <w:sz w:val="22"/>
          <w:szCs w:val="22"/>
        </w:rPr>
        <w:t>facility as described in the UFSAR,</w:t>
      </w:r>
      <w:r w:rsidR="001A6CCB" w:rsidRPr="00662392">
        <w:rPr>
          <w:sz w:val="22"/>
          <w:szCs w:val="22"/>
        </w:rPr>
        <w:t>”</w:t>
      </w:r>
      <w:r w:rsidRPr="00662392">
        <w:rPr>
          <w:sz w:val="22"/>
          <w:szCs w:val="22"/>
        </w:rPr>
        <w:t xml:space="preserve"> and </w:t>
      </w:r>
      <w:r w:rsidR="00996273" w:rsidRPr="00662392">
        <w:rPr>
          <w:sz w:val="22"/>
          <w:szCs w:val="22"/>
        </w:rPr>
        <w:t>“</w:t>
      </w:r>
      <w:r w:rsidRPr="00662392">
        <w:rPr>
          <w:sz w:val="22"/>
          <w:szCs w:val="22"/>
        </w:rPr>
        <w:t>procedures as described in the UFSAR,</w:t>
      </w:r>
      <w:r w:rsidR="00996273" w:rsidRPr="00662392">
        <w:rPr>
          <w:sz w:val="22"/>
          <w:szCs w:val="22"/>
        </w:rPr>
        <w:t>”</w:t>
      </w:r>
      <w:r w:rsidRPr="00662392">
        <w:rPr>
          <w:sz w:val="22"/>
          <w:szCs w:val="22"/>
        </w:rPr>
        <w:t xml:space="preserve"> respectively.  Inspectors should be aware that the </w:t>
      </w:r>
      <w:r w:rsidR="00D46BA1" w:rsidRPr="00662392">
        <w:rPr>
          <w:sz w:val="22"/>
          <w:szCs w:val="22"/>
        </w:rPr>
        <w:t xml:space="preserve">1999 </w:t>
      </w:r>
      <w:r w:rsidRPr="00662392">
        <w:rPr>
          <w:sz w:val="22"/>
          <w:szCs w:val="22"/>
        </w:rPr>
        <w:t xml:space="preserve">SOCs for 10 CFR 50.59 state that the definitions of </w:t>
      </w:r>
      <w:r w:rsidR="00996273" w:rsidRPr="00662392">
        <w:rPr>
          <w:sz w:val="22"/>
          <w:szCs w:val="22"/>
        </w:rPr>
        <w:t>“</w:t>
      </w:r>
      <w:r w:rsidRPr="00662392">
        <w:rPr>
          <w:sz w:val="22"/>
          <w:szCs w:val="22"/>
        </w:rPr>
        <w:t>change</w:t>
      </w:r>
      <w:r w:rsidR="00996273" w:rsidRPr="00662392">
        <w:rPr>
          <w:sz w:val="22"/>
          <w:szCs w:val="22"/>
        </w:rPr>
        <w:t>”</w:t>
      </w:r>
      <w:r w:rsidRPr="00662392">
        <w:rPr>
          <w:sz w:val="22"/>
          <w:szCs w:val="22"/>
        </w:rPr>
        <w:t xml:space="preserve"> and </w:t>
      </w:r>
      <w:r w:rsidR="00996273" w:rsidRPr="00662392">
        <w:rPr>
          <w:sz w:val="22"/>
          <w:szCs w:val="22"/>
        </w:rPr>
        <w:t>“</w:t>
      </w:r>
      <w:r w:rsidRPr="00662392">
        <w:rPr>
          <w:sz w:val="22"/>
          <w:szCs w:val="22"/>
        </w:rPr>
        <w:t>facility as described in the UFSAR</w:t>
      </w:r>
      <w:r w:rsidR="00996273" w:rsidRPr="00662392">
        <w:rPr>
          <w:sz w:val="22"/>
          <w:szCs w:val="22"/>
        </w:rPr>
        <w:t>”</w:t>
      </w:r>
      <w:r w:rsidRPr="00662392">
        <w:rPr>
          <w:sz w:val="22"/>
          <w:szCs w:val="22"/>
        </w:rPr>
        <w:t xml:space="preserve"> explicitly establish that evaluation is required for changes to the analyses and bases for the facility as well as for physical or hardware changes to the facility</w:t>
      </w:r>
      <w:r w:rsidR="004E7EDE" w:rsidRPr="00662392">
        <w:rPr>
          <w:sz w:val="22"/>
          <w:szCs w:val="22"/>
        </w:rPr>
        <w:t>,</w:t>
      </w:r>
      <w:r w:rsidRPr="00662392">
        <w:rPr>
          <w:sz w:val="22"/>
          <w:szCs w:val="22"/>
        </w:rPr>
        <w:t xml:space="preserve"> and that </w:t>
      </w:r>
      <w:r w:rsidR="00996273" w:rsidRPr="00662392">
        <w:rPr>
          <w:sz w:val="22"/>
          <w:szCs w:val="22"/>
        </w:rPr>
        <w:t>any</w:t>
      </w:r>
      <w:r w:rsidRPr="00662392">
        <w:rPr>
          <w:sz w:val="22"/>
          <w:szCs w:val="22"/>
        </w:rPr>
        <w:t xml:space="preserve"> additions are </w:t>
      </w:r>
      <w:r w:rsidR="00996273" w:rsidRPr="00662392">
        <w:rPr>
          <w:sz w:val="22"/>
          <w:szCs w:val="22"/>
        </w:rPr>
        <w:t>considered “</w:t>
      </w:r>
      <w:r w:rsidRPr="00662392">
        <w:rPr>
          <w:sz w:val="22"/>
          <w:szCs w:val="22"/>
        </w:rPr>
        <w:t>changes.</w:t>
      </w:r>
      <w:r w:rsidR="00996273" w:rsidRPr="00662392">
        <w:rPr>
          <w:sz w:val="22"/>
          <w:szCs w:val="22"/>
        </w:rPr>
        <w:t>”</w:t>
      </w:r>
      <w:r w:rsidRPr="00662392">
        <w:rPr>
          <w:sz w:val="22"/>
          <w:szCs w:val="22"/>
        </w:rPr>
        <w:t xml:space="preserve">  </w:t>
      </w:r>
    </w:p>
    <w:p w14:paraId="6DC225EB" w14:textId="77777777" w:rsidR="0018273E" w:rsidRPr="00662392" w:rsidRDefault="0018273E" w:rsidP="00194415">
      <w:pPr>
        <w:widowControl/>
        <w:rPr>
          <w:sz w:val="22"/>
          <w:szCs w:val="22"/>
        </w:rPr>
      </w:pPr>
    </w:p>
    <w:p w14:paraId="7A8EDC7B" w14:textId="34EECED3" w:rsidR="0018273E" w:rsidRPr="00662392" w:rsidRDefault="00F06F85" w:rsidP="00194415">
      <w:pPr>
        <w:widowControl/>
        <w:rPr>
          <w:sz w:val="22"/>
          <w:szCs w:val="22"/>
        </w:rPr>
      </w:pPr>
      <w:r w:rsidRPr="00662392">
        <w:rPr>
          <w:sz w:val="22"/>
          <w:szCs w:val="22"/>
        </w:rPr>
        <w:t>Inspectors should be aware that changes to information in the UFSAR that provide (1) performance or qualification requirements; (2) methods of operation; (3) the bases upon which the requirements have been established, or (4) the analyses and evaluations that demonstrate that the facility meets requirements may also satisfy the criteria in 10 CFR 50.59.</w:t>
      </w:r>
      <w:r w:rsidR="0018273E" w:rsidRPr="00662392">
        <w:rPr>
          <w:sz w:val="22"/>
          <w:szCs w:val="22"/>
        </w:rPr>
        <w:t xml:space="preserve">  </w:t>
      </w:r>
      <w:r w:rsidR="00D322BD" w:rsidRPr="00662392">
        <w:rPr>
          <w:sz w:val="22"/>
          <w:szCs w:val="22"/>
        </w:rPr>
        <w:t xml:space="preserve">As described in the 1999 </w:t>
      </w:r>
      <w:r w:rsidR="0016754C" w:rsidRPr="00662392">
        <w:rPr>
          <w:sz w:val="22"/>
          <w:szCs w:val="22"/>
        </w:rPr>
        <w:t xml:space="preserve">SOCs for </w:t>
      </w:r>
      <w:r w:rsidR="00D322BD" w:rsidRPr="00662392">
        <w:rPr>
          <w:sz w:val="22"/>
          <w:szCs w:val="22"/>
        </w:rPr>
        <w:t>10 CFR 50.59, t</w:t>
      </w:r>
      <w:r w:rsidR="0018273E" w:rsidRPr="00662392">
        <w:rPr>
          <w:sz w:val="22"/>
          <w:szCs w:val="22"/>
        </w:rPr>
        <w:t xml:space="preserve">he definition of change allows licensees to eliminate the need to further assess specific changes against the criteria in 10 CFR 50.59 because the nature of the change may not meet the criteria and require prior NRC review before implementation.  </w:t>
      </w:r>
    </w:p>
    <w:p w14:paraId="78CE6259" w14:textId="77777777" w:rsidR="00F06F85" w:rsidRPr="00662392" w:rsidRDefault="00F06F85" w:rsidP="00194415">
      <w:pPr>
        <w:widowControl/>
        <w:rPr>
          <w:sz w:val="22"/>
          <w:szCs w:val="22"/>
        </w:rPr>
      </w:pPr>
    </w:p>
    <w:p w14:paraId="39056393" w14:textId="0FEA85B5" w:rsidR="006F72B2" w:rsidRPr="00662392" w:rsidRDefault="0018273E" w:rsidP="00194415">
      <w:pPr>
        <w:widowControl/>
        <w:rPr>
          <w:sz w:val="22"/>
          <w:szCs w:val="22"/>
        </w:rPr>
      </w:pPr>
      <w:r w:rsidRPr="00662392">
        <w:rPr>
          <w:sz w:val="22"/>
          <w:szCs w:val="22"/>
        </w:rPr>
        <w:t>Inspectors should verify that the change did</w:t>
      </w:r>
      <w:r w:rsidR="00F43959" w:rsidRPr="00662392">
        <w:rPr>
          <w:sz w:val="22"/>
          <w:szCs w:val="22"/>
        </w:rPr>
        <w:t xml:space="preserve"> </w:t>
      </w:r>
      <w:r w:rsidRPr="00662392">
        <w:rPr>
          <w:sz w:val="22"/>
          <w:szCs w:val="22"/>
        </w:rPr>
        <w:t>n</w:t>
      </w:r>
      <w:r w:rsidR="00F43959" w:rsidRPr="00662392">
        <w:rPr>
          <w:sz w:val="22"/>
          <w:szCs w:val="22"/>
        </w:rPr>
        <w:t>o</w:t>
      </w:r>
      <w:r w:rsidRPr="00662392">
        <w:rPr>
          <w:sz w:val="22"/>
          <w:szCs w:val="22"/>
        </w:rPr>
        <w:t xml:space="preserve">t affect any design functions, methods of performing or controlling functions, or methods of evaluation when a licensee’s </w:t>
      </w:r>
      <w:r w:rsidR="002F6F5C" w:rsidRPr="00662392">
        <w:rPr>
          <w:sz w:val="22"/>
          <w:szCs w:val="22"/>
        </w:rPr>
        <w:t xml:space="preserve">screening determination </w:t>
      </w:r>
      <w:r w:rsidRPr="00662392">
        <w:rPr>
          <w:sz w:val="22"/>
          <w:szCs w:val="22"/>
        </w:rPr>
        <w:t xml:space="preserve">concluded that a change is administrative, or descriptive only, or does not adversely affect the functions such that a </w:t>
      </w:r>
      <w:bookmarkStart w:id="37" w:name="_Hlk47959128"/>
      <w:r w:rsidRPr="00662392">
        <w:rPr>
          <w:sz w:val="22"/>
          <w:szCs w:val="22"/>
        </w:rPr>
        <w:t>10 CFR 50.59</w:t>
      </w:r>
      <w:bookmarkEnd w:id="37"/>
      <w:r w:rsidRPr="00662392">
        <w:rPr>
          <w:sz w:val="22"/>
          <w:szCs w:val="22"/>
        </w:rPr>
        <w:t xml:space="preserve"> evaluation is not required.  Proposed changes that might involve any of the evaluation criteria are subject to the </w:t>
      </w:r>
      <w:bookmarkStart w:id="38" w:name="_Hlk47619455"/>
      <w:r w:rsidRPr="00662392">
        <w:rPr>
          <w:sz w:val="22"/>
          <w:szCs w:val="22"/>
        </w:rPr>
        <w:t>10 CFR </w:t>
      </w:r>
      <w:bookmarkEnd w:id="38"/>
      <w:r w:rsidRPr="00662392">
        <w:rPr>
          <w:sz w:val="22"/>
          <w:szCs w:val="22"/>
        </w:rPr>
        <w:t>50.59 evaluation process and should be evaluated by the licensee.  If a change has no effect or</w:t>
      </w:r>
      <w:r w:rsidR="00D95F2A" w:rsidRPr="00662392">
        <w:rPr>
          <w:sz w:val="22"/>
          <w:szCs w:val="22"/>
        </w:rPr>
        <w:t xml:space="preserve"> has</w:t>
      </w:r>
      <w:r w:rsidRPr="00662392">
        <w:rPr>
          <w:sz w:val="22"/>
          <w:szCs w:val="22"/>
        </w:rPr>
        <w:t xml:space="preserve"> only beneficial effects, it does not </w:t>
      </w:r>
      <w:r w:rsidR="00CC5900" w:rsidRPr="00662392">
        <w:rPr>
          <w:sz w:val="22"/>
          <w:szCs w:val="22"/>
        </w:rPr>
        <w:t>satisfy</w:t>
      </w:r>
      <w:r w:rsidR="001609B1" w:rsidRPr="00662392">
        <w:rPr>
          <w:sz w:val="22"/>
          <w:szCs w:val="22"/>
        </w:rPr>
        <w:t xml:space="preserve"> </w:t>
      </w:r>
      <w:r w:rsidRPr="00662392">
        <w:rPr>
          <w:sz w:val="22"/>
          <w:szCs w:val="22"/>
        </w:rPr>
        <w:t xml:space="preserve">any of the evaluation criteria concerning more than minimal increase in frequency or occurrence of malfunction or higher consequences, etc.  </w:t>
      </w:r>
      <w:bookmarkStart w:id="39" w:name="_Hlk51334110"/>
      <w:r w:rsidRPr="00662392">
        <w:rPr>
          <w:sz w:val="22"/>
          <w:szCs w:val="22"/>
        </w:rPr>
        <w:t xml:space="preserve">If the licensee cannot conclude that there is no adverse effect, a 10 CFR 50.59 evaluation is required.  </w:t>
      </w:r>
      <w:bookmarkStart w:id="40" w:name="_Hlk51334198"/>
      <w:bookmarkEnd w:id="39"/>
    </w:p>
    <w:p w14:paraId="646BA4CE" w14:textId="77777777" w:rsidR="00707E7A" w:rsidRPr="00662392" w:rsidRDefault="00707E7A" w:rsidP="00194415">
      <w:pPr>
        <w:widowControl/>
        <w:rPr>
          <w:sz w:val="22"/>
          <w:szCs w:val="22"/>
        </w:rPr>
      </w:pPr>
    </w:p>
    <w:p w14:paraId="6D4BA01E" w14:textId="5424A775" w:rsidR="0018273E" w:rsidRPr="00662392" w:rsidRDefault="006F572D" w:rsidP="00194415">
      <w:pPr>
        <w:widowControl/>
        <w:rPr>
          <w:sz w:val="22"/>
          <w:szCs w:val="22"/>
        </w:rPr>
      </w:pPr>
      <w:r w:rsidRPr="00662392">
        <w:rPr>
          <w:sz w:val="22"/>
          <w:szCs w:val="22"/>
        </w:rPr>
        <w:t>As described in NEI 96-07,</w:t>
      </w:r>
      <w:r w:rsidR="00ED01BA" w:rsidRPr="00662392">
        <w:rPr>
          <w:sz w:val="22"/>
          <w:szCs w:val="22"/>
        </w:rPr>
        <w:t xml:space="preserve"> Revision 1,</w:t>
      </w:r>
      <w:r w:rsidRPr="00662392">
        <w:rPr>
          <w:sz w:val="22"/>
          <w:szCs w:val="22"/>
        </w:rPr>
        <w:t xml:space="preserve"> i</w:t>
      </w:r>
      <w:r w:rsidR="0018273E" w:rsidRPr="00662392">
        <w:rPr>
          <w:sz w:val="22"/>
          <w:szCs w:val="22"/>
        </w:rPr>
        <w:t xml:space="preserve">f the change has both beneficial and adverse effects, </w:t>
      </w:r>
      <w:r w:rsidR="00F96D84" w:rsidRPr="00662392">
        <w:rPr>
          <w:sz w:val="22"/>
          <w:szCs w:val="22"/>
        </w:rPr>
        <w:t xml:space="preserve">then </w:t>
      </w:r>
      <w:r w:rsidR="00BB014B" w:rsidRPr="00662392">
        <w:rPr>
          <w:sz w:val="22"/>
          <w:szCs w:val="22"/>
        </w:rPr>
        <w:t xml:space="preserve">the change should be screened in and </w:t>
      </w:r>
      <w:r w:rsidR="0018273E" w:rsidRPr="00662392">
        <w:rPr>
          <w:sz w:val="22"/>
          <w:szCs w:val="22"/>
        </w:rPr>
        <w:t xml:space="preserve">a 10 CFR 50.59 evaluation is required.  </w:t>
      </w:r>
      <w:bookmarkEnd w:id="40"/>
      <w:r w:rsidR="00DD5CD9" w:rsidRPr="00662392">
        <w:rPr>
          <w:sz w:val="22"/>
          <w:szCs w:val="22"/>
        </w:rPr>
        <w:t>A 10 CFR 50.59 evaluation is required for changes that adversely affect design functions, methods used to perform or control design functions, or evaluations that demonstrate that intended design functions will be accomplished (i.e., "adverse changes").</w:t>
      </w:r>
      <w:r w:rsidR="00E47493" w:rsidRPr="00662392">
        <w:rPr>
          <w:sz w:val="22"/>
          <w:szCs w:val="22"/>
        </w:rPr>
        <w:t xml:space="preserve">  </w:t>
      </w:r>
      <w:r w:rsidR="000C31C4">
        <w:rPr>
          <w:sz w:val="22"/>
          <w:szCs w:val="22"/>
        </w:rPr>
        <w:t>C</w:t>
      </w:r>
      <w:r w:rsidR="0018273E" w:rsidRPr="00662392">
        <w:rPr>
          <w:sz w:val="22"/>
          <w:szCs w:val="22"/>
        </w:rPr>
        <w:t>hanges reducing the SSC capability, performance, qualification, or reliability are adverse.  Being outside the bounds of existing safety analyses or ranges described in the UFSAR is adverse.</w:t>
      </w:r>
      <w:r w:rsidR="000E6D5C" w:rsidRPr="00662392">
        <w:rPr>
          <w:sz w:val="22"/>
          <w:szCs w:val="22"/>
        </w:rPr>
        <w:t xml:space="preserve">  </w:t>
      </w:r>
      <w:r w:rsidR="00ED01BA" w:rsidRPr="00662392">
        <w:rPr>
          <w:sz w:val="22"/>
          <w:szCs w:val="22"/>
        </w:rPr>
        <w:t xml:space="preserve">NEI 96-07, Revision 1, </w:t>
      </w:r>
      <w:r w:rsidR="00382586" w:rsidRPr="00662392">
        <w:rPr>
          <w:sz w:val="22"/>
          <w:szCs w:val="22"/>
        </w:rPr>
        <w:t xml:space="preserve">states that </w:t>
      </w:r>
      <w:r w:rsidR="0032583C" w:rsidRPr="00662392">
        <w:rPr>
          <w:sz w:val="22"/>
          <w:szCs w:val="22"/>
        </w:rPr>
        <w:t>t</w:t>
      </w:r>
      <w:r w:rsidR="0018273E" w:rsidRPr="00662392">
        <w:rPr>
          <w:sz w:val="22"/>
          <w:szCs w:val="22"/>
        </w:rPr>
        <w:t xml:space="preserve">he magnitude of the adverse effects is irrelevant </w:t>
      </w:r>
      <w:r w:rsidR="00382586" w:rsidRPr="00662392">
        <w:rPr>
          <w:sz w:val="22"/>
          <w:szCs w:val="22"/>
        </w:rPr>
        <w:t>for the screening process</w:t>
      </w:r>
      <w:r w:rsidR="0018273E" w:rsidRPr="00662392">
        <w:rPr>
          <w:sz w:val="22"/>
          <w:szCs w:val="22"/>
        </w:rPr>
        <w:t xml:space="preserve">.  Licensees should </w:t>
      </w:r>
      <w:r w:rsidR="00AD3BC8" w:rsidRPr="00662392">
        <w:rPr>
          <w:sz w:val="22"/>
          <w:szCs w:val="22"/>
        </w:rPr>
        <w:t xml:space="preserve">screen in and </w:t>
      </w:r>
      <w:r w:rsidR="0018273E" w:rsidRPr="00662392">
        <w:rPr>
          <w:sz w:val="22"/>
          <w:szCs w:val="22"/>
        </w:rPr>
        <w:t>evaluate any change that adversely affects a UFSAR</w:t>
      </w:r>
      <w:r w:rsidR="00117FA7" w:rsidRPr="00662392">
        <w:rPr>
          <w:sz w:val="22"/>
          <w:szCs w:val="22"/>
        </w:rPr>
        <w:t>-</w:t>
      </w:r>
      <w:r w:rsidR="0018273E" w:rsidRPr="00662392">
        <w:rPr>
          <w:sz w:val="22"/>
          <w:szCs w:val="22"/>
        </w:rPr>
        <w:t>described design function, method of performing or controlling functions, or method of evaluation that demonstrates that intended design functions will be accomplished.</w:t>
      </w:r>
      <w:r w:rsidR="00ED01BA" w:rsidRPr="00662392">
        <w:rPr>
          <w:sz w:val="22"/>
          <w:szCs w:val="22"/>
        </w:rPr>
        <w:t xml:space="preserve"> </w:t>
      </w:r>
    </w:p>
    <w:p w14:paraId="094A9FB4" w14:textId="77777777" w:rsidR="0018273E" w:rsidRPr="00662392" w:rsidRDefault="0018273E" w:rsidP="00194415">
      <w:pPr>
        <w:widowControl/>
        <w:rPr>
          <w:sz w:val="22"/>
          <w:szCs w:val="22"/>
        </w:rPr>
      </w:pPr>
    </w:p>
    <w:p w14:paraId="79BF28BD" w14:textId="77777777" w:rsidR="000E0ACD" w:rsidRDefault="0018273E" w:rsidP="00194415">
      <w:pPr>
        <w:widowControl/>
        <w:rPr>
          <w:sz w:val="22"/>
          <w:szCs w:val="22"/>
        </w:rPr>
        <w:sectPr w:rsidR="000E0ACD" w:rsidSect="00012998">
          <w:footerReference w:type="default" r:id="rId29"/>
          <w:pgSz w:w="12240" w:h="15840" w:code="1"/>
          <w:pgMar w:top="1440" w:right="1440" w:bottom="1440" w:left="1440" w:header="720" w:footer="720" w:gutter="0"/>
          <w:cols w:space="720"/>
          <w:noEndnote/>
          <w:docGrid w:linePitch="326"/>
        </w:sectPr>
      </w:pPr>
      <w:bookmarkStart w:id="41" w:name="_Hlk51828841"/>
      <w:r w:rsidRPr="00662392">
        <w:rPr>
          <w:sz w:val="22"/>
          <w:szCs w:val="22"/>
        </w:rPr>
        <w:t xml:space="preserve">The functions affected by a change might be for an SSC other than the one to which the change is being made because of indirect effects.  </w:t>
      </w:r>
      <w:r w:rsidR="001C29E4" w:rsidRPr="00662392">
        <w:rPr>
          <w:sz w:val="22"/>
          <w:szCs w:val="22"/>
        </w:rPr>
        <w:t xml:space="preserve">As defined in </w:t>
      </w:r>
      <w:r w:rsidR="00ED01BA" w:rsidRPr="00662392">
        <w:rPr>
          <w:sz w:val="22"/>
          <w:szCs w:val="22"/>
        </w:rPr>
        <w:t>NEI 96-07, Revision 1,</w:t>
      </w:r>
      <w:r w:rsidR="001C29E4" w:rsidRPr="00662392">
        <w:rPr>
          <w:sz w:val="22"/>
          <w:szCs w:val="22"/>
        </w:rPr>
        <w:t xml:space="preserve"> i</w:t>
      </w:r>
      <w:r w:rsidRPr="00662392">
        <w:rPr>
          <w:sz w:val="22"/>
          <w:szCs w:val="22"/>
        </w:rPr>
        <w:t xml:space="preserve">ndirect effects are those where the proposed CTE affects one SSC and this SSC affects the capability of another SSC to perform its design function.  Indirect effects include such items as </w:t>
      </w:r>
    </w:p>
    <w:p w14:paraId="2A99666E" w14:textId="77777777" w:rsidR="000E0ACD" w:rsidRDefault="000E0ACD" w:rsidP="00194415">
      <w:pPr>
        <w:widowControl/>
        <w:rPr>
          <w:sz w:val="22"/>
          <w:szCs w:val="22"/>
        </w:rPr>
      </w:pPr>
    </w:p>
    <w:p w14:paraId="5EC9BBC0" w14:textId="358AD851" w:rsidR="00783968" w:rsidRPr="00662392" w:rsidRDefault="0018273E" w:rsidP="00194415">
      <w:pPr>
        <w:widowControl/>
        <w:rPr>
          <w:sz w:val="22"/>
          <w:szCs w:val="22"/>
        </w:rPr>
      </w:pPr>
      <w:r w:rsidRPr="00662392">
        <w:rPr>
          <w:sz w:val="22"/>
          <w:szCs w:val="22"/>
        </w:rPr>
        <w:t>environmental conditions, physical interactions, etc.  The inspector should recognize that a word search of the UFSAR might miss such effects.</w:t>
      </w:r>
    </w:p>
    <w:p w14:paraId="0B1A9CD2" w14:textId="77777777" w:rsidR="00783968" w:rsidRPr="00662392" w:rsidRDefault="00783968" w:rsidP="00194415">
      <w:pPr>
        <w:widowControl/>
        <w:rPr>
          <w:sz w:val="22"/>
          <w:szCs w:val="22"/>
        </w:rPr>
      </w:pPr>
    </w:p>
    <w:p w14:paraId="0EDD7929" w14:textId="1E7ED1F9" w:rsidR="0018273E" w:rsidRPr="00662392" w:rsidRDefault="0018273E" w:rsidP="00194415">
      <w:pPr>
        <w:widowControl/>
        <w:rPr>
          <w:sz w:val="22"/>
          <w:szCs w:val="22"/>
        </w:rPr>
      </w:pPr>
      <w:r w:rsidRPr="00662392">
        <w:rPr>
          <w:sz w:val="22"/>
          <w:szCs w:val="22"/>
        </w:rPr>
        <w:t xml:space="preserve">Two examples </w:t>
      </w:r>
      <w:r w:rsidR="00A34309" w:rsidRPr="00662392">
        <w:rPr>
          <w:sz w:val="22"/>
          <w:szCs w:val="22"/>
        </w:rPr>
        <w:t>of</w:t>
      </w:r>
      <w:r w:rsidR="003A53E3" w:rsidRPr="00662392">
        <w:rPr>
          <w:sz w:val="22"/>
          <w:szCs w:val="22"/>
        </w:rPr>
        <w:t xml:space="preserve"> “indirect effects”</w:t>
      </w:r>
      <w:r w:rsidR="00307065" w:rsidRPr="00662392">
        <w:rPr>
          <w:sz w:val="22"/>
          <w:szCs w:val="22"/>
        </w:rPr>
        <w:t xml:space="preserve"> </w:t>
      </w:r>
      <w:r w:rsidRPr="00662392">
        <w:rPr>
          <w:sz w:val="22"/>
          <w:szCs w:val="22"/>
        </w:rPr>
        <w:t xml:space="preserve">are as stated in the </w:t>
      </w:r>
      <w:r w:rsidR="007E0DDE" w:rsidRPr="00662392">
        <w:rPr>
          <w:sz w:val="22"/>
          <w:szCs w:val="22"/>
        </w:rPr>
        <w:t xml:space="preserve">1999 </w:t>
      </w:r>
      <w:r w:rsidRPr="00662392">
        <w:rPr>
          <w:sz w:val="22"/>
          <w:szCs w:val="22"/>
        </w:rPr>
        <w:t>SOCs for 10 CFR 50.59.</w:t>
      </w:r>
      <w:r w:rsidR="00D06233" w:rsidRPr="00662392">
        <w:rPr>
          <w:sz w:val="22"/>
          <w:szCs w:val="22"/>
        </w:rPr>
        <w:t xml:space="preserve">  </w:t>
      </w:r>
      <w:r w:rsidR="00CB2E92" w:rsidRPr="00662392">
        <w:rPr>
          <w:sz w:val="22"/>
          <w:szCs w:val="22"/>
        </w:rPr>
        <w:t>For a</w:t>
      </w:r>
      <w:r w:rsidRPr="00662392">
        <w:rPr>
          <w:sz w:val="22"/>
          <w:szCs w:val="22"/>
        </w:rPr>
        <w:t xml:space="preserve"> change that affects post-accident containment conditions, although 10 CFR 50.49 may be the applicable regulation for equipment qualification, other aspects such as containment pressure would need to be evaluated under </w:t>
      </w:r>
      <w:bookmarkStart w:id="42" w:name="_Hlk51654444"/>
      <w:r w:rsidRPr="00662392">
        <w:rPr>
          <w:sz w:val="22"/>
          <w:szCs w:val="22"/>
        </w:rPr>
        <w:t>10 CFR </w:t>
      </w:r>
      <w:bookmarkEnd w:id="42"/>
      <w:r w:rsidRPr="00662392">
        <w:rPr>
          <w:sz w:val="22"/>
          <w:szCs w:val="22"/>
        </w:rPr>
        <w:t>50</w:t>
      </w:r>
      <w:r w:rsidR="00A05188" w:rsidRPr="00662392">
        <w:rPr>
          <w:sz w:val="22"/>
          <w:szCs w:val="22"/>
        </w:rPr>
        <w:t>.59</w:t>
      </w:r>
      <w:r w:rsidR="002B086B" w:rsidRPr="00662392">
        <w:rPr>
          <w:sz w:val="22"/>
          <w:szCs w:val="22"/>
        </w:rPr>
        <w:t xml:space="preserve"> because c</w:t>
      </w:r>
      <w:r w:rsidR="002377F4" w:rsidRPr="00662392">
        <w:rPr>
          <w:sz w:val="22"/>
          <w:szCs w:val="22"/>
        </w:rPr>
        <w:t xml:space="preserve">ontainment pressure would be considered an indirect </w:t>
      </w:r>
      <w:r w:rsidR="00D06233" w:rsidRPr="00662392">
        <w:rPr>
          <w:sz w:val="22"/>
          <w:szCs w:val="22"/>
        </w:rPr>
        <w:t xml:space="preserve">effect. </w:t>
      </w:r>
      <w:r w:rsidR="00E2315B" w:rsidRPr="00662392">
        <w:rPr>
          <w:sz w:val="22"/>
          <w:szCs w:val="22"/>
        </w:rPr>
        <w:t xml:space="preserve"> </w:t>
      </w:r>
      <w:r w:rsidR="0022100B" w:rsidRPr="00662392">
        <w:rPr>
          <w:sz w:val="22"/>
          <w:szCs w:val="22"/>
        </w:rPr>
        <w:t>Additionally,</w:t>
      </w:r>
      <w:r w:rsidRPr="00662392">
        <w:rPr>
          <w:sz w:val="22"/>
          <w:szCs w:val="22"/>
        </w:rPr>
        <w:t xml:space="preserve"> the bearings on a pump may not be specifically mentioned or described in the UFSAR; however, the pump function and performance requirement is described.  A change being made to the bearings needs to be evaluated to determine if it affects the function or performance requirements of the pump, and if so, whether the criteria in 10 CFR 50.59 are met.</w:t>
      </w:r>
      <w:bookmarkEnd w:id="41"/>
    </w:p>
    <w:p w14:paraId="2774B03F" w14:textId="77777777" w:rsidR="004B6DBF" w:rsidRPr="00662392" w:rsidRDefault="004B6DBF" w:rsidP="00194415">
      <w:pPr>
        <w:rPr>
          <w:sz w:val="22"/>
          <w:szCs w:val="22"/>
        </w:rPr>
      </w:pPr>
    </w:p>
    <w:p w14:paraId="3405929F" w14:textId="25406952" w:rsidR="0018273E" w:rsidRPr="00662392" w:rsidRDefault="00F24C39" w:rsidP="00194415">
      <w:pPr>
        <w:widowControl/>
        <w:rPr>
          <w:sz w:val="22"/>
          <w:szCs w:val="22"/>
        </w:rPr>
      </w:pPr>
      <w:r w:rsidRPr="00662392">
        <w:rPr>
          <w:sz w:val="22"/>
          <w:szCs w:val="22"/>
        </w:rPr>
        <w:t>Licensees should not have excluded evaluation of changes solely on the basis that the SSCs or procedures that are described in the UFSAR are not safety related</w:t>
      </w:r>
      <w:r w:rsidR="0018273E" w:rsidRPr="00662392">
        <w:rPr>
          <w:sz w:val="22"/>
          <w:szCs w:val="22"/>
        </w:rPr>
        <w:t xml:space="preserve">.  In addition, an inspector should recognize that a facility also contains many SSCs not described in the UFSAR.  </w:t>
      </w:r>
      <w:r w:rsidR="0066388C" w:rsidRPr="00662392">
        <w:rPr>
          <w:sz w:val="22"/>
          <w:szCs w:val="22"/>
        </w:rPr>
        <w:t xml:space="preserve">As described in </w:t>
      </w:r>
      <w:r w:rsidR="00ED01BA" w:rsidRPr="00662392">
        <w:rPr>
          <w:sz w:val="22"/>
          <w:szCs w:val="22"/>
        </w:rPr>
        <w:t>NEI 96-07, Revision 1,</w:t>
      </w:r>
      <w:r w:rsidR="0066388C" w:rsidRPr="00662392">
        <w:rPr>
          <w:sz w:val="22"/>
          <w:szCs w:val="22"/>
        </w:rPr>
        <w:t xml:space="preserve"> c</w:t>
      </w:r>
      <w:r w:rsidR="0018273E" w:rsidRPr="00662392">
        <w:rPr>
          <w:sz w:val="22"/>
          <w:szCs w:val="22"/>
        </w:rPr>
        <w:t xml:space="preserve">hanges affecting SSCs that are not explicitly described in the UFSAR can have the potential to adversely affect </w:t>
      </w:r>
      <w:r w:rsidR="00913A41" w:rsidRPr="00662392">
        <w:rPr>
          <w:sz w:val="22"/>
          <w:szCs w:val="22"/>
        </w:rPr>
        <w:t xml:space="preserve">other </w:t>
      </w:r>
      <w:r w:rsidR="0018273E" w:rsidRPr="00662392">
        <w:rPr>
          <w:sz w:val="22"/>
          <w:szCs w:val="22"/>
        </w:rPr>
        <w:t xml:space="preserve">SSC design functions that are described in the UFSAR and </w:t>
      </w:r>
      <w:r w:rsidR="00B109C3" w:rsidRPr="00662392">
        <w:rPr>
          <w:sz w:val="22"/>
          <w:szCs w:val="22"/>
        </w:rPr>
        <w:t xml:space="preserve">may </w:t>
      </w:r>
      <w:r w:rsidR="0018273E" w:rsidRPr="00662392">
        <w:rPr>
          <w:sz w:val="22"/>
          <w:szCs w:val="22"/>
        </w:rPr>
        <w:t>require</w:t>
      </w:r>
      <w:r w:rsidR="00B109C3" w:rsidRPr="00662392">
        <w:rPr>
          <w:sz w:val="22"/>
          <w:szCs w:val="22"/>
        </w:rPr>
        <w:t xml:space="preserve"> a</w:t>
      </w:r>
      <w:r w:rsidR="0018273E" w:rsidRPr="00662392">
        <w:rPr>
          <w:sz w:val="22"/>
          <w:szCs w:val="22"/>
        </w:rPr>
        <w:t xml:space="preserve"> licensee 10 CFR 50.59</w:t>
      </w:r>
      <w:r w:rsidR="00B109C3" w:rsidRPr="00662392">
        <w:rPr>
          <w:sz w:val="22"/>
          <w:szCs w:val="22"/>
        </w:rPr>
        <w:t xml:space="preserve"> evaluation</w:t>
      </w:r>
      <w:r w:rsidR="0018273E" w:rsidRPr="00662392">
        <w:rPr>
          <w:sz w:val="22"/>
          <w:szCs w:val="22"/>
        </w:rPr>
        <w:t xml:space="preserve">.  In such cases, the licensee </w:t>
      </w:r>
      <w:r w:rsidR="002C61C0" w:rsidRPr="00662392">
        <w:rPr>
          <w:sz w:val="22"/>
          <w:szCs w:val="22"/>
        </w:rPr>
        <w:t>should</w:t>
      </w:r>
      <w:r w:rsidR="0018273E" w:rsidRPr="00662392">
        <w:rPr>
          <w:sz w:val="22"/>
          <w:szCs w:val="22"/>
        </w:rPr>
        <w:t xml:space="preserve"> consider the larger</w:t>
      </w:r>
      <w:r w:rsidR="002C61C0" w:rsidRPr="00662392">
        <w:rPr>
          <w:sz w:val="22"/>
          <w:szCs w:val="22"/>
        </w:rPr>
        <w:t>,</w:t>
      </w:r>
      <w:r w:rsidR="0018273E" w:rsidRPr="00662392">
        <w:rPr>
          <w:sz w:val="22"/>
          <w:szCs w:val="22"/>
        </w:rPr>
        <w:t xml:space="preserve"> UFSAR</w:t>
      </w:r>
      <w:r w:rsidR="002C61C0" w:rsidRPr="00662392">
        <w:rPr>
          <w:sz w:val="22"/>
          <w:szCs w:val="22"/>
        </w:rPr>
        <w:t>-</w:t>
      </w:r>
      <w:r w:rsidR="0018273E" w:rsidRPr="00662392">
        <w:rPr>
          <w:sz w:val="22"/>
          <w:szCs w:val="22"/>
        </w:rPr>
        <w:t xml:space="preserve">described SSC of which the SSC being modified is a part.  If for the larger SSC, the change adversely affects a UFSAR described design function, method of performing or controlling the function, or a method of evaluation demonstrating that intended design functions will be accomplished, then the licensee should have performed a 10 CFR 50.59 evaluation.  </w:t>
      </w:r>
    </w:p>
    <w:p w14:paraId="54D6B414" w14:textId="77777777" w:rsidR="0018273E" w:rsidRPr="00662392" w:rsidRDefault="0018273E" w:rsidP="00194415">
      <w:pPr>
        <w:widowControl/>
        <w:rPr>
          <w:sz w:val="22"/>
          <w:szCs w:val="22"/>
        </w:rPr>
      </w:pPr>
    </w:p>
    <w:p w14:paraId="4BC746B2" w14:textId="7A939049" w:rsidR="0018273E" w:rsidRPr="00662392" w:rsidRDefault="0018273E" w:rsidP="00194415">
      <w:pPr>
        <w:widowControl/>
        <w:rPr>
          <w:sz w:val="22"/>
          <w:szCs w:val="22"/>
        </w:rPr>
      </w:pPr>
      <w:r w:rsidRPr="00662392">
        <w:rPr>
          <w:sz w:val="22"/>
          <w:szCs w:val="22"/>
        </w:rPr>
        <w:t xml:space="preserve">Licensees should have reviewed all CTEs, temporary and otherwise, in accordance with </w:t>
      </w:r>
      <w:bookmarkStart w:id="43" w:name="_Hlk51678538"/>
      <w:r w:rsidRPr="00662392">
        <w:rPr>
          <w:sz w:val="22"/>
          <w:szCs w:val="22"/>
        </w:rPr>
        <w:t>10 CFR </w:t>
      </w:r>
      <w:bookmarkEnd w:id="43"/>
      <w:r w:rsidRPr="00662392">
        <w:rPr>
          <w:sz w:val="22"/>
          <w:szCs w:val="22"/>
        </w:rPr>
        <w:t xml:space="preserve">50.59.  </w:t>
      </w:r>
      <w:r w:rsidR="00BF113D" w:rsidRPr="00662392">
        <w:rPr>
          <w:sz w:val="22"/>
          <w:szCs w:val="22"/>
        </w:rPr>
        <w:t>See Section 06.2</w:t>
      </w:r>
      <w:r w:rsidR="00B6266C" w:rsidRPr="00662392">
        <w:rPr>
          <w:sz w:val="22"/>
          <w:szCs w:val="22"/>
        </w:rPr>
        <w:t>2</w:t>
      </w:r>
      <w:r w:rsidR="00BF113D" w:rsidRPr="00662392">
        <w:rPr>
          <w:sz w:val="22"/>
          <w:szCs w:val="22"/>
        </w:rPr>
        <w:t xml:space="preserve"> of this IMC for further discussion on temporary alterations.</w:t>
      </w:r>
    </w:p>
    <w:p w14:paraId="36EFF5ED" w14:textId="77777777" w:rsidR="0018273E" w:rsidRPr="00662392" w:rsidRDefault="0018273E" w:rsidP="00194415">
      <w:pPr>
        <w:widowControl/>
        <w:rPr>
          <w:sz w:val="22"/>
          <w:szCs w:val="22"/>
        </w:rPr>
      </w:pPr>
    </w:p>
    <w:p w14:paraId="2EBA6814" w14:textId="73F4E024" w:rsidR="0018273E" w:rsidRPr="00662392" w:rsidRDefault="0018273E" w:rsidP="00194415">
      <w:pPr>
        <w:widowControl/>
        <w:rPr>
          <w:sz w:val="22"/>
          <w:szCs w:val="22"/>
        </w:rPr>
      </w:pPr>
      <w:r w:rsidRPr="00662392">
        <w:rPr>
          <w:sz w:val="22"/>
          <w:szCs w:val="22"/>
        </w:rPr>
        <w:t xml:space="preserve">An unintended change of the facility or procedures from that described in the UFSAR, whether in existence since initial licensing, or as the result of an error in a subsequent facility/procedure change or other activity that is not restored must be reviewed by the licensee pursuant to 10 CFR 50.59 to determine whether the </w:t>
      </w:r>
      <w:r w:rsidR="00530A40" w:rsidRPr="00662392">
        <w:rPr>
          <w:sz w:val="22"/>
          <w:szCs w:val="22"/>
        </w:rPr>
        <w:t xml:space="preserve">unintended </w:t>
      </w:r>
      <w:r w:rsidRPr="00662392">
        <w:rPr>
          <w:sz w:val="22"/>
          <w:szCs w:val="22"/>
        </w:rPr>
        <w:t>change require</w:t>
      </w:r>
      <w:r w:rsidR="00805961" w:rsidRPr="00662392">
        <w:rPr>
          <w:sz w:val="22"/>
          <w:szCs w:val="22"/>
        </w:rPr>
        <w:t>s</w:t>
      </w:r>
      <w:r w:rsidRPr="00662392">
        <w:rPr>
          <w:sz w:val="22"/>
          <w:szCs w:val="22"/>
        </w:rPr>
        <w:t xml:space="preserve"> NRC approval</w:t>
      </w:r>
      <w:r w:rsidR="00B2571E" w:rsidRPr="00662392">
        <w:rPr>
          <w:sz w:val="22"/>
          <w:szCs w:val="22"/>
        </w:rPr>
        <w:t>.</w:t>
      </w:r>
      <w:r w:rsidRPr="00662392">
        <w:rPr>
          <w:sz w:val="22"/>
          <w:szCs w:val="22"/>
        </w:rPr>
        <w:t xml:space="preserve">  For unintended changes which rise to the level of requiring NRC approval, the NRC approval prior to implementation refers to the approval of the corrective action (i.e., of the change to the licensing basis as described in the UFSAR) before the condition is resolved.</w:t>
      </w:r>
    </w:p>
    <w:p w14:paraId="40379F15" w14:textId="77777777" w:rsidR="0018273E" w:rsidRPr="00662392" w:rsidRDefault="0018273E" w:rsidP="00194415">
      <w:pPr>
        <w:widowControl/>
        <w:rPr>
          <w:sz w:val="22"/>
          <w:szCs w:val="22"/>
        </w:rPr>
      </w:pPr>
    </w:p>
    <w:p w14:paraId="415503A7" w14:textId="3CED8B9A" w:rsidR="0018273E" w:rsidRPr="00662392" w:rsidRDefault="00FA3313" w:rsidP="00194415">
      <w:pPr>
        <w:widowControl/>
        <w:rPr>
          <w:sz w:val="22"/>
          <w:szCs w:val="22"/>
          <w:u w:val="single"/>
        </w:rPr>
      </w:pPr>
      <w:r w:rsidRPr="00662392">
        <w:rPr>
          <w:sz w:val="22"/>
          <w:szCs w:val="22"/>
        </w:rPr>
        <w:t>06.11</w:t>
      </w:r>
      <w:r w:rsidRPr="00662392">
        <w:rPr>
          <w:sz w:val="22"/>
          <w:szCs w:val="22"/>
        </w:rPr>
        <w:tab/>
      </w:r>
      <w:r w:rsidRPr="00662392">
        <w:rPr>
          <w:sz w:val="22"/>
          <w:szCs w:val="22"/>
          <w:u w:val="single"/>
        </w:rPr>
        <w:t>Tests or Experiments Not Described in the UFSAR</w:t>
      </w:r>
      <w:r w:rsidRPr="00662392">
        <w:rPr>
          <w:sz w:val="22"/>
          <w:szCs w:val="22"/>
          <w:u w:val="single"/>
        </w:rPr>
        <w:fldChar w:fldCharType="begin"/>
      </w:r>
      <w:r w:rsidRPr="00662392">
        <w:rPr>
          <w:sz w:val="22"/>
          <w:szCs w:val="22"/>
        </w:rPr>
        <w:instrText xml:space="preserve"> TC "</w:instrText>
      </w:r>
      <w:bookmarkStart w:id="44" w:name="_Toc62642902"/>
      <w:bookmarkStart w:id="45" w:name="_Toc63142084"/>
      <w:r w:rsidRPr="00662392">
        <w:rPr>
          <w:sz w:val="22"/>
          <w:szCs w:val="22"/>
        </w:rPr>
        <w:instrText>06.11</w:instrText>
      </w:r>
      <w:r w:rsidRPr="00662392">
        <w:rPr>
          <w:sz w:val="22"/>
          <w:szCs w:val="22"/>
        </w:rPr>
        <w:tab/>
      </w:r>
      <w:r w:rsidRPr="00662392">
        <w:rPr>
          <w:sz w:val="22"/>
          <w:szCs w:val="22"/>
          <w:u w:val="single"/>
        </w:rPr>
        <w:instrText>Tests or Experiments Not Described in the UFSAR</w:instrText>
      </w:r>
      <w:bookmarkEnd w:id="44"/>
      <w:bookmarkEnd w:id="45"/>
      <w:r w:rsidRPr="00662392">
        <w:rPr>
          <w:sz w:val="22"/>
          <w:szCs w:val="22"/>
        </w:rPr>
        <w:instrText xml:space="preserve">" \f C \l "2" </w:instrText>
      </w:r>
      <w:r w:rsidRPr="00662392">
        <w:rPr>
          <w:sz w:val="22"/>
          <w:szCs w:val="22"/>
          <w:u w:val="single"/>
        </w:rPr>
        <w:fldChar w:fldCharType="end"/>
      </w:r>
    </w:p>
    <w:p w14:paraId="7579FBDA" w14:textId="77777777" w:rsidR="0018273E" w:rsidRPr="00662392" w:rsidRDefault="0018273E" w:rsidP="00194415">
      <w:pPr>
        <w:widowControl/>
        <w:rPr>
          <w:sz w:val="22"/>
          <w:szCs w:val="22"/>
          <w:u w:val="single"/>
        </w:rPr>
      </w:pPr>
    </w:p>
    <w:p w14:paraId="63BFC065" w14:textId="66186832" w:rsidR="0018273E" w:rsidRPr="00662392" w:rsidRDefault="0018273E" w:rsidP="00194415">
      <w:pPr>
        <w:widowControl/>
        <w:rPr>
          <w:sz w:val="22"/>
          <w:szCs w:val="22"/>
        </w:rPr>
      </w:pPr>
      <w:r w:rsidRPr="00662392">
        <w:rPr>
          <w:sz w:val="22"/>
          <w:szCs w:val="22"/>
        </w:rPr>
        <w:t>Section 04.</w:t>
      </w:r>
      <w:r w:rsidR="007B5B52" w:rsidRPr="00662392">
        <w:rPr>
          <w:sz w:val="22"/>
          <w:szCs w:val="22"/>
        </w:rPr>
        <w:t>10</w:t>
      </w:r>
      <w:r w:rsidRPr="00662392">
        <w:rPr>
          <w:sz w:val="22"/>
          <w:szCs w:val="22"/>
        </w:rPr>
        <w:t xml:space="preserve"> of this IMC defines tests or experiments not described in the UFSAR.  </w:t>
      </w:r>
      <w:bookmarkStart w:id="46" w:name="_Hlk54703320"/>
      <w:r w:rsidRPr="00662392">
        <w:rPr>
          <w:sz w:val="22"/>
          <w:szCs w:val="22"/>
        </w:rPr>
        <w:t xml:space="preserve">Inspectors should be aware that the SOCs for 10 CFR 50.59 state </w:t>
      </w:r>
      <w:bookmarkEnd w:id="46"/>
      <w:r w:rsidRPr="00662392">
        <w:rPr>
          <w:sz w:val="22"/>
          <w:szCs w:val="22"/>
        </w:rPr>
        <w:t xml:space="preserve">that the intent </w:t>
      </w:r>
      <w:r w:rsidR="006A6E7D" w:rsidRPr="00662392">
        <w:rPr>
          <w:sz w:val="22"/>
          <w:szCs w:val="22"/>
        </w:rPr>
        <w:t>of</w:t>
      </w:r>
      <w:r w:rsidR="00650DF5" w:rsidRPr="00662392">
        <w:rPr>
          <w:sz w:val="22"/>
          <w:szCs w:val="22"/>
        </w:rPr>
        <w:t xml:space="preserve"> </w:t>
      </w:r>
      <w:r w:rsidR="000C390D" w:rsidRPr="00662392">
        <w:rPr>
          <w:sz w:val="22"/>
          <w:szCs w:val="22"/>
        </w:rPr>
        <w:t>the requirement</w:t>
      </w:r>
      <w:r w:rsidR="00650DF5" w:rsidRPr="00662392">
        <w:rPr>
          <w:sz w:val="22"/>
          <w:szCs w:val="22"/>
        </w:rPr>
        <w:t xml:space="preserve"> </w:t>
      </w:r>
      <w:r w:rsidRPr="00662392">
        <w:rPr>
          <w:sz w:val="22"/>
          <w:szCs w:val="22"/>
        </w:rPr>
        <w:t xml:space="preserve">is that tests that put the facility in a situation that has not previously been evaluated or that could affect the capability of SSCs to perform their intended functions should be evaluated before they are conducted.  </w:t>
      </w:r>
      <w:r w:rsidR="00062385">
        <w:rPr>
          <w:sz w:val="22"/>
          <w:szCs w:val="22"/>
        </w:rPr>
        <w:t>T</w:t>
      </w:r>
      <w:r w:rsidRPr="00662392">
        <w:rPr>
          <w:sz w:val="22"/>
          <w:szCs w:val="22"/>
        </w:rPr>
        <w:t>he definition focuses upon the facility being outside its design basis values or inconsistent with the safety analyses in the UFSAR.</w:t>
      </w:r>
    </w:p>
    <w:p w14:paraId="4E44D99A" w14:textId="77777777" w:rsidR="0018273E" w:rsidRPr="00662392" w:rsidRDefault="0018273E" w:rsidP="00194415">
      <w:pPr>
        <w:widowControl/>
        <w:rPr>
          <w:sz w:val="22"/>
          <w:szCs w:val="22"/>
        </w:rPr>
      </w:pPr>
    </w:p>
    <w:p w14:paraId="1B2AECEA" w14:textId="77777777" w:rsidR="000E0ACD" w:rsidRDefault="0018273E" w:rsidP="00194415">
      <w:pPr>
        <w:widowControl/>
        <w:rPr>
          <w:sz w:val="22"/>
          <w:szCs w:val="22"/>
        </w:rPr>
        <w:sectPr w:rsidR="000E0ACD" w:rsidSect="00012998">
          <w:footerReference w:type="default" r:id="rId30"/>
          <w:pgSz w:w="12240" w:h="15840" w:code="1"/>
          <w:pgMar w:top="1440" w:right="1440" w:bottom="1440" w:left="1440" w:header="720" w:footer="720" w:gutter="0"/>
          <w:cols w:space="720"/>
          <w:noEndnote/>
          <w:docGrid w:linePitch="326"/>
        </w:sectPr>
      </w:pPr>
      <w:r w:rsidRPr="00662392">
        <w:rPr>
          <w:sz w:val="22"/>
          <w:szCs w:val="22"/>
        </w:rPr>
        <w:t xml:space="preserve">Inspectors should be aware that </w:t>
      </w:r>
      <w:r w:rsidR="00332423" w:rsidRPr="00662392">
        <w:rPr>
          <w:sz w:val="22"/>
          <w:szCs w:val="22"/>
        </w:rPr>
        <w:t xml:space="preserve">modifications </w:t>
      </w:r>
      <w:r w:rsidRPr="00662392">
        <w:rPr>
          <w:sz w:val="22"/>
          <w:szCs w:val="22"/>
        </w:rPr>
        <w:t>to tests or experiments described in the UFSAR are reviewed as a change to procedures.  However,</w:t>
      </w:r>
      <w:r w:rsidR="002E1AD0" w:rsidRPr="00662392">
        <w:rPr>
          <w:sz w:val="22"/>
          <w:szCs w:val="22"/>
        </w:rPr>
        <w:t xml:space="preserve"> (1)</w:t>
      </w:r>
      <w:r w:rsidRPr="00662392">
        <w:rPr>
          <w:sz w:val="22"/>
          <w:szCs w:val="22"/>
        </w:rPr>
        <w:t xml:space="preserve"> testing that removes an SSC from service for maintenance, if it is not a prolonged removal</w:t>
      </w:r>
      <w:r w:rsidR="002E1AD0" w:rsidRPr="00662392">
        <w:rPr>
          <w:sz w:val="22"/>
          <w:szCs w:val="22"/>
        </w:rPr>
        <w:t>, (2)</w:t>
      </w:r>
      <w:r w:rsidRPr="00662392">
        <w:rPr>
          <w:sz w:val="22"/>
          <w:szCs w:val="22"/>
        </w:rPr>
        <w:t xml:space="preserve"> temporary alterations in place less than 90 days (including those affecting operator actions and procedures as described in the </w:t>
      </w:r>
    </w:p>
    <w:p w14:paraId="2FE4D427" w14:textId="77777777" w:rsidR="000E0ACD" w:rsidRDefault="000E0ACD" w:rsidP="00194415">
      <w:pPr>
        <w:widowControl/>
        <w:rPr>
          <w:sz w:val="22"/>
          <w:szCs w:val="22"/>
        </w:rPr>
      </w:pPr>
    </w:p>
    <w:p w14:paraId="7D2D793B" w14:textId="58CF9DC8" w:rsidR="0018273E" w:rsidRPr="00662392" w:rsidRDefault="0018273E" w:rsidP="00194415">
      <w:pPr>
        <w:widowControl/>
        <w:rPr>
          <w:sz w:val="22"/>
          <w:szCs w:val="22"/>
        </w:rPr>
      </w:pPr>
      <w:r w:rsidRPr="00662392">
        <w:rPr>
          <w:sz w:val="22"/>
          <w:szCs w:val="22"/>
        </w:rPr>
        <w:t xml:space="preserve">UFSAR) in support of maintenance, </w:t>
      </w:r>
      <w:r w:rsidR="002E1AD0" w:rsidRPr="00662392">
        <w:rPr>
          <w:sz w:val="22"/>
          <w:szCs w:val="22"/>
        </w:rPr>
        <w:t>and (3)</w:t>
      </w:r>
      <w:r w:rsidRPr="00662392">
        <w:rPr>
          <w:sz w:val="22"/>
          <w:szCs w:val="22"/>
        </w:rPr>
        <w:t xml:space="preserve"> post-modification testing is considered </w:t>
      </w:r>
      <w:r w:rsidR="00D521B5" w:rsidRPr="00662392">
        <w:rPr>
          <w:sz w:val="22"/>
          <w:szCs w:val="22"/>
        </w:rPr>
        <w:t>a</w:t>
      </w:r>
      <w:r w:rsidRPr="00662392">
        <w:rPr>
          <w:sz w:val="22"/>
          <w:szCs w:val="22"/>
        </w:rPr>
        <w:t xml:space="preserve"> maintenance </w:t>
      </w:r>
      <w:proofErr w:type="gramStart"/>
      <w:r w:rsidR="00D521B5" w:rsidRPr="00662392">
        <w:rPr>
          <w:sz w:val="22"/>
          <w:szCs w:val="22"/>
        </w:rPr>
        <w:t>activity</w:t>
      </w:r>
      <w:r w:rsidR="002E1AD0" w:rsidRPr="00662392">
        <w:rPr>
          <w:sz w:val="22"/>
          <w:szCs w:val="22"/>
        </w:rPr>
        <w:t>,</w:t>
      </w:r>
      <w:r w:rsidR="00D521B5" w:rsidRPr="00662392">
        <w:rPr>
          <w:sz w:val="22"/>
          <w:szCs w:val="22"/>
        </w:rPr>
        <w:t xml:space="preserve"> </w:t>
      </w:r>
      <w:r w:rsidRPr="00662392">
        <w:rPr>
          <w:sz w:val="22"/>
          <w:szCs w:val="22"/>
        </w:rPr>
        <w:t>and</w:t>
      </w:r>
      <w:proofErr w:type="gramEnd"/>
      <w:r w:rsidRPr="00662392">
        <w:rPr>
          <w:sz w:val="22"/>
          <w:szCs w:val="22"/>
        </w:rPr>
        <w:t xml:space="preserve"> does not require a 10</w:t>
      </w:r>
      <w:r w:rsidR="002E1AD0" w:rsidRPr="00662392">
        <w:rPr>
          <w:sz w:val="22"/>
          <w:szCs w:val="22"/>
        </w:rPr>
        <w:t xml:space="preserve"> </w:t>
      </w:r>
      <w:r w:rsidRPr="00662392">
        <w:rPr>
          <w:sz w:val="22"/>
          <w:szCs w:val="22"/>
        </w:rPr>
        <w:t>CFR</w:t>
      </w:r>
      <w:r w:rsidR="002E1AD0" w:rsidRPr="00662392">
        <w:rPr>
          <w:sz w:val="22"/>
          <w:szCs w:val="22"/>
        </w:rPr>
        <w:t xml:space="preserve"> </w:t>
      </w:r>
      <w:r w:rsidRPr="00662392">
        <w:rPr>
          <w:sz w:val="22"/>
          <w:szCs w:val="22"/>
        </w:rPr>
        <w:t xml:space="preserve">50.59 evaluation because </w:t>
      </w:r>
      <w:r w:rsidR="002E1AD0" w:rsidRPr="00662392">
        <w:rPr>
          <w:sz w:val="22"/>
          <w:szCs w:val="22"/>
        </w:rPr>
        <w:t>they are</w:t>
      </w:r>
      <w:r w:rsidRPr="00662392">
        <w:rPr>
          <w:sz w:val="22"/>
          <w:szCs w:val="22"/>
        </w:rPr>
        <w:t xml:space="preserve"> controlled by 10</w:t>
      </w:r>
      <w:r w:rsidR="002E1AD0" w:rsidRPr="00662392">
        <w:rPr>
          <w:sz w:val="22"/>
          <w:szCs w:val="22"/>
        </w:rPr>
        <w:t xml:space="preserve"> </w:t>
      </w:r>
      <w:r w:rsidRPr="00662392">
        <w:rPr>
          <w:sz w:val="22"/>
          <w:szCs w:val="22"/>
        </w:rPr>
        <w:t>CFR</w:t>
      </w:r>
      <w:r w:rsidR="002E1AD0" w:rsidRPr="00662392">
        <w:rPr>
          <w:sz w:val="22"/>
          <w:szCs w:val="22"/>
        </w:rPr>
        <w:t xml:space="preserve"> </w:t>
      </w:r>
      <w:r w:rsidRPr="00662392">
        <w:rPr>
          <w:sz w:val="22"/>
          <w:szCs w:val="22"/>
        </w:rPr>
        <w:t>50.65(a)(4).  See Section 06.2</w:t>
      </w:r>
      <w:r w:rsidR="00857B95" w:rsidRPr="00662392">
        <w:rPr>
          <w:sz w:val="22"/>
          <w:szCs w:val="22"/>
        </w:rPr>
        <w:t>2</w:t>
      </w:r>
      <w:r w:rsidRPr="00662392">
        <w:rPr>
          <w:sz w:val="22"/>
          <w:szCs w:val="22"/>
        </w:rPr>
        <w:t xml:space="preserve"> of this IMC for further discussion on temporary alterations.</w:t>
      </w:r>
    </w:p>
    <w:p w14:paraId="1F92EE06" w14:textId="62C21FC3" w:rsidR="00194415" w:rsidRPr="00662392" w:rsidRDefault="00194415" w:rsidP="00194415">
      <w:pPr>
        <w:widowControl/>
        <w:rPr>
          <w:sz w:val="22"/>
          <w:szCs w:val="22"/>
        </w:rPr>
      </w:pPr>
    </w:p>
    <w:p w14:paraId="5490B8EE" w14:textId="698C3675" w:rsidR="0018273E" w:rsidRPr="00662392" w:rsidRDefault="00FA3313" w:rsidP="00194415">
      <w:pPr>
        <w:rPr>
          <w:sz w:val="22"/>
          <w:szCs w:val="22"/>
        </w:rPr>
      </w:pPr>
      <w:r w:rsidRPr="00662392">
        <w:rPr>
          <w:sz w:val="22"/>
          <w:szCs w:val="22"/>
        </w:rPr>
        <w:t>06.12</w:t>
      </w:r>
      <w:r w:rsidRPr="00662392">
        <w:rPr>
          <w:sz w:val="22"/>
          <w:szCs w:val="22"/>
        </w:rPr>
        <w:tab/>
      </w:r>
      <w:r w:rsidRPr="00662392">
        <w:rPr>
          <w:sz w:val="22"/>
          <w:szCs w:val="22"/>
          <w:u w:val="single"/>
        </w:rPr>
        <w:t>Evaluation Process</w:t>
      </w:r>
      <w:r w:rsidRPr="00662392">
        <w:rPr>
          <w:sz w:val="22"/>
          <w:szCs w:val="22"/>
          <w:u w:val="single"/>
        </w:rPr>
        <w:fldChar w:fldCharType="begin"/>
      </w:r>
      <w:r w:rsidRPr="00662392">
        <w:rPr>
          <w:sz w:val="22"/>
          <w:szCs w:val="22"/>
        </w:rPr>
        <w:instrText xml:space="preserve"> TC "</w:instrText>
      </w:r>
      <w:bookmarkStart w:id="47" w:name="_Toc62642903"/>
      <w:bookmarkStart w:id="48" w:name="_Toc63142085"/>
      <w:r w:rsidRPr="00662392">
        <w:rPr>
          <w:sz w:val="22"/>
          <w:szCs w:val="22"/>
        </w:rPr>
        <w:instrText>06.12</w:instrText>
      </w:r>
      <w:r w:rsidRPr="00662392">
        <w:rPr>
          <w:sz w:val="22"/>
          <w:szCs w:val="22"/>
        </w:rPr>
        <w:tab/>
      </w:r>
      <w:r w:rsidRPr="00662392">
        <w:rPr>
          <w:sz w:val="22"/>
          <w:szCs w:val="22"/>
          <w:u w:val="single"/>
        </w:rPr>
        <w:instrText>Evaluation Process</w:instrText>
      </w:r>
      <w:bookmarkEnd w:id="47"/>
      <w:bookmarkEnd w:id="48"/>
      <w:r w:rsidRPr="00662392">
        <w:rPr>
          <w:sz w:val="22"/>
          <w:szCs w:val="22"/>
        </w:rPr>
        <w:instrText xml:space="preserve">" \f C \l "2" </w:instrText>
      </w:r>
      <w:r w:rsidRPr="00662392">
        <w:rPr>
          <w:sz w:val="22"/>
          <w:szCs w:val="22"/>
          <w:u w:val="single"/>
        </w:rPr>
        <w:fldChar w:fldCharType="end"/>
      </w:r>
    </w:p>
    <w:p w14:paraId="4F135CE6" w14:textId="77777777" w:rsidR="0018273E" w:rsidRPr="00662392" w:rsidRDefault="0018273E" w:rsidP="00194415">
      <w:pPr>
        <w:rPr>
          <w:sz w:val="22"/>
          <w:szCs w:val="22"/>
        </w:rPr>
      </w:pPr>
    </w:p>
    <w:p w14:paraId="34DFC69C" w14:textId="3B8BA230" w:rsidR="0018273E" w:rsidRPr="00662392" w:rsidRDefault="006552A5" w:rsidP="00194415">
      <w:pPr>
        <w:rPr>
          <w:sz w:val="22"/>
          <w:szCs w:val="22"/>
        </w:rPr>
      </w:pPr>
      <w:bookmarkStart w:id="49" w:name="_Hlk51744298"/>
      <w:bookmarkStart w:id="50" w:name="_Hlk51756839"/>
      <w:r w:rsidRPr="00662392">
        <w:rPr>
          <w:sz w:val="22"/>
          <w:szCs w:val="22"/>
        </w:rPr>
        <w:t xml:space="preserve">Licensees </w:t>
      </w:r>
      <w:r w:rsidR="00B12E78" w:rsidRPr="00662392">
        <w:rPr>
          <w:sz w:val="22"/>
          <w:szCs w:val="22"/>
        </w:rPr>
        <w:t>evaluate</w:t>
      </w:r>
      <w:r w:rsidRPr="00662392">
        <w:rPr>
          <w:sz w:val="22"/>
          <w:szCs w:val="22"/>
        </w:rPr>
        <w:t xml:space="preserve"> the </w:t>
      </w:r>
      <w:r w:rsidR="0018273E" w:rsidRPr="00662392">
        <w:rPr>
          <w:sz w:val="22"/>
          <w:szCs w:val="22"/>
        </w:rPr>
        <w:t xml:space="preserve">eight criteria in </w:t>
      </w:r>
      <w:bookmarkEnd w:id="49"/>
      <w:r w:rsidR="0018273E" w:rsidRPr="00662392">
        <w:rPr>
          <w:sz w:val="22"/>
          <w:szCs w:val="22"/>
        </w:rPr>
        <w:t xml:space="preserve">10 CFR 50.59 to determine if </w:t>
      </w:r>
      <w:r w:rsidR="00C161C3" w:rsidRPr="00662392">
        <w:rPr>
          <w:sz w:val="22"/>
          <w:szCs w:val="22"/>
        </w:rPr>
        <w:t xml:space="preserve">obtaining </w:t>
      </w:r>
      <w:r w:rsidR="0018273E" w:rsidRPr="00662392">
        <w:rPr>
          <w:sz w:val="22"/>
          <w:szCs w:val="22"/>
        </w:rPr>
        <w:t xml:space="preserve">a license amendment is required for </w:t>
      </w:r>
      <w:r w:rsidR="002E7F52" w:rsidRPr="00662392">
        <w:rPr>
          <w:sz w:val="22"/>
          <w:szCs w:val="22"/>
        </w:rPr>
        <w:t xml:space="preserve">proposed </w:t>
      </w:r>
      <w:r w:rsidR="0018273E" w:rsidRPr="00662392">
        <w:rPr>
          <w:sz w:val="22"/>
          <w:szCs w:val="22"/>
        </w:rPr>
        <w:t>CTEs.  If the CTE involves a change to the TS</w:t>
      </w:r>
      <w:r w:rsidR="009901FF" w:rsidRPr="00662392">
        <w:rPr>
          <w:sz w:val="22"/>
          <w:szCs w:val="22"/>
        </w:rPr>
        <w:t>, licensees do not need to perform an evaluation of the eight criteria in 10 CFR 50.59 and</w:t>
      </w:r>
      <w:r w:rsidR="0018273E" w:rsidRPr="00662392">
        <w:rPr>
          <w:sz w:val="22"/>
          <w:szCs w:val="22"/>
        </w:rPr>
        <w:t xml:space="preserve"> must apply for a license amendment in accordance with 10 CFR 50.90</w:t>
      </w:r>
      <w:r w:rsidR="0077597C" w:rsidRPr="00662392">
        <w:rPr>
          <w:sz w:val="22"/>
          <w:szCs w:val="22"/>
        </w:rPr>
        <w:t>.</w:t>
      </w:r>
    </w:p>
    <w:bookmarkEnd w:id="50"/>
    <w:p w14:paraId="07D32D76" w14:textId="77777777" w:rsidR="0018273E" w:rsidRPr="00662392" w:rsidRDefault="0018273E" w:rsidP="00194415">
      <w:pPr>
        <w:rPr>
          <w:sz w:val="22"/>
          <w:szCs w:val="22"/>
        </w:rPr>
      </w:pPr>
    </w:p>
    <w:p w14:paraId="4B83B2BA" w14:textId="77777777" w:rsidR="0018273E" w:rsidRPr="00662392" w:rsidRDefault="0018273E" w:rsidP="00194415">
      <w:pPr>
        <w:rPr>
          <w:sz w:val="22"/>
          <w:szCs w:val="22"/>
        </w:rPr>
      </w:pPr>
      <w:r w:rsidRPr="00662392">
        <w:rPr>
          <w:sz w:val="22"/>
          <w:szCs w:val="22"/>
        </w:rPr>
        <w:t xml:space="preserve">Areas inspectors should consider when reviewing licensees’ 10 CFR 50.59 evaluations include but are not limited to: </w:t>
      </w:r>
    </w:p>
    <w:p w14:paraId="166C5F84" w14:textId="77777777" w:rsidR="0018273E" w:rsidRPr="00662392" w:rsidRDefault="0018273E" w:rsidP="00194415">
      <w:pPr>
        <w:rPr>
          <w:sz w:val="22"/>
          <w:szCs w:val="22"/>
        </w:rPr>
      </w:pPr>
    </w:p>
    <w:p w14:paraId="56990B8A" w14:textId="5A3D7B6F" w:rsidR="0018273E" w:rsidRPr="00662392" w:rsidRDefault="0018273E" w:rsidP="00194415">
      <w:pPr>
        <w:pStyle w:val="ListParagraph"/>
        <w:numPr>
          <w:ilvl w:val="0"/>
          <w:numId w:val="5"/>
        </w:numPr>
        <w:rPr>
          <w:rFonts w:ascii="Arial" w:hAnsi="Arial" w:cs="Arial"/>
          <w:sz w:val="22"/>
          <w:szCs w:val="22"/>
        </w:rPr>
      </w:pPr>
      <w:r w:rsidRPr="00662392">
        <w:rPr>
          <w:rFonts w:ascii="Arial" w:hAnsi="Arial" w:cs="Arial"/>
          <w:sz w:val="22"/>
          <w:szCs w:val="22"/>
        </w:rPr>
        <w:t>SSCs directly and indirectly affected by the change (e.g., does the change affect the capability of the SSCs</w:t>
      </w:r>
      <w:r w:rsidR="005D5441" w:rsidRPr="00662392">
        <w:rPr>
          <w:rFonts w:ascii="Arial" w:hAnsi="Arial" w:cs="Arial"/>
          <w:sz w:val="22"/>
          <w:szCs w:val="22"/>
        </w:rPr>
        <w:t xml:space="preserve"> at issue, or another SSC,</w:t>
      </w:r>
      <w:r w:rsidRPr="00662392">
        <w:rPr>
          <w:rFonts w:ascii="Arial" w:hAnsi="Arial" w:cs="Arial"/>
          <w:sz w:val="22"/>
          <w:szCs w:val="22"/>
        </w:rPr>
        <w:t xml:space="preserve"> to perform the intended design function</w:t>
      </w:r>
      <w:r w:rsidR="005D5441" w:rsidRPr="00662392">
        <w:rPr>
          <w:rFonts w:ascii="Arial" w:hAnsi="Arial" w:cs="Arial"/>
          <w:sz w:val="22"/>
          <w:szCs w:val="22"/>
        </w:rPr>
        <w:t>(</w:t>
      </w:r>
      <w:r w:rsidRPr="00662392">
        <w:rPr>
          <w:rFonts w:ascii="Arial" w:hAnsi="Arial" w:cs="Arial"/>
          <w:sz w:val="22"/>
          <w:szCs w:val="22"/>
        </w:rPr>
        <w:t>s</w:t>
      </w:r>
      <w:r w:rsidR="005D5441" w:rsidRPr="00662392">
        <w:rPr>
          <w:rFonts w:ascii="Arial" w:hAnsi="Arial" w:cs="Arial"/>
          <w:sz w:val="22"/>
          <w:szCs w:val="22"/>
        </w:rPr>
        <w:t>)</w:t>
      </w:r>
      <w:r w:rsidRPr="00662392">
        <w:rPr>
          <w:rFonts w:ascii="Arial" w:hAnsi="Arial" w:cs="Arial"/>
          <w:sz w:val="22"/>
          <w:szCs w:val="22"/>
        </w:rPr>
        <w:t xml:space="preserve">?); </w:t>
      </w:r>
    </w:p>
    <w:p w14:paraId="23FFEA1C" w14:textId="77777777" w:rsidR="0018273E" w:rsidRPr="00662392" w:rsidRDefault="0018273E" w:rsidP="00194415">
      <w:pPr>
        <w:pStyle w:val="ListParagraph"/>
        <w:numPr>
          <w:ilvl w:val="0"/>
          <w:numId w:val="5"/>
        </w:numPr>
        <w:rPr>
          <w:rFonts w:ascii="Arial" w:hAnsi="Arial" w:cs="Arial"/>
          <w:sz w:val="22"/>
          <w:szCs w:val="22"/>
        </w:rPr>
      </w:pPr>
      <w:r w:rsidRPr="00662392">
        <w:rPr>
          <w:rFonts w:ascii="Arial" w:hAnsi="Arial" w:cs="Arial"/>
          <w:sz w:val="22"/>
          <w:szCs w:val="22"/>
        </w:rPr>
        <w:t>changes to any elements of a method of evaluation described in the UFSAR, which includes changes from a method described in the UFSAR;</w:t>
      </w:r>
    </w:p>
    <w:p w14:paraId="3E4D8214" w14:textId="143F6FD2" w:rsidR="0018273E" w:rsidRPr="00662392" w:rsidRDefault="0018273E" w:rsidP="00194415">
      <w:pPr>
        <w:pStyle w:val="ListParagraph"/>
        <w:numPr>
          <w:ilvl w:val="0"/>
          <w:numId w:val="5"/>
        </w:numPr>
        <w:rPr>
          <w:rFonts w:ascii="Arial" w:hAnsi="Arial" w:cs="Arial"/>
          <w:sz w:val="22"/>
          <w:szCs w:val="22"/>
        </w:rPr>
      </w:pPr>
      <w:r w:rsidRPr="00662392">
        <w:rPr>
          <w:rFonts w:ascii="Arial" w:hAnsi="Arial" w:cs="Arial"/>
          <w:sz w:val="22"/>
          <w:szCs w:val="22"/>
        </w:rPr>
        <w:t xml:space="preserve">parameters of the accident analysis affected by the change (e.g., are all the relevant </w:t>
      </w:r>
      <w:r w:rsidR="009B4D4E" w:rsidRPr="00662392">
        <w:rPr>
          <w:rFonts w:ascii="Arial" w:hAnsi="Arial" w:cs="Arial"/>
          <w:sz w:val="22"/>
          <w:szCs w:val="22"/>
        </w:rPr>
        <w:t>DBA</w:t>
      </w:r>
      <w:r w:rsidRPr="00662392">
        <w:rPr>
          <w:rFonts w:ascii="Arial" w:hAnsi="Arial" w:cs="Arial"/>
          <w:sz w:val="22"/>
          <w:szCs w:val="22"/>
        </w:rPr>
        <w:t>s and transients identified</w:t>
      </w:r>
      <w:r w:rsidR="0039276A" w:rsidRPr="00662392">
        <w:rPr>
          <w:rFonts w:ascii="Arial" w:hAnsi="Arial" w:cs="Arial"/>
          <w:sz w:val="22"/>
          <w:szCs w:val="22"/>
        </w:rPr>
        <w:t xml:space="preserve"> in licensee evaluation</w:t>
      </w:r>
      <w:r w:rsidR="00D42609" w:rsidRPr="00662392">
        <w:rPr>
          <w:rFonts w:ascii="Arial" w:hAnsi="Arial" w:cs="Arial"/>
          <w:sz w:val="22"/>
          <w:szCs w:val="22"/>
        </w:rPr>
        <w:t>s</w:t>
      </w:r>
      <w:r w:rsidRPr="00662392">
        <w:rPr>
          <w:rFonts w:ascii="Arial" w:hAnsi="Arial" w:cs="Arial"/>
          <w:sz w:val="22"/>
          <w:szCs w:val="22"/>
        </w:rPr>
        <w:t>?);</w:t>
      </w:r>
    </w:p>
    <w:p w14:paraId="69D29C04" w14:textId="77777777" w:rsidR="0018273E" w:rsidRPr="00662392" w:rsidRDefault="0018273E" w:rsidP="00194415">
      <w:pPr>
        <w:pStyle w:val="ListParagraph"/>
        <w:numPr>
          <w:ilvl w:val="0"/>
          <w:numId w:val="5"/>
        </w:numPr>
        <w:rPr>
          <w:rFonts w:ascii="Arial" w:hAnsi="Arial" w:cs="Arial"/>
          <w:sz w:val="22"/>
          <w:szCs w:val="22"/>
        </w:rPr>
      </w:pPr>
      <w:r w:rsidRPr="00662392">
        <w:rPr>
          <w:rFonts w:ascii="Arial" w:hAnsi="Arial" w:cs="Arial"/>
          <w:sz w:val="22"/>
          <w:szCs w:val="22"/>
        </w:rPr>
        <w:t>potential effects of SSC failures (e.g., licensees explored and answered the question, “what would happen if...” in the evaluation); and</w:t>
      </w:r>
    </w:p>
    <w:p w14:paraId="68AEAE39" w14:textId="77777777" w:rsidR="0018273E" w:rsidRPr="00662392" w:rsidRDefault="0018273E" w:rsidP="00194415">
      <w:pPr>
        <w:pStyle w:val="ListParagraph"/>
        <w:numPr>
          <w:ilvl w:val="0"/>
          <w:numId w:val="5"/>
        </w:numPr>
        <w:rPr>
          <w:rFonts w:ascii="Arial" w:hAnsi="Arial" w:cs="Arial"/>
          <w:sz w:val="22"/>
          <w:szCs w:val="22"/>
        </w:rPr>
      </w:pPr>
      <w:r w:rsidRPr="00662392">
        <w:rPr>
          <w:rFonts w:ascii="Arial" w:hAnsi="Arial" w:cs="Arial"/>
          <w:sz w:val="22"/>
          <w:szCs w:val="22"/>
        </w:rPr>
        <w:t>how the evaluation criteria are met.</w:t>
      </w:r>
    </w:p>
    <w:p w14:paraId="105EA796" w14:textId="77777777" w:rsidR="0018273E" w:rsidRPr="00662392" w:rsidRDefault="0018273E" w:rsidP="00194415">
      <w:pPr>
        <w:rPr>
          <w:sz w:val="22"/>
          <w:szCs w:val="22"/>
        </w:rPr>
      </w:pPr>
    </w:p>
    <w:p w14:paraId="374CDE7E" w14:textId="069EAE35" w:rsidR="0042796D" w:rsidRPr="00662392" w:rsidRDefault="0018273E" w:rsidP="00194415">
      <w:pPr>
        <w:widowControl/>
        <w:rPr>
          <w:sz w:val="22"/>
          <w:szCs w:val="22"/>
        </w:rPr>
      </w:pPr>
      <w:bookmarkStart w:id="51" w:name="_Hlk51762736"/>
      <w:bookmarkStart w:id="52" w:name="_Hlk51762942"/>
      <w:r w:rsidRPr="00662392">
        <w:rPr>
          <w:sz w:val="22"/>
          <w:szCs w:val="22"/>
          <w:u w:val="single"/>
        </w:rPr>
        <w:t>Each element of a CTE should be separately evaluated against each of the 10 CFR 50.59(c)(2) criteria</w:t>
      </w:r>
      <w:r w:rsidRPr="00662392">
        <w:rPr>
          <w:sz w:val="22"/>
          <w:szCs w:val="22"/>
        </w:rPr>
        <w:t xml:space="preserve"> unless the elements </w:t>
      </w:r>
      <w:r w:rsidR="004362B1" w:rsidRPr="00662392">
        <w:rPr>
          <w:sz w:val="22"/>
          <w:szCs w:val="22"/>
        </w:rPr>
        <w:t xml:space="preserve">of a CTE </w:t>
      </w:r>
      <w:r w:rsidRPr="00662392">
        <w:rPr>
          <w:sz w:val="22"/>
          <w:szCs w:val="22"/>
        </w:rPr>
        <w:t>are interdependent, that is, linked to each other and not separable for functional reasons.</w:t>
      </w:r>
      <w:bookmarkEnd w:id="51"/>
      <w:r w:rsidRPr="00662392">
        <w:rPr>
          <w:sz w:val="22"/>
          <w:szCs w:val="22"/>
        </w:rPr>
        <w:t xml:space="preserve">  </w:t>
      </w:r>
      <w:r w:rsidR="00493D8E" w:rsidRPr="00662392">
        <w:rPr>
          <w:sz w:val="22"/>
          <w:szCs w:val="22"/>
        </w:rPr>
        <w:t xml:space="preserve">If concurrent changes are being made that are not linked, </w:t>
      </w:r>
      <w:r w:rsidR="00D06E97" w:rsidRPr="00662392">
        <w:rPr>
          <w:sz w:val="22"/>
          <w:szCs w:val="22"/>
        </w:rPr>
        <w:t>i</w:t>
      </w:r>
      <w:r w:rsidRPr="00662392">
        <w:rPr>
          <w:sz w:val="22"/>
          <w:szCs w:val="22"/>
        </w:rPr>
        <w:t xml:space="preserve">nspectors should expect licensees to evaluate each criterion separately and independently.  </w:t>
      </w:r>
      <w:r w:rsidR="0090508F" w:rsidRPr="00662392">
        <w:rPr>
          <w:sz w:val="22"/>
          <w:szCs w:val="22"/>
        </w:rPr>
        <w:t>One change (that might add conservatism) should not be used to preclude NRC review of another change that would, on its own, meet any of the evaluation criteria.  Each criterion must be satisfied on its own</w:t>
      </w:r>
      <w:r w:rsidR="00062385">
        <w:rPr>
          <w:sz w:val="22"/>
          <w:szCs w:val="22"/>
        </w:rPr>
        <w:t xml:space="preserve">. </w:t>
      </w:r>
      <w:r w:rsidR="0090508F" w:rsidRPr="00662392">
        <w:rPr>
          <w:sz w:val="22"/>
          <w:szCs w:val="22"/>
        </w:rPr>
        <w:t xml:space="preserve"> </w:t>
      </w:r>
      <w:r w:rsidR="00062385">
        <w:rPr>
          <w:sz w:val="22"/>
          <w:szCs w:val="22"/>
        </w:rPr>
        <w:t>A</w:t>
      </w:r>
      <w:r w:rsidR="0090508F" w:rsidRPr="00662392">
        <w:rPr>
          <w:sz w:val="22"/>
          <w:szCs w:val="22"/>
        </w:rPr>
        <w:t xml:space="preserve"> reduction in consequences cannot offset an increase in likelihood for a given change as a basis for meeting 10 CFR 50.59.</w:t>
      </w:r>
    </w:p>
    <w:p w14:paraId="793D4F3D" w14:textId="77777777" w:rsidR="0042796D" w:rsidRPr="00662392" w:rsidRDefault="0042796D" w:rsidP="00194415">
      <w:pPr>
        <w:widowControl/>
        <w:rPr>
          <w:sz w:val="22"/>
          <w:szCs w:val="22"/>
        </w:rPr>
      </w:pPr>
    </w:p>
    <w:p w14:paraId="1A4FE808" w14:textId="1B00655D" w:rsidR="0018273E" w:rsidRPr="00662392" w:rsidRDefault="0018273E" w:rsidP="00194415">
      <w:pPr>
        <w:widowControl/>
        <w:rPr>
          <w:sz w:val="22"/>
          <w:szCs w:val="22"/>
        </w:rPr>
      </w:pPr>
      <w:r w:rsidRPr="00662392">
        <w:rPr>
          <w:sz w:val="22"/>
          <w:szCs w:val="22"/>
        </w:rPr>
        <w:t>Licensee</w:t>
      </w:r>
      <w:r w:rsidR="00584D38" w:rsidRPr="00662392">
        <w:rPr>
          <w:sz w:val="22"/>
          <w:szCs w:val="22"/>
        </w:rPr>
        <w:t xml:space="preserve"> evaluation</w:t>
      </w:r>
      <w:r w:rsidRPr="00662392">
        <w:rPr>
          <w:sz w:val="22"/>
          <w:szCs w:val="22"/>
        </w:rPr>
        <w:t>s that concluded that any of the 10 CFR 50.59(c)(2) criteria are met must obtain a license amendment per 10 CFR 50.90 prior to implementation of the CTE.</w:t>
      </w:r>
      <w:bookmarkEnd w:id="52"/>
    </w:p>
    <w:p w14:paraId="068539C6" w14:textId="77777777" w:rsidR="0018273E" w:rsidRPr="00662392" w:rsidRDefault="0018273E" w:rsidP="00194415">
      <w:pPr>
        <w:rPr>
          <w:sz w:val="22"/>
          <w:szCs w:val="22"/>
        </w:rPr>
      </w:pPr>
    </w:p>
    <w:p w14:paraId="4006239E" w14:textId="4EE724DE" w:rsidR="0018273E" w:rsidRPr="00662392" w:rsidRDefault="00FA3313" w:rsidP="00194415">
      <w:pPr>
        <w:pStyle w:val="Default"/>
        <w:rPr>
          <w:sz w:val="22"/>
          <w:szCs w:val="22"/>
        </w:rPr>
      </w:pPr>
      <w:r w:rsidRPr="00662392">
        <w:rPr>
          <w:sz w:val="22"/>
          <w:szCs w:val="22"/>
        </w:rPr>
        <w:t>06.</w:t>
      </w:r>
      <w:r w:rsidRPr="00662392" w:rsidDel="00E07BC5">
        <w:rPr>
          <w:sz w:val="22"/>
          <w:szCs w:val="22"/>
        </w:rPr>
        <w:t>1</w:t>
      </w:r>
      <w:r w:rsidRPr="00662392">
        <w:rPr>
          <w:sz w:val="22"/>
          <w:szCs w:val="22"/>
        </w:rPr>
        <w:t>3</w:t>
      </w:r>
      <w:r w:rsidRPr="00662392">
        <w:rPr>
          <w:sz w:val="22"/>
          <w:szCs w:val="22"/>
        </w:rPr>
        <w:tab/>
      </w:r>
      <w:bookmarkStart w:id="53" w:name="_Hlk48043521"/>
      <w:r w:rsidRPr="00662392">
        <w:rPr>
          <w:sz w:val="22"/>
          <w:szCs w:val="22"/>
          <w:u w:val="single"/>
        </w:rPr>
        <w:t>Minimal Increase Principle</w:t>
      </w:r>
      <w:r w:rsidRPr="00662392">
        <w:rPr>
          <w:sz w:val="22"/>
          <w:szCs w:val="22"/>
          <w:u w:val="single"/>
        </w:rPr>
        <w:fldChar w:fldCharType="begin"/>
      </w:r>
      <w:r w:rsidRPr="00662392">
        <w:rPr>
          <w:sz w:val="22"/>
          <w:szCs w:val="22"/>
        </w:rPr>
        <w:instrText xml:space="preserve"> TC "</w:instrText>
      </w:r>
      <w:bookmarkStart w:id="54" w:name="_Toc62642904"/>
      <w:bookmarkStart w:id="55" w:name="_Toc63142086"/>
      <w:r w:rsidRPr="00662392">
        <w:rPr>
          <w:sz w:val="22"/>
          <w:szCs w:val="22"/>
        </w:rPr>
        <w:instrText>06.</w:instrText>
      </w:r>
      <w:r w:rsidRPr="00662392" w:rsidDel="00E07BC5">
        <w:rPr>
          <w:sz w:val="22"/>
          <w:szCs w:val="22"/>
        </w:rPr>
        <w:instrText>1</w:instrText>
      </w:r>
      <w:r w:rsidRPr="00662392">
        <w:rPr>
          <w:sz w:val="22"/>
          <w:szCs w:val="22"/>
        </w:rPr>
        <w:instrText>3</w:instrText>
      </w:r>
      <w:r w:rsidRPr="00662392">
        <w:rPr>
          <w:sz w:val="22"/>
          <w:szCs w:val="22"/>
        </w:rPr>
        <w:tab/>
      </w:r>
      <w:r w:rsidRPr="00662392">
        <w:rPr>
          <w:sz w:val="22"/>
          <w:szCs w:val="22"/>
          <w:u w:val="single"/>
        </w:rPr>
        <w:instrText>Minimal Increase Principle</w:instrText>
      </w:r>
      <w:bookmarkEnd w:id="54"/>
      <w:bookmarkEnd w:id="55"/>
      <w:r w:rsidRPr="00662392">
        <w:rPr>
          <w:sz w:val="22"/>
          <w:szCs w:val="22"/>
        </w:rPr>
        <w:instrText xml:space="preserve">" \f C \l "2" </w:instrText>
      </w:r>
      <w:r w:rsidRPr="00662392">
        <w:rPr>
          <w:sz w:val="22"/>
          <w:szCs w:val="22"/>
          <w:u w:val="single"/>
        </w:rPr>
        <w:fldChar w:fldCharType="end"/>
      </w:r>
    </w:p>
    <w:p w14:paraId="46913133" w14:textId="77777777" w:rsidR="0018273E" w:rsidRPr="00662392" w:rsidRDefault="0018273E" w:rsidP="00194415">
      <w:pPr>
        <w:pStyle w:val="Default"/>
        <w:rPr>
          <w:sz w:val="22"/>
          <w:szCs w:val="22"/>
        </w:rPr>
      </w:pPr>
    </w:p>
    <w:p w14:paraId="077A45C9" w14:textId="77777777" w:rsidR="00045FE3" w:rsidRDefault="0018273E" w:rsidP="00194415">
      <w:pPr>
        <w:widowControl/>
        <w:rPr>
          <w:sz w:val="22"/>
          <w:szCs w:val="22"/>
        </w:rPr>
        <w:sectPr w:rsidR="00045FE3" w:rsidSect="00012998">
          <w:footerReference w:type="default" r:id="rId31"/>
          <w:pgSz w:w="12240" w:h="15840" w:code="1"/>
          <w:pgMar w:top="1440" w:right="1440" w:bottom="1440" w:left="1440" w:header="720" w:footer="720" w:gutter="0"/>
          <w:cols w:space="720"/>
          <w:noEndnote/>
          <w:docGrid w:linePitch="326"/>
        </w:sectPr>
      </w:pPr>
      <w:r w:rsidRPr="00662392">
        <w:rPr>
          <w:sz w:val="22"/>
          <w:szCs w:val="22"/>
        </w:rPr>
        <w:t xml:space="preserve">Inspectors should be aware that the </w:t>
      </w:r>
      <w:r w:rsidR="004E19B8" w:rsidRPr="00662392">
        <w:rPr>
          <w:sz w:val="22"/>
          <w:szCs w:val="22"/>
        </w:rPr>
        <w:t>199</w:t>
      </w:r>
      <w:r w:rsidR="00976084" w:rsidRPr="00662392">
        <w:rPr>
          <w:sz w:val="22"/>
          <w:szCs w:val="22"/>
        </w:rPr>
        <w:t xml:space="preserve">9 </w:t>
      </w:r>
      <w:r w:rsidRPr="00662392">
        <w:rPr>
          <w:sz w:val="22"/>
          <w:szCs w:val="22"/>
        </w:rPr>
        <w:t>SOCs for 10 CFR 50.59 state that</w:t>
      </w:r>
      <w:r w:rsidR="00445AA6" w:rsidRPr="00662392">
        <w:rPr>
          <w:sz w:val="22"/>
          <w:szCs w:val="22"/>
        </w:rPr>
        <w:t>,</w:t>
      </w:r>
      <w:r w:rsidRPr="00662392">
        <w:rPr>
          <w:sz w:val="22"/>
          <w:szCs w:val="22"/>
        </w:rPr>
        <w:t xml:space="preserve"> in consideration of the conservatisms in NRC design and analysis requirements and acceptance criteria, “minimal” variations in probability of occurrence or consequences of accidents and malfunctions should not affect the basis for the previous licensing decision.  During the plant licensing process, accident probabilities were assessed in relative frequencies (such as likely to occur more than once, likely to occur once during the life of the plant or limiting fault that is not likely to occur during the life of the plant).  System train and equipment failures were generally postulated to gauge the robustness of the design, without estimating their likelihood of occurrence.  </w:t>
      </w:r>
    </w:p>
    <w:p w14:paraId="4B195256" w14:textId="626994B1" w:rsidR="0018273E" w:rsidRPr="00662392" w:rsidRDefault="0018273E" w:rsidP="00194415">
      <w:pPr>
        <w:widowControl/>
        <w:rPr>
          <w:sz w:val="22"/>
          <w:szCs w:val="22"/>
        </w:rPr>
      </w:pPr>
      <w:r w:rsidRPr="00662392">
        <w:rPr>
          <w:sz w:val="22"/>
          <w:szCs w:val="22"/>
        </w:rPr>
        <w:lastRenderedPageBreak/>
        <w:t>In this light, minimal increases in probability do not significantly change the licensing basis of the facility and do not impact the conclusions reached about acceptability of the facility design.</w:t>
      </w:r>
    </w:p>
    <w:p w14:paraId="25787ACB" w14:textId="77777777" w:rsidR="0018273E" w:rsidRPr="00662392" w:rsidRDefault="0018273E" w:rsidP="00194415">
      <w:pPr>
        <w:widowControl/>
        <w:rPr>
          <w:sz w:val="22"/>
          <w:szCs w:val="22"/>
        </w:rPr>
      </w:pPr>
    </w:p>
    <w:p w14:paraId="1A0B9783" w14:textId="13B9D0B3" w:rsidR="0018273E" w:rsidRPr="00662392" w:rsidRDefault="0018273E" w:rsidP="00194415">
      <w:pPr>
        <w:widowControl/>
        <w:rPr>
          <w:sz w:val="22"/>
          <w:szCs w:val="22"/>
        </w:rPr>
      </w:pPr>
      <w:r w:rsidRPr="00662392">
        <w:rPr>
          <w:sz w:val="22"/>
          <w:szCs w:val="22"/>
        </w:rPr>
        <w:t>Further, the limits for radiological consequences established in the regulations and in the SRP are conservatively chosen, so that minimal increases also do not impact the safety determination if demonstrated by a suitably conservative analysis.  The 10 CFR 50.59 criteria provide some degree of flexibility for licensees to make changes with smaller impacts without the need to obtain a license amendment.</w:t>
      </w:r>
    </w:p>
    <w:p w14:paraId="49C0474B" w14:textId="77777777" w:rsidR="0018273E" w:rsidRPr="00662392" w:rsidRDefault="0018273E" w:rsidP="00194415">
      <w:pPr>
        <w:widowControl/>
        <w:rPr>
          <w:sz w:val="22"/>
          <w:szCs w:val="22"/>
        </w:rPr>
      </w:pPr>
    </w:p>
    <w:p w14:paraId="707BE5C1" w14:textId="357E6D5D" w:rsidR="0018273E" w:rsidRPr="00662392" w:rsidRDefault="0018273E" w:rsidP="00194415">
      <w:pPr>
        <w:widowControl/>
        <w:rPr>
          <w:sz w:val="22"/>
          <w:szCs w:val="22"/>
        </w:rPr>
      </w:pPr>
      <w:r w:rsidRPr="00662392">
        <w:rPr>
          <w:sz w:val="22"/>
          <w:szCs w:val="22"/>
        </w:rPr>
        <w:t xml:space="preserve">Although 10 CFR 50.59 allows minimal increases, licensees still must meet applicable regulatory limits and other acceptance criteria to which licensees are committed (such as are contained in RGs and nationally recognized industry consensus standards, e.g., the </w:t>
      </w:r>
      <w:r w:rsidR="00C605B6" w:rsidRPr="00662392">
        <w:rPr>
          <w:sz w:val="22"/>
          <w:szCs w:val="22"/>
        </w:rPr>
        <w:t>American Society of Mechanical Engineers (</w:t>
      </w:r>
      <w:r w:rsidRPr="00662392">
        <w:rPr>
          <w:sz w:val="22"/>
          <w:szCs w:val="22"/>
        </w:rPr>
        <w:t>ASME</w:t>
      </w:r>
      <w:r w:rsidR="00C605B6" w:rsidRPr="00662392">
        <w:rPr>
          <w:sz w:val="22"/>
          <w:szCs w:val="22"/>
        </w:rPr>
        <w:t>) Boiler and Pressure Vessel (</w:t>
      </w:r>
      <w:r w:rsidRPr="00662392">
        <w:rPr>
          <w:sz w:val="22"/>
          <w:szCs w:val="22"/>
        </w:rPr>
        <w:t>B&amp;PV</w:t>
      </w:r>
      <w:r w:rsidR="00C605B6" w:rsidRPr="00662392">
        <w:rPr>
          <w:sz w:val="22"/>
          <w:szCs w:val="22"/>
        </w:rPr>
        <w:t>)</w:t>
      </w:r>
      <w:r w:rsidRPr="00662392">
        <w:rPr>
          <w:sz w:val="22"/>
          <w:szCs w:val="22"/>
        </w:rPr>
        <w:t xml:space="preserve"> Code and Institute of Electrical and Electronic Engineers Standards) for the CTE to be a minimal increase.  Inspectors should verify that licensees continue to meet applicable regulatory limits and other acceptance criteria to which they are committed.</w:t>
      </w:r>
    </w:p>
    <w:p w14:paraId="5C2A1153" w14:textId="77777777" w:rsidR="0018273E" w:rsidRPr="00662392" w:rsidRDefault="0018273E" w:rsidP="00194415">
      <w:pPr>
        <w:pStyle w:val="Default"/>
        <w:rPr>
          <w:sz w:val="22"/>
          <w:szCs w:val="22"/>
        </w:rPr>
      </w:pPr>
    </w:p>
    <w:p w14:paraId="54E792DD" w14:textId="6480397E" w:rsidR="0018273E" w:rsidRPr="00662392" w:rsidRDefault="00353F73" w:rsidP="00194415">
      <w:pPr>
        <w:pStyle w:val="Default"/>
        <w:rPr>
          <w:sz w:val="22"/>
          <w:szCs w:val="22"/>
        </w:rPr>
      </w:pPr>
      <w:r w:rsidRPr="00662392">
        <w:rPr>
          <w:sz w:val="22"/>
          <w:szCs w:val="22"/>
        </w:rPr>
        <w:t xml:space="preserve">As </w:t>
      </w:r>
      <w:r w:rsidR="0018273E" w:rsidRPr="00662392">
        <w:rPr>
          <w:sz w:val="22"/>
          <w:szCs w:val="22"/>
        </w:rPr>
        <w:t>10 CFR 50.59 provides a qualitative standard of “no more than minimal,” quantitative calculations are not required except for those instances in which a licensee decided to offer quantitative arguments as part of its evaluation.  This is expected to occur for some instances involving increases in consequences, where licensees may have performed calculations of the predicted radiological dose consequences from postulated accidents.</w:t>
      </w:r>
    </w:p>
    <w:p w14:paraId="52FA0FD6" w14:textId="77777777" w:rsidR="0018273E" w:rsidRPr="00662392" w:rsidRDefault="0018273E" w:rsidP="00194415">
      <w:pPr>
        <w:pStyle w:val="Default"/>
        <w:rPr>
          <w:sz w:val="22"/>
          <w:szCs w:val="22"/>
        </w:rPr>
      </w:pPr>
    </w:p>
    <w:p w14:paraId="5E3E5FA1" w14:textId="0777F40E" w:rsidR="0018273E" w:rsidRPr="00662392" w:rsidRDefault="00FA3313" w:rsidP="00194415">
      <w:pPr>
        <w:pStyle w:val="Default"/>
        <w:rPr>
          <w:sz w:val="22"/>
          <w:szCs w:val="22"/>
          <w:u w:val="single"/>
        </w:rPr>
      </w:pPr>
      <w:bookmarkStart w:id="56" w:name="_Hlk51230660"/>
      <w:r w:rsidRPr="00662392">
        <w:rPr>
          <w:sz w:val="22"/>
          <w:szCs w:val="22"/>
        </w:rPr>
        <w:t>06.14</w:t>
      </w:r>
      <w:r w:rsidRPr="00662392">
        <w:rPr>
          <w:sz w:val="22"/>
          <w:szCs w:val="22"/>
        </w:rPr>
        <w:tab/>
      </w:r>
      <w:r w:rsidRPr="00662392">
        <w:rPr>
          <w:sz w:val="22"/>
          <w:szCs w:val="22"/>
          <w:u w:val="single"/>
        </w:rPr>
        <w:t>Probabilistic Risk Assessment and Risk Insights</w:t>
      </w:r>
      <w:r w:rsidRPr="00662392">
        <w:rPr>
          <w:sz w:val="22"/>
          <w:szCs w:val="22"/>
          <w:u w:val="single"/>
        </w:rPr>
        <w:fldChar w:fldCharType="begin"/>
      </w:r>
      <w:r w:rsidRPr="00662392">
        <w:rPr>
          <w:sz w:val="22"/>
          <w:szCs w:val="22"/>
        </w:rPr>
        <w:instrText xml:space="preserve"> TC "</w:instrText>
      </w:r>
      <w:bookmarkStart w:id="57" w:name="_Toc62642905"/>
      <w:bookmarkStart w:id="58" w:name="_Toc63142087"/>
      <w:r w:rsidRPr="00662392">
        <w:rPr>
          <w:sz w:val="22"/>
          <w:szCs w:val="22"/>
        </w:rPr>
        <w:instrText>06.14</w:instrText>
      </w:r>
      <w:r w:rsidRPr="00662392">
        <w:rPr>
          <w:sz w:val="22"/>
          <w:szCs w:val="22"/>
        </w:rPr>
        <w:tab/>
      </w:r>
      <w:r w:rsidRPr="00662392">
        <w:rPr>
          <w:sz w:val="22"/>
          <w:szCs w:val="22"/>
          <w:u w:val="single"/>
        </w:rPr>
        <w:instrText>Probabilistic Risk Assessment and Risk Insights</w:instrText>
      </w:r>
      <w:bookmarkEnd w:id="57"/>
      <w:bookmarkEnd w:id="58"/>
      <w:r w:rsidRPr="00662392">
        <w:rPr>
          <w:sz w:val="22"/>
          <w:szCs w:val="22"/>
        </w:rPr>
        <w:instrText xml:space="preserve">" \f C \l "2" </w:instrText>
      </w:r>
      <w:r w:rsidRPr="00662392">
        <w:rPr>
          <w:sz w:val="22"/>
          <w:szCs w:val="22"/>
          <w:u w:val="single"/>
        </w:rPr>
        <w:fldChar w:fldCharType="end"/>
      </w:r>
    </w:p>
    <w:p w14:paraId="19E789FE" w14:textId="77777777" w:rsidR="0018273E" w:rsidRPr="00662392" w:rsidRDefault="0018273E" w:rsidP="00194415">
      <w:pPr>
        <w:pStyle w:val="Default"/>
        <w:rPr>
          <w:sz w:val="22"/>
          <w:szCs w:val="22"/>
          <w:u w:val="single"/>
        </w:rPr>
      </w:pPr>
    </w:p>
    <w:p w14:paraId="62A59B54" w14:textId="08B388D9" w:rsidR="0018273E" w:rsidRPr="00662392" w:rsidRDefault="0018273E" w:rsidP="00194415">
      <w:pPr>
        <w:pStyle w:val="Default"/>
        <w:rPr>
          <w:sz w:val="22"/>
          <w:szCs w:val="22"/>
        </w:rPr>
      </w:pPr>
      <w:bookmarkStart w:id="59" w:name="_Hlk49495237"/>
      <w:r w:rsidRPr="00662392">
        <w:rPr>
          <w:sz w:val="22"/>
          <w:szCs w:val="22"/>
        </w:rPr>
        <w:t xml:space="preserve">Inspectors should be aware that the </w:t>
      </w:r>
      <w:r w:rsidR="00BE0D6B" w:rsidRPr="00662392">
        <w:rPr>
          <w:sz w:val="22"/>
          <w:szCs w:val="22"/>
        </w:rPr>
        <w:t xml:space="preserve">1999 final rule </w:t>
      </w:r>
      <w:r w:rsidRPr="00662392">
        <w:rPr>
          <w:sz w:val="22"/>
          <w:szCs w:val="22"/>
        </w:rPr>
        <w:t xml:space="preserve">SOCs for 10 CFR 50.59 include discussion </w:t>
      </w:r>
      <w:r w:rsidR="00504DD6" w:rsidRPr="00662392">
        <w:rPr>
          <w:sz w:val="22"/>
          <w:szCs w:val="22"/>
        </w:rPr>
        <w:t>on</w:t>
      </w:r>
      <w:r w:rsidRPr="00662392">
        <w:rPr>
          <w:sz w:val="22"/>
          <w:szCs w:val="22"/>
        </w:rPr>
        <w:t xml:space="preserve"> the use of </w:t>
      </w:r>
      <w:r w:rsidR="00BF71A6" w:rsidRPr="00662392">
        <w:rPr>
          <w:sz w:val="22"/>
          <w:szCs w:val="22"/>
        </w:rPr>
        <w:t>probabilistic risk assessment (</w:t>
      </w:r>
      <w:r w:rsidRPr="00662392">
        <w:rPr>
          <w:sz w:val="22"/>
          <w:szCs w:val="22"/>
        </w:rPr>
        <w:t>PRA</w:t>
      </w:r>
      <w:r w:rsidR="00BF71A6" w:rsidRPr="00662392">
        <w:rPr>
          <w:sz w:val="22"/>
          <w:szCs w:val="22"/>
        </w:rPr>
        <w:t>)</w:t>
      </w:r>
      <w:r w:rsidR="00D82AF1" w:rsidRPr="00662392">
        <w:rPr>
          <w:sz w:val="22"/>
          <w:szCs w:val="22"/>
        </w:rPr>
        <w:t xml:space="preserve"> in 10 CFR 50.59 evaluations.  </w:t>
      </w:r>
      <w:bookmarkEnd w:id="59"/>
      <w:r w:rsidRPr="00662392">
        <w:rPr>
          <w:sz w:val="22"/>
          <w:szCs w:val="22"/>
        </w:rPr>
        <w:t>In response to public comments on the proposed rule discussing the use of risk insights and PRA to determine when a more than minimal increase in probab</w:t>
      </w:r>
      <w:r w:rsidR="00582991" w:rsidRPr="00662392">
        <w:rPr>
          <w:sz w:val="22"/>
          <w:szCs w:val="22"/>
        </w:rPr>
        <w:t>ilit</w:t>
      </w:r>
      <w:r w:rsidRPr="00662392">
        <w:rPr>
          <w:sz w:val="22"/>
          <w:szCs w:val="22"/>
        </w:rPr>
        <w:t>y has occurred, the Commission stated:</w:t>
      </w:r>
    </w:p>
    <w:p w14:paraId="0644DF5A" w14:textId="77777777" w:rsidR="0018273E" w:rsidRPr="00662392" w:rsidRDefault="0018273E" w:rsidP="00194415">
      <w:pPr>
        <w:pStyle w:val="Default"/>
        <w:rPr>
          <w:sz w:val="22"/>
          <w:szCs w:val="22"/>
        </w:rPr>
      </w:pPr>
    </w:p>
    <w:p w14:paraId="1B394083" w14:textId="5AD76333" w:rsidR="0018273E" w:rsidRPr="00662392" w:rsidRDefault="0018273E" w:rsidP="00194415">
      <w:pPr>
        <w:pStyle w:val="Default"/>
        <w:ind w:left="720" w:right="720"/>
        <w:rPr>
          <w:sz w:val="22"/>
          <w:szCs w:val="22"/>
        </w:rPr>
      </w:pPr>
      <w:r w:rsidRPr="00662392">
        <w:rPr>
          <w:sz w:val="22"/>
          <w:szCs w:val="22"/>
        </w:rPr>
        <w:t xml:space="preserve">For instance, commenters thought that the values for changes in core damage frequency </w:t>
      </w:r>
      <w:r w:rsidR="00C605B6" w:rsidRPr="00662392">
        <w:rPr>
          <w:sz w:val="22"/>
          <w:szCs w:val="22"/>
        </w:rPr>
        <w:t xml:space="preserve">[CDF] </w:t>
      </w:r>
      <w:r w:rsidRPr="00662392">
        <w:rPr>
          <w:sz w:val="22"/>
          <w:szCs w:val="22"/>
        </w:rPr>
        <w:t xml:space="preserve">or large early release frequency </w:t>
      </w:r>
      <w:r w:rsidR="00C605B6" w:rsidRPr="00662392">
        <w:rPr>
          <w:sz w:val="22"/>
          <w:szCs w:val="22"/>
        </w:rPr>
        <w:t xml:space="preserve">[LERF| </w:t>
      </w:r>
      <w:r w:rsidRPr="00662392">
        <w:rPr>
          <w:sz w:val="22"/>
          <w:szCs w:val="22"/>
        </w:rPr>
        <w:t>in Regulatory Guide (RG) 1.174, “An Approach for Using Probabilistic Risk Assessment in Risk Informed Decisions on Plant-Specific Changes to the Licensing Basis,” might be used.  However, this RG was developed for the purpose of guiding changes to the licensing basis where the staff was reviewing and approving the change, not for changes made under § 50.59.  The Commission concludes that if use is to be made of PRA in § 50.59, more fundamental changes to the rule would be necessary to provide a coherent set of requirements, in that § 50.59 deals with design basis events, and RG 1.174 deals with risk including that from severe accidents beyond the design basis.</w:t>
      </w:r>
    </w:p>
    <w:p w14:paraId="7E6C99A2" w14:textId="77777777" w:rsidR="0018273E" w:rsidRPr="00662392" w:rsidRDefault="0018273E" w:rsidP="00194415">
      <w:pPr>
        <w:pStyle w:val="Default"/>
        <w:rPr>
          <w:sz w:val="22"/>
          <w:szCs w:val="22"/>
        </w:rPr>
      </w:pPr>
    </w:p>
    <w:p w14:paraId="51CCF941" w14:textId="78D3F0AE" w:rsidR="000E0ACD" w:rsidRDefault="0018273E" w:rsidP="00194415">
      <w:pPr>
        <w:pStyle w:val="Default"/>
        <w:rPr>
          <w:sz w:val="22"/>
          <w:szCs w:val="22"/>
        </w:rPr>
      </w:pPr>
      <w:r w:rsidRPr="00662392">
        <w:rPr>
          <w:sz w:val="22"/>
          <w:szCs w:val="22"/>
        </w:rPr>
        <w:t xml:space="preserve">Consistent with the Commission’s statements supporting the final 10 CFR 50.59 rule, inspectors should verify that licensees did not use </w:t>
      </w:r>
      <w:r w:rsidR="0069018C" w:rsidRPr="00662392">
        <w:rPr>
          <w:sz w:val="22"/>
          <w:szCs w:val="22"/>
        </w:rPr>
        <w:t xml:space="preserve">the </w:t>
      </w:r>
      <w:r w:rsidRPr="00662392">
        <w:rPr>
          <w:sz w:val="22"/>
          <w:szCs w:val="22"/>
        </w:rPr>
        <w:t>values for change in CDF and/</w:t>
      </w:r>
      <w:r w:rsidR="00C605B6" w:rsidRPr="00662392">
        <w:rPr>
          <w:sz w:val="22"/>
          <w:szCs w:val="22"/>
        </w:rPr>
        <w:t xml:space="preserve">or </w:t>
      </w:r>
      <w:r w:rsidRPr="00662392">
        <w:rPr>
          <w:sz w:val="22"/>
          <w:szCs w:val="22"/>
        </w:rPr>
        <w:t xml:space="preserve">LERF </w:t>
      </w:r>
      <w:r w:rsidR="0069018C" w:rsidRPr="00662392">
        <w:rPr>
          <w:sz w:val="22"/>
          <w:szCs w:val="22"/>
        </w:rPr>
        <w:t xml:space="preserve">in RG 1.174 </w:t>
      </w:r>
      <w:r w:rsidRPr="00662392">
        <w:rPr>
          <w:sz w:val="22"/>
          <w:szCs w:val="22"/>
        </w:rPr>
        <w:t>as the basis for 10 CFR 50.59</w:t>
      </w:r>
      <w:r w:rsidR="0071169E" w:rsidRPr="00662392">
        <w:rPr>
          <w:sz w:val="22"/>
          <w:szCs w:val="22"/>
        </w:rPr>
        <w:t xml:space="preserve"> evaluation</w:t>
      </w:r>
      <w:r w:rsidR="000212F7" w:rsidRPr="00662392">
        <w:rPr>
          <w:sz w:val="22"/>
          <w:szCs w:val="22"/>
        </w:rPr>
        <w:t>s</w:t>
      </w:r>
      <w:r w:rsidRPr="00662392">
        <w:rPr>
          <w:sz w:val="22"/>
          <w:szCs w:val="22"/>
        </w:rPr>
        <w:t>.  In addition, each criterion must be satisfied on its own</w:t>
      </w:r>
      <w:r w:rsidR="001140B0" w:rsidRPr="00662392">
        <w:rPr>
          <w:sz w:val="22"/>
          <w:szCs w:val="22"/>
        </w:rPr>
        <w:t>.  As a result,</w:t>
      </w:r>
      <w:r w:rsidRPr="00662392">
        <w:rPr>
          <w:sz w:val="22"/>
          <w:szCs w:val="22"/>
        </w:rPr>
        <w:t xml:space="preserve"> </w:t>
      </w:r>
      <w:r w:rsidR="00673941" w:rsidRPr="00662392">
        <w:rPr>
          <w:sz w:val="22"/>
          <w:szCs w:val="22"/>
        </w:rPr>
        <w:t xml:space="preserve">for a given change, </w:t>
      </w:r>
      <w:r w:rsidRPr="00662392">
        <w:rPr>
          <w:sz w:val="22"/>
          <w:szCs w:val="22"/>
        </w:rPr>
        <w:t xml:space="preserve">a reduction in consequences cannot “offset” an increase </w:t>
      </w:r>
    </w:p>
    <w:p w14:paraId="352E4984" w14:textId="77777777" w:rsidR="00045FE3" w:rsidRDefault="0018273E" w:rsidP="00194415">
      <w:pPr>
        <w:pStyle w:val="Default"/>
        <w:rPr>
          <w:sz w:val="22"/>
          <w:szCs w:val="22"/>
        </w:rPr>
        <w:sectPr w:rsidR="00045FE3" w:rsidSect="00012998">
          <w:footerReference w:type="default" r:id="rId32"/>
          <w:pgSz w:w="12240" w:h="15840" w:code="1"/>
          <w:pgMar w:top="1440" w:right="1440" w:bottom="1440" w:left="1440" w:header="720" w:footer="720" w:gutter="0"/>
          <w:cols w:space="720"/>
          <w:noEndnote/>
          <w:docGrid w:linePitch="326"/>
        </w:sectPr>
      </w:pPr>
      <w:r w:rsidRPr="00662392">
        <w:rPr>
          <w:sz w:val="22"/>
          <w:szCs w:val="22"/>
        </w:rPr>
        <w:t xml:space="preserve">in likelihood.  For example, a licensee’s proposed CTE evaluation might both lower an initiating event frequency (i.e., frequency of an accident) but at the same time raise an SSC’s probability of failure (i.e., likelihood of occurrence of a malfunction) or vice versa, and result in “more than a minimal increase.”  In this case, the 10 CFR 50.59 criteria would not be met even though the </w:t>
      </w:r>
    </w:p>
    <w:p w14:paraId="0D8412AA" w14:textId="77777777" w:rsidR="00C1473C" w:rsidRDefault="00C1473C" w:rsidP="00194415">
      <w:pPr>
        <w:pStyle w:val="Default"/>
        <w:rPr>
          <w:sz w:val="22"/>
          <w:szCs w:val="22"/>
        </w:rPr>
      </w:pPr>
    </w:p>
    <w:p w14:paraId="274ED6F6" w14:textId="3CA47E0A" w:rsidR="0018273E" w:rsidRPr="00662392" w:rsidRDefault="0018273E" w:rsidP="00194415">
      <w:pPr>
        <w:pStyle w:val="Default"/>
        <w:rPr>
          <w:sz w:val="22"/>
          <w:szCs w:val="22"/>
        </w:rPr>
      </w:pPr>
      <w:r w:rsidRPr="00662392">
        <w:rPr>
          <w:sz w:val="22"/>
          <w:szCs w:val="22"/>
        </w:rPr>
        <w:t xml:space="preserve">CDF and LERF values were unchanged because the frequency could offset the likelihood thereby masking the consequences.  For these reasons, consistent with the Commission’s position in the SOCs (i.e., that use of CDF and LERF values in RG 1.174 are not appropriate for 10 CFR 50.59 evaluations), the resultant CDF and LERF from the PRA cannot be the basis </w:t>
      </w:r>
      <w:r w:rsidR="00B4769A" w:rsidRPr="00662392">
        <w:rPr>
          <w:sz w:val="22"/>
          <w:szCs w:val="22"/>
        </w:rPr>
        <w:t>for</w:t>
      </w:r>
      <w:r w:rsidRPr="00662392">
        <w:rPr>
          <w:sz w:val="22"/>
          <w:szCs w:val="22"/>
        </w:rPr>
        <w:t xml:space="preserve"> the licensee’s evaluation.</w:t>
      </w:r>
    </w:p>
    <w:p w14:paraId="16995FA1" w14:textId="77777777" w:rsidR="0018273E" w:rsidRPr="00662392" w:rsidRDefault="0018273E" w:rsidP="00194415">
      <w:pPr>
        <w:pStyle w:val="Default"/>
        <w:rPr>
          <w:sz w:val="22"/>
          <w:szCs w:val="22"/>
        </w:rPr>
      </w:pPr>
    </w:p>
    <w:p w14:paraId="14F6692D" w14:textId="3767B95B" w:rsidR="0018273E" w:rsidRPr="00662392" w:rsidRDefault="0018273E" w:rsidP="00194415">
      <w:pPr>
        <w:pStyle w:val="Default"/>
        <w:rPr>
          <w:sz w:val="22"/>
          <w:szCs w:val="22"/>
        </w:rPr>
      </w:pPr>
      <w:r w:rsidRPr="00662392">
        <w:rPr>
          <w:sz w:val="22"/>
          <w:szCs w:val="22"/>
        </w:rPr>
        <w:t xml:space="preserve">However, while the resultant CDF and LERF from the PRA are not acceptable </w:t>
      </w:r>
      <w:r w:rsidR="00000D07" w:rsidRPr="00662392">
        <w:rPr>
          <w:sz w:val="22"/>
          <w:szCs w:val="22"/>
        </w:rPr>
        <w:t>as the sole basis</w:t>
      </w:r>
      <w:r w:rsidR="0026720B" w:rsidRPr="00662392">
        <w:rPr>
          <w:sz w:val="22"/>
          <w:szCs w:val="22"/>
        </w:rPr>
        <w:t xml:space="preserve"> to inform</w:t>
      </w:r>
      <w:r w:rsidRPr="00662392">
        <w:rPr>
          <w:sz w:val="22"/>
          <w:szCs w:val="22"/>
        </w:rPr>
        <w:t xml:space="preserve"> the licensee’s 10 CFR 50.59 evaluation, it is acceptable for licensees to use </w:t>
      </w:r>
      <w:r w:rsidR="00CC2E25" w:rsidRPr="00662392">
        <w:rPr>
          <w:sz w:val="22"/>
          <w:szCs w:val="22"/>
        </w:rPr>
        <w:t xml:space="preserve">reasonable engineering practices, engineering judgement, and </w:t>
      </w:r>
      <w:r w:rsidRPr="00662392">
        <w:rPr>
          <w:sz w:val="22"/>
          <w:szCs w:val="22"/>
        </w:rPr>
        <w:t>PRA techniques, as appropriate, to inform 10 CFR 50.59 evaluation</w:t>
      </w:r>
      <w:r w:rsidR="00872174" w:rsidRPr="00662392">
        <w:rPr>
          <w:sz w:val="22"/>
          <w:szCs w:val="22"/>
        </w:rPr>
        <w:t>s</w:t>
      </w:r>
      <w:r w:rsidRPr="00662392">
        <w:rPr>
          <w:sz w:val="22"/>
          <w:szCs w:val="22"/>
        </w:rPr>
        <w:t xml:space="preserve"> with respect to “more than a minimal increase.”  Such PRA techniques may include but are not limited to initiating event analysis, common cause failure analysis, human reliability analysis, parameter estimation, and systems modeling via event and fault tree analysis. </w:t>
      </w:r>
    </w:p>
    <w:p w14:paraId="4C2D93FA" w14:textId="77777777" w:rsidR="0018273E" w:rsidRPr="00662392" w:rsidRDefault="0018273E" w:rsidP="00194415">
      <w:pPr>
        <w:pStyle w:val="Default"/>
        <w:rPr>
          <w:sz w:val="22"/>
          <w:szCs w:val="22"/>
        </w:rPr>
      </w:pPr>
    </w:p>
    <w:p w14:paraId="0B92B33E" w14:textId="55F9F310" w:rsidR="0018273E" w:rsidRPr="00662392" w:rsidRDefault="0018273E" w:rsidP="00194415">
      <w:pPr>
        <w:pStyle w:val="Default"/>
        <w:rPr>
          <w:sz w:val="22"/>
          <w:szCs w:val="22"/>
        </w:rPr>
      </w:pPr>
      <w:r w:rsidRPr="00662392">
        <w:rPr>
          <w:sz w:val="22"/>
          <w:szCs w:val="22"/>
        </w:rPr>
        <w:t xml:space="preserve">Inspectors should review the licensee’s application of the PRA technique to determine its applicability and adequacy </w:t>
      </w:r>
      <w:r w:rsidR="00F41789" w:rsidRPr="00662392">
        <w:rPr>
          <w:sz w:val="22"/>
          <w:szCs w:val="22"/>
        </w:rPr>
        <w:t xml:space="preserve">for the specific deterministic evaluation at issue </w:t>
      </w:r>
      <w:r w:rsidRPr="00662392">
        <w:rPr>
          <w:sz w:val="22"/>
          <w:szCs w:val="22"/>
        </w:rPr>
        <w:t>and whether it has been applied correctly.  If the inspector cannot determine the adequacy or application of the PRA technique</w:t>
      </w:r>
      <w:r w:rsidR="00C300C0" w:rsidRPr="00662392">
        <w:rPr>
          <w:sz w:val="22"/>
          <w:szCs w:val="22"/>
        </w:rPr>
        <w:t>,</w:t>
      </w:r>
      <w:r w:rsidRPr="00662392">
        <w:rPr>
          <w:sz w:val="22"/>
          <w:szCs w:val="22"/>
        </w:rPr>
        <w:t xml:space="preserve"> then the inspector should request assistance from the regional Senior Reactor Analysts and/or the Division of Risk Assessment </w:t>
      </w:r>
      <w:r w:rsidR="00716C46">
        <w:rPr>
          <w:sz w:val="22"/>
          <w:szCs w:val="22"/>
        </w:rPr>
        <w:t xml:space="preserve">(DRA) </w:t>
      </w:r>
      <w:r w:rsidRPr="00662392">
        <w:rPr>
          <w:sz w:val="22"/>
          <w:szCs w:val="22"/>
        </w:rPr>
        <w:t>in the Office of Nuclear Reactor Regulation</w:t>
      </w:r>
      <w:r w:rsidR="00716C46">
        <w:rPr>
          <w:sz w:val="22"/>
          <w:szCs w:val="22"/>
        </w:rPr>
        <w:t xml:space="preserve"> (NRR)</w:t>
      </w:r>
      <w:r w:rsidRPr="00662392">
        <w:rPr>
          <w:sz w:val="22"/>
          <w:szCs w:val="22"/>
        </w:rPr>
        <w:t>.</w:t>
      </w:r>
    </w:p>
    <w:bookmarkEnd w:id="56"/>
    <w:p w14:paraId="15F307B3" w14:textId="77777777" w:rsidR="0018273E" w:rsidRPr="00662392" w:rsidRDefault="0018273E" w:rsidP="00194415">
      <w:pPr>
        <w:pStyle w:val="Default"/>
        <w:rPr>
          <w:sz w:val="22"/>
          <w:szCs w:val="22"/>
        </w:rPr>
      </w:pPr>
    </w:p>
    <w:p w14:paraId="277B1E05" w14:textId="249014F4" w:rsidR="0018273E" w:rsidRPr="00662392" w:rsidRDefault="00FA3313" w:rsidP="00194415">
      <w:pPr>
        <w:pStyle w:val="Default"/>
        <w:rPr>
          <w:sz w:val="22"/>
          <w:szCs w:val="22"/>
        </w:rPr>
      </w:pPr>
      <w:r w:rsidRPr="00662392">
        <w:rPr>
          <w:sz w:val="22"/>
          <w:szCs w:val="22"/>
        </w:rPr>
        <w:t>06.15</w:t>
      </w:r>
      <w:r w:rsidRPr="00662392">
        <w:rPr>
          <w:sz w:val="22"/>
          <w:szCs w:val="22"/>
        </w:rPr>
        <w:tab/>
      </w:r>
      <w:r w:rsidRPr="00662392">
        <w:rPr>
          <w:sz w:val="22"/>
          <w:szCs w:val="22"/>
          <w:u w:val="single"/>
        </w:rPr>
        <w:t xml:space="preserve">Review Licensee Evaluation of Criterion </w:t>
      </w:r>
      <w:bookmarkEnd w:id="53"/>
      <w:r w:rsidR="003E3D4F" w:rsidRPr="00662392">
        <w:rPr>
          <w:sz w:val="22"/>
          <w:szCs w:val="22"/>
          <w:u w:val="single"/>
        </w:rPr>
        <w:t>(c)(2)</w:t>
      </w:r>
      <w:r w:rsidR="00FC57BE" w:rsidRPr="00662392">
        <w:rPr>
          <w:sz w:val="22"/>
          <w:szCs w:val="22"/>
          <w:u w:val="single"/>
        </w:rPr>
        <w:t>(</w:t>
      </w:r>
      <w:proofErr w:type="spellStart"/>
      <w:r w:rsidR="00FC57BE" w:rsidRPr="00662392">
        <w:rPr>
          <w:sz w:val="22"/>
          <w:szCs w:val="22"/>
          <w:u w:val="single"/>
        </w:rPr>
        <w:t>i</w:t>
      </w:r>
      <w:proofErr w:type="spellEnd"/>
      <w:r w:rsidR="00FC57BE" w:rsidRPr="00662392">
        <w:rPr>
          <w:sz w:val="22"/>
          <w:szCs w:val="22"/>
          <w:u w:val="single"/>
        </w:rPr>
        <w:t>)</w:t>
      </w:r>
      <w:r w:rsidRPr="00662392">
        <w:rPr>
          <w:sz w:val="22"/>
          <w:szCs w:val="22"/>
          <w:u w:val="single"/>
        </w:rPr>
        <w:fldChar w:fldCharType="begin"/>
      </w:r>
      <w:r w:rsidRPr="00662392">
        <w:rPr>
          <w:sz w:val="22"/>
          <w:szCs w:val="22"/>
        </w:rPr>
        <w:instrText xml:space="preserve"> TC "</w:instrText>
      </w:r>
      <w:bookmarkStart w:id="60" w:name="_Toc62642906"/>
      <w:bookmarkStart w:id="61" w:name="_Toc63142088"/>
      <w:r w:rsidRPr="00662392">
        <w:rPr>
          <w:sz w:val="22"/>
          <w:szCs w:val="22"/>
        </w:rPr>
        <w:instrText>06.15</w:instrText>
      </w:r>
      <w:r w:rsidRPr="00662392">
        <w:rPr>
          <w:sz w:val="22"/>
          <w:szCs w:val="22"/>
        </w:rPr>
        <w:tab/>
      </w:r>
      <w:r w:rsidRPr="00662392">
        <w:rPr>
          <w:sz w:val="22"/>
          <w:szCs w:val="22"/>
          <w:u w:val="single"/>
        </w:rPr>
        <w:instrText>Review Licensee Evaluation of Criterion (c)(2)(i)</w:instrText>
      </w:r>
      <w:bookmarkEnd w:id="60"/>
      <w:bookmarkEnd w:id="61"/>
      <w:r w:rsidRPr="00662392">
        <w:rPr>
          <w:sz w:val="22"/>
          <w:szCs w:val="22"/>
        </w:rPr>
        <w:instrText xml:space="preserve">" \f C \l "2" </w:instrText>
      </w:r>
      <w:r w:rsidRPr="00662392">
        <w:rPr>
          <w:sz w:val="22"/>
          <w:szCs w:val="22"/>
          <w:u w:val="single"/>
        </w:rPr>
        <w:fldChar w:fldCharType="end"/>
      </w:r>
    </w:p>
    <w:p w14:paraId="393B5DF0" w14:textId="77777777" w:rsidR="0018273E" w:rsidRPr="00662392" w:rsidRDefault="0018273E" w:rsidP="00194415">
      <w:pPr>
        <w:pStyle w:val="Default"/>
        <w:rPr>
          <w:sz w:val="22"/>
          <w:szCs w:val="22"/>
          <w:u w:val="single"/>
        </w:rPr>
      </w:pPr>
    </w:p>
    <w:p w14:paraId="358F9BE7" w14:textId="70BAEBB0" w:rsidR="0018273E" w:rsidRPr="00662392" w:rsidRDefault="0018273E" w:rsidP="00194415">
      <w:pPr>
        <w:widowControl/>
        <w:rPr>
          <w:sz w:val="22"/>
          <w:szCs w:val="22"/>
        </w:rPr>
      </w:pPr>
      <w:r w:rsidRPr="00662392">
        <w:rPr>
          <w:sz w:val="22"/>
          <w:szCs w:val="22"/>
        </w:rPr>
        <w:t>10 CFR 50.59(c)(2)(</w:t>
      </w:r>
      <w:proofErr w:type="spellStart"/>
      <w:r w:rsidRPr="00662392">
        <w:rPr>
          <w:sz w:val="22"/>
          <w:szCs w:val="22"/>
        </w:rPr>
        <w:t>i</w:t>
      </w:r>
      <w:proofErr w:type="spellEnd"/>
      <w:r w:rsidRPr="00662392">
        <w:rPr>
          <w:sz w:val="22"/>
          <w:szCs w:val="22"/>
        </w:rPr>
        <w:t>)</w:t>
      </w:r>
      <w:r w:rsidR="0061251E" w:rsidRPr="00662392">
        <w:rPr>
          <w:sz w:val="22"/>
          <w:szCs w:val="22"/>
        </w:rPr>
        <w:t xml:space="preserve"> </w:t>
      </w:r>
      <w:r w:rsidR="003B2AB6" w:rsidRPr="00662392">
        <w:rPr>
          <w:sz w:val="22"/>
          <w:szCs w:val="22"/>
        </w:rPr>
        <w:t>focuses on whether</w:t>
      </w:r>
      <w:r w:rsidRPr="00662392">
        <w:rPr>
          <w:sz w:val="22"/>
          <w:szCs w:val="22"/>
        </w:rPr>
        <w:t xml:space="preserve"> the CTE </w:t>
      </w:r>
      <w:r w:rsidR="00690DA1" w:rsidRPr="00662392">
        <w:rPr>
          <w:sz w:val="22"/>
          <w:szCs w:val="22"/>
        </w:rPr>
        <w:t xml:space="preserve">would </w:t>
      </w:r>
      <w:r w:rsidRPr="00662392">
        <w:rPr>
          <w:sz w:val="22"/>
          <w:szCs w:val="22"/>
        </w:rPr>
        <w:t xml:space="preserve">result in </w:t>
      </w:r>
      <w:r w:rsidR="006C691F" w:rsidRPr="00662392">
        <w:rPr>
          <w:sz w:val="22"/>
          <w:szCs w:val="22"/>
        </w:rPr>
        <w:t xml:space="preserve">a </w:t>
      </w:r>
      <w:r w:rsidRPr="00662392">
        <w:rPr>
          <w:sz w:val="22"/>
          <w:szCs w:val="22"/>
        </w:rPr>
        <w:t>more than a minimal increase in the frequency of occurrence of an accident previously evaluated in the UFSAR.  See Section 04.</w:t>
      </w:r>
      <w:r w:rsidR="003C599B" w:rsidRPr="00662392">
        <w:rPr>
          <w:sz w:val="22"/>
          <w:szCs w:val="22"/>
        </w:rPr>
        <w:t>12</w:t>
      </w:r>
      <w:r w:rsidRPr="00662392">
        <w:rPr>
          <w:sz w:val="22"/>
          <w:szCs w:val="22"/>
        </w:rPr>
        <w:t xml:space="preserve"> of this IMC for the definition of accident previously evaluated in the UFSAR.  </w:t>
      </w:r>
    </w:p>
    <w:p w14:paraId="615CACFB" w14:textId="77777777" w:rsidR="0018273E" w:rsidRPr="00662392" w:rsidRDefault="0018273E" w:rsidP="00194415">
      <w:pPr>
        <w:widowControl/>
        <w:rPr>
          <w:sz w:val="22"/>
          <w:szCs w:val="22"/>
        </w:rPr>
      </w:pPr>
    </w:p>
    <w:p w14:paraId="3B64FEA3" w14:textId="586F79C4" w:rsidR="0018273E" w:rsidRPr="00662392" w:rsidRDefault="0018273E" w:rsidP="00194415">
      <w:pPr>
        <w:widowControl/>
        <w:rPr>
          <w:sz w:val="22"/>
          <w:szCs w:val="22"/>
        </w:rPr>
      </w:pPr>
      <w:bookmarkStart w:id="62" w:name="_Hlk54872920"/>
      <w:r w:rsidRPr="00662392">
        <w:rPr>
          <w:sz w:val="22"/>
          <w:szCs w:val="22"/>
        </w:rPr>
        <w:t>Inspectors should recognize that the SOCs for 10 CFR 50.59 emphasize that</w:t>
      </w:r>
      <w:r w:rsidR="00DA0C79" w:rsidRPr="00662392">
        <w:rPr>
          <w:sz w:val="22"/>
          <w:szCs w:val="22"/>
        </w:rPr>
        <w:t>, for this criterion,</w:t>
      </w:r>
      <w:r w:rsidRPr="00662392">
        <w:rPr>
          <w:sz w:val="22"/>
          <w:szCs w:val="22"/>
        </w:rPr>
        <w:t xml:space="preserve"> what is of interest is whether the proposed CTE has the effect of making the accident occur more often</w:t>
      </w:r>
      <w:r w:rsidR="003E632A" w:rsidRPr="00662392">
        <w:rPr>
          <w:sz w:val="22"/>
          <w:szCs w:val="22"/>
        </w:rPr>
        <w:t xml:space="preserve">. </w:t>
      </w:r>
      <w:bookmarkEnd w:id="62"/>
    </w:p>
    <w:p w14:paraId="2C898ACF" w14:textId="77777777" w:rsidR="0018273E" w:rsidRPr="00662392" w:rsidRDefault="0018273E" w:rsidP="00194415">
      <w:pPr>
        <w:widowControl/>
        <w:rPr>
          <w:sz w:val="22"/>
          <w:szCs w:val="22"/>
        </w:rPr>
      </w:pPr>
    </w:p>
    <w:p w14:paraId="32A886CB" w14:textId="2AC2A3FD" w:rsidR="0018273E" w:rsidRPr="00662392" w:rsidRDefault="0018273E" w:rsidP="00194415">
      <w:pPr>
        <w:widowControl/>
        <w:rPr>
          <w:sz w:val="22"/>
          <w:szCs w:val="22"/>
        </w:rPr>
      </w:pPr>
      <w:r w:rsidRPr="00662392">
        <w:rPr>
          <w:sz w:val="22"/>
          <w:szCs w:val="22"/>
        </w:rPr>
        <w:t>The inspector should also be aware that the SOCs for 10 CFR 50.59 state that the effect of the change on the frequency of the accident must be discernible and attributable to the change in order to exceed the “more than minimal” increase standard as compared to uncertainty about the existing frequency value</w:t>
      </w:r>
      <w:r w:rsidR="0089152C" w:rsidRPr="00662392">
        <w:rPr>
          <w:sz w:val="22"/>
          <w:szCs w:val="22"/>
        </w:rPr>
        <w:t xml:space="preserve"> and how it might be quantified</w:t>
      </w:r>
      <w:r w:rsidRPr="00662392">
        <w:rPr>
          <w:sz w:val="22"/>
          <w:szCs w:val="22"/>
        </w:rPr>
        <w:t>.  Additionally, for a CTE to be considered a minimal increase, the resulting frequency of occurrence (considering the proposed CTE) must still satisfy the event frequency classification provided in the licensee's UFSAR.  CTEs that result in a</w:t>
      </w:r>
      <w:r w:rsidR="0054303F" w:rsidRPr="00662392">
        <w:rPr>
          <w:sz w:val="22"/>
          <w:szCs w:val="22"/>
        </w:rPr>
        <w:t xml:space="preserve"> </w:t>
      </w:r>
      <w:r w:rsidRPr="00662392">
        <w:rPr>
          <w:sz w:val="22"/>
          <w:szCs w:val="22"/>
        </w:rPr>
        <w:t>change in event frequency classification meet this criterion and 10 CFR 50.59 requires a licensee to obtain a license amendment prior to implementation of the CTE</w:t>
      </w:r>
      <w:r w:rsidR="00543D2C" w:rsidRPr="00662392">
        <w:rPr>
          <w:sz w:val="22"/>
          <w:szCs w:val="22"/>
        </w:rPr>
        <w:t xml:space="preserve">.  </w:t>
      </w:r>
      <w:r w:rsidR="00455D60" w:rsidRPr="00662392">
        <w:rPr>
          <w:sz w:val="22"/>
          <w:szCs w:val="22"/>
        </w:rPr>
        <w:t>However, r</w:t>
      </w:r>
      <w:r w:rsidRPr="00662392">
        <w:rPr>
          <w:sz w:val="22"/>
          <w:szCs w:val="22"/>
        </w:rPr>
        <w:t xml:space="preserve">emaining within the classification is not </w:t>
      </w:r>
      <w:proofErr w:type="gramStart"/>
      <w:r w:rsidRPr="00662392">
        <w:rPr>
          <w:sz w:val="22"/>
          <w:szCs w:val="22"/>
        </w:rPr>
        <w:t>sufficient</w:t>
      </w:r>
      <w:proofErr w:type="gramEnd"/>
      <w:r w:rsidRPr="00662392">
        <w:rPr>
          <w:sz w:val="22"/>
          <w:szCs w:val="22"/>
        </w:rPr>
        <w:t xml:space="preserve"> for a licensee to conclude that no more than a minimal increase has occurred because qualitative judgments are not as rigorous as quantitative assessments</w:t>
      </w:r>
      <w:r w:rsidR="00A21F60" w:rsidRPr="00662392">
        <w:rPr>
          <w:sz w:val="22"/>
          <w:szCs w:val="22"/>
        </w:rPr>
        <w:t>,</w:t>
      </w:r>
      <w:r w:rsidRPr="00662392">
        <w:rPr>
          <w:sz w:val="22"/>
          <w:szCs w:val="22"/>
        </w:rPr>
        <w:t xml:space="preserve"> and the accident categories and their uncertainties may be large.</w:t>
      </w:r>
    </w:p>
    <w:p w14:paraId="0647DC36" w14:textId="77777777" w:rsidR="0018273E" w:rsidRPr="00662392" w:rsidRDefault="0018273E" w:rsidP="00194415">
      <w:pPr>
        <w:widowControl/>
        <w:rPr>
          <w:sz w:val="22"/>
          <w:szCs w:val="22"/>
        </w:rPr>
      </w:pPr>
    </w:p>
    <w:p w14:paraId="579E22B8" w14:textId="77777777" w:rsidR="00C1473C" w:rsidRDefault="0018273E" w:rsidP="00194415">
      <w:pPr>
        <w:widowControl/>
        <w:rPr>
          <w:sz w:val="22"/>
          <w:szCs w:val="22"/>
        </w:rPr>
        <w:sectPr w:rsidR="00C1473C" w:rsidSect="00012998">
          <w:footerReference w:type="default" r:id="rId33"/>
          <w:pgSz w:w="12240" w:h="15840" w:code="1"/>
          <w:pgMar w:top="1440" w:right="1440" w:bottom="1440" w:left="1440" w:header="720" w:footer="720" w:gutter="0"/>
          <w:cols w:space="720"/>
          <w:noEndnote/>
          <w:docGrid w:linePitch="326"/>
        </w:sectPr>
      </w:pPr>
      <w:bookmarkStart w:id="63" w:name="_Hlk54874104"/>
      <w:r w:rsidRPr="00662392">
        <w:rPr>
          <w:sz w:val="22"/>
          <w:szCs w:val="22"/>
        </w:rPr>
        <w:t>Although this criterion allows minimal increases, licensees must still meet applicable regulatory requirements and other acceptance criteria to which they are committed.  When the General</w:t>
      </w:r>
      <w:r w:rsidR="00045FE3">
        <w:rPr>
          <w:sz w:val="22"/>
          <w:szCs w:val="22"/>
        </w:rPr>
        <w:t xml:space="preserve"> </w:t>
      </w:r>
      <w:r w:rsidRPr="00662392">
        <w:rPr>
          <w:sz w:val="22"/>
          <w:szCs w:val="22"/>
        </w:rPr>
        <w:t>Design Criteria (GDC) ha</w:t>
      </w:r>
      <w:r w:rsidR="00367BD8" w:rsidRPr="00662392">
        <w:rPr>
          <w:sz w:val="22"/>
          <w:szCs w:val="22"/>
        </w:rPr>
        <w:t>ve</w:t>
      </w:r>
      <w:r w:rsidRPr="00662392">
        <w:rPr>
          <w:sz w:val="22"/>
          <w:szCs w:val="22"/>
        </w:rPr>
        <w:t xml:space="preserve"> been incorporated into the licensing basis, departures from the design, fabrication, construction, testing, and performance requirements in the </w:t>
      </w:r>
      <w:bookmarkStart w:id="64" w:name="_Hlk53733658"/>
      <w:r w:rsidRPr="00662392">
        <w:rPr>
          <w:sz w:val="22"/>
          <w:szCs w:val="22"/>
        </w:rPr>
        <w:t>GDC</w:t>
      </w:r>
      <w:bookmarkEnd w:id="64"/>
      <w:r w:rsidRPr="00662392">
        <w:rPr>
          <w:sz w:val="22"/>
          <w:szCs w:val="22"/>
        </w:rPr>
        <w:t xml:space="preserve"> as incorporated into the licensing basis are not compatible with a “no more than minimal increase” standard.</w:t>
      </w:r>
    </w:p>
    <w:bookmarkEnd w:id="63"/>
    <w:p w14:paraId="28417DC3" w14:textId="77777777" w:rsidR="0018273E" w:rsidRPr="00662392" w:rsidRDefault="0018273E" w:rsidP="00194415">
      <w:pPr>
        <w:widowControl/>
        <w:rPr>
          <w:sz w:val="22"/>
          <w:szCs w:val="22"/>
        </w:rPr>
      </w:pPr>
    </w:p>
    <w:p w14:paraId="73826E44" w14:textId="575D401C" w:rsidR="0018273E" w:rsidRPr="00662392" w:rsidRDefault="0018273E" w:rsidP="00194415">
      <w:pPr>
        <w:widowControl/>
        <w:rPr>
          <w:sz w:val="22"/>
          <w:szCs w:val="22"/>
        </w:rPr>
      </w:pPr>
      <w:r w:rsidRPr="00662392">
        <w:rPr>
          <w:sz w:val="22"/>
          <w:szCs w:val="22"/>
        </w:rPr>
        <w:t xml:space="preserve">As stated in </w:t>
      </w:r>
      <w:r w:rsidR="00ED01BA" w:rsidRPr="00662392">
        <w:rPr>
          <w:sz w:val="22"/>
          <w:szCs w:val="22"/>
        </w:rPr>
        <w:t>NEI 96-07, Revision 1,</w:t>
      </w:r>
      <w:r w:rsidRPr="00662392">
        <w:rPr>
          <w:sz w:val="22"/>
          <w:szCs w:val="22"/>
        </w:rPr>
        <w:t xml:space="preserve"> licensees may use reasonable engineering practices, engineering judgment and PRA techniques, as appropriate, to determine whether the frequency of occurrence of an accident more than minimally increases as a result of implementing a CTE.  See Section 06.1</w:t>
      </w:r>
      <w:r w:rsidR="00DA7A50" w:rsidRPr="00662392">
        <w:rPr>
          <w:sz w:val="22"/>
          <w:szCs w:val="22"/>
        </w:rPr>
        <w:t>4</w:t>
      </w:r>
      <w:r w:rsidRPr="00662392">
        <w:rPr>
          <w:sz w:val="22"/>
          <w:szCs w:val="22"/>
        </w:rPr>
        <w:t xml:space="preserve"> of this IMC for further discussion on PRA and PRA techniques. </w:t>
      </w:r>
    </w:p>
    <w:p w14:paraId="6DCD0B08" w14:textId="77777777" w:rsidR="0018273E" w:rsidRPr="00662392" w:rsidRDefault="0018273E" w:rsidP="00194415">
      <w:pPr>
        <w:widowControl/>
        <w:rPr>
          <w:sz w:val="22"/>
          <w:szCs w:val="22"/>
        </w:rPr>
      </w:pPr>
    </w:p>
    <w:p w14:paraId="6E2D1422" w14:textId="354C5C88" w:rsidR="0018273E" w:rsidRPr="00662392" w:rsidRDefault="00FA3313" w:rsidP="00194415">
      <w:pPr>
        <w:rPr>
          <w:sz w:val="22"/>
          <w:szCs w:val="22"/>
        </w:rPr>
      </w:pPr>
      <w:r w:rsidRPr="00662392">
        <w:rPr>
          <w:sz w:val="22"/>
          <w:szCs w:val="22"/>
        </w:rPr>
        <w:t>06.16</w:t>
      </w:r>
      <w:r w:rsidRPr="00662392">
        <w:rPr>
          <w:sz w:val="22"/>
          <w:szCs w:val="22"/>
        </w:rPr>
        <w:tab/>
      </w:r>
      <w:r w:rsidRPr="00662392">
        <w:rPr>
          <w:sz w:val="22"/>
          <w:szCs w:val="22"/>
          <w:u w:val="single"/>
        </w:rPr>
        <w:t xml:space="preserve">Review Licensee Evaluation of Criterion </w:t>
      </w:r>
      <w:r w:rsidR="003C3936" w:rsidRPr="00662392">
        <w:rPr>
          <w:sz w:val="22"/>
          <w:szCs w:val="22"/>
          <w:u w:val="single"/>
        </w:rPr>
        <w:t>(c)(2)(ii)</w:t>
      </w:r>
      <w:r w:rsidRPr="00662392">
        <w:rPr>
          <w:sz w:val="22"/>
          <w:szCs w:val="22"/>
          <w:u w:val="single"/>
        </w:rPr>
        <w:fldChar w:fldCharType="begin"/>
      </w:r>
      <w:r w:rsidRPr="00662392">
        <w:rPr>
          <w:sz w:val="22"/>
          <w:szCs w:val="22"/>
        </w:rPr>
        <w:instrText xml:space="preserve"> TC "</w:instrText>
      </w:r>
      <w:bookmarkStart w:id="65" w:name="_Toc62642907"/>
      <w:bookmarkStart w:id="66" w:name="_Toc63142089"/>
      <w:r w:rsidRPr="00662392">
        <w:rPr>
          <w:sz w:val="22"/>
          <w:szCs w:val="22"/>
        </w:rPr>
        <w:instrText>06.16</w:instrText>
      </w:r>
      <w:r w:rsidRPr="00662392">
        <w:rPr>
          <w:sz w:val="22"/>
          <w:szCs w:val="22"/>
        </w:rPr>
        <w:tab/>
      </w:r>
      <w:r w:rsidRPr="00662392">
        <w:rPr>
          <w:sz w:val="22"/>
          <w:szCs w:val="22"/>
          <w:u w:val="single"/>
        </w:rPr>
        <w:instrText>Review Licensee Evaluation of Criterion (c)(2)(ii)</w:instrText>
      </w:r>
      <w:bookmarkEnd w:id="65"/>
      <w:bookmarkEnd w:id="66"/>
      <w:r w:rsidRPr="00662392">
        <w:rPr>
          <w:sz w:val="22"/>
          <w:szCs w:val="22"/>
        </w:rPr>
        <w:instrText xml:space="preserve">" \f C \l "2" </w:instrText>
      </w:r>
      <w:r w:rsidRPr="00662392">
        <w:rPr>
          <w:sz w:val="22"/>
          <w:szCs w:val="22"/>
          <w:u w:val="single"/>
        </w:rPr>
        <w:fldChar w:fldCharType="end"/>
      </w:r>
    </w:p>
    <w:p w14:paraId="526A61A6" w14:textId="77777777" w:rsidR="0018273E" w:rsidRPr="00662392" w:rsidRDefault="0018273E" w:rsidP="00194415">
      <w:pPr>
        <w:rPr>
          <w:sz w:val="22"/>
          <w:szCs w:val="22"/>
        </w:rPr>
      </w:pPr>
    </w:p>
    <w:p w14:paraId="5630FC8A" w14:textId="00B4BB96" w:rsidR="0018273E" w:rsidRPr="00662392" w:rsidRDefault="003C3936" w:rsidP="00194415">
      <w:pPr>
        <w:widowControl/>
        <w:rPr>
          <w:sz w:val="22"/>
          <w:szCs w:val="22"/>
        </w:rPr>
      </w:pPr>
      <w:r w:rsidRPr="00662392">
        <w:rPr>
          <w:sz w:val="22"/>
          <w:szCs w:val="22"/>
        </w:rPr>
        <w:t xml:space="preserve">10 CFR 50.59(c)(2)(ii) focuses on whether </w:t>
      </w:r>
      <w:r w:rsidR="0018273E" w:rsidRPr="00662392">
        <w:rPr>
          <w:sz w:val="22"/>
          <w:szCs w:val="22"/>
        </w:rPr>
        <w:t xml:space="preserve">the CTE </w:t>
      </w:r>
      <w:r w:rsidR="00047C46" w:rsidRPr="00662392">
        <w:rPr>
          <w:sz w:val="22"/>
          <w:szCs w:val="22"/>
        </w:rPr>
        <w:t>would</w:t>
      </w:r>
      <w:r w:rsidR="00F02633" w:rsidRPr="00662392">
        <w:rPr>
          <w:sz w:val="22"/>
          <w:szCs w:val="22"/>
        </w:rPr>
        <w:t xml:space="preserve"> </w:t>
      </w:r>
      <w:r w:rsidR="0018273E" w:rsidRPr="00662392">
        <w:rPr>
          <w:sz w:val="22"/>
          <w:szCs w:val="22"/>
        </w:rPr>
        <w:t xml:space="preserve">result in more than a minimal increase in the likelihood of occurrence of a malfunction of an SSC important to safety previously evaluated in the UFSAR.  </w:t>
      </w:r>
      <w:bookmarkStart w:id="67" w:name="_Hlk51827990"/>
      <w:bookmarkStart w:id="68" w:name="_Hlk51828482"/>
      <w:r w:rsidR="0018273E" w:rsidRPr="00662392">
        <w:rPr>
          <w:sz w:val="22"/>
          <w:szCs w:val="22"/>
        </w:rPr>
        <w:t>See Section 04.1</w:t>
      </w:r>
      <w:r w:rsidR="0051472D" w:rsidRPr="00662392">
        <w:rPr>
          <w:sz w:val="22"/>
          <w:szCs w:val="22"/>
        </w:rPr>
        <w:t>6</w:t>
      </w:r>
      <w:r w:rsidR="0018273E" w:rsidRPr="00662392">
        <w:rPr>
          <w:sz w:val="22"/>
          <w:szCs w:val="22"/>
        </w:rPr>
        <w:t xml:space="preserve"> of this IMC for the definition of malfunction of SSCs important to safety. </w:t>
      </w:r>
      <w:bookmarkEnd w:id="67"/>
      <w:r w:rsidR="0018273E" w:rsidRPr="00662392">
        <w:rPr>
          <w:sz w:val="22"/>
          <w:szCs w:val="22"/>
        </w:rPr>
        <w:t xml:space="preserve"> </w:t>
      </w:r>
    </w:p>
    <w:p w14:paraId="30550ECE" w14:textId="77777777" w:rsidR="0018273E" w:rsidRPr="00662392" w:rsidRDefault="0018273E" w:rsidP="00194415">
      <w:pPr>
        <w:widowControl/>
        <w:rPr>
          <w:sz w:val="22"/>
          <w:szCs w:val="22"/>
        </w:rPr>
      </w:pPr>
    </w:p>
    <w:p w14:paraId="4A25B20D" w14:textId="7747486F" w:rsidR="0018273E" w:rsidRPr="00662392" w:rsidRDefault="0018273E" w:rsidP="00194415">
      <w:pPr>
        <w:widowControl/>
        <w:rPr>
          <w:sz w:val="22"/>
          <w:szCs w:val="22"/>
        </w:rPr>
      </w:pPr>
      <w:r w:rsidRPr="00662392">
        <w:rPr>
          <w:sz w:val="22"/>
          <w:szCs w:val="22"/>
        </w:rPr>
        <w:t xml:space="preserve">Inspectors should recognize that the SOCs for 10 CFR 50.59 state that 10 CFR 50.59 provides a qualitative standard of “no more than minimal” </w:t>
      </w:r>
      <w:r w:rsidR="00673511" w:rsidRPr="00662392">
        <w:rPr>
          <w:sz w:val="22"/>
          <w:szCs w:val="22"/>
        </w:rPr>
        <w:t xml:space="preserve">and that </w:t>
      </w:r>
      <w:r w:rsidRPr="00662392">
        <w:rPr>
          <w:sz w:val="22"/>
          <w:szCs w:val="22"/>
        </w:rPr>
        <w:t xml:space="preserve">quantitative calculations are not required except for those instances in which a licensee decides to offer quantitative arguments as part of their evaluation.  </w:t>
      </w:r>
    </w:p>
    <w:p w14:paraId="232C85ED" w14:textId="77777777" w:rsidR="0018273E" w:rsidRPr="00662392" w:rsidRDefault="0018273E" w:rsidP="00194415">
      <w:pPr>
        <w:widowControl/>
        <w:rPr>
          <w:sz w:val="22"/>
          <w:szCs w:val="22"/>
        </w:rPr>
      </w:pPr>
    </w:p>
    <w:p w14:paraId="7E1A8978" w14:textId="1C917528" w:rsidR="0018273E" w:rsidRPr="00662392" w:rsidRDefault="0018273E" w:rsidP="00194415">
      <w:pPr>
        <w:widowControl/>
        <w:rPr>
          <w:sz w:val="22"/>
          <w:szCs w:val="22"/>
        </w:rPr>
      </w:pPr>
      <w:r w:rsidRPr="00662392">
        <w:rPr>
          <w:sz w:val="22"/>
          <w:szCs w:val="22"/>
        </w:rPr>
        <w:t>As stated in the SOCs for 10 CFR 50.59</w:t>
      </w:r>
      <w:r w:rsidR="00BC1D41" w:rsidRPr="00662392">
        <w:rPr>
          <w:sz w:val="22"/>
          <w:szCs w:val="22"/>
        </w:rPr>
        <w:t>,</w:t>
      </w:r>
      <w:r w:rsidRPr="00662392">
        <w:rPr>
          <w:sz w:val="22"/>
          <w:szCs w:val="22"/>
        </w:rPr>
        <w:t xml:space="preserve"> the likelihood of malfunction of SSC important to safety previously evaluated in the UFSAR is a minimal increase if “design bases” assumptions and requirements are still satisfied (i.e., the seismic or wind loadings, qualification specifications, etc.)  </w:t>
      </w:r>
      <w:r w:rsidR="00062385">
        <w:rPr>
          <w:sz w:val="22"/>
          <w:szCs w:val="22"/>
        </w:rPr>
        <w:t>F</w:t>
      </w:r>
      <w:r w:rsidRPr="00662392">
        <w:rPr>
          <w:sz w:val="22"/>
          <w:szCs w:val="22"/>
        </w:rPr>
        <w:t>or instance, a change that causes piping stresses to exceed their code allowable values is more than a minimal increase in likelihood of malfunction.  CTEs that invalidate specific commitments made for redundancy, diversity, separation, and other such design characteristics, are considered as “more than a minimal increase in likelihood of malfunction,” and require prior NRC approval</w:t>
      </w:r>
      <w:r w:rsidR="00966578" w:rsidRPr="00662392">
        <w:rPr>
          <w:sz w:val="22"/>
          <w:szCs w:val="22"/>
        </w:rPr>
        <w:t xml:space="preserve"> </w:t>
      </w:r>
      <w:r w:rsidR="00A84209" w:rsidRPr="00662392">
        <w:rPr>
          <w:sz w:val="22"/>
          <w:szCs w:val="22"/>
        </w:rPr>
        <w:t>via</w:t>
      </w:r>
      <w:r w:rsidR="00966578" w:rsidRPr="00662392">
        <w:rPr>
          <w:sz w:val="22"/>
          <w:szCs w:val="22"/>
        </w:rPr>
        <w:t xml:space="preserve"> a license amendment</w:t>
      </w:r>
      <w:r w:rsidRPr="00662392">
        <w:rPr>
          <w:sz w:val="22"/>
          <w:szCs w:val="22"/>
        </w:rPr>
        <w:t xml:space="preserve">.  </w:t>
      </w:r>
    </w:p>
    <w:p w14:paraId="5B18BF85" w14:textId="77777777" w:rsidR="0018273E" w:rsidRPr="00662392" w:rsidRDefault="0018273E" w:rsidP="00194415">
      <w:pPr>
        <w:widowControl/>
        <w:rPr>
          <w:sz w:val="22"/>
          <w:szCs w:val="22"/>
        </w:rPr>
      </w:pPr>
    </w:p>
    <w:p w14:paraId="5F784621" w14:textId="59FE89AF" w:rsidR="0018273E" w:rsidRPr="00662392" w:rsidRDefault="0018273E" w:rsidP="00194415">
      <w:pPr>
        <w:rPr>
          <w:sz w:val="22"/>
          <w:szCs w:val="22"/>
        </w:rPr>
      </w:pPr>
      <w:bookmarkStart w:id="69" w:name="_Hlk51830204"/>
      <w:bookmarkEnd w:id="68"/>
      <w:r w:rsidRPr="00662392">
        <w:rPr>
          <w:sz w:val="22"/>
          <w:szCs w:val="22"/>
        </w:rPr>
        <w:t>Additions of components to a system (</w:t>
      </w:r>
      <w:r w:rsidR="00966578" w:rsidRPr="00662392">
        <w:rPr>
          <w:sz w:val="22"/>
          <w:szCs w:val="22"/>
        </w:rPr>
        <w:t xml:space="preserve">e.g., </w:t>
      </w:r>
      <w:r w:rsidRPr="00662392">
        <w:rPr>
          <w:sz w:val="22"/>
          <w:szCs w:val="22"/>
        </w:rPr>
        <w:t>cabling, manual valves, protective features) is not generally viewed as more than a minimal increase in likelihood of malfunction, provided that applicable design and quality standards are followed.  For example, adding protective devices to breakers or installing an additional drain line (with appropriate isolation capability) is not an increase in likelihood of malfunction.  However, there may be situations where such additions impact how a system performs its functions and does not satisfy the 10 CFR 50.59 criteria (for example, a cross-connect between trains that is not suitably isolated).</w:t>
      </w:r>
      <w:bookmarkEnd w:id="69"/>
    </w:p>
    <w:p w14:paraId="242740A6" w14:textId="77777777" w:rsidR="0018273E" w:rsidRPr="00662392" w:rsidRDefault="0018273E" w:rsidP="00194415">
      <w:pPr>
        <w:rPr>
          <w:sz w:val="22"/>
          <w:szCs w:val="22"/>
        </w:rPr>
      </w:pPr>
    </w:p>
    <w:p w14:paraId="10E7DFEC" w14:textId="0AC96FB6" w:rsidR="0018273E" w:rsidRPr="00662392" w:rsidRDefault="0018273E" w:rsidP="00194415">
      <w:pPr>
        <w:rPr>
          <w:sz w:val="22"/>
          <w:szCs w:val="22"/>
        </w:rPr>
      </w:pPr>
      <w:r w:rsidRPr="00662392">
        <w:rPr>
          <w:sz w:val="22"/>
          <w:szCs w:val="22"/>
        </w:rPr>
        <w:t>Substitution of one type of component for another (as for instance, an air operated valve for a motor-operated valve) is also viewed as no more than a minimal increase in likelihood of malfunction provided requirements for redundant motive force, quality, and other requirements are met (and of course that any new failure modes are already bounded by the analysis).</w:t>
      </w:r>
    </w:p>
    <w:p w14:paraId="2A861C61" w14:textId="1F5E9F19" w:rsidR="0018273E" w:rsidRPr="00662392" w:rsidRDefault="0018273E" w:rsidP="00194415">
      <w:pPr>
        <w:rPr>
          <w:sz w:val="22"/>
          <w:szCs w:val="22"/>
        </w:rPr>
      </w:pPr>
    </w:p>
    <w:p w14:paraId="2D0BDC93" w14:textId="77777777" w:rsidR="000E0ACD" w:rsidRDefault="0018273E" w:rsidP="00194415">
      <w:pPr>
        <w:rPr>
          <w:sz w:val="22"/>
          <w:szCs w:val="22"/>
        </w:rPr>
      </w:pPr>
      <w:r w:rsidRPr="00662392">
        <w:rPr>
          <w:sz w:val="22"/>
          <w:szCs w:val="22"/>
        </w:rPr>
        <w:t>When the GDC ha</w:t>
      </w:r>
      <w:r w:rsidR="005823B3" w:rsidRPr="00662392">
        <w:rPr>
          <w:sz w:val="22"/>
          <w:szCs w:val="22"/>
        </w:rPr>
        <w:t>ve</w:t>
      </w:r>
      <w:r w:rsidRPr="00662392">
        <w:rPr>
          <w:sz w:val="22"/>
          <w:szCs w:val="22"/>
        </w:rPr>
        <w:t xml:space="preserve"> been incorporated into the licensing basis, departures from the design, fabrication, construction, testing, and performance requirements in the GDC as incorporated into the licensing basis, are not compatible with a “no more than minimal increase” standard.</w:t>
      </w:r>
    </w:p>
    <w:p w14:paraId="3584977B" w14:textId="77777777" w:rsidR="00C1473C" w:rsidRDefault="00C1473C" w:rsidP="00194415">
      <w:pPr>
        <w:rPr>
          <w:sz w:val="22"/>
          <w:szCs w:val="22"/>
        </w:rPr>
      </w:pPr>
    </w:p>
    <w:p w14:paraId="6BA9315A" w14:textId="77777777" w:rsidR="00C1473C" w:rsidRDefault="00587A69" w:rsidP="00194415">
      <w:pPr>
        <w:widowControl/>
        <w:rPr>
          <w:sz w:val="22"/>
          <w:szCs w:val="22"/>
        </w:rPr>
        <w:sectPr w:rsidR="00C1473C" w:rsidSect="00012998">
          <w:footerReference w:type="default" r:id="rId34"/>
          <w:pgSz w:w="12240" w:h="15840" w:code="1"/>
          <w:pgMar w:top="1440" w:right="1440" w:bottom="1440" w:left="1440" w:header="720" w:footer="720" w:gutter="0"/>
          <w:cols w:space="720"/>
          <w:noEndnote/>
          <w:docGrid w:linePitch="326"/>
        </w:sectPr>
      </w:pPr>
      <w:proofErr w:type="gramStart"/>
      <w:r w:rsidRPr="00662392">
        <w:rPr>
          <w:sz w:val="22"/>
          <w:szCs w:val="22"/>
        </w:rPr>
        <w:t>Similar to</w:t>
      </w:r>
      <w:proofErr w:type="gramEnd"/>
      <w:r w:rsidRPr="00662392">
        <w:rPr>
          <w:sz w:val="22"/>
          <w:szCs w:val="22"/>
        </w:rPr>
        <w:t xml:space="preserve"> the guidance in IMC Section 06.1</w:t>
      </w:r>
      <w:r w:rsidR="00DA7A50" w:rsidRPr="00662392">
        <w:rPr>
          <w:sz w:val="22"/>
          <w:szCs w:val="22"/>
        </w:rPr>
        <w:t>3</w:t>
      </w:r>
      <w:r w:rsidRPr="00662392">
        <w:rPr>
          <w:sz w:val="22"/>
          <w:szCs w:val="22"/>
        </w:rPr>
        <w:t xml:space="preserve">, </w:t>
      </w:r>
      <w:r w:rsidR="00BD4A54" w:rsidRPr="00662392">
        <w:rPr>
          <w:sz w:val="22"/>
          <w:szCs w:val="22"/>
        </w:rPr>
        <w:t>a l</w:t>
      </w:r>
      <w:r w:rsidR="0018273E" w:rsidRPr="00662392">
        <w:rPr>
          <w:sz w:val="22"/>
          <w:szCs w:val="22"/>
        </w:rPr>
        <w:t>icensee’s CTE evaluations should consider the effects of the CTE on performance of all affected SSCs, decide as to whether there has been a more than minimal increase</w:t>
      </w:r>
      <w:r w:rsidR="005823B3" w:rsidRPr="00662392">
        <w:rPr>
          <w:sz w:val="22"/>
          <w:szCs w:val="22"/>
        </w:rPr>
        <w:t>,</w:t>
      </w:r>
      <w:r w:rsidR="0018273E" w:rsidRPr="00662392">
        <w:rPr>
          <w:sz w:val="22"/>
          <w:szCs w:val="22"/>
        </w:rPr>
        <w:t xml:space="preserve"> and provide a basis for the determination.  Licensees should consider both direct and indirect effects as discussed above in Section 06.</w:t>
      </w:r>
      <w:r w:rsidR="00DA7A50" w:rsidRPr="00662392">
        <w:rPr>
          <w:sz w:val="22"/>
          <w:szCs w:val="22"/>
        </w:rPr>
        <w:t>10</w:t>
      </w:r>
      <w:r w:rsidR="0018273E" w:rsidRPr="00662392">
        <w:rPr>
          <w:sz w:val="22"/>
          <w:szCs w:val="22"/>
        </w:rPr>
        <w:t xml:space="preserve"> of this IMC.</w:t>
      </w:r>
    </w:p>
    <w:p w14:paraId="4E2DFBBF" w14:textId="77777777" w:rsidR="0018273E" w:rsidRPr="00662392" w:rsidRDefault="0018273E" w:rsidP="00194415">
      <w:pPr>
        <w:rPr>
          <w:sz w:val="22"/>
          <w:szCs w:val="22"/>
        </w:rPr>
      </w:pPr>
    </w:p>
    <w:p w14:paraId="551FA395" w14:textId="4B5C437E" w:rsidR="0018273E" w:rsidRPr="00662392" w:rsidRDefault="0018273E" w:rsidP="00194415">
      <w:pPr>
        <w:widowControl/>
        <w:rPr>
          <w:sz w:val="22"/>
          <w:szCs w:val="22"/>
        </w:rPr>
      </w:pPr>
      <w:r w:rsidRPr="00662392">
        <w:rPr>
          <w:sz w:val="22"/>
          <w:szCs w:val="22"/>
        </w:rPr>
        <w:t xml:space="preserve">As stated in </w:t>
      </w:r>
      <w:r w:rsidR="00ED01BA" w:rsidRPr="00662392">
        <w:rPr>
          <w:sz w:val="22"/>
          <w:szCs w:val="22"/>
        </w:rPr>
        <w:t>NEI 96-07, Revision 1,</w:t>
      </w:r>
      <w:r w:rsidRPr="00662392">
        <w:rPr>
          <w:sz w:val="22"/>
          <w:szCs w:val="22"/>
        </w:rPr>
        <w:t xml:space="preserve"> licensees typically will use qualitative engineering judgment and/or an industry precedent to determine if there is more than a minimal increase in the likelihood of occurrence of a malfunction.  See Section 06.1</w:t>
      </w:r>
      <w:r w:rsidR="00DA7A50" w:rsidRPr="00662392">
        <w:rPr>
          <w:sz w:val="22"/>
          <w:szCs w:val="22"/>
        </w:rPr>
        <w:t>4</w:t>
      </w:r>
      <w:r w:rsidRPr="00662392">
        <w:rPr>
          <w:sz w:val="22"/>
          <w:szCs w:val="22"/>
        </w:rPr>
        <w:t xml:space="preserve"> of this IMC for further discussion on PRA and PRA techniques. </w:t>
      </w:r>
    </w:p>
    <w:p w14:paraId="39D369C4" w14:textId="77777777" w:rsidR="0018273E" w:rsidRPr="00662392" w:rsidRDefault="0018273E" w:rsidP="00194415">
      <w:pPr>
        <w:rPr>
          <w:sz w:val="22"/>
          <w:szCs w:val="22"/>
        </w:rPr>
      </w:pPr>
    </w:p>
    <w:p w14:paraId="7E8D477C" w14:textId="22DB2D2A" w:rsidR="0018273E" w:rsidRPr="00662392" w:rsidRDefault="00FA3313" w:rsidP="00194415">
      <w:pPr>
        <w:rPr>
          <w:sz w:val="22"/>
          <w:szCs w:val="22"/>
        </w:rPr>
      </w:pPr>
      <w:r w:rsidRPr="00662392">
        <w:rPr>
          <w:sz w:val="22"/>
          <w:szCs w:val="22"/>
        </w:rPr>
        <w:t>06.17</w:t>
      </w:r>
      <w:r w:rsidRPr="00662392">
        <w:rPr>
          <w:sz w:val="22"/>
          <w:szCs w:val="22"/>
        </w:rPr>
        <w:tab/>
      </w:r>
      <w:r w:rsidRPr="00662392">
        <w:rPr>
          <w:sz w:val="22"/>
          <w:szCs w:val="22"/>
          <w:u w:val="single"/>
        </w:rPr>
        <w:t xml:space="preserve">Review Licensee Evaluation of Criteria </w:t>
      </w:r>
      <w:r w:rsidR="002B3C62" w:rsidRPr="00662392">
        <w:rPr>
          <w:sz w:val="22"/>
          <w:szCs w:val="22"/>
          <w:u w:val="single"/>
        </w:rPr>
        <w:t xml:space="preserve">(c)(2)(iii) </w:t>
      </w:r>
      <w:r w:rsidRPr="00662392">
        <w:rPr>
          <w:sz w:val="22"/>
          <w:szCs w:val="22"/>
          <w:u w:val="single"/>
        </w:rPr>
        <w:t>and</w:t>
      </w:r>
      <w:r w:rsidR="002B3C62" w:rsidRPr="00662392">
        <w:rPr>
          <w:sz w:val="22"/>
          <w:szCs w:val="22"/>
          <w:u w:val="single"/>
        </w:rPr>
        <w:t xml:space="preserve"> (c)(2)(iv)</w:t>
      </w:r>
      <w:r w:rsidRPr="00662392">
        <w:rPr>
          <w:sz w:val="22"/>
          <w:szCs w:val="22"/>
          <w:u w:val="single"/>
        </w:rPr>
        <w:fldChar w:fldCharType="begin"/>
      </w:r>
      <w:r w:rsidRPr="00662392">
        <w:rPr>
          <w:sz w:val="22"/>
          <w:szCs w:val="22"/>
        </w:rPr>
        <w:instrText xml:space="preserve"> TC "</w:instrText>
      </w:r>
      <w:bookmarkStart w:id="70" w:name="_Toc62642908"/>
      <w:bookmarkStart w:id="71" w:name="_Toc63142090"/>
      <w:r w:rsidRPr="00662392">
        <w:rPr>
          <w:sz w:val="22"/>
          <w:szCs w:val="22"/>
        </w:rPr>
        <w:instrText>06.17</w:instrText>
      </w:r>
      <w:r w:rsidRPr="00662392">
        <w:rPr>
          <w:sz w:val="22"/>
          <w:szCs w:val="22"/>
        </w:rPr>
        <w:tab/>
      </w:r>
      <w:r w:rsidRPr="00662392">
        <w:rPr>
          <w:sz w:val="22"/>
          <w:szCs w:val="22"/>
          <w:u w:val="single"/>
        </w:rPr>
        <w:instrText>Review Licensee Evaluation of Criteria (c)(2)(iii) and (c)(2)(iv)</w:instrText>
      </w:r>
      <w:bookmarkEnd w:id="70"/>
      <w:bookmarkEnd w:id="71"/>
      <w:r w:rsidRPr="00662392">
        <w:rPr>
          <w:sz w:val="22"/>
          <w:szCs w:val="22"/>
        </w:rPr>
        <w:instrText xml:space="preserve">" \f C \l "2" </w:instrText>
      </w:r>
      <w:r w:rsidRPr="00662392">
        <w:rPr>
          <w:sz w:val="22"/>
          <w:szCs w:val="22"/>
          <w:u w:val="single"/>
        </w:rPr>
        <w:fldChar w:fldCharType="end"/>
      </w:r>
    </w:p>
    <w:p w14:paraId="0CFC6499" w14:textId="77777777" w:rsidR="0018273E" w:rsidRPr="00662392" w:rsidRDefault="0018273E" w:rsidP="00194415">
      <w:pPr>
        <w:rPr>
          <w:sz w:val="22"/>
          <w:szCs w:val="22"/>
        </w:rPr>
      </w:pPr>
    </w:p>
    <w:p w14:paraId="49AC017F" w14:textId="13F1381A" w:rsidR="0018273E" w:rsidRPr="00662392" w:rsidRDefault="0018273E" w:rsidP="00194415">
      <w:pPr>
        <w:widowControl/>
        <w:rPr>
          <w:sz w:val="22"/>
          <w:szCs w:val="22"/>
        </w:rPr>
      </w:pPr>
      <w:bookmarkStart w:id="72" w:name="_Hlk48055341"/>
      <w:r w:rsidRPr="00662392">
        <w:rPr>
          <w:sz w:val="22"/>
          <w:szCs w:val="22"/>
        </w:rPr>
        <w:t>10 CFR 50.59(c)(2)(iii)</w:t>
      </w:r>
      <w:r w:rsidR="006B692E" w:rsidRPr="00662392">
        <w:rPr>
          <w:sz w:val="22"/>
          <w:szCs w:val="22"/>
        </w:rPr>
        <w:t xml:space="preserve"> focuses on whether</w:t>
      </w:r>
      <w:r w:rsidRPr="00662392">
        <w:rPr>
          <w:sz w:val="22"/>
          <w:szCs w:val="22"/>
        </w:rPr>
        <w:t xml:space="preserve"> the CTE </w:t>
      </w:r>
      <w:r w:rsidR="005E5800" w:rsidRPr="00662392">
        <w:rPr>
          <w:sz w:val="22"/>
          <w:szCs w:val="22"/>
        </w:rPr>
        <w:t xml:space="preserve">would </w:t>
      </w:r>
      <w:r w:rsidRPr="00662392">
        <w:rPr>
          <w:sz w:val="22"/>
          <w:szCs w:val="22"/>
        </w:rPr>
        <w:t xml:space="preserve">result in </w:t>
      </w:r>
      <w:r w:rsidR="006B692E" w:rsidRPr="00662392">
        <w:rPr>
          <w:sz w:val="22"/>
          <w:szCs w:val="22"/>
        </w:rPr>
        <w:t xml:space="preserve">a </w:t>
      </w:r>
      <w:r w:rsidRPr="00662392">
        <w:rPr>
          <w:sz w:val="22"/>
          <w:szCs w:val="22"/>
        </w:rPr>
        <w:t xml:space="preserve">more than a minimal increase in the consequences of an accident previously evaluated in the UFSAR.  </w:t>
      </w:r>
    </w:p>
    <w:p w14:paraId="66C23CA7" w14:textId="77777777" w:rsidR="0018273E" w:rsidRPr="00662392" w:rsidRDefault="0018273E" w:rsidP="00194415">
      <w:pPr>
        <w:widowControl/>
        <w:rPr>
          <w:sz w:val="22"/>
          <w:szCs w:val="22"/>
        </w:rPr>
      </w:pPr>
    </w:p>
    <w:p w14:paraId="449DB280" w14:textId="5C80F6D8" w:rsidR="0018273E" w:rsidRPr="00662392" w:rsidRDefault="0018273E" w:rsidP="00194415">
      <w:pPr>
        <w:widowControl/>
        <w:rPr>
          <w:sz w:val="22"/>
          <w:szCs w:val="22"/>
        </w:rPr>
      </w:pPr>
      <w:r w:rsidRPr="00662392">
        <w:rPr>
          <w:sz w:val="22"/>
          <w:szCs w:val="22"/>
        </w:rPr>
        <w:t>10 CFR 50.59(c)(2)(iv)</w:t>
      </w:r>
      <w:r w:rsidR="006B692E" w:rsidRPr="00662392">
        <w:rPr>
          <w:sz w:val="22"/>
          <w:szCs w:val="22"/>
        </w:rPr>
        <w:t xml:space="preserve"> focuses on whether</w:t>
      </w:r>
      <w:r w:rsidRPr="00662392">
        <w:rPr>
          <w:sz w:val="22"/>
          <w:szCs w:val="22"/>
        </w:rPr>
        <w:t xml:space="preserve"> the CTE </w:t>
      </w:r>
      <w:r w:rsidR="007C5461" w:rsidRPr="00662392">
        <w:rPr>
          <w:sz w:val="22"/>
          <w:szCs w:val="22"/>
        </w:rPr>
        <w:t xml:space="preserve">would </w:t>
      </w:r>
      <w:r w:rsidRPr="00662392">
        <w:rPr>
          <w:sz w:val="22"/>
          <w:szCs w:val="22"/>
        </w:rPr>
        <w:t xml:space="preserve">result in </w:t>
      </w:r>
      <w:r w:rsidR="006B692E" w:rsidRPr="00662392">
        <w:rPr>
          <w:sz w:val="22"/>
          <w:szCs w:val="22"/>
        </w:rPr>
        <w:t xml:space="preserve">a </w:t>
      </w:r>
      <w:r w:rsidRPr="00662392">
        <w:rPr>
          <w:sz w:val="22"/>
          <w:szCs w:val="22"/>
        </w:rPr>
        <w:t>more than a minimal increase in the consequences of a malfunction of an SSC important to safety previously evaluated in the UFSAR.</w:t>
      </w:r>
    </w:p>
    <w:p w14:paraId="70D5BE8D" w14:textId="77777777" w:rsidR="0018273E" w:rsidRPr="00662392" w:rsidRDefault="0018273E" w:rsidP="00194415">
      <w:pPr>
        <w:widowControl/>
        <w:rPr>
          <w:sz w:val="22"/>
          <w:szCs w:val="22"/>
        </w:rPr>
      </w:pPr>
    </w:p>
    <w:p w14:paraId="52FC1032" w14:textId="70EE8467" w:rsidR="0018273E" w:rsidRPr="00662392" w:rsidRDefault="0018273E" w:rsidP="00194415">
      <w:pPr>
        <w:widowControl/>
        <w:rPr>
          <w:sz w:val="22"/>
          <w:szCs w:val="22"/>
        </w:rPr>
      </w:pPr>
      <w:bookmarkStart w:id="73" w:name="_Hlk51839929"/>
      <w:r w:rsidRPr="00662392">
        <w:rPr>
          <w:sz w:val="22"/>
          <w:szCs w:val="22"/>
        </w:rPr>
        <w:t>As stated in the SOCs for 10 CFR 50.59</w:t>
      </w:r>
      <w:r w:rsidR="007C5461" w:rsidRPr="00662392">
        <w:rPr>
          <w:sz w:val="22"/>
          <w:szCs w:val="22"/>
        </w:rPr>
        <w:t>,</w:t>
      </w:r>
      <w:r w:rsidRPr="00662392">
        <w:rPr>
          <w:sz w:val="22"/>
          <w:szCs w:val="22"/>
        </w:rPr>
        <w:t xml:space="preserve"> </w:t>
      </w:r>
      <w:bookmarkStart w:id="74" w:name="_Hlk54879876"/>
      <w:r w:rsidRPr="00662392">
        <w:rPr>
          <w:sz w:val="22"/>
          <w:szCs w:val="22"/>
        </w:rPr>
        <w:t xml:space="preserve">the reference to consequences is intended to relate directly to radiological consequences </w:t>
      </w:r>
      <w:bookmarkStart w:id="75" w:name="_Hlk51833295"/>
      <w:r w:rsidR="008F0FAB" w:rsidRPr="00662392">
        <w:rPr>
          <w:sz w:val="22"/>
          <w:szCs w:val="22"/>
        </w:rPr>
        <w:t>(</w:t>
      </w:r>
      <w:r w:rsidRPr="00662392">
        <w:rPr>
          <w:sz w:val="22"/>
          <w:szCs w:val="22"/>
        </w:rPr>
        <w:t>i.e., dose</w:t>
      </w:r>
      <w:r w:rsidR="008F0FAB" w:rsidRPr="00662392">
        <w:rPr>
          <w:sz w:val="22"/>
          <w:szCs w:val="22"/>
        </w:rPr>
        <w:t>)</w:t>
      </w:r>
      <w:bookmarkEnd w:id="75"/>
      <w:r w:rsidRPr="00662392">
        <w:rPr>
          <w:sz w:val="22"/>
          <w:szCs w:val="22"/>
        </w:rPr>
        <w:t>, and not to other outcomes that are covered by the remaining criteria</w:t>
      </w:r>
      <w:r w:rsidR="0014607E" w:rsidRPr="00662392">
        <w:rPr>
          <w:sz w:val="22"/>
          <w:szCs w:val="22"/>
        </w:rPr>
        <w:t xml:space="preserve">. </w:t>
      </w:r>
      <w:r w:rsidR="00716C46">
        <w:rPr>
          <w:sz w:val="22"/>
          <w:szCs w:val="22"/>
        </w:rPr>
        <w:t xml:space="preserve"> </w:t>
      </w:r>
      <w:r w:rsidR="0014607E" w:rsidRPr="00662392">
        <w:rPr>
          <w:sz w:val="22"/>
          <w:szCs w:val="22"/>
        </w:rPr>
        <w:t>Also,</w:t>
      </w:r>
      <w:r w:rsidRPr="00662392">
        <w:rPr>
          <w:sz w:val="22"/>
          <w:szCs w:val="22"/>
        </w:rPr>
        <w:t xml:space="preserve"> “consequences of accidents” includes not only offsite exposure, but also dose to operators in the control room (in accordance with GDC 19 of Appendix A to 10 CFR Part 50) or other onsite personnel, resulting from accidents and malfunctions previously evaluated in the UFSAR.  </w:t>
      </w:r>
      <w:r w:rsidR="003C0E23" w:rsidRPr="00662392" w:rsidDel="003C0E23">
        <w:rPr>
          <w:sz w:val="22"/>
          <w:szCs w:val="22"/>
        </w:rPr>
        <w:t xml:space="preserve"> </w:t>
      </w:r>
    </w:p>
    <w:p w14:paraId="2B063A70" w14:textId="77777777" w:rsidR="0018273E" w:rsidRPr="00662392" w:rsidRDefault="0018273E" w:rsidP="00194415">
      <w:pPr>
        <w:widowControl/>
        <w:rPr>
          <w:sz w:val="22"/>
          <w:szCs w:val="22"/>
        </w:rPr>
      </w:pPr>
    </w:p>
    <w:bookmarkEnd w:id="73"/>
    <w:bookmarkEnd w:id="74"/>
    <w:p w14:paraId="5E08D45A" w14:textId="427E400E" w:rsidR="0042796D" w:rsidRPr="00662392" w:rsidRDefault="0018273E" w:rsidP="00194415">
      <w:pPr>
        <w:widowControl/>
        <w:rPr>
          <w:sz w:val="22"/>
          <w:szCs w:val="22"/>
        </w:rPr>
      </w:pPr>
      <w:r w:rsidRPr="00662392">
        <w:rPr>
          <w:sz w:val="22"/>
          <w:szCs w:val="22"/>
        </w:rPr>
        <w:t xml:space="preserve">A change involves no more than a minimal increase in consequences if the increase is less than or equal to the more limiting of </w:t>
      </w:r>
      <w:r w:rsidRPr="00662392">
        <w:rPr>
          <w:sz w:val="22"/>
          <w:szCs w:val="22"/>
          <w:u w:val="single"/>
        </w:rPr>
        <w:t>either</w:t>
      </w:r>
      <w:r w:rsidRPr="00662392">
        <w:rPr>
          <w:sz w:val="22"/>
          <w:szCs w:val="22"/>
        </w:rPr>
        <w:t xml:space="preserve"> 10 percent of the difference between the licensee’s existing calculated value and the regulatory guideline value (10 CFR Part 100, 10 CFR 50.67, or GDC 19 as applicable), or has reached the SRP</w:t>
      </w:r>
      <w:r w:rsidR="005F6A94" w:rsidRPr="00662392">
        <w:rPr>
          <w:sz w:val="22"/>
          <w:szCs w:val="22"/>
        </w:rPr>
        <w:t xml:space="preserve"> </w:t>
      </w:r>
      <w:r w:rsidRPr="00662392">
        <w:rPr>
          <w:sz w:val="22"/>
          <w:szCs w:val="22"/>
        </w:rPr>
        <w:t>guideline value for the particular design basis event/acciden</w:t>
      </w:r>
      <w:r w:rsidR="00BD2536" w:rsidRPr="00662392">
        <w:rPr>
          <w:sz w:val="22"/>
          <w:szCs w:val="22"/>
        </w:rPr>
        <w:t xml:space="preserve">t, regardless of </w:t>
      </w:r>
      <w:r w:rsidR="00F83FAD" w:rsidRPr="00662392">
        <w:rPr>
          <w:sz w:val="22"/>
          <w:szCs w:val="22"/>
        </w:rPr>
        <w:t xml:space="preserve">how the plant was specifically licensed using the SRP.  </w:t>
      </w:r>
    </w:p>
    <w:p w14:paraId="626D457E" w14:textId="77777777" w:rsidR="0042796D" w:rsidRPr="00662392" w:rsidRDefault="0042796D" w:rsidP="00194415">
      <w:pPr>
        <w:widowControl/>
        <w:rPr>
          <w:sz w:val="22"/>
          <w:szCs w:val="22"/>
        </w:rPr>
      </w:pPr>
    </w:p>
    <w:bookmarkEnd w:id="72"/>
    <w:p w14:paraId="2CB4DD80" w14:textId="32D3D554" w:rsidR="0018273E" w:rsidRPr="00662392" w:rsidRDefault="00222B29" w:rsidP="00194415">
      <w:pPr>
        <w:widowControl/>
        <w:rPr>
          <w:sz w:val="22"/>
          <w:szCs w:val="22"/>
        </w:rPr>
      </w:pPr>
      <w:r w:rsidRPr="00662392">
        <w:rPr>
          <w:sz w:val="22"/>
          <w:szCs w:val="22"/>
        </w:rPr>
        <w:t>C</w:t>
      </w:r>
      <w:r w:rsidR="0018273E" w:rsidRPr="00662392">
        <w:rPr>
          <w:sz w:val="22"/>
          <w:szCs w:val="22"/>
        </w:rPr>
        <w:t xml:space="preserve">riteria </w:t>
      </w:r>
      <w:r w:rsidRPr="00662392">
        <w:rPr>
          <w:sz w:val="22"/>
          <w:szCs w:val="22"/>
        </w:rPr>
        <w:t xml:space="preserve">(iii) and (iv) </w:t>
      </w:r>
      <w:r w:rsidR="0018273E" w:rsidRPr="00662392">
        <w:rPr>
          <w:sz w:val="22"/>
          <w:szCs w:val="22"/>
        </w:rPr>
        <w:t xml:space="preserve">cover CTEs that arise from malfunctions (such as failure of a waste tank or filter systems), and others that might arise from changes in source term or timing of mitigation systems, that are more pertinent to “accidents.”  Changes in consequences that are so small or the uncertainties in determining whether a change in consequences has occurred are such that it cannot be reasonably concluded that the consequences have actually changed (i.e., there is no clear trend toward increasing the consequences), </w:t>
      </w:r>
      <w:r w:rsidR="00413054" w:rsidRPr="00662392">
        <w:rPr>
          <w:sz w:val="22"/>
          <w:szCs w:val="22"/>
        </w:rPr>
        <w:t xml:space="preserve">need </w:t>
      </w:r>
      <w:r w:rsidR="0018273E" w:rsidRPr="00662392">
        <w:rPr>
          <w:sz w:val="22"/>
          <w:szCs w:val="22"/>
        </w:rPr>
        <w:t xml:space="preserve">not </w:t>
      </w:r>
      <w:r w:rsidR="00413054" w:rsidRPr="00662392">
        <w:rPr>
          <w:sz w:val="22"/>
          <w:szCs w:val="22"/>
        </w:rPr>
        <w:t xml:space="preserve">be </w:t>
      </w:r>
      <w:r w:rsidR="0018273E" w:rsidRPr="00662392">
        <w:rPr>
          <w:sz w:val="22"/>
          <w:szCs w:val="22"/>
        </w:rPr>
        <w:t>considered an increase in consequences.</w:t>
      </w:r>
    </w:p>
    <w:p w14:paraId="31A25370" w14:textId="77777777" w:rsidR="0018273E" w:rsidRPr="00662392" w:rsidRDefault="0018273E" w:rsidP="00194415">
      <w:pPr>
        <w:widowControl/>
        <w:rPr>
          <w:sz w:val="22"/>
          <w:szCs w:val="22"/>
        </w:rPr>
      </w:pPr>
    </w:p>
    <w:p w14:paraId="3B67C4A8" w14:textId="77777777" w:rsidR="0018273E" w:rsidRPr="00662392" w:rsidRDefault="0018273E" w:rsidP="00194415">
      <w:pPr>
        <w:widowControl/>
        <w:rPr>
          <w:sz w:val="22"/>
          <w:szCs w:val="22"/>
        </w:rPr>
      </w:pPr>
      <w:r w:rsidRPr="00662392">
        <w:rPr>
          <w:sz w:val="22"/>
          <w:szCs w:val="22"/>
        </w:rPr>
        <w:t>For cases where a licensee is licensed with calculated consequences in excess of the established SRP guidelines, only limited flexibility under this criterion exists for changes that increased the calculated radiological consequences of accidents.  In this regard, differences of about 0.1 rem are viewed as being within the error or uncertainty of design basis-type radiological consequences analysis such that NRC review of such changes is not needed.</w:t>
      </w:r>
    </w:p>
    <w:p w14:paraId="16F03A20" w14:textId="77777777" w:rsidR="0018273E" w:rsidRPr="00662392" w:rsidRDefault="0018273E" w:rsidP="00194415">
      <w:pPr>
        <w:widowControl/>
        <w:rPr>
          <w:sz w:val="22"/>
          <w:szCs w:val="22"/>
        </w:rPr>
      </w:pPr>
    </w:p>
    <w:p w14:paraId="354BEF92" w14:textId="77777777" w:rsidR="00C1473C" w:rsidRDefault="0018273E" w:rsidP="00194415">
      <w:pPr>
        <w:widowControl/>
        <w:rPr>
          <w:sz w:val="22"/>
          <w:szCs w:val="22"/>
        </w:rPr>
        <w:sectPr w:rsidR="00C1473C" w:rsidSect="00012998">
          <w:footerReference w:type="default" r:id="rId35"/>
          <w:pgSz w:w="12240" w:h="15840" w:code="1"/>
          <w:pgMar w:top="1440" w:right="1440" w:bottom="1440" w:left="1440" w:header="720" w:footer="720" w:gutter="0"/>
          <w:cols w:space="720"/>
          <w:noEndnote/>
          <w:docGrid w:linePitch="326"/>
        </w:sectPr>
      </w:pPr>
      <w:bookmarkStart w:id="76" w:name="_Hlk51835647"/>
      <w:r w:rsidRPr="00662392">
        <w:rPr>
          <w:sz w:val="22"/>
          <w:szCs w:val="22"/>
        </w:rPr>
        <w:t xml:space="preserve">If a licensee performed an analysis with certain bounding assumptions, and the change increases a specific parameter from its present value to a different value that is still bounded by the value assumed in the analysis, the NRC concluded </w:t>
      </w:r>
      <w:r w:rsidR="00755C11" w:rsidRPr="00662392">
        <w:rPr>
          <w:sz w:val="22"/>
          <w:szCs w:val="22"/>
        </w:rPr>
        <w:t xml:space="preserve">in the 50.59 SOCs </w:t>
      </w:r>
      <w:r w:rsidRPr="00662392">
        <w:rPr>
          <w:sz w:val="22"/>
          <w:szCs w:val="22"/>
        </w:rPr>
        <w:t xml:space="preserve">that the change satisfies the criterion of “no more than a minimal increase in consequences.”  In fact, this is no increase in consequences, because the bounding analysis is what determines the value from which a change is being judged.  If a licensee needs to change its design basis assumptions or analytical methods, or both, to demonstrate that the change in consequences satisfies this </w:t>
      </w:r>
    </w:p>
    <w:p w14:paraId="57E41DA0" w14:textId="77777777" w:rsidR="00C1473C" w:rsidRDefault="00C1473C" w:rsidP="00194415">
      <w:pPr>
        <w:widowControl/>
        <w:rPr>
          <w:sz w:val="22"/>
          <w:szCs w:val="22"/>
        </w:rPr>
      </w:pPr>
    </w:p>
    <w:p w14:paraId="18F28FFB" w14:textId="3D3290A7" w:rsidR="0018273E" w:rsidRPr="00662392" w:rsidRDefault="0018273E" w:rsidP="00194415">
      <w:pPr>
        <w:widowControl/>
        <w:rPr>
          <w:sz w:val="22"/>
          <w:szCs w:val="22"/>
        </w:rPr>
      </w:pPr>
      <w:r w:rsidRPr="00662392">
        <w:rPr>
          <w:sz w:val="22"/>
          <w:szCs w:val="22"/>
        </w:rPr>
        <w:t>guidance [SOCs], then the NRC does not view the change as minimal and expects the licensee to submit a license amendment for such a change.</w:t>
      </w:r>
      <w:bookmarkEnd w:id="76"/>
    </w:p>
    <w:p w14:paraId="2C8A460F" w14:textId="77777777" w:rsidR="0018273E" w:rsidRPr="00662392" w:rsidRDefault="0018273E" w:rsidP="00194415">
      <w:pPr>
        <w:widowControl/>
        <w:rPr>
          <w:sz w:val="22"/>
          <w:szCs w:val="22"/>
        </w:rPr>
      </w:pPr>
    </w:p>
    <w:p w14:paraId="4FAE77ED" w14:textId="2983EEAB" w:rsidR="0018273E" w:rsidRPr="00662392" w:rsidRDefault="007A1D4D" w:rsidP="00194415">
      <w:pPr>
        <w:widowControl/>
        <w:rPr>
          <w:sz w:val="22"/>
          <w:szCs w:val="22"/>
        </w:rPr>
      </w:pPr>
      <w:r w:rsidRPr="00662392">
        <w:rPr>
          <w:sz w:val="22"/>
          <w:szCs w:val="22"/>
        </w:rPr>
        <w:t>The 50.59 SOCs provide s</w:t>
      </w:r>
      <w:r w:rsidR="0018273E" w:rsidRPr="00662392">
        <w:rPr>
          <w:sz w:val="22"/>
          <w:szCs w:val="22"/>
        </w:rPr>
        <w:t>everal examples to illustrate the implementation of criteri</w:t>
      </w:r>
      <w:r w:rsidR="00A56125" w:rsidRPr="00662392">
        <w:rPr>
          <w:sz w:val="22"/>
          <w:szCs w:val="22"/>
        </w:rPr>
        <w:t>a</w:t>
      </w:r>
      <w:r w:rsidR="00060E73" w:rsidRPr="00662392">
        <w:rPr>
          <w:sz w:val="22"/>
          <w:szCs w:val="22"/>
        </w:rPr>
        <w:t xml:space="preserve"> (iii) and (iv)</w:t>
      </w:r>
      <w:r w:rsidR="0018273E" w:rsidRPr="00662392">
        <w:rPr>
          <w:sz w:val="22"/>
          <w:szCs w:val="22"/>
        </w:rPr>
        <w:t>.  In each example, the calculated consequences do not include changes in methodology.  Changes in methodology used to calculate radiological consequences would fail criterion (viii) of 10 CFR 50.59 and require prior NRC review regardless of how small the increase is in the calculated radiological consequences.</w:t>
      </w:r>
    </w:p>
    <w:p w14:paraId="733BAE10" w14:textId="77777777" w:rsidR="0018273E" w:rsidRPr="00662392" w:rsidRDefault="0018273E" w:rsidP="00194415">
      <w:pPr>
        <w:widowControl/>
        <w:rPr>
          <w:sz w:val="22"/>
          <w:szCs w:val="22"/>
        </w:rPr>
      </w:pPr>
    </w:p>
    <w:p w14:paraId="53919C63" w14:textId="5B0DEBCF" w:rsidR="0018273E" w:rsidRPr="00662392" w:rsidRDefault="0018273E" w:rsidP="00194415">
      <w:pPr>
        <w:widowControl/>
        <w:rPr>
          <w:sz w:val="22"/>
          <w:szCs w:val="22"/>
        </w:rPr>
      </w:pPr>
      <w:bookmarkStart w:id="77" w:name="_Hlk51837950"/>
      <w:r w:rsidRPr="00662392">
        <w:rPr>
          <w:sz w:val="22"/>
          <w:szCs w:val="22"/>
          <w:u w:val="single"/>
        </w:rPr>
        <w:t>Example 1</w:t>
      </w:r>
      <w:r w:rsidRPr="00662392">
        <w:rPr>
          <w:sz w:val="22"/>
          <w:szCs w:val="22"/>
        </w:rPr>
        <w:t>:</w:t>
      </w:r>
      <w:r w:rsidR="005653C3" w:rsidRPr="00662392">
        <w:rPr>
          <w:sz w:val="22"/>
          <w:szCs w:val="22"/>
        </w:rPr>
        <w:t xml:space="preserve">  </w:t>
      </w:r>
      <w:r w:rsidRPr="00662392">
        <w:rPr>
          <w:sz w:val="22"/>
          <w:szCs w:val="22"/>
        </w:rPr>
        <w:t xml:space="preserve">A licensee has a calculated fuel handling accident (FHA) dose of 50 </w:t>
      </w:r>
      <w:proofErr w:type="gramStart"/>
      <w:r w:rsidRPr="00662392">
        <w:rPr>
          <w:sz w:val="22"/>
          <w:szCs w:val="22"/>
        </w:rPr>
        <w:t>rem</w:t>
      </w:r>
      <w:proofErr w:type="gramEnd"/>
      <w:r w:rsidRPr="00662392">
        <w:rPr>
          <w:sz w:val="22"/>
          <w:szCs w:val="22"/>
        </w:rPr>
        <w:t xml:space="preserve"> </w:t>
      </w:r>
      <w:bookmarkStart w:id="78" w:name="_Hlk51838477"/>
      <w:r w:rsidRPr="00662392">
        <w:rPr>
          <w:sz w:val="22"/>
          <w:szCs w:val="22"/>
        </w:rPr>
        <w:t xml:space="preserve">to the thyroid </w:t>
      </w:r>
      <w:bookmarkEnd w:id="78"/>
      <w:r w:rsidRPr="00662392">
        <w:rPr>
          <w:sz w:val="22"/>
          <w:szCs w:val="22"/>
        </w:rPr>
        <w:t xml:space="preserve">at the exclusion area boundary.  Because of some change in the facility, the calculated FHA dose increases to 70 rem.  Under 10 CFR 50.59, ten percent of the difference between the calculated value (50 rem) and the regulatory limit (300 rem) is 25 </w:t>
      </w:r>
      <w:proofErr w:type="gramStart"/>
      <w:r w:rsidRPr="00662392">
        <w:rPr>
          <w:sz w:val="22"/>
          <w:szCs w:val="22"/>
        </w:rPr>
        <w:t>rem</w:t>
      </w:r>
      <w:proofErr w:type="gramEnd"/>
      <w:r w:rsidRPr="00662392">
        <w:rPr>
          <w:sz w:val="22"/>
          <w:szCs w:val="22"/>
        </w:rPr>
        <w:t xml:space="preserve"> (10% of 250).  The SRP acceptance guideline for FHA is 75 rem.  Since the calculated increase (20 rem) is less than 25 rem and the total (70 rem) is less than the SRP acceptance guideline, then the </w:t>
      </w:r>
      <w:bookmarkStart w:id="79" w:name="_Hlk48219525"/>
      <w:r w:rsidRPr="00662392">
        <w:rPr>
          <w:sz w:val="22"/>
          <w:szCs w:val="22"/>
        </w:rPr>
        <w:t>10 CFR 50.59</w:t>
      </w:r>
      <w:bookmarkEnd w:id="79"/>
      <w:r w:rsidRPr="00662392">
        <w:rPr>
          <w:sz w:val="22"/>
          <w:szCs w:val="22"/>
        </w:rPr>
        <w:t xml:space="preserve"> consequence criterion does not trigger the need for a prior NRC review and a licensee can make the change to the facility.</w:t>
      </w:r>
      <w:bookmarkEnd w:id="77"/>
    </w:p>
    <w:p w14:paraId="1429767B" w14:textId="77777777" w:rsidR="0018273E" w:rsidRPr="00662392" w:rsidRDefault="0018273E" w:rsidP="00194415">
      <w:pPr>
        <w:widowControl/>
        <w:rPr>
          <w:sz w:val="22"/>
          <w:szCs w:val="22"/>
        </w:rPr>
      </w:pPr>
    </w:p>
    <w:p w14:paraId="15B31178" w14:textId="587B72C1" w:rsidR="0018273E" w:rsidRPr="00662392" w:rsidRDefault="0018273E" w:rsidP="00194415">
      <w:pPr>
        <w:widowControl/>
        <w:rPr>
          <w:sz w:val="22"/>
          <w:szCs w:val="22"/>
        </w:rPr>
      </w:pPr>
      <w:bookmarkStart w:id="80" w:name="_Hlk51838111"/>
      <w:r w:rsidRPr="00662392">
        <w:rPr>
          <w:sz w:val="22"/>
          <w:szCs w:val="22"/>
          <w:u w:val="single"/>
        </w:rPr>
        <w:t>Example 2:</w:t>
      </w:r>
      <w:r w:rsidRPr="00662392">
        <w:rPr>
          <w:sz w:val="22"/>
          <w:szCs w:val="22"/>
        </w:rPr>
        <w:t xml:space="preserve"> </w:t>
      </w:r>
      <w:r w:rsidR="00E33D1B">
        <w:rPr>
          <w:sz w:val="22"/>
          <w:szCs w:val="22"/>
        </w:rPr>
        <w:t xml:space="preserve"> </w:t>
      </w:r>
      <w:r w:rsidRPr="00662392">
        <w:rPr>
          <w:sz w:val="22"/>
          <w:szCs w:val="22"/>
        </w:rPr>
        <w:t xml:space="preserve">The calculated consequences for a steam generator tube rupture accident are 25 </w:t>
      </w:r>
      <w:proofErr w:type="gramStart"/>
      <w:r w:rsidRPr="00662392">
        <w:rPr>
          <w:sz w:val="22"/>
          <w:szCs w:val="22"/>
        </w:rPr>
        <w:t>rem</w:t>
      </w:r>
      <w:proofErr w:type="gramEnd"/>
      <w:r w:rsidRPr="00662392">
        <w:rPr>
          <w:sz w:val="22"/>
          <w:szCs w:val="22"/>
        </w:rPr>
        <w:t xml:space="preserve"> to the thyroid at the exclusion area boundary.  Because of a change in the plant, the calculated thyroid consequences increase to 29 rem.  10 CFR 50.59 permits this change to occur because the new calculated dose does not exceed the established SRP acceptance criteria (30 rem) nor does the incremental change in consequences (4 rem) exceed 10 percent of the difference between the previous calculated value and the regulatory limit of 300 rem.  Ten percent of the difference between the acceptance criteria (300 rem) and the calculated value (25) is 27.5 rem (10% of 275); since 4</w:t>
      </w:r>
      <w:r w:rsidR="00845B47" w:rsidRPr="00662392">
        <w:rPr>
          <w:sz w:val="22"/>
          <w:szCs w:val="22"/>
        </w:rPr>
        <w:t xml:space="preserve"> </w:t>
      </w:r>
      <w:proofErr w:type="gramStart"/>
      <w:r w:rsidRPr="00662392">
        <w:rPr>
          <w:sz w:val="22"/>
          <w:szCs w:val="22"/>
        </w:rPr>
        <w:t>rem</w:t>
      </w:r>
      <w:proofErr w:type="gramEnd"/>
      <w:r w:rsidRPr="00662392">
        <w:rPr>
          <w:sz w:val="22"/>
          <w:szCs w:val="22"/>
        </w:rPr>
        <w:t xml:space="preserve"> is less than 27.5 rem, this change satisfies the criterion</w:t>
      </w:r>
      <w:bookmarkEnd w:id="80"/>
      <w:r w:rsidRPr="00662392">
        <w:rPr>
          <w:sz w:val="22"/>
          <w:szCs w:val="22"/>
        </w:rPr>
        <w:t xml:space="preserve"> and does not trigger the need for a prior NRC review</w:t>
      </w:r>
      <w:r w:rsidR="00062385">
        <w:rPr>
          <w:sz w:val="22"/>
          <w:szCs w:val="22"/>
        </w:rPr>
        <w:t xml:space="preserve">.  </w:t>
      </w:r>
      <w:r w:rsidR="00D778A0">
        <w:rPr>
          <w:sz w:val="22"/>
          <w:szCs w:val="22"/>
        </w:rPr>
        <w:t>Because of this, a</w:t>
      </w:r>
      <w:r w:rsidRPr="00662392">
        <w:rPr>
          <w:sz w:val="22"/>
          <w:szCs w:val="22"/>
        </w:rPr>
        <w:t xml:space="preserve"> licensee can make the change to the facility.</w:t>
      </w:r>
    </w:p>
    <w:p w14:paraId="11B1F8B2" w14:textId="77777777" w:rsidR="0018273E" w:rsidRPr="00662392" w:rsidRDefault="0018273E" w:rsidP="00194415">
      <w:pPr>
        <w:widowControl/>
        <w:rPr>
          <w:sz w:val="22"/>
          <w:szCs w:val="22"/>
        </w:rPr>
      </w:pPr>
    </w:p>
    <w:p w14:paraId="739E7ECE" w14:textId="12EE398C" w:rsidR="0018273E" w:rsidRPr="00662392" w:rsidRDefault="0018273E" w:rsidP="00194415">
      <w:pPr>
        <w:widowControl/>
        <w:rPr>
          <w:sz w:val="22"/>
          <w:szCs w:val="22"/>
        </w:rPr>
      </w:pPr>
      <w:r w:rsidRPr="00662392">
        <w:rPr>
          <w:sz w:val="22"/>
          <w:szCs w:val="22"/>
          <w:u w:val="single"/>
        </w:rPr>
        <w:t>Example 3:</w:t>
      </w:r>
      <w:r w:rsidRPr="00662392">
        <w:rPr>
          <w:sz w:val="22"/>
          <w:szCs w:val="22"/>
        </w:rPr>
        <w:t xml:space="preserve"> </w:t>
      </w:r>
      <w:r w:rsidR="00E33D1B">
        <w:rPr>
          <w:sz w:val="22"/>
          <w:szCs w:val="22"/>
        </w:rPr>
        <w:t xml:space="preserve"> </w:t>
      </w:r>
      <w:r w:rsidRPr="00662392">
        <w:rPr>
          <w:sz w:val="22"/>
          <w:szCs w:val="22"/>
        </w:rPr>
        <w:t xml:space="preserve">The calculated consequences of an FHA are 25 </w:t>
      </w:r>
      <w:proofErr w:type="gramStart"/>
      <w:r w:rsidRPr="00662392">
        <w:rPr>
          <w:sz w:val="22"/>
          <w:szCs w:val="22"/>
        </w:rPr>
        <w:t>rem</w:t>
      </w:r>
      <w:proofErr w:type="gramEnd"/>
      <w:r w:rsidRPr="00662392">
        <w:rPr>
          <w:sz w:val="22"/>
          <w:szCs w:val="22"/>
        </w:rPr>
        <w:t xml:space="preserve"> to the thyroid at the exclusion area boundary.  Because of a proposed change in the facility, the calculated thyroid consequences increase to 65 rem.  For this case, the revised calculated consequences are still less than the SRP acceptance guidelines of 75 </w:t>
      </w:r>
      <w:proofErr w:type="gramStart"/>
      <w:r w:rsidRPr="00662392">
        <w:rPr>
          <w:sz w:val="22"/>
          <w:szCs w:val="22"/>
        </w:rPr>
        <w:t>rem</w:t>
      </w:r>
      <w:proofErr w:type="gramEnd"/>
      <w:r w:rsidRPr="00662392">
        <w:rPr>
          <w:sz w:val="22"/>
          <w:szCs w:val="22"/>
        </w:rPr>
        <w:t>; however, the incremental increase in consequences (40 rem) exceeds the 10 percent of the difference to the regulatory limit of 300 rem (which would be 27.5 rem).  For this example, the change results in more than a minimal increase in consequences and requires NRC approval pursuant to 10 CFR 50.59(c)(2)(iii).</w:t>
      </w:r>
    </w:p>
    <w:p w14:paraId="2273A33E" w14:textId="77777777" w:rsidR="0018273E" w:rsidRPr="00662392" w:rsidRDefault="0018273E" w:rsidP="00194415">
      <w:pPr>
        <w:widowControl/>
        <w:rPr>
          <w:sz w:val="22"/>
          <w:szCs w:val="22"/>
        </w:rPr>
      </w:pPr>
    </w:p>
    <w:p w14:paraId="7D7C607E" w14:textId="77777777" w:rsidR="000E0ACD" w:rsidRDefault="0018273E" w:rsidP="00194415">
      <w:pPr>
        <w:widowControl/>
        <w:rPr>
          <w:sz w:val="22"/>
          <w:szCs w:val="22"/>
        </w:rPr>
      </w:pPr>
      <w:r w:rsidRPr="00662392">
        <w:rPr>
          <w:sz w:val="22"/>
          <w:szCs w:val="22"/>
          <w:u w:val="single"/>
        </w:rPr>
        <w:t>Example 4</w:t>
      </w:r>
      <w:r w:rsidRPr="00662392">
        <w:rPr>
          <w:sz w:val="22"/>
          <w:szCs w:val="22"/>
        </w:rPr>
        <w:t xml:space="preserve">: </w:t>
      </w:r>
      <w:r w:rsidR="00E33D1B">
        <w:rPr>
          <w:sz w:val="22"/>
          <w:szCs w:val="22"/>
        </w:rPr>
        <w:t xml:space="preserve"> </w:t>
      </w:r>
      <w:r w:rsidRPr="00662392">
        <w:rPr>
          <w:sz w:val="22"/>
          <w:szCs w:val="22"/>
        </w:rPr>
        <w:t xml:space="preserve">The calculated dose to the control room operators following a loss of coolant accident is 4 rem whole body.  A change is made to the control room ventilation system such that the calculated dose increases to 4.5 rem.  The regulations dictate that the control room doses are to be controlled to less than 5 </w:t>
      </w:r>
      <w:proofErr w:type="gramStart"/>
      <w:r w:rsidRPr="00662392">
        <w:rPr>
          <w:sz w:val="22"/>
          <w:szCs w:val="22"/>
        </w:rPr>
        <w:t>rem</w:t>
      </w:r>
      <w:proofErr w:type="gramEnd"/>
      <w:r w:rsidRPr="00662392">
        <w:rPr>
          <w:sz w:val="22"/>
          <w:szCs w:val="22"/>
        </w:rPr>
        <w:t xml:space="preserve"> by GDC 19.  Although the new calculated doses are less than the regulatory limits for the operators, the incremental increase in dose (0.5 rem) exceeds the value of 10 percent of the difference between the previously calculated value and the regulatory value (10% of 1 rem = 0.1 rem).  This change requires prior NRC review before the licensee implements the change.</w:t>
      </w:r>
    </w:p>
    <w:p w14:paraId="2C1035D8" w14:textId="77777777" w:rsidR="00C1473C" w:rsidRDefault="00C1473C" w:rsidP="00194415">
      <w:pPr>
        <w:widowControl/>
        <w:rPr>
          <w:sz w:val="22"/>
          <w:szCs w:val="22"/>
        </w:rPr>
      </w:pPr>
    </w:p>
    <w:p w14:paraId="5D3AC121" w14:textId="77777777" w:rsidR="00C1473C" w:rsidRDefault="0018273E" w:rsidP="00194415">
      <w:pPr>
        <w:rPr>
          <w:sz w:val="22"/>
          <w:szCs w:val="22"/>
        </w:rPr>
        <w:sectPr w:rsidR="00C1473C" w:rsidSect="00012998">
          <w:footerReference w:type="default" r:id="rId36"/>
          <w:pgSz w:w="12240" w:h="15840" w:code="1"/>
          <w:pgMar w:top="1440" w:right="1440" w:bottom="1440" w:left="1440" w:header="720" w:footer="720" w:gutter="0"/>
          <w:cols w:space="720"/>
          <w:noEndnote/>
          <w:docGrid w:linePitch="326"/>
        </w:sectPr>
      </w:pPr>
      <w:r w:rsidRPr="00662392">
        <w:rPr>
          <w:sz w:val="22"/>
          <w:szCs w:val="22"/>
        </w:rPr>
        <w:t>Typically, differences of about 0.1 rem are consistent with the “minimal” concept and are viewed to be within the error or uncertainty of design basis-type radiological consequences analysis such that NRC review of such changes is not needed</w:t>
      </w:r>
      <w:r w:rsidR="00730686" w:rsidRPr="00662392">
        <w:rPr>
          <w:sz w:val="22"/>
          <w:szCs w:val="22"/>
        </w:rPr>
        <w:t>.</w:t>
      </w:r>
      <w:r w:rsidRPr="00662392">
        <w:rPr>
          <w:sz w:val="22"/>
          <w:szCs w:val="22"/>
        </w:rPr>
        <w:t xml:space="preserve"> </w:t>
      </w:r>
      <w:r w:rsidR="00031582" w:rsidRPr="00662392">
        <w:rPr>
          <w:sz w:val="22"/>
          <w:szCs w:val="22"/>
        </w:rPr>
        <w:t>B</w:t>
      </w:r>
      <w:r w:rsidRPr="00662392">
        <w:rPr>
          <w:sz w:val="22"/>
          <w:szCs w:val="22"/>
        </w:rPr>
        <w:t xml:space="preserve">elow is an example </w:t>
      </w:r>
      <w:r w:rsidR="00031582" w:rsidRPr="00662392">
        <w:rPr>
          <w:sz w:val="22"/>
          <w:szCs w:val="22"/>
        </w:rPr>
        <w:t>of the "calculational error" concept</w:t>
      </w:r>
      <w:r w:rsidR="00180B7F" w:rsidRPr="00662392">
        <w:rPr>
          <w:sz w:val="22"/>
          <w:szCs w:val="22"/>
        </w:rPr>
        <w:t>.</w:t>
      </w:r>
    </w:p>
    <w:p w14:paraId="429D3135" w14:textId="77777777" w:rsidR="0018273E" w:rsidRPr="00662392" w:rsidRDefault="0018273E" w:rsidP="00194415">
      <w:pPr>
        <w:rPr>
          <w:sz w:val="22"/>
          <w:szCs w:val="22"/>
        </w:rPr>
      </w:pPr>
    </w:p>
    <w:p w14:paraId="2375A8E1" w14:textId="3A804975" w:rsidR="0018273E" w:rsidRPr="00662392" w:rsidRDefault="0018273E" w:rsidP="00194415">
      <w:pPr>
        <w:rPr>
          <w:sz w:val="22"/>
          <w:szCs w:val="22"/>
        </w:rPr>
      </w:pPr>
      <w:r w:rsidRPr="00662392">
        <w:rPr>
          <w:sz w:val="22"/>
          <w:szCs w:val="22"/>
          <w:u w:val="single"/>
        </w:rPr>
        <w:t>Example 5</w:t>
      </w:r>
      <w:r w:rsidRPr="00662392">
        <w:rPr>
          <w:sz w:val="22"/>
          <w:szCs w:val="22"/>
        </w:rPr>
        <w:t xml:space="preserve">: </w:t>
      </w:r>
      <w:r w:rsidR="00E33D1B">
        <w:rPr>
          <w:sz w:val="22"/>
          <w:szCs w:val="22"/>
        </w:rPr>
        <w:t xml:space="preserve"> </w:t>
      </w:r>
      <w:r w:rsidRPr="00662392">
        <w:rPr>
          <w:sz w:val="22"/>
          <w:szCs w:val="22"/>
        </w:rPr>
        <w:t>Suppose the existing approved analysis for an FHA at a plant predicts an offsite dose to the thyroid of 77 rem.  The SRP acceptance guideline for this event is 75 rem.  The change that a licensee wishes to make predicts an increase in the calculated dose from 77 to 77.1 rem.  In this case, the proposed change can be made under 10 CFR 50.59 because the calculated value, even though greater than the SRP value, is satisfied within the level of uncertainty specified above.  However, for this example, increases in consequences that</w:t>
      </w:r>
      <w:r w:rsidR="007E4A0F" w:rsidRPr="00662392">
        <w:rPr>
          <w:sz w:val="22"/>
          <w:szCs w:val="22"/>
        </w:rPr>
        <w:t xml:space="preserve"> would</w:t>
      </w:r>
      <w:r w:rsidRPr="00662392">
        <w:rPr>
          <w:sz w:val="22"/>
          <w:szCs w:val="22"/>
        </w:rPr>
        <w:t xml:space="preserve"> increase the calculated consequences to 77.2 rem </w:t>
      </w:r>
      <w:r w:rsidR="002548EA" w:rsidRPr="00662392">
        <w:rPr>
          <w:sz w:val="22"/>
          <w:szCs w:val="22"/>
        </w:rPr>
        <w:t xml:space="preserve">would </w:t>
      </w:r>
      <w:r w:rsidRPr="00662392">
        <w:rPr>
          <w:sz w:val="22"/>
          <w:szCs w:val="22"/>
        </w:rPr>
        <w:t>require prior NRC review before the specific change is implemented.</w:t>
      </w:r>
    </w:p>
    <w:p w14:paraId="73DC856B" w14:textId="77777777" w:rsidR="0018273E" w:rsidRPr="00662392" w:rsidRDefault="0018273E" w:rsidP="00194415">
      <w:pPr>
        <w:rPr>
          <w:sz w:val="22"/>
          <w:szCs w:val="22"/>
        </w:rPr>
      </w:pPr>
    </w:p>
    <w:p w14:paraId="6DF75739" w14:textId="012CC4F6" w:rsidR="0018273E" w:rsidRPr="00662392" w:rsidRDefault="0018273E" w:rsidP="00194415">
      <w:pPr>
        <w:rPr>
          <w:sz w:val="22"/>
          <w:szCs w:val="22"/>
          <w:u w:val="single"/>
        </w:rPr>
      </w:pPr>
      <w:r w:rsidRPr="00662392">
        <w:rPr>
          <w:sz w:val="22"/>
          <w:szCs w:val="22"/>
        </w:rPr>
        <w:t>06.1</w:t>
      </w:r>
      <w:r w:rsidR="00023E73" w:rsidRPr="00662392">
        <w:rPr>
          <w:sz w:val="22"/>
          <w:szCs w:val="22"/>
        </w:rPr>
        <w:t>8</w:t>
      </w:r>
      <w:r w:rsidRPr="00662392">
        <w:rPr>
          <w:sz w:val="22"/>
          <w:szCs w:val="22"/>
        </w:rPr>
        <w:tab/>
      </w:r>
      <w:r w:rsidR="00FA3313" w:rsidRPr="00662392">
        <w:rPr>
          <w:sz w:val="22"/>
          <w:szCs w:val="22"/>
          <w:u w:val="single"/>
        </w:rPr>
        <w:t xml:space="preserve">Review Licensee Evaluation of Criterion </w:t>
      </w:r>
      <w:r w:rsidR="003B5FC2" w:rsidRPr="00662392">
        <w:rPr>
          <w:sz w:val="22"/>
          <w:szCs w:val="22"/>
          <w:u w:val="single"/>
        </w:rPr>
        <w:t>(c)(2)(v)</w:t>
      </w:r>
      <w:r w:rsidR="00F40C0C" w:rsidRPr="00662392">
        <w:rPr>
          <w:sz w:val="22"/>
          <w:szCs w:val="22"/>
          <w:u w:val="single"/>
        </w:rPr>
        <w:fldChar w:fldCharType="begin"/>
      </w:r>
      <w:r w:rsidR="00F40C0C" w:rsidRPr="00662392">
        <w:rPr>
          <w:sz w:val="22"/>
          <w:szCs w:val="22"/>
        </w:rPr>
        <w:instrText xml:space="preserve"> TC "</w:instrText>
      </w:r>
      <w:bookmarkStart w:id="81" w:name="_Toc62642909"/>
      <w:bookmarkStart w:id="82" w:name="_Toc63142091"/>
      <w:r w:rsidR="00F40C0C" w:rsidRPr="00662392">
        <w:rPr>
          <w:sz w:val="22"/>
          <w:szCs w:val="22"/>
        </w:rPr>
        <w:instrText>06.18</w:instrText>
      </w:r>
      <w:r w:rsidR="00F40C0C" w:rsidRPr="00662392">
        <w:rPr>
          <w:sz w:val="22"/>
          <w:szCs w:val="22"/>
        </w:rPr>
        <w:tab/>
      </w:r>
      <w:r w:rsidR="00F40C0C" w:rsidRPr="00662392">
        <w:rPr>
          <w:sz w:val="22"/>
          <w:szCs w:val="22"/>
          <w:u w:val="single"/>
        </w:rPr>
        <w:instrText>Review Licensee Evaluation of Criterion (c)(2)(v)</w:instrText>
      </w:r>
      <w:bookmarkEnd w:id="81"/>
      <w:bookmarkEnd w:id="82"/>
      <w:r w:rsidR="00F40C0C" w:rsidRPr="00662392">
        <w:rPr>
          <w:sz w:val="22"/>
          <w:szCs w:val="22"/>
        </w:rPr>
        <w:instrText xml:space="preserve">" \f C \l "2" </w:instrText>
      </w:r>
      <w:r w:rsidR="00F40C0C" w:rsidRPr="00662392">
        <w:rPr>
          <w:sz w:val="22"/>
          <w:szCs w:val="22"/>
          <w:u w:val="single"/>
        </w:rPr>
        <w:fldChar w:fldCharType="end"/>
      </w:r>
    </w:p>
    <w:p w14:paraId="44DA2190" w14:textId="77777777" w:rsidR="0018273E" w:rsidRPr="00662392" w:rsidRDefault="0018273E" w:rsidP="00194415">
      <w:pPr>
        <w:rPr>
          <w:color w:val="000000"/>
          <w:sz w:val="22"/>
          <w:szCs w:val="22"/>
        </w:rPr>
      </w:pPr>
    </w:p>
    <w:p w14:paraId="7F4674E3" w14:textId="63329270" w:rsidR="0018273E" w:rsidRPr="00662392" w:rsidRDefault="0018273E" w:rsidP="00194415">
      <w:pPr>
        <w:widowControl/>
        <w:rPr>
          <w:sz w:val="22"/>
          <w:szCs w:val="22"/>
        </w:rPr>
      </w:pPr>
      <w:r w:rsidRPr="00662392">
        <w:rPr>
          <w:sz w:val="22"/>
          <w:szCs w:val="22"/>
        </w:rPr>
        <w:t>10 CFR 50.59(c)(2)(v)</w:t>
      </w:r>
      <w:r w:rsidR="003B5FC2" w:rsidRPr="00662392">
        <w:rPr>
          <w:sz w:val="22"/>
          <w:szCs w:val="22"/>
        </w:rPr>
        <w:t xml:space="preserve"> focuses on whether</w:t>
      </w:r>
      <w:r w:rsidRPr="00662392">
        <w:rPr>
          <w:sz w:val="22"/>
          <w:szCs w:val="22"/>
        </w:rPr>
        <w:t xml:space="preserve"> the CTE </w:t>
      </w:r>
      <w:bookmarkStart w:id="83" w:name="_Hlk48044383"/>
      <w:r w:rsidR="00A0391C" w:rsidRPr="00662392">
        <w:rPr>
          <w:sz w:val="22"/>
          <w:szCs w:val="22"/>
        </w:rPr>
        <w:t xml:space="preserve">would </w:t>
      </w:r>
      <w:r w:rsidRPr="00662392">
        <w:rPr>
          <w:sz w:val="22"/>
          <w:szCs w:val="22"/>
        </w:rPr>
        <w:t xml:space="preserve">create a possibility for an </w:t>
      </w:r>
      <w:bookmarkEnd w:id="83"/>
      <w:r w:rsidRPr="00662392">
        <w:rPr>
          <w:sz w:val="22"/>
          <w:szCs w:val="22"/>
        </w:rPr>
        <w:t xml:space="preserve">accident of a different type than any previously evaluated in the UFSAR.  </w:t>
      </w:r>
    </w:p>
    <w:p w14:paraId="4CFF3807" w14:textId="77777777" w:rsidR="0018273E" w:rsidRPr="00662392" w:rsidRDefault="0018273E" w:rsidP="00194415">
      <w:pPr>
        <w:widowControl/>
        <w:rPr>
          <w:sz w:val="22"/>
          <w:szCs w:val="22"/>
        </w:rPr>
      </w:pPr>
    </w:p>
    <w:p w14:paraId="26802E13" w14:textId="77777777" w:rsidR="00642C37" w:rsidRPr="00662392" w:rsidRDefault="0018273E" w:rsidP="00194415">
      <w:pPr>
        <w:widowControl/>
        <w:rPr>
          <w:sz w:val="22"/>
          <w:szCs w:val="22"/>
        </w:rPr>
      </w:pPr>
      <w:r w:rsidRPr="00662392">
        <w:rPr>
          <w:sz w:val="22"/>
          <w:szCs w:val="22"/>
        </w:rPr>
        <w:t>Inspectors should recognize that the SOCs for 10 CFR 50.59 state that a</w:t>
      </w:r>
      <w:r w:rsidRPr="00662392">
        <w:rPr>
          <w:sz w:val="22"/>
          <w:szCs w:val="22"/>
          <w:u w:val="single"/>
        </w:rPr>
        <w:t xml:space="preserve"> licensee does not have to prove that an accident had not been created</w:t>
      </w:r>
      <w:r w:rsidR="00450C94" w:rsidRPr="00662392">
        <w:rPr>
          <w:sz w:val="22"/>
          <w:szCs w:val="22"/>
        </w:rPr>
        <w:t>;</w:t>
      </w:r>
      <w:r w:rsidRPr="00662392">
        <w:rPr>
          <w:sz w:val="22"/>
          <w:szCs w:val="22"/>
        </w:rPr>
        <w:t xml:space="preserve"> rather</w:t>
      </w:r>
      <w:r w:rsidR="00450C94" w:rsidRPr="00662392">
        <w:rPr>
          <w:sz w:val="22"/>
          <w:szCs w:val="22"/>
        </w:rPr>
        <w:t>,</w:t>
      </w:r>
      <w:r w:rsidRPr="00662392">
        <w:rPr>
          <w:sz w:val="22"/>
          <w:szCs w:val="22"/>
        </w:rPr>
        <w:t xml:space="preserve"> a licensee needs to request a license amendment only if it </w:t>
      </w:r>
      <w:r w:rsidR="004441B8" w:rsidRPr="00662392">
        <w:rPr>
          <w:sz w:val="22"/>
          <w:szCs w:val="22"/>
        </w:rPr>
        <w:t>could be</w:t>
      </w:r>
      <w:r w:rsidRPr="00662392">
        <w:rPr>
          <w:sz w:val="22"/>
          <w:szCs w:val="22"/>
        </w:rPr>
        <w:t xml:space="preserve"> reasonably concluded that the possibility of an accident of a different type is created by the proposed CTE.</w:t>
      </w:r>
    </w:p>
    <w:p w14:paraId="6DEF6BBA" w14:textId="77777777" w:rsidR="00642C37" w:rsidRPr="00662392" w:rsidRDefault="00642C37" w:rsidP="00194415">
      <w:pPr>
        <w:widowControl/>
        <w:rPr>
          <w:sz w:val="22"/>
          <w:szCs w:val="22"/>
        </w:rPr>
      </w:pPr>
    </w:p>
    <w:p w14:paraId="5BFBD8A8" w14:textId="1504A646" w:rsidR="0018273E" w:rsidRPr="00662392" w:rsidRDefault="0018273E" w:rsidP="00194415">
      <w:pPr>
        <w:widowControl/>
        <w:rPr>
          <w:sz w:val="22"/>
          <w:szCs w:val="22"/>
        </w:rPr>
      </w:pPr>
      <w:r w:rsidRPr="00662392">
        <w:rPr>
          <w:sz w:val="22"/>
          <w:szCs w:val="22"/>
        </w:rPr>
        <w:t>The accident must be credible in the sense of having been created within the range of assumptions previously considered (e.g., random single failure, loss of offsite power, no reliance on non-safety-grade equipment, etc.), and that a new initiator of the same accident is not a “different type” (but may affect the frequency of that accident under 10 CFR 50.59(c)(2)(</w:t>
      </w:r>
      <w:proofErr w:type="spellStart"/>
      <w:r w:rsidRPr="00662392">
        <w:rPr>
          <w:sz w:val="22"/>
          <w:szCs w:val="22"/>
        </w:rPr>
        <w:t>i</w:t>
      </w:r>
      <w:proofErr w:type="spellEnd"/>
      <w:r w:rsidRPr="00662392">
        <w:rPr>
          <w:sz w:val="22"/>
          <w:szCs w:val="22"/>
        </w:rPr>
        <w:t>)).</w:t>
      </w:r>
    </w:p>
    <w:p w14:paraId="67B385B0" w14:textId="77777777" w:rsidR="0018273E" w:rsidRPr="00662392" w:rsidRDefault="0018273E" w:rsidP="00194415">
      <w:pPr>
        <w:widowControl/>
        <w:rPr>
          <w:sz w:val="22"/>
          <w:szCs w:val="22"/>
        </w:rPr>
      </w:pPr>
    </w:p>
    <w:p w14:paraId="6D1C96EA" w14:textId="0D399E80" w:rsidR="0018273E" w:rsidRPr="00662392" w:rsidRDefault="0018273E" w:rsidP="00194415">
      <w:pPr>
        <w:widowControl/>
        <w:rPr>
          <w:sz w:val="22"/>
          <w:szCs w:val="22"/>
        </w:rPr>
      </w:pPr>
      <w:r w:rsidRPr="00662392">
        <w:rPr>
          <w:sz w:val="22"/>
          <w:szCs w:val="22"/>
        </w:rPr>
        <w:t xml:space="preserve">Licensees are responsible for </w:t>
      </w:r>
      <w:r w:rsidR="008D0255" w:rsidRPr="00662392">
        <w:rPr>
          <w:sz w:val="22"/>
          <w:szCs w:val="22"/>
        </w:rPr>
        <w:t xml:space="preserve">evaluating </w:t>
      </w:r>
      <w:r w:rsidR="009D04C9" w:rsidRPr="00662392">
        <w:rPr>
          <w:sz w:val="22"/>
          <w:szCs w:val="22"/>
        </w:rPr>
        <w:t>whether</w:t>
      </w:r>
      <w:r w:rsidRPr="00662392">
        <w:rPr>
          <w:sz w:val="22"/>
          <w:szCs w:val="22"/>
        </w:rPr>
        <w:t xml:space="preserve"> the CTE creates an accident of a different type.  However, inspectors should be aware </w:t>
      </w:r>
      <w:r w:rsidR="000651ED" w:rsidRPr="00662392">
        <w:rPr>
          <w:sz w:val="22"/>
          <w:szCs w:val="22"/>
        </w:rPr>
        <w:t>of the following</w:t>
      </w:r>
      <w:r w:rsidRPr="00662392">
        <w:rPr>
          <w:sz w:val="22"/>
          <w:szCs w:val="22"/>
        </w:rPr>
        <w:t xml:space="preserve"> useful considerations</w:t>
      </w:r>
      <w:r w:rsidR="00B157E0" w:rsidRPr="00662392">
        <w:rPr>
          <w:sz w:val="22"/>
          <w:szCs w:val="22"/>
        </w:rPr>
        <w:t xml:space="preserve"> when reviewing a licensee 50.59 evaluation of criterion (v)</w:t>
      </w:r>
      <w:r w:rsidRPr="00662392">
        <w:rPr>
          <w:sz w:val="22"/>
          <w:szCs w:val="22"/>
        </w:rPr>
        <w:t>:</w:t>
      </w:r>
    </w:p>
    <w:p w14:paraId="7CD67103" w14:textId="77777777" w:rsidR="0018273E" w:rsidRPr="00662392" w:rsidRDefault="0018273E" w:rsidP="00194415">
      <w:pPr>
        <w:widowControl/>
        <w:rPr>
          <w:sz w:val="22"/>
          <w:szCs w:val="22"/>
        </w:rPr>
      </w:pPr>
    </w:p>
    <w:p w14:paraId="49BA7068" w14:textId="77777777" w:rsidR="0018273E" w:rsidRPr="00662392" w:rsidRDefault="0018273E" w:rsidP="00194415">
      <w:pPr>
        <w:pStyle w:val="ListParagraph"/>
        <w:numPr>
          <w:ilvl w:val="0"/>
          <w:numId w:val="15"/>
        </w:numPr>
        <w:rPr>
          <w:rFonts w:ascii="Arial" w:hAnsi="Arial" w:cs="Arial"/>
          <w:sz w:val="22"/>
          <w:szCs w:val="22"/>
        </w:rPr>
      </w:pPr>
      <w:r w:rsidRPr="00662392">
        <w:rPr>
          <w:rFonts w:ascii="Arial" w:hAnsi="Arial" w:cs="Arial"/>
          <w:sz w:val="22"/>
          <w:szCs w:val="22"/>
        </w:rPr>
        <w:t>Does the accident result in a new or greater release path than originally considered?</w:t>
      </w:r>
    </w:p>
    <w:p w14:paraId="10772A6A" w14:textId="77777777" w:rsidR="0018273E" w:rsidRPr="00662392" w:rsidRDefault="0018273E" w:rsidP="00194415">
      <w:pPr>
        <w:pStyle w:val="ListParagraph"/>
        <w:numPr>
          <w:ilvl w:val="0"/>
          <w:numId w:val="15"/>
        </w:numPr>
        <w:rPr>
          <w:rFonts w:ascii="Arial" w:hAnsi="Arial" w:cs="Arial"/>
          <w:sz w:val="22"/>
          <w:szCs w:val="22"/>
        </w:rPr>
      </w:pPr>
      <w:r w:rsidRPr="00662392">
        <w:rPr>
          <w:rFonts w:ascii="Arial" w:hAnsi="Arial" w:cs="Arial"/>
          <w:sz w:val="22"/>
          <w:szCs w:val="22"/>
        </w:rPr>
        <w:t>Does the accident result in a new fission product barrier failure mode?</w:t>
      </w:r>
    </w:p>
    <w:p w14:paraId="46A2D5D0" w14:textId="77777777" w:rsidR="0018273E" w:rsidRPr="00662392" w:rsidRDefault="0018273E" w:rsidP="00194415">
      <w:pPr>
        <w:pStyle w:val="ListParagraph"/>
        <w:numPr>
          <w:ilvl w:val="0"/>
          <w:numId w:val="15"/>
        </w:numPr>
        <w:rPr>
          <w:rFonts w:ascii="Arial" w:hAnsi="Arial" w:cs="Arial"/>
          <w:sz w:val="22"/>
          <w:szCs w:val="22"/>
        </w:rPr>
      </w:pPr>
      <w:r w:rsidRPr="00662392">
        <w:rPr>
          <w:rFonts w:ascii="Arial" w:hAnsi="Arial" w:cs="Arial"/>
          <w:sz w:val="22"/>
          <w:szCs w:val="22"/>
        </w:rPr>
        <w:t>Does the accident create a new sequence of events that results in significant cladding failure?</w:t>
      </w:r>
    </w:p>
    <w:p w14:paraId="6FF153F7" w14:textId="77777777" w:rsidR="0018273E" w:rsidRPr="00662392" w:rsidRDefault="0018273E" w:rsidP="00194415">
      <w:pPr>
        <w:pStyle w:val="ListParagraph"/>
        <w:numPr>
          <w:ilvl w:val="0"/>
          <w:numId w:val="15"/>
        </w:numPr>
        <w:rPr>
          <w:rFonts w:ascii="Arial" w:hAnsi="Arial" w:cs="Arial"/>
          <w:sz w:val="22"/>
          <w:szCs w:val="22"/>
        </w:rPr>
      </w:pPr>
      <w:r w:rsidRPr="00662392">
        <w:rPr>
          <w:rFonts w:ascii="Arial" w:hAnsi="Arial" w:cs="Arial"/>
          <w:sz w:val="22"/>
          <w:szCs w:val="22"/>
        </w:rPr>
        <w:t>Would the accident be included if the UFSAR were being written today?</w:t>
      </w:r>
    </w:p>
    <w:p w14:paraId="182F2EE8" w14:textId="77777777" w:rsidR="0018273E" w:rsidRPr="00662392" w:rsidRDefault="0018273E" w:rsidP="00194415">
      <w:pPr>
        <w:widowControl/>
        <w:rPr>
          <w:sz w:val="22"/>
          <w:szCs w:val="22"/>
        </w:rPr>
      </w:pPr>
    </w:p>
    <w:p w14:paraId="27EAF89C" w14:textId="77777777" w:rsidR="000E0ACD" w:rsidRDefault="0018273E" w:rsidP="00194415">
      <w:pPr>
        <w:widowControl/>
        <w:rPr>
          <w:sz w:val="22"/>
          <w:szCs w:val="22"/>
        </w:rPr>
      </w:pPr>
      <w:r w:rsidRPr="00662392">
        <w:rPr>
          <w:sz w:val="22"/>
          <w:szCs w:val="22"/>
        </w:rPr>
        <w:t xml:space="preserve">As stated in </w:t>
      </w:r>
      <w:r w:rsidR="00ED01BA" w:rsidRPr="00662392">
        <w:rPr>
          <w:sz w:val="22"/>
          <w:szCs w:val="22"/>
        </w:rPr>
        <w:t>NEI 96-07, Revision 1,</w:t>
      </w:r>
      <w:r w:rsidRPr="00662392">
        <w:rPr>
          <w:sz w:val="22"/>
          <w:szCs w:val="22"/>
        </w:rPr>
        <w:t xml:space="preserve"> certain accidents are not discussed in the UFSAR because their effects are bounded by other related events that are analyzed.  For example, a postulated pipe break in a small line may not be specifically evaluated in the UFSAR because it has been determined to be less limiting than a pipe break in a larger line in the same area.  Therefore, if a CTE introduces a small high energy line break into this area and a larger high energy line break into this area is already analyzed in the UFSAR</w:t>
      </w:r>
      <w:r w:rsidR="00BD2216" w:rsidRPr="00662392">
        <w:rPr>
          <w:sz w:val="22"/>
          <w:szCs w:val="22"/>
        </w:rPr>
        <w:t>,</w:t>
      </w:r>
      <w:r w:rsidRPr="00662392">
        <w:rPr>
          <w:sz w:val="22"/>
          <w:szCs w:val="22"/>
        </w:rPr>
        <w:t xml:space="preserve"> then postulated breaks in the smaller line are not considered an accident of a different type.</w:t>
      </w:r>
    </w:p>
    <w:p w14:paraId="30212146" w14:textId="77777777" w:rsidR="00C1473C" w:rsidRDefault="00C1473C" w:rsidP="00194415">
      <w:pPr>
        <w:widowControl/>
        <w:rPr>
          <w:sz w:val="22"/>
          <w:szCs w:val="22"/>
        </w:rPr>
      </w:pPr>
    </w:p>
    <w:p w14:paraId="6E6D6503" w14:textId="6406844E" w:rsidR="0018273E" w:rsidRPr="00662392" w:rsidRDefault="0018273E" w:rsidP="00194415">
      <w:pPr>
        <w:rPr>
          <w:sz w:val="22"/>
          <w:szCs w:val="22"/>
        </w:rPr>
      </w:pPr>
      <w:r w:rsidRPr="00662392">
        <w:rPr>
          <w:sz w:val="22"/>
          <w:szCs w:val="22"/>
        </w:rPr>
        <w:t>06.1</w:t>
      </w:r>
      <w:r w:rsidR="00023E73" w:rsidRPr="00662392">
        <w:rPr>
          <w:sz w:val="22"/>
          <w:szCs w:val="22"/>
        </w:rPr>
        <w:t>9</w:t>
      </w:r>
      <w:r w:rsidRPr="00662392">
        <w:rPr>
          <w:sz w:val="22"/>
          <w:szCs w:val="22"/>
        </w:rPr>
        <w:tab/>
      </w:r>
      <w:r w:rsidR="00F40C0C" w:rsidRPr="00662392">
        <w:rPr>
          <w:sz w:val="22"/>
          <w:szCs w:val="22"/>
          <w:u w:val="single"/>
        </w:rPr>
        <w:t xml:space="preserve">Review Licensee Evaluation of Criterion </w:t>
      </w:r>
      <w:r w:rsidR="00DC6CCA" w:rsidRPr="00662392">
        <w:rPr>
          <w:sz w:val="22"/>
          <w:szCs w:val="22"/>
          <w:u w:val="single"/>
        </w:rPr>
        <w:t>(c)(2)(vi)</w:t>
      </w:r>
      <w:r w:rsidR="00F40C0C" w:rsidRPr="00662392">
        <w:rPr>
          <w:sz w:val="22"/>
          <w:szCs w:val="22"/>
          <w:u w:val="single"/>
        </w:rPr>
        <w:fldChar w:fldCharType="begin"/>
      </w:r>
      <w:r w:rsidR="00F40C0C" w:rsidRPr="00662392">
        <w:rPr>
          <w:sz w:val="22"/>
          <w:szCs w:val="22"/>
        </w:rPr>
        <w:instrText xml:space="preserve"> TC "</w:instrText>
      </w:r>
      <w:bookmarkStart w:id="84" w:name="_Toc62642910"/>
      <w:bookmarkStart w:id="85" w:name="_Toc63142092"/>
      <w:r w:rsidR="00F40C0C" w:rsidRPr="00662392">
        <w:rPr>
          <w:sz w:val="22"/>
          <w:szCs w:val="22"/>
        </w:rPr>
        <w:instrText>06.19</w:instrText>
      </w:r>
      <w:r w:rsidR="00F40C0C" w:rsidRPr="00662392">
        <w:rPr>
          <w:sz w:val="22"/>
          <w:szCs w:val="22"/>
        </w:rPr>
        <w:tab/>
      </w:r>
      <w:r w:rsidR="00F40C0C" w:rsidRPr="00662392">
        <w:rPr>
          <w:sz w:val="22"/>
          <w:szCs w:val="22"/>
          <w:u w:val="single"/>
        </w:rPr>
        <w:instrText>Review Licensee Evaluation of Criterion (c)(2)(vi)</w:instrText>
      </w:r>
      <w:bookmarkEnd w:id="84"/>
      <w:bookmarkEnd w:id="85"/>
      <w:r w:rsidR="00F40C0C" w:rsidRPr="00662392">
        <w:rPr>
          <w:sz w:val="22"/>
          <w:szCs w:val="22"/>
        </w:rPr>
        <w:instrText xml:space="preserve">" \f C \l "2" </w:instrText>
      </w:r>
      <w:r w:rsidR="00F40C0C" w:rsidRPr="00662392">
        <w:rPr>
          <w:sz w:val="22"/>
          <w:szCs w:val="22"/>
          <w:u w:val="single"/>
        </w:rPr>
        <w:fldChar w:fldCharType="end"/>
      </w:r>
    </w:p>
    <w:p w14:paraId="75C91B5F" w14:textId="77777777" w:rsidR="0018273E" w:rsidRPr="00662392" w:rsidRDefault="0018273E" w:rsidP="00194415">
      <w:pPr>
        <w:rPr>
          <w:sz w:val="22"/>
          <w:szCs w:val="22"/>
        </w:rPr>
      </w:pPr>
    </w:p>
    <w:p w14:paraId="0744D964" w14:textId="77777777" w:rsidR="00C1473C" w:rsidRDefault="0018273E" w:rsidP="00194415">
      <w:pPr>
        <w:widowControl/>
        <w:rPr>
          <w:sz w:val="22"/>
          <w:szCs w:val="22"/>
        </w:rPr>
        <w:sectPr w:rsidR="00C1473C" w:rsidSect="00012998">
          <w:footerReference w:type="default" r:id="rId37"/>
          <w:pgSz w:w="12240" w:h="15840" w:code="1"/>
          <w:pgMar w:top="1440" w:right="1440" w:bottom="1440" w:left="1440" w:header="720" w:footer="720" w:gutter="0"/>
          <w:cols w:space="720"/>
          <w:noEndnote/>
          <w:docGrid w:linePitch="326"/>
        </w:sectPr>
      </w:pPr>
      <w:bookmarkStart w:id="86" w:name="_Hlk48298272"/>
      <w:bookmarkStart w:id="87" w:name="_Hlk48044637"/>
      <w:r w:rsidRPr="00662392">
        <w:rPr>
          <w:sz w:val="22"/>
          <w:szCs w:val="22"/>
        </w:rPr>
        <w:t>10 CFR 50.59(c)(2)</w:t>
      </w:r>
      <w:bookmarkEnd w:id="86"/>
      <w:r w:rsidRPr="00662392">
        <w:rPr>
          <w:sz w:val="22"/>
          <w:szCs w:val="22"/>
        </w:rPr>
        <w:t>(vi)</w:t>
      </w:r>
      <w:r w:rsidR="00DC6CCA" w:rsidRPr="00662392">
        <w:rPr>
          <w:sz w:val="22"/>
          <w:szCs w:val="22"/>
        </w:rPr>
        <w:t xml:space="preserve"> focuses on whether</w:t>
      </w:r>
      <w:r w:rsidRPr="00662392">
        <w:rPr>
          <w:sz w:val="22"/>
          <w:szCs w:val="22"/>
        </w:rPr>
        <w:t xml:space="preserve"> the CTE</w:t>
      </w:r>
      <w:r w:rsidR="00A26A3E" w:rsidRPr="00662392">
        <w:rPr>
          <w:sz w:val="22"/>
          <w:szCs w:val="22"/>
        </w:rPr>
        <w:t xml:space="preserve"> would</w:t>
      </w:r>
      <w:r w:rsidRPr="00662392">
        <w:rPr>
          <w:sz w:val="22"/>
          <w:szCs w:val="22"/>
        </w:rPr>
        <w:t xml:space="preserve"> </w:t>
      </w:r>
      <w:bookmarkEnd w:id="87"/>
      <w:r w:rsidRPr="00662392">
        <w:rPr>
          <w:sz w:val="22"/>
          <w:szCs w:val="22"/>
        </w:rPr>
        <w:t>create a possibility for a malfunction of an SSC important to safety with a different result than any previously evaluated in the UFSAR.</w:t>
      </w:r>
      <w:bookmarkStart w:id="88" w:name="_Hlk51850335"/>
      <w:r w:rsidRPr="00662392">
        <w:rPr>
          <w:sz w:val="22"/>
          <w:szCs w:val="22"/>
        </w:rPr>
        <w:t xml:space="preserve">  </w:t>
      </w:r>
      <w:r w:rsidR="00554CF3" w:rsidRPr="00662392">
        <w:rPr>
          <w:sz w:val="22"/>
          <w:szCs w:val="22"/>
        </w:rPr>
        <w:t xml:space="preserve">This criterion focuses on the result of the CTE and the licensee’s determination that </w:t>
      </w:r>
    </w:p>
    <w:p w14:paraId="026EADE1" w14:textId="77777777" w:rsidR="00C1473C" w:rsidRDefault="00C1473C" w:rsidP="00194415">
      <w:pPr>
        <w:widowControl/>
        <w:rPr>
          <w:sz w:val="22"/>
          <w:szCs w:val="22"/>
        </w:rPr>
      </w:pPr>
    </w:p>
    <w:p w14:paraId="3F2C124F" w14:textId="775491EA" w:rsidR="0018273E" w:rsidRPr="00662392" w:rsidRDefault="00554CF3" w:rsidP="00194415">
      <w:pPr>
        <w:widowControl/>
        <w:rPr>
          <w:sz w:val="22"/>
          <w:szCs w:val="22"/>
        </w:rPr>
      </w:pPr>
      <w:r w:rsidRPr="00662392">
        <w:rPr>
          <w:sz w:val="22"/>
          <w:szCs w:val="22"/>
        </w:rPr>
        <w:t xml:space="preserve">the possibility has been created rather than the cause/type of malfunction.  </w:t>
      </w:r>
      <w:r w:rsidR="0018273E" w:rsidRPr="00662392">
        <w:rPr>
          <w:sz w:val="22"/>
          <w:szCs w:val="22"/>
        </w:rPr>
        <w:t>See Section 04.1</w:t>
      </w:r>
      <w:r w:rsidR="00AA6C69" w:rsidRPr="00662392">
        <w:rPr>
          <w:sz w:val="22"/>
          <w:szCs w:val="22"/>
        </w:rPr>
        <w:t>6</w:t>
      </w:r>
      <w:r w:rsidR="0018273E" w:rsidRPr="00662392">
        <w:rPr>
          <w:sz w:val="22"/>
          <w:szCs w:val="22"/>
        </w:rPr>
        <w:t xml:space="preserve"> of this IMC for definition of malfunction of SSCs important to safety.  </w:t>
      </w:r>
    </w:p>
    <w:p w14:paraId="18C731D9" w14:textId="77777777" w:rsidR="0018273E" w:rsidRPr="00662392" w:rsidRDefault="0018273E" w:rsidP="00194415">
      <w:pPr>
        <w:widowControl/>
        <w:rPr>
          <w:sz w:val="22"/>
          <w:szCs w:val="22"/>
        </w:rPr>
      </w:pPr>
    </w:p>
    <w:p w14:paraId="22402D9E" w14:textId="250FBF1B" w:rsidR="0018273E" w:rsidRPr="00662392" w:rsidRDefault="0018273E" w:rsidP="00194415">
      <w:pPr>
        <w:rPr>
          <w:sz w:val="22"/>
          <w:szCs w:val="22"/>
        </w:rPr>
      </w:pPr>
      <w:r w:rsidRPr="00662392">
        <w:rPr>
          <w:sz w:val="22"/>
          <w:szCs w:val="22"/>
        </w:rPr>
        <w:t>Inspectors should recognize that</w:t>
      </w:r>
      <w:r w:rsidR="00E20051" w:rsidRPr="00662392">
        <w:rPr>
          <w:sz w:val="22"/>
          <w:szCs w:val="22"/>
        </w:rPr>
        <w:t xml:space="preserve"> </w:t>
      </w:r>
      <w:r w:rsidRPr="00662392">
        <w:rPr>
          <w:sz w:val="22"/>
          <w:szCs w:val="22"/>
        </w:rPr>
        <w:t xml:space="preserve">the </w:t>
      </w:r>
      <w:r w:rsidR="00452C4B" w:rsidRPr="00662392">
        <w:rPr>
          <w:sz w:val="22"/>
          <w:szCs w:val="22"/>
        </w:rPr>
        <w:t xml:space="preserve">proposed rule </w:t>
      </w:r>
      <w:r w:rsidRPr="00662392">
        <w:rPr>
          <w:sz w:val="22"/>
          <w:szCs w:val="22"/>
        </w:rPr>
        <w:t xml:space="preserve">SOCs for 10 CFR 50.59 </w:t>
      </w:r>
      <w:r w:rsidR="00885EDF" w:rsidRPr="00662392">
        <w:rPr>
          <w:sz w:val="22"/>
          <w:szCs w:val="22"/>
        </w:rPr>
        <w:t xml:space="preserve">discussion </w:t>
      </w:r>
      <w:r w:rsidRPr="00662392">
        <w:rPr>
          <w:sz w:val="22"/>
          <w:szCs w:val="22"/>
        </w:rPr>
        <w:t>state</w:t>
      </w:r>
      <w:r w:rsidR="001E4B54" w:rsidRPr="00662392">
        <w:rPr>
          <w:sz w:val="22"/>
          <w:szCs w:val="22"/>
        </w:rPr>
        <w:t>s</w:t>
      </w:r>
      <w:r w:rsidRPr="00662392">
        <w:rPr>
          <w:sz w:val="22"/>
          <w:szCs w:val="22"/>
        </w:rPr>
        <w:t xml:space="preserve"> that the determination for criterion </w:t>
      </w:r>
      <w:r w:rsidR="00E20051" w:rsidRPr="00662392">
        <w:rPr>
          <w:sz w:val="22"/>
          <w:szCs w:val="22"/>
        </w:rPr>
        <w:t xml:space="preserve">(vi) </w:t>
      </w:r>
      <w:r w:rsidRPr="00662392">
        <w:rPr>
          <w:sz w:val="22"/>
          <w:szCs w:val="22"/>
        </w:rPr>
        <w:t xml:space="preserve">is made either at the component level, or consistent with the failure modes and effects analyses, </w:t>
      </w:r>
      <w:proofErr w:type="gramStart"/>
      <w:r w:rsidRPr="00662392">
        <w:rPr>
          <w:sz w:val="22"/>
          <w:szCs w:val="22"/>
        </w:rPr>
        <w:t>taking into account</w:t>
      </w:r>
      <w:proofErr w:type="gramEnd"/>
      <w:r w:rsidRPr="00662392">
        <w:rPr>
          <w:sz w:val="22"/>
          <w:szCs w:val="22"/>
        </w:rPr>
        <w:t xml:space="preserve"> single failure assumptions and the level of the change being made.  </w:t>
      </w:r>
      <w:r w:rsidR="00885EDF" w:rsidRPr="00662392">
        <w:rPr>
          <w:sz w:val="22"/>
          <w:szCs w:val="22"/>
        </w:rPr>
        <w:t>In the final rule SOCs, the Commission explained that s</w:t>
      </w:r>
      <w:r w:rsidR="000F23B7" w:rsidRPr="00662392">
        <w:rPr>
          <w:sz w:val="22"/>
          <w:szCs w:val="22"/>
        </w:rPr>
        <w:t>everal commenters on the proposed rule stated that this</w:t>
      </w:r>
      <w:r w:rsidR="00885EDF" w:rsidRPr="00662392">
        <w:rPr>
          <w:sz w:val="22"/>
          <w:szCs w:val="22"/>
        </w:rPr>
        <w:t xml:space="preserve"> </w:t>
      </w:r>
      <w:r w:rsidR="000F23B7" w:rsidRPr="00662392">
        <w:rPr>
          <w:sz w:val="22"/>
          <w:szCs w:val="22"/>
        </w:rPr>
        <w:t>should be revised to refer only to the failure modes and effects analysis</w:t>
      </w:r>
      <w:r w:rsidR="00FD26C7" w:rsidRPr="00662392">
        <w:rPr>
          <w:sz w:val="22"/>
          <w:szCs w:val="22"/>
        </w:rPr>
        <w:t xml:space="preserve"> </w:t>
      </w:r>
      <w:r w:rsidR="000F23B7" w:rsidRPr="00662392">
        <w:rPr>
          <w:sz w:val="22"/>
          <w:szCs w:val="22"/>
        </w:rPr>
        <w:t>in the FSAR, and not to specify the</w:t>
      </w:r>
      <w:r w:rsidR="00FD26C7" w:rsidRPr="00662392">
        <w:rPr>
          <w:sz w:val="22"/>
          <w:szCs w:val="22"/>
        </w:rPr>
        <w:t xml:space="preserve"> </w:t>
      </w:r>
      <w:r w:rsidR="000F23B7" w:rsidRPr="00662392">
        <w:rPr>
          <w:sz w:val="22"/>
          <w:szCs w:val="22"/>
        </w:rPr>
        <w:t xml:space="preserve">component level. </w:t>
      </w:r>
      <w:r w:rsidR="00885EDF" w:rsidRPr="00662392">
        <w:rPr>
          <w:sz w:val="22"/>
          <w:szCs w:val="22"/>
        </w:rPr>
        <w:t xml:space="preserve"> </w:t>
      </w:r>
      <w:r w:rsidR="000F23B7" w:rsidRPr="00662392">
        <w:rPr>
          <w:sz w:val="22"/>
          <w:szCs w:val="22"/>
        </w:rPr>
        <w:t>The Commission</w:t>
      </w:r>
      <w:r w:rsidR="00FD26C7" w:rsidRPr="00662392">
        <w:rPr>
          <w:sz w:val="22"/>
          <w:szCs w:val="22"/>
        </w:rPr>
        <w:t xml:space="preserve"> </w:t>
      </w:r>
      <w:r w:rsidR="000F23B7" w:rsidRPr="00662392">
        <w:rPr>
          <w:sz w:val="22"/>
          <w:szCs w:val="22"/>
        </w:rPr>
        <w:t>agree</w:t>
      </w:r>
      <w:r w:rsidR="008D4C09" w:rsidRPr="00662392">
        <w:rPr>
          <w:sz w:val="22"/>
          <w:szCs w:val="22"/>
        </w:rPr>
        <w:t>d</w:t>
      </w:r>
      <w:r w:rsidR="000F23B7" w:rsidRPr="00662392">
        <w:rPr>
          <w:sz w:val="22"/>
          <w:szCs w:val="22"/>
        </w:rPr>
        <w:t xml:space="preserve"> that this criterion should be</w:t>
      </w:r>
      <w:r w:rsidR="008D4C09" w:rsidRPr="00662392">
        <w:rPr>
          <w:sz w:val="22"/>
          <w:szCs w:val="22"/>
        </w:rPr>
        <w:t xml:space="preserve"> </w:t>
      </w:r>
      <w:r w:rsidR="000F23B7" w:rsidRPr="00662392">
        <w:rPr>
          <w:sz w:val="22"/>
          <w:szCs w:val="22"/>
        </w:rPr>
        <w:t>considered with respect to the</w:t>
      </w:r>
      <w:r w:rsidR="00C77CC1" w:rsidRPr="00662392">
        <w:rPr>
          <w:sz w:val="22"/>
          <w:szCs w:val="22"/>
        </w:rPr>
        <w:t xml:space="preserve"> failure modes and effects analyses (</w:t>
      </w:r>
      <w:r w:rsidR="000F23B7" w:rsidRPr="00662392">
        <w:rPr>
          <w:sz w:val="22"/>
          <w:szCs w:val="22"/>
        </w:rPr>
        <w:t>FMEA</w:t>
      </w:r>
      <w:r w:rsidR="00C77CC1" w:rsidRPr="00662392">
        <w:rPr>
          <w:sz w:val="22"/>
          <w:szCs w:val="22"/>
        </w:rPr>
        <w:t>)</w:t>
      </w:r>
      <w:r w:rsidR="000F23B7" w:rsidRPr="00662392">
        <w:rPr>
          <w:sz w:val="22"/>
          <w:szCs w:val="22"/>
        </w:rPr>
        <w:t>,</w:t>
      </w:r>
      <w:r w:rsidR="00FD26C7" w:rsidRPr="00662392">
        <w:rPr>
          <w:sz w:val="22"/>
          <w:szCs w:val="22"/>
        </w:rPr>
        <w:t xml:space="preserve"> </w:t>
      </w:r>
      <w:r w:rsidR="000F23B7" w:rsidRPr="00662392">
        <w:rPr>
          <w:sz w:val="22"/>
          <w:szCs w:val="22"/>
        </w:rPr>
        <w:t>but also note</w:t>
      </w:r>
      <w:r w:rsidR="00FD26C7" w:rsidRPr="00662392">
        <w:rPr>
          <w:sz w:val="22"/>
          <w:szCs w:val="22"/>
        </w:rPr>
        <w:t>d</w:t>
      </w:r>
      <w:r w:rsidR="000F23B7" w:rsidRPr="00662392">
        <w:rPr>
          <w:sz w:val="22"/>
          <w:szCs w:val="22"/>
        </w:rPr>
        <w:t xml:space="preserve"> that </w:t>
      </w:r>
      <w:r w:rsidR="00FD26C7" w:rsidRPr="00662392">
        <w:rPr>
          <w:sz w:val="22"/>
          <w:szCs w:val="22"/>
        </w:rPr>
        <w:t>c</w:t>
      </w:r>
      <w:r w:rsidRPr="00662392">
        <w:rPr>
          <w:sz w:val="22"/>
          <w:szCs w:val="22"/>
        </w:rPr>
        <w:t xml:space="preserve">ertain changes may require a new </w:t>
      </w:r>
      <w:r w:rsidR="00B77F72" w:rsidRPr="00662392">
        <w:rPr>
          <w:sz w:val="22"/>
          <w:szCs w:val="22"/>
        </w:rPr>
        <w:t>FMEA,</w:t>
      </w:r>
      <w:r w:rsidRPr="00662392">
        <w:rPr>
          <w:sz w:val="22"/>
          <w:szCs w:val="22"/>
        </w:rPr>
        <w:t xml:space="preserve"> which needs to be evaluated as to whether the effects of the malfunctions are bounding.</w:t>
      </w:r>
    </w:p>
    <w:p w14:paraId="1322CDCF" w14:textId="77777777" w:rsidR="0018273E" w:rsidRPr="00662392" w:rsidRDefault="0018273E" w:rsidP="00194415">
      <w:pPr>
        <w:widowControl/>
        <w:rPr>
          <w:sz w:val="22"/>
          <w:szCs w:val="22"/>
        </w:rPr>
      </w:pPr>
    </w:p>
    <w:p w14:paraId="393E35A6" w14:textId="21DDFF03" w:rsidR="0018273E" w:rsidRPr="00662392" w:rsidRDefault="00E52335" w:rsidP="00194415">
      <w:pPr>
        <w:widowControl/>
        <w:rPr>
          <w:sz w:val="22"/>
          <w:szCs w:val="22"/>
        </w:rPr>
      </w:pPr>
      <w:bookmarkStart w:id="89" w:name="_Hlk51854877"/>
      <w:bookmarkEnd w:id="88"/>
      <w:r w:rsidRPr="00662392">
        <w:rPr>
          <w:sz w:val="22"/>
          <w:szCs w:val="22"/>
        </w:rPr>
        <w:t>Note that the likelihood of malfunction may be increased if new failure modes are introduced (even if the effects have been previously evaluated in the FSAR (as updated)), and this situation would have to be evaluated under criterion (ii).</w:t>
      </w:r>
    </w:p>
    <w:p w14:paraId="229CE4AB" w14:textId="77777777" w:rsidR="0018273E" w:rsidRPr="00662392" w:rsidRDefault="0018273E" w:rsidP="00194415">
      <w:pPr>
        <w:rPr>
          <w:sz w:val="22"/>
          <w:szCs w:val="22"/>
        </w:rPr>
      </w:pPr>
    </w:p>
    <w:bookmarkEnd w:id="89"/>
    <w:p w14:paraId="77FD32E8" w14:textId="73300877" w:rsidR="0018273E" w:rsidRPr="00662392" w:rsidRDefault="0018273E" w:rsidP="00194415">
      <w:pPr>
        <w:rPr>
          <w:sz w:val="22"/>
          <w:szCs w:val="22"/>
          <w:u w:val="single"/>
        </w:rPr>
      </w:pPr>
      <w:r w:rsidRPr="00662392">
        <w:rPr>
          <w:sz w:val="22"/>
          <w:szCs w:val="22"/>
        </w:rPr>
        <w:t>06.</w:t>
      </w:r>
      <w:r w:rsidR="00023E73" w:rsidRPr="00662392">
        <w:rPr>
          <w:sz w:val="22"/>
          <w:szCs w:val="22"/>
        </w:rPr>
        <w:t>20</w:t>
      </w:r>
      <w:r w:rsidRPr="00662392">
        <w:rPr>
          <w:sz w:val="22"/>
          <w:szCs w:val="22"/>
        </w:rPr>
        <w:tab/>
      </w:r>
      <w:r w:rsidR="00F40C0C" w:rsidRPr="00662392">
        <w:rPr>
          <w:sz w:val="22"/>
          <w:szCs w:val="22"/>
          <w:u w:val="single"/>
        </w:rPr>
        <w:t xml:space="preserve">Review Licensee Evaluation of Criterion </w:t>
      </w:r>
      <w:r w:rsidR="00F10CC7" w:rsidRPr="00662392">
        <w:rPr>
          <w:sz w:val="22"/>
          <w:szCs w:val="22"/>
          <w:u w:val="single"/>
        </w:rPr>
        <w:t>(c)(2)(vii)</w:t>
      </w:r>
      <w:r w:rsidR="00F40C0C" w:rsidRPr="00662392">
        <w:rPr>
          <w:sz w:val="22"/>
          <w:szCs w:val="22"/>
          <w:u w:val="single"/>
        </w:rPr>
        <w:fldChar w:fldCharType="begin"/>
      </w:r>
      <w:r w:rsidR="00F40C0C" w:rsidRPr="00662392">
        <w:rPr>
          <w:sz w:val="22"/>
          <w:szCs w:val="22"/>
        </w:rPr>
        <w:instrText xml:space="preserve"> TC "</w:instrText>
      </w:r>
      <w:bookmarkStart w:id="90" w:name="_Toc62642911"/>
      <w:bookmarkStart w:id="91" w:name="_Toc63142093"/>
      <w:r w:rsidR="00F40C0C" w:rsidRPr="00662392">
        <w:rPr>
          <w:sz w:val="22"/>
          <w:szCs w:val="22"/>
        </w:rPr>
        <w:instrText>06.20</w:instrText>
      </w:r>
      <w:r w:rsidR="00F40C0C" w:rsidRPr="00662392">
        <w:rPr>
          <w:sz w:val="22"/>
          <w:szCs w:val="22"/>
        </w:rPr>
        <w:tab/>
      </w:r>
      <w:r w:rsidR="00F40C0C" w:rsidRPr="00662392">
        <w:rPr>
          <w:sz w:val="22"/>
          <w:szCs w:val="22"/>
          <w:u w:val="single"/>
        </w:rPr>
        <w:instrText>Review Licensee Evaluation of Criterion (c)(2)(vii)</w:instrText>
      </w:r>
      <w:bookmarkEnd w:id="90"/>
      <w:bookmarkEnd w:id="91"/>
      <w:r w:rsidR="00F40C0C" w:rsidRPr="00662392">
        <w:rPr>
          <w:sz w:val="22"/>
          <w:szCs w:val="22"/>
        </w:rPr>
        <w:instrText xml:space="preserve">" \f C \l "2" </w:instrText>
      </w:r>
      <w:r w:rsidR="00F40C0C" w:rsidRPr="00662392">
        <w:rPr>
          <w:sz w:val="22"/>
          <w:szCs w:val="22"/>
          <w:u w:val="single"/>
        </w:rPr>
        <w:fldChar w:fldCharType="end"/>
      </w:r>
    </w:p>
    <w:p w14:paraId="4796F6BA" w14:textId="77777777" w:rsidR="0018273E" w:rsidRPr="00662392" w:rsidRDefault="0018273E" w:rsidP="00194415">
      <w:pPr>
        <w:rPr>
          <w:sz w:val="22"/>
          <w:szCs w:val="22"/>
          <w:u w:val="single"/>
        </w:rPr>
      </w:pPr>
    </w:p>
    <w:p w14:paraId="05840E92" w14:textId="004B84CE" w:rsidR="0018273E" w:rsidRPr="00662392" w:rsidRDefault="0018273E" w:rsidP="00194415">
      <w:pPr>
        <w:rPr>
          <w:sz w:val="22"/>
          <w:szCs w:val="22"/>
        </w:rPr>
      </w:pPr>
      <w:bookmarkStart w:id="92" w:name="_Hlk48305373"/>
      <w:r w:rsidRPr="00662392">
        <w:rPr>
          <w:sz w:val="22"/>
          <w:szCs w:val="22"/>
        </w:rPr>
        <w:t>10 CFR 50.59(c)(2)</w:t>
      </w:r>
      <w:bookmarkEnd w:id="92"/>
      <w:r w:rsidRPr="00662392">
        <w:rPr>
          <w:sz w:val="22"/>
          <w:szCs w:val="22"/>
        </w:rPr>
        <w:t>(vii)</w:t>
      </w:r>
      <w:r w:rsidR="00F10CC7" w:rsidRPr="00662392">
        <w:rPr>
          <w:sz w:val="22"/>
          <w:szCs w:val="22"/>
        </w:rPr>
        <w:t xml:space="preserve"> focuses on whether the</w:t>
      </w:r>
      <w:r w:rsidRPr="00662392">
        <w:rPr>
          <w:sz w:val="22"/>
          <w:szCs w:val="22"/>
        </w:rPr>
        <w:t xml:space="preserve"> CTE</w:t>
      </w:r>
      <w:r w:rsidR="009865FD" w:rsidRPr="00662392">
        <w:rPr>
          <w:sz w:val="22"/>
          <w:szCs w:val="22"/>
        </w:rPr>
        <w:t xml:space="preserve"> would</w:t>
      </w:r>
      <w:r w:rsidRPr="00662392">
        <w:rPr>
          <w:sz w:val="22"/>
          <w:szCs w:val="22"/>
        </w:rPr>
        <w:t xml:space="preserve"> result in a design basis limit for a fission product barrier as described in the UFSAR being exceeded or altered.</w:t>
      </w:r>
    </w:p>
    <w:p w14:paraId="362FB814" w14:textId="77777777" w:rsidR="0018273E" w:rsidRPr="00662392" w:rsidRDefault="0018273E" w:rsidP="00194415">
      <w:pPr>
        <w:rPr>
          <w:sz w:val="22"/>
          <w:szCs w:val="22"/>
        </w:rPr>
      </w:pPr>
    </w:p>
    <w:p w14:paraId="5FB5A437" w14:textId="363A8D55" w:rsidR="0018273E" w:rsidRPr="00662392" w:rsidRDefault="0018273E" w:rsidP="00194415">
      <w:pPr>
        <w:rPr>
          <w:sz w:val="22"/>
          <w:szCs w:val="22"/>
        </w:rPr>
      </w:pPr>
      <w:bookmarkStart w:id="93" w:name="_Hlk55196620"/>
      <w:r w:rsidRPr="00662392">
        <w:rPr>
          <w:sz w:val="22"/>
          <w:szCs w:val="22"/>
        </w:rPr>
        <w:t xml:space="preserve">Inspectors should recognize that the </w:t>
      </w:r>
      <w:r w:rsidR="001E5B14" w:rsidRPr="00662392">
        <w:rPr>
          <w:sz w:val="22"/>
          <w:szCs w:val="22"/>
        </w:rPr>
        <w:t xml:space="preserve">final rule </w:t>
      </w:r>
      <w:r w:rsidRPr="00662392">
        <w:rPr>
          <w:sz w:val="22"/>
          <w:szCs w:val="22"/>
        </w:rPr>
        <w:t xml:space="preserve">SOCs for 10 CFR 50.59 state </w:t>
      </w:r>
      <w:bookmarkEnd w:id="93"/>
      <w:r w:rsidRPr="00662392">
        <w:rPr>
          <w:sz w:val="22"/>
          <w:szCs w:val="22"/>
        </w:rPr>
        <w:t xml:space="preserve">that </w:t>
      </w:r>
      <w:r w:rsidR="00B00F0C" w:rsidRPr="00662392">
        <w:rPr>
          <w:sz w:val="22"/>
          <w:szCs w:val="22"/>
        </w:rPr>
        <w:t>d</w:t>
      </w:r>
      <w:r w:rsidRPr="00662392">
        <w:rPr>
          <w:sz w:val="22"/>
          <w:szCs w:val="22"/>
        </w:rPr>
        <w:t>esign basis limits for a fission product barrier are the controlling numerical values established during the licensing review as presented in the UFSAR for any parameter(s) used to determine the integrity of a barrier.  Typically, the controlling value for the parameter is set at a point far enough away from failure that there is confidence in the integrity of the barrier.</w:t>
      </w:r>
    </w:p>
    <w:p w14:paraId="5669C0B9" w14:textId="77777777" w:rsidR="0018273E" w:rsidRPr="00662392" w:rsidRDefault="0018273E" w:rsidP="00194415">
      <w:pPr>
        <w:rPr>
          <w:sz w:val="22"/>
          <w:szCs w:val="22"/>
        </w:rPr>
      </w:pPr>
    </w:p>
    <w:p w14:paraId="321364E1" w14:textId="13839590" w:rsidR="0018273E" w:rsidRPr="00662392" w:rsidRDefault="000A1F8D" w:rsidP="00194415">
      <w:pPr>
        <w:rPr>
          <w:sz w:val="22"/>
          <w:szCs w:val="22"/>
        </w:rPr>
      </w:pPr>
      <w:r w:rsidRPr="00662392">
        <w:rPr>
          <w:sz w:val="22"/>
          <w:szCs w:val="22"/>
        </w:rPr>
        <w:t xml:space="preserve">The </w:t>
      </w:r>
      <w:r w:rsidR="00385901" w:rsidRPr="00662392">
        <w:rPr>
          <w:sz w:val="22"/>
          <w:szCs w:val="22"/>
        </w:rPr>
        <w:t xml:space="preserve">50.59 </w:t>
      </w:r>
      <w:r w:rsidRPr="00662392">
        <w:rPr>
          <w:sz w:val="22"/>
          <w:szCs w:val="22"/>
        </w:rPr>
        <w:t>SOCs further state that l</w:t>
      </w:r>
      <w:r w:rsidR="0018273E" w:rsidRPr="00662392">
        <w:rPr>
          <w:sz w:val="22"/>
          <w:szCs w:val="22"/>
        </w:rPr>
        <w:t xml:space="preserve">icensees must evaluate all CTEs that affect the design basis limits, including changes to parameters within mitigation and support systems for their effects upon the design basis limits for the barriers.  Depending upon the type of facility and its operational status, the fission product barriers and design bases limits vary but should be evident from the safety analyses presented in the UFSAR.  </w:t>
      </w:r>
    </w:p>
    <w:p w14:paraId="2D11E641" w14:textId="77777777" w:rsidR="0018273E" w:rsidRPr="00662392" w:rsidRDefault="0018273E" w:rsidP="00194415">
      <w:pPr>
        <w:rPr>
          <w:sz w:val="22"/>
          <w:szCs w:val="22"/>
        </w:rPr>
      </w:pPr>
    </w:p>
    <w:p w14:paraId="22BB0F47" w14:textId="118C76FC" w:rsidR="0018273E" w:rsidRPr="00662392" w:rsidRDefault="00D76E26" w:rsidP="00194415">
      <w:pPr>
        <w:rPr>
          <w:sz w:val="22"/>
          <w:szCs w:val="22"/>
        </w:rPr>
      </w:pPr>
      <w:r w:rsidRPr="00662392">
        <w:rPr>
          <w:sz w:val="22"/>
          <w:szCs w:val="22"/>
        </w:rPr>
        <w:t xml:space="preserve">Inspectors should be able to ascertain from a review of the UFSAR the parameters applicable to a specific facility.  </w:t>
      </w:r>
      <w:r w:rsidR="00385901" w:rsidRPr="00662392">
        <w:rPr>
          <w:sz w:val="22"/>
          <w:szCs w:val="22"/>
        </w:rPr>
        <w:t xml:space="preserve">As described in the SOCs, </w:t>
      </w:r>
      <w:r w:rsidR="007F47D8" w:rsidRPr="00662392">
        <w:rPr>
          <w:sz w:val="22"/>
          <w:szCs w:val="22"/>
        </w:rPr>
        <w:t>f</w:t>
      </w:r>
      <w:r w:rsidR="0018273E" w:rsidRPr="00662392">
        <w:rPr>
          <w:sz w:val="22"/>
          <w:szCs w:val="22"/>
        </w:rPr>
        <w:t xml:space="preserve">or operating power reactors, the barriers are </w:t>
      </w:r>
      <w:r w:rsidR="00B83550" w:rsidRPr="00662392">
        <w:rPr>
          <w:sz w:val="22"/>
          <w:szCs w:val="22"/>
        </w:rPr>
        <w:t xml:space="preserve">generally limited to </w:t>
      </w:r>
      <w:r w:rsidR="0018273E" w:rsidRPr="00662392">
        <w:rPr>
          <w:sz w:val="22"/>
          <w:szCs w:val="22"/>
        </w:rPr>
        <w:t>the fuel cladding, reactor coolant system boundary, and containment</w:t>
      </w:r>
      <w:r w:rsidRPr="00662392">
        <w:rPr>
          <w:sz w:val="22"/>
          <w:szCs w:val="22"/>
        </w:rPr>
        <w:t>.</w:t>
      </w:r>
      <w:r w:rsidR="0018273E" w:rsidRPr="00662392">
        <w:rPr>
          <w:sz w:val="22"/>
          <w:szCs w:val="22"/>
        </w:rPr>
        <w:t xml:space="preserve"> </w:t>
      </w:r>
      <w:r w:rsidR="005067F1">
        <w:rPr>
          <w:sz w:val="22"/>
          <w:szCs w:val="22"/>
        </w:rPr>
        <w:t xml:space="preserve"> </w:t>
      </w:r>
      <w:r w:rsidRPr="00662392">
        <w:rPr>
          <w:sz w:val="22"/>
          <w:szCs w:val="22"/>
        </w:rPr>
        <w:t>A</w:t>
      </w:r>
      <w:r w:rsidR="0018273E" w:rsidRPr="00662392">
        <w:rPr>
          <w:sz w:val="22"/>
          <w:szCs w:val="22"/>
        </w:rPr>
        <w:t>s presented in the UFSAR, there is a design basis (functions and controlling values of parameters) that determines the minimum performance requirements for SSCs.  The controlling value for a parameter is the point at which confidence in the capability of the SSCs to perform their intended safety functions begins to decrease.  For a reactor undergoing decommissioning where the fuel is stored in the spent fuel pool, the barrier is the fuel cladding.  For non</w:t>
      </w:r>
      <w:r w:rsidR="00AC7BA7" w:rsidRPr="00662392">
        <w:rPr>
          <w:sz w:val="22"/>
          <w:szCs w:val="22"/>
        </w:rPr>
        <w:t>-</w:t>
      </w:r>
      <w:r w:rsidR="0018273E" w:rsidRPr="00662392">
        <w:rPr>
          <w:sz w:val="22"/>
          <w:szCs w:val="22"/>
        </w:rPr>
        <w:t xml:space="preserve">power reactors, the fission product barriers </w:t>
      </w:r>
      <w:r w:rsidR="00385901" w:rsidRPr="00662392">
        <w:rPr>
          <w:sz w:val="22"/>
          <w:szCs w:val="22"/>
        </w:rPr>
        <w:t xml:space="preserve">would </w:t>
      </w:r>
      <w:r w:rsidR="0018273E" w:rsidRPr="00662392">
        <w:rPr>
          <w:sz w:val="22"/>
          <w:szCs w:val="22"/>
        </w:rPr>
        <w:t>include, as applicable to the specific reactor, the fuel cladding, the reactor tank, and the reactor room, building, confinement, or containment.</w:t>
      </w:r>
    </w:p>
    <w:p w14:paraId="7D45CB17" w14:textId="77777777" w:rsidR="0018273E" w:rsidRPr="00662392" w:rsidRDefault="0018273E" w:rsidP="00194415">
      <w:pPr>
        <w:rPr>
          <w:sz w:val="22"/>
          <w:szCs w:val="22"/>
        </w:rPr>
      </w:pPr>
    </w:p>
    <w:p w14:paraId="2DC89B48" w14:textId="77777777" w:rsidR="00C1473C" w:rsidRDefault="0018273E" w:rsidP="00194415">
      <w:pPr>
        <w:rPr>
          <w:sz w:val="22"/>
          <w:szCs w:val="22"/>
        </w:rPr>
        <w:sectPr w:rsidR="00C1473C" w:rsidSect="00012998">
          <w:footerReference w:type="default" r:id="rId38"/>
          <w:pgSz w:w="12240" w:h="15840" w:code="1"/>
          <w:pgMar w:top="1440" w:right="1440" w:bottom="1440" w:left="1440" w:header="720" w:footer="720" w:gutter="0"/>
          <w:cols w:space="720"/>
          <w:noEndnote/>
          <w:docGrid w:linePitch="326"/>
        </w:sectPr>
      </w:pPr>
      <w:r w:rsidRPr="00662392">
        <w:rPr>
          <w:sz w:val="22"/>
          <w:szCs w:val="22"/>
        </w:rPr>
        <w:t xml:space="preserve">Although the list of fission product barriers includes containment and other features that prevent the release of radiation, the design basis limits for these barriers are parameters such as pressure.  The </w:t>
      </w:r>
      <w:r w:rsidR="00275E9D" w:rsidRPr="00662392">
        <w:rPr>
          <w:sz w:val="22"/>
          <w:szCs w:val="22"/>
        </w:rPr>
        <w:t xml:space="preserve">licensee determination of </w:t>
      </w:r>
      <w:r w:rsidRPr="00662392">
        <w:rPr>
          <w:sz w:val="22"/>
          <w:szCs w:val="22"/>
        </w:rPr>
        <w:t xml:space="preserve">resultant radiological consequences from leakage </w:t>
      </w:r>
    </w:p>
    <w:p w14:paraId="2639BA54" w14:textId="77777777" w:rsidR="00C1473C" w:rsidRDefault="00C1473C" w:rsidP="00194415">
      <w:pPr>
        <w:rPr>
          <w:sz w:val="22"/>
          <w:szCs w:val="22"/>
        </w:rPr>
      </w:pPr>
    </w:p>
    <w:p w14:paraId="79017F09" w14:textId="03F9EE5B" w:rsidR="00AF4205" w:rsidRPr="00662392" w:rsidRDefault="0018273E" w:rsidP="00194415">
      <w:pPr>
        <w:rPr>
          <w:sz w:val="22"/>
          <w:szCs w:val="22"/>
        </w:rPr>
      </w:pPr>
      <w:r w:rsidRPr="00662392">
        <w:rPr>
          <w:sz w:val="22"/>
          <w:szCs w:val="22"/>
        </w:rPr>
        <w:t xml:space="preserve">through or breech of these barriers is </w:t>
      </w:r>
      <w:r w:rsidR="00275E9D" w:rsidRPr="00662392">
        <w:rPr>
          <w:sz w:val="22"/>
          <w:szCs w:val="22"/>
        </w:rPr>
        <w:t xml:space="preserve">the </w:t>
      </w:r>
      <w:r w:rsidRPr="00662392">
        <w:rPr>
          <w:sz w:val="22"/>
          <w:szCs w:val="22"/>
        </w:rPr>
        <w:t xml:space="preserve">subject </w:t>
      </w:r>
      <w:r w:rsidR="00275E9D" w:rsidRPr="00662392">
        <w:rPr>
          <w:sz w:val="22"/>
          <w:szCs w:val="22"/>
        </w:rPr>
        <w:t xml:space="preserve">of </w:t>
      </w:r>
      <w:r w:rsidRPr="00662392">
        <w:rPr>
          <w:sz w:val="22"/>
          <w:szCs w:val="22"/>
        </w:rPr>
        <w:t>10 CFR 50.59(c)(2)(iii) and (iv) rather than 10 CFR 50.59(c)(2)(vii).</w:t>
      </w:r>
    </w:p>
    <w:p w14:paraId="6CE2D211" w14:textId="77777777" w:rsidR="00AF4205" w:rsidRPr="00662392" w:rsidRDefault="00AF4205" w:rsidP="00194415">
      <w:pPr>
        <w:rPr>
          <w:sz w:val="22"/>
          <w:szCs w:val="22"/>
        </w:rPr>
      </w:pPr>
    </w:p>
    <w:p w14:paraId="65B9691F" w14:textId="497371D5" w:rsidR="0018273E" w:rsidRPr="00662392" w:rsidRDefault="0018273E" w:rsidP="00194415">
      <w:pPr>
        <w:widowControl/>
        <w:rPr>
          <w:sz w:val="22"/>
          <w:szCs w:val="22"/>
        </w:rPr>
      </w:pPr>
      <w:r w:rsidRPr="00662392">
        <w:rPr>
          <w:sz w:val="22"/>
          <w:szCs w:val="22"/>
        </w:rPr>
        <w:t xml:space="preserve">Inspectors should note that the minimal change concept does </w:t>
      </w:r>
      <w:r w:rsidRPr="00662392">
        <w:rPr>
          <w:sz w:val="22"/>
          <w:szCs w:val="22"/>
          <w:u w:val="single"/>
        </w:rPr>
        <w:t>not</w:t>
      </w:r>
      <w:r w:rsidRPr="00662392">
        <w:rPr>
          <w:sz w:val="22"/>
          <w:szCs w:val="22"/>
        </w:rPr>
        <w:t xml:space="preserve"> apply to criterion (vii)</w:t>
      </w:r>
      <w:r w:rsidR="006B49DB" w:rsidRPr="00662392">
        <w:rPr>
          <w:sz w:val="22"/>
          <w:szCs w:val="22"/>
        </w:rPr>
        <w:t>,</w:t>
      </w:r>
      <w:r w:rsidRPr="00662392">
        <w:rPr>
          <w:sz w:val="22"/>
          <w:szCs w:val="22"/>
        </w:rPr>
        <w:t xml:space="preserve"> and criterion (vii) does </w:t>
      </w:r>
      <w:r w:rsidRPr="00662392">
        <w:rPr>
          <w:sz w:val="22"/>
          <w:szCs w:val="22"/>
          <w:u w:val="single"/>
        </w:rPr>
        <w:t>not</w:t>
      </w:r>
      <w:r w:rsidRPr="00662392">
        <w:rPr>
          <w:sz w:val="22"/>
          <w:szCs w:val="22"/>
        </w:rPr>
        <w:t xml:space="preserve"> permit small changes beyond the design basis limits</w:t>
      </w:r>
      <w:r w:rsidR="005531AF" w:rsidRPr="00662392">
        <w:rPr>
          <w:sz w:val="22"/>
          <w:szCs w:val="22"/>
        </w:rPr>
        <w:t xml:space="preserve"> without NRC review</w:t>
      </w:r>
      <w:r w:rsidR="00650193" w:rsidRPr="00662392">
        <w:rPr>
          <w:sz w:val="22"/>
          <w:szCs w:val="22"/>
        </w:rPr>
        <w:t xml:space="preserve"> and approval</w:t>
      </w:r>
      <w:r w:rsidRPr="00662392">
        <w:rPr>
          <w:sz w:val="22"/>
          <w:szCs w:val="22"/>
        </w:rPr>
        <w:t>.  With respect to changes relating to the design basis capability of SSCs to perform their functions in those circumstances in which the change does not cause any design basis limits to be exceeded or altered, the other evaluation criteria provide the standards for prior NRC approval of such changes.</w:t>
      </w:r>
    </w:p>
    <w:p w14:paraId="1502BEDA" w14:textId="77777777" w:rsidR="0018273E" w:rsidRPr="00662392" w:rsidRDefault="0018273E" w:rsidP="00194415">
      <w:pPr>
        <w:rPr>
          <w:sz w:val="22"/>
          <w:szCs w:val="22"/>
          <w:highlight w:val="yellow"/>
        </w:rPr>
      </w:pPr>
    </w:p>
    <w:p w14:paraId="25607CF3" w14:textId="14E5BA95" w:rsidR="0018273E" w:rsidRPr="00662392" w:rsidRDefault="0018273E" w:rsidP="00194415">
      <w:pPr>
        <w:rPr>
          <w:sz w:val="22"/>
          <w:szCs w:val="22"/>
        </w:rPr>
      </w:pPr>
      <w:bookmarkStart w:id="94" w:name="_Hlk51856209"/>
      <w:r w:rsidRPr="00662392">
        <w:rPr>
          <w:sz w:val="22"/>
          <w:szCs w:val="22"/>
        </w:rPr>
        <w:t>Alteration of a design basis limit is not allowed</w:t>
      </w:r>
      <w:bookmarkEnd w:id="94"/>
      <w:r w:rsidRPr="00662392">
        <w:rPr>
          <w:sz w:val="22"/>
          <w:szCs w:val="22"/>
        </w:rPr>
        <w:t>.  Changes that involve alteration of the design basis limit for a fission product barrier involve such a fundamental alteration of the facility design that a change, even in the conservative direction, requires prior NRC review</w:t>
      </w:r>
      <w:r w:rsidR="002F32DA" w:rsidRPr="00662392">
        <w:rPr>
          <w:sz w:val="22"/>
          <w:szCs w:val="22"/>
        </w:rPr>
        <w:t xml:space="preserve"> and approval</w:t>
      </w:r>
      <w:r w:rsidR="00567A7E" w:rsidRPr="00662392">
        <w:rPr>
          <w:sz w:val="22"/>
          <w:szCs w:val="22"/>
        </w:rPr>
        <w:t xml:space="preserve"> via license amendment</w:t>
      </w:r>
      <w:r w:rsidRPr="00662392">
        <w:rPr>
          <w:sz w:val="22"/>
          <w:szCs w:val="22"/>
        </w:rPr>
        <w:t>.</w:t>
      </w:r>
    </w:p>
    <w:p w14:paraId="01A64242" w14:textId="77777777" w:rsidR="0018273E" w:rsidRPr="00662392" w:rsidRDefault="0018273E" w:rsidP="00194415">
      <w:pPr>
        <w:rPr>
          <w:sz w:val="22"/>
          <w:szCs w:val="22"/>
          <w:highlight w:val="yellow"/>
        </w:rPr>
      </w:pPr>
    </w:p>
    <w:p w14:paraId="6248987E" w14:textId="77777777" w:rsidR="0018273E" w:rsidRPr="00662392" w:rsidRDefault="0018273E" w:rsidP="00194415">
      <w:pPr>
        <w:rPr>
          <w:sz w:val="22"/>
          <w:szCs w:val="22"/>
        </w:rPr>
      </w:pPr>
      <w:r w:rsidRPr="00662392">
        <w:rPr>
          <w:sz w:val="22"/>
          <w:szCs w:val="22"/>
        </w:rPr>
        <w:t xml:space="preserve">To satisfy </w:t>
      </w:r>
      <w:bookmarkStart w:id="95" w:name="_Hlk51913769"/>
      <w:r w:rsidRPr="00662392">
        <w:rPr>
          <w:sz w:val="22"/>
          <w:szCs w:val="22"/>
        </w:rPr>
        <w:t>criterion (vii)</w:t>
      </w:r>
      <w:bookmarkEnd w:id="95"/>
      <w:r w:rsidRPr="00662392">
        <w:rPr>
          <w:sz w:val="22"/>
          <w:szCs w:val="22"/>
        </w:rPr>
        <w:t xml:space="preserve">, licensees must determine the parameters that are affected by the proposed CTE.  The affected parameters are not limited to the specific parameters in the system in which the change is being made or to parameters that are only directly linked to the actual fission product barrier.  Rather, the design parameters must include an assessment of all affected parameters, including design parameters of mitigation and support systems.  Once the parameters are identified, the licensee must establish whether the parameters have values established in the UFSAR, whether the parameters are controlling parameters that are reference bounds for the design, and whether the parameter has the potential to affect the performance of the fission product barrier.  If the specific parameter values are already subject to controls established by the TS or other rules or regulation, those requirements shall be followed.  </w:t>
      </w:r>
    </w:p>
    <w:p w14:paraId="160F14A9" w14:textId="77777777" w:rsidR="0018273E" w:rsidRPr="00662392" w:rsidRDefault="0018273E" w:rsidP="00194415">
      <w:pPr>
        <w:rPr>
          <w:sz w:val="22"/>
          <w:szCs w:val="22"/>
        </w:rPr>
      </w:pPr>
    </w:p>
    <w:p w14:paraId="5B985223" w14:textId="04D0A9B5" w:rsidR="0018273E" w:rsidRPr="00662392" w:rsidRDefault="0018273E" w:rsidP="00194415">
      <w:pPr>
        <w:rPr>
          <w:sz w:val="22"/>
          <w:szCs w:val="22"/>
        </w:rPr>
      </w:pPr>
      <w:r w:rsidRPr="00662392">
        <w:rPr>
          <w:sz w:val="22"/>
          <w:szCs w:val="22"/>
        </w:rPr>
        <w:t>After a licensee assesses the information discussed above, identif</w:t>
      </w:r>
      <w:r w:rsidR="000B2054" w:rsidRPr="00662392">
        <w:rPr>
          <w:sz w:val="22"/>
          <w:szCs w:val="22"/>
        </w:rPr>
        <w:t>ication of</w:t>
      </w:r>
      <w:r w:rsidRPr="00662392">
        <w:rPr>
          <w:sz w:val="22"/>
          <w:szCs w:val="22"/>
        </w:rPr>
        <w:t xml:space="preserve"> the specific design basis limits that are affected for each of the identified parameters</w:t>
      </w:r>
      <w:r w:rsidR="008A26B3" w:rsidRPr="00662392">
        <w:rPr>
          <w:sz w:val="22"/>
          <w:szCs w:val="22"/>
        </w:rPr>
        <w:t xml:space="preserve"> is necessary</w:t>
      </w:r>
      <w:r w:rsidRPr="00662392">
        <w:rPr>
          <w:sz w:val="22"/>
          <w:szCs w:val="22"/>
        </w:rPr>
        <w:t xml:space="preserve">.  After the licensee completes </w:t>
      </w:r>
      <w:r w:rsidR="00D6150C" w:rsidRPr="00662392">
        <w:rPr>
          <w:sz w:val="22"/>
          <w:szCs w:val="22"/>
        </w:rPr>
        <w:t xml:space="preserve">its </w:t>
      </w:r>
      <w:r w:rsidRPr="00662392">
        <w:rPr>
          <w:sz w:val="22"/>
          <w:szCs w:val="22"/>
        </w:rPr>
        <w:t xml:space="preserve">assessment of the change against each design basis limit, if no design basis limit is altered or exceeded, 10 CFR 50.59(c)(2)(vii) is </w:t>
      </w:r>
      <w:r w:rsidR="00D6150C" w:rsidRPr="00662392">
        <w:rPr>
          <w:sz w:val="22"/>
          <w:szCs w:val="22"/>
        </w:rPr>
        <w:t>satisfied</w:t>
      </w:r>
      <w:r w:rsidRPr="00662392">
        <w:rPr>
          <w:sz w:val="22"/>
          <w:szCs w:val="22"/>
        </w:rPr>
        <w:t>, and the licensee can make the change without prior NRC review.</w:t>
      </w:r>
    </w:p>
    <w:p w14:paraId="7D93F223" w14:textId="77777777" w:rsidR="0018273E" w:rsidRPr="00662392" w:rsidRDefault="0018273E" w:rsidP="00194415">
      <w:pPr>
        <w:rPr>
          <w:sz w:val="22"/>
          <w:szCs w:val="22"/>
        </w:rPr>
      </w:pPr>
    </w:p>
    <w:p w14:paraId="2FBD185C" w14:textId="0AFBFDA9" w:rsidR="0018273E" w:rsidRPr="00662392" w:rsidRDefault="0018273E" w:rsidP="00194415">
      <w:pPr>
        <w:rPr>
          <w:sz w:val="22"/>
          <w:szCs w:val="22"/>
        </w:rPr>
      </w:pPr>
      <w:r w:rsidRPr="00662392">
        <w:rPr>
          <w:sz w:val="22"/>
          <w:szCs w:val="22"/>
        </w:rPr>
        <w:t xml:space="preserve">Several examples </w:t>
      </w:r>
      <w:r w:rsidR="00DA6BB9" w:rsidRPr="00662392">
        <w:rPr>
          <w:sz w:val="22"/>
          <w:szCs w:val="22"/>
        </w:rPr>
        <w:t xml:space="preserve">from the 50.59 final rule SOCs </w:t>
      </w:r>
      <w:r w:rsidRPr="00662392">
        <w:rPr>
          <w:sz w:val="22"/>
          <w:szCs w:val="22"/>
        </w:rPr>
        <w:t>to illustrate the implementation of this criterion</w:t>
      </w:r>
      <w:r w:rsidR="00D521B5" w:rsidRPr="00662392">
        <w:rPr>
          <w:sz w:val="22"/>
          <w:szCs w:val="22"/>
        </w:rPr>
        <w:t xml:space="preserve"> are included below</w:t>
      </w:r>
      <w:r w:rsidRPr="00662392">
        <w:rPr>
          <w:sz w:val="22"/>
          <w:szCs w:val="22"/>
        </w:rPr>
        <w:t xml:space="preserve">.  In each example, </w:t>
      </w:r>
      <w:r w:rsidR="003824EC" w:rsidRPr="00662392">
        <w:rPr>
          <w:sz w:val="22"/>
          <w:szCs w:val="22"/>
        </w:rPr>
        <w:t>it is assumed</w:t>
      </w:r>
      <w:r w:rsidRPr="00662392">
        <w:rPr>
          <w:sz w:val="22"/>
          <w:szCs w:val="22"/>
        </w:rPr>
        <w:t xml:space="preserve"> that NRC approval is not required because of other reasons, such as need for a TS change, 10 CFR 50.55a requirements</w:t>
      </w:r>
      <w:r w:rsidR="0048143B" w:rsidRPr="00662392">
        <w:rPr>
          <w:sz w:val="22"/>
          <w:szCs w:val="22"/>
        </w:rPr>
        <w:t>,</w:t>
      </w:r>
      <w:r w:rsidRPr="00662392">
        <w:rPr>
          <w:sz w:val="22"/>
          <w:szCs w:val="22"/>
        </w:rPr>
        <w:t xml:space="preserve"> etc.</w:t>
      </w:r>
    </w:p>
    <w:p w14:paraId="045C4DC7" w14:textId="77777777" w:rsidR="0018273E" w:rsidRPr="00662392" w:rsidRDefault="0018273E" w:rsidP="00194415">
      <w:pPr>
        <w:rPr>
          <w:sz w:val="22"/>
          <w:szCs w:val="22"/>
        </w:rPr>
      </w:pPr>
    </w:p>
    <w:p w14:paraId="7821EC2A" w14:textId="77777777" w:rsidR="00C1473C" w:rsidRDefault="0018273E" w:rsidP="00194415">
      <w:pPr>
        <w:rPr>
          <w:sz w:val="22"/>
          <w:szCs w:val="22"/>
        </w:rPr>
        <w:sectPr w:rsidR="00C1473C" w:rsidSect="00012998">
          <w:footerReference w:type="default" r:id="rId39"/>
          <w:pgSz w:w="12240" w:h="15840" w:code="1"/>
          <w:pgMar w:top="1440" w:right="1440" w:bottom="1440" w:left="1440" w:header="720" w:footer="720" w:gutter="0"/>
          <w:cols w:space="720"/>
          <w:noEndnote/>
          <w:docGrid w:linePitch="326"/>
        </w:sectPr>
      </w:pPr>
      <w:r w:rsidRPr="00662392">
        <w:rPr>
          <w:sz w:val="22"/>
          <w:szCs w:val="22"/>
          <w:u w:val="single"/>
        </w:rPr>
        <w:t>Example 1</w:t>
      </w:r>
      <w:r w:rsidRPr="00662392">
        <w:rPr>
          <w:sz w:val="22"/>
          <w:szCs w:val="22"/>
        </w:rPr>
        <w:t>:</w:t>
      </w:r>
      <w:r w:rsidR="00E47F2A" w:rsidRPr="00662392">
        <w:rPr>
          <w:sz w:val="22"/>
          <w:szCs w:val="22"/>
        </w:rPr>
        <w:t xml:space="preserve">  </w:t>
      </w:r>
      <w:r w:rsidRPr="00662392">
        <w:rPr>
          <w:sz w:val="22"/>
          <w:szCs w:val="22"/>
        </w:rPr>
        <w:t>A plant UFSAR states that the function of the auxiliary feedwater system (AFW) is to provide feed water flow to the steam generators following postulated accidents (e.g., main steam line break, feed line break, small break loss-of-coolant accident), or when a reactor trip occurs coincident with a loss-of-offsite power.  The UFSAR states that 700 gallons per minute (</w:t>
      </w:r>
      <w:proofErr w:type="spellStart"/>
      <w:r w:rsidRPr="00662392">
        <w:rPr>
          <w:sz w:val="22"/>
          <w:szCs w:val="22"/>
        </w:rPr>
        <w:t>gpm</w:t>
      </w:r>
      <w:proofErr w:type="spellEnd"/>
      <w:r w:rsidRPr="00662392">
        <w:rPr>
          <w:sz w:val="22"/>
          <w:szCs w:val="22"/>
        </w:rPr>
        <w:t xml:space="preserve">) will be delivered to the steam generators.  The licensee's accident analyses used 700 </w:t>
      </w:r>
      <w:proofErr w:type="spellStart"/>
      <w:r w:rsidRPr="00662392">
        <w:rPr>
          <w:sz w:val="22"/>
          <w:szCs w:val="22"/>
        </w:rPr>
        <w:t>gpm</w:t>
      </w:r>
      <w:proofErr w:type="spellEnd"/>
      <w:r w:rsidRPr="00662392">
        <w:rPr>
          <w:sz w:val="22"/>
          <w:szCs w:val="22"/>
        </w:rPr>
        <w:t xml:space="preserve"> to assess the acceptability of the plant to respond to the accidents and concluded that no safety limits were challenged if 500 </w:t>
      </w:r>
      <w:proofErr w:type="spellStart"/>
      <w:r w:rsidRPr="00662392">
        <w:rPr>
          <w:sz w:val="22"/>
          <w:szCs w:val="22"/>
        </w:rPr>
        <w:t>gpm</w:t>
      </w:r>
      <w:proofErr w:type="spellEnd"/>
      <w:r w:rsidRPr="00662392">
        <w:rPr>
          <w:sz w:val="22"/>
          <w:szCs w:val="22"/>
        </w:rPr>
        <w:t xml:space="preserve"> were supplied.  As a result of recent testing of the AFW system, the licensee determines that the pumps can no longer deliver 700 </w:t>
      </w:r>
      <w:proofErr w:type="spellStart"/>
      <w:r w:rsidRPr="00662392">
        <w:rPr>
          <w:sz w:val="22"/>
          <w:szCs w:val="22"/>
        </w:rPr>
        <w:t>gpm</w:t>
      </w:r>
      <w:proofErr w:type="spellEnd"/>
      <w:r w:rsidRPr="00662392">
        <w:rPr>
          <w:sz w:val="22"/>
          <w:szCs w:val="22"/>
        </w:rPr>
        <w:t xml:space="preserve">.  The licensee determines that the AFW pumps can deliver only 500 </w:t>
      </w:r>
      <w:proofErr w:type="spellStart"/>
      <w:r w:rsidRPr="00662392">
        <w:rPr>
          <w:sz w:val="22"/>
          <w:szCs w:val="22"/>
        </w:rPr>
        <w:t>gpm</w:t>
      </w:r>
      <w:proofErr w:type="spellEnd"/>
      <w:r w:rsidRPr="00662392">
        <w:rPr>
          <w:sz w:val="22"/>
          <w:szCs w:val="22"/>
        </w:rPr>
        <w:t xml:space="preserve"> at the required pressure and temperature.  The licensee performs the necessary safety analyses and confirms that 500 </w:t>
      </w:r>
      <w:proofErr w:type="spellStart"/>
      <w:r w:rsidRPr="00662392">
        <w:rPr>
          <w:sz w:val="22"/>
          <w:szCs w:val="22"/>
        </w:rPr>
        <w:t>gpm</w:t>
      </w:r>
      <w:proofErr w:type="spellEnd"/>
      <w:r w:rsidRPr="00662392">
        <w:rPr>
          <w:sz w:val="22"/>
          <w:szCs w:val="22"/>
        </w:rPr>
        <w:t xml:space="preserve"> is </w:t>
      </w:r>
      <w:proofErr w:type="gramStart"/>
      <w:r w:rsidRPr="00662392">
        <w:rPr>
          <w:sz w:val="22"/>
          <w:szCs w:val="22"/>
        </w:rPr>
        <w:t>sufficient</w:t>
      </w:r>
      <w:proofErr w:type="gramEnd"/>
      <w:r w:rsidRPr="00662392">
        <w:rPr>
          <w:sz w:val="22"/>
          <w:szCs w:val="22"/>
        </w:rPr>
        <w:t xml:space="preserve"> to meet all necessary functions and that no safety limits would be challenged as a result of the flow reduction.  The licensee decides to leave the pumps in the plant as is rather than replace the pumps to restore the originally stated capability.  The licensee revises the </w:t>
      </w:r>
    </w:p>
    <w:p w14:paraId="6420824A" w14:textId="481F6992" w:rsidR="0018273E" w:rsidRPr="00662392" w:rsidRDefault="0018273E" w:rsidP="00194415">
      <w:pPr>
        <w:rPr>
          <w:sz w:val="22"/>
          <w:szCs w:val="22"/>
        </w:rPr>
      </w:pPr>
      <w:r w:rsidRPr="00662392">
        <w:rPr>
          <w:sz w:val="22"/>
          <w:szCs w:val="22"/>
        </w:rPr>
        <w:lastRenderedPageBreak/>
        <w:t xml:space="preserve">UFSAR to state that the AFW system will deliver 500 </w:t>
      </w:r>
      <w:proofErr w:type="spellStart"/>
      <w:r w:rsidRPr="00662392">
        <w:rPr>
          <w:sz w:val="22"/>
          <w:szCs w:val="22"/>
        </w:rPr>
        <w:t>gpm</w:t>
      </w:r>
      <w:proofErr w:type="spellEnd"/>
      <w:r w:rsidRPr="00662392">
        <w:rPr>
          <w:sz w:val="22"/>
          <w:szCs w:val="22"/>
        </w:rPr>
        <w:t xml:space="preserve"> during postulated accidents or for transients involving a loss-of-offsite power.</w:t>
      </w:r>
    </w:p>
    <w:p w14:paraId="4E333729" w14:textId="77777777" w:rsidR="0018273E" w:rsidRPr="00662392" w:rsidRDefault="0018273E" w:rsidP="00194415">
      <w:pPr>
        <w:rPr>
          <w:sz w:val="22"/>
          <w:szCs w:val="22"/>
        </w:rPr>
      </w:pPr>
    </w:p>
    <w:p w14:paraId="1DD7F76A" w14:textId="77777777" w:rsidR="0018273E" w:rsidRPr="00662392" w:rsidRDefault="0018273E" w:rsidP="00194415">
      <w:pPr>
        <w:widowControl/>
        <w:rPr>
          <w:sz w:val="22"/>
          <w:szCs w:val="22"/>
        </w:rPr>
      </w:pPr>
      <w:bookmarkStart w:id="96" w:name="_Hlk51914031"/>
      <w:r w:rsidRPr="00662392">
        <w:rPr>
          <w:sz w:val="22"/>
          <w:szCs w:val="22"/>
        </w:rPr>
        <w:t xml:space="preserve">Under 10 CFR 50.59(c)(2)(vii), the licensee </w:t>
      </w:r>
      <w:proofErr w:type="gramStart"/>
      <w:r w:rsidRPr="00662392">
        <w:rPr>
          <w:sz w:val="22"/>
          <w:szCs w:val="22"/>
        </w:rPr>
        <w:t>has to</w:t>
      </w:r>
      <w:proofErr w:type="gramEnd"/>
      <w:r w:rsidRPr="00662392">
        <w:rPr>
          <w:sz w:val="22"/>
          <w:szCs w:val="22"/>
        </w:rPr>
        <w:t xml:space="preserve"> assess the impact of the reduced flow rate on the design limits of the fission product barriers.  The licensee has to identify the system parameters that vary as a result of the changes in AFW system performance, identify the specific design limits that have the potential to affect the fission product barrier performance, and complete the analyses to determine whether the specific design limits for the fission product barriers are challenged.  In this example, it is assumed that the licensee did not change the method of evaluation for the safety analyses.  If the licensee had used a different methodology from that used initially in establishing that the limits were met, then, the licensee may have to submit the revised analyses under 10 CFR 50.59(c)(2)(viii) of the revised rule.  For this example, the licensee has to complete the evaluations required by 10 CFR 50.59 but does not have to submit a license amendment request to lower the expected flow rate of the AFW system, from that stated in the UFSAR, to the lower as-found value, nor would a licensee have to request an amendment to remove the old pumps and replace the pumps with new pumps that provide the lower capacity assumed in this example.  The basis for this conclusion is that the licensee analyses determined that the design limits of the fission product barriers are not challenged and, therefore, that the fundamental basis for the NRC staff’s initial safety conclusion is maintained.</w:t>
      </w:r>
      <w:bookmarkEnd w:id="96"/>
    </w:p>
    <w:p w14:paraId="013B56FB" w14:textId="77777777" w:rsidR="0018273E" w:rsidRPr="00662392" w:rsidRDefault="0018273E" w:rsidP="00194415">
      <w:pPr>
        <w:rPr>
          <w:sz w:val="22"/>
          <w:szCs w:val="22"/>
        </w:rPr>
      </w:pPr>
    </w:p>
    <w:p w14:paraId="5C849ADF" w14:textId="05CE7F6C" w:rsidR="0018273E" w:rsidRPr="00662392" w:rsidRDefault="0018273E" w:rsidP="00194415">
      <w:pPr>
        <w:rPr>
          <w:sz w:val="22"/>
          <w:szCs w:val="22"/>
        </w:rPr>
      </w:pPr>
      <w:r w:rsidRPr="00662392">
        <w:rPr>
          <w:sz w:val="22"/>
          <w:szCs w:val="22"/>
          <w:u w:val="single"/>
        </w:rPr>
        <w:t>Example 2</w:t>
      </w:r>
      <w:r w:rsidRPr="00662392">
        <w:rPr>
          <w:sz w:val="22"/>
          <w:szCs w:val="22"/>
        </w:rPr>
        <w:t>:</w:t>
      </w:r>
      <w:r w:rsidR="00653A9C" w:rsidRPr="00662392">
        <w:rPr>
          <w:sz w:val="22"/>
          <w:szCs w:val="22"/>
        </w:rPr>
        <w:t xml:space="preserve"> </w:t>
      </w:r>
      <w:r w:rsidR="00E47F2A" w:rsidRPr="00662392">
        <w:rPr>
          <w:sz w:val="22"/>
          <w:szCs w:val="22"/>
        </w:rPr>
        <w:t xml:space="preserve"> </w:t>
      </w:r>
      <w:r w:rsidRPr="00662392">
        <w:rPr>
          <w:sz w:val="22"/>
          <w:szCs w:val="22"/>
        </w:rPr>
        <w:t xml:space="preserve">A facility UFSAR states that some of the functions of the component cooling water (CCW) system are to provide cooling water flow to the reactor coolant pump seals and to the shell side of the residual heat removal system (RHR) heat exchangers.  The UFSAR states that the CCW system provides 400 </w:t>
      </w:r>
      <w:proofErr w:type="spellStart"/>
      <w:r w:rsidR="00BF71A6" w:rsidRPr="00662392">
        <w:rPr>
          <w:sz w:val="22"/>
          <w:szCs w:val="22"/>
        </w:rPr>
        <w:t>gpm</w:t>
      </w:r>
      <w:proofErr w:type="spellEnd"/>
      <w:r w:rsidRPr="00662392">
        <w:rPr>
          <w:sz w:val="22"/>
          <w:szCs w:val="22"/>
        </w:rPr>
        <w:t xml:space="preserve">, 100 </w:t>
      </w:r>
      <w:proofErr w:type="spellStart"/>
      <w:r w:rsidRPr="00662392">
        <w:rPr>
          <w:sz w:val="22"/>
          <w:szCs w:val="22"/>
        </w:rPr>
        <w:t>gpm</w:t>
      </w:r>
      <w:proofErr w:type="spellEnd"/>
      <w:r w:rsidRPr="00662392">
        <w:rPr>
          <w:sz w:val="22"/>
          <w:szCs w:val="22"/>
        </w:rPr>
        <w:t xml:space="preserve"> for the seals and 300 </w:t>
      </w:r>
      <w:proofErr w:type="spellStart"/>
      <w:r w:rsidRPr="00662392">
        <w:rPr>
          <w:sz w:val="22"/>
          <w:szCs w:val="22"/>
        </w:rPr>
        <w:t>gpm</w:t>
      </w:r>
      <w:proofErr w:type="spellEnd"/>
      <w:r w:rsidRPr="00662392">
        <w:rPr>
          <w:sz w:val="22"/>
          <w:szCs w:val="22"/>
        </w:rPr>
        <w:t xml:space="preserve"> for the RHR heat exchanger.  The licensee has recently obtained a new reactor coolant pump seal which requires an additional 25 </w:t>
      </w:r>
      <w:proofErr w:type="spellStart"/>
      <w:r w:rsidRPr="00662392">
        <w:rPr>
          <w:sz w:val="22"/>
          <w:szCs w:val="22"/>
        </w:rPr>
        <w:t>gpm</w:t>
      </w:r>
      <w:proofErr w:type="spellEnd"/>
      <w:r w:rsidRPr="00662392">
        <w:rPr>
          <w:sz w:val="22"/>
          <w:szCs w:val="22"/>
        </w:rPr>
        <w:t xml:space="preserve"> of cooling flow.  The licensee plans to revise the flow distribution such that 125 </w:t>
      </w:r>
      <w:proofErr w:type="spellStart"/>
      <w:r w:rsidRPr="00662392">
        <w:rPr>
          <w:sz w:val="22"/>
          <w:szCs w:val="22"/>
        </w:rPr>
        <w:t>gpm</w:t>
      </w:r>
      <w:proofErr w:type="spellEnd"/>
      <w:r w:rsidRPr="00662392">
        <w:rPr>
          <w:sz w:val="22"/>
          <w:szCs w:val="22"/>
        </w:rPr>
        <w:t xml:space="preserve"> is directed to the seals, and 275 </w:t>
      </w:r>
      <w:proofErr w:type="spellStart"/>
      <w:r w:rsidRPr="00662392">
        <w:rPr>
          <w:sz w:val="22"/>
          <w:szCs w:val="22"/>
        </w:rPr>
        <w:t>gpm</w:t>
      </w:r>
      <w:proofErr w:type="spellEnd"/>
      <w:r w:rsidRPr="00662392">
        <w:rPr>
          <w:sz w:val="22"/>
          <w:szCs w:val="22"/>
        </w:rPr>
        <w:t xml:space="preserve"> to the RHR heat exchangers.  The licensee performs analyses to determine that with the reduced CCW flow to the RHR heat exchangers, the RHR system can still perform its required functions with required limits, as for example, removing sufficient decay heat to cool down within required time frames, keeping post-accident temperatures within required limits, etc.  </w:t>
      </w:r>
      <w:r w:rsidR="000855AE" w:rsidRPr="00662392">
        <w:rPr>
          <w:sz w:val="22"/>
          <w:szCs w:val="22"/>
        </w:rPr>
        <w:t xml:space="preserve">The licensee would satisfy </w:t>
      </w:r>
      <w:r w:rsidR="00F51057" w:rsidRPr="00662392">
        <w:rPr>
          <w:sz w:val="22"/>
          <w:szCs w:val="22"/>
        </w:rPr>
        <w:t>10 CFR 50.59</w:t>
      </w:r>
      <w:r w:rsidR="00616720" w:rsidRPr="00662392">
        <w:rPr>
          <w:sz w:val="22"/>
          <w:szCs w:val="22"/>
        </w:rPr>
        <w:t>(c)</w:t>
      </w:r>
      <w:r w:rsidR="00F51057" w:rsidRPr="00662392">
        <w:rPr>
          <w:sz w:val="22"/>
          <w:szCs w:val="22"/>
        </w:rPr>
        <w:t>(</w:t>
      </w:r>
      <w:r w:rsidR="00B8015B" w:rsidRPr="00662392">
        <w:rPr>
          <w:sz w:val="22"/>
          <w:szCs w:val="22"/>
        </w:rPr>
        <w:t>2)(</w:t>
      </w:r>
      <w:r w:rsidR="000855AE" w:rsidRPr="00662392">
        <w:rPr>
          <w:sz w:val="22"/>
          <w:szCs w:val="22"/>
        </w:rPr>
        <w:t>vii) and be able to make this change under 10 CFR 50.59</w:t>
      </w:r>
      <w:r w:rsidRPr="00662392">
        <w:rPr>
          <w:sz w:val="22"/>
          <w:szCs w:val="22"/>
        </w:rPr>
        <w:t>.</w:t>
      </w:r>
    </w:p>
    <w:p w14:paraId="663645FC" w14:textId="77777777" w:rsidR="0018273E" w:rsidRPr="00662392" w:rsidRDefault="0018273E" w:rsidP="00194415">
      <w:pPr>
        <w:rPr>
          <w:sz w:val="22"/>
          <w:szCs w:val="22"/>
        </w:rPr>
      </w:pPr>
    </w:p>
    <w:p w14:paraId="3DB147C1" w14:textId="77777777" w:rsidR="000E0ACD" w:rsidRDefault="0018273E" w:rsidP="00194415">
      <w:pPr>
        <w:rPr>
          <w:sz w:val="22"/>
          <w:szCs w:val="22"/>
        </w:rPr>
      </w:pPr>
      <w:r w:rsidRPr="00662392">
        <w:rPr>
          <w:sz w:val="22"/>
          <w:szCs w:val="22"/>
          <w:u w:val="single"/>
        </w:rPr>
        <w:t>Example 3</w:t>
      </w:r>
      <w:r w:rsidRPr="00662392">
        <w:rPr>
          <w:sz w:val="22"/>
          <w:szCs w:val="22"/>
        </w:rPr>
        <w:t>:</w:t>
      </w:r>
      <w:r w:rsidR="00E47F2A" w:rsidRPr="00662392">
        <w:rPr>
          <w:sz w:val="22"/>
          <w:szCs w:val="22"/>
        </w:rPr>
        <w:t xml:space="preserve"> </w:t>
      </w:r>
      <w:r w:rsidR="00653A9C" w:rsidRPr="00662392">
        <w:rPr>
          <w:sz w:val="22"/>
          <w:szCs w:val="22"/>
        </w:rPr>
        <w:t xml:space="preserve"> </w:t>
      </w:r>
      <w:r w:rsidRPr="00662392">
        <w:rPr>
          <w:sz w:val="22"/>
          <w:szCs w:val="22"/>
        </w:rPr>
        <w:t>A licensee discovers an error in the primary system pressure boundary piping fatigue calculation performed to demonstrate compliance with the ASME Code requirements.  A corrected calculation shows that the fatigue criterion is exceeded (for the postulated UFSAR events).  A change to the licensing basis to accept revised fatigue criteria requires review under 10 CFR 50.59(c)(2)(vii) because the design basis limit for one of the fission product barriers (reactor coolant system piping) is exceeded or altered.  (This change also does not meet 10 CFR 50.59(c)(2)(</w:t>
      </w:r>
      <w:proofErr w:type="spellStart"/>
      <w:r w:rsidRPr="00662392">
        <w:rPr>
          <w:sz w:val="22"/>
          <w:szCs w:val="22"/>
        </w:rPr>
        <w:t>i</w:t>
      </w:r>
      <w:proofErr w:type="spellEnd"/>
      <w:r w:rsidRPr="00662392">
        <w:rPr>
          <w:sz w:val="22"/>
          <w:szCs w:val="22"/>
        </w:rPr>
        <w:t>), “minimal increase in frequency of occurrence of an accident” because of potential failure of piping due to fatigue cracking, leading to loss of piping system integrity.)</w:t>
      </w:r>
    </w:p>
    <w:p w14:paraId="754668AF" w14:textId="77777777" w:rsidR="00C1473C" w:rsidRDefault="00C1473C" w:rsidP="00194415">
      <w:pPr>
        <w:rPr>
          <w:sz w:val="22"/>
          <w:szCs w:val="22"/>
        </w:rPr>
      </w:pPr>
    </w:p>
    <w:p w14:paraId="20113017" w14:textId="138BD6C3" w:rsidR="0018273E" w:rsidRPr="00662392" w:rsidRDefault="00F40C0C" w:rsidP="00194415">
      <w:pPr>
        <w:rPr>
          <w:sz w:val="22"/>
          <w:szCs w:val="22"/>
          <w:u w:val="single"/>
        </w:rPr>
      </w:pPr>
      <w:r w:rsidRPr="00662392">
        <w:rPr>
          <w:sz w:val="22"/>
          <w:szCs w:val="22"/>
        </w:rPr>
        <w:t>06.21</w:t>
      </w:r>
      <w:r w:rsidRPr="00662392">
        <w:rPr>
          <w:sz w:val="22"/>
          <w:szCs w:val="22"/>
        </w:rPr>
        <w:tab/>
      </w:r>
      <w:r w:rsidRPr="00662392">
        <w:rPr>
          <w:sz w:val="22"/>
          <w:szCs w:val="22"/>
          <w:u w:val="single"/>
        </w:rPr>
        <w:t xml:space="preserve">Review Licensee Evaluation of Criterion </w:t>
      </w:r>
      <w:r w:rsidR="00204B11" w:rsidRPr="00662392">
        <w:rPr>
          <w:sz w:val="22"/>
          <w:szCs w:val="22"/>
          <w:u w:val="single"/>
        </w:rPr>
        <w:t>(c)(2)</w:t>
      </w:r>
      <w:r w:rsidR="00BF1FA5" w:rsidRPr="00662392">
        <w:rPr>
          <w:sz w:val="22"/>
          <w:szCs w:val="22"/>
          <w:u w:val="single"/>
        </w:rPr>
        <w:t>(viii)</w:t>
      </w:r>
      <w:r w:rsidRPr="00662392">
        <w:rPr>
          <w:sz w:val="22"/>
          <w:szCs w:val="22"/>
          <w:u w:val="single"/>
        </w:rPr>
        <w:fldChar w:fldCharType="begin"/>
      </w:r>
      <w:r w:rsidRPr="00662392">
        <w:rPr>
          <w:sz w:val="22"/>
          <w:szCs w:val="22"/>
        </w:rPr>
        <w:instrText xml:space="preserve"> TC "</w:instrText>
      </w:r>
      <w:bookmarkStart w:id="97" w:name="_Toc62642912"/>
      <w:bookmarkStart w:id="98" w:name="_Toc63142094"/>
      <w:r w:rsidRPr="00662392">
        <w:rPr>
          <w:sz w:val="22"/>
          <w:szCs w:val="22"/>
        </w:rPr>
        <w:instrText>06.21</w:instrText>
      </w:r>
      <w:r w:rsidRPr="00662392">
        <w:rPr>
          <w:sz w:val="22"/>
          <w:szCs w:val="22"/>
        </w:rPr>
        <w:tab/>
      </w:r>
      <w:r w:rsidRPr="00662392">
        <w:rPr>
          <w:sz w:val="22"/>
          <w:szCs w:val="22"/>
          <w:u w:val="single"/>
        </w:rPr>
        <w:instrText>Review Licensee Evaluation of Criterion (c)(2)(viii)</w:instrText>
      </w:r>
      <w:bookmarkEnd w:id="97"/>
      <w:bookmarkEnd w:id="98"/>
      <w:r w:rsidRPr="00662392">
        <w:rPr>
          <w:sz w:val="22"/>
          <w:szCs w:val="22"/>
        </w:rPr>
        <w:instrText xml:space="preserve">" \f C \l "2" </w:instrText>
      </w:r>
      <w:r w:rsidRPr="00662392">
        <w:rPr>
          <w:sz w:val="22"/>
          <w:szCs w:val="22"/>
          <w:u w:val="single"/>
        </w:rPr>
        <w:fldChar w:fldCharType="end"/>
      </w:r>
    </w:p>
    <w:p w14:paraId="4E6EAC3C" w14:textId="77777777" w:rsidR="0018273E" w:rsidRPr="00662392" w:rsidRDefault="0018273E" w:rsidP="00194415">
      <w:pPr>
        <w:rPr>
          <w:sz w:val="22"/>
          <w:szCs w:val="22"/>
        </w:rPr>
      </w:pPr>
    </w:p>
    <w:p w14:paraId="3624203B" w14:textId="77777777" w:rsidR="00C1473C" w:rsidRDefault="0018273E" w:rsidP="00194415">
      <w:pPr>
        <w:rPr>
          <w:sz w:val="22"/>
          <w:szCs w:val="22"/>
        </w:rPr>
        <w:sectPr w:rsidR="00C1473C" w:rsidSect="00012998">
          <w:footerReference w:type="default" r:id="rId40"/>
          <w:pgSz w:w="12240" w:h="15840" w:code="1"/>
          <w:pgMar w:top="1440" w:right="1440" w:bottom="1440" w:left="1440" w:header="720" w:footer="720" w:gutter="0"/>
          <w:cols w:space="720"/>
          <w:noEndnote/>
          <w:docGrid w:linePitch="326"/>
        </w:sectPr>
      </w:pPr>
      <w:bookmarkStart w:id="99" w:name="_Hlk51920351"/>
      <w:r w:rsidRPr="00662392">
        <w:rPr>
          <w:sz w:val="22"/>
          <w:szCs w:val="22"/>
        </w:rPr>
        <w:t>10 CFR 50.59(c)(2)(viii)</w:t>
      </w:r>
      <w:bookmarkEnd w:id="99"/>
      <w:r w:rsidR="00BF1FA5" w:rsidRPr="00662392">
        <w:rPr>
          <w:sz w:val="22"/>
          <w:szCs w:val="22"/>
        </w:rPr>
        <w:t xml:space="preserve"> focuses on whether</w:t>
      </w:r>
      <w:r w:rsidRPr="00662392">
        <w:rPr>
          <w:sz w:val="22"/>
          <w:szCs w:val="22"/>
        </w:rPr>
        <w:t xml:space="preserve"> the CTE</w:t>
      </w:r>
      <w:r w:rsidR="00A612A3" w:rsidRPr="00662392">
        <w:rPr>
          <w:sz w:val="22"/>
          <w:szCs w:val="22"/>
        </w:rPr>
        <w:t xml:space="preserve"> would</w:t>
      </w:r>
      <w:r w:rsidRPr="00662392">
        <w:rPr>
          <w:sz w:val="22"/>
          <w:szCs w:val="22"/>
        </w:rPr>
        <w:t xml:space="preserve"> result in a departure from a method of evaluation described in the UFSAR used in establishing the design bases or in the safety analyses.  </w:t>
      </w:r>
      <w:bookmarkStart w:id="100" w:name="_Hlk51919731"/>
      <w:r w:rsidRPr="00662392">
        <w:rPr>
          <w:sz w:val="22"/>
          <w:szCs w:val="22"/>
        </w:rPr>
        <w:t xml:space="preserve">See Section 04.02 of this IMC for definition of departure from a method of evaluation described in the UFSAR.  </w:t>
      </w:r>
      <w:bookmarkEnd w:id="100"/>
    </w:p>
    <w:p w14:paraId="4E6F1F6B" w14:textId="77777777" w:rsidR="0018273E" w:rsidRPr="00662392" w:rsidRDefault="0018273E" w:rsidP="00194415">
      <w:pPr>
        <w:rPr>
          <w:sz w:val="22"/>
          <w:szCs w:val="22"/>
        </w:rPr>
      </w:pPr>
    </w:p>
    <w:p w14:paraId="2C8149CF" w14:textId="36B433E8" w:rsidR="005067F1" w:rsidRDefault="0018273E" w:rsidP="00194415">
      <w:pPr>
        <w:rPr>
          <w:sz w:val="22"/>
          <w:szCs w:val="22"/>
        </w:rPr>
      </w:pPr>
      <w:r w:rsidRPr="00662392">
        <w:rPr>
          <w:sz w:val="22"/>
          <w:szCs w:val="22"/>
        </w:rPr>
        <w:t xml:space="preserve">Inspectors should recognize that the SOCs for 10 CFR 50.59 state this criterion is specifically used for changes to methods of evaluation.  </w:t>
      </w:r>
      <w:r w:rsidR="00CA40D9" w:rsidRPr="00662392">
        <w:rPr>
          <w:sz w:val="22"/>
          <w:szCs w:val="22"/>
        </w:rPr>
        <w:t>Unless the methods are used in FSAR safety</w:t>
      </w:r>
      <w:r w:rsidR="005D5D2B">
        <w:rPr>
          <w:sz w:val="22"/>
          <w:szCs w:val="22"/>
        </w:rPr>
        <w:t xml:space="preserve"> </w:t>
      </w:r>
      <w:r w:rsidR="00CA40D9" w:rsidRPr="00662392">
        <w:rPr>
          <w:sz w:val="22"/>
          <w:szCs w:val="22"/>
        </w:rPr>
        <w:t>analyses, as demonstrating that the facility performance continues to meet requirements, or to verify conformance with the design bases, they would not meet the rule requirements for approval.</w:t>
      </w:r>
      <w:r w:rsidRPr="00662392">
        <w:rPr>
          <w:sz w:val="22"/>
          <w:szCs w:val="22"/>
        </w:rPr>
        <w:t xml:space="preserve">  </w:t>
      </w:r>
      <w:r w:rsidR="00D778A0">
        <w:rPr>
          <w:sz w:val="22"/>
          <w:szCs w:val="22"/>
        </w:rPr>
        <w:t>F</w:t>
      </w:r>
      <w:r w:rsidRPr="00662392">
        <w:rPr>
          <w:sz w:val="22"/>
          <w:szCs w:val="22"/>
        </w:rPr>
        <w:t>or example, if a licensee chose to perform sensitivity studies or to examine alternative approaches for a change being contemplated or included other analyses in the UFSAR for reference purposes, these methods are not subject to 10 CFR 50.59.  It is at the</w:t>
      </w:r>
    </w:p>
    <w:p w14:paraId="560461E2" w14:textId="77777777" w:rsidR="005067F1" w:rsidRDefault="005067F1" w:rsidP="00194415">
      <w:pPr>
        <w:rPr>
          <w:sz w:val="22"/>
          <w:szCs w:val="22"/>
        </w:rPr>
      </w:pPr>
    </w:p>
    <w:p w14:paraId="18153D64" w14:textId="012C10F8" w:rsidR="0018273E" w:rsidRPr="00662392" w:rsidRDefault="0018273E" w:rsidP="00194415">
      <w:pPr>
        <w:rPr>
          <w:sz w:val="22"/>
          <w:szCs w:val="22"/>
        </w:rPr>
      </w:pPr>
      <w:r w:rsidRPr="00662392">
        <w:rPr>
          <w:sz w:val="22"/>
          <w:szCs w:val="22"/>
        </w:rPr>
        <w:t>point in time that the revised method becomes the means used for purposes of satisfying UFSAR safety analysis or design bases requirements that NRC approval becomes necessary.</w:t>
      </w:r>
    </w:p>
    <w:p w14:paraId="01E0DFED" w14:textId="77777777" w:rsidR="0018273E" w:rsidRPr="00662392" w:rsidRDefault="0018273E" w:rsidP="00194415">
      <w:pPr>
        <w:rPr>
          <w:sz w:val="22"/>
          <w:szCs w:val="22"/>
        </w:rPr>
      </w:pPr>
    </w:p>
    <w:p w14:paraId="2AFB3C39" w14:textId="0F6E8FFD" w:rsidR="0018273E" w:rsidRPr="00662392" w:rsidRDefault="001E663D" w:rsidP="00194415">
      <w:pPr>
        <w:rPr>
          <w:sz w:val="22"/>
          <w:szCs w:val="22"/>
        </w:rPr>
      </w:pPr>
      <w:r w:rsidRPr="00662392">
        <w:rPr>
          <w:sz w:val="22"/>
          <w:szCs w:val="22"/>
        </w:rPr>
        <w:t>If the result from the revised method is further from the established limit than under the previous method, the revised method is in the nonconservative direction. When judging conservatism of a change in methods, a predicted result closer to an established limit is conservative, in that there is less opportunity for other changes without triggering the need for NRC review and approval. (In contrast, a facility change, which when evaluated (with no change in methods) results in a value further from the limit, is a "conservative" facility change. The difference is that it is the facility change that causes "more margin" in the actual expected result, as contrasted to an analytical result arising from a change to methodology).</w:t>
      </w:r>
      <w:bookmarkStart w:id="101" w:name="_Hlk51922654"/>
      <w:r w:rsidR="0018273E" w:rsidRPr="00662392">
        <w:rPr>
          <w:sz w:val="22"/>
          <w:szCs w:val="22"/>
        </w:rPr>
        <w:t xml:space="preserve">  </w:t>
      </w:r>
      <w:bookmarkEnd w:id="101"/>
    </w:p>
    <w:p w14:paraId="0342283C" w14:textId="77777777" w:rsidR="0018273E" w:rsidRPr="00662392" w:rsidRDefault="0018273E" w:rsidP="00194415">
      <w:pPr>
        <w:rPr>
          <w:sz w:val="22"/>
          <w:szCs w:val="22"/>
        </w:rPr>
      </w:pPr>
    </w:p>
    <w:p w14:paraId="1C0E41E4" w14:textId="2F61E894" w:rsidR="0018273E" w:rsidRPr="00662392" w:rsidRDefault="0018273E" w:rsidP="00194415">
      <w:pPr>
        <w:rPr>
          <w:sz w:val="22"/>
          <w:szCs w:val="22"/>
        </w:rPr>
      </w:pPr>
      <w:r w:rsidRPr="00662392">
        <w:rPr>
          <w:sz w:val="22"/>
          <w:szCs w:val="22"/>
        </w:rPr>
        <w:t>Licensees</w:t>
      </w:r>
      <w:r w:rsidR="00D45615" w:rsidRPr="00662392">
        <w:rPr>
          <w:sz w:val="22"/>
          <w:szCs w:val="22"/>
        </w:rPr>
        <w:t>’</w:t>
      </w:r>
      <w:r w:rsidRPr="00662392">
        <w:rPr>
          <w:sz w:val="22"/>
          <w:szCs w:val="22"/>
        </w:rPr>
        <w:t xml:space="preserve"> results are “essentially the same” if they are within the margin of error needed for the type of analysis being performed even if t</w:t>
      </w:r>
      <w:r w:rsidR="00D45615" w:rsidRPr="00662392">
        <w:rPr>
          <w:sz w:val="22"/>
          <w:szCs w:val="22"/>
        </w:rPr>
        <w:t>r</w:t>
      </w:r>
      <w:r w:rsidRPr="00662392">
        <w:rPr>
          <w:sz w:val="22"/>
          <w:szCs w:val="22"/>
        </w:rPr>
        <w:t>ending in the nonconservative direction.  Licensees</w:t>
      </w:r>
      <w:r w:rsidR="005C2A59" w:rsidRPr="00662392">
        <w:rPr>
          <w:sz w:val="22"/>
          <w:szCs w:val="22"/>
        </w:rPr>
        <w:t>’</w:t>
      </w:r>
      <w:r w:rsidRPr="00662392">
        <w:rPr>
          <w:sz w:val="22"/>
          <w:szCs w:val="22"/>
        </w:rPr>
        <w:t xml:space="preserve"> results are essentially the same if the variation in results </w:t>
      </w:r>
      <w:r w:rsidR="00A710C8" w:rsidRPr="00662392">
        <w:rPr>
          <w:sz w:val="22"/>
          <w:szCs w:val="22"/>
        </w:rPr>
        <w:t>due to</w:t>
      </w:r>
      <w:r w:rsidRPr="00662392">
        <w:rPr>
          <w:sz w:val="22"/>
          <w:szCs w:val="22"/>
        </w:rPr>
        <w:t xml:space="preserve"> the change to the method is explainable as routine analysis sensitivities</w:t>
      </w:r>
      <w:r w:rsidR="00AE599F" w:rsidRPr="00662392">
        <w:rPr>
          <w:sz w:val="22"/>
          <w:szCs w:val="22"/>
        </w:rPr>
        <w:t>,</w:t>
      </w:r>
      <w:r w:rsidRPr="00662392">
        <w:rPr>
          <w:sz w:val="22"/>
          <w:szCs w:val="22"/>
        </w:rPr>
        <w:t xml:space="preserve"> and the differences in the results are not a factor in determining whether any limits or criteria are satisfied.  The licensee’s determination can be made through benchmarking (</w:t>
      </w:r>
      <w:r w:rsidR="006405F6" w:rsidRPr="00662392">
        <w:rPr>
          <w:sz w:val="22"/>
          <w:szCs w:val="22"/>
        </w:rPr>
        <w:t xml:space="preserve">e.g., </w:t>
      </w:r>
      <w:r w:rsidRPr="00662392">
        <w:rPr>
          <w:sz w:val="22"/>
          <w:szCs w:val="22"/>
        </w:rPr>
        <w:t xml:space="preserve">new </w:t>
      </w:r>
      <w:r w:rsidR="006405F6" w:rsidRPr="00662392">
        <w:rPr>
          <w:sz w:val="22"/>
          <w:szCs w:val="22"/>
        </w:rPr>
        <w:t>versus</w:t>
      </w:r>
      <w:r w:rsidRPr="00662392">
        <w:rPr>
          <w:sz w:val="22"/>
          <w:szCs w:val="22"/>
        </w:rPr>
        <w:t xml:space="preserve"> old method)</w:t>
      </w:r>
      <w:r w:rsidR="006405F6" w:rsidRPr="00662392">
        <w:rPr>
          <w:sz w:val="22"/>
          <w:szCs w:val="22"/>
        </w:rPr>
        <w:t>,</w:t>
      </w:r>
      <w:r w:rsidRPr="00662392">
        <w:rPr>
          <w:sz w:val="22"/>
          <w:szCs w:val="22"/>
        </w:rPr>
        <w:t xml:space="preserve"> or may be apparent from the nature of the changes between the methods.  When licensees benchmark a method to determine how it compares to the previous one, the analyses that are done must be for the same set of plant conditions</w:t>
      </w:r>
      <w:r w:rsidR="00CF7CE8" w:rsidRPr="00662392">
        <w:rPr>
          <w:sz w:val="22"/>
          <w:szCs w:val="22"/>
        </w:rPr>
        <w:t>;</w:t>
      </w:r>
      <w:r w:rsidRPr="00662392">
        <w:rPr>
          <w:sz w:val="22"/>
          <w:szCs w:val="22"/>
        </w:rPr>
        <w:t xml:space="preserve"> otherwise, the results are not comparable.  Approval for intended application includes the licensee assuring that the approved method is approved for the type of analysis being conducted, generically approved for the type of facility using it, and that all terms and conditions for use of the method are satisfied.  The intent of this criterion is to limit the need for review to those changes to methods that could impact upon the acceptability of performance were the results to be at the limiting values.</w:t>
      </w:r>
    </w:p>
    <w:p w14:paraId="6A02953B" w14:textId="77777777" w:rsidR="0018273E" w:rsidRPr="00662392" w:rsidRDefault="0018273E" w:rsidP="00194415">
      <w:pPr>
        <w:widowControl/>
        <w:rPr>
          <w:sz w:val="22"/>
          <w:szCs w:val="22"/>
        </w:rPr>
      </w:pPr>
    </w:p>
    <w:p w14:paraId="38CE5582" w14:textId="77777777" w:rsidR="000E0ACD" w:rsidRDefault="0018273E" w:rsidP="00194415">
      <w:pPr>
        <w:widowControl/>
        <w:rPr>
          <w:sz w:val="22"/>
          <w:szCs w:val="22"/>
        </w:rPr>
      </w:pPr>
      <w:r w:rsidRPr="00662392">
        <w:rPr>
          <w:sz w:val="22"/>
          <w:szCs w:val="22"/>
        </w:rPr>
        <w:t>Design bases</w:t>
      </w:r>
      <w:r w:rsidR="000C14DE" w:rsidRPr="00662392">
        <w:rPr>
          <w:sz w:val="22"/>
          <w:szCs w:val="22"/>
        </w:rPr>
        <w:t>,</w:t>
      </w:r>
      <w:r w:rsidRPr="00662392">
        <w:rPr>
          <w:sz w:val="22"/>
          <w:szCs w:val="22"/>
        </w:rPr>
        <w:t xml:space="preserve"> as used in this criterion</w:t>
      </w:r>
      <w:r w:rsidR="000C14DE" w:rsidRPr="00662392">
        <w:rPr>
          <w:sz w:val="22"/>
          <w:szCs w:val="22"/>
        </w:rPr>
        <w:t>,</w:t>
      </w:r>
      <w:r w:rsidRPr="00662392">
        <w:rPr>
          <w:sz w:val="22"/>
          <w:szCs w:val="22"/>
        </w:rPr>
        <w:t xml:space="preserve"> is the definition contained in 10 CFR 50.2 and in particular those controlling values that are restraints derived from generally accepted practices for achieving functional goals or requirements derived from analysis of the effects of a postulated accident for which a SSC must meet its functional goals</w:t>
      </w:r>
      <w:r w:rsidR="00DA5ED2" w:rsidRPr="00662392">
        <w:rPr>
          <w:sz w:val="22"/>
          <w:szCs w:val="22"/>
        </w:rPr>
        <w:t>, or</w:t>
      </w:r>
      <w:r w:rsidR="002638C8" w:rsidRPr="00662392">
        <w:rPr>
          <w:sz w:val="22"/>
          <w:szCs w:val="22"/>
        </w:rPr>
        <w:t xml:space="preserve"> </w:t>
      </w:r>
      <w:r w:rsidR="00DA5ED2" w:rsidRPr="00662392">
        <w:rPr>
          <w:sz w:val="22"/>
          <w:szCs w:val="22"/>
        </w:rPr>
        <w:t>requirements derived from analysis of the effects of a postulated accident for which a SSC must meet its functional goals</w:t>
      </w:r>
      <w:r w:rsidRPr="00662392">
        <w:rPr>
          <w:sz w:val="22"/>
          <w:szCs w:val="22"/>
        </w:rPr>
        <w:t xml:space="preserve">.  Safety analyses are those evaluations that demonstrate that acceptance criteria for the facility’s capability to withstand or to respond to postulated events are met.  </w:t>
      </w:r>
    </w:p>
    <w:p w14:paraId="195C7C50" w14:textId="77777777" w:rsidR="00C1473C" w:rsidRDefault="00C1473C" w:rsidP="00194415">
      <w:pPr>
        <w:widowControl/>
        <w:rPr>
          <w:sz w:val="22"/>
          <w:szCs w:val="22"/>
        </w:rPr>
      </w:pPr>
    </w:p>
    <w:p w14:paraId="3943E53A" w14:textId="77777777" w:rsidR="00C1473C" w:rsidRDefault="0018273E" w:rsidP="00194415">
      <w:pPr>
        <w:widowControl/>
        <w:rPr>
          <w:sz w:val="22"/>
          <w:szCs w:val="22"/>
        </w:rPr>
        <w:sectPr w:rsidR="00C1473C" w:rsidSect="00012998">
          <w:footerReference w:type="default" r:id="rId41"/>
          <w:pgSz w:w="12240" w:h="15840" w:code="1"/>
          <w:pgMar w:top="1440" w:right="1440" w:bottom="1440" w:left="1440" w:header="720" w:footer="720" w:gutter="0"/>
          <w:cols w:space="720"/>
          <w:noEndnote/>
          <w:docGrid w:linePitch="326"/>
        </w:sectPr>
      </w:pPr>
      <w:r w:rsidRPr="00662392">
        <w:rPr>
          <w:sz w:val="22"/>
          <w:szCs w:val="22"/>
        </w:rPr>
        <w:t>This criterion applies to those methods of evaluation used for demonstrating that design basis limits for fission product barriers are met</w:t>
      </w:r>
      <w:r w:rsidR="00062CCE" w:rsidRPr="00662392">
        <w:rPr>
          <w:sz w:val="22"/>
          <w:szCs w:val="22"/>
        </w:rPr>
        <w:t xml:space="preserve"> </w:t>
      </w:r>
      <w:r w:rsidRPr="00662392">
        <w:rPr>
          <w:sz w:val="22"/>
          <w:szCs w:val="22"/>
        </w:rPr>
        <w:t xml:space="preserve">for other analyses </w:t>
      </w:r>
      <w:r w:rsidR="00B61B2F" w:rsidRPr="00662392">
        <w:rPr>
          <w:sz w:val="22"/>
          <w:szCs w:val="22"/>
        </w:rPr>
        <w:t>(</w:t>
      </w:r>
      <w:r w:rsidRPr="00662392">
        <w:rPr>
          <w:sz w:val="22"/>
          <w:szCs w:val="22"/>
        </w:rPr>
        <w:t>such as radiological consequences</w:t>
      </w:r>
      <w:r w:rsidR="00B61B2F" w:rsidRPr="00662392">
        <w:rPr>
          <w:sz w:val="22"/>
          <w:szCs w:val="22"/>
        </w:rPr>
        <w:t>)</w:t>
      </w:r>
      <w:r w:rsidRPr="00662392">
        <w:rPr>
          <w:sz w:val="22"/>
          <w:szCs w:val="22"/>
        </w:rPr>
        <w:t xml:space="preserve"> that are part of the safety analyses and for analyses that demonstrate that functional goals for SSC are met.  Included are those analyses that show that the SSC will function under limiting conditions such as natural phenomena, environmental conditions, dynamic effects, and so forth.  </w:t>
      </w:r>
    </w:p>
    <w:p w14:paraId="769EADC2" w14:textId="77777777" w:rsidR="0018273E" w:rsidRPr="00662392" w:rsidRDefault="0018273E" w:rsidP="00194415">
      <w:pPr>
        <w:widowControl/>
        <w:rPr>
          <w:sz w:val="22"/>
          <w:szCs w:val="22"/>
        </w:rPr>
      </w:pPr>
    </w:p>
    <w:p w14:paraId="407CDF2B" w14:textId="157DC6EE" w:rsidR="0018273E" w:rsidRPr="00662392" w:rsidRDefault="0018273E" w:rsidP="00194415">
      <w:pPr>
        <w:widowControl/>
        <w:rPr>
          <w:sz w:val="22"/>
          <w:szCs w:val="22"/>
        </w:rPr>
      </w:pPr>
      <w:r w:rsidRPr="00662392">
        <w:rPr>
          <w:sz w:val="22"/>
          <w:szCs w:val="22"/>
        </w:rPr>
        <w:t xml:space="preserve">However, only those methods that are used in establishing the design bases or in the safety analyses fall within this criterion.  </w:t>
      </w:r>
    </w:p>
    <w:p w14:paraId="118A397C" w14:textId="77777777" w:rsidR="0018273E" w:rsidRPr="00662392" w:rsidRDefault="0018273E" w:rsidP="00194415">
      <w:pPr>
        <w:widowControl/>
        <w:rPr>
          <w:sz w:val="22"/>
          <w:szCs w:val="22"/>
        </w:rPr>
      </w:pPr>
    </w:p>
    <w:p w14:paraId="0FE4BA26" w14:textId="77777777" w:rsidR="00653A9C" w:rsidRPr="00662392" w:rsidRDefault="0018273E" w:rsidP="00194415">
      <w:pPr>
        <w:widowControl/>
        <w:rPr>
          <w:sz w:val="22"/>
          <w:szCs w:val="22"/>
        </w:rPr>
      </w:pPr>
      <w:r w:rsidRPr="00662392">
        <w:rPr>
          <w:sz w:val="22"/>
          <w:szCs w:val="22"/>
        </w:rPr>
        <w:t>In addition, changes to time-limited aging analyses and evaluations of aging management programs required by 10 CFR 54.21(d) and 10 CFR 54.37(b) require licensee evaluation with respect to criterion (viii)</w:t>
      </w:r>
      <w:r w:rsidR="00E82DE5" w:rsidRPr="00662392">
        <w:rPr>
          <w:sz w:val="22"/>
          <w:szCs w:val="22"/>
        </w:rPr>
        <w:t>,</w:t>
      </w:r>
      <w:r w:rsidRPr="00662392">
        <w:rPr>
          <w:sz w:val="22"/>
          <w:szCs w:val="22"/>
        </w:rPr>
        <w:t xml:space="preserve"> to the extent that evaluation methods for these analyses are described in the UFSAR supplement.</w:t>
      </w:r>
      <w:bookmarkStart w:id="102" w:name="_Hlk51922441"/>
    </w:p>
    <w:p w14:paraId="49C355CB" w14:textId="77777777" w:rsidR="00653A9C" w:rsidRPr="00662392" w:rsidRDefault="00653A9C" w:rsidP="00194415">
      <w:pPr>
        <w:widowControl/>
        <w:rPr>
          <w:sz w:val="22"/>
          <w:szCs w:val="22"/>
        </w:rPr>
      </w:pPr>
    </w:p>
    <w:p w14:paraId="34A95C35" w14:textId="1293A2DC" w:rsidR="0018273E" w:rsidRPr="00662392" w:rsidRDefault="00B325B3" w:rsidP="00194415">
      <w:pPr>
        <w:widowControl/>
        <w:rPr>
          <w:sz w:val="22"/>
          <w:szCs w:val="22"/>
        </w:rPr>
      </w:pPr>
      <w:r w:rsidRPr="00662392">
        <w:rPr>
          <w:sz w:val="22"/>
          <w:szCs w:val="22"/>
        </w:rPr>
        <w:t>The SOCs further state that, t</w:t>
      </w:r>
      <w:r w:rsidR="0018273E" w:rsidRPr="00662392">
        <w:rPr>
          <w:sz w:val="22"/>
          <w:szCs w:val="22"/>
        </w:rPr>
        <w:t>o assure consistent implementation of this criterion, it is important for licensees to clearly distinguish between methods of evaluation and input parameters to the methods.  See Sections 04.03 and 04.04 of this IMC for definitions of methods of evaluation and input parameters, respectively.</w:t>
      </w:r>
      <w:r w:rsidR="007C3A00" w:rsidRPr="00662392">
        <w:rPr>
          <w:sz w:val="22"/>
          <w:szCs w:val="22"/>
        </w:rPr>
        <w:t xml:space="preserve"> </w:t>
      </w:r>
      <w:r w:rsidR="005067F1">
        <w:rPr>
          <w:sz w:val="22"/>
          <w:szCs w:val="22"/>
        </w:rPr>
        <w:t xml:space="preserve"> </w:t>
      </w:r>
      <w:r w:rsidR="007C3A00" w:rsidRPr="00662392">
        <w:rPr>
          <w:sz w:val="22"/>
          <w:szCs w:val="22"/>
        </w:rPr>
        <w:t xml:space="preserve">The SOCs also state that </w:t>
      </w:r>
      <w:bookmarkEnd w:id="102"/>
      <w:r w:rsidR="007C3A00" w:rsidRPr="00662392">
        <w:rPr>
          <w:sz w:val="22"/>
          <w:szCs w:val="22"/>
        </w:rPr>
        <w:t>l</w:t>
      </w:r>
      <w:r w:rsidR="0018273E" w:rsidRPr="00662392">
        <w:rPr>
          <w:sz w:val="22"/>
          <w:szCs w:val="22"/>
        </w:rPr>
        <w:t>icensees may use generic topical reports and not consider them a “departure” from a method of evaluation provided that the topical report is applicable to the licensee’s facility and is used by the licensee within the terms and conditions specified in the NRC-approved topical report.</w:t>
      </w:r>
    </w:p>
    <w:p w14:paraId="6043209D" w14:textId="77777777" w:rsidR="0018273E" w:rsidRPr="00662392" w:rsidRDefault="0018273E" w:rsidP="00194415">
      <w:pPr>
        <w:widowControl/>
        <w:rPr>
          <w:sz w:val="22"/>
          <w:szCs w:val="22"/>
        </w:rPr>
      </w:pPr>
    </w:p>
    <w:p w14:paraId="0A470C31" w14:textId="06623889" w:rsidR="0018273E" w:rsidRPr="00662392" w:rsidRDefault="00433604" w:rsidP="00194415">
      <w:pPr>
        <w:widowControl/>
        <w:rPr>
          <w:sz w:val="22"/>
          <w:szCs w:val="22"/>
        </w:rPr>
      </w:pPr>
      <w:r w:rsidRPr="00662392">
        <w:rPr>
          <w:sz w:val="22"/>
          <w:szCs w:val="22"/>
        </w:rPr>
        <w:t xml:space="preserve">As clarified in RG 1.187, Rev. 2, </w:t>
      </w:r>
      <w:r w:rsidR="0018273E" w:rsidRPr="00662392">
        <w:rPr>
          <w:sz w:val="22"/>
          <w:szCs w:val="22"/>
        </w:rPr>
        <w:t xml:space="preserve">10 CFR 50.59 allows licensees to document a methodology revision </w:t>
      </w:r>
      <w:r w:rsidR="0018273E" w:rsidRPr="00662392">
        <w:rPr>
          <w:sz w:val="22"/>
          <w:szCs w:val="22"/>
          <w:u w:val="single"/>
        </w:rPr>
        <w:t>either</w:t>
      </w:r>
      <w:r w:rsidR="0018273E" w:rsidRPr="00662392">
        <w:rPr>
          <w:sz w:val="22"/>
          <w:szCs w:val="22"/>
        </w:rPr>
        <w:t xml:space="preserve"> (1) as a change to any of the elements of the methodology described in the UFSAR (i.e., </w:t>
      </w:r>
      <w:r w:rsidR="00947487" w:rsidRPr="00662392">
        <w:rPr>
          <w:sz w:val="22"/>
          <w:szCs w:val="22"/>
        </w:rPr>
        <w:t>paragraph</w:t>
      </w:r>
      <w:r w:rsidR="00853FF5" w:rsidRPr="00662392">
        <w:rPr>
          <w:sz w:val="22"/>
          <w:szCs w:val="22"/>
        </w:rPr>
        <w:t xml:space="preserve"> </w:t>
      </w:r>
      <w:r w:rsidRPr="00662392">
        <w:rPr>
          <w:sz w:val="22"/>
          <w:szCs w:val="22"/>
        </w:rPr>
        <w:t>(</w:t>
      </w:r>
      <w:proofErr w:type="spellStart"/>
      <w:r w:rsidRPr="00662392">
        <w:rPr>
          <w:sz w:val="22"/>
          <w:szCs w:val="22"/>
        </w:rPr>
        <w:t>i</w:t>
      </w:r>
      <w:proofErr w:type="spellEnd"/>
      <w:r w:rsidRPr="00662392">
        <w:rPr>
          <w:sz w:val="22"/>
          <w:szCs w:val="22"/>
        </w:rPr>
        <w:t>)</w:t>
      </w:r>
      <w:r w:rsidR="0018273E" w:rsidRPr="00662392">
        <w:rPr>
          <w:sz w:val="22"/>
          <w:szCs w:val="22"/>
        </w:rPr>
        <w:t xml:space="preserve"> of the departure definition (Section 04.02)), </w:t>
      </w:r>
      <w:r w:rsidR="0018273E" w:rsidRPr="00662392">
        <w:rPr>
          <w:sz w:val="22"/>
          <w:szCs w:val="22"/>
          <w:u w:val="single"/>
        </w:rPr>
        <w:t>or</w:t>
      </w:r>
      <w:r w:rsidR="0018273E" w:rsidRPr="00662392">
        <w:rPr>
          <w:sz w:val="22"/>
          <w:szCs w:val="22"/>
        </w:rPr>
        <w:t xml:space="preserve"> (2) as a change from the method described in the UFSAR to another method (i.e., </w:t>
      </w:r>
      <w:r w:rsidR="00947487" w:rsidRPr="00662392">
        <w:rPr>
          <w:sz w:val="22"/>
          <w:szCs w:val="22"/>
        </w:rPr>
        <w:t>paragraph</w:t>
      </w:r>
      <w:r w:rsidR="00853FF5" w:rsidRPr="00662392">
        <w:rPr>
          <w:sz w:val="22"/>
          <w:szCs w:val="22"/>
        </w:rPr>
        <w:t xml:space="preserve"> </w:t>
      </w:r>
      <w:r w:rsidRPr="00662392">
        <w:rPr>
          <w:sz w:val="22"/>
          <w:szCs w:val="22"/>
        </w:rPr>
        <w:t>(ii)</w:t>
      </w:r>
      <w:r w:rsidR="0018273E" w:rsidRPr="00662392">
        <w:rPr>
          <w:sz w:val="22"/>
          <w:szCs w:val="22"/>
        </w:rPr>
        <w:t xml:space="preserve"> of the departure definition (Section 04.02)).  If a methodology revision is documented as a change from the method described in the UFSAR to another method using </w:t>
      </w:r>
      <w:r w:rsidR="00947487" w:rsidRPr="00662392">
        <w:rPr>
          <w:sz w:val="22"/>
          <w:szCs w:val="22"/>
        </w:rPr>
        <w:t>paragraph</w:t>
      </w:r>
      <w:r w:rsidR="00853FF5" w:rsidRPr="00662392">
        <w:rPr>
          <w:sz w:val="22"/>
          <w:szCs w:val="22"/>
        </w:rPr>
        <w:t xml:space="preserve"> </w:t>
      </w:r>
      <w:r w:rsidR="00A8455B" w:rsidRPr="00662392">
        <w:rPr>
          <w:sz w:val="22"/>
          <w:szCs w:val="22"/>
        </w:rPr>
        <w:t>(ii)</w:t>
      </w:r>
      <w:r w:rsidR="0018273E" w:rsidRPr="00662392">
        <w:rPr>
          <w:sz w:val="22"/>
          <w:szCs w:val="22"/>
        </w:rPr>
        <w:t xml:space="preserve"> of the departure definition, then “the results of the analysis are conservative or essentially the same” of </w:t>
      </w:r>
      <w:r w:rsidR="00947487" w:rsidRPr="00662392">
        <w:rPr>
          <w:sz w:val="22"/>
          <w:szCs w:val="22"/>
        </w:rPr>
        <w:t>paragraph</w:t>
      </w:r>
      <w:r w:rsidR="00853FF5" w:rsidRPr="00662392">
        <w:rPr>
          <w:sz w:val="22"/>
          <w:szCs w:val="22"/>
        </w:rPr>
        <w:t xml:space="preserve"> </w:t>
      </w:r>
      <w:r w:rsidR="00A8455B" w:rsidRPr="00662392">
        <w:rPr>
          <w:sz w:val="22"/>
          <w:szCs w:val="22"/>
        </w:rPr>
        <w:t>(</w:t>
      </w:r>
      <w:proofErr w:type="spellStart"/>
      <w:r w:rsidR="00A8455B" w:rsidRPr="00662392">
        <w:rPr>
          <w:sz w:val="22"/>
          <w:szCs w:val="22"/>
        </w:rPr>
        <w:t>i</w:t>
      </w:r>
      <w:proofErr w:type="spellEnd"/>
      <w:r w:rsidR="00A8455B" w:rsidRPr="00662392">
        <w:rPr>
          <w:sz w:val="22"/>
          <w:szCs w:val="22"/>
        </w:rPr>
        <w:t>)</w:t>
      </w:r>
      <w:r w:rsidR="0018273E" w:rsidRPr="00662392">
        <w:rPr>
          <w:sz w:val="22"/>
          <w:szCs w:val="22"/>
        </w:rPr>
        <w:t xml:space="preserve"> of the departure definition is not applicable.</w:t>
      </w:r>
    </w:p>
    <w:p w14:paraId="62AB6F84" w14:textId="77777777" w:rsidR="0018273E" w:rsidRPr="00662392" w:rsidRDefault="0018273E" w:rsidP="00194415">
      <w:pPr>
        <w:widowControl/>
        <w:rPr>
          <w:sz w:val="22"/>
          <w:szCs w:val="22"/>
        </w:rPr>
      </w:pPr>
    </w:p>
    <w:p w14:paraId="2CE28E98" w14:textId="0251A11D" w:rsidR="0018273E" w:rsidRPr="00662392" w:rsidRDefault="00D521B5" w:rsidP="00194415">
      <w:pPr>
        <w:widowControl/>
        <w:rPr>
          <w:sz w:val="22"/>
          <w:szCs w:val="22"/>
        </w:rPr>
      </w:pPr>
      <w:r w:rsidRPr="00662392">
        <w:rPr>
          <w:sz w:val="22"/>
          <w:szCs w:val="22"/>
        </w:rPr>
        <w:t>Several examples from the 50.59 final rule SOCs to illustrate the implementation of this criterion include:</w:t>
      </w:r>
    </w:p>
    <w:p w14:paraId="58FF425E" w14:textId="77777777" w:rsidR="00D521B5" w:rsidRPr="00662392" w:rsidRDefault="00D521B5" w:rsidP="00194415">
      <w:pPr>
        <w:widowControl/>
        <w:rPr>
          <w:sz w:val="22"/>
          <w:szCs w:val="22"/>
        </w:rPr>
      </w:pPr>
    </w:p>
    <w:p w14:paraId="0A852E4B" w14:textId="3F95766A" w:rsidR="0018273E" w:rsidRPr="00662392" w:rsidRDefault="0018273E" w:rsidP="00194415">
      <w:pPr>
        <w:widowControl/>
        <w:rPr>
          <w:sz w:val="22"/>
          <w:szCs w:val="22"/>
        </w:rPr>
      </w:pPr>
      <w:r w:rsidRPr="00662392">
        <w:rPr>
          <w:sz w:val="22"/>
          <w:szCs w:val="22"/>
          <w:u w:val="single"/>
        </w:rPr>
        <w:t>Example 1</w:t>
      </w:r>
      <w:r w:rsidRPr="00662392">
        <w:rPr>
          <w:sz w:val="22"/>
          <w:szCs w:val="22"/>
        </w:rPr>
        <w:t>:</w:t>
      </w:r>
      <w:r w:rsidR="00E47F2A" w:rsidRPr="00662392">
        <w:rPr>
          <w:sz w:val="22"/>
          <w:szCs w:val="22"/>
        </w:rPr>
        <w:t xml:space="preserve">  </w:t>
      </w:r>
      <w:r w:rsidRPr="00662392">
        <w:rPr>
          <w:sz w:val="22"/>
          <w:szCs w:val="22"/>
        </w:rPr>
        <w:t>The UFSAR states that a damping value of 0.5 percent is used in the seismic analysis of safety-related piping.  The licensee wishes to change this value to 2 percent to reanalyze the seismic loads for the piping.  Using a higher damping value to represent the response of the piping to the acceleration from the postulated earthquake in the analysis results in lower calculated stresses because the increased damping reduces the loads.  Since this analysis is used in establishing the seismic design bases for the piping, and since this is a change to an element of the method that is not conservative and is not essentially the same, the NRC concludes that this change meets criterion (viii) and requires prior NRC approval</w:t>
      </w:r>
      <w:r w:rsidR="0092231D" w:rsidRPr="00662392">
        <w:rPr>
          <w:sz w:val="22"/>
          <w:szCs w:val="22"/>
        </w:rPr>
        <w:t xml:space="preserve"> before implementation</w:t>
      </w:r>
      <w:r w:rsidRPr="00662392">
        <w:rPr>
          <w:sz w:val="22"/>
          <w:szCs w:val="22"/>
        </w:rPr>
        <w:t xml:space="preserve">.  </w:t>
      </w:r>
    </w:p>
    <w:p w14:paraId="324DBB41" w14:textId="77777777" w:rsidR="0018273E" w:rsidRPr="00662392" w:rsidRDefault="0018273E" w:rsidP="00194415">
      <w:pPr>
        <w:widowControl/>
        <w:rPr>
          <w:sz w:val="22"/>
          <w:szCs w:val="22"/>
        </w:rPr>
      </w:pPr>
    </w:p>
    <w:p w14:paraId="15772FFA" w14:textId="77777777" w:rsidR="000E0ACD" w:rsidRDefault="0018273E" w:rsidP="00194415">
      <w:pPr>
        <w:widowControl/>
        <w:rPr>
          <w:sz w:val="22"/>
          <w:szCs w:val="22"/>
        </w:rPr>
      </w:pPr>
      <w:r w:rsidRPr="00662392">
        <w:rPr>
          <w:sz w:val="22"/>
          <w:szCs w:val="22"/>
        </w:rPr>
        <w:t xml:space="preserve">On the other hand, had NRC </w:t>
      </w:r>
      <w:r w:rsidR="00D94E8F" w:rsidRPr="00662392">
        <w:rPr>
          <w:sz w:val="22"/>
          <w:szCs w:val="22"/>
        </w:rPr>
        <w:t>already</w:t>
      </w:r>
      <w:r w:rsidRPr="00662392">
        <w:rPr>
          <w:sz w:val="22"/>
          <w:szCs w:val="22"/>
        </w:rPr>
        <w:t xml:space="preserve"> approved an alternate method of seismic analysis that allowed 2 percent damping provided certain other assumptions were made, and the licensee used the complete set of assumptions to perform its analysis, then the use of the 2 percent damping under these circumstances is not a departure, under the second part of the departure definition </w:t>
      </w:r>
      <w:bookmarkStart w:id="103" w:name="_Hlk51926605"/>
      <w:r w:rsidRPr="00662392">
        <w:rPr>
          <w:sz w:val="22"/>
          <w:szCs w:val="22"/>
        </w:rPr>
        <w:t>(i.e., approved by NRC for the intended application)</w:t>
      </w:r>
      <w:bookmarkEnd w:id="103"/>
      <w:r w:rsidRPr="00662392">
        <w:rPr>
          <w:sz w:val="22"/>
          <w:szCs w:val="22"/>
        </w:rPr>
        <w:t>.</w:t>
      </w:r>
    </w:p>
    <w:p w14:paraId="57056797" w14:textId="77777777" w:rsidR="00C1473C" w:rsidRDefault="00C1473C" w:rsidP="00194415">
      <w:pPr>
        <w:widowControl/>
        <w:rPr>
          <w:sz w:val="22"/>
          <w:szCs w:val="22"/>
        </w:rPr>
      </w:pPr>
    </w:p>
    <w:p w14:paraId="162134B7" w14:textId="77777777" w:rsidR="00C1473C" w:rsidRDefault="0018273E" w:rsidP="00194415">
      <w:pPr>
        <w:widowControl/>
        <w:rPr>
          <w:sz w:val="22"/>
          <w:szCs w:val="22"/>
        </w:rPr>
        <w:sectPr w:rsidR="00C1473C" w:rsidSect="00012998">
          <w:footerReference w:type="default" r:id="rId42"/>
          <w:pgSz w:w="12240" w:h="15840" w:code="1"/>
          <w:pgMar w:top="1440" w:right="1440" w:bottom="1440" w:left="1440" w:header="720" w:footer="720" w:gutter="0"/>
          <w:cols w:space="720"/>
          <w:noEndnote/>
          <w:docGrid w:linePitch="326"/>
        </w:sectPr>
      </w:pPr>
      <w:r w:rsidRPr="00662392">
        <w:rPr>
          <w:sz w:val="22"/>
          <w:szCs w:val="22"/>
          <w:u w:val="single"/>
        </w:rPr>
        <w:t>Example 2</w:t>
      </w:r>
      <w:r w:rsidRPr="00662392">
        <w:rPr>
          <w:sz w:val="22"/>
          <w:szCs w:val="22"/>
        </w:rPr>
        <w:t>:</w:t>
      </w:r>
      <w:r w:rsidR="00E47F2A" w:rsidRPr="00662392">
        <w:rPr>
          <w:sz w:val="22"/>
          <w:szCs w:val="22"/>
        </w:rPr>
        <w:t xml:space="preserve">  </w:t>
      </w:r>
      <w:r w:rsidRPr="00662392">
        <w:rPr>
          <w:sz w:val="22"/>
          <w:szCs w:val="22"/>
        </w:rPr>
        <w:t xml:space="preserve">The licensee wishes to use an inelastic analysis procedure, not previously used in its seismic analyses as described in the UFSAR, to demonstrate that the structural acceptance criteria are met for cable trays.  </w:t>
      </w:r>
      <w:r w:rsidR="006844A4" w:rsidRPr="00662392">
        <w:rPr>
          <w:sz w:val="22"/>
          <w:szCs w:val="22"/>
        </w:rPr>
        <w:t xml:space="preserve">The </w:t>
      </w:r>
      <w:r w:rsidRPr="00662392">
        <w:rPr>
          <w:sz w:val="22"/>
          <w:szCs w:val="22"/>
        </w:rPr>
        <w:t xml:space="preserve">NRC concludes that this is a departure from the methods of evaluation and that it is not essentially the same because the revised analysis predicts greater capacity than the previous analysis.  Therefore, this change requires </w:t>
      </w:r>
      <w:r w:rsidR="006844A4" w:rsidRPr="00662392">
        <w:rPr>
          <w:sz w:val="22"/>
          <w:szCs w:val="22"/>
        </w:rPr>
        <w:t>prior</w:t>
      </w:r>
      <w:r w:rsidRPr="00662392">
        <w:rPr>
          <w:sz w:val="22"/>
          <w:szCs w:val="22"/>
        </w:rPr>
        <w:t xml:space="preserve"> NRC approval.</w:t>
      </w:r>
    </w:p>
    <w:p w14:paraId="13973DB6" w14:textId="77777777" w:rsidR="0018273E" w:rsidRPr="00662392" w:rsidRDefault="0018273E" w:rsidP="00194415">
      <w:pPr>
        <w:widowControl/>
        <w:rPr>
          <w:sz w:val="22"/>
          <w:szCs w:val="22"/>
        </w:rPr>
      </w:pPr>
    </w:p>
    <w:p w14:paraId="2C273088" w14:textId="0E748477" w:rsidR="0018273E" w:rsidRPr="00662392" w:rsidRDefault="0018273E" w:rsidP="00194415">
      <w:pPr>
        <w:widowControl/>
        <w:rPr>
          <w:sz w:val="22"/>
          <w:szCs w:val="22"/>
        </w:rPr>
      </w:pPr>
      <w:r w:rsidRPr="00662392">
        <w:rPr>
          <w:sz w:val="22"/>
          <w:szCs w:val="22"/>
          <w:u w:val="single"/>
        </w:rPr>
        <w:t>Example 3</w:t>
      </w:r>
      <w:r w:rsidRPr="00662392">
        <w:rPr>
          <w:sz w:val="22"/>
          <w:szCs w:val="22"/>
        </w:rPr>
        <w:t>:</w:t>
      </w:r>
      <w:r w:rsidR="00E47F2A" w:rsidRPr="00662392">
        <w:rPr>
          <w:sz w:val="22"/>
          <w:szCs w:val="22"/>
        </w:rPr>
        <w:t xml:space="preserve">  </w:t>
      </w:r>
      <w:r w:rsidRPr="00662392">
        <w:rPr>
          <w:sz w:val="22"/>
          <w:szCs w:val="22"/>
        </w:rPr>
        <w:t xml:space="preserve">The licensee wishes to change a non-LOCA UFSAR Chapter 15 transient methodology.  The methodology is being changed to a different vendor's NRC approved method.  The new vendor's method is approved generically for the </w:t>
      </w:r>
      <w:proofErr w:type="gramStart"/>
      <w:r w:rsidRPr="00662392">
        <w:rPr>
          <w:sz w:val="22"/>
          <w:szCs w:val="22"/>
        </w:rPr>
        <w:t>particular reactor</w:t>
      </w:r>
      <w:proofErr w:type="gramEnd"/>
      <w:r w:rsidRPr="00662392">
        <w:rPr>
          <w:sz w:val="22"/>
          <w:szCs w:val="22"/>
        </w:rPr>
        <w:t xml:space="preserve"> type (e.g., 2 loop PWR) and for the particular transient being analyzed.  The analysis is being performed in accordance with all the applicable limitations and restrictions.  The licensee can make this change without prior NRC approval because </w:t>
      </w:r>
      <w:r w:rsidR="00186745" w:rsidRPr="00662392">
        <w:rPr>
          <w:sz w:val="22"/>
          <w:szCs w:val="22"/>
        </w:rPr>
        <w:t>the use of</w:t>
      </w:r>
      <w:r w:rsidRPr="00662392">
        <w:rPr>
          <w:sz w:val="22"/>
          <w:szCs w:val="22"/>
        </w:rPr>
        <w:t xml:space="preserve"> a generically approved method for the purpose it was approved, while meeting all the limitations and restrictions, is not </w:t>
      </w:r>
      <w:r w:rsidR="00186745" w:rsidRPr="00662392">
        <w:rPr>
          <w:sz w:val="22"/>
          <w:szCs w:val="22"/>
        </w:rPr>
        <w:t xml:space="preserve">considered </w:t>
      </w:r>
      <w:r w:rsidRPr="00662392">
        <w:rPr>
          <w:sz w:val="22"/>
          <w:szCs w:val="22"/>
        </w:rPr>
        <w:t>a “departure.”  Subsequent plant changes can then be evaluated by the licensee using this new method and the other seven criteria in 10 CFR 50.59.</w:t>
      </w:r>
    </w:p>
    <w:p w14:paraId="767D9AD5" w14:textId="77777777" w:rsidR="0018273E" w:rsidRPr="00662392" w:rsidRDefault="0018273E" w:rsidP="00194415">
      <w:pPr>
        <w:widowControl/>
        <w:rPr>
          <w:sz w:val="22"/>
          <w:szCs w:val="22"/>
        </w:rPr>
      </w:pPr>
    </w:p>
    <w:p w14:paraId="4BA9DDE1" w14:textId="56765369" w:rsidR="0018273E" w:rsidRPr="00662392" w:rsidRDefault="0018273E" w:rsidP="00194415">
      <w:pPr>
        <w:widowControl/>
        <w:rPr>
          <w:sz w:val="22"/>
          <w:szCs w:val="22"/>
        </w:rPr>
      </w:pPr>
      <w:r w:rsidRPr="00662392">
        <w:rPr>
          <w:sz w:val="22"/>
          <w:szCs w:val="22"/>
          <w:u w:val="single"/>
        </w:rPr>
        <w:t>Example 4</w:t>
      </w:r>
      <w:r w:rsidRPr="00662392">
        <w:rPr>
          <w:sz w:val="22"/>
          <w:szCs w:val="22"/>
        </w:rPr>
        <w:t>:</w:t>
      </w:r>
      <w:r w:rsidR="00E47F2A" w:rsidRPr="00662392">
        <w:rPr>
          <w:sz w:val="22"/>
          <w:szCs w:val="22"/>
        </w:rPr>
        <w:t xml:space="preserve"> </w:t>
      </w:r>
      <w:r w:rsidR="007B7736" w:rsidRPr="00662392">
        <w:rPr>
          <w:sz w:val="22"/>
          <w:szCs w:val="22"/>
        </w:rPr>
        <w:t xml:space="preserve"> </w:t>
      </w:r>
      <w:r w:rsidRPr="00662392">
        <w:rPr>
          <w:sz w:val="22"/>
          <w:szCs w:val="22"/>
        </w:rPr>
        <w:t>The licensee wishes to change an analysis described in the UFSAR</w:t>
      </w:r>
      <w:r w:rsidR="007B7736" w:rsidRPr="00662392">
        <w:rPr>
          <w:sz w:val="22"/>
          <w:szCs w:val="22"/>
        </w:rPr>
        <w:t>,</w:t>
      </w:r>
      <w:r w:rsidRPr="00662392">
        <w:rPr>
          <w:sz w:val="22"/>
          <w:szCs w:val="22"/>
        </w:rPr>
        <w:t xml:space="preserve"> which states that adequate net positive suction head (NPSH) is verified by analysis without crediting containment overpressure.  The new analysis assumes that five pounds of overpressure is credited in calculation of available NPSH.  The revised analysis predicts more (five additional pounds of) available NPSH for the pumps, a result further from the limit (the required NPSH) for an analysis that establishes part of the design bases for the pumps as being capable of performing their required function under the range of expected conditions.  This change cannot be made without prior NRC approval because a change in an element of a method described in the UFSAR</w:t>
      </w:r>
      <w:r w:rsidR="00CF2B66" w:rsidRPr="00662392">
        <w:rPr>
          <w:sz w:val="22"/>
          <w:szCs w:val="22"/>
        </w:rPr>
        <w:t xml:space="preserve"> that is </w:t>
      </w:r>
      <w:r w:rsidRPr="00662392">
        <w:rPr>
          <w:sz w:val="22"/>
          <w:szCs w:val="22"/>
        </w:rPr>
        <w:t xml:space="preserve">used to establish the design basis, that is not conservative or essentially the same, is </w:t>
      </w:r>
      <w:r w:rsidR="00CF2B66" w:rsidRPr="00662392">
        <w:rPr>
          <w:sz w:val="22"/>
          <w:szCs w:val="22"/>
        </w:rPr>
        <w:t xml:space="preserve">considered </w:t>
      </w:r>
      <w:r w:rsidRPr="00662392">
        <w:rPr>
          <w:sz w:val="22"/>
          <w:szCs w:val="22"/>
        </w:rPr>
        <w:t>a “departure.”</w:t>
      </w:r>
    </w:p>
    <w:p w14:paraId="4EB1EE5C" w14:textId="77777777" w:rsidR="0018273E" w:rsidRPr="00662392" w:rsidRDefault="0018273E" w:rsidP="00194415">
      <w:pPr>
        <w:widowControl/>
        <w:rPr>
          <w:sz w:val="22"/>
          <w:szCs w:val="22"/>
        </w:rPr>
      </w:pPr>
    </w:p>
    <w:p w14:paraId="1B120F4C" w14:textId="24181E92" w:rsidR="0018273E" w:rsidRPr="00662392" w:rsidRDefault="0018273E" w:rsidP="00194415">
      <w:pPr>
        <w:widowControl/>
        <w:rPr>
          <w:sz w:val="22"/>
          <w:szCs w:val="22"/>
        </w:rPr>
      </w:pPr>
      <w:r w:rsidRPr="00662392">
        <w:rPr>
          <w:sz w:val="22"/>
          <w:szCs w:val="22"/>
          <w:u w:val="single"/>
        </w:rPr>
        <w:t>Example 5</w:t>
      </w:r>
      <w:r w:rsidRPr="00662392">
        <w:rPr>
          <w:sz w:val="22"/>
          <w:szCs w:val="22"/>
        </w:rPr>
        <w:t>:</w:t>
      </w:r>
      <w:r w:rsidR="00E47F2A" w:rsidRPr="00662392">
        <w:rPr>
          <w:sz w:val="22"/>
          <w:szCs w:val="22"/>
        </w:rPr>
        <w:t xml:space="preserve"> </w:t>
      </w:r>
      <w:r w:rsidR="007D630C" w:rsidRPr="00662392">
        <w:rPr>
          <w:sz w:val="22"/>
          <w:szCs w:val="22"/>
        </w:rPr>
        <w:t xml:space="preserve"> </w:t>
      </w:r>
      <w:r w:rsidRPr="00662392">
        <w:rPr>
          <w:sz w:val="22"/>
          <w:szCs w:val="22"/>
        </w:rPr>
        <w:t xml:space="preserve">The licensee wishes to change an evaluation method described or incorporated by reference in the UFSAR Chapter 15 transient analysis.  </w:t>
      </w:r>
      <w:r w:rsidR="005067F1">
        <w:rPr>
          <w:sz w:val="22"/>
          <w:szCs w:val="22"/>
        </w:rPr>
        <w:t>T</w:t>
      </w:r>
      <w:r w:rsidRPr="00662392">
        <w:rPr>
          <w:sz w:val="22"/>
          <w:szCs w:val="22"/>
        </w:rPr>
        <w:t xml:space="preserve">o remove some of the conservatism associated with the analysis, the change the licensee is contemplating is removal from the analysis of consideration of certain instrument uncertainties for a few parameters, by assuming nominal values instead.  By not accounting for the greater range of the parameter (including the uncertainties), the analysis predicts response further from the limit to be satisfied.  The treatment of uncertainties was an element of the method described in the UFSAR, and, therefore, this change cannot be made without prior NRC approval because a change in an element of a method described in the UFSAR, used in the safety analysis, that is not essentially the same is a “departure.”  </w:t>
      </w:r>
    </w:p>
    <w:p w14:paraId="1EE1A237" w14:textId="77777777" w:rsidR="0018273E" w:rsidRPr="00662392" w:rsidRDefault="0018273E" w:rsidP="00194415">
      <w:pPr>
        <w:widowControl/>
        <w:rPr>
          <w:sz w:val="22"/>
          <w:szCs w:val="22"/>
        </w:rPr>
      </w:pPr>
    </w:p>
    <w:p w14:paraId="5118D605" w14:textId="73DE78DE" w:rsidR="0018273E" w:rsidRPr="00662392" w:rsidRDefault="0018273E" w:rsidP="00194415">
      <w:pPr>
        <w:widowControl/>
        <w:rPr>
          <w:sz w:val="22"/>
          <w:szCs w:val="22"/>
        </w:rPr>
      </w:pPr>
      <w:r w:rsidRPr="00662392">
        <w:rPr>
          <w:sz w:val="22"/>
          <w:szCs w:val="22"/>
        </w:rPr>
        <w:t xml:space="preserve">On the other hand, if an instrument in the plant were replaced with a different one, the assumed uncertainty in the analysis for that instrument can be used in the analysis without prior NRC review </w:t>
      </w:r>
      <w:r w:rsidR="00551190" w:rsidRPr="00662392">
        <w:rPr>
          <w:sz w:val="22"/>
          <w:szCs w:val="22"/>
        </w:rPr>
        <w:t>and approval</w:t>
      </w:r>
      <w:r w:rsidRPr="00662392">
        <w:rPr>
          <w:sz w:val="22"/>
          <w:szCs w:val="22"/>
        </w:rPr>
        <w:t xml:space="preserve"> using the other seven 10 CFR 50.59 criteria rather than criterion (viii) because this is an input change rather than a model change.  How the uncertainties are treated in the analysis is part of the method.  The range of values of the uncertainties associated with </w:t>
      </w:r>
      <w:proofErr w:type="gramStart"/>
      <w:r w:rsidRPr="00662392">
        <w:rPr>
          <w:sz w:val="22"/>
          <w:szCs w:val="22"/>
        </w:rPr>
        <w:t>particular instruments</w:t>
      </w:r>
      <w:proofErr w:type="gramEnd"/>
      <w:r w:rsidRPr="00662392">
        <w:rPr>
          <w:sz w:val="22"/>
          <w:szCs w:val="22"/>
        </w:rPr>
        <w:t xml:space="preserve"> is a characteristic of the facility and is an input parameter.</w:t>
      </w:r>
    </w:p>
    <w:p w14:paraId="40D766F1" w14:textId="77777777" w:rsidR="0018273E" w:rsidRPr="00662392" w:rsidRDefault="0018273E" w:rsidP="00194415">
      <w:pPr>
        <w:widowControl/>
        <w:rPr>
          <w:sz w:val="22"/>
          <w:szCs w:val="22"/>
        </w:rPr>
      </w:pPr>
    </w:p>
    <w:p w14:paraId="2294FF53" w14:textId="2C31DA31" w:rsidR="0018273E" w:rsidRPr="00662392" w:rsidRDefault="00F40C0C" w:rsidP="00194415">
      <w:pPr>
        <w:rPr>
          <w:sz w:val="22"/>
          <w:szCs w:val="22"/>
        </w:rPr>
      </w:pPr>
      <w:r w:rsidRPr="00662392">
        <w:rPr>
          <w:sz w:val="22"/>
          <w:szCs w:val="22"/>
        </w:rPr>
        <w:t>06.22</w:t>
      </w:r>
      <w:r w:rsidRPr="00662392">
        <w:rPr>
          <w:sz w:val="22"/>
          <w:szCs w:val="22"/>
        </w:rPr>
        <w:tab/>
      </w:r>
      <w:r w:rsidRPr="00662392">
        <w:rPr>
          <w:sz w:val="22"/>
          <w:szCs w:val="22"/>
          <w:u w:val="single"/>
        </w:rPr>
        <w:t>Maintenance Act</w:t>
      </w:r>
      <w:r w:rsidR="006B6F93" w:rsidRPr="00662392">
        <w:rPr>
          <w:sz w:val="22"/>
          <w:szCs w:val="22"/>
          <w:u w:val="single"/>
        </w:rPr>
        <w:t>i</w:t>
      </w:r>
      <w:r w:rsidRPr="00662392">
        <w:rPr>
          <w:sz w:val="22"/>
          <w:szCs w:val="22"/>
          <w:u w:val="single"/>
        </w:rPr>
        <w:t>vities</w:t>
      </w:r>
      <w:r w:rsidRPr="00662392">
        <w:rPr>
          <w:sz w:val="22"/>
          <w:szCs w:val="22"/>
          <w:u w:val="single"/>
        </w:rPr>
        <w:fldChar w:fldCharType="begin"/>
      </w:r>
      <w:r w:rsidRPr="00662392">
        <w:rPr>
          <w:sz w:val="22"/>
          <w:szCs w:val="22"/>
        </w:rPr>
        <w:instrText xml:space="preserve"> TC "</w:instrText>
      </w:r>
      <w:bookmarkStart w:id="104" w:name="_Toc62642913"/>
      <w:bookmarkStart w:id="105" w:name="_Toc63142095"/>
      <w:r w:rsidRPr="00662392">
        <w:rPr>
          <w:sz w:val="22"/>
          <w:szCs w:val="22"/>
        </w:rPr>
        <w:instrText>06.22</w:instrText>
      </w:r>
      <w:r w:rsidRPr="00662392">
        <w:rPr>
          <w:sz w:val="22"/>
          <w:szCs w:val="22"/>
        </w:rPr>
        <w:tab/>
      </w:r>
      <w:r w:rsidRPr="00662392">
        <w:rPr>
          <w:sz w:val="22"/>
          <w:szCs w:val="22"/>
          <w:u w:val="single"/>
        </w:rPr>
        <w:instrText>Maintenance Act</w:instrText>
      </w:r>
      <w:r w:rsidR="006B6F93" w:rsidRPr="00662392">
        <w:rPr>
          <w:sz w:val="22"/>
          <w:szCs w:val="22"/>
          <w:u w:val="single"/>
        </w:rPr>
        <w:instrText>i</w:instrText>
      </w:r>
      <w:r w:rsidRPr="00662392">
        <w:rPr>
          <w:sz w:val="22"/>
          <w:szCs w:val="22"/>
          <w:u w:val="single"/>
        </w:rPr>
        <w:instrText>vities</w:instrText>
      </w:r>
      <w:bookmarkEnd w:id="104"/>
      <w:bookmarkEnd w:id="105"/>
      <w:r w:rsidRPr="00662392">
        <w:rPr>
          <w:sz w:val="22"/>
          <w:szCs w:val="22"/>
        </w:rPr>
        <w:instrText xml:space="preserve">" \f C \l "2" </w:instrText>
      </w:r>
      <w:r w:rsidRPr="00662392">
        <w:rPr>
          <w:sz w:val="22"/>
          <w:szCs w:val="22"/>
          <w:u w:val="single"/>
        </w:rPr>
        <w:fldChar w:fldCharType="end"/>
      </w:r>
    </w:p>
    <w:p w14:paraId="4913C97A" w14:textId="77777777" w:rsidR="0018273E" w:rsidRPr="00662392" w:rsidRDefault="0018273E" w:rsidP="00194415">
      <w:pPr>
        <w:rPr>
          <w:sz w:val="22"/>
          <w:szCs w:val="22"/>
        </w:rPr>
      </w:pPr>
    </w:p>
    <w:p w14:paraId="5807F0D6" w14:textId="77777777" w:rsidR="00C1473C" w:rsidRDefault="0018273E" w:rsidP="00194415">
      <w:pPr>
        <w:widowControl/>
        <w:rPr>
          <w:sz w:val="22"/>
          <w:szCs w:val="22"/>
        </w:rPr>
        <w:sectPr w:rsidR="00C1473C" w:rsidSect="00012998">
          <w:footerReference w:type="default" r:id="rId43"/>
          <w:pgSz w:w="12240" w:h="15840" w:code="1"/>
          <w:pgMar w:top="1440" w:right="1440" w:bottom="1440" w:left="1440" w:header="720" w:footer="720" w:gutter="0"/>
          <w:cols w:space="720"/>
          <w:noEndnote/>
          <w:docGrid w:linePitch="326"/>
        </w:sectPr>
      </w:pPr>
      <w:r w:rsidRPr="00662392">
        <w:rPr>
          <w:sz w:val="22"/>
          <w:szCs w:val="22"/>
        </w:rPr>
        <w:t xml:space="preserve">Inspectors should be aware that the SOCs for 10 CFR 50.59 state that simply </w:t>
      </w:r>
      <w:bookmarkStart w:id="106" w:name="_Hlk51747060"/>
      <w:r w:rsidRPr="00662392">
        <w:rPr>
          <w:sz w:val="22"/>
          <w:szCs w:val="22"/>
        </w:rPr>
        <w:t>removing a component from service for maintenance does not require a 10 CFR 50.59 evaluation</w:t>
      </w:r>
      <w:r w:rsidR="007D630C" w:rsidRPr="00662392">
        <w:rPr>
          <w:sz w:val="22"/>
          <w:szCs w:val="22"/>
        </w:rPr>
        <w:t xml:space="preserve">.  </w:t>
      </w:r>
      <w:r w:rsidR="00C0654E" w:rsidRPr="00662392">
        <w:rPr>
          <w:sz w:val="22"/>
          <w:szCs w:val="22"/>
        </w:rPr>
        <w:t>Rather, m</w:t>
      </w:r>
      <w:r w:rsidR="00B0257C" w:rsidRPr="00662392">
        <w:rPr>
          <w:sz w:val="22"/>
          <w:szCs w:val="22"/>
        </w:rPr>
        <w:t xml:space="preserve">aintenance activities, including associated temporary changes, </w:t>
      </w:r>
      <w:r w:rsidR="007F7265" w:rsidRPr="00662392">
        <w:rPr>
          <w:sz w:val="22"/>
          <w:szCs w:val="22"/>
        </w:rPr>
        <w:t>can be</w:t>
      </w:r>
      <w:r w:rsidR="00B0257C" w:rsidRPr="00662392">
        <w:rPr>
          <w:sz w:val="22"/>
          <w:szCs w:val="22"/>
        </w:rPr>
        <w:t xml:space="preserve"> assessed and managed in accordance with the Maintenance Rule, 10 CFR 50.65. </w:t>
      </w:r>
      <w:r w:rsidR="006A09AB" w:rsidRPr="00662392">
        <w:rPr>
          <w:sz w:val="22"/>
          <w:szCs w:val="22"/>
        </w:rPr>
        <w:t xml:space="preserve"> </w:t>
      </w:r>
      <w:r w:rsidR="007D630C" w:rsidRPr="00662392">
        <w:rPr>
          <w:sz w:val="22"/>
          <w:szCs w:val="22"/>
        </w:rPr>
        <w:t>However</w:t>
      </w:r>
      <w:r w:rsidRPr="00662392">
        <w:rPr>
          <w:sz w:val="22"/>
          <w:szCs w:val="22"/>
        </w:rPr>
        <w:t xml:space="preserve">, prolonged removal from service appears indistinguishable in its effect from a change that removes the component from the facility.  </w:t>
      </w:r>
      <w:bookmarkEnd w:id="106"/>
      <w:r w:rsidRPr="00662392">
        <w:rPr>
          <w:sz w:val="22"/>
          <w:szCs w:val="22"/>
        </w:rPr>
        <w:t>Further, there may be circumstances under which maintenance activities would place the facility in a configuration not previously considered or require disabling of barriers or movement of heavy loads to accomplish.</w:t>
      </w:r>
    </w:p>
    <w:p w14:paraId="4D69469E" w14:textId="77777777" w:rsidR="00F771DE" w:rsidRPr="00662392" w:rsidRDefault="00F771DE" w:rsidP="00194415">
      <w:pPr>
        <w:widowControl/>
        <w:rPr>
          <w:sz w:val="22"/>
          <w:szCs w:val="22"/>
        </w:rPr>
      </w:pPr>
    </w:p>
    <w:p w14:paraId="05931622" w14:textId="633F5713" w:rsidR="0018273E" w:rsidRPr="00662392" w:rsidRDefault="00F771DE" w:rsidP="00194415">
      <w:pPr>
        <w:widowControl/>
        <w:rPr>
          <w:sz w:val="22"/>
          <w:szCs w:val="22"/>
        </w:rPr>
      </w:pPr>
      <w:r w:rsidRPr="00662392">
        <w:rPr>
          <w:sz w:val="22"/>
          <w:szCs w:val="22"/>
        </w:rPr>
        <w:t xml:space="preserve">Removing equipment from service (making it inoperable) for maintenance during the technical specification (TS) allowed outage time does not require application of 10 CFR 50.59. Removing non-TS equipment from service is covered by the requirements of the maintenance rule (10 CFR 50.65). 10 CFR 50.59 does not need to be applied.  One way to decide if a </w:t>
      </w:r>
      <w:proofErr w:type="gramStart"/>
      <w:r w:rsidRPr="00662392">
        <w:rPr>
          <w:sz w:val="22"/>
          <w:szCs w:val="22"/>
        </w:rPr>
        <w:t>particular activity</w:t>
      </w:r>
      <w:proofErr w:type="gramEnd"/>
      <w:r w:rsidRPr="00662392">
        <w:rPr>
          <w:sz w:val="22"/>
          <w:szCs w:val="22"/>
        </w:rPr>
        <w:t xml:space="preserve"> is "maintenance" or a "change" is to determine if the plant will be returned to its as-design condition following the activity.</w:t>
      </w:r>
    </w:p>
    <w:p w14:paraId="205E7871" w14:textId="77777777" w:rsidR="00F771DE" w:rsidRPr="00662392" w:rsidRDefault="00F771DE" w:rsidP="00194415">
      <w:pPr>
        <w:widowControl/>
        <w:rPr>
          <w:sz w:val="22"/>
          <w:szCs w:val="22"/>
        </w:rPr>
      </w:pPr>
    </w:p>
    <w:p w14:paraId="76C4CC72" w14:textId="6191B3F5" w:rsidR="0018273E" w:rsidRPr="00662392" w:rsidRDefault="00B52FD2" w:rsidP="00194415">
      <w:pPr>
        <w:widowControl/>
        <w:rPr>
          <w:sz w:val="22"/>
          <w:szCs w:val="22"/>
        </w:rPr>
      </w:pPr>
      <w:r w:rsidRPr="00662392">
        <w:rPr>
          <w:sz w:val="22"/>
          <w:szCs w:val="22"/>
        </w:rPr>
        <w:t>R</w:t>
      </w:r>
      <w:r w:rsidR="0018273E" w:rsidRPr="00662392">
        <w:rPr>
          <w:sz w:val="22"/>
          <w:szCs w:val="22"/>
        </w:rPr>
        <w:t>egarding maintenance, when reviewing a licensee’s evaluated CTE, inspectors should consider whether the plant will return to the same configuration following the activity.  Licensee reliance upon the 10 CFR 50.65(a)(4) assessment in lieu of a 10 CFR 50.59 evaluation also extends to temporary alterations (or test activities) to the facility or procedures that directly relate to and are required in support of specific maintenance activities.  If a licensee completed a 10 CFR 50.65(a)(4) assessment, then temporary alterations in support of implementation of a modification are not subject to 10 CFR 50.59 evaluation (the modification itself is subject to 10 CFR 50.59 with respect to operation following installation).  However, if the temporary alterations (including those affecting operator actions and procedures as described in the UFSAR) are not in support of maintenance, or are expected to remain in place for more than 90 days at power, licensees should perform a 10 CFR 50.59 review in addition to the 10 CFR 50.65(a)(4) assessment.</w:t>
      </w:r>
    </w:p>
    <w:p w14:paraId="67B07CCC" w14:textId="77777777" w:rsidR="000A5877" w:rsidRPr="00662392" w:rsidRDefault="000A5877" w:rsidP="00194415">
      <w:pPr>
        <w:widowControl/>
        <w:rPr>
          <w:sz w:val="22"/>
          <w:szCs w:val="22"/>
        </w:rPr>
      </w:pPr>
    </w:p>
    <w:p w14:paraId="2C250294" w14:textId="660F5EE8" w:rsidR="0018273E" w:rsidRPr="00662392" w:rsidRDefault="00F40C0C" w:rsidP="00194415">
      <w:pPr>
        <w:rPr>
          <w:sz w:val="22"/>
          <w:szCs w:val="22"/>
        </w:rPr>
      </w:pPr>
      <w:r w:rsidRPr="00662392">
        <w:rPr>
          <w:sz w:val="22"/>
          <w:szCs w:val="22"/>
        </w:rPr>
        <w:t>06.23</w:t>
      </w:r>
      <w:r w:rsidRPr="00662392">
        <w:rPr>
          <w:sz w:val="22"/>
          <w:szCs w:val="22"/>
        </w:rPr>
        <w:tab/>
      </w:r>
      <w:r w:rsidRPr="00662392">
        <w:rPr>
          <w:sz w:val="22"/>
          <w:szCs w:val="22"/>
          <w:u w:val="single"/>
        </w:rPr>
        <w:t>Compensatory Actions</w:t>
      </w:r>
      <w:r w:rsidRPr="00662392">
        <w:rPr>
          <w:sz w:val="22"/>
          <w:szCs w:val="22"/>
          <w:u w:val="single"/>
        </w:rPr>
        <w:fldChar w:fldCharType="begin"/>
      </w:r>
      <w:r w:rsidRPr="00662392">
        <w:rPr>
          <w:sz w:val="22"/>
          <w:szCs w:val="22"/>
        </w:rPr>
        <w:instrText xml:space="preserve"> TC "</w:instrText>
      </w:r>
      <w:bookmarkStart w:id="107" w:name="_Toc62642914"/>
      <w:bookmarkStart w:id="108" w:name="_Toc63142096"/>
      <w:r w:rsidRPr="00662392">
        <w:rPr>
          <w:sz w:val="22"/>
          <w:szCs w:val="22"/>
        </w:rPr>
        <w:instrText>06.23</w:instrText>
      </w:r>
      <w:r w:rsidRPr="00662392">
        <w:rPr>
          <w:sz w:val="22"/>
          <w:szCs w:val="22"/>
        </w:rPr>
        <w:tab/>
      </w:r>
      <w:r w:rsidRPr="00662392">
        <w:rPr>
          <w:sz w:val="22"/>
          <w:szCs w:val="22"/>
          <w:u w:val="single"/>
        </w:rPr>
        <w:instrText>Compensatory Actions</w:instrText>
      </w:r>
      <w:bookmarkEnd w:id="107"/>
      <w:bookmarkEnd w:id="108"/>
      <w:r w:rsidRPr="00662392">
        <w:rPr>
          <w:sz w:val="22"/>
          <w:szCs w:val="22"/>
        </w:rPr>
        <w:instrText xml:space="preserve">" \f C \l "2" </w:instrText>
      </w:r>
      <w:r w:rsidRPr="00662392">
        <w:rPr>
          <w:sz w:val="22"/>
          <w:szCs w:val="22"/>
          <w:u w:val="single"/>
        </w:rPr>
        <w:fldChar w:fldCharType="end"/>
      </w:r>
    </w:p>
    <w:p w14:paraId="22E0A3C9" w14:textId="77777777" w:rsidR="0018273E" w:rsidRPr="00662392" w:rsidRDefault="0018273E" w:rsidP="00194415">
      <w:pPr>
        <w:rPr>
          <w:sz w:val="22"/>
          <w:szCs w:val="22"/>
        </w:rPr>
      </w:pPr>
    </w:p>
    <w:p w14:paraId="4F537314" w14:textId="10A35C9B" w:rsidR="008C1ADD" w:rsidRPr="00662392" w:rsidRDefault="0018273E" w:rsidP="00194415">
      <w:pPr>
        <w:rPr>
          <w:sz w:val="22"/>
          <w:szCs w:val="22"/>
        </w:rPr>
      </w:pPr>
      <w:r w:rsidRPr="00662392">
        <w:rPr>
          <w:sz w:val="22"/>
          <w:szCs w:val="22"/>
        </w:rPr>
        <w:t xml:space="preserve">Licensee compensatory actions and/or measures are temporary in nature and are subject </w:t>
      </w:r>
      <w:r w:rsidR="00AD3D1F" w:rsidRPr="00662392">
        <w:rPr>
          <w:sz w:val="22"/>
          <w:szCs w:val="22"/>
        </w:rPr>
        <w:t xml:space="preserve">to </w:t>
      </w:r>
      <w:r w:rsidRPr="00662392">
        <w:rPr>
          <w:sz w:val="22"/>
          <w:szCs w:val="22"/>
        </w:rPr>
        <w:t xml:space="preserve">10 CFR 50.59 in the same manner as those </w:t>
      </w:r>
      <w:r w:rsidR="009C5BCC" w:rsidRPr="00662392">
        <w:rPr>
          <w:sz w:val="22"/>
          <w:szCs w:val="22"/>
        </w:rPr>
        <w:t xml:space="preserve">CTEs </w:t>
      </w:r>
      <w:r w:rsidRPr="00662392">
        <w:rPr>
          <w:sz w:val="22"/>
          <w:szCs w:val="22"/>
        </w:rPr>
        <w:t>that are permanent.  If a compensatory action and/or measure involves a facility or procedure change</w:t>
      </w:r>
      <w:r w:rsidR="00BF3A26" w:rsidRPr="00662392">
        <w:rPr>
          <w:sz w:val="22"/>
          <w:szCs w:val="22"/>
        </w:rPr>
        <w:t>,</w:t>
      </w:r>
      <w:r w:rsidRPr="00662392">
        <w:rPr>
          <w:sz w:val="22"/>
          <w:szCs w:val="22"/>
        </w:rPr>
        <w:t xml:space="preserve"> then the licensee is responsible to determine whether the compensatory action and/or measure itself (not the condition) impacts other aspects of the facility or procedures described in the UFSAR.</w:t>
      </w:r>
      <w:r w:rsidR="003E43D6" w:rsidRPr="00662392">
        <w:rPr>
          <w:sz w:val="22"/>
          <w:szCs w:val="22"/>
        </w:rPr>
        <w:t xml:space="preserve">  IMC 0326, “Operability Determinations,” </w:t>
      </w:r>
      <w:r w:rsidR="00565DCF" w:rsidRPr="00662392">
        <w:rPr>
          <w:sz w:val="22"/>
          <w:szCs w:val="22"/>
        </w:rPr>
        <w:t>contains additional guidance on compensatory measures.</w:t>
      </w:r>
      <w:r w:rsidRPr="00662392">
        <w:rPr>
          <w:sz w:val="22"/>
          <w:szCs w:val="22"/>
        </w:rPr>
        <w:t xml:space="preserve">  Evaluation against the criteria in 10 CFR 50.59 of such compensatory actions and/or measure</w:t>
      </w:r>
      <w:r w:rsidR="00E34BFD" w:rsidRPr="00662392">
        <w:rPr>
          <w:sz w:val="22"/>
          <w:szCs w:val="22"/>
        </w:rPr>
        <w:t>s</w:t>
      </w:r>
      <w:r w:rsidRPr="00662392">
        <w:rPr>
          <w:sz w:val="22"/>
          <w:szCs w:val="22"/>
        </w:rPr>
        <w:t xml:space="preserve"> is the responsibility of the licensee.  </w:t>
      </w:r>
      <w:r w:rsidR="00CF5EF0" w:rsidRPr="00662392">
        <w:rPr>
          <w:sz w:val="22"/>
          <w:szCs w:val="22"/>
        </w:rPr>
        <w:t>Inspectors should be mindful of</w:t>
      </w:r>
      <w:r w:rsidRPr="00662392">
        <w:rPr>
          <w:sz w:val="22"/>
          <w:szCs w:val="22"/>
        </w:rPr>
        <w:t xml:space="preserve"> whether a </w:t>
      </w:r>
      <w:r w:rsidR="005067F1" w:rsidRPr="00662392">
        <w:rPr>
          <w:sz w:val="22"/>
          <w:szCs w:val="22"/>
        </w:rPr>
        <w:t>temporary change impacts other aspect</w:t>
      </w:r>
      <w:r w:rsidRPr="00662392">
        <w:rPr>
          <w:sz w:val="22"/>
          <w:szCs w:val="22"/>
        </w:rPr>
        <w:t xml:space="preserve"> of the </w:t>
      </w:r>
      <w:proofErr w:type="gramStart"/>
      <w:r w:rsidRPr="00662392">
        <w:rPr>
          <w:sz w:val="22"/>
          <w:szCs w:val="22"/>
        </w:rPr>
        <w:t>facility</w:t>
      </w:r>
      <w:r w:rsidR="005067F1">
        <w:rPr>
          <w:sz w:val="22"/>
          <w:szCs w:val="22"/>
        </w:rPr>
        <w:t>,</w:t>
      </w:r>
      <w:r w:rsidRPr="00662392">
        <w:rPr>
          <w:sz w:val="22"/>
          <w:szCs w:val="22"/>
        </w:rPr>
        <w:t xml:space="preserve"> and</w:t>
      </w:r>
      <w:proofErr w:type="gramEnd"/>
      <w:r w:rsidRPr="00662392">
        <w:rPr>
          <w:sz w:val="22"/>
          <w:szCs w:val="22"/>
        </w:rPr>
        <w:t xml:space="preserve"> pay particular attention to ancillary aspects of the temporary change that result from actions taken to directly compensate for the condition.  See Sections 06.</w:t>
      </w:r>
      <w:r w:rsidR="00223ABA" w:rsidRPr="00662392">
        <w:rPr>
          <w:sz w:val="22"/>
          <w:szCs w:val="22"/>
        </w:rPr>
        <w:t>15</w:t>
      </w:r>
      <w:r w:rsidRPr="00662392">
        <w:rPr>
          <w:sz w:val="22"/>
          <w:szCs w:val="22"/>
        </w:rPr>
        <w:t xml:space="preserve"> through 06.</w:t>
      </w:r>
      <w:r w:rsidR="00223ABA" w:rsidRPr="00662392">
        <w:rPr>
          <w:sz w:val="22"/>
          <w:szCs w:val="22"/>
        </w:rPr>
        <w:t>21</w:t>
      </w:r>
      <w:r w:rsidRPr="00662392">
        <w:rPr>
          <w:sz w:val="22"/>
          <w:szCs w:val="22"/>
        </w:rPr>
        <w:t xml:space="preserve"> of this IMC for discussion of the criteria in 10 CFR 50.59.</w:t>
      </w:r>
    </w:p>
    <w:p w14:paraId="7DC522D6" w14:textId="77777777" w:rsidR="008C1ADD" w:rsidRPr="00662392" w:rsidRDefault="008C1ADD" w:rsidP="00194415">
      <w:pPr>
        <w:rPr>
          <w:sz w:val="22"/>
          <w:szCs w:val="22"/>
        </w:rPr>
      </w:pPr>
    </w:p>
    <w:p w14:paraId="57F9C6CB" w14:textId="722BFE8B" w:rsidR="008C1ADD" w:rsidRPr="00662392" w:rsidRDefault="00F40C0C" w:rsidP="00194415">
      <w:pPr>
        <w:rPr>
          <w:sz w:val="22"/>
          <w:szCs w:val="22"/>
        </w:rPr>
      </w:pPr>
      <w:r w:rsidRPr="00662392">
        <w:rPr>
          <w:sz w:val="22"/>
          <w:szCs w:val="22"/>
        </w:rPr>
        <w:t>06.24</w:t>
      </w:r>
      <w:r w:rsidRPr="00662392">
        <w:rPr>
          <w:sz w:val="22"/>
          <w:szCs w:val="22"/>
        </w:rPr>
        <w:tab/>
      </w:r>
      <w:r w:rsidRPr="00662392">
        <w:rPr>
          <w:sz w:val="22"/>
          <w:szCs w:val="22"/>
          <w:u w:val="single"/>
        </w:rPr>
        <w:t>Guidance for Digital Modifications</w:t>
      </w:r>
      <w:r w:rsidRPr="00662392">
        <w:rPr>
          <w:sz w:val="22"/>
          <w:szCs w:val="22"/>
          <w:u w:val="single"/>
        </w:rPr>
        <w:fldChar w:fldCharType="begin"/>
      </w:r>
      <w:r w:rsidRPr="00662392">
        <w:rPr>
          <w:sz w:val="22"/>
          <w:szCs w:val="22"/>
        </w:rPr>
        <w:instrText xml:space="preserve"> TC "</w:instrText>
      </w:r>
      <w:bookmarkStart w:id="109" w:name="_Toc62642915"/>
      <w:bookmarkStart w:id="110" w:name="_Toc63142097"/>
      <w:r w:rsidRPr="00662392">
        <w:rPr>
          <w:sz w:val="22"/>
          <w:szCs w:val="22"/>
        </w:rPr>
        <w:instrText>06.24</w:instrText>
      </w:r>
      <w:r w:rsidRPr="00662392">
        <w:rPr>
          <w:sz w:val="22"/>
          <w:szCs w:val="22"/>
        </w:rPr>
        <w:tab/>
      </w:r>
      <w:r w:rsidRPr="00662392">
        <w:rPr>
          <w:sz w:val="22"/>
          <w:szCs w:val="22"/>
          <w:u w:val="single"/>
        </w:rPr>
        <w:instrText>Guidance for Digital Modifications</w:instrText>
      </w:r>
      <w:bookmarkEnd w:id="109"/>
      <w:bookmarkEnd w:id="110"/>
      <w:r w:rsidRPr="00662392">
        <w:rPr>
          <w:sz w:val="22"/>
          <w:szCs w:val="22"/>
        </w:rPr>
        <w:instrText xml:space="preserve">" \f C \l "2" </w:instrText>
      </w:r>
      <w:r w:rsidRPr="00662392">
        <w:rPr>
          <w:sz w:val="22"/>
          <w:szCs w:val="22"/>
          <w:u w:val="single"/>
        </w:rPr>
        <w:fldChar w:fldCharType="end"/>
      </w:r>
    </w:p>
    <w:p w14:paraId="244C366F" w14:textId="77777777" w:rsidR="008C1ADD" w:rsidRPr="00662392" w:rsidRDefault="008C1ADD" w:rsidP="00194415">
      <w:pPr>
        <w:rPr>
          <w:sz w:val="22"/>
          <w:szCs w:val="22"/>
        </w:rPr>
      </w:pPr>
    </w:p>
    <w:p w14:paraId="28B0D792" w14:textId="77777777" w:rsidR="00C1473C" w:rsidRDefault="008C1ADD" w:rsidP="00194415">
      <w:pPr>
        <w:rPr>
          <w:sz w:val="22"/>
          <w:szCs w:val="22"/>
        </w:rPr>
        <w:sectPr w:rsidR="00C1473C" w:rsidSect="00012998">
          <w:footerReference w:type="default" r:id="rId44"/>
          <w:pgSz w:w="12240" w:h="15840" w:code="1"/>
          <w:pgMar w:top="1440" w:right="1440" w:bottom="1440" w:left="1440" w:header="720" w:footer="720" w:gutter="0"/>
          <w:cols w:space="720"/>
          <w:noEndnote/>
          <w:docGrid w:linePitch="326"/>
        </w:sectPr>
      </w:pPr>
      <w:r w:rsidRPr="00662392">
        <w:rPr>
          <w:sz w:val="22"/>
          <w:szCs w:val="22"/>
        </w:rPr>
        <w:t>NEI 96-07, Appendix D, “Supplemental Guidance for Application of 10 CFR 50.59 to Digital Modifications,” provides focused application of the 10 CFR 50.59 guidance contained in NEI 96-07, Revision 1, to activities involving digital modifications.  RG 1.187</w:t>
      </w:r>
      <w:r w:rsidR="00A83C76" w:rsidRPr="00662392">
        <w:rPr>
          <w:sz w:val="22"/>
          <w:szCs w:val="22"/>
        </w:rPr>
        <w:t>, Revision 2,</w:t>
      </w:r>
      <w:r w:rsidRPr="00662392">
        <w:rPr>
          <w:sz w:val="22"/>
          <w:szCs w:val="22"/>
        </w:rPr>
        <w:t xml:space="preserve"> endorses NEI 96-07, Appendix D, Revision 1, as a means for complying with the requirements of 10 CFR 50.59 when conducting digital I&amp;C modifications, subject to the clarifications in RG 1.187</w:t>
      </w:r>
      <w:r w:rsidR="00A83C76" w:rsidRPr="00662392">
        <w:rPr>
          <w:sz w:val="22"/>
          <w:szCs w:val="22"/>
        </w:rPr>
        <w:t>, Revision 2</w:t>
      </w:r>
      <w:r w:rsidRPr="00662392">
        <w:rPr>
          <w:sz w:val="22"/>
          <w:szCs w:val="22"/>
        </w:rPr>
        <w:t xml:space="preserve">.  Additionally, Regulatory Issue Summary (RIS) 2002-22, Supplement 1, “Clarification on Endorsement of Nuclear Energy Institute Guidance in Designing Digital Upgrades in Instrumentation and Control Systems” clarifies the guidance for preparing and documenting “qualitative assessments” that can be used to evaluate the likelihood of failure of a proposed digital modification, including the likelihood of failure due to a common cause (i.e., common-cause failure (CCF)).  The guidance in NEI 96-07, Appendix D </w:t>
      </w:r>
      <w:r w:rsidR="00CF17F8" w:rsidRPr="00662392">
        <w:rPr>
          <w:sz w:val="22"/>
          <w:szCs w:val="22"/>
        </w:rPr>
        <w:t>may be used in conjunction with</w:t>
      </w:r>
      <w:r w:rsidRPr="00662392">
        <w:rPr>
          <w:sz w:val="22"/>
          <w:szCs w:val="22"/>
        </w:rPr>
        <w:t xml:space="preserve"> the 10 CFR 50.59-related guidance contained in RIS 2002-22, Supplement 1.</w:t>
      </w:r>
    </w:p>
    <w:p w14:paraId="1EF81C74" w14:textId="4230621D" w:rsidR="0018273E" w:rsidRPr="00662392" w:rsidRDefault="008C1ADD" w:rsidP="00194415">
      <w:pPr>
        <w:rPr>
          <w:sz w:val="22"/>
          <w:szCs w:val="22"/>
        </w:rPr>
      </w:pPr>
      <w:r w:rsidRPr="00662392">
        <w:rPr>
          <w:sz w:val="22"/>
          <w:szCs w:val="22"/>
        </w:rPr>
        <w:lastRenderedPageBreak/>
        <w:t xml:space="preserve">Inspectors should refer to the guidance in RG 1.187; NEI 96-07, Appendix D; and RIS 2002-22, Supplement 1 when inspecting digital modifications.  </w:t>
      </w:r>
    </w:p>
    <w:p w14:paraId="2F685E17" w14:textId="77777777" w:rsidR="0018273E" w:rsidRPr="00662392" w:rsidRDefault="0018273E" w:rsidP="00194415">
      <w:pPr>
        <w:rPr>
          <w:sz w:val="22"/>
          <w:szCs w:val="22"/>
        </w:rPr>
      </w:pPr>
    </w:p>
    <w:p w14:paraId="51EE6AED" w14:textId="00BAABF9" w:rsidR="0018273E" w:rsidRPr="00662392" w:rsidRDefault="00F40C0C" w:rsidP="00194415">
      <w:pPr>
        <w:rPr>
          <w:sz w:val="22"/>
          <w:szCs w:val="22"/>
        </w:rPr>
      </w:pPr>
      <w:r w:rsidRPr="00662392">
        <w:rPr>
          <w:sz w:val="22"/>
          <w:szCs w:val="22"/>
        </w:rPr>
        <w:t>06.25</w:t>
      </w:r>
      <w:r w:rsidRPr="00662392">
        <w:rPr>
          <w:sz w:val="22"/>
          <w:szCs w:val="22"/>
        </w:rPr>
        <w:tab/>
      </w:r>
      <w:r w:rsidRPr="00662392">
        <w:rPr>
          <w:sz w:val="22"/>
          <w:szCs w:val="22"/>
          <w:u w:val="single"/>
        </w:rPr>
        <w:t>Documentation and Reporting</w:t>
      </w:r>
      <w:r w:rsidRPr="00662392">
        <w:rPr>
          <w:sz w:val="22"/>
          <w:szCs w:val="22"/>
          <w:u w:val="single"/>
        </w:rPr>
        <w:fldChar w:fldCharType="begin"/>
      </w:r>
      <w:r w:rsidRPr="00662392">
        <w:rPr>
          <w:sz w:val="22"/>
          <w:szCs w:val="22"/>
        </w:rPr>
        <w:instrText xml:space="preserve"> TC "</w:instrText>
      </w:r>
      <w:bookmarkStart w:id="111" w:name="_Toc62642916"/>
      <w:bookmarkStart w:id="112" w:name="_Toc63142098"/>
      <w:r w:rsidRPr="00662392">
        <w:rPr>
          <w:sz w:val="22"/>
          <w:szCs w:val="22"/>
        </w:rPr>
        <w:instrText>06.25</w:instrText>
      </w:r>
      <w:r w:rsidRPr="00662392">
        <w:rPr>
          <w:sz w:val="22"/>
          <w:szCs w:val="22"/>
        </w:rPr>
        <w:tab/>
      </w:r>
      <w:r w:rsidRPr="00662392">
        <w:rPr>
          <w:sz w:val="22"/>
          <w:szCs w:val="22"/>
          <w:u w:val="single"/>
        </w:rPr>
        <w:instrText>Documentation and Reporting</w:instrText>
      </w:r>
      <w:bookmarkEnd w:id="111"/>
      <w:bookmarkEnd w:id="112"/>
      <w:r w:rsidRPr="00662392">
        <w:rPr>
          <w:sz w:val="22"/>
          <w:szCs w:val="22"/>
        </w:rPr>
        <w:instrText xml:space="preserve">" \f C \l "2" </w:instrText>
      </w:r>
      <w:r w:rsidRPr="00662392">
        <w:rPr>
          <w:sz w:val="22"/>
          <w:szCs w:val="22"/>
          <w:u w:val="single"/>
        </w:rPr>
        <w:fldChar w:fldCharType="end"/>
      </w:r>
    </w:p>
    <w:p w14:paraId="4288E661" w14:textId="77777777" w:rsidR="0018273E" w:rsidRPr="00662392" w:rsidRDefault="0018273E" w:rsidP="00194415">
      <w:pPr>
        <w:rPr>
          <w:sz w:val="22"/>
          <w:szCs w:val="22"/>
        </w:rPr>
      </w:pPr>
    </w:p>
    <w:p w14:paraId="18FB00BD" w14:textId="623F0200" w:rsidR="0018273E" w:rsidRPr="00662392" w:rsidRDefault="0018273E" w:rsidP="00194415">
      <w:pPr>
        <w:rPr>
          <w:sz w:val="22"/>
          <w:szCs w:val="22"/>
        </w:rPr>
      </w:pPr>
      <w:bookmarkStart w:id="113" w:name="_Hlk51936936"/>
      <w:r w:rsidRPr="00662392">
        <w:rPr>
          <w:sz w:val="22"/>
          <w:szCs w:val="22"/>
        </w:rPr>
        <w:t>10 CFR 50.59</w:t>
      </w:r>
      <w:bookmarkEnd w:id="113"/>
      <w:r w:rsidRPr="00662392">
        <w:rPr>
          <w:sz w:val="22"/>
          <w:szCs w:val="22"/>
        </w:rPr>
        <w:t xml:space="preserve">(d)(1) requires licensees to maintain records of changes in the facility, of changes in procedures, and of tests and experiments made in accordance with 10 CFR 50.59 without NRC approval.  It also requires that these records include a written evaluation which provides the bases for the determination that the CTE does not require </w:t>
      </w:r>
      <w:r w:rsidR="006100DD" w:rsidRPr="00662392">
        <w:rPr>
          <w:sz w:val="22"/>
          <w:szCs w:val="22"/>
        </w:rPr>
        <w:t xml:space="preserve">a </w:t>
      </w:r>
      <w:r w:rsidRPr="00662392">
        <w:rPr>
          <w:sz w:val="22"/>
          <w:szCs w:val="22"/>
        </w:rPr>
        <w:t xml:space="preserve">license amendment.  </w:t>
      </w:r>
    </w:p>
    <w:p w14:paraId="705822E8" w14:textId="77777777" w:rsidR="0018273E" w:rsidRPr="00662392" w:rsidRDefault="0018273E" w:rsidP="00194415">
      <w:pPr>
        <w:rPr>
          <w:sz w:val="22"/>
          <w:szCs w:val="22"/>
        </w:rPr>
      </w:pPr>
    </w:p>
    <w:p w14:paraId="00400CBB" w14:textId="54842315" w:rsidR="0018273E" w:rsidRPr="00662392" w:rsidRDefault="0018273E" w:rsidP="00194415">
      <w:pPr>
        <w:rPr>
          <w:sz w:val="22"/>
          <w:szCs w:val="22"/>
        </w:rPr>
      </w:pPr>
      <w:r w:rsidRPr="00662392">
        <w:rPr>
          <w:sz w:val="22"/>
          <w:szCs w:val="22"/>
        </w:rPr>
        <w:t>10 CFR 50.59(d)(2) requires that the licensee submit</w:t>
      </w:r>
      <w:r w:rsidR="004A6A07" w:rsidRPr="00662392">
        <w:rPr>
          <w:sz w:val="22"/>
          <w:szCs w:val="22"/>
        </w:rPr>
        <w:t xml:space="preserve">, as specified </w:t>
      </w:r>
      <w:r w:rsidR="005951A2" w:rsidRPr="00662392">
        <w:rPr>
          <w:sz w:val="22"/>
          <w:szCs w:val="22"/>
        </w:rPr>
        <w:t>by</w:t>
      </w:r>
      <w:r w:rsidR="004A6A07" w:rsidRPr="00662392">
        <w:rPr>
          <w:sz w:val="22"/>
          <w:szCs w:val="22"/>
        </w:rPr>
        <w:t xml:space="preserve"> 10 CFR 50.4 and 52.3,</w:t>
      </w:r>
      <w:r w:rsidRPr="00662392">
        <w:rPr>
          <w:sz w:val="22"/>
          <w:szCs w:val="22"/>
        </w:rPr>
        <w:t xml:space="preserve"> a report containing a brief description of each CTE</w:t>
      </w:r>
      <w:r w:rsidR="00866F8E" w:rsidRPr="00662392">
        <w:rPr>
          <w:sz w:val="22"/>
          <w:szCs w:val="22"/>
        </w:rPr>
        <w:t>,</w:t>
      </w:r>
      <w:r w:rsidRPr="00662392">
        <w:rPr>
          <w:sz w:val="22"/>
          <w:szCs w:val="22"/>
        </w:rPr>
        <w:t xml:space="preserve"> including a summary of its supporting evaluation, implemented without prior NRC approval</w:t>
      </w:r>
      <w:r w:rsidR="009870A7" w:rsidRPr="00662392">
        <w:rPr>
          <w:sz w:val="22"/>
          <w:szCs w:val="22"/>
        </w:rPr>
        <w:t>.</w:t>
      </w:r>
      <w:r w:rsidRPr="00662392">
        <w:rPr>
          <w:sz w:val="22"/>
          <w:szCs w:val="22"/>
        </w:rPr>
        <w:t xml:space="preserve">  The reporting frequency is not to exceed 24 </w:t>
      </w:r>
      <w:r w:rsidR="006100DD" w:rsidRPr="00662392">
        <w:rPr>
          <w:sz w:val="22"/>
          <w:szCs w:val="22"/>
        </w:rPr>
        <w:t>months,</w:t>
      </w:r>
      <w:r w:rsidRPr="00662392">
        <w:rPr>
          <w:sz w:val="22"/>
          <w:szCs w:val="22"/>
        </w:rPr>
        <w:t xml:space="preserve"> but reports may be filed more frequently if a licensee so chooses.  Reports are required </w:t>
      </w:r>
      <w:r w:rsidR="00537A36" w:rsidRPr="00662392">
        <w:rPr>
          <w:sz w:val="22"/>
          <w:szCs w:val="22"/>
        </w:rPr>
        <w:t xml:space="preserve">by 10 CFR 50.59 </w:t>
      </w:r>
      <w:r w:rsidRPr="00662392">
        <w:rPr>
          <w:sz w:val="22"/>
          <w:szCs w:val="22"/>
        </w:rPr>
        <w:t>only for those CTEs for which evaluations against the criteria were required</w:t>
      </w:r>
      <w:r w:rsidR="009870A7" w:rsidRPr="00662392">
        <w:rPr>
          <w:sz w:val="22"/>
          <w:szCs w:val="22"/>
        </w:rPr>
        <w:t xml:space="preserve"> and </w:t>
      </w:r>
      <w:r w:rsidRPr="00662392">
        <w:rPr>
          <w:sz w:val="22"/>
          <w:szCs w:val="22"/>
        </w:rPr>
        <w:t xml:space="preserve">not for CTEs </w:t>
      </w:r>
      <w:r w:rsidR="00565990" w:rsidRPr="00662392">
        <w:rPr>
          <w:sz w:val="22"/>
          <w:szCs w:val="22"/>
        </w:rPr>
        <w:t xml:space="preserve">that </w:t>
      </w:r>
      <w:r w:rsidRPr="00662392">
        <w:rPr>
          <w:sz w:val="22"/>
          <w:szCs w:val="22"/>
        </w:rPr>
        <w:t>screened out</w:t>
      </w:r>
      <w:r w:rsidR="00565990" w:rsidRPr="00662392">
        <w:rPr>
          <w:sz w:val="22"/>
          <w:szCs w:val="22"/>
        </w:rPr>
        <w:t xml:space="preserve"> (for those licensees who employ a screening process)</w:t>
      </w:r>
      <w:r w:rsidRPr="00662392">
        <w:rPr>
          <w:sz w:val="22"/>
          <w:szCs w:val="22"/>
        </w:rPr>
        <w:t>.</w:t>
      </w:r>
    </w:p>
    <w:p w14:paraId="34350B85" w14:textId="77777777" w:rsidR="0018273E" w:rsidRPr="00662392" w:rsidRDefault="0018273E" w:rsidP="00194415">
      <w:pPr>
        <w:rPr>
          <w:sz w:val="22"/>
          <w:szCs w:val="22"/>
        </w:rPr>
      </w:pPr>
    </w:p>
    <w:p w14:paraId="7207BFE3" w14:textId="19B81B2A" w:rsidR="0018273E" w:rsidRPr="00662392" w:rsidRDefault="0018273E" w:rsidP="00194415">
      <w:pPr>
        <w:rPr>
          <w:sz w:val="22"/>
          <w:szCs w:val="22"/>
        </w:rPr>
      </w:pPr>
      <w:r w:rsidRPr="00662392">
        <w:rPr>
          <w:sz w:val="22"/>
          <w:szCs w:val="22"/>
        </w:rPr>
        <w:t>10 CFR 50.59(d)(3) requires that records of changes to the facility be maintained until the date of termination of the license (either the Part 50 license, combined license issued under Part 52, or any license issued under Part 54), and that records of changes to the procedures and records of tests and experiments be maintained for a period of 5 years.</w:t>
      </w:r>
    </w:p>
    <w:p w14:paraId="2E595623" w14:textId="77777777" w:rsidR="0018273E" w:rsidRPr="00662392" w:rsidRDefault="0018273E" w:rsidP="00194415">
      <w:pPr>
        <w:rPr>
          <w:sz w:val="22"/>
          <w:szCs w:val="22"/>
        </w:rPr>
      </w:pPr>
    </w:p>
    <w:p w14:paraId="344A3B22" w14:textId="46F6C6D7" w:rsidR="0018273E" w:rsidRPr="00662392" w:rsidRDefault="00D24DB5" w:rsidP="00194415">
      <w:pPr>
        <w:rPr>
          <w:sz w:val="22"/>
          <w:szCs w:val="22"/>
        </w:rPr>
      </w:pPr>
      <w:r w:rsidRPr="00662392">
        <w:rPr>
          <w:sz w:val="22"/>
          <w:szCs w:val="22"/>
        </w:rPr>
        <w:t xml:space="preserve">The </w:t>
      </w:r>
      <w:r w:rsidR="0018273E" w:rsidRPr="00662392">
        <w:rPr>
          <w:sz w:val="22"/>
          <w:szCs w:val="22"/>
        </w:rPr>
        <w:t xml:space="preserve">NRC </w:t>
      </w:r>
      <w:r w:rsidR="002339F1" w:rsidRPr="00662392">
        <w:rPr>
          <w:sz w:val="22"/>
          <w:szCs w:val="22"/>
        </w:rPr>
        <w:t xml:space="preserve">staff </w:t>
      </w:r>
      <w:r w:rsidR="0018273E" w:rsidRPr="00662392">
        <w:rPr>
          <w:sz w:val="22"/>
          <w:szCs w:val="22"/>
        </w:rPr>
        <w:t xml:space="preserve">does not consider a checklist to be </w:t>
      </w:r>
      <w:proofErr w:type="gramStart"/>
      <w:r w:rsidR="0018273E" w:rsidRPr="00662392">
        <w:rPr>
          <w:sz w:val="22"/>
          <w:szCs w:val="22"/>
        </w:rPr>
        <w:t>sufficient</w:t>
      </w:r>
      <w:proofErr w:type="gramEnd"/>
      <w:r w:rsidR="0018273E" w:rsidRPr="00662392">
        <w:rPr>
          <w:sz w:val="22"/>
          <w:szCs w:val="22"/>
        </w:rPr>
        <w:t xml:space="preserve"> to meet the requirement for a written evaluation.  However, depending upon the significance of the change, the 10 CFR 50.59 evaluation can be quite brief.</w:t>
      </w:r>
      <w:r w:rsidR="00726F46" w:rsidRPr="00662392">
        <w:rPr>
          <w:sz w:val="22"/>
          <w:szCs w:val="22"/>
        </w:rPr>
        <w:t xml:space="preserve"> As described in </w:t>
      </w:r>
      <w:r w:rsidR="001A42E1" w:rsidRPr="00662392">
        <w:rPr>
          <w:sz w:val="22"/>
          <w:szCs w:val="22"/>
        </w:rPr>
        <w:t>NEI 96-07, Revision 1,</w:t>
      </w:r>
      <w:r w:rsidR="00726F46" w:rsidRPr="00662392">
        <w:rPr>
          <w:sz w:val="22"/>
          <w:szCs w:val="22"/>
        </w:rPr>
        <w:t xml:space="preserve"> although the conclusion in each criterion may be simply "yes," "no" or "not applicable," there must be an accompanying explanation providing adequate basis for the conclusion.  Consistent with the intent of 10 CFR 50.59, these explanations should be complete in the sense that another knowledgeable reviewer could draw the same conclusion. </w:t>
      </w:r>
      <w:r w:rsidR="005067F1">
        <w:rPr>
          <w:sz w:val="22"/>
          <w:szCs w:val="22"/>
        </w:rPr>
        <w:t xml:space="preserve"> </w:t>
      </w:r>
      <w:r w:rsidR="00726F46" w:rsidRPr="00662392">
        <w:rPr>
          <w:sz w:val="22"/>
          <w:szCs w:val="22"/>
        </w:rPr>
        <w:t xml:space="preserve">Restatement of the criteria in a negative sense or making simple statements of conclusion is not </w:t>
      </w:r>
      <w:proofErr w:type="gramStart"/>
      <w:r w:rsidR="00726F46" w:rsidRPr="00662392">
        <w:rPr>
          <w:sz w:val="22"/>
          <w:szCs w:val="22"/>
        </w:rPr>
        <w:t>sufficient</w:t>
      </w:r>
      <w:proofErr w:type="gramEnd"/>
      <w:r w:rsidR="00726F46" w:rsidRPr="00662392">
        <w:rPr>
          <w:sz w:val="22"/>
          <w:szCs w:val="22"/>
        </w:rPr>
        <w:t xml:space="preserve"> and should be avoided. </w:t>
      </w:r>
      <w:r w:rsidR="00E80159" w:rsidRPr="00662392">
        <w:rPr>
          <w:sz w:val="22"/>
          <w:szCs w:val="22"/>
        </w:rPr>
        <w:t xml:space="preserve"> </w:t>
      </w:r>
      <w:r w:rsidR="00726F46" w:rsidRPr="00662392">
        <w:rPr>
          <w:sz w:val="22"/>
          <w:szCs w:val="22"/>
        </w:rPr>
        <w:t>It is recognized, however, that for certain very simple activities, a statement of the conclusion with identification of references consulted to support the conclusion would be adequate and the 10 CFR 50.59 evaluation could be very brief.</w:t>
      </w:r>
    </w:p>
    <w:p w14:paraId="253C7080" w14:textId="77777777" w:rsidR="003D49CE" w:rsidRPr="00662392" w:rsidRDefault="003D49CE" w:rsidP="00194415">
      <w:pPr>
        <w:rPr>
          <w:sz w:val="22"/>
          <w:szCs w:val="22"/>
        </w:rPr>
      </w:pPr>
    </w:p>
    <w:p w14:paraId="36FDFFB9" w14:textId="5C8CDD58" w:rsidR="00640886" w:rsidRPr="00662392" w:rsidRDefault="00640886" w:rsidP="00194415">
      <w:pPr>
        <w:widowControl/>
        <w:autoSpaceDE/>
        <w:autoSpaceDN/>
        <w:adjustRightInd/>
        <w:rPr>
          <w:sz w:val="22"/>
          <w:szCs w:val="22"/>
        </w:rPr>
      </w:pPr>
    </w:p>
    <w:p w14:paraId="4B846F6E" w14:textId="1CA7E0FB" w:rsidR="001F5146" w:rsidRPr="00662392" w:rsidRDefault="00E40268" w:rsidP="00194415">
      <w:pPr>
        <w:rPr>
          <w:sz w:val="22"/>
          <w:szCs w:val="22"/>
        </w:rPr>
      </w:pPr>
      <w:r w:rsidRPr="00662392">
        <w:rPr>
          <w:sz w:val="22"/>
          <w:szCs w:val="22"/>
        </w:rPr>
        <w:t>03</w:t>
      </w:r>
      <w:r w:rsidR="00D908D4" w:rsidRPr="00662392">
        <w:rPr>
          <w:sz w:val="22"/>
          <w:szCs w:val="22"/>
        </w:rPr>
        <w:t>35</w:t>
      </w:r>
      <w:r w:rsidRPr="00662392">
        <w:rPr>
          <w:sz w:val="22"/>
          <w:szCs w:val="22"/>
        </w:rPr>
        <w:t>-0</w:t>
      </w:r>
      <w:r w:rsidR="00251C1D" w:rsidRPr="00662392">
        <w:rPr>
          <w:sz w:val="22"/>
          <w:szCs w:val="22"/>
        </w:rPr>
        <w:t>7</w:t>
      </w:r>
      <w:r w:rsidR="00D07321" w:rsidRPr="00662392">
        <w:rPr>
          <w:sz w:val="22"/>
          <w:szCs w:val="22"/>
        </w:rPr>
        <w:tab/>
      </w:r>
      <w:r w:rsidR="00BB2F4A" w:rsidRPr="00662392">
        <w:rPr>
          <w:sz w:val="22"/>
          <w:szCs w:val="22"/>
        </w:rPr>
        <w:t>10 CFR 72.48</w:t>
      </w:r>
      <w:r w:rsidR="005244CE" w:rsidRPr="00662392">
        <w:rPr>
          <w:sz w:val="22"/>
          <w:szCs w:val="22"/>
        </w:rPr>
        <w:t xml:space="preserve"> PROCESS</w:t>
      </w:r>
      <w:r w:rsidR="009507AB" w:rsidRPr="00662392">
        <w:rPr>
          <w:sz w:val="22"/>
          <w:szCs w:val="22"/>
        </w:rPr>
        <w:fldChar w:fldCharType="begin"/>
      </w:r>
      <w:r w:rsidR="009507AB" w:rsidRPr="00662392">
        <w:rPr>
          <w:sz w:val="22"/>
          <w:szCs w:val="22"/>
        </w:rPr>
        <w:instrText xml:space="preserve"> TC "</w:instrText>
      </w:r>
      <w:bookmarkStart w:id="114" w:name="_Toc63142099"/>
      <w:r w:rsidR="009507AB" w:rsidRPr="00662392">
        <w:rPr>
          <w:sz w:val="22"/>
          <w:szCs w:val="22"/>
        </w:rPr>
        <w:instrText>0335-0</w:instrText>
      </w:r>
      <w:r w:rsidR="009507AB">
        <w:rPr>
          <w:sz w:val="22"/>
          <w:szCs w:val="22"/>
        </w:rPr>
        <w:instrText>7</w:instrText>
      </w:r>
      <w:r w:rsidR="009507AB" w:rsidRPr="00662392">
        <w:rPr>
          <w:sz w:val="22"/>
          <w:szCs w:val="22"/>
        </w:rPr>
        <w:tab/>
        <w:instrText>10 CFR 72.48 PROCESS</w:instrText>
      </w:r>
      <w:bookmarkEnd w:id="114"/>
      <w:r w:rsidR="009507AB" w:rsidRPr="00662392">
        <w:rPr>
          <w:sz w:val="22"/>
          <w:szCs w:val="22"/>
        </w:rPr>
        <w:instrText xml:space="preserve"> " \f C \l "1"</w:instrText>
      </w:r>
      <w:r w:rsidR="009507AB" w:rsidRPr="00662392">
        <w:rPr>
          <w:sz w:val="22"/>
          <w:szCs w:val="22"/>
        </w:rPr>
        <w:fldChar w:fldCharType="end"/>
      </w:r>
    </w:p>
    <w:p w14:paraId="32B3AF78" w14:textId="77777777" w:rsidR="001F5146" w:rsidRPr="00662392" w:rsidRDefault="001F5146" w:rsidP="00194415">
      <w:pPr>
        <w:rPr>
          <w:sz w:val="22"/>
          <w:szCs w:val="22"/>
        </w:rPr>
      </w:pPr>
    </w:p>
    <w:p w14:paraId="63B6BC35" w14:textId="5530BA9D" w:rsidR="000E0ACD" w:rsidRDefault="001F5146" w:rsidP="00194415">
      <w:pPr>
        <w:rPr>
          <w:sz w:val="22"/>
          <w:szCs w:val="22"/>
        </w:rPr>
      </w:pPr>
      <w:r w:rsidRPr="00662392">
        <w:rPr>
          <w:sz w:val="22"/>
          <w:szCs w:val="22"/>
        </w:rPr>
        <w:t xml:space="preserve">The existing requirements contained in 10 CFR 72.48 allow an ISFSI licensee, </w:t>
      </w:r>
      <w:proofErr w:type="gramStart"/>
      <w:r w:rsidRPr="00662392">
        <w:rPr>
          <w:sz w:val="22"/>
          <w:szCs w:val="22"/>
        </w:rPr>
        <w:t>a</w:t>
      </w:r>
      <w:proofErr w:type="gramEnd"/>
      <w:r w:rsidRPr="00662392">
        <w:rPr>
          <w:sz w:val="22"/>
          <w:szCs w:val="22"/>
        </w:rPr>
        <w:t xml:space="preserve"> MRS licensee, or a spent fuel storage cask </w:t>
      </w:r>
      <w:proofErr w:type="spellStart"/>
      <w:r w:rsidR="00770422" w:rsidRPr="00662392">
        <w:rPr>
          <w:sz w:val="22"/>
          <w:szCs w:val="22"/>
        </w:rPr>
        <w:t>CoC</w:t>
      </w:r>
      <w:proofErr w:type="spellEnd"/>
      <w:r w:rsidR="004A2686" w:rsidRPr="00662392">
        <w:rPr>
          <w:sz w:val="22"/>
          <w:szCs w:val="22"/>
        </w:rPr>
        <w:t xml:space="preserve"> </w:t>
      </w:r>
      <w:r w:rsidRPr="00662392">
        <w:rPr>
          <w:sz w:val="22"/>
          <w:szCs w:val="22"/>
        </w:rPr>
        <w:t xml:space="preserve">holder to make changes </w:t>
      </w:r>
      <w:r w:rsidR="004A2686" w:rsidRPr="00662392">
        <w:rPr>
          <w:color w:val="333333"/>
          <w:sz w:val="22"/>
          <w:szCs w:val="22"/>
          <w:shd w:val="clear" w:color="auto" w:fill="FFFFFF"/>
        </w:rPr>
        <w:t>to</w:t>
      </w:r>
      <w:r w:rsidRPr="00662392">
        <w:rPr>
          <w:color w:val="333333"/>
          <w:sz w:val="22"/>
          <w:szCs w:val="22"/>
          <w:shd w:val="clear" w:color="auto" w:fill="FFFFFF"/>
        </w:rPr>
        <w:t xml:space="preserve"> their facilities, spent fuel storage cask, procedures</w:t>
      </w:r>
      <w:r w:rsidRPr="00662392">
        <w:rPr>
          <w:sz w:val="22"/>
          <w:szCs w:val="22"/>
        </w:rPr>
        <w:t xml:space="preserve">, </w:t>
      </w:r>
      <w:r w:rsidR="004A2686" w:rsidRPr="00662392">
        <w:rPr>
          <w:sz w:val="22"/>
          <w:szCs w:val="22"/>
        </w:rPr>
        <w:t>and</w:t>
      </w:r>
      <w:r w:rsidRPr="00662392">
        <w:rPr>
          <w:sz w:val="22"/>
          <w:szCs w:val="22"/>
        </w:rPr>
        <w:t xml:space="preserve"> to conduct tests or experiments without prior NRC review and approval.</w:t>
      </w:r>
      <w:r w:rsidRPr="00662392">
        <w:rPr>
          <w:color w:val="333333"/>
          <w:sz w:val="22"/>
          <w:szCs w:val="22"/>
          <w:shd w:val="clear" w:color="auto" w:fill="FFFFFF"/>
        </w:rPr>
        <w:t xml:space="preserve">  Comparable provisions exist in 10 CFR 50.59</w:t>
      </w:r>
      <w:r w:rsidR="004660E3" w:rsidRPr="00662392">
        <w:rPr>
          <w:color w:val="333333"/>
          <w:sz w:val="22"/>
          <w:szCs w:val="22"/>
          <w:shd w:val="clear" w:color="auto" w:fill="FFFFFF"/>
        </w:rPr>
        <w:t xml:space="preserve"> </w:t>
      </w:r>
      <w:r w:rsidRPr="00662392">
        <w:rPr>
          <w:color w:val="333333"/>
          <w:sz w:val="22"/>
          <w:szCs w:val="22"/>
          <w:shd w:val="clear" w:color="auto" w:fill="FFFFFF"/>
        </w:rPr>
        <w:t xml:space="preserve">for </w:t>
      </w:r>
      <w:r w:rsidR="00570861" w:rsidRPr="00662392">
        <w:rPr>
          <w:color w:val="333333"/>
          <w:sz w:val="22"/>
          <w:szCs w:val="22"/>
          <w:shd w:val="clear" w:color="auto" w:fill="FFFFFF"/>
        </w:rPr>
        <w:t xml:space="preserve">power </w:t>
      </w:r>
      <w:r w:rsidRPr="00662392">
        <w:rPr>
          <w:color w:val="333333"/>
          <w:sz w:val="22"/>
          <w:szCs w:val="22"/>
          <w:shd w:val="clear" w:color="auto" w:fill="FFFFFF"/>
        </w:rPr>
        <w:t>reactor licensees</w:t>
      </w:r>
      <w:r w:rsidR="004A2686" w:rsidRPr="00662392">
        <w:rPr>
          <w:color w:val="333333"/>
          <w:sz w:val="22"/>
          <w:szCs w:val="22"/>
          <w:shd w:val="clear" w:color="auto" w:fill="FFFFFF"/>
        </w:rPr>
        <w:t>,</w:t>
      </w:r>
      <w:r w:rsidRPr="00662392">
        <w:rPr>
          <w:color w:val="333333"/>
          <w:sz w:val="22"/>
          <w:szCs w:val="22"/>
          <w:shd w:val="clear" w:color="auto" w:fill="FFFFFF"/>
        </w:rPr>
        <w:t xml:space="preserve"> as described in Section 0355-06</w:t>
      </w:r>
      <w:r w:rsidR="004660E3" w:rsidRPr="00662392">
        <w:rPr>
          <w:color w:val="333333"/>
          <w:sz w:val="22"/>
          <w:szCs w:val="22"/>
          <w:shd w:val="clear" w:color="auto" w:fill="FFFFFF"/>
        </w:rPr>
        <w:t xml:space="preserve"> of this IMC</w:t>
      </w:r>
      <w:r w:rsidRPr="00662392">
        <w:rPr>
          <w:color w:val="333333"/>
          <w:sz w:val="22"/>
          <w:szCs w:val="22"/>
          <w:shd w:val="clear" w:color="auto" w:fill="FFFFFF"/>
        </w:rPr>
        <w:t>.  Additionally, prior to implementing a CTE</w:t>
      </w:r>
      <w:r w:rsidR="00432FEE" w:rsidRPr="00662392">
        <w:rPr>
          <w:color w:val="333333"/>
          <w:sz w:val="22"/>
          <w:szCs w:val="22"/>
          <w:shd w:val="clear" w:color="auto" w:fill="FFFFFF"/>
        </w:rPr>
        <w:t>,</w:t>
      </w:r>
      <w:r w:rsidRPr="00662392">
        <w:rPr>
          <w:color w:val="333333"/>
          <w:sz w:val="22"/>
          <w:szCs w:val="22"/>
          <w:shd w:val="clear" w:color="auto" w:fill="FFFFFF"/>
        </w:rPr>
        <w:t xml:space="preserve"> </w:t>
      </w:r>
      <w:r w:rsidR="009446F8" w:rsidRPr="00662392">
        <w:rPr>
          <w:sz w:val="22"/>
          <w:szCs w:val="22"/>
        </w:rPr>
        <w:t xml:space="preserve">a licensee or a cask </w:t>
      </w:r>
    </w:p>
    <w:p w14:paraId="325F66A3" w14:textId="29EF7DB8" w:rsidR="001F5146" w:rsidRPr="00662392" w:rsidRDefault="009446F8" w:rsidP="00194415">
      <w:pPr>
        <w:rPr>
          <w:sz w:val="22"/>
          <w:szCs w:val="22"/>
        </w:rPr>
      </w:pPr>
      <w:proofErr w:type="spellStart"/>
      <w:r w:rsidRPr="00662392">
        <w:rPr>
          <w:sz w:val="22"/>
          <w:szCs w:val="22"/>
        </w:rPr>
        <w:t>CoC</w:t>
      </w:r>
      <w:proofErr w:type="spellEnd"/>
      <w:r w:rsidRPr="00662392">
        <w:rPr>
          <w:sz w:val="22"/>
          <w:szCs w:val="22"/>
        </w:rPr>
        <w:t xml:space="preserve"> holder </w:t>
      </w:r>
      <w:r w:rsidR="00AD32ED" w:rsidRPr="00662392">
        <w:rPr>
          <w:sz w:val="22"/>
          <w:szCs w:val="22"/>
        </w:rPr>
        <w:t>would</w:t>
      </w:r>
      <w:r w:rsidR="0086444B" w:rsidRPr="00662392">
        <w:rPr>
          <w:sz w:val="22"/>
          <w:szCs w:val="22"/>
        </w:rPr>
        <w:t xml:space="preserve"> </w:t>
      </w:r>
      <w:r w:rsidR="006A18E3" w:rsidRPr="00662392">
        <w:rPr>
          <w:sz w:val="22"/>
          <w:szCs w:val="22"/>
        </w:rPr>
        <w:t>use</w:t>
      </w:r>
      <w:r w:rsidR="002646C9" w:rsidRPr="00662392">
        <w:rPr>
          <w:sz w:val="22"/>
          <w:szCs w:val="22"/>
        </w:rPr>
        <w:t xml:space="preserve"> </w:t>
      </w:r>
      <w:r w:rsidR="001F5146" w:rsidRPr="00662392">
        <w:rPr>
          <w:color w:val="333333"/>
          <w:sz w:val="22"/>
          <w:szCs w:val="22"/>
          <w:shd w:val="clear" w:color="auto" w:fill="FFFFFF"/>
        </w:rPr>
        <w:t xml:space="preserve">the </w:t>
      </w:r>
      <w:r w:rsidR="001F5146" w:rsidRPr="00662392">
        <w:rPr>
          <w:sz w:val="22"/>
          <w:szCs w:val="22"/>
        </w:rPr>
        <w:t xml:space="preserve">10 CFR 72.48 process </w:t>
      </w:r>
      <w:r w:rsidR="006A18E3" w:rsidRPr="00662392">
        <w:rPr>
          <w:sz w:val="22"/>
          <w:szCs w:val="22"/>
        </w:rPr>
        <w:t xml:space="preserve">to </w:t>
      </w:r>
      <w:r w:rsidR="001F5146" w:rsidRPr="00662392">
        <w:rPr>
          <w:sz w:val="22"/>
          <w:szCs w:val="22"/>
        </w:rPr>
        <w:t xml:space="preserve">determine </w:t>
      </w:r>
      <w:r w:rsidR="001D14BE" w:rsidRPr="00662392">
        <w:rPr>
          <w:sz w:val="22"/>
          <w:szCs w:val="22"/>
        </w:rPr>
        <w:t xml:space="preserve">whether </w:t>
      </w:r>
      <w:r w:rsidR="001F5146" w:rsidRPr="00662392">
        <w:rPr>
          <w:sz w:val="22"/>
          <w:szCs w:val="22"/>
        </w:rPr>
        <w:t xml:space="preserve">prior NRC approval </w:t>
      </w:r>
      <w:r w:rsidR="00A1585D" w:rsidRPr="00662392">
        <w:rPr>
          <w:sz w:val="22"/>
          <w:szCs w:val="22"/>
        </w:rPr>
        <w:t xml:space="preserve">through </w:t>
      </w:r>
      <w:r w:rsidR="001F5146" w:rsidRPr="00662392">
        <w:rPr>
          <w:sz w:val="22"/>
          <w:szCs w:val="22"/>
        </w:rPr>
        <w:t xml:space="preserve">a license amendment </w:t>
      </w:r>
      <w:r w:rsidR="00A1585D" w:rsidRPr="00662392">
        <w:rPr>
          <w:sz w:val="22"/>
          <w:szCs w:val="22"/>
        </w:rPr>
        <w:t>under</w:t>
      </w:r>
      <w:r w:rsidR="001F5146" w:rsidRPr="00662392">
        <w:rPr>
          <w:sz w:val="22"/>
          <w:szCs w:val="22"/>
        </w:rPr>
        <w:t xml:space="preserve"> (1) </w:t>
      </w:r>
      <w:r w:rsidR="001F5146" w:rsidRPr="00662392">
        <w:rPr>
          <w:color w:val="333333"/>
          <w:sz w:val="22"/>
          <w:szCs w:val="22"/>
        </w:rPr>
        <w:t>10 CFR 72.56 (for specific licensees) or (2) 10 CFR 72.244 (for general licensees and storage cask certificate holders)</w:t>
      </w:r>
      <w:r w:rsidR="003F6DE3" w:rsidRPr="00662392">
        <w:rPr>
          <w:color w:val="333333"/>
          <w:sz w:val="22"/>
          <w:szCs w:val="22"/>
        </w:rPr>
        <w:t xml:space="preserve"> is </w:t>
      </w:r>
      <w:r w:rsidR="001D14BE" w:rsidRPr="00662392">
        <w:rPr>
          <w:color w:val="333333"/>
          <w:sz w:val="22"/>
          <w:szCs w:val="22"/>
        </w:rPr>
        <w:t>required</w:t>
      </w:r>
      <w:r w:rsidR="001F5146" w:rsidRPr="00662392">
        <w:rPr>
          <w:sz w:val="22"/>
          <w:szCs w:val="22"/>
        </w:rPr>
        <w:t>.</w:t>
      </w:r>
    </w:p>
    <w:p w14:paraId="7A005445" w14:textId="77777777" w:rsidR="00570861" w:rsidRPr="00662392" w:rsidRDefault="00570861" w:rsidP="00194415">
      <w:pPr>
        <w:rPr>
          <w:sz w:val="22"/>
          <w:szCs w:val="22"/>
        </w:rPr>
      </w:pPr>
    </w:p>
    <w:p w14:paraId="687E669E" w14:textId="77777777" w:rsidR="00C1473C" w:rsidRDefault="001F5146" w:rsidP="00194415">
      <w:pPr>
        <w:rPr>
          <w:sz w:val="22"/>
          <w:szCs w:val="22"/>
        </w:rPr>
        <w:sectPr w:rsidR="00C1473C" w:rsidSect="00012998">
          <w:footerReference w:type="default" r:id="rId45"/>
          <w:pgSz w:w="12240" w:h="15840" w:code="1"/>
          <w:pgMar w:top="1440" w:right="1440" w:bottom="1440" w:left="1440" w:header="720" w:footer="720" w:gutter="0"/>
          <w:cols w:space="720"/>
          <w:noEndnote/>
          <w:docGrid w:linePitch="326"/>
        </w:sectPr>
      </w:pPr>
      <w:r w:rsidRPr="00662392">
        <w:rPr>
          <w:sz w:val="22"/>
          <w:szCs w:val="22"/>
        </w:rPr>
        <w:t xml:space="preserve">Furthermore, licensees and </w:t>
      </w:r>
      <w:proofErr w:type="spellStart"/>
      <w:r w:rsidR="001F0D33" w:rsidRPr="00662392">
        <w:rPr>
          <w:sz w:val="22"/>
          <w:szCs w:val="22"/>
        </w:rPr>
        <w:t>CoC</w:t>
      </w:r>
      <w:proofErr w:type="spellEnd"/>
      <w:r w:rsidRPr="00662392">
        <w:rPr>
          <w:color w:val="333333"/>
          <w:sz w:val="22"/>
          <w:szCs w:val="22"/>
        </w:rPr>
        <w:t xml:space="preserve"> holders</w:t>
      </w:r>
      <w:r w:rsidRPr="00662392">
        <w:rPr>
          <w:sz w:val="22"/>
          <w:szCs w:val="22"/>
        </w:rPr>
        <w:t xml:space="preserve"> should apply the 10 CFR 72.48 process after determining that a proposed activity is safe and effective through appropriate engineering and </w:t>
      </w:r>
    </w:p>
    <w:p w14:paraId="120E91A7" w14:textId="0545F96C" w:rsidR="001F5146" w:rsidRPr="00662392" w:rsidRDefault="001F5146" w:rsidP="00194415">
      <w:pPr>
        <w:rPr>
          <w:sz w:val="22"/>
          <w:szCs w:val="22"/>
        </w:rPr>
      </w:pPr>
      <w:r w:rsidRPr="00662392">
        <w:rPr>
          <w:sz w:val="22"/>
          <w:szCs w:val="22"/>
        </w:rPr>
        <w:lastRenderedPageBreak/>
        <w:t xml:space="preserve">technical evaluations. </w:t>
      </w:r>
      <w:r w:rsidR="009D49B8" w:rsidRPr="00662392">
        <w:rPr>
          <w:sz w:val="22"/>
          <w:szCs w:val="22"/>
        </w:rPr>
        <w:t xml:space="preserve"> The licensee’s </w:t>
      </w:r>
      <w:r w:rsidR="008D168B" w:rsidRPr="00662392">
        <w:rPr>
          <w:sz w:val="22"/>
          <w:szCs w:val="22"/>
        </w:rPr>
        <w:t xml:space="preserve">and </w:t>
      </w:r>
      <w:proofErr w:type="spellStart"/>
      <w:r w:rsidR="008D168B" w:rsidRPr="00662392">
        <w:rPr>
          <w:sz w:val="22"/>
          <w:szCs w:val="22"/>
        </w:rPr>
        <w:t>CoC</w:t>
      </w:r>
      <w:proofErr w:type="spellEnd"/>
      <w:r w:rsidR="008D168B" w:rsidRPr="00662392">
        <w:rPr>
          <w:sz w:val="22"/>
          <w:szCs w:val="22"/>
        </w:rPr>
        <w:t xml:space="preserve"> holder’s </w:t>
      </w:r>
      <w:r w:rsidR="009D49B8" w:rsidRPr="00662392">
        <w:rPr>
          <w:sz w:val="22"/>
          <w:szCs w:val="22"/>
        </w:rPr>
        <w:t>process may involve the following steps:</w:t>
      </w:r>
    </w:p>
    <w:p w14:paraId="53F678E7" w14:textId="77777777" w:rsidR="001F5146" w:rsidRPr="00662392" w:rsidRDefault="001F5146" w:rsidP="00194415">
      <w:pPr>
        <w:rPr>
          <w:sz w:val="22"/>
          <w:szCs w:val="22"/>
        </w:rPr>
      </w:pPr>
    </w:p>
    <w:p w14:paraId="31890977" w14:textId="07141EFC" w:rsidR="001F5146" w:rsidRPr="00662392" w:rsidRDefault="001F5146" w:rsidP="006B18FB">
      <w:pPr>
        <w:pStyle w:val="ListParagraph"/>
        <w:numPr>
          <w:ilvl w:val="0"/>
          <w:numId w:val="28"/>
        </w:numPr>
        <w:ind w:left="720"/>
        <w:rPr>
          <w:rFonts w:ascii="Arial" w:eastAsiaTheme="minorEastAsia" w:hAnsi="Arial" w:cs="Arial"/>
          <w:sz w:val="22"/>
          <w:szCs w:val="22"/>
        </w:rPr>
      </w:pPr>
      <w:r w:rsidRPr="00662392">
        <w:rPr>
          <w:rFonts w:ascii="Arial" w:hAnsi="Arial" w:cs="Arial"/>
          <w:sz w:val="22"/>
          <w:szCs w:val="22"/>
        </w:rPr>
        <w:t xml:space="preserve">Applicability and Screening: </w:t>
      </w:r>
      <w:r w:rsidR="00200F9E" w:rsidRPr="00662392">
        <w:rPr>
          <w:rFonts w:ascii="Arial" w:hAnsi="Arial" w:cs="Arial"/>
          <w:sz w:val="22"/>
          <w:szCs w:val="22"/>
        </w:rPr>
        <w:t xml:space="preserve"> </w:t>
      </w:r>
      <w:r w:rsidR="0050558E" w:rsidRPr="00662392">
        <w:rPr>
          <w:rFonts w:ascii="Arial" w:hAnsi="Arial" w:cs="Arial"/>
          <w:sz w:val="22"/>
          <w:szCs w:val="22"/>
        </w:rPr>
        <w:t>L</w:t>
      </w:r>
      <w:r w:rsidRPr="00662392">
        <w:rPr>
          <w:rFonts w:ascii="Arial" w:hAnsi="Arial" w:cs="Arial"/>
          <w:sz w:val="22"/>
          <w:szCs w:val="22"/>
        </w:rPr>
        <w:t xml:space="preserve">icensees and </w:t>
      </w:r>
      <w:proofErr w:type="spellStart"/>
      <w:r w:rsidRPr="00662392">
        <w:rPr>
          <w:rFonts w:ascii="Arial" w:hAnsi="Arial" w:cs="Arial"/>
          <w:sz w:val="22"/>
          <w:szCs w:val="22"/>
        </w:rPr>
        <w:t>CoC</w:t>
      </w:r>
      <w:proofErr w:type="spellEnd"/>
      <w:r w:rsidRPr="00662392">
        <w:rPr>
          <w:rFonts w:ascii="Arial" w:hAnsi="Arial" w:cs="Arial"/>
          <w:sz w:val="22"/>
          <w:szCs w:val="22"/>
        </w:rPr>
        <w:t xml:space="preserve"> holders </w:t>
      </w:r>
      <w:r w:rsidR="009D49B8" w:rsidRPr="00662392">
        <w:rPr>
          <w:rFonts w:ascii="Arial" w:hAnsi="Arial" w:cs="Arial"/>
          <w:sz w:val="22"/>
          <w:szCs w:val="22"/>
        </w:rPr>
        <w:t xml:space="preserve">may </w:t>
      </w:r>
      <w:r w:rsidR="0050558E" w:rsidRPr="00662392">
        <w:rPr>
          <w:rFonts w:ascii="Arial" w:hAnsi="Arial" w:cs="Arial"/>
          <w:sz w:val="22"/>
          <w:szCs w:val="22"/>
        </w:rPr>
        <w:t xml:space="preserve">follow these </w:t>
      </w:r>
      <w:r w:rsidRPr="00662392">
        <w:rPr>
          <w:rFonts w:ascii="Arial" w:hAnsi="Arial" w:cs="Arial"/>
          <w:sz w:val="22"/>
          <w:szCs w:val="22"/>
        </w:rPr>
        <w:t>processes</w:t>
      </w:r>
      <w:r w:rsidR="00137824" w:rsidRPr="00662392">
        <w:rPr>
          <w:rFonts w:ascii="Arial" w:hAnsi="Arial" w:cs="Arial"/>
          <w:sz w:val="22"/>
          <w:szCs w:val="22"/>
        </w:rPr>
        <w:t xml:space="preserve">, as described in </w:t>
      </w:r>
      <w:r w:rsidR="002030E5" w:rsidRPr="00662392">
        <w:rPr>
          <w:rFonts w:ascii="Arial" w:hAnsi="Arial" w:cs="Arial"/>
          <w:sz w:val="22"/>
          <w:szCs w:val="22"/>
        </w:rPr>
        <w:t xml:space="preserve">the licensee’s or </w:t>
      </w:r>
      <w:proofErr w:type="spellStart"/>
      <w:r w:rsidR="002030E5" w:rsidRPr="00662392">
        <w:rPr>
          <w:rFonts w:ascii="Arial" w:hAnsi="Arial" w:cs="Arial"/>
          <w:sz w:val="22"/>
          <w:szCs w:val="22"/>
        </w:rPr>
        <w:t>CoC</w:t>
      </w:r>
      <w:proofErr w:type="spellEnd"/>
      <w:r w:rsidR="002030E5" w:rsidRPr="00662392">
        <w:rPr>
          <w:rFonts w:ascii="Arial" w:hAnsi="Arial" w:cs="Arial"/>
          <w:sz w:val="22"/>
          <w:szCs w:val="22"/>
        </w:rPr>
        <w:t xml:space="preserve"> holder’s procedures </w:t>
      </w:r>
      <w:r w:rsidR="0050558E" w:rsidRPr="00662392">
        <w:rPr>
          <w:rFonts w:ascii="Arial" w:hAnsi="Arial" w:cs="Arial"/>
          <w:sz w:val="22"/>
          <w:szCs w:val="22"/>
        </w:rPr>
        <w:t xml:space="preserve">to </w:t>
      </w:r>
      <w:r w:rsidRPr="00662392">
        <w:rPr>
          <w:rFonts w:ascii="Arial" w:hAnsi="Arial" w:cs="Arial"/>
          <w:sz w:val="22"/>
          <w:szCs w:val="22"/>
        </w:rPr>
        <w:t xml:space="preserve">determine if another process governs the CTE or if the licensee or </w:t>
      </w:r>
      <w:proofErr w:type="spellStart"/>
      <w:r w:rsidRPr="00662392">
        <w:rPr>
          <w:rFonts w:ascii="Arial" w:hAnsi="Arial" w:cs="Arial"/>
          <w:sz w:val="22"/>
          <w:szCs w:val="22"/>
        </w:rPr>
        <w:t>CoC</w:t>
      </w:r>
      <w:proofErr w:type="spellEnd"/>
      <w:r w:rsidRPr="00662392">
        <w:rPr>
          <w:rFonts w:ascii="Arial" w:hAnsi="Arial" w:cs="Arial"/>
          <w:sz w:val="22"/>
          <w:szCs w:val="22"/>
        </w:rPr>
        <w:t xml:space="preserve"> holder may need to perform a 10 CFR 72.48 evaluation.</w:t>
      </w:r>
      <w:r w:rsidR="00E84C9B" w:rsidRPr="00662392">
        <w:rPr>
          <w:rFonts w:ascii="Arial" w:hAnsi="Arial" w:cs="Arial"/>
          <w:sz w:val="22"/>
          <w:szCs w:val="22"/>
        </w:rPr>
        <w:t xml:space="preserve">  </w:t>
      </w:r>
      <w:r w:rsidR="00E84C9B" w:rsidRPr="00662392">
        <w:rPr>
          <w:rFonts w:ascii="Arial" w:eastAsiaTheme="minorEastAsia" w:hAnsi="Arial" w:cs="Arial"/>
          <w:sz w:val="22"/>
          <w:szCs w:val="22"/>
        </w:rPr>
        <w:t>The applicability determination also decides whether there is no regulatory review required at all (i.e., for editorial or administrative changes).</w:t>
      </w:r>
    </w:p>
    <w:p w14:paraId="713CE202" w14:textId="77777777" w:rsidR="001F5146" w:rsidRPr="00662392" w:rsidRDefault="001F5146" w:rsidP="006B18FB">
      <w:pPr>
        <w:ind w:left="720"/>
        <w:rPr>
          <w:sz w:val="22"/>
          <w:szCs w:val="22"/>
        </w:rPr>
      </w:pPr>
    </w:p>
    <w:p w14:paraId="47B76761" w14:textId="320562B4" w:rsidR="001F5146" w:rsidRPr="006B18FB" w:rsidRDefault="001F5146" w:rsidP="00C1473C">
      <w:pPr>
        <w:numPr>
          <w:ilvl w:val="0"/>
          <w:numId w:val="28"/>
        </w:numPr>
        <w:ind w:left="720"/>
        <w:rPr>
          <w:sz w:val="22"/>
          <w:szCs w:val="22"/>
        </w:rPr>
      </w:pPr>
      <w:r w:rsidRPr="006B18FB">
        <w:rPr>
          <w:sz w:val="22"/>
          <w:szCs w:val="22"/>
        </w:rPr>
        <w:t xml:space="preserve">Evaluation:  The licensee or </w:t>
      </w:r>
      <w:proofErr w:type="spellStart"/>
      <w:r w:rsidRPr="006B18FB">
        <w:rPr>
          <w:sz w:val="22"/>
          <w:szCs w:val="22"/>
        </w:rPr>
        <w:t>CoC</w:t>
      </w:r>
      <w:proofErr w:type="spellEnd"/>
      <w:r w:rsidRPr="006B18FB">
        <w:rPr>
          <w:sz w:val="22"/>
          <w:szCs w:val="22"/>
        </w:rPr>
        <w:t xml:space="preserve"> holder applies the evaluation criteria delineated in 10 CFR 72.48(c)(2) to determine if prior NRC review and approval </w:t>
      </w:r>
      <w:r w:rsidR="00CF22B4" w:rsidRPr="006B18FB">
        <w:rPr>
          <w:sz w:val="22"/>
          <w:szCs w:val="22"/>
        </w:rPr>
        <w:t>through</w:t>
      </w:r>
      <w:r w:rsidR="00D77F76" w:rsidRPr="006B18FB">
        <w:rPr>
          <w:sz w:val="22"/>
          <w:szCs w:val="22"/>
        </w:rPr>
        <w:t xml:space="preserve"> </w:t>
      </w:r>
      <w:r w:rsidRPr="006B18FB">
        <w:rPr>
          <w:sz w:val="22"/>
          <w:szCs w:val="22"/>
        </w:rPr>
        <w:t xml:space="preserve">a license amendment </w:t>
      </w:r>
      <w:r w:rsidR="00D77F76" w:rsidRPr="006B18FB">
        <w:rPr>
          <w:sz w:val="22"/>
          <w:szCs w:val="22"/>
        </w:rPr>
        <w:t>is required,</w:t>
      </w:r>
      <w:r w:rsidRPr="006B18FB">
        <w:rPr>
          <w:sz w:val="22"/>
          <w:szCs w:val="22"/>
        </w:rPr>
        <w:t xml:space="preserve"> pursuant to (1) 10 CFR 72.56 (for specific licensees) or (2) </w:t>
      </w:r>
      <w:r w:rsidR="00F116F0" w:rsidRPr="006B18FB">
        <w:rPr>
          <w:sz w:val="22"/>
          <w:szCs w:val="22"/>
        </w:rPr>
        <w:t xml:space="preserve">a </w:t>
      </w:r>
      <w:proofErr w:type="spellStart"/>
      <w:r w:rsidR="00F116F0" w:rsidRPr="006B18FB">
        <w:rPr>
          <w:sz w:val="22"/>
          <w:szCs w:val="22"/>
        </w:rPr>
        <w:t>CoC</w:t>
      </w:r>
      <w:proofErr w:type="spellEnd"/>
      <w:r w:rsidR="00F116F0" w:rsidRPr="006B18FB">
        <w:rPr>
          <w:sz w:val="22"/>
          <w:szCs w:val="22"/>
        </w:rPr>
        <w:t xml:space="preserve"> amendment is required under </w:t>
      </w:r>
      <w:r w:rsidRPr="006B18FB">
        <w:rPr>
          <w:sz w:val="22"/>
          <w:szCs w:val="22"/>
        </w:rPr>
        <w:t>10 CFR 72.244 (for general licensees and certificate holders).</w:t>
      </w:r>
    </w:p>
    <w:p w14:paraId="6205C96E" w14:textId="77777777" w:rsidR="001F5146" w:rsidRPr="00662392" w:rsidRDefault="001F5146" w:rsidP="00194415">
      <w:pPr>
        <w:rPr>
          <w:sz w:val="22"/>
          <w:szCs w:val="22"/>
        </w:rPr>
      </w:pPr>
    </w:p>
    <w:p w14:paraId="130D6EF5" w14:textId="4EF91309" w:rsidR="001F5146" w:rsidRPr="006B18FB" w:rsidRDefault="001F5146" w:rsidP="006B18FB">
      <w:pPr>
        <w:pStyle w:val="ListParagraph"/>
        <w:numPr>
          <w:ilvl w:val="0"/>
          <w:numId w:val="14"/>
        </w:numPr>
        <w:rPr>
          <w:rFonts w:ascii="Arial" w:hAnsi="Arial" w:cs="Arial"/>
          <w:sz w:val="22"/>
          <w:szCs w:val="22"/>
        </w:rPr>
      </w:pPr>
      <w:r w:rsidRPr="006B18FB">
        <w:rPr>
          <w:rFonts w:ascii="Arial" w:hAnsi="Arial" w:cs="Arial"/>
          <w:sz w:val="22"/>
          <w:szCs w:val="22"/>
        </w:rPr>
        <w:t xml:space="preserve">Documentation and Reporting: </w:t>
      </w:r>
      <w:r w:rsidR="001E69BC" w:rsidRPr="006B18FB">
        <w:rPr>
          <w:rFonts w:ascii="Arial" w:hAnsi="Arial" w:cs="Arial"/>
          <w:sz w:val="22"/>
          <w:szCs w:val="22"/>
        </w:rPr>
        <w:t xml:space="preserve"> </w:t>
      </w:r>
      <w:r w:rsidRPr="006B18FB">
        <w:rPr>
          <w:rFonts w:ascii="Arial" w:hAnsi="Arial" w:cs="Arial"/>
          <w:sz w:val="22"/>
          <w:szCs w:val="22"/>
        </w:rPr>
        <w:t xml:space="preserve">Document and report to the NRC and to </w:t>
      </w:r>
      <w:r w:rsidR="005B3671" w:rsidRPr="006B18FB">
        <w:rPr>
          <w:rFonts w:ascii="Arial" w:hAnsi="Arial" w:cs="Arial"/>
          <w:sz w:val="22"/>
          <w:szCs w:val="22"/>
        </w:rPr>
        <w:t xml:space="preserve">the </w:t>
      </w:r>
      <w:r w:rsidRPr="006B18FB">
        <w:rPr>
          <w:rFonts w:ascii="Arial" w:hAnsi="Arial" w:cs="Arial"/>
          <w:sz w:val="22"/>
          <w:szCs w:val="22"/>
        </w:rPr>
        <w:t>appropriate licensee</w:t>
      </w:r>
      <w:r w:rsidR="005B3671" w:rsidRPr="006B18FB">
        <w:rPr>
          <w:rFonts w:ascii="Arial" w:hAnsi="Arial" w:cs="Arial"/>
          <w:sz w:val="22"/>
          <w:szCs w:val="22"/>
        </w:rPr>
        <w:t>’</w:t>
      </w:r>
      <w:r w:rsidRPr="006B18FB">
        <w:rPr>
          <w:rFonts w:ascii="Arial" w:hAnsi="Arial" w:cs="Arial"/>
          <w:sz w:val="22"/>
          <w:szCs w:val="22"/>
        </w:rPr>
        <w:t>s or certificate holder</w:t>
      </w:r>
      <w:r w:rsidR="005B3671" w:rsidRPr="006B18FB">
        <w:rPr>
          <w:rFonts w:ascii="Arial" w:hAnsi="Arial" w:cs="Arial"/>
          <w:sz w:val="22"/>
          <w:szCs w:val="22"/>
        </w:rPr>
        <w:t>’</w:t>
      </w:r>
      <w:r w:rsidRPr="006B18FB">
        <w:rPr>
          <w:rFonts w:ascii="Arial" w:hAnsi="Arial" w:cs="Arial"/>
          <w:sz w:val="22"/>
          <w:szCs w:val="22"/>
        </w:rPr>
        <w:t>s activities implemented under 10 CFR 72.48.</w:t>
      </w:r>
    </w:p>
    <w:p w14:paraId="0566795C" w14:textId="77777777" w:rsidR="001F5146" w:rsidRPr="00662392" w:rsidRDefault="001F5146" w:rsidP="00194415">
      <w:pPr>
        <w:rPr>
          <w:sz w:val="22"/>
          <w:szCs w:val="22"/>
        </w:rPr>
      </w:pPr>
    </w:p>
    <w:p w14:paraId="34B06032" w14:textId="34902978" w:rsidR="009507AB" w:rsidRPr="00662392" w:rsidRDefault="001F5146" w:rsidP="009507AB">
      <w:pPr>
        <w:widowControl/>
        <w:rPr>
          <w:sz w:val="22"/>
          <w:szCs w:val="22"/>
        </w:rPr>
      </w:pPr>
      <w:r w:rsidRPr="00662392">
        <w:rPr>
          <w:sz w:val="22"/>
          <w:szCs w:val="22"/>
        </w:rPr>
        <w:t>07.0</w:t>
      </w:r>
      <w:r w:rsidR="003D2CAC" w:rsidRPr="00662392">
        <w:rPr>
          <w:sz w:val="22"/>
          <w:szCs w:val="22"/>
        </w:rPr>
        <w:t>1</w:t>
      </w:r>
      <w:r w:rsidRPr="00662392">
        <w:rPr>
          <w:sz w:val="22"/>
          <w:szCs w:val="22"/>
        </w:rPr>
        <w:tab/>
      </w:r>
      <w:r w:rsidR="00F40C0C" w:rsidRPr="00662392">
        <w:rPr>
          <w:sz w:val="22"/>
          <w:szCs w:val="22"/>
          <w:u w:val="single"/>
        </w:rPr>
        <w:t xml:space="preserve">Relationship Between </w:t>
      </w:r>
      <w:r w:rsidRPr="00662392">
        <w:rPr>
          <w:sz w:val="22"/>
          <w:szCs w:val="22"/>
          <w:u w:val="single"/>
        </w:rPr>
        <w:t xml:space="preserve">10 CFR 50.59 </w:t>
      </w:r>
      <w:r w:rsidR="00F40C0C" w:rsidRPr="00662392">
        <w:rPr>
          <w:sz w:val="22"/>
          <w:szCs w:val="22"/>
          <w:u w:val="single"/>
        </w:rPr>
        <w:t>and</w:t>
      </w:r>
      <w:r w:rsidRPr="00662392">
        <w:rPr>
          <w:sz w:val="22"/>
          <w:szCs w:val="22"/>
          <w:u w:val="single"/>
        </w:rPr>
        <w:t xml:space="preserve"> 10 CFR 72.</w:t>
      </w:r>
      <w:r w:rsidR="004A0379" w:rsidRPr="00662392">
        <w:rPr>
          <w:sz w:val="22"/>
          <w:szCs w:val="22"/>
          <w:u w:val="single"/>
        </w:rPr>
        <w:t>4</w:t>
      </w:r>
      <w:r w:rsidRPr="00662392">
        <w:rPr>
          <w:sz w:val="22"/>
          <w:szCs w:val="22"/>
          <w:u w:val="single"/>
        </w:rPr>
        <w:t>8</w:t>
      </w:r>
      <w:r w:rsidR="009507AB" w:rsidRPr="00662392">
        <w:rPr>
          <w:sz w:val="22"/>
          <w:szCs w:val="22"/>
          <w:u w:val="single"/>
        </w:rPr>
        <w:fldChar w:fldCharType="begin"/>
      </w:r>
      <w:r w:rsidR="009507AB" w:rsidRPr="00662392">
        <w:rPr>
          <w:sz w:val="22"/>
          <w:szCs w:val="22"/>
        </w:rPr>
        <w:instrText xml:space="preserve"> TC "</w:instrText>
      </w:r>
      <w:bookmarkStart w:id="115" w:name="_Toc63142100"/>
      <w:r w:rsidR="009507AB" w:rsidRPr="00662392">
        <w:rPr>
          <w:sz w:val="22"/>
          <w:szCs w:val="22"/>
        </w:rPr>
        <w:instrText>0</w:instrText>
      </w:r>
      <w:r w:rsidR="009507AB">
        <w:rPr>
          <w:sz w:val="22"/>
          <w:szCs w:val="22"/>
        </w:rPr>
        <w:instrText>7</w:instrText>
      </w:r>
      <w:r w:rsidR="009507AB" w:rsidRPr="00662392">
        <w:rPr>
          <w:sz w:val="22"/>
          <w:szCs w:val="22"/>
        </w:rPr>
        <w:instrText>.01</w:instrText>
      </w:r>
      <w:r w:rsidR="009507AB" w:rsidRPr="00662392">
        <w:rPr>
          <w:sz w:val="22"/>
          <w:szCs w:val="22"/>
        </w:rPr>
        <w:tab/>
      </w:r>
      <w:r w:rsidR="009507AB" w:rsidRPr="00662392">
        <w:rPr>
          <w:sz w:val="22"/>
          <w:szCs w:val="22"/>
          <w:u w:val="single"/>
        </w:rPr>
        <w:instrText xml:space="preserve">Relationship Between 10 CFR 50.59 and </w:instrText>
      </w:r>
      <w:r w:rsidR="009507AB">
        <w:rPr>
          <w:sz w:val="22"/>
          <w:szCs w:val="22"/>
          <w:u w:val="single"/>
        </w:rPr>
        <w:instrText>10 CFR 72.48</w:instrText>
      </w:r>
      <w:bookmarkEnd w:id="115"/>
      <w:r w:rsidR="009507AB" w:rsidRPr="00662392">
        <w:rPr>
          <w:sz w:val="22"/>
          <w:szCs w:val="22"/>
        </w:rPr>
        <w:instrText xml:space="preserve">" \f C \l "2" </w:instrText>
      </w:r>
      <w:r w:rsidR="009507AB" w:rsidRPr="00662392">
        <w:rPr>
          <w:sz w:val="22"/>
          <w:szCs w:val="22"/>
          <w:u w:val="single"/>
        </w:rPr>
        <w:fldChar w:fldCharType="end"/>
      </w:r>
    </w:p>
    <w:p w14:paraId="4054CEA4" w14:textId="31E05079" w:rsidR="001F5146" w:rsidRPr="00662392" w:rsidRDefault="001F5146" w:rsidP="00194415">
      <w:pPr>
        <w:rPr>
          <w:sz w:val="22"/>
          <w:szCs w:val="22"/>
        </w:rPr>
      </w:pPr>
    </w:p>
    <w:p w14:paraId="5661339C" w14:textId="26573896" w:rsidR="001F5146" w:rsidRPr="00662392" w:rsidRDefault="001F5146" w:rsidP="00194415">
      <w:pPr>
        <w:rPr>
          <w:sz w:val="22"/>
          <w:szCs w:val="22"/>
        </w:rPr>
      </w:pPr>
      <w:r w:rsidRPr="00662392">
        <w:rPr>
          <w:sz w:val="22"/>
          <w:szCs w:val="22"/>
        </w:rPr>
        <w:t xml:space="preserve">As a part of rulemaking in 1999, the staff revised the regulations in 10 CFR 72.48 to conform with the revised 10 CFR 50.59 rule </w:t>
      </w:r>
      <w:r w:rsidR="00651431" w:rsidRPr="00662392">
        <w:rPr>
          <w:sz w:val="22"/>
          <w:szCs w:val="22"/>
        </w:rPr>
        <w:t xml:space="preserve">in order </w:t>
      </w:r>
      <w:r w:rsidRPr="00662392">
        <w:rPr>
          <w:sz w:val="22"/>
          <w:szCs w:val="22"/>
        </w:rPr>
        <w:t>to provide consistent implementation of these two regulations</w:t>
      </w:r>
      <w:r w:rsidR="00651431" w:rsidRPr="00662392">
        <w:rPr>
          <w:sz w:val="22"/>
          <w:szCs w:val="22"/>
        </w:rPr>
        <w:t xml:space="preserve">.  The rule change in 1999 </w:t>
      </w:r>
      <w:r w:rsidR="009831C4" w:rsidRPr="00662392">
        <w:rPr>
          <w:sz w:val="22"/>
          <w:szCs w:val="22"/>
        </w:rPr>
        <w:t>gave</w:t>
      </w:r>
      <w:r w:rsidRPr="00662392">
        <w:rPr>
          <w:sz w:val="22"/>
          <w:szCs w:val="22"/>
        </w:rPr>
        <w:t xml:space="preserve"> </w:t>
      </w:r>
      <w:proofErr w:type="spellStart"/>
      <w:r w:rsidRPr="00662392">
        <w:rPr>
          <w:sz w:val="22"/>
          <w:szCs w:val="22"/>
        </w:rPr>
        <w:t>CoC</w:t>
      </w:r>
      <w:proofErr w:type="spellEnd"/>
      <w:r w:rsidRPr="00662392">
        <w:rPr>
          <w:sz w:val="22"/>
          <w:szCs w:val="22"/>
        </w:rPr>
        <w:t xml:space="preserve"> holders the authority to use 10 CFR 72.48 for the first time.  Therefore, </w:t>
      </w:r>
      <w:r w:rsidR="006409A8" w:rsidRPr="00662392">
        <w:rPr>
          <w:sz w:val="22"/>
          <w:szCs w:val="22"/>
        </w:rPr>
        <w:t xml:space="preserve">the </w:t>
      </w:r>
      <w:r w:rsidRPr="00662392">
        <w:rPr>
          <w:sz w:val="22"/>
          <w:szCs w:val="22"/>
        </w:rPr>
        <w:t xml:space="preserve">inspection staff may apply </w:t>
      </w:r>
      <w:r w:rsidR="006409A8" w:rsidRPr="00662392">
        <w:rPr>
          <w:sz w:val="22"/>
          <w:szCs w:val="22"/>
        </w:rPr>
        <w:t>applicable</w:t>
      </w:r>
      <w:r w:rsidRPr="00662392">
        <w:rPr>
          <w:sz w:val="22"/>
          <w:szCs w:val="22"/>
        </w:rPr>
        <w:t xml:space="preserve"> guidance in </w:t>
      </w:r>
      <w:r w:rsidR="001C3B81" w:rsidRPr="00662392">
        <w:rPr>
          <w:sz w:val="22"/>
          <w:szCs w:val="22"/>
        </w:rPr>
        <w:t>S</w:t>
      </w:r>
      <w:r w:rsidRPr="00662392">
        <w:rPr>
          <w:sz w:val="22"/>
          <w:szCs w:val="22"/>
        </w:rPr>
        <w:t xml:space="preserve">ection 0335-06 of this IMC to support the implementation of 10 CFR 72.48.  </w:t>
      </w:r>
    </w:p>
    <w:p w14:paraId="6A05DCA2" w14:textId="77777777" w:rsidR="001F5146" w:rsidRPr="00662392" w:rsidRDefault="001F5146" w:rsidP="00194415">
      <w:pPr>
        <w:rPr>
          <w:sz w:val="22"/>
          <w:szCs w:val="22"/>
        </w:rPr>
      </w:pPr>
    </w:p>
    <w:p w14:paraId="7DEE2171" w14:textId="0BA9BADB" w:rsidR="001F5146" w:rsidRPr="00662392" w:rsidRDefault="001F5146" w:rsidP="00194415">
      <w:pPr>
        <w:rPr>
          <w:sz w:val="22"/>
          <w:szCs w:val="22"/>
        </w:rPr>
      </w:pPr>
      <w:r w:rsidRPr="00662392">
        <w:rPr>
          <w:sz w:val="22"/>
          <w:szCs w:val="22"/>
        </w:rPr>
        <w:t xml:space="preserve">Other sections of this IMC discuss key definitions, provide guidance for reviewing the licensee’s and </w:t>
      </w:r>
      <w:proofErr w:type="spellStart"/>
      <w:r w:rsidRPr="00662392">
        <w:rPr>
          <w:sz w:val="22"/>
          <w:szCs w:val="22"/>
        </w:rPr>
        <w:t>CoC</w:t>
      </w:r>
      <w:proofErr w:type="spellEnd"/>
      <w:r w:rsidRPr="00662392">
        <w:rPr>
          <w:sz w:val="22"/>
          <w:szCs w:val="22"/>
        </w:rPr>
        <w:t xml:space="preserve"> holder’s processes for applicability and screening, and performing an assessment of 10 CFR 72.48 evaluations.  </w:t>
      </w:r>
      <w:r w:rsidR="00863924" w:rsidRPr="00662392">
        <w:rPr>
          <w:sz w:val="22"/>
          <w:szCs w:val="22"/>
        </w:rPr>
        <w:t>I</w:t>
      </w:r>
      <w:r w:rsidRPr="00662392">
        <w:rPr>
          <w:sz w:val="22"/>
          <w:szCs w:val="22"/>
        </w:rPr>
        <w:t xml:space="preserve">nspectors should </w:t>
      </w:r>
      <w:r w:rsidR="00877761" w:rsidRPr="00662392">
        <w:rPr>
          <w:sz w:val="22"/>
          <w:szCs w:val="22"/>
        </w:rPr>
        <w:t xml:space="preserve">be aware that </w:t>
      </w:r>
      <w:r w:rsidRPr="00662392">
        <w:rPr>
          <w:sz w:val="22"/>
          <w:szCs w:val="22"/>
        </w:rPr>
        <w:t xml:space="preserve">changes in the ISFSI and spent fuel storage cask design </w:t>
      </w:r>
      <w:r w:rsidR="007E4FA6" w:rsidRPr="00662392">
        <w:rPr>
          <w:sz w:val="22"/>
          <w:szCs w:val="22"/>
        </w:rPr>
        <w:t>may</w:t>
      </w:r>
      <w:r w:rsidR="004324E1" w:rsidRPr="00662392">
        <w:rPr>
          <w:sz w:val="22"/>
          <w:szCs w:val="22"/>
        </w:rPr>
        <w:t xml:space="preserve"> </w:t>
      </w:r>
      <w:r w:rsidR="0014790B" w:rsidRPr="00662392">
        <w:rPr>
          <w:sz w:val="22"/>
          <w:szCs w:val="22"/>
        </w:rPr>
        <w:t xml:space="preserve">affect </w:t>
      </w:r>
      <w:r w:rsidRPr="00662392">
        <w:rPr>
          <w:sz w:val="22"/>
          <w:szCs w:val="22"/>
        </w:rPr>
        <w:t xml:space="preserve">the </w:t>
      </w:r>
      <w:r w:rsidR="008F0F89" w:rsidRPr="00662392">
        <w:rPr>
          <w:sz w:val="22"/>
          <w:szCs w:val="22"/>
        </w:rPr>
        <w:t xml:space="preserve">Part 50 license </w:t>
      </w:r>
      <w:r w:rsidRPr="00662392">
        <w:rPr>
          <w:sz w:val="22"/>
          <w:szCs w:val="22"/>
        </w:rPr>
        <w:t xml:space="preserve">if co-located </w:t>
      </w:r>
      <w:r w:rsidR="0086496C" w:rsidRPr="00662392">
        <w:rPr>
          <w:sz w:val="22"/>
          <w:szCs w:val="22"/>
        </w:rPr>
        <w:t>and</w:t>
      </w:r>
      <w:r w:rsidRPr="00662392">
        <w:rPr>
          <w:sz w:val="22"/>
          <w:szCs w:val="22"/>
        </w:rPr>
        <w:t xml:space="preserve"> may</w:t>
      </w:r>
      <w:r w:rsidR="0053673A" w:rsidRPr="00662392">
        <w:rPr>
          <w:sz w:val="22"/>
          <w:szCs w:val="22"/>
        </w:rPr>
        <w:t xml:space="preserve"> require analyses in </w:t>
      </w:r>
      <w:r w:rsidR="000B5577" w:rsidRPr="00662392">
        <w:rPr>
          <w:sz w:val="22"/>
          <w:szCs w:val="22"/>
        </w:rPr>
        <w:t>1</w:t>
      </w:r>
      <w:r w:rsidRPr="00662392">
        <w:rPr>
          <w:sz w:val="22"/>
          <w:szCs w:val="22"/>
        </w:rPr>
        <w:t>0 CFR 50.59 and 10 CFR 72.48.</w:t>
      </w:r>
    </w:p>
    <w:p w14:paraId="3385F027" w14:textId="77777777" w:rsidR="001F5146" w:rsidRPr="00662392" w:rsidRDefault="001F5146" w:rsidP="00194415">
      <w:pPr>
        <w:rPr>
          <w:sz w:val="22"/>
          <w:szCs w:val="22"/>
          <w:u w:val="single"/>
        </w:rPr>
      </w:pPr>
    </w:p>
    <w:p w14:paraId="345AC4A3" w14:textId="0FC51D45" w:rsidR="001F5146" w:rsidRPr="00662392" w:rsidRDefault="001F5146" w:rsidP="00662392">
      <w:pPr>
        <w:rPr>
          <w:sz w:val="22"/>
          <w:szCs w:val="22"/>
        </w:rPr>
      </w:pPr>
      <w:r w:rsidRPr="00662392">
        <w:rPr>
          <w:sz w:val="22"/>
          <w:szCs w:val="22"/>
        </w:rPr>
        <w:t>07.0</w:t>
      </w:r>
      <w:r w:rsidR="00843F24" w:rsidRPr="00662392">
        <w:rPr>
          <w:sz w:val="22"/>
          <w:szCs w:val="22"/>
        </w:rPr>
        <w:t>2</w:t>
      </w:r>
      <w:r w:rsidRPr="00662392">
        <w:rPr>
          <w:sz w:val="22"/>
          <w:szCs w:val="22"/>
        </w:rPr>
        <w:tab/>
      </w:r>
      <w:r w:rsidR="00F40C0C" w:rsidRPr="00662392">
        <w:rPr>
          <w:sz w:val="22"/>
          <w:szCs w:val="22"/>
          <w:u w:val="single"/>
        </w:rPr>
        <w:t xml:space="preserve">Relationship Between </w:t>
      </w:r>
      <w:r w:rsidRPr="00662392">
        <w:rPr>
          <w:sz w:val="22"/>
          <w:szCs w:val="22"/>
          <w:u w:val="single"/>
        </w:rPr>
        <w:t xml:space="preserve">10 CFR 72.48 </w:t>
      </w:r>
      <w:r w:rsidR="00F40C0C" w:rsidRPr="00662392">
        <w:rPr>
          <w:sz w:val="22"/>
          <w:szCs w:val="22"/>
          <w:u w:val="single"/>
        </w:rPr>
        <w:t>and</w:t>
      </w:r>
      <w:r w:rsidRPr="00662392">
        <w:rPr>
          <w:sz w:val="22"/>
          <w:szCs w:val="22"/>
          <w:u w:val="single"/>
        </w:rPr>
        <w:t xml:space="preserve"> </w:t>
      </w:r>
      <w:r w:rsidR="00F40C0C" w:rsidRPr="00662392">
        <w:rPr>
          <w:sz w:val="22"/>
          <w:szCs w:val="22"/>
          <w:u w:val="single"/>
        </w:rPr>
        <w:t>Quality Assurance Program Requirements</w:t>
      </w:r>
      <w:r w:rsidR="00F40C0C" w:rsidRPr="00662392">
        <w:rPr>
          <w:sz w:val="22"/>
          <w:szCs w:val="22"/>
          <w:u w:val="single"/>
        </w:rPr>
        <w:fldChar w:fldCharType="begin"/>
      </w:r>
      <w:r w:rsidR="00F40C0C" w:rsidRPr="00662392">
        <w:rPr>
          <w:sz w:val="22"/>
          <w:szCs w:val="22"/>
        </w:rPr>
        <w:instrText xml:space="preserve"> TC "</w:instrText>
      </w:r>
      <w:bookmarkStart w:id="116" w:name="_Toc62642917"/>
      <w:bookmarkStart w:id="117" w:name="_Toc63142101"/>
      <w:r w:rsidR="00F40C0C" w:rsidRPr="00662392">
        <w:rPr>
          <w:sz w:val="22"/>
          <w:szCs w:val="22"/>
        </w:rPr>
        <w:instrText>07.02</w:instrText>
      </w:r>
      <w:r w:rsidR="00F40C0C" w:rsidRPr="00662392">
        <w:rPr>
          <w:sz w:val="22"/>
          <w:szCs w:val="22"/>
        </w:rPr>
        <w:tab/>
      </w:r>
      <w:r w:rsidR="00F40C0C" w:rsidRPr="00662392">
        <w:rPr>
          <w:sz w:val="22"/>
          <w:szCs w:val="22"/>
          <w:u w:val="single"/>
        </w:rPr>
        <w:instrText>Relationship Between 10 CFR 72.48 and Quality Assurance Program Requirements</w:instrText>
      </w:r>
      <w:bookmarkEnd w:id="116"/>
      <w:bookmarkEnd w:id="117"/>
      <w:r w:rsidR="00F40C0C" w:rsidRPr="00662392">
        <w:rPr>
          <w:sz w:val="22"/>
          <w:szCs w:val="22"/>
        </w:rPr>
        <w:instrText xml:space="preserve">" \f C \l "2" </w:instrText>
      </w:r>
      <w:r w:rsidR="00F40C0C" w:rsidRPr="00662392">
        <w:rPr>
          <w:sz w:val="22"/>
          <w:szCs w:val="22"/>
          <w:u w:val="single"/>
        </w:rPr>
        <w:fldChar w:fldCharType="end"/>
      </w:r>
    </w:p>
    <w:p w14:paraId="19366B19" w14:textId="77777777" w:rsidR="001F5146" w:rsidRPr="00662392" w:rsidRDefault="001F5146" w:rsidP="00194415">
      <w:pPr>
        <w:rPr>
          <w:sz w:val="22"/>
          <w:szCs w:val="22"/>
        </w:rPr>
      </w:pPr>
    </w:p>
    <w:p w14:paraId="4057020E" w14:textId="5433B90D" w:rsidR="000E0ACD" w:rsidRDefault="001F5146" w:rsidP="00194415">
      <w:pPr>
        <w:rPr>
          <w:sz w:val="22"/>
          <w:szCs w:val="22"/>
        </w:rPr>
      </w:pPr>
      <w:r w:rsidRPr="00662392">
        <w:rPr>
          <w:sz w:val="22"/>
          <w:szCs w:val="22"/>
        </w:rPr>
        <w:t xml:space="preserve">Prior to the NRC issuing an ISFSI license or </w:t>
      </w:r>
      <w:r w:rsidR="006901A4" w:rsidRPr="00662392">
        <w:rPr>
          <w:sz w:val="22"/>
          <w:szCs w:val="22"/>
        </w:rPr>
        <w:t xml:space="preserve">a </w:t>
      </w:r>
      <w:proofErr w:type="spellStart"/>
      <w:r w:rsidR="006901A4" w:rsidRPr="00662392">
        <w:rPr>
          <w:sz w:val="22"/>
          <w:szCs w:val="22"/>
        </w:rPr>
        <w:t>CoC</w:t>
      </w:r>
      <w:proofErr w:type="spellEnd"/>
      <w:r w:rsidR="006901A4" w:rsidRPr="00662392">
        <w:rPr>
          <w:sz w:val="22"/>
          <w:szCs w:val="22"/>
        </w:rPr>
        <w:t xml:space="preserve"> for a</w:t>
      </w:r>
      <w:r w:rsidRPr="00662392">
        <w:rPr>
          <w:sz w:val="22"/>
          <w:szCs w:val="22"/>
        </w:rPr>
        <w:t xml:space="preserve"> spent fuel storage cask, </w:t>
      </w:r>
      <w:r w:rsidR="00D86E1E" w:rsidRPr="00662392">
        <w:rPr>
          <w:sz w:val="22"/>
          <w:szCs w:val="22"/>
        </w:rPr>
        <w:t xml:space="preserve">the NRC staff will review </w:t>
      </w:r>
      <w:r w:rsidRPr="00662392">
        <w:rPr>
          <w:sz w:val="22"/>
          <w:szCs w:val="22"/>
        </w:rPr>
        <w:t>Quality Assurance Programs (QAPs)</w:t>
      </w:r>
      <w:r w:rsidR="007E179A" w:rsidRPr="00662392">
        <w:rPr>
          <w:sz w:val="22"/>
          <w:szCs w:val="22"/>
        </w:rPr>
        <w:t xml:space="preserve"> applications</w:t>
      </w:r>
      <w:r w:rsidRPr="00662392">
        <w:rPr>
          <w:sz w:val="22"/>
          <w:szCs w:val="22"/>
        </w:rPr>
        <w:t xml:space="preserve"> such as 10 CFR Part 72, Subpart G, 10 CFR Part 71, Subpart H and 10 CFR Part 50, Appendix B</w:t>
      </w:r>
      <w:r w:rsidR="0080205A" w:rsidRPr="00662392">
        <w:rPr>
          <w:sz w:val="22"/>
          <w:szCs w:val="22"/>
        </w:rPr>
        <w:t xml:space="preserve">. </w:t>
      </w:r>
      <w:r w:rsidR="00DB73CD" w:rsidRPr="00662392">
        <w:rPr>
          <w:sz w:val="22"/>
          <w:szCs w:val="22"/>
        </w:rPr>
        <w:t xml:space="preserve"> </w:t>
      </w:r>
      <w:r w:rsidR="008F2FB6" w:rsidRPr="00662392">
        <w:rPr>
          <w:sz w:val="22"/>
          <w:szCs w:val="22"/>
        </w:rPr>
        <w:t>The implementation of the QAPs</w:t>
      </w:r>
      <w:r w:rsidRPr="00662392">
        <w:rPr>
          <w:sz w:val="22"/>
          <w:szCs w:val="22"/>
        </w:rPr>
        <w:t xml:space="preserve"> ensures that the ISFSI and spent fuel storage cask design and construction meet applicable requirements, codes</w:t>
      </w:r>
      <w:r w:rsidR="0082779B" w:rsidRPr="00662392">
        <w:rPr>
          <w:sz w:val="22"/>
          <w:szCs w:val="22"/>
        </w:rPr>
        <w:t>,</w:t>
      </w:r>
      <w:r w:rsidRPr="00662392">
        <w:rPr>
          <w:sz w:val="22"/>
          <w:szCs w:val="22"/>
        </w:rPr>
        <w:t xml:space="preserve"> and standards in accordance with the safety classification of SSCs.  </w:t>
      </w:r>
      <w:r w:rsidR="00132B45" w:rsidRPr="00662392">
        <w:rPr>
          <w:sz w:val="22"/>
          <w:szCs w:val="22"/>
        </w:rPr>
        <w:t xml:space="preserve">The design control provisions of Part 72, </w:t>
      </w:r>
      <w:r w:rsidRPr="00662392">
        <w:rPr>
          <w:sz w:val="22"/>
          <w:szCs w:val="22"/>
        </w:rPr>
        <w:t>Subpart G</w:t>
      </w:r>
      <w:r w:rsidR="00F42821" w:rsidRPr="00662392">
        <w:rPr>
          <w:sz w:val="22"/>
          <w:szCs w:val="22"/>
        </w:rPr>
        <w:t>,</w:t>
      </w:r>
      <w:r w:rsidRPr="00662392" w:rsidDel="00F42821">
        <w:rPr>
          <w:sz w:val="22"/>
          <w:szCs w:val="22"/>
        </w:rPr>
        <w:t xml:space="preserve"> </w:t>
      </w:r>
      <w:r w:rsidR="00132B45" w:rsidRPr="00662392">
        <w:rPr>
          <w:sz w:val="22"/>
          <w:szCs w:val="22"/>
        </w:rPr>
        <w:t>Part 71, Subpart</w:t>
      </w:r>
      <w:r w:rsidRPr="00662392">
        <w:rPr>
          <w:sz w:val="22"/>
          <w:szCs w:val="22"/>
        </w:rPr>
        <w:t xml:space="preserve"> H</w:t>
      </w:r>
      <w:r w:rsidR="00F42821" w:rsidRPr="00662392">
        <w:rPr>
          <w:sz w:val="22"/>
          <w:szCs w:val="22"/>
        </w:rPr>
        <w:t>,</w:t>
      </w:r>
      <w:r w:rsidRPr="00662392">
        <w:rPr>
          <w:sz w:val="22"/>
          <w:szCs w:val="22"/>
        </w:rPr>
        <w:t xml:space="preserve"> </w:t>
      </w:r>
      <w:r w:rsidR="00AD2FC1" w:rsidRPr="00662392">
        <w:rPr>
          <w:sz w:val="22"/>
          <w:szCs w:val="22"/>
        </w:rPr>
        <w:t xml:space="preserve">and 10 CFR Part 50, Appendix B </w:t>
      </w:r>
      <w:r w:rsidRPr="00662392">
        <w:rPr>
          <w:sz w:val="22"/>
          <w:szCs w:val="22"/>
        </w:rPr>
        <w:t xml:space="preserve">ensure that changes </w:t>
      </w:r>
      <w:r w:rsidR="002152E4" w:rsidRPr="00662392">
        <w:rPr>
          <w:sz w:val="22"/>
          <w:szCs w:val="22"/>
        </w:rPr>
        <w:t>under 10 CFR 72.48 will</w:t>
      </w:r>
      <w:r w:rsidRPr="00662392">
        <w:rPr>
          <w:sz w:val="22"/>
          <w:szCs w:val="22"/>
        </w:rPr>
        <w:t xml:space="preserve"> continue to meet applicable </w:t>
      </w:r>
    </w:p>
    <w:p w14:paraId="7DEED306" w14:textId="77777777" w:rsidR="00C1473C" w:rsidRDefault="001F5146" w:rsidP="00194415">
      <w:pPr>
        <w:rPr>
          <w:sz w:val="22"/>
          <w:szCs w:val="22"/>
        </w:rPr>
        <w:sectPr w:rsidR="00C1473C" w:rsidSect="00012998">
          <w:footerReference w:type="default" r:id="rId46"/>
          <w:pgSz w:w="12240" w:h="15840" w:code="1"/>
          <w:pgMar w:top="1440" w:right="1440" w:bottom="1440" w:left="1440" w:header="720" w:footer="720" w:gutter="0"/>
          <w:cols w:space="720"/>
          <w:noEndnote/>
          <w:docGrid w:linePitch="326"/>
        </w:sectPr>
      </w:pPr>
      <w:r w:rsidRPr="00662392">
        <w:rPr>
          <w:sz w:val="22"/>
          <w:szCs w:val="22"/>
        </w:rPr>
        <w:t xml:space="preserve">design and quality requirements.  </w:t>
      </w:r>
      <w:r w:rsidR="008F12AB" w:rsidRPr="00662392">
        <w:rPr>
          <w:sz w:val="22"/>
          <w:szCs w:val="22"/>
        </w:rPr>
        <w:t xml:space="preserve">The </w:t>
      </w:r>
      <w:r w:rsidRPr="00662392">
        <w:rPr>
          <w:sz w:val="22"/>
          <w:szCs w:val="22"/>
        </w:rPr>
        <w:t xml:space="preserve">QAP and 10 CFR 72.48 </w:t>
      </w:r>
      <w:r w:rsidR="00CD64D4" w:rsidRPr="00662392">
        <w:rPr>
          <w:sz w:val="22"/>
          <w:szCs w:val="22"/>
        </w:rPr>
        <w:t>requirements are applicable after the issuance</w:t>
      </w:r>
      <w:r w:rsidRPr="00662392">
        <w:rPr>
          <w:sz w:val="22"/>
          <w:szCs w:val="22"/>
        </w:rPr>
        <w:t xml:space="preserve"> of an ISFSI license or a spent fuel storage cask </w:t>
      </w:r>
      <w:proofErr w:type="spellStart"/>
      <w:r w:rsidRPr="00662392">
        <w:rPr>
          <w:sz w:val="22"/>
          <w:szCs w:val="22"/>
        </w:rPr>
        <w:t>CoC</w:t>
      </w:r>
      <w:proofErr w:type="spellEnd"/>
      <w:r w:rsidRPr="00662392">
        <w:rPr>
          <w:sz w:val="22"/>
          <w:szCs w:val="22"/>
        </w:rPr>
        <w:t xml:space="preserve"> or implementation of </w:t>
      </w:r>
      <w:r w:rsidR="00A432BD" w:rsidRPr="00662392">
        <w:rPr>
          <w:sz w:val="22"/>
          <w:szCs w:val="22"/>
        </w:rPr>
        <w:t>a 10 CFR Part 72 general license</w:t>
      </w:r>
      <w:r w:rsidRPr="00662392">
        <w:rPr>
          <w:sz w:val="22"/>
          <w:szCs w:val="22"/>
        </w:rPr>
        <w:t xml:space="preserve">.  The review of 10 CFR 72.48 </w:t>
      </w:r>
      <w:r w:rsidR="00CD64D4" w:rsidRPr="00662392">
        <w:rPr>
          <w:sz w:val="22"/>
          <w:szCs w:val="22"/>
        </w:rPr>
        <w:t xml:space="preserve">changes </w:t>
      </w:r>
      <w:r w:rsidRPr="00662392">
        <w:rPr>
          <w:sz w:val="22"/>
          <w:szCs w:val="22"/>
        </w:rPr>
        <w:t xml:space="preserve">is exclusively a regulatory assessment to determine if a licensee or </w:t>
      </w:r>
      <w:proofErr w:type="spellStart"/>
      <w:r w:rsidRPr="00662392">
        <w:rPr>
          <w:sz w:val="22"/>
          <w:szCs w:val="22"/>
        </w:rPr>
        <w:t>CoC</w:t>
      </w:r>
      <w:proofErr w:type="spellEnd"/>
      <w:r w:rsidRPr="00662392">
        <w:rPr>
          <w:sz w:val="22"/>
          <w:szCs w:val="22"/>
        </w:rPr>
        <w:t xml:space="preserve"> holder require</w:t>
      </w:r>
      <w:r w:rsidR="00214D29" w:rsidRPr="00662392">
        <w:rPr>
          <w:sz w:val="22"/>
          <w:szCs w:val="22"/>
        </w:rPr>
        <w:t>s</w:t>
      </w:r>
      <w:r w:rsidRPr="00662392">
        <w:rPr>
          <w:sz w:val="22"/>
          <w:szCs w:val="22"/>
        </w:rPr>
        <w:t xml:space="preserve"> prior NRC review and approval before they implement</w:t>
      </w:r>
      <w:r w:rsidR="00950CE0" w:rsidRPr="00662392">
        <w:rPr>
          <w:sz w:val="22"/>
          <w:szCs w:val="22"/>
        </w:rPr>
        <w:t>ed</w:t>
      </w:r>
      <w:r w:rsidRPr="00662392">
        <w:rPr>
          <w:sz w:val="22"/>
          <w:szCs w:val="22"/>
        </w:rPr>
        <w:t xml:space="preserve"> </w:t>
      </w:r>
      <w:r w:rsidR="00950CE0" w:rsidRPr="00662392">
        <w:rPr>
          <w:sz w:val="22"/>
          <w:szCs w:val="22"/>
        </w:rPr>
        <w:t>the</w:t>
      </w:r>
      <w:r w:rsidRPr="00662392">
        <w:rPr>
          <w:sz w:val="22"/>
          <w:szCs w:val="22"/>
        </w:rPr>
        <w:t xml:space="preserve"> change.</w:t>
      </w:r>
    </w:p>
    <w:p w14:paraId="2F506628" w14:textId="77777777" w:rsidR="001F5146" w:rsidRPr="00662392" w:rsidRDefault="001F5146" w:rsidP="00194415">
      <w:pPr>
        <w:rPr>
          <w:sz w:val="22"/>
          <w:szCs w:val="22"/>
        </w:rPr>
      </w:pPr>
    </w:p>
    <w:p w14:paraId="47C74712" w14:textId="12CC5715" w:rsidR="00207C08" w:rsidRPr="00662392" w:rsidRDefault="001F5146" w:rsidP="00194415">
      <w:pPr>
        <w:widowControl/>
        <w:rPr>
          <w:sz w:val="22"/>
          <w:szCs w:val="22"/>
        </w:rPr>
      </w:pPr>
      <w:r w:rsidRPr="00662392">
        <w:rPr>
          <w:sz w:val="22"/>
          <w:szCs w:val="22"/>
        </w:rPr>
        <w:t xml:space="preserve">QAP requirements </w:t>
      </w:r>
      <w:r w:rsidR="007B40C8" w:rsidRPr="00662392">
        <w:rPr>
          <w:sz w:val="22"/>
          <w:szCs w:val="22"/>
        </w:rPr>
        <w:t>are</w:t>
      </w:r>
      <w:r w:rsidRPr="00662392">
        <w:rPr>
          <w:sz w:val="22"/>
          <w:szCs w:val="22"/>
        </w:rPr>
        <w:t xml:space="preserve"> also </w:t>
      </w:r>
      <w:r w:rsidR="007B40C8" w:rsidRPr="00662392">
        <w:rPr>
          <w:sz w:val="22"/>
          <w:szCs w:val="22"/>
        </w:rPr>
        <w:t xml:space="preserve">applicable to </w:t>
      </w:r>
      <w:r w:rsidRPr="00662392">
        <w:rPr>
          <w:sz w:val="22"/>
          <w:szCs w:val="22"/>
        </w:rPr>
        <w:t>corrective action</w:t>
      </w:r>
      <w:r w:rsidR="00950CE0" w:rsidRPr="00662392">
        <w:rPr>
          <w:sz w:val="22"/>
          <w:szCs w:val="22"/>
        </w:rPr>
        <w:t>s</w:t>
      </w:r>
      <w:r w:rsidRPr="00662392">
        <w:rPr>
          <w:sz w:val="22"/>
          <w:szCs w:val="22"/>
        </w:rPr>
        <w:t>.  Section 07.</w:t>
      </w:r>
      <w:r w:rsidR="00F545FF" w:rsidRPr="00662392">
        <w:rPr>
          <w:sz w:val="22"/>
          <w:szCs w:val="22"/>
        </w:rPr>
        <w:t>21</w:t>
      </w:r>
      <w:r w:rsidRPr="00662392">
        <w:rPr>
          <w:sz w:val="22"/>
          <w:szCs w:val="22"/>
        </w:rPr>
        <w:t xml:space="preserve"> of this IMC describe</w:t>
      </w:r>
      <w:r w:rsidR="00F66E8D" w:rsidRPr="00662392">
        <w:rPr>
          <w:sz w:val="22"/>
          <w:szCs w:val="22"/>
        </w:rPr>
        <w:t>s</w:t>
      </w:r>
      <w:r w:rsidRPr="00662392">
        <w:rPr>
          <w:sz w:val="22"/>
          <w:szCs w:val="22"/>
        </w:rPr>
        <w:t xml:space="preserve"> how to address degraded and nonconforming conditions and the application of 10 CFR 72.48 to compensatory measures.</w:t>
      </w:r>
    </w:p>
    <w:p w14:paraId="30A01E90" w14:textId="77777777" w:rsidR="00207C08" w:rsidRPr="00662392" w:rsidRDefault="00207C08" w:rsidP="00194415">
      <w:pPr>
        <w:rPr>
          <w:sz w:val="22"/>
          <w:szCs w:val="22"/>
        </w:rPr>
      </w:pPr>
    </w:p>
    <w:p w14:paraId="2B987DE5" w14:textId="2C21EBA8" w:rsidR="001F5146" w:rsidRPr="00662392" w:rsidRDefault="001F5146" w:rsidP="00011612">
      <w:pPr>
        <w:rPr>
          <w:sz w:val="22"/>
          <w:szCs w:val="22"/>
        </w:rPr>
      </w:pPr>
      <w:r w:rsidRPr="00662392">
        <w:rPr>
          <w:sz w:val="22"/>
          <w:szCs w:val="22"/>
        </w:rPr>
        <w:t>07.0</w:t>
      </w:r>
      <w:r w:rsidR="005F7948" w:rsidRPr="00662392">
        <w:rPr>
          <w:sz w:val="22"/>
          <w:szCs w:val="22"/>
        </w:rPr>
        <w:t>3</w:t>
      </w:r>
      <w:r w:rsidRPr="00662392">
        <w:rPr>
          <w:sz w:val="22"/>
          <w:szCs w:val="22"/>
        </w:rPr>
        <w:tab/>
      </w:r>
      <w:r w:rsidR="00F40C0C" w:rsidRPr="00662392">
        <w:rPr>
          <w:sz w:val="22"/>
          <w:szCs w:val="22"/>
          <w:u w:val="single"/>
        </w:rPr>
        <w:t xml:space="preserve">Relationship Between </w:t>
      </w:r>
      <w:r w:rsidRPr="00662392">
        <w:rPr>
          <w:sz w:val="22"/>
          <w:szCs w:val="22"/>
          <w:u w:val="single"/>
        </w:rPr>
        <w:t xml:space="preserve">10 CFR 72.48 </w:t>
      </w:r>
      <w:r w:rsidR="00F40C0C" w:rsidRPr="00662392">
        <w:rPr>
          <w:sz w:val="22"/>
          <w:szCs w:val="22"/>
          <w:u w:val="single"/>
        </w:rPr>
        <w:t>and</w:t>
      </w:r>
      <w:r w:rsidRPr="00662392">
        <w:rPr>
          <w:sz w:val="22"/>
          <w:szCs w:val="22"/>
          <w:u w:val="single"/>
        </w:rPr>
        <w:t xml:space="preserve"> </w:t>
      </w:r>
      <w:r w:rsidR="00F40C0C" w:rsidRPr="00662392">
        <w:rPr>
          <w:sz w:val="22"/>
          <w:szCs w:val="22"/>
          <w:u w:val="single"/>
        </w:rPr>
        <w:t xml:space="preserve">Transportation </w:t>
      </w:r>
      <w:r w:rsidRPr="00662392">
        <w:rPr>
          <w:sz w:val="22"/>
          <w:szCs w:val="22"/>
          <w:u w:val="single"/>
        </w:rPr>
        <w:t>(10 CFR P</w:t>
      </w:r>
      <w:r w:rsidR="00BB754E" w:rsidRPr="00662392">
        <w:rPr>
          <w:sz w:val="22"/>
          <w:szCs w:val="22"/>
          <w:u w:val="single"/>
        </w:rPr>
        <w:t>art</w:t>
      </w:r>
      <w:r w:rsidRPr="00662392">
        <w:rPr>
          <w:sz w:val="22"/>
          <w:szCs w:val="22"/>
          <w:u w:val="single"/>
        </w:rPr>
        <w:t xml:space="preserve"> 71)</w:t>
      </w:r>
      <w:r w:rsidR="00BB754E" w:rsidRPr="00662392">
        <w:rPr>
          <w:sz w:val="22"/>
          <w:szCs w:val="22"/>
          <w:u w:val="single"/>
        </w:rPr>
        <w:fldChar w:fldCharType="begin"/>
      </w:r>
      <w:r w:rsidR="00BB754E" w:rsidRPr="00662392">
        <w:rPr>
          <w:sz w:val="22"/>
          <w:szCs w:val="22"/>
        </w:rPr>
        <w:instrText xml:space="preserve"> TC "</w:instrText>
      </w:r>
      <w:bookmarkStart w:id="118" w:name="_Toc62642918"/>
      <w:bookmarkStart w:id="119" w:name="_Toc63142102"/>
      <w:r w:rsidR="00BB754E" w:rsidRPr="00662392">
        <w:rPr>
          <w:sz w:val="22"/>
          <w:szCs w:val="22"/>
        </w:rPr>
        <w:instrText>07.03</w:instrText>
      </w:r>
      <w:r w:rsidR="00BB754E" w:rsidRPr="00662392">
        <w:rPr>
          <w:sz w:val="22"/>
          <w:szCs w:val="22"/>
          <w:u w:val="single"/>
        </w:rPr>
        <w:instrText>Relationship Between 10 CFR 72.48 and Transportation (10 CFR Part 71)</w:instrText>
      </w:r>
      <w:bookmarkEnd w:id="118"/>
      <w:bookmarkEnd w:id="119"/>
      <w:r w:rsidR="00BB754E" w:rsidRPr="00662392">
        <w:rPr>
          <w:sz w:val="22"/>
          <w:szCs w:val="22"/>
        </w:rPr>
        <w:instrText xml:space="preserve">" \f C \l "2" </w:instrText>
      </w:r>
      <w:r w:rsidR="00BB754E" w:rsidRPr="00662392">
        <w:rPr>
          <w:sz w:val="22"/>
          <w:szCs w:val="22"/>
          <w:u w:val="single"/>
        </w:rPr>
        <w:fldChar w:fldCharType="end"/>
      </w:r>
    </w:p>
    <w:p w14:paraId="14228BB7" w14:textId="77777777" w:rsidR="001F5146" w:rsidRPr="00662392" w:rsidRDefault="001F5146" w:rsidP="00194415">
      <w:pPr>
        <w:rPr>
          <w:sz w:val="22"/>
          <w:szCs w:val="22"/>
        </w:rPr>
      </w:pPr>
    </w:p>
    <w:p w14:paraId="0C56B6F0" w14:textId="01D17FAA" w:rsidR="001F5146" w:rsidRPr="00662392" w:rsidRDefault="001F5146" w:rsidP="00194415">
      <w:pPr>
        <w:rPr>
          <w:sz w:val="22"/>
          <w:szCs w:val="22"/>
        </w:rPr>
      </w:pPr>
      <w:r w:rsidRPr="00662392">
        <w:rPr>
          <w:sz w:val="22"/>
          <w:szCs w:val="22"/>
        </w:rPr>
        <w:t xml:space="preserve">Some </w:t>
      </w:r>
      <w:proofErr w:type="spellStart"/>
      <w:r w:rsidRPr="00662392">
        <w:rPr>
          <w:sz w:val="22"/>
          <w:szCs w:val="22"/>
        </w:rPr>
        <w:t>CoC</w:t>
      </w:r>
      <w:proofErr w:type="spellEnd"/>
      <w:r w:rsidRPr="00662392">
        <w:rPr>
          <w:sz w:val="22"/>
          <w:szCs w:val="22"/>
        </w:rPr>
        <w:t xml:space="preserve"> holders designed spent fuel dry cask storage systems as dual purpose cask systems for storage and transportation.  These systems may have separate UFSARs for the Part 72 certification </w:t>
      </w:r>
      <w:r w:rsidR="000F3E5D" w:rsidRPr="00662392">
        <w:rPr>
          <w:sz w:val="22"/>
          <w:szCs w:val="22"/>
        </w:rPr>
        <w:t>of compliance</w:t>
      </w:r>
      <w:r w:rsidRPr="00662392">
        <w:rPr>
          <w:sz w:val="22"/>
          <w:szCs w:val="22"/>
        </w:rPr>
        <w:t xml:space="preserve"> and the Part 71 certification</w:t>
      </w:r>
      <w:r w:rsidR="000F3E5D" w:rsidRPr="00662392">
        <w:rPr>
          <w:sz w:val="22"/>
          <w:szCs w:val="22"/>
        </w:rPr>
        <w:t xml:space="preserve"> of compliance</w:t>
      </w:r>
      <w:r w:rsidRPr="00662392">
        <w:rPr>
          <w:sz w:val="22"/>
          <w:szCs w:val="22"/>
        </w:rPr>
        <w:t xml:space="preserve">.  10 CFR 72.48 controls </w:t>
      </w:r>
      <w:r w:rsidR="00FC332C" w:rsidRPr="00662392">
        <w:rPr>
          <w:sz w:val="22"/>
          <w:szCs w:val="22"/>
        </w:rPr>
        <w:t xml:space="preserve">changes to </w:t>
      </w:r>
      <w:r w:rsidRPr="00662392">
        <w:rPr>
          <w:sz w:val="22"/>
          <w:szCs w:val="22"/>
        </w:rPr>
        <w:t xml:space="preserve">activities </w:t>
      </w:r>
      <w:r w:rsidR="00FC332C" w:rsidRPr="00662392">
        <w:rPr>
          <w:sz w:val="22"/>
          <w:szCs w:val="22"/>
        </w:rPr>
        <w:t>in the UFSAR,</w:t>
      </w:r>
      <w:r w:rsidR="005F1D30" w:rsidRPr="00662392">
        <w:rPr>
          <w:sz w:val="22"/>
          <w:szCs w:val="22"/>
        </w:rPr>
        <w:t xml:space="preserve"> </w:t>
      </w:r>
      <w:r w:rsidRPr="00662392">
        <w:rPr>
          <w:sz w:val="22"/>
          <w:szCs w:val="22"/>
        </w:rPr>
        <w:t xml:space="preserve">only with respect to the design and licensing bases of the cask storage system certified under Part 72. </w:t>
      </w:r>
      <w:r w:rsidR="005F1D30" w:rsidRPr="00662392">
        <w:rPr>
          <w:sz w:val="22"/>
          <w:szCs w:val="22"/>
        </w:rPr>
        <w:t xml:space="preserve"> </w:t>
      </w:r>
      <w:r w:rsidRPr="00662392">
        <w:rPr>
          <w:sz w:val="22"/>
          <w:szCs w:val="22"/>
        </w:rPr>
        <w:t xml:space="preserve">When licensees or </w:t>
      </w:r>
      <w:proofErr w:type="spellStart"/>
      <w:r w:rsidRPr="00662392">
        <w:rPr>
          <w:sz w:val="22"/>
          <w:szCs w:val="22"/>
        </w:rPr>
        <w:t>CoC</w:t>
      </w:r>
      <w:proofErr w:type="spellEnd"/>
      <w:r w:rsidRPr="00662392">
        <w:rPr>
          <w:sz w:val="22"/>
          <w:szCs w:val="22"/>
        </w:rPr>
        <w:t xml:space="preserve"> holders propose changes for a dual-purpose cask</w:t>
      </w:r>
      <w:r w:rsidR="0090635C" w:rsidRPr="00662392">
        <w:rPr>
          <w:sz w:val="22"/>
          <w:szCs w:val="22"/>
        </w:rPr>
        <w:t>,</w:t>
      </w:r>
      <w:r w:rsidRPr="00662392">
        <w:rPr>
          <w:sz w:val="22"/>
          <w:szCs w:val="22"/>
        </w:rPr>
        <w:t xml:space="preserve"> this </w:t>
      </w:r>
      <w:r w:rsidR="00304065" w:rsidRPr="00662392">
        <w:rPr>
          <w:sz w:val="22"/>
          <w:szCs w:val="22"/>
        </w:rPr>
        <w:t xml:space="preserve">could </w:t>
      </w:r>
      <w:r w:rsidRPr="00662392">
        <w:rPr>
          <w:sz w:val="22"/>
          <w:szCs w:val="22"/>
        </w:rPr>
        <w:t xml:space="preserve">affect the Part 71 transportation design and licensing bases.  </w:t>
      </w:r>
      <w:r w:rsidR="00C008A0" w:rsidRPr="00662392">
        <w:rPr>
          <w:sz w:val="22"/>
          <w:szCs w:val="22"/>
        </w:rPr>
        <w:t>I</w:t>
      </w:r>
      <w:r w:rsidRPr="00662392">
        <w:rPr>
          <w:sz w:val="22"/>
          <w:szCs w:val="22"/>
        </w:rPr>
        <w:t xml:space="preserve">nspectors should be aware of </w:t>
      </w:r>
      <w:r w:rsidR="00F75C81" w:rsidRPr="00662392">
        <w:rPr>
          <w:sz w:val="22"/>
          <w:szCs w:val="22"/>
        </w:rPr>
        <w:t xml:space="preserve">changes to </w:t>
      </w:r>
      <w:r w:rsidRPr="00662392">
        <w:rPr>
          <w:sz w:val="22"/>
          <w:szCs w:val="22"/>
        </w:rPr>
        <w:t>activities that affect Part 71 design and licensing bases</w:t>
      </w:r>
      <w:r w:rsidR="00E152DD" w:rsidRPr="00662392">
        <w:rPr>
          <w:sz w:val="22"/>
          <w:szCs w:val="22"/>
        </w:rPr>
        <w:t xml:space="preserve"> </w:t>
      </w:r>
      <w:r w:rsidR="001312FB" w:rsidRPr="00662392">
        <w:rPr>
          <w:sz w:val="22"/>
          <w:szCs w:val="22"/>
        </w:rPr>
        <w:t>and</w:t>
      </w:r>
      <w:r w:rsidR="00E152DD" w:rsidRPr="00662392">
        <w:rPr>
          <w:sz w:val="22"/>
          <w:szCs w:val="22"/>
        </w:rPr>
        <w:t xml:space="preserve"> will</w:t>
      </w:r>
      <w:r w:rsidRPr="00662392">
        <w:rPr>
          <w:sz w:val="22"/>
          <w:szCs w:val="22"/>
        </w:rPr>
        <w:t xml:space="preserve"> need to be assessed and controlled under Part 71 requirements</w:t>
      </w:r>
      <w:r w:rsidR="0052775F" w:rsidRPr="00662392">
        <w:rPr>
          <w:sz w:val="22"/>
          <w:szCs w:val="22"/>
        </w:rPr>
        <w:t xml:space="preserve"> when the casks are ready for transport</w:t>
      </w:r>
      <w:r w:rsidR="00E152DD" w:rsidRPr="00662392">
        <w:rPr>
          <w:sz w:val="22"/>
          <w:szCs w:val="22"/>
        </w:rPr>
        <w:t xml:space="preserve">. </w:t>
      </w:r>
      <w:r w:rsidRPr="00662392">
        <w:rPr>
          <w:sz w:val="22"/>
          <w:szCs w:val="22"/>
        </w:rPr>
        <w:t xml:space="preserve"> </w:t>
      </w:r>
      <w:r w:rsidR="007B5A6E" w:rsidRPr="00662392">
        <w:rPr>
          <w:sz w:val="22"/>
          <w:szCs w:val="22"/>
        </w:rPr>
        <w:t xml:space="preserve">Such changes </w:t>
      </w:r>
      <w:r w:rsidRPr="00662392">
        <w:rPr>
          <w:sz w:val="22"/>
          <w:szCs w:val="22"/>
        </w:rPr>
        <w:t xml:space="preserve">are outside the scope of this document </w:t>
      </w:r>
      <w:r w:rsidR="007B5A6E" w:rsidRPr="00662392">
        <w:rPr>
          <w:sz w:val="22"/>
          <w:szCs w:val="22"/>
        </w:rPr>
        <w:t xml:space="preserve">because </w:t>
      </w:r>
      <w:r w:rsidRPr="00662392">
        <w:rPr>
          <w:sz w:val="22"/>
          <w:szCs w:val="22"/>
        </w:rPr>
        <w:t>Part 71 does not have a change control process</w:t>
      </w:r>
      <w:r w:rsidR="007B5A6E" w:rsidRPr="00662392">
        <w:rPr>
          <w:sz w:val="22"/>
          <w:szCs w:val="22"/>
        </w:rPr>
        <w:t xml:space="preserve">, </w:t>
      </w:r>
      <w:proofErr w:type="gramStart"/>
      <w:r w:rsidR="007B5A6E" w:rsidRPr="00662392">
        <w:rPr>
          <w:sz w:val="22"/>
          <w:szCs w:val="22"/>
        </w:rPr>
        <w:t>similar to</w:t>
      </w:r>
      <w:proofErr w:type="gramEnd"/>
      <w:r w:rsidR="007B5A6E" w:rsidRPr="00662392">
        <w:rPr>
          <w:sz w:val="22"/>
          <w:szCs w:val="22"/>
        </w:rPr>
        <w:t xml:space="preserve"> 10 CFR 72.48.</w:t>
      </w:r>
    </w:p>
    <w:p w14:paraId="75B4C54A" w14:textId="77777777" w:rsidR="001F5146" w:rsidRPr="00662392" w:rsidRDefault="001F5146" w:rsidP="00194415">
      <w:pPr>
        <w:rPr>
          <w:sz w:val="22"/>
          <w:szCs w:val="22"/>
        </w:rPr>
      </w:pPr>
    </w:p>
    <w:p w14:paraId="33019940" w14:textId="2C5A48CD" w:rsidR="001F5146" w:rsidRPr="00662392" w:rsidRDefault="001F5146" w:rsidP="00194415">
      <w:pPr>
        <w:rPr>
          <w:sz w:val="22"/>
          <w:szCs w:val="22"/>
        </w:rPr>
      </w:pPr>
      <w:r w:rsidRPr="00662392">
        <w:rPr>
          <w:sz w:val="22"/>
          <w:szCs w:val="22"/>
        </w:rPr>
        <w:t>07.0</w:t>
      </w:r>
      <w:r w:rsidR="00DF22DA" w:rsidRPr="00662392">
        <w:rPr>
          <w:sz w:val="22"/>
          <w:szCs w:val="22"/>
        </w:rPr>
        <w:t>4</w:t>
      </w:r>
      <w:r w:rsidRPr="00662392">
        <w:rPr>
          <w:sz w:val="22"/>
          <w:szCs w:val="22"/>
        </w:rPr>
        <w:tab/>
      </w:r>
      <w:r w:rsidR="00BB754E" w:rsidRPr="00662392">
        <w:rPr>
          <w:sz w:val="22"/>
          <w:szCs w:val="22"/>
          <w:u w:val="single"/>
        </w:rPr>
        <w:t xml:space="preserve">Relationship Between </w:t>
      </w:r>
      <w:r w:rsidRPr="00662392">
        <w:rPr>
          <w:sz w:val="22"/>
          <w:szCs w:val="22"/>
          <w:u w:val="single"/>
        </w:rPr>
        <w:t xml:space="preserve">10 CFR 72.48 </w:t>
      </w:r>
      <w:r w:rsidR="00BB754E" w:rsidRPr="00662392">
        <w:rPr>
          <w:sz w:val="22"/>
          <w:szCs w:val="22"/>
          <w:u w:val="single"/>
        </w:rPr>
        <w:t>and</w:t>
      </w:r>
      <w:r w:rsidR="00DF22DA" w:rsidRPr="00662392">
        <w:rPr>
          <w:sz w:val="22"/>
          <w:szCs w:val="22"/>
          <w:u w:val="single"/>
        </w:rPr>
        <w:t xml:space="preserve"> </w:t>
      </w:r>
      <w:r w:rsidR="00BB754E" w:rsidRPr="00662392">
        <w:rPr>
          <w:sz w:val="22"/>
          <w:szCs w:val="22"/>
          <w:u w:val="single"/>
        </w:rPr>
        <w:t>Maintenance</w:t>
      </w:r>
      <w:r w:rsidRPr="00662392">
        <w:rPr>
          <w:sz w:val="22"/>
          <w:szCs w:val="22"/>
          <w:u w:val="single"/>
        </w:rPr>
        <w:t xml:space="preserve"> (10 CFR 50.65)</w:t>
      </w:r>
      <w:r w:rsidR="00BB754E" w:rsidRPr="00662392">
        <w:rPr>
          <w:sz w:val="22"/>
          <w:szCs w:val="22"/>
          <w:u w:val="single"/>
        </w:rPr>
        <w:fldChar w:fldCharType="begin"/>
      </w:r>
      <w:r w:rsidR="00BB754E" w:rsidRPr="00662392">
        <w:rPr>
          <w:sz w:val="22"/>
          <w:szCs w:val="22"/>
        </w:rPr>
        <w:instrText xml:space="preserve"> TC "</w:instrText>
      </w:r>
      <w:bookmarkStart w:id="120" w:name="_Toc62642919"/>
      <w:bookmarkStart w:id="121" w:name="_Toc63142103"/>
      <w:r w:rsidR="00BB754E" w:rsidRPr="00662392">
        <w:rPr>
          <w:sz w:val="22"/>
          <w:szCs w:val="22"/>
        </w:rPr>
        <w:instrText>07.04</w:instrText>
      </w:r>
      <w:r w:rsidR="00BB754E" w:rsidRPr="00662392">
        <w:rPr>
          <w:sz w:val="22"/>
          <w:szCs w:val="22"/>
          <w:u w:val="single"/>
        </w:rPr>
        <w:instrText>Relationship Between 10 CFR 72.48 and Maintenance (10 CFR 50.65)</w:instrText>
      </w:r>
      <w:bookmarkEnd w:id="120"/>
      <w:bookmarkEnd w:id="121"/>
      <w:r w:rsidR="00BB754E" w:rsidRPr="00662392">
        <w:rPr>
          <w:sz w:val="22"/>
          <w:szCs w:val="22"/>
        </w:rPr>
        <w:instrText xml:space="preserve">" \f C \l "2" </w:instrText>
      </w:r>
      <w:r w:rsidR="00BB754E" w:rsidRPr="00662392">
        <w:rPr>
          <w:sz w:val="22"/>
          <w:szCs w:val="22"/>
          <w:u w:val="single"/>
        </w:rPr>
        <w:fldChar w:fldCharType="end"/>
      </w:r>
    </w:p>
    <w:p w14:paraId="5F60FF58" w14:textId="77777777" w:rsidR="001F5146" w:rsidRPr="00662392" w:rsidRDefault="001F5146" w:rsidP="00194415">
      <w:pPr>
        <w:rPr>
          <w:sz w:val="22"/>
          <w:szCs w:val="22"/>
        </w:rPr>
      </w:pPr>
    </w:p>
    <w:p w14:paraId="2730BDAB" w14:textId="5000B49A" w:rsidR="001F5146" w:rsidRPr="00662392" w:rsidRDefault="001C1794" w:rsidP="00194415">
      <w:pPr>
        <w:rPr>
          <w:sz w:val="22"/>
          <w:szCs w:val="22"/>
        </w:rPr>
      </w:pPr>
      <w:r w:rsidRPr="00662392">
        <w:rPr>
          <w:sz w:val="22"/>
          <w:szCs w:val="22"/>
        </w:rPr>
        <w:t>I</w:t>
      </w:r>
      <w:r w:rsidR="001F5146" w:rsidRPr="00662392">
        <w:rPr>
          <w:sz w:val="22"/>
          <w:szCs w:val="22"/>
        </w:rPr>
        <w:t xml:space="preserve">nspectors should </w:t>
      </w:r>
      <w:r w:rsidRPr="00662392">
        <w:rPr>
          <w:sz w:val="22"/>
          <w:szCs w:val="22"/>
        </w:rPr>
        <w:t>recognize</w:t>
      </w:r>
      <w:r w:rsidR="001F5146" w:rsidRPr="00662392">
        <w:rPr>
          <w:sz w:val="22"/>
          <w:szCs w:val="22"/>
        </w:rPr>
        <w:t xml:space="preserve"> maintenance activities affecting the ISFSI or storage cask are subject to the 10 CFR 72.48 process. Maintenance activities are activities that may restore SSCs to their as-designed condition including activities that implement approved design changes.  These maintenance activities may include troubleshooting, calibration, refurbishment, maintenance-related testing, like</w:t>
      </w:r>
      <w:r w:rsidR="00727F30" w:rsidRPr="00662392">
        <w:rPr>
          <w:sz w:val="22"/>
          <w:szCs w:val="22"/>
        </w:rPr>
        <w:t>-</w:t>
      </w:r>
      <w:r w:rsidR="001F5146" w:rsidRPr="00662392">
        <w:rPr>
          <w:sz w:val="22"/>
          <w:szCs w:val="22"/>
        </w:rPr>
        <w:t>for</w:t>
      </w:r>
      <w:r w:rsidR="00727F30" w:rsidRPr="00662392">
        <w:rPr>
          <w:sz w:val="22"/>
          <w:szCs w:val="22"/>
        </w:rPr>
        <w:t>-</w:t>
      </w:r>
      <w:r w:rsidR="001F5146" w:rsidRPr="00662392">
        <w:rPr>
          <w:sz w:val="22"/>
          <w:szCs w:val="22"/>
        </w:rPr>
        <w:t xml:space="preserve">like replacements, housekeeping and similar activities that do not permanently alter the design, performance requirements, operation, or control of SSCs.  </w:t>
      </w:r>
    </w:p>
    <w:p w14:paraId="13E915C7" w14:textId="77777777" w:rsidR="001F5146" w:rsidRPr="00662392" w:rsidRDefault="001F5146" w:rsidP="00194415">
      <w:pPr>
        <w:rPr>
          <w:sz w:val="22"/>
          <w:szCs w:val="22"/>
        </w:rPr>
      </w:pPr>
    </w:p>
    <w:p w14:paraId="6FF51FCC" w14:textId="70F3E432" w:rsidR="001F5146" w:rsidRPr="00662392" w:rsidRDefault="00CE4403" w:rsidP="00194415">
      <w:pPr>
        <w:rPr>
          <w:sz w:val="22"/>
          <w:szCs w:val="22"/>
        </w:rPr>
      </w:pPr>
      <w:r w:rsidRPr="00662392">
        <w:rPr>
          <w:sz w:val="22"/>
          <w:szCs w:val="22"/>
        </w:rPr>
        <w:t>I</w:t>
      </w:r>
      <w:r w:rsidR="001F5146" w:rsidRPr="00662392">
        <w:rPr>
          <w:sz w:val="22"/>
          <w:szCs w:val="22"/>
        </w:rPr>
        <w:t>nspectors should be aware that maintenance activities also include temporary alterations to the ISFSI, cask design,</w:t>
      </w:r>
      <w:r w:rsidR="001F5146" w:rsidRPr="00662392">
        <w:rPr>
          <w:b/>
          <w:sz w:val="22"/>
          <w:szCs w:val="22"/>
        </w:rPr>
        <w:t xml:space="preserve"> </w:t>
      </w:r>
      <w:r w:rsidR="001F5146" w:rsidRPr="00662392">
        <w:rPr>
          <w:sz w:val="22"/>
          <w:szCs w:val="22"/>
        </w:rPr>
        <w:t>or procedures that directly relate to and are necessary to support the maintenance.  Examples of temporary alterations that support maintenance include placing temporary lead shielding on cask</w:t>
      </w:r>
      <w:r w:rsidR="00AD430E" w:rsidRPr="00662392">
        <w:rPr>
          <w:sz w:val="22"/>
          <w:szCs w:val="22"/>
        </w:rPr>
        <w:t>s</w:t>
      </w:r>
      <w:r w:rsidR="001F5146" w:rsidRPr="00662392">
        <w:rPr>
          <w:sz w:val="22"/>
          <w:szCs w:val="22"/>
        </w:rPr>
        <w:t>, removal of barriers, and use of scaffolding and supports.</w:t>
      </w:r>
    </w:p>
    <w:p w14:paraId="29D1D144" w14:textId="77777777" w:rsidR="001F5146" w:rsidRPr="00662392" w:rsidRDefault="001F5146" w:rsidP="00194415">
      <w:pPr>
        <w:rPr>
          <w:sz w:val="22"/>
          <w:szCs w:val="22"/>
        </w:rPr>
      </w:pPr>
    </w:p>
    <w:p w14:paraId="7155F6CA" w14:textId="1EDA1004" w:rsidR="001F5146" w:rsidRPr="00662392" w:rsidRDefault="009B4147" w:rsidP="00194415">
      <w:pPr>
        <w:rPr>
          <w:sz w:val="22"/>
          <w:szCs w:val="22"/>
        </w:rPr>
      </w:pPr>
      <w:r w:rsidRPr="00662392">
        <w:rPr>
          <w:sz w:val="22"/>
          <w:szCs w:val="22"/>
        </w:rPr>
        <w:t>I</w:t>
      </w:r>
      <w:r w:rsidR="001F5146" w:rsidRPr="00662392">
        <w:rPr>
          <w:sz w:val="22"/>
          <w:szCs w:val="22"/>
        </w:rPr>
        <w:t xml:space="preserve">nspectors should </w:t>
      </w:r>
      <w:r w:rsidR="00FD3D3C" w:rsidRPr="00662392">
        <w:rPr>
          <w:sz w:val="22"/>
          <w:szCs w:val="22"/>
        </w:rPr>
        <w:t>be</w:t>
      </w:r>
      <w:r w:rsidR="001F5146" w:rsidRPr="00662392">
        <w:rPr>
          <w:sz w:val="22"/>
          <w:szCs w:val="22"/>
        </w:rPr>
        <w:t xml:space="preserve"> aware that 10 CFR 50.65</w:t>
      </w:r>
      <w:r w:rsidR="00F66EBF" w:rsidRPr="00662392">
        <w:rPr>
          <w:sz w:val="22"/>
          <w:szCs w:val="22"/>
        </w:rPr>
        <w:t xml:space="preserve"> </w:t>
      </w:r>
      <w:r w:rsidR="001F5146" w:rsidRPr="00662392">
        <w:rPr>
          <w:sz w:val="22"/>
          <w:szCs w:val="22"/>
        </w:rPr>
        <w:t>does not apply to an ISFSI or a spent fuel storage cask licensed or certified under 10 CFR Part 72.  Additionally, as discussed in Section 07.</w:t>
      </w:r>
      <w:r w:rsidR="00C60DBE" w:rsidRPr="00662392">
        <w:rPr>
          <w:sz w:val="22"/>
          <w:szCs w:val="22"/>
        </w:rPr>
        <w:t>21</w:t>
      </w:r>
      <w:r w:rsidR="001F5146" w:rsidRPr="00662392">
        <w:rPr>
          <w:sz w:val="22"/>
          <w:szCs w:val="22"/>
        </w:rPr>
        <w:t xml:space="preserve"> of this IMC, 10 CFR 72.48</w:t>
      </w:r>
      <w:r w:rsidR="001F5146" w:rsidRPr="00662392">
        <w:rPr>
          <w:b/>
          <w:sz w:val="22"/>
          <w:szCs w:val="22"/>
        </w:rPr>
        <w:t xml:space="preserve"> </w:t>
      </w:r>
      <w:r w:rsidR="001F5146" w:rsidRPr="00662392">
        <w:rPr>
          <w:sz w:val="22"/>
          <w:szCs w:val="22"/>
        </w:rPr>
        <w:t>applies to temporary changes and proposed compensatory measures for degraded or non-conforming conditions.</w:t>
      </w:r>
    </w:p>
    <w:p w14:paraId="09E9A277" w14:textId="77777777" w:rsidR="001F5146" w:rsidRPr="00662392" w:rsidRDefault="001F5146" w:rsidP="00194415">
      <w:pPr>
        <w:rPr>
          <w:sz w:val="22"/>
          <w:szCs w:val="22"/>
        </w:rPr>
      </w:pPr>
    </w:p>
    <w:p w14:paraId="630A651A" w14:textId="15C92B0A" w:rsidR="001F5146" w:rsidRPr="00662392" w:rsidRDefault="001F5146" w:rsidP="00011612">
      <w:pPr>
        <w:rPr>
          <w:sz w:val="22"/>
          <w:szCs w:val="22"/>
        </w:rPr>
      </w:pPr>
      <w:r w:rsidRPr="00662392">
        <w:rPr>
          <w:sz w:val="22"/>
          <w:szCs w:val="22"/>
        </w:rPr>
        <w:t>07.0</w:t>
      </w:r>
      <w:r w:rsidR="00886C68" w:rsidRPr="00662392">
        <w:rPr>
          <w:sz w:val="22"/>
          <w:szCs w:val="22"/>
        </w:rPr>
        <w:t>5</w:t>
      </w:r>
      <w:r w:rsidRPr="00662392">
        <w:rPr>
          <w:sz w:val="22"/>
          <w:szCs w:val="22"/>
        </w:rPr>
        <w:tab/>
      </w:r>
      <w:r w:rsidR="00BB754E" w:rsidRPr="00662392">
        <w:rPr>
          <w:sz w:val="22"/>
          <w:szCs w:val="22"/>
          <w:u w:val="single"/>
        </w:rPr>
        <w:t xml:space="preserve">Relationship Between </w:t>
      </w:r>
      <w:r w:rsidRPr="00662392">
        <w:rPr>
          <w:sz w:val="22"/>
          <w:szCs w:val="22"/>
          <w:u w:val="single"/>
        </w:rPr>
        <w:t xml:space="preserve">10 CFR 72.48 </w:t>
      </w:r>
      <w:r w:rsidR="00BB754E" w:rsidRPr="00662392">
        <w:rPr>
          <w:sz w:val="22"/>
          <w:szCs w:val="22"/>
          <w:u w:val="single"/>
        </w:rPr>
        <w:t>and</w:t>
      </w:r>
      <w:r w:rsidR="00886C68" w:rsidRPr="00662392">
        <w:rPr>
          <w:sz w:val="22"/>
          <w:szCs w:val="22"/>
          <w:u w:val="single"/>
        </w:rPr>
        <w:t xml:space="preserve"> </w:t>
      </w:r>
      <w:r w:rsidRPr="00662392">
        <w:rPr>
          <w:sz w:val="22"/>
          <w:szCs w:val="22"/>
          <w:u w:val="single"/>
        </w:rPr>
        <w:t xml:space="preserve">10 CFR 72.212 </w:t>
      </w:r>
      <w:r w:rsidR="00BB754E" w:rsidRPr="00662392">
        <w:rPr>
          <w:sz w:val="22"/>
          <w:szCs w:val="22"/>
          <w:u w:val="single"/>
        </w:rPr>
        <w:t>Evaluation Report</w:t>
      </w:r>
      <w:r w:rsidR="00BB754E" w:rsidRPr="00662392">
        <w:rPr>
          <w:sz w:val="22"/>
          <w:szCs w:val="22"/>
          <w:u w:val="single"/>
        </w:rPr>
        <w:fldChar w:fldCharType="begin"/>
      </w:r>
      <w:r w:rsidR="00BB754E" w:rsidRPr="00662392">
        <w:rPr>
          <w:sz w:val="22"/>
          <w:szCs w:val="22"/>
        </w:rPr>
        <w:instrText xml:space="preserve"> TC "</w:instrText>
      </w:r>
      <w:bookmarkStart w:id="122" w:name="_Toc62642920"/>
      <w:bookmarkStart w:id="123" w:name="_Toc63142104"/>
      <w:r w:rsidR="00BB754E" w:rsidRPr="00662392">
        <w:rPr>
          <w:sz w:val="22"/>
          <w:szCs w:val="22"/>
        </w:rPr>
        <w:instrText>07.05</w:instrText>
      </w:r>
      <w:r w:rsidR="00BB754E" w:rsidRPr="00662392">
        <w:rPr>
          <w:sz w:val="22"/>
          <w:szCs w:val="22"/>
          <w:u w:val="single"/>
        </w:rPr>
        <w:instrText>Relationship Between 10 CFR 72.48 and 10 CFR 72.212 Evaluation Report</w:instrText>
      </w:r>
      <w:bookmarkEnd w:id="122"/>
      <w:bookmarkEnd w:id="123"/>
      <w:r w:rsidR="00BB754E" w:rsidRPr="00662392">
        <w:rPr>
          <w:sz w:val="22"/>
          <w:szCs w:val="22"/>
        </w:rPr>
        <w:instrText xml:space="preserve">" \f C \l "2" </w:instrText>
      </w:r>
      <w:r w:rsidR="00BB754E" w:rsidRPr="00662392">
        <w:rPr>
          <w:sz w:val="22"/>
          <w:szCs w:val="22"/>
          <w:u w:val="single"/>
        </w:rPr>
        <w:fldChar w:fldCharType="end"/>
      </w:r>
    </w:p>
    <w:p w14:paraId="20D5874A" w14:textId="77777777" w:rsidR="001F5146" w:rsidRPr="00662392" w:rsidRDefault="001F5146" w:rsidP="00194415">
      <w:pPr>
        <w:rPr>
          <w:sz w:val="22"/>
          <w:szCs w:val="22"/>
        </w:rPr>
      </w:pPr>
    </w:p>
    <w:p w14:paraId="56CFB67F" w14:textId="4E22977F" w:rsidR="000E0ACD" w:rsidRDefault="00F66EBF" w:rsidP="00194415">
      <w:pPr>
        <w:widowControl/>
        <w:rPr>
          <w:sz w:val="22"/>
          <w:szCs w:val="22"/>
        </w:rPr>
      </w:pPr>
      <w:r w:rsidRPr="00662392">
        <w:rPr>
          <w:sz w:val="22"/>
          <w:szCs w:val="22"/>
        </w:rPr>
        <w:t>I</w:t>
      </w:r>
      <w:r w:rsidR="001F5146" w:rsidRPr="00662392">
        <w:rPr>
          <w:sz w:val="22"/>
          <w:szCs w:val="22"/>
        </w:rPr>
        <w:t xml:space="preserve">nspectors should understand the relationship between the requirements described in 10 CFR 72.48 and 10 CFR 72.212 evaluation reports. </w:t>
      </w:r>
      <w:r w:rsidR="005067F1">
        <w:rPr>
          <w:sz w:val="22"/>
          <w:szCs w:val="22"/>
        </w:rPr>
        <w:t xml:space="preserve"> </w:t>
      </w:r>
      <w:r w:rsidR="001F5146" w:rsidRPr="00662392">
        <w:rPr>
          <w:sz w:val="22"/>
          <w:szCs w:val="22"/>
        </w:rPr>
        <w:t xml:space="preserve">An </w:t>
      </w:r>
      <w:bookmarkStart w:id="124" w:name="_Hlk56693736"/>
      <w:r w:rsidR="001F5146" w:rsidRPr="00662392">
        <w:rPr>
          <w:sz w:val="22"/>
          <w:szCs w:val="22"/>
        </w:rPr>
        <w:t xml:space="preserve">evaluation report for 10 CFR 72.212 </w:t>
      </w:r>
      <w:bookmarkEnd w:id="124"/>
      <w:r w:rsidR="001F5146" w:rsidRPr="00662392">
        <w:rPr>
          <w:sz w:val="22"/>
          <w:szCs w:val="22"/>
        </w:rPr>
        <w:t xml:space="preserve">(212 </w:t>
      </w:r>
    </w:p>
    <w:p w14:paraId="64165CEC" w14:textId="77777777" w:rsidR="00C1473C" w:rsidRDefault="001F5146" w:rsidP="00194415">
      <w:pPr>
        <w:widowControl/>
        <w:rPr>
          <w:sz w:val="22"/>
          <w:szCs w:val="22"/>
        </w:rPr>
        <w:sectPr w:rsidR="00C1473C" w:rsidSect="00012998">
          <w:footerReference w:type="default" r:id="rId47"/>
          <w:pgSz w:w="12240" w:h="15840" w:code="1"/>
          <w:pgMar w:top="1440" w:right="1440" w:bottom="1440" w:left="1440" w:header="720" w:footer="720" w:gutter="0"/>
          <w:cols w:space="720"/>
          <w:noEndnote/>
          <w:docGrid w:linePitch="326"/>
        </w:sectPr>
      </w:pPr>
      <w:r w:rsidRPr="00662392">
        <w:rPr>
          <w:sz w:val="22"/>
          <w:szCs w:val="22"/>
        </w:rPr>
        <w:t xml:space="preserve">Report) for a general licensee contains written evaluations required under the provisions of 10 CFR 72.212 (b)(5), (b)(6), and (b)(8).  </w:t>
      </w:r>
      <w:r w:rsidR="00A334F5" w:rsidRPr="00662392">
        <w:rPr>
          <w:sz w:val="22"/>
          <w:szCs w:val="22"/>
        </w:rPr>
        <w:t xml:space="preserve">A general licensee creates these evaluation reports as a part of a review of activities prior to the first use of a cask system or applying the changes of an amended </w:t>
      </w:r>
      <w:proofErr w:type="spellStart"/>
      <w:r w:rsidR="00A334F5" w:rsidRPr="00662392">
        <w:rPr>
          <w:sz w:val="22"/>
          <w:szCs w:val="22"/>
        </w:rPr>
        <w:t>CoC</w:t>
      </w:r>
      <w:proofErr w:type="spellEnd"/>
      <w:r w:rsidR="00A334F5" w:rsidRPr="00662392">
        <w:rPr>
          <w:sz w:val="22"/>
          <w:szCs w:val="22"/>
        </w:rPr>
        <w:t xml:space="preserve"> to cask loaded under the initial or an earlier amended </w:t>
      </w:r>
      <w:proofErr w:type="spellStart"/>
      <w:r w:rsidR="00A334F5" w:rsidRPr="00662392">
        <w:rPr>
          <w:sz w:val="22"/>
          <w:szCs w:val="22"/>
        </w:rPr>
        <w:t>CoC</w:t>
      </w:r>
      <w:proofErr w:type="spellEnd"/>
      <w:r w:rsidR="00A334F5" w:rsidRPr="00662392">
        <w:rPr>
          <w:sz w:val="22"/>
          <w:szCs w:val="22"/>
        </w:rPr>
        <w:t>.</w:t>
      </w:r>
      <w:r w:rsidRPr="00662392">
        <w:rPr>
          <w:sz w:val="22"/>
          <w:szCs w:val="22"/>
        </w:rPr>
        <w:t xml:space="preserve"> </w:t>
      </w:r>
    </w:p>
    <w:p w14:paraId="233797A0" w14:textId="77777777" w:rsidR="001F5146" w:rsidRPr="00662392" w:rsidRDefault="001F5146" w:rsidP="00194415">
      <w:pPr>
        <w:widowControl/>
        <w:rPr>
          <w:sz w:val="22"/>
          <w:szCs w:val="22"/>
        </w:rPr>
      </w:pPr>
    </w:p>
    <w:p w14:paraId="4D6F0342" w14:textId="77777777" w:rsidR="00582C3E" w:rsidRPr="00662392" w:rsidRDefault="001F5146" w:rsidP="00194415">
      <w:pPr>
        <w:widowControl/>
        <w:rPr>
          <w:sz w:val="22"/>
          <w:szCs w:val="22"/>
        </w:rPr>
      </w:pPr>
      <w:r w:rsidRPr="00662392">
        <w:rPr>
          <w:sz w:val="22"/>
          <w:szCs w:val="22"/>
        </w:rPr>
        <w:t xml:space="preserve">10 CFR 72.212(b)(7) requires a general licensee to evaluate any changes to these written evaluations required by paragraphs (b)(5) and (b)(6) of 10 CFR 72.212 using the requirements of 10 CFR 72.48.  </w:t>
      </w:r>
      <w:r w:rsidR="00582C3E" w:rsidRPr="00662392">
        <w:rPr>
          <w:sz w:val="22"/>
          <w:szCs w:val="22"/>
        </w:rPr>
        <w:t xml:space="preserve">Section 72.212(b)(5) requires the general licensee to perform a written evaluation before using a cask and before applying the changes authorized by an amended </w:t>
      </w:r>
      <w:proofErr w:type="spellStart"/>
      <w:r w:rsidR="00582C3E" w:rsidRPr="00662392">
        <w:rPr>
          <w:sz w:val="22"/>
          <w:szCs w:val="22"/>
        </w:rPr>
        <w:t>CoC</w:t>
      </w:r>
      <w:proofErr w:type="spellEnd"/>
      <w:r w:rsidR="00582C3E" w:rsidRPr="00662392">
        <w:rPr>
          <w:sz w:val="22"/>
          <w:szCs w:val="22"/>
        </w:rPr>
        <w:t xml:space="preserve"> to a previously loaded cask.  Section 72.212(b)(6) requires the general licensee to review the Safety Analysis Report referenced in the </w:t>
      </w:r>
      <w:proofErr w:type="spellStart"/>
      <w:r w:rsidR="00582C3E" w:rsidRPr="00662392">
        <w:rPr>
          <w:sz w:val="22"/>
          <w:szCs w:val="22"/>
        </w:rPr>
        <w:t>CoC</w:t>
      </w:r>
      <w:proofErr w:type="spellEnd"/>
      <w:r w:rsidR="00582C3E" w:rsidRPr="00662392">
        <w:rPr>
          <w:sz w:val="22"/>
          <w:szCs w:val="22"/>
        </w:rPr>
        <w:t xml:space="preserve"> or amended </w:t>
      </w:r>
      <w:proofErr w:type="spellStart"/>
      <w:r w:rsidR="00582C3E" w:rsidRPr="00662392">
        <w:rPr>
          <w:sz w:val="22"/>
          <w:szCs w:val="22"/>
        </w:rPr>
        <w:t>CoC</w:t>
      </w:r>
      <w:proofErr w:type="spellEnd"/>
      <w:r w:rsidR="00582C3E" w:rsidRPr="00662392">
        <w:rPr>
          <w:sz w:val="22"/>
          <w:szCs w:val="22"/>
        </w:rPr>
        <w:t xml:space="preserve"> and the related NRC Safety Evaluation Report, prior to use of the general license, to determine whether or not the reactor site parameters, including analyses of earthquake intensity and tornado missiles, are enveloped by the cask design bases considered in these reports.  </w:t>
      </w:r>
      <w:r w:rsidRPr="00662392">
        <w:rPr>
          <w:sz w:val="22"/>
          <w:szCs w:val="22"/>
        </w:rPr>
        <w:t>This includes the written evaluations described in the initial 212 Report that deviate from information in the cask UFSAR.</w:t>
      </w:r>
    </w:p>
    <w:p w14:paraId="510285EA" w14:textId="77777777" w:rsidR="00582C3E" w:rsidRPr="00662392" w:rsidRDefault="00582C3E" w:rsidP="00194415">
      <w:pPr>
        <w:widowControl/>
        <w:rPr>
          <w:sz w:val="22"/>
          <w:szCs w:val="22"/>
        </w:rPr>
      </w:pPr>
    </w:p>
    <w:p w14:paraId="26C0A347" w14:textId="55D23242" w:rsidR="001F5146" w:rsidRPr="00662392" w:rsidRDefault="001F5146" w:rsidP="00194415">
      <w:pPr>
        <w:widowControl/>
        <w:rPr>
          <w:sz w:val="22"/>
          <w:szCs w:val="22"/>
        </w:rPr>
      </w:pPr>
      <w:r w:rsidRPr="00662392">
        <w:rPr>
          <w:sz w:val="22"/>
          <w:szCs w:val="22"/>
        </w:rPr>
        <w:t xml:space="preserve">If the initial issuance of the 212 Report contains no deviations from the cask UFSAR, then there is no 10 CFR 72.48 review required.  Thereafter, other than editorial or administrative corrections, any alterations made to the 212 Report require a 10 CFR 72.48 review pursuant to 10 CFR 72.212(b)(7) as applicable. </w:t>
      </w:r>
      <w:r w:rsidR="005067F1">
        <w:rPr>
          <w:sz w:val="22"/>
          <w:szCs w:val="22"/>
        </w:rPr>
        <w:t xml:space="preserve"> </w:t>
      </w:r>
      <w:r w:rsidR="00A03CCC" w:rsidRPr="00662392">
        <w:rPr>
          <w:sz w:val="22"/>
          <w:szCs w:val="22"/>
        </w:rPr>
        <w:t>When</w:t>
      </w:r>
      <w:r w:rsidRPr="00662392">
        <w:rPr>
          <w:sz w:val="22"/>
          <w:szCs w:val="22"/>
        </w:rPr>
        <w:t xml:space="preserve"> there are deviations from the cask UFSAR, th</w:t>
      </w:r>
      <w:r w:rsidR="00CD6382" w:rsidRPr="00662392">
        <w:rPr>
          <w:sz w:val="22"/>
          <w:szCs w:val="22"/>
        </w:rPr>
        <w:t>e</w:t>
      </w:r>
      <w:r w:rsidRPr="00662392">
        <w:rPr>
          <w:sz w:val="22"/>
          <w:szCs w:val="22"/>
        </w:rPr>
        <w:t xml:space="preserve">n the inspectors should verify that the general licensee </w:t>
      </w:r>
      <w:r w:rsidR="00E376AA" w:rsidRPr="00662392">
        <w:rPr>
          <w:sz w:val="22"/>
          <w:szCs w:val="22"/>
        </w:rPr>
        <w:t xml:space="preserve">has performed a </w:t>
      </w:r>
      <w:r w:rsidRPr="00662392">
        <w:rPr>
          <w:sz w:val="22"/>
          <w:szCs w:val="22"/>
        </w:rPr>
        <w:t xml:space="preserve">review </w:t>
      </w:r>
      <w:r w:rsidR="00CC4176" w:rsidRPr="00662392">
        <w:rPr>
          <w:sz w:val="22"/>
          <w:szCs w:val="22"/>
        </w:rPr>
        <w:t xml:space="preserve">of </w:t>
      </w:r>
      <w:r w:rsidRPr="00662392">
        <w:rPr>
          <w:sz w:val="22"/>
          <w:szCs w:val="22"/>
        </w:rPr>
        <w:t>the deviations under the 10 CFR 72.48 process.</w:t>
      </w:r>
    </w:p>
    <w:p w14:paraId="47449F94" w14:textId="77777777" w:rsidR="001F5146" w:rsidRPr="00662392" w:rsidRDefault="001F5146" w:rsidP="00194415">
      <w:pPr>
        <w:widowControl/>
        <w:rPr>
          <w:sz w:val="22"/>
          <w:szCs w:val="22"/>
        </w:rPr>
      </w:pPr>
    </w:p>
    <w:p w14:paraId="2EAAC0DE" w14:textId="4541E51C" w:rsidR="001F5146" w:rsidRPr="00662392" w:rsidRDefault="001F5146" w:rsidP="00194415">
      <w:pPr>
        <w:widowControl/>
        <w:rPr>
          <w:sz w:val="22"/>
          <w:szCs w:val="22"/>
        </w:rPr>
      </w:pPr>
      <w:r w:rsidRPr="00662392">
        <w:rPr>
          <w:sz w:val="22"/>
          <w:szCs w:val="22"/>
        </w:rPr>
        <w:t>The modification to the 212 Report may identify the need to perform additional reviews under 10 CFR 72.48 for modifications to the cask UFSAR.</w:t>
      </w:r>
      <w:r w:rsidR="00C672B7" w:rsidRPr="00662392">
        <w:rPr>
          <w:sz w:val="22"/>
          <w:szCs w:val="22"/>
        </w:rPr>
        <w:t xml:space="preserve">  The NRC Regulatory Issue Summary 2015-05 provides additional information on the relationship between 10 CFR 212 and 10 CFR 72.48 evaluations.</w:t>
      </w:r>
    </w:p>
    <w:p w14:paraId="216CA597" w14:textId="77777777" w:rsidR="00D348F8" w:rsidRPr="00662392" w:rsidRDefault="00D348F8" w:rsidP="00194415">
      <w:pPr>
        <w:rPr>
          <w:sz w:val="22"/>
          <w:szCs w:val="22"/>
        </w:rPr>
      </w:pPr>
    </w:p>
    <w:p w14:paraId="1E851528" w14:textId="0B7D10C6" w:rsidR="00D348F8" w:rsidRPr="00662392" w:rsidRDefault="00BB754E" w:rsidP="00194415">
      <w:pPr>
        <w:rPr>
          <w:sz w:val="22"/>
          <w:szCs w:val="22"/>
        </w:rPr>
      </w:pPr>
      <w:r w:rsidRPr="00662392">
        <w:rPr>
          <w:sz w:val="22"/>
          <w:szCs w:val="22"/>
        </w:rPr>
        <w:t>07.06</w:t>
      </w:r>
      <w:r w:rsidRPr="00662392">
        <w:rPr>
          <w:sz w:val="22"/>
          <w:szCs w:val="22"/>
        </w:rPr>
        <w:tab/>
      </w:r>
      <w:r w:rsidRPr="00662392">
        <w:rPr>
          <w:sz w:val="22"/>
          <w:szCs w:val="22"/>
          <w:u w:val="single"/>
        </w:rPr>
        <w:t>Applicability Determination</w:t>
      </w:r>
      <w:r w:rsidRPr="00662392">
        <w:rPr>
          <w:sz w:val="22"/>
          <w:szCs w:val="22"/>
          <w:u w:val="single"/>
        </w:rPr>
        <w:fldChar w:fldCharType="begin"/>
      </w:r>
      <w:r w:rsidRPr="00662392">
        <w:rPr>
          <w:sz w:val="22"/>
          <w:szCs w:val="22"/>
        </w:rPr>
        <w:instrText xml:space="preserve"> TC "</w:instrText>
      </w:r>
      <w:bookmarkStart w:id="125" w:name="_Toc62642921"/>
      <w:bookmarkStart w:id="126" w:name="_Toc63142105"/>
      <w:r w:rsidRPr="00662392">
        <w:rPr>
          <w:sz w:val="22"/>
          <w:szCs w:val="22"/>
        </w:rPr>
        <w:instrText>07.06</w:instrText>
      </w:r>
      <w:r w:rsidRPr="00662392">
        <w:rPr>
          <w:sz w:val="22"/>
          <w:szCs w:val="22"/>
        </w:rPr>
        <w:tab/>
      </w:r>
      <w:r w:rsidRPr="00662392">
        <w:rPr>
          <w:sz w:val="22"/>
          <w:szCs w:val="22"/>
          <w:u w:val="single"/>
        </w:rPr>
        <w:instrText>Applicability Determination</w:instrText>
      </w:r>
      <w:bookmarkEnd w:id="125"/>
      <w:bookmarkEnd w:id="126"/>
      <w:r w:rsidRPr="00662392">
        <w:rPr>
          <w:sz w:val="22"/>
          <w:szCs w:val="22"/>
        </w:rPr>
        <w:instrText xml:space="preserve">" \f C \l "2" </w:instrText>
      </w:r>
      <w:r w:rsidRPr="00662392">
        <w:rPr>
          <w:sz w:val="22"/>
          <w:szCs w:val="22"/>
          <w:u w:val="single"/>
        </w:rPr>
        <w:fldChar w:fldCharType="end"/>
      </w:r>
    </w:p>
    <w:p w14:paraId="728968E2" w14:textId="77777777" w:rsidR="00D348F8" w:rsidRPr="00662392" w:rsidRDefault="00D348F8" w:rsidP="00194415">
      <w:pPr>
        <w:rPr>
          <w:sz w:val="22"/>
          <w:szCs w:val="22"/>
        </w:rPr>
      </w:pPr>
    </w:p>
    <w:p w14:paraId="1C899FA3" w14:textId="77777777" w:rsidR="00D348F8" w:rsidRPr="00662392" w:rsidRDefault="00D348F8" w:rsidP="00194415">
      <w:pPr>
        <w:rPr>
          <w:sz w:val="22"/>
          <w:szCs w:val="22"/>
        </w:rPr>
      </w:pPr>
      <w:r w:rsidRPr="00662392">
        <w:rPr>
          <w:sz w:val="22"/>
          <w:szCs w:val="22"/>
        </w:rPr>
        <w:t xml:space="preserve">10 CFR 72.48 applies to each holder of (1) a general or specific license issued under Part 72, and (2) a </w:t>
      </w:r>
      <w:proofErr w:type="spellStart"/>
      <w:r w:rsidRPr="00662392">
        <w:rPr>
          <w:sz w:val="22"/>
          <w:szCs w:val="22"/>
        </w:rPr>
        <w:t>CoC</w:t>
      </w:r>
      <w:proofErr w:type="spellEnd"/>
      <w:r w:rsidRPr="00662392">
        <w:rPr>
          <w:sz w:val="22"/>
          <w:szCs w:val="22"/>
        </w:rPr>
        <w:t xml:space="preserve"> issued under Part 72.</w:t>
      </w:r>
    </w:p>
    <w:p w14:paraId="74F76B91" w14:textId="77777777" w:rsidR="003D2CAC" w:rsidRPr="00662392" w:rsidRDefault="003D2CAC" w:rsidP="00194415">
      <w:pPr>
        <w:rPr>
          <w:sz w:val="22"/>
          <w:szCs w:val="22"/>
        </w:rPr>
      </w:pPr>
    </w:p>
    <w:p w14:paraId="52E698C1" w14:textId="2902C9B9" w:rsidR="003D2CAC" w:rsidRPr="00662392" w:rsidRDefault="003D2CAC" w:rsidP="00194415">
      <w:pPr>
        <w:rPr>
          <w:sz w:val="22"/>
          <w:szCs w:val="22"/>
        </w:rPr>
      </w:pPr>
      <w:r w:rsidRPr="00662392">
        <w:rPr>
          <w:color w:val="333333"/>
          <w:sz w:val="22"/>
          <w:szCs w:val="22"/>
          <w:shd w:val="clear" w:color="auto" w:fill="FFFFFF"/>
        </w:rPr>
        <w:t xml:space="preserve">Inspectors should recognize that </w:t>
      </w:r>
      <w:proofErr w:type="gramStart"/>
      <w:r w:rsidRPr="00662392">
        <w:rPr>
          <w:color w:val="333333"/>
          <w:sz w:val="22"/>
          <w:szCs w:val="22"/>
          <w:shd w:val="clear" w:color="auto" w:fill="FFFFFF"/>
        </w:rPr>
        <w:t>similar to</w:t>
      </w:r>
      <w:proofErr w:type="gramEnd"/>
      <w:r w:rsidRPr="00662392">
        <w:rPr>
          <w:color w:val="333333"/>
          <w:sz w:val="22"/>
          <w:szCs w:val="22"/>
          <w:shd w:val="clear" w:color="auto" w:fill="FFFFFF"/>
        </w:rPr>
        <w:t xml:space="preserve"> the 10 CFR 50.59 process and as discussed in the </w:t>
      </w:r>
      <w:r w:rsidR="00FA1782" w:rsidRPr="00662392">
        <w:rPr>
          <w:color w:val="333333"/>
          <w:sz w:val="22"/>
          <w:szCs w:val="22"/>
          <w:shd w:val="clear" w:color="auto" w:fill="FFFFFF"/>
        </w:rPr>
        <w:t xml:space="preserve">1999 </w:t>
      </w:r>
      <w:r w:rsidRPr="00662392">
        <w:rPr>
          <w:color w:val="333333"/>
          <w:sz w:val="22"/>
          <w:szCs w:val="22"/>
          <w:shd w:val="clear" w:color="auto" w:fill="FFFFFF"/>
        </w:rPr>
        <w:t>SOCs of the final rule, the Commission excluded</w:t>
      </w:r>
      <w:r w:rsidRPr="00662392">
        <w:rPr>
          <w:sz w:val="22"/>
          <w:szCs w:val="22"/>
        </w:rPr>
        <w:t xml:space="preserve"> specific types of changes established by other provisions and regulations from the scope of 10 CFR 72.48 review.  Examples of these regulations that contain a change control process in Part 72 regulations, include, but are not limited to the following:</w:t>
      </w:r>
    </w:p>
    <w:p w14:paraId="737F0059" w14:textId="77777777" w:rsidR="003D2CAC" w:rsidRPr="00662392" w:rsidRDefault="003D2CAC" w:rsidP="00194415">
      <w:pPr>
        <w:rPr>
          <w:sz w:val="22"/>
          <w:szCs w:val="22"/>
        </w:rPr>
      </w:pPr>
    </w:p>
    <w:p w14:paraId="6A3D472C" w14:textId="365D33DB" w:rsidR="003D2CAC" w:rsidRPr="00662392" w:rsidRDefault="003D2CAC" w:rsidP="00194415">
      <w:pPr>
        <w:widowControl/>
        <w:numPr>
          <w:ilvl w:val="0"/>
          <w:numId w:val="8"/>
        </w:numPr>
        <w:contextualSpacing/>
        <w:rPr>
          <w:rFonts w:eastAsia="Times New Roman"/>
          <w:color w:val="333333"/>
          <w:sz w:val="22"/>
          <w:szCs w:val="22"/>
          <w:shd w:val="clear" w:color="auto" w:fill="FFFFFF"/>
        </w:rPr>
      </w:pPr>
      <w:r w:rsidRPr="00662392">
        <w:rPr>
          <w:rFonts w:eastAsia="Times New Roman"/>
          <w:sz w:val="22"/>
          <w:szCs w:val="22"/>
        </w:rPr>
        <w:t xml:space="preserve">10 CFR 72.7, Specific </w:t>
      </w:r>
      <w:r w:rsidR="00366EC5" w:rsidRPr="00662392">
        <w:rPr>
          <w:rFonts w:eastAsia="Times New Roman"/>
          <w:sz w:val="22"/>
          <w:szCs w:val="22"/>
        </w:rPr>
        <w:t>e</w:t>
      </w:r>
      <w:r w:rsidRPr="00662392">
        <w:rPr>
          <w:rFonts w:eastAsia="Times New Roman"/>
          <w:sz w:val="22"/>
          <w:szCs w:val="22"/>
        </w:rPr>
        <w:t>xemptions,</w:t>
      </w:r>
    </w:p>
    <w:p w14:paraId="4BE0521A" w14:textId="309B3505" w:rsidR="003D2CAC" w:rsidRPr="00662392" w:rsidRDefault="003D2CAC" w:rsidP="00194415">
      <w:pPr>
        <w:widowControl/>
        <w:numPr>
          <w:ilvl w:val="0"/>
          <w:numId w:val="8"/>
        </w:numPr>
        <w:contextualSpacing/>
        <w:rPr>
          <w:rFonts w:eastAsia="Times New Roman"/>
          <w:color w:val="333333"/>
          <w:sz w:val="22"/>
          <w:szCs w:val="22"/>
          <w:shd w:val="clear" w:color="auto" w:fill="FFFFFF"/>
        </w:rPr>
      </w:pPr>
      <w:r w:rsidRPr="00662392">
        <w:rPr>
          <w:rFonts w:eastAsia="Times New Roman"/>
          <w:sz w:val="22"/>
          <w:szCs w:val="22"/>
        </w:rPr>
        <w:t xml:space="preserve">10 CFR 72.44, License </w:t>
      </w:r>
      <w:r w:rsidR="001E13B8" w:rsidRPr="00662392">
        <w:rPr>
          <w:rFonts w:eastAsia="Times New Roman"/>
          <w:sz w:val="22"/>
          <w:szCs w:val="22"/>
        </w:rPr>
        <w:t>c</w:t>
      </w:r>
      <w:r w:rsidRPr="00662392">
        <w:rPr>
          <w:rFonts w:eastAsia="Times New Roman"/>
          <w:sz w:val="22"/>
          <w:szCs w:val="22"/>
        </w:rPr>
        <w:t>onditions,</w:t>
      </w:r>
    </w:p>
    <w:p w14:paraId="77BA9798" w14:textId="3F9EE722" w:rsidR="003D2CAC" w:rsidRPr="00662392" w:rsidRDefault="003D2CAC" w:rsidP="00194415">
      <w:pPr>
        <w:widowControl/>
        <w:numPr>
          <w:ilvl w:val="0"/>
          <w:numId w:val="8"/>
        </w:numPr>
        <w:contextualSpacing/>
        <w:rPr>
          <w:rFonts w:eastAsia="Times New Roman"/>
          <w:color w:val="333333"/>
          <w:sz w:val="22"/>
          <w:szCs w:val="22"/>
          <w:shd w:val="clear" w:color="auto" w:fill="FFFFFF"/>
        </w:rPr>
      </w:pPr>
      <w:r w:rsidRPr="00662392">
        <w:rPr>
          <w:rFonts w:eastAsia="Times New Roman"/>
          <w:sz w:val="22"/>
          <w:szCs w:val="22"/>
        </w:rPr>
        <w:t xml:space="preserve">10 CFR 72.56, Application for </w:t>
      </w:r>
      <w:r w:rsidR="001E13B8" w:rsidRPr="00662392">
        <w:rPr>
          <w:rFonts w:eastAsia="Times New Roman"/>
          <w:sz w:val="22"/>
          <w:szCs w:val="22"/>
        </w:rPr>
        <w:t>a</w:t>
      </w:r>
      <w:r w:rsidRPr="00662392">
        <w:rPr>
          <w:rFonts w:eastAsia="Times New Roman"/>
          <w:sz w:val="22"/>
          <w:szCs w:val="22"/>
        </w:rPr>
        <w:t xml:space="preserve">mendment of </w:t>
      </w:r>
      <w:r w:rsidR="00D600F5" w:rsidRPr="00662392">
        <w:rPr>
          <w:rFonts w:eastAsia="Times New Roman"/>
          <w:sz w:val="22"/>
          <w:szCs w:val="22"/>
        </w:rPr>
        <w:t>l</w:t>
      </w:r>
      <w:r w:rsidRPr="00662392">
        <w:rPr>
          <w:rFonts w:eastAsia="Times New Roman"/>
          <w:sz w:val="22"/>
          <w:szCs w:val="22"/>
        </w:rPr>
        <w:t>icense, and</w:t>
      </w:r>
    </w:p>
    <w:p w14:paraId="4C568E7D" w14:textId="635BAB28" w:rsidR="003D2CAC" w:rsidRPr="00662392" w:rsidRDefault="003D2CAC" w:rsidP="00194415">
      <w:pPr>
        <w:widowControl/>
        <w:numPr>
          <w:ilvl w:val="0"/>
          <w:numId w:val="8"/>
        </w:numPr>
        <w:contextualSpacing/>
        <w:rPr>
          <w:rFonts w:eastAsia="Times New Roman"/>
          <w:color w:val="333333"/>
          <w:sz w:val="22"/>
          <w:szCs w:val="22"/>
          <w:shd w:val="clear" w:color="auto" w:fill="FFFFFF"/>
        </w:rPr>
      </w:pPr>
      <w:r w:rsidRPr="00662392">
        <w:rPr>
          <w:rFonts w:eastAsia="Times New Roman"/>
          <w:sz w:val="22"/>
          <w:szCs w:val="22"/>
        </w:rPr>
        <w:t xml:space="preserve">10 CFR 72.244, Application for </w:t>
      </w:r>
      <w:r w:rsidR="00437AF2" w:rsidRPr="00662392">
        <w:rPr>
          <w:rFonts w:eastAsia="Times New Roman"/>
          <w:sz w:val="22"/>
          <w:szCs w:val="22"/>
        </w:rPr>
        <w:t>a</w:t>
      </w:r>
      <w:r w:rsidRPr="00662392">
        <w:rPr>
          <w:rFonts w:eastAsia="Times New Roman"/>
          <w:sz w:val="22"/>
          <w:szCs w:val="22"/>
        </w:rPr>
        <w:t xml:space="preserve">mendment of a </w:t>
      </w:r>
      <w:r w:rsidR="00437AF2" w:rsidRPr="00662392">
        <w:rPr>
          <w:rFonts w:eastAsia="Times New Roman"/>
          <w:sz w:val="22"/>
          <w:szCs w:val="22"/>
        </w:rPr>
        <w:t>c</w:t>
      </w:r>
      <w:r w:rsidRPr="00662392">
        <w:rPr>
          <w:rFonts w:eastAsia="Times New Roman"/>
          <w:sz w:val="22"/>
          <w:szCs w:val="22"/>
        </w:rPr>
        <w:t xml:space="preserve">ertificate of </w:t>
      </w:r>
      <w:r w:rsidR="00437AF2" w:rsidRPr="00662392">
        <w:rPr>
          <w:rFonts w:eastAsia="Times New Roman"/>
          <w:sz w:val="22"/>
          <w:szCs w:val="22"/>
        </w:rPr>
        <w:t>c</w:t>
      </w:r>
      <w:r w:rsidRPr="00662392">
        <w:rPr>
          <w:rFonts w:eastAsia="Times New Roman"/>
          <w:sz w:val="22"/>
          <w:szCs w:val="22"/>
        </w:rPr>
        <w:t>ompliance.</w:t>
      </w:r>
    </w:p>
    <w:p w14:paraId="2FA53D62" w14:textId="77777777" w:rsidR="003D2CAC" w:rsidRPr="00662392" w:rsidRDefault="003D2CAC" w:rsidP="00194415">
      <w:pPr>
        <w:rPr>
          <w:sz w:val="22"/>
          <w:szCs w:val="22"/>
        </w:rPr>
      </w:pPr>
    </w:p>
    <w:p w14:paraId="64BA517B" w14:textId="77777777" w:rsidR="000E0ACD" w:rsidRDefault="003D2CAC" w:rsidP="00194415">
      <w:pPr>
        <w:rPr>
          <w:sz w:val="22"/>
          <w:szCs w:val="22"/>
        </w:rPr>
      </w:pPr>
      <w:r w:rsidRPr="00662392">
        <w:rPr>
          <w:sz w:val="22"/>
          <w:szCs w:val="22"/>
        </w:rPr>
        <w:t xml:space="preserve">Inspectors should also recognize that there may be certain activities for which a licensee or storage cask </w:t>
      </w:r>
      <w:proofErr w:type="spellStart"/>
      <w:r w:rsidRPr="00662392">
        <w:rPr>
          <w:sz w:val="22"/>
          <w:szCs w:val="22"/>
        </w:rPr>
        <w:t>CoC</w:t>
      </w:r>
      <w:proofErr w:type="spellEnd"/>
      <w:r w:rsidRPr="00662392">
        <w:rPr>
          <w:sz w:val="22"/>
          <w:szCs w:val="22"/>
        </w:rPr>
        <w:t xml:space="preserve"> holder </w:t>
      </w:r>
      <w:r w:rsidR="00393559" w:rsidRPr="00662392">
        <w:rPr>
          <w:sz w:val="22"/>
          <w:szCs w:val="22"/>
        </w:rPr>
        <w:t>may</w:t>
      </w:r>
      <w:r w:rsidRPr="00662392">
        <w:rPr>
          <w:sz w:val="22"/>
          <w:szCs w:val="22"/>
        </w:rPr>
        <w:t xml:space="preserve"> need to apply </w:t>
      </w:r>
      <w:r w:rsidR="003B109F" w:rsidRPr="00662392">
        <w:rPr>
          <w:sz w:val="22"/>
          <w:szCs w:val="22"/>
        </w:rPr>
        <w:t xml:space="preserve">the </w:t>
      </w:r>
      <w:r w:rsidRPr="00662392">
        <w:rPr>
          <w:sz w:val="22"/>
          <w:szCs w:val="22"/>
        </w:rPr>
        <w:t xml:space="preserve">requirements of 10 CFR 72.48 and another regulation.  </w:t>
      </w:r>
    </w:p>
    <w:p w14:paraId="2D3EE79D" w14:textId="77777777" w:rsidR="00C1473C" w:rsidRDefault="00C1473C" w:rsidP="00194415">
      <w:pPr>
        <w:rPr>
          <w:sz w:val="22"/>
          <w:szCs w:val="22"/>
        </w:rPr>
      </w:pPr>
    </w:p>
    <w:p w14:paraId="426549C9" w14:textId="0CDFD9E5" w:rsidR="001F5146" w:rsidRPr="00662392" w:rsidRDefault="001F5146" w:rsidP="00194415">
      <w:pPr>
        <w:rPr>
          <w:sz w:val="22"/>
          <w:szCs w:val="22"/>
          <w:u w:val="single"/>
        </w:rPr>
      </w:pPr>
      <w:r w:rsidRPr="00662392">
        <w:rPr>
          <w:sz w:val="22"/>
          <w:szCs w:val="22"/>
        </w:rPr>
        <w:t>07.0</w:t>
      </w:r>
      <w:r w:rsidR="00393559" w:rsidRPr="00662392">
        <w:rPr>
          <w:sz w:val="22"/>
          <w:szCs w:val="22"/>
        </w:rPr>
        <w:t>7</w:t>
      </w:r>
      <w:r w:rsidRPr="00662392">
        <w:rPr>
          <w:sz w:val="22"/>
          <w:szCs w:val="22"/>
        </w:rPr>
        <w:tab/>
      </w:r>
      <w:r w:rsidR="00BB754E" w:rsidRPr="00662392">
        <w:rPr>
          <w:sz w:val="22"/>
          <w:szCs w:val="22"/>
          <w:u w:val="single"/>
        </w:rPr>
        <w:t>Screening</w:t>
      </w:r>
      <w:r w:rsidR="00BB754E" w:rsidRPr="00662392">
        <w:rPr>
          <w:sz w:val="22"/>
          <w:szCs w:val="22"/>
          <w:u w:val="single"/>
        </w:rPr>
        <w:fldChar w:fldCharType="begin"/>
      </w:r>
      <w:r w:rsidR="00BB754E" w:rsidRPr="00662392">
        <w:rPr>
          <w:sz w:val="22"/>
          <w:szCs w:val="22"/>
        </w:rPr>
        <w:instrText xml:space="preserve"> TC "</w:instrText>
      </w:r>
      <w:bookmarkStart w:id="127" w:name="_Toc62642922"/>
      <w:bookmarkStart w:id="128" w:name="_Toc63142106"/>
      <w:r w:rsidR="00BB754E" w:rsidRPr="00662392">
        <w:rPr>
          <w:sz w:val="22"/>
          <w:szCs w:val="22"/>
        </w:rPr>
        <w:instrText>07.07</w:instrText>
      </w:r>
      <w:r w:rsidR="00BB754E" w:rsidRPr="00662392">
        <w:rPr>
          <w:sz w:val="22"/>
          <w:szCs w:val="22"/>
        </w:rPr>
        <w:tab/>
      </w:r>
      <w:r w:rsidR="00BB754E" w:rsidRPr="00662392">
        <w:rPr>
          <w:sz w:val="22"/>
          <w:szCs w:val="22"/>
          <w:u w:val="single"/>
        </w:rPr>
        <w:instrText>Screening</w:instrText>
      </w:r>
      <w:bookmarkEnd w:id="127"/>
      <w:bookmarkEnd w:id="128"/>
      <w:r w:rsidR="00BB754E" w:rsidRPr="00662392">
        <w:rPr>
          <w:sz w:val="22"/>
          <w:szCs w:val="22"/>
        </w:rPr>
        <w:instrText xml:space="preserve">" \f C \l "2" </w:instrText>
      </w:r>
      <w:r w:rsidR="00BB754E" w:rsidRPr="00662392">
        <w:rPr>
          <w:sz w:val="22"/>
          <w:szCs w:val="22"/>
          <w:u w:val="single"/>
        </w:rPr>
        <w:fldChar w:fldCharType="end"/>
      </w:r>
    </w:p>
    <w:p w14:paraId="42CC8E45" w14:textId="77777777" w:rsidR="001F5146" w:rsidRPr="00662392" w:rsidRDefault="001F5146" w:rsidP="00194415">
      <w:pPr>
        <w:rPr>
          <w:sz w:val="22"/>
          <w:szCs w:val="22"/>
          <w:u w:val="single"/>
        </w:rPr>
      </w:pPr>
    </w:p>
    <w:p w14:paraId="7FDDE43E" w14:textId="77777777" w:rsidR="00C1473C" w:rsidRDefault="001F5146" w:rsidP="00194415">
      <w:pPr>
        <w:rPr>
          <w:sz w:val="22"/>
          <w:szCs w:val="22"/>
        </w:rPr>
        <w:sectPr w:rsidR="00C1473C" w:rsidSect="00012998">
          <w:footerReference w:type="default" r:id="rId48"/>
          <w:pgSz w:w="12240" w:h="15840" w:code="1"/>
          <w:pgMar w:top="1440" w:right="1440" w:bottom="1440" w:left="1440" w:header="720" w:footer="720" w:gutter="0"/>
          <w:cols w:space="720"/>
          <w:noEndnote/>
          <w:docGrid w:linePitch="326"/>
        </w:sectPr>
      </w:pPr>
      <w:r w:rsidRPr="00662392">
        <w:rPr>
          <w:sz w:val="22"/>
          <w:szCs w:val="22"/>
        </w:rPr>
        <w:t>NEI 12-04</w:t>
      </w:r>
      <w:r w:rsidR="00B363B9" w:rsidRPr="00662392">
        <w:rPr>
          <w:sz w:val="22"/>
          <w:szCs w:val="22"/>
        </w:rPr>
        <w:t>, Revision 2,</w:t>
      </w:r>
      <w:r w:rsidRPr="00662392">
        <w:rPr>
          <w:sz w:val="22"/>
          <w:szCs w:val="22"/>
        </w:rPr>
        <w:t xml:space="preserve"> provides guidance </w:t>
      </w:r>
      <w:r w:rsidR="000C49EF" w:rsidRPr="00662392">
        <w:rPr>
          <w:sz w:val="22"/>
          <w:szCs w:val="22"/>
        </w:rPr>
        <w:t xml:space="preserve">related to </w:t>
      </w:r>
      <w:r w:rsidRPr="00662392">
        <w:rPr>
          <w:sz w:val="22"/>
          <w:szCs w:val="22"/>
        </w:rPr>
        <w:t xml:space="preserve">the </w:t>
      </w:r>
      <w:r w:rsidR="00103F6E" w:rsidRPr="00662392">
        <w:rPr>
          <w:sz w:val="22"/>
          <w:szCs w:val="22"/>
        </w:rPr>
        <w:t xml:space="preserve">10 CFR </w:t>
      </w:r>
      <w:r w:rsidRPr="00662392">
        <w:rPr>
          <w:sz w:val="22"/>
          <w:szCs w:val="22"/>
        </w:rPr>
        <w:t>72.48 process including the licensee</w:t>
      </w:r>
      <w:r w:rsidR="00751989" w:rsidRPr="00662392">
        <w:rPr>
          <w:sz w:val="22"/>
          <w:szCs w:val="22"/>
        </w:rPr>
        <w:t>’</w:t>
      </w:r>
      <w:r w:rsidRPr="00662392">
        <w:rPr>
          <w:sz w:val="22"/>
          <w:szCs w:val="22"/>
        </w:rPr>
        <w:t xml:space="preserve">s and </w:t>
      </w:r>
      <w:proofErr w:type="spellStart"/>
      <w:r w:rsidRPr="00662392">
        <w:rPr>
          <w:sz w:val="22"/>
          <w:szCs w:val="22"/>
        </w:rPr>
        <w:t>CoC</w:t>
      </w:r>
      <w:proofErr w:type="spellEnd"/>
      <w:r w:rsidRPr="00662392">
        <w:rPr>
          <w:sz w:val="22"/>
          <w:szCs w:val="22"/>
        </w:rPr>
        <w:t xml:space="preserve"> holder</w:t>
      </w:r>
      <w:r w:rsidR="00751989" w:rsidRPr="00662392">
        <w:rPr>
          <w:sz w:val="22"/>
          <w:szCs w:val="22"/>
        </w:rPr>
        <w:t>’</w:t>
      </w:r>
      <w:r w:rsidRPr="00662392">
        <w:rPr>
          <w:sz w:val="22"/>
          <w:szCs w:val="22"/>
        </w:rPr>
        <w:t xml:space="preserve">s processes for applicability and screening. </w:t>
      </w:r>
      <w:r w:rsidR="00C42A5C">
        <w:rPr>
          <w:sz w:val="22"/>
          <w:szCs w:val="22"/>
        </w:rPr>
        <w:t xml:space="preserve"> </w:t>
      </w:r>
      <w:r w:rsidRPr="00662392">
        <w:rPr>
          <w:sz w:val="22"/>
          <w:szCs w:val="22"/>
        </w:rPr>
        <w:t xml:space="preserve">These controlled processes </w:t>
      </w:r>
      <w:r w:rsidR="00FF3211" w:rsidRPr="00662392">
        <w:rPr>
          <w:sz w:val="22"/>
          <w:szCs w:val="22"/>
        </w:rPr>
        <w:t>may be</w:t>
      </w:r>
      <w:r w:rsidRPr="00662392">
        <w:rPr>
          <w:sz w:val="22"/>
          <w:szCs w:val="22"/>
        </w:rPr>
        <w:t xml:space="preserve"> part of the licensee</w:t>
      </w:r>
      <w:r w:rsidR="00854AD6" w:rsidRPr="00662392">
        <w:rPr>
          <w:sz w:val="22"/>
          <w:szCs w:val="22"/>
        </w:rPr>
        <w:t>’</w:t>
      </w:r>
      <w:r w:rsidRPr="00662392">
        <w:rPr>
          <w:sz w:val="22"/>
          <w:szCs w:val="22"/>
        </w:rPr>
        <w:t xml:space="preserve">s or </w:t>
      </w:r>
      <w:proofErr w:type="spellStart"/>
      <w:r w:rsidRPr="00662392">
        <w:rPr>
          <w:sz w:val="22"/>
          <w:szCs w:val="22"/>
        </w:rPr>
        <w:t>CoC</w:t>
      </w:r>
      <w:proofErr w:type="spellEnd"/>
      <w:r w:rsidRPr="00662392">
        <w:rPr>
          <w:sz w:val="22"/>
          <w:szCs w:val="22"/>
        </w:rPr>
        <w:t xml:space="preserve"> holder</w:t>
      </w:r>
      <w:r w:rsidR="00854AD6" w:rsidRPr="00662392">
        <w:rPr>
          <w:sz w:val="22"/>
          <w:szCs w:val="22"/>
        </w:rPr>
        <w:t>’</w:t>
      </w:r>
      <w:r w:rsidRPr="00662392">
        <w:rPr>
          <w:sz w:val="22"/>
          <w:szCs w:val="22"/>
        </w:rPr>
        <w:t xml:space="preserve">s administrative procedures that </w:t>
      </w:r>
      <w:r w:rsidR="00702449" w:rsidRPr="00662392">
        <w:rPr>
          <w:sz w:val="22"/>
          <w:szCs w:val="22"/>
        </w:rPr>
        <w:t xml:space="preserve">may </w:t>
      </w:r>
      <w:r w:rsidRPr="00662392">
        <w:rPr>
          <w:sz w:val="22"/>
          <w:szCs w:val="22"/>
        </w:rPr>
        <w:t xml:space="preserve">determine if the CTE </w:t>
      </w:r>
      <w:r w:rsidR="00702449" w:rsidRPr="00662392">
        <w:rPr>
          <w:sz w:val="22"/>
          <w:szCs w:val="22"/>
        </w:rPr>
        <w:t xml:space="preserve">warrants </w:t>
      </w:r>
      <w:r w:rsidRPr="00662392">
        <w:rPr>
          <w:sz w:val="22"/>
          <w:szCs w:val="22"/>
        </w:rPr>
        <w:t xml:space="preserve">a 10 CFR 72.48 evaluation. </w:t>
      </w:r>
      <w:r w:rsidR="00C42A5C">
        <w:rPr>
          <w:sz w:val="22"/>
          <w:szCs w:val="22"/>
        </w:rPr>
        <w:t xml:space="preserve"> </w:t>
      </w:r>
      <w:r w:rsidRPr="00662392">
        <w:rPr>
          <w:sz w:val="22"/>
          <w:szCs w:val="22"/>
        </w:rPr>
        <w:t xml:space="preserve">The screening process follows the </w:t>
      </w:r>
    </w:p>
    <w:p w14:paraId="3C7AB646" w14:textId="5383BC5B" w:rsidR="001F5146" w:rsidRPr="00662392" w:rsidRDefault="001F5146" w:rsidP="00194415">
      <w:pPr>
        <w:rPr>
          <w:sz w:val="22"/>
          <w:szCs w:val="22"/>
        </w:rPr>
      </w:pPr>
      <w:r w:rsidRPr="00662392">
        <w:rPr>
          <w:sz w:val="22"/>
          <w:szCs w:val="22"/>
        </w:rPr>
        <w:lastRenderedPageBreak/>
        <w:t>licensee</w:t>
      </w:r>
      <w:r w:rsidR="0097053F" w:rsidRPr="00662392">
        <w:rPr>
          <w:sz w:val="22"/>
          <w:szCs w:val="22"/>
        </w:rPr>
        <w:t>’s</w:t>
      </w:r>
      <w:r w:rsidRPr="00662392">
        <w:rPr>
          <w:sz w:val="22"/>
          <w:szCs w:val="22"/>
        </w:rPr>
        <w:t xml:space="preserve"> or </w:t>
      </w:r>
      <w:proofErr w:type="spellStart"/>
      <w:r w:rsidRPr="00662392">
        <w:rPr>
          <w:sz w:val="22"/>
          <w:szCs w:val="22"/>
        </w:rPr>
        <w:t>CoC</w:t>
      </w:r>
      <w:proofErr w:type="spellEnd"/>
      <w:r w:rsidRPr="00662392">
        <w:rPr>
          <w:sz w:val="22"/>
          <w:szCs w:val="22"/>
        </w:rPr>
        <w:t xml:space="preserve"> holder’s applicability process which determines that another change control process in other regulations does not apply to a proposed change.  </w:t>
      </w:r>
    </w:p>
    <w:p w14:paraId="4AAF60AA" w14:textId="77777777" w:rsidR="001F5146" w:rsidRPr="00662392" w:rsidRDefault="001F5146" w:rsidP="00194415">
      <w:pPr>
        <w:rPr>
          <w:sz w:val="22"/>
          <w:szCs w:val="22"/>
        </w:rPr>
      </w:pPr>
    </w:p>
    <w:p w14:paraId="451C2D4E" w14:textId="121F1FD6" w:rsidR="001F5146" w:rsidRPr="00662392" w:rsidRDefault="004A1F56" w:rsidP="00194415">
      <w:pPr>
        <w:rPr>
          <w:sz w:val="22"/>
          <w:szCs w:val="22"/>
        </w:rPr>
      </w:pPr>
      <w:r w:rsidRPr="00662392">
        <w:rPr>
          <w:sz w:val="22"/>
          <w:szCs w:val="22"/>
        </w:rPr>
        <w:t>I</w:t>
      </w:r>
      <w:r w:rsidR="001F5146" w:rsidRPr="00662392">
        <w:rPr>
          <w:sz w:val="22"/>
          <w:szCs w:val="22"/>
        </w:rPr>
        <w:t xml:space="preserve">nspectors should review the results of the screening process to understand how the licensee </w:t>
      </w:r>
      <w:r w:rsidR="00A301FB" w:rsidRPr="00662392">
        <w:rPr>
          <w:sz w:val="22"/>
          <w:szCs w:val="22"/>
        </w:rPr>
        <w:t>or</w:t>
      </w:r>
      <w:r w:rsidR="001F5146" w:rsidRPr="00662392">
        <w:rPr>
          <w:sz w:val="22"/>
          <w:szCs w:val="22"/>
        </w:rPr>
        <w:t xml:space="preserve"> </w:t>
      </w:r>
      <w:proofErr w:type="spellStart"/>
      <w:r w:rsidR="001F5146" w:rsidRPr="00662392">
        <w:rPr>
          <w:sz w:val="22"/>
          <w:szCs w:val="22"/>
        </w:rPr>
        <w:t>CoC</w:t>
      </w:r>
      <w:proofErr w:type="spellEnd"/>
      <w:r w:rsidR="001F5146" w:rsidRPr="00662392">
        <w:rPr>
          <w:sz w:val="22"/>
          <w:szCs w:val="22"/>
        </w:rPr>
        <w:t xml:space="preserve"> holder answered the screening questions for the proposed CTE.  A</w:t>
      </w:r>
      <w:r w:rsidR="000D69AA" w:rsidRPr="00662392">
        <w:rPr>
          <w:sz w:val="22"/>
          <w:szCs w:val="22"/>
        </w:rPr>
        <w:t xml:space="preserve">s stated in </w:t>
      </w:r>
      <w:r w:rsidR="001F5146" w:rsidRPr="00662392">
        <w:rPr>
          <w:sz w:val="22"/>
          <w:szCs w:val="22"/>
        </w:rPr>
        <w:t>NEI 12-04</w:t>
      </w:r>
      <w:r w:rsidR="00B363B9" w:rsidRPr="00662392">
        <w:rPr>
          <w:sz w:val="22"/>
          <w:szCs w:val="22"/>
        </w:rPr>
        <w:t>, Revision 2,</w:t>
      </w:r>
      <w:r w:rsidR="001F5146" w:rsidRPr="00662392">
        <w:rPr>
          <w:sz w:val="22"/>
          <w:szCs w:val="22"/>
        </w:rPr>
        <w:t xml:space="preserve"> the licensees </w:t>
      </w:r>
      <w:r w:rsidR="00E61AC3" w:rsidRPr="00662392">
        <w:rPr>
          <w:sz w:val="22"/>
          <w:szCs w:val="22"/>
        </w:rPr>
        <w:t>or</w:t>
      </w:r>
      <w:r w:rsidR="001F5146" w:rsidRPr="00662392">
        <w:rPr>
          <w:sz w:val="22"/>
          <w:szCs w:val="22"/>
        </w:rPr>
        <w:t xml:space="preserve"> </w:t>
      </w:r>
      <w:proofErr w:type="spellStart"/>
      <w:r w:rsidR="001F5146" w:rsidRPr="00662392">
        <w:rPr>
          <w:sz w:val="22"/>
          <w:szCs w:val="22"/>
        </w:rPr>
        <w:t>CoC</w:t>
      </w:r>
      <w:proofErr w:type="spellEnd"/>
      <w:r w:rsidR="001F5146" w:rsidRPr="00662392">
        <w:rPr>
          <w:sz w:val="22"/>
          <w:szCs w:val="22"/>
        </w:rPr>
        <w:t xml:space="preserve"> holders should consider four possible aspects of a proposed CTE:</w:t>
      </w:r>
    </w:p>
    <w:p w14:paraId="6502D11E" w14:textId="77777777" w:rsidR="001F5146" w:rsidRPr="00662392" w:rsidRDefault="001F5146" w:rsidP="00194415">
      <w:pPr>
        <w:rPr>
          <w:sz w:val="22"/>
          <w:szCs w:val="22"/>
        </w:rPr>
      </w:pPr>
    </w:p>
    <w:p w14:paraId="381D4630" w14:textId="7A914C5A" w:rsidR="001F5146" w:rsidRPr="00662392" w:rsidRDefault="001F5146" w:rsidP="00194415">
      <w:pPr>
        <w:widowControl/>
        <w:numPr>
          <w:ilvl w:val="0"/>
          <w:numId w:val="16"/>
        </w:numPr>
        <w:autoSpaceDE/>
        <w:autoSpaceDN/>
        <w:adjustRightInd/>
        <w:contextualSpacing/>
        <w:rPr>
          <w:rFonts w:eastAsia="Times New Roman"/>
          <w:sz w:val="22"/>
          <w:szCs w:val="22"/>
        </w:rPr>
      </w:pPr>
      <w:r w:rsidRPr="00662392">
        <w:rPr>
          <w:rFonts w:eastAsia="Times New Roman"/>
          <w:sz w:val="22"/>
          <w:szCs w:val="22"/>
        </w:rPr>
        <w:t>Impact(s) on the facility or storage design functions</w:t>
      </w:r>
      <w:r w:rsidR="00CD6382" w:rsidRPr="00662392">
        <w:rPr>
          <w:rFonts w:eastAsia="Times New Roman"/>
          <w:sz w:val="22"/>
          <w:szCs w:val="22"/>
        </w:rPr>
        <w:t>,</w:t>
      </w:r>
    </w:p>
    <w:p w14:paraId="561A748E" w14:textId="332B13F4" w:rsidR="001F5146" w:rsidRPr="00662392" w:rsidRDefault="001F5146" w:rsidP="00194415">
      <w:pPr>
        <w:widowControl/>
        <w:numPr>
          <w:ilvl w:val="0"/>
          <w:numId w:val="16"/>
        </w:numPr>
        <w:autoSpaceDE/>
        <w:autoSpaceDN/>
        <w:adjustRightInd/>
        <w:contextualSpacing/>
        <w:rPr>
          <w:rFonts w:eastAsia="Times New Roman"/>
          <w:sz w:val="22"/>
          <w:szCs w:val="22"/>
        </w:rPr>
      </w:pPr>
      <w:r w:rsidRPr="00662392">
        <w:rPr>
          <w:rFonts w:eastAsia="Times New Roman"/>
          <w:sz w:val="22"/>
          <w:szCs w:val="22"/>
        </w:rPr>
        <w:t>Impact(s) on procedures for performing or controlling SSC design functions</w:t>
      </w:r>
      <w:r w:rsidR="00CD6382" w:rsidRPr="00662392">
        <w:rPr>
          <w:rFonts w:eastAsia="Times New Roman"/>
          <w:sz w:val="22"/>
          <w:szCs w:val="22"/>
        </w:rPr>
        <w:t>,</w:t>
      </w:r>
    </w:p>
    <w:p w14:paraId="4FF6529D" w14:textId="1125615A" w:rsidR="001F5146" w:rsidRPr="00662392" w:rsidRDefault="001F5146" w:rsidP="00194415">
      <w:pPr>
        <w:widowControl/>
        <w:numPr>
          <w:ilvl w:val="0"/>
          <w:numId w:val="16"/>
        </w:numPr>
        <w:autoSpaceDE/>
        <w:autoSpaceDN/>
        <w:adjustRightInd/>
        <w:contextualSpacing/>
        <w:rPr>
          <w:rFonts w:eastAsia="Times New Roman"/>
          <w:sz w:val="22"/>
          <w:szCs w:val="22"/>
        </w:rPr>
      </w:pPr>
      <w:r w:rsidRPr="00662392">
        <w:rPr>
          <w:rFonts w:eastAsia="Times New Roman"/>
          <w:sz w:val="22"/>
          <w:szCs w:val="22"/>
        </w:rPr>
        <w:t>Impact(s) on Methods of Evaluation</w:t>
      </w:r>
      <w:r w:rsidR="00CD6382" w:rsidRPr="00662392">
        <w:rPr>
          <w:rFonts w:eastAsia="Times New Roman"/>
          <w:sz w:val="22"/>
          <w:szCs w:val="22"/>
        </w:rPr>
        <w:t>, and</w:t>
      </w:r>
    </w:p>
    <w:p w14:paraId="37CC2182" w14:textId="6214794F" w:rsidR="001F5146" w:rsidRPr="00662392" w:rsidRDefault="001F5146" w:rsidP="00194415">
      <w:pPr>
        <w:numPr>
          <w:ilvl w:val="0"/>
          <w:numId w:val="16"/>
        </w:numPr>
        <w:rPr>
          <w:sz w:val="22"/>
          <w:szCs w:val="22"/>
        </w:rPr>
      </w:pPr>
      <w:r w:rsidRPr="00662392">
        <w:rPr>
          <w:sz w:val="22"/>
          <w:szCs w:val="22"/>
        </w:rPr>
        <w:t>Impact(s) on Tests or Experiments</w:t>
      </w:r>
      <w:r w:rsidR="00CD6382" w:rsidRPr="00662392">
        <w:rPr>
          <w:sz w:val="22"/>
          <w:szCs w:val="22"/>
        </w:rPr>
        <w:t>.</w:t>
      </w:r>
    </w:p>
    <w:p w14:paraId="7DAEBC34" w14:textId="2A6146FE" w:rsidR="00D77BD7" w:rsidRDefault="00D77BD7" w:rsidP="00194415">
      <w:pPr>
        <w:widowControl/>
        <w:rPr>
          <w:sz w:val="22"/>
          <w:szCs w:val="22"/>
        </w:rPr>
      </w:pPr>
    </w:p>
    <w:p w14:paraId="77CF874B" w14:textId="72E098AC" w:rsidR="00D77BD7" w:rsidRPr="00662392" w:rsidRDefault="00BB754E" w:rsidP="00194415">
      <w:pPr>
        <w:rPr>
          <w:sz w:val="22"/>
          <w:szCs w:val="22"/>
        </w:rPr>
      </w:pPr>
      <w:r w:rsidRPr="00662392">
        <w:rPr>
          <w:sz w:val="22"/>
          <w:szCs w:val="22"/>
        </w:rPr>
        <w:t>07.08</w:t>
      </w:r>
      <w:r w:rsidRPr="00662392">
        <w:rPr>
          <w:sz w:val="22"/>
          <w:szCs w:val="22"/>
        </w:rPr>
        <w:tab/>
      </w:r>
      <w:r w:rsidRPr="00662392">
        <w:rPr>
          <w:sz w:val="22"/>
          <w:szCs w:val="22"/>
          <w:u w:val="single"/>
        </w:rPr>
        <w:t>Changes to the Facility or to Procedures</w:t>
      </w:r>
      <w:r w:rsidRPr="00662392">
        <w:rPr>
          <w:sz w:val="22"/>
          <w:szCs w:val="22"/>
          <w:u w:val="single"/>
        </w:rPr>
        <w:fldChar w:fldCharType="begin"/>
      </w:r>
      <w:r w:rsidRPr="00662392">
        <w:rPr>
          <w:sz w:val="22"/>
          <w:szCs w:val="22"/>
        </w:rPr>
        <w:instrText xml:space="preserve"> TC "</w:instrText>
      </w:r>
      <w:bookmarkStart w:id="129" w:name="_Toc62642923"/>
      <w:bookmarkStart w:id="130" w:name="_Toc63142107"/>
      <w:r w:rsidRPr="00662392">
        <w:rPr>
          <w:sz w:val="22"/>
          <w:szCs w:val="22"/>
        </w:rPr>
        <w:instrText>07.08</w:instrText>
      </w:r>
      <w:r w:rsidRPr="00662392">
        <w:rPr>
          <w:sz w:val="22"/>
          <w:szCs w:val="22"/>
        </w:rPr>
        <w:tab/>
      </w:r>
      <w:r w:rsidRPr="00662392">
        <w:rPr>
          <w:sz w:val="22"/>
          <w:szCs w:val="22"/>
          <w:u w:val="single"/>
        </w:rPr>
        <w:instrText>Changes to the Facility or to Procedures</w:instrText>
      </w:r>
      <w:bookmarkEnd w:id="129"/>
      <w:bookmarkEnd w:id="130"/>
      <w:r w:rsidRPr="00662392">
        <w:rPr>
          <w:sz w:val="22"/>
          <w:szCs w:val="22"/>
        </w:rPr>
        <w:instrText xml:space="preserve">" \f C \l "2" </w:instrText>
      </w:r>
      <w:r w:rsidRPr="00662392">
        <w:rPr>
          <w:sz w:val="22"/>
          <w:szCs w:val="22"/>
          <w:u w:val="single"/>
        </w:rPr>
        <w:fldChar w:fldCharType="end"/>
      </w:r>
    </w:p>
    <w:p w14:paraId="36D21650" w14:textId="77777777" w:rsidR="00833677" w:rsidRPr="00662392" w:rsidRDefault="00833677" w:rsidP="00194415">
      <w:pPr>
        <w:rPr>
          <w:sz w:val="22"/>
          <w:szCs w:val="22"/>
        </w:rPr>
      </w:pPr>
    </w:p>
    <w:p w14:paraId="6587E26A" w14:textId="7F25BE9D" w:rsidR="001F5146" w:rsidRPr="00662392" w:rsidRDefault="004A1F56" w:rsidP="00194415">
      <w:pPr>
        <w:widowControl/>
        <w:rPr>
          <w:sz w:val="22"/>
          <w:szCs w:val="22"/>
        </w:rPr>
      </w:pPr>
      <w:r w:rsidRPr="00662392">
        <w:rPr>
          <w:sz w:val="22"/>
          <w:szCs w:val="22"/>
        </w:rPr>
        <w:t>I</w:t>
      </w:r>
      <w:r w:rsidR="001F5146" w:rsidRPr="00662392">
        <w:rPr>
          <w:sz w:val="22"/>
          <w:szCs w:val="22"/>
        </w:rPr>
        <w:t xml:space="preserve">nspectors should understand the change(s) to the ISFSI or MRS facility, storage cask, or procedures. </w:t>
      </w:r>
      <w:r w:rsidR="00294A26" w:rsidRPr="00662392">
        <w:rPr>
          <w:sz w:val="22"/>
          <w:szCs w:val="22"/>
        </w:rPr>
        <w:t xml:space="preserve"> </w:t>
      </w:r>
      <w:r w:rsidR="001F5146" w:rsidRPr="00662392">
        <w:rPr>
          <w:sz w:val="22"/>
          <w:szCs w:val="22"/>
        </w:rPr>
        <w:t xml:space="preserve">The definitions of change, a facility as described in the UFSAR, and procedures as described in the UFSAR are in </w:t>
      </w:r>
      <w:r w:rsidR="003D75D9" w:rsidRPr="00662392">
        <w:rPr>
          <w:sz w:val="22"/>
          <w:szCs w:val="22"/>
        </w:rPr>
        <w:t>S</w:t>
      </w:r>
      <w:r w:rsidR="001F5146" w:rsidRPr="00662392">
        <w:rPr>
          <w:sz w:val="22"/>
          <w:szCs w:val="22"/>
        </w:rPr>
        <w:t>ections 04.01, 04.05 and 04.0</w:t>
      </w:r>
      <w:r w:rsidR="006101C0" w:rsidRPr="00662392">
        <w:rPr>
          <w:sz w:val="22"/>
          <w:szCs w:val="22"/>
        </w:rPr>
        <w:t>8</w:t>
      </w:r>
      <w:r w:rsidR="001F5146" w:rsidRPr="00662392">
        <w:rPr>
          <w:sz w:val="22"/>
          <w:szCs w:val="22"/>
        </w:rPr>
        <w:t xml:space="preserve"> of this IMC, respectively. </w:t>
      </w:r>
      <w:r w:rsidR="00222660" w:rsidRPr="00662392">
        <w:rPr>
          <w:sz w:val="22"/>
          <w:szCs w:val="22"/>
        </w:rPr>
        <w:t xml:space="preserve"> </w:t>
      </w:r>
      <w:r w:rsidR="007E6667" w:rsidRPr="00662392">
        <w:rPr>
          <w:sz w:val="22"/>
          <w:szCs w:val="22"/>
        </w:rPr>
        <w:t>I</w:t>
      </w:r>
      <w:r w:rsidR="001F5146" w:rsidRPr="00662392">
        <w:rPr>
          <w:sz w:val="22"/>
          <w:szCs w:val="22"/>
        </w:rPr>
        <w:t xml:space="preserve">nspectors should recognize that the definitions described in those sections establishes that changes to analyses, as well as physical or hardware changes to the facility, and to the licensing bases of the facility require an evaluation. </w:t>
      </w:r>
    </w:p>
    <w:p w14:paraId="2905E8A2" w14:textId="77777777" w:rsidR="001F5146" w:rsidRPr="00662392" w:rsidRDefault="001F5146" w:rsidP="00194415">
      <w:pPr>
        <w:widowControl/>
        <w:rPr>
          <w:sz w:val="22"/>
          <w:szCs w:val="22"/>
        </w:rPr>
      </w:pPr>
    </w:p>
    <w:p w14:paraId="62BA4672" w14:textId="77777777" w:rsidR="001F5146" w:rsidRPr="00662392" w:rsidRDefault="001F5146" w:rsidP="00194415">
      <w:pPr>
        <w:widowControl/>
        <w:rPr>
          <w:sz w:val="22"/>
          <w:szCs w:val="22"/>
        </w:rPr>
      </w:pPr>
      <w:r w:rsidRPr="00662392">
        <w:rPr>
          <w:sz w:val="22"/>
          <w:szCs w:val="22"/>
        </w:rPr>
        <w:t xml:space="preserve">Additionally, changes to information in the UFSAR that provide performance or qualification requirements, methods of operation, and the bases on how the licensee and </w:t>
      </w:r>
      <w:proofErr w:type="spellStart"/>
      <w:r w:rsidRPr="00662392">
        <w:rPr>
          <w:sz w:val="22"/>
          <w:szCs w:val="22"/>
        </w:rPr>
        <w:t>CoC</w:t>
      </w:r>
      <w:proofErr w:type="spellEnd"/>
      <w:r w:rsidRPr="00662392">
        <w:rPr>
          <w:sz w:val="22"/>
          <w:szCs w:val="22"/>
        </w:rPr>
        <w:t xml:space="preserve"> holders established those requirements to the analyses and evaluations in the UFSAR, which demonstrate that the facility meets requirements may also satisfy the licensee’s and </w:t>
      </w:r>
      <w:proofErr w:type="spellStart"/>
      <w:r w:rsidRPr="00662392">
        <w:rPr>
          <w:sz w:val="22"/>
          <w:szCs w:val="22"/>
        </w:rPr>
        <w:t>CoC</w:t>
      </w:r>
      <w:proofErr w:type="spellEnd"/>
      <w:r w:rsidRPr="00662392">
        <w:rPr>
          <w:sz w:val="22"/>
          <w:szCs w:val="22"/>
        </w:rPr>
        <w:t xml:space="preserve"> holders’ screening criteria. </w:t>
      </w:r>
    </w:p>
    <w:p w14:paraId="1F2D7B14" w14:textId="77777777" w:rsidR="001F5146" w:rsidRPr="00662392" w:rsidRDefault="001F5146" w:rsidP="00194415">
      <w:pPr>
        <w:widowControl/>
        <w:rPr>
          <w:sz w:val="22"/>
          <w:szCs w:val="22"/>
        </w:rPr>
      </w:pPr>
    </w:p>
    <w:p w14:paraId="2ED764D1" w14:textId="3388ADB7" w:rsidR="001F5146" w:rsidRPr="00662392" w:rsidRDefault="001F5146" w:rsidP="00194415">
      <w:pPr>
        <w:widowControl/>
        <w:rPr>
          <w:sz w:val="22"/>
          <w:szCs w:val="22"/>
        </w:rPr>
      </w:pPr>
      <w:r w:rsidRPr="00662392">
        <w:rPr>
          <w:sz w:val="22"/>
          <w:szCs w:val="22"/>
        </w:rPr>
        <w:t>NEI 12-04</w:t>
      </w:r>
      <w:r w:rsidR="00B363B9" w:rsidRPr="00662392">
        <w:rPr>
          <w:sz w:val="22"/>
          <w:szCs w:val="22"/>
        </w:rPr>
        <w:t>, Revision 2,</w:t>
      </w:r>
      <w:r w:rsidRPr="00662392">
        <w:rPr>
          <w:sz w:val="22"/>
          <w:szCs w:val="22"/>
        </w:rPr>
        <w:t xml:space="preserve"> </w:t>
      </w:r>
      <w:r w:rsidR="00294020" w:rsidRPr="00662392">
        <w:rPr>
          <w:sz w:val="22"/>
          <w:szCs w:val="22"/>
        </w:rPr>
        <w:t xml:space="preserve">provides </w:t>
      </w:r>
      <w:r w:rsidRPr="00662392">
        <w:rPr>
          <w:sz w:val="22"/>
          <w:szCs w:val="22"/>
        </w:rPr>
        <w:t xml:space="preserve">guidance for licensees and </w:t>
      </w:r>
      <w:proofErr w:type="spellStart"/>
      <w:r w:rsidRPr="00662392">
        <w:rPr>
          <w:sz w:val="22"/>
          <w:szCs w:val="22"/>
        </w:rPr>
        <w:t>CoC</w:t>
      </w:r>
      <w:proofErr w:type="spellEnd"/>
      <w:r w:rsidRPr="00662392">
        <w:rPr>
          <w:sz w:val="22"/>
          <w:szCs w:val="22"/>
        </w:rPr>
        <w:t xml:space="preserve"> holders </w:t>
      </w:r>
      <w:r w:rsidR="009959D3" w:rsidRPr="00662392">
        <w:rPr>
          <w:sz w:val="22"/>
          <w:szCs w:val="22"/>
        </w:rPr>
        <w:t>on how to use</w:t>
      </w:r>
      <w:r w:rsidRPr="00662392">
        <w:rPr>
          <w:sz w:val="22"/>
          <w:szCs w:val="22"/>
        </w:rPr>
        <w:t xml:space="preserve"> the screening determination process to </w:t>
      </w:r>
      <w:r w:rsidR="004903DE" w:rsidRPr="00662392">
        <w:rPr>
          <w:sz w:val="22"/>
          <w:szCs w:val="22"/>
        </w:rPr>
        <w:t>assess whether</w:t>
      </w:r>
      <w:r w:rsidRPr="00662392">
        <w:rPr>
          <w:sz w:val="22"/>
          <w:szCs w:val="22"/>
        </w:rPr>
        <w:t xml:space="preserve"> changes are administrative, </w:t>
      </w:r>
      <w:r w:rsidR="004903DE" w:rsidRPr="00662392">
        <w:rPr>
          <w:sz w:val="22"/>
          <w:szCs w:val="22"/>
        </w:rPr>
        <w:t xml:space="preserve">only </w:t>
      </w:r>
      <w:r w:rsidRPr="00662392">
        <w:rPr>
          <w:sz w:val="22"/>
          <w:szCs w:val="22"/>
        </w:rPr>
        <w:t xml:space="preserve">descriptive, or </w:t>
      </w:r>
      <w:r w:rsidR="00630DB1" w:rsidRPr="00662392">
        <w:rPr>
          <w:sz w:val="22"/>
          <w:szCs w:val="22"/>
        </w:rPr>
        <w:t>do no</w:t>
      </w:r>
      <w:r w:rsidR="00222660" w:rsidRPr="00662392">
        <w:rPr>
          <w:sz w:val="22"/>
          <w:szCs w:val="22"/>
        </w:rPr>
        <w:t>t</w:t>
      </w:r>
      <w:r w:rsidR="00630DB1" w:rsidRPr="00662392">
        <w:rPr>
          <w:sz w:val="22"/>
          <w:szCs w:val="22"/>
        </w:rPr>
        <w:t xml:space="preserve"> </w:t>
      </w:r>
      <w:r w:rsidR="00E54824" w:rsidRPr="00662392">
        <w:rPr>
          <w:sz w:val="22"/>
          <w:szCs w:val="22"/>
        </w:rPr>
        <w:t>adverse</w:t>
      </w:r>
      <w:r w:rsidR="00630DB1" w:rsidRPr="00662392">
        <w:rPr>
          <w:sz w:val="22"/>
          <w:szCs w:val="22"/>
        </w:rPr>
        <w:t>ly</w:t>
      </w:r>
      <w:r w:rsidR="00E54824" w:rsidRPr="00662392">
        <w:rPr>
          <w:sz w:val="22"/>
          <w:szCs w:val="22"/>
        </w:rPr>
        <w:t xml:space="preserve"> </w:t>
      </w:r>
      <w:r w:rsidR="00521A32" w:rsidRPr="00662392">
        <w:rPr>
          <w:sz w:val="22"/>
          <w:szCs w:val="22"/>
        </w:rPr>
        <w:t>a</w:t>
      </w:r>
      <w:r w:rsidR="00E54824" w:rsidRPr="00662392">
        <w:rPr>
          <w:sz w:val="22"/>
          <w:szCs w:val="22"/>
        </w:rPr>
        <w:t>ffect</w:t>
      </w:r>
      <w:r w:rsidRPr="00662392">
        <w:rPr>
          <w:sz w:val="22"/>
          <w:szCs w:val="22"/>
        </w:rPr>
        <w:t xml:space="preserve"> the functions of the SSC</w:t>
      </w:r>
      <w:r w:rsidR="00521A32" w:rsidRPr="00662392">
        <w:rPr>
          <w:sz w:val="22"/>
          <w:szCs w:val="22"/>
        </w:rPr>
        <w:t xml:space="preserve">.  </w:t>
      </w:r>
      <w:r w:rsidR="0011773A" w:rsidRPr="00662392">
        <w:rPr>
          <w:sz w:val="22"/>
          <w:szCs w:val="22"/>
        </w:rPr>
        <w:t>Changes such as these</w:t>
      </w:r>
      <w:r w:rsidRPr="00662392">
        <w:rPr>
          <w:sz w:val="22"/>
          <w:szCs w:val="22"/>
        </w:rPr>
        <w:t xml:space="preserve"> d</w:t>
      </w:r>
      <w:r w:rsidR="00521A32" w:rsidRPr="00662392">
        <w:rPr>
          <w:sz w:val="22"/>
          <w:szCs w:val="22"/>
        </w:rPr>
        <w:t>o</w:t>
      </w:r>
      <w:r w:rsidRPr="00662392">
        <w:rPr>
          <w:sz w:val="22"/>
          <w:szCs w:val="22"/>
        </w:rPr>
        <w:t xml:space="preserve"> not require a 10 CFR 72.48 evaluation.  </w:t>
      </w:r>
    </w:p>
    <w:p w14:paraId="0C2D619B" w14:textId="77777777" w:rsidR="00D73D96" w:rsidRPr="00662392" w:rsidRDefault="00D73D96" w:rsidP="00194415">
      <w:pPr>
        <w:widowControl/>
        <w:rPr>
          <w:sz w:val="22"/>
          <w:szCs w:val="22"/>
        </w:rPr>
      </w:pPr>
    </w:p>
    <w:p w14:paraId="73CE1E7E" w14:textId="04F6E181" w:rsidR="00177E01" w:rsidRPr="00662392" w:rsidRDefault="00AD39F4" w:rsidP="00194415">
      <w:pPr>
        <w:widowControl/>
        <w:rPr>
          <w:sz w:val="22"/>
          <w:szCs w:val="22"/>
        </w:rPr>
      </w:pPr>
      <w:r w:rsidRPr="00662392">
        <w:rPr>
          <w:sz w:val="22"/>
          <w:szCs w:val="22"/>
        </w:rPr>
        <w:t>NEI 12-04</w:t>
      </w:r>
      <w:r w:rsidR="00B363B9" w:rsidRPr="00662392">
        <w:rPr>
          <w:sz w:val="22"/>
          <w:szCs w:val="22"/>
        </w:rPr>
        <w:t>, Revision 2,</w:t>
      </w:r>
      <w:r w:rsidRPr="00662392">
        <w:rPr>
          <w:sz w:val="22"/>
          <w:szCs w:val="22"/>
        </w:rPr>
        <w:t xml:space="preserve"> states that if</w:t>
      </w:r>
      <w:r w:rsidR="00177E01" w:rsidRPr="00662392">
        <w:rPr>
          <w:sz w:val="22"/>
          <w:szCs w:val="22"/>
        </w:rPr>
        <w:t xml:space="preserve"> a change has no effect or has only beneficial effects, it does not trigger any of the evaluation criteria concerning more than minimal increase in frequency or occurrence of malfunction or higher consequences, etc.  If the licensee cannot conclude that there is no adverse effect, a 10 CFR</w:t>
      </w:r>
      <w:r w:rsidRPr="00662392">
        <w:rPr>
          <w:sz w:val="22"/>
          <w:szCs w:val="22"/>
        </w:rPr>
        <w:t xml:space="preserve"> 72.48</w:t>
      </w:r>
      <w:r w:rsidR="00177E01" w:rsidRPr="00662392">
        <w:rPr>
          <w:sz w:val="22"/>
          <w:szCs w:val="22"/>
        </w:rPr>
        <w:t xml:space="preserve"> evaluation is required.  </w:t>
      </w:r>
    </w:p>
    <w:p w14:paraId="4574B6D1" w14:textId="77777777" w:rsidR="00177E01" w:rsidRPr="00662392" w:rsidRDefault="00177E01" w:rsidP="00194415">
      <w:pPr>
        <w:widowControl/>
        <w:rPr>
          <w:sz w:val="22"/>
          <w:szCs w:val="22"/>
        </w:rPr>
      </w:pPr>
    </w:p>
    <w:p w14:paraId="144811A1" w14:textId="77777777" w:rsidR="000E0ACD" w:rsidRDefault="002D5A07" w:rsidP="00194415">
      <w:pPr>
        <w:widowControl/>
        <w:rPr>
          <w:sz w:val="22"/>
          <w:szCs w:val="22"/>
        </w:rPr>
      </w:pPr>
      <w:r w:rsidRPr="00662392">
        <w:rPr>
          <w:sz w:val="22"/>
          <w:szCs w:val="22"/>
        </w:rPr>
        <w:t>I</w:t>
      </w:r>
      <w:r w:rsidR="001F5146" w:rsidRPr="00662392">
        <w:rPr>
          <w:sz w:val="22"/>
          <w:szCs w:val="22"/>
        </w:rPr>
        <w:t xml:space="preserve">nspectors should </w:t>
      </w:r>
      <w:r w:rsidRPr="00662392">
        <w:rPr>
          <w:sz w:val="22"/>
          <w:szCs w:val="22"/>
        </w:rPr>
        <w:t xml:space="preserve">recognize </w:t>
      </w:r>
      <w:r w:rsidR="001F5146" w:rsidRPr="00662392">
        <w:rPr>
          <w:sz w:val="22"/>
          <w:szCs w:val="22"/>
        </w:rPr>
        <w:t xml:space="preserve">that changes reducing </w:t>
      </w:r>
      <w:r w:rsidR="001C59DA" w:rsidRPr="00662392">
        <w:rPr>
          <w:sz w:val="22"/>
          <w:szCs w:val="22"/>
        </w:rPr>
        <w:t>an</w:t>
      </w:r>
      <w:r w:rsidR="001F5146" w:rsidRPr="00662392">
        <w:rPr>
          <w:sz w:val="22"/>
          <w:szCs w:val="22"/>
        </w:rPr>
        <w:t xml:space="preserve"> SSC</w:t>
      </w:r>
      <w:r w:rsidR="001C59DA" w:rsidRPr="00662392">
        <w:rPr>
          <w:sz w:val="22"/>
          <w:szCs w:val="22"/>
        </w:rPr>
        <w:t>’s</w:t>
      </w:r>
      <w:r w:rsidR="001F5146" w:rsidRPr="00662392">
        <w:rPr>
          <w:sz w:val="22"/>
          <w:szCs w:val="22"/>
        </w:rPr>
        <w:t xml:space="preserve"> capability, performance, qualification, or reliability are adverse.  </w:t>
      </w:r>
      <w:r w:rsidR="009671B2" w:rsidRPr="00662392">
        <w:rPr>
          <w:sz w:val="22"/>
          <w:szCs w:val="22"/>
        </w:rPr>
        <w:t>Inspectors should recognize that changes reducing an SSC’s capability, performance, qualification, or reliability in the accomplishment of its as-credited design function is adverse.</w:t>
      </w:r>
    </w:p>
    <w:p w14:paraId="419637EB" w14:textId="77777777" w:rsidR="00C1473C" w:rsidRDefault="00C1473C" w:rsidP="00194415">
      <w:pPr>
        <w:widowControl/>
        <w:rPr>
          <w:sz w:val="22"/>
          <w:szCs w:val="22"/>
        </w:rPr>
      </w:pPr>
    </w:p>
    <w:p w14:paraId="12952407" w14:textId="3D378743" w:rsidR="001F5146" w:rsidRPr="00662392" w:rsidRDefault="001F5146" w:rsidP="00194415">
      <w:pPr>
        <w:widowControl/>
        <w:rPr>
          <w:sz w:val="22"/>
          <w:szCs w:val="22"/>
        </w:rPr>
      </w:pPr>
      <w:r w:rsidRPr="00662392">
        <w:rPr>
          <w:sz w:val="22"/>
          <w:szCs w:val="22"/>
        </w:rPr>
        <w:t>The functions being affected by a change might</w:t>
      </w:r>
      <w:r w:rsidR="00315C99" w:rsidRPr="00662392">
        <w:rPr>
          <w:sz w:val="22"/>
          <w:szCs w:val="22"/>
        </w:rPr>
        <w:t xml:space="preserve"> cause indirect effects on an SSC includ</w:t>
      </w:r>
      <w:r w:rsidR="005949D6" w:rsidRPr="00662392">
        <w:rPr>
          <w:sz w:val="22"/>
          <w:szCs w:val="22"/>
        </w:rPr>
        <w:t>ing</w:t>
      </w:r>
      <w:r w:rsidR="00315C99" w:rsidRPr="00662392">
        <w:rPr>
          <w:sz w:val="22"/>
          <w:szCs w:val="22"/>
        </w:rPr>
        <w:t xml:space="preserve"> environmental conditions and physical interactions</w:t>
      </w:r>
      <w:r w:rsidRPr="00662392">
        <w:rPr>
          <w:sz w:val="22"/>
          <w:szCs w:val="22"/>
        </w:rPr>
        <w:t xml:space="preserve">.  </w:t>
      </w:r>
      <w:r w:rsidR="00E75FBB" w:rsidRPr="00662392">
        <w:rPr>
          <w:sz w:val="22"/>
          <w:szCs w:val="22"/>
        </w:rPr>
        <w:t>For these reasons,</w:t>
      </w:r>
      <w:r w:rsidRPr="00662392">
        <w:rPr>
          <w:sz w:val="22"/>
          <w:szCs w:val="22"/>
        </w:rPr>
        <w:t xml:space="preserve"> the </w:t>
      </w:r>
      <w:r w:rsidR="000B26D7" w:rsidRPr="00662392">
        <w:rPr>
          <w:sz w:val="22"/>
          <w:szCs w:val="22"/>
        </w:rPr>
        <w:t xml:space="preserve">inspectors should be mindful of </w:t>
      </w:r>
      <w:r w:rsidR="008C0432" w:rsidRPr="00662392">
        <w:rPr>
          <w:sz w:val="22"/>
          <w:szCs w:val="22"/>
        </w:rPr>
        <w:t xml:space="preserve">how the licensees address indirect effects.  </w:t>
      </w:r>
    </w:p>
    <w:p w14:paraId="7E93D60A" w14:textId="77777777" w:rsidR="001F5146" w:rsidRPr="00662392" w:rsidRDefault="001F5146" w:rsidP="00194415">
      <w:pPr>
        <w:widowControl/>
        <w:rPr>
          <w:sz w:val="22"/>
          <w:szCs w:val="22"/>
        </w:rPr>
      </w:pPr>
    </w:p>
    <w:p w14:paraId="2BECD458" w14:textId="77777777" w:rsidR="00C1473C" w:rsidRDefault="001F5146" w:rsidP="00194415">
      <w:pPr>
        <w:widowControl/>
        <w:rPr>
          <w:sz w:val="22"/>
          <w:szCs w:val="22"/>
        </w:rPr>
        <w:sectPr w:rsidR="00C1473C" w:rsidSect="00012998">
          <w:footerReference w:type="default" r:id="rId49"/>
          <w:pgSz w:w="12240" w:h="15840" w:code="1"/>
          <w:pgMar w:top="1440" w:right="1440" w:bottom="1440" w:left="1440" w:header="720" w:footer="720" w:gutter="0"/>
          <w:cols w:space="720"/>
          <w:noEndnote/>
          <w:docGrid w:linePitch="326"/>
        </w:sectPr>
      </w:pPr>
      <w:r w:rsidRPr="00662392">
        <w:rPr>
          <w:sz w:val="22"/>
          <w:szCs w:val="22"/>
        </w:rPr>
        <w:t xml:space="preserve">SSCs or procedures that are described in the UFSAR but are not important-to-safety or safety-related should not be excluded from evaluation in accordance with 10 CFR 72.48.  If the 10 CFR 72.48 screening criteria </w:t>
      </w:r>
      <w:r w:rsidR="00186FE3" w:rsidRPr="00662392">
        <w:rPr>
          <w:sz w:val="22"/>
          <w:szCs w:val="22"/>
        </w:rPr>
        <w:t>is</w:t>
      </w:r>
      <w:r w:rsidRPr="00662392">
        <w:rPr>
          <w:sz w:val="22"/>
          <w:szCs w:val="22"/>
        </w:rPr>
        <w:t xml:space="preserve"> satisfied</w:t>
      </w:r>
      <w:r w:rsidR="000D76E9" w:rsidRPr="00662392">
        <w:rPr>
          <w:sz w:val="22"/>
          <w:szCs w:val="22"/>
        </w:rPr>
        <w:t>,</w:t>
      </w:r>
      <w:r w:rsidRPr="00662392">
        <w:rPr>
          <w:sz w:val="22"/>
          <w:szCs w:val="22"/>
        </w:rPr>
        <w:t xml:space="preserve"> then a 10 CFR 72.48 evaluation is required.</w:t>
      </w:r>
    </w:p>
    <w:p w14:paraId="11F8ACE7" w14:textId="0C0DE4ED" w:rsidR="009D4E2B" w:rsidRPr="00662392" w:rsidRDefault="009D4E2B" w:rsidP="00194415">
      <w:pPr>
        <w:widowControl/>
        <w:rPr>
          <w:sz w:val="22"/>
          <w:szCs w:val="22"/>
        </w:rPr>
      </w:pPr>
    </w:p>
    <w:p w14:paraId="38BDE2EB" w14:textId="74FA56D2" w:rsidR="00344B70" w:rsidRPr="00662392" w:rsidRDefault="00344B70" w:rsidP="00194415">
      <w:pPr>
        <w:widowControl/>
        <w:rPr>
          <w:sz w:val="22"/>
          <w:szCs w:val="22"/>
        </w:rPr>
      </w:pPr>
      <w:r w:rsidRPr="00662392">
        <w:rPr>
          <w:sz w:val="22"/>
          <w:szCs w:val="22"/>
          <w:u w:val="single"/>
        </w:rPr>
        <w:t>Each element of a CTE should be separately evaluated against each of the 10 CFR </w:t>
      </w:r>
      <w:r w:rsidR="00B32AD2" w:rsidRPr="00662392">
        <w:rPr>
          <w:sz w:val="22"/>
          <w:szCs w:val="22"/>
          <w:u w:val="single"/>
        </w:rPr>
        <w:t>72.48</w:t>
      </w:r>
      <w:r w:rsidRPr="00662392">
        <w:rPr>
          <w:sz w:val="22"/>
          <w:szCs w:val="22"/>
          <w:u w:val="single"/>
        </w:rPr>
        <w:t>(c)(2) criteria</w:t>
      </w:r>
      <w:r w:rsidRPr="00662392">
        <w:rPr>
          <w:sz w:val="22"/>
          <w:szCs w:val="22"/>
        </w:rPr>
        <w:t xml:space="preserve"> unless the elements of a CTE are interdependent, that is, linked to each other and not separable for functional reasons.  If concurrent changes are being made that are not linked, inspectors should expect licensees to evaluate each criterion separately and independently.  One change (that might add conservatism) should not be used to preclude NRC review of another change that would, on its own, meet any of the evaluation criteria.  Each criterion must be satisfied on its own, </w:t>
      </w:r>
      <w:r w:rsidR="00D778A0">
        <w:rPr>
          <w:sz w:val="22"/>
          <w:szCs w:val="22"/>
        </w:rPr>
        <w:t>and</w:t>
      </w:r>
      <w:r w:rsidRPr="00662392">
        <w:rPr>
          <w:sz w:val="22"/>
          <w:szCs w:val="22"/>
        </w:rPr>
        <w:t xml:space="preserve"> a reduction in consequences cannot offset an increase in likelihood for a given change as a basis for meeting 10 CFR </w:t>
      </w:r>
      <w:r w:rsidR="00B32AD2" w:rsidRPr="00662392">
        <w:rPr>
          <w:sz w:val="22"/>
          <w:szCs w:val="22"/>
        </w:rPr>
        <w:t>72.48</w:t>
      </w:r>
      <w:r w:rsidRPr="00662392">
        <w:rPr>
          <w:sz w:val="22"/>
          <w:szCs w:val="22"/>
        </w:rPr>
        <w:t>.</w:t>
      </w:r>
    </w:p>
    <w:p w14:paraId="101F1571" w14:textId="77777777" w:rsidR="008345B9" w:rsidRPr="00662392" w:rsidRDefault="008345B9" w:rsidP="00194415">
      <w:pPr>
        <w:widowControl/>
        <w:rPr>
          <w:sz w:val="22"/>
          <w:szCs w:val="22"/>
        </w:rPr>
      </w:pPr>
    </w:p>
    <w:p w14:paraId="1BFBABE4" w14:textId="4BC4A0AD" w:rsidR="001A26F9" w:rsidRPr="00662392" w:rsidRDefault="001A26F9" w:rsidP="00194415">
      <w:pPr>
        <w:widowControl/>
        <w:rPr>
          <w:sz w:val="22"/>
          <w:szCs w:val="22"/>
        </w:rPr>
      </w:pPr>
      <w:r w:rsidRPr="00662392">
        <w:rPr>
          <w:sz w:val="22"/>
          <w:szCs w:val="22"/>
        </w:rPr>
        <w:t xml:space="preserve">An unintended change of the </w:t>
      </w:r>
      <w:r w:rsidR="00E93C5F" w:rsidRPr="00662392">
        <w:rPr>
          <w:sz w:val="22"/>
          <w:szCs w:val="22"/>
        </w:rPr>
        <w:t xml:space="preserve">ISFSI or MRS facility, spent fuel storage cask design </w:t>
      </w:r>
      <w:r w:rsidRPr="00662392">
        <w:rPr>
          <w:sz w:val="22"/>
          <w:szCs w:val="22"/>
        </w:rPr>
        <w:t>or procedures from that described in the UFSAR, whether in existence since initial licensing, or as the result of an error in a subsequent facility/procedure change or other activity that is not restored must be reviewed by the licensee pursuant to 10 CFR </w:t>
      </w:r>
      <w:r w:rsidR="008345B9" w:rsidRPr="00662392">
        <w:rPr>
          <w:sz w:val="22"/>
          <w:szCs w:val="22"/>
        </w:rPr>
        <w:t>72.48</w:t>
      </w:r>
      <w:r w:rsidRPr="00662392">
        <w:rPr>
          <w:sz w:val="22"/>
          <w:szCs w:val="22"/>
        </w:rPr>
        <w:t xml:space="preserve"> to determine whether the </w:t>
      </w:r>
      <w:r w:rsidR="004A5CB2" w:rsidRPr="00662392">
        <w:rPr>
          <w:sz w:val="22"/>
          <w:szCs w:val="22"/>
        </w:rPr>
        <w:t xml:space="preserve">unintended </w:t>
      </w:r>
      <w:r w:rsidRPr="00662392">
        <w:rPr>
          <w:sz w:val="22"/>
          <w:szCs w:val="22"/>
        </w:rPr>
        <w:t>change required NRC approval.  For unintended changes which rise to the level of requiring NRC approval, the NRC approval prior to implementation refers to the approval of the corrective action (i.e., of the change to the licensing basis as described in the UFSAR) before the condition is resolved.</w:t>
      </w:r>
    </w:p>
    <w:p w14:paraId="471F6F3F" w14:textId="77777777" w:rsidR="001A26F9" w:rsidRPr="00662392" w:rsidRDefault="001A26F9" w:rsidP="00194415">
      <w:pPr>
        <w:widowControl/>
        <w:rPr>
          <w:sz w:val="22"/>
          <w:szCs w:val="22"/>
        </w:rPr>
      </w:pPr>
    </w:p>
    <w:p w14:paraId="5D0B9CA5" w14:textId="40F8ABDF" w:rsidR="001F5146" w:rsidRPr="00662392" w:rsidRDefault="00B2245F" w:rsidP="00194415">
      <w:pPr>
        <w:rPr>
          <w:sz w:val="22"/>
          <w:szCs w:val="22"/>
          <w:u w:val="single"/>
        </w:rPr>
      </w:pPr>
      <w:r w:rsidRPr="00662392">
        <w:rPr>
          <w:sz w:val="22"/>
          <w:szCs w:val="22"/>
        </w:rPr>
        <w:t>07.09</w:t>
      </w:r>
      <w:r w:rsidRPr="00662392">
        <w:rPr>
          <w:sz w:val="22"/>
          <w:szCs w:val="22"/>
        </w:rPr>
        <w:tab/>
      </w:r>
      <w:r w:rsidR="00BB754E" w:rsidRPr="00662392">
        <w:rPr>
          <w:sz w:val="22"/>
          <w:szCs w:val="22"/>
          <w:u w:val="single"/>
        </w:rPr>
        <w:t>Tests or Experiments Not Described in the</w:t>
      </w:r>
      <w:r w:rsidRPr="00662392">
        <w:rPr>
          <w:sz w:val="22"/>
          <w:szCs w:val="22"/>
          <w:u w:val="single"/>
        </w:rPr>
        <w:t xml:space="preserve"> UFSAR</w:t>
      </w:r>
      <w:r w:rsidR="00BB754E" w:rsidRPr="00662392">
        <w:rPr>
          <w:sz w:val="22"/>
          <w:szCs w:val="22"/>
          <w:u w:val="single"/>
        </w:rPr>
        <w:fldChar w:fldCharType="begin"/>
      </w:r>
      <w:r w:rsidR="00BB754E" w:rsidRPr="00662392">
        <w:rPr>
          <w:sz w:val="22"/>
          <w:szCs w:val="22"/>
        </w:rPr>
        <w:instrText xml:space="preserve"> TC "</w:instrText>
      </w:r>
      <w:bookmarkStart w:id="131" w:name="_Toc62642924"/>
      <w:bookmarkStart w:id="132" w:name="_Toc63142108"/>
      <w:r w:rsidR="00BB754E" w:rsidRPr="00662392">
        <w:rPr>
          <w:sz w:val="22"/>
          <w:szCs w:val="22"/>
        </w:rPr>
        <w:instrText>07.09</w:instrText>
      </w:r>
      <w:r w:rsidR="00BB754E" w:rsidRPr="00662392">
        <w:rPr>
          <w:sz w:val="22"/>
          <w:szCs w:val="22"/>
        </w:rPr>
        <w:tab/>
      </w:r>
      <w:r w:rsidR="00BB754E" w:rsidRPr="00662392">
        <w:rPr>
          <w:sz w:val="22"/>
          <w:szCs w:val="22"/>
          <w:u w:val="single"/>
        </w:rPr>
        <w:instrText>Tests or Experiments Not Described in the UFSAR</w:instrText>
      </w:r>
      <w:bookmarkEnd w:id="131"/>
      <w:bookmarkEnd w:id="132"/>
      <w:r w:rsidR="00BB754E" w:rsidRPr="00662392">
        <w:rPr>
          <w:sz w:val="22"/>
          <w:szCs w:val="22"/>
        </w:rPr>
        <w:instrText xml:space="preserve">" \f C \l "2" </w:instrText>
      </w:r>
      <w:r w:rsidR="00BB754E" w:rsidRPr="00662392">
        <w:rPr>
          <w:sz w:val="22"/>
          <w:szCs w:val="22"/>
          <w:u w:val="single"/>
        </w:rPr>
        <w:fldChar w:fldCharType="end"/>
      </w:r>
    </w:p>
    <w:p w14:paraId="21855044" w14:textId="77777777" w:rsidR="001F5146" w:rsidRPr="00662392" w:rsidRDefault="001F5146" w:rsidP="00194415">
      <w:pPr>
        <w:widowControl/>
        <w:rPr>
          <w:sz w:val="22"/>
          <w:szCs w:val="22"/>
        </w:rPr>
      </w:pPr>
    </w:p>
    <w:p w14:paraId="126510E1" w14:textId="3B80776F" w:rsidR="001F5146" w:rsidRPr="00662392" w:rsidRDefault="00781DAD" w:rsidP="00194415">
      <w:pPr>
        <w:widowControl/>
        <w:rPr>
          <w:sz w:val="22"/>
          <w:szCs w:val="22"/>
        </w:rPr>
      </w:pPr>
      <w:r w:rsidRPr="00662392">
        <w:rPr>
          <w:sz w:val="22"/>
          <w:szCs w:val="22"/>
        </w:rPr>
        <w:t>T</w:t>
      </w:r>
      <w:r w:rsidR="001F5146" w:rsidRPr="00662392">
        <w:rPr>
          <w:sz w:val="22"/>
          <w:szCs w:val="22"/>
        </w:rPr>
        <w:t xml:space="preserve">he SOC for the </w:t>
      </w:r>
      <w:r w:rsidR="00126BA2" w:rsidRPr="00662392">
        <w:rPr>
          <w:sz w:val="22"/>
          <w:szCs w:val="22"/>
        </w:rPr>
        <w:t>10 CFR 72.48</w:t>
      </w:r>
      <w:r w:rsidR="001F5146" w:rsidRPr="00662392">
        <w:rPr>
          <w:sz w:val="22"/>
          <w:szCs w:val="22"/>
        </w:rPr>
        <w:t xml:space="preserve"> rule</w:t>
      </w:r>
      <w:r w:rsidR="00F6173C" w:rsidRPr="00662392">
        <w:rPr>
          <w:sz w:val="22"/>
          <w:szCs w:val="22"/>
        </w:rPr>
        <w:t xml:space="preserve"> </w:t>
      </w:r>
      <w:r w:rsidR="00E04F32" w:rsidRPr="00662392">
        <w:rPr>
          <w:sz w:val="22"/>
          <w:szCs w:val="22"/>
        </w:rPr>
        <w:t>state</w:t>
      </w:r>
      <w:r w:rsidR="00126BA2" w:rsidRPr="00662392">
        <w:rPr>
          <w:sz w:val="22"/>
          <w:szCs w:val="22"/>
        </w:rPr>
        <w:t>s</w:t>
      </w:r>
      <w:r w:rsidR="00C51F07" w:rsidRPr="00662392">
        <w:rPr>
          <w:sz w:val="22"/>
          <w:szCs w:val="22"/>
        </w:rPr>
        <w:t xml:space="preserve"> </w:t>
      </w:r>
      <w:r w:rsidR="001F5146" w:rsidRPr="00662392">
        <w:rPr>
          <w:sz w:val="22"/>
          <w:szCs w:val="22"/>
        </w:rPr>
        <w:t xml:space="preserve">that tests and experiments that </w:t>
      </w:r>
      <w:r w:rsidR="00120D7C" w:rsidRPr="00662392">
        <w:rPr>
          <w:sz w:val="22"/>
          <w:szCs w:val="22"/>
        </w:rPr>
        <w:t>have</w:t>
      </w:r>
      <w:r w:rsidR="001F5146" w:rsidRPr="00662392">
        <w:rPr>
          <w:sz w:val="22"/>
          <w:szCs w:val="22"/>
        </w:rPr>
        <w:t xml:space="preserve"> not been previously evaluated or could affect the capability of SSCs to perform their intended functions</w:t>
      </w:r>
      <w:r w:rsidR="00120D7C" w:rsidRPr="00662392">
        <w:rPr>
          <w:sz w:val="22"/>
          <w:szCs w:val="22"/>
        </w:rPr>
        <w:t>,</w:t>
      </w:r>
      <w:r w:rsidR="001F5146" w:rsidRPr="00662392">
        <w:rPr>
          <w:sz w:val="22"/>
          <w:szCs w:val="22"/>
        </w:rPr>
        <w:t xml:space="preserve"> those tests and experiments should be evaluated</w:t>
      </w:r>
      <w:r w:rsidR="00CC44A4" w:rsidRPr="00662392">
        <w:rPr>
          <w:sz w:val="22"/>
          <w:szCs w:val="22"/>
        </w:rPr>
        <w:t xml:space="preserve"> under 10 CFR 72.48 before implementation</w:t>
      </w:r>
      <w:r w:rsidR="001F5146" w:rsidRPr="00662392">
        <w:rPr>
          <w:sz w:val="22"/>
          <w:szCs w:val="22"/>
        </w:rPr>
        <w:t>.  Additionally, tests and experiments that are not described in the UFSAR may be screened out</w:t>
      </w:r>
      <w:r w:rsidR="00170CCA" w:rsidRPr="00662392">
        <w:rPr>
          <w:sz w:val="22"/>
          <w:szCs w:val="22"/>
        </w:rPr>
        <w:t>,</w:t>
      </w:r>
      <w:r w:rsidR="001F5146" w:rsidRPr="00662392">
        <w:rPr>
          <w:sz w:val="22"/>
          <w:szCs w:val="22"/>
        </w:rPr>
        <w:t xml:space="preserve"> provided the test or experiment is bounded by tests and experiments that are described</w:t>
      </w:r>
      <w:r w:rsidR="000D0704" w:rsidRPr="00662392">
        <w:rPr>
          <w:sz w:val="22"/>
          <w:szCs w:val="22"/>
        </w:rPr>
        <w:t>.</w:t>
      </w:r>
      <w:r w:rsidR="001F5146" w:rsidRPr="00662392">
        <w:rPr>
          <w:sz w:val="22"/>
          <w:szCs w:val="22"/>
        </w:rPr>
        <w:t xml:space="preserve"> </w:t>
      </w:r>
    </w:p>
    <w:p w14:paraId="4A4548DA" w14:textId="77777777" w:rsidR="001F5146" w:rsidRPr="00662392" w:rsidRDefault="001F5146" w:rsidP="00194415">
      <w:pPr>
        <w:widowControl/>
        <w:rPr>
          <w:sz w:val="22"/>
          <w:szCs w:val="22"/>
        </w:rPr>
      </w:pPr>
    </w:p>
    <w:p w14:paraId="1A606095" w14:textId="33B6A05E" w:rsidR="001F5146" w:rsidRPr="00662392" w:rsidRDefault="00BB754E" w:rsidP="00194415">
      <w:pPr>
        <w:rPr>
          <w:sz w:val="22"/>
          <w:szCs w:val="22"/>
          <w:u w:val="single"/>
        </w:rPr>
      </w:pPr>
      <w:r w:rsidRPr="00662392">
        <w:rPr>
          <w:sz w:val="22"/>
          <w:szCs w:val="22"/>
        </w:rPr>
        <w:t>07.10</w:t>
      </w:r>
      <w:r w:rsidRPr="00662392">
        <w:rPr>
          <w:sz w:val="22"/>
          <w:szCs w:val="22"/>
        </w:rPr>
        <w:tab/>
      </w:r>
      <w:r w:rsidRPr="00662392">
        <w:rPr>
          <w:sz w:val="22"/>
          <w:szCs w:val="22"/>
          <w:u w:val="single"/>
        </w:rPr>
        <w:t>Evaluation Process</w:t>
      </w:r>
      <w:r w:rsidRPr="00662392">
        <w:rPr>
          <w:sz w:val="22"/>
          <w:szCs w:val="22"/>
          <w:u w:val="single"/>
        </w:rPr>
        <w:fldChar w:fldCharType="begin"/>
      </w:r>
      <w:r w:rsidRPr="00662392">
        <w:rPr>
          <w:sz w:val="22"/>
          <w:szCs w:val="22"/>
        </w:rPr>
        <w:instrText xml:space="preserve"> TC "</w:instrText>
      </w:r>
      <w:bookmarkStart w:id="133" w:name="_Toc62642925"/>
      <w:bookmarkStart w:id="134" w:name="_Toc63142109"/>
      <w:r w:rsidRPr="00662392">
        <w:rPr>
          <w:sz w:val="22"/>
          <w:szCs w:val="22"/>
        </w:rPr>
        <w:instrText>07.10</w:instrText>
      </w:r>
      <w:r w:rsidRPr="00662392">
        <w:rPr>
          <w:sz w:val="22"/>
          <w:szCs w:val="22"/>
        </w:rPr>
        <w:tab/>
      </w:r>
      <w:r w:rsidRPr="00662392">
        <w:rPr>
          <w:sz w:val="22"/>
          <w:szCs w:val="22"/>
          <w:u w:val="single"/>
        </w:rPr>
        <w:instrText>Evaluation Process</w:instrText>
      </w:r>
      <w:bookmarkEnd w:id="133"/>
      <w:bookmarkEnd w:id="134"/>
      <w:r w:rsidRPr="00662392">
        <w:rPr>
          <w:sz w:val="22"/>
          <w:szCs w:val="22"/>
        </w:rPr>
        <w:instrText xml:space="preserve">" \f C \l "2" </w:instrText>
      </w:r>
      <w:r w:rsidRPr="00662392">
        <w:rPr>
          <w:sz w:val="22"/>
          <w:szCs w:val="22"/>
          <w:u w:val="single"/>
        </w:rPr>
        <w:fldChar w:fldCharType="end"/>
      </w:r>
    </w:p>
    <w:p w14:paraId="7E65E4C1" w14:textId="77777777" w:rsidR="001F5146" w:rsidRPr="00662392" w:rsidRDefault="001F5146" w:rsidP="00194415">
      <w:pPr>
        <w:tabs>
          <w:tab w:val="left" w:pos="1139"/>
        </w:tabs>
        <w:rPr>
          <w:sz w:val="22"/>
          <w:szCs w:val="22"/>
        </w:rPr>
      </w:pPr>
    </w:p>
    <w:p w14:paraId="2605BBE6" w14:textId="414F52C6" w:rsidR="001F5146" w:rsidRPr="00662392" w:rsidRDefault="001F5146" w:rsidP="00194415">
      <w:pPr>
        <w:rPr>
          <w:sz w:val="22"/>
          <w:szCs w:val="22"/>
        </w:rPr>
      </w:pPr>
      <w:r w:rsidRPr="00662392">
        <w:rPr>
          <w:sz w:val="22"/>
          <w:szCs w:val="22"/>
        </w:rPr>
        <w:t xml:space="preserve">During the 10 CFR 72.48 evaluation process, </w:t>
      </w:r>
      <w:r w:rsidR="00D8463C" w:rsidRPr="00662392">
        <w:rPr>
          <w:sz w:val="22"/>
          <w:szCs w:val="22"/>
        </w:rPr>
        <w:t>i</w:t>
      </w:r>
      <w:r w:rsidRPr="00662392">
        <w:rPr>
          <w:sz w:val="22"/>
          <w:szCs w:val="22"/>
        </w:rPr>
        <w:t xml:space="preserve">nspectors should expect the licensee or </w:t>
      </w:r>
      <w:proofErr w:type="spellStart"/>
      <w:r w:rsidRPr="00662392">
        <w:rPr>
          <w:sz w:val="22"/>
          <w:szCs w:val="22"/>
        </w:rPr>
        <w:t>CoC</w:t>
      </w:r>
      <w:proofErr w:type="spellEnd"/>
      <w:r w:rsidRPr="00662392">
        <w:rPr>
          <w:sz w:val="22"/>
          <w:szCs w:val="22"/>
        </w:rPr>
        <w:t xml:space="preserve"> holder to review the eight evaluation criteria of 10 CFR 72.48(c)(2) to determine if the CTE requires prior NRC approval.  </w:t>
      </w:r>
      <w:r w:rsidR="000338FD" w:rsidRPr="00662392">
        <w:rPr>
          <w:sz w:val="22"/>
          <w:szCs w:val="22"/>
        </w:rPr>
        <w:t>I</w:t>
      </w:r>
      <w:r w:rsidRPr="00662392">
        <w:rPr>
          <w:sz w:val="22"/>
          <w:szCs w:val="22"/>
        </w:rPr>
        <w:t xml:space="preserve">nspectors should </w:t>
      </w:r>
      <w:r w:rsidR="000338FD" w:rsidRPr="00662392">
        <w:rPr>
          <w:sz w:val="22"/>
          <w:szCs w:val="22"/>
        </w:rPr>
        <w:t>recognize</w:t>
      </w:r>
      <w:r w:rsidRPr="00662392">
        <w:rPr>
          <w:sz w:val="22"/>
          <w:szCs w:val="22"/>
        </w:rPr>
        <w:t xml:space="preserve"> that a 10 CFR 72.48 evaluation would not be required if the CTE to the ISFSI or MRS facility, storage cask, or procedure involves a change to the TS.  If the CTE involves a TS change, th</w:t>
      </w:r>
      <w:r w:rsidR="00B76EAE" w:rsidRPr="00662392">
        <w:rPr>
          <w:sz w:val="22"/>
          <w:szCs w:val="22"/>
        </w:rPr>
        <w:t>e</w:t>
      </w:r>
      <w:r w:rsidRPr="00662392">
        <w:rPr>
          <w:sz w:val="22"/>
          <w:szCs w:val="22"/>
        </w:rPr>
        <w:t xml:space="preserve">n the specific licensee must apply for and obtain a license amendment in accordance with 10 CFR 72.56 and a </w:t>
      </w:r>
      <w:proofErr w:type="spellStart"/>
      <w:r w:rsidRPr="00662392">
        <w:rPr>
          <w:sz w:val="22"/>
          <w:szCs w:val="22"/>
        </w:rPr>
        <w:t>CoC</w:t>
      </w:r>
      <w:proofErr w:type="spellEnd"/>
      <w:r w:rsidRPr="00662392">
        <w:rPr>
          <w:sz w:val="22"/>
          <w:szCs w:val="22"/>
        </w:rPr>
        <w:t xml:space="preserve"> holder must apply for and obtain a </w:t>
      </w:r>
      <w:proofErr w:type="spellStart"/>
      <w:r w:rsidRPr="00662392">
        <w:rPr>
          <w:sz w:val="22"/>
          <w:szCs w:val="22"/>
        </w:rPr>
        <w:t>CoC</w:t>
      </w:r>
      <w:proofErr w:type="spellEnd"/>
      <w:r w:rsidRPr="00662392">
        <w:rPr>
          <w:sz w:val="22"/>
          <w:szCs w:val="22"/>
        </w:rPr>
        <w:t xml:space="preserve"> amendment under 10 CFR 72.244 (for itself or for a general licensee) before implementing the </w:t>
      </w:r>
      <w:r w:rsidR="00905580" w:rsidRPr="00662392">
        <w:rPr>
          <w:sz w:val="22"/>
          <w:szCs w:val="22"/>
        </w:rPr>
        <w:t>CTE</w:t>
      </w:r>
      <w:r w:rsidRPr="00662392">
        <w:rPr>
          <w:sz w:val="22"/>
          <w:szCs w:val="22"/>
        </w:rPr>
        <w:t>.</w:t>
      </w:r>
    </w:p>
    <w:p w14:paraId="45061CBA" w14:textId="77777777" w:rsidR="001F5146" w:rsidRPr="00662392" w:rsidRDefault="001F5146" w:rsidP="00194415">
      <w:pPr>
        <w:rPr>
          <w:sz w:val="22"/>
          <w:szCs w:val="22"/>
        </w:rPr>
      </w:pPr>
    </w:p>
    <w:p w14:paraId="1688F1ED" w14:textId="61F26A8B" w:rsidR="001F5146" w:rsidRPr="00662392" w:rsidRDefault="00337922" w:rsidP="00194415">
      <w:pPr>
        <w:rPr>
          <w:sz w:val="22"/>
          <w:szCs w:val="22"/>
        </w:rPr>
      </w:pPr>
      <w:r w:rsidRPr="00662392">
        <w:rPr>
          <w:sz w:val="22"/>
          <w:szCs w:val="22"/>
        </w:rPr>
        <w:t>T</w:t>
      </w:r>
      <w:r w:rsidR="001F5146" w:rsidRPr="00662392">
        <w:rPr>
          <w:sz w:val="22"/>
          <w:szCs w:val="22"/>
        </w:rPr>
        <w:t>he SOC</w:t>
      </w:r>
      <w:r w:rsidR="004F403A" w:rsidRPr="00662392">
        <w:rPr>
          <w:sz w:val="22"/>
          <w:szCs w:val="22"/>
        </w:rPr>
        <w:t>s</w:t>
      </w:r>
      <w:r w:rsidR="00B82774" w:rsidRPr="00662392">
        <w:rPr>
          <w:sz w:val="22"/>
          <w:szCs w:val="22"/>
        </w:rPr>
        <w:t xml:space="preserve"> </w:t>
      </w:r>
      <w:r w:rsidR="001F5146" w:rsidRPr="00662392">
        <w:rPr>
          <w:sz w:val="22"/>
          <w:szCs w:val="22"/>
        </w:rPr>
        <w:t>for the final rule</w:t>
      </w:r>
      <w:r w:rsidRPr="00662392">
        <w:rPr>
          <w:sz w:val="22"/>
          <w:szCs w:val="22"/>
        </w:rPr>
        <w:t>s for</w:t>
      </w:r>
      <w:r w:rsidR="001F5146" w:rsidRPr="00662392">
        <w:rPr>
          <w:sz w:val="22"/>
          <w:szCs w:val="22"/>
        </w:rPr>
        <w:t xml:space="preserve"> 10 CFR Parts 50 and 72 </w:t>
      </w:r>
      <w:r w:rsidRPr="00662392">
        <w:rPr>
          <w:sz w:val="22"/>
          <w:szCs w:val="22"/>
        </w:rPr>
        <w:t>state</w:t>
      </w:r>
      <w:r w:rsidR="001F5146" w:rsidRPr="00662392">
        <w:rPr>
          <w:sz w:val="22"/>
          <w:szCs w:val="22"/>
        </w:rPr>
        <w:t xml:space="preserve"> the evaluation process permit</w:t>
      </w:r>
      <w:r w:rsidR="00B82774" w:rsidRPr="00662392">
        <w:rPr>
          <w:sz w:val="22"/>
          <w:szCs w:val="22"/>
        </w:rPr>
        <w:t>s</w:t>
      </w:r>
      <w:r w:rsidR="001F5146" w:rsidRPr="00662392">
        <w:rPr>
          <w:sz w:val="22"/>
          <w:szCs w:val="22"/>
        </w:rPr>
        <w:t xml:space="preserve"> licensees and </w:t>
      </w:r>
      <w:proofErr w:type="spellStart"/>
      <w:r w:rsidR="001F5146" w:rsidRPr="00662392">
        <w:rPr>
          <w:sz w:val="22"/>
          <w:szCs w:val="22"/>
        </w:rPr>
        <w:t>CoC</w:t>
      </w:r>
      <w:proofErr w:type="spellEnd"/>
      <w:r w:rsidR="001F5146" w:rsidRPr="00662392">
        <w:rPr>
          <w:sz w:val="22"/>
          <w:szCs w:val="22"/>
        </w:rPr>
        <w:t xml:space="preserve"> holders to make changes to the facility and storage casks provided the changes maintain acceptable levels of safety as documented in the safety analysis report.  The Commission structured the evaluation process around the licensing approach of design basis</w:t>
      </w:r>
      <w:r w:rsidR="00C1473C">
        <w:rPr>
          <w:sz w:val="22"/>
          <w:szCs w:val="22"/>
        </w:rPr>
        <w:t xml:space="preserve"> </w:t>
      </w:r>
      <w:r w:rsidR="001F5146" w:rsidRPr="00662392">
        <w:rPr>
          <w:sz w:val="22"/>
          <w:szCs w:val="22"/>
        </w:rPr>
        <w:t xml:space="preserve">events (e.g., anticipated operational occurrences, off-normal and accidents), safety-related mitigation systems, and consequence calculations for the </w:t>
      </w:r>
      <w:r w:rsidR="00C77CC1" w:rsidRPr="00662392">
        <w:rPr>
          <w:sz w:val="22"/>
          <w:szCs w:val="22"/>
        </w:rPr>
        <w:t>DBAs</w:t>
      </w:r>
      <w:r w:rsidR="001F5146" w:rsidRPr="00662392">
        <w:rPr>
          <w:sz w:val="22"/>
          <w:szCs w:val="22"/>
        </w:rPr>
        <w:t xml:space="preserve">.  The purpose is to identify possible changes that might affect the basis for licensing the facility or storage cask design so that any changes that might pose a safety concern the NRC would review to confirm their safety before implementation.  </w:t>
      </w:r>
    </w:p>
    <w:p w14:paraId="1EB5C939" w14:textId="77777777" w:rsidR="001F5146" w:rsidRPr="00662392" w:rsidRDefault="001F5146" w:rsidP="00194415">
      <w:pPr>
        <w:rPr>
          <w:sz w:val="22"/>
          <w:szCs w:val="22"/>
        </w:rPr>
      </w:pPr>
    </w:p>
    <w:p w14:paraId="4929EE84" w14:textId="77777777" w:rsidR="00C1473C" w:rsidRDefault="003238D7" w:rsidP="00194415">
      <w:pPr>
        <w:rPr>
          <w:sz w:val="22"/>
          <w:szCs w:val="22"/>
        </w:rPr>
        <w:sectPr w:rsidR="00C1473C" w:rsidSect="00012998">
          <w:footerReference w:type="default" r:id="rId50"/>
          <w:pgSz w:w="12240" w:h="15840" w:code="1"/>
          <w:pgMar w:top="1440" w:right="1440" w:bottom="1440" w:left="1440" w:header="720" w:footer="720" w:gutter="0"/>
          <w:cols w:space="720"/>
          <w:noEndnote/>
          <w:docGrid w:linePitch="326"/>
        </w:sectPr>
      </w:pPr>
      <w:r w:rsidRPr="00662392">
        <w:rPr>
          <w:sz w:val="22"/>
          <w:szCs w:val="22"/>
        </w:rPr>
        <w:t>T</w:t>
      </w:r>
      <w:r w:rsidR="001F5146" w:rsidRPr="00662392">
        <w:rPr>
          <w:sz w:val="22"/>
          <w:szCs w:val="22"/>
        </w:rPr>
        <w:t xml:space="preserve">he NRC provides the basis </w:t>
      </w:r>
      <w:r w:rsidRPr="00662392">
        <w:rPr>
          <w:sz w:val="22"/>
          <w:szCs w:val="22"/>
        </w:rPr>
        <w:t>for</w:t>
      </w:r>
      <w:r w:rsidR="001F5146" w:rsidRPr="00662392">
        <w:rPr>
          <w:sz w:val="22"/>
          <w:szCs w:val="22"/>
        </w:rPr>
        <w:t xml:space="preserve"> </w:t>
      </w:r>
      <w:r w:rsidRPr="00662392">
        <w:rPr>
          <w:sz w:val="22"/>
          <w:szCs w:val="22"/>
        </w:rPr>
        <w:t>its</w:t>
      </w:r>
      <w:r w:rsidR="001F5146" w:rsidRPr="00662392">
        <w:rPr>
          <w:sz w:val="22"/>
          <w:szCs w:val="22"/>
        </w:rPr>
        <w:t xml:space="preserve"> approval </w:t>
      </w:r>
      <w:r w:rsidR="007F30D7" w:rsidRPr="00662392">
        <w:rPr>
          <w:sz w:val="22"/>
          <w:szCs w:val="22"/>
        </w:rPr>
        <w:t xml:space="preserve">of a license and </w:t>
      </w:r>
      <w:proofErr w:type="spellStart"/>
      <w:r w:rsidR="007F30D7" w:rsidRPr="00662392">
        <w:rPr>
          <w:sz w:val="22"/>
          <w:szCs w:val="22"/>
        </w:rPr>
        <w:t>CoC</w:t>
      </w:r>
      <w:proofErr w:type="spellEnd"/>
      <w:r w:rsidR="001F5146" w:rsidRPr="00662392">
        <w:rPr>
          <w:sz w:val="22"/>
          <w:szCs w:val="22"/>
        </w:rPr>
        <w:t xml:space="preserve"> in the SER, supplements to the SER, and SERs for amendments to the license or </w:t>
      </w:r>
      <w:proofErr w:type="spellStart"/>
      <w:r w:rsidR="001F5146" w:rsidRPr="00662392">
        <w:rPr>
          <w:sz w:val="22"/>
          <w:szCs w:val="22"/>
        </w:rPr>
        <w:t>CoC</w:t>
      </w:r>
      <w:proofErr w:type="spellEnd"/>
      <w:r w:rsidR="001F5146" w:rsidRPr="00662392">
        <w:rPr>
          <w:sz w:val="22"/>
          <w:szCs w:val="22"/>
        </w:rPr>
        <w:t xml:space="preserve">.  </w:t>
      </w:r>
      <w:r w:rsidR="00FE4FAB" w:rsidRPr="00662392">
        <w:rPr>
          <w:sz w:val="22"/>
          <w:szCs w:val="22"/>
        </w:rPr>
        <w:t xml:space="preserve">Inspectors should consider the </w:t>
      </w:r>
    </w:p>
    <w:p w14:paraId="4998955F" w14:textId="77777777" w:rsidR="00C1473C" w:rsidRDefault="00C1473C" w:rsidP="00194415">
      <w:pPr>
        <w:rPr>
          <w:sz w:val="22"/>
          <w:szCs w:val="22"/>
        </w:rPr>
      </w:pPr>
    </w:p>
    <w:p w14:paraId="3EF5450E" w14:textId="68B02C18" w:rsidR="001F5146" w:rsidRPr="00662392" w:rsidRDefault="00FE4FAB" w:rsidP="00194415">
      <w:pPr>
        <w:rPr>
          <w:sz w:val="22"/>
          <w:szCs w:val="22"/>
        </w:rPr>
      </w:pPr>
      <w:r w:rsidRPr="00662392">
        <w:rPr>
          <w:sz w:val="22"/>
          <w:szCs w:val="22"/>
        </w:rPr>
        <w:t xml:space="preserve">bases presented in a SER and perform an independent review of the licensee’s evaluated CTE against the criteria described in 10 CFR 72.48(c)(2).  </w:t>
      </w:r>
      <w:r w:rsidR="00EC603F" w:rsidRPr="00662392">
        <w:rPr>
          <w:sz w:val="22"/>
          <w:szCs w:val="22"/>
        </w:rPr>
        <w:t>I</w:t>
      </w:r>
      <w:r w:rsidR="001F5146" w:rsidRPr="00662392">
        <w:rPr>
          <w:sz w:val="22"/>
          <w:szCs w:val="22"/>
        </w:rPr>
        <w:t xml:space="preserve">nspectors should also review the SRP applicable to the storage design to understand the licensing basis of the approval. </w:t>
      </w:r>
      <w:r w:rsidR="00D0691E" w:rsidRPr="00662392">
        <w:rPr>
          <w:sz w:val="22"/>
          <w:szCs w:val="22"/>
        </w:rPr>
        <w:t xml:space="preserve"> </w:t>
      </w:r>
      <w:r w:rsidR="001F5146" w:rsidRPr="00662392">
        <w:rPr>
          <w:sz w:val="22"/>
          <w:szCs w:val="22"/>
        </w:rPr>
        <w:t xml:space="preserve">The SRP identifies the specific areas of review and the associated acceptance criteria the NRC staff used to review the licensee’s or </w:t>
      </w:r>
      <w:proofErr w:type="spellStart"/>
      <w:r w:rsidR="001F5146" w:rsidRPr="00662392">
        <w:rPr>
          <w:sz w:val="22"/>
          <w:szCs w:val="22"/>
        </w:rPr>
        <w:t>CoC</w:t>
      </w:r>
      <w:proofErr w:type="spellEnd"/>
      <w:r w:rsidR="001F5146" w:rsidRPr="00662392">
        <w:rPr>
          <w:sz w:val="22"/>
          <w:szCs w:val="22"/>
        </w:rPr>
        <w:t xml:space="preserve"> holder’s Safety Analysis Report.</w:t>
      </w:r>
    </w:p>
    <w:p w14:paraId="62671083" w14:textId="34C9D5AC" w:rsidR="001F5146" w:rsidRPr="00662392" w:rsidRDefault="001F5146" w:rsidP="00194415">
      <w:pPr>
        <w:rPr>
          <w:sz w:val="22"/>
          <w:szCs w:val="22"/>
        </w:rPr>
      </w:pPr>
    </w:p>
    <w:p w14:paraId="2BF7630D" w14:textId="61B2EF9A" w:rsidR="00EC603F" w:rsidRPr="00662392" w:rsidRDefault="00EC603F" w:rsidP="00194415">
      <w:pPr>
        <w:rPr>
          <w:sz w:val="22"/>
          <w:szCs w:val="22"/>
        </w:rPr>
      </w:pPr>
      <w:r w:rsidRPr="00662392">
        <w:rPr>
          <w:sz w:val="22"/>
          <w:szCs w:val="22"/>
        </w:rPr>
        <w:t>I</w:t>
      </w:r>
      <w:r w:rsidR="001F5146" w:rsidRPr="00662392">
        <w:rPr>
          <w:sz w:val="22"/>
          <w:szCs w:val="22"/>
        </w:rPr>
        <w:t>nspectors should understand that the SRP does not provide requirements for the licensee unless the licensee committed to an SRP method of complying with a regulation or a code alternative which may make it part of the licensing basis.</w:t>
      </w:r>
    </w:p>
    <w:p w14:paraId="26F1570B" w14:textId="31051B5C" w:rsidR="001F5146" w:rsidRPr="00662392" w:rsidRDefault="001F5146" w:rsidP="00194415">
      <w:pPr>
        <w:rPr>
          <w:sz w:val="22"/>
          <w:szCs w:val="22"/>
        </w:rPr>
      </w:pPr>
      <w:r w:rsidRPr="00662392">
        <w:rPr>
          <w:sz w:val="22"/>
          <w:szCs w:val="22"/>
        </w:rPr>
        <w:t xml:space="preserve"> </w:t>
      </w:r>
    </w:p>
    <w:p w14:paraId="13A51897" w14:textId="77777777" w:rsidR="001F5146" w:rsidRPr="00662392" w:rsidRDefault="001F5146" w:rsidP="00194415">
      <w:pPr>
        <w:widowControl/>
        <w:rPr>
          <w:sz w:val="22"/>
          <w:szCs w:val="22"/>
        </w:rPr>
      </w:pPr>
      <w:r w:rsidRPr="00662392">
        <w:rPr>
          <w:sz w:val="22"/>
          <w:szCs w:val="22"/>
        </w:rPr>
        <w:t xml:space="preserve">The areas that the inspectors should consider when reviewing licensees’ or </w:t>
      </w:r>
      <w:proofErr w:type="spellStart"/>
      <w:r w:rsidRPr="00662392">
        <w:rPr>
          <w:sz w:val="22"/>
          <w:szCs w:val="22"/>
        </w:rPr>
        <w:t>CoC</w:t>
      </w:r>
      <w:proofErr w:type="spellEnd"/>
      <w:r w:rsidRPr="00662392">
        <w:rPr>
          <w:sz w:val="22"/>
          <w:szCs w:val="22"/>
        </w:rPr>
        <w:t xml:space="preserve"> holders 10 CFR 72.48 evaluations include but are not limited to the following: </w:t>
      </w:r>
    </w:p>
    <w:p w14:paraId="3FAD194B" w14:textId="77777777" w:rsidR="001F5146" w:rsidRPr="00662392" w:rsidRDefault="001F5146" w:rsidP="00194415">
      <w:pPr>
        <w:rPr>
          <w:sz w:val="22"/>
          <w:szCs w:val="22"/>
        </w:rPr>
      </w:pPr>
    </w:p>
    <w:p w14:paraId="6EB0342D" w14:textId="71DE3A8E" w:rsidR="001F5146" w:rsidRPr="00662392" w:rsidRDefault="001F5146" w:rsidP="00194415">
      <w:pPr>
        <w:widowControl/>
        <w:numPr>
          <w:ilvl w:val="0"/>
          <w:numId w:val="5"/>
        </w:numPr>
        <w:autoSpaceDE/>
        <w:autoSpaceDN/>
        <w:adjustRightInd/>
        <w:contextualSpacing/>
        <w:rPr>
          <w:rFonts w:eastAsia="Times New Roman"/>
          <w:sz w:val="22"/>
          <w:szCs w:val="22"/>
        </w:rPr>
      </w:pPr>
      <w:r w:rsidRPr="00662392">
        <w:rPr>
          <w:rFonts w:eastAsia="Times New Roman"/>
          <w:sz w:val="22"/>
          <w:szCs w:val="22"/>
        </w:rPr>
        <w:t>SSCs directly and indirectly affected by the change (e.g., does the change affect the capability of the SSCs</w:t>
      </w:r>
      <w:r w:rsidR="006E54A4" w:rsidRPr="00662392">
        <w:rPr>
          <w:rFonts w:eastAsia="Times New Roman"/>
          <w:sz w:val="22"/>
          <w:szCs w:val="22"/>
        </w:rPr>
        <w:t xml:space="preserve">, or another SSC, </w:t>
      </w:r>
      <w:r w:rsidRPr="00662392">
        <w:rPr>
          <w:rFonts w:eastAsia="Times New Roman"/>
          <w:sz w:val="22"/>
          <w:szCs w:val="22"/>
        </w:rPr>
        <w:t>to perform the intended design function</w:t>
      </w:r>
      <w:r w:rsidR="006E54A4" w:rsidRPr="00662392">
        <w:rPr>
          <w:rFonts w:eastAsia="Times New Roman"/>
          <w:sz w:val="22"/>
          <w:szCs w:val="22"/>
        </w:rPr>
        <w:t>(</w:t>
      </w:r>
      <w:r w:rsidRPr="00662392">
        <w:rPr>
          <w:rFonts w:eastAsia="Times New Roman"/>
          <w:sz w:val="22"/>
          <w:szCs w:val="22"/>
        </w:rPr>
        <w:t>s</w:t>
      </w:r>
      <w:r w:rsidR="006E54A4" w:rsidRPr="00662392">
        <w:rPr>
          <w:rFonts w:eastAsia="Times New Roman"/>
          <w:sz w:val="22"/>
          <w:szCs w:val="22"/>
        </w:rPr>
        <w:t>)</w:t>
      </w:r>
      <w:r w:rsidRPr="00662392">
        <w:rPr>
          <w:rFonts w:eastAsia="Times New Roman"/>
          <w:sz w:val="22"/>
          <w:szCs w:val="22"/>
        </w:rPr>
        <w:t xml:space="preserve">?); </w:t>
      </w:r>
    </w:p>
    <w:p w14:paraId="26D2147E" w14:textId="7B9EC89B" w:rsidR="001F5146" w:rsidRPr="00662392" w:rsidRDefault="00A81ADD" w:rsidP="00194415">
      <w:pPr>
        <w:widowControl/>
        <w:numPr>
          <w:ilvl w:val="0"/>
          <w:numId w:val="5"/>
        </w:numPr>
        <w:autoSpaceDE/>
        <w:autoSpaceDN/>
        <w:adjustRightInd/>
        <w:contextualSpacing/>
        <w:rPr>
          <w:rFonts w:eastAsia="Times New Roman"/>
          <w:sz w:val="22"/>
          <w:szCs w:val="22"/>
        </w:rPr>
      </w:pPr>
      <w:r w:rsidRPr="00662392">
        <w:rPr>
          <w:rFonts w:eastAsia="Times New Roman"/>
          <w:sz w:val="22"/>
          <w:szCs w:val="22"/>
        </w:rPr>
        <w:t>A change to any element of a method described in the UFSAR or 2) a change from a method described in the UFSAR to another method</w:t>
      </w:r>
      <w:r w:rsidR="001F5146" w:rsidRPr="00662392">
        <w:rPr>
          <w:rFonts w:eastAsia="Times New Roman"/>
          <w:sz w:val="22"/>
          <w:szCs w:val="22"/>
        </w:rPr>
        <w:t>;</w:t>
      </w:r>
    </w:p>
    <w:p w14:paraId="260FB62A" w14:textId="5BA89C0D" w:rsidR="001F5146" w:rsidRPr="00662392" w:rsidRDefault="001F5146" w:rsidP="00194415">
      <w:pPr>
        <w:widowControl/>
        <w:numPr>
          <w:ilvl w:val="0"/>
          <w:numId w:val="5"/>
        </w:numPr>
        <w:autoSpaceDE/>
        <w:autoSpaceDN/>
        <w:adjustRightInd/>
        <w:contextualSpacing/>
        <w:rPr>
          <w:rFonts w:eastAsia="Times New Roman"/>
          <w:sz w:val="22"/>
          <w:szCs w:val="22"/>
        </w:rPr>
      </w:pPr>
      <w:r w:rsidRPr="00662392">
        <w:rPr>
          <w:rFonts w:eastAsia="Times New Roman"/>
          <w:sz w:val="22"/>
          <w:szCs w:val="22"/>
        </w:rPr>
        <w:t xml:space="preserve">parameters of the accident analysis affected by the change (e.g., are all the relevant </w:t>
      </w:r>
      <w:r w:rsidR="00BE50F2" w:rsidRPr="00662392">
        <w:rPr>
          <w:rFonts w:eastAsia="Times New Roman"/>
          <w:sz w:val="22"/>
          <w:szCs w:val="22"/>
        </w:rPr>
        <w:t>DBA</w:t>
      </w:r>
      <w:r w:rsidRPr="00662392">
        <w:rPr>
          <w:rFonts w:eastAsia="Times New Roman"/>
          <w:sz w:val="22"/>
          <w:szCs w:val="22"/>
        </w:rPr>
        <w:t>s and transients identified</w:t>
      </w:r>
      <w:r w:rsidR="00147521" w:rsidRPr="00662392">
        <w:rPr>
          <w:rFonts w:eastAsia="Times New Roman"/>
          <w:sz w:val="22"/>
          <w:szCs w:val="22"/>
        </w:rPr>
        <w:t xml:space="preserve"> in licensee evaluations</w:t>
      </w:r>
      <w:r w:rsidRPr="00662392">
        <w:rPr>
          <w:rFonts w:eastAsia="Times New Roman"/>
          <w:sz w:val="22"/>
          <w:szCs w:val="22"/>
        </w:rPr>
        <w:t>?);</w:t>
      </w:r>
    </w:p>
    <w:p w14:paraId="0B964605" w14:textId="24B55A52" w:rsidR="001F5146" w:rsidRPr="00662392" w:rsidRDefault="001F5146" w:rsidP="00194415">
      <w:pPr>
        <w:widowControl/>
        <w:numPr>
          <w:ilvl w:val="0"/>
          <w:numId w:val="5"/>
        </w:numPr>
        <w:autoSpaceDE/>
        <w:autoSpaceDN/>
        <w:adjustRightInd/>
        <w:contextualSpacing/>
        <w:rPr>
          <w:rFonts w:eastAsia="Times New Roman"/>
          <w:sz w:val="22"/>
          <w:szCs w:val="22"/>
        </w:rPr>
      </w:pPr>
      <w:r w:rsidRPr="00662392">
        <w:rPr>
          <w:rFonts w:eastAsia="Times New Roman"/>
          <w:sz w:val="22"/>
          <w:szCs w:val="22"/>
        </w:rPr>
        <w:t xml:space="preserve">potential effects of SSC failures (e.g., licensees </w:t>
      </w:r>
      <w:r w:rsidR="00147521" w:rsidRPr="00662392">
        <w:rPr>
          <w:rFonts w:eastAsia="Times New Roman"/>
          <w:sz w:val="22"/>
          <w:szCs w:val="22"/>
        </w:rPr>
        <w:t>explored</w:t>
      </w:r>
      <w:r w:rsidRPr="00662392">
        <w:rPr>
          <w:rFonts w:eastAsia="Times New Roman"/>
          <w:sz w:val="22"/>
          <w:szCs w:val="22"/>
        </w:rPr>
        <w:t xml:space="preserve"> and answered the question, “what would happen if...” in the evaluation); and</w:t>
      </w:r>
    </w:p>
    <w:p w14:paraId="336FC3A4" w14:textId="11A22F34" w:rsidR="001F5146" w:rsidRPr="00662392" w:rsidRDefault="001F5146" w:rsidP="00194415">
      <w:pPr>
        <w:widowControl/>
        <w:numPr>
          <w:ilvl w:val="0"/>
          <w:numId w:val="5"/>
        </w:numPr>
        <w:autoSpaceDE/>
        <w:autoSpaceDN/>
        <w:adjustRightInd/>
        <w:contextualSpacing/>
        <w:rPr>
          <w:rFonts w:eastAsia="Times New Roman"/>
          <w:sz w:val="22"/>
          <w:szCs w:val="22"/>
        </w:rPr>
      </w:pPr>
      <w:r w:rsidRPr="00662392">
        <w:rPr>
          <w:rFonts w:eastAsia="Times New Roman"/>
          <w:sz w:val="22"/>
          <w:szCs w:val="22"/>
        </w:rPr>
        <w:t>how the evaluation criteria are met.</w:t>
      </w:r>
    </w:p>
    <w:p w14:paraId="61B148C3" w14:textId="77777777" w:rsidR="001F5146" w:rsidRPr="00662392" w:rsidRDefault="001F5146" w:rsidP="00194415">
      <w:pPr>
        <w:rPr>
          <w:sz w:val="22"/>
          <w:szCs w:val="22"/>
        </w:rPr>
      </w:pPr>
    </w:p>
    <w:p w14:paraId="3F0ACB6D" w14:textId="367F1DB9" w:rsidR="00FC698C" w:rsidRPr="00662392" w:rsidRDefault="005F3A5D" w:rsidP="00194415">
      <w:pPr>
        <w:widowControl/>
        <w:rPr>
          <w:sz w:val="22"/>
          <w:szCs w:val="22"/>
        </w:rPr>
      </w:pPr>
      <w:r w:rsidRPr="00662392">
        <w:rPr>
          <w:sz w:val="22"/>
          <w:szCs w:val="22"/>
          <w:u w:val="single"/>
        </w:rPr>
        <w:t>Each element of a CTE should be separately evaluated against each of the 10 CFR </w:t>
      </w:r>
      <w:r w:rsidR="00F23C38" w:rsidRPr="00662392">
        <w:rPr>
          <w:sz w:val="22"/>
          <w:szCs w:val="22"/>
          <w:u w:val="single"/>
        </w:rPr>
        <w:t>72</w:t>
      </w:r>
      <w:r w:rsidRPr="00662392">
        <w:rPr>
          <w:sz w:val="22"/>
          <w:szCs w:val="22"/>
          <w:u w:val="single"/>
        </w:rPr>
        <w:t>.</w:t>
      </w:r>
      <w:r w:rsidR="00F23C38" w:rsidRPr="00662392">
        <w:rPr>
          <w:sz w:val="22"/>
          <w:szCs w:val="22"/>
          <w:u w:val="single"/>
        </w:rPr>
        <w:t>48</w:t>
      </w:r>
      <w:r w:rsidRPr="00662392">
        <w:rPr>
          <w:sz w:val="22"/>
          <w:szCs w:val="22"/>
          <w:u w:val="single"/>
        </w:rPr>
        <w:t>(c)(2) criteria</w:t>
      </w:r>
      <w:r w:rsidRPr="00662392">
        <w:rPr>
          <w:sz w:val="22"/>
          <w:szCs w:val="22"/>
        </w:rPr>
        <w:t xml:space="preserve"> unless the elements of a CTE are interdependent, that is, linked to each other and not separable for functional reasons.  If concurrent changes are being made that are not linked, inspectors should expect licensees to evaluate each criterion separately and independently.  One change (that might add conservatism) should not be used to preclude NRC review of another change that would, on its own, meet any of the evaluation criteria.  Each criterion must be satisfied on its own, </w:t>
      </w:r>
      <w:r w:rsidR="00D778A0">
        <w:rPr>
          <w:sz w:val="22"/>
          <w:szCs w:val="22"/>
        </w:rPr>
        <w:t>and</w:t>
      </w:r>
      <w:r w:rsidRPr="00662392">
        <w:rPr>
          <w:sz w:val="22"/>
          <w:szCs w:val="22"/>
        </w:rPr>
        <w:t xml:space="preserve"> a reduction in consequences cannot offset an increase in likelihood for a given change as a basis for meeting 10 CFR </w:t>
      </w:r>
      <w:r w:rsidR="00F23C38" w:rsidRPr="00662392">
        <w:rPr>
          <w:sz w:val="22"/>
          <w:szCs w:val="22"/>
        </w:rPr>
        <w:t>72</w:t>
      </w:r>
      <w:r w:rsidRPr="00662392">
        <w:rPr>
          <w:sz w:val="22"/>
          <w:szCs w:val="22"/>
        </w:rPr>
        <w:t>.</w:t>
      </w:r>
      <w:r w:rsidR="00F23C38" w:rsidRPr="00662392">
        <w:rPr>
          <w:sz w:val="22"/>
          <w:szCs w:val="22"/>
        </w:rPr>
        <w:t>48</w:t>
      </w:r>
      <w:r w:rsidRPr="00662392">
        <w:rPr>
          <w:sz w:val="22"/>
          <w:szCs w:val="22"/>
        </w:rPr>
        <w:t>.</w:t>
      </w:r>
    </w:p>
    <w:p w14:paraId="37C1DC93" w14:textId="77777777" w:rsidR="00FC698C" w:rsidRPr="00662392" w:rsidRDefault="00FC698C" w:rsidP="00194415">
      <w:pPr>
        <w:widowControl/>
        <w:rPr>
          <w:sz w:val="22"/>
          <w:szCs w:val="22"/>
        </w:rPr>
      </w:pPr>
    </w:p>
    <w:p w14:paraId="4FCF39DD" w14:textId="1C2AF9E7" w:rsidR="005F3A5D" w:rsidRPr="00662392" w:rsidRDefault="005F3A5D" w:rsidP="00194415">
      <w:pPr>
        <w:widowControl/>
        <w:rPr>
          <w:sz w:val="22"/>
          <w:szCs w:val="22"/>
        </w:rPr>
      </w:pPr>
      <w:r w:rsidRPr="00662392">
        <w:rPr>
          <w:sz w:val="22"/>
          <w:szCs w:val="22"/>
        </w:rPr>
        <w:t xml:space="preserve">Licensee evaluations that concluded that any of the 10 CFR </w:t>
      </w:r>
      <w:r w:rsidR="00F23C38" w:rsidRPr="00662392">
        <w:rPr>
          <w:sz w:val="22"/>
          <w:szCs w:val="22"/>
        </w:rPr>
        <w:t>72</w:t>
      </w:r>
      <w:r w:rsidRPr="00662392">
        <w:rPr>
          <w:sz w:val="22"/>
          <w:szCs w:val="22"/>
        </w:rPr>
        <w:t>.</w:t>
      </w:r>
      <w:r w:rsidR="00F23C38" w:rsidRPr="00662392">
        <w:rPr>
          <w:sz w:val="22"/>
          <w:szCs w:val="22"/>
        </w:rPr>
        <w:t>48</w:t>
      </w:r>
      <w:r w:rsidRPr="00662392">
        <w:rPr>
          <w:sz w:val="22"/>
          <w:szCs w:val="22"/>
        </w:rPr>
        <w:t>(c)(2) criteria are met must obtain a license amendment prior to implementation of the CTE.</w:t>
      </w:r>
    </w:p>
    <w:p w14:paraId="7CE2C9B0" w14:textId="77777777" w:rsidR="005F3A5D" w:rsidRPr="00662392" w:rsidRDefault="005F3A5D" w:rsidP="00194415">
      <w:pPr>
        <w:widowControl/>
        <w:rPr>
          <w:sz w:val="22"/>
          <w:szCs w:val="22"/>
        </w:rPr>
      </w:pPr>
    </w:p>
    <w:p w14:paraId="63925573" w14:textId="04C0388F" w:rsidR="001F5146" w:rsidRPr="00662392" w:rsidRDefault="00BB754E" w:rsidP="00194415">
      <w:pPr>
        <w:rPr>
          <w:sz w:val="22"/>
          <w:szCs w:val="22"/>
          <w:u w:val="single"/>
        </w:rPr>
      </w:pPr>
      <w:r w:rsidRPr="00662392">
        <w:rPr>
          <w:sz w:val="22"/>
          <w:szCs w:val="22"/>
        </w:rPr>
        <w:t>07.11</w:t>
      </w:r>
      <w:r w:rsidRPr="00662392">
        <w:rPr>
          <w:sz w:val="22"/>
          <w:szCs w:val="22"/>
        </w:rPr>
        <w:tab/>
      </w:r>
      <w:r w:rsidRPr="00662392">
        <w:rPr>
          <w:sz w:val="22"/>
          <w:szCs w:val="22"/>
          <w:u w:val="single"/>
        </w:rPr>
        <w:t>Minimal Increase Principle</w:t>
      </w:r>
      <w:r w:rsidRPr="00662392">
        <w:rPr>
          <w:sz w:val="22"/>
          <w:szCs w:val="22"/>
          <w:u w:val="single"/>
        </w:rPr>
        <w:fldChar w:fldCharType="begin"/>
      </w:r>
      <w:r w:rsidRPr="00662392">
        <w:rPr>
          <w:sz w:val="22"/>
          <w:szCs w:val="22"/>
        </w:rPr>
        <w:instrText xml:space="preserve"> TC "</w:instrText>
      </w:r>
      <w:bookmarkStart w:id="135" w:name="_Toc62642926"/>
      <w:bookmarkStart w:id="136" w:name="_Toc63142110"/>
      <w:r w:rsidRPr="00662392">
        <w:rPr>
          <w:sz w:val="22"/>
          <w:szCs w:val="22"/>
        </w:rPr>
        <w:instrText>07.11</w:instrText>
      </w:r>
      <w:r w:rsidRPr="00662392">
        <w:rPr>
          <w:sz w:val="22"/>
          <w:szCs w:val="22"/>
        </w:rPr>
        <w:tab/>
      </w:r>
      <w:r w:rsidRPr="00662392">
        <w:rPr>
          <w:sz w:val="22"/>
          <w:szCs w:val="22"/>
          <w:u w:val="single"/>
        </w:rPr>
        <w:instrText>Minimal Increase Principle</w:instrText>
      </w:r>
      <w:bookmarkEnd w:id="135"/>
      <w:bookmarkEnd w:id="136"/>
      <w:r w:rsidRPr="00662392">
        <w:rPr>
          <w:sz w:val="22"/>
          <w:szCs w:val="22"/>
        </w:rPr>
        <w:instrText xml:space="preserve">" \f C \l "2" </w:instrText>
      </w:r>
      <w:r w:rsidRPr="00662392">
        <w:rPr>
          <w:sz w:val="22"/>
          <w:szCs w:val="22"/>
          <w:u w:val="single"/>
        </w:rPr>
        <w:fldChar w:fldCharType="end"/>
      </w:r>
    </w:p>
    <w:p w14:paraId="302B992B" w14:textId="77777777" w:rsidR="00775546" w:rsidRPr="00662392" w:rsidRDefault="00775546" w:rsidP="00194415">
      <w:pPr>
        <w:widowControl/>
        <w:rPr>
          <w:sz w:val="22"/>
          <w:szCs w:val="22"/>
        </w:rPr>
      </w:pPr>
    </w:p>
    <w:p w14:paraId="124E3185" w14:textId="77777777" w:rsidR="000E0ACD" w:rsidRDefault="00241D0D" w:rsidP="00194415">
      <w:pPr>
        <w:widowControl/>
        <w:rPr>
          <w:sz w:val="22"/>
          <w:szCs w:val="22"/>
        </w:rPr>
      </w:pPr>
      <w:r w:rsidRPr="00662392">
        <w:rPr>
          <w:sz w:val="22"/>
          <w:szCs w:val="22"/>
        </w:rPr>
        <w:t>The “minimal increase” principle is described in Section 06.1</w:t>
      </w:r>
      <w:r w:rsidR="00223ABA" w:rsidRPr="00662392">
        <w:rPr>
          <w:sz w:val="22"/>
          <w:szCs w:val="22"/>
        </w:rPr>
        <w:t>3</w:t>
      </w:r>
      <w:r w:rsidRPr="00662392">
        <w:rPr>
          <w:sz w:val="22"/>
          <w:szCs w:val="22"/>
        </w:rPr>
        <w:t xml:space="preserve"> of this IMC.  Additionally, </w:t>
      </w:r>
      <w:r w:rsidR="001F5146" w:rsidRPr="00662392">
        <w:rPr>
          <w:sz w:val="22"/>
          <w:szCs w:val="22"/>
        </w:rPr>
        <w:t xml:space="preserve">ISFSI design </w:t>
      </w:r>
      <w:r w:rsidR="00B432D2" w:rsidRPr="00662392">
        <w:rPr>
          <w:sz w:val="22"/>
          <w:szCs w:val="22"/>
        </w:rPr>
        <w:t xml:space="preserve">basis </w:t>
      </w:r>
      <w:r w:rsidR="001F5146" w:rsidRPr="00662392">
        <w:rPr>
          <w:sz w:val="22"/>
          <w:szCs w:val="22"/>
        </w:rPr>
        <w:t>events and equipment failures were generally postulated to gauge the robustness of the design, without estimating their likelihood of occurrence.</w:t>
      </w:r>
    </w:p>
    <w:p w14:paraId="7518C374" w14:textId="77777777" w:rsidR="00C1473C" w:rsidRDefault="00C1473C" w:rsidP="00194415">
      <w:pPr>
        <w:widowControl/>
        <w:rPr>
          <w:sz w:val="22"/>
          <w:szCs w:val="22"/>
        </w:rPr>
      </w:pPr>
    </w:p>
    <w:p w14:paraId="55F75850" w14:textId="34A26810" w:rsidR="001F5146" w:rsidRPr="00662392" w:rsidRDefault="00ED51A7" w:rsidP="00194415">
      <w:pPr>
        <w:widowControl/>
        <w:rPr>
          <w:sz w:val="22"/>
          <w:szCs w:val="22"/>
        </w:rPr>
      </w:pPr>
      <w:r w:rsidRPr="00662392">
        <w:rPr>
          <w:sz w:val="22"/>
          <w:szCs w:val="22"/>
        </w:rPr>
        <w:t xml:space="preserve">The inspector may reference </w:t>
      </w:r>
      <w:r w:rsidR="00E32FBF" w:rsidRPr="00662392">
        <w:rPr>
          <w:sz w:val="22"/>
          <w:szCs w:val="22"/>
        </w:rPr>
        <w:t>the applicable SRP</w:t>
      </w:r>
      <w:r w:rsidR="00F9111A" w:rsidRPr="00662392">
        <w:rPr>
          <w:sz w:val="22"/>
          <w:szCs w:val="22"/>
        </w:rPr>
        <w:t xml:space="preserve"> for </w:t>
      </w:r>
      <w:r w:rsidR="00E32FBF" w:rsidRPr="00662392">
        <w:rPr>
          <w:sz w:val="22"/>
          <w:szCs w:val="22"/>
        </w:rPr>
        <w:t>s</w:t>
      </w:r>
      <w:r w:rsidR="00F9111A" w:rsidRPr="00662392">
        <w:rPr>
          <w:sz w:val="22"/>
          <w:szCs w:val="22"/>
        </w:rPr>
        <w:t xml:space="preserve">pent </w:t>
      </w:r>
      <w:r w:rsidR="00E32FBF" w:rsidRPr="00662392">
        <w:rPr>
          <w:sz w:val="22"/>
          <w:szCs w:val="22"/>
        </w:rPr>
        <w:t>f</w:t>
      </w:r>
      <w:r w:rsidR="00F9111A" w:rsidRPr="00662392">
        <w:rPr>
          <w:sz w:val="22"/>
          <w:szCs w:val="22"/>
        </w:rPr>
        <w:t xml:space="preserve">uel </w:t>
      </w:r>
      <w:r w:rsidR="00E32FBF" w:rsidRPr="00662392">
        <w:rPr>
          <w:sz w:val="22"/>
          <w:szCs w:val="22"/>
        </w:rPr>
        <w:t>d</w:t>
      </w:r>
      <w:r w:rsidR="00F9111A" w:rsidRPr="00662392">
        <w:rPr>
          <w:sz w:val="22"/>
          <w:szCs w:val="22"/>
        </w:rPr>
        <w:t xml:space="preserve">ry </w:t>
      </w:r>
      <w:r w:rsidR="00E32FBF" w:rsidRPr="00662392">
        <w:rPr>
          <w:sz w:val="22"/>
          <w:szCs w:val="22"/>
        </w:rPr>
        <w:t>s</w:t>
      </w:r>
      <w:r w:rsidR="00F9111A" w:rsidRPr="00662392">
        <w:rPr>
          <w:sz w:val="22"/>
          <w:szCs w:val="22"/>
        </w:rPr>
        <w:t xml:space="preserve">torage </w:t>
      </w:r>
      <w:r w:rsidR="00E32FBF" w:rsidRPr="00662392">
        <w:rPr>
          <w:sz w:val="22"/>
          <w:szCs w:val="22"/>
        </w:rPr>
        <w:t>s</w:t>
      </w:r>
      <w:r w:rsidR="00F9111A" w:rsidRPr="00662392">
        <w:rPr>
          <w:sz w:val="22"/>
          <w:szCs w:val="22"/>
        </w:rPr>
        <w:t xml:space="preserve">ystems and </w:t>
      </w:r>
      <w:r w:rsidR="00E32FBF" w:rsidRPr="00662392">
        <w:rPr>
          <w:sz w:val="22"/>
          <w:szCs w:val="22"/>
        </w:rPr>
        <w:t>f</w:t>
      </w:r>
      <w:r w:rsidR="00F9111A" w:rsidRPr="00662392">
        <w:rPr>
          <w:sz w:val="22"/>
          <w:szCs w:val="22"/>
        </w:rPr>
        <w:t>acilities</w:t>
      </w:r>
      <w:r w:rsidR="00F9111A" w:rsidRPr="00662392" w:rsidDel="00E32FBF">
        <w:rPr>
          <w:sz w:val="22"/>
          <w:szCs w:val="22"/>
        </w:rPr>
        <w:t xml:space="preserve"> </w:t>
      </w:r>
      <w:r w:rsidRPr="00662392">
        <w:rPr>
          <w:sz w:val="22"/>
          <w:szCs w:val="22"/>
        </w:rPr>
        <w:t>for additional insight related to the minimal increase principle.</w:t>
      </w:r>
    </w:p>
    <w:p w14:paraId="0D03C9BC" w14:textId="77777777" w:rsidR="001F5146" w:rsidRPr="00662392" w:rsidRDefault="001F5146" w:rsidP="00194415">
      <w:pPr>
        <w:rPr>
          <w:sz w:val="22"/>
          <w:szCs w:val="22"/>
        </w:rPr>
      </w:pPr>
    </w:p>
    <w:p w14:paraId="77B51DD3" w14:textId="19D0BBF1" w:rsidR="001F5146" w:rsidRPr="00662392" w:rsidRDefault="00BB754E" w:rsidP="00194415">
      <w:pPr>
        <w:widowControl/>
        <w:rPr>
          <w:color w:val="000000"/>
          <w:sz w:val="22"/>
          <w:szCs w:val="22"/>
        </w:rPr>
      </w:pPr>
      <w:r w:rsidRPr="00662392">
        <w:rPr>
          <w:sz w:val="22"/>
          <w:szCs w:val="22"/>
        </w:rPr>
        <w:t>07.12</w:t>
      </w:r>
      <w:r w:rsidRPr="00662392">
        <w:rPr>
          <w:sz w:val="22"/>
          <w:szCs w:val="22"/>
        </w:rPr>
        <w:tab/>
      </w:r>
      <w:r w:rsidRPr="00662392">
        <w:rPr>
          <w:color w:val="000000"/>
          <w:sz w:val="22"/>
          <w:szCs w:val="22"/>
          <w:u w:val="single"/>
        </w:rPr>
        <w:t>Probabilistic Risk Assessment and Risk Insights</w:t>
      </w:r>
      <w:r w:rsidRPr="00662392">
        <w:rPr>
          <w:color w:val="000000"/>
          <w:sz w:val="22"/>
          <w:szCs w:val="22"/>
          <w:u w:val="single"/>
        </w:rPr>
        <w:fldChar w:fldCharType="begin"/>
      </w:r>
      <w:r w:rsidRPr="00662392">
        <w:rPr>
          <w:sz w:val="22"/>
          <w:szCs w:val="22"/>
        </w:rPr>
        <w:instrText xml:space="preserve"> TC "</w:instrText>
      </w:r>
      <w:bookmarkStart w:id="137" w:name="_Toc62642927"/>
      <w:bookmarkStart w:id="138" w:name="_Toc63142111"/>
      <w:r w:rsidRPr="00662392">
        <w:rPr>
          <w:sz w:val="22"/>
          <w:szCs w:val="22"/>
        </w:rPr>
        <w:instrText>07.12</w:instrText>
      </w:r>
      <w:r w:rsidRPr="00662392">
        <w:rPr>
          <w:sz w:val="22"/>
          <w:szCs w:val="22"/>
        </w:rPr>
        <w:tab/>
      </w:r>
      <w:r w:rsidRPr="00662392">
        <w:rPr>
          <w:color w:val="000000"/>
          <w:sz w:val="22"/>
          <w:szCs w:val="22"/>
          <w:u w:val="single"/>
        </w:rPr>
        <w:instrText>Probabilistic Risk Assessment and Risk Insights</w:instrText>
      </w:r>
      <w:bookmarkEnd w:id="137"/>
      <w:bookmarkEnd w:id="138"/>
      <w:r w:rsidRPr="00662392">
        <w:rPr>
          <w:sz w:val="22"/>
          <w:szCs w:val="22"/>
        </w:rPr>
        <w:instrText xml:space="preserve">" \f C \l "2" </w:instrText>
      </w:r>
      <w:r w:rsidRPr="00662392">
        <w:rPr>
          <w:color w:val="000000"/>
          <w:sz w:val="22"/>
          <w:szCs w:val="22"/>
          <w:u w:val="single"/>
        </w:rPr>
        <w:fldChar w:fldCharType="end"/>
      </w:r>
    </w:p>
    <w:p w14:paraId="7A461C50" w14:textId="77777777" w:rsidR="001F5146" w:rsidRPr="00662392" w:rsidRDefault="001F5146" w:rsidP="00194415">
      <w:pPr>
        <w:widowControl/>
        <w:rPr>
          <w:color w:val="000000"/>
          <w:sz w:val="22"/>
          <w:szCs w:val="22"/>
        </w:rPr>
      </w:pPr>
    </w:p>
    <w:p w14:paraId="178D9C6F" w14:textId="77777777" w:rsidR="00C1473C" w:rsidRDefault="00AA1C0A" w:rsidP="00194415">
      <w:pPr>
        <w:rPr>
          <w:sz w:val="22"/>
          <w:szCs w:val="22"/>
        </w:rPr>
        <w:sectPr w:rsidR="00C1473C" w:rsidSect="00012998">
          <w:footerReference w:type="default" r:id="rId51"/>
          <w:pgSz w:w="12240" w:h="15840" w:code="1"/>
          <w:pgMar w:top="1440" w:right="1440" w:bottom="1440" w:left="1440" w:header="720" w:footer="720" w:gutter="0"/>
          <w:cols w:space="720"/>
          <w:noEndnote/>
          <w:docGrid w:linePitch="326"/>
        </w:sectPr>
      </w:pPr>
      <w:r w:rsidRPr="00662392">
        <w:rPr>
          <w:sz w:val="22"/>
          <w:szCs w:val="22"/>
        </w:rPr>
        <w:t>For licensees committed to RG 3.72</w:t>
      </w:r>
      <w:r w:rsidR="001C5AB0" w:rsidRPr="00662392">
        <w:rPr>
          <w:sz w:val="22"/>
          <w:szCs w:val="22"/>
        </w:rPr>
        <w:t xml:space="preserve">, Revision 0, </w:t>
      </w:r>
      <w:r w:rsidR="006E6958" w:rsidRPr="00662392">
        <w:rPr>
          <w:sz w:val="22"/>
          <w:szCs w:val="22"/>
        </w:rPr>
        <w:t>the use of PRA and risk insights is described in Section 06.1</w:t>
      </w:r>
      <w:r w:rsidR="00DA7A50" w:rsidRPr="00662392">
        <w:rPr>
          <w:sz w:val="22"/>
          <w:szCs w:val="22"/>
        </w:rPr>
        <w:t>4</w:t>
      </w:r>
      <w:r w:rsidR="006E6958" w:rsidRPr="00662392">
        <w:rPr>
          <w:sz w:val="22"/>
          <w:szCs w:val="22"/>
        </w:rPr>
        <w:t xml:space="preserve"> of this IMC.</w:t>
      </w:r>
    </w:p>
    <w:p w14:paraId="24030CF3" w14:textId="24149182" w:rsidR="006E6958" w:rsidRPr="00662392" w:rsidRDefault="006E6958" w:rsidP="00194415">
      <w:pPr>
        <w:rPr>
          <w:sz w:val="22"/>
          <w:szCs w:val="22"/>
        </w:rPr>
      </w:pPr>
    </w:p>
    <w:p w14:paraId="3F8AADEB" w14:textId="58262CB0" w:rsidR="0010048A" w:rsidRPr="00662392" w:rsidRDefault="006E6958" w:rsidP="00194415">
      <w:pPr>
        <w:rPr>
          <w:sz w:val="22"/>
          <w:szCs w:val="22"/>
        </w:rPr>
      </w:pPr>
      <w:r w:rsidRPr="00662392">
        <w:rPr>
          <w:sz w:val="22"/>
          <w:szCs w:val="22"/>
        </w:rPr>
        <w:t xml:space="preserve">For licensees committed to RG 3.72, Revision 1, NEI 12-04, Revision 2, provides guidance </w:t>
      </w:r>
      <w:r w:rsidR="004A5B6B" w:rsidRPr="00662392">
        <w:rPr>
          <w:sz w:val="22"/>
          <w:szCs w:val="22"/>
        </w:rPr>
        <w:t xml:space="preserve">explaining that </w:t>
      </w:r>
      <w:r w:rsidRPr="00662392">
        <w:rPr>
          <w:sz w:val="22"/>
          <w:szCs w:val="22"/>
        </w:rPr>
        <w:t xml:space="preserve">the use of PRA </w:t>
      </w:r>
      <w:r w:rsidR="004A5B6B" w:rsidRPr="00662392">
        <w:rPr>
          <w:sz w:val="22"/>
          <w:szCs w:val="22"/>
        </w:rPr>
        <w:t>i</w:t>
      </w:r>
      <w:r w:rsidRPr="00662392">
        <w:rPr>
          <w:sz w:val="22"/>
          <w:szCs w:val="22"/>
        </w:rPr>
        <w:t xml:space="preserve">s inapplicable to 10 CFR 72.48. </w:t>
      </w:r>
    </w:p>
    <w:p w14:paraId="3C67C644" w14:textId="77777777" w:rsidR="00BB6A25" w:rsidRPr="00662392" w:rsidRDefault="00BB6A25" w:rsidP="00194415">
      <w:pPr>
        <w:rPr>
          <w:sz w:val="22"/>
          <w:szCs w:val="22"/>
        </w:rPr>
      </w:pPr>
    </w:p>
    <w:p w14:paraId="22378316" w14:textId="207C998E" w:rsidR="00BB6A25" w:rsidRPr="00662392" w:rsidRDefault="00BB6A25" w:rsidP="00194415">
      <w:pPr>
        <w:rPr>
          <w:sz w:val="22"/>
          <w:szCs w:val="22"/>
        </w:rPr>
      </w:pPr>
      <w:r w:rsidRPr="00662392">
        <w:rPr>
          <w:sz w:val="22"/>
          <w:szCs w:val="22"/>
        </w:rPr>
        <w:t xml:space="preserve">For licensees that have not committed to </w:t>
      </w:r>
      <w:r w:rsidR="00307A0C" w:rsidRPr="00662392">
        <w:rPr>
          <w:sz w:val="22"/>
          <w:szCs w:val="22"/>
        </w:rPr>
        <w:t>either</w:t>
      </w:r>
      <w:r w:rsidRPr="00662392">
        <w:rPr>
          <w:sz w:val="22"/>
          <w:szCs w:val="22"/>
        </w:rPr>
        <w:t xml:space="preserve"> version of RG 3.72,</w:t>
      </w:r>
      <w:r w:rsidR="00800897" w:rsidRPr="00662392">
        <w:rPr>
          <w:sz w:val="22"/>
          <w:szCs w:val="22"/>
        </w:rPr>
        <w:t xml:space="preserve"> then an inspector should confirm whether the licensee has followed its</w:t>
      </w:r>
      <w:r w:rsidR="00725FB4" w:rsidRPr="00662392">
        <w:rPr>
          <w:sz w:val="22"/>
          <w:szCs w:val="22"/>
        </w:rPr>
        <w:t xml:space="preserve"> current</w:t>
      </w:r>
      <w:r w:rsidR="00800897" w:rsidRPr="00662392">
        <w:rPr>
          <w:sz w:val="22"/>
          <w:szCs w:val="22"/>
        </w:rPr>
        <w:t xml:space="preserve"> licensing basis</w:t>
      </w:r>
      <w:r w:rsidR="00725FB4" w:rsidRPr="00662392">
        <w:rPr>
          <w:sz w:val="22"/>
          <w:szCs w:val="22"/>
        </w:rPr>
        <w:t xml:space="preserve"> </w:t>
      </w:r>
      <w:proofErr w:type="gramStart"/>
      <w:r w:rsidR="00725FB4" w:rsidRPr="00662392">
        <w:rPr>
          <w:sz w:val="22"/>
          <w:szCs w:val="22"/>
        </w:rPr>
        <w:t>with re</w:t>
      </w:r>
      <w:r w:rsidR="005E563D" w:rsidRPr="00662392">
        <w:rPr>
          <w:sz w:val="22"/>
          <w:szCs w:val="22"/>
        </w:rPr>
        <w:t>gard t</w:t>
      </w:r>
      <w:r w:rsidR="00C42A5C">
        <w:rPr>
          <w:sz w:val="22"/>
          <w:szCs w:val="22"/>
        </w:rPr>
        <w:t>o</w:t>
      </w:r>
      <w:proofErr w:type="gramEnd"/>
      <w:r w:rsidR="005E563D" w:rsidRPr="00662392">
        <w:rPr>
          <w:sz w:val="22"/>
          <w:szCs w:val="22"/>
        </w:rPr>
        <w:t xml:space="preserve"> use of PRA</w:t>
      </w:r>
      <w:r w:rsidR="00800897" w:rsidRPr="00662392">
        <w:rPr>
          <w:sz w:val="22"/>
          <w:szCs w:val="22"/>
        </w:rPr>
        <w:t xml:space="preserve"> and whether the</w:t>
      </w:r>
      <w:r w:rsidRPr="00662392">
        <w:rPr>
          <w:sz w:val="22"/>
          <w:szCs w:val="22"/>
        </w:rPr>
        <w:t xml:space="preserve"> licensee evaluations comply with the regulations in 10 CFR 72.48.</w:t>
      </w:r>
      <w:r w:rsidR="005D774A" w:rsidRPr="00662392">
        <w:rPr>
          <w:sz w:val="22"/>
          <w:szCs w:val="22"/>
        </w:rPr>
        <w:t xml:space="preserve"> </w:t>
      </w:r>
    </w:p>
    <w:p w14:paraId="10CFC991" w14:textId="671BACAF" w:rsidR="00BA1D28" w:rsidRDefault="00BA1D28" w:rsidP="00194415">
      <w:pPr>
        <w:rPr>
          <w:sz w:val="22"/>
          <w:szCs w:val="22"/>
        </w:rPr>
      </w:pPr>
    </w:p>
    <w:p w14:paraId="26B55FD7" w14:textId="656C7089" w:rsidR="001F5146" w:rsidRPr="00662392" w:rsidRDefault="00BB754E" w:rsidP="00662392">
      <w:pPr>
        <w:rPr>
          <w:sz w:val="22"/>
          <w:szCs w:val="22"/>
        </w:rPr>
      </w:pPr>
      <w:r w:rsidRPr="00662392">
        <w:rPr>
          <w:sz w:val="22"/>
          <w:szCs w:val="22"/>
        </w:rPr>
        <w:t>07.13</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000A27B1" w:rsidRPr="00662392">
        <w:rPr>
          <w:sz w:val="22"/>
          <w:szCs w:val="22"/>
          <w:u w:val="single"/>
        </w:rPr>
        <w:t xml:space="preserve"> </w:t>
      </w:r>
      <w:r w:rsidRPr="00662392">
        <w:rPr>
          <w:sz w:val="22"/>
          <w:szCs w:val="22"/>
          <w:u w:val="single"/>
        </w:rPr>
        <w:t>Holder Evaluation of Criterion</w:t>
      </w:r>
      <w:r w:rsidR="004B1278" w:rsidRPr="00662392">
        <w:rPr>
          <w:sz w:val="22"/>
          <w:szCs w:val="22"/>
          <w:u w:val="single"/>
        </w:rPr>
        <w:t xml:space="preserve"> </w:t>
      </w:r>
      <w:r w:rsidR="00775546" w:rsidRPr="00662392">
        <w:rPr>
          <w:sz w:val="22"/>
          <w:szCs w:val="22"/>
          <w:u w:val="single"/>
        </w:rPr>
        <w:t>(c)(2)(</w:t>
      </w:r>
      <w:proofErr w:type="spellStart"/>
      <w:r w:rsidR="00775546" w:rsidRPr="00662392">
        <w:rPr>
          <w:sz w:val="22"/>
          <w:szCs w:val="22"/>
          <w:u w:val="single"/>
        </w:rPr>
        <w:t>i</w:t>
      </w:r>
      <w:proofErr w:type="spellEnd"/>
      <w:r w:rsidR="00775546" w:rsidRPr="00662392">
        <w:rPr>
          <w:sz w:val="22"/>
          <w:szCs w:val="22"/>
          <w:u w:val="single"/>
        </w:rPr>
        <w:t>)</w:t>
      </w:r>
      <w:r w:rsidRPr="00662392">
        <w:rPr>
          <w:sz w:val="22"/>
          <w:szCs w:val="22"/>
          <w:u w:val="single"/>
        </w:rPr>
        <w:fldChar w:fldCharType="begin"/>
      </w:r>
      <w:r w:rsidRPr="00662392">
        <w:rPr>
          <w:sz w:val="22"/>
          <w:szCs w:val="22"/>
        </w:rPr>
        <w:instrText xml:space="preserve"> TC "</w:instrText>
      </w:r>
      <w:bookmarkStart w:id="139" w:name="_Toc62642928"/>
      <w:bookmarkStart w:id="140" w:name="_Toc63142112"/>
      <w:r w:rsidRPr="00662392">
        <w:rPr>
          <w:sz w:val="22"/>
          <w:szCs w:val="22"/>
        </w:rPr>
        <w:instrText>07.13</w:instrText>
      </w:r>
      <w:r w:rsidR="00662392" w:rsidRPr="00662392">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(c)(2)(i)</w:instrText>
      </w:r>
      <w:bookmarkEnd w:id="139"/>
      <w:bookmarkEnd w:id="140"/>
      <w:r w:rsidRPr="00662392">
        <w:rPr>
          <w:sz w:val="22"/>
          <w:szCs w:val="22"/>
        </w:rPr>
        <w:instrText xml:space="preserve">" \f C \l "2" </w:instrText>
      </w:r>
      <w:r w:rsidRPr="00662392">
        <w:rPr>
          <w:sz w:val="22"/>
          <w:szCs w:val="22"/>
          <w:u w:val="single"/>
        </w:rPr>
        <w:fldChar w:fldCharType="end"/>
      </w:r>
    </w:p>
    <w:p w14:paraId="172A7A46" w14:textId="77777777" w:rsidR="001F5146" w:rsidRPr="00662392" w:rsidRDefault="001F5146" w:rsidP="00194415">
      <w:pPr>
        <w:rPr>
          <w:sz w:val="22"/>
          <w:szCs w:val="22"/>
        </w:rPr>
      </w:pPr>
    </w:p>
    <w:p w14:paraId="53A187A0" w14:textId="2760905E" w:rsidR="001F5146" w:rsidRPr="00662392" w:rsidRDefault="001F5146" w:rsidP="00194415">
      <w:pPr>
        <w:rPr>
          <w:sz w:val="22"/>
          <w:szCs w:val="22"/>
        </w:rPr>
      </w:pPr>
      <w:r w:rsidRPr="00662392">
        <w:rPr>
          <w:sz w:val="22"/>
          <w:szCs w:val="22"/>
        </w:rPr>
        <w:t>10 CFR 72.48(c)(2)(</w:t>
      </w:r>
      <w:proofErr w:type="spellStart"/>
      <w:r w:rsidRPr="00662392">
        <w:rPr>
          <w:sz w:val="22"/>
          <w:szCs w:val="22"/>
        </w:rPr>
        <w:t>i</w:t>
      </w:r>
      <w:proofErr w:type="spellEnd"/>
      <w:r w:rsidRPr="00662392">
        <w:rPr>
          <w:sz w:val="22"/>
          <w:szCs w:val="22"/>
        </w:rPr>
        <w:t xml:space="preserve">) </w:t>
      </w:r>
      <w:r w:rsidR="007A78AE" w:rsidRPr="00662392">
        <w:rPr>
          <w:sz w:val="22"/>
          <w:szCs w:val="22"/>
        </w:rPr>
        <w:t>focuses on whether the</w:t>
      </w:r>
      <w:r w:rsidRPr="00662392">
        <w:rPr>
          <w:sz w:val="22"/>
          <w:szCs w:val="22"/>
        </w:rPr>
        <w:t xml:space="preserve"> CTE </w:t>
      </w:r>
      <w:r w:rsidR="00742036" w:rsidRPr="00662392">
        <w:rPr>
          <w:sz w:val="22"/>
          <w:szCs w:val="22"/>
        </w:rPr>
        <w:t>would</w:t>
      </w:r>
      <w:r w:rsidRPr="00662392">
        <w:rPr>
          <w:sz w:val="22"/>
          <w:szCs w:val="22"/>
        </w:rPr>
        <w:t xml:space="preserve"> result in </w:t>
      </w:r>
      <w:r w:rsidR="00742036" w:rsidRPr="00662392">
        <w:rPr>
          <w:sz w:val="22"/>
          <w:szCs w:val="22"/>
        </w:rPr>
        <w:t xml:space="preserve">a </w:t>
      </w:r>
      <w:r w:rsidRPr="00662392">
        <w:rPr>
          <w:sz w:val="22"/>
          <w:szCs w:val="22"/>
        </w:rPr>
        <w:t>more than a minimal increase in the frequency of occurrence of an accident previously evaluated in the UFSAR.</w:t>
      </w:r>
    </w:p>
    <w:p w14:paraId="76DCE7CD" w14:textId="77777777" w:rsidR="001F5146" w:rsidRPr="00662392" w:rsidRDefault="001F5146" w:rsidP="00194415">
      <w:pPr>
        <w:rPr>
          <w:sz w:val="22"/>
          <w:szCs w:val="22"/>
        </w:rPr>
      </w:pPr>
    </w:p>
    <w:p w14:paraId="13B5AC25" w14:textId="52CCBADE" w:rsidR="001F5146" w:rsidRPr="00662392" w:rsidRDefault="001F5146" w:rsidP="00194415">
      <w:pPr>
        <w:widowControl/>
        <w:rPr>
          <w:sz w:val="22"/>
          <w:szCs w:val="22"/>
        </w:rPr>
      </w:pPr>
      <w:r w:rsidRPr="00662392">
        <w:rPr>
          <w:sz w:val="22"/>
          <w:szCs w:val="22"/>
        </w:rPr>
        <w:t>As described in NEI 12-04,</w:t>
      </w:r>
      <w:r w:rsidR="00B363B9" w:rsidRPr="00662392">
        <w:rPr>
          <w:sz w:val="22"/>
          <w:szCs w:val="22"/>
        </w:rPr>
        <w:t xml:space="preserve"> Revision 2,</w:t>
      </w:r>
      <w:r w:rsidRPr="00662392">
        <w:rPr>
          <w:sz w:val="22"/>
          <w:szCs w:val="22"/>
        </w:rPr>
        <w:t xml:space="preserve"> ISFSI design events have been divided into categories based upon a qualitative assessment of frequency. </w:t>
      </w:r>
      <w:r w:rsidR="00C42A5C">
        <w:rPr>
          <w:sz w:val="22"/>
          <w:szCs w:val="22"/>
        </w:rPr>
        <w:t xml:space="preserve"> </w:t>
      </w:r>
      <w:r w:rsidRPr="00662392">
        <w:rPr>
          <w:sz w:val="22"/>
          <w:szCs w:val="22"/>
        </w:rPr>
        <w:t xml:space="preserve">The frequency categories for design events, as discussed in NUREG-2215 and ANSI/ANS-57.9, </w:t>
      </w:r>
      <w:r w:rsidR="005A4C04" w:rsidRPr="00662392">
        <w:rPr>
          <w:sz w:val="22"/>
          <w:szCs w:val="22"/>
        </w:rPr>
        <w:t xml:space="preserve">“Design Criteria for an Independent Spent Fuel Storage Installation (Dry Type),” </w:t>
      </w:r>
      <w:r w:rsidRPr="00662392">
        <w:rPr>
          <w:sz w:val="22"/>
          <w:szCs w:val="22"/>
        </w:rPr>
        <w:t>are:</w:t>
      </w:r>
    </w:p>
    <w:p w14:paraId="3B99C6E8" w14:textId="77777777" w:rsidR="001F5146" w:rsidRPr="00662392" w:rsidRDefault="001F5146" w:rsidP="00194415">
      <w:pPr>
        <w:rPr>
          <w:sz w:val="22"/>
          <w:szCs w:val="22"/>
        </w:rPr>
      </w:pPr>
    </w:p>
    <w:p w14:paraId="1570865B" w14:textId="77777777" w:rsidR="001F5146" w:rsidRPr="00662392" w:rsidRDefault="001F5146" w:rsidP="00194415">
      <w:pPr>
        <w:widowControl/>
        <w:numPr>
          <w:ilvl w:val="0"/>
          <w:numId w:val="9"/>
        </w:numPr>
        <w:autoSpaceDE/>
        <w:autoSpaceDN/>
        <w:adjustRightInd/>
        <w:contextualSpacing/>
        <w:rPr>
          <w:rFonts w:eastAsia="Times New Roman"/>
          <w:sz w:val="22"/>
          <w:szCs w:val="22"/>
        </w:rPr>
      </w:pPr>
      <w:r w:rsidRPr="00662392">
        <w:rPr>
          <w:rFonts w:eastAsia="Times New Roman"/>
          <w:sz w:val="22"/>
          <w:szCs w:val="22"/>
        </w:rPr>
        <w:t xml:space="preserve">Design Event I - Normal Operations: Events that are expected to occur regularly or frequently in the course of normal operation of the ISFSI. </w:t>
      </w:r>
    </w:p>
    <w:p w14:paraId="18DEFCE5" w14:textId="38BF4E34" w:rsidR="001F5146" w:rsidRPr="00662392" w:rsidRDefault="001F5146" w:rsidP="00194415">
      <w:pPr>
        <w:widowControl/>
        <w:numPr>
          <w:ilvl w:val="0"/>
          <w:numId w:val="9"/>
        </w:numPr>
        <w:autoSpaceDE/>
        <w:autoSpaceDN/>
        <w:adjustRightInd/>
        <w:contextualSpacing/>
        <w:rPr>
          <w:rFonts w:eastAsia="Times New Roman"/>
          <w:sz w:val="22"/>
          <w:szCs w:val="22"/>
        </w:rPr>
      </w:pPr>
      <w:r w:rsidRPr="00662392">
        <w:rPr>
          <w:rFonts w:eastAsia="Times New Roman"/>
          <w:sz w:val="22"/>
          <w:szCs w:val="22"/>
        </w:rPr>
        <w:t xml:space="preserve">Design Event II - Anticipated Occurrences (Off-normal Events): Events that can be expected to occur with moderate frequency or on the order of once per calendar year of ISFSI operation. </w:t>
      </w:r>
    </w:p>
    <w:p w14:paraId="3D989AA2" w14:textId="77777777" w:rsidR="001F5146" w:rsidRPr="00662392" w:rsidRDefault="001F5146" w:rsidP="00194415">
      <w:pPr>
        <w:widowControl/>
        <w:numPr>
          <w:ilvl w:val="0"/>
          <w:numId w:val="9"/>
        </w:numPr>
        <w:autoSpaceDE/>
        <w:autoSpaceDN/>
        <w:adjustRightInd/>
        <w:contextualSpacing/>
        <w:rPr>
          <w:rFonts w:eastAsia="Times New Roman"/>
          <w:sz w:val="22"/>
          <w:szCs w:val="22"/>
        </w:rPr>
      </w:pPr>
      <w:r w:rsidRPr="00662392">
        <w:rPr>
          <w:rFonts w:eastAsia="Times New Roman"/>
          <w:sz w:val="22"/>
          <w:szCs w:val="22"/>
        </w:rPr>
        <w:t xml:space="preserve">Design Events III and IV - Accident Events: Events considered to occur infrequently, if ever, during the lifetime of the ISFSI. </w:t>
      </w:r>
    </w:p>
    <w:p w14:paraId="22711098" w14:textId="77777777" w:rsidR="001F5146" w:rsidRPr="00662392" w:rsidRDefault="001F5146" w:rsidP="00194415">
      <w:pPr>
        <w:rPr>
          <w:sz w:val="22"/>
          <w:szCs w:val="22"/>
        </w:rPr>
      </w:pPr>
    </w:p>
    <w:p w14:paraId="66966597" w14:textId="431F9510" w:rsidR="001F5146" w:rsidRPr="00662392" w:rsidRDefault="0077228D" w:rsidP="00194415">
      <w:pPr>
        <w:rPr>
          <w:color w:val="000000"/>
          <w:sz w:val="22"/>
          <w:szCs w:val="22"/>
        </w:rPr>
      </w:pPr>
      <w:r w:rsidRPr="00662392">
        <w:rPr>
          <w:sz w:val="22"/>
          <w:szCs w:val="22"/>
        </w:rPr>
        <w:t>T</w:t>
      </w:r>
      <w:r w:rsidR="001F5146" w:rsidRPr="00662392">
        <w:rPr>
          <w:sz w:val="22"/>
          <w:szCs w:val="22"/>
        </w:rPr>
        <w:t>he SOCs for the final rule</w:t>
      </w:r>
      <w:r w:rsidR="001F5146" w:rsidRPr="00662392">
        <w:rPr>
          <w:color w:val="000000"/>
          <w:sz w:val="22"/>
          <w:szCs w:val="22"/>
        </w:rPr>
        <w:t xml:space="preserve"> considered accident frequencies broad</w:t>
      </w:r>
      <w:r w:rsidRPr="00662392">
        <w:rPr>
          <w:color w:val="000000"/>
          <w:sz w:val="22"/>
          <w:szCs w:val="22"/>
        </w:rPr>
        <w:t>ly</w:t>
      </w:r>
      <w:r w:rsidR="00EE43E4" w:rsidRPr="00662392">
        <w:rPr>
          <w:color w:val="000000"/>
          <w:sz w:val="22"/>
          <w:szCs w:val="22"/>
        </w:rPr>
        <w:t>.  I</w:t>
      </w:r>
      <w:r w:rsidR="001F5146" w:rsidRPr="00662392">
        <w:rPr>
          <w:color w:val="000000"/>
          <w:sz w:val="22"/>
          <w:szCs w:val="22"/>
        </w:rPr>
        <w:t xml:space="preserve">nspectors should </w:t>
      </w:r>
      <w:r w:rsidR="00D221FD" w:rsidRPr="00662392">
        <w:rPr>
          <w:color w:val="000000"/>
          <w:sz w:val="22"/>
          <w:szCs w:val="22"/>
        </w:rPr>
        <w:t xml:space="preserve">recognize </w:t>
      </w:r>
      <w:r w:rsidR="001F5146" w:rsidRPr="00662392">
        <w:rPr>
          <w:color w:val="000000"/>
          <w:sz w:val="22"/>
          <w:szCs w:val="22"/>
        </w:rPr>
        <w:t xml:space="preserve">that a change from one frequency category to a more frequent category is a change that results in more than a minimal increase in the frequency of occurrence of an accident.  Changes within a frequency category could also result in more than a minimal increase in the frequency of occurrence of an accident. </w:t>
      </w:r>
      <w:r w:rsidR="00D778A0">
        <w:rPr>
          <w:color w:val="000000"/>
          <w:sz w:val="22"/>
          <w:szCs w:val="22"/>
        </w:rPr>
        <w:t xml:space="preserve"> </w:t>
      </w:r>
      <w:r w:rsidR="001F5146" w:rsidRPr="00662392">
        <w:rPr>
          <w:color w:val="000000"/>
          <w:sz w:val="22"/>
          <w:szCs w:val="22"/>
        </w:rPr>
        <w:t xml:space="preserve">Normally, inspectors should base their </w:t>
      </w:r>
      <w:r w:rsidR="00141B59" w:rsidRPr="00662392">
        <w:rPr>
          <w:color w:val="000000"/>
          <w:sz w:val="22"/>
          <w:szCs w:val="22"/>
        </w:rPr>
        <w:t xml:space="preserve">review of licensee </w:t>
      </w:r>
      <w:r w:rsidR="001F5146" w:rsidRPr="00662392">
        <w:rPr>
          <w:color w:val="000000"/>
          <w:sz w:val="22"/>
          <w:szCs w:val="22"/>
        </w:rPr>
        <w:t>determination</w:t>
      </w:r>
      <w:r w:rsidR="00141B59" w:rsidRPr="00662392">
        <w:rPr>
          <w:color w:val="000000"/>
          <w:sz w:val="22"/>
          <w:szCs w:val="22"/>
        </w:rPr>
        <w:t>s</w:t>
      </w:r>
      <w:r w:rsidR="001F5146" w:rsidRPr="00662392">
        <w:rPr>
          <w:color w:val="000000"/>
          <w:sz w:val="22"/>
          <w:szCs w:val="22"/>
        </w:rPr>
        <w:t xml:space="preserve"> of frequency increase on a qualitative assessment using engineering evaluations consistent with the UFSAR analysis assumptions.  However, as stated in NEI 12-04,</w:t>
      </w:r>
      <w:r w:rsidR="00B363B9" w:rsidRPr="00662392">
        <w:rPr>
          <w:color w:val="000000"/>
          <w:sz w:val="22"/>
          <w:szCs w:val="22"/>
        </w:rPr>
        <w:t xml:space="preserve"> </w:t>
      </w:r>
      <w:r w:rsidR="00B363B9" w:rsidRPr="00662392">
        <w:rPr>
          <w:sz w:val="22"/>
          <w:szCs w:val="22"/>
        </w:rPr>
        <w:t>Revision 2,</w:t>
      </w:r>
      <w:r w:rsidR="001F5146" w:rsidRPr="00662392">
        <w:rPr>
          <w:color w:val="000000"/>
          <w:sz w:val="22"/>
          <w:szCs w:val="22"/>
        </w:rPr>
        <w:t xml:space="preserve"> an ISFSI or spent fuel storage cask specific accident frequency calculation may be used to evaluate a proposed activity in a quantitative sense.</w:t>
      </w:r>
    </w:p>
    <w:p w14:paraId="32C451E9" w14:textId="77777777" w:rsidR="001F5146" w:rsidRPr="00662392" w:rsidRDefault="001F5146" w:rsidP="00194415">
      <w:pPr>
        <w:rPr>
          <w:color w:val="000000"/>
          <w:sz w:val="22"/>
          <w:szCs w:val="22"/>
        </w:rPr>
      </w:pPr>
    </w:p>
    <w:p w14:paraId="3E98FDF6" w14:textId="77777777" w:rsidR="003A5C15" w:rsidRDefault="001F5146" w:rsidP="00194415">
      <w:pPr>
        <w:rPr>
          <w:color w:val="000000"/>
          <w:sz w:val="22"/>
          <w:szCs w:val="22"/>
        </w:rPr>
      </w:pPr>
      <w:r w:rsidRPr="00662392">
        <w:rPr>
          <w:sz w:val="22"/>
          <w:szCs w:val="22"/>
        </w:rPr>
        <w:t>NEI 12-04</w:t>
      </w:r>
      <w:r w:rsidR="00C3669C" w:rsidRPr="00662392">
        <w:rPr>
          <w:sz w:val="22"/>
          <w:szCs w:val="22"/>
        </w:rPr>
        <w:t xml:space="preserve">, Revision 2, and Appendix B of NEI 96-07, Revision 1, </w:t>
      </w:r>
      <w:r w:rsidRPr="00662392">
        <w:rPr>
          <w:sz w:val="22"/>
          <w:szCs w:val="22"/>
        </w:rPr>
        <w:t xml:space="preserve">provide guidance </w:t>
      </w:r>
      <w:r w:rsidR="00C07B06" w:rsidRPr="00662392">
        <w:rPr>
          <w:sz w:val="22"/>
          <w:szCs w:val="22"/>
        </w:rPr>
        <w:t xml:space="preserve">for </w:t>
      </w:r>
      <w:r w:rsidRPr="00662392">
        <w:rPr>
          <w:sz w:val="22"/>
          <w:szCs w:val="22"/>
        </w:rPr>
        <w:t xml:space="preserve">licensees or </w:t>
      </w:r>
      <w:proofErr w:type="spellStart"/>
      <w:r w:rsidRPr="00662392">
        <w:rPr>
          <w:sz w:val="22"/>
          <w:szCs w:val="22"/>
        </w:rPr>
        <w:t>CoC</w:t>
      </w:r>
      <w:proofErr w:type="spellEnd"/>
      <w:r w:rsidRPr="00662392">
        <w:rPr>
          <w:sz w:val="22"/>
          <w:szCs w:val="22"/>
        </w:rPr>
        <w:t xml:space="preserve"> holders </w:t>
      </w:r>
      <w:r w:rsidR="00C07B06" w:rsidRPr="00662392">
        <w:rPr>
          <w:sz w:val="22"/>
          <w:szCs w:val="22"/>
        </w:rPr>
        <w:t>on the use of</w:t>
      </w:r>
      <w:r w:rsidRPr="00662392">
        <w:rPr>
          <w:sz w:val="22"/>
          <w:szCs w:val="22"/>
        </w:rPr>
        <w:t xml:space="preserve"> reasonable engineering practices, engineering judgment and PRA techniques, as appropriate, to determine whether the frequency of occurrence of an accident more than minimally increases as a result of implementing a CTE.  Section 06.1</w:t>
      </w:r>
      <w:r w:rsidR="00DA7A50" w:rsidRPr="00662392">
        <w:rPr>
          <w:sz w:val="22"/>
          <w:szCs w:val="22"/>
        </w:rPr>
        <w:t>4</w:t>
      </w:r>
      <w:r w:rsidRPr="00662392">
        <w:rPr>
          <w:sz w:val="22"/>
          <w:szCs w:val="22"/>
        </w:rPr>
        <w:t xml:space="preserve"> of this IMC </w:t>
      </w:r>
      <w:r w:rsidR="005933B7" w:rsidRPr="00662392">
        <w:rPr>
          <w:sz w:val="22"/>
          <w:szCs w:val="22"/>
        </w:rPr>
        <w:t>discusses</w:t>
      </w:r>
      <w:r w:rsidRPr="00662392">
        <w:rPr>
          <w:sz w:val="22"/>
          <w:szCs w:val="22"/>
        </w:rPr>
        <w:t xml:space="preserve"> PRA and PRA techniques</w:t>
      </w:r>
      <w:r w:rsidR="00C3669C" w:rsidRPr="00662392">
        <w:rPr>
          <w:sz w:val="22"/>
          <w:szCs w:val="22"/>
        </w:rPr>
        <w:t xml:space="preserve"> for licensees committed to RG 3.72, Revision 0</w:t>
      </w:r>
      <w:r w:rsidRPr="00662392">
        <w:rPr>
          <w:sz w:val="22"/>
          <w:szCs w:val="22"/>
        </w:rPr>
        <w:t>.</w:t>
      </w:r>
      <w:r w:rsidRPr="00662392">
        <w:rPr>
          <w:color w:val="000000"/>
          <w:sz w:val="22"/>
          <w:szCs w:val="22"/>
        </w:rPr>
        <w:t xml:space="preserve"> </w:t>
      </w:r>
      <w:r w:rsidR="003A5C15">
        <w:rPr>
          <w:color w:val="000000"/>
          <w:sz w:val="22"/>
          <w:szCs w:val="22"/>
        </w:rPr>
        <w:t xml:space="preserve"> </w:t>
      </w:r>
    </w:p>
    <w:p w14:paraId="3B49AB00" w14:textId="77777777" w:rsidR="00C1473C" w:rsidRDefault="00C1473C" w:rsidP="00194415">
      <w:pPr>
        <w:rPr>
          <w:color w:val="000000"/>
          <w:sz w:val="22"/>
          <w:szCs w:val="22"/>
        </w:rPr>
      </w:pPr>
    </w:p>
    <w:p w14:paraId="30871B62" w14:textId="12DE0211" w:rsidR="001F5146" w:rsidRPr="00662392" w:rsidRDefault="004E764C" w:rsidP="00194415">
      <w:pPr>
        <w:rPr>
          <w:color w:val="000000"/>
          <w:sz w:val="22"/>
          <w:szCs w:val="22"/>
        </w:rPr>
      </w:pPr>
      <w:r w:rsidRPr="00662392">
        <w:rPr>
          <w:sz w:val="22"/>
          <w:szCs w:val="22"/>
        </w:rPr>
        <w:t>I</w:t>
      </w:r>
      <w:r w:rsidR="001F5146" w:rsidRPr="00662392">
        <w:rPr>
          <w:sz w:val="22"/>
          <w:szCs w:val="22"/>
        </w:rPr>
        <w:t xml:space="preserve">nspectors should </w:t>
      </w:r>
      <w:r w:rsidRPr="00662392">
        <w:rPr>
          <w:sz w:val="22"/>
          <w:szCs w:val="22"/>
        </w:rPr>
        <w:t>be aware</w:t>
      </w:r>
      <w:r w:rsidR="001F5146" w:rsidRPr="00662392">
        <w:rPr>
          <w:sz w:val="22"/>
          <w:szCs w:val="22"/>
        </w:rPr>
        <w:t xml:space="preserve"> that licensees or </w:t>
      </w:r>
      <w:proofErr w:type="spellStart"/>
      <w:r w:rsidR="001F5146" w:rsidRPr="00662392">
        <w:rPr>
          <w:sz w:val="22"/>
          <w:szCs w:val="22"/>
        </w:rPr>
        <w:t>CoC</w:t>
      </w:r>
      <w:proofErr w:type="spellEnd"/>
      <w:r w:rsidR="001F5146" w:rsidRPr="00662392">
        <w:rPr>
          <w:sz w:val="22"/>
          <w:szCs w:val="22"/>
        </w:rPr>
        <w:t xml:space="preserve"> holders do not need to provide </w:t>
      </w:r>
      <w:r w:rsidR="00B44C62" w:rsidRPr="00662392">
        <w:rPr>
          <w:sz w:val="22"/>
          <w:szCs w:val="22"/>
        </w:rPr>
        <w:t>quantitative</w:t>
      </w:r>
      <w:r w:rsidR="001F5146" w:rsidRPr="00662392">
        <w:rPr>
          <w:sz w:val="22"/>
          <w:szCs w:val="22"/>
        </w:rPr>
        <w:t xml:space="preserve"> calculations to meet the standard of “no more than minimal,” unless </w:t>
      </w:r>
      <w:r w:rsidR="005933B7" w:rsidRPr="00662392">
        <w:rPr>
          <w:sz w:val="22"/>
          <w:szCs w:val="22"/>
        </w:rPr>
        <w:t>when</w:t>
      </w:r>
      <w:r w:rsidR="001F5146" w:rsidRPr="00662392">
        <w:rPr>
          <w:sz w:val="22"/>
          <w:szCs w:val="22"/>
        </w:rPr>
        <w:t xml:space="preserve"> the licensee or </w:t>
      </w:r>
      <w:proofErr w:type="spellStart"/>
      <w:r w:rsidR="001F5146" w:rsidRPr="00662392">
        <w:rPr>
          <w:sz w:val="22"/>
          <w:szCs w:val="22"/>
        </w:rPr>
        <w:t>CoC</w:t>
      </w:r>
      <w:proofErr w:type="spellEnd"/>
      <w:r w:rsidR="001F5146" w:rsidRPr="00662392">
        <w:rPr>
          <w:sz w:val="22"/>
          <w:szCs w:val="22"/>
        </w:rPr>
        <w:t xml:space="preserve"> holder offer</w:t>
      </w:r>
      <w:r w:rsidR="005933B7" w:rsidRPr="00662392">
        <w:rPr>
          <w:sz w:val="22"/>
          <w:szCs w:val="22"/>
        </w:rPr>
        <w:t>s</w:t>
      </w:r>
      <w:r w:rsidR="001F5146" w:rsidRPr="00662392">
        <w:rPr>
          <w:sz w:val="22"/>
          <w:szCs w:val="22"/>
        </w:rPr>
        <w:t xml:space="preserve"> quantitative arguments as part of its evaluation.  </w:t>
      </w:r>
    </w:p>
    <w:p w14:paraId="4A3239DF" w14:textId="77777777" w:rsidR="001F5146" w:rsidRPr="00662392" w:rsidRDefault="001F5146" w:rsidP="00194415">
      <w:pPr>
        <w:rPr>
          <w:color w:val="000000"/>
          <w:sz w:val="22"/>
          <w:szCs w:val="22"/>
        </w:rPr>
      </w:pPr>
    </w:p>
    <w:p w14:paraId="355A8BC3" w14:textId="77777777" w:rsidR="00C1473C" w:rsidRDefault="001F5146" w:rsidP="00194415">
      <w:pPr>
        <w:widowControl/>
        <w:rPr>
          <w:color w:val="000000"/>
          <w:sz w:val="22"/>
          <w:szCs w:val="22"/>
        </w:rPr>
        <w:sectPr w:rsidR="00C1473C" w:rsidSect="00012998">
          <w:footerReference w:type="default" r:id="rId52"/>
          <w:pgSz w:w="12240" w:h="15840" w:code="1"/>
          <w:pgMar w:top="1440" w:right="1440" w:bottom="1440" w:left="1440" w:header="720" w:footer="720" w:gutter="0"/>
          <w:cols w:space="720"/>
          <w:noEndnote/>
          <w:docGrid w:linePitch="326"/>
        </w:sectPr>
      </w:pPr>
      <w:r w:rsidRPr="00662392">
        <w:rPr>
          <w:color w:val="000000"/>
          <w:sz w:val="22"/>
          <w:szCs w:val="22"/>
        </w:rPr>
        <w:t xml:space="preserve">However, as discussed in the SOC for the final rule, departures from the design basis, design, fabrication, construction, testing, and performance standards as outlined in the GDC (Subpart F to Part 72), Spent Fuel Storage Casks Approval (Subpart L), and as specified in the licensing basis, those are not compatible with a “no more than minimal increase” standard. </w:t>
      </w:r>
    </w:p>
    <w:p w14:paraId="1AB8F11B" w14:textId="77777777" w:rsidR="00D778A0" w:rsidRPr="00662392" w:rsidRDefault="00D778A0" w:rsidP="00194415">
      <w:pPr>
        <w:widowControl/>
        <w:rPr>
          <w:color w:val="000000"/>
          <w:sz w:val="22"/>
          <w:szCs w:val="22"/>
        </w:rPr>
      </w:pPr>
    </w:p>
    <w:p w14:paraId="33BDA735" w14:textId="512C4ED9" w:rsidR="001F5146" w:rsidRPr="00662392" w:rsidRDefault="004E764C" w:rsidP="00194415">
      <w:pPr>
        <w:rPr>
          <w:sz w:val="22"/>
          <w:szCs w:val="22"/>
        </w:rPr>
      </w:pPr>
      <w:r w:rsidRPr="00662392">
        <w:rPr>
          <w:sz w:val="22"/>
          <w:szCs w:val="22"/>
        </w:rPr>
        <w:t>I</w:t>
      </w:r>
      <w:r w:rsidR="001F5146" w:rsidRPr="00662392">
        <w:rPr>
          <w:sz w:val="22"/>
          <w:szCs w:val="22"/>
        </w:rPr>
        <w:t xml:space="preserve">nspectors should </w:t>
      </w:r>
      <w:r w:rsidR="008D65DE" w:rsidRPr="00662392">
        <w:rPr>
          <w:sz w:val="22"/>
          <w:szCs w:val="22"/>
        </w:rPr>
        <w:t xml:space="preserve">recognize </w:t>
      </w:r>
      <w:r w:rsidR="001F5146" w:rsidRPr="00662392">
        <w:rPr>
          <w:sz w:val="22"/>
          <w:szCs w:val="22"/>
        </w:rPr>
        <w:t xml:space="preserve">that frequencies of occurrence of natural phenomena </w:t>
      </w:r>
      <w:r w:rsidR="00E3385B" w:rsidRPr="00662392">
        <w:rPr>
          <w:sz w:val="22"/>
          <w:szCs w:val="22"/>
        </w:rPr>
        <w:t xml:space="preserve">used to </w:t>
      </w:r>
      <w:r w:rsidR="001F5146" w:rsidRPr="00662392">
        <w:rPr>
          <w:sz w:val="22"/>
          <w:szCs w:val="22"/>
        </w:rPr>
        <w:t>establish the initial licensing basis for specific licensees also appl</w:t>
      </w:r>
      <w:r w:rsidR="00E3385B" w:rsidRPr="00662392">
        <w:rPr>
          <w:sz w:val="22"/>
          <w:szCs w:val="22"/>
        </w:rPr>
        <w:t>y</w:t>
      </w:r>
      <w:r w:rsidR="001F5146" w:rsidRPr="00662392">
        <w:rPr>
          <w:sz w:val="22"/>
          <w:szCs w:val="22"/>
        </w:rPr>
        <w:t xml:space="preserve"> to general licensees. However, frequencies of occurrence of natural phenomena were not established as part of the generic storage cask certification because there was no geographic location considered in the generic certification. </w:t>
      </w:r>
      <w:r w:rsidR="00D778A0">
        <w:rPr>
          <w:sz w:val="22"/>
          <w:szCs w:val="22"/>
        </w:rPr>
        <w:t xml:space="preserve"> </w:t>
      </w:r>
      <w:r w:rsidR="001F5146" w:rsidRPr="00662392">
        <w:rPr>
          <w:sz w:val="22"/>
          <w:szCs w:val="22"/>
        </w:rPr>
        <w:t xml:space="preserve">An assumed set of design criteria for natural phenomena were chosen for cask design, but the frequency of occurrence was not defined. </w:t>
      </w:r>
    </w:p>
    <w:p w14:paraId="0DC46B15" w14:textId="3AAA72CC" w:rsidR="001F5146" w:rsidRPr="00662392" w:rsidRDefault="001F5146" w:rsidP="00194415">
      <w:pPr>
        <w:rPr>
          <w:sz w:val="22"/>
          <w:szCs w:val="22"/>
        </w:rPr>
      </w:pPr>
    </w:p>
    <w:p w14:paraId="434CBB67" w14:textId="70A497BF" w:rsidR="001F5146" w:rsidRPr="00662392" w:rsidRDefault="001F5146" w:rsidP="00194415">
      <w:pPr>
        <w:rPr>
          <w:sz w:val="22"/>
          <w:szCs w:val="22"/>
        </w:rPr>
      </w:pPr>
      <w:r w:rsidRPr="00662392">
        <w:rPr>
          <w:sz w:val="22"/>
          <w:szCs w:val="22"/>
        </w:rPr>
        <w:t xml:space="preserve">The likelihood of natural phenomena events is site-specific. </w:t>
      </w:r>
      <w:r w:rsidR="00D778A0">
        <w:rPr>
          <w:sz w:val="22"/>
          <w:szCs w:val="22"/>
        </w:rPr>
        <w:t xml:space="preserve"> </w:t>
      </w:r>
      <w:r w:rsidR="009B40B5" w:rsidRPr="00662392">
        <w:rPr>
          <w:sz w:val="22"/>
          <w:szCs w:val="22"/>
        </w:rPr>
        <w:t>Th</w:t>
      </w:r>
      <w:r w:rsidRPr="00662392">
        <w:rPr>
          <w:sz w:val="22"/>
          <w:szCs w:val="22"/>
        </w:rPr>
        <w:t xml:space="preserve">e frequency of occurrence of environmental phenomena at any site are not expected to change, unless the ISFSI owner </w:t>
      </w:r>
      <w:r w:rsidR="00015454" w:rsidRPr="00662392">
        <w:rPr>
          <w:sz w:val="22"/>
          <w:szCs w:val="22"/>
        </w:rPr>
        <w:t>specifically</w:t>
      </w:r>
      <w:r w:rsidRPr="00662392">
        <w:rPr>
          <w:sz w:val="22"/>
          <w:szCs w:val="22"/>
        </w:rPr>
        <w:t xml:space="preserve"> update</w:t>
      </w:r>
      <w:r w:rsidR="00015454" w:rsidRPr="00662392">
        <w:rPr>
          <w:sz w:val="22"/>
          <w:szCs w:val="22"/>
        </w:rPr>
        <w:t>s</w:t>
      </w:r>
      <w:r w:rsidRPr="00662392">
        <w:rPr>
          <w:sz w:val="22"/>
          <w:szCs w:val="22"/>
        </w:rPr>
        <w:t xml:space="preserve"> the information pertaining to meteorological or seismic event occurrence that forms the design basis for the facility. </w:t>
      </w:r>
      <w:r w:rsidR="00D778A0">
        <w:rPr>
          <w:sz w:val="22"/>
          <w:szCs w:val="22"/>
        </w:rPr>
        <w:t xml:space="preserve"> </w:t>
      </w:r>
      <w:r w:rsidRPr="00662392">
        <w:rPr>
          <w:sz w:val="22"/>
          <w:szCs w:val="22"/>
        </w:rPr>
        <w:t>Th</w:t>
      </w:r>
      <w:r w:rsidR="00D778A0">
        <w:rPr>
          <w:sz w:val="22"/>
          <w:szCs w:val="22"/>
        </w:rPr>
        <w:t>e</w:t>
      </w:r>
      <w:r w:rsidRPr="00662392">
        <w:rPr>
          <w:sz w:val="22"/>
          <w:szCs w:val="22"/>
        </w:rPr>
        <w:t xml:space="preserve"> changes in design requirements for natural phenomena, such as earthquakes, tornadoes, snow, flooding, and lightning strikes, etc. should </w:t>
      </w:r>
      <w:r w:rsidR="00C42A5C">
        <w:rPr>
          <w:sz w:val="22"/>
          <w:szCs w:val="22"/>
        </w:rPr>
        <w:t>b</w:t>
      </w:r>
      <w:r w:rsidRPr="00662392">
        <w:rPr>
          <w:sz w:val="22"/>
          <w:szCs w:val="22"/>
        </w:rPr>
        <w:t xml:space="preserve">e treated as potentially affecting the likelihood of a malfunction (see </w:t>
      </w:r>
      <w:r w:rsidR="004E764C" w:rsidRPr="00662392">
        <w:rPr>
          <w:sz w:val="22"/>
          <w:szCs w:val="22"/>
        </w:rPr>
        <w:t>S</w:t>
      </w:r>
      <w:r w:rsidRPr="00662392">
        <w:rPr>
          <w:sz w:val="22"/>
          <w:szCs w:val="22"/>
        </w:rPr>
        <w:t>ection 07.</w:t>
      </w:r>
      <w:r w:rsidR="00B42139" w:rsidRPr="00662392">
        <w:rPr>
          <w:sz w:val="22"/>
          <w:szCs w:val="22"/>
        </w:rPr>
        <w:t>14</w:t>
      </w:r>
      <w:r w:rsidRPr="00662392">
        <w:rPr>
          <w:sz w:val="22"/>
          <w:szCs w:val="22"/>
        </w:rPr>
        <w:t xml:space="preserve">) rather than the frequency of occurrence of an accident. </w:t>
      </w:r>
    </w:p>
    <w:p w14:paraId="71BE2FCA" w14:textId="48FFB972" w:rsidR="001F5146" w:rsidRDefault="001F5146" w:rsidP="00194415">
      <w:pPr>
        <w:ind w:left="720" w:hanging="720"/>
        <w:rPr>
          <w:sz w:val="22"/>
          <w:szCs w:val="22"/>
        </w:rPr>
      </w:pPr>
    </w:p>
    <w:p w14:paraId="283C3C44" w14:textId="77FF3DD9" w:rsidR="001F5146" w:rsidRPr="00662392" w:rsidRDefault="001F5146" w:rsidP="00662392">
      <w:pPr>
        <w:rPr>
          <w:sz w:val="22"/>
          <w:szCs w:val="22"/>
        </w:rPr>
      </w:pPr>
      <w:r w:rsidRPr="00662392">
        <w:rPr>
          <w:sz w:val="22"/>
          <w:szCs w:val="22"/>
        </w:rPr>
        <w:t>07.1</w:t>
      </w:r>
      <w:r w:rsidR="009B40B5" w:rsidRPr="00662392">
        <w:rPr>
          <w:sz w:val="22"/>
          <w:szCs w:val="22"/>
        </w:rPr>
        <w:t>4</w:t>
      </w:r>
      <w:r w:rsidRPr="00662392">
        <w:rPr>
          <w:sz w:val="22"/>
          <w:szCs w:val="22"/>
        </w:rPr>
        <w:tab/>
      </w:r>
      <w:r w:rsidR="00BB754E" w:rsidRPr="00662392">
        <w:rPr>
          <w:sz w:val="22"/>
          <w:szCs w:val="22"/>
          <w:u w:val="single"/>
        </w:rPr>
        <w:t xml:space="preserve">Review Licensee or </w:t>
      </w:r>
      <w:proofErr w:type="spellStart"/>
      <w:r w:rsidR="00C34B2A" w:rsidRPr="00662392">
        <w:rPr>
          <w:sz w:val="22"/>
          <w:szCs w:val="22"/>
          <w:u w:val="single"/>
        </w:rPr>
        <w:t>CoC</w:t>
      </w:r>
      <w:proofErr w:type="spellEnd"/>
      <w:r w:rsidR="003B0F6F" w:rsidRPr="00662392">
        <w:rPr>
          <w:sz w:val="22"/>
          <w:szCs w:val="22"/>
          <w:u w:val="single"/>
        </w:rPr>
        <w:t xml:space="preserve"> </w:t>
      </w:r>
      <w:r w:rsidR="00BB754E" w:rsidRPr="00662392">
        <w:rPr>
          <w:sz w:val="22"/>
          <w:szCs w:val="22"/>
          <w:u w:val="single"/>
        </w:rPr>
        <w:t xml:space="preserve">Holder Evaluation of Criterion </w:t>
      </w:r>
      <w:r w:rsidR="00775546" w:rsidRPr="00662392">
        <w:rPr>
          <w:sz w:val="22"/>
          <w:szCs w:val="22"/>
          <w:u w:val="single"/>
        </w:rPr>
        <w:t>(c)(2)(</w:t>
      </w:r>
      <w:r w:rsidR="009B40B5" w:rsidRPr="00662392">
        <w:rPr>
          <w:sz w:val="22"/>
          <w:szCs w:val="22"/>
          <w:u w:val="single"/>
        </w:rPr>
        <w:t>ii)</w:t>
      </w:r>
      <w:r w:rsidR="00CA7D3C" w:rsidRPr="00662392">
        <w:rPr>
          <w:sz w:val="22"/>
          <w:szCs w:val="22"/>
          <w:u w:val="single"/>
        </w:rPr>
        <w:fldChar w:fldCharType="begin"/>
      </w:r>
      <w:r w:rsidR="00CA7D3C" w:rsidRPr="00662392">
        <w:rPr>
          <w:sz w:val="22"/>
          <w:szCs w:val="22"/>
        </w:rPr>
        <w:instrText xml:space="preserve"> TC "</w:instrText>
      </w:r>
      <w:bookmarkStart w:id="141" w:name="_Toc62642929"/>
      <w:bookmarkStart w:id="142" w:name="_Toc63142113"/>
      <w:r w:rsidR="00CA7D3C" w:rsidRPr="00662392">
        <w:rPr>
          <w:sz w:val="22"/>
          <w:szCs w:val="22"/>
        </w:rPr>
        <w:instrText>07.14</w:instrText>
      </w:r>
      <w:r w:rsidR="00662392" w:rsidRPr="00662392">
        <w:rPr>
          <w:sz w:val="22"/>
          <w:szCs w:val="22"/>
        </w:rPr>
        <w:instrText xml:space="preserve"> </w:instrText>
      </w:r>
      <w:r w:rsidR="00CA7D3C" w:rsidRPr="00662392">
        <w:rPr>
          <w:sz w:val="22"/>
          <w:szCs w:val="22"/>
          <w:u w:val="single"/>
        </w:rPr>
        <w:instrText xml:space="preserve">Review Licensee or </w:instrText>
      </w:r>
      <w:proofErr w:type="spellStart"/>
      <w:r w:rsidR="00CA7D3C" w:rsidRPr="00662392">
        <w:rPr>
          <w:sz w:val="22"/>
          <w:szCs w:val="22"/>
          <w:u w:val="single"/>
        </w:rPr>
        <w:instrText>C</w:instrText>
      </w:r>
      <w:r w:rsidR="00463668">
        <w:rPr>
          <w:sz w:val="22"/>
          <w:szCs w:val="22"/>
          <w:u w:val="single"/>
        </w:rPr>
        <w:instrText>o</w:instrText>
      </w:r>
      <w:r w:rsidR="00CA7D3C" w:rsidRPr="00662392">
        <w:rPr>
          <w:sz w:val="22"/>
          <w:szCs w:val="22"/>
          <w:u w:val="single"/>
        </w:rPr>
        <w:instrText>C</w:instrText>
      </w:r>
      <w:proofErr w:type="spellEnd"/>
      <w:r w:rsidR="00CA7D3C" w:rsidRPr="00662392">
        <w:rPr>
          <w:sz w:val="22"/>
          <w:szCs w:val="22"/>
          <w:u w:val="single"/>
        </w:rPr>
        <w:instrText xml:space="preserve"> Holder Evaluation of Criterion (c)(2)(ii)</w:instrText>
      </w:r>
      <w:bookmarkEnd w:id="141"/>
      <w:bookmarkEnd w:id="142"/>
      <w:r w:rsidR="00CA7D3C" w:rsidRPr="00662392">
        <w:rPr>
          <w:sz w:val="22"/>
          <w:szCs w:val="22"/>
        </w:rPr>
        <w:instrText xml:space="preserve">" \f C \l "2" </w:instrText>
      </w:r>
      <w:r w:rsidR="00CA7D3C" w:rsidRPr="00662392">
        <w:rPr>
          <w:sz w:val="22"/>
          <w:szCs w:val="22"/>
          <w:u w:val="single"/>
        </w:rPr>
        <w:fldChar w:fldCharType="end"/>
      </w:r>
    </w:p>
    <w:p w14:paraId="29E0B520" w14:textId="77777777" w:rsidR="001F5146" w:rsidRPr="00662392" w:rsidRDefault="001F5146" w:rsidP="00194415">
      <w:pPr>
        <w:rPr>
          <w:sz w:val="22"/>
          <w:szCs w:val="22"/>
        </w:rPr>
      </w:pPr>
    </w:p>
    <w:p w14:paraId="2C915DD9" w14:textId="7B2E1F35" w:rsidR="001F5146" w:rsidRPr="00662392" w:rsidRDefault="001F5146" w:rsidP="00194415">
      <w:pPr>
        <w:rPr>
          <w:sz w:val="22"/>
          <w:szCs w:val="22"/>
        </w:rPr>
      </w:pPr>
      <w:r w:rsidRPr="00662392">
        <w:rPr>
          <w:sz w:val="22"/>
          <w:szCs w:val="22"/>
        </w:rPr>
        <w:t xml:space="preserve">10 CFR 72.48(c)(2)(ii) </w:t>
      </w:r>
      <w:r w:rsidR="00DD5909" w:rsidRPr="00662392">
        <w:rPr>
          <w:sz w:val="22"/>
          <w:szCs w:val="22"/>
        </w:rPr>
        <w:t>focuses on whether the</w:t>
      </w:r>
      <w:r w:rsidRPr="00662392">
        <w:rPr>
          <w:sz w:val="22"/>
          <w:szCs w:val="22"/>
        </w:rPr>
        <w:t xml:space="preserve"> CTE </w:t>
      </w:r>
      <w:r w:rsidR="00DD5909" w:rsidRPr="00662392">
        <w:rPr>
          <w:sz w:val="22"/>
          <w:szCs w:val="22"/>
        </w:rPr>
        <w:t xml:space="preserve">would </w:t>
      </w:r>
      <w:r w:rsidRPr="00662392">
        <w:rPr>
          <w:sz w:val="22"/>
          <w:szCs w:val="22"/>
        </w:rPr>
        <w:t xml:space="preserve">result in </w:t>
      </w:r>
      <w:r w:rsidR="00DD5909" w:rsidRPr="00662392">
        <w:rPr>
          <w:sz w:val="22"/>
          <w:szCs w:val="22"/>
        </w:rPr>
        <w:t xml:space="preserve">a </w:t>
      </w:r>
      <w:r w:rsidRPr="00662392">
        <w:rPr>
          <w:sz w:val="22"/>
          <w:szCs w:val="22"/>
        </w:rPr>
        <w:t>more than a minimal increase in the likelihood of occurrence of a malfunction of an SSC important to safety previously evaluated in the UFSAR.  See Section 04.1</w:t>
      </w:r>
      <w:r w:rsidR="00D35AE9" w:rsidRPr="00662392">
        <w:rPr>
          <w:sz w:val="22"/>
          <w:szCs w:val="22"/>
        </w:rPr>
        <w:t>6</w:t>
      </w:r>
      <w:r w:rsidRPr="00662392">
        <w:rPr>
          <w:sz w:val="22"/>
          <w:szCs w:val="22"/>
        </w:rPr>
        <w:t xml:space="preserve"> of this IMC for the definition of malfunction of SSCs important to safety.</w:t>
      </w:r>
    </w:p>
    <w:p w14:paraId="5FCA23C6" w14:textId="77777777" w:rsidR="001F5146" w:rsidRPr="00662392" w:rsidRDefault="001F5146" w:rsidP="00194415">
      <w:pPr>
        <w:rPr>
          <w:sz w:val="22"/>
          <w:szCs w:val="22"/>
        </w:rPr>
      </w:pPr>
    </w:p>
    <w:p w14:paraId="68CB49E1" w14:textId="4394CFFC" w:rsidR="001F5146" w:rsidRPr="00662392" w:rsidRDefault="00E53A63" w:rsidP="00194415">
      <w:pPr>
        <w:rPr>
          <w:sz w:val="22"/>
          <w:szCs w:val="22"/>
        </w:rPr>
      </w:pPr>
      <w:r w:rsidRPr="00662392">
        <w:rPr>
          <w:sz w:val="22"/>
          <w:szCs w:val="22"/>
        </w:rPr>
        <w:t>I</w:t>
      </w:r>
      <w:r w:rsidR="001F5146" w:rsidRPr="00662392">
        <w:rPr>
          <w:sz w:val="22"/>
          <w:szCs w:val="22"/>
        </w:rPr>
        <w:t xml:space="preserve">nspectors should consider the cause and mode of a malfunction in determining whether there is a change in the likelihood of a malfunction. </w:t>
      </w:r>
      <w:r w:rsidRPr="00662392">
        <w:rPr>
          <w:sz w:val="22"/>
          <w:szCs w:val="22"/>
        </w:rPr>
        <w:t>I</w:t>
      </w:r>
      <w:r w:rsidR="001F5146" w:rsidRPr="00662392">
        <w:rPr>
          <w:sz w:val="22"/>
          <w:szCs w:val="22"/>
        </w:rPr>
        <w:t>nspectors should also consider the effect or result of a malfunction in determining whether a malfunction with a different result is involved per Section 7.1</w:t>
      </w:r>
      <w:r w:rsidR="00AC4373" w:rsidRPr="00662392">
        <w:rPr>
          <w:sz w:val="22"/>
          <w:szCs w:val="22"/>
        </w:rPr>
        <w:t>8</w:t>
      </w:r>
      <w:r w:rsidR="001F5146" w:rsidRPr="00662392">
        <w:rPr>
          <w:sz w:val="22"/>
          <w:szCs w:val="22"/>
        </w:rPr>
        <w:t xml:space="preserve">. </w:t>
      </w:r>
      <w:r w:rsidRPr="00662392">
        <w:rPr>
          <w:sz w:val="22"/>
          <w:szCs w:val="22"/>
        </w:rPr>
        <w:t>I</w:t>
      </w:r>
      <w:r w:rsidR="001F5146" w:rsidRPr="00662392">
        <w:rPr>
          <w:sz w:val="22"/>
          <w:szCs w:val="22"/>
        </w:rPr>
        <w:t xml:space="preserve">nspectors should </w:t>
      </w:r>
      <w:r w:rsidR="00DC1E55" w:rsidRPr="00662392">
        <w:rPr>
          <w:sz w:val="22"/>
          <w:szCs w:val="22"/>
        </w:rPr>
        <w:t xml:space="preserve">recognize </w:t>
      </w:r>
      <w:r w:rsidR="001F5146" w:rsidRPr="00662392">
        <w:rPr>
          <w:sz w:val="22"/>
          <w:szCs w:val="22"/>
        </w:rPr>
        <w:t xml:space="preserve">that in determining whether there is more than a minimal increase in the likelihood of occurrence of a malfunction of an SSC to perform its design function as described in the UFSAR, the inspector should </w:t>
      </w:r>
      <w:r w:rsidR="00F65969" w:rsidRPr="00662392">
        <w:rPr>
          <w:sz w:val="22"/>
          <w:szCs w:val="22"/>
        </w:rPr>
        <w:t>consider</w:t>
      </w:r>
      <w:r w:rsidR="001F5146" w:rsidRPr="00662392">
        <w:rPr>
          <w:sz w:val="22"/>
          <w:szCs w:val="22"/>
        </w:rPr>
        <w:t xml:space="preserve"> what SSCs does the CTE affect. </w:t>
      </w:r>
      <w:r w:rsidR="00C42A5C">
        <w:rPr>
          <w:sz w:val="22"/>
          <w:szCs w:val="22"/>
        </w:rPr>
        <w:t xml:space="preserve"> </w:t>
      </w:r>
      <w:r w:rsidR="00F65969" w:rsidRPr="00662392">
        <w:rPr>
          <w:sz w:val="22"/>
          <w:szCs w:val="22"/>
        </w:rPr>
        <w:t>T</w:t>
      </w:r>
      <w:r w:rsidR="001F5146" w:rsidRPr="00662392">
        <w:rPr>
          <w:sz w:val="22"/>
          <w:szCs w:val="22"/>
        </w:rPr>
        <w:t xml:space="preserve">he inspector should </w:t>
      </w:r>
      <w:r w:rsidR="00F65969" w:rsidRPr="00662392">
        <w:rPr>
          <w:sz w:val="22"/>
          <w:szCs w:val="22"/>
        </w:rPr>
        <w:t>also consider</w:t>
      </w:r>
      <w:r w:rsidR="001F5146" w:rsidRPr="00662392">
        <w:rPr>
          <w:sz w:val="22"/>
          <w:szCs w:val="22"/>
        </w:rPr>
        <w:t xml:space="preserve"> what the effects of the proposed CTE have on the affected SSCs. </w:t>
      </w:r>
      <w:r w:rsidR="00C42A5C">
        <w:rPr>
          <w:sz w:val="22"/>
          <w:szCs w:val="22"/>
        </w:rPr>
        <w:t xml:space="preserve"> </w:t>
      </w:r>
      <w:r w:rsidR="001F5146" w:rsidRPr="00662392">
        <w:rPr>
          <w:sz w:val="22"/>
          <w:szCs w:val="22"/>
        </w:rPr>
        <w:t>This independent evaluation should include both direct and indirect effects.</w:t>
      </w:r>
    </w:p>
    <w:p w14:paraId="59DE2C9B" w14:textId="77777777" w:rsidR="001F5146" w:rsidRPr="00662392" w:rsidRDefault="001F5146" w:rsidP="00194415">
      <w:pPr>
        <w:rPr>
          <w:sz w:val="22"/>
          <w:szCs w:val="22"/>
        </w:rPr>
      </w:pPr>
    </w:p>
    <w:p w14:paraId="2B10A387" w14:textId="77777777" w:rsidR="000E0ACD" w:rsidRDefault="00391AD1" w:rsidP="00194415">
      <w:pPr>
        <w:rPr>
          <w:sz w:val="22"/>
          <w:szCs w:val="22"/>
        </w:rPr>
      </w:pPr>
      <w:r w:rsidRPr="00662392">
        <w:rPr>
          <w:sz w:val="22"/>
          <w:szCs w:val="22"/>
        </w:rPr>
        <w:t>D</w:t>
      </w:r>
      <w:r w:rsidR="001F5146" w:rsidRPr="00662392">
        <w:rPr>
          <w:sz w:val="22"/>
          <w:szCs w:val="22"/>
        </w:rPr>
        <w:t xml:space="preserve">irect effects are those where the proposed CTE affects the SSCs. Indirect effects are those where the proposed CTE affects one SSC and this SSC affects the capability of another SSC to perform its UFSAR-described design function. Indirect effects also include the effects of proposed CTE on the design functions of SSCs credited in the safety analyses. </w:t>
      </w:r>
      <w:r w:rsidR="00C42A5C">
        <w:rPr>
          <w:sz w:val="22"/>
          <w:szCs w:val="22"/>
        </w:rPr>
        <w:t xml:space="preserve"> </w:t>
      </w:r>
      <w:r w:rsidR="001F5146" w:rsidRPr="00662392">
        <w:rPr>
          <w:sz w:val="22"/>
          <w:szCs w:val="22"/>
        </w:rPr>
        <w:t xml:space="preserve">The safety analysis assumes certain design functions of SSCs in demonstrating the adequacy of the design. </w:t>
      </w:r>
      <w:r w:rsidR="00D778A0">
        <w:rPr>
          <w:sz w:val="22"/>
          <w:szCs w:val="22"/>
        </w:rPr>
        <w:t xml:space="preserve"> C</w:t>
      </w:r>
      <w:r w:rsidR="001F5146" w:rsidRPr="00662392">
        <w:rPr>
          <w:sz w:val="22"/>
          <w:szCs w:val="22"/>
        </w:rPr>
        <w:t xml:space="preserve">ertain design functions, while not specifically identified in the safety analysis, are credited in an indirect sense. </w:t>
      </w:r>
      <w:r w:rsidR="00D778A0">
        <w:rPr>
          <w:sz w:val="22"/>
          <w:szCs w:val="22"/>
        </w:rPr>
        <w:t xml:space="preserve"> </w:t>
      </w:r>
      <w:r w:rsidR="001F5146" w:rsidRPr="00662392">
        <w:rPr>
          <w:sz w:val="22"/>
          <w:szCs w:val="22"/>
        </w:rPr>
        <w:t xml:space="preserve">After determining the effect of the proposed CTE on the important-to-safety SSCs, the inspectors should </w:t>
      </w:r>
      <w:r w:rsidR="00101001" w:rsidRPr="00662392">
        <w:rPr>
          <w:sz w:val="22"/>
          <w:szCs w:val="22"/>
        </w:rPr>
        <w:t xml:space="preserve">consider </w:t>
      </w:r>
      <w:r w:rsidR="001F5146" w:rsidRPr="00662392">
        <w:rPr>
          <w:sz w:val="22"/>
          <w:szCs w:val="22"/>
        </w:rPr>
        <w:t xml:space="preserve">whether the likelihood of a malfunction of the important-to-safety SSCs has increased more than minimally. </w:t>
      </w:r>
    </w:p>
    <w:p w14:paraId="14F3AA61" w14:textId="77777777" w:rsidR="00C1473C" w:rsidRDefault="00C1473C" w:rsidP="00194415">
      <w:pPr>
        <w:rPr>
          <w:sz w:val="22"/>
          <w:szCs w:val="22"/>
        </w:rPr>
      </w:pPr>
    </w:p>
    <w:p w14:paraId="5F93100C" w14:textId="77777777" w:rsidR="00C1473C" w:rsidRDefault="001F5146" w:rsidP="00194415">
      <w:pPr>
        <w:widowControl/>
        <w:rPr>
          <w:sz w:val="22"/>
          <w:szCs w:val="22"/>
        </w:rPr>
        <w:sectPr w:rsidR="00C1473C" w:rsidSect="00012998">
          <w:footerReference w:type="default" r:id="rId53"/>
          <w:pgSz w:w="12240" w:h="15840" w:code="1"/>
          <w:pgMar w:top="1440" w:right="1440" w:bottom="1440" w:left="1440" w:header="720" w:footer="720" w:gutter="0"/>
          <w:cols w:space="720"/>
          <w:noEndnote/>
          <w:docGrid w:linePitch="326"/>
        </w:sectPr>
      </w:pPr>
      <w:r w:rsidRPr="00662392">
        <w:rPr>
          <w:sz w:val="22"/>
          <w:szCs w:val="22"/>
        </w:rPr>
        <w:t>As discussed in NEI 12-04,</w:t>
      </w:r>
      <w:r w:rsidR="00B363B9" w:rsidRPr="00662392">
        <w:rPr>
          <w:sz w:val="22"/>
          <w:szCs w:val="22"/>
        </w:rPr>
        <w:t xml:space="preserve"> Revision 2,</w:t>
      </w:r>
      <w:r w:rsidRPr="00662392">
        <w:rPr>
          <w:sz w:val="22"/>
          <w:szCs w:val="22"/>
        </w:rPr>
        <w:t xml:space="preserve"> the licensee or </w:t>
      </w:r>
      <w:proofErr w:type="spellStart"/>
      <w:r w:rsidRPr="00662392">
        <w:rPr>
          <w:sz w:val="22"/>
          <w:szCs w:val="22"/>
        </w:rPr>
        <w:t>CoC</w:t>
      </w:r>
      <w:proofErr w:type="spellEnd"/>
      <w:r w:rsidRPr="00662392">
        <w:rPr>
          <w:sz w:val="22"/>
          <w:szCs w:val="22"/>
        </w:rPr>
        <w:t xml:space="preserve"> holder may use qualitative engineering judgment and/or an industry precedent to determine if there is more than a minimal increase in the likelihood of occurrence of a malfunction. </w:t>
      </w:r>
      <w:r w:rsidR="00D778A0">
        <w:rPr>
          <w:sz w:val="22"/>
          <w:szCs w:val="22"/>
        </w:rPr>
        <w:t xml:space="preserve"> </w:t>
      </w:r>
      <w:r w:rsidRPr="00662392">
        <w:rPr>
          <w:sz w:val="22"/>
          <w:szCs w:val="22"/>
        </w:rPr>
        <w:t>An appropriate calculation can be used to demonstrate the change in likelihood in a quantitative sense, if available and practical. The effect of a proposed activity on the likelihood of malfunction must be discernible and attributable to the proposed activity in order to exceed the more than minimal increase standard. See Section 06.1</w:t>
      </w:r>
      <w:r w:rsidR="00DA7A50" w:rsidRPr="00662392">
        <w:rPr>
          <w:sz w:val="22"/>
          <w:szCs w:val="22"/>
        </w:rPr>
        <w:t>4</w:t>
      </w:r>
      <w:r w:rsidRPr="00662392">
        <w:rPr>
          <w:sz w:val="22"/>
          <w:szCs w:val="22"/>
        </w:rPr>
        <w:t xml:space="preserve"> of this IMC for further discussion on PRA and PRA techniques. </w:t>
      </w:r>
    </w:p>
    <w:p w14:paraId="72F1A002" w14:textId="77777777" w:rsidR="001F5146" w:rsidRPr="00662392" w:rsidRDefault="001F5146" w:rsidP="00194415">
      <w:pPr>
        <w:rPr>
          <w:sz w:val="22"/>
          <w:szCs w:val="22"/>
        </w:rPr>
      </w:pPr>
    </w:p>
    <w:p w14:paraId="3A946297" w14:textId="6D16CFF1" w:rsidR="001F5146" w:rsidRPr="00662392" w:rsidRDefault="00827FEF" w:rsidP="00194415">
      <w:pPr>
        <w:widowControl/>
        <w:rPr>
          <w:color w:val="000000"/>
          <w:sz w:val="22"/>
          <w:szCs w:val="22"/>
        </w:rPr>
      </w:pPr>
      <w:r w:rsidRPr="00662392">
        <w:rPr>
          <w:sz w:val="22"/>
          <w:szCs w:val="22"/>
        </w:rPr>
        <w:t>I</w:t>
      </w:r>
      <w:r w:rsidR="001F5146" w:rsidRPr="00662392">
        <w:rPr>
          <w:sz w:val="22"/>
          <w:szCs w:val="22"/>
        </w:rPr>
        <w:t xml:space="preserve">nspectors should </w:t>
      </w:r>
      <w:r w:rsidR="00101001" w:rsidRPr="00662392">
        <w:rPr>
          <w:sz w:val="22"/>
          <w:szCs w:val="22"/>
        </w:rPr>
        <w:t>consider</w:t>
      </w:r>
      <w:r w:rsidR="001F5146" w:rsidRPr="00662392">
        <w:rPr>
          <w:sz w:val="22"/>
          <w:szCs w:val="22"/>
        </w:rPr>
        <w:t xml:space="preserve"> whether the likelihood of malfunction is more than minimally increased at a level consistent with existing UFSAR-described failure modes and effects analyses, as applicable. </w:t>
      </w:r>
      <w:r w:rsidR="00D778A0">
        <w:rPr>
          <w:sz w:val="22"/>
          <w:szCs w:val="22"/>
        </w:rPr>
        <w:t xml:space="preserve"> </w:t>
      </w:r>
      <w:r w:rsidR="001F5146" w:rsidRPr="00662392">
        <w:rPr>
          <w:sz w:val="22"/>
          <w:szCs w:val="22"/>
        </w:rPr>
        <w:t xml:space="preserve">If, for example, in support of the evaluation the licensee or </w:t>
      </w:r>
      <w:proofErr w:type="spellStart"/>
      <w:r w:rsidR="001F5146" w:rsidRPr="00662392">
        <w:rPr>
          <w:sz w:val="22"/>
          <w:szCs w:val="22"/>
        </w:rPr>
        <w:t>CoC</w:t>
      </w:r>
      <w:proofErr w:type="spellEnd"/>
      <w:r w:rsidR="001F5146" w:rsidRPr="00662392">
        <w:rPr>
          <w:sz w:val="22"/>
          <w:szCs w:val="22"/>
        </w:rPr>
        <w:t xml:space="preserve"> holder calculates the change in likelihood of occurrence of a malfunction, and the result is less than two times, than this would not exceed the “more than a minimal increase” standard and would not require prior NRC approval.  </w:t>
      </w:r>
      <w:r w:rsidR="001F5146" w:rsidRPr="00662392">
        <w:rPr>
          <w:color w:val="000000"/>
          <w:sz w:val="22"/>
          <w:szCs w:val="22"/>
        </w:rPr>
        <w:t xml:space="preserve">Additionally, design requirements for earthquakes, tornadoes, and other natural phenomena </w:t>
      </w:r>
      <w:r w:rsidR="00EF213B" w:rsidRPr="00662392">
        <w:rPr>
          <w:color w:val="000000"/>
          <w:sz w:val="22"/>
          <w:szCs w:val="22"/>
        </w:rPr>
        <w:t xml:space="preserve">should be evaluated </w:t>
      </w:r>
      <w:r w:rsidR="001F5146" w:rsidRPr="00662392">
        <w:rPr>
          <w:color w:val="000000"/>
          <w:sz w:val="22"/>
          <w:szCs w:val="22"/>
        </w:rPr>
        <w:t>as potentially affecting the likelihood of malfunction.</w:t>
      </w:r>
    </w:p>
    <w:p w14:paraId="711C503E" w14:textId="77777777" w:rsidR="00662392" w:rsidRPr="00662392" w:rsidRDefault="00662392" w:rsidP="00194415">
      <w:pPr>
        <w:widowControl/>
        <w:rPr>
          <w:color w:val="000000"/>
          <w:sz w:val="22"/>
          <w:szCs w:val="22"/>
        </w:rPr>
      </w:pPr>
    </w:p>
    <w:p w14:paraId="69970A0D" w14:textId="76BCA956" w:rsidR="001F5146" w:rsidRPr="00662392" w:rsidRDefault="001F5146" w:rsidP="00194415">
      <w:pPr>
        <w:rPr>
          <w:sz w:val="22"/>
          <w:szCs w:val="22"/>
        </w:rPr>
      </w:pPr>
      <w:r w:rsidRPr="00662392">
        <w:rPr>
          <w:color w:val="000000"/>
          <w:sz w:val="22"/>
          <w:szCs w:val="22"/>
        </w:rPr>
        <w:t>Further, departures from the design, fabrication, construction, testing, and performance standards as outlined in the G</w:t>
      </w:r>
      <w:r w:rsidR="00491C68" w:rsidRPr="00662392">
        <w:rPr>
          <w:color w:val="000000"/>
          <w:sz w:val="22"/>
          <w:szCs w:val="22"/>
        </w:rPr>
        <w:t>D</w:t>
      </w:r>
      <w:r w:rsidRPr="00662392">
        <w:rPr>
          <w:color w:val="000000"/>
          <w:sz w:val="22"/>
          <w:szCs w:val="22"/>
        </w:rPr>
        <w:t xml:space="preserve">C (Subpart F to Part 72) are not compatible with a “no more than minimal increase” standard because such departures would be non-compliant with the regulations. </w:t>
      </w:r>
      <w:r w:rsidR="00D778A0">
        <w:rPr>
          <w:color w:val="000000"/>
          <w:sz w:val="22"/>
          <w:szCs w:val="22"/>
        </w:rPr>
        <w:t xml:space="preserve"> </w:t>
      </w:r>
      <w:r w:rsidRPr="00662392">
        <w:rPr>
          <w:sz w:val="22"/>
          <w:szCs w:val="22"/>
        </w:rPr>
        <w:t>When the GDC has been incorporated into the licensing basis, departures from the design, fabrication, construction, testing, and performance requirements in the GDC as incorporated into the licensing basis, are not compatible with a “no more than minimal increase” standard.</w:t>
      </w:r>
    </w:p>
    <w:p w14:paraId="626994B3" w14:textId="77777777" w:rsidR="001F5146" w:rsidRPr="00662392" w:rsidRDefault="001F5146" w:rsidP="00194415">
      <w:pPr>
        <w:rPr>
          <w:sz w:val="22"/>
          <w:szCs w:val="22"/>
        </w:rPr>
      </w:pPr>
    </w:p>
    <w:p w14:paraId="077A7A29" w14:textId="26547555" w:rsidR="001F5146" w:rsidRPr="00662392" w:rsidRDefault="00CA7D3C" w:rsidP="00662392">
      <w:pPr>
        <w:rPr>
          <w:sz w:val="22"/>
          <w:szCs w:val="22"/>
        </w:rPr>
      </w:pPr>
      <w:r w:rsidRPr="00662392">
        <w:rPr>
          <w:sz w:val="22"/>
          <w:szCs w:val="22"/>
        </w:rPr>
        <w:t>07.15</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Pr="00662392">
        <w:rPr>
          <w:sz w:val="22"/>
          <w:szCs w:val="22"/>
          <w:u w:val="single"/>
        </w:rPr>
        <w:t xml:space="preserve"> Holder Evaluation of Criterion </w:t>
      </w:r>
      <w:r w:rsidR="00775546" w:rsidRPr="00662392">
        <w:rPr>
          <w:sz w:val="22"/>
          <w:szCs w:val="22"/>
          <w:u w:val="single"/>
        </w:rPr>
        <w:t>(c)(2)(</w:t>
      </w:r>
      <w:r w:rsidR="00C57B7F" w:rsidRPr="00662392">
        <w:rPr>
          <w:sz w:val="22"/>
          <w:szCs w:val="22"/>
          <w:u w:val="single"/>
        </w:rPr>
        <w:t>iii)</w:t>
      </w:r>
      <w:r w:rsidRPr="00662392">
        <w:rPr>
          <w:sz w:val="22"/>
          <w:szCs w:val="22"/>
          <w:u w:val="single"/>
        </w:rPr>
        <w:fldChar w:fldCharType="begin"/>
      </w:r>
      <w:r w:rsidRPr="00662392">
        <w:rPr>
          <w:sz w:val="22"/>
          <w:szCs w:val="22"/>
        </w:rPr>
        <w:instrText xml:space="preserve"> TC "</w:instrText>
      </w:r>
      <w:bookmarkStart w:id="143" w:name="_Toc62642930"/>
      <w:bookmarkStart w:id="144" w:name="_Toc63142114"/>
      <w:r w:rsidRPr="00662392">
        <w:rPr>
          <w:sz w:val="22"/>
          <w:szCs w:val="22"/>
        </w:rPr>
        <w:instrText>07.15</w:instrText>
      </w:r>
      <w:r w:rsidR="00662392" w:rsidRPr="00662392">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(c)(2)(iii)</w:instrText>
      </w:r>
      <w:bookmarkEnd w:id="143"/>
      <w:bookmarkEnd w:id="144"/>
      <w:r w:rsidRPr="00662392">
        <w:rPr>
          <w:sz w:val="22"/>
          <w:szCs w:val="22"/>
        </w:rPr>
        <w:instrText xml:space="preserve">" \f C \l "2" </w:instrText>
      </w:r>
      <w:r w:rsidRPr="00662392">
        <w:rPr>
          <w:sz w:val="22"/>
          <w:szCs w:val="22"/>
          <w:u w:val="single"/>
        </w:rPr>
        <w:fldChar w:fldCharType="end"/>
      </w:r>
    </w:p>
    <w:p w14:paraId="00AD364A" w14:textId="77777777" w:rsidR="001F5146" w:rsidRPr="00662392" w:rsidRDefault="001F5146" w:rsidP="00194415">
      <w:pPr>
        <w:rPr>
          <w:sz w:val="22"/>
          <w:szCs w:val="22"/>
        </w:rPr>
      </w:pPr>
    </w:p>
    <w:p w14:paraId="10085BA0" w14:textId="3F0D5236" w:rsidR="001F5146" w:rsidRPr="00662392" w:rsidRDefault="00C57B7F" w:rsidP="00194415">
      <w:pPr>
        <w:widowControl/>
        <w:rPr>
          <w:sz w:val="22"/>
          <w:szCs w:val="22"/>
        </w:rPr>
      </w:pPr>
      <w:r w:rsidRPr="00662392">
        <w:rPr>
          <w:sz w:val="22"/>
          <w:szCs w:val="22"/>
        </w:rPr>
        <w:t>1</w:t>
      </w:r>
      <w:r w:rsidR="001F5146" w:rsidRPr="00662392">
        <w:rPr>
          <w:sz w:val="22"/>
          <w:szCs w:val="22"/>
        </w:rPr>
        <w:t xml:space="preserve">0 CFR 72.48(c)(2)(iii) </w:t>
      </w:r>
      <w:r w:rsidRPr="00662392">
        <w:rPr>
          <w:sz w:val="22"/>
          <w:szCs w:val="22"/>
        </w:rPr>
        <w:t>focuses on whether</w:t>
      </w:r>
      <w:r w:rsidR="001F5146" w:rsidRPr="00662392">
        <w:rPr>
          <w:sz w:val="22"/>
          <w:szCs w:val="22"/>
        </w:rPr>
        <w:t xml:space="preserve"> the CTE </w:t>
      </w:r>
      <w:r w:rsidRPr="00662392">
        <w:rPr>
          <w:sz w:val="22"/>
          <w:szCs w:val="22"/>
        </w:rPr>
        <w:t>would</w:t>
      </w:r>
      <w:r w:rsidR="001F5146" w:rsidRPr="00662392">
        <w:rPr>
          <w:sz w:val="22"/>
          <w:szCs w:val="22"/>
        </w:rPr>
        <w:t xml:space="preserve"> result in </w:t>
      </w:r>
      <w:r w:rsidRPr="00662392">
        <w:rPr>
          <w:sz w:val="22"/>
          <w:szCs w:val="22"/>
        </w:rPr>
        <w:t xml:space="preserve">a </w:t>
      </w:r>
      <w:r w:rsidR="001F5146" w:rsidRPr="00662392">
        <w:rPr>
          <w:sz w:val="22"/>
          <w:szCs w:val="22"/>
        </w:rPr>
        <w:t xml:space="preserve">more than a minimal increase in the consequences of an accident previously evaluated in the UFSAR. </w:t>
      </w:r>
    </w:p>
    <w:p w14:paraId="2BAFB915" w14:textId="77777777" w:rsidR="001F5146" w:rsidRPr="00662392" w:rsidRDefault="001F5146" w:rsidP="00194415">
      <w:pPr>
        <w:widowControl/>
        <w:rPr>
          <w:sz w:val="22"/>
          <w:szCs w:val="22"/>
        </w:rPr>
      </w:pPr>
    </w:p>
    <w:p w14:paraId="0F5C2333" w14:textId="5AED4D1A" w:rsidR="001F5146" w:rsidRPr="00662392" w:rsidRDefault="00491C68" w:rsidP="00194415">
      <w:pPr>
        <w:widowControl/>
        <w:rPr>
          <w:sz w:val="22"/>
          <w:szCs w:val="22"/>
        </w:rPr>
      </w:pPr>
      <w:r w:rsidRPr="00662392">
        <w:rPr>
          <w:sz w:val="22"/>
          <w:szCs w:val="22"/>
        </w:rPr>
        <w:t>I</w:t>
      </w:r>
      <w:r w:rsidR="001F5146" w:rsidRPr="00662392">
        <w:rPr>
          <w:sz w:val="22"/>
          <w:szCs w:val="22"/>
        </w:rPr>
        <w:t xml:space="preserve">nspectors should </w:t>
      </w:r>
      <w:r w:rsidR="00741C5E" w:rsidRPr="00662392">
        <w:rPr>
          <w:sz w:val="22"/>
          <w:szCs w:val="22"/>
        </w:rPr>
        <w:t xml:space="preserve">recognize </w:t>
      </w:r>
      <w:r w:rsidR="001F5146" w:rsidRPr="00662392">
        <w:rPr>
          <w:sz w:val="22"/>
          <w:szCs w:val="22"/>
        </w:rPr>
        <w:t xml:space="preserve">that the term “consequences” refers to radiological consequences, and includes not only offsite exposure, but also dose to operators in the control room or other onsite personnel resulting from accidents and malfunctions or off-normal events previously evaluated in the UFSAR.  As described in the SOCs for the final rule, this criterion uses a graduated approach, consistent with the concept of “minimal” being small enough so as not to impact the basis for the acceptability of the previous licensing decision.  </w:t>
      </w:r>
    </w:p>
    <w:p w14:paraId="5CBF1F13" w14:textId="77777777" w:rsidR="001F5146" w:rsidRPr="00662392" w:rsidRDefault="001F5146" w:rsidP="00194415">
      <w:pPr>
        <w:widowControl/>
        <w:rPr>
          <w:sz w:val="22"/>
          <w:szCs w:val="22"/>
        </w:rPr>
      </w:pPr>
    </w:p>
    <w:p w14:paraId="5A9A3DB8" w14:textId="4DC0CA1C" w:rsidR="007071BC" w:rsidRPr="00662392" w:rsidRDefault="00A66EF7" w:rsidP="00194415">
      <w:pPr>
        <w:widowControl/>
        <w:rPr>
          <w:sz w:val="22"/>
          <w:szCs w:val="22"/>
        </w:rPr>
      </w:pPr>
      <w:r w:rsidRPr="00662392">
        <w:rPr>
          <w:sz w:val="22"/>
          <w:szCs w:val="22"/>
        </w:rPr>
        <w:t>A change involves no more than a minimal increase in consequences if the increase is less than or equal to the more limiting of either 10 percent of the difference between the licensee’s existing calculated value and the regulatory guideline value (10 CFR 72.104, 10 CFR 72.106, or GDC 19 as applicable), or has reached the SRP guideline value for the particular design basis event/accident.</w:t>
      </w:r>
    </w:p>
    <w:p w14:paraId="7E23AAB1" w14:textId="77777777" w:rsidR="007071BC" w:rsidRPr="00662392" w:rsidRDefault="007071BC" w:rsidP="00194415">
      <w:pPr>
        <w:widowControl/>
        <w:rPr>
          <w:sz w:val="22"/>
          <w:szCs w:val="22"/>
        </w:rPr>
      </w:pPr>
    </w:p>
    <w:p w14:paraId="2E2C1C55" w14:textId="77777777" w:rsidR="000E0ACD" w:rsidRDefault="00757120" w:rsidP="00194415">
      <w:pPr>
        <w:widowControl/>
        <w:rPr>
          <w:sz w:val="22"/>
          <w:szCs w:val="22"/>
        </w:rPr>
      </w:pPr>
      <w:r w:rsidRPr="00662392">
        <w:rPr>
          <w:sz w:val="22"/>
          <w:szCs w:val="22"/>
        </w:rPr>
        <w:t>I</w:t>
      </w:r>
      <w:r w:rsidR="001F5146" w:rsidRPr="00662392">
        <w:rPr>
          <w:sz w:val="22"/>
          <w:szCs w:val="22"/>
        </w:rPr>
        <w:t xml:space="preserve">nspectors should </w:t>
      </w:r>
      <w:r w:rsidR="00A50C0F" w:rsidRPr="00662392">
        <w:rPr>
          <w:sz w:val="22"/>
          <w:szCs w:val="22"/>
        </w:rPr>
        <w:t>consider t</w:t>
      </w:r>
      <w:r w:rsidR="001F5146" w:rsidRPr="00662392">
        <w:rPr>
          <w:sz w:val="22"/>
          <w:szCs w:val="22"/>
        </w:rPr>
        <w:t xml:space="preserve">he applicability with respect to the accident, not whether the plant was specifically licensed using the SRP.  </w:t>
      </w:r>
      <w:r w:rsidRPr="00662392">
        <w:rPr>
          <w:sz w:val="22"/>
          <w:szCs w:val="22"/>
        </w:rPr>
        <w:t>I</w:t>
      </w:r>
      <w:r w:rsidR="001F5146" w:rsidRPr="00662392">
        <w:rPr>
          <w:sz w:val="22"/>
          <w:szCs w:val="22"/>
        </w:rPr>
        <w:t xml:space="preserve">nspectors should </w:t>
      </w:r>
      <w:r w:rsidRPr="00662392">
        <w:rPr>
          <w:sz w:val="22"/>
          <w:szCs w:val="22"/>
        </w:rPr>
        <w:t>recognize</w:t>
      </w:r>
      <w:r w:rsidR="001F5146" w:rsidRPr="00662392">
        <w:rPr>
          <w:sz w:val="22"/>
          <w:szCs w:val="22"/>
        </w:rPr>
        <w:t xml:space="preserve"> that this criterion covers proposed CTE that affect source terms, credited mitigation systems or actions which is pertinent to accidents.</w:t>
      </w:r>
    </w:p>
    <w:p w14:paraId="729EBA30" w14:textId="77777777" w:rsidR="00C1473C" w:rsidRDefault="00C1473C" w:rsidP="00194415">
      <w:pPr>
        <w:widowControl/>
        <w:rPr>
          <w:sz w:val="22"/>
          <w:szCs w:val="22"/>
        </w:rPr>
      </w:pPr>
    </w:p>
    <w:p w14:paraId="35A4D543" w14:textId="77777777" w:rsidR="00C1473C" w:rsidRDefault="001F5146" w:rsidP="00194415">
      <w:pPr>
        <w:widowControl/>
        <w:rPr>
          <w:sz w:val="22"/>
          <w:szCs w:val="22"/>
        </w:rPr>
        <w:sectPr w:rsidR="00C1473C" w:rsidSect="00012998">
          <w:footerReference w:type="default" r:id="rId54"/>
          <w:pgSz w:w="12240" w:h="15840" w:code="1"/>
          <w:pgMar w:top="1440" w:right="1440" w:bottom="1440" w:left="1440" w:header="720" w:footer="720" w:gutter="0"/>
          <w:cols w:space="720"/>
          <w:noEndnote/>
          <w:docGrid w:linePitch="326"/>
        </w:sectPr>
      </w:pPr>
      <w:r w:rsidRPr="00662392">
        <w:rPr>
          <w:sz w:val="22"/>
          <w:szCs w:val="22"/>
        </w:rPr>
        <w:t xml:space="preserve">If a licensee or </w:t>
      </w:r>
      <w:proofErr w:type="spellStart"/>
      <w:r w:rsidRPr="00662392">
        <w:rPr>
          <w:sz w:val="22"/>
          <w:szCs w:val="22"/>
        </w:rPr>
        <w:t>CoC</w:t>
      </w:r>
      <w:proofErr w:type="spellEnd"/>
      <w:r w:rsidRPr="00662392">
        <w:rPr>
          <w:sz w:val="22"/>
          <w:szCs w:val="22"/>
        </w:rPr>
        <w:t xml:space="preserve"> holder has performed an analysis with certain bounding assumptions, and the proposed CTE would increase a specific parameter from its present value to a different value that is still bounded by the value assumed in the analysis, the proposed CTE satisfies the criterion of “no more than a minimal increase in consequences,” because the bounding analysis is what determines the value from which a change is being judged.  If a licensee need</w:t>
      </w:r>
      <w:r w:rsidR="00A92BE1" w:rsidRPr="00662392">
        <w:rPr>
          <w:sz w:val="22"/>
          <w:szCs w:val="22"/>
        </w:rPr>
        <w:t>s</w:t>
      </w:r>
      <w:r w:rsidRPr="00662392">
        <w:rPr>
          <w:sz w:val="22"/>
          <w:szCs w:val="22"/>
        </w:rPr>
        <w:t xml:space="preserve"> to change its design basis assumptions or analytical methods, or both, to demonstrate that the change in consequences satisfies this criterion, then the change is not minimal, and a license amendment request is required.</w:t>
      </w:r>
    </w:p>
    <w:p w14:paraId="74E09F1B" w14:textId="77777777" w:rsidR="001F5146" w:rsidRPr="00662392" w:rsidRDefault="001F5146" w:rsidP="00194415">
      <w:pPr>
        <w:widowControl/>
        <w:rPr>
          <w:sz w:val="22"/>
          <w:szCs w:val="22"/>
        </w:rPr>
      </w:pPr>
    </w:p>
    <w:p w14:paraId="6844CC76" w14:textId="70DDECDE" w:rsidR="001F5146" w:rsidRPr="00662392" w:rsidRDefault="00C95DEF" w:rsidP="00194415">
      <w:pPr>
        <w:widowControl/>
        <w:rPr>
          <w:sz w:val="22"/>
          <w:szCs w:val="22"/>
        </w:rPr>
      </w:pPr>
      <w:r w:rsidRPr="00662392">
        <w:rPr>
          <w:sz w:val="22"/>
          <w:szCs w:val="22"/>
        </w:rPr>
        <w:t xml:space="preserve">Inspectors can find </w:t>
      </w:r>
      <w:r w:rsidR="001F5146" w:rsidRPr="00662392">
        <w:rPr>
          <w:sz w:val="22"/>
          <w:szCs w:val="22"/>
        </w:rPr>
        <w:t xml:space="preserve">examples </w:t>
      </w:r>
      <w:r w:rsidRPr="00662392">
        <w:rPr>
          <w:sz w:val="22"/>
          <w:szCs w:val="22"/>
        </w:rPr>
        <w:t>which</w:t>
      </w:r>
      <w:r w:rsidR="001F5146" w:rsidRPr="00662392">
        <w:rPr>
          <w:sz w:val="22"/>
          <w:szCs w:val="22"/>
        </w:rPr>
        <w:t xml:space="preserve"> illustrate the implementation of this criterion</w:t>
      </w:r>
      <w:r w:rsidRPr="00662392">
        <w:rPr>
          <w:sz w:val="22"/>
          <w:szCs w:val="22"/>
        </w:rPr>
        <w:t xml:space="preserve"> in Section 06.</w:t>
      </w:r>
      <w:r w:rsidR="00E677DC" w:rsidRPr="00662392">
        <w:rPr>
          <w:sz w:val="22"/>
          <w:szCs w:val="22"/>
        </w:rPr>
        <w:t>1</w:t>
      </w:r>
      <w:r w:rsidR="00B6266C" w:rsidRPr="00662392">
        <w:rPr>
          <w:sz w:val="22"/>
          <w:szCs w:val="22"/>
        </w:rPr>
        <w:t xml:space="preserve">7 </w:t>
      </w:r>
      <w:r w:rsidR="00E677DC" w:rsidRPr="00662392">
        <w:rPr>
          <w:sz w:val="22"/>
          <w:szCs w:val="22"/>
        </w:rPr>
        <w:t>of this IMC</w:t>
      </w:r>
      <w:r w:rsidR="001F5146" w:rsidRPr="00662392">
        <w:rPr>
          <w:sz w:val="22"/>
          <w:szCs w:val="22"/>
        </w:rPr>
        <w:t>.</w:t>
      </w:r>
    </w:p>
    <w:p w14:paraId="3264BC3C" w14:textId="20A90B64" w:rsidR="001F5146" w:rsidRPr="00662392" w:rsidRDefault="001F5146" w:rsidP="00194415">
      <w:pPr>
        <w:widowControl/>
        <w:rPr>
          <w:sz w:val="22"/>
          <w:szCs w:val="22"/>
        </w:rPr>
      </w:pPr>
    </w:p>
    <w:p w14:paraId="5D961CD1" w14:textId="5E790945" w:rsidR="001F5146" w:rsidRPr="00662392" w:rsidRDefault="00CA7D3C" w:rsidP="00662392">
      <w:pPr>
        <w:rPr>
          <w:sz w:val="22"/>
          <w:szCs w:val="22"/>
        </w:rPr>
      </w:pPr>
      <w:r w:rsidRPr="00662392">
        <w:rPr>
          <w:sz w:val="22"/>
          <w:szCs w:val="22"/>
        </w:rPr>
        <w:t>07.16</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Pr="00662392">
        <w:rPr>
          <w:sz w:val="22"/>
          <w:szCs w:val="22"/>
          <w:u w:val="single"/>
        </w:rPr>
        <w:t xml:space="preserve"> Holder Evaluation of Criterion </w:t>
      </w:r>
      <w:r w:rsidR="00775546" w:rsidRPr="00662392">
        <w:rPr>
          <w:sz w:val="22"/>
          <w:szCs w:val="22"/>
          <w:u w:val="single"/>
        </w:rPr>
        <w:t>(c)(2)(</w:t>
      </w:r>
      <w:r w:rsidR="00E677DC" w:rsidRPr="00662392">
        <w:rPr>
          <w:sz w:val="22"/>
          <w:szCs w:val="22"/>
          <w:u w:val="single"/>
        </w:rPr>
        <w:t>iv)</w:t>
      </w:r>
      <w:r w:rsidRPr="00662392">
        <w:rPr>
          <w:sz w:val="22"/>
          <w:szCs w:val="22"/>
          <w:u w:val="single"/>
        </w:rPr>
        <w:fldChar w:fldCharType="begin"/>
      </w:r>
      <w:r w:rsidRPr="00662392">
        <w:rPr>
          <w:sz w:val="22"/>
          <w:szCs w:val="22"/>
        </w:rPr>
        <w:instrText xml:space="preserve"> TC "</w:instrText>
      </w:r>
      <w:bookmarkStart w:id="145" w:name="_Toc62642931"/>
      <w:bookmarkStart w:id="146" w:name="_Toc63142115"/>
      <w:r w:rsidRPr="00662392">
        <w:rPr>
          <w:sz w:val="22"/>
          <w:szCs w:val="22"/>
        </w:rPr>
        <w:instrText>07.16</w:instrText>
      </w:r>
      <w:r w:rsidR="00662392" w:rsidRPr="00662392">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(c)(2)(iv)</w:instrText>
      </w:r>
      <w:bookmarkEnd w:id="145"/>
      <w:bookmarkEnd w:id="146"/>
      <w:r w:rsidRPr="00662392">
        <w:rPr>
          <w:sz w:val="22"/>
          <w:szCs w:val="22"/>
        </w:rPr>
        <w:instrText xml:space="preserve">" \f C \l "2" </w:instrText>
      </w:r>
      <w:r w:rsidRPr="00662392">
        <w:rPr>
          <w:sz w:val="22"/>
          <w:szCs w:val="22"/>
          <w:u w:val="single"/>
        </w:rPr>
        <w:fldChar w:fldCharType="end"/>
      </w:r>
    </w:p>
    <w:p w14:paraId="62DC61A7" w14:textId="77777777" w:rsidR="001F5146" w:rsidRPr="00662392" w:rsidRDefault="001F5146" w:rsidP="00194415">
      <w:pPr>
        <w:rPr>
          <w:sz w:val="22"/>
          <w:szCs w:val="22"/>
        </w:rPr>
      </w:pPr>
    </w:p>
    <w:p w14:paraId="3B9B3ACE" w14:textId="13AAFDF2" w:rsidR="001F5146" w:rsidRPr="00662392" w:rsidRDefault="001F5146" w:rsidP="00194415">
      <w:pPr>
        <w:rPr>
          <w:sz w:val="22"/>
          <w:szCs w:val="22"/>
        </w:rPr>
      </w:pPr>
      <w:r w:rsidRPr="00662392">
        <w:rPr>
          <w:sz w:val="22"/>
          <w:szCs w:val="22"/>
        </w:rPr>
        <w:t xml:space="preserve">10 CFR 72.48(c)(2)(iv) </w:t>
      </w:r>
      <w:r w:rsidR="00E677DC" w:rsidRPr="00662392">
        <w:rPr>
          <w:sz w:val="22"/>
          <w:szCs w:val="22"/>
        </w:rPr>
        <w:t>focuses on whether</w:t>
      </w:r>
      <w:r w:rsidRPr="00662392">
        <w:rPr>
          <w:sz w:val="22"/>
          <w:szCs w:val="22"/>
        </w:rPr>
        <w:t xml:space="preserve"> the CTE </w:t>
      </w:r>
      <w:r w:rsidR="00E677DC" w:rsidRPr="00662392">
        <w:rPr>
          <w:sz w:val="22"/>
          <w:szCs w:val="22"/>
        </w:rPr>
        <w:t xml:space="preserve">would </w:t>
      </w:r>
      <w:r w:rsidRPr="00662392">
        <w:rPr>
          <w:sz w:val="22"/>
          <w:szCs w:val="22"/>
        </w:rPr>
        <w:t xml:space="preserve">result in </w:t>
      </w:r>
      <w:r w:rsidR="00E677DC" w:rsidRPr="00662392">
        <w:rPr>
          <w:sz w:val="22"/>
          <w:szCs w:val="22"/>
        </w:rPr>
        <w:t xml:space="preserve">a </w:t>
      </w:r>
      <w:r w:rsidRPr="00662392">
        <w:rPr>
          <w:sz w:val="22"/>
          <w:szCs w:val="22"/>
        </w:rPr>
        <w:t xml:space="preserve">more than a minimal increase in the consequences of a malfunctions evaluated in the UFSAR. </w:t>
      </w:r>
      <w:r w:rsidR="00D778A0">
        <w:rPr>
          <w:sz w:val="22"/>
          <w:szCs w:val="22"/>
        </w:rPr>
        <w:t xml:space="preserve"> </w:t>
      </w:r>
      <w:r w:rsidRPr="00662392">
        <w:rPr>
          <w:sz w:val="22"/>
          <w:szCs w:val="22"/>
        </w:rPr>
        <w:t>See Section 04.1</w:t>
      </w:r>
      <w:r w:rsidR="009B2BDB" w:rsidRPr="00662392">
        <w:rPr>
          <w:sz w:val="22"/>
          <w:szCs w:val="22"/>
        </w:rPr>
        <w:t>6</w:t>
      </w:r>
      <w:r w:rsidRPr="00662392">
        <w:rPr>
          <w:sz w:val="22"/>
          <w:szCs w:val="22"/>
        </w:rPr>
        <w:t xml:space="preserve"> of this IMC for definition of malfunction of SSCs important to safety.</w:t>
      </w:r>
    </w:p>
    <w:p w14:paraId="4D2BC355" w14:textId="77777777" w:rsidR="001F5146" w:rsidRPr="00662392" w:rsidRDefault="001F5146" w:rsidP="00194415">
      <w:pPr>
        <w:rPr>
          <w:sz w:val="22"/>
          <w:szCs w:val="22"/>
        </w:rPr>
      </w:pPr>
    </w:p>
    <w:p w14:paraId="164F3F6A" w14:textId="77777777" w:rsidR="009B6D57" w:rsidRDefault="0067024C" w:rsidP="00194415">
      <w:pPr>
        <w:rPr>
          <w:sz w:val="22"/>
          <w:szCs w:val="22"/>
        </w:rPr>
      </w:pPr>
      <w:r w:rsidRPr="00662392">
        <w:rPr>
          <w:sz w:val="22"/>
          <w:szCs w:val="22"/>
        </w:rPr>
        <w:t>I</w:t>
      </w:r>
      <w:r w:rsidR="001F5146" w:rsidRPr="00662392">
        <w:rPr>
          <w:sz w:val="22"/>
          <w:szCs w:val="22"/>
        </w:rPr>
        <w:t xml:space="preserve">nspectors should </w:t>
      </w:r>
      <w:r w:rsidR="00E677DC" w:rsidRPr="00662392">
        <w:rPr>
          <w:sz w:val="22"/>
          <w:szCs w:val="22"/>
        </w:rPr>
        <w:t>verify</w:t>
      </w:r>
      <w:r w:rsidR="001F5146" w:rsidRPr="00662392">
        <w:rPr>
          <w:sz w:val="22"/>
          <w:szCs w:val="22"/>
        </w:rPr>
        <w:t xml:space="preserve"> which malfunctions evaluated in the UFSAR are associated with the proposed CTE.  The guidance for determining whether a proposed CTE results in more than a minimal increase in the consequences of a malfunction is the same as that for accidents.</w:t>
      </w:r>
    </w:p>
    <w:p w14:paraId="3C1D2E4F" w14:textId="77777777" w:rsidR="009B6D57" w:rsidRDefault="009B6D57" w:rsidP="00194415">
      <w:pPr>
        <w:rPr>
          <w:sz w:val="22"/>
          <w:szCs w:val="22"/>
        </w:rPr>
      </w:pPr>
    </w:p>
    <w:p w14:paraId="22F16D32" w14:textId="6A93F383" w:rsidR="001F5146" w:rsidRPr="00662392" w:rsidRDefault="001F5146" w:rsidP="00194415">
      <w:pPr>
        <w:rPr>
          <w:sz w:val="22"/>
          <w:szCs w:val="22"/>
        </w:rPr>
      </w:pPr>
      <w:r w:rsidRPr="00662392">
        <w:rPr>
          <w:sz w:val="22"/>
          <w:szCs w:val="22"/>
        </w:rPr>
        <w:t>Operation of an ISFSI, including cask loading and unloading, must not result in doses exceeding the limits of 10 CFR 72.104, 10 CFR 72.106, or GDC 19 as a result of a proposed CTE.</w:t>
      </w:r>
    </w:p>
    <w:p w14:paraId="22F6DE6C" w14:textId="77777777" w:rsidR="001F5146" w:rsidRPr="00662392" w:rsidRDefault="001F5146" w:rsidP="00194415">
      <w:pPr>
        <w:rPr>
          <w:sz w:val="22"/>
          <w:szCs w:val="22"/>
        </w:rPr>
      </w:pPr>
    </w:p>
    <w:p w14:paraId="73BFA51B" w14:textId="67103A68" w:rsidR="001F5146" w:rsidRPr="00662392" w:rsidRDefault="00CA7D3C" w:rsidP="00662392">
      <w:pPr>
        <w:rPr>
          <w:sz w:val="22"/>
          <w:szCs w:val="22"/>
        </w:rPr>
      </w:pPr>
      <w:r w:rsidRPr="00662392">
        <w:rPr>
          <w:sz w:val="22"/>
          <w:szCs w:val="22"/>
        </w:rPr>
        <w:t>07.17</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Pr="00662392">
        <w:rPr>
          <w:sz w:val="22"/>
          <w:szCs w:val="22"/>
          <w:u w:val="single"/>
        </w:rPr>
        <w:t xml:space="preserve"> Holder Evaluation of Criterion </w:t>
      </w:r>
      <w:r w:rsidR="00775546" w:rsidRPr="00662392">
        <w:rPr>
          <w:sz w:val="22"/>
          <w:szCs w:val="22"/>
          <w:u w:val="single"/>
        </w:rPr>
        <w:t>(c)(2)(</w:t>
      </w:r>
      <w:r w:rsidR="00C65B09" w:rsidRPr="00662392">
        <w:rPr>
          <w:sz w:val="22"/>
          <w:szCs w:val="22"/>
          <w:u w:val="single"/>
        </w:rPr>
        <w:t>v)</w:t>
      </w:r>
      <w:r w:rsidRPr="00662392">
        <w:rPr>
          <w:sz w:val="22"/>
          <w:szCs w:val="22"/>
          <w:u w:val="single"/>
        </w:rPr>
        <w:fldChar w:fldCharType="begin"/>
      </w:r>
      <w:r w:rsidRPr="00662392">
        <w:rPr>
          <w:sz w:val="22"/>
          <w:szCs w:val="22"/>
        </w:rPr>
        <w:instrText xml:space="preserve"> TC "</w:instrText>
      </w:r>
      <w:bookmarkStart w:id="147" w:name="_Toc62642932"/>
      <w:bookmarkStart w:id="148" w:name="_Toc63142116"/>
      <w:r w:rsidRPr="00662392">
        <w:rPr>
          <w:sz w:val="22"/>
          <w:szCs w:val="22"/>
        </w:rPr>
        <w:instrText>07.17</w:instrText>
      </w:r>
      <w:r w:rsidR="00662392" w:rsidRPr="00662392">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(c)(2)(v)</w:instrText>
      </w:r>
      <w:bookmarkEnd w:id="147"/>
      <w:bookmarkEnd w:id="148"/>
      <w:r w:rsidRPr="00662392">
        <w:rPr>
          <w:sz w:val="22"/>
          <w:szCs w:val="22"/>
        </w:rPr>
        <w:instrText xml:space="preserve">" \f C \l "2" </w:instrText>
      </w:r>
      <w:r w:rsidRPr="00662392">
        <w:rPr>
          <w:sz w:val="22"/>
          <w:szCs w:val="22"/>
          <w:u w:val="single"/>
        </w:rPr>
        <w:fldChar w:fldCharType="end"/>
      </w:r>
    </w:p>
    <w:p w14:paraId="1A2DEEC7" w14:textId="77777777" w:rsidR="001F5146" w:rsidRPr="00662392" w:rsidRDefault="001F5146" w:rsidP="00194415">
      <w:pPr>
        <w:rPr>
          <w:sz w:val="22"/>
          <w:szCs w:val="22"/>
        </w:rPr>
      </w:pPr>
    </w:p>
    <w:p w14:paraId="6F2E0668" w14:textId="2F1F704D" w:rsidR="001F5146" w:rsidRPr="00662392" w:rsidRDefault="00A17380" w:rsidP="00194415">
      <w:pPr>
        <w:widowControl/>
        <w:rPr>
          <w:sz w:val="22"/>
          <w:szCs w:val="22"/>
        </w:rPr>
      </w:pPr>
      <w:r w:rsidRPr="00662392">
        <w:rPr>
          <w:sz w:val="22"/>
          <w:szCs w:val="22"/>
        </w:rPr>
        <w:t>1</w:t>
      </w:r>
      <w:r w:rsidR="001F5146" w:rsidRPr="00662392">
        <w:rPr>
          <w:sz w:val="22"/>
          <w:szCs w:val="22"/>
        </w:rPr>
        <w:t xml:space="preserve">0 CFR 72.48(c)(2)(v) </w:t>
      </w:r>
      <w:r w:rsidR="00894358" w:rsidRPr="00662392">
        <w:rPr>
          <w:sz w:val="22"/>
          <w:szCs w:val="22"/>
        </w:rPr>
        <w:t xml:space="preserve">focuses on whether </w:t>
      </w:r>
      <w:r w:rsidR="001F5146" w:rsidRPr="00662392">
        <w:rPr>
          <w:sz w:val="22"/>
          <w:szCs w:val="22"/>
        </w:rPr>
        <w:t xml:space="preserve">the CTE </w:t>
      </w:r>
      <w:r w:rsidR="00587998" w:rsidRPr="00662392">
        <w:rPr>
          <w:sz w:val="22"/>
          <w:szCs w:val="22"/>
        </w:rPr>
        <w:t>would</w:t>
      </w:r>
      <w:r w:rsidR="001F5146" w:rsidRPr="00662392">
        <w:rPr>
          <w:sz w:val="22"/>
          <w:szCs w:val="22"/>
        </w:rPr>
        <w:t xml:space="preserve"> create a possibility for an accident of a different type than any previously evaluated in the UFSAR.</w:t>
      </w:r>
    </w:p>
    <w:p w14:paraId="53B8B3E0" w14:textId="77777777" w:rsidR="001F5146" w:rsidRPr="00662392" w:rsidRDefault="001F5146" w:rsidP="00194415">
      <w:pPr>
        <w:widowControl/>
        <w:rPr>
          <w:sz w:val="22"/>
          <w:szCs w:val="22"/>
        </w:rPr>
      </w:pPr>
    </w:p>
    <w:p w14:paraId="6FD96805" w14:textId="21DCE50A" w:rsidR="001F5146" w:rsidRPr="00662392" w:rsidRDefault="0067024C" w:rsidP="00194415">
      <w:pPr>
        <w:widowControl/>
        <w:rPr>
          <w:sz w:val="22"/>
          <w:szCs w:val="22"/>
        </w:rPr>
      </w:pPr>
      <w:r w:rsidRPr="00662392">
        <w:rPr>
          <w:sz w:val="22"/>
          <w:szCs w:val="22"/>
        </w:rPr>
        <w:t>I</w:t>
      </w:r>
      <w:r w:rsidR="001F5146" w:rsidRPr="00662392">
        <w:rPr>
          <w:sz w:val="22"/>
          <w:szCs w:val="22"/>
        </w:rPr>
        <w:t xml:space="preserve">nspectors should </w:t>
      </w:r>
      <w:r w:rsidR="00587998" w:rsidRPr="00662392">
        <w:rPr>
          <w:sz w:val="22"/>
          <w:szCs w:val="22"/>
        </w:rPr>
        <w:t>verify</w:t>
      </w:r>
      <w:r w:rsidR="001F5146" w:rsidRPr="00662392">
        <w:rPr>
          <w:sz w:val="22"/>
          <w:szCs w:val="22"/>
        </w:rPr>
        <w:t xml:space="preserve"> the </w:t>
      </w:r>
      <w:r w:rsidRPr="00662392">
        <w:rPr>
          <w:sz w:val="22"/>
          <w:szCs w:val="22"/>
        </w:rPr>
        <w:t>DBA</w:t>
      </w:r>
      <w:r w:rsidR="001F5146" w:rsidRPr="00662392">
        <w:rPr>
          <w:sz w:val="22"/>
          <w:szCs w:val="22"/>
        </w:rPr>
        <w:t xml:space="preserve">s and off-normal events evaluated in the UFSAR and potentially affected by the proposed change.  </w:t>
      </w:r>
      <w:r w:rsidRPr="00662392">
        <w:rPr>
          <w:sz w:val="22"/>
          <w:szCs w:val="22"/>
        </w:rPr>
        <w:t>I</w:t>
      </w:r>
      <w:r w:rsidR="001F5146" w:rsidRPr="00662392">
        <w:rPr>
          <w:sz w:val="22"/>
          <w:szCs w:val="22"/>
        </w:rPr>
        <w:t xml:space="preserve">nspectors should </w:t>
      </w:r>
      <w:r w:rsidR="00587998" w:rsidRPr="00662392">
        <w:rPr>
          <w:sz w:val="22"/>
          <w:szCs w:val="22"/>
        </w:rPr>
        <w:t>verify</w:t>
      </w:r>
      <w:r w:rsidR="001F5146" w:rsidRPr="00662392">
        <w:rPr>
          <w:sz w:val="22"/>
          <w:szCs w:val="22"/>
        </w:rPr>
        <w:t xml:space="preserve"> these accidents and off-normal events to determine if a licensee or </w:t>
      </w:r>
      <w:proofErr w:type="spellStart"/>
      <w:r w:rsidR="001F5146" w:rsidRPr="00662392">
        <w:rPr>
          <w:sz w:val="22"/>
          <w:szCs w:val="22"/>
        </w:rPr>
        <w:t>CoC</w:t>
      </w:r>
      <w:proofErr w:type="spellEnd"/>
      <w:r w:rsidR="001F5146" w:rsidRPr="00662392">
        <w:rPr>
          <w:sz w:val="22"/>
          <w:szCs w:val="22"/>
        </w:rPr>
        <w:t xml:space="preserve"> holder needs to request a license amendment if it could be reasonably concluded that the licensee or </w:t>
      </w:r>
      <w:proofErr w:type="spellStart"/>
      <w:r w:rsidR="001F5146" w:rsidRPr="00662392">
        <w:rPr>
          <w:sz w:val="22"/>
          <w:szCs w:val="22"/>
        </w:rPr>
        <w:t>CoC</w:t>
      </w:r>
      <w:proofErr w:type="spellEnd"/>
      <w:r w:rsidR="001F5146" w:rsidRPr="00662392">
        <w:rPr>
          <w:sz w:val="22"/>
          <w:szCs w:val="22"/>
        </w:rPr>
        <w:t xml:space="preserve"> holder created a possibility of an accident of a different type based on the proposed CTE. </w:t>
      </w:r>
      <w:r w:rsidR="00D778A0">
        <w:rPr>
          <w:sz w:val="22"/>
          <w:szCs w:val="22"/>
        </w:rPr>
        <w:t xml:space="preserve"> </w:t>
      </w:r>
      <w:r w:rsidR="001F5146" w:rsidRPr="00662392">
        <w:rPr>
          <w:sz w:val="22"/>
          <w:szCs w:val="22"/>
        </w:rPr>
        <w:t xml:space="preserve">However, inspectors should </w:t>
      </w:r>
      <w:r w:rsidR="00FE73D5" w:rsidRPr="00662392">
        <w:rPr>
          <w:sz w:val="22"/>
          <w:szCs w:val="22"/>
        </w:rPr>
        <w:t>verify</w:t>
      </w:r>
      <w:r w:rsidR="001F5146" w:rsidRPr="00662392">
        <w:rPr>
          <w:sz w:val="22"/>
          <w:szCs w:val="22"/>
        </w:rPr>
        <w:t xml:space="preserve"> the following when determining whether a proposed CTE results in an accident of a different type:</w:t>
      </w:r>
    </w:p>
    <w:p w14:paraId="02788B3F" w14:textId="77777777" w:rsidR="001F5146" w:rsidRPr="00662392" w:rsidRDefault="001F5146" w:rsidP="00194415">
      <w:pPr>
        <w:widowControl/>
        <w:rPr>
          <w:sz w:val="22"/>
          <w:szCs w:val="22"/>
        </w:rPr>
      </w:pPr>
    </w:p>
    <w:p w14:paraId="65829413" w14:textId="77777777" w:rsidR="001F5146" w:rsidRPr="00662392" w:rsidRDefault="001F5146" w:rsidP="00194415">
      <w:pPr>
        <w:widowControl/>
        <w:numPr>
          <w:ilvl w:val="0"/>
          <w:numId w:val="15"/>
        </w:numPr>
        <w:autoSpaceDE/>
        <w:autoSpaceDN/>
        <w:adjustRightInd/>
        <w:contextualSpacing/>
        <w:rPr>
          <w:rFonts w:eastAsia="Times New Roman"/>
          <w:sz w:val="22"/>
          <w:szCs w:val="22"/>
        </w:rPr>
      </w:pPr>
      <w:r w:rsidRPr="00662392">
        <w:rPr>
          <w:rFonts w:eastAsia="Times New Roman"/>
          <w:sz w:val="22"/>
          <w:szCs w:val="22"/>
        </w:rPr>
        <w:t>Does the accident result in a new or greater release path than originally considered?</w:t>
      </w:r>
    </w:p>
    <w:p w14:paraId="5D7792D7" w14:textId="77777777" w:rsidR="001F5146" w:rsidRPr="00662392" w:rsidRDefault="001F5146" w:rsidP="00194415">
      <w:pPr>
        <w:widowControl/>
        <w:numPr>
          <w:ilvl w:val="0"/>
          <w:numId w:val="15"/>
        </w:numPr>
        <w:autoSpaceDE/>
        <w:autoSpaceDN/>
        <w:adjustRightInd/>
        <w:contextualSpacing/>
        <w:rPr>
          <w:rFonts w:eastAsia="Times New Roman"/>
          <w:sz w:val="22"/>
          <w:szCs w:val="22"/>
        </w:rPr>
      </w:pPr>
      <w:r w:rsidRPr="00662392">
        <w:rPr>
          <w:rFonts w:eastAsia="Times New Roman"/>
          <w:sz w:val="22"/>
          <w:szCs w:val="22"/>
        </w:rPr>
        <w:t>Does the accident result in a new fission product barrier failure mode?</w:t>
      </w:r>
    </w:p>
    <w:p w14:paraId="4F492F33" w14:textId="77777777" w:rsidR="001F5146" w:rsidRPr="00662392" w:rsidRDefault="001F5146" w:rsidP="00194415">
      <w:pPr>
        <w:widowControl/>
        <w:numPr>
          <w:ilvl w:val="0"/>
          <w:numId w:val="15"/>
        </w:numPr>
        <w:autoSpaceDE/>
        <w:autoSpaceDN/>
        <w:adjustRightInd/>
        <w:contextualSpacing/>
        <w:rPr>
          <w:rFonts w:eastAsia="Times New Roman"/>
          <w:sz w:val="22"/>
          <w:szCs w:val="22"/>
        </w:rPr>
      </w:pPr>
      <w:r w:rsidRPr="00662392">
        <w:rPr>
          <w:rFonts w:eastAsia="Times New Roman"/>
          <w:sz w:val="22"/>
          <w:szCs w:val="22"/>
        </w:rPr>
        <w:t>Does the accident create a new sequence of events that results in significant cladding failure?</w:t>
      </w:r>
    </w:p>
    <w:p w14:paraId="45A4A359" w14:textId="77777777" w:rsidR="001F5146" w:rsidRPr="00662392" w:rsidRDefault="001F5146" w:rsidP="00194415">
      <w:pPr>
        <w:widowControl/>
        <w:numPr>
          <w:ilvl w:val="0"/>
          <w:numId w:val="15"/>
        </w:numPr>
        <w:autoSpaceDE/>
        <w:autoSpaceDN/>
        <w:adjustRightInd/>
        <w:contextualSpacing/>
        <w:rPr>
          <w:rFonts w:eastAsia="Times New Roman"/>
          <w:sz w:val="22"/>
          <w:szCs w:val="22"/>
        </w:rPr>
      </w:pPr>
      <w:r w:rsidRPr="00662392">
        <w:rPr>
          <w:rFonts w:eastAsia="Times New Roman"/>
          <w:sz w:val="22"/>
          <w:szCs w:val="22"/>
        </w:rPr>
        <w:t>Would the accident be included if the UFSAR were being written today?</w:t>
      </w:r>
    </w:p>
    <w:p w14:paraId="581B75C8" w14:textId="77777777" w:rsidR="001F5146" w:rsidRPr="00662392" w:rsidRDefault="001F5146" w:rsidP="00194415">
      <w:pPr>
        <w:widowControl/>
        <w:rPr>
          <w:sz w:val="22"/>
          <w:szCs w:val="22"/>
        </w:rPr>
      </w:pPr>
    </w:p>
    <w:p w14:paraId="30825B70" w14:textId="11703854" w:rsidR="001F5146" w:rsidRPr="00662392" w:rsidRDefault="001F5146" w:rsidP="00194415">
      <w:pPr>
        <w:widowControl/>
        <w:rPr>
          <w:sz w:val="22"/>
          <w:szCs w:val="22"/>
        </w:rPr>
      </w:pPr>
      <w:r w:rsidRPr="00662392">
        <w:rPr>
          <w:sz w:val="22"/>
          <w:szCs w:val="22"/>
        </w:rPr>
        <w:t>As stated in the SOC for the final rule “accidents” that would require multiple independent failures or other circumstances in order to “be created” would not fall within this criterion.  The accident must be credible in the sense, of having been created within the range of assumptions previously considered and that a new initiator of the same accident is not a “different type” (but may affect the frequency of that accident under 10 CFR 72.48(c)(2)(</w:t>
      </w:r>
      <w:proofErr w:type="spellStart"/>
      <w:r w:rsidRPr="00662392">
        <w:rPr>
          <w:sz w:val="22"/>
          <w:szCs w:val="22"/>
        </w:rPr>
        <w:t>i</w:t>
      </w:r>
      <w:proofErr w:type="spellEnd"/>
      <w:r w:rsidRPr="00662392">
        <w:rPr>
          <w:sz w:val="22"/>
          <w:szCs w:val="22"/>
        </w:rPr>
        <w:t>).</w:t>
      </w:r>
    </w:p>
    <w:p w14:paraId="13FAB31A" w14:textId="77777777" w:rsidR="001F5146" w:rsidRPr="00662392" w:rsidRDefault="001F5146" w:rsidP="00194415">
      <w:pPr>
        <w:rPr>
          <w:sz w:val="22"/>
          <w:szCs w:val="22"/>
        </w:rPr>
      </w:pPr>
    </w:p>
    <w:p w14:paraId="4D378BD9" w14:textId="77777777" w:rsidR="00C1473C" w:rsidRDefault="001F5146" w:rsidP="00194415">
      <w:pPr>
        <w:widowControl/>
        <w:rPr>
          <w:sz w:val="22"/>
          <w:szCs w:val="22"/>
        </w:rPr>
        <w:sectPr w:rsidR="00C1473C" w:rsidSect="00012998">
          <w:footerReference w:type="default" r:id="rId55"/>
          <w:pgSz w:w="12240" w:h="15840" w:code="1"/>
          <w:pgMar w:top="1440" w:right="1440" w:bottom="1440" w:left="1440" w:header="720" w:footer="720" w:gutter="0"/>
          <w:cols w:space="720"/>
          <w:noEndnote/>
          <w:docGrid w:linePitch="326"/>
        </w:sectPr>
      </w:pPr>
      <w:r w:rsidRPr="00662392">
        <w:rPr>
          <w:sz w:val="22"/>
          <w:szCs w:val="22"/>
        </w:rPr>
        <w:t>Additionally, NEI 12-04</w:t>
      </w:r>
      <w:r w:rsidR="00B363B9" w:rsidRPr="00662392">
        <w:rPr>
          <w:sz w:val="22"/>
          <w:szCs w:val="22"/>
        </w:rPr>
        <w:t xml:space="preserve">, Revision 2, </w:t>
      </w:r>
      <w:r w:rsidRPr="00662392">
        <w:rPr>
          <w:sz w:val="22"/>
          <w:szCs w:val="22"/>
        </w:rPr>
        <w:t>states, in part, that certain accidents are not discussed in the UFSAR because their effects are bounded by other related accidents and events that are analyzed.  For example, a postulated cask drop of a certain distance may not be specifically evaluated in the UFSAR because it has been determined to be less limiting than the evaluated cask drop.  Therefore, if a proposed CTE introduces a cask drop of a distance less than the evaluated cask drop then the postulated cask drop does not need to be considered an accident of a different type.</w:t>
      </w:r>
    </w:p>
    <w:p w14:paraId="3D3A4A93" w14:textId="77777777" w:rsidR="001F5146" w:rsidRPr="00662392" w:rsidRDefault="001F5146" w:rsidP="00194415">
      <w:pPr>
        <w:rPr>
          <w:sz w:val="22"/>
          <w:szCs w:val="22"/>
        </w:rPr>
      </w:pPr>
    </w:p>
    <w:p w14:paraId="004BBF80" w14:textId="61274A02" w:rsidR="001F5146" w:rsidRPr="00662392" w:rsidRDefault="00CA7D3C" w:rsidP="00662392">
      <w:pPr>
        <w:rPr>
          <w:sz w:val="22"/>
          <w:szCs w:val="22"/>
        </w:rPr>
      </w:pPr>
      <w:r w:rsidRPr="00662392">
        <w:rPr>
          <w:sz w:val="22"/>
          <w:szCs w:val="22"/>
        </w:rPr>
        <w:t>07.18</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Pr="00662392">
        <w:rPr>
          <w:sz w:val="22"/>
          <w:szCs w:val="22"/>
          <w:u w:val="single"/>
        </w:rPr>
        <w:t xml:space="preserve"> Holder Evaluation of Criterion (</w:t>
      </w:r>
      <w:r w:rsidR="00775546" w:rsidRPr="00662392">
        <w:rPr>
          <w:sz w:val="22"/>
          <w:szCs w:val="22"/>
          <w:u w:val="single"/>
        </w:rPr>
        <w:t>c)(2)(</w:t>
      </w:r>
      <w:r w:rsidR="00A95288" w:rsidRPr="00662392">
        <w:rPr>
          <w:sz w:val="22"/>
          <w:szCs w:val="22"/>
          <w:u w:val="single"/>
        </w:rPr>
        <w:t>vi)</w:t>
      </w:r>
      <w:r w:rsidRPr="00662392">
        <w:rPr>
          <w:sz w:val="22"/>
          <w:szCs w:val="22"/>
          <w:u w:val="single"/>
        </w:rPr>
        <w:fldChar w:fldCharType="begin"/>
      </w:r>
      <w:r w:rsidRPr="00662392">
        <w:rPr>
          <w:sz w:val="22"/>
          <w:szCs w:val="22"/>
        </w:rPr>
        <w:instrText xml:space="preserve"> TC "</w:instrText>
      </w:r>
      <w:bookmarkStart w:id="149" w:name="_Toc62642933"/>
      <w:bookmarkStart w:id="150" w:name="_Toc63142117"/>
      <w:r w:rsidRPr="00662392">
        <w:rPr>
          <w:sz w:val="22"/>
          <w:szCs w:val="22"/>
        </w:rPr>
        <w:instrText>07.18</w:instrText>
      </w:r>
      <w:r w:rsidR="00662392" w:rsidRPr="00662392">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(c)(2)(vi)</w:instrText>
      </w:r>
      <w:bookmarkEnd w:id="149"/>
      <w:bookmarkEnd w:id="150"/>
      <w:r w:rsidRPr="00662392">
        <w:rPr>
          <w:sz w:val="22"/>
          <w:szCs w:val="22"/>
        </w:rPr>
        <w:instrText xml:space="preserve">" \f C \l "2" </w:instrText>
      </w:r>
      <w:r w:rsidRPr="00662392">
        <w:rPr>
          <w:sz w:val="22"/>
          <w:szCs w:val="22"/>
          <w:u w:val="single"/>
        </w:rPr>
        <w:fldChar w:fldCharType="end"/>
      </w:r>
    </w:p>
    <w:p w14:paraId="20C3DAFA" w14:textId="77777777" w:rsidR="000E6C4F" w:rsidRPr="00662392" w:rsidRDefault="000E6C4F" w:rsidP="00194415">
      <w:pPr>
        <w:widowControl/>
        <w:rPr>
          <w:sz w:val="22"/>
          <w:szCs w:val="22"/>
        </w:rPr>
      </w:pPr>
    </w:p>
    <w:p w14:paraId="57F6F005" w14:textId="5817B692" w:rsidR="001F5146" w:rsidRPr="00662392" w:rsidRDefault="00A95288" w:rsidP="00194415">
      <w:pPr>
        <w:widowControl/>
        <w:rPr>
          <w:sz w:val="22"/>
          <w:szCs w:val="22"/>
        </w:rPr>
      </w:pPr>
      <w:r w:rsidRPr="00662392">
        <w:rPr>
          <w:sz w:val="22"/>
          <w:szCs w:val="22"/>
        </w:rPr>
        <w:t>1</w:t>
      </w:r>
      <w:r w:rsidR="001F5146" w:rsidRPr="00662392">
        <w:rPr>
          <w:sz w:val="22"/>
          <w:szCs w:val="22"/>
        </w:rPr>
        <w:t xml:space="preserve">0 CFR 72.48(c)(2)(vi) </w:t>
      </w:r>
      <w:r w:rsidRPr="00662392">
        <w:rPr>
          <w:sz w:val="22"/>
          <w:szCs w:val="22"/>
        </w:rPr>
        <w:t>focuses on whether</w:t>
      </w:r>
      <w:r w:rsidR="001F5146" w:rsidRPr="00662392">
        <w:rPr>
          <w:sz w:val="22"/>
          <w:szCs w:val="22"/>
        </w:rPr>
        <w:t xml:space="preserve"> a CTE </w:t>
      </w:r>
      <w:r w:rsidRPr="00662392">
        <w:rPr>
          <w:sz w:val="22"/>
          <w:szCs w:val="22"/>
        </w:rPr>
        <w:t>would</w:t>
      </w:r>
      <w:r w:rsidR="001F5146" w:rsidRPr="00662392">
        <w:rPr>
          <w:sz w:val="22"/>
          <w:szCs w:val="22"/>
        </w:rPr>
        <w:t xml:space="preserve"> create a possibility for a malfunction of an SSC important to safety with a different result than any previously evaluated in the UFSAR.  See Section 04.1</w:t>
      </w:r>
      <w:r w:rsidR="0003111D" w:rsidRPr="00662392">
        <w:rPr>
          <w:sz w:val="22"/>
          <w:szCs w:val="22"/>
        </w:rPr>
        <w:t>6</w:t>
      </w:r>
      <w:r w:rsidR="001F5146" w:rsidRPr="00662392">
        <w:rPr>
          <w:sz w:val="22"/>
          <w:szCs w:val="22"/>
        </w:rPr>
        <w:t xml:space="preserve"> of this IMC for definition of malfunction of SSCs important to safety.  </w:t>
      </w:r>
    </w:p>
    <w:p w14:paraId="3762E022" w14:textId="77777777" w:rsidR="001F5146" w:rsidRPr="00662392" w:rsidRDefault="001F5146" w:rsidP="00194415">
      <w:pPr>
        <w:rPr>
          <w:sz w:val="22"/>
          <w:szCs w:val="22"/>
        </w:rPr>
      </w:pPr>
    </w:p>
    <w:p w14:paraId="673D5CE7" w14:textId="324B65FC" w:rsidR="001F5146" w:rsidRPr="00662392" w:rsidRDefault="001F5146" w:rsidP="00194415">
      <w:pPr>
        <w:widowControl/>
        <w:rPr>
          <w:sz w:val="22"/>
          <w:szCs w:val="22"/>
        </w:rPr>
      </w:pPr>
      <w:r w:rsidRPr="00662392">
        <w:rPr>
          <w:sz w:val="22"/>
          <w:szCs w:val="22"/>
        </w:rPr>
        <w:t>As described in NEI 12-04</w:t>
      </w:r>
      <w:r w:rsidR="00B363B9" w:rsidRPr="00662392">
        <w:rPr>
          <w:sz w:val="22"/>
          <w:szCs w:val="22"/>
        </w:rPr>
        <w:t>, Revision 2,</w:t>
      </w:r>
      <w:r w:rsidRPr="00662392">
        <w:rPr>
          <w:sz w:val="22"/>
          <w:szCs w:val="22"/>
        </w:rPr>
        <w:t xml:space="preserve"> and discussed in the SOC for the final rule, this criterion focuses upon the “effect” of the proposed CTE and whether the result of any malfunctions that might have been created by the proposed CTE has already been analyzed or bounded by the analyses in the UFSAR.  Only if the effect is different from those already considered would this criterion require prior NRC approval for a proposed CTE involving a new type of malfunction.  Note that the likelihood of malfunction may be increased if new failure modes are introduced (even if the effects have been previously evaluated in the UFSAR), and this situation would have to be evaluated under 10 CFR 72.48(c)(2)(ii). </w:t>
      </w:r>
      <w:r w:rsidR="00D778A0">
        <w:rPr>
          <w:sz w:val="22"/>
          <w:szCs w:val="22"/>
        </w:rPr>
        <w:t xml:space="preserve"> </w:t>
      </w:r>
      <w:r w:rsidRPr="00662392">
        <w:rPr>
          <w:sz w:val="22"/>
          <w:szCs w:val="22"/>
        </w:rPr>
        <w:t>However, a proposed CTE that increases the likelihood of a malfunction previously thought to be incredible to the point where it becomes as likely as the malfunctions assumed in the UFSAR, could create a possible malfunction with a different result.</w:t>
      </w:r>
    </w:p>
    <w:p w14:paraId="382200FB" w14:textId="77777777" w:rsidR="001F5146" w:rsidRPr="00662392" w:rsidRDefault="001F5146" w:rsidP="00194415">
      <w:pPr>
        <w:rPr>
          <w:sz w:val="22"/>
          <w:szCs w:val="22"/>
        </w:rPr>
      </w:pPr>
    </w:p>
    <w:p w14:paraId="0B8C68B7" w14:textId="20E080ED" w:rsidR="001F5146" w:rsidRPr="00662392" w:rsidRDefault="001F5146" w:rsidP="00194415">
      <w:pPr>
        <w:rPr>
          <w:sz w:val="22"/>
          <w:szCs w:val="22"/>
        </w:rPr>
      </w:pPr>
      <w:r w:rsidRPr="00662392">
        <w:rPr>
          <w:sz w:val="22"/>
          <w:szCs w:val="22"/>
        </w:rPr>
        <w:t>The determination for this criterion should be made either at the component level, or consistent with the FMEA, considering single failure assumptions, and the level of the change being made.  Certain changes may require a new FMEA, which would then need to be evaluated as to whether the effects of the malfunctions are bounding.</w:t>
      </w:r>
    </w:p>
    <w:p w14:paraId="2499EB8E" w14:textId="77777777" w:rsidR="001F5146" w:rsidRPr="00662392" w:rsidRDefault="001F5146" w:rsidP="00194415">
      <w:pPr>
        <w:rPr>
          <w:sz w:val="22"/>
          <w:szCs w:val="22"/>
        </w:rPr>
      </w:pPr>
    </w:p>
    <w:p w14:paraId="3FEE6D78" w14:textId="7964B3D1" w:rsidR="001F5146" w:rsidRPr="00662392" w:rsidRDefault="001F5146" w:rsidP="009B6D57">
      <w:pPr>
        <w:keepNext/>
        <w:keepLines/>
        <w:rPr>
          <w:sz w:val="22"/>
          <w:szCs w:val="22"/>
        </w:rPr>
      </w:pPr>
      <w:r w:rsidRPr="00662392">
        <w:rPr>
          <w:sz w:val="22"/>
          <w:szCs w:val="22"/>
        </w:rPr>
        <w:t>07.1</w:t>
      </w:r>
      <w:r w:rsidR="00A95288" w:rsidRPr="00662392">
        <w:rPr>
          <w:sz w:val="22"/>
          <w:szCs w:val="22"/>
        </w:rPr>
        <w:t>9</w:t>
      </w:r>
      <w:r w:rsidRPr="00662392">
        <w:rPr>
          <w:sz w:val="22"/>
          <w:szCs w:val="22"/>
        </w:rPr>
        <w:tab/>
      </w:r>
      <w:r w:rsidR="00CA7D3C" w:rsidRPr="00662392">
        <w:rPr>
          <w:sz w:val="22"/>
          <w:szCs w:val="22"/>
          <w:u w:val="single"/>
        </w:rPr>
        <w:t xml:space="preserve">Review Licensee or </w:t>
      </w:r>
      <w:proofErr w:type="spellStart"/>
      <w:r w:rsidR="00C34B2A" w:rsidRPr="00662392">
        <w:rPr>
          <w:sz w:val="22"/>
          <w:szCs w:val="22"/>
          <w:u w:val="single"/>
        </w:rPr>
        <w:t>CoC</w:t>
      </w:r>
      <w:proofErr w:type="spellEnd"/>
      <w:r w:rsidR="00CA7D3C" w:rsidRPr="00662392">
        <w:rPr>
          <w:sz w:val="22"/>
          <w:szCs w:val="22"/>
          <w:u w:val="single"/>
        </w:rPr>
        <w:t xml:space="preserve"> Holder Evaluation of Criterion </w:t>
      </w:r>
      <w:r w:rsidR="00775546" w:rsidRPr="00662392">
        <w:rPr>
          <w:sz w:val="22"/>
          <w:szCs w:val="22"/>
          <w:u w:val="single"/>
        </w:rPr>
        <w:t>(c)(2)(</w:t>
      </w:r>
      <w:r w:rsidR="00A95288" w:rsidRPr="00662392">
        <w:rPr>
          <w:sz w:val="22"/>
          <w:szCs w:val="22"/>
          <w:u w:val="single"/>
        </w:rPr>
        <w:t>vii)</w:t>
      </w:r>
      <w:r w:rsidR="00CA7D3C" w:rsidRPr="00662392">
        <w:rPr>
          <w:sz w:val="22"/>
          <w:szCs w:val="22"/>
          <w:u w:val="single"/>
        </w:rPr>
        <w:fldChar w:fldCharType="begin"/>
      </w:r>
      <w:r w:rsidR="00CA7D3C" w:rsidRPr="00662392">
        <w:rPr>
          <w:sz w:val="22"/>
          <w:szCs w:val="22"/>
        </w:rPr>
        <w:instrText xml:space="preserve"> TC "</w:instrText>
      </w:r>
      <w:bookmarkStart w:id="151" w:name="_Toc62642934"/>
      <w:bookmarkStart w:id="152" w:name="_Toc63142118"/>
      <w:r w:rsidR="00CA7D3C" w:rsidRPr="00662392">
        <w:rPr>
          <w:sz w:val="22"/>
          <w:szCs w:val="22"/>
        </w:rPr>
        <w:instrText>07.19</w:instrText>
      </w:r>
      <w:r w:rsidR="00662392" w:rsidRPr="00662392">
        <w:rPr>
          <w:sz w:val="22"/>
          <w:szCs w:val="22"/>
        </w:rPr>
        <w:instrText xml:space="preserve"> </w:instrText>
      </w:r>
      <w:r w:rsidR="00CA7D3C" w:rsidRPr="00662392">
        <w:rPr>
          <w:sz w:val="22"/>
          <w:szCs w:val="22"/>
          <w:u w:val="single"/>
        </w:rPr>
        <w:instrText xml:space="preserve">Review Licensee or </w:instrText>
      </w:r>
      <w:proofErr w:type="spellStart"/>
      <w:r w:rsidR="00CA7D3C" w:rsidRPr="00662392">
        <w:rPr>
          <w:sz w:val="22"/>
          <w:szCs w:val="22"/>
          <w:u w:val="single"/>
        </w:rPr>
        <w:instrText>C</w:instrText>
      </w:r>
      <w:r w:rsidR="00463668">
        <w:rPr>
          <w:sz w:val="22"/>
          <w:szCs w:val="22"/>
          <w:u w:val="single"/>
        </w:rPr>
        <w:instrText>o</w:instrText>
      </w:r>
      <w:r w:rsidR="00CA7D3C" w:rsidRPr="00662392">
        <w:rPr>
          <w:sz w:val="22"/>
          <w:szCs w:val="22"/>
          <w:u w:val="single"/>
        </w:rPr>
        <w:instrText>C</w:instrText>
      </w:r>
      <w:proofErr w:type="spellEnd"/>
      <w:r w:rsidR="00CA7D3C" w:rsidRPr="00662392">
        <w:rPr>
          <w:sz w:val="22"/>
          <w:szCs w:val="22"/>
          <w:u w:val="single"/>
        </w:rPr>
        <w:instrText xml:space="preserve"> Holder Evaluation of Criterion (c)(2)(vii)</w:instrText>
      </w:r>
      <w:bookmarkEnd w:id="151"/>
      <w:bookmarkEnd w:id="152"/>
      <w:r w:rsidR="00CA7D3C" w:rsidRPr="00662392">
        <w:rPr>
          <w:sz w:val="22"/>
          <w:szCs w:val="22"/>
        </w:rPr>
        <w:instrText xml:space="preserve">" \f C \l "2" </w:instrText>
      </w:r>
      <w:r w:rsidR="00CA7D3C" w:rsidRPr="00662392">
        <w:rPr>
          <w:sz w:val="22"/>
          <w:szCs w:val="22"/>
          <w:u w:val="single"/>
        </w:rPr>
        <w:fldChar w:fldCharType="end"/>
      </w:r>
    </w:p>
    <w:p w14:paraId="38EA67FD" w14:textId="77777777" w:rsidR="001F5146" w:rsidRPr="00662392" w:rsidRDefault="001F5146" w:rsidP="00194415">
      <w:pPr>
        <w:keepNext/>
        <w:keepLines/>
        <w:rPr>
          <w:sz w:val="22"/>
          <w:szCs w:val="22"/>
        </w:rPr>
      </w:pPr>
    </w:p>
    <w:p w14:paraId="13A4351F" w14:textId="19E200F7" w:rsidR="001F5146" w:rsidRPr="00662392" w:rsidRDefault="00A95288" w:rsidP="00194415">
      <w:pPr>
        <w:keepNext/>
        <w:keepLines/>
        <w:rPr>
          <w:sz w:val="22"/>
          <w:szCs w:val="22"/>
        </w:rPr>
      </w:pPr>
      <w:r w:rsidRPr="00662392">
        <w:rPr>
          <w:sz w:val="22"/>
          <w:szCs w:val="22"/>
        </w:rPr>
        <w:t>1</w:t>
      </w:r>
      <w:r w:rsidR="001F5146" w:rsidRPr="00662392">
        <w:rPr>
          <w:sz w:val="22"/>
          <w:szCs w:val="22"/>
        </w:rPr>
        <w:t>0 CFR 72.48(c)(2)(vii) f</w:t>
      </w:r>
      <w:r w:rsidRPr="00662392">
        <w:rPr>
          <w:sz w:val="22"/>
          <w:szCs w:val="22"/>
        </w:rPr>
        <w:t xml:space="preserve">ocuses </w:t>
      </w:r>
      <w:r w:rsidR="001F5146" w:rsidRPr="00662392">
        <w:rPr>
          <w:sz w:val="22"/>
          <w:szCs w:val="22"/>
        </w:rPr>
        <w:t>o</w:t>
      </w:r>
      <w:r w:rsidRPr="00662392">
        <w:rPr>
          <w:sz w:val="22"/>
          <w:szCs w:val="22"/>
        </w:rPr>
        <w:t>n whether a</w:t>
      </w:r>
      <w:r w:rsidR="001F5146" w:rsidRPr="00662392">
        <w:rPr>
          <w:sz w:val="22"/>
          <w:szCs w:val="22"/>
        </w:rPr>
        <w:t xml:space="preserve"> CTE </w:t>
      </w:r>
      <w:r w:rsidRPr="00662392">
        <w:rPr>
          <w:sz w:val="22"/>
          <w:szCs w:val="22"/>
        </w:rPr>
        <w:t>would</w:t>
      </w:r>
      <w:r w:rsidR="001F5146" w:rsidRPr="00662392">
        <w:rPr>
          <w:sz w:val="22"/>
          <w:szCs w:val="22"/>
        </w:rPr>
        <w:t xml:space="preserve"> result in a design basis limit for a fission product barrier as described in the UFSAR being exceeded or altered.</w:t>
      </w:r>
    </w:p>
    <w:p w14:paraId="1D96A26E" w14:textId="77777777" w:rsidR="001F5146" w:rsidRPr="00662392" w:rsidRDefault="001F5146" w:rsidP="00194415">
      <w:pPr>
        <w:rPr>
          <w:sz w:val="22"/>
          <w:szCs w:val="22"/>
        </w:rPr>
      </w:pPr>
    </w:p>
    <w:p w14:paraId="0C9A6F20" w14:textId="77777777" w:rsidR="000E0ACD" w:rsidRDefault="003F330D" w:rsidP="00194415">
      <w:pPr>
        <w:rPr>
          <w:sz w:val="22"/>
          <w:szCs w:val="22"/>
        </w:rPr>
      </w:pPr>
      <w:r w:rsidRPr="00662392">
        <w:rPr>
          <w:sz w:val="22"/>
          <w:szCs w:val="22"/>
        </w:rPr>
        <w:t>I</w:t>
      </w:r>
      <w:r w:rsidR="001F5146" w:rsidRPr="00662392">
        <w:rPr>
          <w:sz w:val="22"/>
          <w:szCs w:val="22"/>
        </w:rPr>
        <w:t xml:space="preserve">nspectors should </w:t>
      </w:r>
      <w:r w:rsidRPr="00662392">
        <w:rPr>
          <w:sz w:val="22"/>
          <w:szCs w:val="22"/>
        </w:rPr>
        <w:t>recognize</w:t>
      </w:r>
      <w:r w:rsidR="001F5146" w:rsidRPr="00662392">
        <w:rPr>
          <w:sz w:val="22"/>
          <w:szCs w:val="22"/>
        </w:rPr>
        <w:t xml:space="preserve"> that this criterion would require a license amendment prior to implementation if the CTE results in exceeding or altering a design bases limit, established in the UFSAR, which has the potential to affect the performance of a fission product barrier.  As discussed in the SOC for the final rule, affected parameters are not limited to specific parameters in the system in which the CTE is being made or to parameters that are only directly linked to the actual fission product barrier. </w:t>
      </w:r>
      <w:r w:rsidR="00D778A0">
        <w:rPr>
          <w:sz w:val="22"/>
          <w:szCs w:val="22"/>
        </w:rPr>
        <w:t xml:space="preserve"> </w:t>
      </w:r>
      <w:r w:rsidR="001F5146" w:rsidRPr="00662392">
        <w:rPr>
          <w:sz w:val="22"/>
          <w:szCs w:val="22"/>
        </w:rPr>
        <w:t>Rather, the design parameters must include an assessment of all affected parameters, including design parameters of mitigation and support systems.</w:t>
      </w:r>
    </w:p>
    <w:p w14:paraId="46DE1A10" w14:textId="77777777" w:rsidR="00C1473C" w:rsidRDefault="00C1473C" w:rsidP="00194415">
      <w:pPr>
        <w:rPr>
          <w:sz w:val="22"/>
          <w:szCs w:val="22"/>
        </w:rPr>
      </w:pPr>
    </w:p>
    <w:p w14:paraId="23953BD1" w14:textId="53782736" w:rsidR="001F5146" w:rsidRPr="00662392" w:rsidRDefault="003F330D" w:rsidP="00194415">
      <w:pPr>
        <w:rPr>
          <w:sz w:val="22"/>
          <w:szCs w:val="22"/>
        </w:rPr>
      </w:pPr>
      <w:r w:rsidRPr="00662392">
        <w:rPr>
          <w:sz w:val="22"/>
          <w:szCs w:val="22"/>
        </w:rPr>
        <w:t>I</w:t>
      </w:r>
      <w:r w:rsidR="001F5146" w:rsidRPr="00662392">
        <w:rPr>
          <w:sz w:val="22"/>
          <w:szCs w:val="22"/>
        </w:rPr>
        <w:t xml:space="preserve">nspectors should </w:t>
      </w:r>
      <w:r w:rsidR="00A95288" w:rsidRPr="00662392">
        <w:rPr>
          <w:sz w:val="22"/>
          <w:szCs w:val="22"/>
        </w:rPr>
        <w:t>verify</w:t>
      </w:r>
      <w:r w:rsidR="001F5146" w:rsidRPr="00662392">
        <w:rPr>
          <w:sz w:val="22"/>
          <w:szCs w:val="22"/>
        </w:rPr>
        <w:t xml:space="preserve"> all the affected parameters identified by the licensee and determine whether the parameters have values established in the UFSAR, whether the parameters are controlling parameters that are reference bounds for the design, and whether the parameter has the potential to affect the performance of the fission product barrier.  </w:t>
      </w:r>
      <w:r w:rsidRPr="00662392">
        <w:rPr>
          <w:sz w:val="22"/>
          <w:szCs w:val="22"/>
        </w:rPr>
        <w:t>I</w:t>
      </w:r>
      <w:r w:rsidR="001F5146" w:rsidRPr="00662392">
        <w:rPr>
          <w:sz w:val="22"/>
          <w:szCs w:val="22"/>
        </w:rPr>
        <w:t>nspectors should recognize that if the specific parameter values are already subject to controls established by the TS or other rules or regulation</w:t>
      </w:r>
      <w:r w:rsidR="00A63D5B" w:rsidRPr="00662392">
        <w:rPr>
          <w:sz w:val="22"/>
          <w:szCs w:val="22"/>
        </w:rPr>
        <w:t xml:space="preserve"> then</w:t>
      </w:r>
      <w:r w:rsidR="001F5146" w:rsidRPr="00662392">
        <w:rPr>
          <w:sz w:val="22"/>
          <w:szCs w:val="22"/>
        </w:rPr>
        <w:t xml:space="preserve"> those requirements shall be followed. </w:t>
      </w:r>
    </w:p>
    <w:p w14:paraId="2F2473CE" w14:textId="77777777" w:rsidR="001F5146" w:rsidRPr="00662392" w:rsidRDefault="001F5146" w:rsidP="00194415">
      <w:pPr>
        <w:rPr>
          <w:sz w:val="22"/>
          <w:szCs w:val="22"/>
        </w:rPr>
      </w:pPr>
    </w:p>
    <w:p w14:paraId="0C797CD3" w14:textId="77777777" w:rsidR="00C1473C" w:rsidRDefault="001F5146" w:rsidP="00194415">
      <w:pPr>
        <w:rPr>
          <w:sz w:val="22"/>
          <w:szCs w:val="22"/>
        </w:rPr>
        <w:sectPr w:rsidR="00C1473C" w:rsidSect="00012998">
          <w:footerReference w:type="default" r:id="rId56"/>
          <w:pgSz w:w="12240" w:h="15840" w:code="1"/>
          <w:pgMar w:top="1440" w:right="1440" w:bottom="1440" w:left="1440" w:header="720" w:footer="720" w:gutter="0"/>
          <w:cols w:space="720"/>
          <w:noEndnote/>
          <w:docGrid w:linePitch="326"/>
        </w:sectPr>
      </w:pPr>
      <w:r w:rsidRPr="00662392">
        <w:rPr>
          <w:sz w:val="22"/>
          <w:szCs w:val="22"/>
        </w:rPr>
        <w:t xml:space="preserve">As described in NEI 12-04, </w:t>
      </w:r>
      <w:r w:rsidR="00B363B9" w:rsidRPr="00662392">
        <w:rPr>
          <w:sz w:val="22"/>
          <w:szCs w:val="22"/>
        </w:rPr>
        <w:t xml:space="preserve">Revision 2, </w:t>
      </w:r>
      <w:r w:rsidRPr="00662392">
        <w:rPr>
          <w:sz w:val="22"/>
          <w:szCs w:val="22"/>
        </w:rPr>
        <w:t xml:space="preserve">for the purposes of 10 CFR 72.48 considerations, the fission product barriers for a spent fuel storage cask system would include the fuel cladding and the confinement boundary for the storage system. </w:t>
      </w:r>
      <w:r w:rsidR="00D778A0">
        <w:rPr>
          <w:sz w:val="22"/>
          <w:szCs w:val="22"/>
        </w:rPr>
        <w:t xml:space="preserve"> </w:t>
      </w:r>
      <w:r w:rsidRPr="00662392">
        <w:rPr>
          <w:sz w:val="22"/>
          <w:szCs w:val="22"/>
        </w:rPr>
        <w:t xml:space="preserve">Dry spent fuel storage systems are designed in accordance with NRC requirements to preserve both fuel cladding integrity and </w:t>
      </w:r>
    </w:p>
    <w:p w14:paraId="0DDE6E52" w14:textId="77777777" w:rsidR="00C1473C" w:rsidRDefault="00C1473C" w:rsidP="00194415">
      <w:pPr>
        <w:rPr>
          <w:sz w:val="22"/>
          <w:szCs w:val="22"/>
        </w:rPr>
      </w:pPr>
    </w:p>
    <w:p w14:paraId="247B6620" w14:textId="2BB65B6F" w:rsidR="001F5146" w:rsidRPr="00662392" w:rsidRDefault="001F5146" w:rsidP="00194415">
      <w:pPr>
        <w:rPr>
          <w:sz w:val="22"/>
          <w:szCs w:val="22"/>
        </w:rPr>
      </w:pPr>
      <w:r w:rsidRPr="00662392">
        <w:rPr>
          <w:sz w:val="22"/>
          <w:szCs w:val="22"/>
        </w:rPr>
        <w:t xml:space="preserve">confinement capability during all credible normal, off-normal, and accident events. Integrity of the fuel cladding is required to maintain retrievability and sub-criticality of the stored spent fuel. Even if the cladding is not explicitly credited in the UFSAR as a fission product boundary, such as when damaged fuel is stored in a cask, effects of a proposed activity on cladding should still be considered when answering this 72.48(c)(2)(vii) criteria because the cladding integrity would continue to be important to maintain retrievability and sub-criticality (fuel configuration). </w:t>
      </w:r>
    </w:p>
    <w:p w14:paraId="2D09AD9F" w14:textId="77777777" w:rsidR="001F5146" w:rsidRPr="00662392" w:rsidRDefault="001F5146" w:rsidP="00194415">
      <w:pPr>
        <w:rPr>
          <w:sz w:val="22"/>
          <w:szCs w:val="22"/>
        </w:rPr>
      </w:pPr>
    </w:p>
    <w:p w14:paraId="675677FD" w14:textId="52290A43" w:rsidR="001F5146" w:rsidRPr="00662392" w:rsidRDefault="001F5146" w:rsidP="00194415">
      <w:pPr>
        <w:rPr>
          <w:sz w:val="22"/>
          <w:szCs w:val="22"/>
        </w:rPr>
      </w:pPr>
      <w:r w:rsidRPr="00662392">
        <w:rPr>
          <w:sz w:val="22"/>
          <w:szCs w:val="22"/>
        </w:rPr>
        <w:t xml:space="preserve">Proposed CTEs are judged in terms of whether the analysis results meet the acceptance criteria, such as not exceeding a design basis limit for any fission product barrier.  Effects under this criterion are to be judged using the methods described in the UFSAR; methodology changes are evaluated using 10 CFR 72.48(c)(2)(viii).  This criterion ensures that the margin that exists in the limits continues to be met.  A design basis limit may not be altered.  Changes that involve alteration of the design basis limit for a fission product barrier involve such a fundamental alteration of the facility design that a change, even in the conservative direction, </w:t>
      </w:r>
      <w:r w:rsidR="00B52A08" w:rsidRPr="00662392">
        <w:rPr>
          <w:sz w:val="22"/>
          <w:szCs w:val="22"/>
        </w:rPr>
        <w:t>need</w:t>
      </w:r>
      <w:r w:rsidRPr="00662392">
        <w:rPr>
          <w:sz w:val="22"/>
          <w:szCs w:val="22"/>
        </w:rPr>
        <w:t xml:space="preserve"> prior NRC </w:t>
      </w:r>
      <w:r w:rsidR="00B52A08" w:rsidRPr="00662392">
        <w:rPr>
          <w:sz w:val="22"/>
          <w:szCs w:val="22"/>
        </w:rPr>
        <w:t>approval via a license amendment</w:t>
      </w:r>
      <w:r w:rsidRPr="00662392">
        <w:rPr>
          <w:sz w:val="22"/>
          <w:szCs w:val="22"/>
        </w:rPr>
        <w:t>.</w:t>
      </w:r>
    </w:p>
    <w:p w14:paraId="7B460CD5" w14:textId="6B3E4C5D" w:rsidR="001F5146" w:rsidRPr="00662392" w:rsidRDefault="001F5146" w:rsidP="00194415">
      <w:pPr>
        <w:rPr>
          <w:sz w:val="22"/>
          <w:szCs w:val="22"/>
        </w:rPr>
      </w:pPr>
    </w:p>
    <w:p w14:paraId="0D5CA41A" w14:textId="0FC381C4" w:rsidR="00434004" w:rsidRPr="00662392" w:rsidRDefault="00844D46" w:rsidP="00194415">
      <w:pPr>
        <w:rPr>
          <w:sz w:val="22"/>
          <w:szCs w:val="22"/>
        </w:rPr>
      </w:pPr>
      <w:r w:rsidRPr="00662392">
        <w:rPr>
          <w:sz w:val="22"/>
          <w:szCs w:val="22"/>
        </w:rPr>
        <w:t xml:space="preserve">Several examples from the final rule SOCs </w:t>
      </w:r>
      <w:r w:rsidR="005A50DC" w:rsidRPr="00662392">
        <w:rPr>
          <w:sz w:val="22"/>
          <w:szCs w:val="22"/>
        </w:rPr>
        <w:t xml:space="preserve">meant to </w:t>
      </w:r>
      <w:r w:rsidRPr="00662392">
        <w:rPr>
          <w:sz w:val="22"/>
          <w:szCs w:val="22"/>
        </w:rPr>
        <w:t>illustrate</w:t>
      </w:r>
      <w:r w:rsidR="005A50DC" w:rsidRPr="00662392">
        <w:rPr>
          <w:sz w:val="22"/>
          <w:szCs w:val="22"/>
        </w:rPr>
        <w:t xml:space="preserve"> the concepts </w:t>
      </w:r>
      <w:r w:rsidR="00A87C44" w:rsidRPr="00662392">
        <w:rPr>
          <w:sz w:val="22"/>
          <w:szCs w:val="22"/>
        </w:rPr>
        <w:t>for</w:t>
      </w:r>
      <w:r w:rsidRPr="00662392">
        <w:rPr>
          <w:sz w:val="22"/>
          <w:szCs w:val="22"/>
        </w:rPr>
        <w:t xml:space="preserve"> the implementation of this criterion are </w:t>
      </w:r>
      <w:r w:rsidR="00190292" w:rsidRPr="00662392">
        <w:rPr>
          <w:sz w:val="22"/>
          <w:szCs w:val="22"/>
        </w:rPr>
        <w:t>described in Section 6.18</w:t>
      </w:r>
      <w:r w:rsidRPr="00662392">
        <w:rPr>
          <w:sz w:val="22"/>
          <w:szCs w:val="22"/>
        </w:rPr>
        <w:t>.</w:t>
      </w:r>
    </w:p>
    <w:p w14:paraId="27CB920F" w14:textId="77777777" w:rsidR="00434004" w:rsidRPr="00662392" w:rsidRDefault="00434004" w:rsidP="00194415">
      <w:pPr>
        <w:rPr>
          <w:sz w:val="22"/>
          <w:szCs w:val="22"/>
        </w:rPr>
      </w:pPr>
    </w:p>
    <w:p w14:paraId="54258F45" w14:textId="417B50BC" w:rsidR="001F5146" w:rsidRPr="00662392" w:rsidRDefault="00CA7D3C" w:rsidP="009B6D57">
      <w:pPr>
        <w:rPr>
          <w:sz w:val="22"/>
          <w:szCs w:val="22"/>
        </w:rPr>
      </w:pPr>
      <w:r w:rsidRPr="00662392">
        <w:rPr>
          <w:sz w:val="22"/>
          <w:szCs w:val="22"/>
        </w:rPr>
        <w:t>07.20</w:t>
      </w:r>
      <w:r w:rsidRPr="00662392">
        <w:rPr>
          <w:sz w:val="22"/>
          <w:szCs w:val="22"/>
        </w:rPr>
        <w:tab/>
      </w:r>
      <w:r w:rsidRPr="00662392">
        <w:rPr>
          <w:sz w:val="22"/>
          <w:szCs w:val="22"/>
          <w:u w:val="single"/>
        </w:rPr>
        <w:t xml:space="preserve">Review Licensee or </w:t>
      </w:r>
      <w:proofErr w:type="spellStart"/>
      <w:r w:rsidR="00C34B2A" w:rsidRPr="00662392">
        <w:rPr>
          <w:sz w:val="22"/>
          <w:szCs w:val="22"/>
          <w:u w:val="single"/>
        </w:rPr>
        <w:t>CoC</w:t>
      </w:r>
      <w:proofErr w:type="spellEnd"/>
      <w:r w:rsidRPr="00662392">
        <w:rPr>
          <w:sz w:val="22"/>
          <w:szCs w:val="22"/>
          <w:u w:val="single"/>
        </w:rPr>
        <w:t xml:space="preserve"> Holder Evaluation of Criterion </w:t>
      </w:r>
      <w:r w:rsidR="00775546" w:rsidRPr="00662392">
        <w:rPr>
          <w:sz w:val="22"/>
          <w:szCs w:val="22"/>
          <w:u w:val="single"/>
        </w:rPr>
        <w:t>(c)(2)(</w:t>
      </w:r>
      <w:r w:rsidR="001F0971" w:rsidRPr="00662392">
        <w:rPr>
          <w:sz w:val="22"/>
          <w:szCs w:val="22"/>
          <w:u w:val="single"/>
        </w:rPr>
        <w:t>viii)</w:t>
      </w:r>
      <w:r w:rsidRPr="00662392">
        <w:rPr>
          <w:sz w:val="22"/>
          <w:szCs w:val="22"/>
          <w:u w:val="single"/>
        </w:rPr>
        <w:fldChar w:fldCharType="begin"/>
      </w:r>
      <w:r w:rsidRPr="00662392">
        <w:rPr>
          <w:sz w:val="22"/>
          <w:szCs w:val="22"/>
        </w:rPr>
        <w:instrText xml:space="preserve"> TC "</w:instrText>
      </w:r>
      <w:bookmarkStart w:id="153" w:name="_Toc62642935"/>
      <w:bookmarkStart w:id="154" w:name="_Toc63142119"/>
      <w:r w:rsidRPr="00662392">
        <w:rPr>
          <w:sz w:val="22"/>
          <w:szCs w:val="22"/>
        </w:rPr>
        <w:instrText>07.20</w:instrText>
      </w:r>
      <w:r w:rsidR="009B6D57">
        <w:rPr>
          <w:sz w:val="22"/>
          <w:szCs w:val="22"/>
        </w:rPr>
        <w:instrText xml:space="preserve"> </w:instrText>
      </w:r>
      <w:r w:rsidRPr="00662392">
        <w:rPr>
          <w:sz w:val="22"/>
          <w:szCs w:val="22"/>
          <w:u w:val="single"/>
        </w:rPr>
        <w:instrText xml:space="preserve">Review Licensee or </w:instrText>
      </w:r>
      <w:proofErr w:type="spellStart"/>
      <w:r w:rsidRPr="00662392">
        <w:rPr>
          <w:sz w:val="22"/>
          <w:szCs w:val="22"/>
          <w:u w:val="single"/>
        </w:rPr>
        <w:instrText>C</w:instrText>
      </w:r>
      <w:r w:rsidR="00463668">
        <w:rPr>
          <w:sz w:val="22"/>
          <w:szCs w:val="22"/>
          <w:u w:val="single"/>
        </w:rPr>
        <w:instrText>o</w:instrText>
      </w:r>
      <w:r w:rsidRPr="00662392">
        <w:rPr>
          <w:sz w:val="22"/>
          <w:szCs w:val="22"/>
          <w:u w:val="single"/>
        </w:rPr>
        <w:instrText>C</w:instrText>
      </w:r>
      <w:proofErr w:type="spellEnd"/>
      <w:r w:rsidRPr="00662392">
        <w:rPr>
          <w:sz w:val="22"/>
          <w:szCs w:val="22"/>
          <w:u w:val="single"/>
        </w:rPr>
        <w:instrText xml:space="preserve"> Holder Evaluation of Criterion (c)(2)(viii)</w:instrText>
      </w:r>
      <w:bookmarkEnd w:id="153"/>
      <w:bookmarkEnd w:id="154"/>
      <w:r w:rsidRPr="00662392">
        <w:rPr>
          <w:sz w:val="22"/>
          <w:szCs w:val="22"/>
        </w:rPr>
        <w:instrText xml:space="preserve">" \f C \l "2" </w:instrText>
      </w:r>
      <w:r w:rsidRPr="00662392">
        <w:rPr>
          <w:sz w:val="22"/>
          <w:szCs w:val="22"/>
          <w:u w:val="single"/>
        </w:rPr>
        <w:fldChar w:fldCharType="end"/>
      </w:r>
    </w:p>
    <w:p w14:paraId="3FF62CBF" w14:textId="77777777" w:rsidR="001F5146" w:rsidRPr="00662392" w:rsidRDefault="001F5146" w:rsidP="00194415">
      <w:pPr>
        <w:rPr>
          <w:sz w:val="22"/>
          <w:szCs w:val="22"/>
        </w:rPr>
      </w:pPr>
    </w:p>
    <w:p w14:paraId="621F7DB1" w14:textId="38F0392A" w:rsidR="001F5146" w:rsidRPr="00662392" w:rsidRDefault="001F0971" w:rsidP="00194415">
      <w:pPr>
        <w:rPr>
          <w:sz w:val="22"/>
          <w:szCs w:val="22"/>
        </w:rPr>
      </w:pPr>
      <w:r w:rsidRPr="00662392">
        <w:rPr>
          <w:sz w:val="22"/>
          <w:szCs w:val="22"/>
        </w:rPr>
        <w:t>1</w:t>
      </w:r>
      <w:r w:rsidR="001F5146" w:rsidRPr="00662392">
        <w:rPr>
          <w:sz w:val="22"/>
          <w:szCs w:val="22"/>
        </w:rPr>
        <w:t>0 CFR 72.48(c)</w:t>
      </w:r>
      <w:r w:rsidR="00646FEA" w:rsidRPr="00662392">
        <w:rPr>
          <w:sz w:val="22"/>
          <w:szCs w:val="22"/>
        </w:rPr>
        <w:t>(</w:t>
      </w:r>
      <w:r w:rsidR="001F5146" w:rsidRPr="00662392">
        <w:rPr>
          <w:sz w:val="22"/>
          <w:szCs w:val="22"/>
        </w:rPr>
        <w:t xml:space="preserve">2)(viii) </w:t>
      </w:r>
      <w:r w:rsidRPr="00662392">
        <w:rPr>
          <w:sz w:val="22"/>
          <w:szCs w:val="22"/>
        </w:rPr>
        <w:t>focuses on whether a</w:t>
      </w:r>
      <w:r w:rsidR="001F5146" w:rsidRPr="00662392">
        <w:rPr>
          <w:sz w:val="22"/>
          <w:szCs w:val="22"/>
        </w:rPr>
        <w:t xml:space="preserve"> CTE </w:t>
      </w:r>
      <w:r w:rsidRPr="00662392">
        <w:rPr>
          <w:sz w:val="22"/>
          <w:szCs w:val="22"/>
        </w:rPr>
        <w:t>would</w:t>
      </w:r>
      <w:r w:rsidR="001F5146" w:rsidRPr="00662392">
        <w:rPr>
          <w:sz w:val="22"/>
          <w:szCs w:val="22"/>
        </w:rPr>
        <w:t xml:space="preserve"> result in a departure from a method of evaluation described in the UFSAR used in establishing the design bases or in the safety analyses.  </w:t>
      </w:r>
    </w:p>
    <w:p w14:paraId="6D25D520" w14:textId="77777777" w:rsidR="001F5146" w:rsidRPr="00662392" w:rsidRDefault="001F5146" w:rsidP="00194415">
      <w:pPr>
        <w:rPr>
          <w:sz w:val="22"/>
          <w:szCs w:val="22"/>
        </w:rPr>
      </w:pPr>
    </w:p>
    <w:p w14:paraId="5F6E270E" w14:textId="5337DD1C" w:rsidR="001F5146" w:rsidRPr="00662392" w:rsidRDefault="001F5146" w:rsidP="00194415">
      <w:pPr>
        <w:rPr>
          <w:sz w:val="22"/>
          <w:szCs w:val="22"/>
        </w:rPr>
      </w:pPr>
      <w:r w:rsidRPr="00662392">
        <w:rPr>
          <w:sz w:val="22"/>
          <w:szCs w:val="22"/>
        </w:rPr>
        <w:t xml:space="preserve">As discussed in NEI 12-04, </w:t>
      </w:r>
      <w:r w:rsidR="00B363B9" w:rsidRPr="00662392">
        <w:rPr>
          <w:sz w:val="22"/>
          <w:szCs w:val="22"/>
        </w:rPr>
        <w:t xml:space="preserve">Revision 2, </w:t>
      </w:r>
      <w:r w:rsidRPr="00662392">
        <w:rPr>
          <w:sz w:val="22"/>
          <w:szCs w:val="22"/>
        </w:rPr>
        <w:t xml:space="preserve">the ISFSI or cask UFSAR contains design and licensing basis information for an ISFSI or spent fuel storage cask design, including descriptions of how regulatory requirements for design are met (such as the requirements governing normal operations and off-normal operations), and the adequacy of </w:t>
      </w:r>
      <w:r w:rsidR="00164F8C" w:rsidRPr="00662392">
        <w:rPr>
          <w:sz w:val="22"/>
          <w:szCs w:val="22"/>
        </w:rPr>
        <w:t>SSC</w:t>
      </w:r>
      <w:r w:rsidRPr="00662392">
        <w:rPr>
          <w:sz w:val="22"/>
          <w:szCs w:val="22"/>
        </w:rPr>
        <w:t xml:space="preserve">s provided for the prevention of accidents and the mitigation of the consequences of accidents.  Analytical methods are a fundamental part of demonstrating how the design meets regulatory requirements and why the ISFSI’s or cask’s response to accidents and events is acceptable.  As such, in cases where the analytical methodology was an important part of the conclusion that the ISFSI or cask met the required design bases, these analytical methods were described in the UFSAR and received varying levels of NRC review and approval during licensing.  </w:t>
      </w:r>
    </w:p>
    <w:p w14:paraId="1FDD3CCC" w14:textId="77777777" w:rsidR="001F5146" w:rsidRPr="00662392" w:rsidRDefault="001F5146" w:rsidP="00194415">
      <w:pPr>
        <w:rPr>
          <w:sz w:val="22"/>
          <w:szCs w:val="22"/>
        </w:rPr>
      </w:pPr>
    </w:p>
    <w:p w14:paraId="023DC3F6" w14:textId="77777777" w:rsidR="00C1473C" w:rsidRDefault="00005799" w:rsidP="00194415">
      <w:pPr>
        <w:rPr>
          <w:sz w:val="22"/>
          <w:szCs w:val="22"/>
        </w:rPr>
        <w:sectPr w:rsidR="00C1473C" w:rsidSect="00012998">
          <w:footerReference w:type="default" r:id="rId57"/>
          <w:pgSz w:w="12240" w:h="15840" w:code="1"/>
          <w:pgMar w:top="1440" w:right="1440" w:bottom="1440" w:left="1440" w:header="720" w:footer="720" w:gutter="0"/>
          <w:cols w:space="720"/>
          <w:noEndnote/>
          <w:docGrid w:linePitch="326"/>
        </w:sectPr>
      </w:pPr>
      <w:r w:rsidRPr="00662392">
        <w:rPr>
          <w:sz w:val="22"/>
          <w:szCs w:val="22"/>
        </w:rPr>
        <w:t>I</w:t>
      </w:r>
      <w:r w:rsidR="001F5146" w:rsidRPr="00662392">
        <w:rPr>
          <w:sz w:val="22"/>
          <w:szCs w:val="22"/>
        </w:rPr>
        <w:t>nspectors should have awareness of the definition of design bases as used in 10 CFR 72.48(c)(2)(viii) and contained in 10 CFR 72.3, and in particular, those controlling values that are restraints derived from generally accepted practices for achieving functional goals, or requirements derived from analysis of the effects of a postulated accident for which a SSC must meet its functional goals.  Safety analyses are those evaluations that demonstrate that acceptance criteria for the facility or of a spent fuel storage cask’s capability to withstand or to respond to postulated events are met.  Th</w:t>
      </w:r>
      <w:r w:rsidR="009B6D57">
        <w:rPr>
          <w:sz w:val="22"/>
          <w:szCs w:val="22"/>
        </w:rPr>
        <w:t>erefore</w:t>
      </w:r>
      <w:r w:rsidR="001F5146" w:rsidRPr="00662392">
        <w:rPr>
          <w:sz w:val="22"/>
          <w:szCs w:val="22"/>
        </w:rPr>
        <w:t xml:space="preserve">, 10 CFR 72.48(c)(2)(viii) applies to those methods of evaluation used for demonstrating that design basis limits for fission product barriers are met, for other analyses such as radiological consequences that are part of the safety analyses, and for analyses that demonstrate that functional goals for SSC are met.  These would include those analyses that show that SSC will function under limiting conditions such as natural phenomena, environmental conditions, dynamic effects, and so forth.  However, only those methods that are used in establishing the design bases or in the safety analyses fall </w:t>
      </w:r>
    </w:p>
    <w:p w14:paraId="2E969711" w14:textId="77777777" w:rsidR="00C1473C" w:rsidRDefault="00C1473C" w:rsidP="00194415">
      <w:pPr>
        <w:rPr>
          <w:sz w:val="22"/>
          <w:szCs w:val="22"/>
        </w:rPr>
      </w:pPr>
    </w:p>
    <w:p w14:paraId="0572297E" w14:textId="16935E55" w:rsidR="001F5146" w:rsidRPr="00662392" w:rsidRDefault="001F5146" w:rsidP="00194415">
      <w:pPr>
        <w:rPr>
          <w:sz w:val="22"/>
          <w:szCs w:val="22"/>
        </w:rPr>
      </w:pPr>
      <w:r w:rsidRPr="00662392">
        <w:rPr>
          <w:sz w:val="22"/>
          <w:szCs w:val="22"/>
        </w:rPr>
        <w:t>within 10 CFR 72.48(c)(2)(viii).  In addition, changes to time-limited aging analyses and evaluations of aging management programs required by 10 CFR 72.42(a) and 10 CFR 72.240(c), require evaluation with respect to 10 CFR 72.48(c)(2)(viii) to the extent that evaluation methods for these analyses are described in the UFSAR supplement.</w:t>
      </w:r>
    </w:p>
    <w:p w14:paraId="07AE6FEA" w14:textId="77777777" w:rsidR="001F5146" w:rsidRPr="00662392" w:rsidRDefault="001F5146" w:rsidP="00194415">
      <w:pPr>
        <w:rPr>
          <w:sz w:val="22"/>
          <w:szCs w:val="22"/>
        </w:rPr>
      </w:pPr>
    </w:p>
    <w:p w14:paraId="4A080CC5" w14:textId="0E334DC9" w:rsidR="001F5146" w:rsidRPr="00662392" w:rsidRDefault="001F5146" w:rsidP="00194415">
      <w:pPr>
        <w:rPr>
          <w:sz w:val="22"/>
          <w:szCs w:val="22"/>
        </w:rPr>
      </w:pPr>
      <w:r w:rsidRPr="00662392">
        <w:rPr>
          <w:sz w:val="22"/>
          <w:szCs w:val="22"/>
        </w:rPr>
        <w:t xml:space="preserve">Because 10 CFR 72.48 provides a process for determining if prior NRC approval is required before making changes to the ISFSI or spent fuel storage cask design as described in the UFSAR, changes to MOEs described in the UFSAR also fall under the provisions of the 10 CFR 72.48 process, specifically criterion (c)(2)(viii).  In general, licensees or </w:t>
      </w:r>
      <w:proofErr w:type="spellStart"/>
      <w:r w:rsidRPr="00662392">
        <w:rPr>
          <w:sz w:val="22"/>
          <w:szCs w:val="22"/>
        </w:rPr>
        <w:t>CoC</w:t>
      </w:r>
      <w:proofErr w:type="spellEnd"/>
      <w:r w:rsidRPr="00662392">
        <w:rPr>
          <w:sz w:val="22"/>
          <w:szCs w:val="22"/>
        </w:rPr>
        <w:t xml:space="preserve"> holders can make</w:t>
      </w:r>
      <w:r w:rsidR="006B18FB">
        <w:rPr>
          <w:sz w:val="22"/>
          <w:szCs w:val="22"/>
        </w:rPr>
        <w:t xml:space="preserve"> </w:t>
      </w:r>
      <w:r w:rsidRPr="00662392">
        <w:rPr>
          <w:sz w:val="22"/>
          <w:szCs w:val="22"/>
        </w:rPr>
        <w:t xml:space="preserve">changes to MOEs without first obtaining a license amendment or cask </w:t>
      </w:r>
      <w:proofErr w:type="spellStart"/>
      <w:r w:rsidRPr="00662392">
        <w:rPr>
          <w:sz w:val="22"/>
          <w:szCs w:val="22"/>
        </w:rPr>
        <w:t>CoC</w:t>
      </w:r>
      <w:proofErr w:type="spellEnd"/>
      <w:r w:rsidRPr="00662392">
        <w:rPr>
          <w:sz w:val="22"/>
          <w:szCs w:val="22"/>
        </w:rPr>
        <w:t xml:space="preserve"> amendment in two ways: </w:t>
      </w:r>
    </w:p>
    <w:p w14:paraId="31DEB437" w14:textId="77777777" w:rsidR="001F5146" w:rsidRPr="00662392" w:rsidRDefault="001F5146" w:rsidP="00194415">
      <w:pPr>
        <w:rPr>
          <w:sz w:val="22"/>
          <w:szCs w:val="22"/>
        </w:rPr>
      </w:pPr>
    </w:p>
    <w:p w14:paraId="47B462DE" w14:textId="77777777" w:rsidR="001F5146" w:rsidRPr="00662392" w:rsidRDefault="001F5146" w:rsidP="00194415">
      <w:pPr>
        <w:numPr>
          <w:ilvl w:val="0"/>
          <w:numId w:val="10"/>
        </w:numPr>
        <w:rPr>
          <w:sz w:val="22"/>
          <w:szCs w:val="22"/>
        </w:rPr>
      </w:pPr>
      <w:r w:rsidRPr="00662392">
        <w:rPr>
          <w:sz w:val="22"/>
          <w:szCs w:val="22"/>
        </w:rPr>
        <w:t>Changing one or more elements of the MOE, provided the results are essentially the same as, or more conservative than, previous results or</w:t>
      </w:r>
    </w:p>
    <w:p w14:paraId="6E41C406" w14:textId="77777777" w:rsidR="001F5146" w:rsidRPr="00662392" w:rsidRDefault="001F5146" w:rsidP="00194415">
      <w:pPr>
        <w:numPr>
          <w:ilvl w:val="0"/>
          <w:numId w:val="10"/>
        </w:numPr>
        <w:rPr>
          <w:sz w:val="22"/>
          <w:szCs w:val="22"/>
        </w:rPr>
      </w:pPr>
      <w:r w:rsidRPr="00662392">
        <w:rPr>
          <w:sz w:val="22"/>
          <w:szCs w:val="22"/>
        </w:rPr>
        <w:t xml:space="preserve">Using a new or different MOE, if the MOE has been approved by the NRC for the intended application. </w:t>
      </w:r>
    </w:p>
    <w:p w14:paraId="6C0A112A" w14:textId="77777777" w:rsidR="001F5146" w:rsidRPr="00662392" w:rsidRDefault="001F5146" w:rsidP="00194415">
      <w:pPr>
        <w:rPr>
          <w:sz w:val="22"/>
          <w:szCs w:val="22"/>
        </w:rPr>
      </w:pPr>
    </w:p>
    <w:p w14:paraId="5941632E" w14:textId="77777777" w:rsidR="001F5146" w:rsidRPr="00662392" w:rsidRDefault="001F5146" w:rsidP="00194415">
      <w:pPr>
        <w:rPr>
          <w:sz w:val="22"/>
          <w:szCs w:val="22"/>
        </w:rPr>
      </w:pPr>
      <w:r w:rsidRPr="00662392">
        <w:rPr>
          <w:sz w:val="22"/>
          <w:szCs w:val="22"/>
        </w:rPr>
        <w:t xml:space="preserve">The responsibility and authority for performing the 10 CFR 72.48 review for a cask design approved under a </w:t>
      </w:r>
      <w:proofErr w:type="spellStart"/>
      <w:r w:rsidRPr="00662392">
        <w:rPr>
          <w:sz w:val="22"/>
          <w:szCs w:val="22"/>
        </w:rPr>
        <w:t>CoC</w:t>
      </w:r>
      <w:proofErr w:type="spellEnd"/>
      <w:r w:rsidRPr="00662392">
        <w:rPr>
          <w:sz w:val="22"/>
          <w:szCs w:val="22"/>
        </w:rPr>
        <w:t xml:space="preserve"> can be either the general licensee or the </w:t>
      </w:r>
      <w:proofErr w:type="spellStart"/>
      <w:r w:rsidRPr="00662392">
        <w:rPr>
          <w:sz w:val="22"/>
          <w:szCs w:val="22"/>
        </w:rPr>
        <w:t>CoC</w:t>
      </w:r>
      <w:proofErr w:type="spellEnd"/>
      <w:r w:rsidRPr="00662392">
        <w:rPr>
          <w:sz w:val="22"/>
          <w:szCs w:val="22"/>
        </w:rPr>
        <w:t xml:space="preserve"> holder.  10 CFR 72.48 responsibility and authority for a specific license are solely the specific licensees.  In both cases, however, it is typically the cask designer (i.e., the MOE owner) that utilizes MOEs to perform the safety analyses or establish the cask design basis and would have the need to modify an element of an MOE or use a new or different MOE.  As such, the licensee and MOE owner must coordinate efforts to ensure roles and responsibilities are clearly delineated and information is shared appropriately to ensure that a complete and comprehensive 10 CFR 72.48 review is performed for any change to an MOE.</w:t>
      </w:r>
    </w:p>
    <w:p w14:paraId="3C86BD58" w14:textId="77777777" w:rsidR="001F5146" w:rsidRPr="00662392" w:rsidRDefault="001F5146" w:rsidP="00194415">
      <w:pPr>
        <w:rPr>
          <w:sz w:val="22"/>
          <w:szCs w:val="22"/>
        </w:rPr>
      </w:pPr>
    </w:p>
    <w:p w14:paraId="58DC8471" w14:textId="5D63E537" w:rsidR="001F5146" w:rsidRPr="00662392" w:rsidRDefault="001F5146" w:rsidP="00194415">
      <w:pPr>
        <w:widowControl/>
        <w:rPr>
          <w:sz w:val="22"/>
          <w:szCs w:val="22"/>
        </w:rPr>
      </w:pPr>
      <w:r w:rsidRPr="00662392">
        <w:rPr>
          <w:sz w:val="22"/>
          <w:szCs w:val="22"/>
        </w:rPr>
        <w:t>If a proposed activity (e.g., a physical modification or procedure change) also involves a modified MOE element or a new or different MOE to analyze that physical modification or procedure change, the MOE change should be evaluated first against 10 CFR 72.48(c)(2)(viii), before the physical modification or procedure change is evaluated against 10 CFR 72.48(c)(2)(</w:t>
      </w:r>
      <w:proofErr w:type="spellStart"/>
      <w:r w:rsidRPr="00662392">
        <w:rPr>
          <w:sz w:val="22"/>
          <w:szCs w:val="22"/>
        </w:rPr>
        <w:t>i</w:t>
      </w:r>
      <w:proofErr w:type="spellEnd"/>
      <w:r w:rsidRPr="00662392">
        <w:rPr>
          <w:sz w:val="22"/>
          <w:szCs w:val="22"/>
        </w:rPr>
        <w:t xml:space="preserve">) through (vii). </w:t>
      </w:r>
      <w:r w:rsidR="00D778A0">
        <w:rPr>
          <w:sz w:val="22"/>
          <w:szCs w:val="22"/>
        </w:rPr>
        <w:t xml:space="preserve"> </w:t>
      </w:r>
      <w:r w:rsidRPr="00662392">
        <w:rPr>
          <w:sz w:val="22"/>
          <w:szCs w:val="22"/>
        </w:rPr>
        <w:t xml:space="preserve">If the MOE change is determined not to require NRC approval, these two separate evaluations may be documented in the same, or separate overall 10 CFR 72.48 reviews, at the discretion of the licensee or </w:t>
      </w:r>
      <w:proofErr w:type="spellStart"/>
      <w:r w:rsidRPr="00662392">
        <w:rPr>
          <w:sz w:val="22"/>
          <w:szCs w:val="22"/>
        </w:rPr>
        <w:t>CoC</w:t>
      </w:r>
      <w:proofErr w:type="spellEnd"/>
      <w:r w:rsidRPr="00662392">
        <w:rPr>
          <w:sz w:val="22"/>
          <w:szCs w:val="22"/>
        </w:rPr>
        <w:t xml:space="preserve"> holder.</w:t>
      </w:r>
    </w:p>
    <w:p w14:paraId="1ED1C030" w14:textId="77777777" w:rsidR="001F5146" w:rsidRPr="00662392" w:rsidRDefault="001F5146" w:rsidP="00194415">
      <w:pPr>
        <w:rPr>
          <w:sz w:val="22"/>
          <w:szCs w:val="22"/>
        </w:rPr>
      </w:pPr>
    </w:p>
    <w:p w14:paraId="20213EFD" w14:textId="77777777" w:rsidR="000E0ACD" w:rsidRDefault="001F5146" w:rsidP="00194415">
      <w:pPr>
        <w:rPr>
          <w:sz w:val="22"/>
          <w:szCs w:val="22"/>
        </w:rPr>
      </w:pPr>
      <w:r w:rsidRPr="00662392">
        <w:rPr>
          <w:sz w:val="22"/>
          <w:szCs w:val="22"/>
        </w:rPr>
        <w:t xml:space="preserve">As discussed further below, for purposes of evaluations under this criterion, the following changes are considered a departure from a method of evaluation described, outlined, or summarized in the UFSAR and used in the safety analysis or establish design bases: </w:t>
      </w:r>
    </w:p>
    <w:p w14:paraId="0B160BD1" w14:textId="77777777" w:rsidR="00C1473C" w:rsidRDefault="00C1473C" w:rsidP="00194415">
      <w:pPr>
        <w:rPr>
          <w:sz w:val="22"/>
          <w:szCs w:val="22"/>
        </w:rPr>
      </w:pPr>
    </w:p>
    <w:p w14:paraId="13112DDC" w14:textId="5B8E38AC" w:rsidR="001F5146" w:rsidRPr="00662392" w:rsidRDefault="001F5146" w:rsidP="00194415">
      <w:pPr>
        <w:numPr>
          <w:ilvl w:val="0"/>
          <w:numId w:val="11"/>
        </w:numPr>
        <w:rPr>
          <w:sz w:val="22"/>
          <w:szCs w:val="22"/>
        </w:rPr>
      </w:pPr>
      <w:r w:rsidRPr="00662392">
        <w:rPr>
          <w:sz w:val="22"/>
          <w:szCs w:val="22"/>
        </w:rPr>
        <w:t xml:space="preserve">Changes to any element of </w:t>
      </w:r>
      <w:proofErr w:type="gramStart"/>
      <w:r w:rsidRPr="00662392">
        <w:rPr>
          <w:sz w:val="22"/>
          <w:szCs w:val="22"/>
        </w:rPr>
        <w:t>a</w:t>
      </w:r>
      <w:proofErr w:type="gramEnd"/>
      <w:r w:rsidRPr="00662392">
        <w:rPr>
          <w:sz w:val="22"/>
          <w:szCs w:val="22"/>
        </w:rPr>
        <w:t xml:space="preserve"> MOE </w:t>
      </w:r>
      <w:r w:rsidR="004569DD" w:rsidRPr="00662392">
        <w:rPr>
          <w:sz w:val="22"/>
          <w:szCs w:val="22"/>
        </w:rPr>
        <w:t xml:space="preserve">described in the UFSAR, unless the results of the analysis </w:t>
      </w:r>
      <w:r w:rsidRPr="00662392">
        <w:rPr>
          <w:sz w:val="22"/>
          <w:szCs w:val="22"/>
        </w:rPr>
        <w:t xml:space="preserve">are conservative or essentially the same </w:t>
      </w:r>
    </w:p>
    <w:p w14:paraId="15191183" w14:textId="0C6B6BED" w:rsidR="001F5146" w:rsidRPr="00662392" w:rsidRDefault="00B8446E" w:rsidP="00194415">
      <w:pPr>
        <w:numPr>
          <w:ilvl w:val="0"/>
          <w:numId w:val="11"/>
        </w:numPr>
        <w:rPr>
          <w:sz w:val="22"/>
          <w:szCs w:val="22"/>
        </w:rPr>
      </w:pPr>
      <w:r w:rsidRPr="00662392">
        <w:rPr>
          <w:sz w:val="22"/>
          <w:szCs w:val="22"/>
        </w:rPr>
        <w:t xml:space="preserve">Changes from </w:t>
      </w:r>
      <w:proofErr w:type="gramStart"/>
      <w:r w:rsidRPr="00662392">
        <w:rPr>
          <w:sz w:val="22"/>
          <w:szCs w:val="22"/>
        </w:rPr>
        <w:t>a</w:t>
      </w:r>
      <w:proofErr w:type="gramEnd"/>
      <w:r w:rsidRPr="00662392">
        <w:rPr>
          <w:sz w:val="22"/>
          <w:szCs w:val="22"/>
        </w:rPr>
        <w:t xml:space="preserve"> MOE in the FSAR to another method unless that method has been approved by NRC for the intended application</w:t>
      </w:r>
      <w:r w:rsidR="001F5146" w:rsidRPr="00662392">
        <w:rPr>
          <w:sz w:val="22"/>
          <w:szCs w:val="22"/>
        </w:rPr>
        <w:t>.</w:t>
      </w:r>
    </w:p>
    <w:p w14:paraId="7DC19817" w14:textId="77777777" w:rsidR="001F5146" w:rsidRPr="00662392" w:rsidRDefault="001F5146" w:rsidP="00194415">
      <w:pPr>
        <w:rPr>
          <w:sz w:val="22"/>
          <w:szCs w:val="22"/>
        </w:rPr>
      </w:pPr>
    </w:p>
    <w:p w14:paraId="06F4B1D4" w14:textId="77777777" w:rsidR="001F5146" w:rsidRPr="00662392" w:rsidRDefault="001F5146" w:rsidP="00194415">
      <w:pPr>
        <w:rPr>
          <w:sz w:val="22"/>
          <w:szCs w:val="22"/>
        </w:rPr>
      </w:pPr>
      <w:r w:rsidRPr="00662392">
        <w:rPr>
          <w:sz w:val="22"/>
          <w:szCs w:val="22"/>
        </w:rPr>
        <w:t xml:space="preserve">See Section 04.02 of this IMC for definition of departure from an MOE described in the UFSAR.  </w:t>
      </w:r>
    </w:p>
    <w:p w14:paraId="7456D513" w14:textId="77777777" w:rsidR="001F5146" w:rsidRPr="00662392" w:rsidRDefault="001F5146" w:rsidP="00194415">
      <w:pPr>
        <w:rPr>
          <w:sz w:val="22"/>
          <w:szCs w:val="22"/>
        </w:rPr>
      </w:pPr>
    </w:p>
    <w:p w14:paraId="53B221E3" w14:textId="77777777" w:rsidR="00C1473C" w:rsidRDefault="001F5146" w:rsidP="00194415">
      <w:pPr>
        <w:widowControl/>
        <w:rPr>
          <w:sz w:val="22"/>
          <w:szCs w:val="22"/>
        </w:rPr>
        <w:sectPr w:rsidR="00C1473C" w:rsidSect="00012998">
          <w:footerReference w:type="default" r:id="rId58"/>
          <w:pgSz w:w="12240" w:h="15840" w:code="1"/>
          <w:pgMar w:top="1440" w:right="1440" w:bottom="1440" w:left="1440" w:header="720" w:footer="720" w:gutter="0"/>
          <w:cols w:space="720"/>
          <w:noEndnote/>
          <w:docGrid w:linePitch="326"/>
        </w:sectPr>
      </w:pPr>
      <w:r w:rsidRPr="00662392">
        <w:rPr>
          <w:sz w:val="22"/>
          <w:szCs w:val="22"/>
        </w:rPr>
        <w:t>To assure consistent implementation of the rules in 10 CFR 72.48 and 10 CFR 50.59(c)(2)(viii), it is important to clearly distinguish between elements and input parameters to the methods.  See Sections 04.03 and 04.04 of this IMC for definitions of methods of evaluation and input parameters, respectively.</w:t>
      </w:r>
    </w:p>
    <w:p w14:paraId="25FBAC37" w14:textId="77777777" w:rsidR="001F5146" w:rsidRPr="00662392" w:rsidRDefault="001F5146" w:rsidP="00194415">
      <w:pPr>
        <w:widowControl/>
        <w:rPr>
          <w:sz w:val="22"/>
          <w:szCs w:val="22"/>
        </w:rPr>
      </w:pPr>
    </w:p>
    <w:p w14:paraId="430A70FA" w14:textId="6F290FFA" w:rsidR="001F5146" w:rsidRPr="00662392" w:rsidRDefault="001F5146" w:rsidP="00194415">
      <w:pPr>
        <w:widowControl/>
        <w:rPr>
          <w:sz w:val="22"/>
          <w:szCs w:val="22"/>
        </w:rPr>
      </w:pPr>
      <w:r w:rsidRPr="00662392">
        <w:rPr>
          <w:sz w:val="22"/>
          <w:szCs w:val="22"/>
        </w:rPr>
        <w:t xml:space="preserve">As </w:t>
      </w:r>
      <w:r w:rsidR="00F91AF2" w:rsidRPr="00662392">
        <w:rPr>
          <w:sz w:val="22"/>
          <w:szCs w:val="22"/>
        </w:rPr>
        <w:t>stat</w:t>
      </w:r>
      <w:r w:rsidRPr="00662392">
        <w:rPr>
          <w:sz w:val="22"/>
          <w:szCs w:val="22"/>
        </w:rPr>
        <w:t xml:space="preserve">ed in NEI 12-04, </w:t>
      </w:r>
      <w:r w:rsidR="00B363B9" w:rsidRPr="00662392">
        <w:rPr>
          <w:sz w:val="22"/>
          <w:szCs w:val="22"/>
        </w:rPr>
        <w:t xml:space="preserve">Revision 2, </w:t>
      </w:r>
      <w:r w:rsidRPr="00662392">
        <w:rPr>
          <w:sz w:val="22"/>
          <w:szCs w:val="22"/>
        </w:rPr>
        <w:t xml:space="preserve">the </w:t>
      </w:r>
      <w:bookmarkStart w:id="155" w:name="_Hlk51926845"/>
      <w:r w:rsidRPr="00662392">
        <w:rPr>
          <w:sz w:val="22"/>
          <w:szCs w:val="22"/>
        </w:rPr>
        <w:t>10 CFR 72.</w:t>
      </w:r>
      <w:bookmarkEnd w:id="155"/>
      <w:r w:rsidRPr="00662392">
        <w:rPr>
          <w:sz w:val="22"/>
          <w:szCs w:val="22"/>
        </w:rPr>
        <w:t>48(c)(2)(viii) requirements for evaluation methods allow for use of generic topical reports as not being a “departure,” provided that the topical report is applicable to the facility and is used within the terms and conditions specified in the approved topical report.</w:t>
      </w:r>
    </w:p>
    <w:p w14:paraId="029D0D1A" w14:textId="77777777" w:rsidR="001F5146" w:rsidRPr="00662392" w:rsidRDefault="001F5146" w:rsidP="00194415">
      <w:pPr>
        <w:widowControl/>
        <w:rPr>
          <w:sz w:val="22"/>
          <w:szCs w:val="22"/>
        </w:rPr>
      </w:pPr>
    </w:p>
    <w:p w14:paraId="5E0C4F99" w14:textId="77777777" w:rsidR="001F5146" w:rsidRPr="00662392" w:rsidRDefault="001F5146" w:rsidP="00194415">
      <w:pPr>
        <w:widowControl/>
        <w:rPr>
          <w:sz w:val="22"/>
          <w:szCs w:val="22"/>
        </w:rPr>
      </w:pPr>
      <w:r w:rsidRPr="00662392">
        <w:rPr>
          <w:sz w:val="22"/>
          <w:szCs w:val="22"/>
        </w:rPr>
        <w:t xml:space="preserve">All CTEs are reviewed to determine if there is a departure from the method as described in the UFSAR.  A departure occurs if any of the elements of the method are changed, such that the result of the analysis using that method is not conservative or essentially the same.  </w:t>
      </w:r>
    </w:p>
    <w:p w14:paraId="1956806C" w14:textId="77777777" w:rsidR="001F5146" w:rsidRPr="00662392" w:rsidRDefault="001F5146" w:rsidP="00194415">
      <w:pPr>
        <w:widowControl/>
        <w:rPr>
          <w:sz w:val="22"/>
          <w:szCs w:val="22"/>
        </w:rPr>
      </w:pPr>
    </w:p>
    <w:p w14:paraId="26895F91" w14:textId="77777777" w:rsidR="001F5146" w:rsidRPr="00662392" w:rsidRDefault="001F5146" w:rsidP="00194415">
      <w:pPr>
        <w:widowControl/>
        <w:rPr>
          <w:sz w:val="22"/>
          <w:szCs w:val="22"/>
        </w:rPr>
      </w:pPr>
      <w:r w:rsidRPr="00662392">
        <w:rPr>
          <w:sz w:val="22"/>
          <w:szCs w:val="22"/>
        </w:rPr>
        <w:t xml:space="preserve">“Conservative” is judged with respect to the results obtained from the previous method.  If the result from the changed method is further from the established limit than under the previous method, the changed method is in the nonconservative direction.  When judging conservatism of a change in methods, a result closer to an established limit or values is conservative, in that there is less opportunity for other changes without triggering the need for NRC review and approval. </w:t>
      </w:r>
    </w:p>
    <w:p w14:paraId="7F23F738" w14:textId="77777777" w:rsidR="001F5146" w:rsidRPr="00662392" w:rsidRDefault="001F5146" w:rsidP="00194415">
      <w:pPr>
        <w:widowControl/>
        <w:rPr>
          <w:sz w:val="22"/>
          <w:szCs w:val="22"/>
        </w:rPr>
      </w:pPr>
    </w:p>
    <w:p w14:paraId="21D00C5E" w14:textId="77777777" w:rsidR="001F5146" w:rsidRPr="00662392" w:rsidRDefault="001F5146" w:rsidP="00194415">
      <w:pPr>
        <w:widowControl/>
        <w:rPr>
          <w:sz w:val="22"/>
          <w:szCs w:val="22"/>
        </w:rPr>
      </w:pPr>
      <w:r w:rsidRPr="00662392">
        <w:rPr>
          <w:sz w:val="22"/>
          <w:szCs w:val="22"/>
        </w:rPr>
        <w:t>Results are “essentially the same” if they are within the margin of error needed for the type of analysis being performed, even if tending in the nonconservative direction.  Results are essentially the same if the variation in results because of the change to the method is explainable as routine analysis sensitivities, and the differences in the results are not a factor in determining whether any limits or criteria are satisfied.  The determination can be made through benchmarking (new vs. old method) or may be apparent from the nature of the changes between the methods.  When benchmarking a method to determine how it compares to the previous one, the analyses that are done must be for the same set of plant conditions, otherwise, the results are not comparable.  Approval for intended application includes assuring that the approved method is approved for the type of analysis being conducted, generically approved for the type of facility using it, and that all terms and conditions for use of the method are satisfied.</w:t>
      </w:r>
    </w:p>
    <w:p w14:paraId="457730B7" w14:textId="77777777" w:rsidR="001F5146" w:rsidRPr="00662392" w:rsidRDefault="001F5146" w:rsidP="00194415">
      <w:pPr>
        <w:widowControl/>
        <w:rPr>
          <w:sz w:val="22"/>
          <w:szCs w:val="22"/>
        </w:rPr>
      </w:pPr>
    </w:p>
    <w:p w14:paraId="4A71184E" w14:textId="77777777" w:rsidR="000E0ACD" w:rsidRDefault="001F5146" w:rsidP="00194415">
      <w:pPr>
        <w:widowControl/>
        <w:rPr>
          <w:sz w:val="22"/>
          <w:szCs w:val="22"/>
        </w:rPr>
      </w:pPr>
      <w:r w:rsidRPr="00662392">
        <w:rPr>
          <w:sz w:val="22"/>
          <w:szCs w:val="22"/>
        </w:rPr>
        <w:t>10 CFR 72.48 allows licensees to document a methodology revision either (1) as a change to any of the elements of the methodology described in the UFSAR (i.e., part 1 of the departure definition (Section 04.02</w:t>
      </w:r>
      <w:r w:rsidRPr="00662392" w:rsidDel="0025301D">
        <w:rPr>
          <w:sz w:val="22"/>
          <w:szCs w:val="22"/>
        </w:rPr>
        <w:t>)</w:t>
      </w:r>
      <w:r w:rsidRPr="00662392">
        <w:rPr>
          <w:sz w:val="22"/>
          <w:szCs w:val="22"/>
        </w:rPr>
        <w:t>, or (2) as a change from the method described in the UFSAR to another method (i.e., part 2 of the departure definition (Section 04.02)).  If a methodology revision is documented as a change from the method described in the UFSAR to another method using part 2 of the departure definition, then “the results of the analysis are conservative or essentially the same” of part 1 of the departure definition is not applicable.</w:t>
      </w:r>
    </w:p>
    <w:p w14:paraId="73B52AB8" w14:textId="77777777" w:rsidR="00C1473C" w:rsidRDefault="00C1473C" w:rsidP="00194415">
      <w:pPr>
        <w:widowControl/>
        <w:rPr>
          <w:sz w:val="22"/>
          <w:szCs w:val="22"/>
        </w:rPr>
      </w:pPr>
    </w:p>
    <w:p w14:paraId="31E455BC" w14:textId="77777777" w:rsidR="001F5146" w:rsidRPr="00662392" w:rsidRDefault="001F5146" w:rsidP="00194415">
      <w:pPr>
        <w:rPr>
          <w:sz w:val="22"/>
          <w:szCs w:val="22"/>
        </w:rPr>
      </w:pPr>
      <w:bookmarkStart w:id="156" w:name="_Hlk51925733"/>
      <w:r w:rsidRPr="00662392">
        <w:rPr>
          <w:sz w:val="22"/>
          <w:szCs w:val="22"/>
        </w:rPr>
        <w:t xml:space="preserve">10 CFR 72.48(c)(2)(viii) </w:t>
      </w:r>
      <w:bookmarkEnd w:id="156"/>
      <w:r w:rsidRPr="00662392">
        <w:rPr>
          <w:sz w:val="22"/>
          <w:szCs w:val="22"/>
        </w:rPr>
        <w:t>ensures that the margin that exists from the conservatisms included in the methods used to demonstrate that requirements continues to be met.</w:t>
      </w:r>
    </w:p>
    <w:p w14:paraId="1FB9E8F0" w14:textId="77777777" w:rsidR="001F5146" w:rsidRPr="00662392" w:rsidRDefault="001F5146" w:rsidP="00194415">
      <w:pPr>
        <w:rPr>
          <w:sz w:val="22"/>
          <w:szCs w:val="22"/>
        </w:rPr>
      </w:pPr>
    </w:p>
    <w:p w14:paraId="4F9FEE10" w14:textId="77777777" w:rsidR="00C1473C" w:rsidRDefault="001F5146" w:rsidP="00194415">
      <w:pPr>
        <w:rPr>
          <w:sz w:val="22"/>
          <w:szCs w:val="22"/>
        </w:rPr>
        <w:sectPr w:rsidR="00C1473C" w:rsidSect="00012998">
          <w:footerReference w:type="default" r:id="rId59"/>
          <w:pgSz w:w="12240" w:h="15840" w:code="1"/>
          <w:pgMar w:top="1440" w:right="1440" w:bottom="1440" w:left="1440" w:header="720" w:footer="720" w:gutter="0"/>
          <w:cols w:space="720"/>
          <w:noEndnote/>
          <w:docGrid w:linePitch="326"/>
        </w:sectPr>
      </w:pPr>
      <w:r w:rsidRPr="00662392">
        <w:rPr>
          <w:sz w:val="22"/>
          <w:szCs w:val="22"/>
        </w:rPr>
        <w:t xml:space="preserve">Additionally, it is incumbent upon the user of a new or different MOE - even one generically approved by the NRC - to ensure that they have a thorough understanding of the MOE in question, the terms of its existing application and conditions/limitations on its use. </w:t>
      </w:r>
      <w:r w:rsidR="00D778A0">
        <w:rPr>
          <w:sz w:val="22"/>
          <w:szCs w:val="22"/>
        </w:rPr>
        <w:t xml:space="preserve"> </w:t>
      </w:r>
      <w:r w:rsidRPr="00662392">
        <w:rPr>
          <w:sz w:val="22"/>
          <w:szCs w:val="22"/>
        </w:rPr>
        <w:t xml:space="preserve">A range of considerations is identified below that may be applicable to determining whether new or different MOEs are technically appropriate for the intended application. </w:t>
      </w:r>
      <w:r w:rsidR="00D778A0">
        <w:rPr>
          <w:sz w:val="22"/>
          <w:szCs w:val="22"/>
        </w:rPr>
        <w:t xml:space="preserve"> </w:t>
      </w:r>
      <w:r w:rsidRPr="00662392">
        <w:rPr>
          <w:sz w:val="22"/>
          <w:szCs w:val="22"/>
        </w:rPr>
        <w:t>The licensee/</w:t>
      </w:r>
      <w:proofErr w:type="spellStart"/>
      <w:r w:rsidRPr="00662392">
        <w:rPr>
          <w:sz w:val="22"/>
          <w:szCs w:val="22"/>
        </w:rPr>
        <w:t>CoC</w:t>
      </w:r>
      <w:proofErr w:type="spellEnd"/>
      <w:r w:rsidRPr="00662392">
        <w:rPr>
          <w:sz w:val="22"/>
          <w:szCs w:val="22"/>
        </w:rPr>
        <w:t xml:space="preserve"> holder should address these and similar considerations, as applicable, and document in the 10 CFR 72.48 evaluation the basis for determining that an MOE is appropriate and approved for the intended application. </w:t>
      </w:r>
      <w:r w:rsidR="00D778A0">
        <w:rPr>
          <w:sz w:val="22"/>
          <w:szCs w:val="22"/>
        </w:rPr>
        <w:t xml:space="preserve"> </w:t>
      </w:r>
      <w:r w:rsidRPr="00662392">
        <w:rPr>
          <w:sz w:val="22"/>
          <w:szCs w:val="22"/>
        </w:rPr>
        <w:t xml:space="preserve">To obtain an adequate understanding of the MOE and basis for determining that it is approved for use in the intended application, the licensee or </w:t>
      </w:r>
      <w:proofErr w:type="spellStart"/>
      <w:r w:rsidRPr="00662392">
        <w:rPr>
          <w:sz w:val="22"/>
          <w:szCs w:val="22"/>
        </w:rPr>
        <w:t>CoC</w:t>
      </w:r>
      <w:proofErr w:type="spellEnd"/>
      <w:r w:rsidRPr="00662392">
        <w:rPr>
          <w:sz w:val="22"/>
          <w:szCs w:val="22"/>
        </w:rPr>
        <w:t xml:space="preserve"> holder should consult various sources, as appropriate. </w:t>
      </w:r>
      <w:r w:rsidR="00D778A0">
        <w:rPr>
          <w:sz w:val="22"/>
          <w:szCs w:val="22"/>
        </w:rPr>
        <w:t xml:space="preserve"> </w:t>
      </w:r>
      <w:r w:rsidRPr="00662392">
        <w:rPr>
          <w:sz w:val="22"/>
          <w:szCs w:val="22"/>
        </w:rPr>
        <w:t xml:space="preserve">These include SERs, topical reports, licensee </w:t>
      </w:r>
    </w:p>
    <w:p w14:paraId="5E76A0A3" w14:textId="77777777" w:rsidR="00C1473C" w:rsidRDefault="00C1473C" w:rsidP="00194415">
      <w:pPr>
        <w:rPr>
          <w:sz w:val="22"/>
          <w:szCs w:val="22"/>
        </w:rPr>
      </w:pPr>
    </w:p>
    <w:p w14:paraId="3A29F849" w14:textId="457CC3F6" w:rsidR="001F5146" w:rsidRPr="00662392" w:rsidRDefault="001F5146" w:rsidP="00194415">
      <w:pPr>
        <w:rPr>
          <w:sz w:val="22"/>
          <w:szCs w:val="22"/>
        </w:rPr>
      </w:pPr>
      <w:r w:rsidRPr="00662392">
        <w:rPr>
          <w:sz w:val="22"/>
          <w:szCs w:val="22"/>
        </w:rPr>
        <w:t xml:space="preserve">correspondence with the NRC and licensee or </w:t>
      </w:r>
      <w:proofErr w:type="spellStart"/>
      <w:r w:rsidRPr="00662392">
        <w:rPr>
          <w:sz w:val="22"/>
          <w:szCs w:val="22"/>
        </w:rPr>
        <w:t>CoC</w:t>
      </w:r>
      <w:proofErr w:type="spellEnd"/>
      <w:r w:rsidRPr="00662392">
        <w:rPr>
          <w:sz w:val="22"/>
          <w:szCs w:val="22"/>
        </w:rPr>
        <w:t xml:space="preserve"> holder personnel familiar with the existing application of the MOE.  </w:t>
      </w:r>
    </w:p>
    <w:p w14:paraId="7726CBBA" w14:textId="77777777" w:rsidR="001F5146" w:rsidRPr="00662392" w:rsidRDefault="001F5146" w:rsidP="00194415">
      <w:pPr>
        <w:rPr>
          <w:sz w:val="22"/>
          <w:szCs w:val="22"/>
        </w:rPr>
      </w:pPr>
    </w:p>
    <w:p w14:paraId="26629C27" w14:textId="2BFB0181" w:rsidR="001F5146" w:rsidRPr="00662392" w:rsidRDefault="001F5146" w:rsidP="00194415">
      <w:pPr>
        <w:rPr>
          <w:sz w:val="22"/>
          <w:szCs w:val="22"/>
        </w:rPr>
      </w:pPr>
      <w:r w:rsidRPr="00662392">
        <w:rPr>
          <w:sz w:val="22"/>
          <w:szCs w:val="22"/>
        </w:rPr>
        <w:t xml:space="preserve">The 10 CFR 72.48 evaluation documentation should provide a technical justification to demonstrate that the new or different MOE is technically applicable.  This should include describing the MOE, conditions of applicability, limitations, restrictions, etc. </w:t>
      </w:r>
      <w:r w:rsidR="00C42A5C">
        <w:rPr>
          <w:sz w:val="22"/>
          <w:szCs w:val="22"/>
        </w:rPr>
        <w:t xml:space="preserve"> </w:t>
      </w:r>
      <w:r w:rsidRPr="00662392">
        <w:rPr>
          <w:sz w:val="22"/>
          <w:szCs w:val="22"/>
        </w:rPr>
        <w:t xml:space="preserve">If adequate information cannot be found on which to base the intended application of the MOE and described in the 10 CFR 72.48 evaluation, the MOE should not be considered “approved by the NRC for the intended application.” </w:t>
      </w:r>
    </w:p>
    <w:p w14:paraId="300D4821" w14:textId="77777777" w:rsidR="001F5146" w:rsidRPr="00662392" w:rsidRDefault="001F5146" w:rsidP="00194415">
      <w:pPr>
        <w:rPr>
          <w:sz w:val="22"/>
          <w:szCs w:val="22"/>
        </w:rPr>
      </w:pPr>
    </w:p>
    <w:p w14:paraId="0894EA2A" w14:textId="4C068650" w:rsidR="001F5146" w:rsidRPr="00662392" w:rsidRDefault="001F5146" w:rsidP="00194415">
      <w:pPr>
        <w:rPr>
          <w:sz w:val="22"/>
          <w:szCs w:val="22"/>
        </w:rPr>
      </w:pPr>
      <w:r w:rsidRPr="00662392">
        <w:rPr>
          <w:sz w:val="22"/>
          <w:szCs w:val="22"/>
        </w:rPr>
        <w:t xml:space="preserve">When considering the application of an MOE, it is necessary to adopt the MOE in its entirety and apply it consistent with applicable terms, conditions and limitations. </w:t>
      </w:r>
      <w:r w:rsidR="00D778A0">
        <w:rPr>
          <w:sz w:val="22"/>
          <w:szCs w:val="22"/>
        </w:rPr>
        <w:t xml:space="preserve"> </w:t>
      </w:r>
      <w:r w:rsidRPr="00662392">
        <w:rPr>
          <w:sz w:val="22"/>
          <w:szCs w:val="22"/>
        </w:rPr>
        <w:t xml:space="preserve">Mixing attributes of new or different and existing MOEs is considered when deciding whether to apply it to a different ISFSI or cask design. </w:t>
      </w:r>
      <w:r w:rsidR="00D778A0">
        <w:rPr>
          <w:sz w:val="22"/>
          <w:szCs w:val="22"/>
        </w:rPr>
        <w:t xml:space="preserve"> </w:t>
      </w:r>
      <w:r w:rsidRPr="00662392">
        <w:rPr>
          <w:sz w:val="22"/>
          <w:szCs w:val="22"/>
        </w:rPr>
        <w:t>The new or different MOE must be used only by the same entity as the</w:t>
      </w:r>
      <w:r w:rsidR="00D778A0">
        <w:rPr>
          <w:sz w:val="22"/>
          <w:szCs w:val="22"/>
        </w:rPr>
        <w:t xml:space="preserve"> </w:t>
      </w:r>
      <w:r w:rsidRPr="00662392">
        <w:rPr>
          <w:sz w:val="22"/>
          <w:szCs w:val="22"/>
        </w:rPr>
        <w:t xml:space="preserve">originally approved MOE or a successor entity who has become the </w:t>
      </w:r>
      <w:proofErr w:type="spellStart"/>
      <w:r w:rsidRPr="00662392">
        <w:rPr>
          <w:sz w:val="22"/>
          <w:szCs w:val="22"/>
        </w:rPr>
        <w:t>CoC</w:t>
      </w:r>
      <w:proofErr w:type="spellEnd"/>
      <w:r w:rsidRPr="00662392">
        <w:rPr>
          <w:sz w:val="22"/>
          <w:szCs w:val="22"/>
        </w:rPr>
        <w:t xml:space="preserve"> holder for that cask design.</w:t>
      </w:r>
    </w:p>
    <w:p w14:paraId="419310CA" w14:textId="41F7F464" w:rsidR="00E0475D" w:rsidRPr="00662392" w:rsidRDefault="00E0475D" w:rsidP="00194415">
      <w:pPr>
        <w:rPr>
          <w:sz w:val="22"/>
          <w:szCs w:val="22"/>
        </w:rPr>
      </w:pPr>
    </w:p>
    <w:p w14:paraId="60678674" w14:textId="64409A42" w:rsidR="00E0475D" w:rsidRPr="00662392" w:rsidRDefault="000434D7" w:rsidP="00194415">
      <w:pPr>
        <w:rPr>
          <w:sz w:val="22"/>
          <w:szCs w:val="22"/>
        </w:rPr>
      </w:pPr>
      <w:r w:rsidRPr="00662392">
        <w:rPr>
          <w:sz w:val="22"/>
          <w:szCs w:val="22"/>
        </w:rPr>
        <w:t>Several examples from the final rule SOCs meant to illustrate the concepts for the implementation of this criterion are described in Section 6.19.</w:t>
      </w:r>
    </w:p>
    <w:p w14:paraId="53E80E5F" w14:textId="77777777" w:rsidR="001F5146" w:rsidRPr="00662392" w:rsidRDefault="001F5146" w:rsidP="00194415">
      <w:pPr>
        <w:rPr>
          <w:sz w:val="22"/>
          <w:szCs w:val="22"/>
        </w:rPr>
      </w:pPr>
    </w:p>
    <w:p w14:paraId="7D7D242C" w14:textId="46213F77" w:rsidR="001F5146" w:rsidRPr="00662392" w:rsidRDefault="001F5146" w:rsidP="00194415">
      <w:pPr>
        <w:rPr>
          <w:sz w:val="22"/>
          <w:szCs w:val="22"/>
        </w:rPr>
      </w:pPr>
      <w:r w:rsidRPr="00662392">
        <w:rPr>
          <w:sz w:val="22"/>
          <w:szCs w:val="22"/>
        </w:rPr>
        <w:t>07.</w:t>
      </w:r>
      <w:r w:rsidR="00036075" w:rsidRPr="00662392">
        <w:rPr>
          <w:sz w:val="22"/>
          <w:szCs w:val="22"/>
        </w:rPr>
        <w:t>21</w:t>
      </w:r>
      <w:r w:rsidRPr="00662392">
        <w:rPr>
          <w:sz w:val="22"/>
          <w:szCs w:val="22"/>
        </w:rPr>
        <w:tab/>
      </w:r>
      <w:r w:rsidR="00CA7D3C" w:rsidRPr="00662392">
        <w:rPr>
          <w:sz w:val="22"/>
          <w:szCs w:val="22"/>
          <w:u w:val="single"/>
        </w:rPr>
        <w:t>Compensatory Actions</w:t>
      </w:r>
      <w:r w:rsidR="00CA7D3C" w:rsidRPr="00662392">
        <w:rPr>
          <w:sz w:val="22"/>
          <w:szCs w:val="22"/>
          <w:u w:val="single"/>
        </w:rPr>
        <w:fldChar w:fldCharType="begin"/>
      </w:r>
      <w:r w:rsidR="00CA7D3C" w:rsidRPr="00662392">
        <w:rPr>
          <w:sz w:val="22"/>
          <w:szCs w:val="22"/>
        </w:rPr>
        <w:instrText xml:space="preserve"> TC "</w:instrText>
      </w:r>
      <w:bookmarkStart w:id="157" w:name="_Toc62642936"/>
      <w:bookmarkStart w:id="158" w:name="_Toc63142120"/>
      <w:r w:rsidR="00CA7D3C" w:rsidRPr="00662392">
        <w:rPr>
          <w:sz w:val="22"/>
          <w:szCs w:val="22"/>
        </w:rPr>
        <w:instrText>07.21</w:instrText>
      </w:r>
      <w:r w:rsidR="00CA7D3C" w:rsidRPr="00662392">
        <w:rPr>
          <w:sz w:val="22"/>
          <w:szCs w:val="22"/>
        </w:rPr>
        <w:tab/>
      </w:r>
      <w:r w:rsidR="00CA7D3C" w:rsidRPr="00662392">
        <w:rPr>
          <w:sz w:val="22"/>
          <w:szCs w:val="22"/>
          <w:u w:val="single"/>
        </w:rPr>
        <w:instrText>Compensatory Actions</w:instrText>
      </w:r>
      <w:bookmarkEnd w:id="157"/>
      <w:bookmarkEnd w:id="158"/>
      <w:r w:rsidR="00CA7D3C" w:rsidRPr="00662392">
        <w:rPr>
          <w:sz w:val="22"/>
          <w:szCs w:val="22"/>
        </w:rPr>
        <w:instrText xml:space="preserve">" \f C \l "2" </w:instrText>
      </w:r>
      <w:r w:rsidR="00CA7D3C" w:rsidRPr="00662392">
        <w:rPr>
          <w:sz w:val="22"/>
          <w:szCs w:val="22"/>
          <w:u w:val="single"/>
        </w:rPr>
        <w:fldChar w:fldCharType="end"/>
      </w:r>
      <w:r w:rsidR="00CA7D3C" w:rsidRPr="00662392">
        <w:rPr>
          <w:sz w:val="22"/>
          <w:szCs w:val="22"/>
        </w:rPr>
        <w:t xml:space="preserve"> </w:t>
      </w:r>
    </w:p>
    <w:p w14:paraId="667F103B" w14:textId="77777777" w:rsidR="00CA7D3C" w:rsidRPr="00662392" w:rsidRDefault="00CA7D3C" w:rsidP="00194415">
      <w:pPr>
        <w:rPr>
          <w:sz w:val="22"/>
          <w:szCs w:val="22"/>
        </w:rPr>
      </w:pPr>
    </w:p>
    <w:p w14:paraId="44E1A957" w14:textId="72168F29" w:rsidR="001F5146" w:rsidRPr="00662392" w:rsidRDefault="00F509E7" w:rsidP="00194415">
      <w:pPr>
        <w:rPr>
          <w:sz w:val="22"/>
          <w:szCs w:val="22"/>
        </w:rPr>
      </w:pPr>
      <w:r w:rsidRPr="00662392">
        <w:rPr>
          <w:sz w:val="22"/>
          <w:szCs w:val="22"/>
        </w:rPr>
        <w:t xml:space="preserve">General and specific licensees, and </w:t>
      </w:r>
      <w:proofErr w:type="spellStart"/>
      <w:r w:rsidRPr="00662392">
        <w:rPr>
          <w:sz w:val="22"/>
          <w:szCs w:val="22"/>
        </w:rPr>
        <w:t>CoC</w:t>
      </w:r>
      <w:proofErr w:type="spellEnd"/>
      <w:r w:rsidRPr="00662392">
        <w:rPr>
          <w:sz w:val="22"/>
          <w:szCs w:val="22"/>
        </w:rPr>
        <w:t xml:space="preserve"> holders have three ways to treat or consider non-conforming and degraded conditions, when determining whether to conduct a 72.48 evaluation</w:t>
      </w:r>
      <w:r w:rsidR="001F5146" w:rsidRPr="00662392">
        <w:rPr>
          <w:sz w:val="22"/>
          <w:szCs w:val="22"/>
        </w:rPr>
        <w:t>, as discussed below:</w:t>
      </w:r>
    </w:p>
    <w:p w14:paraId="202A441A" w14:textId="77777777" w:rsidR="001F5146" w:rsidRPr="00662392" w:rsidRDefault="001F5146" w:rsidP="00194415">
      <w:pPr>
        <w:rPr>
          <w:sz w:val="22"/>
          <w:szCs w:val="22"/>
        </w:rPr>
      </w:pPr>
    </w:p>
    <w:p w14:paraId="10835697" w14:textId="21B8B61D" w:rsidR="001F5146" w:rsidRPr="00662392" w:rsidRDefault="001F5146" w:rsidP="00194415">
      <w:pPr>
        <w:widowControl/>
        <w:numPr>
          <w:ilvl w:val="0"/>
          <w:numId w:val="7"/>
        </w:numPr>
        <w:contextualSpacing/>
        <w:rPr>
          <w:rFonts w:eastAsia="Times New Roman"/>
          <w:sz w:val="22"/>
          <w:szCs w:val="22"/>
        </w:rPr>
      </w:pPr>
      <w:r w:rsidRPr="00662392">
        <w:rPr>
          <w:rFonts w:eastAsia="Times New Roman"/>
          <w:sz w:val="22"/>
          <w:szCs w:val="22"/>
        </w:rPr>
        <w:t xml:space="preserve">If the licensee or cask </w:t>
      </w:r>
      <w:proofErr w:type="spellStart"/>
      <w:r w:rsidRPr="00662392">
        <w:rPr>
          <w:rFonts w:eastAsia="Times New Roman"/>
          <w:sz w:val="22"/>
          <w:szCs w:val="22"/>
        </w:rPr>
        <w:t>CoC</w:t>
      </w:r>
      <w:proofErr w:type="spellEnd"/>
      <w:r w:rsidRPr="00662392">
        <w:rPr>
          <w:rFonts w:eastAsia="Times New Roman"/>
          <w:sz w:val="22"/>
          <w:szCs w:val="22"/>
        </w:rPr>
        <w:t xml:space="preserve"> holder intends to restore the SSC back to its as-designed condition, then </w:t>
      </w:r>
      <w:r w:rsidR="00C42817" w:rsidRPr="00662392">
        <w:rPr>
          <w:rFonts w:eastAsia="Times New Roman"/>
          <w:sz w:val="22"/>
          <w:szCs w:val="22"/>
        </w:rPr>
        <w:t xml:space="preserve">the </w:t>
      </w:r>
      <w:r w:rsidRPr="00662392">
        <w:rPr>
          <w:rFonts w:eastAsia="Times New Roman"/>
          <w:sz w:val="22"/>
          <w:szCs w:val="22"/>
        </w:rPr>
        <w:t>corrective action should be performed in accordance with 10 CFR 72, Subpart G</w:t>
      </w:r>
      <w:r w:rsidR="00C42817" w:rsidRPr="00662392">
        <w:rPr>
          <w:rFonts w:eastAsia="Times New Roman"/>
          <w:sz w:val="22"/>
          <w:szCs w:val="22"/>
        </w:rPr>
        <w:t>,</w:t>
      </w:r>
      <w:r w:rsidRPr="00662392">
        <w:rPr>
          <w:rFonts w:eastAsia="Times New Roman"/>
          <w:sz w:val="22"/>
          <w:szCs w:val="22"/>
        </w:rPr>
        <w:t xml:space="preserve"> in a timely manner commensurate with safety. </w:t>
      </w:r>
      <w:r w:rsidR="001B02C0">
        <w:rPr>
          <w:rFonts w:eastAsia="Times New Roman"/>
          <w:sz w:val="22"/>
          <w:szCs w:val="22"/>
        </w:rPr>
        <w:t xml:space="preserve"> </w:t>
      </w:r>
      <w:r w:rsidR="0076747B" w:rsidRPr="00662392">
        <w:rPr>
          <w:rFonts w:eastAsia="Times New Roman"/>
          <w:sz w:val="22"/>
          <w:szCs w:val="22"/>
        </w:rPr>
        <w:t xml:space="preserve">The corrective </w:t>
      </w:r>
      <w:r w:rsidR="00385BBD" w:rsidRPr="00662392">
        <w:rPr>
          <w:rFonts w:eastAsia="Times New Roman"/>
          <w:sz w:val="22"/>
          <w:szCs w:val="22"/>
        </w:rPr>
        <w:t>action</w:t>
      </w:r>
      <w:r w:rsidR="0076747B" w:rsidRPr="00662392">
        <w:rPr>
          <w:rFonts w:eastAsia="Times New Roman"/>
          <w:sz w:val="22"/>
          <w:szCs w:val="22"/>
        </w:rPr>
        <w:t xml:space="preserve"> </w:t>
      </w:r>
      <w:r w:rsidRPr="00662392">
        <w:rPr>
          <w:rFonts w:eastAsia="Times New Roman"/>
          <w:sz w:val="22"/>
          <w:szCs w:val="22"/>
        </w:rPr>
        <w:t xml:space="preserve">activity is not subject to 10 CFR 72.48. </w:t>
      </w:r>
    </w:p>
    <w:p w14:paraId="221C1698" w14:textId="77777777" w:rsidR="000E0ACD" w:rsidRDefault="001F5146" w:rsidP="00194415">
      <w:pPr>
        <w:widowControl/>
        <w:numPr>
          <w:ilvl w:val="0"/>
          <w:numId w:val="7"/>
        </w:numPr>
        <w:contextualSpacing/>
        <w:rPr>
          <w:rFonts w:eastAsia="Times New Roman"/>
          <w:sz w:val="22"/>
          <w:szCs w:val="22"/>
        </w:rPr>
      </w:pPr>
      <w:r w:rsidRPr="00662392">
        <w:rPr>
          <w:rFonts w:eastAsia="Times New Roman"/>
          <w:sz w:val="22"/>
          <w:szCs w:val="22"/>
        </w:rPr>
        <w:t xml:space="preserve">If an interim compensatory action to address the </w:t>
      </w:r>
      <w:bookmarkStart w:id="159" w:name="_Hlk56443283"/>
      <w:r w:rsidR="00CC2F7D" w:rsidRPr="00662392">
        <w:rPr>
          <w:sz w:val="22"/>
          <w:szCs w:val="22"/>
        </w:rPr>
        <w:t xml:space="preserve">non-conforming and degraded </w:t>
      </w:r>
      <w:bookmarkEnd w:id="159"/>
      <w:r w:rsidRPr="00662392">
        <w:rPr>
          <w:rFonts w:eastAsia="Times New Roman"/>
          <w:sz w:val="22"/>
          <w:szCs w:val="22"/>
        </w:rPr>
        <w:t>condition</w:t>
      </w:r>
      <w:r w:rsidR="00CC2F7D" w:rsidRPr="00662392">
        <w:rPr>
          <w:rFonts w:eastAsia="Times New Roman"/>
          <w:sz w:val="22"/>
          <w:szCs w:val="22"/>
        </w:rPr>
        <w:t xml:space="preserve"> requires</w:t>
      </w:r>
      <w:r w:rsidRPr="00662392">
        <w:rPr>
          <w:rFonts w:eastAsia="Times New Roman"/>
          <w:sz w:val="22"/>
          <w:szCs w:val="22"/>
        </w:rPr>
        <w:t xml:space="preserve"> a temporary procedure or </w:t>
      </w:r>
      <w:r w:rsidR="001D7A6D" w:rsidRPr="00662392">
        <w:rPr>
          <w:rFonts w:eastAsia="Times New Roman"/>
          <w:sz w:val="22"/>
          <w:szCs w:val="22"/>
        </w:rPr>
        <w:t xml:space="preserve">a change to the </w:t>
      </w:r>
      <w:r w:rsidRPr="00662392">
        <w:rPr>
          <w:rFonts w:eastAsia="Times New Roman"/>
          <w:sz w:val="22"/>
          <w:szCs w:val="22"/>
        </w:rPr>
        <w:t xml:space="preserve">ISFSI or </w:t>
      </w:r>
      <w:r w:rsidR="001D7A6D" w:rsidRPr="00662392">
        <w:rPr>
          <w:rFonts w:eastAsia="Times New Roman"/>
          <w:sz w:val="22"/>
          <w:szCs w:val="22"/>
        </w:rPr>
        <w:t xml:space="preserve">the </w:t>
      </w:r>
      <w:r w:rsidRPr="00662392">
        <w:rPr>
          <w:rFonts w:eastAsia="Times New Roman"/>
          <w:sz w:val="22"/>
          <w:szCs w:val="22"/>
        </w:rPr>
        <w:t xml:space="preserve">cask design, 10 CFR 72.48 </w:t>
      </w:r>
      <w:r w:rsidR="001D7A6D" w:rsidRPr="00662392">
        <w:rPr>
          <w:rFonts w:eastAsia="Times New Roman"/>
          <w:sz w:val="22"/>
          <w:szCs w:val="22"/>
        </w:rPr>
        <w:t>is applicable</w:t>
      </w:r>
      <w:r w:rsidRPr="00662392">
        <w:rPr>
          <w:rFonts w:eastAsia="Times New Roman"/>
          <w:sz w:val="22"/>
          <w:szCs w:val="22"/>
        </w:rPr>
        <w:t xml:space="preserve"> to the temporary change. </w:t>
      </w:r>
      <w:r w:rsidR="001B02C0">
        <w:rPr>
          <w:rFonts w:eastAsia="Times New Roman"/>
          <w:sz w:val="22"/>
          <w:szCs w:val="22"/>
        </w:rPr>
        <w:t xml:space="preserve"> </w:t>
      </w:r>
      <w:r w:rsidRPr="00662392">
        <w:rPr>
          <w:rFonts w:eastAsia="Times New Roman"/>
          <w:sz w:val="22"/>
          <w:szCs w:val="22"/>
        </w:rPr>
        <w:t>The intent is to determine whether the temporary change/compensatory action itself (not the degraded condition) impacts other aspects of the ISFSI, cask design, or procedures described in the UFSAR.</w:t>
      </w:r>
    </w:p>
    <w:p w14:paraId="7A0595F8" w14:textId="7B3EF454" w:rsidR="001F5146" w:rsidRPr="00662392" w:rsidRDefault="001F5146" w:rsidP="00194415">
      <w:pPr>
        <w:widowControl/>
        <w:numPr>
          <w:ilvl w:val="0"/>
          <w:numId w:val="7"/>
        </w:numPr>
        <w:contextualSpacing/>
        <w:rPr>
          <w:rFonts w:eastAsia="Times New Roman"/>
          <w:sz w:val="22"/>
          <w:szCs w:val="22"/>
        </w:rPr>
      </w:pPr>
      <w:r w:rsidRPr="00662392">
        <w:rPr>
          <w:rFonts w:eastAsia="Times New Roman"/>
          <w:sz w:val="22"/>
          <w:szCs w:val="22"/>
        </w:rPr>
        <w:t xml:space="preserve">If the licensee or cask </w:t>
      </w:r>
      <w:proofErr w:type="spellStart"/>
      <w:r w:rsidRPr="00662392">
        <w:rPr>
          <w:rFonts w:eastAsia="Times New Roman"/>
          <w:sz w:val="22"/>
          <w:szCs w:val="22"/>
        </w:rPr>
        <w:t>CoC</w:t>
      </w:r>
      <w:proofErr w:type="spellEnd"/>
      <w:r w:rsidRPr="00662392">
        <w:rPr>
          <w:rFonts w:eastAsia="Times New Roman"/>
          <w:sz w:val="22"/>
          <w:szCs w:val="22"/>
        </w:rPr>
        <w:t xml:space="preserve"> holder</w:t>
      </w:r>
      <w:r w:rsidR="007835E9" w:rsidRPr="00662392">
        <w:rPr>
          <w:rFonts w:eastAsia="Times New Roman"/>
          <w:sz w:val="22"/>
          <w:szCs w:val="22"/>
        </w:rPr>
        <w:t xml:space="preserve"> implements a corrective action that (1) accepts the non-conforming or degraded condition “as-is,” thereby accepting a condition outside the as-designed condition, or (2) implements a corrective action that changes the ISFSI, the cask design, or the procedures, then 10 CFR 72.48 will be applicable to the corrective action.</w:t>
      </w:r>
      <w:r w:rsidR="000650F5" w:rsidRPr="00662392">
        <w:rPr>
          <w:rFonts w:eastAsia="Times New Roman"/>
          <w:sz w:val="22"/>
          <w:szCs w:val="22"/>
        </w:rPr>
        <w:t xml:space="preserve">  </w:t>
      </w:r>
      <w:r w:rsidRPr="00662392">
        <w:rPr>
          <w:rFonts w:eastAsia="Times New Roman"/>
          <w:sz w:val="22"/>
          <w:szCs w:val="22"/>
        </w:rPr>
        <w:t xml:space="preserve">In these </w:t>
      </w:r>
      <w:r w:rsidR="00BE466E" w:rsidRPr="00662392">
        <w:rPr>
          <w:rFonts w:eastAsia="Times New Roman"/>
          <w:sz w:val="22"/>
          <w:szCs w:val="22"/>
        </w:rPr>
        <w:t>situations</w:t>
      </w:r>
      <w:r w:rsidRPr="00662392">
        <w:rPr>
          <w:rFonts w:eastAsia="Times New Roman"/>
          <w:sz w:val="22"/>
          <w:szCs w:val="22"/>
        </w:rPr>
        <w:t xml:space="preserve">, the final corrective action </w:t>
      </w:r>
      <w:r w:rsidR="00F30F1E" w:rsidRPr="00662392">
        <w:rPr>
          <w:rFonts w:eastAsia="Times New Roman"/>
          <w:sz w:val="22"/>
          <w:szCs w:val="22"/>
        </w:rPr>
        <w:t xml:space="preserve">is </w:t>
      </w:r>
      <w:r w:rsidR="00306F4E" w:rsidRPr="00662392">
        <w:rPr>
          <w:rFonts w:eastAsia="Times New Roman"/>
          <w:sz w:val="22"/>
          <w:szCs w:val="22"/>
        </w:rPr>
        <w:t xml:space="preserve">a </w:t>
      </w:r>
      <w:r w:rsidR="000650F5" w:rsidRPr="00662392">
        <w:rPr>
          <w:rFonts w:eastAsia="Times New Roman"/>
          <w:sz w:val="22"/>
          <w:szCs w:val="22"/>
        </w:rPr>
        <w:t>CTE</w:t>
      </w:r>
      <w:r w:rsidRPr="00662392">
        <w:rPr>
          <w:rFonts w:eastAsia="Times New Roman"/>
          <w:sz w:val="22"/>
          <w:szCs w:val="22"/>
        </w:rPr>
        <w:t xml:space="preserve"> subject to 10 CFR 72.48.</w:t>
      </w:r>
    </w:p>
    <w:p w14:paraId="4357326C" w14:textId="77777777" w:rsidR="001F5146" w:rsidRPr="00662392" w:rsidRDefault="001F5146" w:rsidP="00194415">
      <w:pPr>
        <w:rPr>
          <w:sz w:val="22"/>
          <w:szCs w:val="22"/>
        </w:rPr>
      </w:pPr>
    </w:p>
    <w:p w14:paraId="20A77AA9" w14:textId="47B48669" w:rsidR="001F5146" w:rsidRPr="00662392" w:rsidRDefault="001F5146" w:rsidP="00194415">
      <w:pPr>
        <w:rPr>
          <w:sz w:val="22"/>
          <w:szCs w:val="22"/>
        </w:rPr>
      </w:pPr>
      <w:r w:rsidRPr="00662392">
        <w:rPr>
          <w:sz w:val="22"/>
          <w:szCs w:val="22"/>
        </w:rPr>
        <w:t>07.2</w:t>
      </w:r>
      <w:r w:rsidR="00D03D06" w:rsidRPr="00662392">
        <w:rPr>
          <w:sz w:val="22"/>
          <w:szCs w:val="22"/>
        </w:rPr>
        <w:t>2</w:t>
      </w:r>
      <w:r w:rsidRPr="00662392">
        <w:rPr>
          <w:sz w:val="22"/>
          <w:szCs w:val="22"/>
        </w:rPr>
        <w:tab/>
      </w:r>
      <w:r w:rsidR="00CA7D3C" w:rsidRPr="00662392">
        <w:rPr>
          <w:sz w:val="22"/>
          <w:szCs w:val="22"/>
          <w:u w:val="single"/>
        </w:rPr>
        <w:t>Documentation and Reporting</w:t>
      </w:r>
      <w:r w:rsidR="00CA7D3C" w:rsidRPr="00662392">
        <w:rPr>
          <w:sz w:val="22"/>
          <w:szCs w:val="22"/>
          <w:u w:val="single"/>
        </w:rPr>
        <w:fldChar w:fldCharType="begin"/>
      </w:r>
      <w:r w:rsidR="00CA7D3C" w:rsidRPr="00662392">
        <w:rPr>
          <w:sz w:val="22"/>
          <w:szCs w:val="22"/>
        </w:rPr>
        <w:instrText xml:space="preserve"> TC "</w:instrText>
      </w:r>
      <w:bookmarkStart w:id="160" w:name="_Toc62642937"/>
      <w:bookmarkStart w:id="161" w:name="_Toc63142121"/>
      <w:r w:rsidR="00CA7D3C" w:rsidRPr="00662392">
        <w:rPr>
          <w:sz w:val="22"/>
          <w:szCs w:val="22"/>
        </w:rPr>
        <w:instrText>07.22</w:instrText>
      </w:r>
      <w:r w:rsidR="00CA7D3C" w:rsidRPr="00662392">
        <w:rPr>
          <w:sz w:val="22"/>
          <w:szCs w:val="22"/>
        </w:rPr>
        <w:tab/>
      </w:r>
      <w:r w:rsidR="00CA7D3C" w:rsidRPr="00662392">
        <w:rPr>
          <w:sz w:val="22"/>
          <w:szCs w:val="22"/>
          <w:u w:val="single"/>
        </w:rPr>
        <w:instrText>Documentation and Reporting</w:instrText>
      </w:r>
      <w:bookmarkEnd w:id="160"/>
      <w:bookmarkEnd w:id="161"/>
      <w:r w:rsidR="00CA7D3C" w:rsidRPr="00662392">
        <w:rPr>
          <w:sz w:val="22"/>
          <w:szCs w:val="22"/>
        </w:rPr>
        <w:instrText xml:space="preserve">" \f C \l "2" </w:instrText>
      </w:r>
      <w:r w:rsidR="00CA7D3C" w:rsidRPr="00662392">
        <w:rPr>
          <w:sz w:val="22"/>
          <w:szCs w:val="22"/>
          <w:u w:val="single"/>
        </w:rPr>
        <w:fldChar w:fldCharType="end"/>
      </w:r>
    </w:p>
    <w:p w14:paraId="54197471" w14:textId="77777777" w:rsidR="001F5146" w:rsidRPr="00662392" w:rsidRDefault="001F5146" w:rsidP="00194415">
      <w:pPr>
        <w:rPr>
          <w:sz w:val="22"/>
          <w:szCs w:val="22"/>
        </w:rPr>
      </w:pPr>
    </w:p>
    <w:p w14:paraId="2348BE06" w14:textId="77777777" w:rsidR="00C1473C" w:rsidRDefault="00BA3E1D" w:rsidP="00194415">
      <w:pPr>
        <w:rPr>
          <w:sz w:val="22"/>
          <w:szCs w:val="22"/>
        </w:rPr>
        <w:sectPr w:rsidR="00C1473C" w:rsidSect="00012998">
          <w:footerReference w:type="default" r:id="rId60"/>
          <w:pgSz w:w="12240" w:h="15840" w:code="1"/>
          <w:pgMar w:top="1440" w:right="1440" w:bottom="1440" w:left="1440" w:header="720" w:footer="720" w:gutter="0"/>
          <w:cols w:space="720"/>
          <w:noEndnote/>
          <w:docGrid w:linePitch="326"/>
        </w:sectPr>
      </w:pPr>
      <w:r w:rsidRPr="00662392">
        <w:rPr>
          <w:sz w:val="22"/>
          <w:szCs w:val="22"/>
        </w:rPr>
        <w:t>I</w:t>
      </w:r>
      <w:r w:rsidR="001F5146" w:rsidRPr="00662392">
        <w:rPr>
          <w:sz w:val="22"/>
          <w:szCs w:val="22"/>
        </w:rPr>
        <w:t xml:space="preserve">nspectors should </w:t>
      </w:r>
      <w:r w:rsidRPr="00662392">
        <w:rPr>
          <w:sz w:val="22"/>
          <w:szCs w:val="22"/>
        </w:rPr>
        <w:t>recognize</w:t>
      </w:r>
      <w:r w:rsidR="001F5146" w:rsidRPr="00662392">
        <w:rPr>
          <w:sz w:val="22"/>
          <w:szCs w:val="22"/>
        </w:rPr>
        <w:t xml:space="preserve"> that the documentation and reporting requirements of 10 CFR 72.48(d) apply to activities that require an evaluation </w:t>
      </w:r>
      <w:r w:rsidR="00917E78" w:rsidRPr="00662392">
        <w:rPr>
          <w:sz w:val="22"/>
          <w:szCs w:val="22"/>
        </w:rPr>
        <w:t>under the</w:t>
      </w:r>
      <w:r w:rsidR="001F5146" w:rsidRPr="00662392">
        <w:rPr>
          <w:sz w:val="22"/>
          <w:szCs w:val="22"/>
        </w:rPr>
        <w:t xml:space="preserve"> criteria of 10 CFR 72.48(c) and </w:t>
      </w:r>
      <w:r w:rsidR="00917E78" w:rsidRPr="00662392">
        <w:rPr>
          <w:sz w:val="22"/>
          <w:szCs w:val="22"/>
        </w:rPr>
        <w:t xml:space="preserve">are </w:t>
      </w:r>
      <w:r w:rsidR="001F5146" w:rsidRPr="00662392">
        <w:rPr>
          <w:sz w:val="22"/>
          <w:szCs w:val="22"/>
        </w:rPr>
        <w:t xml:space="preserve">determined to not require prior NRC review and approval.  The documentation and reporting regulations in </w:t>
      </w:r>
      <w:bookmarkStart w:id="162" w:name="_Hlk56489819"/>
      <w:r w:rsidR="001F5146" w:rsidRPr="00662392">
        <w:rPr>
          <w:sz w:val="22"/>
          <w:szCs w:val="22"/>
        </w:rPr>
        <w:t xml:space="preserve">10 CFR 72.48 </w:t>
      </w:r>
      <w:bookmarkEnd w:id="162"/>
      <w:r w:rsidR="001F5146" w:rsidRPr="00662392">
        <w:rPr>
          <w:sz w:val="22"/>
          <w:szCs w:val="22"/>
        </w:rPr>
        <w:t xml:space="preserve">do not apply to the licensee’s and </w:t>
      </w:r>
      <w:proofErr w:type="spellStart"/>
      <w:r w:rsidR="001F5146" w:rsidRPr="00662392">
        <w:rPr>
          <w:sz w:val="22"/>
          <w:szCs w:val="22"/>
        </w:rPr>
        <w:t>CoC</w:t>
      </w:r>
      <w:proofErr w:type="spellEnd"/>
      <w:r w:rsidR="001F5146" w:rsidRPr="00662392">
        <w:rPr>
          <w:sz w:val="22"/>
          <w:szCs w:val="22"/>
        </w:rPr>
        <w:t xml:space="preserve"> holder’s screening process as discussed in </w:t>
      </w:r>
      <w:r w:rsidRPr="00662392">
        <w:rPr>
          <w:sz w:val="22"/>
          <w:szCs w:val="22"/>
        </w:rPr>
        <w:t>S</w:t>
      </w:r>
      <w:r w:rsidR="001F5146" w:rsidRPr="00662392">
        <w:rPr>
          <w:sz w:val="22"/>
          <w:szCs w:val="22"/>
        </w:rPr>
        <w:t xml:space="preserve">ection 07.08 of this IMC. </w:t>
      </w:r>
      <w:r w:rsidR="009A3DE7" w:rsidRPr="00662392">
        <w:rPr>
          <w:sz w:val="22"/>
          <w:szCs w:val="22"/>
        </w:rPr>
        <w:t xml:space="preserve"> </w:t>
      </w:r>
      <w:bookmarkStart w:id="163" w:name="_Hlk56678997"/>
      <w:r w:rsidR="00984CD6" w:rsidRPr="00662392">
        <w:rPr>
          <w:sz w:val="22"/>
          <w:szCs w:val="22"/>
        </w:rPr>
        <w:t>G</w:t>
      </w:r>
      <w:r w:rsidR="007708DC" w:rsidRPr="00662392">
        <w:rPr>
          <w:sz w:val="22"/>
          <w:szCs w:val="22"/>
        </w:rPr>
        <w:t xml:space="preserve">enerally, the licensee’s and </w:t>
      </w:r>
      <w:proofErr w:type="spellStart"/>
      <w:r w:rsidR="007708DC" w:rsidRPr="00662392">
        <w:rPr>
          <w:sz w:val="22"/>
          <w:szCs w:val="22"/>
        </w:rPr>
        <w:t>CoC</w:t>
      </w:r>
      <w:proofErr w:type="spellEnd"/>
      <w:r w:rsidR="007708DC" w:rsidRPr="00662392">
        <w:rPr>
          <w:sz w:val="22"/>
          <w:szCs w:val="22"/>
        </w:rPr>
        <w:t xml:space="preserve"> holder’s screening determinations </w:t>
      </w:r>
      <w:r w:rsidR="00194720" w:rsidRPr="00662392">
        <w:rPr>
          <w:sz w:val="22"/>
          <w:szCs w:val="22"/>
        </w:rPr>
        <w:t xml:space="preserve">for </w:t>
      </w:r>
      <w:r w:rsidR="007708DC" w:rsidRPr="00662392">
        <w:rPr>
          <w:sz w:val="22"/>
          <w:szCs w:val="22"/>
        </w:rPr>
        <w:t>10 CFR 72.48 are available as quality assurance records</w:t>
      </w:r>
      <w:r w:rsidR="001F5146" w:rsidRPr="00662392">
        <w:rPr>
          <w:sz w:val="22"/>
          <w:szCs w:val="22"/>
        </w:rPr>
        <w:t>.</w:t>
      </w:r>
      <w:bookmarkEnd w:id="163"/>
    </w:p>
    <w:p w14:paraId="2487E3F4" w14:textId="77777777" w:rsidR="00434004" w:rsidRPr="00662392" w:rsidRDefault="00434004" w:rsidP="00194415">
      <w:pPr>
        <w:rPr>
          <w:sz w:val="22"/>
          <w:szCs w:val="22"/>
        </w:rPr>
      </w:pPr>
    </w:p>
    <w:p w14:paraId="0C3961A1" w14:textId="657BFE2A" w:rsidR="0051434E" w:rsidRPr="00662392" w:rsidRDefault="00E6645F" w:rsidP="00194415">
      <w:pPr>
        <w:rPr>
          <w:sz w:val="22"/>
          <w:szCs w:val="22"/>
        </w:rPr>
      </w:pPr>
      <w:r w:rsidRPr="00662392">
        <w:rPr>
          <w:sz w:val="22"/>
          <w:szCs w:val="22"/>
        </w:rPr>
        <w:t>03</w:t>
      </w:r>
      <w:r w:rsidR="0095399B" w:rsidRPr="00662392">
        <w:rPr>
          <w:sz w:val="22"/>
          <w:szCs w:val="22"/>
        </w:rPr>
        <w:t>3</w:t>
      </w:r>
      <w:r w:rsidRPr="00662392">
        <w:rPr>
          <w:sz w:val="22"/>
          <w:szCs w:val="22"/>
        </w:rPr>
        <w:t>5</w:t>
      </w:r>
      <w:r w:rsidR="00E3139D" w:rsidRPr="00662392">
        <w:rPr>
          <w:sz w:val="22"/>
          <w:szCs w:val="22"/>
        </w:rPr>
        <w:t>-08</w:t>
      </w:r>
      <w:r w:rsidR="00756358" w:rsidRPr="00662392">
        <w:rPr>
          <w:sz w:val="22"/>
          <w:szCs w:val="22"/>
        </w:rPr>
        <w:tab/>
      </w:r>
      <w:r w:rsidR="0051434E" w:rsidRPr="00662392">
        <w:rPr>
          <w:sz w:val="22"/>
          <w:szCs w:val="22"/>
        </w:rPr>
        <w:t>I</w:t>
      </w:r>
      <w:r w:rsidR="00756358" w:rsidRPr="00662392">
        <w:rPr>
          <w:sz w:val="22"/>
          <w:szCs w:val="22"/>
        </w:rPr>
        <w:t>SSUE</w:t>
      </w:r>
      <w:r w:rsidR="0051434E" w:rsidRPr="00662392">
        <w:rPr>
          <w:sz w:val="22"/>
          <w:szCs w:val="22"/>
        </w:rPr>
        <w:t xml:space="preserve"> R</w:t>
      </w:r>
      <w:r w:rsidR="00756358" w:rsidRPr="00662392">
        <w:rPr>
          <w:sz w:val="22"/>
          <w:szCs w:val="22"/>
        </w:rPr>
        <w:t>ESOLUTION</w:t>
      </w:r>
      <w:r w:rsidR="0051434E" w:rsidRPr="00662392">
        <w:rPr>
          <w:sz w:val="22"/>
          <w:szCs w:val="22"/>
        </w:rPr>
        <w:t xml:space="preserve"> </w:t>
      </w:r>
      <w:r w:rsidR="00756358" w:rsidRPr="00662392">
        <w:rPr>
          <w:sz w:val="22"/>
          <w:szCs w:val="22"/>
        </w:rPr>
        <w:t>AND</w:t>
      </w:r>
      <w:r w:rsidR="0051434E" w:rsidRPr="00662392">
        <w:rPr>
          <w:sz w:val="22"/>
          <w:szCs w:val="22"/>
        </w:rPr>
        <w:t xml:space="preserve"> I</w:t>
      </w:r>
      <w:r w:rsidR="00756358" w:rsidRPr="00662392">
        <w:rPr>
          <w:sz w:val="22"/>
          <w:szCs w:val="22"/>
        </w:rPr>
        <w:t>NTERNAL</w:t>
      </w:r>
      <w:r w:rsidR="0051434E" w:rsidRPr="00662392">
        <w:rPr>
          <w:sz w:val="22"/>
          <w:szCs w:val="22"/>
        </w:rPr>
        <w:t xml:space="preserve"> A</w:t>
      </w:r>
      <w:r w:rsidR="00756358" w:rsidRPr="00662392">
        <w:rPr>
          <w:sz w:val="22"/>
          <w:szCs w:val="22"/>
        </w:rPr>
        <w:t>LIGNMENT</w:t>
      </w:r>
      <w:r w:rsidR="00D9609E" w:rsidRPr="00662392">
        <w:rPr>
          <w:sz w:val="22"/>
          <w:szCs w:val="22"/>
        </w:rPr>
        <w:fldChar w:fldCharType="begin"/>
      </w:r>
      <w:r w:rsidR="00D9609E" w:rsidRPr="00662392">
        <w:rPr>
          <w:sz w:val="22"/>
          <w:szCs w:val="22"/>
        </w:rPr>
        <w:instrText xml:space="preserve"> TC "</w:instrText>
      </w:r>
      <w:bookmarkStart w:id="164" w:name="_Toc62642938"/>
      <w:bookmarkStart w:id="165" w:name="_Toc63142122"/>
      <w:r w:rsidR="00D9609E" w:rsidRPr="00662392">
        <w:rPr>
          <w:sz w:val="22"/>
          <w:szCs w:val="22"/>
        </w:rPr>
        <w:instrText>0335-08</w:instrText>
      </w:r>
      <w:r w:rsidR="00D9609E" w:rsidRPr="00662392">
        <w:rPr>
          <w:sz w:val="22"/>
          <w:szCs w:val="22"/>
        </w:rPr>
        <w:tab/>
        <w:instrText>ISSUE RESOLUTION AND INTERNAL ALIGNMENT</w:instrText>
      </w:r>
      <w:bookmarkEnd w:id="164"/>
      <w:bookmarkEnd w:id="165"/>
      <w:r w:rsidR="00D9609E" w:rsidRPr="00662392">
        <w:rPr>
          <w:sz w:val="22"/>
          <w:szCs w:val="22"/>
        </w:rPr>
        <w:instrText xml:space="preserve">" \f C \l "1" </w:instrText>
      </w:r>
      <w:r w:rsidR="00D9609E" w:rsidRPr="00662392">
        <w:rPr>
          <w:sz w:val="22"/>
          <w:szCs w:val="22"/>
        </w:rPr>
        <w:fldChar w:fldCharType="end"/>
      </w:r>
      <w:r w:rsidR="0051434E" w:rsidRPr="00662392">
        <w:rPr>
          <w:sz w:val="22"/>
          <w:szCs w:val="22"/>
        </w:rPr>
        <w:t xml:space="preserve"> </w:t>
      </w:r>
    </w:p>
    <w:p w14:paraId="10632593" w14:textId="77777777" w:rsidR="0051434E" w:rsidRPr="00662392" w:rsidRDefault="0051434E" w:rsidP="00194415">
      <w:pPr>
        <w:pStyle w:val="Default"/>
        <w:rPr>
          <w:sz w:val="22"/>
          <w:szCs w:val="22"/>
        </w:rPr>
      </w:pPr>
    </w:p>
    <w:p w14:paraId="46A538D5" w14:textId="43A78D6C" w:rsidR="0051434E" w:rsidRPr="00662392" w:rsidRDefault="0051434E" w:rsidP="00194415">
      <w:pPr>
        <w:pStyle w:val="Default"/>
        <w:rPr>
          <w:sz w:val="22"/>
          <w:szCs w:val="22"/>
        </w:rPr>
      </w:pPr>
      <w:r w:rsidRPr="00662392">
        <w:rPr>
          <w:sz w:val="22"/>
          <w:szCs w:val="22"/>
        </w:rPr>
        <w:t xml:space="preserve">If </w:t>
      </w:r>
      <w:r w:rsidR="00CD181D" w:rsidRPr="00662392">
        <w:rPr>
          <w:sz w:val="22"/>
          <w:szCs w:val="22"/>
        </w:rPr>
        <w:t>an</w:t>
      </w:r>
      <w:r w:rsidRPr="00662392">
        <w:rPr>
          <w:sz w:val="22"/>
          <w:szCs w:val="22"/>
        </w:rPr>
        <w:t xml:space="preserve"> inspector disagrees with a licensee’s </w:t>
      </w:r>
      <w:r w:rsidR="00984CD6" w:rsidRPr="00662392">
        <w:rPr>
          <w:sz w:val="22"/>
          <w:szCs w:val="22"/>
        </w:rPr>
        <w:t xml:space="preserve">conclusion and results </w:t>
      </w:r>
      <w:r w:rsidR="005A6662" w:rsidRPr="00662392">
        <w:rPr>
          <w:sz w:val="22"/>
          <w:szCs w:val="22"/>
        </w:rPr>
        <w:t xml:space="preserve">made in a </w:t>
      </w:r>
      <w:r w:rsidRPr="00662392">
        <w:rPr>
          <w:sz w:val="22"/>
          <w:szCs w:val="22"/>
        </w:rPr>
        <w:t xml:space="preserve">10 CFR 50.59 or 10 CFR 72.48 evaluation, the inspector should work </w:t>
      </w:r>
      <w:r w:rsidR="005A6662" w:rsidRPr="00662392">
        <w:rPr>
          <w:sz w:val="22"/>
          <w:szCs w:val="22"/>
        </w:rPr>
        <w:t xml:space="preserve">with </w:t>
      </w:r>
      <w:r w:rsidRPr="00662392">
        <w:rPr>
          <w:sz w:val="22"/>
          <w:szCs w:val="22"/>
        </w:rPr>
        <w:t>the licensee’s management to resolve the issue expeditiously</w:t>
      </w:r>
      <w:r w:rsidR="005A6662" w:rsidRPr="00662392">
        <w:rPr>
          <w:sz w:val="22"/>
          <w:szCs w:val="22"/>
        </w:rPr>
        <w:t>.</w:t>
      </w:r>
      <w:r w:rsidRPr="00662392">
        <w:rPr>
          <w:sz w:val="22"/>
          <w:szCs w:val="22"/>
        </w:rPr>
        <w:t xml:space="preserve">  A good practice is to make sure that licensee management is aware of potential 10 CFR 50.59 or 10 CFR 72.48 issues while the inspector is still evaluating the issue. Once the inspector conclude</w:t>
      </w:r>
      <w:r w:rsidR="005A6662" w:rsidRPr="00662392">
        <w:rPr>
          <w:sz w:val="22"/>
          <w:szCs w:val="22"/>
        </w:rPr>
        <w:t>s</w:t>
      </w:r>
      <w:r w:rsidRPr="00662392">
        <w:rPr>
          <w:sz w:val="22"/>
          <w:szCs w:val="22"/>
        </w:rPr>
        <w:t xml:space="preserve"> there is disagreement with the licensee, then the inspector should brief his/her NRC supervisor as soon as possible and work with NRC management to identify appropriate means to resolve the issue with the licensee. </w:t>
      </w:r>
    </w:p>
    <w:p w14:paraId="4B821610" w14:textId="77777777" w:rsidR="0051434E" w:rsidRPr="00662392" w:rsidRDefault="0051434E" w:rsidP="00194415">
      <w:pPr>
        <w:pStyle w:val="Default"/>
        <w:rPr>
          <w:sz w:val="22"/>
          <w:szCs w:val="22"/>
        </w:rPr>
      </w:pPr>
    </w:p>
    <w:p w14:paraId="58953B54" w14:textId="577581D0" w:rsidR="0051434E" w:rsidRPr="00662392" w:rsidRDefault="00842865" w:rsidP="00194415">
      <w:pPr>
        <w:rPr>
          <w:sz w:val="22"/>
          <w:szCs w:val="22"/>
        </w:rPr>
      </w:pPr>
      <w:r w:rsidRPr="00662392">
        <w:rPr>
          <w:sz w:val="22"/>
          <w:szCs w:val="22"/>
        </w:rPr>
        <w:t>I</w:t>
      </w:r>
      <w:r w:rsidR="004161FE" w:rsidRPr="00662392">
        <w:rPr>
          <w:sz w:val="22"/>
          <w:szCs w:val="22"/>
        </w:rPr>
        <w:t>nspectors may consult with NRR</w:t>
      </w:r>
      <w:r w:rsidR="00097B58" w:rsidRPr="00662392">
        <w:rPr>
          <w:sz w:val="22"/>
          <w:szCs w:val="22"/>
        </w:rPr>
        <w:t>/NMSS/DSS</w:t>
      </w:r>
      <w:r w:rsidR="004161FE" w:rsidRPr="00662392">
        <w:rPr>
          <w:sz w:val="22"/>
          <w:szCs w:val="22"/>
        </w:rPr>
        <w:t xml:space="preserve"> technical experts regarding a </w:t>
      </w:r>
      <w:proofErr w:type="gramStart"/>
      <w:r w:rsidR="004161FE" w:rsidRPr="00662392">
        <w:rPr>
          <w:sz w:val="22"/>
          <w:szCs w:val="22"/>
        </w:rPr>
        <w:t>plant-specific</w:t>
      </w:r>
      <w:proofErr w:type="gramEnd"/>
      <w:r w:rsidR="004161FE" w:rsidRPr="00662392">
        <w:rPr>
          <w:sz w:val="22"/>
          <w:szCs w:val="22"/>
        </w:rPr>
        <w:t xml:space="preserve"> CTE issue as part of the inspector’s review of the licensee’s </w:t>
      </w:r>
      <w:r w:rsidR="00CF5513" w:rsidRPr="00662392">
        <w:rPr>
          <w:sz w:val="22"/>
          <w:szCs w:val="22"/>
        </w:rPr>
        <w:t>10 CFR 50.59 or 10 CFR 72.48</w:t>
      </w:r>
      <w:r w:rsidR="004161FE" w:rsidRPr="00662392">
        <w:rPr>
          <w:sz w:val="22"/>
          <w:szCs w:val="22"/>
        </w:rPr>
        <w:t xml:space="preserve"> evalu</w:t>
      </w:r>
      <w:r w:rsidR="00CF5513" w:rsidRPr="00662392">
        <w:rPr>
          <w:sz w:val="22"/>
          <w:szCs w:val="22"/>
        </w:rPr>
        <w:t>a</w:t>
      </w:r>
      <w:r w:rsidR="004161FE" w:rsidRPr="00662392">
        <w:rPr>
          <w:sz w:val="22"/>
          <w:szCs w:val="22"/>
        </w:rPr>
        <w:t xml:space="preserve">tion.  </w:t>
      </w:r>
      <w:r w:rsidR="00EE6051" w:rsidRPr="00662392">
        <w:rPr>
          <w:sz w:val="22"/>
          <w:szCs w:val="22"/>
        </w:rPr>
        <w:t xml:space="preserve">This consultation may be informal (phone, email, etc.) or may be formalized using; COM-106 “Technical Assistance Request (TAR) Process,” for reactors or NMSS Policy and Procedure 7-05 “Procedures </w:t>
      </w:r>
      <w:r w:rsidR="009B6D57">
        <w:rPr>
          <w:sz w:val="22"/>
          <w:szCs w:val="22"/>
        </w:rPr>
        <w:t>f</w:t>
      </w:r>
      <w:r w:rsidR="00EE6051" w:rsidRPr="00662392">
        <w:rPr>
          <w:sz w:val="22"/>
          <w:szCs w:val="22"/>
        </w:rPr>
        <w:t>or Processing of Technical Assistance Requests,” for materials.</w:t>
      </w:r>
      <w:r w:rsidR="00C232DC" w:rsidRPr="00C42A5C">
        <w:rPr>
          <w:sz w:val="22"/>
          <w:szCs w:val="22"/>
        </w:rPr>
        <w:t xml:space="preserve">  </w:t>
      </w:r>
      <w:r w:rsidR="0051434E" w:rsidRPr="00662392">
        <w:rPr>
          <w:sz w:val="22"/>
          <w:szCs w:val="22"/>
        </w:rPr>
        <w:t>In cases where there is a disagreement between the NRR</w:t>
      </w:r>
      <w:r w:rsidR="0000282B" w:rsidRPr="00662392">
        <w:rPr>
          <w:sz w:val="22"/>
          <w:szCs w:val="22"/>
        </w:rPr>
        <w:t>/NMSS/DSS</w:t>
      </w:r>
      <w:r w:rsidR="0051434E" w:rsidRPr="00662392">
        <w:rPr>
          <w:sz w:val="22"/>
          <w:szCs w:val="22"/>
        </w:rPr>
        <w:t xml:space="preserve"> and the regional office staff regarding the 10 CFR 50.59 or 10 CFR 72.48 evaluation conclusion, the deciding authority shall be the appropriate Regional Administrator, or his/her delegate. </w:t>
      </w:r>
      <w:r w:rsidR="001B02C0">
        <w:rPr>
          <w:sz w:val="22"/>
          <w:szCs w:val="22"/>
        </w:rPr>
        <w:t xml:space="preserve"> </w:t>
      </w:r>
      <w:r w:rsidR="0051434E" w:rsidRPr="00662392">
        <w:rPr>
          <w:sz w:val="22"/>
          <w:szCs w:val="22"/>
        </w:rPr>
        <w:t xml:space="preserve">Regarding the deciding authority, inspectors may utilize Management Directive (MD) 9.29, “Organization and Functions, Regional Office” and MD 9.27, “Organization and Functions, Office of Nuclear Reactor Regulation.” </w:t>
      </w:r>
    </w:p>
    <w:p w14:paraId="7011E559" w14:textId="0F554413" w:rsidR="0051434E" w:rsidRPr="00662392" w:rsidRDefault="0051434E" w:rsidP="00194415">
      <w:pPr>
        <w:pStyle w:val="Default"/>
        <w:rPr>
          <w:sz w:val="22"/>
          <w:szCs w:val="22"/>
        </w:rPr>
      </w:pPr>
    </w:p>
    <w:p w14:paraId="220F7516" w14:textId="77777777" w:rsidR="000E0ACD" w:rsidRDefault="0051434E" w:rsidP="00194415">
      <w:pPr>
        <w:pStyle w:val="Default"/>
        <w:rPr>
          <w:sz w:val="22"/>
          <w:szCs w:val="22"/>
        </w:rPr>
      </w:pPr>
      <w:r w:rsidRPr="00662392">
        <w:rPr>
          <w:sz w:val="22"/>
          <w:szCs w:val="22"/>
        </w:rPr>
        <w:t xml:space="preserve">If the inspector believes the issue may impact other facilities, then the inspector should contact the appropriate NRR </w:t>
      </w:r>
      <w:r w:rsidR="00A15CB7" w:rsidRPr="00662392">
        <w:rPr>
          <w:sz w:val="22"/>
          <w:szCs w:val="22"/>
        </w:rPr>
        <w:t xml:space="preserve">and NMSS </w:t>
      </w:r>
      <w:r w:rsidRPr="00662392">
        <w:rPr>
          <w:sz w:val="22"/>
          <w:szCs w:val="22"/>
        </w:rPr>
        <w:t xml:space="preserve">technical staff through their </w:t>
      </w:r>
      <w:r w:rsidR="000505BC" w:rsidRPr="00662392">
        <w:rPr>
          <w:sz w:val="22"/>
          <w:szCs w:val="22"/>
        </w:rPr>
        <w:t>Division of Operating Reactor Licen</w:t>
      </w:r>
      <w:r w:rsidR="007E60BB" w:rsidRPr="00662392">
        <w:rPr>
          <w:sz w:val="22"/>
          <w:szCs w:val="22"/>
        </w:rPr>
        <w:t>s</w:t>
      </w:r>
      <w:r w:rsidR="000505BC" w:rsidRPr="00662392">
        <w:rPr>
          <w:sz w:val="22"/>
          <w:szCs w:val="22"/>
        </w:rPr>
        <w:t>ing (</w:t>
      </w:r>
      <w:r w:rsidRPr="00662392">
        <w:rPr>
          <w:sz w:val="22"/>
          <w:szCs w:val="22"/>
        </w:rPr>
        <w:t>DORL</w:t>
      </w:r>
      <w:r w:rsidR="000505BC" w:rsidRPr="00662392">
        <w:rPr>
          <w:sz w:val="22"/>
          <w:szCs w:val="22"/>
        </w:rPr>
        <w:t>)</w:t>
      </w:r>
      <w:r w:rsidRPr="00662392">
        <w:rPr>
          <w:sz w:val="22"/>
          <w:szCs w:val="22"/>
        </w:rPr>
        <w:t xml:space="preserve"> Project Manager </w:t>
      </w:r>
      <w:r w:rsidR="00301D1F" w:rsidRPr="00662392">
        <w:rPr>
          <w:sz w:val="22"/>
          <w:szCs w:val="22"/>
        </w:rPr>
        <w:t xml:space="preserve">and </w:t>
      </w:r>
      <w:r w:rsidR="00EF38C0" w:rsidRPr="00662392">
        <w:rPr>
          <w:sz w:val="22"/>
          <w:szCs w:val="22"/>
        </w:rPr>
        <w:t xml:space="preserve">NMSS </w:t>
      </w:r>
      <w:r w:rsidR="00535ECD" w:rsidRPr="00662392">
        <w:rPr>
          <w:sz w:val="22"/>
          <w:szCs w:val="22"/>
        </w:rPr>
        <w:t>g</w:t>
      </w:r>
      <w:r w:rsidR="00301D1F" w:rsidRPr="00662392">
        <w:rPr>
          <w:sz w:val="22"/>
          <w:szCs w:val="22"/>
        </w:rPr>
        <w:t xml:space="preserve">eneric </w:t>
      </w:r>
      <w:r w:rsidR="00EF38C0" w:rsidRPr="00662392">
        <w:rPr>
          <w:sz w:val="22"/>
          <w:szCs w:val="22"/>
        </w:rPr>
        <w:t>communication coordinator</w:t>
      </w:r>
      <w:r w:rsidR="00301D1F" w:rsidRPr="00662392">
        <w:rPr>
          <w:sz w:val="22"/>
          <w:szCs w:val="22"/>
        </w:rPr>
        <w:t xml:space="preserve"> </w:t>
      </w:r>
      <w:r w:rsidRPr="00662392">
        <w:rPr>
          <w:sz w:val="22"/>
          <w:szCs w:val="22"/>
        </w:rPr>
        <w:t xml:space="preserve">for evaluation as to the generic applicability of the issue. </w:t>
      </w:r>
      <w:r w:rsidR="001B02C0">
        <w:rPr>
          <w:sz w:val="22"/>
          <w:szCs w:val="22"/>
        </w:rPr>
        <w:t xml:space="preserve"> </w:t>
      </w:r>
      <w:r w:rsidRPr="00662392">
        <w:rPr>
          <w:sz w:val="22"/>
          <w:szCs w:val="22"/>
        </w:rPr>
        <w:t xml:space="preserve">If the Region and/or NRR determines the issue is generic, then NRR should take the lead in developing a plan for addressing the issue through NRR’s generic issue process. </w:t>
      </w:r>
      <w:r w:rsidR="001B02C0">
        <w:rPr>
          <w:sz w:val="22"/>
          <w:szCs w:val="22"/>
        </w:rPr>
        <w:t xml:space="preserve"> </w:t>
      </w:r>
      <w:r w:rsidR="007E75E6" w:rsidRPr="00662392">
        <w:rPr>
          <w:sz w:val="22"/>
          <w:szCs w:val="22"/>
        </w:rPr>
        <w:t xml:space="preserve">NMSS </w:t>
      </w:r>
      <w:r w:rsidR="005224E2" w:rsidRPr="00662392">
        <w:rPr>
          <w:sz w:val="22"/>
          <w:szCs w:val="22"/>
        </w:rPr>
        <w:t>should follow</w:t>
      </w:r>
      <w:r w:rsidR="00423105" w:rsidRPr="00662392">
        <w:rPr>
          <w:sz w:val="22"/>
          <w:szCs w:val="22"/>
        </w:rPr>
        <w:t xml:space="preserve"> NMSS P</w:t>
      </w:r>
      <w:r w:rsidR="002371F8" w:rsidRPr="00662392">
        <w:rPr>
          <w:sz w:val="22"/>
          <w:szCs w:val="22"/>
        </w:rPr>
        <w:t xml:space="preserve">olicy and Procedure </w:t>
      </w:r>
      <w:r w:rsidR="00D4149B" w:rsidRPr="00662392">
        <w:rPr>
          <w:sz w:val="22"/>
          <w:szCs w:val="22"/>
        </w:rPr>
        <w:t>2-06</w:t>
      </w:r>
      <w:r w:rsidR="003B2EE9" w:rsidRPr="00662392">
        <w:rPr>
          <w:sz w:val="22"/>
          <w:szCs w:val="22"/>
        </w:rPr>
        <w:t xml:space="preserve"> or </w:t>
      </w:r>
      <w:r w:rsidRPr="00662392">
        <w:rPr>
          <w:sz w:val="22"/>
          <w:szCs w:val="22"/>
        </w:rPr>
        <w:t>NRR may also implement the LIC-504</w:t>
      </w:r>
      <w:r w:rsidR="00D145FB" w:rsidRPr="00662392">
        <w:rPr>
          <w:sz w:val="22"/>
          <w:szCs w:val="22"/>
        </w:rPr>
        <w:t>, “Integrated Risk-Informed Decision-Making,”</w:t>
      </w:r>
      <w:r w:rsidRPr="00662392">
        <w:rPr>
          <w:sz w:val="22"/>
          <w:szCs w:val="22"/>
        </w:rPr>
        <w:t xml:space="preserve"> process which provides a risk-informed method for evaluating the safety significance of the issue and for deciding on the path forward for resolution. </w:t>
      </w:r>
      <w:r w:rsidR="001B02C0">
        <w:rPr>
          <w:sz w:val="22"/>
          <w:szCs w:val="22"/>
        </w:rPr>
        <w:t xml:space="preserve"> </w:t>
      </w:r>
      <w:r w:rsidRPr="00662392">
        <w:rPr>
          <w:sz w:val="22"/>
          <w:szCs w:val="22"/>
        </w:rPr>
        <w:t>As NRR proceeds through developing and implementing a plan for resolution, the regional offices should be kept informed of the issue status and progress through regular communication paths.</w:t>
      </w:r>
    </w:p>
    <w:p w14:paraId="47A1AFD6" w14:textId="77777777" w:rsidR="00C1473C" w:rsidRDefault="00C1473C" w:rsidP="00194415">
      <w:pPr>
        <w:pStyle w:val="Default"/>
        <w:rPr>
          <w:sz w:val="22"/>
          <w:szCs w:val="22"/>
        </w:rPr>
      </w:pPr>
    </w:p>
    <w:p w14:paraId="2E061527" w14:textId="77777777" w:rsidR="00434004" w:rsidRPr="00662392" w:rsidRDefault="00434004" w:rsidP="00194415">
      <w:pPr>
        <w:rPr>
          <w:sz w:val="22"/>
          <w:szCs w:val="22"/>
        </w:rPr>
      </w:pPr>
    </w:p>
    <w:p w14:paraId="27EB3FB3" w14:textId="25C1FA73" w:rsidR="00012998" w:rsidRPr="00662392" w:rsidRDefault="00D908D4" w:rsidP="00012998">
      <w:pPr>
        <w:rPr>
          <w:sz w:val="22"/>
          <w:szCs w:val="22"/>
        </w:rPr>
      </w:pPr>
      <w:r w:rsidRPr="00662392">
        <w:rPr>
          <w:sz w:val="22"/>
          <w:szCs w:val="22"/>
        </w:rPr>
        <w:t>0335</w:t>
      </w:r>
      <w:r w:rsidR="000B4E2E" w:rsidRPr="00662392">
        <w:rPr>
          <w:sz w:val="22"/>
          <w:szCs w:val="22"/>
        </w:rPr>
        <w:t>-0</w:t>
      </w:r>
      <w:r w:rsidR="00E3139D" w:rsidRPr="00662392">
        <w:rPr>
          <w:sz w:val="22"/>
          <w:szCs w:val="22"/>
        </w:rPr>
        <w:t>9</w:t>
      </w:r>
      <w:r w:rsidR="00FD5757" w:rsidRPr="00662392">
        <w:rPr>
          <w:sz w:val="22"/>
          <w:szCs w:val="22"/>
        </w:rPr>
        <w:t xml:space="preserve"> </w:t>
      </w:r>
      <w:r w:rsidR="00F9355D" w:rsidRPr="00662392">
        <w:rPr>
          <w:sz w:val="22"/>
          <w:szCs w:val="22"/>
        </w:rPr>
        <w:tab/>
      </w:r>
      <w:r w:rsidR="000B4E2E" w:rsidRPr="00662392">
        <w:rPr>
          <w:sz w:val="22"/>
          <w:szCs w:val="22"/>
        </w:rPr>
        <w:t>REFERENCES</w:t>
      </w:r>
    </w:p>
    <w:p w14:paraId="61F22554" w14:textId="77777777" w:rsidR="000B4E2E" w:rsidRPr="00662392" w:rsidRDefault="000B4E2E" w:rsidP="00194415">
      <w:pPr>
        <w:rPr>
          <w:sz w:val="22"/>
          <w:szCs w:val="22"/>
        </w:rPr>
      </w:pPr>
    </w:p>
    <w:p w14:paraId="0AEC6C42" w14:textId="77777777"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20</w:t>
      </w:r>
      <w:r w:rsidR="00FD1B2B" w:rsidRPr="00662392">
        <w:rPr>
          <w:rFonts w:ascii="Arial" w:hAnsi="Arial" w:cs="Arial"/>
          <w:sz w:val="22"/>
          <w:szCs w:val="22"/>
        </w:rPr>
        <w:t>, “Standards for protection against radiation”</w:t>
      </w:r>
    </w:p>
    <w:p w14:paraId="20670948" w14:textId="77777777" w:rsidR="00FD1B2B" w:rsidRPr="00662392" w:rsidRDefault="00FD1B2B" w:rsidP="00194415">
      <w:pPr>
        <w:pStyle w:val="ListParagraph"/>
        <w:numPr>
          <w:ilvl w:val="0"/>
          <w:numId w:val="1"/>
        </w:numPr>
        <w:rPr>
          <w:rFonts w:ascii="Arial" w:hAnsi="Arial" w:cs="Arial"/>
          <w:sz w:val="22"/>
          <w:szCs w:val="22"/>
        </w:rPr>
      </w:pPr>
      <w:r w:rsidRPr="00662392">
        <w:rPr>
          <w:rFonts w:ascii="Arial" w:hAnsi="Arial" w:cs="Arial"/>
          <w:sz w:val="22"/>
          <w:szCs w:val="22"/>
        </w:rPr>
        <w:t>10 CFR 50, Appendix B, “</w:t>
      </w:r>
      <w:r w:rsidRPr="00662392">
        <w:rPr>
          <w:rFonts w:ascii="Arial" w:hAnsi="Arial" w:cs="Arial"/>
          <w:sz w:val="22"/>
          <w:szCs w:val="22"/>
          <w:lang w:val="en"/>
        </w:rPr>
        <w:t>Quality Assurance Criteria for Nuclear Power Plants and Fuel Reprocessing Plants”</w:t>
      </w:r>
    </w:p>
    <w:p w14:paraId="2BDBE51A" w14:textId="3EECFF39"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50.2</w:t>
      </w:r>
      <w:r w:rsidR="00FD1B2B" w:rsidRPr="00662392">
        <w:rPr>
          <w:rFonts w:ascii="Arial" w:hAnsi="Arial" w:cs="Arial"/>
          <w:sz w:val="22"/>
          <w:szCs w:val="22"/>
        </w:rPr>
        <w:t>, “</w:t>
      </w:r>
      <w:r w:rsidR="00FD1B2B" w:rsidRPr="00662392">
        <w:rPr>
          <w:rFonts w:ascii="Arial" w:hAnsi="Arial" w:cs="Arial"/>
          <w:sz w:val="22"/>
          <w:szCs w:val="22"/>
          <w:lang w:val="en"/>
        </w:rPr>
        <w:t>Definitions”</w:t>
      </w:r>
    </w:p>
    <w:p w14:paraId="2507FF3B" w14:textId="19AE9ABC" w:rsidR="001E3097" w:rsidRPr="00662392" w:rsidRDefault="001E3097" w:rsidP="00194415">
      <w:pPr>
        <w:pStyle w:val="ListParagraph"/>
        <w:numPr>
          <w:ilvl w:val="0"/>
          <w:numId w:val="1"/>
        </w:numPr>
        <w:rPr>
          <w:rFonts w:ascii="Arial" w:hAnsi="Arial" w:cs="Arial"/>
          <w:sz w:val="22"/>
          <w:szCs w:val="22"/>
        </w:rPr>
      </w:pPr>
      <w:r w:rsidRPr="00662392">
        <w:rPr>
          <w:rFonts w:ascii="Arial" w:hAnsi="Arial" w:cs="Arial"/>
          <w:sz w:val="22"/>
          <w:szCs w:val="22"/>
          <w:lang w:val="en"/>
        </w:rPr>
        <w:t>10 CFR 50.12</w:t>
      </w:r>
      <w:r w:rsidR="00FF08BE" w:rsidRPr="00662392">
        <w:rPr>
          <w:rFonts w:ascii="Arial" w:hAnsi="Arial" w:cs="Arial"/>
          <w:sz w:val="22"/>
          <w:szCs w:val="22"/>
          <w:lang w:val="en"/>
        </w:rPr>
        <w:t>,</w:t>
      </w:r>
      <w:r w:rsidR="00FF08BE" w:rsidRPr="00662392">
        <w:rPr>
          <w:rFonts w:ascii="Arial" w:hAnsi="Arial" w:cs="Arial"/>
          <w:sz w:val="22"/>
          <w:szCs w:val="22"/>
        </w:rPr>
        <w:t xml:space="preserve"> “Specific </w:t>
      </w:r>
      <w:r w:rsidR="00EE71B7" w:rsidRPr="00662392">
        <w:rPr>
          <w:rFonts w:ascii="Arial" w:hAnsi="Arial" w:cs="Arial"/>
          <w:sz w:val="22"/>
          <w:szCs w:val="22"/>
        </w:rPr>
        <w:t>e</w:t>
      </w:r>
      <w:r w:rsidR="00FF08BE" w:rsidRPr="00662392">
        <w:rPr>
          <w:rFonts w:ascii="Arial" w:hAnsi="Arial" w:cs="Arial"/>
          <w:sz w:val="22"/>
          <w:szCs w:val="22"/>
        </w:rPr>
        <w:t>xemptions”</w:t>
      </w:r>
    </w:p>
    <w:p w14:paraId="1282B7E5" w14:textId="640EB76F" w:rsidR="007C38F5" w:rsidRPr="00662392" w:rsidRDefault="007C38F5" w:rsidP="00194415">
      <w:pPr>
        <w:pStyle w:val="ListParagraph"/>
        <w:numPr>
          <w:ilvl w:val="0"/>
          <w:numId w:val="1"/>
        </w:numPr>
        <w:rPr>
          <w:rFonts w:ascii="Arial" w:hAnsi="Arial" w:cs="Arial"/>
          <w:sz w:val="22"/>
          <w:szCs w:val="22"/>
        </w:rPr>
      </w:pPr>
      <w:r w:rsidRPr="00662392">
        <w:rPr>
          <w:rFonts w:ascii="Arial" w:hAnsi="Arial" w:cs="Arial"/>
          <w:sz w:val="22"/>
          <w:szCs w:val="22"/>
          <w:lang w:val="en"/>
        </w:rPr>
        <w:t xml:space="preserve">10 CFR </w:t>
      </w:r>
      <w:r w:rsidR="009312EF" w:rsidRPr="00662392">
        <w:rPr>
          <w:rFonts w:ascii="Arial" w:hAnsi="Arial" w:cs="Arial"/>
          <w:sz w:val="22"/>
          <w:szCs w:val="22"/>
          <w:lang w:val="en"/>
        </w:rPr>
        <w:t>50.34</w:t>
      </w:r>
      <w:r w:rsidR="00157B6A" w:rsidRPr="00662392">
        <w:rPr>
          <w:rFonts w:ascii="Arial" w:hAnsi="Arial" w:cs="Arial"/>
          <w:sz w:val="22"/>
          <w:szCs w:val="22"/>
          <w:lang w:val="en"/>
        </w:rPr>
        <w:t>, “Contents of applications; technical information”</w:t>
      </w:r>
    </w:p>
    <w:p w14:paraId="2DF0D709" w14:textId="74AC07AF"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50.36</w:t>
      </w:r>
      <w:r w:rsidR="00FD1B2B" w:rsidRPr="00662392">
        <w:rPr>
          <w:rFonts w:ascii="Arial" w:hAnsi="Arial" w:cs="Arial"/>
          <w:sz w:val="22"/>
          <w:szCs w:val="22"/>
        </w:rPr>
        <w:t>, “</w:t>
      </w:r>
      <w:r w:rsidR="00FD1B2B" w:rsidRPr="00662392">
        <w:rPr>
          <w:rFonts w:ascii="Arial" w:hAnsi="Arial" w:cs="Arial"/>
          <w:sz w:val="22"/>
          <w:szCs w:val="22"/>
          <w:lang w:val="en"/>
        </w:rPr>
        <w:t>Technical specifications”</w:t>
      </w:r>
    </w:p>
    <w:p w14:paraId="06AFC096" w14:textId="3CFAD45B" w:rsidR="001E3097" w:rsidRPr="00662392" w:rsidRDefault="001E3097" w:rsidP="00C42A5C">
      <w:pPr>
        <w:pStyle w:val="ListParagraph"/>
        <w:numPr>
          <w:ilvl w:val="0"/>
          <w:numId w:val="1"/>
        </w:numPr>
        <w:rPr>
          <w:rFonts w:ascii="Arial" w:hAnsi="Arial" w:cs="Arial"/>
          <w:sz w:val="22"/>
          <w:szCs w:val="22"/>
        </w:rPr>
      </w:pPr>
      <w:r w:rsidRPr="00662392">
        <w:rPr>
          <w:rFonts w:ascii="Arial" w:hAnsi="Arial" w:cs="Arial"/>
          <w:sz w:val="22"/>
          <w:szCs w:val="22"/>
          <w:lang w:val="en"/>
        </w:rPr>
        <w:t>10 CFR 50.46</w:t>
      </w:r>
      <w:r w:rsidR="00507463" w:rsidRPr="00662392">
        <w:rPr>
          <w:rFonts w:ascii="Arial" w:hAnsi="Arial" w:cs="Arial"/>
          <w:sz w:val="22"/>
          <w:szCs w:val="22"/>
          <w:lang w:val="en"/>
        </w:rPr>
        <w:t xml:space="preserve">, </w:t>
      </w:r>
      <w:r w:rsidR="00057140" w:rsidRPr="00662392">
        <w:rPr>
          <w:rFonts w:ascii="Arial" w:hAnsi="Arial" w:cs="Arial"/>
          <w:sz w:val="22"/>
          <w:szCs w:val="22"/>
          <w:lang w:val="en"/>
        </w:rPr>
        <w:t>“</w:t>
      </w:r>
      <w:r w:rsidR="00507463" w:rsidRPr="00662392">
        <w:rPr>
          <w:rFonts w:ascii="Arial" w:hAnsi="Arial" w:cs="Arial"/>
          <w:sz w:val="22"/>
          <w:szCs w:val="22"/>
        </w:rPr>
        <w:t xml:space="preserve">Acceptance </w:t>
      </w:r>
      <w:r w:rsidR="00941A67" w:rsidRPr="00662392">
        <w:rPr>
          <w:rFonts w:ascii="Arial" w:hAnsi="Arial" w:cs="Arial"/>
          <w:sz w:val="22"/>
          <w:szCs w:val="22"/>
        </w:rPr>
        <w:t>c</w:t>
      </w:r>
      <w:r w:rsidR="00507463" w:rsidRPr="00662392">
        <w:rPr>
          <w:rFonts w:ascii="Arial" w:hAnsi="Arial" w:cs="Arial"/>
          <w:sz w:val="22"/>
          <w:szCs w:val="22"/>
        </w:rPr>
        <w:t xml:space="preserve">riteria for </w:t>
      </w:r>
      <w:r w:rsidR="00941A67" w:rsidRPr="00662392">
        <w:rPr>
          <w:rFonts w:ascii="Arial" w:hAnsi="Arial" w:cs="Arial"/>
          <w:sz w:val="22"/>
          <w:szCs w:val="22"/>
        </w:rPr>
        <w:t>e</w:t>
      </w:r>
      <w:r w:rsidR="00507463" w:rsidRPr="00662392">
        <w:rPr>
          <w:rFonts w:ascii="Arial" w:hAnsi="Arial" w:cs="Arial"/>
          <w:sz w:val="22"/>
          <w:szCs w:val="22"/>
        </w:rPr>
        <w:t xml:space="preserve">mergency </w:t>
      </w:r>
      <w:r w:rsidR="00941A67" w:rsidRPr="00662392">
        <w:rPr>
          <w:rFonts w:ascii="Arial" w:hAnsi="Arial" w:cs="Arial"/>
          <w:sz w:val="22"/>
          <w:szCs w:val="22"/>
        </w:rPr>
        <w:t>c</w:t>
      </w:r>
      <w:r w:rsidR="00507463" w:rsidRPr="00662392">
        <w:rPr>
          <w:rFonts w:ascii="Arial" w:hAnsi="Arial" w:cs="Arial"/>
          <w:sz w:val="22"/>
          <w:szCs w:val="22"/>
        </w:rPr>
        <w:t xml:space="preserve">ore </w:t>
      </w:r>
      <w:r w:rsidR="00941A67" w:rsidRPr="00662392">
        <w:rPr>
          <w:rFonts w:ascii="Arial" w:hAnsi="Arial" w:cs="Arial"/>
          <w:sz w:val="22"/>
          <w:szCs w:val="22"/>
        </w:rPr>
        <w:t>c</w:t>
      </w:r>
      <w:r w:rsidR="00507463" w:rsidRPr="00662392">
        <w:rPr>
          <w:rFonts w:ascii="Arial" w:hAnsi="Arial" w:cs="Arial"/>
          <w:sz w:val="22"/>
          <w:szCs w:val="22"/>
        </w:rPr>
        <w:t xml:space="preserve">ooling </w:t>
      </w:r>
      <w:r w:rsidR="00941A67" w:rsidRPr="00662392">
        <w:rPr>
          <w:rFonts w:ascii="Arial" w:hAnsi="Arial" w:cs="Arial"/>
          <w:sz w:val="22"/>
          <w:szCs w:val="22"/>
        </w:rPr>
        <w:t>s</w:t>
      </w:r>
      <w:r w:rsidR="00507463" w:rsidRPr="00662392">
        <w:rPr>
          <w:rFonts w:ascii="Arial" w:hAnsi="Arial" w:cs="Arial"/>
          <w:sz w:val="22"/>
          <w:szCs w:val="22"/>
        </w:rPr>
        <w:t xml:space="preserve">ystems for </w:t>
      </w:r>
      <w:r w:rsidR="00941A67" w:rsidRPr="00662392">
        <w:rPr>
          <w:rFonts w:ascii="Arial" w:hAnsi="Arial" w:cs="Arial"/>
          <w:sz w:val="22"/>
          <w:szCs w:val="22"/>
        </w:rPr>
        <w:t>l</w:t>
      </w:r>
      <w:r w:rsidR="00507463" w:rsidRPr="00662392">
        <w:rPr>
          <w:rFonts w:ascii="Arial" w:hAnsi="Arial" w:cs="Arial"/>
          <w:sz w:val="22"/>
          <w:szCs w:val="22"/>
        </w:rPr>
        <w:t>ight-</w:t>
      </w:r>
      <w:r w:rsidR="00941A67" w:rsidRPr="00662392">
        <w:rPr>
          <w:rFonts w:ascii="Arial" w:hAnsi="Arial" w:cs="Arial"/>
          <w:sz w:val="22"/>
          <w:szCs w:val="22"/>
        </w:rPr>
        <w:t>w</w:t>
      </w:r>
      <w:r w:rsidR="00507463" w:rsidRPr="00662392">
        <w:rPr>
          <w:rFonts w:ascii="Arial" w:hAnsi="Arial" w:cs="Arial"/>
          <w:sz w:val="22"/>
          <w:szCs w:val="22"/>
        </w:rPr>
        <w:t xml:space="preserve">ater </w:t>
      </w:r>
      <w:r w:rsidR="00941A67" w:rsidRPr="00662392">
        <w:rPr>
          <w:rFonts w:ascii="Arial" w:hAnsi="Arial" w:cs="Arial"/>
          <w:sz w:val="22"/>
          <w:szCs w:val="22"/>
        </w:rPr>
        <w:t>n</w:t>
      </w:r>
      <w:r w:rsidR="00507463" w:rsidRPr="00662392">
        <w:rPr>
          <w:rFonts w:ascii="Arial" w:hAnsi="Arial" w:cs="Arial"/>
          <w:sz w:val="22"/>
          <w:szCs w:val="22"/>
        </w:rPr>
        <w:t xml:space="preserve">uclear </w:t>
      </w:r>
      <w:r w:rsidR="00941A67" w:rsidRPr="00662392">
        <w:rPr>
          <w:rFonts w:ascii="Arial" w:hAnsi="Arial" w:cs="Arial"/>
          <w:sz w:val="22"/>
          <w:szCs w:val="22"/>
        </w:rPr>
        <w:t>p</w:t>
      </w:r>
      <w:r w:rsidR="00507463" w:rsidRPr="00662392">
        <w:rPr>
          <w:rFonts w:ascii="Arial" w:hAnsi="Arial" w:cs="Arial"/>
          <w:sz w:val="22"/>
          <w:szCs w:val="22"/>
        </w:rPr>
        <w:t xml:space="preserve">ower </w:t>
      </w:r>
      <w:r w:rsidR="00941A67" w:rsidRPr="00662392">
        <w:rPr>
          <w:rFonts w:ascii="Arial" w:hAnsi="Arial" w:cs="Arial"/>
          <w:sz w:val="22"/>
          <w:szCs w:val="22"/>
        </w:rPr>
        <w:t>r</w:t>
      </w:r>
      <w:r w:rsidR="00507463" w:rsidRPr="00662392">
        <w:rPr>
          <w:rFonts w:ascii="Arial" w:hAnsi="Arial" w:cs="Arial"/>
          <w:sz w:val="22"/>
          <w:szCs w:val="22"/>
        </w:rPr>
        <w:t>eactors</w:t>
      </w:r>
      <w:r w:rsidR="00057140" w:rsidRPr="00662392">
        <w:rPr>
          <w:rFonts w:ascii="Arial" w:hAnsi="Arial" w:cs="Arial"/>
          <w:sz w:val="22"/>
          <w:szCs w:val="22"/>
        </w:rPr>
        <w:t>”</w:t>
      </w:r>
    </w:p>
    <w:p w14:paraId="47A828A8" w14:textId="77777777" w:rsidR="00C1473C" w:rsidRDefault="00FD1B2B" w:rsidP="00194415">
      <w:pPr>
        <w:pStyle w:val="ListParagraph"/>
        <w:numPr>
          <w:ilvl w:val="0"/>
          <w:numId w:val="1"/>
        </w:numPr>
        <w:rPr>
          <w:rFonts w:ascii="Arial" w:hAnsi="Arial" w:cs="Arial"/>
          <w:sz w:val="22"/>
          <w:szCs w:val="22"/>
          <w:lang w:val="en"/>
        </w:rPr>
        <w:sectPr w:rsidR="00C1473C" w:rsidSect="00012998">
          <w:footerReference w:type="default" r:id="rId61"/>
          <w:pgSz w:w="12240" w:h="15840" w:code="1"/>
          <w:pgMar w:top="1440" w:right="1440" w:bottom="1440" w:left="1440" w:header="720" w:footer="720" w:gutter="0"/>
          <w:cols w:space="720"/>
          <w:noEndnote/>
          <w:docGrid w:linePitch="326"/>
        </w:sectPr>
      </w:pPr>
      <w:r w:rsidRPr="00662392">
        <w:rPr>
          <w:rFonts w:ascii="Arial" w:hAnsi="Arial" w:cs="Arial"/>
          <w:sz w:val="22"/>
          <w:szCs w:val="22"/>
        </w:rPr>
        <w:t>10 CFR 50.54, “</w:t>
      </w:r>
      <w:r w:rsidRPr="00662392">
        <w:rPr>
          <w:rFonts w:ascii="Arial" w:hAnsi="Arial" w:cs="Arial"/>
          <w:sz w:val="22"/>
          <w:szCs w:val="22"/>
          <w:lang w:val="en"/>
        </w:rPr>
        <w:t>Conditions of licenses”</w:t>
      </w:r>
    </w:p>
    <w:p w14:paraId="522CB609" w14:textId="47D814F0" w:rsidR="00FD1B2B" w:rsidRPr="00662392" w:rsidRDefault="00FD1B2B" w:rsidP="00C1473C">
      <w:pPr>
        <w:pStyle w:val="ListParagraph"/>
        <w:rPr>
          <w:rFonts w:ascii="Arial" w:hAnsi="Arial" w:cs="Arial"/>
          <w:sz w:val="22"/>
          <w:szCs w:val="22"/>
        </w:rPr>
      </w:pPr>
    </w:p>
    <w:p w14:paraId="185060B2" w14:textId="77777777" w:rsidR="00FD1B2B" w:rsidRPr="00662392" w:rsidRDefault="00FD1B2B" w:rsidP="00194415">
      <w:pPr>
        <w:pStyle w:val="ListParagraph"/>
        <w:numPr>
          <w:ilvl w:val="0"/>
          <w:numId w:val="1"/>
        </w:numPr>
        <w:rPr>
          <w:rFonts w:ascii="Arial" w:hAnsi="Arial" w:cs="Arial"/>
          <w:sz w:val="22"/>
          <w:szCs w:val="22"/>
        </w:rPr>
      </w:pPr>
      <w:r w:rsidRPr="00662392">
        <w:rPr>
          <w:rFonts w:ascii="Arial" w:hAnsi="Arial" w:cs="Arial"/>
          <w:sz w:val="22"/>
          <w:szCs w:val="22"/>
        </w:rPr>
        <w:t>10 CFR 50.55, “</w:t>
      </w:r>
      <w:r w:rsidRPr="00662392">
        <w:rPr>
          <w:rFonts w:ascii="Arial" w:hAnsi="Arial" w:cs="Arial"/>
          <w:sz w:val="22"/>
          <w:szCs w:val="22"/>
          <w:lang w:val="en"/>
        </w:rPr>
        <w:t>Conditions of construction permits, early site permits, combined licenses, and manufacturing licenses”</w:t>
      </w:r>
    </w:p>
    <w:p w14:paraId="5E9A55F1" w14:textId="77777777" w:rsidR="00FD1B2B" w:rsidRPr="00662392" w:rsidRDefault="00FD1B2B" w:rsidP="00194415">
      <w:pPr>
        <w:pStyle w:val="ListParagraph"/>
        <w:numPr>
          <w:ilvl w:val="0"/>
          <w:numId w:val="1"/>
        </w:numPr>
        <w:rPr>
          <w:rFonts w:ascii="Arial" w:hAnsi="Arial" w:cs="Arial"/>
          <w:sz w:val="22"/>
          <w:szCs w:val="22"/>
        </w:rPr>
      </w:pPr>
      <w:r w:rsidRPr="00662392">
        <w:rPr>
          <w:rFonts w:ascii="Arial" w:hAnsi="Arial" w:cs="Arial"/>
          <w:sz w:val="22"/>
          <w:szCs w:val="22"/>
        </w:rPr>
        <w:t>10 CFR 50.59</w:t>
      </w:r>
      <w:r w:rsidR="00B324E5" w:rsidRPr="00662392">
        <w:rPr>
          <w:rFonts w:ascii="Arial" w:hAnsi="Arial" w:cs="Arial"/>
          <w:sz w:val="22"/>
          <w:szCs w:val="22"/>
        </w:rPr>
        <w:t>, “</w:t>
      </w:r>
      <w:r w:rsidR="00B324E5" w:rsidRPr="00662392">
        <w:rPr>
          <w:rFonts w:ascii="Arial" w:hAnsi="Arial" w:cs="Arial"/>
          <w:sz w:val="22"/>
          <w:szCs w:val="22"/>
          <w:lang w:val="en"/>
        </w:rPr>
        <w:t>Changes, tests and experiments”</w:t>
      </w:r>
    </w:p>
    <w:p w14:paraId="61DFF11D" w14:textId="6CE59B91"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50.6</w:t>
      </w:r>
      <w:r w:rsidR="009505CF" w:rsidRPr="00662392">
        <w:rPr>
          <w:rFonts w:ascii="Arial" w:hAnsi="Arial" w:cs="Arial"/>
          <w:sz w:val="22"/>
          <w:szCs w:val="22"/>
        </w:rPr>
        <w:t>5</w:t>
      </w:r>
      <w:r w:rsidR="001E7449" w:rsidRPr="00662392">
        <w:rPr>
          <w:rFonts w:ascii="Arial" w:hAnsi="Arial" w:cs="Arial"/>
          <w:sz w:val="22"/>
          <w:szCs w:val="22"/>
        </w:rPr>
        <w:t xml:space="preserve">, </w:t>
      </w:r>
      <w:r w:rsidR="003123B3" w:rsidRPr="00662392">
        <w:rPr>
          <w:rFonts w:ascii="Arial" w:hAnsi="Arial" w:cs="Arial"/>
          <w:sz w:val="22"/>
          <w:szCs w:val="22"/>
        </w:rPr>
        <w:t xml:space="preserve">“Requirements for </w:t>
      </w:r>
      <w:r w:rsidR="008C3733" w:rsidRPr="00662392">
        <w:rPr>
          <w:rFonts w:ascii="Arial" w:hAnsi="Arial" w:cs="Arial"/>
          <w:sz w:val="22"/>
          <w:szCs w:val="22"/>
        </w:rPr>
        <w:t>m</w:t>
      </w:r>
      <w:r w:rsidR="003123B3" w:rsidRPr="00662392">
        <w:rPr>
          <w:rFonts w:ascii="Arial" w:hAnsi="Arial" w:cs="Arial"/>
          <w:sz w:val="22"/>
          <w:szCs w:val="22"/>
        </w:rPr>
        <w:t xml:space="preserve">onitoring the </w:t>
      </w:r>
      <w:r w:rsidR="008C3733" w:rsidRPr="00662392">
        <w:rPr>
          <w:rFonts w:ascii="Arial" w:hAnsi="Arial" w:cs="Arial"/>
          <w:sz w:val="22"/>
          <w:szCs w:val="22"/>
        </w:rPr>
        <w:t>e</w:t>
      </w:r>
      <w:r w:rsidR="003123B3" w:rsidRPr="00662392">
        <w:rPr>
          <w:rFonts w:ascii="Arial" w:hAnsi="Arial" w:cs="Arial"/>
          <w:sz w:val="22"/>
          <w:szCs w:val="22"/>
        </w:rPr>
        <w:t xml:space="preserve">ffectiveness of </w:t>
      </w:r>
      <w:r w:rsidR="008C3733" w:rsidRPr="00662392">
        <w:rPr>
          <w:rFonts w:ascii="Arial" w:hAnsi="Arial" w:cs="Arial"/>
          <w:sz w:val="22"/>
          <w:szCs w:val="22"/>
        </w:rPr>
        <w:t>m</w:t>
      </w:r>
      <w:r w:rsidR="003123B3" w:rsidRPr="00662392">
        <w:rPr>
          <w:rFonts w:ascii="Arial" w:hAnsi="Arial" w:cs="Arial"/>
          <w:sz w:val="22"/>
          <w:szCs w:val="22"/>
        </w:rPr>
        <w:t xml:space="preserve">aintenance at </w:t>
      </w:r>
      <w:r w:rsidR="008C3733" w:rsidRPr="00662392">
        <w:rPr>
          <w:rFonts w:ascii="Arial" w:hAnsi="Arial" w:cs="Arial"/>
          <w:sz w:val="22"/>
          <w:szCs w:val="22"/>
        </w:rPr>
        <w:t>n</w:t>
      </w:r>
      <w:r w:rsidR="003123B3" w:rsidRPr="00662392">
        <w:rPr>
          <w:rFonts w:ascii="Arial" w:hAnsi="Arial" w:cs="Arial"/>
          <w:sz w:val="22"/>
          <w:szCs w:val="22"/>
        </w:rPr>
        <w:t xml:space="preserve">uclear </w:t>
      </w:r>
      <w:r w:rsidR="008C3733" w:rsidRPr="00662392">
        <w:rPr>
          <w:rFonts w:ascii="Arial" w:hAnsi="Arial" w:cs="Arial"/>
          <w:sz w:val="22"/>
          <w:szCs w:val="22"/>
        </w:rPr>
        <w:t>p</w:t>
      </w:r>
      <w:r w:rsidR="003123B3" w:rsidRPr="00662392">
        <w:rPr>
          <w:rFonts w:ascii="Arial" w:hAnsi="Arial" w:cs="Arial"/>
          <w:sz w:val="22"/>
          <w:szCs w:val="22"/>
        </w:rPr>
        <w:t xml:space="preserve">ower </w:t>
      </w:r>
      <w:r w:rsidR="008C3733" w:rsidRPr="00662392">
        <w:rPr>
          <w:rFonts w:ascii="Arial" w:hAnsi="Arial" w:cs="Arial"/>
          <w:sz w:val="22"/>
          <w:szCs w:val="22"/>
        </w:rPr>
        <w:t>p</w:t>
      </w:r>
      <w:r w:rsidR="003123B3" w:rsidRPr="00662392">
        <w:rPr>
          <w:rFonts w:ascii="Arial" w:hAnsi="Arial" w:cs="Arial"/>
          <w:sz w:val="22"/>
          <w:szCs w:val="22"/>
        </w:rPr>
        <w:t>lants”</w:t>
      </w:r>
    </w:p>
    <w:p w14:paraId="6846CFBF" w14:textId="6D3B1618" w:rsidR="009505CF" w:rsidRPr="00662392" w:rsidRDefault="009505CF" w:rsidP="00194415">
      <w:pPr>
        <w:pStyle w:val="ListParagraph"/>
        <w:numPr>
          <w:ilvl w:val="0"/>
          <w:numId w:val="1"/>
        </w:numPr>
        <w:rPr>
          <w:rFonts w:ascii="Arial" w:hAnsi="Arial" w:cs="Arial"/>
          <w:sz w:val="22"/>
          <w:szCs w:val="22"/>
        </w:rPr>
      </w:pPr>
      <w:r w:rsidRPr="00662392">
        <w:rPr>
          <w:rFonts w:ascii="Arial" w:hAnsi="Arial" w:cs="Arial"/>
          <w:sz w:val="22"/>
          <w:szCs w:val="22"/>
        </w:rPr>
        <w:t>10 CFR 50.69</w:t>
      </w:r>
      <w:r w:rsidR="00456ACD" w:rsidRPr="00662392">
        <w:rPr>
          <w:rFonts w:ascii="Arial" w:hAnsi="Arial" w:cs="Arial"/>
          <w:sz w:val="22"/>
          <w:szCs w:val="22"/>
        </w:rPr>
        <w:t>, “Risk-informed categorization and treatment of structures, systems and components for nuclear power reactors”</w:t>
      </w:r>
    </w:p>
    <w:p w14:paraId="6731DB52" w14:textId="78DE5625"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50.71</w:t>
      </w:r>
      <w:r w:rsidR="00B324E5" w:rsidRPr="00662392">
        <w:rPr>
          <w:rFonts w:ascii="Arial" w:hAnsi="Arial" w:cs="Arial"/>
          <w:sz w:val="22"/>
          <w:szCs w:val="22"/>
        </w:rPr>
        <w:t>, “</w:t>
      </w:r>
      <w:r w:rsidR="00B324E5" w:rsidRPr="00662392">
        <w:rPr>
          <w:rFonts w:ascii="Arial" w:hAnsi="Arial" w:cs="Arial"/>
          <w:sz w:val="22"/>
          <w:szCs w:val="22"/>
          <w:lang w:val="en"/>
        </w:rPr>
        <w:t>Maintenance of records, making of reports”</w:t>
      </w:r>
    </w:p>
    <w:p w14:paraId="049BCA06" w14:textId="598392B7" w:rsidR="008028E8" w:rsidRPr="00662392" w:rsidRDefault="008028E8" w:rsidP="00194415">
      <w:pPr>
        <w:pStyle w:val="ListParagraph"/>
        <w:numPr>
          <w:ilvl w:val="0"/>
          <w:numId w:val="1"/>
        </w:numPr>
        <w:rPr>
          <w:rFonts w:ascii="Arial" w:hAnsi="Arial" w:cs="Arial"/>
          <w:sz w:val="22"/>
          <w:szCs w:val="22"/>
        </w:rPr>
      </w:pPr>
      <w:r w:rsidRPr="00662392">
        <w:rPr>
          <w:rFonts w:ascii="Arial" w:hAnsi="Arial" w:cs="Arial"/>
          <w:sz w:val="22"/>
          <w:szCs w:val="22"/>
          <w:lang w:val="en"/>
        </w:rPr>
        <w:t>10 CFR 50.90</w:t>
      </w:r>
      <w:r w:rsidR="00A43AAA" w:rsidRPr="00662392">
        <w:rPr>
          <w:rFonts w:ascii="Arial" w:hAnsi="Arial" w:cs="Arial"/>
          <w:sz w:val="22"/>
          <w:szCs w:val="22"/>
          <w:lang w:val="en"/>
        </w:rPr>
        <w:t>, “Application for amendment of license, construction permit, or early site permit”</w:t>
      </w:r>
    </w:p>
    <w:p w14:paraId="7B612586" w14:textId="5F8E2D50" w:rsidR="00256478" w:rsidRPr="00662392" w:rsidRDefault="00256478" w:rsidP="00194415">
      <w:pPr>
        <w:pStyle w:val="ListParagraph"/>
        <w:numPr>
          <w:ilvl w:val="0"/>
          <w:numId w:val="1"/>
        </w:numPr>
        <w:rPr>
          <w:rFonts w:ascii="Arial" w:hAnsi="Arial" w:cs="Arial"/>
          <w:sz w:val="22"/>
          <w:szCs w:val="22"/>
        </w:rPr>
      </w:pPr>
      <w:r w:rsidRPr="00662392">
        <w:rPr>
          <w:rFonts w:ascii="Arial" w:hAnsi="Arial" w:cs="Arial"/>
          <w:sz w:val="22"/>
          <w:szCs w:val="22"/>
          <w:lang w:val="en"/>
        </w:rPr>
        <w:t>10 CFR 50.155</w:t>
      </w:r>
      <w:r w:rsidR="00E0336A" w:rsidRPr="00662392">
        <w:rPr>
          <w:rFonts w:ascii="Arial" w:hAnsi="Arial" w:cs="Arial"/>
          <w:sz w:val="22"/>
          <w:szCs w:val="22"/>
          <w:lang w:val="en"/>
        </w:rPr>
        <w:t>, “Mitigation of beyond-design-basis events”</w:t>
      </w:r>
    </w:p>
    <w:p w14:paraId="6227BC87" w14:textId="77777777"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72</w:t>
      </w:r>
      <w:r w:rsidR="00B324E5" w:rsidRPr="00662392">
        <w:rPr>
          <w:rFonts w:ascii="Arial" w:hAnsi="Arial" w:cs="Arial"/>
          <w:sz w:val="22"/>
          <w:szCs w:val="22"/>
        </w:rPr>
        <w:t>, “Licensing requirements for the independent storage of spent nuclear fuel and high-level radioactive waste, and reactor- related greater than Class C waste”</w:t>
      </w:r>
    </w:p>
    <w:p w14:paraId="2978738A" w14:textId="77777777"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73</w:t>
      </w:r>
      <w:r w:rsidR="00B324E5" w:rsidRPr="00662392">
        <w:rPr>
          <w:rFonts w:ascii="Arial" w:hAnsi="Arial" w:cs="Arial"/>
          <w:sz w:val="22"/>
          <w:szCs w:val="22"/>
        </w:rPr>
        <w:t>, “Physical protection of plants and materials”</w:t>
      </w:r>
    </w:p>
    <w:p w14:paraId="0CF54F93" w14:textId="1071DC3E" w:rsidR="00111976" w:rsidRPr="00662392" w:rsidRDefault="00111976" w:rsidP="00194415">
      <w:pPr>
        <w:pStyle w:val="ListParagraph"/>
        <w:numPr>
          <w:ilvl w:val="0"/>
          <w:numId w:val="1"/>
        </w:numPr>
        <w:rPr>
          <w:rFonts w:ascii="Arial" w:hAnsi="Arial" w:cs="Arial"/>
          <w:sz w:val="22"/>
          <w:szCs w:val="22"/>
        </w:rPr>
      </w:pPr>
      <w:r w:rsidRPr="00662392">
        <w:rPr>
          <w:rFonts w:ascii="Arial" w:hAnsi="Arial" w:cs="Arial"/>
          <w:sz w:val="22"/>
          <w:szCs w:val="22"/>
        </w:rPr>
        <w:t>10 CFR 100</w:t>
      </w:r>
      <w:r w:rsidR="00B324E5" w:rsidRPr="00662392">
        <w:rPr>
          <w:rFonts w:ascii="Arial" w:hAnsi="Arial" w:cs="Arial"/>
          <w:sz w:val="22"/>
          <w:szCs w:val="22"/>
        </w:rPr>
        <w:t>, “Reactor site criteria”</w:t>
      </w:r>
    </w:p>
    <w:p w14:paraId="2EF17718" w14:textId="77777777" w:rsidR="002605B8" w:rsidRPr="00662392" w:rsidRDefault="002605B8" w:rsidP="00194415">
      <w:pPr>
        <w:pStyle w:val="ListParagraph"/>
        <w:numPr>
          <w:ilvl w:val="0"/>
          <w:numId w:val="1"/>
        </w:numPr>
        <w:rPr>
          <w:rFonts w:ascii="Arial" w:hAnsi="Arial" w:cs="Arial"/>
          <w:sz w:val="22"/>
          <w:szCs w:val="22"/>
        </w:rPr>
      </w:pPr>
      <w:r w:rsidRPr="00662392">
        <w:rPr>
          <w:rFonts w:ascii="Arial" w:hAnsi="Arial" w:cs="Arial"/>
          <w:sz w:val="22"/>
          <w:szCs w:val="22"/>
        </w:rPr>
        <w:t>1999 10 CFR 50.59 Statements of Consideration (64 FR 53582)</w:t>
      </w:r>
    </w:p>
    <w:p w14:paraId="00729CDA" w14:textId="77777777" w:rsidR="002605B8" w:rsidRPr="00662392" w:rsidRDefault="002605B8" w:rsidP="00194415">
      <w:pPr>
        <w:pStyle w:val="ListParagraph"/>
        <w:numPr>
          <w:ilvl w:val="0"/>
          <w:numId w:val="1"/>
        </w:numPr>
        <w:rPr>
          <w:rFonts w:ascii="Arial" w:hAnsi="Arial" w:cs="Arial"/>
          <w:sz w:val="22"/>
          <w:szCs w:val="22"/>
        </w:rPr>
      </w:pPr>
      <w:r w:rsidRPr="00662392">
        <w:rPr>
          <w:rFonts w:ascii="Arial" w:hAnsi="Arial" w:cs="Arial"/>
          <w:sz w:val="22"/>
          <w:szCs w:val="22"/>
        </w:rPr>
        <w:t>1999 10 CFR 50.59 Statements of Consideration (64 FR 53589)</w:t>
      </w:r>
    </w:p>
    <w:p w14:paraId="47F81576" w14:textId="77777777" w:rsidR="002605B8" w:rsidRPr="00662392" w:rsidRDefault="002605B8" w:rsidP="00194415">
      <w:pPr>
        <w:pStyle w:val="ListParagraph"/>
        <w:numPr>
          <w:ilvl w:val="0"/>
          <w:numId w:val="1"/>
        </w:numPr>
        <w:rPr>
          <w:rFonts w:ascii="Arial" w:hAnsi="Arial" w:cs="Arial"/>
          <w:sz w:val="22"/>
          <w:szCs w:val="22"/>
        </w:rPr>
      </w:pPr>
      <w:r w:rsidRPr="00662392">
        <w:rPr>
          <w:rFonts w:ascii="Arial" w:hAnsi="Arial" w:cs="Arial"/>
          <w:sz w:val="22"/>
          <w:szCs w:val="22"/>
        </w:rPr>
        <w:t>2004 10 CFR 50.69 Statements of Consideration (69 FR 68007)</w:t>
      </w:r>
    </w:p>
    <w:p w14:paraId="7B1AF3BD" w14:textId="51CEF2AF" w:rsidR="002605B8" w:rsidRPr="00662392" w:rsidRDefault="002605B8" w:rsidP="00194415">
      <w:pPr>
        <w:pStyle w:val="ListParagraph"/>
        <w:numPr>
          <w:ilvl w:val="0"/>
          <w:numId w:val="1"/>
        </w:numPr>
        <w:rPr>
          <w:rFonts w:ascii="Arial" w:hAnsi="Arial" w:cs="Arial"/>
          <w:sz w:val="22"/>
          <w:szCs w:val="22"/>
        </w:rPr>
      </w:pPr>
      <w:r w:rsidRPr="00662392">
        <w:rPr>
          <w:rFonts w:ascii="Arial" w:hAnsi="Arial" w:cs="Arial"/>
          <w:sz w:val="22"/>
          <w:szCs w:val="22"/>
        </w:rPr>
        <w:t>2019 10 CFR 50,155 Statements of Consideration (84 FR 39684)</w:t>
      </w:r>
    </w:p>
    <w:p w14:paraId="02871347" w14:textId="567FD598" w:rsidR="008E35FD" w:rsidRPr="00662392" w:rsidRDefault="008E35FD" w:rsidP="00194415">
      <w:pPr>
        <w:pStyle w:val="ListParagraph"/>
        <w:numPr>
          <w:ilvl w:val="0"/>
          <w:numId w:val="1"/>
        </w:numPr>
        <w:rPr>
          <w:rFonts w:ascii="Arial" w:hAnsi="Arial" w:cs="Arial"/>
          <w:sz w:val="22"/>
          <w:szCs w:val="22"/>
        </w:rPr>
      </w:pPr>
      <w:r w:rsidRPr="00662392">
        <w:rPr>
          <w:rFonts w:ascii="Arial" w:hAnsi="Arial" w:cs="Arial"/>
          <w:sz w:val="22"/>
          <w:szCs w:val="22"/>
        </w:rPr>
        <w:t>ANSI/ANS-57.9</w:t>
      </w:r>
      <w:r w:rsidR="009B69FD" w:rsidRPr="00662392">
        <w:rPr>
          <w:rFonts w:ascii="Arial" w:hAnsi="Arial" w:cs="Arial"/>
          <w:sz w:val="22"/>
          <w:szCs w:val="22"/>
        </w:rPr>
        <w:t>, “</w:t>
      </w:r>
      <w:r w:rsidR="009B69FD" w:rsidRPr="00662392">
        <w:rPr>
          <w:rStyle w:val="acopre1"/>
          <w:rFonts w:ascii="Arial" w:hAnsi="Arial" w:cs="Arial"/>
          <w:sz w:val="22"/>
          <w:szCs w:val="22"/>
          <w:lang w:val="en"/>
        </w:rPr>
        <w:t>Design Criteria for an Independent Spent Fuel Storage Installation (Dry Type)”</w:t>
      </w:r>
    </w:p>
    <w:p w14:paraId="72D74493" w14:textId="7B13A395" w:rsidR="00352DAF" w:rsidRPr="00662392" w:rsidRDefault="00352DAF" w:rsidP="00194415">
      <w:pPr>
        <w:pStyle w:val="ListParagraph"/>
        <w:numPr>
          <w:ilvl w:val="0"/>
          <w:numId w:val="1"/>
        </w:numPr>
        <w:outlineLvl w:val="1"/>
        <w:rPr>
          <w:rFonts w:ascii="Arial" w:hAnsi="Arial" w:cs="Arial"/>
          <w:color w:val="222222"/>
          <w:sz w:val="22"/>
          <w:szCs w:val="22"/>
          <w:lang w:val="fr-FR"/>
        </w:rPr>
      </w:pPr>
      <w:r w:rsidRPr="00662392">
        <w:rPr>
          <w:rFonts w:ascii="Arial" w:hAnsi="Arial" w:cs="Arial"/>
          <w:color w:val="222222"/>
          <w:sz w:val="22"/>
          <w:szCs w:val="22"/>
          <w:lang w:val="fr-FR"/>
        </w:rPr>
        <w:t>ASME Boiler and Pressure Vessel Code</w:t>
      </w:r>
    </w:p>
    <w:p w14:paraId="3B7794EC" w14:textId="25A44209" w:rsidR="005E0904" w:rsidRPr="00662392" w:rsidRDefault="005E0904" w:rsidP="00194415">
      <w:pPr>
        <w:pStyle w:val="ListParagraph"/>
        <w:numPr>
          <w:ilvl w:val="0"/>
          <w:numId w:val="1"/>
        </w:numPr>
        <w:outlineLvl w:val="1"/>
        <w:rPr>
          <w:rFonts w:ascii="Arial" w:hAnsi="Arial" w:cs="Arial"/>
          <w:color w:val="222222"/>
          <w:sz w:val="22"/>
          <w:szCs w:val="22"/>
        </w:rPr>
      </w:pPr>
      <w:r w:rsidRPr="00662392">
        <w:rPr>
          <w:rFonts w:ascii="Arial" w:hAnsi="Arial" w:cs="Arial"/>
          <w:color w:val="222222"/>
          <w:sz w:val="22"/>
          <w:szCs w:val="22"/>
        </w:rPr>
        <w:t>COM-106</w:t>
      </w:r>
      <w:r w:rsidR="00D145FB" w:rsidRPr="00662392">
        <w:rPr>
          <w:rFonts w:ascii="Arial" w:hAnsi="Arial" w:cs="Arial"/>
          <w:color w:val="222222"/>
          <w:sz w:val="22"/>
          <w:szCs w:val="22"/>
        </w:rPr>
        <w:t>,</w:t>
      </w:r>
      <w:r w:rsidRPr="00662392">
        <w:rPr>
          <w:rFonts w:ascii="Arial" w:hAnsi="Arial" w:cs="Arial"/>
          <w:color w:val="222222"/>
          <w:sz w:val="22"/>
          <w:szCs w:val="22"/>
        </w:rPr>
        <w:t xml:space="preserve"> “Technical Assistance Request (TAR) Process”</w:t>
      </w:r>
    </w:p>
    <w:p w14:paraId="5006B1EF" w14:textId="410B1BF8" w:rsidR="00B324E5" w:rsidRPr="00662392" w:rsidRDefault="00B324E5" w:rsidP="00194415">
      <w:pPr>
        <w:pStyle w:val="ListParagraph"/>
        <w:numPr>
          <w:ilvl w:val="0"/>
          <w:numId w:val="1"/>
        </w:numPr>
        <w:rPr>
          <w:rFonts w:ascii="Arial" w:hAnsi="Arial" w:cs="Arial"/>
          <w:sz w:val="22"/>
          <w:szCs w:val="22"/>
        </w:rPr>
      </w:pPr>
      <w:r w:rsidRPr="00662392">
        <w:rPr>
          <w:rFonts w:ascii="Arial" w:hAnsi="Arial" w:cs="Arial"/>
          <w:sz w:val="22"/>
          <w:szCs w:val="22"/>
        </w:rPr>
        <w:t>GDC 1</w:t>
      </w:r>
      <w:r w:rsidR="008E35FD" w:rsidRPr="00662392">
        <w:rPr>
          <w:rFonts w:ascii="Arial" w:hAnsi="Arial" w:cs="Arial"/>
          <w:sz w:val="22"/>
          <w:szCs w:val="22"/>
        </w:rPr>
        <w:t>9</w:t>
      </w:r>
      <w:r w:rsidR="00D4638F" w:rsidRPr="00662392">
        <w:rPr>
          <w:rFonts w:ascii="Arial" w:hAnsi="Arial" w:cs="Arial"/>
          <w:sz w:val="22"/>
          <w:szCs w:val="22"/>
        </w:rPr>
        <w:t>, “Control Room”</w:t>
      </w:r>
    </w:p>
    <w:p w14:paraId="44F0729E" w14:textId="74346D67" w:rsidR="00B324E5" w:rsidRPr="00662392" w:rsidRDefault="00B324E5" w:rsidP="00194415">
      <w:pPr>
        <w:pStyle w:val="ListParagraph"/>
        <w:numPr>
          <w:ilvl w:val="0"/>
          <w:numId w:val="1"/>
        </w:numPr>
        <w:rPr>
          <w:rFonts w:ascii="Arial" w:hAnsi="Arial" w:cs="Arial"/>
          <w:sz w:val="22"/>
          <w:szCs w:val="22"/>
        </w:rPr>
      </w:pPr>
      <w:r w:rsidRPr="00662392">
        <w:rPr>
          <w:rFonts w:ascii="Arial" w:hAnsi="Arial" w:cs="Arial"/>
          <w:sz w:val="22"/>
          <w:szCs w:val="22"/>
        </w:rPr>
        <w:t>GL 8</w:t>
      </w:r>
      <w:r w:rsidR="008E6843" w:rsidRPr="00662392">
        <w:rPr>
          <w:rFonts w:ascii="Arial" w:hAnsi="Arial" w:cs="Arial"/>
          <w:sz w:val="22"/>
          <w:szCs w:val="22"/>
        </w:rPr>
        <w:t>6</w:t>
      </w:r>
      <w:r w:rsidRPr="00662392">
        <w:rPr>
          <w:rFonts w:ascii="Arial" w:hAnsi="Arial" w:cs="Arial"/>
          <w:sz w:val="22"/>
          <w:szCs w:val="22"/>
        </w:rPr>
        <w:t>-</w:t>
      </w:r>
      <w:r w:rsidR="008E6843" w:rsidRPr="00662392">
        <w:rPr>
          <w:rFonts w:ascii="Arial" w:hAnsi="Arial" w:cs="Arial"/>
          <w:sz w:val="22"/>
          <w:szCs w:val="22"/>
        </w:rPr>
        <w:t>10</w:t>
      </w:r>
      <w:r w:rsidR="0087331D" w:rsidRPr="00662392">
        <w:rPr>
          <w:rFonts w:ascii="Arial" w:hAnsi="Arial" w:cs="Arial"/>
          <w:sz w:val="22"/>
          <w:szCs w:val="22"/>
        </w:rPr>
        <w:t>, “Implementation for Fire Protection Requirements”</w:t>
      </w:r>
    </w:p>
    <w:p w14:paraId="1A560B78" w14:textId="34A1AA79" w:rsidR="00E10AFA" w:rsidRPr="00662392" w:rsidRDefault="00E10AFA" w:rsidP="00194415">
      <w:pPr>
        <w:pStyle w:val="ListParagraph"/>
        <w:numPr>
          <w:ilvl w:val="0"/>
          <w:numId w:val="1"/>
        </w:numPr>
        <w:rPr>
          <w:rFonts w:ascii="Arial" w:hAnsi="Arial" w:cs="Arial"/>
          <w:sz w:val="22"/>
          <w:szCs w:val="22"/>
        </w:rPr>
      </w:pPr>
      <w:r w:rsidRPr="00662392">
        <w:rPr>
          <w:rFonts w:ascii="Arial" w:hAnsi="Arial" w:cs="Arial"/>
          <w:sz w:val="22"/>
          <w:szCs w:val="22"/>
        </w:rPr>
        <w:t>GL 95-02, “Use of NUMARC/EPRI TR-102348, Guideline on Licensing Digital Upgrades, in Determining the Acceptability of Performing Analog-To-Digital Replacements Under 10 CFR 50.59”</w:t>
      </w:r>
    </w:p>
    <w:p w14:paraId="3915A778" w14:textId="375F8914" w:rsidR="00BB29AF" w:rsidRPr="00662392" w:rsidRDefault="00BB29AF" w:rsidP="00194415">
      <w:pPr>
        <w:pStyle w:val="ListParagraph"/>
        <w:numPr>
          <w:ilvl w:val="0"/>
          <w:numId w:val="1"/>
        </w:numPr>
        <w:rPr>
          <w:rFonts w:ascii="Arial" w:hAnsi="Arial" w:cs="Arial"/>
          <w:sz w:val="22"/>
          <w:szCs w:val="22"/>
        </w:rPr>
      </w:pPr>
      <w:r w:rsidRPr="00662392">
        <w:rPr>
          <w:rFonts w:ascii="Arial" w:hAnsi="Arial" w:cs="Arial"/>
          <w:sz w:val="22"/>
          <w:szCs w:val="22"/>
        </w:rPr>
        <w:t>IMC 0326, “Operability Determinations</w:t>
      </w:r>
      <w:r w:rsidR="00CB7FC8" w:rsidRPr="00662392">
        <w:rPr>
          <w:rFonts w:ascii="Arial" w:hAnsi="Arial" w:cs="Arial"/>
          <w:sz w:val="22"/>
          <w:szCs w:val="22"/>
        </w:rPr>
        <w:t>”</w:t>
      </w:r>
    </w:p>
    <w:p w14:paraId="12A1104C" w14:textId="342553F5" w:rsidR="005A2AD7" w:rsidRPr="00662392" w:rsidRDefault="005A2AD7" w:rsidP="00194415">
      <w:pPr>
        <w:pStyle w:val="ListParagraph"/>
        <w:numPr>
          <w:ilvl w:val="0"/>
          <w:numId w:val="1"/>
        </w:numPr>
        <w:rPr>
          <w:rFonts w:ascii="Arial" w:hAnsi="Arial" w:cs="Arial"/>
          <w:sz w:val="22"/>
          <w:szCs w:val="22"/>
        </w:rPr>
      </w:pPr>
      <w:r w:rsidRPr="00662392">
        <w:rPr>
          <w:rFonts w:ascii="Arial" w:hAnsi="Arial" w:cs="Arial"/>
          <w:sz w:val="22"/>
          <w:szCs w:val="22"/>
        </w:rPr>
        <w:t>LIC-504</w:t>
      </w:r>
      <w:r w:rsidR="00D145FB" w:rsidRPr="00662392">
        <w:rPr>
          <w:rFonts w:ascii="Arial" w:hAnsi="Arial" w:cs="Arial"/>
          <w:sz w:val="22"/>
          <w:szCs w:val="22"/>
        </w:rPr>
        <w:t>, “Integrated Risk-Informed Decision-Making</w:t>
      </w:r>
      <w:r w:rsidR="00BB29AF" w:rsidRPr="00662392">
        <w:rPr>
          <w:rFonts w:ascii="Arial" w:hAnsi="Arial" w:cs="Arial"/>
          <w:sz w:val="22"/>
          <w:szCs w:val="22"/>
        </w:rPr>
        <w:t xml:space="preserve"> </w:t>
      </w:r>
      <w:r w:rsidR="00D145FB" w:rsidRPr="00662392">
        <w:rPr>
          <w:rFonts w:ascii="Arial" w:hAnsi="Arial" w:cs="Arial"/>
          <w:sz w:val="22"/>
          <w:szCs w:val="22"/>
        </w:rPr>
        <w:t>Process for Emergent Issues”</w:t>
      </w:r>
    </w:p>
    <w:p w14:paraId="449ABCD3" w14:textId="7CC201CC" w:rsidR="005A2AD7" w:rsidRPr="00662392" w:rsidRDefault="00056D4C" w:rsidP="00194415">
      <w:pPr>
        <w:pStyle w:val="ListParagraph"/>
        <w:numPr>
          <w:ilvl w:val="0"/>
          <w:numId w:val="1"/>
        </w:numPr>
        <w:rPr>
          <w:rFonts w:ascii="Arial" w:hAnsi="Arial" w:cs="Arial"/>
          <w:sz w:val="22"/>
          <w:szCs w:val="22"/>
        </w:rPr>
      </w:pPr>
      <w:r w:rsidRPr="00662392">
        <w:rPr>
          <w:rFonts w:ascii="Arial" w:hAnsi="Arial" w:cs="Arial"/>
          <w:sz w:val="22"/>
          <w:szCs w:val="22"/>
        </w:rPr>
        <w:t>MD 9.27, “Organization and Functions, Office of Nuclear Reactor Regulation”</w:t>
      </w:r>
    </w:p>
    <w:p w14:paraId="39CBF7EE" w14:textId="511F2315" w:rsidR="00056D4C" w:rsidRPr="00662392" w:rsidRDefault="00056D4C" w:rsidP="00194415">
      <w:pPr>
        <w:pStyle w:val="ListParagraph"/>
        <w:numPr>
          <w:ilvl w:val="0"/>
          <w:numId w:val="1"/>
        </w:numPr>
        <w:rPr>
          <w:rFonts w:ascii="Arial" w:hAnsi="Arial" w:cs="Arial"/>
          <w:sz w:val="22"/>
          <w:szCs w:val="22"/>
        </w:rPr>
      </w:pPr>
      <w:r w:rsidRPr="00662392">
        <w:rPr>
          <w:rFonts w:ascii="Arial" w:hAnsi="Arial" w:cs="Arial"/>
          <w:sz w:val="22"/>
          <w:szCs w:val="22"/>
        </w:rPr>
        <w:t>MD 9.29, “Organization and Functions, Regional Office”</w:t>
      </w:r>
    </w:p>
    <w:p w14:paraId="3291AEFA" w14:textId="14F1F378" w:rsidR="00832FA5" w:rsidRPr="00662392" w:rsidRDefault="00832FA5" w:rsidP="00194415">
      <w:pPr>
        <w:pStyle w:val="ListParagraph"/>
        <w:numPr>
          <w:ilvl w:val="0"/>
          <w:numId w:val="1"/>
        </w:numPr>
        <w:rPr>
          <w:rFonts w:ascii="Arial" w:hAnsi="Arial" w:cs="Arial"/>
          <w:sz w:val="22"/>
          <w:szCs w:val="22"/>
        </w:rPr>
      </w:pPr>
      <w:r w:rsidRPr="00662392">
        <w:rPr>
          <w:rFonts w:ascii="Arial" w:hAnsi="Arial" w:cs="Arial"/>
          <w:sz w:val="22"/>
          <w:szCs w:val="22"/>
        </w:rPr>
        <w:t>NEI 04-10, Revision 0, “Risk-Informed Technical Specification Initiative 5b, Risk-Informed Method for Control of Surveillance Frequencies,”</w:t>
      </w:r>
    </w:p>
    <w:p w14:paraId="21160A61" w14:textId="375962D9" w:rsidR="00C1391F" w:rsidRPr="00662392" w:rsidRDefault="00C1391F" w:rsidP="00194415">
      <w:pPr>
        <w:pStyle w:val="ListParagraph"/>
        <w:numPr>
          <w:ilvl w:val="0"/>
          <w:numId w:val="1"/>
        </w:numPr>
        <w:rPr>
          <w:rFonts w:ascii="Arial" w:hAnsi="Arial" w:cs="Arial"/>
          <w:sz w:val="22"/>
          <w:szCs w:val="22"/>
        </w:rPr>
      </w:pPr>
      <w:r w:rsidRPr="00662392">
        <w:rPr>
          <w:rFonts w:ascii="Arial" w:hAnsi="Arial" w:cs="Arial"/>
          <w:sz w:val="22"/>
          <w:szCs w:val="22"/>
        </w:rPr>
        <w:t>NEI 04-10, Risk-Informed Method for Control of Surveillance Frequencies,” Revision 1</w:t>
      </w:r>
    </w:p>
    <w:p w14:paraId="5F9C99B9" w14:textId="77777777" w:rsidR="000E0ACD" w:rsidRDefault="00881602" w:rsidP="00194415">
      <w:pPr>
        <w:pStyle w:val="ListParagraph"/>
        <w:numPr>
          <w:ilvl w:val="0"/>
          <w:numId w:val="1"/>
        </w:numPr>
        <w:rPr>
          <w:rFonts w:ascii="Arial" w:hAnsi="Arial" w:cs="Arial"/>
          <w:sz w:val="22"/>
          <w:szCs w:val="22"/>
        </w:rPr>
      </w:pPr>
      <w:r w:rsidRPr="00662392">
        <w:rPr>
          <w:rFonts w:ascii="Arial" w:hAnsi="Arial" w:cs="Arial"/>
          <w:sz w:val="22"/>
          <w:szCs w:val="22"/>
        </w:rPr>
        <w:t>NEI 12-04</w:t>
      </w:r>
      <w:r w:rsidR="00E33CE6" w:rsidRPr="00662392">
        <w:rPr>
          <w:rFonts w:ascii="Arial" w:hAnsi="Arial" w:cs="Arial"/>
          <w:sz w:val="22"/>
          <w:szCs w:val="22"/>
        </w:rPr>
        <w:t xml:space="preserve">, </w:t>
      </w:r>
      <w:r w:rsidR="006A7A36" w:rsidRPr="00662392">
        <w:rPr>
          <w:rFonts w:ascii="Arial" w:hAnsi="Arial" w:cs="Arial"/>
          <w:sz w:val="22"/>
          <w:szCs w:val="22"/>
        </w:rPr>
        <w:t xml:space="preserve">Rev 2, </w:t>
      </w:r>
      <w:r w:rsidR="00E33CE6" w:rsidRPr="00662392">
        <w:rPr>
          <w:rFonts w:ascii="Arial" w:hAnsi="Arial" w:cs="Arial"/>
          <w:sz w:val="22"/>
          <w:szCs w:val="22"/>
        </w:rPr>
        <w:t xml:space="preserve">“Guidelines for 10 CFR </w:t>
      </w:r>
      <w:r w:rsidR="0043789D" w:rsidRPr="00662392">
        <w:rPr>
          <w:rFonts w:ascii="Arial" w:hAnsi="Arial" w:cs="Arial"/>
          <w:sz w:val="22"/>
          <w:szCs w:val="22"/>
        </w:rPr>
        <w:t>72.48 Implementation”</w:t>
      </w:r>
    </w:p>
    <w:p w14:paraId="58ABD619" w14:textId="2D4DACDF" w:rsidR="00C94901" w:rsidRPr="00662392" w:rsidRDefault="00C94901" w:rsidP="00194415">
      <w:pPr>
        <w:pStyle w:val="ListParagraph"/>
        <w:numPr>
          <w:ilvl w:val="0"/>
          <w:numId w:val="1"/>
        </w:numPr>
        <w:rPr>
          <w:rFonts w:ascii="Arial" w:hAnsi="Arial" w:cs="Arial"/>
          <w:sz w:val="22"/>
          <w:szCs w:val="22"/>
        </w:rPr>
      </w:pPr>
      <w:r w:rsidRPr="00662392">
        <w:rPr>
          <w:rFonts w:ascii="Arial" w:hAnsi="Arial" w:cs="Arial"/>
          <w:sz w:val="22"/>
          <w:szCs w:val="22"/>
        </w:rPr>
        <w:t>NEI 96-07</w:t>
      </w:r>
      <w:r w:rsidR="00010829" w:rsidRPr="00662392">
        <w:rPr>
          <w:rFonts w:ascii="Arial" w:hAnsi="Arial" w:cs="Arial"/>
          <w:sz w:val="22"/>
          <w:szCs w:val="22"/>
        </w:rPr>
        <w:t xml:space="preserve">, </w:t>
      </w:r>
      <w:r w:rsidR="006A7A36" w:rsidRPr="00662392">
        <w:rPr>
          <w:rFonts w:ascii="Arial" w:hAnsi="Arial" w:cs="Arial"/>
          <w:sz w:val="22"/>
          <w:szCs w:val="22"/>
        </w:rPr>
        <w:t xml:space="preserve">Rev 1, </w:t>
      </w:r>
      <w:r w:rsidR="00010829" w:rsidRPr="00662392">
        <w:rPr>
          <w:rFonts w:ascii="Arial" w:hAnsi="Arial" w:cs="Arial"/>
          <w:sz w:val="22"/>
          <w:szCs w:val="22"/>
        </w:rPr>
        <w:t>“Guidelines for 10 CFR 50.59 Evaluations”</w:t>
      </w:r>
    </w:p>
    <w:p w14:paraId="0227C76A" w14:textId="215DC51C" w:rsidR="005B5B8A" w:rsidRPr="00662392" w:rsidRDefault="00CA77BB" w:rsidP="00194415">
      <w:pPr>
        <w:pStyle w:val="ListParagraph"/>
        <w:numPr>
          <w:ilvl w:val="0"/>
          <w:numId w:val="1"/>
        </w:numPr>
        <w:rPr>
          <w:rFonts w:ascii="Arial" w:hAnsi="Arial" w:cs="Arial"/>
          <w:sz w:val="22"/>
          <w:szCs w:val="22"/>
        </w:rPr>
      </w:pPr>
      <w:r w:rsidRPr="00662392">
        <w:rPr>
          <w:rFonts w:ascii="Arial" w:hAnsi="Arial" w:cs="Arial"/>
          <w:sz w:val="22"/>
          <w:szCs w:val="22"/>
        </w:rPr>
        <w:t>NEI 96-07, Appendix B, “Guidelines for 10 CFR 72.48 Implementation”</w:t>
      </w:r>
    </w:p>
    <w:p w14:paraId="255F7D78" w14:textId="7DEC226C" w:rsidR="00B8184F" w:rsidRPr="00662392" w:rsidRDefault="00B8184F" w:rsidP="00194415">
      <w:pPr>
        <w:pStyle w:val="ListParagraph"/>
        <w:numPr>
          <w:ilvl w:val="0"/>
          <w:numId w:val="1"/>
        </w:numPr>
        <w:rPr>
          <w:rFonts w:ascii="Arial" w:hAnsi="Arial" w:cs="Arial"/>
          <w:sz w:val="22"/>
          <w:szCs w:val="22"/>
        </w:rPr>
      </w:pPr>
      <w:r w:rsidRPr="00662392">
        <w:rPr>
          <w:rFonts w:ascii="Arial" w:hAnsi="Arial" w:cs="Arial"/>
          <w:sz w:val="22"/>
          <w:szCs w:val="22"/>
        </w:rPr>
        <w:t>NEI 97-04, rev. 1 Appendix B, “Guidance and Examples for Identifying 10 CFR 50.2 Design Bases”</w:t>
      </w:r>
    </w:p>
    <w:p w14:paraId="20986A90" w14:textId="188E983A" w:rsidR="00BA768B" w:rsidRPr="00662392" w:rsidRDefault="00BA768B" w:rsidP="00194415">
      <w:pPr>
        <w:pStyle w:val="ListParagraph"/>
        <w:numPr>
          <w:ilvl w:val="0"/>
          <w:numId w:val="1"/>
        </w:numPr>
        <w:rPr>
          <w:rFonts w:ascii="Arial" w:hAnsi="Arial" w:cs="Arial"/>
          <w:sz w:val="22"/>
          <w:szCs w:val="22"/>
        </w:rPr>
      </w:pPr>
      <w:r w:rsidRPr="00662392">
        <w:rPr>
          <w:rFonts w:ascii="Arial" w:hAnsi="Arial" w:cs="Arial"/>
          <w:sz w:val="22"/>
          <w:szCs w:val="22"/>
        </w:rPr>
        <w:t>NMSS Policy and Proce</w:t>
      </w:r>
      <w:r w:rsidR="00C63AFB" w:rsidRPr="00662392">
        <w:rPr>
          <w:rFonts w:ascii="Arial" w:hAnsi="Arial" w:cs="Arial"/>
          <w:sz w:val="22"/>
          <w:szCs w:val="22"/>
        </w:rPr>
        <w:t>dure 2-06</w:t>
      </w:r>
      <w:r w:rsidR="00AF3AE8" w:rsidRPr="00662392">
        <w:rPr>
          <w:rFonts w:ascii="Arial" w:hAnsi="Arial" w:cs="Arial"/>
          <w:sz w:val="22"/>
          <w:szCs w:val="22"/>
        </w:rPr>
        <w:t>,</w:t>
      </w:r>
      <w:r w:rsidR="00035680" w:rsidRPr="00662392">
        <w:rPr>
          <w:rFonts w:ascii="Arial" w:hAnsi="Arial" w:cs="Arial"/>
          <w:sz w:val="22"/>
          <w:szCs w:val="22"/>
        </w:rPr>
        <w:t xml:space="preserve"> “</w:t>
      </w:r>
      <w:r w:rsidR="00F1382F" w:rsidRPr="00662392">
        <w:rPr>
          <w:rFonts w:ascii="Arial" w:hAnsi="Arial" w:cs="Arial"/>
          <w:sz w:val="22"/>
          <w:szCs w:val="22"/>
        </w:rPr>
        <w:t>Overview</w:t>
      </w:r>
      <w:r w:rsidR="00B73CF3" w:rsidRPr="00662392">
        <w:rPr>
          <w:rFonts w:ascii="Arial" w:hAnsi="Arial" w:cs="Arial"/>
          <w:sz w:val="22"/>
          <w:szCs w:val="22"/>
        </w:rPr>
        <w:t xml:space="preserve"> of </w:t>
      </w:r>
      <w:r w:rsidR="00F1382F" w:rsidRPr="00662392">
        <w:rPr>
          <w:rFonts w:ascii="Arial" w:hAnsi="Arial" w:cs="Arial"/>
          <w:sz w:val="22"/>
          <w:szCs w:val="22"/>
        </w:rPr>
        <w:t xml:space="preserve">Generic Communications </w:t>
      </w:r>
      <w:r w:rsidR="007B05CF" w:rsidRPr="00662392">
        <w:rPr>
          <w:rFonts w:ascii="Arial" w:hAnsi="Arial" w:cs="Arial"/>
          <w:sz w:val="22"/>
          <w:szCs w:val="22"/>
        </w:rPr>
        <w:t>Coordination and Processing</w:t>
      </w:r>
      <w:r w:rsidR="0074210F" w:rsidRPr="00662392">
        <w:rPr>
          <w:rFonts w:ascii="Arial" w:hAnsi="Arial" w:cs="Arial"/>
          <w:sz w:val="22"/>
          <w:szCs w:val="22"/>
        </w:rPr>
        <w:t>,</w:t>
      </w:r>
      <w:r w:rsidR="007B05CF" w:rsidRPr="00662392">
        <w:rPr>
          <w:rFonts w:ascii="Arial" w:hAnsi="Arial" w:cs="Arial"/>
          <w:sz w:val="22"/>
          <w:szCs w:val="22"/>
        </w:rPr>
        <w:t>”</w:t>
      </w:r>
      <w:r w:rsidR="00F1382F" w:rsidRPr="00662392">
        <w:rPr>
          <w:rFonts w:ascii="Arial" w:hAnsi="Arial" w:cs="Arial"/>
          <w:sz w:val="22"/>
          <w:szCs w:val="22"/>
        </w:rPr>
        <w:t xml:space="preserve"> </w:t>
      </w:r>
      <w:r w:rsidR="0074210F" w:rsidRPr="00662392">
        <w:rPr>
          <w:rFonts w:ascii="Arial" w:hAnsi="Arial" w:cs="Arial"/>
          <w:sz w:val="22"/>
          <w:szCs w:val="22"/>
        </w:rPr>
        <w:t>Revision 1</w:t>
      </w:r>
    </w:p>
    <w:p w14:paraId="5C1D1E1C" w14:textId="05B56EDA" w:rsidR="007F5224" w:rsidRPr="00662392" w:rsidRDefault="00753483" w:rsidP="00194415">
      <w:pPr>
        <w:pStyle w:val="ListParagraph"/>
        <w:numPr>
          <w:ilvl w:val="0"/>
          <w:numId w:val="1"/>
        </w:numPr>
        <w:rPr>
          <w:rFonts w:ascii="Arial" w:hAnsi="Arial" w:cs="Arial"/>
          <w:sz w:val="22"/>
          <w:szCs w:val="22"/>
        </w:rPr>
      </w:pPr>
      <w:r w:rsidRPr="00662392">
        <w:rPr>
          <w:rFonts w:ascii="Arial" w:hAnsi="Arial" w:cs="Arial"/>
          <w:sz w:val="22"/>
          <w:szCs w:val="22"/>
        </w:rPr>
        <w:t>NMSS Policy and Procedure 7-05</w:t>
      </w:r>
      <w:r w:rsidR="00AF3AE8" w:rsidRPr="00662392">
        <w:rPr>
          <w:rFonts w:ascii="Arial" w:hAnsi="Arial" w:cs="Arial"/>
          <w:sz w:val="22"/>
          <w:szCs w:val="22"/>
        </w:rPr>
        <w:t>,</w:t>
      </w:r>
      <w:r w:rsidRPr="00662392">
        <w:rPr>
          <w:rFonts w:ascii="Arial" w:hAnsi="Arial" w:cs="Arial"/>
          <w:sz w:val="22"/>
          <w:szCs w:val="22"/>
        </w:rPr>
        <w:t xml:space="preserve"> “Procedures </w:t>
      </w:r>
      <w:r w:rsidR="00640EEB" w:rsidRPr="00662392">
        <w:rPr>
          <w:rFonts w:ascii="Arial" w:hAnsi="Arial" w:cs="Arial"/>
          <w:sz w:val="22"/>
          <w:szCs w:val="22"/>
        </w:rPr>
        <w:t>for</w:t>
      </w:r>
      <w:r w:rsidRPr="00662392">
        <w:rPr>
          <w:rFonts w:ascii="Arial" w:hAnsi="Arial" w:cs="Arial"/>
          <w:sz w:val="22"/>
          <w:szCs w:val="22"/>
        </w:rPr>
        <w:t xml:space="preserve"> Processing of Technical Assistance Request</w:t>
      </w:r>
      <w:r w:rsidR="0074210F" w:rsidRPr="00662392">
        <w:rPr>
          <w:rFonts w:ascii="Arial" w:hAnsi="Arial" w:cs="Arial"/>
          <w:sz w:val="22"/>
          <w:szCs w:val="22"/>
        </w:rPr>
        <w:t>,</w:t>
      </w:r>
      <w:r w:rsidRPr="00662392">
        <w:rPr>
          <w:rFonts w:ascii="Arial" w:hAnsi="Arial" w:cs="Arial"/>
          <w:sz w:val="22"/>
          <w:szCs w:val="22"/>
        </w:rPr>
        <w:t>”</w:t>
      </w:r>
      <w:r w:rsidR="0074210F" w:rsidRPr="00662392">
        <w:rPr>
          <w:rFonts w:ascii="Arial" w:hAnsi="Arial" w:cs="Arial"/>
          <w:sz w:val="22"/>
          <w:szCs w:val="22"/>
        </w:rPr>
        <w:t xml:space="preserve"> Revision 1</w:t>
      </w:r>
    </w:p>
    <w:p w14:paraId="62668546" w14:textId="1989F232" w:rsidR="00E67EE3" w:rsidRPr="00662392" w:rsidRDefault="00E67EE3" w:rsidP="00194415">
      <w:pPr>
        <w:pStyle w:val="ListParagraph"/>
        <w:numPr>
          <w:ilvl w:val="0"/>
          <w:numId w:val="1"/>
        </w:numPr>
        <w:rPr>
          <w:rFonts w:ascii="Arial" w:hAnsi="Arial" w:cs="Arial"/>
          <w:sz w:val="22"/>
          <w:szCs w:val="22"/>
        </w:rPr>
      </w:pPr>
      <w:r w:rsidRPr="00662392">
        <w:rPr>
          <w:rFonts w:ascii="Arial" w:hAnsi="Arial" w:cs="Arial"/>
          <w:sz w:val="22"/>
          <w:szCs w:val="22"/>
        </w:rPr>
        <w:t>NUREG-0800</w:t>
      </w:r>
      <w:r w:rsidR="00705025" w:rsidRPr="00662392">
        <w:rPr>
          <w:rFonts w:ascii="Arial" w:hAnsi="Arial" w:cs="Arial"/>
          <w:sz w:val="22"/>
          <w:szCs w:val="22"/>
        </w:rPr>
        <w:t>, “Standard Review Plan [SRP] for the Review of Safety Analysis Reports for Nuclear Power Plants: LWR [light water reactor] Edition”</w:t>
      </w:r>
    </w:p>
    <w:p w14:paraId="0CE42B15" w14:textId="77777777" w:rsidR="00297051" w:rsidRPr="00662392" w:rsidRDefault="00297051" w:rsidP="00194415">
      <w:pPr>
        <w:pStyle w:val="ListParagraph"/>
        <w:numPr>
          <w:ilvl w:val="0"/>
          <w:numId w:val="1"/>
        </w:numPr>
        <w:rPr>
          <w:rFonts w:ascii="Arial" w:hAnsi="Arial" w:cs="Arial"/>
          <w:sz w:val="22"/>
          <w:szCs w:val="22"/>
        </w:rPr>
      </w:pPr>
      <w:r w:rsidRPr="00662392">
        <w:rPr>
          <w:rFonts w:ascii="Arial" w:hAnsi="Arial" w:cs="Arial"/>
          <w:sz w:val="22"/>
          <w:szCs w:val="22"/>
        </w:rPr>
        <w:t>NUREG 1430, “Standard Technical Specifications — Babcock and Wilcox Plants”</w:t>
      </w:r>
    </w:p>
    <w:p w14:paraId="10BC1DA7" w14:textId="77777777" w:rsidR="00C1473C" w:rsidRDefault="00297051" w:rsidP="00194415">
      <w:pPr>
        <w:pStyle w:val="ListParagraph"/>
        <w:numPr>
          <w:ilvl w:val="0"/>
          <w:numId w:val="1"/>
        </w:numPr>
        <w:rPr>
          <w:rFonts w:ascii="Arial" w:hAnsi="Arial" w:cs="Arial"/>
          <w:sz w:val="22"/>
          <w:szCs w:val="22"/>
        </w:rPr>
        <w:sectPr w:rsidR="00C1473C" w:rsidSect="00012998">
          <w:footerReference w:type="default" r:id="rId62"/>
          <w:pgSz w:w="12240" w:h="15840" w:code="1"/>
          <w:pgMar w:top="1440" w:right="1440" w:bottom="1440" w:left="1440" w:header="720" w:footer="720" w:gutter="0"/>
          <w:cols w:space="720"/>
          <w:noEndnote/>
          <w:docGrid w:linePitch="326"/>
        </w:sectPr>
      </w:pPr>
      <w:r w:rsidRPr="00662392">
        <w:rPr>
          <w:rFonts w:ascii="Arial" w:hAnsi="Arial" w:cs="Arial"/>
          <w:sz w:val="22"/>
          <w:szCs w:val="22"/>
        </w:rPr>
        <w:t>NUREG 1431, “Standard Technical Specifications — Westinghouse Plants”</w:t>
      </w:r>
    </w:p>
    <w:p w14:paraId="28557A34" w14:textId="7FAFA78F" w:rsidR="00297051" w:rsidRPr="00662392" w:rsidRDefault="00297051" w:rsidP="00C1473C">
      <w:pPr>
        <w:pStyle w:val="ListParagraph"/>
        <w:rPr>
          <w:rFonts w:ascii="Arial" w:hAnsi="Arial" w:cs="Arial"/>
          <w:sz w:val="22"/>
          <w:szCs w:val="22"/>
        </w:rPr>
      </w:pPr>
    </w:p>
    <w:p w14:paraId="723DF1DB" w14:textId="77777777" w:rsidR="00297051" w:rsidRPr="00662392" w:rsidRDefault="00297051" w:rsidP="00194415">
      <w:pPr>
        <w:pStyle w:val="ListParagraph"/>
        <w:numPr>
          <w:ilvl w:val="0"/>
          <w:numId w:val="1"/>
        </w:numPr>
        <w:rPr>
          <w:rFonts w:ascii="Arial" w:hAnsi="Arial" w:cs="Arial"/>
          <w:sz w:val="22"/>
          <w:szCs w:val="22"/>
        </w:rPr>
      </w:pPr>
      <w:r w:rsidRPr="00662392">
        <w:rPr>
          <w:rFonts w:ascii="Arial" w:hAnsi="Arial" w:cs="Arial"/>
          <w:sz w:val="22"/>
          <w:szCs w:val="22"/>
        </w:rPr>
        <w:t>NUREG 1432, “Standard Technical Specifications — Combustion Engineering Plants”</w:t>
      </w:r>
    </w:p>
    <w:p w14:paraId="4D745E03" w14:textId="77777777" w:rsidR="00297051" w:rsidRPr="00662392" w:rsidRDefault="00297051" w:rsidP="00194415">
      <w:pPr>
        <w:pStyle w:val="ListParagraph"/>
        <w:numPr>
          <w:ilvl w:val="0"/>
          <w:numId w:val="1"/>
        </w:numPr>
        <w:rPr>
          <w:rFonts w:ascii="Arial" w:hAnsi="Arial" w:cs="Arial"/>
          <w:sz w:val="22"/>
          <w:szCs w:val="22"/>
        </w:rPr>
      </w:pPr>
      <w:r w:rsidRPr="00662392">
        <w:rPr>
          <w:rFonts w:ascii="Arial" w:hAnsi="Arial" w:cs="Arial"/>
          <w:sz w:val="22"/>
          <w:szCs w:val="22"/>
        </w:rPr>
        <w:t>NUREG 1433, “Standard Technical Specifications — General Electric Plants (BWR/4)”</w:t>
      </w:r>
    </w:p>
    <w:p w14:paraId="044771E2" w14:textId="62FA98D8" w:rsidR="00297051" w:rsidRPr="00662392" w:rsidRDefault="00297051" w:rsidP="00194415">
      <w:pPr>
        <w:pStyle w:val="ListParagraph"/>
        <w:numPr>
          <w:ilvl w:val="0"/>
          <w:numId w:val="1"/>
        </w:numPr>
        <w:rPr>
          <w:rFonts w:ascii="Arial" w:hAnsi="Arial" w:cs="Arial"/>
          <w:sz w:val="22"/>
          <w:szCs w:val="22"/>
        </w:rPr>
      </w:pPr>
      <w:r w:rsidRPr="00662392">
        <w:rPr>
          <w:rFonts w:ascii="Arial" w:hAnsi="Arial" w:cs="Arial"/>
          <w:sz w:val="22"/>
          <w:szCs w:val="22"/>
        </w:rPr>
        <w:t>NUREG 1434, “Standard Technical Specifications — General Electric Plants (BWR/6)”</w:t>
      </w:r>
    </w:p>
    <w:p w14:paraId="24263898" w14:textId="1E492272" w:rsidR="00251CC5" w:rsidRPr="00662392" w:rsidRDefault="00251CC5" w:rsidP="00194415">
      <w:pPr>
        <w:pStyle w:val="ListParagraph"/>
        <w:numPr>
          <w:ilvl w:val="0"/>
          <w:numId w:val="1"/>
        </w:numPr>
        <w:rPr>
          <w:rFonts w:ascii="Arial" w:hAnsi="Arial" w:cs="Arial"/>
          <w:sz w:val="22"/>
          <w:szCs w:val="22"/>
        </w:rPr>
      </w:pPr>
      <w:r w:rsidRPr="00662392">
        <w:rPr>
          <w:rFonts w:ascii="Arial" w:hAnsi="Arial" w:cs="Arial"/>
          <w:sz w:val="22"/>
          <w:szCs w:val="22"/>
        </w:rPr>
        <w:t>NUREG 1536, “Standard Review Plan for Spent Fuel Dry Storage Systems at a General License Facility – Final Report”</w:t>
      </w:r>
    </w:p>
    <w:p w14:paraId="76BB25BC" w14:textId="3AA79275" w:rsidR="00E63D33" w:rsidRPr="00662392" w:rsidRDefault="00E63D33" w:rsidP="00194415">
      <w:pPr>
        <w:pStyle w:val="ListParagraph"/>
        <w:numPr>
          <w:ilvl w:val="0"/>
          <w:numId w:val="1"/>
        </w:numPr>
        <w:rPr>
          <w:rFonts w:ascii="Arial" w:hAnsi="Arial" w:cs="Arial"/>
          <w:sz w:val="22"/>
          <w:szCs w:val="22"/>
        </w:rPr>
      </w:pPr>
      <w:r w:rsidRPr="00662392">
        <w:rPr>
          <w:rFonts w:ascii="Arial" w:hAnsi="Arial" w:cs="Arial"/>
          <w:sz w:val="22"/>
          <w:szCs w:val="22"/>
        </w:rPr>
        <w:t>NUREG 1537, Guidelines for Preparing and Reviewing Applications for the Licensing of Non-Power Reactors</w:t>
      </w:r>
    </w:p>
    <w:p w14:paraId="42C6860A" w14:textId="79644163" w:rsidR="00251CC5" w:rsidRPr="00662392" w:rsidRDefault="00251CC5" w:rsidP="00194415">
      <w:pPr>
        <w:pStyle w:val="ListParagraph"/>
        <w:numPr>
          <w:ilvl w:val="0"/>
          <w:numId w:val="1"/>
        </w:numPr>
        <w:rPr>
          <w:rFonts w:ascii="Arial" w:hAnsi="Arial" w:cs="Arial"/>
          <w:sz w:val="22"/>
          <w:szCs w:val="22"/>
        </w:rPr>
      </w:pPr>
      <w:r w:rsidRPr="00662392">
        <w:rPr>
          <w:rFonts w:ascii="Arial" w:hAnsi="Arial" w:cs="Arial"/>
          <w:sz w:val="22"/>
          <w:szCs w:val="22"/>
        </w:rPr>
        <w:t>NUREG 1567, “Standard Review Plan for Spent Fuel Dry Storage Facilities”</w:t>
      </w:r>
    </w:p>
    <w:p w14:paraId="43E8A7F2" w14:textId="4F925BA3" w:rsidR="00297051" w:rsidRPr="00662392" w:rsidRDefault="00297051" w:rsidP="00194415">
      <w:pPr>
        <w:pStyle w:val="ListParagraph"/>
        <w:numPr>
          <w:ilvl w:val="0"/>
          <w:numId w:val="1"/>
        </w:numPr>
        <w:rPr>
          <w:rFonts w:ascii="Arial" w:hAnsi="Arial" w:cs="Arial"/>
          <w:sz w:val="22"/>
          <w:szCs w:val="22"/>
        </w:rPr>
      </w:pPr>
      <w:r w:rsidRPr="00662392">
        <w:rPr>
          <w:rFonts w:ascii="Arial" w:hAnsi="Arial" w:cs="Arial"/>
          <w:sz w:val="22"/>
          <w:szCs w:val="22"/>
        </w:rPr>
        <w:t>NUREG 2194, “Standard Technical Specifications, Westinghouse Advanced Passive 1000 (AP 1000) Plants”</w:t>
      </w:r>
    </w:p>
    <w:p w14:paraId="3CD26C62" w14:textId="4FB91E15" w:rsidR="00E7797F" w:rsidRPr="00662392" w:rsidRDefault="00E7797F" w:rsidP="00194415">
      <w:pPr>
        <w:pStyle w:val="ListParagraph"/>
        <w:numPr>
          <w:ilvl w:val="0"/>
          <w:numId w:val="1"/>
        </w:numPr>
        <w:rPr>
          <w:rFonts w:ascii="Arial" w:hAnsi="Arial" w:cs="Arial"/>
          <w:sz w:val="22"/>
          <w:szCs w:val="22"/>
        </w:rPr>
      </w:pPr>
      <w:r w:rsidRPr="00662392">
        <w:rPr>
          <w:rFonts w:ascii="Arial" w:hAnsi="Arial" w:cs="Arial"/>
          <w:sz w:val="22"/>
          <w:szCs w:val="22"/>
        </w:rPr>
        <w:t>NUREG 2215</w:t>
      </w:r>
      <w:r w:rsidR="001069FA" w:rsidRPr="00662392">
        <w:rPr>
          <w:rFonts w:ascii="Arial" w:hAnsi="Arial" w:cs="Arial"/>
          <w:sz w:val="22"/>
          <w:szCs w:val="22"/>
        </w:rPr>
        <w:t xml:space="preserve">, </w:t>
      </w:r>
      <w:r w:rsidR="001069FA" w:rsidRPr="00662392">
        <w:rPr>
          <w:rFonts w:ascii="Arial" w:hAnsi="Arial" w:cs="Arial"/>
          <w:sz w:val="22"/>
          <w:szCs w:val="22"/>
          <w:lang w:val="en"/>
        </w:rPr>
        <w:t>Standard Review Plan for Spent Fuel Dry Storage Systems and Facilities</w:t>
      </w:r>
      <w:r w:rsidR="00CC2500" w:rsidRPr="00662392">
        <w:rPr>
          <w:rFonts w:ascii="Arial" w:hAnsi="Arial" w:cs="Arial"/>
          <w:sz w:val="22"/>
          <w:szCs w:val="22"/>
          <w:lang w:val="en"/>
        </w:rPr>
        <w:t>”</w:t>
      </w:r>
    </w:p>
    <w:p w14:paraId="5FF25F38" w14:textId="4FCD02E0" w:rsidR="00953475" w:rsidRPr="00662392" w:rsidRDefault="00C94901" w:rsidP="00194415">
      <w:pPr>
        <w:pStyle w:val="ListParagraph"/>
        <w:numPr>
          <w:ilvl w:val="0"/>
          <w:numId w:val="1"/>
        </w:numPr>
        <w:rPr>
          <w:rFonts w:ascii="Arial" w:hAnsi="Arial" w:cs="Arial"/>
          <w:sz w:val="22"/>
          <w:szCs w:val="22"/>
        </w:rPr>
      </w:pPr>
      <w:r w:rsidRPr="00662392">
        <w:rPr>
          <w:rFonts w:ascii="Arial" w:hAnsi="Arial" w:cs="Arial"/>
          <w:sz w:val="22"/>
          <w:szCs w:val="22"/>
        </w:rPr>
        <w:t>RG 1.</w:t>
      </w:r>
      <w:r w:rsidR="009C4157" w:rsidRPr="00662392">
        <w:rPr>
          <w:rFonts w:ascii="Arial" w:hAnsi="Arial" w:cs="Arial"/>
          <w:sz w:val="22"/>
          <w:szCs w:val="22"/>
        </w:rPr>
        <w:t>70</w:t>
      </w:r>
      <w:r w:rsidR="00E83158" w:rsidRPr="00662392">
        <w:rPr>
          <w:rFonts w:ascii="Arial" w:hAnsi="Arial" w:cs="Arial"/>
          <w:sz w:val="22"/>
          <w:szCs w:val="22"/>
        </w:rPr>
        <w:t>,</w:t>
      </w:r>
      <w:r w:rsidR="00382055" w:rsidRPr="00662392">
        <w:rPr>
          <w:rFonts w:ascii="Arial" w:hAnsi="Arial" w:cs="Arial"/>
          <w:sz w:val="22"/>
          <w:szCs w:val="22"/>
        </w:rPr>
        <w:t xml:space="preserve"> Rev 3</w:t>
      </w:r>
      <w:r w:rsidR="00E83158" w:rsidRPr="00662392">
        <w:rPr>
          <w:rFonts w:ascii="Arial" w:hAnsi="Arial" w:cs="Arial"/>
          <w:sz w:val="22"/>
          <w:szCs w:val="22"/>
        </w:rPr>
        <w:t>,</w:t>
      </w:r>
      <w:r w:rsidR="00382055" w:rsidRPr="00662392">
        <w:rPr>
          <w:rFonts w:ascii="Arial" w:hAnsi="Arial" w:cs="Arial"/>
          <w:sz w:val="22"/>
          <w:szCs w:val="22"/>
        </w:rPr>
        <w:t xml:space="preserve"> “Standard Format and Content of Safety Analysis Reports for Nuclear Power Plants LWR Edition”</w:t>
      </w:r>
    </w:p>
    <w:p w14:paraId="715A0768" w14:textId="7DCAEE1C" w:rsidR="00C94901" w:rsidRPr="00662392" w:rsidRDefault="00C94901" w:rsidP="00194415">
      <w:pPr>
        <w:pStyle w:val="ListParagraph"/>
        <w:numPr>
          <w:ilvl w:val="0"/>
          <w:numId w:val="1"/>
        </w:numPr>
        <w:rPr>
          <w:rFonts w:ascii="Arial" w:hAnsi="Arial" w:cs="Arial"/>
          <w:sz w:val="22"/>
          <w:szCs w:val="22"/>
        </w:rPr>
      </w:pPr>
      <w:r w:rsidRPr="00662392">
        <w:rPr>
          <w:rFonts w:ascii="Arial" w:hAnsi="Arial" w:cs="Arial"/>
          <w:sz w:val="22"/>
          <w:szCs w:val="22"/>
        </w:rPr>
        <w:t>RG 1.1</w:t>
      </w:r>
      <w:r w:rsidR="009C4157" w:rsidRPr="00662392">
        <w:rPr>
          <w:rFonts w:ascii="Arial" w:hAnsi="Arial" w:cs="Arial"/>
          <w:sz w:val="22"/>
          <w:szCs w:val="22"/>
        </w:rPr>
        <w:t>74</w:t>
      </w:r>
      <w:r w:rsidR="009E1FCD" w:rsidRPr="00662392">
        <w:rPr>
          <w:rFonts w:ascii="Arial" w:hAnsi="Arial" w:cs="Arial"/>
          <w:sz w:val="22"/>
          <w:szCs w:val="22"/>
        </w:rPr>
        <w:t xml:space="preserve">, Rev 3, </w:t>
      </w:r>
      <w:r w:rsidR="00953475" w:rsidRPr="00662392">
        <w:rPr>
          <w:rFonts w:ascii="Arial" w:hAnsi="Arial" w:cs="Arial"/>
          <w:sz w:val="22"/>
          <w:szCs w:val="22"/>
        </w:rPr>
        <w:t>“</w:t>
      </w:r>
      <w:r w:rsidR="00A0790C" w:rsidRPr="00662392">
        <w:rPr>
          <w:rFonts w:ascii="Arial" w:hAnsi="Arial" w:cs="Arial"/>
          <w:sz w:val="22"/>
          <w:szCs w:val="22"/>
        </w:rPr>
        <w:t xml:space="preserve">An Approach for Using Probabilistic Risk Assessment </w:t>
      </w:r>
      <w:r w:rsidR="00953475" w:rsidRPr="00662392">
        <w:rPr>
          <w:rFonts w:ascii="Arial" w:hAnsi="Arial" w:cs="Arial"/>
          <w:sz w:val="22"/>
          <w:szCs w:val="22"/>
        </w:rPr>
        <w:t>in Risk-Informed Decisions of Plant-Specific Changes to the Licensing Basis”</w:t>
      </w:r>
    </w:p>
    <w:p w14:paraId="344A8CB6" w14:textId="11E13285" w:rsidR="00346D1E" w:rsidRPr="00662392" w:rsidRDefault="00346D1E" w:rsidP="00194415">
      <w:pPr>
        <w:pStyle w:val="ListParagraph"/>
        <w:numPr>
          <w:ilvl w:val="0"/>
          <w:numId w:val="1"/>
        </w:numPr>
        <w:rPr>
          <w:rFonts w:ascii="Arial" w:hAnsi="Arial" w:cs="Arial"/>
          <w:sz w:val="22"/>
          <w:szCs w:val="22"/>
        </w:rPr>
      </w:pPr>
      <w:r w:rsidRPr="00662392">
        <w:rPr>
          <w:rFonts w:ascii="Arial" w:hAnsi="Arial" w:cs="Arial"/>
          <w:sz w:val="22"/>
          <w:szCs w:val="22"/>
        </w:rPr>
        <w:t>RG 1.186</w:t>
      </w:r>
      <w:r w:rsidR="00334715" w:rsidRPr="00662392">
        <w:rPr>
          <w:rFonts w:ascii="Arial" w:hAnsi="Arial" w:cs="Arial"/>
          <w:sz w:val="22"/>
          <w:szCs w:val="22"/>
        </w:rPr>
        <w:t xml:space="preserve">, </w:t>
      </w:r>
      <w:r w:rsidR="00006934" w:rsidRPr="00662392">
        <w:rPr>
          <w:rFonts w:ascii="Arial" w:hAnsi="Arial" w:cs="Arial"/>
          <w:sz w:val="22"/>
          <w:szCs w:val="22"/>
        </w:rPr>
        <w:t>“Guidance and Examples for Identifying 10 CFR 50.2 Design Bases”</w:t>
      </w:r>
    </w:p>
    <w:p w14:paraId="25DB1DD7" w14:textId="3A99B371" w:rsidR="00C94901" w:rsidRPr="00662392" w:rsidRDefault="00C94901" w:rsidP="00194415">
      <w:pPr>
        <w:pStyle w:val="ListParagraph"/>
        <w:numPr>
          <w:ilvl w:val="0"/>
          <w:numId w:val="1"/>
        </w:numPr>
        <w:rPr>
          <w:rFonts w:ascii="Arial" w:hAnsi="Arial" w:cs="Arial"/>
          <w:sz w:val="22"/>
          <w:szCs w:val="22"/>
        </w:rPr>
      </w:pPr>
      <w:r w:rsidRPr="00662392">
        <w:rPr>
          <w:rFonts w:ascii="Arial" w:hAnsi="Arial" w:cs="Arial"/>
          <w:sz w:val="22"/>
          <w:szCs w:val="22"/>
        </w:rPr>
        <w:t>RG 1.187, “Guidance for Implementation of 10 CFR 50.59, Changes, Tests, and Experiments”</w:t>
      </w:r>
    </w:p>
    <w:p w14:paraId="456A87F2" w14:textId="0BC3EC24" w:rsidR="008F67B4" w:rsidRPr="00662392" w:rsidRDefault="008F67B4" w:rsidP="00194415">
      <w:pPr>
        <w:pStyle w:val="ListParagraph"/>
        <w:numPr>
          <w:ilvl w:val="0"/>
          <w:numId w:val="1"/>
        </w:numPr>
        <w:rPr>
          <w:rFonts w:ascii="Arial" w:hAnsi="Arial" w:cs="Arial"/>
          <w:sz w:val="22"/>
          <w:szCs w:val="22"/>
        </w:rPr>
      </w:pPr>
      <w:r w:rsidRPr="00662392">
        <w:rPr>
          <w:rFonts w:ascii="Arial" w:hAnsi="Arial" w:cs="Arial"/>
          <w:sz w:val="22"/>
          <w:szCs w:val="22"/>
        </w:rPr>
        <w:t>RG 3.72, “Guidance for Implementation of 10 CFR 72.48, Changes, Tests, and Experiments”</w:t>
      </w:r>
    </w:p>
    <w:p w14:paraId="3585C8C6" w14:textId="739EC407" w:rsidR="008F67B4" w:rsidRPr="00662392" w:rsidRDefault="001F45F8" w:rsidP="00194415">
      <w:pPr>
        <w:pStyle w:val="ListParagraph"/>
        <w:numPr>
          <w:ilvl w:val="0"/>
          <w:numId w:val="1"/>
        </w:numPr>
        <w:rPr>
          <w:rFonts w:ascii="Arial" w:hAnsi="Arial" w:cs="Arial"/>
          <w:sz w:val="22"/>
          <w:szCs w:val="22"/>
        </w:rPr>
      </w:pPr>
      <w:r w:rsidRPr="00662392">
        <w:rPr>
          <w:rFonts w:ascii="Arial" w:hAnsi="Arial" w:cs="Arial"/>
          <w:sz w:val="22"/>
          <w:szCs w:val="22"/>
        </w:rPr>
        <w:t>RIS 2012-05, “Clarifying the Relationship Between 10 CFR 72.212 and 10 CFR 72.48 Evaluations”</w:t>
      </w:r>
    </w:p>
    <w:p w14:paraId="3BDE23EC" w14:textId="6BF74A7F" w:rsidR="00346D1E" w:rsidRPr="00662392" w:rsidRDefault="00E7797F" w:rsidP="00194415">
      <w:pPr>
        <w:pStyle w:val="ListParagraph"/>
        <w:numPr>
          <w:ilvl w:val="0"/>
          <w:numId w:val="1"/>
        </w:numPr>
        <w:rPr>
          <w:rFonts w:ascii="Arial" w:hAnsi="Arial" w:cs="Arial"/>
          <w:sz w:val="22"/>
          <w:szCs w:val="22"/>
        </w:rPr>
      </w:pPr>
      <w:r w:rsidRPr="00662392">
        <w:rPr>
          <w:rFonts w:ascii="Arial" w:hAnsi="Arial" w:cs="Arial"/>
          <w:sz w:val="22"/>
          <w:szCs w:val="22"/>
        </w:rPr>
        <w:t>SECY 99-07</w:t>
      </w:r>
      <w:r w:rsidR="00C450A1" w:rsidRPr="00662392">
        <w:rPr>
          <w:rFonts w:ascii="Arial" w:hAnsi="Arial" w:cs="Arial"/>
          <w:sz w:val="22"/>
          <w:szCs w:val="22"/>
        </w:rPr>
        <w:t>, “</w:t>
      </w:r>
      <w:r w:rsidR="00EB0C24" w:rsidRPr="00662392">
        <w:rPr>
          <w:rFonts w:ascii="Arial" w:hAnsi="Arial" w:cs="Arial"/>
          <w:sz w:val="22"/>
          <w:szCs w:val="22"/>
        </w:rPr>
        <w:t>Recommendations for Reactor Oversight Process Improvements</w:t>
      </w:r>
      <w:r w:rsidR="00845027" w:rsidRPr="00662392">
        <w:rPr>
          <w:rFonts w:ascii="Arial" w:hAnsi="Arial" w:cs="Arial"/>
          <w:sz w:val="22"/>
          <w:szCs w:val="22"/>
        </w:rPr>
        <w:t>”</w:t>
      </w:r>
    </w:p>
    <w:p w14:paraId="189A0777" w14:textId="77777777" w:rsidR="00C94901" w:rsidRPr="00662392" w:rsidRDefault="00C94901" w:rsidP="00194415">
      <w:pPr>
        <w:rPr>
          <w:sz w:val="22"/>
          <w:szCs w:val="22"/>
        </w:rPr>
      </w:pPr>
    </w:p>
    <w:p w14:paraId="012115B3" w14:textId="77777777" w:rsidR="001F0023" w:rsidRPr="00662392" w:rsidRDefault="001F0023" w:rsidP="00194415">
      <w:pPr>
        <w:jc w:val="center"/>
        <w:rPr>
          <w:sz w:val="22"/>
          <w:szCs w:val="22"/>
        </w:rPr>
      </w:pPr>
    </w:p>
    <w:p w14:paraId="681D1C65" w14:textId="1523BD7D" w:rsidR="00434004" w:rsidRPr="00662392" w:rsidRDefault="00434004" w:rsidP="00194415">
      <w:pPr>
        <w:jc w:val="center"/>
        <w:rPr>
          <w:sz w:val="22"/>
          <w:szCs w:val="22"/>
        </w:rPr>
        <w:sectPr w:rsidR="00434004" w:rsidRPr="00662392" w:rsidSect="00012998">
          <w:pgSz w:w="12240" w:h="15840" w:code="1"/>
          <w:pgMar w:top="1440" w:right="1440" w:bottom="1440" w:left="1440" w:header="720" w:footer="720" w:gutter="0"/>
          <w:cols w:space="720"/>
          <w:noEndnote/>
          <w:docGrid w:linePitch="326"/>
        </w:sectPr>
      </w:pPr>
      <w:r w:rsidRPr="00662392">
        <w:rPr>
          <w:sz w:val="22"/>
          <w:szCs w:val="22"/>
        </w:rPr>
        <w:t>END</w:t>
      </w:r>
    </w:p>
    <w:p w14:paraId="3FD7496D" w14:textId="77777777" w:rsidR="0000639C" w:rsidRPr="00662392" w:rsidRDefault="0000639C" w:rsidP="00194415">
      <w:pPr>
        <w:pStyle w:val="Header01"/>
        <w:jc w:val="center"/>
        <w:rPr>
          <w:sz w:val="22"/>
          <w:szCs w:val="22"/>
        </w:rPr>
      </w:pPr>
    </w:p>
    <w:p w14:paraId="4128A24E" w14:textId="088D4C31" w:rsidR="00710705" w:rsidRPr="00662392" w:rsidRDefault="00DB3CFF" w:rsidP="00194415">
      <w:pPr>
        <w:pStyle w:val="Header01"/>
        <w:jc w:val="center"/>
        <w:rPr>
          <w:sz w:val="22"/>
          <w:szCs w:val="22"/>
        </w:rPr>
      </w:pPr>
      <w:bookmarkStart w:id="166" w:name="_Toc166392893"/>
      <w:bookmarkStart w:id="167" w:name="_Toc166462816"/>
      <w:bookmarkStart w:id="168" w:name="_Toc168390790"/>
      <w:bookmarkStart w:id="169" w:name="_Toc168390865"/>
      <w:bookmarkStart w:id="170" w:name="_Toc168393150"/>
      <w:bookmarkStart w:id="171" w:name="_Toc168393303"/>
      <w:bookmarkStart w:id="172" w:name="_Toc168393408"/>
      <w:bookmarkStart w:id="173" w:name="_Toc168911242"/>
      <w:bookmarkStart w:id="174" w:name="_Toc168911471"/>
      <w:bookmarkStart w:id="175" w:name="_Toc192323328"/>
      <w:bookmarkStart w:id="176" w:name="_Toc193523665"/>
      <w:bookmarkStart w:id="177" w:name="_Toc62642771"/>
      <w:r w:rsidRPr="00662392">
        <w:rPr>
          <w:sz w:val="22"/>
          <w:szCs w:val="22"/>
        </w:rPr>
        <w:t xml:space="preserve">Attachment </w:t>
      </w:r>
      <w:r w:rsidR="00233E7E" w:rsidRPr="00662392">
        <w:rPr>
          <w:sz w:val="22"/>
          <w:szCs w:val="22"/>
        </w:rPr>
        <w:t>1</w:t>
      </w:r>
      <w:r w:rsidRPr="00662392">
        <w:rPr>
          <w:sz w:val="22"/>
          <w:szCs w:val="22"/>
        </w:rPr>
        <w:t xml:space="preserve"> - Revision History for IMC </w:t>
      </w:r>
      <w:bookmarkEnd w:id="166"/>
      <w:bookmarkEnd w:id="167"/>
      <w:bookmarkEnd w:id="168"/>
      <w:bookmarkEnd w:id="169"/>
      <w:bookmarkEnd w:id="170"/>
      <w:bookmarkEnd w:id="171"/>
      <w:bookmarkEnd w:id="172"/>
      <w:bookmarkEnd w:id="173"/>
      <w:bookmarkEnd w:id="174"/>
      <w:bookmarkEnd w:id="175"/>
      <w:bookmarkEnd w:id="176"/>
      <w:r w:rsidR="002C6DCE" w:rsidRPr="00662392">
        <w:rPr>
          <w:sz w:val="22"/>
          <w:szCs w:val="22"/>
        </w:rPr>
        <w:t>03</w:t>
      </w:r>
      <w:r w:rsidR="00D908D4" w:rsidRPr="00662392">
        <w:rPr>
          <w:sz w:val="22"/>
          <w:szCs w:val="22"/>
        </w:rPr>
        <w:t>35</w:t>
      </w:r>
      <w:r w:rsidR="00405793" w:rsidRPr="00662392">
        <w:rPr>
          <w:sz w:val="22"/>
          <w:szCs w:val="22"/>
        </w:rPr>
        <w:t xml:space="preserve">, </w:t>
      </w:r>
      <w:r w:rsidR="00710705" w:rsidRPr="00662392">
        <w:rPr>
          <w:sz w:val="22"/>
          <w:szCs w:val="22"/>
        </w:rPr>
        <w:t>“</w:t>
      </w:r>
      <w:r w:rsidR="00D908D4" w:rsidRPr="00662392">
        <w:rPr>
          <w:sz w:val="22"/>
          <w:szCs w:val="22"/>
        </w:rPr>
        <w:t>Changes, Tests, and Experiments</w:t>
      </w:r>
      <w:r w:rsidR="00710705" w:rsidRPr="00662392">
        <w:rPr>
          <w:sz w:val="22"/>
          <w:szCs w:val="22"/>
        </w:rPr>
        <w:t>”</w:t>
      </w:r>
      <w:bookmarkEnd w:id="177"/>
    </w:p>
    <w:p w14:paraId="4EE75DA8" w14:textId="45E1855D" w:rsidR="00173F6C" w:rsidRPr="00662392" w:rsidRDefault="00173F6C" w:rsidP="00194415">
      <w:pPr>
        <w:pStyle w:val="AppendixTitle"/>
        <w:rPr>
          <w:rFonts w:cs="Arial"/>
          <w:sz w:val="22"/>
          <w:szCs w:val="22"/>
        </w:rPr>
      </w:pPr>
    </w:p>
    <w:tbl>
      <w:tblPr>
        <w:tblW w:w="13487" w:type="dxa"/>
        <w:tblInd w:w="98" w:type="dxa"/>
        <w:tblLayout w:type="fixed"/>
        <w:tblCellMar>
          <w:left w:w="0" w:type="dxa"/>
          <w:right w:w="0" w:type="dxa"/>
        </w:tblCellMar>
        <w:tblLook w:val="01E0" w:firstRow="1" w:lastRow="1" w:firstColumn="1" w:lastColumn="1" w:noHBand="0" w:noVBand="0"/>
      </w:tblPr>
      <w:tblGrid>
        <w:gridCol w:w="1464"/>
        <w:gridCol w:w="1778"/>
        <w:gridCol w:w="6375"/>
        <w:gridCol w:w="1710"/>
        <w:gridCol w:w="2160"/>
      </w:tblGrid>
      <w:tr w:rsidR="00173F6C" w:rsidRPr="00662392" w14:paraId="35CAC86A" w14:textId="77777777" w:rsidTr="00C42A5C">
        <w:trPr>
          <w:trHeight w:hRule="exact" w:val="2044"/>
        </w:trPr>
        <w:tc>
          <w:tcPr>
            <w:tcW w:w="1464" w:type="dxa"/>
            <w:tcBorders>
              <w:top w:val="single" w:sz="4" w:space="0" w:color="000000"/>
              <w:left w:val="single" w:sz="4" w:space="0" w:color="000000"/>
              <w:bottom w:val="single" w:sz="4" w:space="0" w:color="000000"/>
              <w:right w:val="single" w:sz="4" w:space="0" w:color="000000"/>
            </w:tcBorders>
          </w:tcPr>
          <w:p w14:paraId="1D00CF46" w14:textId="77777777" w:rsidR="00173F6C" w:rsidRPr="00662392" w:rsidRDefault="00173F6C" w:rsidP="00194415">
            <w:pPr>
              <w:autoSpaceDE/>
              <w:autoSpaceDN/>
              <w:adjustRightInd/>
              <w:ind w:left="63" w:right="43"/>
              <w:jc w:val="center"/>
              <w:rPr>
                <w:rFonts w:eastAsia="Times New Roman"/>
                <w:sz w:val="22"/>
                <w:szCs w:val="22"/>
              </w:rPr>
            </w:pPr>
            <w:r w:rsidRPr="00662392">
              <w:rPr>
                <w:rFonts w:eastAsia="Times New Roman"/>
                <w:spacing w:val="-1"/>
                <w:sz w:val="22"/>
                <w:szCs w:val="22"/>
              </w:rPr>
              <w:t>C</w:t>
            </w:r>
            <w:r w:rsidRPr="00662392">
              <w:rPr>
                <w:rFonts w:eastAsia="Times New Roman"/>
                <w:sz w:val="22"/>
                <w:szCs w:val="22"/>
              </w:rPr>
              <w:t>o</w:t>
            </w:r>
            <w:r w:rsidRPr="00662392">
              <w:rPr>
                <w:rFonts w:eastAsia="Times New Roman"/>
                <w:spacing w:val="1"/>
                <w:sz w:val="22"/>
                <w:szCs w:val="22"/>
              </w:rPr>
              <w:t>mm</w:t>
            </w:r>
            <w:r w:rsidRPr="00662392">
              <w:rPr>
                <w:rFonts w:eastAsia="Times New Roman"/>
                <w:spacing w:val="-1"/>
                <w:sz w:val="22"/>
                <w:szCs w:val="22"/>
              </w:rPr>
              <w:t>it</w:t>
            </w:r>
            <w:r w:rsidRPr="00662392">
              <w:rPr>
                <w:rFonts w:eastAsia="Times New Roman"/>
                <w:spacing w:val="1"/>
                <w:sz w:val="22"/>
                <w:szCs w:val="22"/>
              </w:rPr>
              <w:t>m</w:t>
            </w:r>
            <w:r w:rsidRPr="00662392">
              <w:rPr>
                <w:rFonts w:eastAsia="Times New Roman"/>
                <w:sz w:val="22"/>
                <w:szCs w:val="22"/>
              </w:rPr>
              <w:t>ent</w:t>
            </w:r>
          </w:p>
          <w:p w14:paraId="431C70B8" w14:textId="77777777" w:rsidR="00173F6C" w:rsidRPr="00662392" w:rsidRDefault="00173F6C" w:rsidP="00194415">
            <w:pPr>
              <w:autoSpaceDE/>
              <w:autoSpaceDN/>
              <w:adjustRightInd/>
              <w:ind w:left="265" w:right="245"/>
              <w:jc w:val="center"/>
              <w:rPr>
                <w:rFonts w:eastAsia="Times New Roman"/>
                <w:sz w:val="22"/>
                <w:szCs w:val="22"/>
              </w:rPr>
            </w:pPr>
            <w:r w:rsidRPr="00662392">
              <w:rPr>
                <w:rFonts w:eastAsia="Times New Roman"/>
                <w:spacing w:val="2"/>
                <w:sz w:val="22"/>
                <w:szCs w:val="22"/>
              </w:rPr>
              <w:t>T</w:t>
            </w:r>
            <w:r w:rsidRPr="00662392">
              <w:rPr>
                <w:rFonts w:eastAsia="Times New Roman"/>
                <w:spacing w:val="1"/>
                <w:sz w:val="22"/>
                <w:szCs w:val="22"/>
              </w:rPr>
              <w:t>r</w:t>
            </w:r>
            <w:r w:rsidRPr="00662392">
              <w:rPr>
                <w:rFonts w:eastAsia="Times New Roman"/>
                <w:spacing w:val="-3"/>
                <w:sz w:val="22"/>
                <w:szCs w:val="22"/>
              </w:rPr>
              <w:t>a</w:t>
            </w:r>
            <w:r w:rsidRPr="00662392">
              <w:rPr>
                <w:rFonts w:eastAsia="Times New Roman"/>
                <w:spacing w:val="-2"/>
                <w:sz w:val="22"/>
                <w:szCs w:val="22"/>
              </w:rPr>
              <w:t>c</w:t>
            </w:r>
            <w:r w:rsidRPr="00662392">
              <w:rPr>
                <w:rFonts w:eastAsia="Times New Roman"/>
                <w:spacing w:val="2"/>
                <w:sz w:val="22"/>
                <w:szCs w:val="22"/>
              </w:rPr>
              <w:t>k</w:t>
            </w:r>
            <w:r w:rsidRPr="00662392">
              <w:rPr>
                <w:rFonts w:eastAsia="Times New Roman"/>
                <w:spacing w:val="-1"/>
                <w:sz w:val="22"/>
                <w:szCs w:val="22"/>
              </w:rPr>
              <w:t>i</w:t>
            </w:r>
            <w:r w:rsidRPr="00662392">
              <w:rPr>
                <w:rFonts w:eastAsia="Times New Roman"/>
                <w:sz w:val="22"/>
                <w:szCs w:val="22"/>
              </w:rPr>
              <w:t>ng</w:t>
            </w:r>
          </w:p>
          <w:p w14:paraId="351D16D7" w14:textId="77777777" w:rsidR="00173F6C" w:rsidRPr="00662392" w:rsidRDefault="00173F6C" w:rsidP="00194415">
            <w:pPr>
              <w:autoSpaceDE/>
              <w:autoSpaceDN/>
              <w:adjustRightInd/>
              <w:ind w:left="298" w:right="278"/>
              <w:jc w:val="center"/>
              <w:rPr>
                <w:rFonts w:eastAsia="Times New Roman"/>
                <w:sz w:val="22"/>
                <w:szCs w:val="22"/>
              </w:rPr>
            </w:pPr>
            <w:r w:rsidRPr="00662392">
              <w:rPr>
                <w:rFonts w:eastAsia="Times New Roman"/>
                <w:spacing w:val="-1"/>
                <w:sz w:val="22"/>
                <w:szCs w:val="22"/>
              </w:rPr>
              <w:t>N</w:t>
            </w:r>
            <w:r w:rsidRPr="00662392">
              <w:rPr>
                <w:rFonts w:eastAsia="Times New Roman"/>
                <w:sz w:val="22"/>
                <w:szCs w:val="22"/>
              </w:rPr>
              <w:t>u</w:t>
            </w:r>
            <w:r w:rsidRPr="00662392">
              <w:rPr>
                <w:rFonts w:eastAsia="Times New Roman"/>
                <w:spacing w:val="1"/>
                <w:sz w:val="22"/>
                <w:szCs w:val="22"/>
              </w:rPr>
              <w:t>m</w:t>
            </w:r>
            <w:r w:rsidRPr="00662392">
              <w:rPr>
                <w:rFonts w:eastAsia="Times New Roman"/>
                <w:sz w:val="22"/>
                <w:szCs w:val="22"/>
              </w:rPr>
              <w:t>ber</w:t>
            </w:r>
          </w:p>
        </w:tc>
        <w:tc>
          <w:tcPr>
            <w:tcW w:w="1778" w:type="dxa"/>
            <w:tcBorders>
              <w:top w:val="single" w:sz="4" w:space="0" w:color="000000"/>
              <w:left w:val="single" w:sz="4" w:space="0" w:color="000000"/>
              <w:bottom w:val="single" w:sz="4" w:space="0" w:color="000000"/>
              <w:right w:val="single" w:sz="4" w:space="0" w:color="000000"/>
            </w:tcBorders>
          </w:tcPr>
          <w:p w14:paraId="38020156" w14:textId="77777777" w:rsidR="00173F6C" w:rsidRPr="00662392" w:rsidRDefault="00173F6C" w:rsidP="00194415">
            <w:pPr>
              <w:autoSpaceDE/>
              <w:autoSpaceDN/>
              <w:adjustRightInd/>
              <w:ind w:left="342" w:right="324"/>
              <w:jc w:val="center"/>
              <w:rPr>
                <w:rFonts w:eastAsia="Times New Roman"/>
                <w:sz w:val="22"/>
                <w:szCs w:val="22"/>
              </w:rPr>
            </w:pPr>
            <w:r w:rsidRPr="00662392">
              <w:rPr>
                <w:rFonts w:eastAsia="Times New Roman"/>
                <w:spacing w:val="-1"/>
                <w:sz w:val="22"/>
                <w:szCs w:val="22"/>
              </w:rPr>
              <w:t>A</w:t>
            </w:r>
            <w:r w:rsidRPr="00662392">
              <w:rPr>
                <w:rFonts w:eastAsia="Times New Roman"/>
                <w:sz w:val="22"/>
                <w:szCs w:val="22"/>
              </w:rPr>
              <w:t>ccess</w:t>
            </w:r>
            <w:r w:rsidRPr="00662392">
              <w:rPr>
                <w:rFonts w:eastAsia="Times New Roman"/>
                <w:spacing w:val="-1"/>
                <w:sz w:val="22"/>
                <w:szCs w:val="22"/>
              </w:rPr>
              <w:t>i</w:t>
            </w:r>
            <w:r w:rsidRPr="00662392">
              <w:rPr>
                <w:rFonts w:eastAsia="Times New Roman"/>
                <w:sz w:val="22"/>
                <w:szCs w:val="22"/>
              </w:rPr>
              <w:t>on</w:t>
            </w:r>
          </w:p>
          <w:p w14:paraId="3FFA01CE" w14:textId="77777777" w:rsidR="00173F6C" w:rsidRPr="00662392" w:rsidRDefault="00173F6C" w:rsidP="00194415">
            <w:pPr>
              <w:autoSpaceDE/>
              <w:autoSpaceDN/>
              <w:adjustRightInd/>
              <w:ind w:left="452" w:right="434"/>
              <w:jc w:val="center"/>
              <w:rPr>
                <w:rFonts w:eastAsia="Times New Roman"/>
                <w:sz w:val="22"/>
                <w:szCs w:val="22"/>
              </w:rPr>
            </w:pPr>
            <w:r w:rsidRPr="00662392">
              <w:rPr>
                <w:rFonts w:eastAsia="Times New Roman"/>
                <w:spacing w:val="-1"/>
                <w:sz w:val="22"/>
                <w:szCs w:val="22"/>
              </w:rPr>
              <w:t>N</w:t>
            </w:r>
            <w:r w:rsidRPr="00662392">
              <w:rPr>
                <w:rFonts w:eastAsia="Times New Roman"/>
                <w:sz w:val="22"/>
                <w:szCs w:val="22"/>
              </w:rPr>
              <w:t>u</w:t>
            </w:r>
            <w:r w:rsidRPr="00662392">
              <w:rPr>
                <w:rFonts w:eastAsia="Times New Roman"/>
                <w:spacing w:val="1"/>
                <w:sz w:val="22"/>
                <w:szCs w:val="22"/>
              </w:rPr>
              <w:t>m</w:t>
            </w:r>
            <w:r w:rsidRPr="00662392">
              <w:rPr>
                <w:rFonts w:eastAsia="Times New Roman"/>
                <w:sz w:val="22"/>
                <w:szCs w:val="22"/>
              </w:rPr>
              <w:t>ber</w:t>
            </w:r>
          </w:p>
          <w:p w14:paraId="75241333" w14:textId="77777777" w:rsidR="00173F6C" w:rsidRPr="00662392" w:rsidRDefault="00173F6C" w:rsidP="00194415">
            <w:pPr>
              <w:autoSpaceDE/>
              <w:autoSpaceDN/>
              <w:adjustRightInd/>
              <w:ind w:left="318" w:right="297"/>
              <w:jc w:val="center"/>
              <w:rPr>
                <w:rFonts w:eastAsia="Times New Roman"/>
                <w:sz w:val="22"/>
                <w:szCs w:val="22"/>
              </w:rPr>
            </w:pPr>
            <w:r w:rsidRPr="00662392">
              <w:rPr>
                <w:rFonts w:eastAsia="Times New Roman"/>
                <w:spacing w:val="1"/>
                <w:sz w:val="22"/>
                <w:szCs w:val="22"/>
              </w:rPr>
              <w:t>I</w:t>
            </w:r>
            <w:r w:rsidRPr="00662392">
              <w:rPr>
                <w:rFonts w:eastAsia="Times New Roman"/>
                <w:sz w:val="22"/>
                <w:szCs w:val="22"/>
              </w:rPr>
              <w:t>ssue</w:t>
            </w:r>
            <w:r w:rsidRPr="00662392">
              <w:rPr>
                <w:rFonts w:eastAsia="Times New Roman"/>
                <w:spacing w:val="1"/>
                <w:sz w:val="22"/>
                <w:szCs w:val="22"/>
              </w:rPr>
              <w:t xml:space="preserve"> </w:t>
            </w:r>
            <w:r w:rsidRPr="00662392">
              <w:rPr>
                <w:rFonts w:eastAsia="Times New Roman"/>
                <w:spacing w:val="-1"/>
                <w:sz w:val="22"/>
                <w:szCs w:val="22"/>
              </w:rPr>
              <w:t>D</w:t>
            </w:r>
            <w:r w:rsidRPr="00662392">
              <w:rPr>
                <w:rFonts w:eastAsia="Times New Roman"/>
                <w:spacing w:val="-3"/>
                <w:sz w:val="22"/>
                <w:szCs w:val="22"/>
              </w:rPr>
              <w:t>a</w:t>
            </w:r>
            <w:r w:rsidRPr="00662392">
              <w:rPr>
                <w:rFonts w:eastAsia="Times New Roman"/>
                <w:spacing w:val="1"/>
                <w:sz w:val="22"/>
                <w:szCs w:val="22"/>
              </w:rPr>
              <w:t>t</w:t>
            </w:r>
            <w:r w:rsidRPr="00662392">
              <w:rPr>
                <w:rFonts w:eastAsia="Times New Roman"/>
                <w:sz w:val="22"/>
                <w:szCs w:val="22"/>
              </w:rPr>
              <w:t>e</w:t>
            </w:r>
          </w:p>
          <w:p w14:paraId="040183CB" w14:textId="77777777" w:rsidR="00173F6C" w:rsidRPr="00662392" w:rsidRDefault="00173F6C" w:rsidP="00194415">
            <w:pPr>
              <w:autoSpaceDE/>
              <w:autoSpaceDN/>
              <w:adjustRightInd/>
              <w:ind w:left="118" w:right="99"/>
              <w:jc w:val="center"/>
              <w:rPr>
                <w:rFonts w:eastAsia="Times New Roman"/>
                <w:sz w:val="22"/>
                <w:szCs w:val="22"/>
              </w:rPr>
            </w:pPr>
            <w:r w:rsidRPr="00662392">
              <w:rPr>
                <w:rFonts w:eastAsia="Times New Roman"/>
                <w:spacing w:val="-1"/>
                <w:sz w:val="22"/>
                <w:szCs w:val="22"/>
              </w:rPr>
              <w:t>C</w:t>
            </w:r>
            <w:r w:rsidRPr="00662392">
              <w:rPr>
                <w:rFonts w:eastAsia="Times New Roman"/>
                <w:sz w:val="22"/>
                <w:szCs w:val="22"/>
              </w:rPr>
              <w:t>han</w:t>
            </w:r>
            <w:r w:rsidRPr="00662392">
              <w:rPr>
                <w:rFonts w:eastAsia="Times New Roman"/>
                <w:spacing w:val="2"/>
                <w:sz w:val="22"/>
                <w:szCs w:val="22"/>
              </w:rPr>
              <w:t>g</w:t>
            </w:r>
            <w:r w:rsidRPr="00662392">
              <w:rPr>
                <w:rFonts w:eastAsia="Times New Roman"/>
                <w:sz w:val="22"/>
                <w:szCs w:val="22"/>
              </w:rPr>
              <w:t>e</w:t>
            </w:r>
            <w:r w:rsidRPr="00662392">
              <w:rPr>
                <w:rFonts w:eastAsia="Times New Roman"/>
                <w:spacing w:val="1"/>
                <w:sz w:val="22"/>
                <w:szCs w:val="22"/>
              </w:rPr>
              <w:t xml:space="preserve"> </w:t>
            </w:r>
            <w:r w:rsidRPr="00662392">
              <w:rPr>
                <w:rFonts w:eastAsia="Times New Roman"/>
                <w:spacing w:val="-1"/>
                <w:sz w:val="22"/>
                <w:szCs w:val="22"/>
              </w:rPr>
              <w:t>N</w:t>
            </w:r>
            <w:r w:rsidRPr="00662392">
              <w:rPr>
                <w:rFonts w:eastAsia="Times New Roman"/>
                <w:spacing w:val="-3"/>
                <w:sz w:val="22"/>
                <w:szCs w:val="22"/>
              </w:rPr>
              <w:t>o</w:t>
            </w:r>
            <w:r w:rsidRPr="00662392">
              <w:rPr>
                <w:rFonts w:eastAsia="Times New Roman"/>
                <w:spacing w:val="1"/>
                <w:sz w:val="22"/>
                <w:szCs w:val="22"/>
              </w:rPr>
              <w:t>t</w:t>
            </w:r>
            <w:r w:rsidRPr="00662392">
              <w:rPr>
                <w:rFonts w:eastAsia="Times New Roman"/>
                <w:spacing w:val="-1"/>
                <w:sz w:val="22"/>
                <w:szCs w:val="22"/>
              </w:rPr>
              <w:t>i</w:t>
            </w:r>
            <w:r w:rsidRPr="00662392">
              <w:rPr>
                <w:rFonts w:eastAsia="Times New Roman"/>
                <w:sz w:val="22"/>
                <w:szCs w:val="22"/>
              </w:rPr>
              <w:t>ce</w:t>
            </w:r>
          </w:p>
        </w:tc>
        <w:tc>
          <w:tcPr>
            <w:tcW w:w="6375" w:type="dxa"/>
            <w:tcBorders>
              <w:top w:val="single" w:sz="4" w:space="0" w:color="000000"/>
              <w:left w:val="single" w:sz="4" w:space="0" w:color="000000"/>
              <w:bottom w:val="single" w:sz="4" w:space="0" w:color="000000"/>
              <w:right w:val="single" w:sz="4" w:space="0" w:color="000000"/>
            </w:tcBorders>
          </w:tcPr>
          <w:p w14:paraId="4929A463" w14:textId="77777777" w:rsidR="00233E7E" w:rsidRPr="00662392" w:rsidRDefault="00173F6C" w:rsidP="00194415">
            <w:pPr>
              <w:autoSpaceDE/>
              <w:autoSpaceDN/>
              <w:adjustRightInd/>
              <w:ind w:left="-15"/>
              <w:jc w:val="center"/>
              <w:rPr>
                <w:rFonts w:eastAsia="Times New Roman"/>
                <w:sz w:val="22"/>
                <w:szCs w:val="22"/>
              </w:rPr>
            </w:pPr>
            <w:r w:rsidRPr="00662392">
              <w:rPr>
                <w:rFonts w:eastAsia="Times New Roman"/>
                <w:spacing w:val="-1"/>
                <w:sz w:val="22"/>
                <w:szCs w:val="22"/>
              </w:rPr>
              <w:t>D</w:t>
            </w:r>
            <w:r w:rsidRPr="00662392">
              <w:rPr>
                <w:rFonts w:eastAsia="Times New Roman"/>
                <w:sz w:val="22"/>
                <w:szCs w:val="22"/>
              </w:rPr>
              <w:t>esc</w:t>
            </w:r>
            <w:r w:rsidRPr="00662392">
              <w:rPr>
                <w:rFonts w:eastAsia="Times New Roman"/>
                <w:spacing w:val="1"/>
                <w:sz w:val="22"/>
                <w:szCs w:val="22"/>
              </w:rPr>
              <w:t>r</w:t>
            </w:r>
            <w:r w:rsidRPr="00662392">
              <w:rPr>
                <w:rFonts w:eastAsia="Times New Roman"/>
                <w:spacing w:val="-1"/>
                <w:sz w:val="22"/>
                <w:szCs w:val="22"/>
              </w:rPr>
              <w:t>i</w:t>
            </w:r>
            <w:r w:rsidRPr="00662392">
              <w:rPr>
                <w:rFonts w:eastAsia="Times New Roman"/>
                <w:sz w:val="22"/>
                <w:szCs w:val="22"/>
              </w:rPr>
              <w:t>p</w:t>
            </w:r>
            <w:r w:rsidRPr="00662392">
              <w:rPr>
                <w:rFonts w:eastAsia="Times New Roman"/>
                <w:spacing w:val="1"/>
                <w:sz w:val="22"/>
                <w:szCs w:val="22"/>
              </w:rPr>
              <w:t>t</w:t>
            </w:r>
            <w:r w:rsidRPr="00662392">
              <w:rPr>
                <w:rFonts w:eastAsia="Times New Roman"/>
                <w:spacing w:val="-1"/>
                <w:sz w:val="22"/>
                <w:szCs w:val="22"/>
              </w:rPr>
              <w:t>i</w:t>
            </w:r>
            <w:r w:rsidRPr="00662392">
              <w:rPr>
                <w:rFonts w:eastAsia="Times New Roman"/>
                <w:sz w:val="22"/>
                <w:szCs w:val="22"/>
              </w:rPr>
              <w:t>on</w:t>
            </w:r>
            <w:r w:rsidRPr="00662392">
              <w:rPr>
                <w:rFonts w:eastAsia="Times New Roman"/>
                <w:spacing w:val="1"/>
                <w:sz w:val="22"/>
                <w:szCs w:val="22"/>
              </w:rPr>
              <w:t xml:space="preserve"> </w:t>
            </w:r>
            <w:r w:rsidRPr="00662392">
              <w:rPr>
                <w:rFonts w:eastAsia="Times New Roman"/>
                <w:spacing w:val="-3"/>
                <w:sz w:val="22"/>
                <w:szCs w:val="22"/>
              </w:rPr>
              <w:t>o</w:t>
            </w:r>
            <w:r w:rsidRPr="00662392">
              <w:rPr>
                <w:rFonts w:eastAsia="Times New Roman"/>
                <w:sz w:val="22"/>
                <w:szCs w:val="22"/>
              </w:rPr>
              <w:t>f</w:t>
            </w:r>
            <w:r w:rsidRPr="00662392">
              <w:rPr>
                <w:rFonts w:eastAsia="Times New Roman"/>
                <w:spacing w:val="3"/>
                <w:sz w:val="22"/>
                <w:szCs w:val="22"/>
              </w:rPr>
              <w:t xml:space="preserve"> </w:t>
            </w:r>
            <w:r w:rsidRPr="00662392">
              <w:rPr>
                <w:rFonts w:eastAsia="Times New Roman"/>
                <w:spacing w:val="-1"/>
                <w:sz w:val="22"/>
                <w:szCs w:val="22"/>
              </w:rPr>
              <w:t>C</w:t>
            </w:r>
            <w:r w:rsidRPr="00662392">
              <w:rPr>
                <w:rFonts w:eastAsia="Times New Roman"/>
                <w:sz w:val="22"/>
                <w:szCs w:val="22"/>
              </w:rPr>
              <w:t>ha</w:t>
            </w:r>
            <w:r w:rsidRPr="00662392">
              <w:rPr>
                <w:rFonts w:eastAsia="Times New Roman"/>
                <w:spacing w:val="-3"/>
                <w:sz w:val="22"/>
                <w:szCs w:val="22"/>
              </w:rPr>
              <w:t>n</w:t>
            </w:r>
            <w:r w:rsidRPr="00662392">
              <w:rPr>
                <w:rFonts w:eastAsia="Times New Roman"/>
                <w:spacing w:val="2"/>
                <w:sz w:val="22"/>
                <w:szCs w:val="22"/>
              </w:rPr>
              <w:t>g</w:t>
            </w:r>
            <w:r w:rsidRPr="00662392">
              <w:rPr>
                <w:rFonts w:eastAsia="Times New Roman"/>
                <w:sz w:val="22"/>
                <w:szCs w:val="22"/>
              </w:rPr>
              <w:t>e</w:t>
            </w:r>
          </w:p>
          <w:p w14:paraId="5D945928" w14:textId="77777777" w:rsidR="00173F6C" w:rsidRPr="00662392" w:rsidRDefault="00173F6C" w:rsidP="00194415">
            <w:pPr>
              <w:jc w:val="center"/>
              <w:rPr>
                <w:rFonts w:eastAsia="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1F2D42A7" w14:textId="77777777" w:rsidR="00173F6C" w:rsidRPr="00662392" w:rsidRDefault="00173F6C" w:rsidP="00C42A5C">
            <w:pPr>
              <w:autoSpaceDE/>
              <w:autoSpaceDN/>
              <w:adjustRightInd/>
              <w:ind w:left="274" w:right="259"/>
              <w:jc w:val="center"/>
              <w:rPr>
                <w:rFonts w:eastAsia="Times New Roman"/>
                <w:sz w:val="22"/>
                <w:szCs w:val="22"/>
              </w:rPr>
            </w:pPr>
            <w:r w:rsidRPr="00662392">
              <w:rPr>
                <w:rFonts w:eastAsia="Times New Roman"/>
                <w:spacing w:val="-1"/>
                <w:sz w:val="22"/>
                <w:szCs w:val="22"/>
              </w:rPr>
              <w:t>D</w:t>
            </w:r>
            <w:r w:rsidRPr="00662392">
              <w:rPr>
                <w:rFonts w:eastAsia="Times New Roman"/>
                <w:sz w:val="22"/>
                <w:szCs w:val="22"/>
              </w:rPr>
              <w:t>esc</w:t>
            </w:r>
            <w:r w:rsidRPr="00662392">
              <w:rPr>
                <w:rFonts w:eastAsia="Times New Roman"/>
                <w:spacing w:val="1"/>
                <w:sz w:val="22"/>
                <w:szCs w:val="22"/>
              </w:rPr>
              <w:t>r</w:t>
            </w:r>
            <w:r w:rsidRPr="00662392">
              <w:rPr>
                <w:rFonts w:eastAsia="Times New Roman"/>
                <w:spacing w:val="-1"/>
                <w:sz w:val="22"/>
                <w:szCs w:val="22"/>
              </w:rPr>
              <w:t>i</w:t>
            </w:r>
            <w:r w:rsidRPr="00662392">
              <w:rPr>
                <w:rFonts w:eastAsia="Times New Roman"/>
                <w:sz w:val="22"/>
                <w:szCs w:val="22"/>
              </w:rPr>
              <w:t>p</w:t>
            </w:r>
            <w:r w:rsidRPr="00662392">
              <w:rPr>
                <w:rFonts w:eastAsia="Times New Roman"/>
                <w:spacing w:val="1"/>
                <w:sz w:val="22"/>
                <w:szCs w:val="22"/>
              </w:rPr>
              <w:t>t</w:t>
            </w:r>
            <w:r w:rsidRPr="00662392">
              <w:rPr>
                <w:rFonts w:eastAsia="Times New Roman"/>
                <w:spacing w:val="-1"/>
                <w:sz w:val="22"/>
                <w:szCs w:val="22"/>
              </w:rPr>
              <w:t>i</w:t>
            </w:r>
            <w:r w:rsidRPr="00662392">
              <w:rPr>
                <w:rFonts w:eastAsia="Times New Roman"/>
                <w:sz w:val="22"/>
                <w:szCs w:val="22"/>
              </w:rPr>
              <w:t>on</w:t>
            </w:r>
            <w:r w:rsidRPr="00662392">
              <w:rPr>
                <w:rFonts w:eastAsia="Times New Roman"/>
                <w:spacing w:val="1"/>
                <w:sz w:val="22"/>
                <w:szCs w:val="22"/>
              </w:rPr>
              <w:t xml:space="preserve"> </w:t>
            </w:r>
            <w:r w:rsidRPr="00662392">
              <w:rPr>
                <w:rFonts w:eastAsia="Times New Roman"/>
                <w:spacing w:val="-3"/>
                <w:sz w:val="22"/>
                <w:szCs w:val="22"/>
              </w:rPr>
              <w:t>o</w:t>
            </w:r>
            <w:r w:rsidRPr="00662392">
              <w:rPr>
                <w:rFonts w:eastAsia="Times New Roman"/>
                <w:sz w:val="22"/>
                <w:szCs w:val="22"/>
              </w:rPr>
              <w:t>f</w:t>
            </w:r>
            <w:r w:rsidR="00AA2ADB" w:rsidRPr="00662392">
              <w:rPr>
                <w:rFonts w:eastAsia="Times New Roman"/>
                <w:sz w:val="22"/>
                <w:szCs w:val="22"/>
              </w:rPr>
              <w:t xml:space="preserve"> </w:t>
            </w:r>
            <w:r w:rsidRPr="00662392">
              <w:rPr>
                <w:rFonts w:eastAsia="Times New Roman"/>
                <w:spacing w:val="2"/>
                <w:sz w:val="22"/>
                <w:szCs w:val="22"/>
              </w:rPr>
              <w:t>T</w:t>
            </w:r>
            <w:r w:rsidRPr="00662392">
              <w:rPr>
                <w:rFonts w:eastAsia="Times New Roman"/>
                <w:spacing w:val="1"/>
                <w:sz w:val="22"/>
                <w:szCs w:val="22"/>
              </w:rPr>
              <w:t>r</w:t>
            </w:r>
            <w:r w:rsidRPr="00662392">
              <w:rPr>
                <w:rFonts w:eastAsia="Times New Roman"/>
                <w:sz w:val="22"/>
                <w:szCs w:val="22"/>
              </w:rPr>
              <w:t>a</w:t>
            </w:r>
            <w:r w:rsidRPr="00662392">
              <w:rPr>
                <w:rFonts w:eastAsia="Times New Roman"/>
                <w:spacing w:val="-1"/>
                <w:sz w:val="22"/>
                <w:szCs w:val="22"/>
              </w:rPr>
              <w:t>ini</w:t>
            </w:r>
            <w:r w:rsidRPr="00662392">
              <w:rPr>
                <w:rFonts w:eastAsia="Times New Roman"/>
                <w:spacing w:val="-3"/>
                <w:sz w:val="22"/>
                <w:szCs w:val="22"/>
              </w:rPr>
              <w:t>n</w:t>
            </w:r>
            <w:r w:rsidRPr="00662392">
              <w:rPr>
                <w:rFonts w:eastAsia="Times New Roman"/>
                <w:sz w:val="22"/>
                <w:szCs w:val="22"/>
              </w:rPr>
              <w:t>g</w:t>
            </w:r>
            <w:r w:rsidRPr="00662392">
              <w:rPr>
                <w:rFonts w:eastAsia="Times New Roman"/>
                <w:spacing w:val="3"/>
                <w:sz w:val="22"/>
                <w:szCs w:val="22"/>
              </w:rPr>
              <w:t xml:space="preserve"> </w:t>
            </w:r>
            <w:r w:rsidRPr="00662392">
              <w:rPr>
                <w:rFonts w:eastAsia="Times New Roman"/>
                <w:spacing w:val="-1"/>
                <w:sz w:val="22"/>
                <w:szCs w:val="22"/>
              </w:rPr>
              <w:t>R</w:t>
            </w:r>
            <w:r w:rsidRPr="00662392">
              <w:rPr>
                <w:rFonts w:eastAsia="Times New Roman"/>
                <w:spacing w:val="-3"/>
                <w:sz w:val="22"/>
                <w:szCs w:val="22"/>
              </w:rPr>
              <w:t>e</w:t>
            </w:r>
            <w:r w:rsidRPr="00662392">
              <w:rPr>
                <w:rFonts w:eastAsia="Times New Roman"/>
                <w:spacing w:val="2"/>
                <w:sz w:val="22"/>
                <w:szCs w:val="22"/>
              </w:rPr>
              <w:t>q</w:t>
            </w:r>
            <w:r w:rsidRPr="00662392">
              <w:rPr>
                <w:rFonts w:eastAsia="Times New Roman"/>
                <w:sz w:val="22"/>
                <w:szCs w:val="22"/>
              </w:rPr>
              <w:t>u</w:t>
            </w:r>
            <w:r w:rsidRPr="00662392">
              <w:rPr>
                <w:rFonts w:eastAsia="Times New Roman"/>
                <w:spacing w:val="-1"/>
                <w:sz w:val="22"/>
                <w:szCs w:val="22"/>
              </w:rPr>
              <w:t>i</w:t>
            </w:r>
            <w:r w:rsidRPr="00662392">
              <w:rPr>
                <w:rFonts w:eastAsia="Times New Roman"/>
                <w:spacing w:val="1"/>
                <w:sz w:val="22"/>
                <w:szCs w:val="22"/>
              </w:rPr>
              <w:t>r</w:t>
            </w:r>
            <w:r w:rsidRPr="00662392">
              <w:rPr>
                <w:rFonts w:eastAsia="Times New Roman"/>
                <w:sz w:val="22"/>
                <w:szCs w:val="22"/>
              </w:rPr>
              <w:t>ed and</w:t>
            </w:r>
            <w:r w:rsidRPr="00662392">
              <w:rPr>
                <w:rFonts w:eastAsia="Times New Roman"/>
                <w:spacing w:val="1"/>
                <w:sz w:val="22"/>
                <w:szCs w:val="22"/>
              </w:rPr>
              <w:t xml:space="preserve"> </w:t>
            </w:r>
            <w:r w:rsidRPr="00662392">
              <w:rPr>
                <w:rFonts w:eastAsia="Times New Roman"/>
                <w:spacing w:val="-1"/>
                <w:sz w:val="22"/>
                <w:szCs w:val="22"/>
              </w:rPr>
              <w:t>C</w:t>
            </w:r>
            <w:r w:rsidRPr="00662392">
              <w:rPr>
                <w:rFonts w:eastAsia="Times New Roman"/>
                <w:sz w:val="22"/>
                <w:szCs w:val="22"/>
              </w:rPr>
              <w:t>o</w:t>
            </w:r>
            <w:r w:rsidRPr="00662392">
              <w:rPr>
                <w:rFonts w:eastAsia="Times New Roman"/>
                <w:spacing w:val="1"/>
                <w:sz w:val="22"/>
                <w:szCs w:val="22"/>
              </w:rPr>
              <w:t>m</w:t>
            </w:r>
            <w:r w:rsidRPr="00662392">
              <w:rPr>
                <w:rFonts w:eastAsia="Times New Roman"/>
                <w:sz w:val="22"/>
                <w:szCs w:val="22"/>
              </w:rPr>
              <w:t>p</w:t>
            </w:r>
            <w:r w:rsidRPr="00662392">
              <w:rPr>
                <w:rFonts w:eastAsia="Times New Roman"/>
                <w:spacing w:val="-1"/>
                <w:sz w:val="22"/>
                <w:szCs w:val="22"/>
              </w:rPr>
              <w:t>l</w:t>
            </w:r>
            <w:r w:rsidRPr="00662392">
              <w:rPr>
                <w:rFonts w:eastAsia="Times New Roman"/>
                <w:sz w:val="22"/>
                <w:szCs w:val="22"/>
              </w:rPr>
              <w:t>e</w:t>
            </w:r>
            <w:r w:rsidRPr="00662392">
              <w:rPr>
                <w:rFonts w:eastAsia="Times New Roman"/>
                <w:spacing w:val="1"/>
                <w:sz w:val="22"/>
                <w:szCs w:val="22"/>
              </w:rPr>
              <w:t>t</w:t>
            </w:r>
            <w:r w:rsidRPr="00662392">
              <w:rPr>
                <w:rFonts w:eastAsia="Times New Roman"/>
                <w:spacing w:val="-1"/>
                <w:sz w:val="22"/>
                <w:szCs w:val="22"/>
              </w:rPr>
              <w:t>i</w:t>
            </w:r>
            <w:r w:rsidRPr="00662392">
              <w:rPr>
                <w:rFonts w:eastAsia="Times New Roman"/>
                <w:sz w:val="22"/>
                <w:szCs w:val="22"/>
              </w:rPr>
              <w:t>on</w:t>
            </w:r>
            <w:r w:rsidR="00AA2ADB" w:rsidRPr="00662392">
              <w:rPr>
                <w:rFonts w:eastAsia="Times New Roman"/>
                <w:sz w:val="22"/>
                <w:szCs w:val="22"/>
              </w:rPr>
              <w:t xml:space="preserve"> </w:t>
            </w:r>
            <w:r w:rsidRPr="00662392">
              <w:rPr>
                <w:rFonts w:eastAsia="Times New Roman"/>
                <w:spacing w:val="-1"/>
                <w:sz w:val="22"/>
                <w:szCs w:val="22"/>
              </w:rPr>
              <w:t>Da</w:t>
            </w:r>
            <w:r w:rsidRPr="00662392">
              <w:rPr>
                <w:rFonts w:eastAsia="Times New Roman"/>
                <w:spacing w:val="1"/>
                <w:sz w:val="22"/>
                <w:szCs w:val="22"/>
              </w:rPr>
              <w:t>t</w:t>
            </w:r>
            <w:r w:rsidRPr="00662392">
              <w:rPr>
                <w:rFonts w:eastAsia="Times New Roman"/>
                <w:sz w:val="22"/>
                <w:szCs w:val="22"/>
              </w:rPr>
              <w:t>e</w:t>
            </w:r>
          </w:p>
        </w:tc>
        <w:tc>
          <w:tcPr>
            <w:tcW w:w="2160" w:type="dxa"/>
            <w:tcBorders>
              <w:top w:val="single" w:sz="4" w:space="0" w:color="000000"/>
              <w:left w:val="single" w:sz="4" w:space="0" w:color="000000"/>
              <w:bottom w:val="single" w:sz="4" w:space="0" w:color="000000"/>
              <w:right w:val="single" w:sz="4" w:space="0" w:color="000000"/>
            </w:tcBorders>
          </w:tcPr>
          <w:p w14:paraId="2662C275" w14:textId="77777777" w:rsidR="007A3539" w:rsidRPr="00662392" w:rsidRDefault="00173F6C" w:rsidP="00194415">
            <w:pPr>
              <w:autoSpaceDE/>
              <w:autoSpaceDN/>
              <w:adjustRightInd/>
              <w:ind w:left="73" w:right="53"/>
              <w:jc w:val="center"/>
              <w:rPr>
                <w:rFonts w:eastAsia="Times New Roman"/>
                <w:sz w:val="22"/>
                <w:szCs w:val="22"/>
              </w:rPr>
            </w:pPr>
            <w:r w:rsidRPr="00662392">
              <w:rPr>
                <w:rFonts w:eastAsia="Times New Roman"/>
                <w:spacing w:val="-1"/>
                <w:sz w:val="22"/>
                <w:szCs w:val="22"/>
              </w:rPr>
              <w:t>C</w:t>
            </w:r>
            <w:r w:rsidRPr="00662392">
              <w:rPr>
                <w:rFonts w:eastAsia="Times New Roman"/>
                <w:sz w:val="22"/>
                <w:szCs w:val="22"/>
              </w:rPr>
              <w:t>o</w:t>
            </w:r>
            <w:r w:rsidRPr="00662392">
              <w:rPr>
                <w:rFonts w:eastAsia="Times New Roman"/>
                <w:spacing w:val="1"/>
                <w:sz w:val="22"/>
                <w:szCs w:val="22"/>
              </w:rPr>
              <w:t>mm</w:t>
            </w:r>
            <w:r w:rsidRPr="00662392">
              <w:rPr>
                <w:rFonts w:eastAsia="Times New Roman"/>
                <w:sz w:val="22"/>
                <w:szCs w:val="22"/>
              </w:rPr>
              <w:t>e</w:t>
            </w:r>
            <w:r w:rsidRPr="00662392">
              <w:rPr>
                <w:rFonts w:eastAsia="Times New Roman"/>
                <w:spacing w:val="-3"/>
                <w:sz w:val="22"/>
                <w:szCs w:val="22"/>
              </w:rPr>
              <w:t>n</w:t>
            </w:r>
            <w:r w:rsidRPr="00662392">
              <w:rPr>
                <w:rFonts w:eastAsia="Times New Roman"/>
                <w:sz w:val="22"/>
                <w:szCs w:val="22"/>
              </w:rPr>
              <w:t>t</w:t>
            </w:r>
            <w:r w:rsidRPr="00662392">
              <w:rPr>
                <w:rFonts w:eastAsia="Times New Roman"/>
                <w:spacing w:val="2"/>
                <w:sz w:val="22"/>
                <w:szCs w:val="22"/>
              </w:rPr>
              <w:t xml:space="preserve"> </w:t>
            </w:r>
            <w:r w:rsidR="00AA2ADB" w:rsidRPr="00662392">
              <w:rPr>
                <w:rFonts w:eastAsia="Times New Roman"/>
                <w:spacing w:val="-1"/>
                <w:sz w:val="22"/>
                <w:szCs w:val="22"/>
              </w:rPr>
              <w:t>R</w:t>
            </w:r>
            <w:r w:rsidR="00AA2ADB" w:rsidRPr="00662392">
              <w:rPr>
                <w:rFonts w:eastAsia="Times New Roman"/>
                <w:sz w:val="22"/>
                <w:szCs w:val="22"/>
              </w:rPr>
              <w:t>eso</w:t>
            </w:r>
            <w:r w:rsidR="00AA2ADB" w:rsidRPr="00662392">
              <w:rPr>
                <w:rFonts w:eastAsia="Times New Roman"/>
                <w:spacing w:val="-1"/>
                <w:sz w:val="22"/>
                <w:szCs w:val="22"/>
              </w:rPr>
              <w:t>l</w:t>
            </w:r>
            <w:r w:rsidR="00AA2ADB" w:rsidRPr="00662392">
              <w:rPr>
                <w:rFonts w:eastAsia="Times New Roman"/>
                <w:sz w:val="22"/>
                <w:szCs w:val="22"/>
              </w:rPr>
              <w:t>u</w:t>
            </w:r>
            <w:r w:rsidR="00AA2ADB" w:rsidRPr="00662392">
              <w:rPr>
                <w:rFonts w:eastAsia="Times New Roman"/>
                <w:spacing w:val="1"/>
                <w:sz w:val="22"/>
                <w:szCs w:val="22"/>
              </w:rPr>
              <w:t>t</w:t>
            </w:r>
            <w:r w:rsidR="00AA2ADB" w:rsidRPr="00662392">
              <w:rPr>
                <w:rFonts w:eastAsia="Times New Roman"/>
                <w:spacing w:val="-1"/>
                <w:sz w:val="22"/>
                <w:szCs w:val="22"/>
              </w:rPr>
              <w:t>i</w:t>
            </w:r>
            <w:r w:rsidR="00AA2ADB" w:rsidRPr="00662392">
              <w:rPr>
                <w:rFonts w:eastAsia="Times New Roman"/>
                <w:sz w:val="22"/>
                <w:szCs w:val="22"/>
              </w:rPr>
              <w:t xml:space="preserve">on </w:t>
            </w:r>
            <w:r w:rsidRPr="00662392">
              <w:rPr>
                <w:rFonts w:eastAsia="Times New Roman"/>
                <w:sz w:val="22"/>
                <w:szCs w:val="22"/>
              </w:rPr>
              <w:t>and</w:t>
            </w:r>
            <w:r w:rsidR="00AA2ADB" w:rsidRPr="00662392">
              <w:rPr>
                <w:rFonts w:eastAsia="Times New Roman"/>
                <w:sz w:val="22"/>
                <w:szCs w:val="22"/>
              </w:rPr>
              <w:t xml:space="preserve"> Closed </w:t>
            </w:r>
            <w:r w:rsidRPr="00662392">
              <w:rPr>
                <w:rFonts w:eastAsia="Times New Roman"/>
                <w:sz w:val="22"/>
                <w:szCs w:val="22"/>
              </w:rPr>
              <w:t>Feedback</w:t>
            </w:r>
            <w:r w:rsidR="00AA2ADB" w:rsidRPr="00662392">
              <w:rPr>
                <w:rFonts w:eastAsia="Times New Roman"/>
                <w:sz w:val="22"/>
                <w:szCs w:val="22"/>
              </w:rPr>
              <w:t xml:space="preserve"> Form </w:t>
            </w:r>
            <w:r w:rsidRPr="00662392">
              <w:rPr>
                <w:rFonts w:eastAsia="Times New Roman"/>
                <w:spacing w:val="-1"/>
                <w:sz w:val="22"/>
                <w:szCs w:val="22"/>
              </w:rPr>
              <w:t>A</w:t>
            </w:r>
            <w:r w:rsidRPr="00662392">
              <w:rPr>
                <w:rFonts w:eastAsia="Times New Roman"/>
                <w:sz w:val="22"/>
                <w:szCs w:val="22"/>
              </w:rPr>
              <w:t>ccess</w:t>
            </w:r>
            <w:r w:rsidRPr="00662392">
              <w:rPr>
                <w:rFonts w:eastAsia="Times New Roman"/>
                <w:spacing w:val="-1"/>
                <w:sz w:val="22"/>
                <w:szCs w:val="22"/>
              </w:rPr>
              <w:t>i</w:t>
            </w:r>
            <w:r w:rsidRPr="00662392">
              <w:rPr>
                <w:rFonts w:eastAsia="Times New Roman"/>
                <w:sz w:val="22"/>
                <w:szCs w:val="22"/>
              </w:rPr>
              <w:t xml:space="preserve">on </w:t>
            </w:r>
            <w:r w:rsidRPr="00662392">
              <w:rPr>
                <w:rFonts w:eastAsia="Times New Roman"/>
                <w:spacing w:val="-1"/>
                <w:sz w:val="22"/>
                <w:szCs w:val="22"/>
              </w:rPr>
              <w:t>N</w:t>
            </w:r>
            <w:r w:rsidRPr="00662392">
              <w:rPr>
                <w:rFonts w:eastAsia="Times New Roman"/>
                <w:sz w:val="22"/>
                <w:szCs w:val="22"/>
              </w:rPr>
              <w:t>u</w:t>
            </w:r>
            <w:r w:rsidRPr="00662392">
              <w:rPr>
                <w:rFonts w:eastAsia="Times New Roman"/>
                <w:spacing w:val="1"/>
                <w:sz w:val="22"/>
                <w:szCs w:val="22"/>
              </w:rPr>
              <w:t>m</w:t>
            </w:r>
            <w:r w:rsidRPr="00662392">
              <w:rPr>
                <w:rFonts w:eastAsia="Times New Roman"/>
                <w:sz w:val="22"/>
                <w:szCs w:val="22"/>
              </w:rPr>
              <w:t>ber</w:t>
            </w:r>
            <w:r w:rsidR="00AA2ADB" w:rsidRPr="00662392">
              <w:rPr>
                <w:rFonts w:eastAsia="Times New Roman"/>
                <w:sz w:val="22"/>
                <w:szCs w:val="22"/>
              </w:rPr>
              <w:t xml:space="preserve"> </w:t>
            </w:r>
            <w:r w:rsidR="007A3539" w:rsidRPr="00662392">
              <w:rPr>
                <w:rFonts w:eastAsia="Times New Roman"/>
                <w:sz w:val="22"/>
                <w:szCs w:val="22"/>
              </w:rPr>
              <w:t>(Pre-Decisional, Non-Public</w:t>
            </w:r>
            <w:r w:rsidR="00AA2ADB" w:rsidRPr="00662392">
              <w:rPr>
                <w:rFonts w:eastAsia="Times New Roman"/>
                <w:sz w:val="22"/>
                <w:szCs w:val="22"/>
              </w:rPr>
              <w:t xml:space="preserve"> Information</w:t>
            </w:r>
            <w:r w:rsidR="007A3539" w:rsidRPr="00662392">
              <w:rPr>
                <w:rFonts w:eastAsia="Times New Roman"/>
                <w:sz w:val="22"/>
                <w:szCs w:val="22"/>
              </w:rPr>
              <w:t>)</w:t>
            </w:r>
          </w:p>
        </w:tc>
      </w:tr>
      <w:tr w:rsidR="00173F6C" w:rsidRPr="00662392" w14:paraId="3339E6DB" w14:textId="77777777" w:rsidTr="00C42A5C">
        <w:trPr>
          <w:trHeight w:hRule="exact" w:val="901"/>
        </w:trPr>
        <w:tc>
          <w:tcPr>
            <w:tcW w:w="1464" w:type="dxa"/>
            <w:tcBorders>
              <w:top w:val="single" w:sz="4" w:space="0" w:color="000000"/>
              <w:left w:val="single" w:sz="4" w:space="0" w:color="000000"/>
              <w:bottom w:val="single" w:sz="4" w:space="0" w:color="000000"/>
              <w:right w:val="single" w:sz="4" w:space="0" w:color="000000"/>
            </w:tcBorders>
          </w:tcPr>
          <w:p w14:paraId="3F77500B" w14:textId="33718EBC" w:rsidR="00173F6C" w:rsidRPr="00662392" w:rsidRDefault="00173F6C" w:rsidP="00194415">
            <w:pPr>
              <w:autoSpaceDE/>
              <w:autoSpaceDN/>
              <w:adjustRightInd/>
              <w:ind w:left="102" w:right="-20"/>
              <w:rPr>
                <w:rFonts w:eastAsia="Times New Roman"/>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1F49A858" w14:textId="79FA832D" w:rsidR="00173F6C" w:rsidRPr="00662392" w:rsidRDefault="00BC3A86" w:rsidP="00194415">
            <w:pPr>
              <w:autoSpaceDE/>
              <w:autoSpaceDN/>
              <w:adjustRightInd/>
              <w:ind w:left="102" w:right="-20"/>
              <w:rPr>
                <w:rFonts w:eastAsia="Times New Roman"/>
                <w:sz w:val="22"/>
                <w:szCs w:val="22"/>
              </w:rPr>
            </w:pPr>
            <w:r w:rsidRPr="00662392">
              <w:rPr>
                <w:rFonts w:eastAsia="Times New Roman"/>
                <w:sz w:val="22"/>
                <w:szCs w:val="22"/>
              </w:rPr>
              <w:t>ML20325A150</w:t>
            </w:r>
          </w:p>
          <w:p w14:paraId="6EA25C70" w14:textId="77777777" w:rsidR="00434004" w:rsidRPr="00662392" w:rsidRDefault="00434004" w:rsidP="00194415">
            <w:pPr>
              <w:autoSpaceDE/>
              <w:autoSpaceDN/>
              <w:adjustRightInd/>
              <w:ind w:left="102" w:right="-20"/>
              <w:rPr>
                <w:rFonts w:eastAsia="Times New Roman"/>
                <w:sz w:val="22"/>
                <w:szCs w:val="22"/>
              </w:rPr>
            </w:pPr>
            <w:r w:rsidRPr="00662392">
              <w:rPr>
                <w:rFonts w:eastAsia="Times New Roman"/>
                <w:sz w:val="22"/>
                <w:szCs w:val="22"/>
              </w:rPr>
              <w:t>DRAFT</w:t>
            </w:r>
          </w:p>
          <w:p w14:paraId="3D79D264" w14:textId="0C69497A" w:rsidR="00434004" w:rsidRPr="00662392" w:rsidRDefault="00434004" w:rsidP="00194415">
            <w:pPr>
              <w:autoSpaceDE/>
              <w:autoSpaceDN/>
              <w:adjustRightInd/>
              <w:ind w:left="102" w:right="-20"/>
              <w:rPr>
                <w:rFonts w:eastAsia="Times New Roman"/>
                <w:sz w:val="22"/>
                <w:szCs w:val="22"/>
              </w:rPr>
            </w:pPr>
            <w:r w:rsidRPr="00662392">
              <w:rPr>
                <w:rFonts w:eastAsia="Times New Roman"/>
                <w:sz w:val="22"/>
                <w:szCs w:val="22"/>
              </w:rPr>
              <w:t xml:space="preserve">CN </w:t>
            </w:r>
          </w:p>
        </w:tc>
        <w:tc>
          <w:tcPr>
            <w:tcW w:w="6375" w:type="dxa"/>
            <w:tcBorders>
              <w:top w:val="single" w:sz="4" w:space="0" w:color="000000"/>
              <w:left w:val="single" w:sz="4" w:space="0" w:color="000000"/>
              <w:bottom w:val="single" w:sz="4" w:space="0" w:color="000000"/>
              <w:right w:val="single" w:sz="4" w:space="0" w:color="000000"/>
            </w:tcBorders>
          </w:tcPr>
          <w:p w14:paraId="746B74ED" w14:textId="33C3A2CF" w:rsidR="00173F6C" w:rsidRPr="00662392" w:rsidRDefault="00434004" w:rsidP="00194415">
            <w:pPr>
              <w:tabs>
                <w:tab w:val="left" w:pos="460"/>
              </w:tabs>
              <w:autoSpaceDE/>
              <w:autoSpaceDN/>
              <w:adjustRightInd/>
              <w:ind w:right="45"/>
              <w:rPr>
                <w:rFonts w:eastAsia="Times New Roman"/>
                <w:sz w:val="22"/>
                <w:szCs w:val="22"/>
              </w:rPr>
            </w:pPr>
            <w:r w:rsidRPr="00662392">
              <w:rPr>
                <w:rFonts w:eastAsia="Times New Roman"/>
                <w:sz w:val="22"/>
                <w:szCs w:val="22"/>
              </w:rPr>
              <w:t>Made publicly available to discuss at the December 1, 2020, public meeting.</w:t>
            </w:r>
          </w:p>
        </w:tc>
        <w:tc>
          <w:tcPr>
            <w:tcW w:w="1710" w:type="dxa"/>
            <w:tcBorders>
              <w:top w:val="single" w:sz="4" w:space="0" w:color="000000"/>
              <w:left w:val="single" w:sz="4" w:space="0" w:color="000000"/>
              <w:bottom w:val="single" w:sz="4" w:space="0" w:color="000000"/>
              <w:right w:val="single" w:sz="4" w:space="0" w:color="000000"/>
            </w:tcBorders>
          </w:tcPr>
          <w:p w14:paraId="0C8318D9" w14:textId="4CD54F41" w:rsidR="00173F6C" w:rsidRPr="00662392" w:rsidRDefault="00434004" w:rsidP="00194415">
            <w:pPr>
              <w:autoSpaceDE/>
              <w:autoSpaceDN/>
              <w:adjustRightInd/>
              <w:ind w:left="102" w:right="-20"/>
              <w:rPr>
                <w:rFonts w:eastAsia="Times New Roman"/>
                <w:sz w:val="22"/>
                <w:szCs w:val="22"/>
              </w:rPr>
            </w:pPr>
            <w:r w:rsidRPr="00662392">
              <w:rPr>
                <w:rFonts w:eastAsia="Times New Roman"/>
                <w:sz w:val="22"/>
                <w:szCs w:val="22"/>
              </w:rPr>
              <w:t>N/A</w:t>
            </w:r>
          </w:p>
        </w:tc>
        <w:tc>
          <w:tcPr>
            <w:tcW w:w="2160" w:type="dxa"/>
            <w:tcBorders>
              <w:top w:val="single" w:sz="4" w:space="0" w:color="000000"/>
              <w:left w:val="single" w:sz="4" w:space="0" w:color="000000"/>
              <w:bottom w:val="single" w:sz="4" w:space="0" w:color="000000"/>
              <w:right w:val="single" w:sz="4" w:space="0" w:color="000000"/>
            </w:tcBorders>
          </w:tcPr>
          <w:p w14:paraId="1C5CE7EB" w14:textId="36B22306" w:rsidR="00173F6C" w:rsidRPr="00662392" w:rsidRDefault="00434004" w:rsidP="00194415">
            <w:pPr>
              <w:autoSpaceDE/>
              <w:autoSpaceDN/>
              <w:adjustRightInd/>
              <w:ind w:left="102" w:right="-20"/>
              <w:rPr>
                <w:rFonts w:eastAsia="Times New Roman"/>
                <w:sz w:val="22"/>
                <w:szCs w:val="22"/>
              </w:rPr>
            </w:pPr>
            <w:r w:rsidRPr="00662392">
              <w:rPr>
                <w:rFonts w:eastAsia="Times New Roman"/>
                <w:sz w:val="22"/>
                <w:szCs w:val="22"/>
              </w:rPr>
              <w:t>N/A</w:t>
            </w:r>
          </w:p>
        </w:tc>
      </w:tr>
      <w:tr w:rsidR="00434004" w:rsidRPr="00662392" w14:paraId="28511BA2" w14:textId="77777777" w:rsidTr="00C42A5C">
        <w:trPr>
          <w:trHeight w:hRule="exact" w:val="1360"/>
        </w:trPr>
        <w:tc>
          <w:tcPr>
            <w:tcW w:w="1464" w:type="dxa"/>
            <w:tcBorders>
              <w:top w:val="single" w:sz="4" w:space="0" w:color="000000"/>
              <w:left w:val="single" w:sz="4" w:space="0" w:color="000000"/>
              <w:bottom w:val="single" w:sz="4" w:space="0" w:color="000000"/>
              <w:right w:val="single" w:sz="4" w:space="0" w:color="000000"/>
            </w:tcBorders>
          </w:tcPr>
          <w:p w14:paraId="2F57381F" w14:textId="77777777" w:rsidR="00434004" w:rsidRPr="00662392" w:rsidRDefault="00434004" w:rsidP="00194415">
            <w:pPr>
              <w:autoSpaceDE/>
              <w:autoSpaceDN/>
              <w:adjustRightInd/>
              <w:ind w:left="102" w:right="-20"/>
              <w:rPr>
                <w:rFonts w:eastAsia="Times New Roman"/>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44476937" w14:textId="7158A802" w:rsidR="00434004" w:rsidRPr="00662392" w:rsidRDefault="00891B32" w:rsidP="00194415">
            <w:pPr>
              <w:autoSpaceDE/>
              <w:autoSpaceDN/>
              <w:adjustRightInd/>
              <w:ind w:left="102" w:right="-20"/>
              <w:rPr>
                <w:rFonts w:eastAsia="Times New Roman"/>
                <w:sz w:val="22"/>
                <w:szCs w:val="22"/>
              </w:rPr>
            </w:pPr>
            <w:r w:rsidRPr="00662392">
              <w:rPr>
                <w:rFonts w:eastAsia="Times New Roman"/>
                <w:sz w:val="22"/>
                <w:szCs w:val="22"/>
              </w:rPr>
              <w:t>ML20325A180</w:t>
            </w:r>
          </w:p>
          <w:p w14:paraId="3FA7EC85" w14:textId="769FBC81" w:rsidR="00BC3A86" w:rsidRPr="00662392" w:rsidRDefault="00E33D1B" w:rsidP="00194415">
            <w:pPr>
              <w:autoSpaceDE/>
              <w:autoSpaceDN/>
              <w:adjustRightInd/>
              <w:ind w:left="102" w:right="-20"/>
              <w:rPr>
                <w:rFonts w:eastAsia="Times New Roman"/>
                <w:sz w:val="22"/>
                <w:szCs w:val="22"/>
              </w:rPr>
            </w:pPr>
            <w:r>
              <w:rPr>
                <w:rFonts w:eastAsia="Times New Roman"/>
                <w:sz w:val="22"/>
                <w:szCs w:val="22"/>
              </w:rPr>
              <w:t>01/29/21</w:t>
            </w:r>
          </w:p>
          <w:p w14:paraId="4010D2FB" w14:textId="1F79DCA8" w:rsidR="00BC3A86" w:rsidRPr="00662392" w:rsidRDefault="00BC3A86" w:rsidP="00194415">
            <w:pPr>
              <w:autoSpaceDE/>
              <w:autoSpaceDN/>
              <w:adjustRightInd/>
              <w:ind w:left="102" w:right="-20"/>
              <w:rPr>
                <w:rFonts w:eastAsia="Times New Roman"/>
                <w:sz w:val="22"/>
                <w:szCs w:val="22"/>
              </w:rPr>
            </w:pPr>
            <w:r w:rsidRPr="00662392">
              <w:rPr>
                <w:rFonts w:eastAsia="Times New Roman"/>
                <w:sz w:val="22"/>
                <w:szCs w:val="22"/>
              </w:rPr>
              <w:t>CN 21-</w:t>
            </w:r>
            <w:r w:rsidR="00E33D1B">
              <w:rPr>
                <w:rFonts w:eastAsia="Times New Roman"/>
                <w:sz w:val="22"/>
                <w:szCs w:val="22"/>
              </w:rPr>
              <w:t>007</w:t>
            </w:r>
          </w:p>
        </w:tc>
        <w:tc>
          <w:tcPr>
            <w:tcW w:w="6375" w:type="dxa"/>
            <w:tcBorders>
              <w:top w:val="single" w:sz="4" w:space="0" w:color="000000"/>
              <w:left w:val="single" w:sz="4" w:space="0" w:color="000000"/>
              <w:bottom w:val="single" w:sz="4" w:space="0" w:color="000000"/>
              <w:right w:val="single" w:sz="4" w:space="0" w:color="000000"/>
            </w:tcBorders>
          </w:tcPr>
          <w:p w14:paraId="607AB93A" w14:textId="2DA969DA" w:rsidR="00434004" w:rsidRPr="00662392" w:rsidRDefault="00434004" w:rsidP="00194415">
            <w:pPr>
              <w:tabs>
                <w:tab w:val="left" w:pos="460"/>
              </w:tabs>
              <w:autoSpaceDE/>
              <w:autoSpaceDN/>
              <w:adjustRightInd/>
              <w:ind w:right="45"/>
              <w:rPr>
                <w:rFonts w:eastAsia="Times New Roman"/>
                <w:sz w:val="22"/>
                <w:szCs w:val="22"/>
              </w:rPr>
            </w:pPr>
            <w:r w:rsidRPr="00662392">
              <w:rPr>
                <w:rFonts w:eastAsia="Times New Roman"/>
                <w:sz w:val="22"/>
                <w:szCs w:val="22"/>
              </w:rPr>
              <w:t>Initial issuance.  IMC 0335 has been created to update the guidance associated with TG</w:t>
            </w:r>
            <w:r w:rsidR="007E28C7" w:rsidRPr="00662392">
              <w:rPr>
                <w:rFonts w:eastAsia="Times New Roman"/>
                <w:sz w:val="22"/>
                <w:szCs w:val="22"/>
              </w:rPr>
              <w:t xml:space="preserve"> 50.59 - </w:t>
            </w:r>
            <w:r w:rsidR="007E28C7" w:rsidRPr="00662392">
              <w:rPr>
                <w:sz w:val="22"/>
                <w:szCs w:val="22"/>
              </w:rPr>
              <w:t>10 CFR 50.59, Changes, Tests, and Experiments</w:t>
            </w:r>
            <w:r w:rsidR="00BC3A86" w:rsidRPr="00662392">
              <w:rPr>
                <w:sz w:val="22"/>
                <w:szCs w:val="22"/>
              </w:rPr>
              <w:t>.</w:t>
            </w:r>
          </w:p>
        </w:tc>
        <w:tc>
          <w:tcPr>
            <w:tcW w:w="1710" w:type="dxa"/>
            <w:tcBorders>
              <w:top w:val="single" w:sz="4" w:space="0" w:color="000000"/>
              <w:left w:val="single" w:sz="4" w:space="0" w:color="000000"/>
              <w:bottom w:val="single" w:sz="4" w:space="0" w:color="000000"/>
              <w:right w:val="single" w:sz="4" w:space="0" w:color="000000"/>
            </w:tcBorders>
          </w:tcPr>
          <w:p w14:paraId="5F20E24D" w14:textId="1D3FCEF7" w:rsidR="00434004" w:rsidRPr="00662392" w:rsidRDefault="009E4B8B" w:rsidP="00194415">
            <w:pPr>
              <w:autoSpaceDE/>
              <w:autoSpaceDN/>
              <w:adjustRightInd/>
              <w:ind w:left="102" w:right="-20"/>
              <w:rPr>
                <w:rFonts w:eastAsia="Times New Roman"/>
                <w:sz w:val="22"/>
                <w:szCs w:val="22"/>
              </w:rPr>
            </w:pPr>
            <w:r w:rsidRPr="00662392">
              <w:rPr>
                <w:rFonts w:eastAsia="Times New Roman"/>
                <w:sz w:val="22"/>
                <w:szCs w:val="22"/>
              </w:rPr>
              <w:t>Regional/HQ training to be performed in February/March 2021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683F6" w14:textId="7FB1220D" w:rsidR="00434004" w:rsidRPr="00662392" w:rsidRDefault="00842CCE" w:rsidP="00194415">
            <w:pPr>
              <w:autoSpaceDE/>
              <w:autoSpaceDN/>
              <w:adjustRightInd/>
              <w:ind w:left="102" w:right="-20"/>
              <w:rPr>
                <w:rFonts w:eastAsia="Times New Roman"/>
                <w:sz w:val="22"/>
                <w:szCs w:val="22"/>
              </w:rPr>
            </w:pPr>
            <w:r w:rsidRPr="00662392">
              <w:rPr>
                <w:rFonts w:eastAsia="Times New Roman"/>
                <w:sz w:val="22"/>
                <w:szCs w:val="22"/>
              </w:rPr>
              <w:t>ML20325A172</w:t>
            </w:r>
          </w:p>
        </w:tc>
      </w:tr>
    </w:tbl>
    <w:p w14:paraId="3121A7DD" w14:textId="77777777" w:rsidR="00243168" w:rsidRPr="00662392" w:rsidRDefault="00243168" w:rsidP="00194415">
      <w:pPr>
        <w:autoSpaceDE/>
        <w:autoSpaceDN/>
        <w:adjustRightInd/>
        <w:rPr>
          <w:rFonts w:eastAsia="Times New Roman"/>
          <w:sz w:val="22"/>
          <w:szCs w:val="22"/>
        </w:rPr>
      </w:pPr>
    </w:p>
    <w:p w14:paraId="6F8AE1E6" w14:textId="77777777" w:rsidR="00897025" w:rsidRPr="00662392" w:rsidRDefault="00897025" w:rsidP="00194415">
      <w:pPr>
        <w:rPr>
          <w:sz w:val="22"/>
          <w:szCs w:val="22"/>
        </w:rPr>
      </w:pPr>
    </w:p>
    <w:sectPr w:rsidR="00897025" w:rsidRPr="00662392" w:rsidSect="00AA2ADB">
      <w:headerReference w:type="even" r:id="rId63"/>
      <w:headerReference w:type="default" r:id="rId64"/>
      <w:headerReference w:type="first" r:id="rId65"/>
      <w:footerReference w:type="first" r:id="rId66"/>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A642" w14:textId="77777777" w:rsidR="00C1473C" w:rsidRDefault="00C1473C" w:rsidP="00D07321">
      <w:r>
        <w:separator/>
      </w:r>
    </w:p>
  </w:endnote>
  <w:endnote w:type="continuationSeparator" w:id="0">
    <w:p w14:paraId="250EE987" w14:textId="77777777" w:rsidR="00C1473C" w:rsidRDefault="00C1473C" w:rsidP="00D07321">
      <w:r>
        <w:continuationSeparator/>
      </w:r>
    </w:p>
  </w:endnote>
  <w:endnote w:type="continuationNotice" w:id="1">
    <w:p w14:paraId="4CFF71A6" w14:textId="77777777" w:rsidR="00C1473C" w:rsidRDefault="00C1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14B8" w14:textId="77777777" w:rsidR="00C1473C" w:rsidRDefault="00C1473C" w:rsidP="00F27917">
    <w:pPr>
      <w:pStyle w:val="Footer"/>
    </w:pPr>
    <w:r w:rsidRPr="007E33C5">
      <w:rPr>
        <w:sz w:val="22"/>
        <w:szCs w:val="22"/>
      </w:rPr>
      <w:t xml:space="preserve">Issue Date:  </w:t>
    </w:r>
    <w:r>
      <w:rPr>
        <w:sz w:val="22"/>
        <w:szCs w:val="22"/>
      </w:rPr>
      <w:t>DRAFT</w:t>
    </w:r>
    <w:r w:rsidRPr="007E33C5">
      <w:rPr>
        <w:sz w:val="22"/>
        <w:szCs w:val="22"/>
      </w:rPr>
      <w:ptab w:relativeTo="margin" w:alignment="center" w:leader="none"/>
    </w:r>
    <w:r w:rsidRPr="00AA56DC">
      <w:rPr>
        <w:sz w:val="22"/>
        <w:szCs w:val="22"/>
      </w:rPr>
      <w:fldChar w:fldCharType="begin"/>
    </w:r>
    <w:r w:rsidRPr="00AA56DC">
      <w:rPr>
        <w:sz w:val="22"/>
        <w:szCs w:val="22"/>
      </w:rPr>
      <w:instrText xml:space="preserve"> PAGE   \* MERGEFORMAT </w:instrText>
    </w:r>
    <w:r w:rsidRPr="00AA56DC">
      <w:rPr>
        <w:sz w:val="22"/>
        <w:szCs w:val="22"/>
      </w:rPr>
      <w:fldChar w:fldCharType="separate"/>
    </w:r>
    <w:r>
      <w:rPr>
        <w:noProof/>
        <w:sz w:val="22"/>
        <w:szCs w:val="22"/>
      </w:rPr>
      <w:t>ii</w:t>
    </w:r>
    <w:r w:rsidRPr="00AA56DC">
      <w:rPr>
        <w:noProof/>
        <w:sz w:val="22"/>
        <w:szCs w:val="22"/>
      </w:rPr>
      <w:fldChar w:fldCharType="end"/>
    </w:r>
    <w:r w:rsidRPr="007E33C5">
      <w:rPr>
        <w:sz w:val="22"/>
        <w:szCs w:val="22"/>
      </w:rPr>
      <w:ptab w:relativeTo="margin" w:alignment="right" w:leader="none"/>
    </w:r>
    <w:r w:rsidRPr="007E33C5">
      <w:rPr>
        <w:sz w:val="22"/>
        <w:szCs w:val="22"/>
      </w:rPr>
      <w:t>0326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9C4D" w14:textId="77777777" w:rsidR="00C1473C" w:rsidRPr="00194415" w:rsidRDefault="00C1473C" w:rsidP="00194415">
    <w:pPr>
      <w:pStyle w:val="Footer"/>
      <w:tabs>
        <w:tab w:val="center" w:pos="4680"/>
        <w:tab w:val="right" w:pos="9360"/>
      </w:tabs>
      <w:rPr>
        <w:sz w:val="22"/>
        <w:szCs w:val="22"/>
      </w:rPr>
    </w:pPr>
    <w:sdt>
      <w:sdtPr>
        <w:rPr>
          <w:sz w:val="22"/>
          <w:szCs w:val="22"/>
        </w:rPr>
        <w:id w:val="-33800848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0D64" w14:textId="77777777" w:rsidR="00C1473C" w:rsidRPr="00194415" w:rsidRDefault="00C1473C" w:rsidP="00194415">
    <w:pPr>
      <w:pStyle w:val="Footer"/>
      <w:tabs>
        <w:tab w:val="center" w:pos="4680"/>
        <w:tab w:val="right" w:pos="9360"/>
      </w:tabs>
      <w:rPr>
        <w:sz w:val="22"/>
        <w:szCs w:val="22"/>
      </w:rPr>
    </w:pPr>
    <w:sdt>
      <w:sdtPr>
        <w:rPr>
          <w:sz w:val="22"/>
          <w:szCs w:val="22"/>
        </w:rPr>
        <w:id w:val="1056203098"/>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878D" w14:textId="77777777" w:rsidR="00C1473C" w:rsidRPr="00194415" w:rsidRDefault="00C1473C" w:rsidP="00194415">
    <w:pPr>
      <w:pStyle w:val="Footer"/>
      <w:tabs>
        <w:tab w:val="center" w:pos="4680"/>
        <w:tab w:val="right" w:pos="9360"/>
      </w:tabs>
      <w:rPr>
        <w:sz w:val="22"/>
        <w:szCs w:val="22"/>
      </w:rPr>
    </w:pPr>
    <w:sdt>
      <w:sdtPr>
        <w:rPr>
          <w:sz w:val="22"/>
          <w:szCs w:val="22"/>
        </w:rPr>
        <w:id w:val="1894694495"/>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5C05" w14:textId="77777777" w:rsidR="00C1473C" w:rsidRPr="00194415" w:rsidRDefault="00C1473C" w:rsidP="00194415">
    <w:pPr>
      <w:pStyle w:val="Footer"/>
      <w:tabs>
        <w:tab w:val="center" w:pos="4680"/>
        <w:tab w:val="right" w:pos="9360"/>
      </w:tabs>
      <w:rPr>
        <w:sz w:val="22"/>
        <w:szCs w:val="22"/>
      </w:rPr>
    </w:pPr>
    <w:sdt>
      <w:sdtPr>
        <w:rPr>
          <w:sz w:val="22"/>
          <w:szCs w:val="22"/>
        </w:rPr>
        <w:id w:val="419142129"/>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EC91" w14:textId="77777777" w:rsidR="00C1473C" w:rsidRPr="00194415" w:rsidRDefault="00C1473C" w:rsidP="00194415">
    <w:pPr>
      <w:pStyle w:val="Footer"/>
      <w:tabs>
        <w:tab w:val="center" w:pos="4680"/>
        <w:tab w:val="right" w:pos="9360"/>
      </w:tabs>
      <w:rPr>
        <w:sz w:val="22"/>
        <w:szCs w:val="22"/>
      </w:rPr>
    </w:pPr>
    <w:sdt>
      <w:sdtPr>
        <w:rPr>
          <w:sz w:val="22"/>
          <w:szCs w:val="22"/>
        </w:rPr>
        <w:id w:val="1050346683"/>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3F50" w14:textId="77777777" w:rsidR="00C1473C" w:rsidRPr="00194415" w:rsidRDefault="00C1473C" w:rsidP="00194415">
    <w:pPr>
      <w:pStyle w:val="Footer"/>
      <w:tabs>
        <w:tab w:val="center" w:pos="4680"/>
        <w:tab w:val="right" w:pos="9360"/>
      </w:tabs>
      <w:rPr>
        <w:sz w:val="22"/>
        <w:szCs w:val="22"/>
      </w:rPr>
    </w:pPr>
    <w:sdt>
      <w:sdtPr>
        <w:rPr>
          <w:sz w:val="22"/>
          <w:szCs w:val="22"/>
        </w:rPr>
        <w:id w:val="652493683"/>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B92E" w14:textId="77777777" w:rsidR="00C1473C" w:rsidRPr="00194415" w:rsidRDefault="00C1473C" w:rsidP="00194415">
    <w:pPr>
      <w:pStyle w:val="Footer"/>
      <w:tabs>
        <w:tab w:val="center" w:pos="4680"/>
        <w:tab w:val="right" w:pos="9360"/>
      </w:tabs>
      <w:rPr>
        <w:sz w:val="22"/>
        <w:szCs w:val="22"/>
      </w:rPr>
    </w:pPr>
    <w:sdt>
      <w:sdtPr>
        <w:rPr>
          <w:sz w:val="22"/>
          <w:szCs w:val="22"/>
        </w:rPr>
        <w:id w:val="1365704668"/>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D707" w14:textId="77777777" w:rsidR="00C1473C" w:rsidRPr="00194415" w:rsidRDefault="00C1473C" w:rsidP="00194415">
    <w:pPr>
      <w:pStyle w:val="Footer"/>
      <w:tabs>
        <w:tab w:val="center" w:pos="4680"/>
        <w:tab w:val="right" w:pos="9360"/>
      </w:tabs>
      <w:rPr>
        <w:sz w:val="22"/>
        <w:szCs w:val="22"/>
      </w:rPr>
    </w:pPr>
    <w:sdt>
      <w:sdtPr>
        <w:rPr>
          <w:sz w:val="22"/>
          <w:szCs w:val="22"/>
        </w:rPr>
        <w:id w:val="-126444510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74EE" w14:textId="77777777" w:rsidR="00C1473C" w:rsidRPr="00194415" w:rsidRDefault="00C1473C" w:rsidP="00194415">
    <w:pPr>
      <w:pStyle w:val="Footer"/>
      <w:tabs>
        <w:tab w:val="center" w:pos="4680"/>
        <w:tab w:val="right" w:pos="9360"/>
      </w:tabs>
      <w:rPr>
        <w:sz w:val="22"/>
        <w:szCs w:val="22"/>
      </w:rPr>
    </w:pPr>
    <w:sdt>
      <w:sdtPr>
        <w:rPr>
          <w:sz w:val="22"/>
          <w:szCs w:val="22"/>
        </w:rPr>
        <w:id w:val="188413347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2301" w14:textId="77777777" w:rsidR="00C1473C" w:rsidRPr="00194415" w:rsidRDefault="00C1473C" w:rsidP="00194415">
    <w:pPr>
      <w:pStyle w:val="Footer"/>
      <w:tabs>
        <w:tab w:val="center" w:pos="4680"/>
        <w:tab w:val="right" w:pos="9360"/>
      </w:tabs>
      <w:rPr>
        <w:sz w:val="22"/>
        <w:szCs w:val="22"/>
      </w:rPr>
    </w:pPr>
    <w:sdt>
      <w:sdtPr>
        <w:rPr>
          <w:sz w:val="22"/>
          <w:szCs w:val="22"/>
        </w:rPr>
        <w:id w:val="1500389318"/>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D1BF" w14:textId="77777777" w:rsidR="00C1473C" w:rsidRPr="000B3B27" w:rsidRDefault="00C1473C" w:rsidP="000B3B27">
    <w:pPr>
      <w:pStyle w:val="Footer"/>
      <w:tabs>
        <w:tab w:val="left" w:pos="4320"/>
      </w:tabs>
      <w:rPr>
        <w:sz w:val="22"/>
        <w:szCs w:val="2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5C88" w14:textId="77777777" w:rsidR="00C1473C" w:rsidRPr="00194415" w:rsidRDefault="00C1473C" w:rsidP="00194415">
    <w:pPr>
      <w:pStyle w:val="Footer"/>
      <w:tabs>
        <w:tab w:val="center" w:pos="4680"/>
        <w:tab w:val="right" w:pos="9360"/>
      </w:tabs>
      <w:rPr>
        <w:sz w:val="22"/>
        <w:szCs w:val="22"/>
      </w:rPr>
    </w:pPr>
    <w:sdt>
      <w:sdtPr>
        <w:rPr>
          <w:sz w:val="22"/>
          <w:szCs w:val="22"/>
        </w:rPr>
        <w:id w:val="-1742779732"/>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3CED" w14:textId="77777777" w:rsidR="00C1473C" w:rsidRPr="00194415" w:rsidRDefault="00C1473C" w:rsidP="00194415">
    <w:pPr>
      <w:pStyle w:val="Footer"/>
      <w:tabs>
        <w:tab w:val="center" w:pos="4680"/>
        <w:tab w:val="right" w:pos="9360"/>
      </w:tabs>
      <w:rPr>
        <w:sz w:val="22"/>
        <w:szCs w:val="22"/>
      </w:rPr>
    </w:pPr>
    <w:sdt>
      <w:sdtPr>
        <w:rPr>
          <w:sz w:val="22"/>
          <w:szCs w:val="22"/>
        </w:rPr>
        <w:id w:val="-347329745"/>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E05B" w14:textId="77777777" w:rsidR="00C1473C" w:rsidRPr="00194415" w:rsidRDefault="00C1473C" w:rsidP="00194415">
    <w:pPr>
      <w:pStyle w:val="Footer"/>
      <w:tabs>
        <w:tab w:val="center" w:pos="4680"/>
        <w:tab w:val="right" w:pos="9360"/>
      </w:tabs>
      <w:rPr>
        <w:sz w:val="22"/>
        <w:szCs w:val="22"/>
      </w:rPr>
    </w:pPr>
    <w:sdt>
      <w:sdtPr>
        <w:rPr>
          <w:sz w:val="22"/>
          <w:szCs w:val="22"/>
        </w:rPr>
        <w:id w:val="-159153474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EA17" w14:textId="77777777" w:rsidR="00C1473C" w:rsidRPr="00194415" w:rsidRDefault="00C1473C" w:rsidP="00194415">
    <w:pPr>
      <w:pStyle w:val="Footer"/>
      <w:tabs>
        <w:tab w:val="center" w:pos="4680"/>
        <w:tab w:val="right" w:pos="9360"/>
      </w:tabs>
      <w:rPr>
        <w:sz w:val="22"/>
        <w:szCs w:val="22"/>
      </w:rPr>
    </w:pPr>
    <w:sdt>
      <w:sdtPr>
        <w:rPr>
          <w:sz w:val="22"/>
          <w:szCs w:val="22"/>
        </w:rPr>
        <w:id w:val="-70748835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28C9" w14:textId="77777777" w:rsidR="00C1473C" w:rsidRPr="00194415" w:rsidRDefault="00C1473C" w:rsidP="00194415">
    <w:pPr>
      <w:pStyle w:val="Footer"/>
      <w:tabs>
        <w:tab w:val="center" w:pos="4680"/>
        <w:tab w:val="right" w:pos="9360"/>
      </w:tabs>
      <w:rPr>
        <w:sz w:val="22"/>
        <w:szCs w:val="22"/>
      </w:rPr>
    </w:pPr>
    <w:sdt>
      <w:sdtPr>
        <w:rPr>
          <w:sz w:val="22"/>
          <w:szCs w:val="22"/>
        </w:rPr>
        <w:id w:val="495394424"/>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664C" w14:textId="77777777" w:rsidR="00C1473C" w:rsidRPr="00194415" w:rsidRDefault="00C1473C" w:rsidP="00194415">
    <w:pPr>
      <w:pStyle w:val="Footer"/>
      <w:tabs>
        <w:tab w:val="center" w:pos="4680"/>
        <w:tab w:val="right" w:pos="9360"/>
      </w:tabs>
      <w:rPr>
        <w:sz w:val="22"/>
        <w:szCs w:val="22"/>
      </w:rPr>
    </w:pPr>
    <w:sdt>
      <w:sdtPr>
        <w:rPr>
          <w:sz w:val="22"/>
          <w:szCs w:val="22"/>
        </w:rPr>
        <w:id w:val="257020746"/>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F943" w14:textId="77777777" w:rsidR="00C1473C" w:rsidRPr="00194415" w:rsidRDefault="00C1473C" w:rsidP="00194415">
    <w:pPr>
      <w:pStyle w:val="Footer"/>
      <w:tabs>
        <w:tab w:val="center" w:pos="4680"/>
        <w:tab w:val="right" w:pos="9360"/>
      </w:tabs>
      <w:rPr>
        <w:sz w:val="22"/>
        <w:szCs w:val="22"/>
      </w:rPr>
    </w:pPr>
    <w:sdt>
      <w:sdtPr>
        <w:rPr>
          <w:sz w:val="22"/>
          <w:szCs w:val="22"/>
        </w:rPr>
        <w:id w:val="1236668059"/>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14E9" w14:textId="77777777" w:rsidR="00C1473C" w:rsidRPr="00194415" w:rsidRDefault="00C1473C" w:rsidP="00194415">
    <w:pPr>
      <w:pStyle w:val="Footer"/>
      <w:tabs>
        <w:tab w:val="center" w:pos="4680"/>
        <w:tab w:val="right" w:pos="9360"/>
      </w:tabs>
      <w:rPr>
        <w:sz w:val="22"/>
        <w:szCs w:val="22"/>
      </w:rPr>
    </w:pPr>
    <w:sdt>
      <w:sdtPr>
        <w:rPr>
          <w:sz w:val="22"/>
          <w:szCs w:val="22"/>
        </w:rPr>
        <w:id w:val="-72615017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7993" w14:textId="77777777" w:rsidR="00C1473C" w:rsidRPr="00194415" w:rsidRDefault="00C1473C" w:rsidP="00194415">
    <w:pPr>
      <w:pStyle w:val="Footer"/>
      <w:tabs>
        <w:tab w:val="center" w:pos="4680"/>
        <w:tab w:val="right" w:pos="9360"/>
      </w:tabs>
      <w:rPr>
        <w:sz w:val="22"/>
        <w:szCs w:val="22"/>
      </w:rPr>
    </w:pPr>
    <w:sdt>
      <w:sdtPr>
        <w:rPr>
          <w:sz w:val="22"/>
          <w:szCs w:val="22"/>
        </w:rPr>
        <w:id w:val="340986906"/>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868B" w14:textId="77777777" w:rsidR="00C1473C" w:rsidRPr="00194415" w:rsidRDefault="00C1473C" w:rsidP="00194415">
    <w:pPr>
      <w:pStyle w:val="Footer"/>
      <w:tabs>
        <w:tab w:val="center" w:pos="4680"/>
        <w:tab w:val="right" w:pos="9360"/>
      </w:tabs>
      <w:rPr>
        <w:sz w:val="22"/>
        <w:szCs w:val="22"/>
      </w:rPr>
    </w:pPr>
    <w:sdt>
      <w:sdtPr>
        <w:rPr>
          <w:sz w:val="22"/>
          <w:szCs w:val="22"/>
        </w:rPr>
        <w:id w:val="1244464896"/>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23A8" w14:textId="77777777" w:rsidR="00C1473C" w:rsidRDefault="00C1473C">
    <w:pPr>
      <w:tabs>
        <w:tab w:val="right" w:pos="9360"/>
      </w:tabs>
      <w:rPr>
        <w:rFonts w:ascii="Century Schoolbook" w:hAnsi="Century Schoolbook" w:cs="Century Schoolbook"/>
      </w:rPr>
    </w:pPr>
    <w:sdt>
      <w:sdtPr>
        <w:rPr>
          <w:rFonts w:ascii="Century Schoolbook" w:hAnsi="Century Schoolbook" w:cs="Century Schoolbook"/>
        </w:rPr>
        <w:id w:val="969400743"/>
        <w:placeholder>
          <w:docPart w:val="234B018D6EE448049D34675D85727F70"/>
        </w:placeholder>
        <w:temporary/>
        <w:showingPlcHdr/>
        <w15:appearance w15:val="hidden"/>
      </w:sdtPr>
      <w:sdtContent>
        <w:r w:rsidRPr="000A15DE">
          <w:rPr>
            <w:rFonts w:ascii="Century Schoolbook" w:hAnsi="Century Schoolbook" w:cs="Century Schoolbook"/>
          </w:rPr>
          <w:t>[Type here]</w:t>
        </w:r>
      </w:sdtContent>
    </w:sdt>
    <w:r w:rsidRPr="000A15DE">
      <w:rPr>
        <w:rFonts w:ascii="Century Schoolbook" w:hAnsi="Century Schoolbook" w:cs="Century Schoolbook"/>
      </w:rPr>
      <w:ptab w:relativeTo="margin" w:alignment="center" w:leader="none"/>
    </w:r>
    <w:sdt>
      <w:sdtPr>
        <w:rPr>
          <w:rFonts w:ascii="Century Schoolbook" w:hAnsi="Century Schoolbook" w:cs="Century Schoolbook"/>
        </w:rPr>
        <w:id w:val="969400748"/>
        <w:placeholder>
          <w:docPart w:val="234B018D6EE448049D34675D85727F70"/>
        </w:placeholder>
        <w:temporary/>
        <w:showingPlcHdr/>
        <w15:appearance w15:val="hidden"/>
      </w:sdtPr>
      <w:sdtContent>
        <w:r w:rsidRPr="000A15DE">
          <w:rPr>
            <w:rFonts w:ascii="Century Schoolbook" w:hAnsi="Century Schoolbook" w:cs="Century Schoolbook"/>
          </w:rPr>
          <w:t>[Type here]</w:t>
        </w:r>
      </w:sdtContent>
    </w:sdt>
    <w:r w:rsidRPr="000A15DE">
      <w:rPr>
        <w:rFonts w:ascii="Century Schoolbook" w:hAnsi="Century Schoolbook" w:cs="Century Schoolbook"/>
      </w:rPr>
      <w:ptab w:relativeTo="margin" w:alignment="right" w:leader="none"/>
    </w:r>
    <w:sdt>
      <w:sdtPr>
        <w:rPr>
          <w:rFonts w:ascii="Century Schoolbook" w:hAnsi="Century Schoolbook" w:cs="Century Schoolbook"/>
        </w:rPr>
        <w:id w:val="969400753"/>
        <w:placeholder>
          <w:docPart w:val="234B018D6EE448049D34675D85727F70"/>
        </w:placeholder>
        <w:temporary/>
        <w:showingPlcHdr/>
        <w15:appearance w15:val="hidden"/>
      </w:sdtPr>
      <w:sdtContent>
        <w:r w:rsidRPr="000A15DE">
          <w:rPr>
            <w:rFonts w:ascii="Century Schoolbook" w:hAnsi="Century Schoolbook" w:cs="Century Schoolbook"/>
          </w:rPr>
          <w:t>[Type here]</w:t>
        </w:r>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F12D" w14:textId="77777777" w:rsidR="00C1473C" w:rsidRPr="00194415" w:rsidRDefault="00C1473C" w:rsidP="00194415">
    <w:pPr>
      <w:pStyle w:val="Footer"/>
      <w:tabs>
        <w:tab w:val="center" w:pos="4680"/>
        <w:tab w:val="right" w:pos="9360"/>
      </w:tabs>
      <w:rPr>
        <w:sz w:val="22"/>
        <w:szCs w:val="22"/>
      </w:rPr>
    </w:pPr>
    <w:sdt>
      <w:sdtPr>
        <w:rPr>
          <w:sz w:val="22"/>
          <w:szCs w:val="22"/>
        </w:rPr>
        <w:id w:val="-138498145"/>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D33E" w14:textId="77777777" w:rsidR="00C1473C" w:rsidRPr="00194415" w:rsidRDefault="00C1473C" w:rsidP="00194415">
    <w:pPr>
      <w:pStyle w:val="Footer"/>
      <w:tabs>
        <w:tab w:val="center" w:pos="4680"/>
        <w:tab w:val="right" w:pos="9360"/>
      </w:tabs>
      <w:rPr>
        <w:sz w:val="22"/>
        <w:szCs w:val="22"/>
      </w:rPr>
    </w:pPr>
    <w:sdt>
      <w:sdtPr>
        <w:rPr>
          <w:sz w:val="22"/>
          <w:szCs w:val="22"/>
        </w:rPr>
        <w:id w:val="-1000187441"/>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1164" w14:textId="77777777" w:rsidR="00C1473C" w:rsidRPr="00194415" w:rsidRDefault="00C1473C" w:rsidP="00194415">
    <w:pPr>
      <w:pStyle w:val="Footer"/>
      <w:tabs>
        <w:tab w:val="center" w:pos="4680"/>
        <w:tab w:val="right" w:pos="9360"/>
      </w:tabs>
      <w:rPr>
        <w:sz w:val="22"/>
        <w:szCs w:val="22"/>
      </w:rPr>
    </w:pPr>
    <w:sdt>
      <w:sdtPr>
        <w:rPr>
          <w:sz w:val="22"/>
          <w:szCs w:val="22"/>
        </w:rPr>
        <w:id w:val="1725406652"/>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9C3C" w14:textId="77777777" w:rsidR="00C1473C" w:rsidRPr="00194415" w:rsidRDefault="00C1473C" w:rsidP="00194415">
    <w:pPr>
      <w:pStyle w:val="Footer"/>
      <w:tabs>
        <w:tab w:val="center" w:pos="4680"/>
        <w:tab w:val="right" w:pos="9360"/>
      </w:tabs>
      <w:rPr>
        <w:sz w:val="22"/>
        <w:szCs w:val="22"/>
      </w:rPr>
    </w:pPr>
    <w:sdt>
      <w:sdtPr>
        <w:rPr>
          <w:sz w:val="22"/>
          <w:szCs w:val="22"/>
        </w:rPr>
        <w:id w:val="1479737458"/>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825B" w14:textId="77777777" w:rsidR="00C1473C" w:rsidRPr="00194415" w:rsidRDefault="00C1473C" w:rsidP="00194415">
    <w:pPr>
      <w:pStyle w:val="Footer"/>
      <w:tabs>
        <w:tab w:val="center" w:pos="4680"/>
        <w:tab w:val="right" w:pos="9360"/>
      </w:tabs>
      <w:rPr>
        <w:sz w:val="22"/>
        <w:szCs w:val="22"/>
      </w:rPr>
    </w:pPr>
    <w:sdt>
      <w:sdtPr>
        <w:rPr>
          <w:sz w:val="22"/>
          <w:szCs w:val="22"/>
        </w:rPr>
        <w:id w:val="-31026056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BA67" w14:textId="77777777" w:rsidR="00C1473C" w:rsidRPr="00194415" w:rsidRDefault="00C1473C" w:rsidP="00194415">
    <w:pPr>
      <w:pStyle w:val="Footer"/>
      <w:tabs>
        <w:tab w:val="center" w:pos="4680"/>
        <w:tab w:val="right" w:pos="9360"/>
      </w:tabs>
      <w:rPr>
        <w:sz w:val="22"/>
        <w:szCs w:val="22"/>
      </w:rPr>
    </w:pPr>
    <w:sdt>
      <w:sdtPr>
        <w:rPr>
          <w:sz w:val="22"/>
          <w:szCs w:val="22"/>
        </w:rPr>
        <w:id w:val="-1212423036"/>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4573" w14:textId="77777777" w:rsidR="00C1473C" w:rsidRPr="00194415" w:rsidRDefault="00C1473C" w:rsidP="00194415">
    <w:pPr>
      <w:pStyle w:val="Footer"/>
      <w:tabs>
        <w:tab w:val="center" w:pos="4680"/>
        <w:tab w:val="right" w:pos="9360"/>
      </w:tabs>
      <w:rPr>
        <w:sz w:val="22"/>
        <w:szCs w:val="22"/>
      </w:rPr>
    </w:pPr>
    <w:sdt>
      <w:sdtPr>
        <w:rPr>
          <w:sz w:val="22"/>
          <w:szCs w:val="22"/>
        </w:rPr>
        <w:id w:val="-239254726"/>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F0C1" w14:textId="77777777" w:rsidR="00C1473C" w:rsidRPr="00194415" w:rsidRDefault="00C1473C" w:rsidP="00194415">
    <w:pPr>
      <w:pStyle w:val="Footer"/>
      <w:tabs>
        <w:tab w:val="center" w:pos="4680"/>
        <w:tab w:val="right" w:pos="9360"/>
      </w:tabs>
      <w:rPr>
        <w:sz w:val="22"/>
        <w:szCs w:val="22"/>
      </w:rPr>
    </w:pPr>
    <w:sdt>
      <w:sdtPr>
        <w:rPr>
          <w:sz w:val="22"/>
          <w:szCs w:val="22"/>
        </w:rPr>
        <w:id w:val="-1423797888"/>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A94D" w14:textId="77777777" w:rsidR="00C1473C" w:rsidRPr="00194415" w:rsidRDefault="00C1473C" w:rsidP="00194415">
    <w:pPr>
      <w:pStyle w:val="Footer"/>
      <w:tabs>
        <w:tab w:val="center" w:pos="4680"/>
        <w:tab w:val="right" w:pos="9360"/>
      </w:tabs>
      <w:rPr>
        <w:sz w:val="22"/>
        <w:szCs w:val="22"/>
      </w:rPr>
    </w:pPr>
    <w:sdt>
      <w:sdtPr>
        <w:rPr>
          <w:sz w:val="22"/>
          <w:szCs w:val="22"/>
        </w:rPr>
        <w:id w:val="737446744"/>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6DA5" w14:textId="77777777" w:rsidR="00C1473C" w:rsidRPr="00194415" w:rsidRDefault="00C1473C" w:rsidP="00194415">
    <w:pPr>
      <w:pStyle w:val="Footer"/>
      <w:tabs>
        <w:tab w:val="center" w:pos="4680"/>
        <w:tab w:val="right" w:pos="9360"/>
      </w:tabs>
      <w:rPr>
        <w:sz w:val="22"/>
        <w:szCs w:val="22"/>
      </w:rPr>
    </w:pPr>
    <w:sdt>
      <w:sdtPr>
        <w:rPr>
          <w:sz w:val="22"/>
          <w:szCs w:val="22"/>
        </w:rPr>
        <w:id w:val="-922882652"/>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D67" w14:textId="7CEFC611" w:rsidR="00C1473C" w:rsidRPr="00194415" w:rsidRDefault="00C1473C" w:rsidP="00194415">
    <w:pPr>
      <w:pStyle w:val="Footer"/>
      <w:tabs>
        <w:tab w:val="center" w:pos="4680"/>
        <w:tab w:val="right" w:pos="9360"/>
      </w:tabs>
      <w:rPr>
        <w:sz w:val="22"/>
        <w:szCs w:val="22"/>
      </w:rPr>
    </w:pPr>
    <w:sdt>
      <w:sdtPr>
        <w:rPr>
          <w:sz w:val="22"/>
          <w:szCs w:val="22"/>
        </w:rPr>
        <w:id w:val="-195409381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BE96" w14:textId="77777777" w:rsidR="00C1473C" w:rsidRPr="00194415" w:rsidRDefault="00C1473C" w:rsidP="00194415">
    <w:pPr>
      <w:pStyle w:val="Footer"/>
      <w:tabs>
        <w:tab w:val="center" w:pos="4680"/>
        <w:tab w:val="right" w:pos="9360"/>
      </w:tabs>
      <w:rPr>
        <w:sz w:val="22"/>
        <w:szCs w:val="22"/>
      </w:rPr>
    </w:pPr>
    <w:sdt>
      <w:sdtPr>
        <w:rPr>
          <w:sz w:val="22"/>
          <w:szCs w:val="22"/>
        </w:rPr>
        <w:id w:val="-1425722924"/>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63B8" w14:textId="77777777" w:rsidR="00C1473C" w:rsidRPr="00194415" w:rsidRDefault="00C1473C" w:rsidP="00194415">
    <w:pPr>
      <w:pStyle w:val="Footer"/>
      <w:tabs>
        <w:tab w:val="center" w:pos="4680"/>
        <w:tab w:val="right" w:pos="9360"/>
      </w:tabs>
      <w:rPr>
        <w:sz w:val="22"/>
        <w:szCs w:val="22"/>
      </w:rPr>
    </w:pPr>
    <w:sdt>
      <w:sdtPr>
        <w:rPr>
          <w:sz w:val="22"/>
          <w:szCs w:val="22"/>
        </w:rPr>
        <w:id w:val="976727265"/>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0561" w14:textId="77777777" w:rsidR="00C1473C" w:rsidRPr="00194415" w:rsidRDefault="00C1473C" w:rsidP="00194415">
    <w:pPr>
      <w:pStyle w:val="Footer"/>
      <w:tabs>
        <w:tab w:val="center" w:pos="4680"/>
        <w:tab w:val="right" w:pos="9360"/>
      </w:tabs>
      <w:rPr>
        <w:sz w:val="22"/>
        <w:szCs w:val="22"/>
      </w:rPr>
    </w:pPr>
    <w:sdt>
      <w:sdtPr>
        <w:rPr>
          <w:sz w:val="22"/>
          <w:szCs w:val="22"/>
        </w:rPr>
        <w:id w:val="-88046868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786B" w14:textId="77777777" w:rsidR="00C1473C" w:rsidRPr="00194415" w:rsidRDefault="00C1473C" w:rsidP="00194415">
    <w:pPr>
      <w:pStyle w:val="Footer"/>
      <w:tabs>
        <w:tab w:val="center" w:pos="4680"/>
        <w:tab w:val="right" w:pos="9360"/>
      </w:tabs>
      <w:rPr>
        <w:sz w:val="22"/>
        <w:szCs w:val="22"/>
      </w:rPr>
    </w:pPr>
    <w:sdt>
      <w:sdtPr>
        <w:rPr>
          <w:sz w:val="22"/>
          <w:szCs w:val="22"/>
        </w:rPr>
        <w:id w:val="-249203995"/>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73C2" w14:textId="77777777" w:rsidR="00C1473C" w:rsidRPr="00194415" w:rsidRDefault="00C1473C" w:rsidP="00194415">
    <w:pPr>
      <w:pStyle w:val="Footer"/>
      <w:tabs>
        <w:tab w:val="center" w:pos="4680"/>
        <w:tab w:val="right" w:pos="9360"/>
      </w:tabs>
      <w:rPr>
        <w:sz w:val="22"/>
        <w:szCs w:val="22"/>
      </w:rPr>
    </w:pPr>
    <w:sdt>
      <w:sdtPr>
        <w:rPr>
          <w:sz w:val="22"/>
          <w:szCs w:val="22"/>
        </w:rPr>
        <w:id w:val="1159044259"/>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52CE" w14:textId="77777777" w:rsidR="00C1473C" w:rsidRPr="00194415" w:rsidRDefault="00C1473C" w:rsidP="00194415">
    <w:pPr>
      <w:pStyle w:val="Footer"/>
      <w:tabs>
        <w:tab w:val="center" w:pos="4680"/>
        <w:tab w:val="right" w:pos="9360"/>
      </w:tabs>
      <w:rPr>
        <w:sz w:val="22"/>
        <w:szCs w:val="22"/>
      </w:rPr>
    </w:pPr>
    <w:sdt>
      <w:sdtPr>
        <w:rPr>
          <w:sz w:val="22"/>
          <w:szCs w:val="22"/>
        </w:rPr>
        <w:id w:val="-91864110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A129" w14:textId="77777777" w:rsidR="00C1473C" w:rsidRPr="00194415" w:rsidRDefault="00C1473C" w:rsidP="00194415">
    <w:pPr>
      <w:pStyle w:val="Footer"/>
      <w:tabs>
        <w:tab w:val="center" w:pos="4680"/>
        <w:tab w:val="right" w:pos="9360"/>
      </w:tabs>
      <w:rPr>
        <w:sz w:val="22"/>
        <w:szCs w:val="22"/>
      </w:rPr>
    </w:pPr>
    <w:sdt>
      <w:sdtPr>
        <w:rPr>
          <w:sz w:val="22"/>
          <w:szCs w:val="22"/>
        </w:rPr>
        <w:id w:val="1707215373"/>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E30D" w14:textId="77777777" w:rsidR="00C1473C" w:rsidRPr="00194415" w:rsidRDefault="00C1473C" w:rsidP="00194415">
    <w:pPr>
      <w:pStyle w:val="Footer"/>
      <w:tabs>
        <w:tab w:val="center" w:pos="4680"/>
        <w:tab w:val="right" w:pos="9360"/>
      </w:tabs>
      <w:rPr>
        <w:sz w:val="22"/>
        <w:szCs w:val="22"/>
      </w:rPr>
    </w:pPr>
    <w:sdt>
      <w:sdtPr>
        <w:rPr>
          <w:sz w:val="22"/>
          <w:szCs w:val="22"/>
        </w:rPr>
        <w:id w:val="-63192230"/>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4BD4" w14:textId="77777777" w:rsidR="00C1473C" w:rsidRPr="00194415" w:rsidRDefault="00C1473C" w:rsidP="00194415">
    <w:pPr>
      <w:pStyle w:val="Footer"/>
      <w:tabs>
        <w:tab w:val="center" w:pos="4680"/>
        <w:tab w:val="right" w:pos="9360"/>
      </w:tabs>
      <w:rPr>
        <w:sz w:val="22"/>
        <w:szCs w:val="22"/>
      </w:rPr>
    </w:pPr>
    <w:sdt>
      <w:sdtPr>
        <w:rPr>
          <w:sz w:val="22"/>
          <w:szCs w:val="22"/>
        </w:rPr>
        <w:id w:val="-209716421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EBE1" w14:textId="1722F8A9" w:rsidR="00C1473C" w:rsidRPr="007E33C5" w:rsidRDefault="00C1473C" w:rsidP="007E33C5">
    <w:pPr>
      <w:pStyle w:val="Footer"/>
      <w:rPr>
        <w:sz w:val="22"/>
        <w:szCs w:val="22"/>
      </w:rPr>
    </w:pPr>
    <w:r>
      <w:rPr>
        <w:sz w:val="22"/>
        <w:szCs w:val="22"/>
      </w:rPr>
      <w:t>I</w:t>
    </w:r>
    <w:r w:rsidRPr="007E33C5">
      <w:rPr>
        <w:sz w:val="22"/>
        <w:szCs w:val="22"/>
      </w:rPr>
      <w:t xml:space="preserve">ssue Date:  </w:t>
    </w:r>
    <w:r>
      <w:rPr>
        <w:sz w:val="22"/>
        <w:szCs w:val="22"/>
      </w:rPr>
      <w:t>01/29/21</w:t>
    </w:r>
    <w:r w:rsidRPr="007E33C5">
      <w:rPr>
        <w:sz w:val="22"/>
        <w:szCs w:val="22"/>
      </w:rPr>
      <w:ptab w:relativeTo="margin" w:alignment="center" w:leader="none"/>
    </w:r>
    <w:proofErr w:type="spellStart"/>
    <w:r>
      <w:rPr>
        <w:sz w:val="22"/>
        <w:szCs w:val="22"/>
      </w:rPr>
      <w:t>Att</w:t>
    </w:r>
    <w:proofErr w:type="spellEnd"/>
    <w:r>
      <w:rPr>
        <w:sz w:val="22"/>
        <w:szCs w:val="22"/>
      </w:rPr>
      <w:t xml:space="preserve"> 1-1</w:t>
    </w:r>
    <w:r w:rsidRPr="007E33C5">
      <w:rPr>
        <w:sz w:val="22"/>
        <w:szCs w:val="22"/>
      </w:rPr>
      <w:ptab w:relativeTo="margin" w:alignment="right" w:leader="none"/>
    </w:r>
    <w:r>
      <w:rPr>
        <w:sz w:val="22"/>
        <w:szCs w:val="22"/>
      </w:rPr>
      <w:t>0335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9B06" w14:textId="77777777" w:rsidR="00C1473C" w:rsidRDefault="00C1473C" w:rsidP="00414F6F">
    <w:pPr>
      <w:pStyle w:val="Footer"/>
      <w:tabs>
        <w:tab w:val="left" w:pos="4320"/>
      </w:tabs>
      <w:rPr>
        <w:sz w:val="22"/>
        <w:szCs w:val="22"/>
      </w:rPr>
    </w:pPr>
    <w:r>
      <w:rPr>
        <w:sz w:val="22"/>
        <w:szCs w:val="22"/>
      </w:rPr>
      <w:t>Issue Date:  12/xx/2012</w:t>
    </w:r>
    <w:r>
      <w:rPr>
        <w:sz w:val="22"/>
        <w:szCs w:val="22"/>
      </w:rPr>
      <w:tab/>
      <w:t>App B-</w:t>
    </w:r>
    <w:r w:rsidRPr="00414F6F">
      <w:rPr>
        <w:sz w:val="22"/>
        <w:szCs w:val="22"/>
      </w:rPr>
      <w:fldChar w:fldCharType="begin"/>
    </w:r>
    <w:r w:rsidRPr="00414F6F">
      <w:rPr>
        <w:sz w:val="22"/>
        <w:szCs w:val="22"/>
      </w:rPr>
      <w:instrText xml:space="preserve"> PAGE   \* MERGEFORMAT </w:instrText>
    </w:r>
    <w:r w:rsidRPr="00414F6F">
      <w:rPr>
        <w:sz w:val="22"/>
        <w:szCs w:val="22"/>
      </w:rPr>
      <w:fldChar w:fldCharType="separate"/>
    </w:r>
    <w:r>
      <w:rPr>
        <w:noProof/>
        <w:sz w:val="22"/>
        <w:szCs w:val="22"/>
      </w:rPr>
      <w:t>1</w:t>
    </w:r>
    <w:r w:rsidRPr="00414F6F">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t>0326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7FB7" w14:textId="77777777" w:rsidR="00C1473C" w:rsidRPr="00194415" w:rsidRDefault="00C1473C" w:rsidP="00194415">
    <w:pPr>
      <w:pStyle w:val="Footer"/>
      <w:tabs>
        <w:tab w:val="center" w:pos="4680"/>
        <w:tab w:val="right" w:pos="9360"/>
      </w:tabs>
      <w:rPr>
        <w:sz w:val="22"/>
        <w:szCs w:val="22"/>
      </w:rPr>
    </w:pPr>
    <w:sdt>
      <w:sdtPr>
        <w:rPr>
          <w:sz w:val="22"/>
          <w:szCs w:val="22"/>
        </w:rPr>
        <w:id w:val="1527910971"/>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B216" w14:textId="77777777" w:rsidR="00C1473C" w:rsidRPr="00194415" w:rsidRDefault="00C1473C" w:rsidP="00194415">
    <w:pPr>
      <w:pStyle w:val="Footer"/>
      <w:tabs>
        <w:tab w:val="center" w:pos="4680"/>
        <w:tab w:val="right" w:pos="9360"/>
      </w:tabs>
      <w:rPr>
        <w:sz w:val="22"/>
        <w:szCs w:val="22"/>
      </w:rPr>
    </w:pPr>
    <w:sdt>
      <w:sdtPr>
        <w:rPr>
          <w:sz w:val="22"/>
          <w:szCs w:val="22"/>
        </w:rPr>
        <w:id w:val="627520027"/>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1C85" w14:textId="77777777" w:rsidR="00C1473C" w:rsidRPr="00194415" w:rsidRDefault="00C1473C" w:rsidP="00194415">
    <w:pPr>
      <w:pStyle w:val="Footer"/>
      <w:tabs>
        <w:tab w:val="center" w:pos="4680"/>
        <w:tab w:val="right" w:pos="9360"/>
      </w:tabs>
      <w:rPr>
        <w:sz w:val="22"/>
        <w:szCs w:val="22"/>
      </w:rPr>
    </w:pPr>
    <w:sdt>
      <w:sdtPr>
        <w:rPr>
          <w:sz w:val="22"/>
          <w:szCs w:val="22"/>
        </w:rPr>
        <w:id w:val="-1423093134"/>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D33E" w14:textId="77777777" w:rsidR="00C1473C" w:rsidRPr="00194415" w:rsidRDefault="00C1473C" w:rsidP="00194415">
    <w:pPr>
      <w:pStyle w:val="Footer"/>
      <w:tabs>
        <w:tab w:val="center" w:pos="4680"/>
        <w:tab w:val="right" w:pos="9360"/>
      </w:tabs>
      <w:rPr>
        <w:sz w:val="22"/>
        <w:szCs w:val="22"/>
      </w:rPr>
    </w:pPr>
    <w:sdt>
      <w:sdtPr>
        <w:rPr>
          <w:sz w:val="22"/>
          <w:szCs w:val="22"/>
        </w:rPr>
        <w:id w:val="-1188525354"/>
        <w:docPartObj>
          <w:docPartGallery w:val="Page Numbers (Bottom of Page)"/>
          <w:docPartUnique/>
        </w:docPartObj>
      </w:sdtPr>
      <w:sdtEndPr>
        <w:rPr>
          <w:noProof/>
        </w:rPr>
      </w:sdtEndPr>
      <w:sdtContent>
        <w:r w:rsidRPr="00194415">
          <w:rPr>
            <w:sz w:val="22"/>
            <w:szCs w:val="22"/>
          </w:rPr>
          <w:t>Issue Date:</w:t>
        </w:r>
        <w:r>
          <w:rPr>
            <w:sz w:val="22"/>
            <w:szCs w:val="22"/>
          </w:rPr>
          <w:t xml:space="preserve">  01/29/21</w:t>
        </w:r>
        <w:r w:rsidRPr="00194415">
          <w:rPr>
            <w:sz w:val="22"/>
            <w:szCs w:val="22"/>
          </w:rPr>
          <w:tab/>
        </w:r>
        <w:r w:rsidRPr="00194415">
          <w:rPr>
            <w:sz w:val="22"/>
            <w:szCs w:val="22"/>
          </w:rPr>
          <w:fldChar w:fldCharType="begin"/>
        </w:r>
        <w:r w:rsidRPr="00194415">
          <w:rPr>
            <w:sz w:val="22"/>
            <w:szCs w:val="22"/>
          </w:rPr>
          <w:instrText xml:space="preserve"> PAGE   \* MERGEFORMAT </w:instrText>
        </w:r>
        <w:r w:rsidRPr="00194415">
          <w:rPr>
            <w:sz w:val="22"/>
            <w:szCs w:val="22"/>
          </w:rPr>
          <w:fldChar w:fldCharType="separate"/>
        </w:r>
        <w:r w:rsidRPr="00194415">
          <w:rPr>
            <w:noProof/>
            <w:sz w:val="22"/>
            <w:szCs w:val="22"/>
          </w:rPr>
          <w:t>2</w:t>
        </w:r>
        <w:r w:rsidRPr="00194415">
          <w:rPr>
            <w:noProof/>
            <w:sz w:val="22"/>
            <w:szCs w:val="22"/>
          </w:rPr>
          <w:fldChar w:fldCharType="end"/>
        </w:r>
      </w:sdtContent>
    </w:sdt>
    <w:r>
      <w:rPr>
        <w:noProof/>
        <w:sz w:val="22"/>
        <w:szCs w:val="22"/>
      </w:rPr>
      <w:tab/>
      <w:t>0335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E5A6" w14:textId="77777777" w:rsidR="00C1473C" w:rsidRDefault="00C1473C" w:rsidP="00D07321">
      <w:r>
        <w:separator/>
      </w:r>
    </w:p>
  </w:footnote>
  <w:footnote w:type="continuationSeparator" w:id="0">
    <w:p w14:paraId="0B7E40FB" w14:textId="77777777" w:rsidR="00C1473C" w:rsidRDefault="00C1473C" w:rsidP="00D07321">
      <w:r>
        <w:continuationSeparator/>
      </w:r>
    </w:p>
  </w:footnote>
  <w:footnote w:type="continuationNotice" w:id="1">
    <w:p w14:paraId="6DDEA9E3" w14:textId="77777777" w:rsidR="00C1473C" w:rsidRDefault="00C14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8A3D" w14:textId="21380164" w:rsidR="00C1473C" w:rsidRDefault="00C1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2B26" w14:textId="7C9A2441" w:rsidR="00C1473C" w:rsidRPr="00F27917" w:rsidRDefault="00C1473C" w:rsidP="00F27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BB8E" w14:textId="459FDEED" w:rsidR="00C1473C" w:rsidRPr="008141EE" w:rsidRDefault="00C1473C" w:rsidP="00814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16B2" w14:textId="4E062878" w:rsidR="00C1473C" w:rsidRDefault="00C147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F9A" w14:textId="5D4B5AF5" w:rsidR="00C1473C" w:rsidRDefault="00C14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89FE" w14:textId="406DC407" w:rsidR="00C1473C" w:rsidRDefault="00C1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1D1637"/>
    <w:multiLevelType w:val="hybridMultilevel"/>
    <w:tmpl w:val="1A7CDC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name w:val="4"/>
    <w:lvl w:ilvl="0">
      <w:start w:val="1"/>
      <w:numFmt w:val="decimal"/>
      <w:lvlText w:val="(%1)"/>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2" w15:restartNumberingAfterBreak="0">
    <w:nsid w:val="00000002"/>
    <w:multiLevelType w:val="multilevel"/>
    <w:tmpl w:val="00000000"/>
    <w:name w:val="7"/>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4364D75"/>
    <w:multiLevelType w:val="hybridMultilevel"/>
    <w:tmpl w:val="B0647B40"/>
    <w:lvl w:ilvl="0" w:tplc="51B4EE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E1735"/>
    <w:multiLevelType w:val="hybridMultilevel"/>
    <w:tmpl w:val="2534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74534"/>
    <w:multiLevelType w:val="hybridMultilevel"/>
    <w:tmpl w:val="3DC05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3340B"/>
    <w:multiLevelType w:val="hybridMultilevel"/>
    <w:tmpl w:val="9A88C11C"/>
    <w:lvl w:ilvl="0" w:tplc="86C0E0D6">
      <w:start w:val="1"/>
      <w:numFmt w:val="bullet"/>
      <w:lvlText w:val=""/>
      <w:lvlJc w:val="left"/>
      <w:pPr>
        <w:tabs>
          <w:tab w:val="num" w:pos="720"/>
        </w:tabs>
        <w:ind w:left="720" w:hanging="360"/>
      </w:pPr>
      <w:rPr>
        <w:rFonts w:ascii="Symbol" w:hAnsi="Symbol" w:hint="default"/>
        <w:sz w:val="20"/>
      </w:rPr>
    </w:lvl>
    <w:lvl w:ilvl="1" w:tplc="3758BD7C" w:tentative="1">
      <w:start w:val="1"/>
      <w:numFmt w:val="bullet"/>
      <w:lvlText w:val="o"/>
      <w:lvlJc w:val="left"/>
      <w:pPr>
        <w:tabs>
          <w:tab w:val="num" w:pos="1440"/>
        </w:tabs>
        <w:ind w:left="1440" w:hanging="360"/>
      </w:pPr>
      <w:rPr>
        <w:rFonts w:ascii="Courier New" w:hAnsi="Courier New" w:hint="default"/>
        <w:sz w:val="20"/>
      </w:rPr>
    </w:lvl>
    <w:lvl w:ilvl="2" w:tplc="BD32B718" w:tentative="1">
      <w:start w:val="1"/>
      <w:numFmt w:val="bullet"/>
      <w:lvlText w:val=""/>
      <w:lvlJc w:val="left"/>
      <w:pPr>
        <w:tabs>
          <w:tab w:val="num" w:pos="2160"/>
        </w:tabs>
        <w:ind w:left="2160" w:hanging="360"/>
      </w:pPr>
      <w:rPr>
        <w:rFonts w:ascii="Wingdings" w:hAnsi="Wingdings" w:hint="default"/>
        <w:sz w:val="20"/>
      </w:rPr>
    </w:lvl>
    <w:lvl w:ilvl="3" w:tplc="A2E0E3DA" w:tentative="1">
      <w:start w:val="1"/>
      <w:numFmt w:val="bullet"/>
      <w:lvlText w:val=""/>
      <w:lvlJc w:val="left"/>
      <w:pPr>
        <w:tabs>
          <w:tab w:val="num" w:pos="2880"/>
        </w:tabs>
        <w:ind w:left="2880" w:hanging="360"/>
      </w:pPr>
      <w:rPr>
        <w:rFonts w:ascii="Wingdings" w:hAnsi="Wingdings" w:hint="default"/>
        <w:sz w:val="20"/>
      </w:rPr>
    </w:lvl>
    <w:lvl w:ilvl="4" w:tplc="E80E2304" w:tentative="1">
      <w:start w:val="1"/>
      <w:numFmt w:val="bullet"/>
      <w:lvlText w:val=""/>
      <w:lvlJc w:val="left"/>
      <w:pPr>
        <w:tabs>
          <w:tab w:val="num" w:pos="3600"/>
        </w:tabs>
        <w:ind w:left="3600" w:hanging="360"/>
      </w:pPr>
      <w:rPr>
        <w:rFonts w:ascii="Wingdings" w:hAnsi="Wingdings" w:hint="default"/>
        <w:sz w:val="20"/>
      </w:rPr>
    </w:lvl>
    <w:lvl w:ilvl="5" w:tplc="B0FC2698" w:tentative="1">
      <w:start w:val="1"/>
      <w:numFmt w:val="bullet"/>
      <w:lvlText w:val=""/>
      <w:lvlJc w:val="left"/>
      <w:pPr>
        <w:tabs>
          <w:tab w:val="num" w:pos="4320"/>
        </w:tabs>
        <w:ind w:left="4320" w:hanging="360"/>
      </w:pPr>
      <w:rPr>
        <w:rFonts w:ascii="Wingdings" w:hAnsi="Wingdings" w:hint="default"/>
        <w:sz w:val="20"/>
      </w:rPr>
    </w:lvl>
    <w:lvl w:ilvl="6" w:tplc="0D6425E4" w:tentative="1">
      <w:start w:val="1"/>
      <w:numFmt w:val="bullet"/>
      <w:lvlText w:val=""/>
      <w:lvlJc w:val="left"/>
      <w:pPr>
        <w:tabs>
          <w:tab w:val="num" w:pos="5040"/>
        </w:tabs>
        <w:ind w:left="5040" w:hanging="360"/>
      </w:pPr>
      <w:rPr>
        <w:rFonts w:ascii="Wingdings" w:hAnsi="Wingdings" w:hint="default"/>
        <w:sz w:val="20"/>
      </w:rPr>
    </w:lvl>
    <w:lvl w:ilvl="7" w:tplc="0FB613AA" w:tentative="1">
      <w:start w:val="1"/>
      <w:numFmt w:val="bullet"/>
      <w:lvlText w:val=""/>
      <w:lvlJc w:val="left"/>
      <w:pPr>
        <w:tabs>
          <w:tab w:val="num" w:pos="5760"/>
        </w:tabs>
        <w:ind w:left="5760" w:hanging="360"/>
      </w:pPr>
      <w:rPr>
        <w:rFonts w:ascii="Wingdings" w:hAnsi="Wingdings" w:hint="default"/>
        <w:sz w:val="20"/>
      </w:rPr>
    </w:lvl>
    <w:lvl w:ilvl="8" w:tplc="C69270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A79BB"/>
    <w:multiLevelType w:val="hybridMultilevel"/>
    <w:tmpl w:val="BA7CC1FE"/>
    <w:lvl w:ilvl="0" w:tplc="2DCA0448">
      <w:start w:val="1"/>
      <w:numFmt w:val="bullet"/>
      <w:lvlText w:val=""/>
      <w:lvlJc w:val="left"/>
      <w:pPr>
        <w:tabs>
          <w:tab w:val="num" w:pos="720"/>
        </w:tabs>
        <w:ind w:left="720" w:hanging="360"/>
      </w:pPr>
      <w:rPr>
        <w:rFonts w:ascii="Symbol" w:hAnsi="Symbol" w:hint="default"/>
        <w:sz w:val="20"/>
      </w:rPr>
    </w:lvl>
    <w:lvl w:ilvl="1" w:tplc="807C8A50" w:tentative="1">
      <w:start w:val="1"/>
      <w:numFmt w:val="bullet"/>
      <w:lvlText w:val="o"/>
      <w:lvlJc w:val="left"/>
      <w:pPr>
        <w:tabs>
          <w:tab w:val="num" w:pos="1440"/>
        </w:tabs>
        <w:ind w:left="1440" w:hanging="360"/>
      </w:pPr>
      <w:rPr>
        <w:rFonts w:ascii="Courier New" w:hAnsi="Courier New" w:hint="default"/>
        <w:sz w:val="20"/>
      </w:rPr>
    </w:lvl>
    <w:lvl w:ilvl="2" w:tplc="B5C48E7E" w:tentative="1">
      <w:start w:val="1"/>
      <w:numFmt w:val="bullet"/>
      <w:lvlText w:val=""/>
      <w:lvlJc w:val="left"/>
      <w:pPr>
        <w:tabs>
          <w:tab w:val="num" w:pos="2160"/>
        </w:tabs>
        <w:ind w:left="2160" w:hanging="360"/>
      </w:pPr>
      <w:rPr>
        <w:rFonts w:ascii="Wingdings" w:hAnsi="Wingdings" w:hint="default"/>
        <w:sz w:val="20"/>
      </w:rPr>
    </w:lvl>
    <w:lvl w:ilvl="3" w:tplc="FDCAC10E" w:tentative="1">
      <w:start w:val="1"/>
      <w:numFmt w:val="bullet"/>
      <w:lvlText w:val=""/>
      <w:lvlJc w:val="left"/>
      <w:pPr>
        <w:tabs>
          <w:tab w:val="num" w:pos="2880"/>
        </w:tabs>
        <w:ind w:left="2880" w:hanging="360"/>
      </w:pPr>
      <w:rPr>
        <w:rFonts w:ascii="Wingdings" w:hAnsi="Wingdings" w:hint="default"/>
        <w:sz w:val="20"/>
      </w:rPr>
    </w:lvl>
    <w:lvl w:ilvl="4" w:tplc="EE8AE918" w:tentative="1">
      <w:start w:val="1"/>
      <w:numFmt w:val="bullet"/>
      <w:lvlText w:val=""/>
      <w:lvlJc w:val="left"/>
      <w:pPr>
        <w:tabs>
          <w:tab w:val="num" w:pos="3600"/>
        </w:tabs>
        <w:ind w:left="3600" w:hanging="360"/>
      </w:pPr>
      <w:rPr>
        <w:rFonts w:ascii="Wingdings" w:hAnsi="Wingdings" w:hint="default"/>
        <w:sz w:val="20"/>
      </w:rPr>
    </w:lvl>
    <w:lvl w:ilvl="5" w:tplc="CD5CF8EC" w:tentative="1">
      <w:start w:val="1"/>
      <w:numFmt w:val="bullet"/>
      <w:lvlText w:val=""/>
      <w:lvlJc w:val="left"/>
      <w:pPr>
        <w:tabs>
          <w:tab w:val="num" w:pos="4320"/>
        </w:tabs>
        <w:ind w:left="4320" w:hanging="360"/>
      </w:pPr>
      <w:rPr>
        <w:rFonts w:ascii="Wingdings" w:hAnsi="Wingdings" w:hint="default"/>
        <w:sz w:val="20"/>
      </w:rPr>
    </w:lvl>
    <w:lvl w:ilvl="6" w:tplc="25FE0E34" w:tentative="1">
      <w:start w:val="1"/>
      <w:numFmt w:val="bullet"/>
      <w:lvlText w:val=""/>
      <w:lvlJc w:val="left"/>
      <w:pPr>
        <w:tabs>
          <w:tab w:val="num" w:pos="5040"/>
        </w:tabs>
        <w:ind w:left="5040" w:hanging="360"/>
      </w:pPr>
      <w:rPr>
        <w:rFonts w:ascii="Wingdings" w:hAnsi="Wingdings" w:hint="default"/>
        <w:sz w:val="20"/>
      </w:rPr>
    </w:lvl>
    <w:lvl w:ilvl="7" w:tplc="46BE3630" w:tentative="1">
      <w:start w:val="1"/>
      <w:numFmt w:val="bullet"/>
      <w:lvlText w:val=""/>
      <w:lvlJc w:val="left"/>
      <w:pPr>
        <w:tabs>
          <w:tab w:val="num" w:pos="5760"/>
        </w:tabs>
        <w:ind w:left="5760" w:hanging="360"/>
      </w:pPr>
      <w:rPr>
        <w:rFonts w:ascii="Wingdings" w:hAnsi="Wingdings" w:hint="default"/>
        <w:sz w:val="20"/>
      </w:rPr>
    </w:lvl>
    <w:lvl w:ilvl="8" w:tplc="49DE194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C08A7"/>
    <w:multiLevelType w:val="hybridMultilevel"/>
    <w:tmpl w:val="256CE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9753C"/>
    <w:multiLevelType w:val="hybridMultilevel"/>
    <w:tmpl w:val="B0647B40"/>
    <w:lvl w:ilvl="0" w:tplc="51B4EE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575E4"/>
    <w:multiLevelType w:val="hybridMultilevel"/>
    <w:tmpl w:val="DF3C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654B3"/>
    <w:multiLevelType w:val="hybridMultilevel"/>
    <w:tmpl w:val="566C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C72C2"/>
    <w:multiLevelType w:val="hybridMultilevel"/>
    <w:tmpl w:val="8982D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531C0"/>
    <w:multiLevelType w:val="hybridMultilevel"/>
    <w:tmpl w:val="B85459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CA08DC"/>
    <w:multiLevelType w:val="hybridMultilevel"/>
    <w:tmpl w:val="03B69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122088"/>
    <w:multiLevelType w:val="hybridMultilevel"/>
    <w:tmpl w:val="902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23232"/>
    <w:multiLevelType w:val="hybridMultilevel"/>
    <w:tmpl w:val="BEE2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D734D"/>
    <w:multiLevelType w:val="hybridMultilevel"/>
    <w:tmpl w:val="5B3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93727"/>
    <w:multiLevelType w:val="hybridMultilevel"/>
    <w:tmpl w:val="D08C4A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D72DAE"/>
    <w:multiLevelType w:val="hybridMultilevel"/>
    <w:tmpl w:val="65B6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C6002"/>
    <w:multiLevelType w:val="hybridMultilevel"/>
    <w:tmpl w:val="F7BA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C469B"/>
    <w:multiLevelType w:val="hybridMultilevel"/>
    <w:tmpl w:val="E39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E28ED"/>
    <w:multiLevelType w:val="hybridMultilevel"/>
    <w:tmpl w:val="932E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115B7"/>
    <w:multiLevelType w:val="hybridMultilevel"/>
    <w:tmpl w:val="42C10F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9AA6B35"/>
    <w:multiLevelType w:val="hybridMultilevel"/>
    <w:tmpl w:val="49B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05E5F"/>
    <w:multiLevelType w:val="hybridMultilevel"/>
    <w:tmpl w:val="B0647B40"/>
    <w:lvl w:ilvl="0" w:tplc="51B4EE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041B7"/>
    <w:multiLevelType w:val="hybridMultilevel"/>
    <w:tmpl w:val="BEF2D9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013F"/>
    <w:multiLevelType w:val="multilevel"/>
    <w:tmpl w:val="FE6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83FE6"/>
    <w:multiLevelType w:val="hybridMultilevel"/>
    <w:tmpl w:val="4DCA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6"/>
  </w:num>
  <w:num w:numId="4">
    <w:abstractNumId w:val="17"/>
  </w:num>
  <w:num w:numId="5">
    <w:abstractNumId w:val="15"/>
  </w:num>
  <w:num w:numId="6">
    <w:abstractNumId w:val="19"/>
  </w:num>
  <w:num w:numId="7">
    <w:abstractNumId w:val="21"/>
  </w:num>
  <w:num w:numId="8">
    <w:abstractNumId w:val="10"/>
  </w:num>
  <w:num w:numId="9">
    <w:abstractNumId w:val="22"/>
  </w:num>
  <w:num w:numId="10">
    <w:abstractNumId w:val="8"/>
  </w:num>
  <w:num w:numId="11">
    <w:abstractNumId w:val="28"/>
  </w:num>
  <w:num w:numId="12">
    <w:abstractNumId w:val="4"/>
  </w:num>
  <w:num w:numId="13">
    <w:abstractNumId w:val="16"/>
  </w:num>
  <w:num w:numId="14">
    <w:abstractNumId w:val="26"/>
  </w:num>
  <w:num w:numId="15">
    <w:abstractNumId w:val="20"/>
  </w:num>
  <w:num w:numId="16">
    <w:abstractNumId w:val="11"/>
  </w:num>
  <w:num w:numId="17">
    <w:abstractNumId w:val="7"/>
  </w:num>
  <w:num w:numId="18">
    <w:abstractNumId w:val="6"/>
  </w:num>
  <w:num w:numId="19">
    <w:abstractNumId w:val="27"/>
  </w:num>
  <w:num w:numId="20">
    <w:abstractNumId w:val="13"/>
  </w:num>
  <w:num w:numId="21">
    <w:abstractNumId w:val="23"/>
  </w:num>
  <w:num w:numId="22">
    <w:abstractNumId w:val="0"/>
  </w:num>
  <w:num w:numId="23">
    <w:abstractNumId w:val="12"/>
  </w:num>
  <w:num w:numId="24">
    <w:abstractNumId w:val="14"/>
  </w:num>
  <w:num w:numId="25">
    <w:abstractNumId w:val="18"/>
  </w:num>
  <w:num w:numId="26">
    <w:abstractNumId w:val="9"/>
  </w:num>
  <w:num w:numId="27">
    <w:abstractNumId w:val="25"/>
  </w:num>
  <w:num w:numId="28">
    <w:abstractNumId w:val="3"/>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Formatting/>
  <w:documentProtection w:edit="readOnly"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21"/>
    <w:rsid w:val="000002E3"/>
    <w:rsid w:val="0000073B"/>
    <w:rsid w:val="00000A1E"/>
    <w:rsid w:val="00000B19"/>
    <w:rsid w:val="00000B46"/>
    <w:rsid w:val="00000C0A"/>
    <w:rsid w:val="00000D07"/>
    <w:rsid w:val="0000107C"/>
    <w:rsid w:val="0000185A"/>
    <w:rsid w:val="00001AED"/>
    <w:rsid w:val="00002078"/>
    <w:rsid w:val="0000282B"/>
    <w:rsid w:val="000028B6"/>
    <w:rsid w:val="00002BBA"/>
    <w:rsid w:val="000039FE"/>
    <w:rsid w:val="00003F2F"/>
    <w:rsid w:val="0000460D"/>
    <w:rsid w:val="000046C9"/>
    <w:rsid w:val="00004B3A"/>
    <w:rsid w:val="00004F57"/>
    <w:rsid w:val="00004F7C"/>
    <w:rsid w:val="000050E8"/>
    <w:rsid w:val="000053D8"/>
    <w:rsid w:val="00005799"/>
    <w:rsid w:val="000057FA"/>
    <w:rsid w:val="00005DC9"/>
    <w:rsid w:val="0000601F"/>
    <w:rsid w:val="00006101"/>
    <w:rsid w:val="00006247"/>
    <w:rsid w:val="00006346"/>
    <w:rsid w:val="0000636C"/>
    <w:rsid w:val="0000639C"/>
    <w:rsid w:val="00006761"/>
    <w:rsid w:val="00006934"/>
    <w:rsid w:val="000069C3"/>
    <w:rsid w:val="000070B5"/>
    <w:rsid w:val="00007188"/>
    <w:rsid w:val="0000768A"/>
    <w:rsid w:val="000077A2"/>
    <w:rsid w:val="00010477"/>
    <w:rsid w:val="00010829"/>
    <w:rsid w:val="000109C6"/>
    <w:rsid w:val="00010B0B"/>
    <w:rsid w:val="00010E75"/>
    <w:rsid w:val="0001123D"/>
    <w:rsid w:val="00011612"/>
    <w:rsid w:val="00011792"/>
    <w:rsid w:val="0001192A"/>
    <w:rsid w:val="00011A5E"/>
    <w:rsid w:val="00011D55"/>
    <w:rsid w:val="0001278B"/>
    <w:rsid w:val="00012998"/>
    <w:rsid w:val="00012D03"/>
    <w:rsid w:val="0001329A"/>
    <w:rsid w:val="00013F52"/>
    <w:rsid w:val="0001435D"/>
    <w:rsid w:val="000145D9"/>
    <w:rsid w:val="000146EB"/>
    <w:rsid w:val="00015193"/>
    <w:rsid w:val="000152CA"/>
    <w:rsid w:val="00015454"/>
    <w:rsid w:val="0001576E"/>
    <w:rsid w:val="0001601D"/>
    <w:rsid w:val="0001619E"/>
    <w:rsid w:val="000163C1"/>
    <w:rsid w:val="000165BC"/>
    <w:rsid w:val="00016ABC"/>
    <w:rsid w:val="00016B3C"/>
    <w:rsid w:val="00016E06"/>
    <w:rsid w:val="00017625"/>
    <w:rsid w:val="00017AC5"/>
    <w:rsid w:val="00017C16"/>
    <w:rsid w:val="000202CB"/>
    <w:rsid w:val="0002056C"/>
    <w:rsid w:val="0002064E"/>
    <w:rsid w:val="00020908"/>
    <w:rsid w:val="00020F91"/>
    <w:rsid w:val="000210EC"/>
    <w:rsid w:val="000212F7"/>
    <w:rsid w:val="0002141F"/>
    <w:rsid w:val="0002160B"/>
    <w:rsid w:val="00021653"/>
    <w:rsid w:val="00021DA7"/>
    <w:rsid w:val="00022505"/>
    <w:rsid w:val="0002306A"/>
    <w:rsid w:val="000231FE"/>
    <w:rsid w:val="0002323C"/>
    <w:rsid w:val="00023A97"/>
    <w:rsid w:val="00023E73"/>
    <w:rsid w:val="00024B02"/>
    <w:rsid w:val="00025730"/>
    <w:rsid w:val="00025E67"/>
    <w:rsid w:val="0002613B"/>
    <w:rsid w:val="00026429"/>
    <w:rsid w:val="00026443"/>
    <w:rsid w:val="000264EB"/>
    <w:rsid w:val="00026847"/>
    <w:rsid w:val="00026AFC"/>
    <w:rsid w:val="000274CB"/>
    <w:rsid w:val="00027961"/>
    <w:rsid w:val="000305AD"/>
    <w:rsid w:val="000306B0"/>
    <w:rsid w:val="0003111D"/>
    <w:rsid w:val="00031582"/>
    <w:rsid w:val="00031C72"/>
    <w:rsid w:val="00031D40"/>
    <w:rsid w:val="00031EC6"/>
    <w:rsid w:val="0003216B"/>
    <w:rsid w:val="00032280"/>
    <w:rsid w:val="000326DB"/>
    <w:rsid w:val="00032B84"/>
    <w:rsid w:val="000338FD"/>
    <w:rsid w:val="000339FA"/>
    <w:rsid w:val="000341DD"/>
    <w:rsid w:val="0003450B"/>
    <w:rsid w:val="000345C8"/>
    <w:rsid w:val="00034E64"/>
    <w:rsid w:val="00035260"/>
    <w:rsid w:val="00035680"/>
    <w:rsid w:val="00035B55"/>
    <w:rsid w:val="00035C1B"/>
    <w:rsid w:val="00036075"/>
    <w:rsid w:val="0003672C"/>
    <w:rsid w:val="000374B7"/>
    <w:rsid w:val="0003760F"/>
    <w:rsid w:val="000378D4"/>
    <w:rsid w:val="00037BDE"/>
    <w:rsid w:val="00040148"/>
    <w:rsid w:val="000405B7"/>
    <w:rsid w:val="0004067D"/>
    <w:rsid w:val="0004068A"/>
    <w:rsid w:val="0004072F"/>
    <w:rsid w:val="00040AE8"/>
    <w:rsid w:val="00040DB4"/>
    <w:rsid w:val="00041682"/>
    <w:rsid w:val="00041ACA"/>
    <w:rsid w:val="0004227E"/>
    <w:rsid w:val="000423CC"/>
    <w:rsid w:val="000425B0"/>
    <w:rsid w:val="00042A1B"/>
    <w:rsid w:val="00042AA8"/>
    <w:rsid w:val="00042C0C"/>
    <w:rsid w:val="00042C76"/>
    <w:rsid w:val="00042E65"/>
    <w:rsid w:val="00043178"/>
    <w:rsid w:val="000434D7"/>
    <w:rsid w:val="0004397E"/>
    <w:rsid w:val="00043E9D"/>
    <w:rsid w:val="00044680"/>
    <w:rsid w:val="00044804"/>
    <w:rsid w:val="00044BDB"/>
    <w:rsid w:val="000455BF"/>
    <w:rsid w:val="0004573B"/>
    <w:rsid w:val="00045E65"/>
    <w:rsid w:val="00045FE3"/>
    <w:rsid w:val="00046E0A"/>
    <w:rsid w:val="0004726F"/>
    <w:rsid w:val="00047C46"/>
    <w:rsid w:val="00047F0F"/>
    <w:rsid w:val="000503E5"/>
    <w:rsid w:val="000505BC"/>
    <w:rsid w:val="000507FD"/>
    <w:rsid w:val="000508DA"/>
    <w:rsid w:val="00050ECD"/>
    <w:rsid w:val="000514BE"/>
    <w:rsid w:val="00051BF1"/>
    <w:rsid w:val="00051DC8"/>
    <w:rsid w:val="00051F07"/>
    <w:rsid w:val="000523F5"/>
    <w:rsid w:val="000525C6"/>
    <w:rsid w:val="000526F7"/>
    <w:rsid w:val="000529FE"/>
    <w:rsid w:val="00052D03"/>
    <w:rsid w:val="000535EC"/>
    <w:rsid w:val="000545D1"/>
    <w:rsid w:val="00054E6F"/>
    <w:rsid w:val="00055473"/>
    <w:rsid w:val="000555AA"/>
    <w:rsid w:val="00055798"/>
    <w:rsid w:val="000557CA"/>
    <w:rsid w:val="0005599D"/>
    <w:rsid w:val="00055DD1"/>
    <w:rsid w:val="000563B6"/>
    <w:rsid w:val="000563E0"/>
    <w:rsid w:val="00056C8D"/>
    <w:rsid w:val="00056D4C"/>
    <w:rsid w:val="00057140"/>
    <w:rsid w:val="000578BD"/>
    <w:rsid w:val="00057961"/>
    <w:rsid w:val="00057A97"/>
    <w:rsid w:val="00057AA7"/>
    <w:rsid w:val="00057BC3"/>
    <w:rsid w:val="00057F38"/>
    <w:rsid w:val="00060245"/>
    <w:rsid w:val="000603D3"/>
    <w:rsid w:val="000606ED"/>
    <w:rsid w:val="0006080E"/>
    <w:rsid w:val="00060E73"/>
    <w:rsid w:val="00061346"/>
    <w:rsid w:val="00061C24"/>
    <w:rsid w:val="00061CF7"/>
    <w:rsid w:val="00061E45"/>
    <w:rsid w:val="00062385"/>
    <w:rsid w:val="00062786"/>
    <w:rsid w:val="00062882"/>
    <w:rsid w:val="00062CCE"/>
    <w:rsid w:val="00063518"/>
    <w:rsid w:val="000637BD"/>
    <w:rsid w:val="00063CB9"/>
    <w:rsid w:val="00063F6C"/>
    <w:rsid w:val="00064C91"/>
    <w:rsid w:val="000650F5"/>
    <w:rsid w:val="000651ED"/>
    <w:rsid w:val="000653D7"/>
    <w:rsid w:val="0006553A"/>
    <w:rsid w:val="000657A6"/>
    <w:rsid w:val="00065B88"/>
    <w:rsid w:val="00065EF2"/>
    <w:rsid w:val="00065F9F"/>
    <w:rsid w:val="000663BF"/>
    <w:rsid w:val="000665D8"/>
    <w:rsid w:val="00067315"/>
    <w:rsid w:val="00067593"/>
    <w:rsid w:val="000676D6"/>
    <w:rsid w:val="000703F8"/>
    <w:rsid w:val="00070682"/>
    <w:rsid w:val="00071302"/>
    <w:rsid w:val="00071A69"/>
    <w:rsid w:val="00072899"/>
    <w:rsid w:val="00072BF8"/>
    <w:rsid w:val="00072C2D"/>
    <w:rsid w:val="000733FB"/>
    <w:rsid w:val="00073695"/>
    <w:rsid w:val="00073727"/>
    <w:rsid w:val="0007387B"/>
    <w:rsid w:val="000738DD"/>
    <w:rsid w:val="00073C1F"/>
    <w:rsid w:val="0007499C"/>
    <w:rsid w:val="00074ACF"/>
    <w:rsid w:val="00075442"/>
    <w:rsid w:val="000755DC"/>
    <w:rsid w:val="00075751"/>
    <w:rsid w:val="00075CBC"/>
    <w:rsid w:val="00075DD8"/>
    <w:rsid w:val="00075F8A"/>
    <w:rsid w:val="0007606D"/>
    <w:rsid w:val="000761FD"/>
    <w:rsid w:val="000763D4"/>
    <w:rsid w:val="00076B38"/>
    <w:rsid w:val="00077321"/>
    <w:rsid w:val="00077F37"/>
    <w:rsid w:val="000809C4"/>
    <w:rsid w:val="00080A66"/>
    <w:rsid w:val="00080B24"/>
    <w:rsid w:val="00080B76"/>
    <w:rsid w:val="00080CD0"/>
    <w:rsid w:val="0008107C"/>
    <w:rsid w:val="0008171D"/>
    <w:rsid w:val="00081BDE"/>
    <w:rsid w:val="00082258"/>
    <w:rsid w:val="00082CAD"/>
    <w:rsid w:val="00083193"/>
    <w:rsid w:val="000833CB"/>
    <w:rsid w:val="00083CF2"/>
    <w:rsid w:val="00083E2D"/>
    <w:rsid w:val="00084418"/>
    <w:rsid w:val="00084788"/>
    <w:rsid w:val="000855AE"/>
    <w:rsid w:val="000856A1"/>
    <w:rsid w:val="000858FE"/>
    <w:rsid w:val="0008592F"/>
    <w:rsid w:val="00085AB5"/>
    <w:rsid w:val="00085EEF"/>
    <w:rsid w:val="00087CEB"/>
    <w:rsid w:val="00087F0E"/>
    <w:rsid w:val="00087F7D"/>
    <w:rsid w:val="00090034"/>
    <w:rsid w:val="0009018C"/>
    <w:rsid w:val="0009036F"/>
    <w:rsid w:val="000904AE"/>
    <w:rsid w:val="00090502"/>
    <w:rsid w:val="00090BDA"/>
    <w:rsid w:val="00090CFE"/>
    <w:rsid w:val="00090D3E"/>
    <w:rsid w:val="00091394"/>
    <w:rsid w:val="0009154D"/>
    <w:rsid w:val="000916BB"/>
    <w:rsid w:val="00091A5B"/>
    <w:rsid w:val="00091DC9"/>
    <w:rsid w:val="000926BE"/>
    <w:rsid w:val="00092FE6"/>
    <w:rsid w:val="000937C9"/>
    <w:rsid w:val="00093EF2"/>
    <w:rsid w:val="000949BD"/>
    <w:rsid w:val="0009576D"/>
    <w:rsid w:val="00095B61"/>
    <w:rsid w:val="000960E8"/>
    <w:rsid w:val="00096532"/>
    <w:rsid w:val="00096C09"/>
    <w:rsid w:val="00096C1F"/>
    <w:rsid w:val="000973C0"/>
    <w:rsid w:val="00097B58"/>
    <w:rsid w:val="00097FE1"/>
    <w:rsid w:val="000A009C"/>
    <w:rsid w:val="000A07BD"/>
    <w:rsid w:val="000A0964"/>
    <w:rsid w:val="000A0B9D"/>
    <w:rsid w:val="000A0BF0"/>
    <w:rsid w:val="000A0D09"/>
    <w:rsid w:val="000A0E43"/>
    <w:rsid w:val="000A15DE"/>
    <w:rsid w:val="000A163D"/>
    <w:rsid w:val="000A18CE"/>
    <w:rsid w:val="000A1B9E"/>
    <w:rsid w:val="000A1CD2"/>
    <w:rsid w:val="000A1ECC"/>
    <w:rsid w:val="000A1F8D"/>
    <w:rsid w:val="000A24CE"/>
    <w:rsid w:val="000A27B1"/>
    <w:rsid w:val="000A2AA1"/>
    <w:rsid w:val="000A30DE"/>
    <w:rsid w:val="000A3776"/>
    <w:rsid w:val="000A391D"/>
    <w:rsid w:val="000A39BD"/>
    <w:rsid w:val="000A3CC7"/>
    <w:rsid w:val="000A3F92"/>
    <w:rsid w:val="000A4EB3"/>
    <w:rsid w:val="000A4FEF"/>
    <w:rsid w:val="000A5877"/>
    <w:rsid w:val="000A5D05"/>
    <w:rsid w:val="000A5FA1"/>
    <w:rsid w:val="000A6094"/>
    <w:rsid w:val="000A63CA"/>
    <w:rsid w:val="000A6633"/>
    <w:rsid w:val="000A689F"/>
    <w:rsid w:val="000A69DC"/>
    <w:rsid w:val="000A6A98"/>
    <w:rsid w:val="000A6E90"/>
    <w:rsid w:val="000A70E6"/>
    <w:rsid w:val="000A75B6"/>
    <w:rsid w:val="000B0236"/>
    <w:rsid w:val="000B0425"/>
    <w:rsid w:val="000B05F1"/>
    <w:rsid w:val="000B15C5"/>
    <w:rsid w:val="000B16D5"/>
    <w:rsid w:val="000B18E4"/>
    <w:rsid w:val="000B2054"/>
    <w:rsid w:val="000B2483"/>
    <w:rsid w:val="000B26D7"/>
    <w:rsid w:val="000B2B3E"/>
    <w:rsid w:val="000B3383"/>
    <w:rsid w:val="000B376C"/>
    <w:rsid w:val="000B3ABB"/>
    <w:rsid w:val="000B3B27"/>
    <w:rsid w:val="000B4066"/>
    <w:rsid w:val="000B4E2E"/>
    <w:rsid w:val="000B4FBB"/>
    <w:rsid w:val="000B503F"/>
    <w:rsid w:val="000B50ED"/>
    <w:rsid w:val="000B54C3"/>
    <w:rsid w:val="000B5577"/>
    <w:rsid w:val="000B55CD"/>
    <w:rsid w:val="000B576F"/>
    <w:rsid w:val="000B61EC"/>
    <w:rsid w:val="000B627B"/>
    <w:rsid w:val="000B69C9"/>
    <w:rsid w:val="000B6D63"/>
    <w:rsid w:val="000B7981"/>
    <w:rsid w:val="000B79AA"/>
    <w:rsid w:val="000C0834"/>
    <w:rsid w:val="000C0ED9"/>
    <w:rsid w:val="000C0F76"/>
    <w:rsid w:val="000C14DE"/>
    <w:rsid w:val="000C236D"/>
    <w:rsid w:val="000C253E"/>
    <w:rsid w:val="000C261B"/>
    <w:rsid w:val="000C2892"/>
    <w:rsid w:val="000C2DFE"/>
    <w:rsid w:val="000C31C4"/>
    <w:rsid w:val="000C34D5"/>
    <w:rsid w:val="000C390D"/>
    <w:rsid w:val="000C3EFB"/>
    <w:rsid w:val="000C4150"/>
    <w:rsid w:val="000C430E"/>
    <w:rsid w:val="000C461C"/>
    <w:rsid w:val="000C48E9"/>
    <w:rsid w:val="000C49EF"/>
    <w:rsid w:val="000C55A4"/>
    <w:rsid w:val="000C55B4"/>
    <w:rsid w:val="000C57EE"/>
    <w:rsid w:val="000C618A"/>
    <w:rsid w:val="000C6A05"/>
    <w:rsid w:val="000C6B1D"/>
    <w:rsid w:val="000C7A15"/>
    <w:rsid w:val="000C7CDF"/>
    <w:rsid w:val="000C7D1B"/>
    <w:rsid w:val="000C7E8C"/>
    <w:rsid w:val="000D000B"/>
    <w:rsid w:val="000D0704"/>
    <w:rsid w:val="000D0C2C"/>
    <w:rsid w:val="000D0CD2"/>
    <w:rsid w:val="000D1139"/>
    <w:rsid w:val="000D1690"/>
    <w:rsid w:val="000D1AB9"/>
    <w:rsid w:val="000D1C21"/>
    <w:rsid w:val="000D2037"/>
    <w:rsid w:val="000D24E4"/>
    <w:rsid w:val="000D2538"/>
    <w:rsid w:val="000D27B5"/>
    <w:rsid w:val="000D2D57"/>
    <w:rsid w:val="000D2E07"/>
    <w:rsid w:val="000D3006"/>
    <w:rsid w:val="000D3196"/>
    <w:rsid w:val="000D416D"/>
    <w:rsid w:val="000D41A2"/>
    <w:rsid w:val="000D41D4"/>
    <w:rsid w:val="000D43C2"/>
    <w:rsid w:val="000D4A4F"/>
    <w:rsid w:val="000D4B5A"/>
    <w:rsid w:val="000D5F97"/>
    <w:rsid w:val="000D6417"/>
    <w:rsid w:val="000D69AA"/>
    <w:rsid w:val="000D732B"/>
    <w:rsid w:val="000D7338"/>
    <w:rsid w:val="000D73A6"/>
    <w:rsid w:val="000D76E9"/>
    <w:rsid w:val="000D7A5E"/>
    <w:rsid w:val="000D7C32"/>
    <w:rsid w:val="000D7D41"/>
    <w:rsid w:val="000D7F19"/>
    <w:rsid w:val="000E0033"/>
    <w:rsid w:val="000E015B"/>
    <w:rsid w:val="000E03F6"/>
    <w:rsid w:val="000E0ACD"/>
    <w:rsid w:val="000E14BB"/>
    <w:rsid w:val="000E1891"/>
    <w:rsid w:val="000E1A32"/>
    <w:rsid w:val="000E1A96"/>
    <w:rsid w:val="000E1BD4"/>
    <w:rsid w:val="000E2633"/>
    <w:rsid w:val="000E27D4"/>
    <w:rsid w:val="000E3269"/>
    <w:rsid w:val="000E36DA"/>
    <w:rsid w:val="000E3B02"/>
    <w:rsid w:val="000E3D45"/>
    <w:rsid w:val="000E3E7E"/>
    <w:rsid w:val="000E4070"/>
    <w:rsid w:val="000E40AA"/>
    <w:rsid w:val="000E479A"/>
    <w:rsid w:val="000E4851"/>
    <w:rsid w:val="000E4B6D"/>
    <w:rsid w:val="000E6321"/>
    <w:rsid w:val="000E66C5"/>
    <w:rsid w:val="000E6729"/>
    <w:rsid w:val="000E6C4F"/>
    <w:rsid w:val="000E6D5C"/>
    <w:rsid w:val="000E76CF"/>
    <w:rsid w:val="000F028A"/>
    <w:rsid w:val="000F1097"/>
    <w:rsid w:val="000F1621"/>
    <w:rsid w:val="000F1A4E"/>
    <w:rsid w:val="000F1E40"/>
    <w:rsid w:val="000F23B7"/>
    <w:rsid w:val="000F261A"/>
    <w:rsid w:val="000F2944"/>
    <w:rsid w:val="000F298A"/>
    <w:rsid w:val="000F2BE2"/>
    <w:rsid w:val="000F2CCE"/>
    <w:rsid w:val="000F2D99"/>
    <w:rsid w:val="000F309F"/>
    <w:rsid w:val="000F30B9"/>
    <w:rsid w:val="000F327B"/>
    <w:rsid w:val="000F3292"/>
    <w:rsid w:val="000F3318"/>
    <w:rsid w:val="000F356F"/>
    <w:rsid w:val="000F3571"/>
    <w:rsid w:val="000F3E5D"/>
    <w:rsid w:val="000F4404"/>
    <w:rsid w:val="000F4CD7"/>
    <w:rsid w:val="000F4FB8"/>
    <w:rsid w:val="000F520A"/>
    <w:rsid w:val="000F59C6"/>
    <w:rsid w:val="000F6C20"/>
    <w:rsid w:val="000F72C1"/>
    <w:rsid w:val="000F73CB"/>
    <w:rsid w:val="000F7521"/>
    <w:rsid w:val="00100231"/>
    <w:rsid w:val="0010048A"/>
    <w:rsid w:val="0010065C"/>
    <w:rsid w:val="00100713"/>
    <w:rsid w:val="001008CF"/>
    <w:rsid w:val="00101001"/>
    <w:rsid w:val="00101075"/>
    <w:rsid w:val="00101C83"/>
    <w:rsid w:val="00101D45"/>
    <w:rsid w:val="0010235F"/>
    <w:rsid w:val="001025A3"/>
    <w:rsid w:val="00102AA9"/>
    <w:rsid w:val="00102B80"/>
    <w:rsid w:val="00102CAA"/>
    <w:rsid w:val="00102CDE"/>
    <w:rsid w:val="00103234"/>
    <w:rsid w:val="00103431"/>
    <w:rsid w:val="0010349D"/>
    <w:rsid w:val="00103835"/>
    <w:rsid w:val="00103C57"/>
    <w:rsid w:val="00103F6E"/>
    <w:rsid w:val="0010490E"/>
    <w:rsid w:val="00104C2E"/>
    <w:rsid w:val="001050DC"/>
    <w:rsid w:val="0010586F"/>
    <w:rsid w:val="0010613A"/>
    <w:rsid w:val="00106165"/>
    <w:rsid w:val="00106442"/>
    <w:rsid w:val="001069FA"/>
    <w:rsid w:val="00106C90"/>
    <w:rsid w:val="00106D61"/>
    <w:rsid w:val="00107261"/>
    <w:rsid w:val="001075A9"/>
    <w:rsid w:val="0010789F"/>
    <w:rsid w:val="00107A0A"/>
    <w:rsid w:val="0011037A"/>
    <w:rsid w:val="00110549"/>
    <w:rsid w:val="0011067C"/>
    <w:rsid w:val="0011093B"/>
    <w:rsid w:val="00110C8C"/>
    <w:rsid w:val="00111740"/>
    <w:rsid w:val="00111976"/>
    <w:rsid w:val="00111B9F"/>
    <w:rsid w:val="00111D15"/>
    <w:rsid w:val="00111EA9"/>
    <w:rsid w:val="0011241E"/>
    <w:rsid w:val="00112BBE"/>
    <w:rsid w:val="00112D1E"/>
    <w:rsid w:val="0011309E"/>
    <w:rsid w:val="00113A0C"/>
    <w:rsid w:val="00113A73"/>
    <w:rsid w:val="00113BBD"/>
    <w:rsid w:val="00113BC2"/>
    <w:rsid w:val="00113C15"/>
    <w:rsid w:val="001140B0"/>
    <w:rsid w:val="001144B4"/>
    <w:rsid w:val="00114E50"/>
    <w:rsid w:val="00116822"/>
    <w:rsid w:val="00116926"/>
    <w:rsid w:val="00116B0A"/>
    <w:rsid w:val="0011724C"/>
    <w:rsid w:val="001175FC"/>
    <w:rsid w:val="0011773A"/>
    <w:rsid w:val="00117A33"/>
    <w:rsid w:val="00117A46"/>
    <w:rsid w:val="00117F6C"/>
    <w:rsid w:val="00117FA7"/>
    <w:rsid w:val="00120486"/>
    <w:rsid w:val="001209C8"/>
    <w:rsid w:val="00120BB4"/>
    <w:rsid w:val="00120D7C"/>
    <w:rsid w:val="00120F20"/>
    <w:rsid w:val="00121403"/>
    <w:rsid w:val="001214FA"/>
    <w:rsid w:val="00121839"/>
    <w:rsid w:val="001218D4"/>
    <w:rsid w:val="00121A1C"/>
    <w:rsid w:val="00121C74"/>
    <w:rsid w:val="00122728"/>
    <w:rsid w:val="001229E3"/>
    <w:rsid w:val="00122DB2"/>
    <w:rsid w:val="0012322D"/>
    <w:rsid w:val="00123B74"/>
    <w:rsid w:val="001248D8"/>
    <w:rsid w:val="00124E62"/>
    <w:rsid w:val="00124F6A"/>
    <w:rsid w:val="001252D6"/>
    <w:rsid w:val="00125EF7"/>
    <w:rsid w:val="00125F15"/>
    <w:rsid w:val="001260F1"/>
    <w:rsid w:val="00126BA2"/>
    <w:rsid w:val="00126E4F"/>
    <w:rsid w:val="001271E5"/>
    <w:rsid w:val="001273ED"/>
    <w:rsid w:val="00127412"/>
    <w:rsid w:val="00127B7D"/>
    <w:rsid w:val="00127FB0"/>
    <w:rsid w:val="001300FB"/>
    <w:rsid w:val="001306A6"/>
    <w:rsid w:val="00130AD0"/>
    <w:rsid w:val="001311D3"/>
    <w:rsid w:val="001312FB"/>
    <w:rsid w:val="00131879"/>
    <w:rsid w:val="00131A5C"/>
    <w:rsid w:val="00132542"/>
    <w:rsid w:val="0013278E"/>
    <w:rsid w:val="00132B45"/>
    <w:rsid w:val="0013314C"/>
    <w:rsid w:val="0013422B"/>
    <w:rsid w:val="001345EE"/>
    <w:rsid w:val="00134752"/>
    <w:rsid w:val="0013488F"/>
    <w:rsid w:val="001350EA"/>
    <w:rsid w:val="001350F9"/>
    <w:rsid w:val="0013512B"/>
    <w:rsid w:val="001359AC"/>
    <w:rsid w:val="00135AAF"/>
    <w:rsid w:val="00135BEB"/>
    <w:rsid w:val="0013664D"/>
    <w:rsid w:val="00136A62"/>
    <w:rsid w:val="00136BFA"/>
    <w:rsid w:val="00136F08"/>
    <w:rsid w:val="0013712B"/>
    <w:rsid w:val="0013719D"/>
    <w:rsid w:val="00137824"/>
    <w:rsid w:val="00137F39"/>
    <w:rsid w:val="001401D9"/>
    <w:rsid w:val="0014061E"/>
    <w:rsid w:val="00140667"/>
    <w:rsid w:val="00140BB5"/>
    <w:rsid w:val="001414DA"/>
    <w:rsid w:val="00141B59"/>
    <w:rsid w:val="00141CA1"/>
    <w:rsid w:val="00141EBC"/>
    <w:rsid w:val="00141EF8"/>
    <w:rsid w:val="00142005"/>
    <w:rsid w:val="00142338"/>
    <w:rsid w:val="001423B6"/>
    <w:rsid w:val="0014258B"/>
    <w:rsid w:val="001426EE"/>
    <w:rsid w:val="001428AF"/>
    <w:rsid w:val="00142ADA"/>
    <w:rsid w:val="00142D20"/>
    <w:rsid w:val="00142FAF"/>
    <w:rsid w:val="0014327D"/>
    <w:rsid w:val="00143B20"/>
    <w:rsid w:val="00143BCE"/>
    <w:rsid w:val="00143E3F"/>
    <w:rsid w:val="00144C4B"/>
    <w:rsid w:val="00145647"/>
    <w:rsid w:val="001458DB"/>
    <w:rsid w:val="0014607E"/>
    <w:rsid w:val="00146E3C"/>
    <w:rsid w:val="00146E5F"/>
    <w:rsid w:val="00146EA6"/>
    <w:rsid w:val="00147521"/>
    <w:rsid w:val="00147810"/>
    <w:rsid w:val="0014790B"/>
    <w:rsid w:val="001479E9"/>
    <w:rsid w:val="00147C0C"/>
    <w:rsid w:val="00150278"/>
    <w:rsid w:val="0015073E"/>
    <w:rsid w:val="00150826"/>
    <w:rsid w:val="00150A95"/>
    <w:rsid w:val="00151050"/>
    <w:rsid w:val="001511F2"/>
    <w:rsid w:val="0015163A"/>
    <w:rsid w:val="00151ABA"/>
    <w:rsid w:val="00151FA3"/>
    <w:rsid w:val="001521D4"/>
    <w:rsid w:val="001521F8"/>
    <w:rsid w:val="00152927"/>
    <w:rsid w:val="0015295F"/>
    <w:rsid w:val="00153815"/>
    <w:rsid w:val="00153A0E"/>
    <w:rsid w:val="001542B7"/>
    <w:rsid w:val="00154964"/>
    <w:rsid w:val="00155F42"/>
    <w:rsid w:val="001561E7"/>
    <w:rsid w:val="00156245"/>
    <w:rsid w:val="0015633D"/>
    <w:rsid w:val="00156750"/>
    <w:rsid w:val="00156BA7"/>
    <w:rsid w:val="00156D79"/>
    <w:rsid w:val="00157177"/>
    <w:rsid w:val="001571D0"/>
    <w:rsid w:val="001576F7"/>
    <w:rsid w:val="00157769"/>
    <w:rsid w:val="00157B11"/>
    <w:rsid w:val="00157B6A"/>
    <w:rsid w:val="00157CC1"/>
    <w:rsid w:val="00157EF2"/>
    <w:rsid w:val="00157FC6"/>
    <w:rsid w:val="00160572"/>
    <w:rsid w:val="001609AA"/>
    <w:rsid w:val="001609B1"/>
    <w:rsid w:val="001613BC"/>
    <w:rsid w:val="00161689"/>
    <w:rsid w:val="0016168F"/>
    <w:rsid w:val="0016176B"/>
    <w:rsid w:val="00161D92"/>
    <w:rsid w:val="001620F9"/>
    <w:rsid w:val="00162E5F"/>
    <w:rsid w:val="001635B9"/>
    <w:rsid w:val="0016384E"/>
    <w:rsid w:val="00163D10"/>
    <w:rsid w:val="00164BFF"/>
    <w:rsid w:val="00164F27"/>
    <w:rsid w:val="00164F8C"/>
    <w:rsid w:val="0016527D"/>
    <w:rsid w:val="0016569C"/>
    <w:rsid w:val="0016590C"/>
    <w:rsid w:val="00165AF5"/>
    <w:rsid w:val="00166169"/>
    <w:rsid w:val="001663DC"/>
    <w:rsid w:val="001663FE"/>
    <w:rsid w:val="00166569"/>
    <w:rsid w:val="00166625"/>
    <w:rsid w:val="00166630"/>
    <w:rsid w:val="00166661"/>
    <w:rsid w:val="0016754C"/>
    <w:rsid w:val="00167651"/>
    <w:rsid w:val="001678FE"/>
    <w:rsid w:val="00167C23"/>
    <w:rsid w:val="0017048A"/>
    <w:rsid w:val="00170543"/>
    <w:rsid w:val="001706FA"/>
    <w:rsid w:val="00170976"/>
    <w:rsid w:val="00170C68"/>
    <w:rsid w:val="00170CCA"/>
    <w:rsid w:val="00171468"/>
    <w:rsid w:val="0017185F"/>
    <w:rsid w:val="001724AE"/>
    <w:rsid w:val="001725C8"/>
    <w:rsid w:val="00172B9D"/>
    <w:rsid w:val="00172CEA"/>
    <w:rsid w:val="00173195"/>
    <w:rsid w:val="00173757"/>
    <w:rsid w:val="00173E43"/>
    <w:rsid w:val="00173F6C"/>
    <w:rsid w:val="00173F99"/>
    <w:rsid w:val="00174490"/>
    <w:rsid w:val="0017461B"/>
    <w:rsid w:val="001746F6"/>
    <w:rsid w:val="00174A7F"/>
    <w:rsid w:val="00174B56"/>
    <w:rsid w:val="00174E36"/>
    <w:rsid w:val="00174F28"/>
    <w:rsid w:val="00175038"/>
    <w:rsid w:val="00175572"/>
    <w:rsid w:val="001757EA"/>
    <w:rsid w:val="0017582F"/>
    <w:rsid w:val="0017584E"/>
    <w:rsid w:val="00175D1F"/>
    <w:rsid w:val="001761B0"/>
    <w:rsid w:val="00176362"/>
    <w:rsid w:val="00176766"/>
    <w:rsid w:val="0017751E"/>
    <w:rsid w:val="0017791E"/>
    <w:rsid w:val="00177E01"/>
    <w:rsid w:val="001801D5"/>
    <w:rsid w:val="00180458"/>
    <w:rsid w:val="00180553"/>
    <w:rsid w:val="001807EA"/>
    <w:rsid w:val="0018092A"/>
    <w:rsid w:val="00180B7F"/>
    <w:rsid w:val="00181179"/>
    <w:rsid w:val="0018273E"/>
    <w:rsid w:val="0018282C"/>
    <w:rsid w:val="00182D34"/>
    <w:rsid w:val="00182D41"/>
    <w:rsid w:val="00182DFA"/>
    <w:rsid w:val="001833A6"/>
    <w:rsid w:val="00183910"/>
    <w:rsid w:val="00183956"/>
    <w:rsid w:val="00183AC5"/>
    <w:rsid w:val="00183CF5"/>
    <w:rsid w:val="00183F98"/>
    <w:rsid w:val="00184564"/>
    <w:rsid w:val="0018474C"/>
    <w:rsid w:val="00184FBA"/>
    <w:rsid w:val="001854F2"/>
    <w:rsid w:val="001862CE"/>
    <w:rsid w:val="00186323"/>
    <w:rsid w:val="0018633F"/>
    <w:rsid w:val="0018649E"/>
    <w:rsid w:val="001864D5"/>
    <w:rsid w:val="00186745"/>
    <w:rsid w:val="00186D7E"/>
    <w:rsid w:val="00186FE3"/>
    <w:rsid w:val="00187014"/>
    <w:rsid w:val="0018785F"/>
    <w:rsid w:val="00187924"/>
    <w:rsid w:val="00190229"/>
    <w:rsid w:val="00190292"/>
    <w:rsid w:val="00190850"/>
    <w:rsid w:val="00191093"/>
    <w:rsid w:val="00191789"/>
    <w:rsid w:val="001922BB"/>
    <w:rsid w:val="00192589"/>
    <w:rsid w:val="001926D2"/>
    <w:rsid w:val="001926FC"/>
    <w:rsid w:val="001934CD"/>
    <w:rsid w:val="00193B05"/>
    <w:rsid w:val="001940C0"/>
    <w:rsid w:val="00194245"/>
    <w:rsid w:val="001942CB"/>
    <w:rsid w:val="0019433F"/>
    <w:rsid w:val="00194415"/>
    <w:rsid w:val="00194720"/>
    <w:rsid w:val="00194818"/>
    <w:rsid w:val="00194E42"/>
    <w:rsid w:val="0019525F"/>
    <w:rsid w:val="00195B65"/>
    <w:rsid w:val="00195E4C"/>
    <w:rsid w:val="001963CA"/>
    <w:rsid w:val="0019713A"/>
    <w:rsid w:val="00197419"/>
    <w:rsid w:val="00197501"/>
    <w:rsid w:val="00197F0D"/>
    <w:rsid w:val="001A0069"/>
    <w:rsid w:val="001A02A0"/>
    <w:rsid w:val="001A0342"/>
    <w:rsid w:val="001A05CE"/>
    <w:rsid w:val="001A0DFC"/>
    <w:rsid w:val="001A0EA3"/>
    <w:rsid w:val="001A0EAE"/>
    <w:rsid w:val="001A0FB3"/>
    <w:rsid w:val="001A1310"/>
    <w:rsid w:val="001A1CD4"/>
    <w:rsid w:val="001A1E9E"/>
    <w:rsid w:val="001A21F1"/>
    <w:rsid w:val="001A26F9"/>
    <w:rsid w:val="001A2F9B"/>
    <w:rsid w:val="001A303B"/>
    <w:rsid w:val="001A3156"/>
    <w:rsid w:val="001A3228"/>
    <w:rsid w:val="001A3CB2"/>
    <w:rsid w:val="001A42E1"/>
    <w:rsid w:val="001A45D5"/>
    <w:rsid w:val="001A46C0"/>
    <w:rsid w:val="001A4DA4"/>
    <w:rsid w:val="001A5D8C"/>
    <w:rsid w:val="001A639C"/>
    <w:rsid w:val="001A6548"/>
    <w:rsid w:val="001A6699"/>
    <w:rsid w:val="001A67B4"/>
    <w:rsid w:val="001A6CCB"/>
    <w:rsid w:val="001A73B9"/>
    <w:rsid w:val="001A750E"/>
    <w:rsid w:val="001A7D3D"/>
    <w:rsid w:val="001A7E19"/>
    <w:rsid w:val="001B02C0"/>
    <w:rsid w:val="001B02CB"/>
    <w:rsid w:val="001B0CC2"/>
    <w:rsid w:val="001B0EAC"/>
    <w:rsid w:val="001B16C6"/>
    <w:rsid w:val="001B1989"/>
    <w:rsid w:val="001B1BC8"/>
    <w:rsid w:val="001B2337"/>
    <w:rsid w:val="001B2F1E"/>
    <w:rsid w:val="001B340E"/>
    <w:rsid w:val="001B38EE"/>
    <w:rsid w:val="001B3948"/>
    <w:rsid w:val="001B4057"/>
    <w:rsid w:val="001B50CB"/>
    <w:rsid w:val="001B50F8"/>
    <w:rsid w:val="001B5BE4"/>
    <w:rsid w:val="001B614E"/>
    <w:rsid w:val="001B62AA"/>
    <w:rsid w:val="001B62E1"/>
    <w:rsid w:val="001B664C"/>
    <w:rsid w:val="001B743C"/>
    <w:rsid w:val="001B751E"/>
    <w:rsid w:val="001B75AF"/>
    <w:rsid w:val="001B761B"/>
    <w:rsid w:val="001B7B19"/>
    <w:rsid w:val="001C0827"/>
    <w:rsid w:val="001C0BAB"/>
    <w:rsid w:val="001C0E13"/>
    <w:rsid w:val="001C1274"/>
    <w:rsid w:val="001C12F6"/>
    <w:rsid w:val="001C1714"/>
    <w:rsid w:val="001C1794"/>
    <w:rsid w:val="001C1838"/>
    <w:rsid w:val="001C1BC3"/>
    <w:rsid w:val="001C257D"/>
    <w:rsid w:val="001C2709"/>
    <w:rsid w:val="001C29E4"/>
    <w:rsid w:val="001C3210"/>
    <w:rsid w:val="001C3588"/>
    <w:rsid w:val="001C3B81"/>
    <w:rsid w:val="001C3FCB"/>
    <w:rsid w:val="001C41E7"/>
    <w:rsid w:val="001C445B"/>
    <w:rsid w:val="001C4B7F"/>
    <w:rsid w:val="001C4BDB"/>
    <w:rsid w:val="001C4E39"/>
    <w:rsid w:val="001C4F93"/>
    <w:rsid w:val="001C5088"/>
    <w:rsid w:val="001C51CB"/>
    <w:rsid w:val="001C52B7"/>
    <w:rsid w:val="001C52F6"/>
    <w:rsid w:val="001C59DA"/>
    <w:rsid w:val="001C5AB0"/>
    <w:rsid w:val="001C63DF"/>
    <w:rsid w:val="001C6AA2"/>
    <w:rsid w:val="001C6B66"/>
    <w:rsid w:val="001C775D"/>
    <w:rsid w:val="001C796A"/>
    <w:rsid w:val="001C7DE3"/>
    <w:rsid w:val="001D0A7B"/>
    <w:rsid w:val="001D0BED"/>
    <w:rsid w:val="001D0CC8"/>
    <w:rsid w:val="001D104E"/>
    <w:rsid w:val="001D11C2"/>
    <w:rsid w:val="001D14BE"/>
    <w:rsid w:val="001D15B1"/>
    <w:rsid w:val="001D18F3"/>
    <w:rsid w:val="001D1E48"/>
    <w:rsid w:val="001D264A"/>
    <w:rsid w:val="001D2863"/>
    <w:rsid w:val="001D3564"/>
    <w:rsid w:val="001D3726"/>
    <w:rsid w:val="001D3EE9"/>
    <w:rsid w:val="001D407E"/>
    <w:rsid w:val="001D413D"/>
    <w:rsid w:val="001D44A7"/>
    <w:rsid w:val="001D44F1"/>
    <w:rsid w:val="001D4656"/>
    <w:rsid w:val="001D4B66"/>
    <w:rsid w:val="001D4DD7"/>
    <w:rsid w:val="001D4F27"/>
    <w:rsid w:val="001D4F3C"/>
    <w:rsid w:val="001D4F3F"/>
    <w:rsid w:val="001D4FC3"/>
    <w:rsid w:val="001D50A3"/>
    <w:rsid w:val="001D5124"/>
    <w:rsid w:val="001D556C"/>
    <w:rsid w:val="001D6018"/>
    <w:rsid w:val="001D6079"/>
    <w:rsid w:val="001D6415"/>
    <w:rsid w:val="001D6527"/>
    <w:rsid w:val="001D662D"/>
    <w:rsid w:val="001D6E77"/>
    <w:rsid w:val="001D7A6D"/>
    <w:rsid w:val="001D7EB8"/>
    <w:rsid w:val="001E03D6"/>
    <w:rsid w:val="001E13B8"/>
    <w:rsid w:val="001E149B"/>
    <w:rsid w:val="001E189A"/>
    <w:rsid w:val="001E22E4"/>
    <w:rsid w:val="001E22F6"/>
    <w:rsid w:val="001E2827"/>
    <w:rsid w:val="001E292E"/>
    <w:rsid w:val="001E2A9E"/>
    <w:rsid w:val="001E2D5D"/>
    <w:rsid w:val="001E2E8C"/>
    <w:rsid w:val="001E3097"/>
    <w:rsid w:val="001E311F"/>
    <w:rsid w:val="001E3796"/>
    <w:rsid w:val="001E38A6"/>
    <w:rsid w:val="001E4883"/>
    <w:rsid w:val="001E48FC"/>
    <w:rsid w:val="001E4A0B"/>
    <w:rsid w:val="001E4A56"/>
    <w:rsid w:val="001E4B54"/>
    <w:rsid w:val="001E50A6"/>
    <w:rsid w:val="001E5701"/>
    <w:rsid w:val="001E5857"/>
    <w:rsid w:val="001E5A98"/>
    <w:rsid w:val="001E5B14"/>
    <w:rsid w:val="001E5FDA"/>
    <w:rsid w:val="001E663D"/>
    <w:rsid w:val="001E66DD"/>
    <w:rsid w:val="001E68AA"/>
    <w:rsid w:val="001E69BC"/>
    <w:rsid w:val="001E6E07"/>
    <w:rsid w:val="001E6FC1"/>
    <w:rsid w:val="001E72EE"/>
    <w:rsid w:val="001E730D"/>
    <w:rsid w:val="001E7449"/>
    <w:rsid w:val="001E7541"/>
    <w:rsid w:val="001E7B86"/>
    <w:rsid w:val="001E7DB9"/>
    <w:rsid w:val="001F0023"/>
    <w:rsid w:val="001F04D5"/>
    <w:rsid w:val="001F0893"/>
    <w:rsid w:val="001F0971"/>
    <w:rsid w:val="001F0988"/>
    <w:rsid w:val="001F0CAA"/>
    <w:rsid w:val="001F0CF0"/>
    <w:rsid w:val="001F0D33"/>
    <w:rsid w:val="001F0FA4"/>
    <w:rsid w:val="001F1365"/>
    <w:rsid w:val="001F1375"/>
    <w:rsid w:val="001F1510"/>
    <w:rsid w:val="001F1E3B"/>
    <w:rsid w:val="001F204D"/>
    <w:rsid w:val="001F21CB"/>
    <w:rsid w:val="001F2329"/>
    <w:rsid w:val="001F2521"/>
    <w:rsid w:val="001F2D10"/>
    <w:rsid w:val="001F2EDC"/>
    <w:rsid w:val="001F357B"/>
    <w:rsid w:val="001F389F"/>
    <w:rsid w:val="001F4349"/>
    <w:rsid w:val="001F45F8"/>
    <w:rsid w:val="001F5146"/>
    <w:rsid w:val="001F5B2E"/>
    <w:rsid w:val="001F5BB5"/>
    <w:rsid w:val="001F6233"/>
    <w:rsid w:val="001F63FD"/>
    <w:rsid w:val="001F64A8"/>
    <w:rsid w:val="001F6964"/>
    <w:rsid w:val="001F6DF2"/>
    <w:rsid w:val="001F74D0"/>
    <w:rsid w:val="001F7913"/>
    <w:rsid w:val="001F7C97"/>
    <w:rsid w:val="001F7D9C"/>
    <w:rsid w:val="002000A3"/>
    <w:rsid w:val="002003F1"/>
    <w:rsid w:val="002008C2"/>
    <w:rsid w:val="002009DC"/>
    <w:rsid w:val="00200F9E"/>
    <w:rsid w:val="0020188A"/>
    <w:rsid w:val="00201A37"/>
    <w:rsid w:val="00201C21"/>
    <w:rsid w:val="00201D9B"/>
    <w:rsid w:val="00201EA3"/>
    <w:rsid w:val="002029AF"/>
    <w:rsid w:val="0020303B"/>
    <w:rsid w:val="002030E5"/>
    <w:rsid w:val="00203D45"/>
    <w:rsid w:val="00203D76"/>
    <w:rsid w:val="00203DCB"/>
    <w:rsid w:val="00204295"/>
    <w:rsid w:val="0020442A"/>
    <w:rsid w:val="00204B11"/>
    <w:rsid w:val="0020563C"/>
    <w:rsid w:val="00205678"/>
    <w:rsid w:val="0020580C"/>
    <w:rsid w:val="002061D8"/>
    <w:rsid w:val="00206652"/>
    <w:rsid w:val="00206C32"/>
    <w:rsid w:val="00206D8E"/>
    <w:rsid w:val="002075C3"/>
    <w:rsid w:val="00207C08"/>
    <w:rsid w:val="00207EC3"/>
    <w:rsid w:val="002100EC"/>
    <w:rsid w:val="0021017F"/>
    <w:rsid w:val="002104DA"/>
    <w:rsid w:val="00210501"/>
    <w:rsid w:val="00210623"/>
    <w:rsid w:val="00210B4F"/>
    <w:rsid w:val="00210D75"/>
    <w:rsid w:val="002110A3"/>
    <w:rsid w:val="002111D2"/>
    <w:rsid w:val="002113E9"/>
    <w:rsid w:val="00211415"/>
    <w:rsid w:val="002115FE"/>
    <w:rsid w:val="00211B01"/>
    <w:rsid w:val="00212382"/>
    <w:rsid w:val="00212CB3"/>
    <w:rsid w:val="00212D81"/>
    <w:rsid w:val="00212ED2"/>
    <w:rsid w:val="00212F41"/>
    <w:rsid w:val="00213665"/>
    <w:rsid w:val="00213C26"/>
    <w:rsid w:val="00213F5A"/>
    <w:rsid w:val="002140E3"/>
    <w:rsid w:val="002146CA"/>
    <w:rsid w:val="00214D29"/>
    <w:rsid w:val="00215214"/>
    <w:rsid w:val="002152E4"/>
    <w:rsid w:val="002152F1"/>
    <w:rsid w:val="00215676"/>
    <w:rsid w:val="00215A6E"/>
    <w:rsid w:val="00215C74"/>
    <w:rsid w:val="00216BD6"/>
    <w:rsid w:val="00216D56"/>
    <w:rsid w:val="00217385"/>
    <w:rsid w:val="00220D5F"/>
    <w:rsid w:val="0022100B"/>
    <w:rsid w:val="00221065"/>
    <w:rsid w:val="0022106E"/>
    <w:rsid w:val="0022127B"/>
    <w:rsid w:val="0022183D"/>
    <w:rsid w:val="00221BD7"/>
    <w:rsid w:val="00221CAF"/>
    <w:rsid w:val="00221FD0"/>
    <w:rsid w:val="002225C7"/>
    <w:rsid w:val="00222660"/>
    <w:rsid w:val="00222861"/>
    <w:rsid w:val="00222B29"/>
    <w:rsid w:val="00222BDE"/>
    <w:rsid w:val="00222BE3"/>
    <w:rsid w:val="00222E68"/>
    <w:rsid w:val="002230CD"/>
    <w:rsid w:val="0022364A"/>
    <w:rsid w:val="0022381F"/>
    <w:rsid w:val="00223ABA"/>
    <w:rsid w:val="0022414C"/>
    <w:rsid w:val="002245D9"/>
    <w:rsid w:val="002246A6"/>
    <w:rsid w:val="002247D3"/>
    <w:rsid w:val="00225543"/>
    <w:rsid w:val="00225696"/>
    <w:rsid w:val="00225ED8"/>
    <w:rsid w:val="00226573"/>
    <w:rsid w:val="002269E5"/>
    <w:rsid w:val="00226A4B"/>
    <w:rsid w:val="00226E19"/>
    <w:rsid w:val="00227ADE"/>
    <w:rsid w:val="002301F0"/>
    <w:rsid w:val="0023067A"/>
    <w:rsid w:val="002308C3"/>
    <w:rsid w:val="00230D6A"/>
    <w:rsid w:val="0023113D"/>
    <w:rsid w:val="0023189F"/>
    <w:rsid w:val="00231AEC"/>
    <w:rsid w:val="0023219E"/>
    <w:rsid w:val="0023236B"/>
    <w:rsid w:val="00232BAD"/>
    <w:rsid w:val="00232FBB"/>
    <w:rsid w:val="0023349C"/>
    <w:rsid w:val="002339F1"/>
    <w:rsid w:val="00233A07"/>
    <w:rsid w:val="00233C60"/>
    <w:rsid w:val="00233E7E"/>
    <w:rsid w:val="002342B0"/>
    <w:rsid w:val="00234BD8"/>
    <w:rsid w:val="0023543B"/>
    <w:rsid w:val="0023558C"/>
    <w:rsid w:val="0023579F"/>
    <w:rsid w:val="002357BF"/>
    <w:rsid w:val="002359C8"/>
    <w:rsid w:val="00235D47"/>
    <w:rsid w:val="00235E67"/>
    <w:rsid w:val="00235E9E"/>
    <w:rsid w:val="002363F9"/>
    <w:rsid w:val="00236E38"/>
    <w:rsid w:val="00237110"/>
    <w:rsid w:val="002371F8"/>
    <w:rsid w:val="0023752E"/>
    <w:rsid w:val="002376A9"/>
    <w:rsid w:val="002377F4"/>
    <w:rsid w:val="00237823"/>
    <w:rsid w:val="00237DA2"/>
    <w:rsid w:val="00240067"/>
    <w:rsid w:val="002412B0"/>
    <w:rsid w:val="002413FA"/>
    <w:rsid w:val="00241D0D"/>
    <w:rsid w:val="00241FD3"/>
    <w:rsid w:val="0024261E"/>
    <w:rsid w:val="002428C9"/>
    <w:rsid w:val="00242CBA"/>
    <w:rsid w:val="00242F5F"/>
    <w:rsid w:val="00243168"/>
    <w:rsid w:val="00243A26"/>
    <w:rsid w:val="00244A57"/>
    <w:rsid w:val="00244ACA"/>
    <w:rsid w:val="00245404"/>
    <w:rsid w:val="00245703"/>
    <w:rsid w:val="00245704"/>
    <w:rsid w:val="00245835"/>
    <w:rsid w:val="00245893"/>
    <w:rsid w:val="00245F3F"/>
    <w:rsid w:val="0024629F"/>
    <w:rsid w:val="00246870"/>
    <w:rsid w:val="00246C51"/>
    <w:rsid w:val="0024726B"/>
    <w:rsid w:val="00247575"/>
    <w:rsid w:val="00247931"/>
    <w:rsid w:val="00247936"/>
    <w:rsid w:val="00247AFC"/>
    <w:rsid w:val="00247C81"/>
    <w:rsid w:val="00247DF0"/>
    <w:rsid w:val="002503AE"/>
    <w:rsid w:val="00250485"/>
    <w:rsid w:val="00250633"/>
    <w:rsid w:val="00250AC6"/>
    <w:rsid w:val="00250C5F"/>
    <w:rsid w:val="002510C0"/>
    <w:rsid w:val="002516BD"/>
    <w:rsid w:val="00251B91"/>
    <w:rsid w:val="00251C1D"/>
    <w:rsid w:val="00251CC5"/>
    <w:rsid w:val="0025270C"/>
    <w:rsid w:val="00252934"/>
    <w:rsid w:val="0025301D"/>
    <w:rsid w:val="0025327E"/>
    <w:rsid w:val="002533B1"/>
    <w:rsid w:val="002533E7"/>
    <w:rsid w:val="0025359E"/>
    <w:rsid w:val="002546D4"/>
    <w:rsid w:val="002548EA"/>
    <w:rsid w:val="00254BFF"/>
    <w:rsid w:val="00254F69"/>
    <w:rsid w:val="00255170"/>
    <w:rsid w:val="002552E1"/>
    <w:rsid w:val="002556FD"/>
    <w:rsid w:val="002559FA"/>
    <w:rsid w:val="00256478"/>
    <w:rsid w:val="00256BA0"/>
    <w:rsid w:val="00257266"/>
    <w:rsid w:val="0025748C"/>
    <w:rsid w:val="002576B4"/>
    <w:rsid w:val="002576D6"/>
    <w:rsid w:val="002576FA"/>
    <w:rsid w:val="002577E3"/>
    <w:rsid w:val="002579AE"/>
    <w:rsid w:val="00257DEA"/>
    <w:rsid w:val="00260250"/>
    <w:rsid w:val="002604BD"/>
    <w:rsid w:val="0026051D"/>
    <w:rsid w:val="002605B8"/>
    <w:rsid w:val="002606FB"/>
    <w:rsid w:val="0026084A"/>
    <w:rsid w:val="00260A9A"/>
    <w:rsid w:val="00261226"/>
    <w:rsid w:val="002613DA"/>
    <w:rsid w:val="00261955"/>
    <w:rsid w:val="00261C8D"/>
    <w:rsid w:val="00261FD9"/>
    <w:rsid w:val="002620FF"/>
    <w:rsid w:val="002621DF"/>
    <w:rsid w:val="00262499"/>
    <w:rsid w:val="002625E6"/>
    <w:rsid w:val="002626D2"/>
    <w:rsid w:val="00262D4F"/>
    <w:rsid w:val="00262D88"/>
    <w:rsid w:val="00262DD3"/>
    <w:rsid w:val="002631A6"/>
    <w:rsid w:val="002631FF"/>
    <w:rsid w:val="002632A7"/>
    <w:rsid w:val="002635DC"/>
    <w:rsid w:val="002638C8"/>
    <w:rsid w:val="00263CC0"/>
    <w:rsid w:val="002646C9"/>
    <w:rsid w:val="0026487E"/>
    <w:rsid w:val="00264F6E"/>
    <w:rsid w:val="002655DF"/>
    <w:rsid w:val="002663E2"/>
    <w:rsid w:val="002665DF"/>
    <w:rsid w:val="00266901"/>
    <w:rsid w:val="00266D8F"/>
    <w:rsid w:val="0026720B"/>
    <w:rsid w:val="00267B47"/>
    <w:rsid w:val="00267C94"/>
    <w:rsid w:val="0027010C"/>
    <w:rsid w:val="002705AE"/>
    <w:rsid w:val="00270C01"/>
    <w:rsid w:val="00271613"/>
    <w:rsid w:val="002719EF"/>
    <w:rsid w:val="00271BF8"/>
    <w:rsid w:val="00271DBB"/>
    <w:rsid w:val="0027264A"/>
    <w:rsid w:val="002726BE"/>
    <w:rsid w:val="0027278E"/>
    <w:rsid w:val="00272D05"/>
    <w:rsid w:val="00272D2B"/>
    <w:rsid w:val="0027308E"/>
    <w:rsid w:val="0027318B"/>
    <w:rsid w:val="0027330A"/>
    <w:rsid w:val="00273B5D"/>
    <w:rsid w:val="00273B7A"/>
    <w:rsid w:val="00273C65"/>
    <w:rsid w:val="00273C88"/>
    <w:rsid w:val="00273E60"/>
    <w:rsid w:val="002744EB"/>
    <w:rsid w:val="002757DE"/>
    <w:rsid w:val="00275E9D"/>
    <w:rsid w:val="00276402"/>
    <w:rsid w:val="002765D6"/>
    <w:rsid w:val="00276E15"/>
    <w:rsid w:val="002778F2"/>
    <w:rsid w:val="002779C6"/>
    <w:rsid w:val="00277CD6"/>
    <w:rsid w:val="002811A3"/>
    <w:rsid w:val="00281747"/>
    <w:rsid w:val="00281BBF"/>
    <w:rsid w:val="00281BCA"/>
    <w:rsid w:val="00282304"/>
    <w:rsid w:val="00282945"/>
    <w:rsid w:val="0028329F"/>
    <w:rsid w:val="00284972"/>
    <w:rsid w:val="00284B0F"/>
    <w:rsid w:val="00284E35"/>
    <w:rsid w:val="002850C3"/>
    <w:rsid w:val="00285648"/>
    <w:rsid w:val="00285663"/>
    <w:rsid w:val="00285CEE"/>
    <w:rsid w:val="0028677D"/>
    <w:rsid w:val="00286D18"/>
    <w:rsid w:val="00287000"/>
    <w:rsid w:val="00287330"/>
    <w:rsid w:val="0028750E"/>
    <w:rsid w:val="0028775A"/>
    <w:rsid w:val="00287D51"/>
    <w:rsid w:val="00287D65"/>
    <w:rsid w:val="00287F3B"/>
    <w:rsid w:val="00290635"/>
    <w:rsid w:val="00290840"/>
    <w:rsid w:val="002916E2"/>
    <w:rsid w:val="002917B7"/>
    <w:rsid w:val="00291EAA"/>
    <w:rsid w:val="00292289"/>
    <w:rsid w:val="00292E12"/>
    <w:rsid w:val="00292EDB"/>
    <w:rsid w:val="0029307F"/>
    <w:rsid w:val="00293310"/>
    <w:rsid w:val="002934F3"/>
    <w:rsid w:val="00293D79"/>
    <w:rsid w:val="00293E28"/>
    <w:rsid w:val="00294020"/>
    <w:rsid w:val="00294119"/>
    <w:rsid w:val="00294A26"/>
    <w:rsid w:val="00294A8E"/>
    <w:rsid w:val="00294E1B"/>
    <w:rsid w:val="00294E22"/>
    <w:rsid w:val="00295C78"/>
    <w:rsid w:val="00295DD7"/>
    <w:rsid w:val="00296221"/>
    <w:rsid w:val="00296392"/>
    <w:rsid w:val="00296933"/>
    <w:rsid w:val="00296BFA"/>
    <w:rsid w:val="00296F5D"/>
    <w:rsid w:val="00297051"/>
    <w:rsid w:val="0029732E"/>
    <w:rsid w:val="00297AD6"/>
    <w:rsid w:val="002A06C1"/>
    <w:rsid w:val="002A0A2A"/>
    <w:rsid w:val="002A1692"/>
    <w:rsid w:val="002A1721"/>
    <w:rsid w:val="002A214F"/>
    <w:rsid w:val="002A33D7"/>
    <w:rsid w:val="002A3BAD"/>
    <w:rsid w:val="002A4496"/>
    <w:rsid w:val="002A4D02"/>
    <w:rsid w:val="002A4D91"/>
    <w:rsid w:val="002A52F2"/>
    <w:rsid w:val="002A5364"/>
    <w:rsid w:val="002A54BA"/>
    <w:rsid w:val="002A566A"/>
    <w:rsid w:val="002A6302"/>
    <w:rsid w:val="002A66B4"/>
    <w:rsid w:val="002A6A07"/>
    <w:rsid w:val="002A6AD1"/>
    <w:rsid w:val="002A6D5D"/>
    <w:rsid w:val="002A6EEF"/>
    <w:rsid w:val="002A703F"/>
    <w:rsid w:val="002A7053"/>
    <w:rsid w:val="002A71DF"/>
    <w:rsid w:val="002A7488"/>
    <w:rsid w:val="002A7489"/>
    <w:rsid w:val="002A7597"/>
    <w:rsid w:val="002B03CC"/>
    <w:rsid w:val="002B0474"/>
    <w:rsid w:val="002B086B"/>
    <w:rsid w:val="002B0BB0"/>
    <w:rsid w:val="002B13DA"/>
    <w:rsid w:val="002B1470"/>
    <w:rsid w:val="002B1538"/>
    <w:rsid w:val="002B18CC"/>
    <w:rsid w:val="002B1A20"/>
    <w:rsid w:val="002B1BB1"/>
    <w:rsid w:val="002B1D1A"/>
    <w:rsid w:val="002B207D"/>
    <w:rsid w:val="002B21FE"/>
    <w:rsid w:val="002B2E32"/>
    <w:rsid w:val="002B3836"/>
    <w:rsid w:val="002B389E"/>
    <w:rsid w:val="002B3C62"/>
    <w:rsid w:val="002B4662"/>
    <w:rsid w:val="002B4D00"/>
    <w:rsid w:val="002B51D2"/>
    <w:rsid w:val="002B54C7"/>
    <w:rsid w:val="002B6092"/>
    <w:rsid w:val="002B638B"/>
    <w:rsid w:val="002B686E"/>
    <w:rsid w:val="002B7339"/>
    <w:rsid w:val="002B7D53"/>
    <w:rsid w:val="002B7D95"/>
    <w:rsid w:val="002B7EDD"/>
    <w:rsid w:val="002C0409"/>
    <w:rsid w:val="002C0BFE"/>
    <w:rsid w:val="002C0DC2"/>
    <w:rsid w:val="002C105E"/>
    <w:rsid w:val="002C1497"/>
    <w:rsid w:val="002C2071"/>
    <w:rsid w:val="002C2119"/>
    <w:rsid w:val="002C2452"/>
    <w:rsid w:val="002C24AC"/>
    <w:rsid w:val="002C257C"/>
    <w:rsid w:val="002C2634"/>
    <w:rsid w:val="002C263F"/>
    <w:rsid w:val="002C265C"/>
    <w:rsid w:val="002C2740"/>
    <w:rsid w:val="002C2BB1"/>
    <w:rsid w:val="002C3E2D"/>
    <w:rsid w:val="002C40C7"/>
    <w:rsid w:val="002C4457"/>
    <w:rsid w:val="002C47B6"/>
    <w:rsid w:val="002C4941"/>
    <w:rsid w:val="002C4A17"/>
    <w:rsid w:val="002C4CAF"/>
    <w:rsid w:val="002C4FCA"/>
    <w:rsid w:val="002C56EF"/>
    <w:rsid w:val="002C5875"/>
    <w:rsid w:val="002C5933"/>
    <w:rsid w:val="002C5E51"/>
    <w:rsid w:val="002C61C0"/>
    <w:rsid w:val="002C61E2"/>
    <w:rsid w:val="002C636F"/>
    <w:rsid w:val="002C69A3"/>
    <w:rsid w:val="002C6AF2"/>
    <w:rsid w:val="002C6DCE"/>
    <w:rsid w:val="002C6ED9"/>
    <w:rsid w:val="002C70E4"/>
    <w:rsid w:val="002C7391"/>
    <w:rsid w:val="002C792A"/>
    <w:rsid w:val="002C79C3"/>
    <w:rsid w:val="002C7B8D"/>
    <w:rsid w:val="002C7E46"/>
    <w:rsid w:val="002D02C7"/>
    <w:rsid w:val="002D051C"/>
    <w:rsid w:val="002D1133"/>
    <w:rsid w:val="002D20E6"/>
    <w:rsid w:val="002D26C6"/>
    <w:rsid w:val="002D3252"/>
    <w:rsid w:val="002D3D69"/>
    <w:rsid w:val="002D4005"/>
    <w:rsid w:val="002D4095"/>
    <w:rsid w:val="002D4F0B"/>
    <w:rsid w:val="002D5042"/>
    <w:rsid w:val="002D5181"/>
    <w:rsid w:val="002D5454"/>
    <w:rsid w:val="002D5641"/>
    <w:rsid w:val="002D57DD"/>
    <w:rsid w:val="002D5A07"/>
    <w:rsid w:val="002D6758"/>
    <w:rsid w:val="002D67F8"/>
    <w:rsid w:val="002D6C7D"/>
    <w:rsid w:val="002D6ECD"/>
    <w:rsid w:val="002D736C"/>
    <w:rsid w:val="002D76B1"/>
    <w:rsid w:val="002D7EC5"/>
    <w:rsid w:val="002E07B5"/>
    <w:rsid w:val="002E09BA"/>
    <w:rsid w:val="002E0B84"/>
    <w:rsid w:val="002E0ED3"/>
    <w:rsid w:val="002E1332"/>
    <w:rsid w:val="002E134B"/>
    <w:rsid w:val="002E15D9"/>
    <w:rsid w:val="002E16E4"/>
    <w:rsid w:val="002E180B"/>
    <w:rsid w:val="002E1AD0"/>
    <w:rsid w:val="002E1BA2"/>
    <w:rsid w:val="002E1C75"/>
    <w:rsid w:val="002E21BC"/>
    <w:rsid w:val="002E22B5"/>
    <w:rsid w:val="002E27E9"/>
    <w:rsid w:val="002E2F8B"/>
    <w:rsid w:val="002E30AD"/>
    <w:rsid w:val="002E3193"/>
    <w:rsid w:val="002E41E1"/>
    <w:rsid w:val="002E4243"/>
    <w:rsid w:val="002E4571"/>
    <w:rsid w:val="002E4861"/>
    <w:rsid w:val="002E4C77"/>
    <w:rsid w:val="002E4DC8"/>
    <w:rsid w:val="002E4EB0"/>
    <w:rsid w:val="002E5228"/>
    <w:rsid w:val="002E5669"/>
    <w:rsid w:val="002E57C6"/>
    <w:rsid w:val="002E624C"/>
    <w:rsid w:val="002E6445"/>
    <w:rsid w:val="002E677E"/>
    <w:rsid w:val="002E7161"/>
    <w:rsid w:val="002E7405"/>
    <w:rsid w:val="002E7434"/>
    <w:rsid w:val="002E7540"/>
    <w:rsid w:val="002E7F52"/>
    <w:rsid w:val="002F01BE"/>
    <w:rsid w:val="002F0572"/>
    <w:rsid w:val="002F0CC3"/>
    <w:rsid w:val="002F0D2F"/>
    <w:rsid w:val="002F0D31"/>
    <w:rsid w:val="002F14EB"/>
    <w:rsid w:val="002F2377"/>
    <w:rsid w:val="002F239A"/>
    <w:rsid w:val="002F2847"/>
    <w:rsid w:val="002F2E1A"/>
    <w:rsid w:val="002F3121"/>
    <w:rsid w:val="002F3164"/>
    <w:rsid w:val="002F32DA"/>
    <w:rsid w:val="002F38E8"/>
    <w:rsid w:val="002F3B39"/>
    <w:rsid w:val="002F3BB5"/>
    <w:rsid w:val="002F434D"/>
    <w:rsid w:val="002F469C"/>
    <w:rsid w:val="002F4856"/>
    <w:rsid w:val="002F49D9"/>
    <w:rsid w:val="002F4F33"/>
    <w:rsid w:val="002F50D4"/>
    <w:rsid w:val="002F5888"/>
    <w:rsid w:val="002F5DBB"/>
    <w:rsid w:val="002F5E51"/>
    <w:rsid w:val="002F6147"/>
    <w:rsid w:val="002F665C"/>
    <w:rsid w:val="002F67CD"/>
    <w:rsid w:val="002F69ED"/>
    <w:rsid w:val="002F6AF1"/>
    <w:rsid w:val="002F6D4B"/>
    <w:rsid w:val="002F6E3E"/>
    <w:rsid w:val="002F6F5C"/>
    <w:rsid w:val="002F6FBC"/>
    <w:rsid w:val="002F72B4"/>
    <w:rsid w:val="002F7357"/>
    <w:rsid w:val="002F7DB6"/>
    <w:rsid w:val="00300069"/>
    <w:rsid w:val="00300699"/>
    <w:rsid w:val="00300779"/>
    <w:rsid w:val="003009BD"/>
    <w:rsid w:val="00301132"/>
    <w:rsid w:val="00301D1F"/>
    <w:rsid w:val="00301ED4"/>
    <w:rsid w:val="00301F2E"/>
    <w:rsid w:val="003023FD"/>
    <w:rsid w:val="00302B9F"/>
    <w:rsid w:val="00302FB3"/>
    <w:rsid w:val="00303749"/>
    <w:rsid w:val="00303ABF"/>
    <w:rsid w:val="00303C4F"/>
    <w:rsid w:val="00304065"/>
    <w:rsid w:val="00304128"/>
    <w:rsid w:val="003041A8"/>
    <w:rsid w:val="00304266"/>
    <w:rsid w:val="003042C1"/>
    <w:rsid w:val="003042EE"/>
    <w:rsid w:val="003049EB"/>
    <w:rsid w:val="00304A57"/>
    <w:rsid w:val="00304D1A"/>
    <w:rsid w:val="00305813"/>
    <w:rsid w:val="00305954"/>
    <w:rsid w:val="00305EC5"/>
    <w:rsid w:val="003063FA"/>
    <w:rsid w:val="0030644C"/>
    <w:rsid w:val="0030691E"/>
    <w:rsid w:val="00306BC0"/>
    <w:rsid w:val="00306F4E"/>
    <w:rsid w:val="00307065"/>
    <w:rsid w:val="00307409"/>
    <w:rsid w:val="00307883"/>
    <w:rsid w:val="00307937"/>
    <w:rsid w:val="00307A0C"/>
    <w:rsid w:val="00307AEA"/>
    <w:rsid w:val="003103D4"/>
    <w:rsid w:val="00310478"/>
    <w:rsid w:val="003106F8"/>
    <w:rsid w:val="00310B28"/>
    <w:rsid w:val="00311731"/>
    <w:rsid w:val="00311B54"/>
    <w:rsid w:val="003120B6"/>
    <w:rsid w:val="003121CF"/>
    <w:rsid w:val="00312216"/>
    <w:rsid w:val="003123B3"/>
    <w:rsid w:val="0031269B"/>
    <w:rsid w:val="00312CCB"/>
    <w:rsid w:val="00313466"/>
    <w:rsid w:val="00313FF8"/>
    <w:rsid w:val="00314B1E"/>
    <w:rsid w:val="00315784"/>
    <w:rsid w:val="00315C99"/>
    <w:rsid w:val="00315CC5"/>
    <w:rsid w:val="00315F68"/>
    <w:rsid w:val="0031659F"/>
    <w:rsid w:val="00317900"/>
    <w:rsid w:val="00317AEA"/>
    <w:rsid w:val="003205F9"/>
    <w:rsid w:val="00320938"/>
    <w:rsid w:val="00320CA5"/>
    <w:rsid w:val="003217BC"/>
    <w:rsid w:val="0032186D"/>
    <w:rsid w:val="00321C44"/>
    <w:rsid w:val="003225E0"/>
    <w:rsid w:val="00322A65"/>
    <w:rsid w:val="00322A99"/>
    <w:rsid w:val="00322EA9"/>
    <w:rsid w:val="003230C2"/>
    <w:rsid w:val="0032321A"/>
    <w:rsid w:val="00323322"/>
    <w:rsid w:val="003238D7"/>
    <w:rsid w:val="00323BAF"/>
    <w:rsid w:val="00323D13"/>
    <w:rsid w:val="0032411F"/>
    <w:rsid w:val="003242C8"/>
    <w:rsid w:val="00324462"/>
    <w:rsid w:val="00324BBD"/>
    <w:rsid w:val="00324C27"/>
    <w:rsid w:val="0032583C"/>
    <w:rsid w:val="00325B6D"/>
    <w:rsid w:val="00326184"/>
    <w:rsid w:val="003262F2"/>
    <w:rsid w:val="003263B7"/>
    <w:rsid w:val="00326BAB"/>
    <w:rsid w:val="00327829"/>
    <w:rsid w:val="00327FD4"/>
    <w:rsid w:val="00330834"/>
    <w:rsid w:val="003310E7"/>
    <w:rsid w:val="00331E5B"/>
    <w:rsid w:val="00332423"/>
    <w:rsid w:val="003325F2"/>
    <w:rsid w:val="0033282D"/>
    <w:rsid w:val="003329BA"/>
    <w:rsid w:val="00332D57"/>
    <w:rsid w:val="00332FC2"/>
    <w:rsid w:val="003336B5"/>
    <w:rsid w:val="00333D67"/>
    <w:rsid w:val="00334715"/>
    <w:rsid w:val="00334A34"/>
    <w:rsid w:val="00335524"/>
    <w:rsid w:val="00335782"/>
    <w:rsid w:val="00335960"/>
    <w:rsid w:val="00335DAC"/>
    <w:rsid w:val="00335E37"/>
    <w:rsid w:val="0033620E"/>
    <w:rsid w:val="00336313"/>
    <w:rsid w:val="003366F2"/>
    <w:rsid w:val="00336CCE"/>
    <w:rsid w:val="00336EBC"/>
    <w:rsid w:val="00336FAA"/>
    <w:rsid w:val="00337137"/>
    <w:rsid w:val="003377E3"/>
    <w:rsid w:val="00337922"/>
    <w:rsid w:val="003379CC"/>
    <w:rsid w:val="00337C24"/>
    <w:rsid w:val="00337FD6"/>
    <w:rsid w:val="00340497"/>
    <w:rsid w:val="00340D56"/>
    <w:rsid w:val="0034197D"/>
    <w:rsid w:val="003429D5"/>
    <w:rsid w:val="00342D25"/>
    <w:rsid w:val="00342F92"/>
    <w:rsid w:val="00343444"/>
    <w:rsid w:val="00343CD8"/>
    <w:rsid w:val="00344131"/>
    <w:rsid w:val="00344594"/>
    <w:rsid w:val="003445A9"/>
    <w:rsid w:val="00344696"/>
    <w:rsid w:val="00344B70"/>
    <w:rsid w:val="00344E19"/>
    <w:rsid w:val="00344EDA"/>
    <w:rsid w:val="00345123"/>
    <w:rsid w:val="0034591D"/>
    <w:rsid w:val="00345CA2"/>
    <w:rsid w:val="00345D27"/>
    <w:rsid w:val="00345D34"/>
    <w:rsid w:val="0034644E"/>
    <w:rsid w:val="00346978"/>
    <w:rsid w:val="00346D1E"/>
    <w:rsid w:val="00347816"/>
    <w:rsid w:val="003527AA"/>
    <w:rsid w:val="00352DAF"/>
    <w:rsid w:val="00352E16"/>
    <w:rsid w:val="00352EA2"/>
    <w:rsid w:val="00353F73"/>
    <w:rsid w:val="00353FCA"/>
    <w:rsid w:val="00354500"/>
    <w:rsid w:val="003546B5"/>
    <w:rsid w:val="00354795"/>
    <w:rsid w:val="00354AD6"/>
    <w:rsid w:val="00354F6D"/>
    <w:rsid w:val="003553A4"/>
    <w:rsid w:val="003554EF"/>
    <w:rsid w:val="003557C7"/>
    <w:rsid w:val="00355847"/>
    <w:rsid w:val="0035586C"/>
    <w:rsid w:val="00355EC4"/>
    <w:rsid w:val="0035670C"/>
    <w:rsid w:val="00356D4D"/>
    <w:rsid w:val="00357934"/>
    <w:rsid w:val="00357B44"/>
    <w:rsid w:val="00357FEF"/>
    <w:rsid w:val="003603CD"/>
    <w:rsid w:val="00360AF5"/>
    <w:rsid w:val="00361833"/>
    <w:rsid w:val="00361A26"/>
    <w:rsid w:val="00361FF2"/>
    <w:rsid w:val="00362040"/>
    <w:rsid w:val="003629BC"/>
    <w:rsid w:val="00362C5C"/>
    <w:rsid w:val="0036323A"/>
    <w:rsid w:val="003632A7"/>
    <w:rsid w:val="00363885"/>
    <w:rsid w:val="0036394F"/>
    <w:rsid w:val="00363D64"/>
    <w:rsid w:val="0036510B"/>
    <w:rsid w:val="00365260"/>
    <w:rsid w:val="0036599C"/>
    <w:rsid w:val="003662D8"/>
    <w:rsid w:val="0036662E"/>
    <w:rsid w:val="00366EC5"/>
    <w:rsid w:val="0036703E"/>
    <w:rsid w:val="00367BD8"/>
    <w:rsid w:val="00367C4A"/>
    <w:rsid w:val="00367DD6"/>
    <w:rsid w:val="00370722"/>
    <w:rsid w:val="00370CD6"/>
    <w:rsid w:val="00370E5B"/>
    <w:rsid w:val="00371176"/>
    <w:rsid w:val="003717E6"/>
    <w:rsid w:val="00371F94"/>
    <w:rsid w:val="0037265F"/>
    <w:rsid w:val="003729EF"/>
    <w:rsid w:val="00372F44"/>
    <w:rsid w:val="00373B99"/>
    <w:rsid w:val="00373C96"/>
    <w:rsid w:val="00374368"/>
    <w:rsid w:val="003744D4"/>
    <w:rsid w:val="00374A3F"/>
    <w:rsid w:val="00374ACB"/>
    <w:rsid w:val="00374C3C"/>
    <w:rsid w:val="00374C4B"/>
    <w:rsid w:val="0037558D"/>
    <w:rsid w:val="00375AD2"/>
    <w:rsid w:val="00375E35"/>
    <w:rsid w:val="0037635F"/>
    <w:rsid w:val="003765E3"/>
    <w:rsid w:val="003772DA"/>
    <w:rsid w:val="00377F3F"/>
    <w:rsid w:val="0038039C"/>
    <w:rsid w:val="00380795"/>
    <w:rsid w:val="00380AD3"/>
    <w:rsid w:val="00380D78"/>
    <w:rsid w:val="00381318"/>
    <w:rsid w:val="0038168D"/>
    <w:rsid w:val="003816F7"/>
    <w:rsid w:val="00381734"/>
    <w:rsid w:val="00381CB4"/>
    <w:rsid w:val="00381E05"/>
    <w:rsid w:val="00381F50"/>
    <w:rsid w:val="00382055"/>
    <w:rsid w:val="0038214E"/>
    <w:rsid w:val="0038237A"/>
    <w:rsid w:val="003824EC"/>
    <w:rsid w:val="00382586"/>
    <w:rsid w:val="003825AB"/>
    <w:rsid w:val="003827C7"/>
    <w:rsid w:val="00383047"/>
    <w:rsid w:val="00383117"/>
    <w:rsid w:val="00383881"/>
    <w:rsid w:val="00383A8B"/>
    <w:rsid w:val="00384024"/>
    <w:rsid w:val="0038423C"/>
    <w:rsid w:val="00384A86"/>
    <w:rsid w:val="00384C2B"/>
    <w:rsid w:val="00384F24"/>
    <w:rsid w:val="003850F6"/>
    <w:rsid w:val="00385901"/>
    <w:rsid w:val="00385BBD"/>
    <w:rsid w:val="00386211"/>
    <w:rsid w:val="00386538"/>
    <w:rsid w:val="00387148"/>
    <w:rsid w:val="00387257"/>
    <w:rsid w:val="0038772D"/>
    <w:rsid w:val="00390544"/>
    <w:rsid w:val="00390633"/>
    <w:rsid w:val="00390973"/>
    <w:rsid w:val="00390C35"/>
    <w:rsid w:val="00390D77"/>
    <w:rsid w:val="003912C4"/>
    <w:rsid w:val="0039175A"/>
    <w:rsid w:val="00391AD1"/>
    <w:rsid w:val="00391E78"/>
    <w:rsid w:val="00392253"/>
    <w:rsid w:val="00392364"/>
    <w:rsid w:val="003924D4"/>
    <w:rsid w:val="0039276A"/>
    <w:rsid w:val="00392A95"/>
    <w:rsid w:val="00392BF3"/>
    <w:rsid w:val="00392C40"/>
    <w:rsid w:val="00392E77"/>
    <w:rsid w:val="00392FE3"/>
    <w:rsid w:val="003930C7"/>
    <w:rsid w:val="00393559"/>
    <w:rsid w:val="00393CE6"/>
    <w:rsid w:val="003941DE"/>
    <w:rsid w:val="003945B1"/>
    <w:rsid w:val="003946F9"/>
    <w:rsid w:val="00394B7F"/>
    <w:rsid w:val="003954FB"/>
    <w:rsid w:val="00395BCC"/>
    <w:rsid w:val="00395C6F"/>
    <w:rsid w:val="00396AE7"/>
    <w:rsid w:val="00396E04"/>
    <w:rsid w:val="00397323"/>
    <w:rsid w:val="00397371"/>
    <w:rsid w:val="00397D92"/>
    <w:rsid w:val="00397F50"/>
    <w:rsid w:val="00397FCB"/>
    <w:rsid w:val="003A0406"/>
    <w:rsid w:val="003A04AB"/>
    <w:rsid w:val="003A055C"/>
    <w:rsid w:val="003A0740"/>
    <w:rsid w:val="003A09E8"/>
    <w:rsid w:val="003A0C27"/>
    <w:rsid w:val="003A1641"/>
    <w:rsid w:val="003A179F"/>
    <w:rsid w:val="003A1C56"/>
    <w:rsid w:val="003A1F64"/>
    <w:rsid w:val="003A2586"/>
    <w:rsid w:val="003A27E6"/>
    <w:rsid w:val="003A3014"/>
    <w:rsid w:val="003A3EB6"/>
    <w:rsid w:val="003A4020"/>
    <w:rsid w:val="003A485F"/>
    <w:rsid w:val="003A498B"/>
    <w:rsid w:val="003A5022"/>
    <w:rsid w:val="003A53E3"/>
    <w:rsid w:val="003A583A"/>
    <w:rsid w:val="003A5C15"/>
    <w:rsid w:val="003A5D8D"/>
    <w:rsid w:val="003A6565"/>
    <w:rsid w:val="003A6D83"/>
    <w:rsid w:val="003A704F"/>
    <w:rsid w:val="003A72F2"/>
    <w:rsid w:val="003A7398"/>
    <w:rsid w:val="003A739E"/>
    <w:rsid w:val="003B02E9"/>
    <w:rsid w:val="003B096C"/>
    <w:rsid w:val="003B0B91"/>
    <w:rsid w:val="003B0E05"/>
    <w:rsid w:val="003B0F48"/>
    <w:rsid w:val="003B0F6F"/>
    <w:rsid w:val="003B109F"/>
    <w:rsid w:val="003B1500"/>
    <w:rsid w:val="003B1773"/>
    <w:rsid w:val="003B1DE7"/>
    <w:rsid w:val="003B1EC3"/>
    <w:rsid w:val="003B1FEC"/>
    <w:rsid w:val="003B2AB6"/>
    <w:rsid w:val="003B2CD7"/>
    <w:rsid w:val="003B2EE9"/>
    <w:rsid w:val="003B2FDC"/>
    <w:rsid w:val="003B3339"/>
    <w:rsid w:val="003B3957"/>
    <w:rsid w:val="003B3991"/>
    <w:rsid w:val="003B3F5C"/>
    <w:rsid w:val="003B4004"/>
    <w:rsid w:val="003B4107"/>
    <w:rsid w:val="003B474B"/>
    <w:rsid w:val="003B491B"/>
    <w:rsid w:val="003B49CC"/>
    <w:rsid w:val="003B508B"/>
    <w:rsid w:val="003B570E"/>
    <w:rsid w:val="003B5F57"/>
    <w:rsid w:val="003B5FC2"/>
    <w:rsid w:val="003B607F"/>
    <w:rsid w:val="003B685C"/>
    <w:rsid w:val="003B6C42"/>
    <w:rsid w:val="003B731E"/>
    <w:rsid w:val="003B7614"/>
    <w:rsid w:val="003B7653"/>
    <w:rsid w:val="003B7D30"/>
    <w:rsid w:val="003C0093"/>
    <w:rsid w:val="003C072C"/>
    <w:rsid w:val="003C09EF"/>
    <w:rsid w:val="003C0CAD"/>
    <w:rsid w:val="003C0CE3"/>
    <w:rsid w:val="003C0E23"/>
    <w:rsid w:val="003C144F"/>
    <w:rsid w:val="003C194C"/>
    <w:rsid w:val="003C1DCA"/>
    <w:rsid w:val="003C2246"/>
    <w:rsid w:val="003C2CE9"/>
    <w:rsid w:val="003C2FF3"/>
    <w:rsid w:val="003C32FF"/>
    <w:rsid w:val="003C3936"/>
    <w:rsid w:val="003C4B00"/>
    <w:rsid w:val="003C4F73"/>
    <w:rsid w:val="003C52D0"/>
    <w:rsid w:val="003C541B"/>
    <w:rsid w:val="003C56C8"/>
    <w:rsid w:val="003C599B"/>
    <w:rsid w:val="003C5DBD"/>
    <w:rsid w:val="003C6A5E"/>
    <w:rsid w:val="003C6C76"/>
    <w:rsid w:val="003C7412"/>
    <w:rsid w:val="003C75E4"/>
    <w:rsid w:val="003C774F"/>
    <w:rsid w:val="003C792D"/>
    <w:rsid w:val="003C79AF"/>
    <w:rsid w:val="003D0447"/>
    <w:rsid w:val="003D08C0"/>
    <w:rsid w:val="003D0AA1"/>
    <w:rsid w:val="003D0D85"/>
    <w:rsid w:val="003D0E9D"/>
    <w:rsid w:val="003D1F92"/>
    <w:rsid w:val="003D279C"/>
    <w:rsid w:val="003D27BD"/>
    <w:rsid w:val="003D2CAC"/>
    <w:rsid w:val="003D2EC8"/>
    <w:rsid w:val="003D305C"/>
    <w:rsid w:val="003D332D"/>
    <w:rsid w:val="003D35D9"/>
    <w:rsid w:val="003D405F"/>
    <w:rsid w:val="003D44F1"/>
    <w:rsid w:val="003D46FD"/>
    <w:rsid w:val="003D49CE"/>
    <w:rsid w:val="003D4A43"/>
    <w:rsid w:val="003D4A77"/>
    <w:rsid w:val="003D5013"/>
    <w:rsid w:val="003D55BA"/>
    <w:rsid w:val="003D5983"/>
    <w:rsid w:val="003D6693"/>
    <w:rsid w:val="003D68DF"/>
    <w:rsid w:val="003D6CA6"/>
    <w:rsid w:val="003D6FCB"/>
    <w:rsid w:val="003D75D9"/>
    <w:rsid w:val="003D7A4C"/>
    <w:rsid w:val="003D7D91"/>
    <w:rsid w:val="003E0D36"/>
    <w:rsid w:val="003E0D9B"/>
    <w:rsid w:val="003E0FC5"/>
    <w:rsid w:val="003E1816"/>
    <w:rsid w:val="003E2291"/>
    <w:rsid w:val="003E2502"/>
    <w:rsid w:val="003E251A"/>
    <w:rsid w:val="003E29C0"/>
    <w:rsid w:val="003E2C1F"/>
    <w:rsid w:val="003E2FB6"/>
    <w:rsid w:val="003E310E"/>
    <w:rsid w:val="003E3C2D"/>
    <w:rsid w:val="003E3D4F"/>
    <w:rsid w:val="003E3D91"/>
    <w:rsid w:val="003E40AA"/>
    <w:rsid w:val="003E4170"/>
    <w:rsid w:val="003E4299"/>
    <w:rsid w:val="003E43D6"/>
    <w:rsid w:val="003E4DC2"/>
    <w:rsid w:val="003E623B"/>
    <w:rsid w:val="003E632A"/>
    <w:rsid w:val="003E64A0"/>
    <w:rsid w:val="003E6927"/>
    <w:rsid w:val="003E7308"/>
    <w:rsid w:val="003E754B"/>
    <w:rsid w:val="003E76ED"/>
    <w:rsid w:val="003E7CE5"/>
    <w:rsid w:val="003E7DA5"/>
    <w:rsid w:val="003F0404"/>
    <w:rsid w:val="003F04FD"/>
    <w:rsid w:val="003F06BD"/>
    <w:rsid w:val="003F0C11"/>
    <w:rsid w:val="003F0C5B"/>
    <w:rsid w:val="003F0C76"/>
    <w:rsid w:val="003F0E4A"/>
    <w:rsid w:val="003F0FE6"/>
    <w:rsid w:val="003F1199"/>
    <w:rsid w:val="003F1424"/>
    <w:rsid w:val="003F17F4"/>
    <w:rsid w:val="003F1AEF"/>
    <w:rsid w:val="003F2607"/>
    <w:rsid w:val="003F2E49"/>
    <w:rsid w:val="003F30FD"/>
    <w:rsid w:val="003F330D"/>
    <w:rsid w:val="003F3889"/>
    <w:rsid w:val="003F3E02"/>
    <w:rsid w:val="003F3FC7"/>
    <w:rsid w:val="003F413A"/>
    <w:rsid w:val="003F46B4"/>
    <w:rsid w:val="003F4893"/>
    <w:rsid w:val="003F5055"/>
    <w:rsid w:val="003F57E7"/>
    <w:rsid w:val="003F593A"/>
    <w:rsid w:val="003F5AD7"/>
    <w:rsid w:val="003F5D74"/>
    <w:rsid w:val="003F6059"/>
    <w:rsid w:val="003F62E9"/>
    <w:rsid w:val="003F66B5"/>
    <w:rsid w:val="003F6DE3"/>
    <w:rsid w:val="003F6FC3"/>
    <w:rsid w:val="003F720D"/>
    <w:rsid w:val="003F727A"/>
    <w:rsid w:val="003F75DF"/>
    <w:rsid w:val="003F7E6C"/>
    <w:rsid w:val="003F7FAE"/>
    <w:rsid w:val="003F7FC7"/>
    <w:rsid w:val="00400416"/>
    <w:rsid w:val="004014F2"/>
    <w:rsid w:val="0040178F"/>
    <w:rsid w:val="00402F17"/>
    <w:rsid w:val="00404380"/>
    <w:rsid w:val="00404542"/>
    <w:rsid w:val="00404738"/>
    <w:rsid w:val="00404890"/>
    <w:rsid w:val="00405154"/>
    <w:rsid w:val="004054F4"/>
    <w:rsid w:val="004055C1"/>
    <w:rsid w:val="00405793"/>
    <w:rsid w:val="00405A34"/>
    <w:rsid w:val="00405F96"/>
    <w:rsid w:val="00406104"/>
    <w:rsid w:val="004063D2"/>
    <w:rsid w:val="00406487"/>
    <w:rsid w:val="00406953"/>
    <w:rsid w:val="00406B7B"/>
    <w:rsid w:val="00407080"/>
    <w:rsid w:val="00407163"/>
    <w:rsid w:val="004073D5"/>
    <w:rsid w:val="00407405"/>
    <w:rsid w:val="00407838"/>
    <w:rsid w:val="0040794F"/>
    <w:rsid w:val="00407A14"/>
    <w:rsid w:val="00407F08"/>
    <w:rsid w:val="004103F6"/>
    <w:rsid w:val="00410500"/>
    <w:rsid w:val="00411037"/>
    <w:rsid w:val="004119D4"/>
    <w:rsid w:val="00411AA7"/>
    <w:rsid w:val="00411CBC"/>
    <w:rsid w:val="00411D92"/>
    <w:rsid w:val="00412180"/>
    <w:rsid w:val="00413054"/>
    <w:rsid w:val="0041346E"/>
    <w:rsid w:val="00413968"/>
    <w:rsid w:val="004139D1"/>
    <w:rsid w:val="00413F56"/>
    <w:rsid w:val="00413FDD"/>
    <w:rsid w:val="004140A2"/>
    <w:rsid w:val="004143EA"/>
    <w:rsid w:val="00414F6F"/>
    <w:rsid w:val="004151D1"/>
    <w:rsid w:val="00415BA7"/>
    <w:rsid w:val="004161FE"/>
    <w:rsid w:val="004164B6"/>
    <w:rsid w:val="004168F9"/>
    <w:rsid w:val="00416D54"/>
    <w:rsid w:val="00416E79"/>
    <w:rsid w:val="004170F3"/>
    <w:rsid w:val="00417432"/>
    <w:rsid w:val="004175B0"/>
    <w:rsid w:val="004177B5"/>
    <w:rsid w:val="004206A8"/>
    <w:rsid w:val="00420B02"/>
    <w:rsid w:val="00420E97"/>
    <w:rsid w:val="00420EB9"/>
    <w:rsid w:val="00421C7D"/>
    <w:rsid w:val="00421E04"/>
    <w:rsid w:val="00421EBA"/>
    <w:rsid w:val="0042250B"/>
    <w:rsid w:val="00422620"/>
    <w:rsid w:val="00422A51"/>
    <w:rsid w:val="00423105"/>
    <w:rsid w:val="004238C3"/>
    <w:rsid w:val="00423A69"/>
    <w:rsid w:val="00424382"/>
    <w:rsid w:val="00424546"/>
    <w:rsid w:val="004246A3"/>
    <w:rsid w:val="004248D9"/>
    <w:rsid w:val="00424EF2"/>
    <w:rsid w:val="00424EFC"/>
    <w:rsid w:val="00425222"/>
    <w:rsid w:val="004252C7"/>
    <w:rsid w:val="00425572"/>
    <w:rsid w:val="004258CD"/>
    <w:rsid w:val="00425E6B"/>
    <w:rsid w:val="00425FCA"/>
    <w:rsid w:val="0042622B"/>
    <w:rsid w:val="00426B8C"/>
    <w:rsid w:val="00426EEA"/>
    <w:rsid w:val="00427853"/>
    <w:rsid w:val="0042796D"/>
    <w:rsid w:val="0043005C"/>
    <w:rsid w:val="004300F2"/>
    <w:rsid w:val="00430A49"/>
    <w:rsid w:val="00430BE4"/>
    <w:rsid w:val="00430F12"/>
    <w:rsid w:val="00431003"/>
    <w:rsid w:val="00431824"/>
    <w:rsid w:val="00431EAF"/>
    <w:rsid w:val="00432063"/>
    <w:rsid w:val="004322FC"/>
    <w:rsid w:val="004324E1"/>
    <w:rsid w:val="004325B6"/>
    <w:rsid w:val="00432E92"/>
    <w:rsid w:val="00432FEE"/>
    <w:rsid w:val="00433468"/>
    <w:rsid w:val="00433604"/>
    <w:rsid w:val="00434004"/>
    <w:rsid w:val="00434530"/>
    <w:rsid w:val="0043456A"/>
    <w:rsid w:val="004346A1"/>
    <w:rsid w:val="00434898"/>
    <w:rsid w:val="00434DE0"/>
    <w:rsid w:val="00435094"/>
    <w:rsid w:val="0043592B"/>
    <w:rsid w:val="004359A5"/>
    <w:rsid w:val="004359AC"/>
    <w:rsid w:val="00435A7F"/>
    <w:rsid w:val="004362B1"/>
    <w:rsid w:val="00436576"/>
    <w:rsid w:val="004365E7"/>
    <w:rsid w:val="00437305"/>
    <w:rsid w:val="004376BD"/>
    <w:rsid w:val="0043789D"/>
    <w:rsid w:val="004378AB"/>
    <w:rsid w:val="00437AF2"/>
    <w:rsid w:val="00437D14"/>
    <w:rsid w:val="0044006C"/>
    <w:rsid w:val="00440287"/>
    <w:rsid w:val="004407AA"/>
    <w:rsid w:val="00440920"/>
    <w:rsid w:val="00440A01"/>
    <w:rsid w:val="00440ED6"/>
    <w:rsid w:val="00440F2B"/>
    <w:rsid w:val="0044109E"/>
    <w:rsid w:val="00441364"/>
    <w:rsid w:val="0044202F"/>
    <w:rsid w:val="004426EA"/>
    <w:rsid w:val="004428B7"/>
    <w:rsid w:val="00442A0B"/>
    <w:rsid w:val="00442C54"/>
    <w:rsid w:val="00442E03"/>
    <w:rsid w:val="0044355F"/>
    <w:rsid w:val="00443964"/>
    <w:rsid w:val="004441B8"/>
    <w:rsid w:val="00444412"/>
    <w:rsid w:val="00444B4B"/>
    <w:rsid w:val="00444DA3"/>
    <w:rsid w:val="0044501B"/>
    <w:rsid w:val="00445A0C"/>
    <w:rsid w:val="00445AA6"/>
    <w:rsid w:val="00445BC3"/>
    <w:rsid w:val="00445F1D"/>
    <w:rsid w:val="004460AD"/>
    <w:rsid w:val="004464AD"/>
    <w:rsid w:val="004465D3"/>
    <w:rsid w:val="00446635"/>
    <w:rsid w:val="004468A8"/>
    <w:rsid w:val="00446945"/>
    <w:rsid w:val="00446AB9"/>
    <w:rsid w:val="00446AF1"/>
    <w:rsid w:val="0044755D"/>
    <w:rsid w:val="004475C2"/>
    <w:rsid w:val="004477EF"/>
    <w:rsid w:val="00447ABF"/>
    <w:rsid w:val="00447C48"/>
    <w:rsid w:val="00447CC1"/>
    <w:rsid w:val="00447FA7"/>
    <w:rsid w:val="00450573"/>
    <w:rsid w:val="00450C07"/>
    <w:rsid w:val="00450C94"/>
    <w:rsid w:val="00450FC9"/>
    <w:rsid w:val="00451262"/>
    <w:rsid w:val="00451810"/>
    <w:rsid w:val="0045236D"/>
    <w:rsid w:val="004525EC"/>
    <w:rsid w:val="004525F2"/>
    <w:rsid w:val="00452C4B"/>
    <w:rsid w:val="00452C67"/>
    <w:rsid w:val="00452CC6"/>
    <w:rsid w:val="00452DB1"/>
    <w:rsid w:val="00453253"/>
    <w:rsid w:val="00453589"/>
    <w:rsid w:val="004536B1"/>
    <w:rsid w:val="00453A29"/>
    <w:rsid w:val="00453DC5"/>
    <w:rsid w:val="00453E0F"/>
    <w:rsid w:val="004544F9"/>
    <w:rsid w:val="00454746"/>
    <w:rsid w:val="004547A4"/>
    <w:rsid w:val="00455053"/>
    <w:rsid w:val="00455D60"/>
    <w:rsid w:val="004565C0"/>
    <w:rsid w:val="00456844"/>
    <w:rsid w:val="004569DD"/>
    <w:rsid w:val="00456ACD"/>
    <w:rsid w:val="0045761B"/>
    <w:rsid w:val="0045770C"/>
    <w:rsid w:val="00457966"/>
    <w:rsid w:val="00457C3D"/>
    <w:rsid w:val="0046046C"/>
    <w:rsid w:val="00460776"/>
    <w:rsid w:val="0046089B"/>
    <w:rsid w:val="00460B96"/>
    <w:rsid w:val="0046113A"/>
    <w:rsid w:val="00461147"/>
    <w:rsid w:val="004615BB"/>
    <w:rsid w:val="00461622"/>
    <w:rsid w:val="004616DE"/>
    <w:rsid w:val="0046187C"/>
    <w:rsid w:val="004625B7"/>
    <w:rsid w:val="00462752"/>
    <w:rsid w:val="00463668"/>
    <w:rsid w:val="0046366E"/>
    <w:rsid w:val="00465097"/>
    <w:rsid w:val="004660E3"/>
    <w:rsid w:val="004661A4"/>
    <w:rsid w:val="00466572"/>
    <w:rsid w:val="00466CB1"/>
    <w:rsid w:val="00466E93"/>
    <w:rsid w:val="00467080"/>
    <w:rsid w:val="004673E5"/>
    <w:rsid w:val="004674CB"/>
    <w:rsid w:val="004679C5"/>
    <w:rsid w:val="00467E1F"/>
    <w:rsid w:val="004701D5"/>
    <w:rsid w:val="00470798"/>
    <w:rsid w:val="00470838"/>
    <w:rsid w:val="004712AD"/>
    <w:rsid w:val="00471363"/>
    <w:rsid w:val="0047170F"/>
    <w:rsid w:val="00471727"/>
    <w:rsid w:val="004725C1"/>
    <w:rsid w:val="00472703"/>
    <w:rsid w:val="00472745"/>
    <w:rsid w:val="004729E7"/>
    <w:rsid w:val="004735F8"/>
    <w:rsid w:val="00473713"/>
    <w:rsid w:val="0047398B"/>
    <w:rsid w:val="00473A45"/>
    <w:rsid w:val="00473AAA"/>
    <w:rsid w:val="00474005"/>
    <w:rsid w:val="004746B8"/>
    <w:rsid w:val="00474F8F"/>
    <w:rsid w:val="0047567C"/>
    <w:rsid w:val="00475C49"/>
    <w:rsid w:val="00475EAB"/>
    <w:rsid w:val="00476962"/>
    <w:rsid w:val="00476A30"/>
    <w:rsid w:val="0048060B"/>
    <w:rsid w:val="0048060C"/>
    <w:rsid w:val="0048069A"/>
    <w:rsid w:val="00480C08"/>
    <w:rsid w:val="00480EC0"/>
    <w:rsid w:val="00480EE2"/>
    <w:rsid w:val="0048143B"/>
    <w:rsid w:val="00481A83"/>
    <w:rsid w:val="0048371B"/>
    <w:rsid w:val="00483E6C"/>
    <w:rsid w:val="0048467B"/>
    <w:rsid w:val="0048471A"/>
    <w:rsid w:val="00484989"/>
    <w:rsid w:val="00484C93"/>
    <w:rsid w:val="00485684"/>
    <w:rsid w:val="00485D3E"/>
    <w:rsid w:val="00486367"/>
    <w:rsid w:val="00486521"/>
    <w:rsid w:val="00487295"/>
    <w:rsid w:val="004876F1"/>
    <w:rsid w:val="00487A9F"/>
    <w:rsid w:val="00487C9D"/>
    <w:rsid w:val="004903DE"/>
    <w:rsid w:val="00490E00"/>
    <w:rsid w:val="00491035"/>
    <w:rsid w:val="00491AA0"/>
    <w:rsid w:val="00491C68"/>
    <w:rsid w:val="00491CA6"/>
    <w:rsid w:val="00491DAD"/>
    <w:rsid w:val="00492153"/>
    <w:rsid w:val="00492B24"/>
    <w:rsid w:val="00492BDA"/>
    <w:rsid w:val="00492C50"/>
    <w:rsid w:val="00492CC7"/>
    <w:rsid w:val="00493D8E"/>
    <w:rsid w:val="004949F5"/>
    <w:rsid w:val="00494EF8"/>
    <w:rsid w:val="00495157"/>
    <w:rsid w:val="0049538F"/>
    <w:rsid w:val="00495A4E"/>
    <w:rsid w:val="00495AE9"/>
    <w:rsid w:val="004962B4"/>
    <w:rsid w:val="00496704"/>
    <w:rsid w:val="00497291"/>
    <w:rsid w:val="00497901"/>
    <w:rsid w:val="00497BEA"/>
    <w:rsid w:val="004A0221"/>
    <w:rsid w:val="004A0379"/>
    <w:rsid w:val="004A03F2"/>
    <w:rsid w:val="004A0898"/>
    <w:rsid w:val="004A0A9E"/>
    <w:rsid w:val="004A0F0D"/>
    <w:rsid w:val="004A1200"/>
    <w:rsid w:val="004A1765"/>
    <w:rsid w:val="004A1EC4"/>
    <w:rsid w:val="004A1F56"/>
    <w:rsid w:val="004A2520"/>
    <w:rsid w:val="004A2686"/>
    <w:rsid w:val="004A2AE0"/>
    <w:rsid w:val="004A2F18"/>
    <w:rsid w:val="004A3008"/>
    <w:rsid w:val="004A3A46"/>
    <w:rsid w:val="004A3C7A"/>
    <w:rsid w:val="004A3E6C"/>
    <w:rsid w:val="004A4251"/>
    <w:rsid w:val="004A4380"/>
    <w:rsid w:val="004A484E"/>
    <w:rsid w:val="004A4AF5"/>
    <w:rsid w:val="004A5023"/>
    <w:rsid w:val="004A5786"/>
    <w:rsid w:val="004A5903"/>
    <w:rsid w:val="004A5A2A"/>
    <w:rsid w:val="004A5B6B"/>
    <w:rsid w:val="004A5CB2"/>
    <w:rsid w:val="004A6091"/>
    <w:rsid w:val="004A6190"/>
    <w:rsid w:val="004A6279"/>
    <w:rsid w:val="004A689C"/>
    <w:rsid w:val="004A6A07"/>
    <w:rsid w:val="004A6F43"/>
    <w:rsid w:val="004A70F1"/>
    <w:rsid w:val="004A7686"/>
    <w:rsid w:val="004B014D"/>
    <w:rsid w:val="004B05FC"/>
    <w:rsid w:val="004B06AB"/>
    <w:rsid w:val="004B1278"/>
    <w:rsid w:val="004B1650"/>
    <w:rsid w:val="004B169E"/>
    <w:rsid w:val="004B18B9"/>
    <w:rsid w:val="004B18C2"/>
    <w:rsid w:val="004B1A59"/>
    <w:rsid w:val="004B2D74"/>
    <w:rsid w:val="004B39F4"/>
    <w:rsid w:val="004B3DDD"/>
    <w:rsid w:val="004B3F18"/>
    <w:rsid w:val="004B4046"/>
    <w:rsid w:val="004B40F9"/>
    <w:rsid w:val="004B4504"/>
    <w:rsid w:val="004B4968"/>
    <w:rsid w:val="004B4A04"/>
    <w:rsid w:val="004B4CE4"/>
    <w:rsid w:val="004B4E6E"/>
    <w:rsid w:val="004B503A"/>
    <w:rsid w:val="004B5383"/>
    <w:rsid w:val="004B5BDA"/>
    <w:rsid w:val="004B63F4"/>
    <w:rsid w:val="004B6609"/>
    <w:rsid w:val="004B67FA"/>
    <w:rsid w:val="004B6980"/>
    <w:rsid w:val="004B6B20"/>
    <w:rsid w:val="004B6C65"/>
    <w:rsid w:val="004B6DBF"/>
    <w:rsid w:val="004B6E13"/>
    <w:rsid w:val="004B76E5"/>
    <w:rsid w:val="004B7931"/>
    <w:rsid w:val="004B7A7D"/>
    <w:rsid w:val="004B7DF3"/>
    <w:rsid w:val="004C036D"/>
    <w:rsid w:val="004C03FC"/>
    <w:rsid w:val="004C0552"/>
    <w:rsid w:val="004C07B5"/>
    <w:rsid w:val="004C1697"/>
    <w:rsid w:val="004C18C2"/>
    <w:rsid w:val="004C1DA6"/>
    <w:rsid w:val="004C1DB6"/>
    <w:rsid w:val="004C1F97"/>
    <w:rsid w:val="004C2CED"/>
    <w:rsid w:val="004C31AD"/>
    <w:rsid w:val="004C35C9"/>
    <w:rsid w:val="004C3835"/>
    <w:rsid w:val="004C3864"/>
    <w:rsid w:val="004C3965"/>
    <w:rsid w:val="004C46C7"/>
    <w:rsid w:val="004C4B34"/>
    <w:rsid w:val="004C4F9B"/>
    <w:rsid w:val="004C5252"/>
    <w:rsid w:val="004C621A"/>
    <w:rsid w:val="004C62C4"/>
    <w:rsid w:val="004C6435"/>
    <w:rsid w:val="004C6590"/>
    <w:rsid w:val="004C65D8"/>
    <w:rsid w:val="004C6A6F"/>
    <w:rsid w:val="004C6F5C"/>
    <w:rsid w:val="004C7928"/>
    <w:rsid w:val="004C799D"/>
    <w:rsid w:val="004C7AB6"/>
    <w:rsid w:val="004C7ADE"/>
    <w:rsid w:val="004D0006"/>
    <w:rsid w:val="004D05C7"/>
    <w:rsid w:val="004D0CA5"/>
    <w:rsid w:val="004D1C96"/>
    <w:rsid w:val="004D1E26"/>
    <w:rsid w:val="004D36BA"/>
    <w:rsid w:val="004D39E7"/>
    <w:rsid w:val="004D40E5"/>
    <w:rsid w:val="004D4214"/>
    <w:rsid w:val="004D45B1"/>
    <w:rsid w:val="004D471A"/>
    <w:rsid w:val="004D4D35"/>
    <w:rsid w:val="004D4FC1"/>
    <w:rsid w:val="004D5B70"/>
    <w:rsid w:val="004D5D1B"/>
    <w:rsid w:val="004D6046"/>
    <w:rsid w:val="004D6705"/>
    <w:rsid w:val="004E03A8"/>
    <w:rsid w:val="004E05AA"/>
    <w:rsid w:val="004E0B1B"/>
    <w:rsid w:val="004E0D1D"/>
    <w:rsid w:val="004E13A3"/>
    <w:rsid w:val="004E17D4"/>
    <w:rsid w:val="004E19A5"/>
    <w:rsid w:val="004E19B8"/>
    <w:rsid w:val="004E1FFB"/>
    <w:rsid w:val="004E3084"/>
    <w:rsid w:val="004E3103"/>
    <w:rsid w:val="004E3727"/>
    <w:rsid w:val="004E3C9A"/>
    <w:rsid w:val="004E432A"/>
    <w:rsid w:val="004E49EE"/>
    <w:rsid w:val="004E4E24"/>
    <w:rsid w:val="004E4FAE"/>
    <w:rsid w:val="004E516D"/>
    <w:rsid w:val="004E5540"/>
    <w:rsid w:val="004E5939"/>
    <w:rsid w:val="004E5D05"/>
    <w:rsid w:val="004E6265"/>
    <w:rsid w:val="004E6720"/>
    <w:rsid w:val="004E678C"/>
    <w:rsid w:val="004E764C"/>
    <w:rsid w:val="004E7965"/>
    <w:rsid w:val="004E7B2F"/>
    <w:rsid w:val="004E7EDE"/>
    <w:rsid w:val="004F008C"/>
    <w:rsid w:val="004F00EC"/>
    <w:rsid w:val="004F06AF"/>
    <w:rsid w:val="004F0B71"/>
    <w:rsid w:val="004F102E"/>
    <w:rsid w:val="004F1623"/>
    <w:rsid w:val="004F1A46"/>
    <w:rsid w:val="004F1DD8"/>
    <w:rsid w:val="004F210C"/>
    <w:rsid w:val="004F2960"/>
    <w:rsid w:val="004F2AFA"/>
    <w:rsid w:val="004F3192"/>
    <w:rsid w:val="004F3327"/>
    <w:rsid w:val="004F38C9"/>
    <w:rsid w:val="004F3C1D"/>
    <w:rsid w:val="004F3E9B"/>
    <w:rsid w:val="004F403A"/>
    <w:rsid w:val="004F43B3"/>
    <w:rsid w:val="004F43CE"/>
    <w:rsid w:val="004F43D1"/>
    <w:rsid w:val="004F44B2"/>
    <w:rsid w:val="004F48A8"/>
    <w:rsid w:val="004F4C22"/>
    <w:rsid w:val="004F4E01"/>
    <w:rsid w:val="004F5131"/>
    <w:rsid w:val="004F553F"/>
    <w:rsid w:val="004F6A8E"/>
    <w:rsid w:val="004F6D26"/>
    <w:rsid w:val="004F6DDA"/>
    <w:rsid w:val="004F76CE"/>
    <w:rsid w:val="004F7AB9"/>
    <w:rsid w:val="004F7CBA"/>
    <w:rsid w:val="0050049E"/>
    <w:rsid w:val="005007EB"/>
    <w:rsid w:val="00500F1F"/>
    <w:rsid w:val="00501078"/>
    <w:rsid w:val="005012D1"/>
    <w:rsid w:val="0050142B"/>
    <w:rsid w:val="005018E6"/>
    <w:rsid w:val="005023A4"/>
    <w:rsid w:val="00502455"/>
    <w:rsid w:val="005024D7"/>
    <w:rsid w:val="00502644"/>
    <w:rsid w:val="00502862"/>
    <w:rsid w:val="00502AE1"/>
    <w:rsid w:val="00502D9E"/>
    <w:rsid w:val="00502E43"/>
    <w:rsid w:val="00503618"/>
    <w:rsid w:val="005039DB"/>
    <w:rsid w:val="00504DD6"/>
    <w:rsid w:val="00504DFE"/>
    <w:rsid w:val="00504F07"/>
    <w:rsid w:val="00504F8C"/>
    <w:rsid w:val="005051D5"/>
    <w:rsid w:val="0050558E"/>
    <w:rsid w:val="005056EB"/>
    <w:rsid w:val="00505AF1"/>
    <w:rsid w:val="00506650"/>
    <w:rsid w:val="005067F1"/>
    <w:rsid w:val="00506853"/>
    <w:rsid w:val="00507004"/>
    <w:rsid w:val="00507463"/>
    <w:rsid w:val="00510D66"/>
    <w:rsid w:val="005110F5"/>
    <w:rsid w:val="005111F4"/>
    <w:rsid w:val="0051170E"/>
    <w:rsid w:val="00511A4D"/>
    <w:rsid w:val="00511AAF"/>
    <w:rsid w:val="00511B17"/>
    <w:rsid w:val="00511C9D"/>
    <w:rsid w:val="00511F0D"/>
    <w:rsid w:val="0051250F"/>
    <w:rsid w:val="0051261A"/>
    <w:rsid w:val="0051294A"/>
    <w:rsid w:val="00512BDD"/>
    <w:rsid w:val="00512FDE"/>
    <w:rsid w:val="005132D0"/>
    <w:rsid w:val="00513315"/>
    <w:rsid w:val="00513991"/>
    <w:rsid w:val="00513A61"/>
    <w:rsid w:val="00513B79"/>
    <w:rsid w:val="00513E87"/>
    <w:rsid w:val="005141B5"/>
    <w:rsid w:val="0051434E"/>
    <w:rsid w:val="0051472D"/>
    <w:rsid w:val="00514D1D"/>
    <w:rsid w:val="00515129"/>
    <w:rsid w:val="005159B4"/>
    <w:rsid w:val="00515D7E"/>
    <w:rsid w:val="00516395"/>
    <w:rsid w:val="0051691E"/>
    <w:rsid w:val="00516BBA"/>
    <w:rsid w:val="00516DBE"/>
    <w:rsid w:val="00516FB5"/>
    <w:rsid w:val="00517343"/>
    <w:rsid w:val="00517DD7"/>
    <w:rsid w:val="00520283"/>
    <w:rsid w:val="00520545"/>
    <w:rsid w:val="00520B66"/>
    <w:rsid w:val="00520E8C"/>
    <w:rsid w:val="0052176E"/>
    <w:rsid w:val="005218FE"/>
    <w:rsid w:val="00521A32"/>
    <w:rsid w:val="00521B1E"/>
    <w:rsid w:val="005223BD"/>
    <w:rsid w:val="005224E2"/>
    <w:rsid w:val="0052297C"/>
    <w:rsid w:val="00522E6F"/>
    <w:rsid w:val="00523015"/>
    <w:rsid w:val="00523286"/>
    <w:rsid w:val="00524014"/>
    <w:rsid w:val="00524321"/>
    <w:rsid w:val="005244CE"/>
    <w:rsid w:val="005245C0"/>
    <w:rsid w:val="005246E7"/>
    <w:rsid w:val="00524D6F"/>
    <w:rsid w:val="005255B0"/>
    <w:rsid w:val="00525724"/>
    <w:rsid w:val="00525837"/>
    <w:rsid w:val="00525FC5"/>
    <w:rsid w:val="005260D3"/>
    <w:rsid w:val="005260F8"/>
    <w:rsid w:val="00526116"/>
    <w:rsid w:val="0052614A"/>
    <w:rsid w:val="005273EA"/>
    <w:rsid w:val="005274CE"/>
    <w:rsid w:val="0052775F"/>
    <w:rsid w:val="005305D6"/>
    <w:rsid w:val="00530646"/>
    <w:rsid w:val="00530714"/>
    <w:rsid w:val="005308FD"/>
    <w:rsid w:val="00530954"/>
    <w:rsid w:val="00530A40"/>
    <w:rsid w:val="00531039"/>
    <w:rsid w:val="005311FC"/>
    <w:rsid w:val="00531542"/>
    <w:rsid w:val="0053154D"/>
    <w:rsid w:val="005315C2"/>
    <w:rsid w:val="005320B1"/>
    <w:rsid w:val="00532799"/>
    <w:rsid w:val="005327DC"/>
    <w:rsid w:val="005328CA"/>
    <w:rsid w:val="00532DCD"/>
    <w:rsid w:val="00532E86"/>
    <w:rsid w:val="005335AE"/>
    <w:rsid w:val="0053386A"/>
    <w:rsid w:val="00534165"/>
    <w:rsid w:val="00534797"/>
    <w:rsid w:val="0053481E"/>
    <w:rsid w:val="00535006"/>
    <w:rsid w:val="00535E2C"/>
    <w:rsid w:val="00535ECD"/>
    <w:rsid w:val="00536215"/>
    <w:rsid w:val="00536260"/>
    <w:rsid w:val="00536287"/>
    <w:rsid w:val="00536467"/>
    <w:rsid w:val="0053673A"/>
    <w:rsid w:val="00536835"/>
    <w:rsid w:val="00536C60"/>
    <w:rsid w:val="00536D74"/>
    <w:rsid w:val="00537265"/>
    <w:rsid w:val="00537378"/>
    <w:rsid w:val="005374C2"/>
    <w:rsid w:val="00537570"/>
    <w:rsid w:val="0053785B"/>
    <w:rsid w:val="00537A36"/>
    <w:rsid w:val="00541428"/>
    <w:rsid w:val="005425E6"/>
    <w:rsid w:val="0054265F"/>
    <w:rsid w:val="00542754"/>
    <w:rsid w:val="005427A8"/>
    <w:rsid w:val="00542873"/>
    <w:rsid w:val="00542948"/>
    <w:rsid w:val="00542E2D"/>
    <w:rsid w:val="00542F6B"/>
    <w:rsid w:val="0054303F"/>
    <w:rsid w:val="00543086"/>
    <w:rsid w:val="00543787"/>
    <w:rsid w:val="00543A14"/>
    <w:rsid w:val="00543D2C"/>
    <w:rsid w:val="00543E79"/>
    <w:rsid w:val="005442C4"/>
    <w:rsid w:val="0054440A"/>
    <w:rsid w:val="00545A71"/>
    <w:rsid w:val="00546355"/>
    <w:rsid w:val="0054666B"/>
    <w:rsid w:val="00546ACF"/>
    <w:rsid w:val="0054705A"/>
    <w:rsid w:val="00547B4B"/>
    <w:rsid w:val="00547D32"/>
    <w:rsid w:val="00547E2C"/>
    <w:rsid w:val="005503F6"/>
    <w:rsid w:val="005509BF"/>
    <w:rsid w:val="00550C8D"/>
    <w:rsid w:val="00550D6C"/>
    <w:rsid w:val="00550DF3"/>
    <w:rsid w:val="00550E88"/>
    <w:rsid w:val="005510EB"/>
    <w:rsid w:val="00551190"/>
    <w:rsid w:val="0055123B"/>
    <w:rsid w:val="00551996"/>
    <w:rsid w:val="005525A4"/>
    <w:rsid w:val="00552B48"/>
    <w:rsid w:val="00553055"/>
    <w:rsid w:val="005531AF"/>
    <w:rsid w:val="005531CA"/>
    <w:rsid w:val="00554CF3"/>
    <w:rsid w:val="00554DCB"/>
    <w:rsid w:val="0055575E"/>
    <w:rsid w:val="00555878"/>
    <w:rsid w:val="00555BC6"/>
    <w:rsid w:val="00556125"/>
    <w:rsid w:val="0055656B"/>
    <w:rsid w:val="00556D2A"/>
    <w:rsid w:val="0055704C"/>
    <w:rsid w:val="0055786A"/>
    <w:rsid w:val="0056055B"/>
    <w:rsid w:val="005607AF"/>
    <w:rsid w:val="00561118"/>
    <w:rsid w:val="005615A1"/>
    <w:rsid w:val="00561D76"/>
    <w:rsid w:val="00561E7C"/>
    <w:rsid w:val="005620FB"/>
    <w:rsid w:val="005623BA"/>
    <w:rsid w:val="0056251B"/>
    <w:rsid w:val="00563FCA"/>
    <w:rsid w:val="005643A5"/>
    <w:rsid w:val="005644DD"/>
    <w:rsid w:val="0056479F"/>
    <w:rsid w:val="00564AAA"/>
    <w:rsid w:val="00564B9A"/>
    <w:rsid w:val="00564D39"/>
    <w:rsid w:val="0056510E"/>
    <w:rsid w:val="005651D4"/>
    <w:rsid w:val="005653C3"/>
    <w:rsid w:val="005653F9"/>
    <w:rsid w:val="00565990"/>
    <w:rsid w:val="00565DCF"/>
    <w:rsid w:val="00565F64"/>
    <w:rsid w:val="00566247"/>
    <w:rsid w:val="00566948"/>
    <w:rsid w:val="00566A6F"/>
    <w:rsid w:val="00566A8E"/>
    <w:rsid w:val="00566AC4"/>
    <w:rsid w:val="00566F78"/>
    <w:rsid w:val="00567A7E"/>
    <w:rsid w:val="00567ACB"/>
    <w:rsid w:val="0057026B"/>
    <w:rsid w:val="00570441"/>
    <w:rsid w:val="00570861"/>
    <w:rsid w:val="0057158A"/>
    <w:rsid w:val="00571649"/>
    <w:rsid w:val="0057176F"/>
    <w:rsid w:val="00571A1E"/>
    <w:rsid w:val="00571C6E"/>
    <w:rsid w:val="005726F6"/>
    <w:rsid w:val="00572749"/>
    <w:rsid w:val="00572DAE"/>
    <w:rsid w:val="005739CF"/>
    <w:rsid w:val="00573ABD"/>
    <w:rsid w:val="00573C66"/>
    <w:rsid w:val="005749D8"/>
    <w:rsid w:val="005750AB"/>
    <w:rsid w:val="005756EA"/>
    <w:rsid w:val="00575D10"/>
    <w:rsid w:val="005763AC"/>
    <w:rsid w:val="00576590"/>
    <w:rsid w:val="00576AFB"/>
    <w:rsid w:val="0057714D"/>
    <w:rsid w:val="00577452"/>
    <w:rsid w:val="0058079D"/>
    <w:rsid w:val="00580B99"/>
    <w:rsid w:val="00580FE5"/>
    <w:rsid w:val="005813E8"/>
    <w:rsid w:val="00581580"/>
    <w:rsid w:val="005823B3"/>
    <w:rsid w:val="00582991"/>
    <w:rsid w:val="00582C3E"/>
    <w:rsid w:val="00582DB8"/>
    <w:rsid w:val="0058302F"/>
    <w:rsid w:val="00584684"/>
    <w:rsid w:val="00584A51"/>
    <w:rsid w:val="00584D38"/>
    <w:rsid w:val="0058583D"/>
    <w:rsid w:val="00585A36"/>
    <w:rsid w:val="00585A39"/>
    <w:rsid w:val="00585ED8"/>
    <w:rsid w:val="00585F56"/>
    <w:rsid w:val="0058604E"/>
    <w:rsid w:val="00586452"/>
    <w:rsid w:val="0058654B"/>
    <w:rsid w:val="00587998"/>
    <w:rsid w:val="00587A69"/>
    <w:rsid w:val="00587D3E"/>
    <w:rsid w:val="00590240"/>
    <w:rsid w:val="0059095C"/>
    <w:rsid w:val="0059108F"/>
    <w:rsid w:val="00591459"/>
    <w:rsid w:val="005921A6"/>
    <w:rsid w:val="005921D3"/>
    <w:rsid w:val="00592844"/>
    <w:rsid w:val="005933B7"/>
    <w:rsid w:val="00593982"/>
    <w:rsid w:val="00593AA7"/>
    <w:rsid w:val="00593B6B"/>
    <w:rsid w:val="00593D21"/>
    <w:rsid w:val="00593DC4"/>
    <w:rsid w:val="00593E55"/>
    <w:rsid w:val="005940C1"/>
    <w:rsid w:val="00594522"/>
    <w:rsid w:val="005947B1"/>
    <w:rsid w:val="005947C1"/>
    <w:rsid w:val="005949D6"/>
    <w:rsid w:val="0059502C"/>
    <w:rsid w:val="005951A2"/>
    <w:rsid w:val="0059621D"/>
    <w:rsid w:val="00596881"/>
    <w:rsid w:val="00596D2F"/>
    <w:rsid w:val="005974E8"/>
    <w:rsid w:val="0059795C"/>
    <w:rsid w:val="00597FC3"/>
    <w:rsid w:val="005A012E"/>
    <w:rsid w:val="005A041A"/>
    <w:rsid w:val="005A04F5"/>
    <w:rsid w:val="005A070F"/>
    <w:rsid w:val="005A0C04"/>
    <w:rsid w:val="005A0FC7"/>
    <w:rsid w:val="005A1130"/>
    <w:rsid w:val="005A11D4"/>
    <w:rsid w:val="005A16A8"/>
    <w:rsid w:val="005A1A49"/>
    <w:rsid w:val="005A1DD3"/>
    <w:rsid w:val="005A1FB3"/>
    <w:rsid w:val="005A26F2"/>
    <w:rsid w:val="005A2711"/>
    <w:rsid w:val="005A27A4"/>
    <w:rsid w:val="005A2960"/>
    <w:rsid w:val="005A2AD7"/>
    <w:rsid w:val="005A313B"/>
    <w:rsid w:val="005A338B"/>
    <w:rsid w:val="005A3794"/>
    <w:rsid w:val="005A464E"/>
    <w:rsid w:val="005A4869"/>
    <w:rsid w:val="005A4C04"/>
    <w:rsid w:val="005A4EE6"/>
    <w:rsid w:val="005A5008"/>
    <w:rsid w:val="005A50DC"/>
    <w:rsid w:val="005A5699"/>
    <w:rsid w:val="005A612F"/>
    <w:rsid w:val="005A6618"/>
    <w:rsid w:val="005A6662"/>
    <w:rsid w:val="005A728D"/>
    <w:rsid w:val="005A775A"/>
    <w:rsid w:val="005A7D57"/>
    <w:rsid w:val="005B011B"/>
    <w:rsid w:val="005B0549"/>
    <w:rsid w:val="005B0A34"/>
    <w:rsid w:val="005B0E07"/>
    <w:rsid w:val="005B112C"/>
    <w:rsid w:val="005B1556"/>
    <w:rsid w:val="005B17F9"/>
    <w:rsid w:val="005B18D2"/>
    <w:rsid w:val="005B1BBC"/>
    <w:rsid w:val="005B1E0B"/>
    <w:rsid w:val="005B3059"/>
    <w:rsid w:val="005B3671"/>
    <w:rsid w:val="005B3751"/>
    <w:rsid w:val="005B3BF8"/>
    <w:rsid w:val="005B44FE"/>
    <w:rsid w:val="005B4856"/>
    <w:rsid w:val="005B49EA"/>
    <w:rsid w:val="005B532E"/>
    <w:rsid w:val="005B564B"/>
    <w:rsid w:val="005B5B2B"/>
    <w:rsid w:val="005B5B8A"/>
    <w:rsid w:val="005B5E9E"/>
    <w:rsid w:val="005B5FB3"/>
    <w:rsid w:val="005B657C"/>
    <w:rsid w:val="005B65E6"/>
    <w:rsid w:val="005B671F"/>
    <w:rsid w:val="005B6CE5"/>
    <w:rsid w:val="005C008C"/>
    <w:rsid w:val="005C0170"/>
    <w:rsid w:val="005C05F3"/>
    <w:rsid w:val="005C09DB"/>
    <w:rsid w:val="005C0A16"/>
    <w:rsid w:val="005C0F87"/>
    <w:rsid w:val="005C1BB2"/>
    <w:rsid w:val="005C25FC"/>
    <w:rsid w:val="005C2A59"/>
    <w:rsid w:val="005C3303"/>
    <w:rsid w:val="005C383A"/>
    <w:rsid w:val="005C3946"/>
    <w:rsid w:val="005C3B3E"/>
    <w:rsid w:val="005C3E6E"/>
    <w:rsid w:val="005C44A9"/>
    <w:rsid w:val="005C49F7"/>
    <w:rsid w:val="005C4E95"/>
    <w:rsid w:val="005C5070"/>
    <w:rsid w:val="005C5421"/>
    <w:rsid w:val="005C561F"/>
    <w:rsid w:val="005C5905"/>
    <w:rsid w:val="005C5914"/>
    <w:rsid w:val="005C5A57"/>
    <w:rsid w:val="005C5BF3"/>
    <w:rsid w:val="005C61DC"/>
    <w:rsid w:val="005C75FB"/>
    <w:rsid w:val="005D0224"/>
    <w:rsid w:val="005D06E0"/>
    <w:rsid w:val="005D08F2"/>
    <w:rsid w:val="005D0A56"/>
    <w:rsid w:val="005D0C60"/>
    <w:rsid w:val="005D0E1B"/>
    <w:rsid w:val="005D0E73"/>
    <w:rsid w:val="005D127E"/>
    <w:rsid w:val="005D16D5"/>
    <w:rsid w:val="005D1D19"/>
    <w:rsid w:val="005D20DC"/>
    <w:rsid w:val="005D2438"/>
    <w:rsid w:val="005D24FC"/>
    <w:rsid w:val="005D290B"/>
    <w:rsid w:val="005D290F"/>
    <w:rsid w:val="005D2F53"/>
    <w:rsid w:val="005D3269"/>
    <w:rsid w:val="005D3B65"/>
    <w:rsid w:val="005D3F32"/>
    <w:rsid w:val="005D416E"/>
    <w:rsid w:val="005D425C"/>
    <w:rsid w:val="005D4B11"/>
    <w:rsid w:val="005D4DAC"/>
    <w:rsid w:val="005D5441"/>
    <w:rsid w:val="005D5B20"/>
    <w:rsid w:val="005D5D2B"/>
    <w:rsid w:val="005D6016"/>
    <w:rsid w:val="005D628E"/>
    <w:rsid w:val="005D6F82"/>
    <w:rsid w:val="005D6F95"/>
    <w:rsid w:val="005D7317"/>
    <w:rsid w:val="005D774A"/>
    <w:rsid w:val="005D7A0A"/>
    <w:rsid w:val="005D7B2B"/>
    <w:rsid w:val="005E0129"/>
    <w:rsid w:val="005E0449"/>
    <w:rsid w:val="005E0904"/>
    <w:rsid w:val="005E1111"/>
    <w:rsid w:val="005E1410"/>
    <w:rsid w:val="005E1433"/>
    <w:rsid w:val="005E15A0"/>
    <w:rsid w:val="005E1899"/>
    <w:rsid w:val="005E191F"/>
    <w:rsid w:val="005E22D9"/>
    <w:rsid w:val="005E23AF"/>
    <w:rsid w:val="005E2420"/>
    <w:rsid w:val="005E25AC"/>
    <w:rsid w:val="005E25C1"/>
    <w:rsid w:val="005E27DA"/>
    <w:rsid w:val="005E2DBC"/>
    <w:rsid w:val="005E2EA5"/>
    <w:rsid w:val="005E2FBB"/>
    <w:rsid w:val="005E383B"/>
    <w:rsid w:val="005E3A4F"/>
    <w:rsid w:val="005E3D66"/>
    <w:rsid w:val="005E468B"/>
    <w:rsid w:val="005E4753"/>
    <w:rsid w:val="005E4B77"/>
    <w:rsid w:val="005E4BFD"/>
    <w:rsid w:val="005E4F9D"/>
    <w:rsid w:val="005E53DD"/>
    <w:rsid w:val="005E563D"/>
    <w:rsid w:val="005E5800"/>
    <w:rsid w:val="005E610C"/>
    <w:rsid w:val="005E6671"/>
    <w:rsid w:val="005E6A25"/>
    <w:rsid w:val="005E6D71"/>
    <w:rsid w:val="005E7352"/>
    <w:rsid w:val="005E73C5"/>
    <w:rsid w:val="005E768E"/>
    <w:rsid w:val="005E77C1"/>
    <w:rsid w:val="005E783D"/>
    <w:rsid w:val="005F001D"/>
    <w:rsid w:val="005F08B2"/>
    <w:rsid w:val="005F0984"/>
    <w:rsid w:val="005F0B99"/>
    <w:rsid w:val="005F0DD2"/>
    <w:rsid w:val="005F151E"/>
    <w:rsid w:val="005F18C7"/>
    <w:rsid w:val="005F1B6E"/>
    <w:rsid w:val="005F1BB0"/>
    <w:rsid w:val="005F1D30"/>
    <w:rsid w:val="005F26E7"/>
    <w:rsid w:val="005F3A5D"/>
    <w:rsid w:val="005F3B60"/>
    <w:rsid w:val="005F3C4D"/>
    <w:rsid w:val="005F3CE2"/>
    <w:rsid w:val="005F40D8"/>
    <w:rsid w:val="005F4505"/>
    <w:rsid w:val="005F4F90"/>
    <w:rsid w:val="005F54EB"/>
    <w:rsid w:val="005F59E1"/>
    <w:rsid w:val="005F5A34"/>
    <w:rsid w:val="005F5A4D"/>
    <w:rsid w:val="005F5F93"/>
    <w:rsid w:val="005F6792"/>
    <w:rsid w:val="005F6969"/>
    <w:rsid w:val="005F6A94"/>
    <w:rsid w:val="005F6E91"/>
    <w:rsid w:val="005F7134"/>
    <w:rsid w:val="005F7845"/>
    <w:rsid w:val="005F7948"/>
    <w:rsid w:val="005F7C73"/>
    <w:rsid w:val="005F7E58"/>
    <w:rsid w:val="0060001D"/>
    <w:rsid w:val="006002B9"/>
    <w:rsid w:val="006003AF"/>
    <w:rsid w:val="0060042E"/>
    <w:rsid w:val="0060045C"/>
    <w:rsid w:val="00600734"/>
    <w:rsid w:val="00600876"/>
    <w:rsid w:val="00600B02"/>
    <w:rsid w:val="0060161B"/>
    <w:rsid w:val="0060170C"/>
    <w:rsid w:val="0060182E"/>
    <w:rsid w:val="00601A9E"/>
    <w:rsid w:val="00601B50"/>
    <w:rsid w:val="006024AC"/>
    <w:rsid w:val="0060258B"/>
    <w:rsid w:val="00603164"/>
    <w:rsid w:val="006035CF"/>
    <w:rsid w:val="00603987"/>
    <w:rsid w:val="00603C52"/>
    <w:rsid w:val="00603FEA"/>
    <w:rsid w:val="00604132"/>
    <w:rsid w:val="00604217"/>
    <w:rsid w:val="00604695"/>
    <w:rsid w:val="00604C5C"/>
    <w:rsid w:val="00605482"/>
    <w:rsid w:val="00605948"/>
    <w:rsid w:val="00605ED7"/>
    <w:rsid w:val="00606DA9"/>
    <w:rsid w:val="006071B9"/>
    <w:rsid w:val="00607315"/>
    <w:rsid w:val="006100DD"/>
    <w:rsid w:val="006101C0"/>
    <w:rsid w:val="006101DA"/>
    <w:rsid w:val="00610222"/>
    <w:rsid w:val="0061093D"/>
    <w:rsid w:val="00610B75"/>
    <w:rsid w:val="00610F10"/>
    <w:rsid w:val="0061110A"/>
    <w:rsid w:val="006114C2"/>
    <w:rsid w:val="00611E31"/>
    <w:rsid w:val="0061251E"/>
    <w:rsid w:val="00612807"/>
    <w:rsid w:val="0061302A"/>
    <w:rsid w:val="006134BA"/>
    <w:rsid w:val="00613C70"/>
    <w:rsid w:val="00614007"/>
    <w:rsid w:val="006142F0"/>
    <w:rsid w:val="006143CF"/>
    <w:rsid w:val="006144BE"/>
    <w:rsid w:val="0061482A"/>
    <w:rsid w:val="00614D4C"/>
    <w:rsid w:val="00615690"/>
    <w:rsid w:val="00615B29"/>
    <w:rsid w:val="00616611"/>
    <w:rsid w:val="00616720"/>
    <w:rsid w:val="00616BCA"/>
    <w:rsid w:val="006202C3"/>
    <w:rsid w:val="006209EC"/>
    <w:rsid w:val="006210E0"/>
    <w:rsid w:val="00621454"/>
    <w:rsid w:val="006216AE"/>
    <w:rsid w:val="006218D0"/>
    <w:rsid w:val="00622217"/>
    <w:rsid w:val="0062291C"/>
    <w:rsid w:val="0062346D"/>
    <w:rsid w:val="006235EA"/>
    <w:rsid w:val="00623B15"/>
    <w:rsid w:val="00623D65"/>
    <w:rsid w:val="00623D86"/>
    <w:rsid w:val="00623EFE"/>
    <w:rsid w:val="00624646"/>
    <w:rsid w:val="006249B1"/>
    <w:rsid w:val="006258EB"/>
    <w:rsid w:val="00625EA5"/>
    <w:rsid w:val="006260DC"/>
    <w:rsid w:val="006261D8"/>
    <w:rsid w:val="00626823"/>
    <w:rsid w:val="006272B7"/>
    <w:rsid w:val="006273C6"/>
    <w:rsid w:val="006273EF"/>
    <w:rsid w:val="00630520"/>
    <w:rsid w:val="00630D73"/>
    <w:rsid w:val="00630DB1"/>
    <w:rsid w:val="00631198"/>
    <w:rsid w:val="00631821"/>
    <w:rsid w:val="00632638"/>
    <w:rsid w:val="006327D3"/>
    <w:rsid w:val="00632DBA"/>
    <w:rsid w:val="00633372"/>
    <w:rsid w:val="00633699"/>
    <w:rsid w:val="0063371A"/>
    <w:rsid w:val="0063389D"/>
    <w:rsid w:val="00633B16"/>
    <w:rsid w:val="00633FDE"/>
    <w:rsid w:val="006351C0"/>
    <w:rsid w:val="0063547D"/>
    <w:rsid w:val="006359B9"/>
    <w:rsid w:val="00635C5C"/>
    <w:rsid w:val="00635D5A"/>
    <w:rsid w:val="00636082"/>
    <w:rsid w:val="00636165"/>
    <w:rsid w:val="00636230"/>
    <w:rsid w:val="00636CBE"/>
    <w:rsid w:val="00636CE4"/>
    <w:rsid w:val="00636E2A"/>
    <w:rsid w:val="006372D5"/>
    <w:rsid w:val="00637418"/>
    <w:rsid w:val="006400AE"/>
    <w:rsid w:val="006405F6"/>
    <w:rsid w:val="006407F5"/>
    <w:rsid w:val="00640886"/>
    <w:rsid w:val="006409A8"/>
    <w:rsid w:val="00640EEB"/>
    <w:rsid w:val="00640F8D"/>
    <w:rsid w:val="0064111E"/>
    <w:rsid w:val="006414D0"/>
    <w:rsid w:val="006418AB"/>
    <w:rsid w:val="00641FFB"/>
    <w:rsid w:val="006423C8"/>
    <w:rsid w:val="006426B9"/>
    <w:rsid w:val="006427EA"/>
    <w:rsid w:val="006427F0"/>
    <w:rsid w:val="00642849"/>
    <w:rsid w:val="00642945"/>
    <w:rsid w:val="00642B50"/>
    <w:rsid w:val="00642C37"/>
    <w:rsid w:val="00643D05"/>
    <w:rsid w:val="006440D1"/>
    <w:rsid w:val="006445AB"/>
    <w:rsid w:val="0064475F"/>
    <w:rsid w:val="00644906"/>
    <w:rsid w:val="006449C8"/>
    <w:rsid w:val="006449D6"/>
    <w:rsid w:val="00644F01"/>
    <w:rsid w:val="00645BEE"/>
    <w:rsid w:val="00645CB8"/>
    <w:rsid w:val="00645FE5"/>
    <w:rsid w:val="0064681E"/>
    <w:rsid w:val="00646CE8"/>
    <w:rsid w:val="00646FEA"/>
    <w:rsid w:val="006470AC"/>
    <w:rsid w:val="00647105"/>
    <w:rsid w:val="006471DE"/>
    <w:rsid w:val="00647303"/>
    <w:rsid w:val="00647444"/>
    <w:rsid w:val="00647B3D"/>
    <w:rsid w:val="00647BAA"/>
    <w:rsid w:val="00647CF9"/>
    <w:rsid w:val="00647F9C"/>
    <w:rsid w:val="006500FE"/>
    <w:rsid w:val="00650193"/>
    <w:rsid w:val="00650614"/>
    <w:rsid w:val="00650736"/>
    <w:rsid w:val="00650DF5"/>
    <w:rsid w:val="00651431"/>
    <w:rsid w:val="006515FA"/>
    <w:rsid w:val="00651A48"/>
    <w:rsid w:val="00651AF1"/>
    <w:rsid w:val="00651C8D"/>
    <w:rsid w:val="006527C3"/>
    <w:rsid w:val="00652B34"/>
    <w:rsid w:val="00653A9C"/>
    <w:rsid w:val="00653B7F"/>
    <w:rsid w:val="00653BAC"/>
    <w:rsid w:val="00653C9E"/>
    <w:rsid w:val="006542E1"/>
    <w:rsid w:val="00654A2B"/>
    <w:rsid w:val="00654E4E"/>
    <w:rsid w:val="006552A5"/>
    <w:rsid w:val="00655619"/>
    <w:rsid w:val="00655AC8"/>
    <w:rsid w:val="00655F64"/>
    <w:rsid w:val="00656ACD"/>
    <w:rsid w:val="00656B3E"/>
    <w:rsid w:val="00656F62"/>
    <w:rsid w:val="00657670"/>
    <w:rsid w:val="00660D4C"/>
    <w:rsid w:val="0066171A"/>
    <w:rsid w:val="0066185F"/>
    <w:rsid w:val="00661D7C"/>
    <w:rsid w:val="00662392"/>
    <w:rsid w:val="006624F6"/>
    <w:rsid w:val="00662D36"/>
    <w:rsid w:val="006634A6"/>
    <w:rsid w:val="006637FF"/>
    <w:rsid w:val="0066388C"/>
    <w:rsid w:val="006639C8"/>
    <w:rsid w:val="00663C43"/>
    <w:rsid w:val="006644BE"/>
    <w:rsid w:val="00664E49"/>
    <w:rsid w:val="00665256"/>
    <w:rsid w:val="006657A4"/>
    <w:rsid w:val="00665A71"/>
    <w:rsid w:val="00665BF1"/>
    <w:rsid w:val="00665F4D"/>
    <w:rsid w:val="0066694F"/>
    <w:rsid w:val="00666B96"/>
    <w:rsid w:val="00666FB2"/>
    <w:rsid w:val="006672B3"/>
    <w:rsid w:val="0066747E"/>
    <w:rsid w:val="00667E56"/>
    <w:rsid w:val="0067024C"/>
    <w:rsid w:val="00670951"/>
    <w:rsid w:val="00670A64"/>
    <w:rsid w:val="00670B48"/>
    <w:rsid w:val="00670BB2"/>
    <w:rsid w:val="00670F21"/>
    <w:rsid w:val="00671822"/>
    <w:rsid w:val="00671E21"/>
    <w:rsid w:val="00672BFA"/>
    <w:rsid w:val="00672EE0"/>
    <w:rsid w:val="00672F5C"/>
    <w:rsid w:val="006730DD"/>
    <w:rsid w:val="006732AE"/>
    <w:rsid w:val="006732B2"/>
    <w:rsid w:val="00673511"/>
    <w:rsid w:val="0067351D"/>
    <w:rsid w:val="00673941"/>
    <w:rsid w:val="00673DFF"/>
    <w:rsid w:val="00674625"/>
    <w:rsid w:val="00674890"/>
    <w:rsid w:val="00674B50"/>
    <w:rsid w:val="00674EFC"/>
    <w:rsid w:val="00675013"/>
    <w:rsid w:val="00675336"/>
    <w:rsid w:val="006755BC"/>
    <w:rsid w:val="00675769"/>
    <w:rsid w:val="006757B3"/>
    <w:rsid w:val="00675828"/>
    <w:rsid w:val="00675A6B"/>
    <w:rsid w:val="00675BFA"/>
    <w:rsid w:val="00675FC2"/>
    <w:rsid w:val="0067689B"/>
    <w:rsid w:val="00676B59"/>
    <w:rsid w:val="00676D91"/>
    <w:rsid w:val="0067752D"/>
    <w:rsid w:val="006775EC"/>
    <w:rsid w:val="00677791"/>
    <w:rsid w:val="00677E91"/>
    <w:rsid w:val="00677EF2"/>
    <w:rsid w:val="00677F7B"/>
    <w:rsid w:val="00677F8C"/>
    <w:rsid w:val="00677FC5"/>
    <w:rsid w:val="00680353"/>
    <w:rsid w:val="006809B5"/>
    <w:rsid w:val="00680A95"/>
    <w:rsid w:val="00681A8F"/>
    <w:rsid w:val="0068223D"/>
    <w:rsid w:val="00682277"/>
    <w:rsid w:val="006822C2"/>
    <w:rsid w:val="00682340"/>
    <w:rsid w:val="00682BB0"/>
    <w:rsid w:val="00683D41"/>
    <w:rsid w:val="00683F9B"/>
    <w:rsid w:val="006844A4"/>
    <w:rsid w:val="006846C1"/>
    <w:rsid w:val="00684E28"/>
    <w:rsid w:val="00685023"/>
    <w:rsid w:val="00685031"/>
    <w:rsid w:val="00685637"/>
    <w:rsid w:val="00685666"/>
    <w:rsid w:val="00685898"/>
    <w:rsid w:val="00685C08"/>
    <w:rsid w:val="00685F98"/>
    <w:rsid w:val="0068615A"/>
    <w:rsid w:val="00686805"/>
    <w:rsid w:val="00686B51"/>
    <w:rsid w:val="00687919"/>
    <w:rsid w:val="00687AD3"/>
    <w:rsid w:val="00687D2C"/>
    <w:rsid w:val="0069018C"/>
    <w:rsid w:val="006901A4"/>
    <w:rsid w:val="006905BE"/>
    <w:rsid w:val="00690841"/>
    <w:rsid w:val="00690A5B"/>
    <w:rsid w:val="00690A5C"/>
    <w:rsid w:val="00690C83"/>
    <w:rsid w:val="00690DA1"/>
    <w:rsid w:val="0069116C"/>
    <w:rsid w:val="006911D7"/>
    <w:rsid w:val="00691703"/>
    <w:rsid w:val="0069191C"/>
    <w:rsid w:val="00691BED"/>
    <w:rsid w:val="00691FA6"/>
    <w:rsid w:val="006920A3"/>
    <w:rsid w:val="0069242E"/>
    <w:rsid w:val="006928A8"/>
    <w:rsid w:val="00692E4E"/>
    <w:rsid w:val="00693AF1"/>
    <w:rsid w:val="00693BB7"/>
    <w:rsid w:val="00693E44"/>
    <w:rsid w:val="00693E5D"/>
    <w:rsid w:val="00693F90"/>
    <w:rsid w:val="00694348"/>
    <w:rsid w:val="006947CA"/>
    <w:rsid w:val="00694DB5"/>
    <w:rsid w:val="00694FB2"/>
    <w:rsid w:val="0069560C"/>
    <w:rsid w:val="0069772D"/>
    <w:rsid w:val="006978FF"/>
    <w:rsid w:val="00697B1F"/>
    <w:rsid w:val="006A004A"/>
    <w:rsid w:val="006A0150"/>
    <w:rsid w:val="006A02F4"/>
    <w:rsid w:val="006A048D"/>
    <w:rsid w:val="006A04D4"/>
    <w:rsid w:val="006A09AB"/>
    <w:rsid w:val="006A0ADD"/>
    <w:rsid w:val="006A0C42"/>
    <w:rsid w:val="006A0FE7"/>
    <w:rsid w:val="006A1283"/>
    <w:rsid w:val="006A128C"/>
    <w:rsid w:val="006A1569"/>
    <w:rsid w:val="006A1757"/>
    <w:rsid w:val="006A18E3"/>
    <w:rsid w:val="006A1985"/>
    <w:rsid w:val="006A1A10"/>
    <w:rsid w:val="006A1CF3"/>
    <w:rsid w:val="006A2269"/>
    <w:rsid w:val="006A245D"/>
    <w:rsid w:val="006A2A67"/>
    <w:rsid w:val="006A2C7F"/>
    <w:rsid w:val="006A36EB"/>
    <w:rsid w:val="006A37F1"/>
    <w:rsid w:val="006A3BD3"/>
    <w:rsid w:val="006A3EFB"/>
    <w:rsid w:val="006A4469"/>
    <w:rsid w:val="006A4678"/>
    <w:rsid w:val="006A5701"/>
    <w:rsid w:val="006A5903"/>
    <w:rsid w:val="006A6553"/>
    <w:rsid w:val="006A6AC8"/>
    <w:rsid w:val="006A6E7D"/>
    <w:rsid w:val="006A7A36"/>
    <w:rsid w:val="006A7A6E"/>
    <w:rsid w:val="006A7B52"/>
    <w:rsid w:val="006B02B2"/>
    <w:rsid w:val="006B09DB"/>
    <w:rsid w:val="006B0B56"/>
    <w:rsid w:val="006B0E38"/>
    <w:rsid w:val="006B1006"/>
    <w:rsid w:val="006B1098"/>
    <w:rsid w:val="006B130A"/>
    <w:rsid w:val="006B14C6"/>
    <w:rsid w:val="006B16BD"/>
    <w:rsid w:val="006B18F4"/>
    <w:rsid w:val="006B18FB"/>
    <w:rsid w:val="006B1E32"/>
    <w:rsid w:val="006B20B6"/>
    <w:rsid w:val="006B218C"/>
    <w:rsid w:val="006B3EB1"/>
    <w:rsid w:val="006B3EE2"/>
    <w:rsid w:val="006B4023"/>
    <w:rsid w:val="006B4224"/>
    <w:rsid w:val="006B4691"/>
    <w:rsid w:val="006B46B9"/>
    <w:rsid w:val="006B4994"/>
    <w:rsid w:val="006B49DB"/>
    <w:rsid w:val="006B4DEB"/>
    <w:rsid w:val="006B52C4"/>
    <w:rsid w:val="006B5325"/>
    <w:rsid w:val="006B54EA"/>
    <w:rsid w:val="006B582E"/>
    <w:rsid w:val="006B5F56"/>
    <w:rsid w:val="006B6028"/>
    <w:rsid w:val="006B65C0"/>
    <w:rsid w:val="006B692E"/>
    <w:rsid w:val="006B6C44"/>
    <w:rsid w:val="006B6F93"/>
    <w:rsid w:val="006C0446"/>
    <w:rsid w:val="006C1451"/>
    <w:rsid w:val="006C1802"/>
    <w:rsid w:val="006C22B4"/>
    <w:rsid w:val="006C23E9"/>
    <w:rsid w:val="006C2604"/>
    <w:rsid w:val="006C2770"/>
    <w:rsid w:val="006C296D"/>
    <w:rsid w:val="006C2A72"/>
    <w:rsid w:val="006C3C16"/>
    <w:rsid w:val="006C3C69"/>
    <w:rsid w:val="006C3C84"/>
    <w:rsid w:val="006C47EC"/>
    <w:rsid w:val="006C4C55"/>
    <w:rsid w:val="006C4CF6"/>
    <w:rsid w:val="006C50FD"/>
    <w:rsid w:val="006C54B6"/>
    <w:rsid w:val="006C5B06"/>
    <w:rsid w:val="006C62D3"/>
    <w:rsid w:val="006C6431"/>
    <w:rsid w:val="006C691F"/>
    <w:rsid w:val="006C698D"/>
    <w:rsid w:val="006C739D"/>
    <w:rsid w:val="006C7526"/>
    <w:rsid w:val="006C75B2"/>
    <w:rsid w:val="006C761E"/>
    <w:rsid w:val="006C76B6"/>
    <w:rsid w:val="006C7E8A"/>
    <w:rsid w:val="006D050F"/>
    <w:rsid w:val="006D0AB8"/>
    <w:rsid w:val="006D0F53"/>
    <w:rsid w:val="006D1348"/>
    <w:rsid w:val="006D153D"/>
    <w:rsid w:val="006D18B5"/>
    <w:rsid w:val="006D2264"/>
    <w:rsid w:val="006D24FB"/>
    <w:rsid w:val="006D277E"/>
    <w:rsid w:val="006D27C5"/>
    <w:rsid w:val="006D2DEC"/>
    <w:rsid w:val="006D2F90"/>
    <w:rsid w:val="006D2FB5"/>
    <w:rsid w:val="006D3F4C"/>
    <w:rsid w:val="006D401A"/>
    <w:rsid w:val="006D41A4"/>
    <w:rsid w:val="006D4D90"/>
    <w:rsid w:val="006D533C"/>
    <w:rsid w:val="006D59E9"/>
    <w:rsid w:val="006D5C56"/>
    <w:rsid w:val="006D6C5F"/>
    <w:rsid w:val="006D6F2B"/>
    <w:rsid w:val="006D7B60"/>
    <w:rsid w:val="006D7E2C"/>
    <w:rsid w:val="006E0671"/>
    <w:rsid w:val="006E0F96"/>
    <w:rsid w:val="006E146C"/>
    <w:rsid w:val="006E163A"/>
    <w:rsid w:val="006E1C90"/>
    <w:rsid w:val="006E21F2"/>
    <w:rsid w:val="006E2D53"/>
    <w:rsid w:val="006E2D6F"/>
    <w:rsid w:val="006E2EED"/>
    <w:rsid w:val="006E3701"/>
    <w:rsid w:val="006E3BA3"/>
    <w:rsid w:val="006E3F40"/>
    <w:rsid w:val="006E50BA"/>
    <w:rsid w:val="006E533A"/>
    <w:rsid w:val="006E54A4"/>
    <w:rsid w:val="006E5548"/>
    <w:rsid w:val="006E5B3F"/>
    <w:rsid w:val="006E5C2A"/>
    <w:rsid w:val="006E5DD5"/>
    <w:rsid w:val="006E62CF"/>
    <w:rsid w:val="006E645B"/>
    <w:rsid w:val="006E6478"/>
    <w:rsid w:val="006E6958"/>
    <w:rsid w:val="006E6BA1"/>
    <w:rsid w:val="006E6E7B"/>
    <w:rsid w:val="006E71A8"/>
    <w:rsid w:val="006E7322"/>
    <w:rsid w:val="006E744D"/>
    <w:rsid w:val="006E7BB8"/>
    <w:rsid w:val="006E7BBD"/>
    <w:rsid w:val="006E7D5B"/>
    <w:rsid w:val="006F0530"/>
    <w:rsid w:val="006F0895"/>
    <w:rsid w:val="006F08FF"/>
    <w:rsid w:val="006F0E1E"/>
    <w:rsid w:val="006F13CF"/>
    <w:rsid w:val="006F16BA"/>
    <w:rsid w:val="006F17D1"/>
    <w:rsid w:val="006F188F"/>
    <w:rsid w:val="006F1B0A"/>
    <w:rsid w:val="006F1CA0"/>
    <w:rsid w:val="006F219D"/>
    <w:rsid w:val="006F23DA"/>
    <w:rsid w:val="006F2C7C"/>
    <w:rsid w:val="006F3490"/>
    <w:rsid w:val="006F3796"/>
    <w:rsid w:val="006F3C31"/>
    <w:rsid w:val="006F51FF"/>
    <w:rsid w:val="006F54F0"/>
    <w:rsid w:val="006F572D"/>
    <w:rsid w:val="006F594B"/>
    <w:rsid w:val="006F5976"/>
    <w:rsid w:val="006F5F3B"/>
    <w:rsid w:val="006F615D"/>
    <w:rsid w:val="006F6167"/>
    <w:rsid w:val="006F6F7C"/>
    <w:rsid w:val="006F712B"/>
    <w:rsid w:val="006F7272"/>
    <w:rsid w:val="006F72B2"/>
    <w:rsid w:val="006F7E2B"/>
    <w:rsid w:val="00700378"/>
    <w:rsid w:val="007003BA"/>
    <w:rsid w:val="00700463"/>
    <w:rsid w:val="0070051C"/>
    <w:rsid w:val="007007AF"/>
    <w:rsid w:val="007008F0"/>
    <w:rsid w:val="00700A59"/>
    <w:rsid w:val="00700C4B"/>
    <w:rsid w:val="00701188"/>
    <w:rsid w:val="00701330"/>
    <w:rsid w:val="007018D6"/>
    <w:rsid w:val="00701BE4"/>
    <w:rsid w:val="00701CF7"/>
    <w:rsid w:val="00702449"/>
    <w:rsid w:val="00702D1B"/>
    <w:rsid w:val="00702F05"/>
    <w:rsid w:val="00703809"/>
    <w:rsid w:val="0070388B"/>
    <w:rsid w:val="00704123"/>
    <w:rsid w:val="00704674"/>
    <w:rsid w:val="00704940"/>
    <w:rsid w:val="00704DEC"/>
    <w:rsid w:val="00705025"/>
    <w:rsid w:val="00705730"/>
    <w:rsid w:val="00705792"/>
    <w:rsid w:val="00705A78"/>
    <w:rsid w:val="00705F2F"/>
    <w:rsid w:val="00706613"/>
    <w:rsid w:val="007066D7"/>
    <w:rsid w:val="00706A97"/>
    <w:rsid w:val="00706D46"/>
    <w:rsid w:val="00706DEF"/>
    <w:rsid w:val="0070712B"/>
    <w:rsid w:val="007071BC"/>
    <w:rsid w:val="0070723F"/>
    <w:rsid w:val="00707515"/>
    <w:rsid w:val="00707B80"/>
    <w:rsid w:val="00707E7A"/>
    <w:rsid w:val="00707E92"/>
    <w:rsid w:val="00710705"/>
    <w:rsid w:val="007107DC"/>
    <w:rsid w:val="00710F06"/>
    <w:rsid w:val="007110A6"/>
    <w:rsid w:val="0071169E"/>
    <w:rsid w:val="00711BE1"/>
    <w:rsid w:val="00712472"/>
    <w:rsid w:val="00713D65"/>
    <w:rsid w:val="00714002"/>
    <w:rsid w:val="007140BB"/>
    <w:rsid w:val="007144A5"/>
    <w:rsid w:val="007144DB"/>
    <w:rsid w:val="00714FBD"/>
    <w:rsid w:val="007152FF"/>
    <w:rsid w:val="0071556E"/>
    <w:rsid w:val="007158B4"/>
    <w:rsid w:val="00715D0F"/>
    <w:rsid w:val="007163BA"/>
    <w:rsid w:val="007165FC"/>
    <w:rsid w:val="007167DE"/>
    <w:rsid w:val="00716808"/>
    <w:rsid w:val="00716C46"/>
    <w:rsid w:val="00716F13"/>
    <w:rsid w:val="00717115"/>
    <w:rsid w:val="007208C8"/>
    <w:rsid w:val="00721D5D"/>
    <w:rsid w:val="007221DB"/>
    <w:rsid w:val="00722497"/>
    <w:rsid w:val="00722DFF"/>
    <w:rsid w:val="007230B7"/>
    <w:rsid w:val="0072330C"/>
    <w:rsid w:val="0072350F"/>
    <w:rsid w:val="00723777"/>
    <w:rsid w:val="007239C1"/>
    <w:rsid w:val="00723E98"/>
    <w:rsid w:val="00724FB1"/>
    <w:rsid w:val="007254AC"/>
    <w:rsid w:val="00725B39"/>
    <w:rsid w:val="00725B3A"/>
    <w:rsid w:val="00725FB4"/>
    <w:rsid w:val="00726612"/>
    <w:rsid w:val="00726CCB"/>
    <w:rsid w:val="00726F46"/>
    <w:rsid w:val="00727385"/>
    <w:rsid w:val="00727551"/>
    <w:rsid w:val="00727A17"/>
    <w:rsid w:val="00727F30"/>
    <w:rsid w:val="00727F71"/>
    <w:rsid w:val="00730686"/>
    <w:rsid w:val="007308F9"/>
    <w:rsid w:val="00730D4E"/>
    <w:rsid w:val="00730F45"/>
    <w:rsid w:val="00731436"/>
    <w:rsid w:val="0073190E"/>
    <w:rsid w:val="0073196D"/>
    <w:rsid w:val="00731AEF"/>
    <w:rsid w:val="00731D98"/>
    <w:rsid w:val="00732006"/>
    <w:rsid w:val="00732D5D"/>
    <w:rsid w:val="00732EE2"/>
    <w:rsid w:val="00733630"/>
    <w:rsid w:val="00733941"/>
    <w:rsid w:val="00734301"/>
    <w:rsid w:val="007344F5"/>
    <w:rsid w:val="007348E3"/>
    <w:rsid w:val="00734A86"/>
    <w:rsid w:val="00734B4E"/>
    <w:rsid w:val="00734C35"/>
    <w:rsid w:val="0073533C"/>
    <w:rsid w:val="00735712"/>
    <w:rsid w:val="0073655F"/>
    <w:rsid w:val="00736B31"/>
    <w:rsid w:val="00736D89"/>
    <w:rsid w:val="00736D8E"/>
    <w:rsid w:val="00736E60"/>
    <w:rsid w:val="007375AB"/>
    <w:rsid w:val="00737BE8"/>
    <w:rsid w:val="00737C91"/>
    <w:rsid w:val="00740A54"/>
    <w:rsid w:val="00740AF3"/>
    <w:rsid w:val="00740BF2"/>
    <w:rsid w:val="00741527"/>
    <w:rsid w:val="00741C5E"/>
    <w:rsid w:val="00742036"/>
    <w:rsid w:val="0074210F"/>
    <w:rsid w:val="00742923"/>
    <w:rsid w:val="00742BA8"/>
    <w:rsid w:val="00742E84"/>
    <w:rsid w:val="0074337B"/>
    <w:rsid w:val="007433D9"/>
    <w:rsid w:val="00743BCA"/>
    <w:rsid w:val="00744E56"/>
    <w:rsid w:val="007458AD"/>
    <w:rsid w:val="00745B47"/>
    <w:rsid w:val="00745EDA"/>
    <w:rsid w:val="007462B0"/>
    <w:rsid w:val="007468F8"/>
    <w:rsid w:val="00746E8B"/>
    <w:rsid w:val="0074745C"/>
    <w:rsid w:val="007475AB"/>
    <w:rsid w:val="00747608"/>
    <w:rsid w:val="007504FF"/>
    <w:rsid w:val="00750B97"/>
    <w:rsid w:val="00750BFA"/>
    <w:rsid w:val="00751426"/>
    <w:rsid w:val="007517E6"/>
    <w:rsid w:val="00751989"/>
    <w:rsid w:val="00751AD9"/>
    <w:rsid w:val="00752E63"/>
    <w:rsid w:val="00753483"/>
    <w:rsid w:val="00753E5E"/>
    <w:rsid w:val="0075427D"/>
    <w:rsid w:val="007543D1"/>
    <w:rsid w:val="0075493E"/>
    <w:rsid w:val="007550C3"/>
    <w:rsid w:val="00755682"/>
    <w:rsid w:val="0075596E"/>
    <w:rsid w:val="00755B5A"/>
    <w:rsid w:val="00755C11"/>
    <w:rsid w:val="00756205"/>
    <w:rsid w:val="00756276"/>
    <w:rsid w:val="00756358"/>
    <w:rsid w:val="00756707"/>
    <w:rsid w:val="00757120"/>
    <w:rsid w:val="00757470"/>
    <w:rsid w:val="00757613"/>
    <w:rsid w:val="007577D3"/>
    <w:rsid w:val="0075781A"/>
    <w:rsid w:val="00760343"/>
    <w:rsid w:val="00760EEB"/>
    <w:rsid w:val="00761088"/>
    <w:rsid w:val="0076152E"/>
    <w:rsid w:val="007622B5"/>
    <w:rsid w:val="00762346"/>
    <w:rsid w:val="0076245F"/>
    <w:rsid w:val="00762B20"/>
    <w:rsid w:val="00762D8A"/>
    <w:rsid w:val="007632BA"/>
    <w:rsid w:val="00763999"/>
    <w:rsid w:val="00764182"/>
    <w:rsid w:val="007644EC"/>
    <w:rsid w:val="007648CA"/>
    <w:rsid w:val="00764988"/>
    <w:rsid w:val="00764CF8"/>
    <w:rsid w:val="00764D05"/>
    <w:rsid w:val="007651E2"/>
    <w:rsid w:val="00765A87"/>
    <w:rsid w:val="00766A63"/>
    <w:rsid w:val="00766BAF"/>
    <w:rsid w:val="00767164"/>
    <w:rsid w:val="0076747B"/>
    <w:rsid w:val="0076756A"/>
    <w:rsid w:val="007676AD"/>
    <w:rsid w:val="0076788C"/>
    <w:rsid w:val="0077002C"/>
    <w:rsid w:val="00770422"/>
    <w:rsid w:val="007708DC"/>
    <w:rsid w:val="007709E2"/>
    <w:rsid w:val="007713F3"/>
    <w:rsid w:val="00771BE1"/>
    <w:rsid w:val="0077228D"/>
    <w:rsid w:val="00772B30"/>
    <w:rsid w:val="00773399"/>
    <w:rsid w:val="007733C8"/>
    <w:rsid w:val="0077374A"/>
    <w:rsid w:val="00773D68"/>
    <w:rsid w:val="00774053"/>
    <w:rsid w:val="00774AF1"/>
    <w:rsid w:val="00774D74"/>
    <w:rsid w:val="00775546"/>
    <w:rsid w:val="0077597C"/>
    <w:rsid w:val="00776055"/>
    <w:rsid w:val="007761D9"/>
    <w:rsid w:val="00776628"/>
    <w:rsid w:val="00776A55"/>
    <w:rsid w:val="00776C1C"/>
    <w:rsid w:val="00776E06"/>
    <w:rsid w:val="0077724B"/>
    <w:rsid w:val="00777516"/>
    <w:rsid w:val="00777AC3"/>
    <w:rsid w:val="00780D54"/>
    <w:rsid w:val="00780D75"/>
    <w:rsid w:val="00781930"/>
    <w:rsid w:val="00781DA3"/>
    <w:rsid w:val="00781DAD"/>
    <w:rsid w:val="00782330"/>
    <w:rsid w:val="00782C88"/>
    <w:rsid w:val="00782EBC"/>
    <w:rsid w:val="00782EF7"/>
    <w:rsid w:val="00783290"/>
    <w:rsid w:val="007832CD"/>
    <w:rsid w:val="0078347A"/>
    <w:rsid w:val="0078357B"/>
    <w:rsid w:val="007835E9"/>
    <w:rsid w:val="00783968"/>
    <w:rsid w:val="007839D4"/>
    <w:rsid w:val="00783BEB"/>
    <w:rsid w:val="00784003"/>
    <w:rsid w:val="00784099"/>
    <w:rsid w:val="00784C65"/>
    <w:rsid w:val="00785494"/>
    <w:rsid w:val="00785535"/>
    <w:rsid w:val="0078557F"/>
    <w:rsid w:val="00785D97"/>
    <w:rsid w:val="00785F91"/>
    <w:rsid w:val="007860D6"/>
    <w:rsid w:val="00786693"/>
    <w:rsid w:val="007866E7"/>
    <w:rsid w:val="00787264"/>
    <w:rsid w:val="007875A4"/>
    <w:rsid w:val="007878EE"/>
    <w:rsid w:val="00787BA6"/>
    <w:rsid w:val="0079004B"/>
    <w:rsid w:val="007900F1"/>
    <w:rsid w:val="007901F4"/>
    <w:rsid w:val="00790321"/>
    <w:rsid w:val="0079068C"/>
    <w:rsid w:val="00790844"/>
    <w:rsid w:val="00790DE1"/>
    <w:rsid w:val="00790EDB"/>
    <w:rsid w:val="0079119E"/>
    <w:rsid w:val="00791562"/>
    <w:rsid w:val="00791647"/>
    <w:rsid w:val="00791986"/>
    <w:rsid w:val="00791A21"/>
    <w:rsid w:val="00791B9B"/>
    <w:rsid w:val="00791FE0"/>
    <w:rsid w:val="00792AB0"/>
    <w:rsid w:val="00792C37"/>
    <w:rsid w:val="00792DEE"/>
    <w:rsid w:val="00793004"/>
    <w:rsid w:val="007930C5"/>
    <w:rsid w:val="0079367C"/>
    <w:rsid w:val="007936AF"/>
    <w:rsid w:val="00793B74"/>
    <w:rsid w:val="00793E66"/>
    <w:rsid w:val="0079400C"/>
    <w:rsid w:val="0079421F"/>
    <w:rsid w:val="00794C66"/>
    <w:rsid w:val="00794E42"/>
    <w:rsid w:val="00794EA8"/>
    <w:rsid w:val="0079526C"/>
    <w:rsid w:val="00795CDE"/>
    <w:rsid w:val="00795DCD"/>
    <w:rsid w:val="0079606B"/>
    <w:rsid w:val="0079665C"/>
    <w:rsid w:val="007969E1"/>
    <w:rsid w:val="00796BE8"/>
    <w:rsid w:val="007972BB"/>
    <w:rsid w:val="0079737A"/>
    <w:rsid w:val="00797812"/>
    <w:rsid w:val="00797A67"/>
    <w:rsid w:val="007A0311"/>
    <w:rsid w:val="007A057D"/>
    <w:rsid w:val="007A0DB1"/>
    <w:rsid w:val="007A1164"/>
    <w:rsid w:val="007A1A7D"/>
    <w:rsid w:val="007A1A98"/>
    <w:rsid w:val="007A1CC8"/>
    <w:rsid w:val="007A1D4D"/>
    <w:rsid w:val="007A2025"/>
    <w:rsid w:val="007A2419"/>
    <w:rsid w:val="007A277A"/>
    <w:rsid w:val="007A2B71"/>
    <w:rsid w:val="007A2CE7"/>
    <w:rsid w:val="007A315A"/>
    <w:rsid w:val="007A3539"/>
    <w:rsid w:val="007A4897"/>
    <w:rsid w:val="007A5E2B"/>
    <w:rsid w:val="007A60A4"/>
    <w:rsid w:val="007A62E1"/>
    <w:rsid w:val="007A6BC0"/>
    <w:rsid w:val="007A6D9F"/>
    <w:rsid w:val="007A6DC6"/>
    <w:rsid w:val="007A7057"/>
    <w:rsid w:val="007A73EB"/>
    <w:rsid w:val="007A756E"/>
    <w:rsid w:val="007A77E0"/>
    <w:rsid w:val="007A78AE"/>
    <w:rsid w:val="007A7EFB"/>
    <w:rsid w:val="007B05CF"/>
    <w:rsid w:val="007B0A74"/>
    <w:rsid w:val="007B10A4"/>
    <w:rsid w:val="007B2169"/>
    <w:rsid w:val="007B23E6"/>
    <w:rsid w:val="007B2820"/>
    <w:rsid w:val="007B283E"/>
    <w:rsid w:val="007B38E1"/>
    <w:rsid w:val="007B39C9"/>
    <w:rsid w:val="007B3BD6"/>
    <w:rsid w:val="007B40C8"/>
    <w:rsid w:val="007B41DA"/>
    <w:rsid w:val="007B46F8"/>
    <w:rsid w:val="007B4A02"/>
    <w:rsid w:val="007B4C8F"/>
    <w:rsid w:val="007B4F90"/>
    <w:rsid w:val="007B524B"/>
    <w:rsid w:val="007B5263"/>
    <w:rsid w:val="007B5665"/>
    <w:rsid w:val="007B5666"/>
    <w:rsid w:val="007B56E6"/>
    <w:rsid w:val="007B5A6E"/>
    <w:rsid w:val="007B5B52"/>
    <w:rsid w:val="007B5D0B"/>
    <w:rsid w:val="007B5E50"/>
    <w:rsid w:val="007B5EF8"/>
    <w:rsid w:val="007B6277"/>
    <w:rsid w:val="007B62D3"/>
    <w:rsid w:val="007B6B7B"/>
    <w:rsid w:val="007B7736"/>
    <w:rsid w:val="007B7E6C"/>
    <w:rsid w:val="007B7E83"/>
    <w:rsid w:val="007C05DC"/>
    <w:rsid w:val="007C0858"/>
    <w:rsid w:val="007C0A38"/>
    <w:rsid w:val="007C171D"/>
    <w:rsid w:val="007C1A74"/>
    <w:rsid w:val="007C1B43"/>
    <w:rsid w:val="007C20B9"/>
    <w:rsid w:val="007C23C6"/>
    <w:rsid w:val="007C279B"/>
    <w:rsid w:val="007C280F"/>
    <w:rsid w:val="007C2F4C"/>
    <w:rsid w:val="007C314B"/>
    <w:rsid w:val="007C368C"/>
    <w:rsid w:val="007C38F5"/>
    <w:rsid w:val="007C3A00"/>
    <w:rsid w:val="007C3BF5"/>
    <w:rsid w:val="007C5461"/>
    <w:rsid w:val="007C57A9"/>
    <w:rsid w:val="007C5DD3"/>
    <w:rsid w:val="007C618F"/>
    <w:rsid w:val="007C6D52"/>
    <w:rsid w:val="007C703F"/>
    <w:rsid w:val="007D01FB"/>
    <w:rsid w:val="007D0A36"/>
    <w:rsid w:val="007D13DA"/>
    <w:rsid w:val="007D1990"/>
    <w:rsid w:val="007D1BA7"/>
    <w:rsid w:val="007D2274"/>
    <w:rsid w:val="007D24DC"/>
    <w:rsid w:val="007D27A4"/>
    <w:rsid w:val="007D2A80"/>
    <w:rsid w:val="007D2D9F"/>
    <w:rsid w:val="007D36CF"/>
    <w:rsid w:val="007D3882"/>
    <w:rsid w:val="007D3CBC"/>
    <w:rsid w:val="007D3FFA"/>
    <w:rsid w:val="007D44D2"/>
    <w:rsid w:val="007D455A"/>
    <w:rsid w:val="007D5444"/>
    <w:rsid w:val="007D61AF"/>
    <w:rsid w:val="007D6262"/>
    <w:rsid w:val="007D630C"/>
    <w:rsid w:val="007D6B27"/>
    <w:rsid w:val="007D756C"/>
    <w:rsid w:val="007D7AEA"/>
    <w:rsid w:val="007D7FFE"/>
    <w:rsid w:val="007E0010"/>
    <w:rsid w:val="007E051C"/>
    <w:rsid w:val="007E0573"/>
    <w:rsid w:val="007E0ACB"/>
    <w:rsid w:val="007E0DDE"/>
    <w:rsid w:val="007E131F"/>
    <w:rsid w:val="007E1499"/>
    <w:rsid w:val="007E179A"/>
    <w:rsid w:val="007E18B2"/>
    <w:rsid w:val="007E227F"/>
    <w:rsid w:val="007E28C7"/>
    <w:rsid w:val="007E2E1A"/>
    <w:rsid w:val="007E33C5"/>
    <w:rsid w:val="007E409E"/>
    <w:rsid w:val="007E4A0F"/>
    <w:rsid w:val="007E4FA6"/>
    <w:rsid w:val="007E52D2"/>
    <w:rsid w:val="007E57C7"/>
    <w:rsid w:val="007E5823"/>
    <w:rsid w:val="007E5A9C"/>
    <w:rsid w:val="007E60BB"/>
    <w:rsid w:val="007E6667"/>
    <w:rsid w:val="007E66CB"/>
    <w:rsid w:val="007E6944"/>
    <w:rsid w:val="007E6AB5"/>
    <w:rsid w:val="007E6C06"/>
    <w:rsid w:val="007E704F"/>
    <w:rsid w:val="007E75E6"/>
    <w:rsid w:val="007E7E71"/>
    <w:rsid w:val="007F006E"/>
    <w:rsid w:val="007F07AA"/>
    <w:rsid w:val="007F089B"/>
    <w:rsid w:val="007F0C31"/>
    <w:rsid w:val="007F145C"/>
    <w:rsid w:val="007F1744"/>
    <w:rsid w:val="007F22DD"/>
    <w:rsid w:val="007F2ED9"/>
    <w:rsid w:val="007F30D7"/>
    <w:rsid w:val="007F32E7"/>
    <w:rsid w:val="007F34DE"/>
    <w:rsid w:val="007F400B"/>
    <w:rsid w:val="007F47D8"/>
    <w:rsid w:val="007F5224"/>
    <w:rsid w:val="007F60D3"/>
    <w:rsid w:val="007F6508"/>
    <w:rsid w:val="007F6511"/>
    <w:rsid w:val="007F69BC"/>
    <w:rsid w:val="007F7265"/>
    <w:rsid w:val="007F7EBA"/>
    <w:rsid w:val="00800366"/>
    <w:rsid w:val="00800897"/>
    <w:rsid w:val="00800A17"/>
    <w:rsid w:val="00800B4D"/>
    <w:rsid w:val="0080124F"/>
    <w:rsid w:val="00801D89"/>
    <w:rsid w:val="0080205A"/>
    <w:rsid w:val="0080226A"/>
    <w:rsid w:val="008028A3"/>
    <w:rsid w:val="008028E8"/>
    <w:rsid w:val="00803788"/>
    <w:rsid w:val="00803DAD"/>
    <w:rsid w:val="00803DBE"/>
    <w:rsid w:val="00803F7C"/>
    <w:rsid w:val="008046CE"/>
    <w:rsid w:val="00804B37"/>
    <w:rsid w:val="00804C52"/>
    <w:rsid w:val="00804D1A"/>
    <w:rsid w:val="00805884"/>
    <w:rsid w:val="00805895"/>
    <w:rsid w:val="00805961"/>
    <w:rsid w:val="00805EAA"/>
    <w:rsid w:val="00806021"/>
    <w:rsid w:val="00806186"/>
    <w:rsid w:val="008062B4"/>
    <w:rsid w:val="008063AD"/>
    <w:rsid w:val="0080640C"/>
    <w:rsid w:val="0080679C"/>
    <w:rsid w:val="00806977"/>
    <w:rsid w:val="00806B60"/>
    <w:rsid w:val="00806C77"/>
    <w:rsid w:val="0080721E"/>
    <w:rsid w:val="008078C9"/>
    <w:rsid w:val="00807FBE"/>
    <w:rsid w:val="00810332"/>
    <w:rsid w:val="008103FD"/>
    <w:rsid w:val="00810957"/>
    <w:rsid w:val="00810A4A"/>
    <w:rsid w:val="00810D8B"/>
    <w:rsid w:val="00810DB0"/>
    <w:rsid w:val="008114B2"/>
    <w:rsid w:val="0081170E"/>
    <w:rsid w:val="00812448"/>
    <w:rsid w:val="008133C0"/>
    <w:rsid w:val="008133C2"/>
    <w:rsid w:val="0081363E"/>
    <w:rsid w:val="0081392D"/>
    <w:rsid w:val="00813FEA"/>
    <w:rsid w:val="008141EE"/>
    <w:rsid w:val="008142B0"/>
    <w:rsid w:val="00814513"/>
    <w:rsid w:val="008146B1"/>
    <w:rsid w:val="00814863"/>
    <w:rsid w:val="00814AE2"/>
    <w:rsid w:val="00814BC8"/>
    <w:rsid w:val="00814C3F"/>
    <w:rsid w:val="00815012"/>
    <w:rsid w:val="00815077"/>
    <w:rsid w:val="00815974"/>
    <w:rsid w:val="008166B1"/>
    <w:rsid w:val="008168DF"/>
    <w:rsid w:val="00816C31"/>
    <w:rsid w:val="00817359"/>
    <w:rsid w:val="00817609"/>
    <w:rsid w:val="008176DA"/>
    <w:rsid w:val="008179A0"/>
    <w:rsid w:val="00817D75"/>
    <w:rsid w:val="0082127F"/>
    <w:rsid w:val="00821754"/>
    <w:rsid w:val="00821C06"/>
    <w:rsid w:val="00821CD5"/>
    <w:rsid w:val="008220AF"/>
    <w:rsid w:val="008229AB"/>
    <w:rsid w:val="00822B1B"/>
    <w:rsid w:val="00823076"/>
    <w:rsid w:val="00823217"/>
    <w:rsid w:val="008241CF"/>
    <w:rsid w:val="00824576"/>
    <w:rsid w:val="0082458C"/>
    <w:rsid w:val="00824654"/>
    <w:rsid w:val="00824986"/>
    <w:rsid w:val="00824A52"/>
    <w:rsid w:val="00824BFF"/>
    <w:rsid w:val="00824E27"/>
    <w:rsid w:val="00825135"/>
    <w:rsid w:val="00825C4A"/>
    <w:rsid w:val="008268D9"/>
    <w:rsid w:val="008268EF"/>
    <w:rsid w:val="00826A37"/>
    <w:rsid w:val="00827228"/>
    <w:rsid w:val="008273D0"/>
    <w:rsid w:val="00827466"/>
    <w:rsid w:val="008275F5"/>
    <w:rsid w:val="0082779B"/>
    <w:rsid w:val="0082781C"/>
    <w:rsid w:val="008279DA"/>
    <w:rsid w:val="00827E5D"/>
    <w:rsid w:val="00827E9E"/>
    <w:rsid w:val="00827FEF"/>
    <w:rsid w:val="008302D7"/>
    <w:rsid w:val="0083051F"/>
    <w:rsid w:val="00830F8D"/>
    <w:rsid w:val="0083127F"/>
    <w:rsid w:val="008316B7"/>
    <w:rsid w:val="00831906"/>
    <w:rsid w:val="00831983"/>
    <w:rsid w:val="00832398"/>
    <w:rsid w:val="008324A4"/>
    <w:rsid w:val="00832545"/>
    <w:rsid w:val="008327AC"/>
    <w:rsid w:val="008328DC"/>
    <w:rsid w:val="008328F2"/>
    <w:rsid w:val="00832A6F"/>
    <w:rsid w:val="00832FA5"/>
    <w:rsid w:val="008332F3"/>
    <w:rsid w:val="00833620"/>
    <w:rsid w:val="00833677"/>
    <w:rsid w:val="00833F03"/>
    <w:rsid w:val="00833FED"/>
    <w:rsid w:val="00834460"/>
    <w:rsid w:val="008345B9"/>
    <w:rsid w:val="00834E41"/>
    <w:rsid w:val="00834E42"/>
    <w:rsid w:val="00834E97"/>
    <w:rsid w:val="008357CE"/>
    <w:rsid w:val="00835D20"/>
    <w:rsid w:val="00835DE2"/>
    <w:rsid w:val="00836002"/>
    <w:rsid w:val="008362DA"/>
    <w:rsid w:val="008364C5"/>
    <w:rsid w:val="008367D3"/>
    <w:rsid w:val="00836890"/>
    <w:rsid w:val="008375E6"/>
    <w:rsid w:val="0083791A"/>
    <w:rsid w:val="00837F97"/>
    <w:rsid w:val="00840547"/>
    <w:rsid w:val="00840811"/>
    <w:rsid w:val="0084138C"/>
    <w:rsid w:val="00841D2D"/>
    <w:rsid w:val="00841FC8"/>
    <w:rsid w:val="008420C2"/>
    <w:rsid w:val="008420CB"/>
    <w:rsid w:val="008422E2"/>
    <w:rsid w:val="00842543"/>
    <w:rsid w:val="00842865"/>
    <w:rsid w:val="00842CCE"/>
    <w:rsid w:val="00843213"/>
    <w:rsid w:val="008435BE"/>
    <w:rsid w:val="00843705"/>
    <w:rsid w:val="0084373B"/>
    <w:rsid w:val="00843C8E"/>
    <w:rsid w:val="00843D83"/>
    <w:rsid w:val="00843F24"/>
    <w:rsid w:val="0084498C"/>
    <w:rsid w:val="00844D46"/>
    <w:rsid w:val="00844E0B"/>
    <w:rsid w:val="00845027"/>
    <w:rsid w:val="008457F3"/>
    <w:rsid w:val="00845B47"/>
    <w:rsid w:val="00845B77"/>
    <w:rsid w:val="0084611D"/>
    <w:rsid w:val="00846129"/>
    <w:rsid w:val="00846C03"/>
    <w:rsid w:val="00846CE6"/>
    <w:rsid w:val="008470D9"/>
    <w:rsid w:val="00847843"/>
    <w:rsid w:val="008500E1"/>
    <w:rsid w:val="00850431"/>
    <w:rsid w:val="0085091E"/>
    <w:rsid w:val="00850AE9"/>
    <w:rsid w:val="0085138A"/>
    <w:rsid w:val="00851DC2"/>
    <w:rsid w:val="0085216B"/>
    <w:rsid w:val="00852200"/>
    <w:rsid w:val="00852AA1"/>
    <w:rsid w:val="00853539"/>
    <w:rsid w:val="00853739"/>
    <w:rsid w:val="00853FF5"/>
    <w:rsid w:val="00854572"/>
    <w:rsid w:val="0085486A"/>
    <w:rsid w:val="00854AD6"/>
    <w:rsid w:val="00854AEA"/>
    <w:rsid w:val="00854B4B"/>
    <w:rsid w:val="0085592D"/>
    <w:rsid w:val="00855DE1"/>
    <w:rsid w:val="0085726A"/>
    <w:rsid w:val="0085735E"/>
    <w:rsid w:val="00857B86"/>
    <w:rsid w:val="00857B95"/>
    <w:rsid w:val="00857F8F"/>
    <w:rsid w:val="0086024A"/>
    <w:rsid w:val="0086025B"/>
    <w:rsid w:val="00860573"/>
    <w:rsid w:val="008607FA"/>
    <w:rsid w:val="008608A6"/>
    <w:rsid w:val="0086117F"/>
    <w:rsid w:val="00861B97"/>
    <w:rsid w:val="00862BDE"/>
    <w:rsid w:val="00862E83"/>
    <w:rsid w:val="00862FEF"/>
    <w:rsid w:val="00863924"/>
    <w:rsid w:val="00863C40"/>
    <w:rsid w:val="0086444B"/>
    <w:rsid w:val="0086496C"/>
    <w:rsid w:val="00864C24"/>
    <w:rsid w:val="00864FAA"/>
    <w:rsid w:val="0086523C"/>
    <w:rsid w:val="008659C0"/>
    <w:rsid w:val="00865BD6"/>
    <w:rsid w:val="00866526"/>
    <w:rsid w:val="00866F5E"/>
    <w:rsid w:val="00866F8E"/>
    <w:rsid w:val="008670EF"/>
    <w:rsid w:val="008671FD"/>
    <w:rsid w:val="008676BC"/>
    <w:rsid w:val="00870279"/>
    <w:rsid w:val="00870DCC"/>
    <w:rsid w:val="008710B7"/>
    <w:rsid w:val="00871110"/>
    <w:rsid w:val="00871610"/>
    <w:rsid w:val="00872174"/>
    <w:rsid w:val="00872190"/>
    <w:rsid w:val="00872E0E"/>
    <w:rsid w:val="0087331D"/>
    <w:rsid w:val="008735D0"/>
    <w:rsid w:val="008735E2"/>
    <w:rsid w:val="0087378A"/>
    <w:rsid w:val="008737D6"/>
    <w:rsid w:val="00873D5B"/>
    <w:rsid w:val="00875545"/>
    <w:rsid w:val="008755EE"/>
    <w:rsid w:val="008768D8"/>
    <w:rsid w:val="00876C98"/>
    <w:rsid w:val="00877174"/>
    <w:rsid w:val="008773F7"/>
    <w:rsid w:val="00877522"/>
    <w:rsid w:val="008775AB"/>
    <w:rsid w:val="00877761"/>
    <w:rsid w:val="008779B4"/>
    <w:rsid w:val="00877C4E"/>
    <w:rsid w:val="00880070"/>
    <w:rsid w:val="0088025B"/>
    <w:rsid w:val="0088046C"/>
    <w:rsid w:val="00880601"/>
    <w:rsid w:val="008807C2"/>
    <w:rsid w:val="00880997"/>
    <w:rsid w:val="00881602"/>
    <w:rsid w:val="0088187E"/>
    <w:rsid w:val="0088191A"/>
    <w:rsid w:val="00881BCF"/>
    <w:rsid w:val="00881E88"/>
    <w:rsid w:val="00881F71"/>
    <w:rsid w:val="008825D9"/>
    <w:rsid w:val="00883C21"/>
    <w:rsid w:val="00883D84"/>
    <w:rsid w:val="008840C3"/>
    <w:rsid w:val="00884396"/>
    <w:rsid w:val="00884A69"/>
    <w:rsid w:val="0088553C"/>
    <w:rsid w:val="00885A1F"/>
    <w:rsid w:val="00885E2F"/>
    <w:rsid w:val="00885EDF"/>
    <w:rsid w:val="00886060"/>
    <w:rsid w:val="00886865"/>
    <w:rsid w:val="00886C68"/>
    <w:rsid w:val="0088706C"/>
    <w:rsid w:val="00887915"/>
    <w:rsid w:val="00887EBC"/>
    <w:rsid w:val="00887F8A"/>
    <w:rsid w:val="00887FF6"/>
    <w:rsid w:val="00890AAD"/>
    <w:rsid w:val="00890F69"/>
    <w:rsid w:val="0089152C"/>
    <w:rsid w:val="00891B32"/>
    <w:rsid w:val="00892122"/>
    <w:rsid w:val="00892EB4"/>
    <w:rsid w:val="00893B51"/>
    <w:rsid w:val="00893DB6"/>
    <w:rsid w:val="00894291"/>
    <w:rsid w:val="00894358"/>
    <w:rsid w:val="00894841"/>
    <w:rsid w:val="008950BC"/>
    <w:rsid w:val="008950FF"/>
    <w:rsid w:val="00895F44"/>
    <w:rsid w:val="00895F4A"/>
    <w:rsid w:val="008962CD"/>
    <w:rsid w:val="0089637C"/>
    <w:rsid w:val="0089692A"/>
    <w:rsid w:val="00897025"/>
    <w:rsid w:val="00897116"/>
    <w:rsid w:val="008975A1"/>
    <w:rsid w:val="00897854"/>
    <w:rsid w:val="00897EF2"/>
    <w:rsid w:val="008A0303"/>
    <w:rsid w:val="008A03BB"/>
    <w:rsid w:val="008A0484"/>
    <w:rsid w:val="008A0ED5"/>
    <w:rsid w:val="008A1DCD"/>
    <w:rsid w:val="008A1F43"/>
    <w:rsid w:val="008A249C"/>
    <w:rsid w:val="008A26B3"/>
    <w:rsid w:val="008A2D3B"/>
    <w:rsid w:val="008A30D2"/>
    <w:rsid w:val="008A33C1"/>
    <w:rsid w:val="008A33E9"/>
    <w:rsid w:val="008A348A"/>
    <w:rsid w:val="008A35A6"/>
    <w:rsid w:val="008A38E5"/>
    <w:rsid w:val="008A3A63"/>
    <w:rsid w:val="008A4989"/>
    <w:rsid w:val="008A4CFC"/>
    <w:rsid w:val="008A4EAC"/>
    <w:rsid w:val="008A51A8"/>
    <w:rsid w:val="008A5ECF"/>
    <w:rsid w:val="008A5EE7"/>
    <w:rsid w:val="008A6083"/>
    <w:rsid w:val="008A6137"/>
    <w:rsid w:val="008A621F"/>
    <w:rsid w:val="008A6454"/>
    <w:rsid w:val="008A66FE"/>
    <w:rsid w:val="008A6806"/>
    <w:rsid w:val="008A69CA"/>
    <w:rsid w:val="008A6D8C"/>
    <w:rsid w:val="008A7BC8"/>
    <w:rsid w:val="008A7D0A"/>
    <w:rsid w:val="008A7DAE"/>
    <w:rsid w:val="008B0980"/>
    <w:rsid w:val="008B158A"/>
    <w:rsid w:val="008B1DA9"/>
    <w:rsid w:val="008B25C1"/>
    <w:rsid w:val="008B29F1"/>
    <w:rsid w:val="008B2B69"/>
    <w:rsid w:val="008B2CCE"/>
    <w:rsid w:val="008B2DBC"/>
    <w:rsid w:val="008B2F67"/>
    <w:rsid w:val="008B2FB6"/>
    <w:rsid w:val="008B36FC"/>
    <w:rsid w:val="008B384C"/>
    <w:rsid w:val="008B403D"/>
    <w:rsid w:val="008B42DF"/>
    <w:rsid w:val="008B49F4"/>
    <w:rsid w:val="008B4FC5"/>
    <w:rsid w:val="008B587F"/>
    <w:rsid w:val="008B58C5"/>
    <w:rsid w:val="008B5FBB"/>
    <w:rsid w:val="008B60A4"/>
    <w:rsid w:val="008B6387"/>
    <w:rsid w:val="008B6BF1"/>
    <w:rsid w:val="008B73ED"/>
    <w:rsid w:val="008B7FFD"/>
    <w:rsid w:val="008C0148"/>
    <w:rsid w:val="008C0187"/>
    <w:rsid w:val="008C0432"/>
    <w:rsid w:val="008C10B9"/>
    <w:rsid w:val="008C10C0"/>
    <w:rsid w:val="008C1ADD"/>
    <w:rsid w:val="008C1C0B"/>
    <w:rsid w:val="008C2194"/>
    <w:rsid w:val="008C2250"/>
    <w:rsid w:val="008C282D"/>
    <w:rsid w:val="008C2CE8"/>
    <w:rsid w:val="008C31BC"/>
    <w:rsid w:val="008C31F8"/>
    <w:rsid w:val="008C33FB"/>
    <w:rsid w:val="008C3733"/>
    <w:rsid w:val="008C3D47"/>
    <w:rsid w:val="008C7A39"/>
    <w:rsid w:val="008C7BD4"/>
    <w:rsid w:val="008C7C3A"/>
    <w:rsid w:val="008D001F"/>
    <w:rsid w:val="008D0255"/>
    <w:rsid w:val="008D05C8"/>
    <w:rsid w:val="008D068C"/>
    <w:rsid w:val="008D0F7F"/>
    <w:rsid w:val="008D15EA"/>
    <w:rsid w:val="008D168B"/>
    <w:rsid w:val="008D23FC"/>
    <w:rsid w:val="008D2976"/>
    <w:rsid w:val="008D311D"/>
    <w:rsid w:val="008D3690"/>
    <w:rsid w:val="008D3724"/>
    <w:rsid w:val="008D3BFF"/>
    <w:rsid w:val="008D3C08"/>
    <w:rsid w:val="008D3E45"/>
    <w:rsid w:val="008D4984"/>
    <w:rsid w:val="008D4C09"/>
    <w:rsid w:val="008D5094"/>
    <w:rsid w:val="008D513C"/>
    <w:rsid w:val="008D554B"/>
    <w:rsid w:val="008D55F7"/>
    <w:rsid w:val="008D593E"/>
    <w:rsid w:val="008D5EC0"/>
    <w:rsid w:val="008D61F2"/>
    <w:rsid w:val="008D638E"/>
    <w:rsid w:val="008D65DE"/>
    <w:rsid w:val="008D67AC"/>
    <w:rsid w:val="008E03D8"/>
    <w:rsid w:val="008E05EC"/>
    <w:rsid w:val="008E0C62"/>
    <w:rsid w:val="008E0CAF"/>
    <w:rsid w:val="008E0D36"/>
    <w:rsid w:val="008E0FE8"/>
    <w:rsid w:val="008E12D9"/>
    <w:rsid w:val="008E1424"/>
    <w:rsid w:val="008E161D"/>
    <w:rsid w:val="008E2891"/>
    <w:rsid w:val="008E35FD"/>
    <w:rsid w:val="008E38F8"/>
    <w:rsid w:val="008E3CA6"/>
    <w:rsid w:val="008E46EB"/>
    <w:rsid w:val="008E4721"/>
    <w:rsid w:val="008E4764"/>
    <w:rsid w:val="008E4D37"/>
    <w:rsid w:val="008E5103"/>
    <w:rsid w:val="008E55DD"/>
    <w:rsid w:val="008E59FB"/>
    <w:rsid w:val="008E5E23"/>
    <w:rsid w:val="008E62CF"/>
    <w:rsid w:val="008E65F5"/>
    <w:rsid w:val="008E6790"/>
    <w:rsid w:val="008E6843"/>
    <w:rsid w:val="008E70A8"/>
    <w:rsid w:val="008E711F"/>
    <w:rsid w:val="008E716E"/>
    <w:rsid w:val="008E73ED"/>
    <w:rsid w:val="008E790E"/>
    <w:rsid w:val="008E7914"/>
    <w:rsid w:val="008F0767"/>
    <w:rsid w:val="008F0F89"/>
    <w:rsid w:val="008F0FAB"/>
    <w:rsid w:val="008F10FD"/>
    <w:rsid w:val="008F1185"/>
    <w:rsid w:val="008F12AB"/>
    <w:rsid w:val="008F20E6"/>
    <w:rsid w:val="008F2DFC"/>
    <w:rsid w:val="008F2FB6"/>
    <w:rsid w:val="008F2FF5"/>
    <w:rsid w:val="008F3FE9"/>
    <w:rsid w:val="008F41C6"/>
    <w:rsid w:val="008F494B"/>
    <w:rsid w:val="008F53F5"/>
    <w:rsid w:val="008F570F"/>
    <w:rsid w:val="008F59D6"/>
    <w:rsid w:val="008F5B39"/>
    <w:rsid w:val="008F5F4F"/>
    <w:rsid w:val="008F6318"/>
    <w:rsid w:val="008F67B4"/>
    <w:rsid w:val="008F6887"/>
    <w:rsid w:val="008F6BEE"/>
    <w:rsid w:val="008F6BF9"/>
    <w:rsid w:val="008F71E3"/>
    <w:rsid w:val="008F7913"/>
    <w:rsid w:val="008F79D8"/>
    <w:rsid w:val="008F7E91"/>
    <w:rsid w:val="0090052A"/>
    <w:rsid w:val="00900CD0"/>
    <w:rsid w:val="009010D6"/>
    <w:rsid w:val="00901A71"/>
    <w:rsid w:val="00901C2E"/>
    <w:rsid w:val="009020E7"/>
    <w:rsid w:val="00902FDC"/>
    <w:rsid w:val="0090488C"/>
    <w:rsid w:val="00904976"/>
    <w:rsid w:val="009049E9"/>
    <w:rsid w:val="0090508F"/>
    <w:rsid w:val="009050EA"/>
    <w:rsid w:val="00905580"/>
    <w:rsid w:val="00905685"/>
    <w:rsid w:val="00905694"/>
    <w:rsid w:val="00905A9E"/>
    <w:rsid w:val="00905AE4"/>
    <w:rsid w:val="00906190"/>
    <w:rsid w:val="0090635C"/>
    <w:rsid w:val="00906A27"/>
    <w:rsid w:val="00906A9F"/>
    <w:rsid w:val="0091002E"/>
    <w:rsid w:val="00910064"/>
    <w:rsid w:val="009110C8"/>
    <w:rsid w:val="009119FA"/>
    <w:rsid w:val="00911DFE"/>
    <w:rsid w:val="00911F25"/>
    <w:rsid w:val="00912A3B"/>
    <w:rsid w:val="00913559"/>
    <w:rsid w:val="0091383A"/>
    <w:rsid w:val="009139F9"/>
    <w:rsid w:val="00913A41"/>
    <w:rsid w:val="00913C9E"/>
    <w:rsid w:val="00913DC7"/>
    <w:rsid w:val="00914529"/>
    <w:rsid w:val="009147E7"/>
    <w:rsid w:val="009149F8"/>
    <w:rsid w:val="00914A0B"/>
    <w:rsid w:val="00914D91"/>
    <w:rsid w:val="00914DED"/>
    <w:rsid w:val="00915420"/>
    <w:rsid w:val="0091571B"/>
    <w:rsid w:val="0091576D"/>
    <w:rsid w:val="00915959"/>
    <w:rsid w:val="00915A56"/>
    <w:rsid w:val="00915BAB"/>
    <w:rsid w:val="0091638D"/>
    <w:rsid w:val="0091650E"/>
    <w:rsid w:val="0091661F"/>
    <w:rsid w:val="00916928"/>
    <w:rsid w:val="00916BC6"/>
    <w:rsid w:val="009170A2"/>
    <w:rsid w:val="00917190"/>
    <w:rsid w:val="00917889"/>
    <w:rsid w:val="00917E78"/>
    <w:rsid w:val="00920094"/>
    <w:rsid w:val="00920257"/>
    <w:rsid w:val="00920C8F"/>
    <w:rsid w:val="009210B8"/>
    <w:rsid w:val="0092110C"/>
    <w:rsid w:val="0092137D"/>
    <w:rsid w:val="0092166C"/>
    <w:rsid w:val="00921B09"/>
    <w:rsid w:val="0092231D"/>
    <w:rsid w:val="00922514"/>
    <w:rsid w:val="00922D31"/>
    <w:rsid w:val="00922EA6"/>
    <w:rsid w:val="00923416"/>
    <w:rsid w:val="00923BBA"/>
    <w:rsid w:val="009249F7"/>
    <w:rsid w:val="00924A40"/>
    <w:rsid w:val="00924B21"/>
    <w:rsid w:val="00924F53"/>
    <w:rsid w:val="00925068"/>
    <w:rsid w:val="009255F8"/>
    <w:rsid w:val="00925ADC"/>
    <w:rsid w:val="00925E18"/>
    <w:rsid w:val="009265C9"/>
    <w:rsid w:val="0092670E"/>
    <w:rsid w:val="00926982"/>
    <w:rsid w:val="00927B17"/>
    <w:rsid w:val="00927DB8"/>
    <w:rsid w:val="00927F81"/>
    <w:rsid w:val="009300CB"/>
    <w:rsid w:val="0093075F"/>
    <w:rsid w:val="009311E2"/>
    <w:rsid w:val="009312EF"/>
    <w:rsid w:val="009314D9"/>
    <w:rsid w:val="00931ECD"/>
    <w:rsid w:val="009321AD"/>
    <w:rsid w:val="00932367"/>
    <w:rsid w:val="00932439"/>
    <w:rsid w:val="0093278A"/>
    <w:rsid w:val="0093285E"/>
    <w:rsid w:val="00932CE1"/>
    <w:rsid w:val="00932DF2"/>
    <w:rsid w:val="00933B3A"/>
    <w:rsid w:val="009341C0"/>
    <w:rsid w:val="00934352"/>
    <w:rsid w:val="009348FA"/>
    <w:rsid w:val="00934A1F"/>
    <w:rsid w:val="00934F13"/>
    <w:rsid w:val="00935325"/>
    <w:rsid w:val="009354C4"/>
    <w:rsid w:val="009359FB"/>
    <w:rsid w:val="00936269"/>
    <w:rsid w:val="009362EF"/>
    <w:rsid w:val="00936393"/>
    <w:rsid w:val="00936401"/>
    <w:rsid w:val="0093664C"/>
    <w:rsid w:val="00936B00"/>
    <w:rsid w:val="00936D55"/>
    <w:rsid w:val="0093704E"/>
    <w:rsid w:val="00937222"/>
    <w:rsid w:val="009372AD"/>
    <w:rsid w:val="009402EE"/>
    <w:rsid w:val="00940947"/>
    <w:rsid w:val="00940DAA"/>
    <w:rsid w:val="00941122"/>
    <w:rsid w:val="0094131A"/>
    <w:rsid w:val="00941828"/>
    <w:rsid w:val="00941A67"/>
    <w:rsid w:val="00941B2B"/>
    <w:rsid w:val="00941E9C"/>
    <w:rsid w:val="00942059"/>
    <w:rsid w:val="00942125"/>
    <w:rsid w:val="00942581"/>
    <w:rsid w:val="00942704"/>
    <w:rsid w:val="009432D4"/>
    <w:rsid w:val="00943A5A"/>
    <w:rsid w:val="00944080"/>
    <w:rsid w:val="009442B8"/>
    <w:rsid w:val="009446F8"/>
    <w:rsid w:val="009448A0"/>
    <w:rsid w:val="00944DB9"/>
    <w:rsid w:val="00944EC0"/>
    <w:rsid w:val="00945AC5"/>
    <w:rsid w:val="00945CA6"/>
    <w:rsid w:val="00945F25"/>
    <w:rsid w:val="009462AA"/>
    <w:rsid w:val="00946EDC"/>
    <w:rsid w:val="009472EE"/>
    <w:rsid w:val="0094739D"/>
    <w:rsid w:val="00947487"/>
    <w:rsid w:val="00947C2C"/>
    <w:rsid w:val="00947C7E"/>
    <w:rsid w:val="009504A4"/>
    <w:rsid w:val="009505CF"/>
    <w:rsid w:val="0095067F"/>
    <w:rsid w:val="00950790"/>
    <w:rsid w:val="009507AB"/>
    <w:rsid w:val="00950894"/>
    <w:rsid w:val="00950CE0"/>
    <w:rsid w:val="00951047"/>
    <w:rsid w:val="009523CE"/>
    <w:rsid w:val="00952FA3"/>
    <w:rsid w:val="0095301A"/>
    <w:rsid w:val="00953475"/>
    <w:rsid w:val="0095399B"/>
    <w:rsid w:val="00953A05"/>
    <w:rsid w:val="00953B65"/>
    <w:rsid w:val="0095467E"/>
    <w:rsid w:val="00954755"/>
    <w:rsid w:val="00954E27"/>
    <w:rsid w:val="009551CE"/>
    <w:rsid w:val="009559D6"/>
    <w:rsid w:val="00955C9F"/>
    <w:rsid w:val="00956FAD"/>
    <w:rsid w:val="00957C95"/>
    <w:rsid w:val="00957E2D"/>
    <w:rsid w:val="009607DF"/>
    <w:rsid w:val="00961AED"/>
    <w:rsid w:val="0096206C"/>
    <w:rsid w:val="0096221B"/>
    <w:rsid w:val="0096231E"/>
    <w:rsid w:val="00962AFA"/>
    <w:rsid w:val="00962EF6"/>
    <w:rsid w:val="00963089"/>
    <w:rsid w:val="009633A0"/>
    <w:rsid w:val="00963433"/>
    <w:rsid w:val="00964197"/>
    <w:rsid w:val="00964A2A"/>
    <w:rsid w:val="0096510D"/>
    <w:rsid w:val="0096566D"/>
    <w:rsid w:val="00965917"/>
    <w:rsid w:val="00965FC3"/>
    <w:rsid w:val="0096604F"/>
    <w:rsid w:val="00966578"/>
    <w:rsid w:val="00966A42"/>
    <w:rsid w:val="00966CB7"/>
    <w:rsid w:val="00966DF6"/>
    <w:rsid w:val="00966E57"/>
    <w:rsid w:val="009671B2"/>
    <w:rsid w:val="009673B7"/>
    <w:rsid w:val="009678AD"/>
    <w:rsid w:val="009679A5"/>
    <w:rsid w:val="009702C1"/>
    <w:rsid w:val="009704E2"/>
    <w:rsid w:val="0097053F"/>
    <w:rsid w:val="009705B1"/>
    <w:rsid w:val="00971199"/>
    <w:rsid w:val="0097125E"/>
    <w:rsid w:val="00971700"/>
    <w:rsid w:val="00971909"/>
    <w:rsid w:val="0097196E"/>
    <w:rsid w:val="00971A76"/>
    <w:rsid w:val="00971AF8"/>
    <w:rsid w:val="009728F1"/>
    <w:rsid w:val="00972AE8"/>
    <w:rsid w:val="00972C9C"/>
    <w:rsid w:val="00972D28"/>
    <w:rsid w:val="00973D25"/>
    <w:rsid w:val="00973F42"/>
    <w:rsid w:val="009740FA"/>
    <w:rsid w:val="009747FA"/>
    <w:rsid w:val="009751AB"/>
    <w:rsid w:val="0097593C"/>
    <w:rsid w:val="00975963"/>
    <w:rsid w:val="009759D4"/>
    <w:rsid w:val="00975CEE"/>
    <w:rsid w:val="00976084"/>
    <w:rsid w:val="009767F2"/>
    <w:rsid w:val="0097696F"/>
    <w:rsid w:val="00976C65"/>
    <w:rsid w:val="00976ED9"/>
    <w:rsid w:val="00977056"/>
    <w:rsid w:val="009773E6"/>
    <w:rsid w:val="009776DE"/>
    <w:rsid w:val="00977774"/>
    <w:rsid w:val="00977F57"/>
    <w:rsid w:val="00980499"/>
    <w:rsid w:val="00980A66"/>
    <w:rsid w:val="00980B85"/>
    <w:rsid w:val="00981094"/>
    <w:rsid w:val="009811C2"/>
    <w:rsid w:val="009814A8"/>
    <w:rsid w:val="00982202"/>
    <w:rsid w:val="00982387"/>
    <w:rsid w:val="00982873"/>
    <w:rsid w:val="00982A43"/>
    <w:rsid w:val="00982C58"/>
    <w:rsid w:val="009831C4"/>
    <w:rsid w:val="00983AB2"/>
    <w:rsid w:val="0098413E"/>
    <w:rsid w:val="0098415F"/>
    <w:rsid w:val="009844FB"/>
    <w:rsid w:val="009848A7"/>
    <w:rsid w:val="00984CD6"/>
    <w:rsid w:val="00985647"/>
    <w:rsid w:val="009859AE"/>
    <w:rsid w:val="00985F2C"/>
    <w:rsid w:val="009864A5"/>
    <w:rsid w:val="009865FD"/>
    <w:rsid w:val="00986B4B"/>
    <w:rsid w:val="00986E20"/>
    <w:rsid w:val="00986E55"/>
    <w:rsid w:val="00987015"/>
    <w:rsid w:val="00987082"/>
    <w:rsid w:val="009870A7"/>
    <w:rsid w:val="00987493"/>
    <w:rsid w:val="009901EC"/>
    <w:rsid w:val="009901FF"/>
    <w:rsid w:val="00990565"/>
    <w:rsid w:val="00990893"/>
    <w:rsid w:val="009909CA"/>
    <w:rsid w:val="00990A77"/>
    <w:rsid w:val="00990F25"/>
    <w:rsid w:val="009919C9"/>
    <w:rsid w:val="00991A6D"/>
    <w:rsid w:val="00991C6D"/>
    <w:rsid w:val="009924CC"/>
    <w:rsid w:val="00992D94"/>
    <w:rsid w:val="00992F6D"/>
    <w:rsid w:val="0099335D"/>
    <w:rsid w:val="009939D5"/>
    <w:rsid w:val="009943EE"/>
    <w:rsid w:val="009945C2"/>
    <w:rsid w:val="00994B56"/>
    <w:rsid w:val="009953D3"/>
    <w:rsid w:val="00995403"/>
    <w:rsid w:val="0099576D"/>
    <w:rsid w:val="009959D3"/>
    <w:rsid w:val="00995B31"/>
    <w:rsid w:val="00995F03"/>
    <w:rsid w:val="00996273"/>
    <w:rsid w:val="00996533"/>
    <w:rsid w:val="009968CA"/>
    <w:rsid w:val="00996D9A"/>
    <w:rsid w:val="00997D61"/>
    <w:rsid w:val="009A0188"/>
    <w:rsid w:val="009A0307"/>
    <w:rsid w:val="009A04FA"/>
    <w:rsid w:val="009A0604"/>
    <w:rsid w:val="009A07AD"/>
    <w:rsid w:val="009A0A8E"/>
    <w:rsid w:val="009A0EC9"/>
    <w:rsid w:val="009A1068"/>
    <w:rsid w:val="009A1312"/>
    <w:rsid w:val="009A1DA0"/>
    <w:rsid w:val="009A205A"/>
    <w:rsid w:val="009A2494"/>
    <w:rsid w:val="009A2912"/>
    <w:rsid w:val="009A2D6A"/>
    <w:rsid w:val="009A3421"/>
    <w:rsid w:val="009A39CF"/>
    <w:rsid w:val="009A3DE7"/>
    <w:rsid w:val="009A3E50"/>
    <w:rsid w:val="009A41AE"/>
    <w:rsid w:val="009A43E8"/>
    <w:rsid w:val="009A44F9"/>
    <w:rsid w:val="009A48C8"/>
    <w:rsid w:val="009A48E3"/>
    <w:rsid w:val="009A48F9"/>
    <w:rsid w:val="009A4979"/>
    <w:rsid w:val="009A4AAD"/>
    <w:rsid w:val="009A4D5E"/>
    <w:rsid w:val="009A4D6E"/>
    <w:rsid w:val="009A4FE8"/>
    <w:rsid w:val="009A53E9"/>
    <w:rsid w:val="009A54FC"/>
    <w:rsid w:val="009A5BA5"/>
    <w:rsid w:val="009A5EAC"/>
    <w:rsid w:val="009A62B1"/>
    <w:rsid w:val="009A666C"/>
    <w:rsid w:val="009A69D1"/>
    <w:rsid w:val="009A6C4A"/>
    <w:rsid w:val="009A6E84"/>
    <w:rsid w:val="009A70D6"/>
    <w:rsid w:val="009A71F7"/>
    <w:rsid w:val="009A7296"/>
    <w:rsid w:val="009A7A71"/>
    <w:rsid w:val="009A7D99"/>
    <w:rsid w:val="009B0173"/>
    <w:rsid w:val="009B0864"/>
    <w:rsid w:val="009B0911"/>
    <w:rsid w:val="009B0CAB"/>
    <w:rsid w:val="009B0F73"/>
    <w:rsid w:val="009B1788"/>
    <w:rsid w:val="009B2929"/>
    <w:rsid w:val="009B2B2F"/>
    <w:rsid w:val="009B2BDB"/>
    <w:rsid w:val="009B3473"/>
    <w:rsid w:val="009B3866"/>
    <w:rsid w:val="009B3AED"/>
    <w:rsid w:val="009B3E60"/>
    <w:rsid w:val="009B3ED4"/>
    <w:rsid w:val="009B40B5"/>
    <w:rsid w:val="009B4147"/>
    <w:rsid w:val="009B4362"/>
    <w:rsid w:val="009B44AE"/>
    <w:rsid w:val="009B4D4E"/>
    <w:rsid w:val="009B5356"/>
    <w:rsid w:val="009B5A45"/>
    <w:rsid w:val="009B5A9B"/>
    <w:rsid w:val="009B5ECC"/>
    <w:rsid w:val="009B6082"/>
    <w:rsid w:val="009B67CC"/>
    <w:rsid w:val="009B69FD"/>
    <w:rsid w:val="009B6BA8"/>
    <w:rsid w:val="009B6D57"/>
    <w:rsid w:val="009B70E7"/>
    <w:rsid w:val="009B75F8"/>
    <w:rsid w:val="009B7A97"/>
    <w:rsid w:val="009C03F0"/>
    <w:rsid w:val="009C0AF0"/>
    <w:rsid w:val="009C0D6F"/>
    <w:rsid w:val="009C161E"/>
    <w:rsid w:val="009C1F4D"/>
    <w:rsid w:val="009C29F7"/>
    <w:rsid w:val="009C36C3"/>
    <w:rsid w:val="009C388B"/>
    <w:rsid w:val="009C3EE5"/>
    <w:rsid w:val="009C4157"/>
    <w:rsid w:val="009C41B6"/>
    <w:rsid w:val="009C4351"/>
    <w:rsid w:val="009C4A0F"/>
    <w:rsid w:val="009C51E5"/>
    <w:rsid w:val="009C5612"/>
    <w:rsid w:val="009C5BB7"/>
    <w:rsid w:val="009C5BCC"/>
    <w:rsid w:val="009C68FE"/>
    <w:rsid w:val="009C6DB0"/>
    <w:rsid w:val="009C70C3"/>
    <w:rsid w:val="009C7FB2"/>
    <w:rsid w:val="009D01C8"/>
    <w:rsid w:val="009D04C9"/>
    <w:rsid w:val="009D0C13"/>
    <w:rsid w:val="009D0D2D"/>
    <w:rsid w:val="009D11A2"/>
    <w:rsid w:val="009D120E"/>
    <w:rsid w:val="009D1282"/>
    <w:rsid w:val="009D1FC4"/>
    <w:rsid w:val="009D3117"/>
    <w:rsid w:val="009D3663"/>
    <w:rsid w:val="009D396B"/>
    <w:rsid w:val="009D4428"/>
    <w:rsid w:val="009D4775"/>
    <w:rsid w:val="009D47D6"/>
    <w:rsid w:val="009D49B8"/>
    <w:rsid w:val="009D4E2B"/>
    <w:rsid w:val="009D5B04"/>
    <w:rsid w:val="009D6010"/>
    <w:rsid w:val="009D60AF"/>
    <w:rsid w:val="009D654E"/>
    <w:rsid w:val="009D6DFC"/>
    <w:rsid w:val="009D73EC"/>
    <w:rsid w:val="009D79E4"/>
    <w:rsid w:val="009D7BB5"/>
    <w:rsid w:val="009E0228"/>
    <w:rsid w:val="009E0772"/>
    <w:rsid w:val="009E1AF4"/>
    <w:rsid w:val="009E1FCD"/>
    <w:rsid w:val="009E240F"/>
    <w:rsid w:val="009E28C9"/>
    <w:rsid w:val="009E297B"/>
    <w:rsid w:val="009E2E2C"/>
    <w:rsid w:val="009E3161"/>
    <w:rsid w:val="009E33FE"/>
    <w:rsid w:val="009E3488"/>
    <w:rsid w:val="009E3819"/>
    <w:rsid w:val="009E4B8B"/>
    <w:rsid w:val="009E4FE7"/>
    <w:rsid w:val="009E5D79"/>
    <w:rsid w:val="009E6315"/>
    <w:rsid w:val="009E6A5F"/>
    <w:rsid w:val="009E792B"/>
    <w:rsid w:val="009E7AC6"/>
    <w:rsid w:val="009E7ACE"/>
    <w:rsid w:val="009E7D11"/>
    <w:rsid w:val="009F05A2"/>
    <w:rsid w:val="009F0AB8"/>
    <w:rsid w:val="009F0FA9"/>
    <w:rsid w:val="009F1353"/>
    <w:rsid w:val="009F16CE"/>
    <w:rsid w:val="009F240A"/>
    <w:rsid w:val="009F3473"/>
    <w:rsid w:val="009F3509"/>
    <w:rsid w:val="009F40E0"/>
    <w:rsid w:val="009F4A27"/>
    <w:rsid w:val="009F503E"/>
    <w:rsid w:val="009F5541"/>
    <w:rsid w:val="009F5FF0"/>
    <w:rsid w:val="009F6617"/>
    <w:rsid w:val="009F6A37"/>
    <w:rsid w:val="009F6F16"/>
    <w:rsid w:val="009F79BF"/>
    <w:rsid w:val="009F7DD4"/>
    <w:rsid w:val="00A00163"/>
    <w:rsid w:val="00A0079D"/>
    <w:rsid w:val="00A00A8F"/>
    <w:rsid w:val="00A00FA7"/>
    <w:rsid w:val="00A01695"/>
    <w:rsid w:val="00A017C4"/>
    <w:rsid w:val="00A01C3F"/>
    <w:rsid w:val="00A02628"/>
    <w:rsid w:val="00A026FB"/>
    <w:rsid w:val="00A02868"/>
    <w:rsid w:val="00A02A6E"/>
    <w:rsid w:val="00A02DBF"/>
    <w:rsid w:val="00A03107"/>
    <w:rsid w:val="00A0391C"/>
    <w:rsid w:val="00A03B55"/>
    <w:rsid w:val="00A03CCC"/>
    <w:rsid w:val="00A046B5"/>
    <w:rsid w:val="00A050BC"/>
    <w:rsid w:val="00A05188"/>
    <w:rsid w:val="00A05793"/>
    <w:rsid w:val="00A06539"/>
    <w:rsid w:val="00A069C5"/>
    <w:rsid w:val="00A0790A"/>
    <w:rsid w:val="00A0790C"/>
    <w:rsid w:val="00A079C9"/>
    <w:rsid w:val="00A07D4A"/>
    <w:rsid w:val="00A07EA5"/>
    <w:rsid w:val="00A07FD0"/>
    <w:rsid w:val="00A106DD"/>
    <w:rsid w:val="00A10998"/>
    <w:rsid w:val="00A11DEF"/>
    <w:rsid w:val="00A12555"/>
    <w:rsid w:val="00A12742"/>
    <w:rsid w:val="00A127B1"/>
    <w:rsid w:val="00A12806"/>
    <w:rsid w:val="00A12BFE"/>
    <w:rsid w:val="00A12CDD"/>
    <w:rsid w:val="00A1302D"/>
    <w:rsid w:val="00A13194"/>
    <w:rsid w:val="00A132AC"/>
    <w:rsid w:val="00A138A5"/>
    <w:rsid w:val="00A14B83"/>
    <w:rsid w:val="00A15070"/>
    <w:rsid w:val="00A152F2"/>
    <w:rsid w:val="00A1585D"/>
    <w:rsid w:val="00A158A2"/>
    <w:rsid w:val="00A15CB7"/>
    <w:rsid w:val="00A1631D"/>
    <w:rsid w:val="00A16DF1"/>
    <w:rsid w:val="00A16FF2"/>
    <w:rsid w:val="00A1725B"/>
    <w:rsid w:val="00A17380"/>
    <w:rsid w:val="00A17FDB"/>
    <w:rsid w:val="00A20414"/>
    <w:rsid w:val="00A20541"/>
    <w:rsid w:val="00A207A4"/>
    <w:rsid w:val="00A207C0"/>
    <w:rsid w:val="00A20908"/>
    <w:rsid w:val="00A20F7B"/>
    <w:rsid w:val="00A212FA"/>
    <w:rsid w:val="00A2144B"/>
    <w:rsid w:val="00A218FF"/>
    <w:rsid w:val="00A21F60"/>
    <w:rsid w:val="00A21FC2"/>
    <w:rsid w:val="00A222D2"/>
    <w:rsid w:val="00A22407"/>
    <w:rsid w:val="00A2250D"/>
    <w:rsid w:val="00A2250E"/>
    <w:rsid w:val="00A22A07"/>
    <w:rsid w:val="00A22C4D"/>
    <w:rsid w:val="00A231A9"/>
    <w:rsid w:val="00A23202"/>
    <w:rsid w:val="00A23D4C"/>
    <w:rsid w:val="00A24125"/>
    <w:rsid w:val="00A241C5"/>
    <w:rsid w:val="00A242A0"/>
    <w:rsid w:val="00A24652"/>
    <w:rsid w:val="00A2465C"/>
    <w:rsid w:val="00A2466E"/>
    <w:rsid w:val="00A247D0"/>
    <w:rsid w:val="00A2550C"/>
    <w:rsid w:val="00A25640"/>
    <w:rsid w:val="00A2576A"/>
    <w:rsid w:val="00A25E41"/>
    <w:rsid w:val="00A25EC8"/>
    <w:rsid w:val="00A26323"/>
    <w:rsid w:val="00A263D2"/>
    <w:rsid w:val="00A26625"/>
    <w:rsid w:val="00A26A3E"/>
    <w:rsid w:val="00A26A62"/>
    <w:rsid w:val="00A272AF"/>
    <w:rsid w:val="00A301FB"/>
    <w:rsid w:val="00A3083C"/>
    <w:rsid w:val="00A30F67"/>
    <w:rsid w:val="00A310ED"/>
    <w:rsid w:val="00A31189"/>
    <w:rsid w:val="00A31462"/>
    <w:rsid w:val="00A316C3"/>
    <w:rsid w:val="00A31D32"/>
    <w:rsid w:val="00A334F5"/>
    <w:rsid w:val="00A33522"/>
    <w:rsid w:val="00A339CA"/>
    <w:rsid w:val="00A34190"/>
    <w:rsid w:val="00A34309"/>
    <w:rsid w:val="00A3474C"/>
    <w:rsid w:val="00A353D6"/>
    <w:rsid w:val="00A356A6"/>
    <w:rsid w:val="00A35846"/>
    <w:rsid w:val="00A35A20"/>
    <w:rsid w:val="00A362B0"/>
    <w:rsid w:val="00A367F1"/>
    <w:rsid w:val="00A36853"/>
    <w:rsid w:val="00A36E27"/>
    <w:rsid w:val="00A40109"/>
    <w:rsid w:val="00A4048A"/>
    <w:rsid w:val="00A404BE"/>
    <w:rsid w:val="00A405F6"/>
    <w:rsid w:val="00A40A2A"/>
    <w:rsid w:val="00A414FF"/>
    <w:rsid w:val="00A41E79"/>
    <w:rsid w:val="00A41F9B"/>
    <w:rsid w:val="00A423EF"/>
    <w:rsid w:val="00A425EC"/>
    <w:rsid w:val="00A42669"/>
    <w:rsid w:val="00A42FF1"/>
    <w:rsid w:val="00A430F8"/>
    <w:rsid w:val="00A43102"/>
    <w:rsid w:val="00A4315D"/>
    <w:rsid w:val="00A431EB"/>
    <w:rsid w:val="00A432BD"/>
    <w:rsid w:val="00A4340E"/>
    <w:rsid w:val="00A43659"/>
    <w:rsid w:val="00A43AAA"/>
    <w:rsid w:val="00A440BC"/>
    <w:rsid w:val="00A442EC"/>
    <w:rsid w:val="00A44A3B"/>
    <w:rsid w:val="00A45003"/>
    <w:rsid w:val="00A45B8A"/>
    <w:rsid w:val="00A45B94"/>
    <w:rsid w:val="00A45E13"/>
    <w:rsid w:val="00A4611A"/>
    <w:rsid w:val="00A4644A"/>
    <w:rsid w:val="00A46858"/>
    <w:rsid w:val="00A46CF5"/>
    <w:rsid w:val="00A474D0"/>
    <w:rsid w:val="00A47AA0"/>
    <w:rsid w:val="00A50403"/>
    <w:rsid w:val="00A50A15"/>
    <w:rsid w:val="00A50C0F"/>
    <w:rsid w:val="00A50ED3"/>
    <w:rsid w:val="00A51254"/>
    <w:rsid w:val="00A51319"/>
    <w:rsid w:val="00A5138F"/>
    <w:rsid w:val="00A51A98"/>
    <w:rsid w:val="00A51AC7"/>
    <w:rsid w:val="00A51AE7"/>
    <w:rsid w:val="00A51F85"/>
    <w:rsid w:val="00A529E5"/>
    <w:rsid w:val="00A52C2E"/>
    <w:rsid w:val="00A52F54"/>
    <w:rsid w:val="00A5321D"/>
    <w:rsid w:val="00A5363F"/>
    <w:rsid w:val="00A53881"/>
    <w:rsid w:val="00A53F03"/>
    <w:rsid w:val="00A543BF"/>
    <w:rsid w:val="00A54F57"/>
    <w:rsid w:val="00A54FBF"/>
    <w:rsid w:val="00A552E2"/>
    <w:rsid w:val="00A552E4"/>
    <w:rsid w:val="00A5573D"/>
    <w:rsid w:val="00A557F0"/>
    <w:rsid w:val="00A55B3B"/>
    <w:rsid w:val="00A55B94"/>
    <w:rsid w:val="00A56125"/>
    <w:rsid w:val="00A567A6"/>
    <w:rsid w:val="00A56D9D"/>
    <w:rsid w:val="00A57A03"/>
    <w:rsid w:val="00A60000"/>
    <w:rsid w:val="00A60089"/>
    <w:rsid w:val="00A60601"/>
    <w:rsid w:val="00A60CDB"/>
    <w:rsid w:val="00A612A3"/>
    <w:rsid w:val="00A61385"/>
    <w:rsid w:val="00A61644"/>
    <w:rsid w:val="00A6266D"/>
    <w:rsid w:val="00A62AED"/>
    <w:rsid w:val="00A634D4"/>
    <w:rsid w:val="00A6358A"/>
    <w:rsid w:val="00A63BE6"/>
    <w:rsid w:val="00A63D5B"/>
    <w:rsid w:val="00A645A0"/>
    <w:rsid w:val="00A648C5"/>
    <w:rsid w:val="00A64DEC"/>
    <w:rsid w:val="00A65653"/>
    <w:rsid w:val="00A66EF7"/>
    <w:rsid w:val="00A67D1C"/>
    <w:rsid w:val="00A700F3"/>
    <w:rsid w:val="00A70B2C"/>
    <w:rsid w:val="00A710C8"/>
    <w:rsid w:val="00A72339"/>
    <w:rsid w:val="00A72974"/>
    <w:rsid w:val="00A73105"/>
    <w:rsid w:val="00A73416"/>
    <w:rsid w:val="00A73E66"/>
    <w:rsid w:val="00A7409B"/>
    <w:rsid w:val="00A7413D"/>
    <w:rsid w:val="00A7480D"/>
    <w:rsid w:val="00A74DBB"/>
    <w:rsid w:val="00A75C9E"/>
    <w:rsid w:val="00A75CB2"/>
    <w:rsid w:val="00A7604B"/>
    <w:rsid w:val="00A76C90"/>
    <w:rsid w:val="00A7741F"/>
    <w:rsid w:val="00A77592"/>
    <w:rsid w:val="00A77AE8"/>
    <w:rsid w:val="00A804D0"/>
    <w:rsid w:val="00A806EF"/>
    <w:rsid w:val="00A80770"/>
    <w:rsid w:val="00A808F9"/>
    <w:rsid w:val="00A80990"/>
    <w:rsid w:val="00A81709"/>
    <w:rsid w:val="00A81840"/>
    <w:rsid w:val="00A81ADD"/>
    <w:rsid w:val="00A81BD0"/>
    <w:rsid w:val="00A81C10"/>
    <w:rsid w:val="00A81CF6"/>
    <w:rsid w:val="00A81E59"/>
    <w:rsid w:val="00A8231C"/>
    <w:rsid w:val="00A825E4"/>
    <w:rsid w:val="00A8278E"/>
    <w:rsid w:val="00A8382E"/>
    <w:rsid w:val="00A83C76"/>
    <w:rsid w:val="00A84209"/>
    <w:rsid w:val="00A8455B"/>
    <w:rsid w:val="00A8463A"/>
    <w:rsid w:val="00A84A1B"/>
    <w:rsid w:val="00A84BEC"/>
    <w:rsid w:val="00A8560B"/>
    <w:rsid w:val="00A857EC"/>
    <w:rsid w:val="00A85C2C"/>
    <w:rsid w:val="00A85E99"/>
    <w:rsid w:val="00A863D9"/>
    <w:rsid w:val="00A86482"/>
    <w:rsid w:val="00A865F6"/>
    <w:rsid w:val="00A8668D"/>
    <w:rsid w:val="00A86907"/>
    <w:rsid w:val="00A86F90"/>
    <w:rsid w:val="00A8728A"/>
    <w:rsid w:val="00A87469"/>
    <w:rsid w:val="00A878F1"/>
    <w:rsid w:val="00A87B2E"/>
    <w:rsid w:val="00A87C44"/>
    <w:rsid w:val="00A87FE5"/>
    <w:rsid w:val="00A90174"/>
    <w:rsid w:val="00A9030C"/>
    <w:rsid w:val="00A90541"/>
    <w:rsid w:val="00A906B9"/>
    <w:rsid w:val="00A90B67"/>
    <w:rsid w:val="00A90DEC"/>
    <w:rsid w:val="00A91AB7"/>
    <w:rsid w:val="00A91C48"/>
    <w:rsid w:val="00A91D79"/>
    <w:rsid w:val="00A92615"/>
    <w:rsid w:val="00A92981"/>
    <w:rsid w:val="00A92BE1"/>
    <w:rsid w:val="00A92E82"/>
    <w:rsid w:val="00A93514"/>
    <w:rsid w:val="00A9408F"/>
    <w:rsid w:val="00A94DE2"/>
    <w:rsid w:val="00A95010"/>
    <w:rsid w:val="00A95288"/>
    <w:rsid w:val="00A95732"/>
    <w:rsid w:val="00A95B8C"/>
    <w:rsid w:val="00A9624A"/>
    <w:rsid w:val="00A97806"/>
    <w:rsid w:val="00A97DF3"/>
    <w:rsid w:val="00A97F13"/>
    <w:rsid w:val="00AA07E3"/>
    <w:rsid w:val="00AA0A54"/>
    <w:rsid w:val="00AA0E69"/>
    <w:rsid w:val="00AA0EC6"/>
    <w:rsid w:val="00AA0F1D"/>
    <w:rsid w:val="00AA10B9"/>
    <w:rsid w:val="00AA184C"/>
    <w:rsid w:val="00AA18B6"/>
    <w:rsid w:val="00AA1C0A"/>
    <w:rsid w:val="00AA269C"/>
    <w:rsid w:val="00AA2ADB"/>
    <w:rsid w:val="00AA33F3"/>
    <w:rsid w:val="00AA379F"/>
    <w:rsid w:val="00AA4258"/>
    <w:rsid w:val="00AA4C0F"/>
    <w:rsid w:val="00AA56A9"/>
    <w:rsid w:val="00AA56DC"/>
    <w:rsid w:val="00AA657F"/>
    <w:rsid w:val="00AA65F4"/>
    <w:rsid w:val="00AA6C69"/>
    <w:rsid w:val="00AA7FAF"/>
    <w:rsid w:val="00AA7FB3"/>
    <w:rsid w:val="00AB029B"/>
    <w:rsid w:val="00AB02D2"/>
    <w:rsid w:val="00AB0891"/>
    <w:rsid w:val="00AB0E69"/>
    <w:rsid w:val="00AB114C"/>
    <w:rsid w:val="00AB162F"/>
    <w:rsid w:val="00AB1690"/>
    <w:rsid w:val="00AB1934"/>
    <w:rsid w:val="00AB1BE0"/>
    <w:rsid w:val="00AB2464"/>
    <w:rsid w:val="00AB29B2"/>
    <w:rsid w:val="00AB2A1D"/>
    <w:rsid w:val="00AB2BAC"/>
    <w:rsid w:val="00AB2E25"/>
    <w:rsid w:val="00AB36BF"/>
    <w:rsid w:val="00AB36CC"/>
    <w:rsid w:val="00AB3A0E"/>
    <w:rsid w:val="00AB4131"/>
    <w:rsid w:val="00AB4B89"/>
    <w:rsid w:val="00AB4E82"/>
    <w:rsid w:val="00AB5346"/>
    <w:rsid w:val="00AB560E"/>
    <w:rsid w:val="00AB57B7"/>
    <w:rsid w:val="00AB5875"/>
    <w:rsid w:val="00AB597D"/>
    <w:rsid w:val="00AB5E82"/>
    <w:rsid w:val="00AB614E"/>
    <w:rsid w:val="00AB6A12"/>
    <w:rsid w:val="00AB6BB3"/>
    <w:rsid w:val="00AB7114"/>
    <w:rsid w:val="00AB711C"/>
    <w:rsid w:val="00AB7566"/>
    <w:rsid w:val="00AB7B65"/>
    <w:rsid w:val="00AB7E39"/>
    <w:rsid w:val="00AB7EB5"/>
    <w:rsid w:val="00AC0531"/>
    <w:rsid w:val="00AC0B6B"/>
    <w:rsid w:val="00AC0E2D"/>
    <w:rsid w:val="00AC1065"/>
    <w:rsid w:val="00AC120D"/>
    <w:rsid w:val="00AC1AE1"/>
    <w:rsid w:val="00AC1B8A"/>
    <w:rsid w:val="00AC1C92"/>
    <w:rsid w:val="00AC2852"/>
    <w:rsid w:val="00AC41A2"/>
    <w:rsid w:val="00AC4373"/>
    <w:rsid w:val="00AC4916"/>
    <w:rsid w:val="00AC56E3"/>
    <w:rsid w:val="00AC5AB6"/>
    <w:rsid w:val="00AC5CDE"/>
    <w:rsid w:val="00AC608A"/>
    <w:rsid w:val="00AC60EE"/>
    <w:rsid w:val="00AC6468"/>
    <w:rsid w:val="00AC6752"/>
    <w:rsid w:val="00AC7127"/>
    <w:rsid w:val="00AC7874"/>
    <w:rsid w:val="00AC7BA7"/>
    <w:rsid w:val="00AC7EBC"/>
    <w:rsid w:val="00AC7FDD"/>
    <w:rsid w:val="00AD17BA"/>
    <w:rsid w:val="00AD19FE"/>
    <w:rsid w:val="00AD1BA7"/>
    <w:rsid w:val="00AD1C57"/>
    <w:rsid w:val="00AD1E0E"/>
    <w:rsid w:val="00AD2950"/>
    <w:rsid w:val="00AD2C37"/>
    <w:rsid w:val="00AD2FC1"/>
    <w:rsid w:val="00AD32ED"/>
    <w:rsid w:val="00AD3752"/>
    <w:rsid w:val="00AD39F4"/>
    <w:rsid w:val="00AD3BC8"/>
    <w:rsid w:val="00AD3D1F"/>
    <w:rsid w:val="00AD430E"/>
    <w:rsid w:val="00AD4730"/>
    <w:rsid w:val="00AD497B"/>
    <w:rsid w:val="00AD4B45"/>
    <w:rsid w:val="00AD4F3F"/>
    <w:rsid w:val="00AD5475"/>
    <w:rsid w:val="00AD5A45"/>
    <w:rsid w:val="00AD5F39"/>
    <w:rsid w:val="00AD6358"/>
    <w:rsid w:val="00AD6FD7"/>
    <w:rsid w:val="00AD700A"/>
    <w:rsid w:val="00AD7444"/>
    <w:rsid w:val="00AD7903"/>
    <w:rsid w:val="00AD794C"/>
    <w:rsid w:val="00AD7AD3"/>
    <w:rsid w:val="00AD7CB8"/>
    <w:rsid w:val="00AD7FC0"/>
    <w:rsid w:val="00AE08E3"/>
    <w:rsid w:val="00AE0DF3"/>
    <w:rsid w:val="00AE110F"/>
    <w:rsid w:val="00AE14A8"/>
    <w:rsid w:val="00AE16F0"/>
    <w:rsid w:val="00AE1AF2"/>
    <w:rsid w:val="00AE308C"/>
    <w:rsid w:val="00AE3274"/>
    <w:rsid w:val="00AE33AF"/>
    <w:rsid w:val="00AE3667"/>
    <w:rsid w:val="00AE3964"/>
    <w:rsid w:val="00AE4B5D"/>
    <w:rsid w:val="00AE4B77"/>
    <w:rsid w:val="00AE4D83"/>
    <w:rsid w:val="00AE52F1"/>
    <w:rsid w:val="00AE599F"/>
    <w:rsid w:val="00AE5EFC"/>
    <w:rsid w:val="00AE69BE"/>
    <w:rsid w:val="00AE6C2B"/>
    <w:rsid w:val="00AE6E40"/>
    <w:rsid w:val="00AE7543"/>
    <w:rsid w:val="00AE79D4"/>
    <w:rsid w:val="00AF018F"/>
    <w:rsid w:val="00AF03F9"/>
    <w:rsid w:val="00AF0475"/>
    <w:rsid w:val="00AF1182"/>
    <w:rsid w:val="00AF13B8"/>
    <w:rsid w:val="00AF1BCC"/>
    <w:rsid w:val="00AF2252"/>
    <w:rsid w:val="00AF247F"/>
    <w:rsid w:val="00AF275A"/>
    <w:rsid w:val="00AF2D05"/>
    <w:rsid w:val="00AF337A"/>
    <w:rsid w:val="00AF377A"/>
    <w:rsid w:val="00AF3AE8"/>
    <w:rsid w:val="00AF3D0B"/>
    <w:rsid w:val="00AF4205"/>
    <w:rsid w:val="00AF44D3"/>
    <w:rsid w:val="00AF48FB"/>
    <w:rsid w:val="00AF4DC9"/>
    <w:rsid w:val="00AF54D3"/>
    <w:rsid w:val="00AF54D4"/>
    <w:rsid w:val="00AF6091"/>
    <w:rsid w:val="00AF66B9"/>
    <w:rsid w:val="00AF6F19"/>
    <w:rsid w:val="00AF6F50"/>
    <w:rsid w:val="00AF71CD"/>
    <w:rsid w:val="00AF7570"/>
    <w:rsid w:val="00AF7627"/>
    <w:rsid w:val="00AF7731"/>
    <w:rsid w:val="00AF7963"/>
    <w:rsid w:val="00AF7A20"/>
    <w:rsid w:val="00AF7D02"/>
    <w:rsid w:val="00AF7F12"/>
    <w:rsid w:val="00B0025F"/>
    <w:rsid w:val="00B0063E"/>
    <w:rsid w:val="00B007B9"/>
    <w:rsid w:val="00B00A84"/>
    <w:rsid w:val="00B00CB1"/>
    <w:rsid w:val="00B00D5A"/>
    <w:rsid w:val="00B00F0C"/>
    <w:rsid w:val="00B00F32"/>
    <w:rsid w:val="00B01171"/>
    <w:rsid w:val="00B017CB"/>
    <w:rsid w:val="00B01957"/>
    <w:rsid w:val="00B0257C"/>
    <w:rsid w:val="00B02B6F"/>
    <w:rsid w:val="00B033C4"/>
    <w:rsid w:val="00B0364A"/>
    <w:rsid w:val="00B03690"/>
    <w:rsid w:val="00B03859"/>
    <w:rsid w:val="00B03B4D"/>
    <w:rsid w:val="00B03F10"/>
    <w:rsid w:val="00B04053"/>
    <w:rsid w:val="00B042EA"/>
    <w:rsid w:val="00B0484C"/>
    <w:rsid w:val="00B048C8"/>
    <w:rsid w:val="00B04B09"/>
    <w:rsid w:val="00B05356"/>
    <w:rsid w:val="00B05785"/>
    <w:rsid w:val="00B05926"/>
    <w:rsid w:val="00B05AA1"/>
    <w:rsid w:val="00B0687A"/>
    <w:rsid w:val="00B069F8"/>
    <w:rsid w:val="00B07527"/>
    <w:rsid w:val="00B0760C"/>
    <w:rsid w:val="00B07AC8"/>
    <w:rsid w:val="00B105B5"/>
    <w:rsid w:val="00B1075B"/>
    <w:rsid w:val="00B109C3"/>
    <w:rsid w:val="00B10AC7"/>
    <w:rsid w:val="00B1149C"/>
    <w:rsid w:val="00B116D8"/>
    <w:rsid w:val="00B11791"/>
    <w:rsid w:val="00B11879"/>
    <w:rsid w:val="00B11941"/>
    <w:rsid w:val="00B12596"/>
    <w:rsid w:val="00B126CE"/>
    <w:rsid w:val="00B12B2B"/>
    <w:rsid w:val="00B12D85"/>
    <w:rsid w:val="00B12E78"/>
    <w:rsid w:val="00B132FF"/>
    <w:rsid w:val="00B133C7"/>
    <w:rsid w:val="00B13567"/>
    <w:rsid w:val="00B1380C"/>
    <w:rsid w:val="00B1490F"/>
    <w:rsid w:val="00B14CE7"/>
    <w:rsid w:val="00B14D01"/>
    <w:rsid w:val="00B14DBB"/>
    <w:rsid w:val="00B15034"/>
    <w:rsid w:val="00B152AE"/>
    <w:rsid w:val="00B157E0"/>
    <w:rsid w:val="00B15849"/>
    <w:rsid w:val="00B15E72"/>
    <w:rsid w:val="00B16691"/>
    <w:rsid w:val="00B166D9"/>
    <w:rsid w:val="00B16CA4"/>
    <w:rsid w:val="00B174B4"/>
    <w:rsid w:val="00B17A51"/>
    <w:rsid w:val="00B203B1"/>
    <w:rsid w:val="00B204B2"/>
    <w:rsid w:val="00B21539"/>
    <w:rsid w:val="00B21754"/>
    <w:rsid w:val="00B21ABA"/>
    <w:rsid w:val="00B21B57"/>
    <w:rsid w:val="00B2213D"/>
    <w:rsid w:val="00B2245F"/>
    <w:rsid w:val="00B23040"/>
    <w:rsid w:val="00B23482"/>
    <w:rsid w:val="00B237B6"/>
    <w:rsid w:val="00B23879"/>
    <w:rsid w:val="00B23AD8"/>
    <w:rsid w:val="00B23ECC"/>
    <w:rsid w:val="00B24282"/>
    <w:rsid w:val="00B242A3"/>
    <w:rsid w:val="00B24BE8"/>
    <w:rsid w:val="00B24C09"/>
    <w:rsid w:val="00B24E83"/>
    <w:rsid w:val="00B25091"/>
    <w:rsid w:val="00B251A7"/>
    <w:rsid w:val="00B25557"/>
    <w:rsid w:val="00B25707"/>
    <w:rsid w:val="00B2571E"/>
    <w:rsid w:val="00B25EAC"/>
    <w:rsid w:val="00B26556"/>
    <w:rsid w:val="00B26B84"/>
    <w:rsid w:val="00B272DD"/>
    <w:rsid w:val="00B27AA0"/>
    <w:rsid w:val="00B27CC7"/>
    <w:rsid w:val="00B30574"/>
    <w:rsid w:val="00B307D9"/>
    <w:rsid w:val="00B3090A"/>
    <w:rsid w:val="00B31295"/>
    <w:rsid w:val="00B31A6A"/>
    <w:rsid w:val="00B31B57"/>
    <w:rsid w:val="00B320F8"/>
    <w:rsid w:val="00B324E5"/>
    <w:rsid w:val="00B325B3"/>
    <w:rsid w:val="00B325BF"/>
    <w:rsid w:val="00B32AD2"/>
    <w:rsid w:val="00B32D11"/>
    <w:rsid w:val="00B33359"/>
    <w:rsid w:val="00B3359D"/>
    <w:rsid w:val="00B337C1"/>
    <w:rsid w:val="00B3391D"/>
    <w:rsid w:val="00B33F4E"/>
    <w:rsid w:val="00B34007"/>
    <w:rsid w:val="00B34101"/>
    <w:rsid w:val="00B34949"/>
    <w:rsid w:val="00B34B0A"/>
    <w:rsid w:val="00B34B21"/>
    <w:rsid w:val="00B3501B"/>
    <w:rsid w:val="00B35C14"/>
    <w:rsid w:val="00B35D78"/>
    <w:rsid w:val="00B360A9"/>
    <w:rsid w:val="00B363B9"/>
    <w:rsid w:val="00B36792"/>
    <w:rsid w:val="00B37350"/>
    <w:rsid w:val="00B404F7"/>
    <w:rsid w:val="00B41041"/>
    <w:rsid w:val="00B41F1E"/>
    <w:rsid w:val="00B42139"/>
    <w:rsid w:val="00B4233A"/>
    <w:rsid w:val="00B432D2"/>
    <w:rsid w:val="00B43583"/>
    <w:rsid w:val="00B4358E"/>
    <w:rsid w:val="00B435BC"/>
    <w:rsid w:val="00B435F6"/>
    <w:rsid w:val="00B43D11"/>
    <w:rsid w:val="00B44643"/>
    <w:rsid w:val="00B4473D"/>
    <w:rsid w:val="00B44802"/>
    <w:rsid w:val="00B44AEE"/>
    <w:rsid w:val="00B44B11"/>
    <w:rsid w:val="00B44C62"/>
    <w:rsid w:val="00B44E32"/>
    <w:rsid w:val="00B44FAA"/>
    <w:rsid w:val="00B45275"/>
    <w:rsid w:val="00B45288"/>
    <w:rsid w:val="00B4548D"/>
    <w:rsid w:val="00B45C40"/>
    <w:rsid w:val="00B45E46"/>
    <w:rsid w:val="00B4671D"/>
    <w:rsid w:val="00B4687D"/>
    <w:rsid w:val="00B46C46"/>
    <w:rsid w:val="00B4769A"/>
    <w:rsid w:val="00B47708"/>
    <w:rsid w:val="00B47750"/>
    <w:rsid w:val="00B478DC"/>
    <w:rsid w:val="00B47AE5"/>
    <w:rsid w:val="00B47BFC"/>
    <w:rsid w:val="00B47DAD"/>
    <w:rsid w:val="00B47E23"/>
    <w:rsid w:val="00B47FBC"/>
    <w:rsid w:val="00B50030"/>
    <w:rsid w:val="00B50297"/>
    <w:rsid w:val="00B50309"/>
    <w:rsid w:val="00B505E6"/>
    <w:rsid w:val="00B51751"/>
    <w:rsid w:val="00B51AE7"/>
    <w:rsid w:val="00B525CB"/>
    <w:rsid w:val="00B52A08"/>
    <w:rsid w:val="00B52C67"/>
    <w:rsid w:val="00B52FD2"/>
    <w:rsid w:val="00B53016"/>
    <w:rsid w:val="00B531A5"/>
    <w:rsid w:val="00B5357E"/>
    <w:rsid w:val="00B5369E"/>
    <w:rsid w:val="00B5402A"/>
    <w:rsid w:val="00B553F1"/>
    <w:rsid w:val="00B55456"/>
    <w:rsid w:val="00B55840"/>
    <w:rsid w:val="00B55CDA"/>
    <w:rsid w:val="00B55DAB"/>
    <w:rsid w:val="00B563F2"/>
    <w:rsid w:val="00B56646"/>
    <w:rsid w:val="00B57010"/>
    <w:rsid w:val="00B57578"/>
    <w:rsid w:val="00B57A1A"/>
    <w:rsid w:val="00B57D2C"/>
    <w:rsid w:val="00B60DE5"/>
    <w:rsid w:val="00B60E4A"/>
    <w:rsid w:val="00B60EA3"/>
    <w:rsid w:val="00B61214"/>
    <w:rsid w:val="00B61397"/>
    <w:rsid w:val="00B614D9"/>
    <w:rsid w:val="00B616AB"/>
    <w:rsid w:val="00B61B2F"/>
    <w:rsid w:val="00B62655"/>
    <w:rsid w:val="00B6266C"/>
    <w:rsid w:val="00B636B2"/>
    <w:rsid w:val="00B6374E"/>
    <w:rsid w:val="00B63A3C"/>
    <w:rsid w:val="00B63CC5"/>
    <w:rsid w:val="00B64594"/>
    <w:rsid w:val="00B6498B"/>
    <w:rsid w:val="00B649FB"/>
    <w:rsid w:val="00B64B26"/>
    <w:rsid w:val="00B64F60"/>
    <w:rsid w:val="00B6571D"/>
    <w:rsid w:val="00B670DE"/>
    <w:rsid w:val="00B6750F"/>
    <w:rsid w:val="00B67B03"/>
    <w:rsid w:val="00B70204"/>
    <w:rsid w:val="00B70347"/>
    <w:rsid w:val="00B704C3"/>
    <w:rsid w:val="00B70764"/>
    <w:rsid w:val="00B70CD9"/>
    <w:rsid w:val="00B70DC6"/>
    <w:rsid w:val="00B70E1C"/>
    <w:rsid w:val="00B70F7D"/>
    <w:rsid w:val="00B7104C"/>
    <w:rsid w:val="00B71227"/>
    <w:rsid w:val="00B71282"/>
    <w:rsid w:val="00B71838"/>
    <w:rsid w:val="00B71F5D"/>
    <w:rsid w:val="00B72149"/>
    <w:rsid w:val="00B72230"/>
    <w:rsid w:val="00B724B2"/>
    <w:rsid w:val="00B725A7"/>
    <w:rsid w:val="00B727AA"/>
    <w:rsid w:val="00B72A18"/>
    <w:rsid w:val="00B732DC"/>
    <w:rsid w:val="00B7348C"/>
    <w:rsid w:val="00B73C47"/>
    <w:rsid w:val="00B73CF3"/>
    <w:rsid w:val="00B74180"/>
    <w:rsid w:val="00B7428D"/>
    <w:rsid w:val="00B7429E"/>
    <w:rsid w:val="00B74992"/>
    <w:rsid w:val="00B74C18"/>
    <w:rsid w:val="00B75FA2"/>
    <w:rsid w:val="00B76539"/>
    <w:rsid w:val="00B76670"/>
    <w:rsid w:val="00B766AA"/>
    <w:rsid w:val="00B76750"/>
    <w:rsid w:val="00B76EAE"/>
    <w:rsid w:val="00B76F61"/>
    <w:rsid w:val="00B77075"/>
    <w:rsid w:val="00B770B4"/>
    <w:rsid w:val="00B771FF"/>
    <w:rsid w:val="00B77BBB"/>
    <w:rsid w:val="00B77F72"/>
    <w:rsid w:val="00B8015B"/>
    <w:rsid w:val="00B80804"/>
    <w:rsid w:val="00B80D67"/>
    <w:rsid w:val="00B813A4"/>
    <w:rsid w:val="00B8184F"/>
    <w:rsid w:val="00B81AC8"/>
    <w:rsid w:val="00B82774"/>
    <w:rsid w:val="00B82825"/>
    <w:rsid w:val="00B82BD9"/>
    <w:rsid w:val="00B83037"/>
    <w:rsid w:val="00B83467"/>
    <w:rsid w:val="00B83533"/>
    <w:rsid w:val="00B83550"/>
    <w:rsid w:val="00B8355A"/>
    <w:rsid w:val="00B83683"/>
    <w:rsid w:val="00B837AA"/>
    <w:rsid w:val="00B83DE8"/>
    <w:rsid w:val="00B840B2"/>
    <w:rsid w:val="00B8446E"/>
    <w:rsid w:val="00B84B3A"/>
    <w:rsid w:val="00B8503D"/>
    <w:rsid w:val="00B8511C"/>
    <w:rsid w:val="00B8572A"/>
    <w:rsid w:val="00B85A3B"/>
    <w:rsid w:val="00B8624D"/>
    <w:rsid w:val="00B86520"/>
    <w:rsid w:val="00B86589"/>
    <w:rsid w:val="00B86905"/>
    <w:rsid w:val="00B86ABB"/>
    <w:rsid w:val="00B86C70"/>
    <w:rsid w:val="00B87928"/>
    <w:rsid w:val="00B87C4A"/>
    <w:rsid w:val="00B90344"/>
    <w:rsid w:val="00B903D2"/>
    <w:rsid w:val="00B90564"/>
    <w:rsid w:val="00B9092A"/>
    <w:rsid w:val="00B90A2F"/>
    <w:rsid w:val="00B90A40"/>
    <w:rsid w:val="00B90BCB"/>
    <w:rsid w:val="00B9108A"/>
    <w:rsid w:val="00B912D1"/>
    <w:rsid w:val="00B918D5"/>
    <w:rsid w:val="00B91BCC"/>
    <w:rsid w:val="00B92040"/>
    <w:rsid w:val="00B92474"/>
    <w:rsid w:val="00B92D51"/>
    <w:rsid w:val="00B92F15"/>
    <w:rsid w:val="00B933B5"/>
    <w:rsid w:val="00B93492"/>
    <w:rsid w:val="00B93541"/>
    <w:rsid w:val="00B9367A"/>
    <w:rsid w:val="00B9367F"/>
    <w:rsid w:val="00B94016"/>
    <w:rsid w:val="00B946A6"/>
    <w:rsid w:val="00B94996"/>
    <w:rsid w:val="00B95010"/>
    <w:rsid w:val="00B95513"/>
    <w:rsid w:val="00B95F31"/>
    <w:rsid w:val="00B960B6"/>
    <w:rsid w:val="00B96616"/>
    <w:rsid w:val="00B96972"/>
    <w:rsid w:val="00B96A84"/>
    <w:rsid w:val="00B9721B"/>
    <w:rsid w:val="00B97D5C"/>
    <w:rsid w:val="00BA000B"/>
    <w:rsid w:val="00BA0223"/>
    <w:rsid w:val="00BA0847"/>
    <w:rsid w:val="00BA0A78"/>
    <w:rsid w:val="00BA0A7A"/>
    <w:rsid w:val="00BA13F0"/>
    <w:rsid w:val="00BA1D28"/>
    <w:rsid w:val="00BA1EA0"/>
    <w:rsid w:val="00BA23A7"/>
    <w:rsid w:val="00BA29FB"/>
    <w:rsid w:val="00BA324F"/>
    <w:rsid w:val="00BA3473"/>
    <w:rsid w:val="00BA35C7"/>
    <w:rsid w:val="00BA3662"/>
    <w:rsid w:val="00BA3E1D"/>
    <w:rsid w:val="00BA3E7F"/>
    <w:rsid w:val="00BA4377"/>
    <w:rsid w:val="00BA4B7E"/>
    <w:rsid w:val="00BA4E8C"/>
    <w:rsid w:val="00BA4FA5"/>
    <w:rsid w:val="00BA4FD8"/>
    <w:rsid w:val="00BA6766"/>
    <w:rsid w:val="00BA73DE"/>
    <w:rsid w:val="00BA73FB"/>
    <w:rsid w:val="00BA7507"/>
    <w:rsid w:val="00BA768B"/>
    <w:rsid w:val="00BA7BD9"/>
    <w:rsid w:val="00BA7CE9"/>
    <w:rsid w:val="00BA7E7C"/>
    <w:rsid w:val="00BA7FBA"/>
    <w:rsid w:val="00BB014B"/>
    <w:rsid w:val="00BB029C"/>
    <w:rsid w:val="00BB05E3"/>
    <w:rsid w:val="00BB0966"/>
    <w:rsid w:val="00BB146E"/>
    <w:rsid w:val="00BB1CF8"/>
    <w:rsid w:val="00BB1F36"/>
    <w:rsid w:val="00BB204D"/>
    <w:rsid w:val="00BB29AF"/>
    <w:rsid w:val="00BB2B48"/>
    <w:rsid w:val="00BB2BE9"/>
    <w:rsid w:val="00BB2F4A"/>
    <w:rsid w:val="00BB3C78"/>
    <w:rsid w:val="00BB3CD6"/>
    <w:rsid w:val="00BB43C3"/>
    <w:rsid w:val="00BB4D68"/>
    <w:rsid w:val="00BB4DAE"/>
    <w:rsid w:val="00BB5356"/>
    <w:rsid w:val="00BB5688"/>
    <w:rsid w:val="00BB5A64"/>
    <w:rsid w:val="00BB5AEE"/>
    <w:rsid w:val="00BB5AEF"/>
    <w:rsid w:val="00BB5C97"/>
    <w:rsid w:val="00BB5D27"/>
    <w:rsid w:val="00BB5E8B"/>
    <w:rsid w:val="00BB6782"/>
    <w:rsid w:val="00BB6A25"/>
    <w:rsid w:val="00BB6A5E"/>
    <w:rsid w:val="00BB6C42"/>
    <w:rsid w:val="00BB7091"/>
    <w:rsid w:val="00BB754E"/>
    <w:rsid w:val="00BB75F9"/>
    <w:rsid w:val="00BB775B"/>
    <w:rsid w:val="00BB7847"/>
    <w:rsid w:val="00BB7A31"/>
    <w:rsid w:val="00BB7BB0"/>
    <w:rsid w:val="00BC07B3"/>
    <w:rsid w:val="00BC08FB"/>
    <w:rsid w:val="00BC0EDA"/>
    <w:rsid w:val="00BC11B4"/>
    <w:rsid w:val="00BC1A5C"/>
    <w:rsid w:val="00BC1D41"/>
    <w:rsid w:val="00BC1D99"/>
    <w:rsid w:val="00BC211A"/>
    <w:rsid w:val="00BC225A"/>
    <w:rsid w:val="00BC2364"/>
    <w:rsid w:val="00BC2D1B"/>
    <w:rsid w:val="00BC2DA8"/>
    <w:rsid w:val="00BC344D"/>
    <w:rsid w:val="00BC3A86"/>
    <w:rsid w:val="00BC40FD"/>
    <w:rsid w:val="00BC453F"/>
    <w:rsid w:val="00BC4B3C"/>
    <w:rsid w:val="00BC4F9D"/>
    <w:rsid w:val="00BC52A0"/>
    <w:rsid w:val="00BC5CB7"/>
    <w:rsid w:val="00BC61CF"/>
    <w:rsid w:val="00BC643F"/>
    <w:rsid w:val="00BC6B2C"/>
    <w:rsid w:val="00BC6D78"/>
    <w:rsid w:val="00BC6E39"/>
    <w:rsid w:val="00BC7047"/>
    <w:rsid w:val="00BC79D1"/>
    <w:rsid w:val="00BC7C5E"/>
    <w:rsid w:val="00BC7F0B"/>
    <w:rsid w:val="00BD0BA5"/>
    <w:rsid w:val="00BD0DFD"/>
    <w:rsid w:val="00BD1597"/>
    <w:rsid w:val="00BD161C"/>
    <w:rsid w:val="00BD1FFE"/>
    <w:rsid w:val="00BD2216"/>
    <w:rsid w:val="00BD2536"/>
    <w:rsid w:val="00BD2673"/>
    <w:rsid w:val="00BD2C9F"/>
    <w:rsid w:val="00BD2E78"/>
    <w:rsid w:val="00BD2F9A"/>
    <w:rsid w:val="00BD37F0"/>
    <w:rsid w:val="00BD3EB8"/>
    <w:rsid w:val="00BD3F43"/>
    <w:rsid w:val="00BD49A2"/>
    <w:rsid w:val="00BD4A54"/>
    <w:rsid w:val="00BD4BF9"/>
    <w:rsid w:val="00BD4D9C"/>
    <w:rsid w:val="00BD5237"/>
    <w:rsid w:val="00BD5E7C"/>
    <w:rsid w:val="00BD6331"/>
    <w:rsid w:val="00BD67C3"/>
    <w:rsid w:val="00BD6CD7"/>
    <w:rsid w:val="00BD6DFC"/>
    <w:rsid w:val="00BD7040"/>
    <w:rsid w:val="00BD7083"/>
    <w:rsid w:val="00BD7618"/>
    <w:rsid w:val="00BD7C28"/>
    <w:rsid w:val="00BD7DAB"/>
    <w:rsid w:val="00BE06D2"/>
    <w:rsid w:val="00BE097D"/>
    <w:rsid w:val="00BE0D6B"/>
    <w:rsid w:val="00BE0FF0"/>
    <w:rsid w:val="00BE1608"/>
    <w:rsid w:val="00BE1766"/>
    <w:rsid w:val="00BE19FF"/>
    <w:rsid w:val="00BE1D5C"/>
    <w:rsid w:val="00BE1D99"/>
    <w:rsid w:val="00BE20DD"/>
    <w:rsid w:val="00BE351F"/>
    <w:rsid w:val="00BE3854"/>
    <w:rsid w:val="00BE3BB5"/>
    <w:rsid w:val="00BE419A"/>
    <w:rsid w:val="00BE466E"/>
    <w:rsid w:val="00BE4D03"/>
    <w:rsid w:val="00BE4E8C"/>
    <w:rsid w:val="00BE4FD7"/>
    <w:rsid w:val="00BE50CC"/>
    <w:rsid w:val="00BE50F2"/>
    <w:rsid w:val="00BE5373"/>
    <w:rsid w:val="00BE545D"/>
    <w:rsid w:val="00BE5542"/>
    <w:rsid w:val="00BE5A02"/>
    <w:rsid w:val="00BE5B50"/>
    <w:rsid w:val="00BE5C18"/>
    <w:rsid w:val="00BE5F65"/>
    <w:rsid w:val="00BE6196"/>
    <w:rsid w:val="00BE647D"/>
    <w:rsid w:val="00BE6707"/>
    <w:rsid w:val="00BE69AB"/>
    <w:rsid w:val="00BE6F35"/>
    <w:rsid w:val="00BE6FE5"/>
    <w:rsid w:val="00BE741D"/>
    <w:rsid w:val="00BE749A"/>
    <w:rsid w:val="00BE7C5F"/>
    <w:rsid w:val="00BF05D2"/>
    <w:rsid w:val="00BF113D"/>
    <w:rsid w:val="00BF13C0"/>
    <w:rsid w:val="00BF14DF"/>
    <w:rsid w:val="00BF1E7B"/>
    <w:rsid w:val="00BF1FA5"/>
    <w:rsid w:val="00BF20F4"/>
    <w:rsid w:val="00BF255F"/>
    <w:rsid w:val="00BF2BD0"/>
    <w:rsid w:val="00BF2DF6"/>
    <w:rsid w:val="00BF2F24"/>
    <w:rsid w:val="00BF3050"/>
    <w:rsid w:val="00BF31B4"/>
    <w:rsid w:val="00BF3A26"/>
    <w:rsid w:val="00BF3ADB"/>
    <w:rsid w:val="00BF3DE6"/>
    <w:rsid w:val="00BF3F23"/>
    <w:rsid w:val="00BF3F43"/>
    <w:rsid w:val="00BF3FA6"/>
    <w:rsid w:val="00BF45F4"/>
    <w:rsid w:val="00BF465C"/>
    <w:rsid w:val="00BF4960"/>
    <w:rsid w:val="00BF4ED7"/>
    <w:rsid w:val="00BF5003"/>
    <w:rsid w:val="00BF53A2"/>
    <w:rsid w:val="00BF56FB"/>
    <w:rsid w:val="00BF590D"/>
    <w:rsid w:val="00BF5973"/>
    <w:rsid w:val="00BF5F85"/>
    <w:rsid w:val="00BF6049"/>
    <w:rsid w:val="00BF63FB"/>
    <w:rsid w:val="00BF6489"/>
    <w:rsid w:val="00BF71A6"/>
    <w:rsid w:val="00BF7523"/>
    <w:rsid w:val="00BF7994"/>
    <w:rsid w:val="00BF79C4"/>
    <w:rsid w:val="00BF7FB0"/>
    <w:rsid w:val="00C00281"/>
    <w:rsid w:val="00C0030D"/>
    <w:rsid w:val="00C00812"/>
    <w:rsid w:val="00C008A0"/>
    <w:rsid w:val="00C00D75"/>
    <w:rsid w:val="00C00F2D"/>
    <w:rsid w:val="00C00F7C"/>
    <w:rsid w:val="00C011DF"/>
    <w:rsid w:val="00C01201"/>
    <w:rsid w:val="00C0222B"/>
    <w:rsid w:val="00C02313"/>
    <w:rsid w:val="00C0242B"/>
    <w:rsid w:val="00C0270E"/>
    <w:rsid w:val="00C029EC"/>
    <w:rsid w:val="00C0488A"/>
    <w:rsid w:val="00C04A9C"/>
    <w:rsid w:val="00C04D89"/>
    <w:rsid w:val="00C04DA5"/>
    <w:rsid w:val="00C04EF6"/>
    <w:rsid w:val="00C05431"/>
    <w:rsid w:val="00C063BE"/>
    <w:rsid w:val="00C0654E"/>
    <w:rsid w:val="00C06D51"/>
    <w:rsid w:val="00C06EDB"/>
    <w:rsid w:val="00C06F46"/>
    <w:rsid w:val="00C07B06"/>
    <w:rsid w:val="00C07C16"/>
    <w:rsid w:val="00C10136"/>
    <w:rsid w:val="00C102AA"/>
    <w:rsid w:val="00C105A8"/>
    <w:rsid w:val="00C1098C"/>
    <w:rsid w:val="00C10A97"/>
    <w:rsid w:val="00C10DA1"/>
    <w:rsid w:val="00C10FF5"/>
    <w:rsid w:val="00C111AD"/>
    <w:rsid w:val="00C112B3"/>
    <w:rsid w:val="00C11450"/>
    <w:rsid w:val="00C11D0C"/>
    <w:rsid w:val="00C12116"/>
    <w:rsid w:val="00C1265C"/>
    <w:rsid w:val="00C126AF"/>
    <w:rsid w:val="00C127A6"/>
    <w:rsid w:val="00C12A47"/>
    <w:rsid w:val="00C12B27"/>
    <w:rsid w:val="00C12BF4"/>
    <w:rsid w:val="00C12D3D"/>
    <w:rsid w:val="00C131A6"/>
    <w:rsid w:val="00C1391F"/>
    <w:rsid w:val="00C13DEA"/>
    <w:rsid w:val="00C143A3"/>
    <w:rsid w:val="00C1473C"/>
    <w:rsid w:val="00C14FA4"/>
    <w:rsid w:val="00C15B66"/>
    <w:rsid w:val="00C16180"/>
    <w:rsid w:val="00C161C3"/>
    <w:rsid w:val="00C163B7"/>
    <w:rsid w:val="00C166EF"/>
    <w:rsid w:val="00C17125"/>
    <w:rsid w:val="00C174B2"/>
    <w:rsid w:val="00C175A8"/>
    <w:rsid w:val="00C175FF"/>
    <w:rsid w:val="00C17B45"/>
    <w:rsid w:val="00C20638"/>
    <w:rsid w:val="00C20F57"/>
    <w:rsid w:val="00C21510"/>
    <w:rsid w:val="00C21AEB"/>
    <w:rsid w:val="00C220C2"/>
    <w:rsid w:val="00C22194"/>
    <w:rsid w:val="00C22676"/>
    <w:rsid w:val="00C22694"/>
    <w:rsid w:val="00C22D8A"/>
    <w:rsid w:val="00C22DB1"/>
    <w:rsid w:val="00C232D7"/>
    <w:rsid w:val="00C232DC"/>
    <w:rsid w:val="00C234C5"/>
    <w:rsid w:val="00C234D6"/>
    <w:rsid w:val="00C236FE"/>
    <w:rsid w:val="00C23807"/>
    <w:rsid w:val="00C23CA7"/>
    <w:rsid w:val="00C244AC"/>
    <w:rsid w:val="00C24578"/>
    <w:rsid w:val="00C2520E"/>
    <w:rsid w:val="00C2554F"/>
    <w:rsid w:val="00C25719"/>
    <w:rsid w:val="00C25C1F"/>
    <w:rsid w:val="00C25E80"/>
    <w:rsid w:val="00C25F68"/>
    <w:rsid w:val="00C26383"/>
    <w:rsid w:val="00C26635"/>
    <w:rsid w:val="00C26856"/>
    <w:rsid w:val="00C2697F"/>
    <w:rsid w:val="00C27160"/>
    <w:rsid w:val="00C27539"/>
    <w:rsid w:val="00C275EE"/>
    <w:rsid w:val="00C27606"/>
    <w:rsid w:val="00C27977"/>
    <w:rsid w:val="00C300C0"/>
    <w:rsid w:val="00C314A6"/>
    <w:rsid w:val="00C318A1"/>
    <w:rsid w:val="00C32069"/>
    <w:rsid w:val="00C327B3"/>
    <w:rsid w:val="00C32AD9"/>
    <w:rsid w:val="00C32BDE"/>
    <w:rsid w:val="00C32C17"/>
    <w:rsid w:val="00C33043"/>
    <w:rsid w:val="00C33119"/>
    <w:rsid w:val="00C3409B"/>
    <w:rsid w:val="00C344F2"/>
    <w:rsid w:val="00C34AEF"/>
    <w:rsid w:val="00C34B2A"/>
    <w:rsid w:val="00C34C8A"/>
    <w:rsid w:val="00C34ECC"/>
    <w:rsid w:val="00C350AC"/>
    <w:rsid w:val="00C35397"/>
    <w:rsid w:val="00C35942"/>
    <w:rsid w:val="00C359AF"/>
    <w:rsid w:val="00C35B8E"/>
    <w:rsid w:val="00C3669C"/>
    <w:rsid w:val="00C36757"/>
    <w:rsid w:val="00C36777"/>
    <w:rsid w:val="00C369D8"/>
    <w:rsid w:val="00C36FB2"/>
    <w:rsid w:val="00C371B0"/>
    <w:rsid w:val="00C379BE"/>
    <w:rsid w:val="00C4065F"/>
    <w:rsid w:val="00C40E0E"/>
    <w:rsid w:val="00C41731"/>
    <w:rsid w:val="00C418D8"/>
    <w:rsid w:val="00C41957"/>
    <w:rsid w:val="00C42020"/>
    <w:rsid w:val="00C42492"/>
    <w:rsid w:val="00C42817"/>
    <w:rsid w:val="00C42963"/>
    <w:rsid w:val="00C42A5C"/>
    <w:rsid w:val="00C437CB"/>
    <w:rsid w:val="00C4401F"/>
    <w:rsid w:val="00C443C0"/>
    <w:rsid w:val="00C44E0B"/>
    <w:rsid w:val="00C44EC5"/>
    <w:rsid w:val="00C44F70"/>
    <w:rsid w:val="00C450A1"/>
    <w:rsid w:val="00C45206"/>
    <w:rsid w:val="00C454E7"/>
    <w:rsid w:val="00C455DB"/>
    <w:rsid w:val="00C466B3"/>
    <w:rsid w:val="00C46CA2"/>
    <w:rsid w:val="00C46D48"/>
    <w:rsid w:val="00C47676"/>
    <w:rsid w:val="00C47902"/>
    <w:rsid w:val="00C47C5B"/>
    <w:rsid w:val="00C47E5F"/>
    <w:rsid w:val="00C50294"/>
    <w:rsid w:val="00C507C1"/>
    <w:rsid w:val="00C50E94"/>
    <w:rsid w:val="00C51B19"/>
    <w:rsid w:val="00C51F07"/>
    <w:rsid w:val="00C5234C"/>
    <w:rsid w:val="00C52AE5"/>
    <w:rsid w:val="00C52CEE"/>
    <w:rsid w:val="00C537D8"/>
    <w:rsid w:val="00C539F6"/>
    <w:rsid w:val="00C54400"/>
    <w:rsid w:val="00C546AA"/>
    <w:rsid w:val="00C54B9E"/>
    <w:rsid w:val="00C55123"/>
    <w:rsid w:val="00C55213"/>
    <w:rsid w:val="00C552B8"/>
    <w:rsid w:val="00C55700"/>
    <w:rsid w:val="00C55789"/>
    <w:rsid w:val="00C5586B"/>
    <w:rsid w:val="00C55CE9"/>
    <w:rsid w:val="00C566DF"/>
    <w:rsid w:val="00C56767"/>
    <w:rsid w:val="00C57B7F"/>
    <w:rsid w:val="00C6006A"/>
    <w:rsid w:val="00C605B6"/>
    <w:rsid w:val="00C60C91"/>
    <w:rsid w:val="00C60DBE"/>
    <w:rsid w:val="00C60EEC"/>
    <w:rsid w:val="00C61C0E"/>
    <w:rsid w:val="00C61FF6"/>
    <w:rsid w:val="00C62A1D"/>
    <w:rsid w:val="00C62B01"/>
    <w:rsid w:val="00C62CEC"/>
    <w:rsid w:val="00C6313C"/>
    <w:rsid w:val="00C63AFB"/>
    <w:rsid w:val="00C63C71"/>
    <w:rsid w:val="00C63CD8"/>
    <w:rsid w:val="00C648F3"/>
    <w:rsid w:val="00C65A80"/>
    <w:rsid w:val="00C65B09"/>
    <w:rsid w:val="00C66F82"/>
    <w:rsid w:val="00C6705A"/>
    <w:rsid w:val="00C672B7"/>
    <w:rsid w:val="00C6762E"/>
    <w:rsid w:val="00C67F74"/>
    <w:rsid w:val="00C702FE"/>
    <w:rsid w:val="00C70A32"/>
    <w:rsid w:val="00C7104A"/>
    <w:rsid w:val="00C716E7"/>
    <w:rsid w:val="00C717ED"/>
    <w:rsid w:val="00C71ACD"/>
    <w:rsid w:val="00C71B01"/>
    <w:rsid w:val="00C7260A"/>
    <w:rsid w:val="00C72D1E"/>
    <w:rsid w:val="00C72E2E"/>
    <w:rsid w:val="00C730AE"/>
    <w:rsid w:val="00C731FD"/>
    <w:rsid w:val="00C733E1"/>
    <w:rsid w:val="00C73505"/>
    <w:rsid w:val="00C73891"/>
    <w:rsid w:val="00C74012"/>
    <w:rsid w:val="00C741CB"/>
    <w:rsid w:val="00C74D01"/>
    <w:rsid w:val="00C74DE4"/>
    <w:rsid w:val="00C75056"/>
    <w:rsid w:val="00C754C2"/>
    <w:rsid w:val="00C75B62"/>
    <w:rsid w:val="00C75E9B"/>
    <w:rsid w:val="00C760D4"/>
    <w:rsid w:val="00C76733"/>
    <w:rsid w:val="00C76829"/>
    <w:rsid w:val="00C76E12"/>
    <w:rsid w:val="00C770EA"/>
    <w:rsid w:val="00C77AFD"/>
    <w:rsid w:val="00C77CC1"/>
    <w:rsid w:val="00C77F78"/>
    <w:rsid w:val="00C800F8"/>
    <w:rsid w:val="00C80633"/>
    <w:rsid w:val="00C81685"/>
    <w:rsid w:val="00C8173A"/>
    <w:rsid w:val="00C8173C"/>
    <w:rsid w:val="00C81888"/>
    <w:rsid w:val="00C81AE8"/>
    <w:rsid w:val="00C81D87"/>
    <w:rsid w:val="00C81D8F"/>
    <w:rsid w:val="00C81E67"/>
    <w:rsid w:val="00C82261"/>
    <w:rsid w:val="00C82C1A"/>
    <w:rsid w:val="00C8384A"/>
    <w:rsid w:val="00C83EF9"/>
    <w:rsid w:val="00C83FF7"/>
    <w:rsid w:val="00C8438D"/>
    <w:rsid w:val="00C8467A"/>
    <w:rsid w:val="00C84A0C"/>
    <w:rsid w:val="00C85226"/>
    <w:rsid w:val="00C85283"/>
    <w:rsid w:val="00C85B05"/>
    <w:rsid w:val="00C85B3B"/>
    <w:rsid w:val="00C863C6"/>
    <w:rsid w:val="00C866B2"/>
    <w:rsid w:val="00C86FCE"/>
    <w:rsid w:val="00C878B8"/>
    <w:rsid w:val="00C879A4"/>
    <w:rsid w:val="00C87BEC"/>
    <w:rsid w:val="00C87FD8"/>
    <w:rsid w:val="00C90676"/>
    <w:rsid w:val="00C918E2"/>
    <w:rsid w:val="00C91A06"/>
    <w:rsid w:val="00C91C96"/>
    <w:rsid w:val="00C92646"/>
    <w:rsid w:val="00C9277E"/>
    <w:rsid w:val="00C9279F"/>
    <w:rsid w:val="00C92C82"/>
    <w:rsid w:val="00C9300B"/>
    <w:rsid w:val="00C937CF"/>
    <w:rsid w:val="00C93A8E"/>
    <w:rsid w:val="00C93F42"/>
    <w:rsid w:val="00C94177"/>
    <w:rsid w:val="00C942FB"/>
    <w:rsid w:val="00C9430E"/>
    <w:rsid w:val="00C94901"/>
    <w:rsid w:val="00C949A7"/>
    <w:rsid w:val="00C94BD3"/>
    <w:rsid w:val="00C95DEF"/>
    <w:rsid w:val="00C95F4A"/>
    <w:rsid w:val="00C96B50"/>
    <w:rsid w:val="00C97A13"/>
    <w:rsid w:val="00C97C14"/>
    <w:rsid w:val="00C97F2E"/>
    <w:rsid w:val="00CA00BF"/>
    <w:rsid w:val="00CA00C9"/>
    <w:rsid w:val="00CA0F5C"/>
    <w:rsid w:val="00CA12D0"/>
    <w:rsid w:val="00CA13A6"/>
    <w:rsid w:val="00CA1448"/>
    <w:rsid w:val="00CA149B"/>
    <w:rsid w:val="00CA1768"/>
    <w:rsid w:val="00CA1A13"/>
    <w:rsid w:val="00CA1B3B"/>
    <w:rsid w:val="00CA1B7F"/>
    <w:rsid w:val="00CA1BF9"/>
    <w:rsid w:val="00CA1EE5"/>
    <w:rsid w:val="00CA340E"/>
    <w:rsid w:val="00CA40D9"/>
    <w:rsid w:val="00CA46ED"/>
    <w:rsid w:val="00CA4D9F"/>
    <w:rsid w:val="00CA59D3"/>
    <w:rsid w:val="00CA5B5B"/>
    <w:rsid w:val="00CA5BFD"/>
    <w:rsid w:val="00CA5E41"/>
    <w:rsid w:val="00CA5EA5"/>
    <w:rsid w:val="00CA6728"/>
    <w:rsid w:val="00CA736C"/>
    <w:rsid w:val="00CA77BB"/>
    <w:rsid w:val="00CA7D3C"/>
    <w:rsid w:val="00CA7E6D"/>
    <w:rsid w:val="00CB02B1"/>
    <w:rsid w:val="00CB0D4A"/>
    <w:rsid w:val="00CB0D95"/>
    <w:rsid w:val="00CB130F"/>
    <w:rsid w:val="00CB141C"/>
    <w:rsid w:val="00CB1A40"/>
    <w:rsid w:val="00CB1BA8"/>
    <w:rsid w:val="00CB22C8"/>
    <w:rsid w:val="00CB24EF"/>
    <w:rsid w:val="00CB2E92"/>
    <w:rsid w:val="00CB2F00"/>
    <w:rsid w:val="00CB35F8"/>
    <w:rsid w:val="00CB3989"/>
    <w:rsid w:val="00CB4060"/>
    <w:rsid w:val="00CB416E"/>
    <w:rsid w:val="00CB42BD"/>
    <w:rsid w:val="00CB4B7A"/>
    <w:rsid w:val="00CB4BED"/>
    <w:rsid w:val="00CB4CC3"/>
    <w:rsid w:val="00CB4DDE"/>
    <w:rsid w:val="00CB53FA"/>
    <w:rsid w:val="00CB5501"/>
    <w:rsid w:val="00CB5BE7"/>
    <w:rsid w:val="00CB5FC7"/>
    <w:rsid w:val="00CB6872"/>
    <w:rsid w:val="00CB695A"/>
    <w:rsid w:val="00CB6A88"/>
    <w:rsid w:val="00CB6E6A"/>
    <w:rsid w:val="00CB72E7"/>
    <w:rsid w:val="00CB77B9"/>
    <w:rsid w:val="00CB7ABB"/>
    <w:rsid w:val="00CB7AEC"/>
    <w:rsid w:val="00CB7EDF"/>
    <w:rsid w:val="00CB7FC8"/>
    <w:rsid w:val="00CC0513"/>
    <w:rsid w:val="00CC1099"/>
    <w:rsid w:val="00CC14D9"/>
    <w:rsid w:val="00CC18EB"/>
    <w:rsid w:val="00CC1CEC"/>
    <w:rsid w:val="00CC1CEE"/>
    <w:rsid w:val="00CC1EDE"/>
    <w:rsid w:val="00CC24BF"/>
    <w:rsid w:val="00CC2500"/>
    <w:rsid w:val="00CC264D"/>
    <w:rsid w:val="00CC2747"/>
    <w:rsid w:val="00CC2D51"/>
    <w:rsid w:val="00CC2E25"/>
    <w:rsid w:val="00CC2EC8"/>
    <w:rsid w:val="00CC2F7D"/>
    <w:rsid w:val="00CC34C2"/>
    <w:rsid w:val="00CC3D8A"/>
    <w:rsid w:val="00CC4176"/>
    <w:rsid w:val="00CC44A4"/>
    <w:rsid w:val="00CC4B00"/>
    <w:rsid w:val="00CC4BBF"/>
    <w:rsid w:val="00CC51B4"/>
    <w:rsid w:val="00CC5272"/>
    <w:rsid w:val="00CC5304"/>
    <w:rsid w:val="00CC5532"/>
    <w:rsid w:val="00CC575F"/>
    <w:rsid w:val="00CC577C"/>
    <w:rsid w:val="00CC582D"/>
    <w:rsid w:val="00CC5900"/>
    <w:rsid w:val="00CD00AF"/>
    <w:rsid w:val="00CD01EE"/>
    <w:rsid w:val="00CD06BE"/>
    <w:rsid w:val="00CD0C5E"/>
    <w:rsid w:val="00CD12F2"/>
    <w:rsid w:val="00CD181D"/>
    <w:rsid w:val="00CD1CBA"/>
    <w:rsid w:val="00CD1ECF"/>
    <w:rsid w:val="00CD2097"/>
    <w:rsid w:val="00CD2145"/>
    <w:rsid w:val="00CD2158"/>
    <w:rsid w:val="00CD23D2"/>
    <w:rsid w:val="00CD2525"/>
    <w:rsid w:val="00CD2EFD"/>
    <w:rsid w:val="00CD2F5A"/>
    <w:rsid w:val="00CD36A9"/>
    <w:rsid w:val="00CD36F7"/>
    <w:rsid w:val="00CD399B"/>
    <w:rsid w:val="00CD3C8E"/>
    <w:rsid w:val="00CD3EF4"/>
    <w:rsid w:val="00CD4A2F"/>
    <w:rsid w:val="00CD4C2E"/>
    <w:rsid w:val="00CD4C9D"/>
    <w:rsid w:val="00CD4CF9"/>
    <w:rsid w:val="00CD5092"/>
    <w:rsid w:val="00CD5208"/>
    <w:rsid w:val="00CD5344"/>
    <w:rsid w:val="00CD60D9"/>
    <w:rsid w:val="00CD6340"/>
    <w:rsid w:val="00CD6382"/>
    <w:rsid w:val="00CD6426"/>
    <w:rsid w:val="00CD64D4"/>
    <w:rsid w:val="00CD6D25"/>
    <w:rsid w:val="00CD7159"/>
    <w:rsid w:val="00CD7415"/>
    <w:rsid w:val="00CD7C5B"/>
    <w:rsid w:val="00CD7D11"/>
    <w:rsid w:val="00CE0015"/>
    <w:rsid w:val="00CE00DD"/>
    <w:rsid w:val="00CE0E99"/>
    <w:rsid w:val="00CE0F74"/>
    <w:rsid w:val="00CE1547"/>
    <w:rsid w:val="00CE16A5"/>
    <w:rsid w:val="00CE16CD"/>
    <w:rsid w:val="00CE1ACE"/>
    <w:rsid w:val="00CE2E6B"/>
    <w:rsid w:val="00CE3E0E"/>
    <w:rsid w:val="00CE43D2"/>
    <w:rsid w:val="00CE4403"/>
    <w:rsid w:val="00CE4F36"/>
    <w:rsid w:val="00CE4F89"/>
    <w:rsid w:val="00CE5873"/>
    <w:rsid w:val="00CE59EB"/>
    <w:rsid w:val="00CE6440"/>
    <w:rsid w:val="00CE678F"/>
    <w:rsid w:val="00CF00A2"/>
    <w:rsid w:val="00CF048C"/>
    <w:rsid w:val="00CF11E3"/>
    <w:rsid w:val="00CF11F0"/>
    <w:rsid w:val="00CF15A3"/>
    <w:rsid w:val="00CF17F8"/>
    <w:rsid w:val="00CF1BC3"/>
    <w:rsid w:val="00CF22B4"/>
    <w:rsid w:val="00CF22DE"/>
    <w:rsid w:val="00CF249B"/>
    <w:rsid w:val="00CF2679"/>
    <w:rsid w:val="00CF2B66"/>
    <w:rsid w:val="00CF2C9A"/>
    <w:rsid w:val="00CF33F6"/>
    <w:rsid w:val="00CF3496"/>
    <w:rsid w:val="00CF3C09"/>
    <w:rsid w:val="00CF3FC0"/>
    <w:rsid w:val="00CF3FFE"/>
    <w:rsid w:val="00CF465D"/>
    <w:rsid w:val="00CF485E"/>
    <w:rsid w:val="00CF4BEB"/>
    <w:rsid w:val="00CF512E"/>
    <w:rsid w:val="00CF5513"/>
    <w:rsid w:val="00CF5931"/>
    <w:rsid w:val="00CF5EF0"/>
    <w:rsid w:val="00CF61A4"/>
    <w:rsid w:val="00CF6628"/>
    <w:rsid w:val="00CF69FE"/>
    <w:rsid w:val="00CF6B68"/>
    <w:rsid w:val="00CF6B9F"/>
    <w:rsid w:val="00CF6E42"/>
    <w:rsid w:val="00CF7411"/>
    <w:rsid w:val="00CF7527"/>
    <w:rsid w:val="00CF76DF"/>
    <w:rsid w:val="00CF791C"/>
    <w:rsid w:val="00CF7CE8"/>
    <w:rsid w:val="00D00084"/>
    <w:rsid w:val="00D0050F"/>
    <w:rsid w:val="00D00942"/>
    <w:rsid w:val="00D01088"/>
    <w:rsid w:val="00D018D5"/>
    <w:rsid w:val="00D01DFD"/>
    <w:rsid w:val="00D02277"/>
    <w:rsid w:val="00D024A2"/>
    <w:rsid w:val="00D0259D"/>
    <w:rsid w:val="00D0314A"/>
    <w:rsid w:val="00D03764"/>
    <w:rsid w:val="00D03D06"/>
    <w:rsid w:val="00D03DF6"/>
    <w:rsid w:val="00D04872"/>
    <w:rsid w:val="00D04DDC"/>
    <w:rsid w:val="00D05207"/>
    <w:rsid w:val="00D054B3"/>
    <w:rsid w:val="00D0572E"/>
    <w:rsid w:val="00D059D4"/>
    <w:rsid w:val="00D05C65"/>
    <w:rsid w:val="00D06233"/>
    <w:rsid w:val="00D06626"/>
    <w:rsid w:val="00D066A2"/>
    <w:rsid w:val="00D0691E"/>
    <w:rsid w:val="00D06CDB"/>
    <w:rsid w:val="00D06E97"/>
    <w:rsid w:val="00D07321"/>
    <w:rsid w:val="00D07869"/>
    <w:rsid w:val="00D07D1A"/>
    <w:rsid w:val="00D10256"/>
    <w:rsid w:val="00D102ED"/>
    <w:rsid w:val="00D107C7"/>
    <w:rsid w:val="00D10AE5"/>
    <w:rsid w:val="00D11467"/>
    <w:rsid w:val="00D1180B"/>
    <w:rsid w:val="00D11869"/>
    <w:rsid w:val="00D11E46"/>
    <w:rsid w:val="00D11F2D"/>
    <w:rsid w:val="00D12313"/>
    <w:rsid w:val="00D12366"/>
    <w:rsid w:val="00D128AB"/>
    <w:rsid w:val="00D12923"/>
    <w:rsid w:val="00D12C8B"/>
    <w:rsid w:val="00D13331"/>
    <w:rsid w:val="00D133F9"/>
    <w:rsid w:val="00D13BD7"/>
    <w:rsid w:val="00D143EC"/>
    <w:rsid w:val="00D144CA"/>
    <w:rsid w:val="00D145FB"/>
    <w:rsid w:val="00D1464F"/>
    <w:rsid w:val="00D1477D"/>
    <w:rsid w:val="00D15C6F"/>
    <w:rsid w:val="00D15D6F"/>
    <w:rsid w:val="00D15E34"/>
    <w:rsid w:val="00D15FCE"/>
    <w:rsid w:val="00D160A1"/>
    <w:rsid w:val="00D162A2"/>
    <w:rsid w:val="00D1645B"/>
    <w:rsid w:val="00D1665F"/>
    <w:rsid w:val="00D16D7E"/>
    <w:rsid w:val="00D16DAA"/>
    <w:rsid w:val="00D171F3"/>
    <w:rsid w:val="00D17430"/>
    <w:rsid w:val="00D20615"/>
    <w:rsid w:val="00D2096E"/>
    <w:rsid w:val="00D20B4D"/>
    <w:rsid w:val="00D2194E"/>
    <w:rsid w:val="00D21E39"/>
    <w:rsid w:val="00D22078"/>
    <w:rsid w:val="00D221FD"/>
    <w:rsid w:val="00D23412"/>
    <w:rsid w:val="00D243FC"/>
    <w:rsid w:val="00D24DB5"/>
    <w:rsid w:val="00D24E55"/>
    <w:rsid w:val="00D25085"/>
    <w:rsid w:val="00D250D4"/>
    <w:rsid w:val="00D25BDC"/>
    <w:rsid w:val="00D25DBF"/>
    <w:rsid w:val="00D271A1"/>
    <w:rsid w:val="00D30729"/>
    <w:rsid w:val="00D30B84"/>
    <w:rsid w:val="00D312B0"/>
    <w:rsid w:val="00D315E8"/>
    <w:rsid w:val="00D3162B"/>
    <w:rsid w:val="00D31670"/>
    <w:rsid w:val="00D31C0F"/>
    <w:rsid w:val="00D31E98"/>
    <w:rsid w:val="00D3217E"/>
    <w:rsid w:val="00D3221C"/>
    <w:rsid w:val="00D322BD"/>
    <w:rsid w:val="00D3249A"/>
    <w:rsid w:val="00D32A1A"/>
    <w:rsid w:val="00D330F7"/>
    <w:rsid w:val="00D3377D"/>
    <w:rsid w:val="00D33D3D"/>
    <w:rsid w:val="00D3437E"/>
    <w:rsid w:val="00D347EA"/>
    <w:rsid w:val="00D348F8"/>
    <w:rsid w:val="00D34E82"/>
    <w:rsid w:val="00D35691"/>
    <w:rsid w:val="00D35AE9"/>
    <w:rsid w:val="00D36BBF"/>
    <w:rsid w:val="00D36C50"/>
    <w:rsid w:val="00D36DED"/>
    <w:rsid w:val="00D4027C"/>
    <w:rsid w:val="00D40376"/>
    <w:rsid w:val="00D4043D"/>
    <w:rsid w:val="00D40581"/>
    <w:rsid w:val="00D40A24"/>
    <w:rsid w:val="00D40FDC"/>
    <w:rsid w:val="00D4149B"/>
    <w:rsid w:val="00D414B6"/>
    <w:rsid w:val="00D41F8B"/>
    <w:rsid w:val="00D41FDF"/>
    <w:rsid w:val="00D42208"/>
    <w:rsid w:val="00D42524"/>
    <w:rsid w:val="00D42609"/>
    <w:rsid w:val="00D428B2"/>
    <w:rsid w:val="00D429FD"/>
    <w:rsid w:val="00D44A7C"/>
    <w:rsid w:val="00D44AF3"/>
    <w:rsid w:val="00D44D1B"/>
    <w:rsid w:val="00D44E9B"/>
    <w:rsid w:val="00D4545A"/>
    <w:rsid w:val="00D45615"/>
    <w:rsid w:val="00D45B15"/>
    <w:rsid w:val="00D4638F"/>
    <w:rsid w:val="00D463D8"/>
    <w:rsid w:val="00D46484"/>
    <w:rsid w:val="00D46928"/>
    <w:rsid w:val="00D46BA1"/>
    <w:rsid w:val="00D46C49"/>
    <w:rsid w:val="00D476AD"/>
    <w:rsid w:val="00D4781C"/>
    <w:rsid w:val="00D4795E"/>
    <w:rsid w:val="00D47EC6"/>
    <w:rsid w:val="00D47F29"/>
    <w:rsid w:val="00D500DB"/>
    <w:rsid w:val="00D50415"/>
    <w:rsid w:val="00D5072B"/>
    <w:rsid w:val="00D50A0D"/>
    <w:rsid w:val="00D51899"/>
    <w:rsid w:val="00D51C32"/>
    <w:rsid w:val="00D521B5"/>
    <w:rsid w:val="00D527EC"/>
    <w:rsid w:val="00D528E9"/>
    <w:rsid w:val="00D52D21"/>
    <w:rsid w:val="00D52D24"/>
    <w:rsid w:val="00D53281"/>
    <w:rsid w:val="00D535F7"/>
    <w:rsid w:val="00D53BA4"/>
    <w:rsid w:val="00D54011"/>
    <w:rsid w:val="00D5494E"/>
    <w:rsid w:val="00D54B2A"/>
    <w:rsid w:val="00D54CBF"/>
    <w:rsid w:val="00D54FF1"/>
    <w:rsid w:val="00D55184"/>
    <w:rsid w:val="00D5548C"/>
    <w:rsid w:val="00D55C5F"/>
    <w:rsid w:val="00D5648C"/>
    <w:rsid w:val="00D56566"/>
    <w:rsid w:val="00D5683F"/>
    <w:rsid w:val="00D57385"/>
    <w:rsid w:val="00D57634"/>
    <w:rsid w:val="00D57C2A"/>
    <w:rsid w:val="00D600F5"/>
    <w:rsid w:val="00D60266"/>
    <w:rsid w:val="00D60AA3"/>
    <w:rsid w:val="00D60FE0"/>
    <w:rsid w:val="00D6150C"/>
    <w:rsid w:val="00D61E2C"/>
    <w:rsid w:val="00D624FF"/>
    <w:rsid w:val="00D627A1"/>
    <w:rsid w:val="00D63218"/>
    <w:rsid w:val="00D63BE4"/>
    <w:rsid w:val="00D63E12"/>
    <w:rsid w:val="00D6556A"/>
    <w:rsid w:val="00D656B4"/>
    <w:rsid w:val="00D658F8"/>
    <w:rsid w:val="00D65B74"/>
    <w:rsid w:val="00D66149"/>
    <w:rsid w:val="00D66293"/>
    <w:rsid w:val="00D663D9"/>
    <w:rsid w:val="00D66644"/>
    <w:rsid w:val="00D66C74"/>
    <w:rsid w:val="00D66D46"/>
    <w:rsid w:val="00D66FD5"/>
    <w:rsid w:val="00D67382"/>
    <w:rsid w:val="00D67BDF"/>
    <w:rsid w:val="00D67E45"/>
    <w:rsid w:val="00D7038D"/>
    <w:rsid w:val="00D70D86"/>
    <w:rsid w:val="00D70DAF"/>
    <w:rsid w:val="00D70E7A"/>
    <w:rsid w:val="00D710D9"/>
    <w:rsid w:val="00D713C0"/>
    <w:rsid w:val="00D71462"/>
    <w:rsid w:val="00D71696"/>
    <w:rsid w:val="00D7263F"/>
    <w:rsid w:val="00D72CF2"/>
    <w:rsid w:val="00D733A7"/>
    <w:rsid w:val="00D73887"/>
    <w:rsid w:val="00D73C5E"/>
    <w:rsid w:val="00D73D87"/>
    <w:rsid w:val="00D73D96"/>
    <w:rsid w:val="00D7420E"/>
    <w:rsid w:val="00D7470A"/>
    <w:rsid w:val="00D74D18"/>
    <w:rsid w:val="00D74EA0"/>
    <w:rsid w:val="00D760D2"/>
    <w:rsid w:val="00D766AF"/>
    <w:rsid w:val="00D7673E"/>
    <w:rsid w:val="00D769FD"/>
    <w:rsid w:val="00D76E26"/>
    <w:rsid w:val="00D76F3A"/>
    <w:rsid w:val="00D77265"/>
    <w:rsid w:val="00D7731B"/>
    <w:rsid w:val="00D778A0"/>
    <w:rsid w:val="00D77BD7"/>
    <w:rsid w:val="00D77E81"/>
    <w:rsid w:val="00D77F76"/>
    <w:rsid w:val="00D8067C"/>
    <w:rsid w:val="00D80A48"/>
    <w:rsid w:val="00D81573"/>
    <w:rsid w:val="00D8158D"/>
    <w:rsid w:val="00D81AF1"/>
    <w:rsid w:val="00D81DA4"/>
    <w:rsid w:val="00D81F40"/>
    <w:rsid w:val="00D82AF1"/>
    <w:rsid w:val="00D82BD8"/>
    <w:rsid w:val="00D832EA"/>
    <w:rsid w:val="00D83B93"/>
    <w:rsid w:val="00D83C23"/>
    <w:rsid w:val="00D83F48"/>
    <w:rsid w:val="00D84166"/>
    <w:rsid w:val="00D845AD"/>
    <w:rsid w:val="00D8463C"/>
    <w:rsid w:val="00D8483B"/>
    <w:rsid w:val="00D8549F"/>
    <w:rsid w:val="00D85BDE"/>
    <w:rsid w:val="00D868B4"/>
    <w:rsid w:val="00D86A68"/>
    <w:rsid w:val="00D86B66"/>
    <w:rsid w:val="00D86E1E"/>
    <w:rsid w:val="00D87AE3"/>
    <w:rsid w:val="00D87B49"/>
    <w:rsid w:val="00D9037F"/>
    <w:rsid w:val="00D9049B"/>
    <w:rsid w:val="00D908D4"/>
    <w:rsid w:val="00D90EC6"/>
    <w:rsid w:val="00D914AF"/>
    <w:rsid w:val="00D91683"/>
    <w:rsid w:val="00D917C4"/>
    <w:rsid w:val="00D91A4C"/>
    <w:rsid w:val="00D92AD9"/>
    <w:rsid w:val="00D936A7"/>
    <w:rsid w:val="00D93DFD"/>
    <w:rsid w:val="00D9419F"/>
    <w:rsid w:val="00D94DBC"/>
    <w:rsid w:val="00D94E8F"/>
    <w:rsid w:val="00D9548F"/>
    <w:rsid w:val="00D9554A"/>
    <w:rsid w:val="00D9586B"/>
    <w:rsid w:val="00D958E5"/>
    <w:rsid w:val="00D959B1"/>
    <w:rsid w:val="00D95B1F"/>
    <w:rsid w:val="00D95F2A"/>
    <w:rsid w:val="00D9609E"/>
    <w:rsid w:val="00D972D5"/>
    <w:rsid w:val="00D97F23"/>
    <w:rsid w:val="00DA05DC"/>
    <w:rsid w:val="00DA0967"/>
    <w:rsid w:val="00DA0C79"/>
    <w:rsid w:val="00DA0FA1"/>
    <w:rsid w:val="00DA117F"/>
    <w:rsid w:val="00DA119B"/>
    <w:rsid w:val="00DA1233"/>
    <w:rsid w:val="00DA1872"/>
    <w:rsid w:val="00DA27BB"/>
    <w:rsid w:val="00DA297B"/>
    <w:rsid w:val="00DA338B"/>
    <w:rsid w:val="00DA4814"/>
    <w:rsid w:val="00DA48EE"/>
    <w:rsid w:val="00DA4F18"/>
    <w:rsid w:val="00DA52BB"/>
    <w:rsid w:val="00DA54C3"/>
    <w:rsid w:val="00DA54D5"/>
    <w:rsid w:val="00DA5819"/>
    <w:rsid w:val="00DA58D3"/>
    <w:rsid w:val="00DA5B0D"/>
    <w:rsid w:val="00DA5ED2"/>
    <w:rsid w:val="00DA6007"/>
    <w:rsid w:val="00DA624D"/>
    <w:rsid w:val="00DA63C0"/>
    <w:rsid w:val="00DA6703"/>
    <w:rsid w:val="00DA6A56"/>
    <w:rsid w:val="00DA6BB9"/>
    <w:rsid w:val="00DA6C7C"/>
    <w:rsid w:val="00DA6E43"/>
    <w:rsid w:val="00DA6E8E"/>
    <w:rsid w:val="00DA7A50"/>
    <w:rsid w:val="00DB00BD"/>
    <w:rsid w:val="00DB0930"/>
    <w:rsid w:val="00DB0E8E"/>
    <w:rsid w:val="00DB1089"/>
    <w:rsid w:val="00DB119A"/>
    <w:rsid w:val="00DB165F"/>
    <w:rsid w:val="00DB1F65"/>
    <w:rsid w:val="00DB248C"/>
    <w:rsid w:val="00DB2B3B"/>
    <w:rsid w:val="00DB3077"/>
    <w:rsid w:val="00DB36E0"/>
    <w:rsid w:val="00DB3CFF"/>
    <w:rsid w:val="00DB3EF1"/>
    <w:rsid w:val="00DB4606"/>
    <w:rsid w:val="00DB4A41"/>
    <w:rsid w:val="00DB4C43"/>
    <w:rsid w:val="00DB538B"/>
    <w:rsid w:val="00DB558F"/>
    <w:rsid w:val="00DB58EE"/>
    <w:rsid w:val="00DB59DC"/>
    <w:rsid w:val="00DB59E6"/>
    <w:rsid w:val="00DB5A98"/>
    <w:rsid w:val="00DB67B7"/>
    <w:rsid w:val="00DB68D9"/>
    <w:rsid w:val="00DB6B0C"/>
    <w:rsid w:val="00DB73CD"/>
    <w:rsid w:val="00DB76DF"/>
    <w:rsid w:val="00DB786E"/>
    <w:rsid w:val="00DB7AFB"/>
    <w:rsid w:val="00DC0377"/>
    <w:rsid w:val="00DC0D06"/>
    <w:rsid w:val="00DC0D5F"/>
    <w:rsid w:val="00DC1035"/>
    <w:rsid w:val="00DC16E3"/>
    <w:rsid w:val="00DC1A81"/>
    <w:rsid w:val="00DC1B3B"/>
    <w:rsid w:val="00DC1E55"/>
    <w:rsid w:val="00DC2884"/>
    <w:rsid w:val="00DC2ADE"/>
    <w:rsid w:val="00DC2FE4"/>
    <w:rsid w:val="00DC3054"/>
    <w:rsid w:val="00DC36A9"/>
    <w:rsid w:val="00DC37BD"/>
    <w:rsid w:val="00DC38C4"/>
    <w:rsid w:val="00DC39BB"/>
    <w:rsid w:val="00DC3A6E"/>
    <w:rsid w:val="00DC3ADC"/>
    <w:rsid w:val="00DC485C"/>
    <w:rsid w:val="00DC541C"/>
    <w:rsid w:val="00DC5688"/>
    <w:rsid w:val="00DC58DC"/>
    <w:rsid w:val="00DC653E"/>
    <w:rsid w:val="00DC66B7"/>
    <w:rsid w:val="00DC69EC"/>
    <w:rsid w:val="00DC6CCA"/>
    <w:rsid w:val="00DC6EDE"/>
    <w:rsid w:val="00DC7CFF"/>
    <w:rsid w:val="00DC7FB8"/>
    <w:rsid w:val="00DD0106"/>
    <w:rsid w:val="00DD0560"/>
    <w:rsid w:val="00DD0EB5"/>
    <w:rsid w:val="00DD11B8"/>
    <w:rsid w:val="00DD264D"/>
    <w:rsid w:val="00DD38DE"/>
    <w:rsid w:val="00DD3AD9"/>
    <w:rsid w:val="00DD3E18"/>
    <w:rsid w:val="00DD3F19"/>
    <w:rsid w:val="00DD46CF"/>
    <w:rsid w:val="00DD4A92"/>
    <w:rsid w:val="00DD4ADD"/>
    <w:rsid w:val="00DD4FF8"/>
    <w:rsid w:val="00DD56E7"/>
    <w:rsid w:val="00DD5909"/>
    <w:rsid w:val="00DD5C2C"/>
    <w:rsid w:val="00DD5C7F"/>
    <w:rsid w:val="00DD5CD9"/>
    <w:rsid w:val="00DD5E1C"/>
    <w:rsid w:val="00DD67F5"/>
    <w:rsid w:val="00DD6C3D"/>
    <w:rsid w:val="00DE0050"/>
    <w:rsid w:val="00DE0367"/>
    <w:rsid w:val="00DE172F"/>
    <w:rsid w:val="00DE1D72"/>
    <w:rsid w:val="00DE1F5D"/>
    <w:rsid w:val="00DE2139"/>
    <w:rsid w:val="00DE2617"/>
    <w:rsid w:val="00DE2A4D"/>
    <w:rsid w:val="00DE2A57"/>
    <w:rsid w:val="00DE2B7B"/>
    <w:rsid w:val="00DE2C06"/>
    <w:rsid w:val="00DE2CA7"/>
    <w:rsid w:val="00DE342C"/>
    <w:rsid w:val="00DE3442"/>
    <w:rsid w:val="00DE35E8"/>
    <w:rsid w:val="00DE36E6"/>
    <w:rsid w:val="00DE38A7"/>
    <w:rsid w:val="00DE3BB3"/>
    <w:rsid w:val="00DE3C73"/>
    <w:rsid w:val="00DE3F82"/>
    <w:rsid w:val="00DE491A"/>
    <w:rsid w:val="00DE49AE"/>
    <w:rsid w:val="00DE4FBD"/>
    <w:rsid w:val="00DE50F5"/>
    <w:rsid w:val="00DE5D0C"/>
    <w:rsid w:val="00DE61D8"/>
    <w:rsid w:val="00DE694E"/>
    <w:rsid w:val="00DE6EBE"/>
    <w:rsid w:val="00DE7DFC"/>
    <w:rsid w:val="00DF19AA"/>
    <w:rsid w:val="00DF22DA"/>
    <w:rsid w:val="00DF2457"/>
    <w:rsid w:val="00DF260E"/>
    <w:rsid w:val="00DF279C"/>
    <w:rsid w:val="00DF2F89"/>
    <w:rsid w:val="00DF30F4"/>
    <w:rsid w:val="00DF31CC"/>
    <w:rsid w:val="00DF349F"/>
    <w:rsid w:val="00DF3621"/>
    <w:rsid w:val="00DF3D53"/>
    <w:rsid w:val="00DF41BE"/>
    <w:rsid w:val="00DF429E"/>
    <w:rsid w:val="00DF42AC"/>
    <w:rsid w:val="00DF42F3"/>
    <w:rsid w:val="00DF44D6"/>
    <w:rsid w:val="00DF4BD0"/>
    <w:rsid w:val="00DF4C5D"/>
    <w:rsid w:val="00DF4F0C"/>
    <w:rsid w:val="00DF51F2"/>
    <w:rsid w:val="00DF57A4"/>
    <w:rsid w:val="00DF57CE"/>
    <w:rsid w:val="00DF5E05"/>
    <w:rsid w:val="00DF5F06"/>
    <w:rsid w:val="00DF641E"/>
    <w:rsid w:val="00DF6652"/>
    <w:rsid w:val="00DF6FAF"/>
    <w:rsid w:val="00DF74CB"/>
    <w:rsid w:val="00DF79B1"/>
    <w:rsid w:val="00DF7AF9"/>
    <w:rsid w:val="00E0001A"/>
    <w:rsid w:val="00E0015E"/>
    <w:rsid w:val="00E00446"/>
    <w:rsid w:val="00E00807"/>
    <w:rsid w:val="00E00C96"/>
    <w:rsid w:val="00E020F4"/>
    <w:rsid w:val="00E02614"/>
    <w:rsid w:val="00E0336A"/>
    <w:rsid w:val="00E033EF"/>
    <w:rsid w:val="00E034C2"/>
    <w:rsid w:val="00E03E8B"/>
    <w:rsid w:val="00E04019"/>
    <w:rsid w:val="00E0475D"/>
    <w:rsid w:val="00E04C76"/>
    <w:rsid w:val="00E04F32"/>
    <w:rsid w:val="00E051D1"/>
    <w:rsid w:val="00E05477"/>
    <w:rsid w:val="00E059A3"/>
    <w:rsid w:val="00E05DE1"/>
    <w:rsid w:val="00E05E6D"/>
    <w:rsid w:val="00E061BB"/>
    <w:rsid w:val="00E06A6B"/>
    <w:rsid w:val="00E06E19"/>
    <w:rsid w:val="00E07101"/>
    <w:rsid w:val="00E073F9"/>
    <w:rsid w:val="00E075AA"/>
    <w:rsid w:val="00E07BC5"/>
    <w:rsid w:val="00E10005"/>
    <w:rsid w:val="00E1002A"/>
    <w:rsid w:val="00E101D6"/>
    <w:rsid w:val="00E10AFA"/>
    <w:rsid w:val="00E113D0"/>
    <w:rsid w:val="00E11683"/>
    <w:rsid w:val="00E11D5B"/>
    <w:rsid w:val="00E12087"/>
    <w:rsid w:val="00E12A7F"/>
    <w:rsid w:val="00E12B80"/>
    <w:rsid w:val="00E12C2C"/>
    <w:rsid w:val="00E12D10"/>
    <w:rsid w:val="00E12D67"/>
    <w:rsid w:val="00E12D88"/>
    <w:rsid w:val="00E12E53"/>
    <w:rsid w:val="00E130A6"/>
    <w:rsid w:val="00E132EE"/>
    <w:rsid w:val="00E136FA"/>
    <w:rsid w:val="00E13A3F"/>
    <w:rsid w:val="00E13E81"/>
    <w:rsid w:val="00E1440B"/>
    <w:rsid w:val="00E146BA"/>
    <w:rsid w:val="00E14848"/>
    <w:rsid w:val="00E1510F"/>
    <w:rsid w:val="00E152DD"/>
    <w:rsid w:val="00E15D28"/>
    <w:rsid w:val="00E162CE"/>
    <w:rsid w:val="00E16A0A"/>
    <w:rsid w:val="00E16AE3"/>
    <w:rsid w:val="00E17AEA"/>
    <w:rsid w:val="00E20051"/>
    <w:rsid w:val="00E20238"/>
    <w:rsid w:val="00E20402"/>
    <w:rsid w:val="00E20D4A"/>
    <w:rsid w:val="00E20F59"/>
    <w:rsid w:val="00E212A8"/>
    <w:rsid w:val="00E213C6"/>
    <w:rsid w:val="00E21475"/>
    <w:rsid w:val="00E214F7"/>
    <w:rsid w:val="00E21A9F"/>
    <w:rsid w:val="00E21B16"/>
    <w:rsid w:val="00E21B40"/>
    <w:rsid w:val="00E21C93"/>
    <w:rsid w:val="00E21FAE"/>
    <w:rsid w:val="00E22043"/>
    <w:rsid w:val="00E224A6"/>
    <w:rsid w:val="00E22BF9"/>
    <w:rsid w:val="00E22C24"/>
    <w:rsid w:val="00E2315B"/>
    <w:rsid w:val="00E232D6"/>
    <w:rsid w:val="00E23B73"/>
    <w:rsid w:val="00E23FB0"/>
    <w:rsid w:val="00E24A0F"/>
    <w:rsid w:val="00E24D38"/>
    <w:rsid w:val="00E25156"/>
    <w:rsid w:val="00E252E3"/>
    <w:rsid w:val="00E253F5"/>
    <w:rsid w:val="00E2556A"/>
    <w:rsid w:val="00E25AFC"/>
    <w:rsid w:val="00E25B89"/>
    <w:rsid w:val="00E25D21"/>
    <w:rsid w:val="00E25D63"/>
    <w:rsid w:val="00E2615A"/>
    <w:rsid w:val="00E26E1A"/>
    <w:rsid w:val="00E27418"/>
    <w:rsid w:val="00E27602"/>
    <w:rsid w:val="00E276BD"/>
    <w:rsid w:val="00E3139D"/>
    <w:rsid w:val="00E32521"/>
    <w:rsid w:val="00E32823"/>
    <w:rsid w:val="00E32FBF"/>
    <w:rsid w:val="00E3385B"/>
    <w:rsid w:val="00E33AF3"/>
    <w:rsid w:val="00E33CE6"/>
    <w:rsid w:val="00E33D1B"/>
    <w:rsid w:val="00E34578"/>
    <w:rsid w:val="00E3461C"/>
    <w:rsid w:val="00E347E7"/>
    <w:rsid w:val="00E34BAA"/>
    <w:rsid w:val="00E34BFD"/>
    <w:rsid w:val="00E34D9C"/>
    <w:rsid w:val="00E34E69"/>
    <w:rsid w:val="00E35092"/>
    <w:rsid w:val="00E3517C"/>
    <w:rsid w:val="00E3553C"/>
    <w:rsid w:val="00E3592E"/>
    <w:rsid w:val="00E35F4D"/>
    <w:rsid w:val="00E36DF9"/>
    <w:rsid w:val="00E37116"/>
    <w:rsid w:val="00E37451"/>
    <w:rsid w:val="00E376AA"/>
    <w:rsid w:val="00E37FA2"/>
    <w:rsid w:val="00E40268"/>
    <w:rsid w:val="00E4059C"/>
    <w:rsid w:val="00E40FE9"/>
    <w:rsid w:val="00E41CEF"/>
    <w:rsid w:val="00E42366"/>
    <w:rsid w:val="00E42ECD"/>
    <w:rsid w:val="00E430B1"/>
    <w:rsid w:val="00E43255"/>
    <w:rsid w:val="00E43306"/>
    <w:rsid w:val="00E433B0"/>
    <w:rsid w:val="00E43569"/>
    <w:rsid w:val="00E43739"/>
    <w:rsid w:val="00E43C2B"/>
    <w:rsid w:val="00E442FC"/>
    <w:rsid w:val="00E44876"/>
    <w:rsid w:val="00E44CEE"/>
    <w:rsid w:val="00E44E7A"/>
    <w:rsid w:val="00E4504D"/>
    <w:rsid w:val="00E4587D"/>
    <w:rsid w:val="00E45CCB"/>
    <w:rsid w:val="00E45D60"/>
    <w:rsid w:val="00E46E37"/>
    <w:rsid w:val="00E47493"/>
    <w:rsid w:val="00E478F4"/>
    <w:rsid w:val="00E47F2A"/>
    <w:rsid w:val="00E500F2"/>
    <w:rsid w:val="00E501FF"/>
    <w:rsid w:val="00E50763"/>
    <w:rsid w:val="00E508B7"/>
    <w:rsid w:val="00E51321"/>
    <w:rsid w:val="00E5137D"/>
    <w:rsid w:val="00E513CE"/>
    <w:rsid w:val="00E51C28"/>
    <w:rsid w:val="00E522C5"/>
    <w:rsid w:val="00E52335"/>
    <w:rsid w:val="00E5293E"/>
    <w:rsid w:val="00E52DE5"/>
    <w:rsid w:val="00E52E71"/>
    <w:rsid w:val="00E53A63"/>
    <w:rsid w:val="00E53B75"/>
    <w:rsid w:val="00E53BAA"/>
    <w:rsid w:val="00E53BE7"/>
    <w:rsid w:val="00E54824"/>
    <w:rsid w:val="00E549BC"/>
    <w:rsid w:val="00E54AA0"/>
    <w:rsid w:val="00E54C73"/>
    <w:rsid w:val="00E5582E"/>
    <w:rsid w:val="00E5629B"/>
    <w:rsid w:val="00E564C7"/>
    <w:rsid w:val="00E56592"/>
    <w:rsid w:val="00E56F70"/>
    <w:rsid w:val="00E5753D"/>
    <w:rsid w:val="00E6027B"/>
    <w:rsid w:val="00E60787"/>
    <w:rsid w:val="00E60C6D"/>
    <w:rsid w:val="00E60D74"/>
    <w:rsid w:val="00E612F4"/>
    <w:rsid w:val="00E61364"/>
    <w:rsid w:val="00E61AC3"/>
    <w:rsid w:val="00E61BD7"/>
    <w:rsid w:val="00E61C78"/>
    <w:rsid w:val="00E61D12"/>
    <w:rsid w:val="00E61D43"/>
    <w:rsid w:val="00E62162"/>
    <w:rsid w:val="00E628F0"/>
    <w:rsid w:val="00E62904"/>
    <w:rsid w:val="00E62A53"/>
    <w:rsid w:val="00E62D93"/>
    <w:rsid w:val="00E638D7"/>
    <w:rsid w:val="00E63D33"/>
    <w:rsid w:val="00E63E5C"/>
    <w:rsid w:val="00E64365"/>
    <w:rsid w:val="00E64887"/>
    <w:rsid w:val="00E649B5"/>
    <w:rsid w:val="00E64DC8"/>
    <w:rsid w:val="00E6521E"/>
    <w:rsid w:val="00E652FC"/>
    <w:rsid w:val="00E66027"/>
    <w:rsid w:val="00E66311"/>
    <w:rsid w:val="00E6645F"/>
    <w:rsid w:val="00E66957"/>
    <w:rsid w:val="00E675DD"/>
    <w:rsid w:val="00E677DC"/>
    <w:rsid w:val="00E678BF"/>
    <w:rsid w:val="00E67EE3"/>
    <w:rsid w:val="00E7026B"/>
    <w:rsid w:val="00E702F0"/>
    <w:rsid w:val="00E7067D"/>
    <w:rsid w:val="00E71431"/>
    <w:rsid w:val="00E71A1F"/>
    <w:rsid w:val="00E71B0C"/>
    <w:rsid w:val="00E71CB2"/>
    <w:rsid w:val="00E71D25"/>
    <w:rsid w:val="00E73258"/>
    <w:rsid w:val="00E7374C"/>
    <w:rsid w:val="00E73C16"/>
    <w:rsid w:val="00E73D1F"/>
    <w:rsid w:val="00E73DBA"/>
    <w:rsid w:val="00E7443E"/>
    <w:rsid w:val="00E746DC"/>
    <w:rsid w:val="00E7478B"/>
    <w:rsid w:val="00E74923"/>
    <w:rsid w:val="00E74D75"/>
    <w:rsid w:val="00E74F7C"/>
    <w:rsid w:val="00E75086"/>
    <w:rsid w:val="00E7508C"/>
    <w:rsid w:val="00E755C9"/>
    <w:rsid w:val="00E7587E"/>
    <w:rsid w:val="00E75E42"/>
    <w:rsid w:val="00E75FBB"/>
    <w:rsid w:val="00E76065"/>
    <w:rsid w:val="00E76E1D"/>
    <w:rsid w:val="00E76E44"/>
    <w:rsid w:val="00E778EC"/>
    <w:rsid w:val="00E7797F"/>
    <w:rsid w:val="00E779D6"/>
    <w:rsid w:val="00E80159"/>
    <w:rsid w:val="00E80845"/>
    <w:rsid w:val="00E8100F"/>
    <w:rsid w:val="00E81231"/>
    <w:rsid w:val="00E815A3"/>
    <w:rsid w:val="00E826E1"/>
    <w:rsid w:val="00E828C7"/>
    <w:rsid w:val="00E82CD4"/>
    <w:rsid w:val="00E82DE5"/>
    <w:rsid w:val="00E83158"/>
    <w:rsid w:val="00E83340"/>
    <w:rsid w:val="00E83A83"/>
    <w:rsid w:val="00E83B25"/>
    <w:rsid w:val="00E8419B"/>
    <w:rsid w:val="00E843B7"/>
    <w:rsid w:val="00E8455A"/>
    <w:rsid w:val="00E84984"/>
    <w:rsid w:val="00E84C9B"/>
    <w:rsid w:val="00E8543B"/>
    <w:rsid w:val="00E85CCB"/>
    <w:rsid w:val="00E867C9"/>
    <w:rsid w:val="00E86EB0"/>
    <w:rsid w:val="00E8751F"/>
    <w:rsid w:val="00E8789D"/>
    <w:rsid w:val="00E9015A"/>
    <w:rsid w:val="00E906E9"/>
    <w:rsid w:val="00E90733"/>
    <w:rsid w:val="00E90DD1"/>
    <w:rsid w:val="00E9115E"/>
    <w:rsid w:val="00E911A0"/>
    <w:rsid w:val="00E91884"/>
    <w:rsid w:val="00E91F9F"/>
    <w:rsid w:val="00E91FC8"/>
    <w:rsid w:val="00E9233B"/>
    <w:rsid w:val="00E92EFB"/>
    <w:rsid w:val="00E9319B"/>
    <w:rsid w:val="00E93269"/>
    <w:rsid w:val="00E9327E"/>
    <w:rsid w:val="00E93358"/>
    <w:rsid w:val="00E934E9"/>
    <w:rsid w:val="00E93703"/>
    <w:rsid w:val="00E938C0"/>
    <w:rsid w:val="00E93C5F"/>
    <w:rsid w:val="00E93C62"/>
    <w:rsid w:val="00E93CB2"/>
    <w:rsid w:val="00E941CA"/>
    <w:rsid w:val="00E94AA7"/>
    <w:rsid w:val="00E94D7E"/>
    <w:rsid w:val="00E94E2B"/>
    <w:rsid w:val="00E956D0"/>
    <w:rsid w:val="00E95B40"/>
    <w:rsid w:val="00E95FB7"/>
    <w:rsid w:val="00E969B6"/>
    <w:rsid w:val="00E96D99"/>
    <w:rsid w:val="00E96EC7"/>
    <w:rsid w:val="00E97031"/>
    <w:rsid w:val="00E97388"/>
    <w:rsid w:val="00E9797D"/>
    <w:rsid w:val="00EA06A8"/>
    <w:rsid w:val="00EA0ACF"/>
    <w:rsid w:val="00EA0B65"/>
    <w:rsid w:val="00EA1407"/>
    <w:rsid w:val="00EA211B"/>
    <w:rsid w:val="00EA2E57"/>
    <w:rsid w:val="00EA328A"/>
    <w:rsid w:val="00EA3660"/>
    <w:rsid w:val="00EA49E4"/>
    <w:rsid w:val="00EA4A7D"/>
    <w:rsid w:val="00EA4ED3"/>
    <w:rsid w:val="00EA536D"/>
    <w:rsid w:val="00EA560C"/>
    <w:rsid w:val="00EA5A77"/>
    <w:rsid w:val="00EA5C37"/>
    <w:rsid w:val="00EA5D58"/>
    <w:rsid w:val="00EA626C"/>
    <w:rsid w:val="00EA64C9"/>
    <w:rsid w:val="00EA6C56"/>
    <w:rsid w:val="00EA70D1"/>
    <w:rsid w:val="00EA7AAD"/>
    <w:rsid w:val="00EA7D08"/>
    <w:rsid w:val="00EA7E11"/>
    <w:rsid w:val="00EA7E15"/>
    <w:rsid w:val="00EB023B"/>
    <w:rsid w:val="00EB0495"/>
    <w:rsid w:val="00EB0C24"/>
    <w:rsid w:val="00EB155D"/>
    <w:rsid w:val="00EB1D0C"/>
    <w:rsid w:val="00EB2049"/>
    <w:rsid w:val="00EB2150"/>
    <w:rsid w:val="00EB217A"/>
    <w:rsid w:val="00EB2B92"/>
    <w:rsid w:val="00EB30DC"/>
    <w:rsid w:val="00EB3339"/>
    <w:rsid w:val="00EB33C2"/>
    <w:rsid w:val="00EB34C5"/>
    <w:rsid w:val="00EB35F4"/>
    <w:rsid w:val="00EB397E"/>
    <w:rsid w:val="00EB3E9E"/>
    <w:rsid w:val="00EB3F48"/>
    <w:rsid w:val="00EB4161"/>
    <w:rsid w:val="00EB41AC"/>
    <w:rsid w:val="00EB4CCE"/>
    <w:rsid w:val="00EB56FB"/>
    <w:rsid w:val="00EB5CA7"/>
    <w:rsid w:val="00EB6295"/>
    <w:rsid w:val="00EB6B61"/>
    <w:rsid w:val="00EB6EED"/>
    <w:rsid w:val="00EB7450"/>
    <w:rsid w:val="00EC0363"/>
    <w:rsid w:val="00EC07AD"/>
    <w:rsid w:val="00EC0B40"/>
    <w:rsid w:val="00EC1237"/>
    <w:rsid w:val="00EC1493"/>
    <w:rsid w:val="00EC18FC"/>
    <w:rsid w:val="00EC21EB"/>
    <w:rsid w:val="00EC2934"/>
    <w:rsid w:val="00EC2E2E"/>
    <w:rsid w:val="00EC3BBB"/>
    <w:rsid w:val="00EC4BAE"/>
    <w:rsid w:val="00EC4C41"/>
    <w:rsid w:val="00EC56E5"/>
    <w:rsid w:val="00EC5878"/>
    <w:rsid w:val="00EC58A4"/>
    <w:rsid w:val="00EC5C51"/>
    <w:rsid w:val="00EC5D02"/>
    <w:rsid w:val="00EC5EA9"/>
    <w:rsid w:val="00EC603F"/>
    <w:rsid w:val="00EC616E"/>
    <w:rsid w:val="00EC6194"/>
    <w:rsid w:val="00EC6530"/>
    <w:rsid w:val="00EC68C2"/>
    <w:rsid w:val="00EC75D8"/>
    <w:rsid w:val="00EC7BC3"/>
    <w:rsid w:val="00EC7EE6"/>
    <w:rsid w:val="00ED01BA"/>
    <w:rsid w:val="00ED02A6"/>
    <w:rsid w:val="00ED09F7"/>
    <w:rsid w:val="00ED100C"/>
    <w:rsid w:val="00ED11B8"/>
    <w:rsid w:val="00ED19DD"/>
    <w:rsid w:val="00ED1B40"/>
    <w:rsid w:val="00ED225C"/>
    <w:rsid w:val="00ED267D"/>
    <w:rsid w:val="00ED2760"/>
    <w:rsid w:val="00ED2890"/>
    <w:rsid w:val="00ED28EF"/>
    <w:rsid w:val="00ED2CA2"/>
    <w:rsid w:val="00ED2E14"/>
    <w:rsid w:val="00ED3236"/>
    <w:rsid w:val="00ED3322"/>
    <w:rsid w:val="00ED4883"/>
    <w:rsid w:val="00ED491C"/>
    <w:rsid w:val="00ED4971"/>
    <w:rsid w:val="00ED4C52"/>
    <w:rsid w:val="00ED51A7"/>
    <w:rsid w:val="00ED569C"/>
    <w:rsid w:val="00ED5C29"/>
    <w:rsid w:val="00ED5CFF"/>
    <w:rsid w:val="00ED6082"/>
    <w:rsid w:val="00ED6121"/>
    <w:rsid w:val="00ED6578"/>
    <w:rsid w:val="00ED6F6F"/>
    <w:rsid w:val="00ED6FFC"/>
    <w:rsid w:val="00ED70D6"/>
    <w:rsid w:val="00ED750B"/>
    <w:rsid w:val="00ED78F3"/>
    <w:rsid w:val="00ED7D96"/>
    <w:rsid w:val="00ED7FC4"/>
    <w:rsid w:val="00EE107C"/>
    <w:rsid w:val="00EE132E"/>
    <w:rsid w:val="00EE1591"/>
    <w:rsid w:val="00EE1816"/>
    <w:rsid w:val="00EE1A5C"/>
    <w:rsid w:val="00EE23C4"/>
    <w:rsid w:val="00EE2D5F"/>
    <w:rsid w:val="00EE31F6"/>
    <w:rsid w:val="00EE33AB"/>
    <w:rsid w:val="00EE36FE"/>
    <w:rsid w:val="00EE38C5"/>
    <w:rsid w:val="00EE3DB5"/>
    <w:rsid w:val="00EE4085"/>
    <w:rsid w:val="00EE41CE"/>
    <w:rsid w:val="00EE43E4"/>
    <w:rsid w:val="00EE4B81"/>
    <w:rsid w:val="00EE5235"/>
    <w:rsid w:val="00EE5A84"/>
    <w:rsid w:val="00EE5F74"/>
    <w:rsid w:val="00EE6051"/>
    <w:rsid w:val="00EE61E4"/>
    <w:rsid w:val="00EE6810"/>
    <w:rsid w:val="00EE6ACC"/>
    <w:rsid w:val="00EE71B7"/>
    <w:rsid w:val="00EE74B6"/>
    <w:rsid w:val="00EE7A4C"/>
    <w:rsid w:val="00EF072F"/>
    <w:rsid w:val="00EF1029"/>
    <w:rsid w:val="00EF119F"/>
    <w:rsid w:val="00EF1713"/>
    <w:rsid w:val="00EF1CC3"/>
    <w:rsid w:val="00EF1D6C"/>
    <w:rsid w:val="00EF1F30"/>
    <w:rsid w:val="00EF213B"/>
    <w:rsid w:val="00EF263A"/>
    <w:rsid w:val="00EF2CBB"/>
    <w:rsid w:val="00EF38C0"/>
    <w:rsid w:val="00EF4576"/>
    <w:rsid w:val="00EF4D0F"/>
    <w:rsid w:val="00EF5845"/>
    <w:rsid w:val="00EF5990"/>
    <w:rsid w:val="00EF619F"/>
    <w:rsid w:val="00EF63C2"/>
    <w:rsid w:val="00EF692D"/>
    <w:rsid w:val="00EF6A1A"/>
    <w:rsid w:val="00EF737D"/>
    <w:rsid w:val="00EF75DE"/>
    <w:rsid w:val="00EF7630"/>
    <w:rsid w:val="00EF767A"/>
    <w:rsid w:val="00EF774F"/>
    <w:rsid w:val="00EF7D6A"/>
    <w:rsid w:val="00F00173"/>
    <w:rsid w:val="00F00272"/>
    <w:rsid w:val="00F003F2"/>
    <w:rsid w:val="00F00C06"/>
    <w:rsid w:val="00F00DE5"/>
    <w:rsid w:val="00F0103E"/>
    <w:rsid w:val="00F0113E"/>
    <w:rsid w:val="00F01629"/>
    <w:rsid w:val="00F016C2"/>
    <w:rsid w:val="00F01770"/>
    <w:rsid w:val="00F0216D"/>
    <w:rsid w:val="00F022BE"/>
    <w:rsid w:val="00F02633"/>
    <w:rsid w:val="00F026FB"/>
    <w:rsid w:val="00F027AB"/>
    <w:rsid w:val="00F029BA"/>
    <w:rsid w:val="00F02B75"/>
    <w:rsid w:val="00F039D8"/>
    <w:rsid w:val="00F047CF"/>
    <w:rsid w:val="00F0481E"/>
    <w:rsid w:val="00F04DF3"/>
    <w:rsid w:val="00F04F48"/>
    <w:rsid w:val="00F05080"/>
    <w:rsid w:val="00F050D0"/>
    <w:rsid w:val="00F052B4"/>
    <w:rsid w:val="00F05380"/>
    <w:rsid w:val="00F05A7D"/>
    <w:rsid w:val="00F05D91"/>
    <w:rsid w:val="00F05ECF"/>
    <w:rsid w:val="00F06037"/>
    <w:rsid w:val="00F06738"/>
    <w:rsid w:val="00F06F85"/>
    <w:rsid w:val="00F0751A"/>
    <w:rsid w:val="00F07A62"/>
    <w:rsid w:val="00F07AAE"/>
    <w:rsid w:val="00F07D05"/>
    <w:rsid w:val="00F100F7"/>
    <w:rsid w:val="00F1082D"/>
    <w:rsid w:val="00F109D7"/>
    <w:rsid w:val="00F10CC7"/>
    <w:rsid w:val="00F10E35"/>
    <w:rsid w:val="00F1117A"/>
    <w:rsid w:val="00F116F0"/>
    <w:rsid w:val="00F11811"/>
    <w:rsid w:val="00F11A01"/>
    <w:rsid w:val="00F11D6A"/>
    <w:rsid w:val="00F12841"/>
    <w:rsid w:val="00F129AF"/>
    <w:rsid w:val="00F12D27"/>
    <w:rsid w:val="00F12FC7"/>
    <w:rsid w:val="00F1382F"/>
    <w:rsid w:val="00F14583"/>
    <w:rsid w:val="00F15172"/>
    <w:rsid w:val="00F15364"/>
    <w:rsid w:val="00F154F1"/>
    <w:rsid w:val="00F15D80"/>
    <w:rsid w:val="00F16099"/>
    <w:rsid w:val="00F16636"/>
    <w:rsid w:val="00F168BB"/>
    <w:rsid w:val="00F171CB"/>
    <w:rsid w:val="00F17BF4"/>
    <w:rsid w:val="00F20251"/>
    <w:rsid w:val="00F202D9"/>
    <w:rsid w:val="00F204C2"/>
    <w:rsid w:val="00F20C30"/>
    <w:rsid w:val="00F21B1B"/>
    <w:rsid w:val="00F21F1F"/>
    <w:rsid w:val="00F22002"/>
    <w:rsid w:val="00F22507"/>
    <w:rsid w:val="00F226C7"/>
    <w:rsid w:val="00F23495"/>
    <w:rsid w:val="00F23C38"/>
    <w:rsid w:val="00F23D2D"/>
    <w:rsid w:val="00F2437F"/>
    <w:rsid w:val="00F24968"/>
    <w:rsid w:val="00F24B28"/>
    <w:rsid w:val="00F24C39"/>
    <w:rsid w:val="00F2544A"/>
    <w:rsid w:val="00F25620"/>
    <w:rsid w:val="00F25DC9"/>
    <w:rsid w:val="00F25F36"/>
    <w:rsid w:val="00F26050"/>
    <w:rsid w:val="00F260A4"/>
    <w:rsid w:val="00F26A7B"/>
    <w:rsid w:val="00F27450"/>
    <w:rsid w:val="00F2751D"/>
    <w:rsid w:val="00F27917"/>
    <w:rsid w:val="00F27E57"/>
    <w:rsid w:val="00F27FCD"/>
    <w:rsid w:val="00F30A21"/>
    <w:rsid w:val="00F30F1E"/>
    <w:rsid w:val="00F31806"/>
    <w:rsid w:val="00F31E75"/>
    <w:rsid w:val="00F3225C"/>
    <w:rsid w:val="00F32667"/>
    <w:rsid w:val="00F327E3"/>
    <w:rsid w:val="00F32A8C"/>
    <w:rsid w:val="00F33E7C"/>
    <w:rsid w:val="00F3431D"/>
    <w:rsid w:val="00F3457D"/>
    <w:rsid w:val="00F34C5D"/>
    <w:rsid w:val="00F357A8"/>
    <w:rsid w:val="00F35F1F"/>
    <w:rsid w:val="00F3676B"/>
    <w:rsid w:val="00F36B54"/>
    <w:rsid w:val="00F36B91"/>
    <w:rsid w:val="00F36BD0"/>
    <w:rsid w:val="00F3744A"/>
    <w:rsid w:val="00F37A7E"/>
    <w:rsid w:val="00F37C3F"/>
    <w:rsid w:val="00F37E9E"/>
    <w:rsid w:val="00F40B00"/>
    <w:rsid w:val="00F40B84"/>
    <w:rsid w:val="00F40C0C"/>
    <w:rsid w:val="00F40E1A"/>
    <w:rsid w:val="00F40F35"/>
    <w:rsid w:val="00F4146E"/>
    <w:rsid w:val="00F41789"/>
    <w:rsid w:val="00F41836"/>
    <w:rsid w:val="00F41EE1"/>
    <w:rsid w:val="00F41F5F"/>
    <w:rsid w:val="00F42821"/>
    <w:rsid w:val="00F42CD4"/>
    <w:rsid w:val="00F431E4"/>
    <w:rsid w:val="00F43959"/>
    <w:rsid w:val="00F4448F"/>
    <w:rsid w:val="00F444C5"/>
    <w:rsid w:val="00F4550E"/>
    <w:rsid w:val="00F458E7"/>
    <w:rsid w:val="00F45E79"/>
    <w:rsid w:val="00F46064"/>
    <w:rsid w:val="00F465EA"/>
    <w:rsid w:val="00F46768"/>
    <w:rsid w:val="00F467D2"/>
    <w:rsid w:val="00F470A0"/>
    <w:rsid w:val="00F47411"/>
    <w:rsid w:val="00F50327"/>
    <w:rsid w:val="00F50337"/>
    <w:rsid w:val="00F50351"/>
    <w:rsid w:val="00F5037C"/>
    <w:rsid w:val="00F506BA"/>
    <w:rsid w:val="00F509E7"/>
    <w:rsid w:val="00F50E47"/>
    <w:rsid w:val="00F50F3B"/>
    <w:rsid w:val="00F51057"/>
    <w:rsid w:val="00F519CE"/>
    <w:rsid w:val="00F51F20"/>
    <w:rsid w:val="00F5213D"/>
    <w:rsid w:val="00F5227B"/>
    <w:rsid w:val="00F5241B"/>
    <w:rsid w:val="00F52476"/>
    <w:rsid w:val="00F5276F"/>
    <w:rsid w:val="00F52B20"/>
    <w:rsid w:val="00F535FB"/>
    <w:rsid w:val="00F53B52"/>
    <w:rsid w:val="00F53F38"/>
    <w:rsid w:val="00F5409F"/>
    <w:rsid w:val="00F54315"/>
    <w:rsid w:val="00F545FF"/>
    <w:rsid w:val="00F5467C"/>
    <w:rsid w:val="00F54C91"/>
    <w:rsid w:val="00F55180"/>
    <w:rsid w:val="00F55C07"/>
    <w:rsid w:val="00F564B8"/>
    <w:rsid w:val="00F56AD3"/>
    <w:rsid w:val="00F57220"/>
    <w:rsid w:val="00F57239"/>
    <w:rsid w:val="00F573E5"/>
    <w:rsid w:val="00F57409"/>
    <w:rsid w:val="00F579E2"/>
    <w:rsid w:val="00F57F03"/>
    <w:rsid w:val="00F60EC0"/>
    <w:rsid w:val="00F60FEE"/>
    <w:rsid w:val="00F6173C"/>
    <w:rsid w:val="00F618DE"/>
    <w:rsid w:val="00F628ED"/>
    <w:rsid w:val="00F62941"/>
    <w:rsid w:val="00F62A98"/>
    <w:rsid w:val="00F62B64"/>
    <w:rsid w:val="00F63B2E"/>
    <w:rsid w:val="00F63C70"/>
    <w:rsid w:val="00F63DE0"/>
    <w:rsid w:val="00F63F84"/>
    <w:rsid w:val="00F6463F"/>
    <w:rsid w:val="00F64BED"/>
    <w:rsid w:val="00F64DF4"/>
    <w:rsid w:val="00F6529E"/>
    <w:rsid w:val="00F65643"/>
    <w:rsid w:val="00F65729"/>
    <w:rsid w:val="00F65969"/>
    <w:rsid w:val="00F65D2A"/>
    <w:rsid w:val="00F65D9A"/>
    <w:rsid w:val="00F66746"/>
    <w:rsid w:val="00F66C0F"/>
    <w:rsid w:val="00F66E8D"/>
    <w:rsid w:val="00F66EBF"/>
    <w:rsid w:val="00F6722C"/>
    <w:rsid w:val="00F67307"/>
    <w:rsid w:val="00F67357"/>
    <w:rsid w:val="00F67E41"/>
    <w:rsid w:val="00F701C9"/>
    <w:rsid w:val="00F703EB"/>
    <w:rsid w:val="00F70733"/>
    <w:rsid w:val="00F70767"/>
    <w:rsid w:val="00F70EFD"/>
    <w:rsid w:val="00F70F93"/>
    <w:rsid w:val="00F7123A"/>
    <w:rsid w:val="00F71584"/>
    <w:rsid w:val="00F71C5B"/>
    <w:rsid w:val="00F71F85"/>
    <w:rsid w:val="00F72167"/>
    <w:rsid w:val="00F7239E"/>
    <w:rsid w:val="00F72BC6"/>
    <w:rsid w:val="00F72DC4"/>
    <w:rsid w:val="00F72E29"/>
    <w:rsid w:val="00F72E9F"/>
    <w:rsid w:val="00F73923"/>
    <w:rsid w:val="00F73BFE"/>
    <w:rsid w:val="00F74357"/>
    <w:rsid w:val="00F74460"/>
    <w:rsid w:val="00F745E5"/>
    <w:rsid w:val="00F74D1A"/>
    <w:rsid w:val="00F74FF4"/>
    <w:rsid w:val="00F751E4"/>
    <w:rsid w:val="00F752EF"/>
    <w:rsid w:val="00F753B4"/>
    <w:rsid w:val="00F75754"/>
    <w:rsid w:val="00F75C81"/>
    <w:rsid w:val="00F75CFD"/>
    <w:rsid w:val="00F76203"/>
    <w:rsid w:val="00F76468"/>
    <w:rsid w:val="00F7656B"/>
    <w:rsid w:val="00F768A8"/>
    <w:rsid w:val="00F771DE"/>
    <w:rsid w:val="00F7749A"/>
    <w:rsid w:val="00F77C28"/>
    <w:rsid w:val="00F77F22"/>
    <w:rsid w:val="00F8007A"/>
    <w:rsid w:val="00F800AA"/>
    <w:rsid w:val="00F80332"/>
    <w:rsid w:val="00F80618"/>
    <w:rsid w:val="00F81097"/>
    <w:rsid w:val="00F81764"/>
    <w:rsid w:val="00F81930"/>
    <w:rsid w:val="00F821BC"/>
    <w:rsid w:val="00F82B8F"/>
    <w:rsid w:val="00F830DA"/>
    <w:rsid w:val="00F835AF"/>
    <w:rsid w:val="00F83805"/>
    <w:rsid w:val="00F838D5"/>
    <w:rsid w:val="00F8395D"/>
    <w:rsid w:val="00F83D39"/>
    <w:rsid w:val="00F83FAD"/>
    <w:rsid w:val="00F84131"/>
    <w:rsid w:val="00F84148"/>
    <w:rsid w:val="00F85B44"/>
    <w:rsid w:val="00F86685"/>
    <w:rsid w:val="00F87308"/>
    <w:rsid w:val="00F87482"/>
    <w:rsid w:val="00F87713"/>
    <w:rsid w:val="00F8776F"/>
    <w:rsid w:val="00F87D20"/>
    <w:rsid w:val="00F9071F"/>
    <w:rsid w:val="00F90993"/>
    <w:rsid w:val="00F90DF5"/>
    <w:rsid w:val="00F910A1"/>
    <w:rsid w:val="00F91103"/>
    <w:rsid w:val="00F9111A"/>
    <w:rsid w:val="00F91852"/>
    <w:rsid w:val="00F91AF2"/>
    <w:rsid w:val="00F92161"/>
    <w:rsid w:val="00F922DC"/>
    <w:rsid w:val="00F924A3"/>
    <w:rsid w:val="00F92514"/>
    <w:rsid w:val="00F92542"/>
    <w:rsid w:val="00F926A7"/>
    <w:rsid w:val="00F9270E"/>
    <w:rsid w:val="00F9279A"/>
    <w:rsid w:val="00F929FB"/>
    <w:rsid w:val="00F92DB7"/>
    <w:rsid w:val="00F92F4E"/>
    <w:rsid w:val="00F9355D"/>
    <w:rsid w:val="00F93641"/>
    <w:rsid w:val="00F9365C"/>
    <w:rsid w:val="00F9381C"/>
    <w:rsid w:val="00F94342"/>
    <w:rsid w:val="00F94871"/>
    <w:rsid w:val="00F948CA"/>
    <w:rsid w:val="00F948CF"/>
    <w:rsid w:val="00F94C5C"/>
    <w:rsid w:val="00F9530D"/>
    <w:rsid w:val="00F96037"/>
    <w:rsid w:val="00F9691B"/>
    <w:rsid w:val="00F96D84"/>
    <w:rsid w:val="00F97044"/>
    <w:rsid w:val="00F971D3"/>
    <w:rsid w:val="00F97724"/>
    <w:rsid w:val="00F97A0E"/>
    <w:rsid w:val="00FA041F"/>
    <w:rsid w:val="00FA05A2"/>
    <w:rsid w:val="00FA05E2"/>
    <w:rsid w:val="00FA0B4B"/>
    <w:rsid w:val="00FA0DB5"/>
    <w:rsid w:val="00FA10E5"/>
    <w:rsid w:val="00FA157E"/>
    <w:rsid w:val="00FA1782"/>
    <w:rsid w:val="00FA18D9"/>
    <w:rsid w:val="00FA2273"/>
    <w:rsid w:val="00FA24CF"/>
    <w:rsid w:val="00FA2C77"/>
    <w:rsid w:val="00FA32DC"/>
    <w:rsid w:val="00FA3313"/>
    <w:rsid w:val="00FA38F5"/>
    <w:rsid w:val="00FA3A49"/>
    <w:rsid w:val="00FA42F1"/>
    <w:rsid w:val="00FA4AEC"/>
    <w:rsid w:val="00FA4BC3"/>
    <w:rsid w:val="00FA4C6D"/>
    <w:rsid w:val="00FA52AA"/>
    <w:rsid w:val="00FA54B2"/>
    <w:rsid w:val="00FA56E0"/>
    <w:rsid w:val="00FA607D"/>
    <w:rsid w:val="00FA6749"/>
    <w:rsid w:val="00FA67B8"/>
    <w:rsid w:val="00FA691E"/>
    <w:rsid w:val="00FA72E5"/>
    <w:rsid w:val="00FA7B50"/>
    <w:rsid w:val="00FA7EF8"/>
    <w:rsid w:val="00FB0524"/>
    <w:rsid w:val="00FB06B2"/>
    <w:rsid w:val="00FB06C5"/>
    <w:rsid w:val="00FB0872"/>
    <w:rsid w:val="00FB0AC9"/>
    <w:rsid w:val="00FB0B76"/>
    <w:rsid w:val="00FB0DAD"/>
    <w:rsid w:val="00FB19DD"/>
    <w:rsid w:val="00FB1AFA"/>
    <w:rsid w:val="00FB1DAB"/>
    <w:rsid w:val="00FB1F5D"/>
    <w:rsid w:val="00FB2176"/>
    <w:rsid w:val="00FB2EFE"/>
    <w:rsid w:val="00FB2FBD"/>
    <w:rsid w:val="00FB3912"/>
    <w:rsid w:val="00FB3ADC"/>
    <w:rsid w:val="00FB41F6"/>
    <w:rsid w:val="00FB49F2"/>
    <w:rsid w:val="00FB4B7F"/>
    <w:rsid w:val="00FB5225"/>
    <w:rsid w:val="00FB5881"/>
    <w:rsid w:val="00FB58AE"/>
    <w:rsid w:val="00FB5BD1"/>
    <w:rsid w:val="00FB5F03"/>
    <w:rsid w:val="00FB5F3C"/>
    <w:rsid w:val="00FB5F87"/>
    <w:rsid w:val="00FB5FED"/>
    <w:rsid w:val="00FB661B"/>
    <w:rsid w:val="00FB668A"/>
    <w:rsid w:val="00FB6D71"/>
    <w:rsid w:val="00FB7152"/>
    <w:rsid w:val="00FB72B1"/>
    <w:rsid w:val="00FB7D11"/>
    <w:rsid w:val="00FB7E1C"/>
    <w:rsid w:val="00FC0006"/>
    <w:rsid w:val="00FC04F7"/>
    <w:rsid w:val="00FC076F"/>
    <w:rsid w:val="00FC0868"/>
    <w:rsid w:val="00FC0E47"/>
    <w:rsid w:val="00FC0E9A"/>
    <w:rsid w:val="00FC116C"/>
    <w:rsid w:val="00FC18C1"/>
    <w:rsid w:val="00FC1CDF"/>
    <w:rsid w:val="00FC1F0B"/>
    <w:rsid w:val="00FC29C0"/>
    <w:rsid w:val="00FC2B26"/>
    <w:rsid w:val="00FC2D46"/>
    <w:rsid w:val="00FC332C"/>
    <w:rsid w:val="00FC3539"/>
    <w:rsid w:val="00FC3E3C"/>
    <w:rsid w:val="00FC46D9"/>
    <w:rsid w:val="00FC4701"/>
    <w:rsid w:val="00FC4C7A"/>
    <w:rsid w:val="00FC4E41"/>
    <w:rsid w:val="00FC51FC"/>
    <w:rsid w:val="00FC5334"/>
    <w:rsid w:val="00FC57BE"/>
    <w:rsid w:val="00FC5A5E"/>
    <w:rsid w:val="00FC5CAD"/>
    <w:rsid w:val="00FC5D3F"/>
    <w:rsid w:val="00FC5D5B"/>
    <w:rsid w:val="00FC6271"/>
    <w:rsid w:val="00FC687B"/>
    <w:rsid w:val="00FC698C"/>
    <w:rsid w:val="00FC761A"/>
    <w:rsid w:val="00FC762F"/>
    <w:rsid w:val="00FC794D"/>
    <w:rsid w:val="00FC7991"/>
    <w:rsid w:val="00FC7FEB"/>
    <w:rsid w:val="00FC7FF5"/>
    <w:rsid w:val="00FD0260"/>
    <w:rsid w:val="00FD062B"/>
    <w:rsid w:val="00FD071E"/>
    <w:rsid w:val="00FD0C39"/>
    <w:rsid w:val="00FD0C9E"/>
    <w:rsid w:val="00FD1027"/>
    <w:rsid w:val="00FD1B2B"/>
    <w:rsid w:val="00FD1FA3"/>
    <w:rsid w:val="00FD243B"/>
    <w:rsid w:val="00FD26C7"/>
    <w:rsid w:val="00FD2A96"/>
    <w:rsid w:val="00FD3160"/>
    <w:rsid w:val="00FD3B9E"/>
    <w:rsid w:val="00FD3D3C"/>
    <w:rsid w:val="00FD3DF6"/>
    <w:rsid w:val="00FD45A0"/>
    <w:rsid w:val="00FD479F"/>
    <w:rsid w:val="00FD489B"/>
    <w:rsid w:val="00FD48DA"/>
    <w:rsid w:val="00FD5451"/>
    <w:rsid w:val="00FD54D3"/>
    <w:rsid w:val="00FD56C6"/>
    <w:rsid w:val="00FD5757"/>
    <w:rsid w:val="00FD578D"/>
    <w:rsid w:val="00FD6C69"/>
    <w:rsid w:val="00FD6F7D"/>
    <w:rsid w:val="00FD700B"/>
    <w:rsid w:val="00FD7D34"/>
    <w:rsid w:val="00FE0164"/>
    <w:rsid w:val="00FE06C9"/>
    <w:rsid w:val="00FE0754"/>
    <w:rsid w:val="00FE07BF"/>
    <w:rsid w:val="00FE0C86"/>
    <w:rsid w:val="00FE0F99"/>
    <w:rsid w:val="00FE1903"/>
    <w:rsid w:val="00FE1F5D"/>
    <w:rsid w:val="00FE2710"/>
    <w:rsid w:val="00FE2821"/>
    <w:rsid w:val="00FE32E3"/>
    <w:rsid w:val="00FE331B"/>
    <w:rsid w:val="00FE35F0"/>
    <w:rsid w:val="00FE3880"/>
    <w:rsid w:val="00FE38F6"/>
    <w:rsid w:val="00FE3AD0"/>
    <w:rsid w:val="00FE472F"/>
    <w:rsid w:val="00FE4ACE"/>
    <w:rsid w:val="00FE4FAB"/>
    <w:rsid w:val="00FE58D7"/>
    <w:rsid w:val="00FE591D"/>
    <w:rsid w:val="00FE5F15"/>
    <w:rsid w:val="00FE6889"/>
    <w:rsid w:val="00FE7170"/>
    <w:rsid w:val="00FE71E1"/>
    <w:rsid w:val="00FE73D5"/>
    <w:rsid w:val="00FE76DA"/>
    <w:rsid w:val="00FE7CD4"/>
    <w:rsid w:val="00FF0061"/>
    <w:rsid w:val="00FF0169"/>
    <w:rsid w:val="00FF01D0"/>
    <w:rsid w:val="00FF06E1"/>
    <w:rsid w:val="00FF08BE"/>
    <w:rsid w:val="00FF0D8F"/>
    <w:rsid w:val="00FF1654"/>
    <w:rsid w:val="00FF209C"/>
    <w:rsid w:val="00FF22EA"/>
    <w:rsid w:val="00FF3211"/>
    <w:rsid w:val="00FF37DB"/>
    <w:rsid w:val="00FF3D5A"/>
    <w:rsid w:val="00FF4359"/>
    <w:rsid w:val="00FF4D84"/>
    <w:rsid w:val="00FF5042"/>
    <w:rsid w:val="00FF5081"/>
    <w:rsid w:val="00FF584D"/>
    <w:rsid w:val="00FF5C41"/>
    <w:rsid w:val="00FF5F3B"/>
    <w:rsid w:val="00FF601C"/>
    <w:rsid w:val="00FF6325"/>
    <w:rsid w:val="00FF6A9E"/>
    <w:rsid w:val="00FF6B4A"/>
    <w:rsid w:val="00FF772B"/>
    <w:rsid w:val="00FF79BB"/>
    <w:rsid w:val="00FF79F1"/>
    <w:rsid w:val="08DCEE31"/>
    <w:rsid w:val="2C6E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836451"/>
  <w15:docId w15:val="{677334A2-EE22-4A48-BB32-6D5A1AF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483"/>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D521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52DAF"/>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14D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4D4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2483"/>
  </w:style>
  <w:style w:type="character" w:customStyle="1" w:styleId="FootnoteRef">
    <w:name w:val="Footnote Ref"/>
    <w:uiPriority w:val="99"/>
    <w:rsid w:val="000B2483"/>
    <w:rPr>
      <w:vertAlign w:val="superscript"/>
    </w:rPr>
  </w:style>
  <w:style w:type="paragraph" w:styleId="Footer">
    <w:name w:val="footer"/>
    <w:basedOn w:val="Normal"/>
    <w:link w:val="FooterChar"/>
    <w:uiPriority w:val="99"/>
    <w:rsid w:val="000B2483"/>
  </w:style>
  <w:style w:type="character" w:customStyle="1" w:styleId="FooterChar">
    <w:name w:val="Footer Char"/>
    <w:basedOn w:val="DefaultParagraphFont"/>
    <w:link w:val="Footer"/>
    <w:uiPriority w:val="99"/>
    <w:rsid w:val="00D07321"/>
    <w:rPr>
      <w:rFonts w:ascii="Arial" w:hAnsi="Arial" w:cs="Arial"/>
      <w:sz w:val="24"/>
      <w:szCs w:val="24"/>
    </w:rPr>
  </w:style>
  <w:style w:type="paragraph" w:styleId="Header">
    <w:name w:val="header"/>
    <w:basedOn w:val="Normal"/>
    <w:link w:val="HeaderChar"/>
    <w:uiPriority w:val="99"/>
    <w:unhideWhenUsed/>
    <w:rsid w:val="00CA1A13"/>
    <w:pPr>
      <w:tabs>
        <w:tab w:val="center" w:pos="4680"/>
        <w:tab w:val="right" w:pos="9360"/>
      </w:tabs>
    </w:pPr>
  </w:style>
  <w:style w:type="character" w:customStyle="1" w:styleId="HeaderChar">
    <w:name w:val="Header Char"/>
    <w:basedOn w:val="DefaultParagraphFont"/>
    <w:link w:val="Header"/>
    <w:uiPriority w:val="99"/>
    <w:rsid w:val="00CA1A13"/>
    <w:rPr>
      <w:rFonts w:ascii="Arial" w:hAnsi="Arial" w:cs="Arial"/>
      <w:sz w:val="24"/>
      <w:szCs w:val="24"/>
    </w:rPr>
  </w:style>
  <w:style w:type="paragraph" w:styleId="BalloonText">
    <w:name w:val="Balloon Text"/>
    <w:basedOn w:val="Normal"/>
    <w:link w:val="BalloonTextChar"/>
    <w:uiPriority w:val="99"/>
    <w:semiHidden/>
    <w:unhideWhenUsed/>
    <w:rsid w:val="00777AC3"/>
    <w:rPr>
      <w:rFonts w:ascii="Tahoma" w:hAnsi="Tahoma" w:cs="Tahoma"/>
      <w:sz w:val="16"/>
      <w:szCs w:val="16"/>
    </w:rPr>
  </w:style>
  <w:style w:type="character" w:customStyle="1" w:styleId="BalloonTextChar">
    <w:name w:val="Balloon Text Char"/>
    <w:basedOn w:val="DefaultParagraphFont"/>
    <w:link w:val="BalloonText"/>
    <w:uiPriority w:val="99"/>
    <w:semiHidden/>
    <w:rsid w:val="00777AC3"/>
    <w:rPr>
      <w:rFonts w:ascii="Tahoma" w:hAnsi="Tahoma" w:cs="Tahoma"/>
      <w:sz w:val="16"/>
      <w:szCs w:val="16"/>
    </w:rPr>
  </w:style>
  <w:style w:type="paragraph" w:styleId="FootnoteText">
    <w:name w:val="footnote text"/>
    <w:basedOn w:val="Normal"/>
    <w:link w:val="FootnoteTextChar"/>
    <w:uiPriority w:val="99"/>
    <w:semiHidden/>
    <w:unhideWhenUsed/>
    <w:rsid w:val="005A1130"/>
    <w:rPr>
      <w:sz w:val="20"/>
      <w:szCs w:val="20"/>
    </w:rPr>
  </w:style>
  <w:style w:type="character" w:customStyle="1" w:styleId="FootnoteTextChar">
    <w:name w:val="Footnote Text Char"/>
    <w:basedOn w:val="DefaultParagraphFont"/>
    <w:link w:val="FootnoteText"/>
    <w:uiPriority w:val="99"/>
    <w:semiHidden/>
    <w:rsid w:val="005A1130"/>
    <w:rPr>
      <w:rFonts w:ascii="Arial" w:hAnsi="Arial" w:cs="Arial"/>
      <w:sz w:val="20"/>
      <w:szCs w:val="20"/>
    </w:rPr>
  </w:style>
  <w:style w:type="paragraph" w:styleId="EndnoteText">
    <w:name w:val="endnote text"/>
    <w:basedOn w:val="Normal"/>
    <w:link w:val="EndnoteTextChar"/>
    <w:uiPriority w:val="99"/>
    <w:semiHidden/>
    <w:unhideWhenUsed/>
    <w:rsid w:val="008141EE"/>
    <w:rPr>
      <w:sz w:val="20"/>
      <w:szCs w:val="20"/>
    </w:rPr>
  </w:style>
  <w:style w:type="character" w:customStyle="1" w:styleId="EndnoteTextChar">
    <w:name w:val="Endnote Text Char"/>
    <w:basedOn w:val="DefaultParagraphFont"/>
    <w:link w:val="EndnoteText"/>
    <w:uiPriority w:val="99"/>
    <w:semiHidden/>
    <w:rsid w:val="008141EE"/>
    <w:rPr>
      <w:rFonts w:ascii="Arial" w:hAnsi="Arial" w:cs="Arial"/>
      <w:sz w:val="20"/>
      <w:szCs w:val="20"/>
    </w:rPr>
  </w:style>
  <w:style w:type="character" w:styleId="EndnoteReference">
    <w:name w:val="endnote reference"/>
    <w:basedOn w:val="DefaultParagraphFont"/>
    <w:uiPriority w:val="99"/>
    <w:semiHidden/>
    <w:unhideWhenUsed/>
    <w:rsid w:val="008141EE"/>
    <w:rPr>
      <w:vertAlign w:val="superscript"/>
    </w:rPr>
  </w:style>
  <w:style w:type="character" w:customStyle="1" w:styleId="Header01Char">
    <w:name w:val="Header 01 Char"/>
    <w:basedOn w:val="DefaultParagraphFont"/>
    <w:link w:val="Header01"/>
    <w:rsid w:val="00DB3CFF"/>
    <w:rPr>
      <w:rFonts w:ascii="Arial" w:hAnsi="Arial" w:cs="Arial"/>
      <w:sz w:val="24"/>
      <w:szCs w:val="24"/>
    </w:rPr>
  </w:style>
  <w:style w:type="paragraph" w:customStyle="1" w:styleId="Header01">
    <w:name w:val="Header 01"/>
    <w:basedOn w:val="Normal"/>
    <w:link w:val="Header01Char"/>
    <w:rsid w:val="00DB3CFF"/>
    <w:pPr>
      <w:widowControl/>
      <w:tabs>
        <w:tab w:val="left" w:pos="274"/>
        <w:tab w:val="left" w:pos="806"/>
        <w:tab w:val="left" w:pos="1440"/>
        <w:tab w:val="left" w:pos="2074"/>
        <w:tab w:val="left" w:pos="2707"/>
      </w:tabs>
      <w:autoSpaceDE/>
      <w:autoSpaceDN/>
      <w:adjustRightInd/>
      <w:outlineLvl w:val="0"/>
    </w:pPr>
  </w:style>
  <w:style w:type="paragraph" w:customStyle="1" w:styleId="AppendixTitle">
    <w:name w:val="Appendix Title"/>
    <w:basedOn w:val="Normal"/>
    <w:rsid w:val="00DB3C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eastAsia="Times New Roman" w:cs="Times New Roman"/>
      <w:lang w:val="en-CA"/>
    </w:rPr>
  </w:style>
  <w:style w:type="table" w:styleId="TableGrid">
    <w:name w:val="Table Grid"/>
    <w:basedOn w:val="TableNormal"/>
    <w:uiPriority w:val="59"/>
    <w:rsid w:val="00DB3C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76E"/>
    <w:pPr>
      <w:widowControl/>
      <w:autoSpaceDE/>
      <w:autoSpaceDN/>
      <w:adjustRightInd/>
      <w:ind w:left="720"/>
      <w:contextualSpacing/>
    </w:pPr>
    <w:rPr>
      <w:rFonts w:ascii="Times New Roman" w:eastAsia="Times New Roman" w:hAnsi="Times New Roman" w:cs="Times New Roman"/>
    </w:rPr>
  </w:style>
  <w:style w:type="character" w:styleId="IntenseEmphasis">
    <w:name w:val="Intense Emphasis"/>
    <w:basedOn w:val="DefaultParagraphFont"/>
    <w:uiPriority w:val="21"/>
    <w:qFormat/>
    <w:rsid w:val="00483E6C"/>
    <w:rPr>
      <w:b/>
      <w:bCs/>
      <w:i/>
      <w:iCs/>
      <w:color w:val="4F81BD" w:themeColor="accent1"/>
    </w:rPr>
  </w:style>
  <w:style w:type="character" w:styleId="PlaceholderText">
    <w:name w:val="Placeholder Text"/>
    <w:basedOn w:val="DefaultParagraphFont"/>
    <w:uiPriority w:val="99"/>
    <w:semiHidden/>
    <w:rsid w:val="001E5FDA"/>
    <w:rPr>
      <w:color w:val="808080"/>
    </w:rPr>
  </w:style>
  <w:style w:type="character" w:styleId="CommentReference">
    <w:name w:val="annotation reference"/>
    <w:basedOn w:val="DefaultParagraphFont"/>
    <w:uiPriority w:val="99"/>
    <w:semiHidden/>
    <w:unhideWhenUsed/>
    <w:rsid w:val="00971199"/>
    <w:rPr>
      <w:sz w:val="16"/>
      <w:szCs w:val="16"/>
    </w:rPr>
  </w:style>
  <w:style w:type="paragraph" w:styleId="CommentText">
    <w:name w:val="annotation text"/>
    <w:basedOn w:val="Normal"/>
    <w:link w:val="CommentTextChar"/>
    <w:uiPriority w:val="99"/>
    <w:unhideWhenUsed/>
    <w:rsid w:val="00971199"/>
    <w:rPr>
      <w:sz w:val="20"/>
      <w:szCs w:val="20"/>
    </w:rPr>
  </w:style>
  <w:style w:type="character" w:customStyle="1" w:styleId="CommentTextChar">
    <w:name w:val="Comment Text Char"/>
    <w:basedOn w:val="DefaultParagraphFont"/>
    <w:link w:val="CommentText"/>
    <w:uiPriority w:val="99"/>
    <w:rsid w:val="0097119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1199"/>
    <w:rPr>
      <w:b/>
      <w:bCs/>
    </w:rPr>
  </w:style>
  <w:style w:type="character" w:customStyle="1" w:styleId="CommentSubjectChar">
    <w:name w:val="Comment Subject Char"/>
    <w:basedOn w:val="CommentTextChar"/>
    <w:link w:val="CommentSubject"/>
    <w:uiPriority w:val="99"/>
    <w:semiHidden/>
    <w:rsid w:val="00971199"/>
    <w:rPr>
      <w:rFonts w:ascii="Arial" w:hAnsi="Arial" w:cs="Arial"/>
      <w:b/>
      <w:bCs/>
      <w:sz w:val="20"/>
      <w:szCs w:val="20"/>
    </w:rPr>
  </w:style>
  <w:style w:type="paragraph" w:styleId="Revision">
    <w:name w:val="Revision"/>
    <w:hidden/>
    <w:uiPriority w:val="99"/>
    <w:semiHidden/>
    <w:rsid w:val="00157177"/>
    <w:pPr>
      <w:spacing w:after="0" w:line="240" w:lineRule="auto"/>
    </w:pPr>
    <w:rPr>
      <w:rFonts w:ascii="Arial" w:hAnsi="Arial" w:cs="Arial"/>
      <w:sz w:val="24"/>
      <w:szCs w:val="24"/>
    </w:rPr>
  </w:style>
  <w:style w:type="paragraph" w:styleId="HTMLPreformatted">
    <w:name w:val="HTML Preformatted"/>
    <w:basedOn w:val="Normal"/>
    <w:link w:val="HTMLPreformattedChar"/>
    <w:semiHidden/>
    <w:rsid w:val="00B14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eastAsia="Times New Roman" w:hAnsi="Courier" w:cs="Courier New"/>
      <w:color w:val="000000"/>
      <w:sz w:val="16"/>
      <w:szCs w:val="16"/>
    </w:rPr>
  </w:style>
  <w:style w:type="character" w:customStyle="1" w:styleId="HTMLPreformattedChar">
    <w:name w:val="HTML Preformatted Char"/>
    <w:basedOn w:val="DefaultParagraphFont"/>
    <w:link w:val="HTMLPreformatted"/>
    <w:semiHidden/>
    <w:rsid w:val="00B14CE7"/>
    <w:rPr>
      <w:rFonts w:ascii="Courier" w:eastAsia="Times New Roman" w:hAnsi="Courier" w:cs="Courier New"/>
      <w:color w:val="000000"/>
      <w:sz w:val="16"/>
      <w:szCs w:val="16"/>
    </w:rPr>
  </w:style>
  <w:style w:type="paragraph" w:customStyle="1" w:styleId="Default">
    <w:name w:val="Default"/>
    <w:rsid w:val="00555BC6"/>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5A6618"/>
    <w:pPr>
      <w:widowControl/>
      <w:autoSpaceDE/>
      <w:autoSpaceDN/>
      <w:adjustRightInd/>
    </w:pPr>
    <w:rPr>
      <w:rFonts w:eastAsiaTheme="minorHAnsi"/>
      <w:sz w:val="22"/>
      <w:szCs w:val="22"/>
    </w:rPr>
  </w:style>
  <w:style w:type="character" w:customStyle="1" w:styleId="acopre1">
    <w:name w:val="acopre1"/>
    <w:basedOn w:val="DefaultParagraphFont"/>
    <w:rsid w:val="009B69FD"/>
  </w:style>
  <w:style w:type="character" w:customStyle="1" w:styleId="Heading2Char">
    <w:name w:val="Heading 2 Char"/>
    <w:basedOn w:val="DefaultParagraphFont"/>
    <w:link w:val="Heading2"/>
    <w:uiPriority w:val="9"/>
    <w:rsid w:val="00352DAF"/>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1F5146"/>
  </w:style>
  <w:style w:type="character" w:styleId="Emphasis">
    <w:name w:val="Emphasis"/>
    <w:basedOn w:val="DefaultParagraphFont"/>
    <w:uiPriority w:val="20"/>
    <w:qFormat/>
    <w:rsid w:val="00116822"/>
    <w:rPr>
      <w:i/>
      <w:iCs/>
    </w:rPr>
  </w:style>
  <w:style w:type="character" w:styleId="UnresolvedMention">
    <w:name w:val="Unresolved Mention"/>
    <w:basedOn w:val="DefaultParagraphFont"/>
    <w:uiPriority w:val="99"/>
    <w:unhideWhenUsed/>
    <w:rsid w:val="00292EDB"/>
    <w:rPr>
      <w:color w:val="605E5C"/>
      <w:shd w:val="clear" w:color="auto" w:fill="E1DFDD"/>
    </w:rPr>
  </w:style>
  <w:style w:type="character" w:styleId="Mention">
    <w:name w:val="Mention"/>
    <w:basedOn w:val="DefaultParagraphFont"/>
    <w:uiPriority w:val="99"/>
    <w:unhideWhenUsed/>
    <w:rsid w:val="00292EDB"/>
    <w:rPr>
      <w:color w:val="2B579A"/>
      <w:shd w:val="clear" w:color="auto" w:fill="E1DFDD"/>
    </w:rPr>
  </w:style>
  <w:style w:type="paragraph" w:customStyle="1" w:styleId="StyleMainTitleBefore12pt">
    <w:name w:val="Style Main Title + Before:  12 pt"/>
    <w:basedOn w:val="Normal"/>
    <w:autoRedefine/>
    <w:rsid w:val="00673511"/>
    <w:pPr>
      <w:widowControl/>
      <w:jc w:val="center"/>
    </w:pPr>
    <w:rPr>
      <w:rFonts w:eastAsia="Times New Roman" w:cs="Times New Roman"/>
      <w:b/>
      <w:bCs/>
      <w:color w:val="000000"/>
      <w:sz w:val="32"/>
      <w:szCs w:val="20"/>
    </w:rPr>
  </w:style>
  <w:style w:type="character" w:customStyle="1" w:styleId="Heading4Char">
    <w:name w:val="Heading 4 Char"/>
    <w:basedOn w:val="DefaultParagraphFont"/>
    <w:link w:val="Heading4"/>
    <w:uiPriority w:val="9"/>
    <w:semiHidden/>
    <w:rsid w:val="00614D4C"/>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614D4C"/>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D521B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521B5"/>
    <w:pPr>
      <w:widowControl/>
      <w:autoSpaceDE/>
      <w:autoSpaceDN/>
      <w:adjustRightInd/>
      <w:spacing w:line="259" w:lineRule="auto"/>
      <w:outlineLvl w:val="9"/>
    </w:pPr>
  </w:style>
  <w:style w:type="paragraph" w:styleId="TOC2">
    <w:name w:val="toc 2"/>
    <w:basedOn w:val="Normal"/>
    <w:next w:val="Normal"/>
    <w:autoRedefine/>
    <w:uiPriority w:val="39"/>
    <w:unhideWhenUsed/>
    <w:rsid w:val="009B6D57"/>
    <w:pPr>
      <w:tabs>
        <w:tab w:val="left" w:pos="1080"/>
        <w:tab w:val="right" w:leader="dot" w:pos="9350"/>
      </w:tabs>
      <w:ind w:left="240"/>
    </w:pPr>
    <w:rPr>
      <w:sz w:val="22"/>
    </w:rPr>
  </w:style>
  <w:style w:type="paragraph" w:styleId="TOC1">
    <w:name w:val="toc 1"/>
    <w:basedOn w:val="Normal"/>
    <w:next w:val="Normal"/>
    <w:autoRedefine/>
    <w:uiPriority w:val="39"/>
    <w:unhideWhenUsed/>
    <w:rsid w:val="009B6D57"/>
    <w:pPr>
      <w:tabs>
        <w:tab w:val="left" w:pos="1100"/>
        <w:tab w:val="right" w:leader="dot" w:pos="9350"/>
      </w:tabs>
    </w:pPr>
    <w:rPr>
      <w:sz w:val="22"/>
    </w:rPr>
  </w:style>
  <w:style w:type="character" w:styleId="Hyperlink">
    <w:name w:val="Hyperlink"/>
    <w:basedOn w:val="DefaultParagraphFont"/>
    <w:uiPriority w:val="99"/>
    <w:unhideWhenUsed/>
    <w:rsid w:val="00D521B5"/>
    <w:rPr>
      <w:color w:val="0000FF" w:themeColor="hyperlink"/>
      <w:u w:val="single"/>
    </w:rPr>
  </w:style>
  <w:style w:type="paragraph" w:styleId="TOC3">
    <w:name w:val="toc 3"/>
    <w:basedOn w:val="Normal"/>
    <w:next w:val="Normal"/>
    <w:autoRedefine/>
    <w:uiPriority w:val="39"/>
    <w:unhideWhenUsed/>
    <w:rsid w:val="0003216B"/>
    <w:pPr>
      <w:widowControl/>
      <w:autoSpaceDE/>
      <w:autoSpaceDN/>
      <w:adjustRightInd/>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2540">
      <w:bodyDiv w:val="1"/>
      <w:marLeft w:val="0"/>
      <w:marRight w:val="0"/>
      <w:marTop w:val="0"/>
      <w:marBottom w:val="0"/>
      <w:divBdr>
        <w:top w:val="none" w:sz="0" w:space="0" w:color="auto"/>
        <w:left w:val="none" w:sz="0" w:space="0" w:color="auto"/>
        <w:bottom w:val="none" w:sz="0" w:space="0" w:color="auto"/>
        <w:right w:val="none" w:sz="0" w:space="0" w:color="auto"/>
      </w:divBdr>
    </w:div>
    <w:div w:id="124276813">
      <w:bodyDiv w:val="1"/>
      <w:marLeft w:val="0"/>
      <w:marRight w:val="0"/>
      <w:marTop w:val="0"/>
      <w:marBottom w:val="0"/>
      <w:divBdr>
        <w:top w:val="none" w:sz="0" w:space="0" w:color="auto"/>
        <w:left w:val="none" w:sz="0" w:space="0" w:color="auto"/>
        <w:bottom w:val="none" w:sz="0" w:space="0" w:color="auto"/>
        <w:right w:val="none" w:sz="0" w:space="0" w:color="auto"/>
      </w:divBdr>
    </w:div>
    <w:div w:id="196353563">
      <w:bodyDiv w:val="1"/>
      <w:marLeft w:val="0"/>
      <w:marRight w:val="0"/>
      <w:marTop w:val="0"/>
      <w:marBottom w:val="0"/>
      <w:divBdr>
        <w:top w:val="none" w:sz="0" w:space="0" w:color="auto"/>
        <w:left w:val="none" w:sz="0" w:space="0" w:color="auto"/>
        <w:bottom w:val="none" w:sz="0" w:space="0" w:color="auto"/>
        <w:right w:val="none" w:sz="0" w:space="0" w:color="auto"/>
      </w:divBdr>
    </w:div>
    <w:div w:id="329068103">
      <w:bodyDiv w:val="1"/>
      <w:marLeft w:val="0"/>
      <w:marRight w:val="0"/>
      <w:marTop w:val="0"/>
      <w:marBottom w:val="0"/>
      <w:divBdr>
        <w:top w:val="none" w:sz="0" w:space="0" w:color="auto"/>
        <w:left w:val="none" w:sz="0" w:space="0" w:color="auto"/>
        <w:bottom w:val="none" w:sz="0" w:space="0" w:color="auto"/>
        <w:right w:val="none" w:sz="0" w:space="0" w:color="auto"/>
      </w:divBdr>
    </w:div>
    <w:div w:id="496455918">
      <w:bodyDiv w:val="1"/>
      <w:marLeft w:val="0"/>
      <w:marRight w:val="0"/>
      <w:marTop w:val="0"/>
      <w:marBottom w:val="0"/>
      <w:divBdr>
        <w:top w:val="none" w:sz="0" w:space="0" w:color="auto"/>
        <w:left w:val="none" w:sz="0" w:space="0" w:color="auto"/>
        <w:bottom w:val="none" w:sz="0" w:space="0" w:color="auto"/>
        <w:right w:val="none" w:sz="0" w:space="0" w:color="auto"/>
      </w:divBdr>
    </w:div>
    <w:div w:id="648898911">
      <w:bodyDiv w:val="1"/>
      <w:marLeft w:val="0"/>
      <w:marRight w:val="0"/>
      <w:marTop w:val="0"/>
      <w:marBottom w:val="0"/>
      <w:divBdr>
        <w:top w:val="none" w:sz="0" w:space="0" w:color="auto"/>
        <w:left w:val="none" w:sz="0" w:space="0" w:color="auto"/>
        <w:bottom w:val="none" w:sz="0" w:space="0" w:color="auto"/>
        <w:right w:val="none" w:sz="0" w:space="0" w:color="auto"/>
      </w:divBdr>
      <w:divsChild>
        <w:div w:id="1321545442">
          <w:marLeft w:val="547"/>
          <w:marRight w:val="0"/>
          <w:marTop w:val="134"/>
          <w:marBottom w:val="0"/>
          <w:divBdr>
            <w:top w:val="none" w:sz="0" w:space="0" w:color="auto"/>
            <w:left w:val="none" w:sz="0" w:space="0" w:color="auto"/>
            <w:bottom w:val="none" w:sz="0" w:space="0" w:color="auto"/>
            <w:right w:val="none" w:sz="0" w:space="0" w:color="auto"/>
          </w:divBdr>
        </w:div>
      </w:divsChild>
    </w:div>
    <w:div w:id="808088772">
      <w:bodyDiv w:val="1"/>
      <w:marLeft w:val="0"/>
      <w:marRight w:val="0"/>
      <w:marTop w:val="0"/>
      <w:marBottom w:val="0"/>
      <w:divBdr>
        <w:top w:val="none" w:sz="0" w:space="0" w:color="auto"/>
        <w:left w:val="none" w:sz="0" w:space="0" w:color="auto"/>
        <w:bottom w:val="none" w:sz="0" w:space="0" w:color="auto"/>
        <w:right w:val="none" w:sz="0" w:space="0" w:color="auto"/>
      </w:divBdr>
    </w:div>
    <w:div w:id="951204858">
      <w:bodyDiv w:val="1"/>
      <w:marLeft w:val="0"/>
      <w:marRight w:val="0"/>
      <w:marTop w:val="0"/>
      <w:marBottom w:val="0"/>
      <w:divBdr>
        <w:top w:val="none" w:sz="0" w:space="0" w:color="auto"/>
        <w:left w:val="none" w:sz="0" w:space="0" w:color="auto"/>
        <w:bottom w:val="none" w:sz="0" w:space="0" w:color="auto"/>
        <w:right w:val="none" w:sz="0" w:space="0" w:color="auto"/>
      </w:divBdr>
      <w:divsChild>
        <w:div w:id="12341979">
          <w:marLeft w:val="0"/>
          <w:marRight w:val="0"/>
          <w:marTop w:val="0"/>
          <w:marBottom w:val="0"/>
          <w:divBdr>
            <w:top w:val="none" w:sz="0" w:space="0" w:color="auto"/>
            <w:left w:val="none" w:sz="0" w:space="0" w:color="auto"/>
            <w:bottom w:val="none" w:sz="0" w:space="0" w:color="auto"/>
            <w:right w:val="none" w:sz="0" w:space="0" w:color="auto"/>
          </w:divBdr>
        </w:div>
      </w:divsChild>
    </w:div>
    <w:div w:id="1136990408">
      <w:bodyDiv w:val="1"/>
      <w:marLeft w:val="0"/>
      <w:marRight w:val="0"/>
      <w:marTop w:val="0"/>
      <w:marBottom w:val="0"/>
      <w:divBdr>
        <w:top w:val="none" w:sz="0" w:space="0" w:color="auto"/>
        <w:left w:val="none" w:sz="0" w:space="0" w:color="auto"/>
        <w:bottom w:val="none" w:sz="0" w:space="0" w:color="auto"/>
        <w:right w:val="none" w:sz="0" w:space="0" w:color="auto"/>
      </w:divBdr>
    </w:div>
    <w:div w:id="1252161959">
      <w:bodyDiv w:val="1"/>
      <w:marLeft w:val="0"/>
      <w:marRight w:val="0"/>
      <w:marTop w:val="0"/>
      <w:marBottom w:val="0"/>
      <w:divBdr>
        <w:top w:val="none" w:sz="0" w:space="0" w:color="auto"/>
        <w:left w:val="none" w:sz="0" w:space="0" w:color="auto"/>
        <w:bottom w:val="none" w:sz="0" w:space="0" w:color="auto"/>
        <w:right w:val="none" w:sz="0" w:space="0" w:color="auto"/>
      </w:divBdr>
    </w:div>
    <w:div w:id="1487475125">
      <w:bodyDiv w:val="1"/>
      <w:marLeft w:val="0"/>
      <w:marRight w:val="0"/>
      <w:marTop w:val="0"/>
      <w:marBottom w:val="0"/>
      <w:divBdr>
        <w:top w:val="none" w:sz="0" w:space="0" w:color="auto"/>
        <w:left w:val="none" w:sz="0" w:space="0" w:color="auto"/>
        <w:bottom w:val="none" w:sz="0" w:space="0" w:color="auto"/>
        <w:right w:val="none" w:sz="0" w:space="0" w:color="auto"/>
      </w:divBdr>
      <w:divsChild>
        <w:div w:id="1497766275">
          <w:marLeft w:val="0"/>
          <w:marRight w:val="0"/>
          <w:marTop w:val="0"/>
          <w:marBottom w:val="0"/>
          <w:divBdr>
            <w:top w:val="none" w:sz="0" w:space="0" w:color="auto"/>
            <w:left w:val="none" w:sz="0" w:space="0" w:color="auto"/>
            <w:bottom w:val="none" w:sz="0" w:space="0" w:color="auto"/>
            <w:right w:val="none" w:sz="0" w:space="0" w:color="auto"/>
          </w:divBdr>
          <w:divsChild>
            <w:div w:id="808978545">
              <w:marLeft w:val="0"/>
              <w:marRight w:val="0"/>
              <w:marTop w:val="0"/>
              <w:marBottom w:val="0"/>
              <w:divBdr>
                <w:top w:val="none" w:sz="0" w:space="0" w:color="auto"/>
                <w:left w:val="none" w:sz="0" w:space="0" w:color="auto"/>
                <w:bottom w:val="none" w:sz="0" w:space="0" w:color="auto"/>
                <w:right w:val="none" w:sz="0" w:space="0" w:color="auto"/>
              </w:divBdr>
              <w:divsChild>
                <w:div w:id="1134446024">
                  <w:marLeft w:val="0"/>
                  <w:marRight w:val="0"/>
                  <w:marTop w:val="0"/>
                  <w:marBottom w:val="0"/>
                  <w:divBdr>
                    <w:top w:val="none" w:sz="0" w:space="0" w:color="auto"/>
                    <w:left w:val="none" w:sz="0" w:space="0" w:color="auto"/>
                    <w:bottom w:val="none" w:sz="0" w:space="0" w:color="auto"/>
                    <w:right w:val="none" w:sz="0" w:space="0" w:color="auto"/>
                  </w:divBdr>
                  <w:divsChild>
                    <w:div w:id="471218215">
                      <w:marLeft w:val="0"/>
                      <w:marRight w:val="0"/>
                      <w:marTop w:val="0"/>
                      <w:marBottom w:val="0"/>
                      <w:divBdr>
                        <w:top w:val="none" w:sz="0" w:space="0" w:color="auto"/>
                        <w:left w:val="none" w:sz="0" w:space="0" w:color="auto"/>
                        <w:bottom w:val="none" w:sz="0" w:space="0" w:color="auto"/>
                        <w:right w:val="none" w:sz="0" w:space="0" w:color="auto"/>
                      </w:divBdr>
                      <w:divsChild>
                        <w:div w:id="253711416">
                          <w:marLeft w:val="13380"/>
                          <w:marRight w:val="0"/>
                          <w:marTop w:val="0"/>
                          <w:marBottom w:val="0"/>
                          <w:divBdr>
                            <w:top w:val="none" w:sz="0" w:space="0" w:color="auto"/>
                            <w:left w:val="none" w:sz="0" w:space="0" w:color="auto"/>
                            <w:bottom w:val="none" w:sz="0" w:space="0" w:color="auto"/>
                            <w:right w:val="none" w:sz="0" w:space="0" w:color="auto"/>
                          </w:divBdr>
                          <w:divsChild>
                            <w:div w:id="563835719">
                              <w:marLeft w:val="0"/>
                              <w:marRight w:val="0"/>
                              <w:marTop w:val="0"/>
                              <w:marBottom w:val="0"/>
                              <w:divBdr>
                                <w:top w:val="none" w:sz="0" w:space="0" w:color="auto"/>
                                <w:left w:val="none" w:sz="0" w:space="0" w:color="auto"/>
                                <w:bottom w:val="none" w:sz="0" w:space="0" w:color="auto"/>
                                <w:right w:val="none" w:sz="0" w:space="0" w:color="auto"/>
                              </w:divBdr>
                              <w:divsChild>
                                <w:div w:id="2057971829">
                                  <w:marLeft w:val="0"/>
                                  <w:marRight w:val="0"/>
                                  <w:marTop w:val="0"/>
                                  <w:marBottom w:val="0"/>
                                  <w:divBdr>
                                    <w:top w:val="none" w:sz="0" w:space="0" w:color="auto"/>
                                    <w:left w:val="none" w:sz="0" w:space="0" w:color="auto"/>
                                    <w:bottom w:val="none" w:sz="0" w:space="0" w:color="auto"/>
                                    <w:right w:val="none" w:sz="0" w:space="0" w:color="auto"/>
                                  </w:divBdr>
                                  <w:divsChild>
                                    <w:div w:id="1842159097">
                                      <w:marLeft w:val="0"/>
                                      <w:marRight w:val="0"/>
                                      <w:marTop w:val="0"/>
                                      <w:marBottom w:val="0"/>
                                      <w:divBdr>
                                        <w:top w:val="none" w:sz="0" w:space="0" w:color="auto"/>
                                        <w:left w:val="none" w:sz="0" w:space="0" w:color="auto"/>
                                        <w:bottom w:val="none" w:sz="0" w:space="0" w:color="auto"/>
                                        <w:right w:val="none" w:sz="0" w:space="0" w:color="auto"/>
                                      </w:divBdr>
                                      <w:divsChild>
                                        <w:div w:id="1602033168">
                                          <w:marLeft w:val="0"/>
                                          <w:marRight w:val="0"/>
                                          <w:marTop w:val="0"/>
                                          <w:marBottom w:val="0"/>
                                          <w:divBdr>
                                            <w:top w:val="none" w:sz="0" w:space="0" w:color="auto"/>
                                            <w:left w:val="none" w:sz="0" w:space="0" w:color="auto"/>
                                            <w:bottom w:val="none" w:sz="0" w:space="0" w:color="auto"/>
                                            <w:right w:val="none" w:sz="0" w:space="0" w:color="auto"/>
                                          </w:divBdr>
                                          <w:divsChild>
                                            <w:div w:id="901864053">
                                              <w:marLeft w:val="0"/>
                                              <w:marRight w:val="0"/>
                                              <w:marTop w:val="0"/>
                                              <w:marBottom w:val="0"/>
                                              <w:divBdr>
                                                <w:top w:val="none" w:sz="0" w:space="0" w:color="auto"/>
                                                <w:left w:val="none" w:sz="0" w:space="0" w:color="auto"/>
                                                <w:bottom w:val="none" w:sz="0" w:space="0" w:color="auto"/>
                                                <w:right w:val="none" w:sz="0" w:space="0" w:color="auto"/>
                                              </w:divBdr>
                                              <w:divsChild>
                                                <w:div w:id="298002293">
                                                  <w:marLeft w:val="0"/>
                                                  <w:marRight w:val="0"/>
                                                  <w:marTop w:val="0"/>
                                                  <w:marBottom w:val="0"/>
                                                  <w:divBdr>
                                                    <w:top w:val="none" w:sz="0" w:space="0" w:color="auto"/>
                                                    <w:left w:val="none" w:sz="0" w:space="0" w:color="auto"/>
                                                    <w:bottom w:val="none" w:sz="0" w:space="0" w:color="auto"/>
                                                    <w:right w:val="none" w:sz="0" w:space="0" w:color="auto"/>
                                                  </w:divBdr>
                                                  <w:divsChild>
                                                    <w:div w:id="594899309">
                                                      <w:marLeft w:val="0"/>
                                                      <w:marRight w:val="0"/>
                                                      <w:marTop w:val="0"/>
                                                      <w:marBottom w:val="0"/>
                                                      <w:divBdr>
                                                        <w:top w:val="none" w:sz="0" w:space="0" w:color="auto"/>
                                                        <w:left w:val="none" w:sz="0" w:space="0" w:color="auto"/>
                                                        <w:bottom w:val="none" w:sz="0" w:space="0" w:color="auto"/>
                                                        <w:right w:val="none" w:sz="0" w:space="0" w:color="auto"/>
                                                      </w:divBdr>
                                                      <w:divsChild>
                                                        <w:div w:id="1482651350">
                                                          <w:marLeft w:val="0"/>
                                                          <w:marRight w:val="0"/>
                                                          <w:marTop w:val="0"/>
                                                          <w:marBottom w:val="0"/>
                                                          <w:divBdr>
                                                            <w:top w:val="none" w:sz="0" w:space="0" w:color="auto"/>
                                                            <w:left w:val="none" w:sz="0" w:space="0" w:color="auto"/>
                                                            <w:bottom w:val="none" w:sz="0" w:space="0" w:color="auto"/>
                                                            <w:right w:val="none" w:sz="0" w:space="0" w:color="auto"/>
                                                          </w:divBdr>
                                                          <w:divsChild>
                                                            <w:div w:id="144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311654">
      <w:bodyDiv w:val="1"/>
      <w:marLeft w:val="0"/>
      <w:marRight w:val="0"/>
      <w:marTop w:val="0"/>
      <w:marBottom w:val="0"/>
      <w:divBdr>
        <w:top w:val="none" w:sz="0" w:space="0" w:color="auto"/>
        <w:left w:val="none" w:sz="0" w:space="0" w:color="auto"/>
        <w:bottom w:val="none" w:sz="0" w:space="0" w:color="auto"/>
        <w:right w:val="none" w:sz="0" w:space="0" w:color="auto"/>
      </w:divBdr>
      <w:divsChild>
        <w:div w:id="150945588">
          <w:marLeft w:val="0"/>
          <w:marRight w:val="0"/>
          <w:marTop w:val="0"/>
          <w:marBottom w:val="0"/>
          <w:divBdr>
            <w:top w:val="none" w:sz="0" w:space="0" w:color="auto"/>
            <w:left w:val="none" w:sz="0" w:space="0" w:color="auto"/>
            <w:bottom w:val="none" w:sz="0" w:space="0" w:color="auto"/>
            <w:right w:val="none" w:sz="0" w:space="0" w:color="auto"/>
          </w:divBdr>
          <w:divsChild>
            <w:div w:id="952594410">
              <w:marLeft w:val="0"/>
              <w:marRight w:val="0"/>
              <w:marTop w:val="0"/>
              <w:marBottom w:val="0"/>
              <w:divBdr>
                <w:top w:val="none" w:sz="0" w:space="0" w:color="auto"/>
                <w:left w:val="none" w:sz="0" w:space="0" w:color="auto"/>
                <w:bottom w:val="none" w:sz="0" w:space="0" w:color="auto"/>
                <w:right w:val="none" w:sz="0" w:space="0" w:color="auto"/>
              </w:divBdr>
            </w:div>
            <w:div w:id="1583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1021">
      <w:bodyDiv w:val="1"/>
      <w:marLeft w:val="0"/>
      <w:marRight w:val="0"/>
      <w:marTop w:val="0"/>
      <w:marBottom w:val="0"/>
      <w:divBdr>
        <w:top w:val="none" w:sz="0" w:space="0" w:color="auto"/>
        <w:left w:val="none" w:sz="0" w:space="0" w:color="auto"/>
        <w:bottom w:val="none" w:sz="0" w:space="0" w:color="auto"/>
        <w:right w:val="none" w:sz="0" w:space="0" w:color="auto"/>
      </w:divBdr>
    </w:div>
    <w:div w:id="1605110253">
      <w:bodyDiv w:val="1"/>
      <w:marLeft w:val="0"/>
      <w:marRight w:val="0"/>
      <w:marTop w:val="0"/>
      <w:marBottom w:val="0"/>
      <w:divBdr>
        <w:top w:val="none" w:sz="0" w:space="0" w:color="auto"/>
        <w:left w:val="none" w:sz="0" w:space="0" w:color="auto"/>
        <w:bottom w:val="none" w:sz="0" w:space="0" w:color="auto"/>
        <w:right w:val="none" w:sz="0" w:space="0" w:color="auto"/>
      </w:divBdr>
    </w:div>
    <w:div w:id="1852059954">
      <w:bodyDiv w:val="1"/>
      <w:marLeft w:val="0"/>
      <w:marRight w:val="0"/>
      <w:marTop w:val="0"/>
      <w:marBottom w:val="0"/>
      <w:divBdr>
        <w:top w:val="none" w:sz="0" w:space="0" w:color="auto"/>
        <w:left w:val="none" w:sz="0" w:space="0" w:color="auto"/>
        <w:bottom w:val="none" w:sz="0" w:space="0" w:color="auto"/>
        <w:right w:val="none" w:sz="0" w:space="0" w:color="auto"/>
      </w:divBdr>
      <w:divsChild>
        <w:div w:id="1652711248">
          <w:marLeft w:val="0"/>
          <w:marRight w:val="0"/>
          <w:marTop w:val="0"/>
          <w:marBottom w:val="0"/>
          <w:divBdr>
            <w:top w:val="none" w:sz="0" w:space="0" w:color="auto"/>
            <w:left w:val="none" w:sz="0" w:space="0" w:color="auto"/>
            <w:bottom w:val="none" w:sz="0" w:space="0" w:color="auto"/>
            <w:right w:val="none" w:sz="0" w:space="0" w:color="auto"/>
          </w:divBdr>
          <w:divsChild>
            <w:div w:id="344358089">
              <w:marLeft w:val="0"/>
              <w:marRight w:val="0"/>
              <w:marTop w:val="100"/>
              <w:marBottom w:val="100"/>
              <w:divBdr>
                <w:top w:val="none" w:sz="0" w:space="0" w:color="auto"/>
                <w:left w:val="none" w:sz="0" w:space="0" w:color="auto"/>
                <w:bottom w:val="none" w:sz="0" w:space="0" w:color="auto"/>
                <w:right w:val="none" w:sz="0" w:space="0" w:color="auto"/>
              </w:divBdr>
              <w:divsChild>
                <w:div w:id="734427081">
                  <w:marLeft w:val="0"/>
                  <w:marRight w:val="0"/>
                  <w:marTop w:val="0"/>
                  <w:marBottom w:val="0"/>
                  <w:divBdr>
                    <w:top w:val="none" w:sz="0" w:space="0" w:color="auto"/>
                    <w:left w:val="none" w:sz="0" w:space="0" w:color="auto"/>
                    <w:bottom w:val="none" w:sz="0" w:space="0" w:color="auto"/>
                    <w:right w:val="none" w:sz="0" w:space="0" w:color="auto"/>
                  </w:divBdr>
                  <w:divsChild>
                    <w:div w:id="450561580">
                      <w:marLeft w:val="0"/>
                      <w:marRight w:val="0"/>
                      <w:marTop w:val="0"/>
                      <w:marBottom w:val="0"/>
                      <w:divBdr>
                        <w:top w:val="none" w:sz="0" w:space="0" w:color="auto"/>
                        <w:left w:val="none" w:sz="0" w:space="0" w:color="auto"/>
                        <w:bottom w:val="none" w:sz="0" w:space="0" w:color="auto"/>
                        <w:right w:val="none" w:sz="0" w:space="0" w:color="auto"/>
                      </w:divBdr>
                    </w:div>
                    <w:div w:id="2003967830">
                      <w:marLeft w:val="0"/>
                      <w:marRight w:val="0"/>
                      <w:marTop w:val="0"/>
                      <w:marBottom w:val="0"/>
                      <w:divBdr>
                        <w:top w:val="none" w:sz="0" w:space="0" w:color="auto"/>
                        <w:left w:val="none" w:sz="0" w:space="0" w:color="auto"/>
                        <w:bottom w:val="none" w:sz="0" w:space="0" w:color="auto"/>
                        <w:right w:val="none" w:sz="0" w:space="0" w:color="auto"/>
                      </w:divBdr>
                      <w:divsChild>
                        <w:div w:id="16028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8262">
          <w:marLeft w:val="0"/>
          <w:marRight w:val="0"/>
          <w:marTop w:val="0"/>
          <w:marBottom w:val="0"/>
          <w:divBdr>
            <w:top w:val="none" w:sz="0" w:space="0" w:color="auto"/>
            <w:left w:val="none" w:sz="0" w:space="0" w:color="auto"/>
            <w:bottom w:val="none" w:sz="0" w:space="0" w:color="auto"/>
            <w:right w:val="none" w:sz="0" w:space="0" w:color="auto"/>
          </w:divBdr>
          <w:divsChild>
            <w:div w:id="861086258">
              <w:marLeft w:val="0"/>
              <w:marRight w:val="0"/>
              <w:marTop w:val="0"/>
              <w:marBottom w:val="0"/>
              <w:divBdr>
                <w:top w:val="none" w:sz="0" w:space="0" w:color="auto"/>
                <w:left w:val="none" w:sz="0" w:space="0" w:color="auto"/>
                <w:bottom w:val="none" w:sz="0" w:space="0" w:color="auto"/>
                <w:right w:val="none" w:sz="0" w:space="0" w:color="auto"/>
              </w:divBdr>
              <w:divsChild>
                <w:div w:id="191458915">
                  <w:marLeft w:val="0"/>
                  <w:marRight w:val="0"/>
                  <w:marTop w:val="0"/>
                  <w:marBottom w:val="0"/>
                  <w:divBdr>
                    <w:top w:val="none" w:sz="0" w:space="0" w:color="auto"/>
                    <w:left w:val="none" w:sz="0" w:space="0" w:color="auto"/>
                    <w:bottom w:val="none" w:sz="0" w:space="0" w:color="auto"/>
                    <w:right w:val="none" w:sz="0" w:space="0" w:color="auto"/>
                  </w:divBdr>
                  <w:divsChild>
                    <w:div w:id="1938294354">
                      <w:marLeft w:val="0"/>
                      <w:marRight w:val="0"/>
                      <w:marTop w:val="0"/>
                      <w:marBottom w:val="0"/>
                      <w:divBdr>
                        <w:top w:val="none" w:sz="0" w:space="0" w:color="auto"/>
                        <w:left w:val="none" w:sz="0" w:space="0" w:color="auto"/>
                        <w:bottom w:val="none" w:sz="0" w:space="0" w:color="auto"/>
                        <w:right w:val="none" w:sz="0" w:space="0" w:color="auto"/>
                      </w:divBdr>
                      <w:divsChild>
                        <w:div w:id="262078617">
                          <w:marLeft w:val="0"/>
                          <w:marRight w:val="0"/>
                          <w:marTop w:val="0"/>
                          <w:marBottom w:val="0"/>
                          <w:divBdr>
                            <w:top w:val="none" w:sz="0" w:space="0" w:color="auto"/>
                            <w:left w:val="none" w:sz="0" w:space="0" w:color="auto"/>
                            <w:bottom w:val="none" w:sz="0" w:space="0" w:color="auto"/>
                            <w:right w:val="none" w:sz="0" w:space="0" w:color="auto"/>
                          </w:divBdr>
                          <w:divsChild>
                            <w:div w:id="1638757665">
                              <w:marLeft w:val="0"/>
                              <w:marRight w:val="0"/>
                              <w:marTop w:val="0"/>
                              <w:marBottom w:val="0"/>
                              <w:divBdr>
                                <w:top w:val="none" w:sz="0" w:space="0" w:color="auto"/>
                                <w:left w:val="none" w:sz="0" w:space="0" w:color="auto"/>
                                <w:bottom w:val="none" w:sz="0" w:space="0" w:color="auto"/>
                                <w:right w:val="none" w:sz="0" w:space="0" w:color="auto"/>
                              </w:divBdr>
                              <w:divsChild>
                                <w:div w:id="1991134586">
                                  <w:marLeft w:val="0"/>
                                  <w:marRight w:val="0"/>
                                  <w:marTop w:val="0"/>
                                  <w:marBottom w:val="0"/>
                                  <w:divBdr>
                                    <w:top w:val="none" w:sz="0" w:space="0" w:color="auto"/>
                                    <w:left w:val="none" w:sz="0" w:space="0" w:color="auto"/>
                                    <w:bottom w:val="none" w:sz="0" w:space="0" w:color="auto"/>
                                    <w:right w:val="none" w:sz="0" w:space="0" w:color="auto"/>
                                  </w:divBdr>
                                  <w:divsChild>
                                    <w:div w:id="296301445">
                                      <w:marLeft w:val="0"/>
                                      <w:marRight w:val="0"/>
                                      <w:marTop w:val="0"/>
                                      <w:marBottom w:val="0"/>
                                      <w:divBdr>
                                        <w:top w:val="none" w:sz="0" w:space="0" w:color="auto"/>
                                        <w:left w:val="none" w:sz="0" w:space="0" w:color="auto"/>
                                        <w:bottom w:val="none" w:sz="0" w:space="0" w:color="auto"/>
                                        <w:right w:val="none" w:sz="0" w:space="0" w:color="auto"/>
                                      </w:divBdr>
                                      <w:divsChild>
                                        <w:div w:id="2006587771">
                                          <w:marLeft w:val="0"/>
                                          <w:marRight w:val="0"/>
                                          <w:marTop w:val="0"/>
                                          <w:marBottom w:val="0"/>
                                          <w:divBdr>
                                            <w:top w:val="none" w:sz="0" w:space="0" w:color="auto"/>
                                            <w:left w:val="none" w:sz="0" w:space="0" w:color="auto"/>
                                            <w:bottom w:val="none" w:sz="0" w:space="0" w:color="auto"/>
                                            <w:right w:val="none" w:sz="0" w:space="0" w:color="auto"/>
                                          </w:divBdr>
                                          <w:divsChild>
                                            <w:div w:id="7076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8501">
                                      <w:marLeft w:val="0"/>
                                      <w:marRight w:val="0"/>
                                      <w:marTop w:val="0"/>
                                      <w:marBottom w:val="0"/>
                                      <w:divBdr>
                                        <w:top w:val="none" w:sz="0" w:space="0" w:color="auto"/>
                                        <w:left w:val="none" w:sz="0" w:space="0" w:color="auto"/>
                                        <w:bottom w:val="none" w:sz="0" w:space="0" w:color="auto"/>
                                        <w:right w:val="none" w:sz="0" w:space="0" w:color="auto"/>
                                      </w:divBdr>
                                      <w:divsChild>
                                        <w:div w:id="1902596610">
                                          <w:marLeft w:val="0"/>
                                          <w:marRight w:val="0"/>
                                          <w:marTop w:val="0"/>
                                          <w:marBottom w:val="0"/>
                                          <w:divBdr>
                                            <w:top w:val="none" w:sz="0" w:space="0" w:color="auto"/>
                                            <w:left w:val="none" w:sz="0" w:space="0" w:color="auto"/>
                                            <w:bottom w:val="none" w:sz="0" w:space="0" w:color="auto"/>
                                            <w:right w:val="none" w:sz="0" w:space="0" w:color="auto"/>
                                          </w:divBdr>
                                          <w:divsChild>
                                            <w:div w:id="1726829053">
                                              <w:marLeft w:val="0"/>
                                              <w:marRight w:val="0"/>
                                              <w:marTop w:val="0"/>
                                              <w:marBottom w:val="0"/>
                                              <w:divBdr>
                                                <w:top w:val="none" w:sz="0" w:space="0" w:color="auto"/>
                                                <w:left w:val="none" w:sz="0" w:space="0" w:color="auto"/>
                                                <w:bottom w:val="none" w:sz="0" w:space="0" w:color="auto"/>
                                                <w:right w:val="none" w:sz="0" w:space="0" w:color="auto"/>
                                              </w:divBdr>
                                              <w:divsChild>
                                                <w:div w:id="716246270">
                                                  <w:marLeft w:val="0"/>
                                                  <w:marRight w:val="0"/>
                                                  <w:marTop w:val="0"/>
                                                  <w:marBottom w:val="0"/>
                                                  <w:divBdr>
                                                    <w:top w:val="none" w:sz="0" w:space="0" w:color="auto"/>
                                                    <w:left w:val="none" w:sz="0" w:space="0" w:color="auto"/>
                                                    <w:bottom w:val="none" w:sz="0" w:space="0" w:color="auto"/>
                                                    <w:right w:val="none" w:sz="0" w:space="0" w:color="auto"/>
                                                  </w:divBdr>
                                                  <w:divsChild>
                                                    <w:div w:id="603658846">
                                                      <w:marLeft w:val="0"/>
                                                      <w:marRight w:val="0"/>
                                                      <w:marTop w:val="0"/>
                                                      <w:marBottom w:val="0"/>
                                                      <w:divBdr>
                                                        <w:top w:val="none" w:sz="0" w:space="0" w:color="auto"/>
                                                        <w:left w:val="none" w:sz="0" w:space="0" w:color="auto"/>
                                                        <w:bottom w:val="none" w:sz="0" w:space="0" w:color="auto"/>
                                                        <w:right w:val="none" w:sz="0" w:space="0" w:color="auto"/>
                                                      </w:divBdr>
                                                      <w:divsChild>
                                                        <w:div w:id="552695237">
                                                          <w:marLeft w:val="0"/>
                                                          <w:marRight w:val="-255"/>
                                                          <w:marTop w:val="0"/>
                                                          <w:marBottom w:val="0"/>
                                                          <w:divBdr>
                                                            <w:top w:val="none" w:sz="0" w:space="0" w:color="auto"/>
                                                            <w:left w:val="none" w:sz="0" w:space="0" w:color="auto"/>
                                                            <w:bottom w:val="none" w:sz="0" w:space="0" w:color="auto"/>
                                                            <w:right w:val="none" w:sz="0" w:space="0" w:color="auto"/>
                                                          </w:divBdr>
                                                          <w:divsChild>
                                                            <w:div w:id="1579636322">
                                                              <w:marLeft w:val="0"/>
                                                              <w:marRight w:val="0"/>
                                                              <w:marTop w:val="0"/>
                                                              <w:marBottom w:val="0"/>
                                                              <w:divBdr>
                                                                <w:top w:val="none" w:sz="0" w:space="0" w:color="auto"/>
                                                                <w:left w:val="none" w:sz="0" w:space="0" w:color="auto"/>
                                                                <w:bottom w:val="none" w:sz="0" w:space="0" w:color="auto"/>
                                                                <w:right w:val="none" w:sz="0" w:space="0" w:color="auto"/>
                                                              </w:divBdr>
                                                              <w:divsChild>
                                                                <w:div w:id="403920781">
                                                                  <w:marLeft w:val="0"/>
                                                                  <w:marRight w:val="0"/>
                                                                  <w:marTop w:val="0"/>
                                                                  <w:marBottom w:val="0"/>
                                                                  <w:divBdr>
                                                                    <w:top w:val="none" w:sz="0" w:space="0" w:color="auto"/>
                                                                    <w:left w:val="none" w:sz="0" w:space="0" w:color="auto"/>
                                                                    <w:bottom w:val="none" w:sz="0" w:space="0" w:color="auto"/>
                                                                    <w:right w:val="none" w:sz="0" w:space="0" w:color="auto"/>
                                                                  </w:divBdr>
                                                                  <w:divsChild>
                                                                    <w:div w:id="6179932">
                                                                      <w:marLeft w:val="0"/>
                                                                      <w:marRight w:val="0"/>
                                                                      <w:marTop w:val="0"/>
                                                                      <w:marBottom w:val="0"/>
                                                                      <w:divBdr>
                                                                        <w:top w:val="none" w:sz="0" w:space="0" w:color="auto"/>
                                                                        <w:left w:val="none" w:sz="0" w:space="0" w:color="auto"/>
                                                                        <w:bottom w:val="none" w:sz="0" w:space="0" w:color="auto"/>
                                                                        <w:right w:val="none" w:sz="0" w:space="0" w:color="auto"/>
                                                                      </w:divBdr>
                                                                      <w:divsChild>
                                                                        <w:div w:id="1448429319">
                                                                          <w:marLeft w:val="0"/>
                                                                          <w:marRight w:val="0"/>
                                                                          <w:marTop w:val="0"/>
                                                                          <w:marBottom w:val="0"/>
                                                                          <w:divBdr>
                                                                            <w:top w:val="none" w:sz="0" w:space="0" w:color="auto"/>
                                                                            <w:left w:val="none" w:sz="0" w:space="0" w:color="auto"/>
                                                                            <w:bottom w:val="none" w:sz="0" w:space="0" w:color="auto"/>
                                                                            <w:right w:val="none" w:sz="0" w:space="0" w:color="auto"/>
                                                                          </w:divBdr>
                                                                        </w:div>
                                                                      </w:divsChild>
                                                                    </w:div>
                                                                    <w:div w:id="29310481">
                                                                      <w:marLeft w:val="0"/>
                                                                      <w:marRight w:val="0"/>
                                                                      <w:marTop w:val="0"/>
                                                                      <w:marBottom w:val="0"/>
                                                                      <w:divBdr>
                                                                        <w:top w:val="none" w:sz="0" w:space="0" w:color="auto"/>
                                                                        <w:left w:val="none" w:sz="0" w:space="0" w:color="auto"/>
                                                                        <w:bottom w:val="none" w:sz="0" w:space="0" w:color="auto"/>
                                                                        <w:right w:val="none" w:sz="0" w:space="0" w:color="auto"/>
                                                                      </w:divBdr>
                                                                      <w:divsChild>
                                                                        <w:div w:id="386343248">
                                                                          <w:marLeft w:val="0"/>
                                                                          <w:marRight w:val="0"/>
                                                                          <w:marTop w:val="0"/>
                                                                          <w:marBottom w:val="0"/>
                                                                          <w:divBdr>
                                                                            <w:top w:val="none" w:sz="0" w:space="0" w:color="auto"/>
                                                                            <w:left w:val="none" w:sz="0" w:space="0" w:color="auto"/>
                                                                            <w:bottom w:val="none" w:sz="0" w:space="0" w:color="auto"/>
                                                                            <w:right w:val="none" w:sz="0" w:space="0" w:color="auto"/>
                                                                          </w:divBdr>
                                                                        </w:div>
                                                                        <w:div w:id="458689621">
                                                                          <w:marLeft w:val="0"/>
                                                                          <w:marRight w:val="0"/>
                                                                          <w:marTop w:val="0"/>
                                                                          <w:marBottom w:val="0"/>
                                                                          <w:divBdr>
                                                                            <w:top w:val="none" w:sz="0" w:space="0" w:color="auto"/>
                                                                            <w:left w:val="none" w:sz="0" w:space="0" w:color="auto"/>
                                                                            <w:bottom w:val="none" w:sz="0" w:space="0" w:color="auto"/>
                                                                            <w:right w:val="none" w:sz="0" w:space="0" w:color="auto"/>
                                                                          </w:divBdr>
                                                                        </w:div>
                                                                      </w:divsChild>
                                                                    </w:div>
                                                                    <w:div w:id="57561378">
                                                                      <w:marLeft w:val="0"/>
                                                                      <w:marRight w:val="0"/>
                                                                      <w:marTop w:val="0"/>
                                                                      <w:marBottom w:val="0"/>
                                                                      <w:divBdr>
                                                                        <w:top w:val="none" w:sz="0" w:space="0" w:color="auto"/>
                                                                        <w:left w:val="none" w:sz="0" w:space="0" w:color="auto"/>
                                                                        <w:bottom w:val="none" w:sz="0" w:space="0" w:color="auto"/>
                                                                        <w:right w:val="none" w:sz="0" w:space="0" w:color="auto"/>
                                                                      </w:divBdr>
                                                                      <w:divsChild>
                                                                        <w:div w:id="113642156">
                                                                          <w:marLeft w:val="0"/>
                                                                          <w:marRight w:val="0"/>
                                                                          <w:marTop w:val="0"/>
                                                                          <w:marBottom w:val="0"/>
                                                                          <w:divBdr>
                                                                            <w:top w:val="none" w:sz="0" w:space="0" w:color="auto"/>
                                                                            <w:left w:val="none" w:sz="0" w:space="0" w:color="auto"/>
                                                                            <w:bottom w:val="none" w:sz="0" w:space="0" w:color="auto"/>
                                                                            <w:right w:val="none" w:sz="0" w:space="0" w:color="auto"/>
                                                                          </w:divBdr>
                                                                        </w:div>
                                                                      </w:divsChild>
                                                                    </w:div>
                                                                    <w:div w:id="145099440">
                                                                      <w:marLeft w:val="0"/>
                                                                      <w:marRight w:val="0"/>
                                                                      <w:marTop w:val="0"/>
                                                                      <w:marBottom w:val="0"/>
                                                                      <w:divBdr>
                                                                        <w:top w:val="none" w:sz="0" w:space="0" w:color="auto"/>
                                                                        <w:left w:val="none" w:sz="0" w:space="0" w:color="auto"/>
                                                                        <w:bottom w:val="none" w:sz="0" w:space="0" w:color="auto"/>
                                                                        <w:right w:val="none" w:sz="0" w:space="0" w:color="auto"/>
                                                                      </w:divBdr>
                                                                      <w:divsChild>
                                                                        <w:div w:id="16973836">
                                                                          <w:marLeft w:val="0"/>
                                                                          <w:marRight w:val="0"/>
                                                                          <w:marTop w:val="0"/>
                                                                          <w:marBottom w:val="0"/>
                                                                          <w:divBdr>
                                                                            <w:top w:val="none" w:sz="0" w:space="0" w:color="auto"/>
                                                                            <w:left w:val="none" w:sz="0" w:space="0" w:color="auto"/>
                                                                            <w:bottom w:val="none" w:sz="0" w:space="0" w:color="auto"/>
                                                                            <w:right w:val="none" w:sz="0" w:space="0" w:color="auto"/>
                                                                          </w:divBdr>
                                                                          <w:divsChild>
                                                                            <w:div w:id="1823888146">
                                                                              <w:marLeft w:val="0"/>
                                                                              <w:marRight w:val="0"/>
                                                                              <w:marTop w:val="0"/>
                                                                              <w:marBottom w:val="0"/>
                                                                              <w:divBdr>
                                                                                <w:top w:val="none" w:sz="0" w:space="0" w:color="auto"/>
                                                                                <w:left w:val="none" w:sz="0" w:space="0" w:color="auto"/>
                                                                                <w:bottom w:val="none" w:sz="0" w:space="0" w:color="auto"/>
                                                                                <w:right w:val="none" w:sz="0" w:space="0" w:color="auto"/>
                                                                              </w:divBdr>
                                                                            </w:div>
                                                                          </w:divsChild>
                                                                        </w:div>
                                                                        <w:div w:id="1095982807">
                                                                          <w:marLeft w:val="0"/>
                                                                          <w:marRight w:val="0"/>
                                                                          <w:marTop w:val="0"/>
                                                                          <w:marBottom w:val="0"/>
                                                                          <w:divBdr>
                                                                            <w:top w:val="none" w:sz="0" w:space="0" w:color="auto"/>
                                                                            <w:left w:val="none" w:sz="0" w:space="0" w:color="auto"/>
                                                                            <w:bottom w:val="none" w:sz="0" w:space="0" w:color="auto"/>
                                                                            <w:right w:val="none" w:sz="0" w:space="0" w:color="auto"/>
                                                                          </w:divBdr>
                                                                        </w:div>
                                                                      </w:divsChild>
                                                                    </w:div>
                                                                    <w:div w:id="201140096">
                                                                      <w:marLeft w:val="0"/>
                                                                      <w:marRight w:val="0"/>
                                                                      <w:marTop w:val="0"/>
                                                                      <w:marBottom w:val="0"/>
                                                                      <w:divBdr>
                                                                        <w:top w:val="none" w:sz="0" w:space="0" w:color="auto"/>
                                                                        <w:left w:val="none" w:sz="0" w:space="0" w:color="auto"/>
                                                                        <w:bottom w:val="none" w:sz="0" w:space="0" w:color="auto"/>
                                                                        <w:right w:val="none" w:sz="0" w:space="0" w:color="auto"/>
                                                                      </w:divBdr>
                                                                      <w:divsChild>
                                                                        <w:div w:id="301273169">
                                                                          <w:marLeft w:val="0"/>
                                                                          <w:marRight w:val="0"/>
                                                                          <w:marTop w:val="0"/>
                                                                          <w:marBottom w:val="0"/>
                                                                          <w:divBdr>
                                                                            <w:top w:val="none" w:sz="0" w:space="0" w:color="auto"/>
                                                                            <w:left w:val="none" w:sz="0" w:space="0" w:color="auto"/>
                                                                            <w:bottom w:val="none" w:sz="0" w:space="0" w:color="auto"/>
                                                                            <w:right w:val="none" w:sz="0" w:space="0" w:color="auto"/>
                                                                          </w:divBdr>
                                                                        </w:div>
                                                                        <w:div w:id="663364301">
                                                                          <w:marLeft w:val="0"/>
                                                                          <w:marRight w:val="0"/>
                                                                          <w:marTop w:val="0"/>
                                                                          <w:marBottom w:val="0"/>
                                                                          <w:divBdr>
                                                                            <w:top w:val="none" w:sz="0" w:space="0" w:color="auto"/>
                                                                            <w:left w:val="none" w:sz="0" w:space="0" w:color="auto"/>
                                                                            <w:bottom w:val="none" w:sz="0" w:space="0" w:color="auto"/>
                                                                            <w:right w:val="none" w:sz="0" w:space="0" w:color="auto"/>
                                                                          </w:divBdr>
                                                                          <w:divsChild>
                                                                            <w:div w:id="18620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547">
                                                                      <w:marLeft w:val="0"/>
                                                                      <w:marRight w:val="0"/>
                                                                      <w:marTop w:val="0"/>
                                                                      <w:marBottom w:val="0"/>
                                                                      <w:divBdr>
                                                                        <w:top w:val="none" w:sz="0" w:space="0" w:color="auto"/>
                                                                        <w:left w:val="none" w:sz="0" w:space="0" w:color="auto"/>
                                                                        <w:bottom w:val="none" w:sz="0" w:space="0" w:color="auto"/>
                                                                        <w:right w:val="none" w:sz="0" w:space="0" w:color="auto"/>
                                                                      </w:divBdr>
                                                                      <w:divsChild>
                                                                        <w:div w:id="1512404073">
                                                                          <w:marLeft w:val="0"/>
                                                                          <w:marRight w:val="0"/>
                                                                          <w:marTop w:val="0"/>
                                                                          <w:marBottom w:val="0"/>
                                                                          <w:divBdr>
                                                                            <w:top w:val="none" w:sz="0" w:space="0" w:color="auto"/>
                                                                            <w:left w:val="none" w:sz="0" w:space="0" w:color="auto"/>
                                                                            <w:bottom w:val="none" w:sz="0" w:space="0" w:color="auto"/>
                                                                            <w:right w:val="none" w:sz="0" w:space="0" w:color="auto"/>
                                                                          </w:divBdr>
                                                                        </w:div>
                                                                      </w:divsChild>
                                                                    </w:div>
                                                                    <w:div w:id="369110465">
                                                                      <w:marLeft w:val="0"/>
                                                                      <w:marRight w:val="0"/>
                                                                      <w:marTop w:val="0"/>
                                                                      <w:marBottom w:val="0"/>
                                                                      <w:divBdr>
                                                                        <w:top w:val="none" w:sz="0" w:space="0" w:color="auto"/>
                                                                        <w:left w:val="none" w:sz="0" w:space="0" w:color="auto"/>
                                                                        <w:bottom w:val="none" w:sz="0" w:space="0" w:color="auto"/>
                                                                        <w:right w:val="none" w:sz="0" w:space="0" w:color="auto"/>
                                                                      </w:divBdr>
                                                                      <w:divsChild>
                                                                        <w:div w:id="549804649">
                                                                          <w:marLeft w:val="0"/>
                                                                          <w:marRight w:val="0"/>
                                                                          <w:marTop w:val="0"/>
                                                                          <w:marBottom w:val="0"/>
                                                                          <w:divBdr>
                                                                            <w:top w:val="none" w:sz="0" w:space="0" w:color="auto"/>
                                                                            <w:left w:val="none" w:sz="0" w:space="0" w:color="auto"/>
                                                                            <w:bottom w:val="none" w:sz="0" w:space="0" w:color="auto"/>
                                                                            <w:right w:val="none" w:sz="0" w:space="0" w:color="auto"/>
                                                                          </w:divBdr>
                                                                        </w:div>
                                                                      </w:divsChild>
                                                                    </w:div>
                                                                    <w:div w:id="500655648">
                                                                      <w:marLeft w:val="0"/>
                                                                      <w:marRight w:val="0"/>
                                                                      <w:marTop w:val="0"/>
                                                                      <w:marBottom w:val="0"/>
                                                                      <w:divBdr>
                                                                        <w:top w:val="none" w:sz="0" w:space="0" w:color="auto"/>
                                                                        <w:left w:val="none" w:sz="0" w:space="0" w:color="auto"/>
                                                                        <w:bottom w:val="none" w:sz="0" w:space="0" w:color="auto"/>
                                                                        <w:right w:val="none" w:sz="0" w:space="0" w:color="auto"/>
                                                                      </w:divBdr>
                                                                      <w:divsChild>
                                                                        <w:div w:id="1724980513">
                                                                          <w:marLeft w:val="0"/>
                                                                          <w:marRight w:val="0"/>
                                                                          <w:marTop w:val="0"/>
                                                                          <w:marBottom w:val="0"/>
                                                                          <w:divBdr>
                                                                            <w:top w:val="none" w:sz="0" w:space="0" w:color="auto"/>
                                                                            <w:left w:val="none" w:sz="0" w:space="0" w:color="auto"/>
                                                                            <w:bottom w:val="none" w:sz="0" w:space="0" w:color="auto"/>
                                                                            <w:right w:val="none" w:sz="0" w:space="0" w:color="auto"/>
                                                                          </w:divBdr>
                                                                        </w:div>
                                                                      </w:divsChild>
                                                                    </w:div>
                                                                    <w:div w:id="534150844">
                                                                      <w:marLeft w:val="0"/>
                                                                      <w:marRight w:val="0"/>
                                                                      <w:marTop w:val="0"/>
                                                                      <w:marBottom w:val="0"/>
                                                                      <w:divBdr>
                                                                        <w:top w:val="none" w:sz="0" w:space="0" w:color="auto"/>
                                                                        <w:left w:val="none" w:sz="0" w:space="0" w:color="auto"/>
                                                                        <w:bottom w:val="none" w:sz="0" w:space="0" w:color="auto"/>
                                                                        <w:right w:val="none" w:sz="0" w:space="0" w:color="auto"/>
                                                                      </w:divBdr>
                                                                      <w:divsChild>
                                                                        <w:div w:id="75130948">
                                                                          <w:marLeft w:val="0"/>
                                                                          <w:marRight w:val="0"/>
                                                                          <w:marTop w:val="0"/>
                                                                          <w:marBottom w:val="0"/>
                                                                          <w:divBdr>
                                                                            <w:top w:val="none" w:sz="0" w:space="0" w:color="auto"/>
                                                                            <w:left w:val="none" w:sz="0" w:space="0" w:color="auto"/>
                                                                            <w:bottom w:val="none" w:sz="0" w:space="0" w:color="auto"/>
                                                                            <w:right w:val="none" w:sz="0" w:space="0" w:color="auto"/>
                                                                          </w:divBdr>
                                                                        </w:div>
                                                                      </w:divsChild>
                                                                    </w:div>
                                                                    <w:div w:id="830175016">
                                                                      <w:marLeft w:val="0"/>
                                                                      <w:marRight w:val="0"/>
                                                                      <w:marTop w:val="0"/>
                                                                      <w:marBottom w:val="0"/>
                                                                      <w:divBdr>
                                                                        <w:top w:val="none" w:sz="0" w:space="0" w:color="auto"/>
                                                                        <w:left w:val="none" w:sz="0" w:space="0" w:color="auto"/>
                                                                        <w:bottom w:val="none" w:sz="0" w:space="0" w:color="auto"/>
                                                                        <w:right w:val="none" w:sz="0" w:space="0" w:color="auto"/>
                                                                      </w:divBdr>
                                                                      <w:divsChild>
                                                                        <w:div w:id="1856579384">
                                                                          <w:marLeft w:val="0"/>
                                                                          <w:marRight w:val="0"/>
                                                                          <w:marTop w:val="0"/>
                                                                          <w:marBottom w:val="0"/>
                                                                          <w:divBdr>
                                                                            <w:top w:val="none" w:sz="0" w:space="0" w:color="auto"/>
                                                                            <w:left w:val="none" w:sz="0" w:space="0" w:color="auto"/>
                                                                            <w:bottom w:val="none" w:sz="0" w:space="0" w:color="auto"/>
                                                                            <w:right w:val="none" w:sz="0" w:space="0" w:color="auto"/>
                                                                          </w:divBdr>
                                                                        </w:div>
                                                                      </w:divsChild>
                                                                    </w:div>
                                                                    <w:div w:id="851843875">
                                                                      <w:marLeft w:val="0"/>
                                                                      <w:marRight w:val="0"/>
                                                                      <w:marTop w:val="0"/>
                                                                      <w:marBottom w:val="0"/>
                                                                      <w:divBdr>
                                                                        <w:top w:val="none" w:sz="0" w:space="0" w:color="auto"/>
                                                                        <w:left w:val="none" w:sz="0" w:space="0" w:color="auto"/>
                                                                        <w:bottom w:val="none" w:sz="0" w:space="0" w:color="auto"/>
                                                                        <w:right w:val="none" w:sz="0" w:space="0" w:color="auto"/>
                                                                      </w:divBdr>
                                                                      <w:divsChild>
                                                                        <w:div w:id="1228883964">
                                                                          <w:marLeft w:val="0"/>
                                                                          <w:marRight w:val="0"/>
                                                                          <w:marTop w:val="0"/>
                                                                          <w:marBottom w:val="0"/>
                                                                          <w:divBdr>
                                                                            <w:top w:val="none" w:sz="0" w:space="0" w:color="auto"/>
                                                                            <w:left w:val="none" w:sz="0" w:space="0" w:color="auto"/>
                                                                            <w:bottom w:val="none" w:sz="0" w:space="0" w:color="auto"/>
                                                                            <w:right w:val="none" w:sz="0" w:space="0" w:color="auto"/>
                                                                          </w:divBdr>
                                                                        </w:div>
                                                                        <w:div w:id="1937907122">
                                                                          <w:marLeft w:val="0"/>
                                                                          <w:marRight w:val="0"/>
                                                                          <w:marTop w:val="0"/>
                                                                          <w:marBottom w:val="0"/>
                                                                          <w:divBdr>
                                                                            <w:top w:val="none" w:sz="0" w:space="0" w:color="auto"/>
                                                                            <w:left w:val="none" w:sz="0" w:space="0" w:color="auto"/>
                                                                            <w:bottom w:val="none" w:sz="0" w:space="0" w:color="auto"/>
                                                                            <w:right w:val="none" w:sz="0" w:space="0" w:color="auto"/>
                                                                          </w:divBdr>
                                                                        </w:div>
                                                                      </w:divsChild>
                                                                    </w:div>
                                                                    <w:div w:id="906383218">
                                                                      <w:marLeft w:val="0"/>
                                                                      <w:marRight w:val="0"/>
                                                                      <w:marTop w:val="0"/>
                                                                      <w:marBottom w:val="0"/>
                                                                      <w:divBdr>
                                                                        <w:top w:val="none" w:sz="0" w:space="0" w:color="auto"/>
                                                                        <w:left w:val="none" w:sz="0" w:space="0" w:color="auto"/>
                                                                        <w:bottom w:val="none" w:sz="0" w:space="0" w:color="auto"/>
                                                                        <w:right w:val="none" w:sz="0" w:space="0" w:color="auto"/>
                                                                      </w:divBdr>
                                                                      <w:divsChild>
                                                                        <w:div w:id="1896234437">
                                                                          <w:marLeft w:val="0"/>
                                                                          <w:marRight w:val="0"/>
                                                                          <w:marTop w:val="0"/>
                                                                          <w:marBottom w:val="0"/>
                                                                          <w:divBdr>
                                                                            <w:top w:val="none" w:sz="0" w:space="0" w:color="auto"/>
                                                                            <w:left w:val="none" w:sz="0" w:space="0" w:color="auto"/>
                                                                            <w:bottom w:val="none" w:sz="0" w:space="0" w:color="auto"/>
                                                                            <w:right w:val="none" w:sz="0" w:space="0" w:color="auto"/>
                                                                          </w:divBdr>
                                                                        </w:div>
                                                                      </w:divsChild>
                                                                    </w:div>
                                                                    <w:div w:id="997271533">
                                                                      <w:marLeft w:val="0"/>
                                                                      <w:marRight w:val="0"/>
                                                                      <w:marTop w:val="0"/>
                                                                      <w:marBottom w:val="0"/>
                                                                      <w:divBdr>
                                                                        <w:top w:val="none" w:sz="0" w:space="0" w:color="auto"/>
                                                                        <w:left w:val="none" w:sz="0" w:space="0" w:color="auto"/>
                                                                        <w:bottom w:val="none" w:sz="0" w:space="0" w:color="auto"/>
                                                                        <w:right w:val="none" w:sz="0" w:space="0" w:color="auto"/>
                                                                      </w:divBdr>
                                                                      <w:divsChild>
                                                                        <w:div w:id="962808829">
                                                                          <w:marLeft w:val="0"/>
                                                                          <w:marRight w:val="0"/>
                                                                          <w:marTop w:val="0"/>
                                                                          <w:marBottom w:val="0"/>
                                                                          <w:divBdr>
                                                                            <w:top w:val="none" w:sz="0" w:space="0" w:color="auto"/>
                                                                            <w:left w:val="none" w:sz="0" w:space="0" w:color="auto"/>
                                                                            <w:bottom w:val="none" w:sz="0" w:space="0" w:color="auto"/>
                                                                            <w:right w:val="none" w:sz="0" w:space="0" w:color="auto"/>
                                                                          </w:divBdr>
                                                                        </w:div>
                                                                      </w:divsChild>
                                                                    </w:div>
                                                                    <w:div w:id="1068117178">
                                                                      <w:marLeft w:val="0"/>
                                                                      <w:marRight w:val="0"/>
                                                                      <w:marTop w:val="0"/>
                                                                      <w:marBottom w:val="0"/>
                                                                      <w:divBdr>
                                                                        <w:top w:val="none" w:sz="0" w:space="0" w:color="auto"/>
                                                                        <w:left w:val="none" w:sz="0" w:space="0" w:color="auto"/>
                                                                        <w:bottom w:val="none" w:sz="0" w:space="0" w:color="auto"/>
                                                                        <w:right w:val="none" w:sz="0" w:space="0" w:color="auto"/>
                                                                      </w:divBdr>
                                                                      <w:divsChild>
                                                                        <w:div w:id="588008592">
                                                                          <w:marLeft w:val="0"/>
                                                                          <w:marRight w:val="0"/>
                                                                          <w:marTop w:val="0"/>
                                                                          <w:marBottom w:val="0"/>
                                                                          <w:divBdr>
                                                                            <w:top w:val="none" w:sz="0" w:space="0" w:color="auto"/>
                                                                            <w:left w:val="none" w:sz="0" w:space="0" w:color="auto"/>
                                                                            <w:bottom w:val="none" w:sz="0" w:space="0" w:color="auto"/>
                                                                            <w:right w:val="none" w:sz="0" w:space="0" w:color="auto"/>
                                                                          </w:divBdr>
                                                                        </w:div>
                                                                      </w:divsChild>
                                                                    </w:div>
                                                                    <w:div w:id="1083142382">
                                                                      <w:marLeft w:val="0"/>
                                                                      <w:marRight w:val="0"/>
                                                                      <w:marTop w:val="0"/>
                                                                      <w:marBottom w:val="0"/>
                                                                      <w:divBdr>
                                                                        <w:top w:val="none" w:sz="0" w:space="0" w:color="auto"/>
                                                                        <w:left w:val="none" w:sz="0" w:space="0" w:color="auto"/>
                                                                        <w:bottom w:val="none" w:sz="0" w:space="0" w:color="auto"/>
                                                                        <w:right w:val="none" w:sz="0" w:space="0" w:color="auto"/>
                                                                      </w:divBdr>
                                                                      <w:divsChild>
                                                                        <w:div w:id="446510883">
                                                                          <w:marLeft w:val="0"/>
                                                                          <w:marRight w:val="0"/>
                                                                          <w:marTop w:val="0"/>
                                                                          <w:marBottom w:val="0"/>
                                                                          <w:divBdr>
                                                                            <w:top w:val="none" w:sz="0" w:space="0" w:color="auto"/>
                                                                            <w:left w:val="none" w:sz="0" w:space="0" w:color="auto"/>
                                                                            <w:bottom w:val="none" w:sz="0" w:space="0" w:color="auto"/>
                                                                            <w:right w:val="none" w:sz="0" w:space="0" w:color="auto"/>
                                                                          </w:divBdr>
                                                                        </w:div>
                                                                      </w:divsChild>
                                                                    </w:div>
                                                                    <w:div w:id="1165244893">
                                                                      <w:marLeft w:val="0"/>
                                                                      <w:marRight w:val="0"/>
                                                                      <w:marTop w:val="0"/>
                                                                      <w:marBottom w:val="0"/>
                                                                      <w:divBdr>
                                                                        <w:top w:val="none" w:sz="0" w:space="0" w:color="auto"/>
                                                                        <w:left w:val="none" w:sz="0" w:space="0" w:color="auto"/>
                                                                        <w:bottom w:val="none" w:sz="0" w:space="0" w:color="auto"/>
                                                                        <w:right w:val="none" w:sz="0" w:space="0" w:color="auto"/>
                                                                      </w:divBdr>
                                                                      <w:divsChild>
                                                                        <w:div w:id="1362703158">
                                                                          <w:marLeft w:val="0"/>
                                                                          <w:marRight w:val="0"/>
                                                                          <w:marTop w:val="0"/>
                                                                          <w:marBottom w:val="0"/>
                                                                          <w:divBdr>
                                                                            <w:top w:val="none" w:sz="0" w:space="0" w:color="auto"/>
                                                                            <w:left w:val="none" w:sz="0" w:space="0" w:color="auto"/>
                                                                            <w:bottom w:val="none" w:sz="0" w:space="0" w:color="auto"/>
                                                                            <w:right w:val="none" w:sz="0" w:space="0" w:color="auto"/>
                                                                          </w:divBdr>
                                                                        </w:div>
                                                                      </w:divsChild>
                                                                    </w:div>
                                                                    <w:div w:id="1228878842">
                                                                      <w:marLeft w:val="0"/>
                                                                      <w:marRight w:val="0"/>
                                                                      <w:marTop w:val="0"/>
                                                                      <w:marBottom w:val="0"/>
                                                                      <w:divBdr>
                                                                        <w:top w:val="none" w:sz="0" w:space="0" w:color="auto"/>
                                                                        <w:left w:val="none" w:sz="0" w:space="0" w:color="auto"/>
                                                                        <w:bottom w:val="none" w:sz="0" w:space="0" w:color="auto"/>
                                                                        <w:right w:val="none" w:sz="0" w:space="0" w:color="auto"/>
                                                                      </w:divBdr>
                                                                      <w:divsChild>
                                                                        <w:div w:id="1069809672">
                                                                          <w:marLeft w:val="0"/>
                                                                          <w:marRight w:val="0"/>
                                                                          <w:marTop w:val="0"/>
                                                                          <w:marBottom w:val="0"/>
                                                                          <w:divBdr>
                                                                            <w:top w:val="none" w:sz="0" w:space="0" w:color="auto"/>
                                                                            <w:left w:val="none" w:sz="0" w:space="0" w:color="auto"/>
                                                                            <w:bottom w:val="none" w:sz="0" w:space="0" w:color="auto"/>
                                                                            <w:right w:val="none" w:sz="0" w:space="0" w:color="auto"/>
                                                                          </w:divBdr>
                                                                        </w:div>
                                                                        <w:div w:id="1746798554">
                                                                          <w:marLeft w:val="0"/>
                                                                          <w:marRight w:val="0"/>
                                                                          <w:marTop w:val="0"/>
                                                                          <w:marBottom w:val="0"/>
                                                                          <w:divBdr>
                                                                            <w:top w:val="none" w:sz="0" w:space="0" w:color="auto"/>
                                                                            <w:left w:val="none" w:sz="0" w:space="0" w:color="auto"/>
                                                                            <w:bottom w:val="none" w:sz="0" w:space="0" w:color="auto"/>
                                                                            <w:right w:val="none" w:sz="0" w:space="0" w:color="auto"/>
                                                                          </w:divBdr>
                                                                        </w:div>
                                                                      </w:divsChild>
                                                                    </w:div>
                                                                    <w:div w:id="1238393958">
                                                                      <w:marLeft w:val="0"/>
                                                                      <w:marRight w:val="0"/>
                                                                      <w:marTop w:val="0"/>
                                                                      <w:marBottom w:val="0"/>
                                                                      <w:divBdr>
                                                                        <w:top w:val="none" w:sz="0" w:space="0" w:color="auto"/>
                                                                        <w:left w:val="none" w:sz="0" w:space="0" w:color="auto"/>
                                                                        <w:bottom w:val="none" w:sz="0" w:space="0" w:color="auto"/>
                                                                        <w:right w:val="none" w:sz="0" w:space="0" w:color="auto"/>
                                                                      </w:divBdr>
                                                                      <w:divsChild>
                                                                        <w:div w:id="42605982">
                                                                          <w:marLeft w:val="0"/>
                                                                          <w:marRight w:val="0"/>
                                                                          <w:marTop w:val="0"/>
                                                                          <w:marBottom w:val="0"/>
                                                                          <w:divBdr>
                                                                            <w:top w:val="none" w:sz="0" w:space="0" w:color="auto"/>
                                                                            <w:left w:val="none" w:sz="0" w:space="0" w:color="auto"/>
                                                                            <w:bottom w:val="none" w:sz="0" w:space="0" w:color="auto"/>
                                                                            <w:right w:val="none" w:sz="0" w:space="0" w:color="auto"/>
                                                                          </w:divBdr>
                                                                        </w:div>
                                                                      </w:divsChild>
                                                                    </w:div>
                                                                    <w:div w:id="1246692118">
                                                                      <w:marLeft w:val="0"/>
                                                                      <w:marRight w:val="0"/>
                                                                      <w:marTop w:val="0"/>
                                                                      <w:marBottom w:val="0"/>
                                                                      <w:divBdr>
                                                                        <w:top w:val="none" w:sz="0" w:space="0" w:color="auto"/>
                                                                        <w:left w:val="none" w:sz="0" w:space="0" w:color="auto"/>
                                                                        <w:bottom w:val="none" w:sz="0" w:space="0" w:color="auto"/>
                                                                        <w:right w:val="none" w:sz="0" w:space="0" w:color="auto"/>
                                                                      </w:divBdr>
                                                                      <w:divsChild>
                                                                        <w:div w:id="720834473">
                                                                          <w:marLeft w:val="0"/>
                                                                          <w:marRight w:val="0"/>
                                                                          <w:marTop w:val="0"/>
                                                                          <w:marBottom w:val="0"/>
                                                                          <w:divBdr>
                                                                            <w:top w:val="none" w:sz="0" w:space="0" w:color="auto"/>
                                                                            <w:left w:val="none" w:sz="0" w:space="0" w:color="auto"/>
                                                                            <w:bottom w:val="none" w:sz="0" w:space="0" w:color="auto"/>
                                                                            <w:right w:val="none" w:sz="0" w:space="0" w:color="auto"/>
                                                                          </w:divBdr>
                                                                          <w:divsChild>
                                                                            <w:div w:id="17077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1752">
                                                                      <w:marLeft w:val="0"/>
                                                                      <w:marRight w:val="0"/>
                                                                      <w:marTop w:val="0"/>
                                                                      <w:marBottom w:val="0"/>
                                                                      <w:divBdr>
                                                                        <w:top w:val="none" w:sz="0" w:space="0" w:color="auto"/>
                                                                        <w:left w:val="none" w:sz="0" w:space="0" w:color="auto"/>
                                                                        <w:bottom w:val="none" w:sz="0" w:space="0" w:color="auto"/>
                                                                        <w:right w:val="none" w:sz="0" w:space="0" w:color="auto"/>
                                                                      </w:divBdr>
                                                                      <w:divsChild>
                                                                        <w:div w:id="1691951745">
                                                                          <w:marLeft w:val="0"/>
                                                                          <w:marRight w:val="0"/>
                                                                          <w:marTop w:val="0"/>
                                                                          <w:marBottom w:val="0"/>
                                                                          <w:divBdr>
                                                                            <w:top w:val="none" w:sz="0" w:space="0" w:color="auto"/>
                                                                            <w:left w:val="none" w:sz="0" w:space="0" w:color="auto"/>
                                                                            <w:bottom w:val="none" w:sz="0" w:space="0" w:color="auto"/>
                                                                            <w:right w:val="none" w:sz="0" w:space="0" w:color="auto"/>
                                                                          </w:divBdr>
                                                                        </w:div>
                                                                      </w:divsChild>
                                                                    </w:div>
                                                                    <w:div w:id="1510754348">
                                                                      <w:marLeft w:val="0"/>
                                                                      <w:marRight w:val="0"/>
                                                                      <w:marTop w:val="0"/>
                                                                      <w:marBottom w:val="0"/>
                                                                      <w:divBdr>
                                                                        <w:top w:val="none" w:sz="0" w:space="0" w:color="auto"/>
                                                                        <w:left w:val="none" w:sz="0" w:space="0" w:color="auto"/>
                                                                        <w:bottom w:val="none" w:sz="0" w:space="0" w:color="auto"/>
                                                                        <w:right w:val="none" w:sz="0" w:space="0" w:color="auto"/>
                                                                      </w:divBdr>
                                                                      <w:divsChild>
                                                                        <w:div w:id="1015420238">
                                                                          <w:marLeft w:val="0"/>
                                                                          <w:marRight w:val="0"/>
                                                                          <w:marTop w:val="0"/>
                                                                          <w:marBottom w:val="0"/>
                                                                          <w:divBdr>
                                                                            <w:top w:val="none" w:sz="0" w:space="0" w:color="auto"/>
                                                                            <w:left w:val="none" w:sz="0" w:space="0" w:color="auto"/>
                                                                            <w:bottom w:val="none" w:sz="0" w:space="0" w:color="auto"/>
                                                                            <w:right w:val="none" w:sz="0" w:space="0" w:color="auto"/>
                                                                          </w:divBdr>
                                                                        </w:div>
                                                                        <w:div w:id="1508901660">
                                                                          <w:marLeft w:val="0"/>
                                                                          <w:marRight w:val="0"/>
                                                                          <w:marTop w:val="0"/>
                                                                          <w:marBottom w:val="0"/>
                                                                          <w:divBdr>
                                                                            <w:top w:val="none" w:sz="0" w:space="0" w:color="auto"/>
                                                                            <w:left w:val="none" w:sz="0" w:space="0" w:color="auto"/>
                                                                            <w:bottom w:val="none" w:sz="0" w:space="0" w:color="auto"/>
                                                                            <w:right w:val="none" w:sz="0" w:space="0" w:color="auto"/>
                                                                          </w:divBdr>
                                                                        </w:div>
                                                                      </w:divsChild>
                                                                    </w:div>
                                                                    <w:div w:id="1554585122">
                                                                      <w:marLeft w:val="0"/>
                                                                      <w:marRight w:val="0"/>
                                                                      <w:marTop w:val="0"/>
                                                                      <w:marBottom w:val="0"/>
                                                                      <w:divBdr>
                                                                        <w:top w:val="none" w:sz="0" w:space="0" w:color="auto"/>
                                                                        <w:left w:val="none" w:sz="0" w:space="0" w:color="auto"/>
                                                                        <w:bottom w:val="none" w:sz="0" w:space="0" w:color="auto"/>
                                                                        <w:right w:val="none" w:sz="0" w:space="0" w:color="auto"/>
                                                                      </w:divBdr>
                                                                      <w:divsChild>
                                                                        <w:div w:id="799609312">
                                                                          <w:marLeft w:val="0"/>
                                                                          <w:marRight w:val="0"/>
                                                                          <w:marTop w:val="0"/>
                                                                          <w:marBottom w:val="0"/>
                                                                          <w:divBdr>
                                                                            <w:top w:val="none" w:sz="0" w:space="0" w:color="auto"/>
                                                                            <w:left w:val="none" w:sz="0" w:space="0" w:color="auto"/>
                                                                            <w:bottom w:val="none" w:sz="0" w:space="0" w:color="auto"/>
                                                                            <w:right w:val="none" w:sz="0" w:space="0" w:color="auto"/>
                                                                          </w:divBdr>
                                                                        </w:div>
                                                                      </w:divsChild>
                                                                    </w:div>
                                                                    <w:div w:id="1598563062">
                                                                      <w:marLeft w:val="0"/>
                                                                      <w:marRight w:val="0"/>
                                                                      <w:marTop w:val="0"/>
                                                                      <w:marBottom w:val="0"/>
                                                                      <w:divBdr>
                                                                        <w:top w:val="none" w:sz="0" w:space="0" w:color="auto"/>
                                                                        <w:left w:val="none" w:sz="0" w:space="0" w:color="auto"/>
                                                                        <w:bottom w:val="none" w:sz="0" w:space="0" w:color="auto"/>
                                                                        <w:right w:val="none" w:sz="0" w:space="0" w:color="auto"/>
                                                                      </w:divBdr>
                                                                      <w:divsChild>
                                                                        <w:div w:id="541402938">
                                                                          <w:marLeft w:val="0"/>
                                                                          <w:marRight w:val="0"/>
                                                                          <w:marTop w:val="0"/>
                                                                          <w:marBottom w:val="0"/>
                                                                          <w:divBdr>
                                                                            <w:top w:val="none" w:sz="0" w:space="0" w:color="auto"/>
                                                                            <w:left w:val="none" w:sz="0" w:space="0" w:color="auto"/>
                                                                            <w:bottom w:val="none" w:sz="0" w:space="0" w:color="auto"/>
                                                                            <w:right w:val="none" w:sz="0" w:space="0" w:color="auto"/>
                                                                          </w:divBdr>
                                                                        </w:div>
                                                                      </w:divsChild>
                                                                    </w:div>
                                                                    <w:div w:id="1701516301">
                                                                      <w:marLeft w:val="0"/>
                                                                      <w:marRight w:val="0"/>
                                                                      <w:marTop w:val="0"/>
                                                                      <w:marBottom w:val="0"/>
                                                                      <w:divBdr>
                                                                        <w:top w:val="none" w:sz="0" w:space="0" w:color="auto"/>
                                                                        <w:left w:val="none" w:sz="0" w:space="0" w:color="auto"/>
                                                                        <w:bottom w:val="none" w:sz="0" w:space="0" w:color="auto"/>
                                                                        <w:right w:val="none" w:sz="0" w:space="0" w:color="auto"/>
                                                                      </w:divBdr>
                                                                      <w:divsChild>
                                                                        <w:div w:id="1073894535">
                                                                          <w:marLeft w:val="0"/>
                                                                          <w:marRight w:val="0"/>
                                                                          <w:marTop w:val="0"/>
                                                                          <w:marBottom w:val="0"/>
                                                                          <w:divBdr>
                                                                            <w:top w:val="none" w:sz="0" w:space="0" w:color="auto"/>
                                                                            <w:left w:val="none" w:sz="0" w:space="0" w:color="auto"/>
                                                                            <w:bottom w:val="none" w:sz="0" w:space="0" w:color="auto"/>
                                                                            <w:right w:val="none" w:sz="0" w:space="0" w:color="auto"/>
                                                                          </w:divBdr>
                                                                        </w:div>
                                                                        <w:div w:id="1772814668">
                                                                          <w:marLeft w:val="0"/>
                                                                          <w:marRight w:val="0"/>
                                                                          <w:marTop w:val="0"/>
                                                                          <w:marBottom w:val="0"/>
                                                                          <w:divBdr>
                                                                            <w:top w:val="none" w:sz="0" w:space="0" w:color="auto"/>
                                                                            <w:left w:val="none" w:sz="0" w:space="0" w:color="auto"/>
                                                                            <w:bottom w:val="none" w:sz="0" w:space="0" w:color="auto"/>
                                                                            <w:right w:val="none" w:sz="0" w:space="0" w:color="auto"/>
                                                                          </w:divBdr>
                                                                          <w:divsChild>
                                                                            <w:div w:id="7503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3335">
                                                                      <w:marLeft w:val="0"/>
                                                                      <w:marRight w:val="0"/>
                                                                      <w:marTop w:val="0"/>
                                                                      <w:marBottom w:val="0"/>
                                                                      <w:divBdr>
                                                                        <w:top w:val="none" w:sz="0" w:space="0" w:color="auto"/>
                                                                        <w:left w:val="none" w:sz="0" w:space="0" w:color="auto"/>
                                                                        <w:bottom w:val="none" w:sz="0" w:space="0" w:color="auto"/>
                                                                        <w:right w:val="none" w:sz="0" w:space="0" w:color="auto"/>
                                                                      </w:divBdr>
                                                                      <w:divsChild>
                                                                        <w:div w:id="1444110666">
                                                                          <w:marLeft w:val="0"/>
                                                                          <w:marRight w:val="0"/>
                                                                          <w:marTop w:val="0"/>
                                                                          <w:marBottom w:val="0"/>
                                                                          <w:divBdr>
                                                                            <w:top w:val="none" w:sz="0" w:space="0" w:color="auto"/>
                                                                            <w:left w:val="none" w:sz="0" w:space="0" w:color="auto"/>
                                                                            <w:bottom w:val="none" w:sz="0" w:space="0" w:color="auto"/>
                                                                            <w:right w:val="none" w:sz="0" w:space="0" w:color="auto"/>
                                                                          </w:divBdr>
                                                                        </w:div>
                                                                      </w:divsChild>
                                                                    </w:div>
                                                                    <w:div w:id="1850213049">
                                                                      <w:marLeft w:val="0"/>
                                                                      <w:marRight w:val="0"/>
                                                                      <w:marTop w:val="0"/>
                                                                      <w:marBottom w:val="0"/>
                                                                      <w:divBdr>
                                                                        <w:top w:val="none" w:sz="0" w:space="0" w:color="auto"/>
                                                                        <w:left w:val="none" w:sz="0" w:space="0" w:color="auto"/>
                                                                        <w:bottom w:val="none" w:sz="0" w:space="0" w:color="auto"/>
                                                                        <w:right w:val="none" w:sz="0" w:space="0" w:color="auto"/>
                                                                      </w:divBdr>
                                                                      <w:divsChild>
                                                                        <w:div w:id="586767186">
                                                                          <w:marLeft w:val="0"/>
                                                                          <w:marRight w:val="0"/>
                                                                          <w:marTop w:val="0"/>
                                                                          <w:marBottom w:val="0"/>
                                                                          <w:divBdr>
                                                                            <w:top w:val="none" w:sz="0" w:space="0" w:color="auto"/>
                                                                            <w:left w:val="none" w:sz="0" w:space="0" w:color="auto"/>
                                                                            <w:bottom w:val="none" w:sz="0" w:space="0" w:color="auto"/>
                                                                            <w:right w:val="none" w:sz="0" w:space="0" w:color="auto"/>
                                                                          </w:divBdr>
                                                                        </w:div>
                                                                      </w:divsChild>
                                                                    </w:div>
                                                                    <w:div w:id="1874033112">
                                                                      <w:marLeft w:val="0"/>
                                                                      <w:marRight w:val="0"/>
                                                                      <w:marTop w:val="0"/>
                                                                      <w:marBottom w:val="0"/>
                                                                      <w:divBdr>
                                                                        <w:top w:val="none" w:sz="0" w:space="0" w:color="auto"/>
                                                                        <w:left w:val="none" w:sz="0" w:space="0" w:color="auto"/>
                                                                        <w:bottom w:val="none" w:sz="0" w:space="0" w:color="auto"/>
                                                                        <w:right w:val="none" w:sz="0" w:space="0" w:color="auto"/>
                                                                      </w:divBdr>
                                                                      <w:divsChild>
                                                                        <w:div w:id="1020011185">
                                                                          <w:marLeft w:val="0"/>
                                                                          <w:marRight w:val="0"/>
                                                                          <w:marTop w:val="0"/>
                                                                          <w:marBottom w:val="0"/>
                                                                          <w:divBdr>
                                                                            <w:top w:val="none" w:sz="0" w:space="0" w:color="auto"/>
                                                                            <w:left w:val="none" w:sz="0" w:space="0" w:color="auto"/>
                                                                            <w:bottom w:val="none" w:sz="0" w:space="0" w:color="auto"/>
                                                                            <w:right w:val="none" w:sz="0" w:space="0" w:color="auto"/>
                                                                          </w:divBdr>
                                                                        </w:div>
                                                                      </w:divsChild>
                                                                    </w:div>
                                                                    <w:div w:id="1951080524">
                                                                      <w:marLeft w:val="0"/>
                                                                      <w:marRight w:val="0"/>
                                                                      <w:marTop w:val="0"/>
                                                                      <w:marBottom w:val="0"/>
                                                                      <w:divBdr>
                                                                        <w:top w:val="none" w:sz="0" w:space="0" w:color="auto"/>
                                                                        <w:left w:val="none" w:sz="0" w:space="0" w:color="auto"/>
                                                                        <w:bottom w:val="none" w:sz="0" w:space="0" w:color="auto"/>
                                                                        <w:right w:val="none" w:sz="0" w:space="0" w:color="auto"/>
                                                                      </w:divBdr>
                                                                      <w:divsChild>
                                                                        <w:div w:id="424771402">
                                                                          <w:marLeft w:val="0"/>
                                                                          <w:marRight w:val="0"/>
                                                                          <w:marTop w:val="0"/>
                                                                          <w:marBottom w:val="0"/>
                                                                          <w:divBdr>
                                                                            <w:top w:val="none" w:sz="0" w:space="0" w:color="auto"/>
                                                                            <w:left w:val="none" w:sz="0" w:space="0" w:color="auto"/>
                                                                            <w:bottom w:val="none" w:sz="0" w:space="0" w:color="auto"/>
                                                                            <w:right w:val="none" w:sz="0" w:space="0" w:color="auto"/>
                                                                          </w:divBdr>
                                                                        </w:div>
                                                                      </w:divsChild>
                                                                    </w:div>
                                                                    <w:div w:id="2142381620">
                                                                      <w:marLeft w:val="0"/>
                                                                      <w:marRight w:val="0"/>
                                                                      <w:marTop w:val="0"/>
                                                                      <w:marBottom w:val="0"/>
                                                                      <w:divBdr>
                                                                        <w:top w:val="none" w:sz="0" w:space="0" w:color="auto"/>
                                                                        <w:left w:val="none" w:sz="0" w:space="0" w:color="auto"/>
                                                                        <w:bottom w:val="none" w:sz="0" w:space="0" w:color="auto"/>
                                                                        <w:right w:val="none" w:sz="0" w:space="0" w:color="auto"/>
                                                                      </w:divBdr>
                                                                      <w:divsChild>
                                                                        <w:div w:id="2095125916">
                                                                          <w:marLeft w:val="0"/>
                                                                          <w:marRight w:val="0"/>
                                                                          <w:marTop w:val="0"/>
                                                                          <w:marBottom w:val="0"/>
                                                                          <w:divBdr>
                                                                            <w:top w:val="none" w:sz="0" w:space="0" w:color="auto"/>
                                                                            <w:left w:val="none" w:sz="0" w:space="0" w:color="auto"/>
                                                                            <w:bottom w:val="none" w:sz="0" w:space="0" w:color="auto"/>
                                                                            <w:right w:val="none" w:sz="0" w:space="0" w:color="auto"/>
                                                                          </w:divBdr>
                                                                        </w:div>
                                                                      </w:divsChild>
                                                                    </w:div>
                                                                    <w:div w:id="2146508476">
                                                                      <w:marLeft w:val="0"/>
                                                                      <w:marRight w:val="0"/>
                                                                      <w:marTop w:val="0"/>
                                                                      <w:marBottom w:val="0"/>
                                                                      <w:divBdr>
                                                                        <w:top w:val="none" w:sz="0" w:space="0" w:color="auto"/>
                                                                        <w:left w:val="none" w:sz="0" w:space="0" w:color="auto"/>
                                                                        <w:bottom w:val="none" w:sz="0" w:space="0" w:color="auto"/>
                                                                        <w:right w:val="none" w:sz="0" w:space="0" w:color="auto"/>
                                                                      </w:divBdr>
                                                                      <w:divsChild>
                                                                        <w:div w:id="514613762">
                                                                          <w:marLeft w:val="0"/>
                                                                          <w:marRight w:val="0"/>
                                                                          <w:marTop w:val="0"/>
                                                                          <w:marBottom w:val="0"/>
                                                                          <w:divBdr>
                                                                            <w:top w:val="none" w:sz="0" w:space="0" w:color="auto"/>
                                                                            <w:left w:val="none" w:sz="0" w:space="0" w:color="auto"/>
                                                                            <w:bottom w:val="none" w:sz="0" w:space="0" w:color="auto"/>
                                                                            <w:right w:val="none" w:sz="0" w:space="0" w:color="auto"/>
                                                                          </w:divBdr>
                                                                          <w:divsChild>
                                                                            <w:div w:id="6339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713603">
                  <w:marLeft w:val="0"/>
                  <w:marRight w:val="0"/>
                  <w:marTop w:val="0"/>
                  <w:marBottom w:val="0"/>
                  <w:divBdr>
                    <w:top w:val="none" w:sz="0" w:space="0" w:color="auto"/>
                    <w:left w:val="none" w:sz="0" w:space="0" w:color="auto"/>
                    <w:bottom w:val="none" w:sz="0" w:space="0" w:color="auto"/>
                    <w:right w:val="none" w:sz="0" w:space="0" w:color="auto"/>
                  </w:divBdr>
                  <w:divsChild>
                    <w:div w:id="2025743993">
                      <w:marLeft w:val="0"/>
                      <w:marRight w:val="0"/>
                      <w:marTop w:val="0"/>
                      <w:marBottom w:val="0"/>
                      <w:divBdr>
                        <w:top w:val="none" w:sz="0" w:space="0" w:color="auto"/>
                        <w:left w:val="none" w:sz="0" w:space="0" w:color="auto"/>
                        <w:bottom w:val="none" w:sz="0" w:space="0" w:color="auto"/>
                        <w:right w:val="none" w:sz="0" w:space="0" w:color="auto"/>
                      </w:divBdr>
                      <w:divsChild>
                        <w:div w:id="1334147370">
                          <w:marLeft w:val="0"/>
                          <w:marRight w:val="0"/>
                          <w:marTop w:val="0"/>
                          <w:marBottom w:val="0"/>
                          <w:divBdr>
                            <w:top w:val="none" w:sz="0" w:space="0" w:color="auto"/>
                            <w:left w:val="none" w:sz="0" w:space="0" w:color="auto"/>
                            <w:bottom w:val="none" w:sz="0" w:space="0" w:color="auto"/>
                            <w:right w:val="none" w:sz="0" w:space="0" w:color="auto"/>
                          </w:divBdr>
                          <w:divsChild>
                            <w:div w:id="402336551">
                              <w:marLeft w:val="0"/>
                              <w:marRight w:val="0"/>
                              <w:marTop w:val="0"/>
                              <w:marBottom w:val="0"/>
                              <w:divBdr>
                                <w:top w:val="none" w:sz="0" w:space="0" w:color="auto"/>
                                <w:left w:val="none" w:sz="0" w:space="0" w:color="auto"/>
                                <w:bottom w:val="none" w:sz="0" w:space="0" w:color="auto"/>
                                <w:right w:val="none" w:sz="0" w:space="0" w:color="auto"/>
                              </w:divBdr>
                              <w:divsChild>
                                <w:div w:id="2033456060">
                                  <w:marLeft w:val="0"/>
                                  <w:marRight w:val="0"/>
                                  <w:marTop w:val="0"/>
                                  <w:marBottom w:val="0"/>
                                  <w:divBdr>
                                    <w:top w:val="none" w:sz="0" w:space="0" w:color="auto"/>
                                    <w:left w:val="none" w:sz="0" w:space="0" w:color="auto"/>
                                    <w:bottom w:val="none" w:sz="0" w:space="0" w:color="auto"/>
                                    <w:right w:val="none" w:sz="0" w:space="0" w:color="auto"/>
                                  </w:divBdr>
                                  <w:divsChild>
                                    <w:div w:id="723528036">
                                      <w:marLeft w:val="0"/>
                                      <w:marRight w:val="0"/>
                                      <w:marTop w:val="0"/>
                                      <w:marBottom w:val="0"/>
                                      <w:divBdr>
                                        <w:top w:val="none" w:sz="0" w:space="0" w:color="auto"/>
                                        <w:left w:val="none" w:sz="0" w:space="0" w:color="auto"/>
                                        <w:bottom w:val="none" w:sz="0" w:space="0" w:color="auto"/>
                                        <w:right w:val="none" w:sz="0" w:space="0" w:color="auto"/>
                                      </w:divBdr>
                                      <w:divsChild>
                                        <w:div w:id="646665190">
                                          <w:marLeft w:val="0"/>
                                          <w:marRight w:val="0"/>
                                          <w:marTop w:val="0"/>
                                          <w:marBottom w:val="0"/>
                                          <w:divBdr>
                                            <w:top w:val="none" w:sz="0" w:space="0" w:color="auto"/>
                                            <w:left w:val="none" w:sz="0" w:space="0" w:color="auto"/>
                                            <w:bottom w:val="none" w:sz="0" w:space="0" w:color="auto"/>
                                            <w:right w:val="none" w:sz="0" w:space="0" w:color="auto"/>
                                          </w:divBdr>
                                          <w:divsChild>
                                            <w:div w:id="1036349502">
                                              <w:marLeft w:val="0"/>
                                              <w:marRight w:val="0"/>
                                              <w:marTop w:val="0"/>
                                              <w:marBottom w:val="0"/>
                                              <w:divBdr>
                                                <w:top w:val="none" w:sz="0" w:space="0" w:color="auto"/>
                                                <w:left w:val="none" w:sz="0" w:space="0" w:color="auto"/>
                                                <w:bottom w:val="none" w:sz="0" w:space="0" w:color="auto"/>
                                                <w:right w:val="none" w:sz="0" w:space="0" w:color="auto"/>
                                              </w:divBdr>
                                              <w:divsChild>
                                                <w:div w:id="25445583">
                                                  <w:marLeft w:val="0"/>
                                                  <w:marRight w:val="0"/>
                                                  <w:marTop w:val="0"/>
                                                  <w:marBottom w:val="0"/>
                                                  <w:divBdr>
                                                    <w:top w:val="none" w:sz="0" w:space="0" w:color="auto"/>
                                                    <w:left w:val="none" w:sz="0" w:space="0" w:color="auto"/>
                                                    <w:bottom w:val="none" w:sz="0" w:space="0" w:color="auto"/>
                                                    <w:right w:val="none" w:sz="0" w:space="0" w:color="auto"/>
                                                  </w:divBdr>
                                                </w:div>
                                                <w:div w:id="13652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6683">
                                          <w:marLeft w:val="0"/>
                                          <w:marRight w:val="0"/>
                                          <w:marTop w:val="0"/>
                                          <w:marBottom w:val="0"/>
                                          <w:divBdr>
                                            <w:top w:val="none" w:sz="0" w:space="0" w:color="auto"/>
                                            <w:left w:val="none" w:sz="0" w:space="0" w:color="auto"/>
                                            <w:bottom w:val="none" w:sz="0" w:space="0" w:color="auto"/>
                                            <w:right w:val="none" w:sz="0" w:space="0" w:color="auto"/>
                                          </w:divBdr>
                                          <w:divsChild>
                                            <w:div w:id="1072241461">
                                              <w:marLeft w:val="0"/>
                                              <w:marRight w:val="0"/>
                                              <w:marTop w:val="0"/>
                                              <w:marBottom w:val="0"/>
                                              <w:divBdr>
                                                <w:top w:val="none" w:sz="0" w:space="0" w:color="auto"/>
                                                <w:left w:val="none" w:sz="0" w:space="0" w:color="auto"/>
                                                <w:bottom w:val="none" w:sz="0" w:space="0" w:color="auto"/>
                                                <w:right w:val="none" w:sz="0" w:space="0" w:color="auto"/>
                                              </w:divBdr>
                                              <w:divsChild>
                                                <w:div w:id="396782911">
                                                  <w:marLeft w:val="0"/>
                                                  <w:marRight w:val="0"/>
                                                  <w:marTop w:val="0"/>
                                                  <w:marBottom w:val="0"/>
                                                  <w:divBdr>
                                                    <w:top w:val="none" w:sz="0" w:space="0" w:color="auto"/>
                                                    <w:left w:val="none" w:sz="0" w:space="0" w:color="auto"/>
                                                    <w:bottom w:val="none" w:sz="0" w:space="0" w:color="auto"/>
                                                    <w:right w:val="none" w:sz="0" w:space="0" w:color="auto"/>
                                                  </w:divBdr>
                                                </w:div>
                                                <w:div w:id="542401430">
                                                  <w:marLeft w:val="0"/>
                                                  <w:marRight w:val="0"/>
                                                  <w:marTop w:val="0"/>
                                                  <w:marBottom w:val="0"/>
                                                  <w:divBdr>
                                                    <w:top w:val="none" w:sz="0" w:space="0" w:color="auto"/>
                                                    <w:left w:val="none" w:sz="0" w:space="0" w:color="auto"/>
                                                    <w:bottom w:val="none" w:sz="0" w:space="0" w:color="auto"/>
                                                    <w:right w:val="none" w:sz="0" w:space="0" w:color="auto"/>
                                                  </w:divBdr>
                                                  <w:divsChild>
                                                    <w:div w:id="553933221">
                                                      <w:marLeft w:val="0"/>
                                                      <w:marRight w:val="0"/>
                                                      <w:marTop w:val="0"/>
                                                      <w:marBottom w:val="0"/>
                                                      <w:divBdr>
                                                        <w:top w:val="none" w:sz="0" w:space="0" w:color="auto"/>
                                                        <w:left w:val="none" w:sz="0" w:space="0" w:color="auto"/>
                                                        <w:bottom w:val="none" w:sz="0" w:space="0" w:color="auto"/>
                                                        <w:right w:val="none" w:sz="0" w:space="0" w:color="auto"/>
                                                      </w:divBdr>
                                                      <w:divsChild>
                                                        <w:div w:id="6057385">
                                                          <w:marLeft w:val="0"/>
                                                          <w:marRight w:val="0"/>
                                                          <w:marTop w:val="0"/>
                                                          <w:marBottom w:val="0"/>
                                                          <w:divBdr>
                                                            <w:top w:val="none" w:sz="0" w:space="0" w:color="auto"/>
                                                            <w:left w:val="none" w:sz="0" w:space="0" w:color="auto"/>
                                                            <w:bottom w:val="none" w:sz="0" w:space="0" w:color="auto"/>
                                                            <w:right w:val="none" w:sz="0" w:space="0" w:color="auto"/>
                                                          </w:divBdr>
                                                          <w:divsChild>
                                                            <w:div w:id="18038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1538">
                              <w:marLeft w:val="0"/>
                              <w:marRight w:val="0"/>
                              <w:marTop w:val="0"/>
                              <w:marBottom w:val="0"/>
                              <w:divBdr>
                                <w:top w:val="none" w:sz="0" w:space="0" w:color="auto"/>
                                <w:left w:val="none" w:sz="0" w:space="0" w:color="auto"/>
                                <w:bottom w:val="none" w:sz="0" w:space="0" w:color="auto"/>
                                <w:right w:val="none" w:sz="0" w:space="0" w:color="auto"/>
                              </w:divBdr>
                              <w:divsChild>
                                <w:div w:id="116871426">
                                  <w:marLeft w:val="0"/>
                                  <w:marRight w:val="0"/>
                                  <w:marTop w:val="0"/>
                                  <w:marBottom w:val="0"/>
                                  <w:divBdr>
                                    <w:top w:val="none" w:sz="0" w:space="0" w:color="auto"/>
                                    <w:left w:val="none" w:sz="0" w:space="0" w:color="auto"/>
                                    <w:bottom w:val="none" w:sz="0" w:space="0" w:color="auto"/>
                                    <w:right w:val="none" w:sz="0" w:space="0" w:color="auto"/>
                                  </w:divBdr>
                                  <w:divsChild>
                                    <w:div w:id="2113624240">
                                      <w:marLeft w:val="0"/>
                                      <w:marRight w:val="0"/>
                                      <w:marTop w:val="0"/>
                                      <w:marBottom w:val="0"/>
                                      <w:divBdr>
                                        <w:top w:val="none" w:sz="0" w:space="0" w:color="auto"/>
                                        <w:left w:val="none" w:sz="0" w:space="0" w:color="auto"/>
                                        <w:bottom w:val="none" w:sz="0" w:space="0" w:color="auto"/>
                                        <w:right w:val="none" w:sz="0" w:space="0" w:color="auto"/>
                                      </w:divBdr>
                                      <w:divsChild>
                                        <w:div w:id="1418942569">
                                          <w:marLeft w:val="0"/>
                                          <w:marRight w:val="0"/>
                                          <w:marTop w:val="0"/>
                                          <w:marBottom w:val="0"/>
                                          <w:divBdr>
                                            <w:top w:val="none" w:sz="0" w:space="0" w:color="auto"/>
                                            <w:left w:val="none" w:sz="0" w:space="0" w:color="auto"/>
                                            <w:bottom w:val="none" w:sz="0" w:space="0" w:color="auto"/>
                                            <w:right w:val="none" w:sz="0" w:space="0" w:color="auto"/>
                                          </w:divBdr>
                                          <w:divsChild>
                                            <w:div w:id="1640064383">
                                              <w:marLeft w:val="0"/>
                                              <w:marRight w:val="0"/>
                                              <w:marTop w:val="0"/>
                                              <w:marBottom w:val="0"/>
                                              <w:divBdr>
                                                <w:top w:val="none" w:sz="0" w:space="0" w:color="auto"/>
                                                <w:left w:val="none" w:sz="0" w:space="0" w:color="auto"/>
                                                <w:bottom w:val="none" w:sz="0" w:space="0" w:color="auto"/>
                                                <w:right w:val="none" w:sz="0" w:space="0" w:color="auto"/>
                                              </w:divBdr>
                                              <w:divsChild>
                                                <w:div w:id="74475183">
                                                  <w:marLeft w:val="0"/>
                                                  <w:marRight w:val="0"/>
                                                  <w:marTop w:val="0"/>
                                                  <w:marBottom w:val="0"/>
                                                  <w:divBdr>
                                                    <w:top w:val="none" w:sz="0" w:space="0" w:color="auto"/>
                                                    <w:left w:val="none" w:sz="0" w:space="0" w:color="auto"/>
                                                    <w:bottom w:val="none" w:sz="0" w:space="0" w:color="auto"/>
                                                    <w:right w:val="none" w:sz="0" w:space="0" w:color="auto"/>
                                                  </w:divBdr>
                                                  <w:divsChild>
                                                    <w:div w:id="1912887562">
                                                      <w:marLeft w:val="0"/>
                                                      <w:marRight w:val="0"/>
                                                      <w:marTop w:val="0"/>
                                                      <w:marBottom w:val="0"/>
                                                      <w:divBdr>
                                                        <w:top w:val="none" w:sz="0" w:space="0" w:color="auto"/>
                                                        <w:left w:val="none" w:sz="0" w:space="0" w:color="auto"/>
                                                        <w:bottom w:val="none" w:sz="0" w:space="0" w:color="auto"/>
                                                        <w:right w:val="none" w:sz="0" w:space="0" w:color="auto"/>
                                                      </w:divBdr>
                                                      <w:divsChild>
                                                        <w:div w:id="5218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3253">
                                          <w:marLeft w:val="0"/>
                                          <w:marRight w:val="0"/>
                                          <w:marTop w:val="0"/>
                                          <w:marBottom w:val="0"/>
                                          <w:divBdr>
                                            <w:top w:val="none" w:sz="0" w:space="0" w:color="auto"/>
                                            <w:left w:val="none" w:sz="0" w:space="0" w:color="auto"/>
                                            <w:bottom w:val="none" w:sz="0" w:space="0" w:color="auto"/>
                                            <w:right w:val="none" w:sz="0" w:space="0" w:color="auto"/>
                                          </w:divBdr>
                                          <w:divsChild>
                                            <w:div w:id="1088235859">
                                              <w:marLeft w:val="0"/>
                                              <w:marRight w:val="0"/>
                                              <w:marTop w:val="100"/>
                                              <w:marBottom w:val="100"/>
                                              <w:divBdr>
                                                <w:top w:val="none" w:sz="0" w:space="0" w:color="auto"/>
                                                <w:left w:val="none" w:sz="0" w:space="0" w:color="auto"/>
                                                <w:bottom w:val="none" w:sz="0" w:space="0" w:color="auto"/>
                                                <w:right w:val="none" w:sz="0" w:space="0" w:color="auto"/>
                                              </w:divBdr>
                                              <w:divsChild>
                                                <w:div w:id="747771935">
                                                  <w:marLeft w:val="0"/>
                                                  <w:marRight w:val="0"/>
                                                  <w:marTop w:val="0"/>
                                                  <w:marBottom w:val="0"/>
                                                  <w:divBdr>
                                                    <w:top w:val="none" w:sz="0" w:space="0" w:color="auto"/>
                                                    <w:left w:val="none" w:sz="0" w:space="0" w:color="auto"/>
                                                    <w:bottom w:val="none" w:sz="0" w:space="0" w:color="auto"/>
                                                    <w:right w:val="none" w:sz="0" w:space="0" w:color="auto"/>
                                                  </w:divBdr>
                                                  <w:divsChild>
                                                    <w:div w:id="1969050674">
                                                      <w:marLeft w:val="0"/>
                                                      <w:marRight w:val="0"/>
                                                      <w:marTop w:val="0"/>
                                                      <w:marBottom w:val="0"/>
                                                      <w:divBdr>
                                                        <w:top w:val="none" w:sz="0" w:space="0" w:color="auto"/>
                                                        <w:left w:val="none" w:sz="0" w:space="0" w:color="auto"/>
                                                        <w:bottom w:val="none" w:sz="0" w:space="0" w:color="auto"/>
                                                        <w:right w:val="none" w:sz="0" w:space="0" w:color="auto"/>
                                                      </w:divBdr>
                                                      <w:divsChild>
                                                        <w:div w:id="1618953704">
                                                          <w:marLeft w:val="0"/>
                                                          <w:marRight w:val="0"/>
                                                          <w:marTop w:val="0"/>
                                                          <w:marBottom w:val="0"/>
                                                          <w:divBdr>
                                                            <w:top w:val="none" w:sz="0" w:space="0" w:color="auto"/>
                                                            <w:left w:val="none" w:sz="0" w:space="0" w:color="auto"/>
                                                            <w:bottom w:val="none" w:sz="0" w:space="0" w:color="auto"/>
                                                            <w:right w:val="none" w:sz="0" w:space="0" w:color="auto"/>
                                                          </w:divBdr>
                                                          <w:divsChild>
                                                            <w:div w:id="746416922">
                                                              <w:marLeft w:val="0"/>
                                                              <w:marRight w:val="0"/>
                                                              <w:marTop w:val="0"/>
                                                              <w:marBottom w:val="0"/>
                                                              <w:divBdr>
                                                                <w:top w:val="none" w:sz="0" w:space="0" w:color="auto"/>
                                                                <w:left w:val="none" w:sz="0" w:space="0" w:color="auto"/>
                                                                <w:bottom w:val="none" w:sz="0" w:space="0" w:color="auto"/>
                                                                <w:right w:val="none" w:sz="0" w:space="0" w:color="auto"/>
                                                              </w:divBdr>
                                                              <w:divsChild>
                                                                <w:div w:id="269315708">
                                                                  <w:marLeft w:val="0"/>
                                                                  <w:marRight w:val="0"/>
                                                                  <w:marTop w:val="0"/>
                                                                  <w:marBottom w:val="0"/>
                                                                  <w:divBdr>
                                                                    <w:top w:val="none" w:sz="0" w:space="0" w:color="auto"/>
                                                                    <w:left w:val="none" w:sz="0" w:space="0" w:color="auto"/>
                                                                    <w:bottom w:val="none" w:sz="0" w:space="0" w:color="auto"/>
                                                                    <w:right w:val="none" w:sz="0" w:space="0" w:color="auto"/>
                                                                  </w:divBdr>
                                                                  <w:divsChild>
                                                                    <w:div w:id="1946573434">
                                                                      <w:marLeft w:val="0"/>
                                                                      <w:marRight w:val="0"/>
                                                                      <w:marTop w:val="0"/>
                                                                      <w:marBottom w:val="0"/>
                                                                      <w:divBdr>
                                                                        <w:top w:val="none" w:sz="0" w:space="0" w:color="auto"/>
                                                                        <w:left w:val="none" w:sz="0" w:space="0" w:color="auto"/>
                                                                        <w:bottom w:val="none" w:sz="0" w:space="0" w:color="auto"/>
                                                                        <w:right w:val="none" w:sz="0" w:space="0" w:color="auto"/>
                                                                      </w:divBdr>
                                                                      <w:divsChild>
                                                                        <w:div w:id="1395736730">
                                                                          <w:marLeft w:val="0"/>
                                                                          <w:marRight w:val="0"/>
                                                                          <w:marTop w:val="0"/>
                                                                          <w:marBottom w:val="0"/>
                                                                          <w:divBdr>
                                                                            <w:top w:val="none" w:sz="0" w:space="0" w:color="auto"/>
                                                                            <w:left w:val="none" w:sz="0" w:space="0" w:color="auto"/>
                                                                            <w:bottom w:val="none" w:sz="0" w:space="0" w:color="auto"/>
                                                                            <w:right w:val="none" w:sz="0" w:space="0" w:color="auto"/>
                                                                          </w:divBdr>
                                                                          <w:divsChild>
                                                                            <w:div w:id="1830245010">
                                                                              <w:marLeft w:val="0"/>
                                                                              <w:marRight w:val="0"/>
                                                                              <w:marTop w:val="0"/>
                                                                              <w:marBottom w:val="0"/>
                                                                              <w:divBdr>
                                                                                <w:top w:val="none" w:sz="0" w:space="0" w:color="auto"/>
                                                                                <w:left w:val="none" w:sz="0" w:space="0" w:color="auto"/>
                                                                                <w:bottom w:val="none" w:sz="0" w:space="0" w:color="auto"/>
                                                                                <w:right w:val="none" w:sz="0" w:space="0" w:color="auto"/>
                                                                              </w:divBdr>
                                                                              <w:divsChild>
                                                                                <w:div w:id="844169909">
                                                                                  <w:marLeft w:val="0"/>
                                                                                  <w:marRight w:val="0"/>
                                                                                  <w:marTop w:val="0"/>
                                                                                  <w:marBottom w:val="0"/>
                                                                                  <w:divBdr>
                                                                                    <w:top w:val="none" w:sz="0" w:space="0" w:color="auto"/>
                                                                                    <w:left w:val="none" w:sz="0" w:space="0" w:color="auto"/>
                                                                                    <w:bottom w:val="none" w:sz="0" w:space="0" w:color="auto"/>
                                                                                    <w:right w:val="none" w:sz="0" w:space="0" w:color="auto"/>
                                                                                  </w:divBdr>
                                                                                  <w:divsChild>
                                                                                    <w:div w:id="1193373094">
                                                                                      <w:marLeft w:val="0"/>
                                                                                      <w:marRight w:val="0"/>
                                                                                      <w:marTop w:val="0"/>
                                                                                      <w:marBottom w:val="0"/>
                                                                                      <w:divBdr>
                                                                                        <w:top w:val="none" w:sz="0" w:space="0" w:color="auto"/>
                                                                                        <w:left w:val="none" w:sz="0" w:space="0" w:color="auto"/>
                                                                                        <w:bottom w:val="none" w:sz="0" w:space="0" w:color="auto"/>
                                                                                        <w:right w:val="none" w:sz="0" w:space="0" w:color="auto"/>
                                                                                      </w:divBdr>
                                                                                      <w:divsChild>
                                                                                        <w:div w:id="590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62572">
                                                  <w:marLeft w:val="0"/>
                                                  <w:marRight w:val="0"/>
                                                  <w:marTop w:val="0"/>
                                                  <w:marBottom w:val="0"/>
                                                  <w:divBdr>
                                                    <w:top w:val="none" w:sz="0" w:space="0" w:color="auto"/>
                                                    <w:left w:val="none" w:sz="0" w:space="0" w:color="auto"/>
                                                    <w:bottom w:val="none" w:sz="0" w:space="0" w:color="auto"/>
                                                    <w:right w:val="none" w:sz="0" w:space="0" w:color="auto"/>
                                                  </w:divBdr>
                                                  <w:divsChild>
                                                    <w:div w:id="735661586">
                                                      <w:marLeft w:val="0"/>
                                                      <w:marRight w:val="0"/>
                                                      <w:marTop w:val="0"/>
                                                      <w:marBottom w:val="0"/>
                                                      <w:divBdr>
                                                        <w:top w:val="none" w:sz="0" w:space="0" w:color="auto"/>
                                                        <w:left w:val="none" w:sz="0" w:space="0" w:color="auto"/>
                                                        <w:bottom w:val="none" w:sz="0" w:space="0" w:color="auto"/>
                                                        <w:right w:val="none" w:sz="0" w:space="0" w:color="auto"/>
                                                      </w:divBdr>
                                                      <w:divsChild>
                                                        <w:div w:id="963849163">
                                                          <w:marLeft w:val="0"/>
                                                          <w:marRight w:val="0"/>
                                                          <w:marTop w:val="0"/>
                                                          <w:marBottom w:val="0"/>
                                                          <w:divBdr>
                                                            <w:top w:val="none" w:sz="0" w:space="0" w:color="auto"/>
                                                            <w:left w:val="none" w:sz="0" w:space="0" w:color="auto"/>
                                                            <w:bottom w:val="none" w:sz="0" w:space="0" w:color="auto"/>
                                                            <w:right w:val="none" w:sz="0" w:space="0" w:color="auto"/>
                                                          </w:divBdr>
                                                          <w:divsChild>
                                                            <w:div w:id="16812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9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header" Target="header4.xm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4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3.xml"/><Relationship Id="rId61" Type="http://schemas.openxmlformats.org/officeDocument/2006/relationships/footer" Target="footer4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header" Target="header5.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3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5.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oter" Target="footer4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4B018D6EE448049D34675D85727F70"/>
        <w:category>
          <w:name w:val="General"/>
          <w:gallery w:val="placeholder"/>
        </w:category>
        <w:types>
          <w:type w:val="bbPlcHdr"/>
        </w:types>
        <w:behaviors>
          <w:behavior w:val="content"/>
        </w:behaviors>
        <w:guid w:val="{68303AB4-3F49-494E-A55D-F09B9BAB5CDB}"/>
      </w:docPartPr>
      <w:docPartBody>
        <w:p w:rsidR="00FA47E0" w:rsidRDefault="000E4070" w:rsidP="000E4070">
          <w:pPr>
            <w:pStyle w:val="234B018D6EE448049D34675D85727F7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0"/>
    <w:rsid w:val="00054572"/>
    <w:rsid w:val="00060CD6"/>
    <w:rsid w:val="000761D7"/>
    <w:rsid w:val="000876A6"/>
    <w:rsid w:val="000A09FD"/>
    <w:rsid w:val="000A1BDA"/>
    <w:rsid w:val="000B40D5"/>
    <w:rsid w:val="000D2384"/>
    <w:rsid w:val="000D30AB"/>
    <w:rsid w:val="000E4070"/>
    <w:rsid w:val="000E702F"/>
    <w:rsid w:val="001037A3"/>
    <w:rsid w:val="001728AA"/>
    <w:rsid w:val="001B1E31"/>
    <w:rsid w:val="001B58A3"/>
    <w:rsid w:val="00211B7F"/>
    <w:rsid w:val="00260D2A"/>
    <w:rsid w:val="003003B5"/>
    <w:rsid w:val="003D3265"/>
    <w:rsid w:val="003F12B1"/>
    <w:rsid w:val="0040198B"/>
    <w:rsid w:val="00406FC6"/>
    <w:rsid w:val="00510A40"/>
    <w:rsid w:val="00527204"/>
    <w:rsid w:val="00547CC1"/>
    <w:rsid w:val="0055720A"/>
    <w:rsid w:val="00563A31"/>
    <w:rsid w:val="007416E8"/>
    <w:rsid w:val="0079203B"/>
    <w:rsid w:val="007D34D9"/>
    <w:rsid w:val="008538A0"/>
    <w:rsid w:val="00863A60"/>
    <w:rsid w:val="008819B4"/>
    <w:rsid w:val="008B0E5E"/>
    <w:rsid w:val="0093793E"/>
    <w:rsid w:val="00947465"/>
    <w:rsid w:val="00971EB6"/>
    <w:rsid w:val="0097208A"/>
    <w:rsid w:val="009F06FA"/>
    <w:rsid w:val="00A11390"/>
    <w:rsid w:val="00A62EE1"/>
    <w:rsid w:val="00A66A66"/>
    <w:rsid w:val="00A74EC5"/>
    <w:rsid w:val="00AA57FD"/>
    <w:rsid w:val="00AF3C28"/>
    <w:rsid w:val="00B06618"/>
    <w:rsid w:val="00B07F22"/>
    <w:rsid w:val="00B2774A"/>
    <w:rsid w:val="00B60D09"/>
    <w:rsid w:val="00B67212"/>
    <w:rsid w:val="00BD0C9A"/>
    <w:rsid w:val="00BD55CF"/>
    <w:rsid w:val="00BD78AD"/>
    <w:rsid w:val="00C42567"/>
    <w:rsid w:val="00C72745"/>
    <w:rsid w:val="00C83926"/>
    <w:rsid w:val="00CB2047"/>
    <w:rsid w:val="00CB67C0"/>
    <w:rsid w:val="00CB6DC2"/>
    <w:rsid w:val="00D000BF"/>
    <w:rsid w:val="00D10AD2"/>
    <w:rsid w:val="00D134E7"/>
    <w:rsid w:val="00D24EA6"/>
    <w:rsid w:val="00D37124"/>
    <w:rsid w:val="00D60B31"/>
    <w:rsid w:val="00D652EB"/>
    <w:rsid w:val="00E157A9"/>
    <w:rsid w:val="00ED5674"/>
    <w:rsid w:val="00EE6406"/>
    <w:rsid w:val="00F02FE4"/>
    <w:rsid w:val="00F2740B"/>
    <w:rsid w:val="00F35CD8"/>
    <w:rsid w:val="00F64827"/>
    <w:rsid w:val="00F8598D"/>
    <w:rsid w:val="00FA47E0"/>
    <w:rsid w:val="00FC745D"/>
    <w:rsid w:val="00FE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91D6CD04D48ECB71B99521D7CFA37">
    <w:name w:val="62D91D6CD04D48ECB71B99521D7CFA37"/>
    <w:rsid w:val="000E4070"/>
  </w:style>
  <w:style w:type="paragraph" w:customStyle="1" w:styleId="4A7580FF28564D60A8240F1E899F7CF7">
    <w:name w:val="4A7580FF28564D60A8240F1E899F7CF7"/>
    <w:rsid w:val="000E4070"/>
  </w:style>
  <w:style w:type="paragraph" w:customStyle="1" w:styleId="234B018D6EE448049D34675D85727F70">
    <w:name w:val="234B018D6EE448049D34675D85727F70"/>
    <w:rsid w:val="000E4070"/>
  </w:style>
  <w:style w:type="paragraph" w:customStyle="1" w:styleId="4A0F0FA5C553460BB66DC5D7DF3D6092">
    <w:name w:val="4A0F0FA5C553460BB66DC5D7DF3D6092"/>
    <w:rsid w:val="000E4070"/>
  </w:style>
  <w:style w:type="paragraph" w:customStyle="1" w:styleId="574AC35D453E4039AB86377233EE44BA">
    <w:name w:val="574AC35D453E4039AB86377233EE44BA"/>
    <w:rsid w:val="000A1BDA"/>
  </w:style>
  <w:style w:type="paragraph" w:customStyle="1" w:styleId="FA63596CCE8843BD9DF90A0FB0FDC9A7">
    <w:name w:val="FA63596CCE8843BD9DF90A0FB0FDC9A7"/>
    <w:rsid w:val="000761D7"/>
  </w:style>
  <w:style w:type="paragraph" w:customStyle="1" w:styleId="8C53E58B7E504D63AA5BBB76128BDFD3">
    <w:name w:val="8C53E58B7E504D63AA5BBB76128BDFD3"/>
    <w:rsid w:val="000761D7"/>
  </w:style>
  <w:style w:type="paragraph" w:customStyle="1" w:styleId="9FE6C31A0E8449D28C64BE32B9694989">
    <w:name w:val="9FE6C31A0E8449D28C64BE32B9694989"/>
    <w:rsid w:val="0007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9" ma:contentTypeDescription="Create a new document." ma:contentTypeScope="" ma:versionID="546b2da9ba72527aac950abc34e26406">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e42b94219661f43248b08825daae40a0"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F8B1-1AEA-411D-8FF4-666F188E369B}">
  <ds:schemaRefs>
    <ds:schemaRef ds:uri="http://schemas.microsoft.com/sharepoint/v3/contenttype/forms"/>
  </ds:schemaRefs>
</ds:datastoreItem>
</file>

<file path=customXml/itemProps2.xml><?xml version="1.0" encoding="utf-8"?>
<ds:datastoreItem xmlns:ds="http://schemas.openxmlformats.org/officeDocument/2006/customXml" ds:itemID="{3FCCFA64-A784-49DF-82B0-8392BB46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66584-56BD-463F-AB41-37A2A5DBBD3F}">
  <ds:schemaRefs>
    <ds:schemaRef ds:uri="bd237bd7-9e69-4f09-9125-af670c98d274"/>
    <ds:schemaRef ds:uri="5099be1f-087d-41b8-8a5d-00ac3c4410ed"/>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E31395-A83F-4C8F-A7C0-5EE5DC274DEC}">
  <ds:schemaRefs>
    <ds:schemaRef ds:uri="http://schemas.openxmlformats.org/officeDocument/2006/bibliography"/>
  </ds:schemaRefs>
</ds:datastoreItem>
</file>

<file path=customXml/itemProps5.xml><?xml version="1.0" encoding="utf-8"?>
<ds:datastoreItem xmlns:ds="http://schemas.openxmlformats.org/officeDocument/2006/customXml" ds:itemID="{976EADCB-CC8B-44D3-95F8-B5733EF0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23911</Words>
  <Characters>134765</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Schulten</dc:creator>
  <cp:keywords/>
  <cp:lastModifiedBy>Curran, Bridget</cp:lastModifiedBy>
  <cp:revision>3</cp:revision>
  <cp:lastPrinted>2021-02-02T13:30:00Z</cp:lastPrinted>
  <dcterms:created xsi:type="dcterms:W3CDTF">2021-02-02T13:30:00Z</dcterms:created>
  <dcterms:modified xsi:type="dcterms:W3CDTF">2021-02-02T13:34:00Z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y fmtid="{D5CDD505-2E9C-101B-9397-08002B2CF9AE}" pid="3" name="_dlc_DocIdItemGuid">
    <vt:lpwstr>bc328208-af2f-449a-9c30-1affca6d1ae9</vt:lpwstr>
  </property>
</Properties>
</file>