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AE301" w14:textId="77777777" w:rsidR="00CB208B" w:rsidRDefault="00CB208B" w:rsidP="00CB208B">
      <w:pPr>
        <w:tabs>
          <w:tab w:val="center" w:pos="4680"/>
          <w:tab w:val="right" w:pos="9360"/>
        </w:tabs>
      </w:pPr>
      <w:r>
        <w:tab/>
      </w:r>
      <w:r w:rsidRPr="005C44BD">
        <w:rPr>
          <w:b/>
          <w:sz w:val="38"/>
          <w:szCs w:val="38"/>
        </w:rPr>
        <w:t>NRC INSPECTION MANUAL</w:t>
      </w:r>
      <w:r>
        <w:tab/>
      </w:r>
      <w:r w:rsidRPr="000442E8">
        <w:rPr>
          <w:sz w:val="20"/>
          <w:szCs w:val="20"/>
        </w:rPr>
        <w:t>NSIR</w:t>
      </w:r>
      <w:r>
        <w:rPr>
          <w:sz w:val="20"/>
          <w:szCs w:val="20"/>
        </w:rPr>
        <w:t>/DSO</w:t>
      </w:r>
    </w:p>
    <w:p w14:paraId="16F352A4" w14:textId="77777777" w:rsidR="00CB208B" w:rsidRPr="006B4B6F" w:rsidRDefault="00CB208B" w:rsidP="00CB208B">
      <w:pPr>
        <w:tabs>
          <w:tab w:val="center" w:pos="4680"/>
          <w:tab w:val="right" w:pos="9360"/>
        </w:tabs>
      </w:pPr>
    </w:p>
    <w:p w14:paraId="0FB616AD" w14:textId="2EB3E2F9" w:rsidR="00CB208B" w:rsidRPr="005C44BD" w:rsidRDefault="00CB208B" w:rsidP="00CB208B">
      <w:pPr>
        <w:pBdr>
          <w:top w:val="single" w:sz="6" w:space="1" w:color="auto"/>
          <w:bottom w:val="single" w:sz="6" w:space="1" w:color="auto"/>
        </w:pBdr>
        <w:tabs>
          <w:tab w:val="center" w:pos="4680"/>
          <w:tab w:val="right" w:pos="9360"/>
        </w:tabs>
        <w:jc w:val="center"/>
      </w:pPr>
      <w:r w:rsidRPr="005C44BD">
        <w:t xml:space="preserve">INSPECTION PROCEDURE </w:t>
      </w:r>
      <w:r>
        <w:t>71130</w:t>
      </w:r>
    </w:p>
    <w:p w14:paraId="5790AE0F" w14:textId="77777777" w:rsidR="00CB208B" w:rsidRPr="004916B9" w:rsidRDefault="00CB208B" w:rsidP="009561E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F40016" w14:textId="688212AC" w:rsidR="00CB208B" w:rsidRDefault="00CB208B" w:rsidP="00CB208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35" w:hanging="2635"/>
        <w:jc w:val="center"/>
      </w:pPr>
      <w:r>
        <w:t>SECURITY</w:t>
      </w:r>
    </w:p>
    <w:p w14:paraId="73C67386" w14:textId="77777777" w:rsidR="00CB208B" w:rsidRPr="009561EA" w:rsidRDefault="00CB208B" w:rsidP="00FB1054">
      <w:pPr>
        <w:pStyle w:val="BodyText"/>
      </w:pPr>
    </w:p>
    <w:p w14:paraId="5BCA3EC2" w14:textId="1F9EE617" w:rsidR="00F166F3" w:rsidRPr="00C05B7C" w:rsidRDefault="00892C2A" w:rsidP="00FB1054">
      <w:pPr>
        <w:pStyle w:val="BodyText"/>
        <w:ind w:left="140" w:right="2191" w:firstLine="3122"/>
      </w:pPr>
      <w:r w:rsidRPr="002162A3">
        <w:t xml:space="preserve">Effective Date: </w:t>
      </w:r>
      <w:r w:rsidR="00FB1054">
        <w:t xml:space="preserve"> </w:t>
      </w:r>
      <w:r w:rsidR="00C05B7C" w:rsidRPr="00C05B7C">
        <w:t>08/01/2020</w:t>
      </w:r>
      <w:r w:rsidRPr="00C05B7C">
        <w:t xml:space="preserve"> </w:t>
      </w:r>
    </w:p>
    <w:p w14:paraId="3180BCCF" w14:textId="77777777" w:rsidR="00FB1054" w:rsidRPr="002162A3" w:rsidRDefault="00FB1054" w:rsidP="009561EA">
      <w:pPr>
        <w:pStyle w:val="BodyText"/>
        <w:ind w:right="2191"/>
      </w:pPr>
    </w:p>
    <w:p w14:paraId="6CBEBACF" w14:textId="32D82DF6" w:rsidR="0030034C" w:rsidRDefault="00892C2A" w:rsidP="00FB1054">
      <w:pPr>
        <w:pStyle w:val="BodyText"/>
        <w:ind w:right="2191"/>
      </w:pPr>
      <w:r>
        <w:t xml:space="preserve">PROGRAM APPLICABILITY: </w:t>
      </w:r>
      <w:r w:rsidR="004621FC">
        <w:t xml:space="preserve"> </w:t>
      </w:r>
      <w:r>
        <w:t>IMC 2201</w:t>
      </w:r>
      <w:r w:rsidR="00FB1054">
        <w:t xml:space="preserve"> App </w:t>
      </w:r>
      <w:r>
        <w:t>A</w:t>
      </w:r>
    </w:p>
    <w:p w14:paraId="7484DB75" w14:textId="66A52D64" w:rsidR="00FB1054" w:rsidRDefault="00FB1054" w:rsidP="009561EA">
      <w:pPr>
        <w:pStyle w:val="BodyText"/>
        <w:tabs>
          <w:tab w:val="left" w:pos="1580"/>
        </w:tabs>
      </w:pPr>
    </w:p>
    <w:p w14:paraId="69CB49B1" w14:textId="77777777" w:rsidR="00C05B7C" w:rsidRDefault="00C05B7C" w:rsidP="009561EA">
      <w:pPr>
        <w:pStyle w:val="BodyText"/>
        <w:tabs>
          <w:tab w:val="left" w:pos="1580"/>
        </w:tabs>
      </w:pPr>
    </w:p>
    <w:p w14:paraId="6CBEBAD0" w14:textId="2A680B43" w:rsidR="0030034C" w:rsidRDefault="00892C2A" w:rsidP="00FB1054">
      <w:pPr>
        <w:pStyle w:val="BodyText"/>
        <w:tabs>
          <w:tab w:val="left" w:pos="1580"/>
        </w:tabs>
      </w:pPr>
      <w:r>
        <w:t>71130-01</w:t>
      </w:r>
      <w:r>
        <w:tab/>
        <w:t>INSPECTION</w:t>
      </w:r>
      <w:r>
        <w:rPr>
          <w:spacing w:val="-2"/>
        </w:rPr>
        <w:t xml:space="preserve"> </w:t>
      </w:r>
      <w:r>
        <w:t>OBJECTIVE</w:t>
      </w:r>
    </w:p>
    <w:p w14:paraId="4EE2269D" w14:textId="77777777" w:rsidR="002162A3" w:rsidRPr="009561EA" w:rsidRDefault="002162A3" w:rsidP="00FB1054">
      <w:pPr>
        <w:pStyle w:val="BodyText"/>
      </w:pPr>
    </w:p>
    <w:p w14:paraId="6CBEBAD2" w14:textId="1B92CCE9" w:rsidR="0030034C" w:rsidRDefault="00892C2A" w:rsidP="00FB1054">
      <w:pPr>
        <w:pStyle w:val="BodyText"/>
        <w:spacing w:line="237" w:lineRule="auto"/>
        <w:ind w:right="140"/>
      </w:pPr>
      <w:r>
        <w:t>The objective of this inspection procedure (IP) is to gather information to determine whether a licensee is meeting the objective of the security cornerstone, which is to provide assurance that a power reactor licensee’s security system and material control and accounting program can protect against the design basis threat of radiological sabotage consistent with Title 10 of the</w:t>
      </w:r>
      <w:r>
        <w:rPr>
          <w:spacing w:val="-7"/>
        </w:rPr>
        <w:t xml:space="preserve"> </w:t>
      </w:r>
      <w:r>
        <w:rPr>
          <w:i/>
        </w:rPr>
        <w:t>Code</w:t>
      </w:r>
      <w:r>
        <w:rPr>
          <w:i/>
          <w:spacing w:val="-7"/>
        </w:rPr>
        <w:t xml:space="preserve"> </w:t>
      </w:r>
      <w:r>
        <w:rPr>
          <w:i/>
        </w:rPr>
        <w:t>of</w:t>
      </w:r>
      <w:r>
        <w:rPr>
          <w:i/>
          <w:spacing w:val="-8"/>
        </w:rPr>
        <w:t xml:space="preserve"> </w:t>
      </w:r>
      <w:r>
        <w:rPr>
          <w:i/>
        </w:rPr>
        <w:t>Federal</w:t>
      </w:r>
      <w:r>
        <w:rPr>
          <w:i/>
          <w:spacing w:val="-8"/>
        </w:rPr>
        <w:t xml:space="preserve"> </w:t>
      </w:r>
      <w:r>
        <w:rPr>
          <w:i/>
        </w:rPr>
        <w:t>Regulations</w:t>
      </w:r>
      <w:r>
        <w:rPr>
          <w:i/>
          <w:spacing w:val="-2"/>
        </w:rPr>
        <w:t xml:space="preserve"> </w:t>
      </w:r>
      <w:r>
        <w:t>(10</w:t>
      </w:r>
      <w:r>
        <w:rPr>
          <w:spacing w:val="-7"/>
        </w:rPr>
        <w:t xml:space="preserve"> </w:t>
      </w:r>
      <w:r>
        <w:t>CFR)</w:t>
      </w:r>
      <w:r>
        <w:rPr>
          <w:spacing w:val="-8"/>
        </w:rPr>
        <w:t xml:space="preserve"> </w:t>
      </w:r>
      <w:r>
        <w:t>Part</w:t>
      </w:r>
      <w:r>
        <w:rPr>
          <w:spacing w:val="-8"/>
        </w:rPr>
        <w:t xml:space="preserve"> </w:t>
      </w:r>
      <w:r>
        <w:t>73,</w:t>
      </w:r>
      <w:r>
        <w:rPr>
          <w:spacing w:val="-8"/>
        </w:rPr>
        <w:t xml:space="preserve"> </w:t>
      </w:r>
      <w:r>
        <w:t>“Physical</w:t>
      </w:r>
      <w:r>
        <w:rPr>
          <w:spacing w:val="-8"/>
        </w:rPr>
        <w:t xml:space="preserve"> </w:t>
      </w:r>
      <w:r>
        <w:t>Protection</w:t>
      </w:r>
      <w:r>
        <w:rPr>
          <w:spacing w:val="-6"/>
        </w:rPr>
        <w:t xml:space="preserve"> </w:t>
      </w:r>
      <w:r>
        <w:t>of</w:t>
      </w:r>
      <w:r>
        <w:rPr>
          <w:spacing w:val="-6"/>
        </w:rPr>
        <w:t xml:space="preserve"> </w:t>
      </w:r>
      <w:r>
        <w:t>Plants</w:t>
      </w:r>
      <w:r>
        <w:rPr>
          <w:spacing w:val="-7"/>
        </w:rPr>
        <w:t xml:space="preserve"> </w:t>
      </w:r>
      <w:r>
        <w:t>and</w:t>
      </w:r>
      <w:r>
        <w:rPr>
          <w:spacing w:val="-7"/>
        </w:rPr>
        <w:t xml:space="preserve"> </w:t>
      </w:r>
      <w:r>
        <w:t>Materials,” and</w:t>
      </w:r>
      <w:r>
        <w:rPr>
          <w:spacing w:val="-6"/>
        </w:rPr>
        <w:t xml:space="preserve"> </w:t>
      </w:r>
      <w:r>
        <w:t>the</w:t>
      </w:r>
      <w:r>
        <w:rPr>
          <w:spacing w:val="-5"/>
        </w:rPr>
        <w:t xml:space="preserve"> </w:t>
      </w:r>
      <w:r>
        <w:t>theft</w:t>
      </w:r>
      <w:r>
        <w:rPr>
          <w:spacing w:val="-7"/>
        </w:rPr>
        <w:t xml:space="preserve"> </w:t>
      </w:r>
      <w:r>
        <w:t>or</w:t>
      </w:r>
      <w:r>
        <w:rPr>
          <w:spacing w:val="-6"/>
        </w:rPr>
        <w:t xml:space="preserve"> </w:t>
      </w:r>
      <w:r>
        <w:t>loss</w:t>
      </w:r>
      <w:r>
        <w:rPr>
          <w:spacing w:val="-6"/>
        </w:rPr>
        <w:t xml:space="preserve"> </w:t>
      </w:r>
      <w:r>
        <w:t>of</w:t>
      </w:r>
      <w:r>
        <w:rPr>
          <w:spacing w:val="-4"/>
        </w:rPr>
        <w:t xml:space="preserve"> </w:t>
      </w:r>
      <w:r>
        <w:t>special</w:t>
      </w:r>
      <w:r>
        <w:rPr>
          <w:spacing w:val="-2"/>
        </w:rPr>
        <w:t xml:space="preserve"> </w:t>
      </w:r>
      <w:r>
        <w:t>nuclear</w:t>
      </w:r>
      <w:r>
        <w:rPr>
          <w:spacing w:val="-6"/>
        </w:rPr>
        <w:t xml:space="preserve"> </w:t>
      </w:r>
      <w:r>
        <w:t>material</w:t>
      </w:r>
      <w:r>
        <w:rPr>
          <w:spacing w:val="-5"/>
        </w:rPr>
        <w:t xml:space="preserve"> </w:t>
      </w:r>
      <w:r>
        <w:t>consistent</w:t>
      </w:r>
      <w:r>
        <w:rPr>
          <w:spacing w:val="-7"/>
        </w:rPr>
        <w:t xml:space="preserve"> </w:t>
      </w:r>
      <w:r>
        <w:t>with</w:t>
      </w:r>
      <w:r>
        <w:rPr>
          <w:spacing w:val="-5"/>
        </w:rPr>
        <w:t xml:space="preserve"> </w:t>
      </w:r>
      <w:r>
        <w:t>10</w:t>
      </w:r>
      <w:r>
        <w:rPr>
          <w:spacing w:val="-5"/>
        </w:rPr>
        <w:t xml:space="preserve"> </w:t>
      </w:r>
      <w:r>
        <w:t>CFR</w:t>
      </w:r>
      <w:r>
        <w:rPr>
          <w:spacing w:val="-6"/>
        </w:rPr>
        <w:t xml:space="preserve"> </w:t>
      </w:r>
      <w:r>
        <w:t>Part</w:t>
      </w:r>
      <w:r>
        <w:rPr>
          <w:spacing w:val="-6"/>
        </w:rPr>
        <w:t xml:space="preserve"> </w:t>
      </w:r>
      <w:r>
        <w:t>74,</w:t>
      </w:r>
      <w:r>
        <w:rPr>
          <w:spacing w:val="-2"/>
        </w:rPr>
        <w:t xml:space="preserve"> </w:t>
      </w:r>
      <w:r>
        <w:t>“Material</w:t>
      </w:r>
      <w:r>
        <w:rPr>
          <w:spacing w:val="-7"/>
        </w:rPr>
        <w:t xml:space="preserve"> </w:t>
      </w:r>
      <w:r>
        <w:t>Control and Accounting of Special Nuclear</w:t>
      </w:r>
      <w:r>
        <w:rPr>
          <w:spacing w:val="-5"/>
        </w:rPr>
        <w:t xml:space="preserve"> </w:t>
      </w:r>
      <w:r>
        <w:t>Material."</w:t>
      </w:r>
    </w:p>
    <w:p w14:paraId="6CBEBAD3" w14:textId="77777777" w:rsidR="0030034C" w:rsidRPr="009561EA" w:rsidRDefault="0030034C" w:rsidP="00FB1054">
      <w:pPr>
        <w:pStyle w:val="BodyText"/>
        <w:spacing w:before="2"/>
      </w:pPr>
    </w:p>
    <w:p w14:paraId="6CBEBAD4" w14:textId="3C364286" w:rsidR="0030034C" w:rsidRDefault="00892C2A" w:rsidP="00FB1054">
      <w:pPr>
        <w:pStyle w:val="BodyText"/>
        <w:spacing w:line="237" w:lineRule="auto"/>
        <w:ind w:right="284"/>
      </w:pPr>
      <w:r>
        <w:t xml:space="preserve">In meeting this objective, this procedure has provisions for verification and assessment of licensee action with respect to Commission initiatives deemed necessary to address adequacy in the protection of public health and safety and maintaining common defense and security at operating power reactor facilities. </w:t>
      </w:r>
      <w:r w:rsidR="005400DD">
        <w:t xml:space="preserve"> </w:t>
      </w:r>
      <w:r>
        <w:t>Commission initiatives include Orders, rulemaking or other action.</w:t>
      </w:r>
    </w:p>
    <w:p w14:paraId="6CBEBAD5" w14:textId="77777777" w:rsidR="0030034C" w:rsidRPr="009561EA" w:rsidRDefault="0030034C" w:rsidP="00FB1054">
      <w:pPr>
        <w:pStyle w:val="BodyText"/>
      </w:pPr>
    </w:p>
    <w:p w14:paraId="6CBEBAD6" w14:textId="77777777" w:rsidR="0030034C" w:rsidRPr="009561EA" w:rsidRDefault="0030034C" w:rsidP="00FB1054">
      <w:pPr>
        <w:pStyle w:val="BodyText"/>
        <w:spacing w:before="10"/>
      </w:pPr>
    </w:p>
    <w:p w14:paraId="6CBEBAD7" w14:textId="77777777" w:rsidR="0030034C" w:rsidRDefault="00892C2A" w:rsidP="00FB1054">
      <w:pPr>
        <w:pStyle w:val="BodyText"/>
        <w:tabs>
          <w:tab w:val="left" w:pos="1580"/>
        </w:tabs>
        <w:spacing w:before="1"/>
      </w:pPr>
      <w:r>
        <w:t>71130-02</w:t>
      </w:r>
      <w:r>
        <w:tab/>
        <w:t>INSPECTION</w:t>
      </w:r>
      <w:r>
        <w:rPr>
          <w:spacing w:val="-2"/>
        </w:rPr>
        <w:t xml:space="preserve"> </w:t>
      </w:r>
      <w:r>
        <w:t>REQUIREMENTS</w:t>
      </w:r>
    </w:p>
    <w:p w14:paraId="6CBEBAD8" w14:textId="77777777" w:rsidR="0030034C" w:rsidRPr="00FB1054" w:rsidRDefault="0030034C" w:rsidP="00FB1054">
      <w:pPr>
        <w:pStyle w:val="BodyText"/>
        <w:spacing w:before="6"/>
      </w:pPr>
    </w:p>
    <w:p w14:paraId="6CBEBAD9" w14:textId="77777777" w:rsidR="0030034C" w:rsidRDefault="00892C2A" w:rsidP="00BA5D30">
      <w:pPr>
        <w:pStyle w:val="ListParagraph"/>
        <w:numPr>
          <w:ilvl w:val="1"/>
          <w:numId w:val="1"/>
        </w:numPr>
        <w:tabs>
          <w:tab w:val="left" w:pos="946"/>
          <w:tab w:val="left" w:pos="947"/>
        </w:tabs>
        <w:spacing w:line="240" w:lineRule="auto"/>
        <w:ind w:left="0" w:right="1066" w:firstLine="0"/>
      </w:pPr>
      <w:r>
        <w:t>Baseline</w:t>
      </w:r>
      <w:r>
        <w:rPr>
          <w:spacing w:val="-5"/>
        </w:rPr>
        <w:t xml:space="preserve"> </w:t>
      </w:r>
      <w:r>
        <w:t>inspection</w:t>
      </w:r>
      <w:r>
        <w:rPr>
          <w:spacing w:val="-5"/>
        </w:rPr>
        <w:t xml:space="preserve"> </w:t>
      </w:r>
      <w:r>
        <w:t>requirements</w:t>
      </w:r>
      <w:r>
        <w:rPr>
          <w:spacing w:val="-6"/>
        </w:rPr>
        <w:t xml:space="preserve"> </w:t>
      </w:r>
      <w:r>
        <w:t>are</w:t>
      </w:r>
      <w:r>
        <w:rPr>
          <w:spacing w:val="-6"/>
        </w:rPr>
        <w:t xml:space="preserve"> </w:t>
      </w:r>
      <w:r>
        <w:t>identified</w:t>
      </w:r>
      <w:r>
        <w:rPr>
          <w:spacing w:val="-5"/>
        </w:rPr>
        <w:t xml:space="preserve"> </w:t>
      </w:r>
      <w:r>
        <w:t>in</w:t>
      </w:r>
      <w:r>
        <w:rPr>
          <w:spacing w:val="-7"/>
        </w:rPr>
        <w:t xml:space="preserve"> </w:t>
      </w:r>
      <w:r>
        <w:t>and</w:t>
      </w:r>
      <w:r>
        <w:rPr>
          <w:spacing w:val="-6"/>
        </w:rPr>
        <w:t xml:space="preserve"> </w:t>
      </w:r>
      <w:r>
        <w:t>satisfied</w:t>
      </w:r>
      <w:r>
        <w:rPr>
          <w:spacing w:val="-5"/>
        </w:rPr>
        <w:t xml:space="preserve"> </w:t>
      </w:r>
      <w:r>
        <w:t>by</w:t>
      </w:r>
      <w:r>
        <w:rPr>
          <w:spacing w:val="-12"/>
        </w:rPr>
        <w:t xml:space="preserve"> </w:t>
      </w:r>
      <w:r>
        <w:t>the</w:t>
      </w:r>
      <w:r>
        <w:rPr>
          <w:spacing w:val="-6"/>
        </w:rPr>
        <w:t xml:space="preserve"> </w:t>
      </w:r>
      <w:r>
        <w:t>following inspectable area attachments to this</w:t>
      </w:r>
      <w:r>
        <w:rPr>
          <w:spacing w:val="-7"/>
        </w:rPr>
        <w:t xml:space="preserve"> </w:t>
      </w:r>
      <w:r>
        <w:t>IP:</w:t>
      </w:r>
    </w:p>
    <w:p w14:paraId="6CBEBADA" w14:textId="77777777" w:rsidR="0030034C" w:rsidRPr="00FB1054" w:rsidRDefault="0030034C" w:rsidP="00FB1054">
      <w:pPr>
        <w:pStyle w:val="BodyText"/>
        <w:spacing w:before="5"/>
      </w:pPr>
    </w:p>
    <w:p w14:paraId="6CBEBADB" w14:textId="77777777" w:rsidR="0030034C" w:rsidRDefault="00892C2A" w:rsidP="00FB1054">
      <w:pPr>
        <w:pStyle w:val="ListParagraph"/>
        <w:numPr>
          <w:ilvl w:val="2"/>
          <w:numId w:val="1"/>
        </w:numPr>
        <w:tabs>
          <w:tab w:val="left" w:pos="946"/>
          <w:tab w:val="left" w:pos="947"/>
        </w:tabs>
        <w:spacing w:line="251" w:lineRule="exact"/>
        <w:ind w:left="0" w:firstLine="450"/>
      </w:pPr>
      <w:r>
        <w:t>Access Authorization (IP</w:t>
      </w:r>
      <w:r>
        <w:rPr>
          <w:spacing w:val="-4"/>
        </w:rPr>
        <w:t xml:space="preserve"> </w:t>
      </w:r>
      <w:r>
        <w:t>71130.01)</w:t>
      </w:r>
    </w:p>
    <w:p w14:paraId="6CBEBADC" w14:textId="77777777" w:rsidR="0030034C" w:rsidRDefault="00892C2A" w:rsidP="00FB1054">
      <w:pPr>
        <w:pStyle w:val="ListParagraph"/>
        <w:numPr>
          <w:ilvl w:val="2"/>
          <w:numId w:val="1"/>
        </w:numPr>
        <w:tabs>
          <w:tab w:val="left" w:pos="946"/>
          <w:tab w:val="left" w:pos="947"/>
        </w:tabs>
        <w:ind w:left="0" w:firstLine="450"/>
      </w:pPr>
      <w:r>
        <w:t>Access Control (IP</w:t>
      </w:r>
      <w:r>
        <w:rPr>
          <w:spacing w:val="-5"/>
        </w:rPr>
        <w:t xml:space="preserve"> </w:t>
      </w:r>
      <w:r>
        <w:t>71130.02)</w:t>
      </w:r>
    </w:p>
    <w:p w14:paraId="6CBEBADD" w14:textId="77777777" w:rsidR="0030034C" w:rsidRDefault="00892C2A" w:rsidP="00FB1054">
      <w:pPr>
        <w:pStyle w:val="ListParagraph"/>
        <w:numPr>
          <w:ilvl w:val="2"/>
          <w:numId w:val="1"/>
        </w:numPr>
        <w:tabs>
          <w:tab w:val="left" w:pos="946"/>
          <w:tab w:val="left" w:pos="947"/>
        </w:tabs>
        <w:ind w:left="0" w:firstLine="450"/>
      </w:pPr>
      <w:r>
        <w:t>Contingency Response - Force-on-Force Testing (IP</w:t>
      </w:r>
      <w:r>
        <w:rPr>
          <w:spacing w:val="-13"/>
        </w:rPr>
        <w:t xml:space="preserve"> </w:t>
      </w:r>
      <w:r>
        <w:t>71130.03)</w:t>
      </w:r>
    </w:p>
    <w:p w14:paraId="6CBEBADE" w14:textId="77777777" w:rsidR="0030034C" w:rsidRDefault="00892C2A" w:rsidP="00FB1054">
      <w:pPr>
        <w:pStyle w:val="ListParagraph"/>
        <w:numPr>
          <w:ilvl w:val="2"/>
          <w:numId w:val="1"/>
        </w:numPr>
        <w:tabs>
          <w:tab w:val="left" w:pos="946"/>
          <w:tab w:val="left" w:pos="947"/>
        </w:tabs>
        <w:ind w:left="0" w:firstLine="450"/>
      </w:pPr>
      <w:r>
        <w:t>Equipment Performance, Testing, and Maintenance (IP</w:t>
      </w:r>
      <w:r>
        <w:rPr>
          <w:spacing w:val="-12"/>
        </w:rPr>
        <w:t xml:space="preserve"> </w:t>
      </w:r>
      <w:r>
        <w:t>71130.04)</w:t>
      </w:r>
    </w:p>
    <w:p w14:paraId="6CBEBADF" w14:textId="77777777" w:rsidR="0030034C" w:rsidRDefault="00892C2A" w:rsidP="00FB1054">
      <w:pPr>
        <w:pStyle w:val="ListParagraph"/>
        <w:numPr>
          <w:ilvl w:val="2"/>
          <w:numId w:val="1"/>
        </w:numPr>
        <w:tabs>
          <w:tab w:val="left" w:pos="946"/>
          <w:tab w:val="left" w:pos="947"/>
        </w:tabs>
        <w:ind w:left="0" w:firstLine="450"/>
      </w:pPr>
      <w:r>
        <w:t>Protective Strategy Evaluation and Performance Evaluation Program (IP</w:t>
      </w:r>
      <w:r>
        <w:rPr>
          <w:spacing w:val="-35"/>
        </w:rPr>
        <w:t xml:space="preserve"> </w:t>
      </w:r>
      <w:r>
        <w:t>71130.05)</w:t>
      </w:r>
    </w:p>
    <w:p w14:paraId="6CBEBAE0" w14:textId="77777777" w:rsidR="0030034C" w:rsidRDefault="00892C2A" w:rsidP="00FB1054">
      <w:pPr>
        <w:pStyle w:val="ListParagraph"/>
        <w:numPr>
          <w:ilvl w:val="2"/>
          <w:numId w:val="1"/>
        </w:numPr>
        <w:tabs>
          <w:tab w:val="left" w:pos="946"/>
          <w:tab w:val="left" w:pos="947"/>
        </w:tabs>
        <w:ind w:left="0" w:firstLine="450"/>
      </w:pPr>
      <w:r>
        <w:t>Protection of Safeguards Information (IP</w:t>
      </w:r>
      <w:r>
        <w:rPr>
          <w:spacing w:val="-1"/>
        </w:rPr>
        <w:t xml:space="preserve"> </w:t>
      </w:r>
      <w:r>
        <w:t>71130.06)</w:t>
      </w:r>
    </w:p>
    <w:p w14:paraId="6CBEBAE1" w14:textId="77777777" w:rsidR="0030034C" w:rsidRDefault="00892C2A" w:rsidP="00FB1054">
      <w:pPr>
        <w:pStyle w:val="ListParagraph"/>
        <w:numPr>
          <w:ilvl w:val="2"/>
          <w:numId w:val="1"/>
        </w:numPr>
        <w:tabs>
          <w:tab w:val="left" w:pos="946"/>
          <w:tab w:val="left" w:pos="947"/>
        </w:tabs>
        <w:ind w:left="0" w:firstLine="450"/>
      </w:pPr>
      <w:r>
        <w:t>Security Training (IP</w:t>
      </w:r>
      <w:r>
        <w:rPr>
          <w:spacing w:val="-10"/>
        </w:rPr>
        <w:t xml:space="preserve"> </w:t>
      </w:r>
      <w:r>
        <w:t>71130.07)</w:t>
      </w:r>
    </w:p>
    <w:p w14:paraId="6CBEBAE2" w14:textId="16DA8453" w:rsidR="0030034C" w:rsidRDefault="00892C2A" w:rsidP="00FB1054">
      <w:pPr>
        <w:pStyle w:val="ListParagraph"/>
        <w:numPr>
          <w:ilvl w:val="2"/>
          <w:numId w:val="1"/>
        </w:numPr>
        <w:tabs>
          <w:tab w:val="left" w:pos="951"/>
          <w:tab w:val="left" w:pos="952"/>
        </w:tabs>
        <w:ind w:left="0" w:firstLine="450"/>
      </w:pPr>
      <w:r>
        <w:t>Fitness-for-Duty Program (IP</w:t>
      </w:r>
      <w:r>
        <w:rPr>
          <w:spacing w:val="-11"/>
        </w:rPr>
        <w:t xml:space="preserve"> </w:t>
      </w:r>
      <w:r>
        <w:t>71130.08)</w:t>
      </w:r>
    </w:p>
    <w:p w14:paraId="58132C62" w14:textId="1CB19AA3" w:rsidR="004F62DE" w:rsidRPr="00510E47" w:rsidRDefault="004F62DE" w:rsidP="00FB1054">
      <w:pPr>
        <w:pStyle w:val="ListParagraph"/>
        <w:numPr>
          <w:ilvl w:val="2"/>
          <w:numId w:val="1"/>
        </w:numPr>
        <w:tabs>
          <w:tab w:val="left" w:pos="951"/>
          <w:tab w:val="left" w:pos="952"/>
        </w:tabs>
        <w:ind w:left="0" w:firstLine="450"/>
        <w:rPr>
          <w:color w:val="FF0000"/>
        </w:rPr>
      </w:pPr>
      <w:r w:rsidRPr="00510E47">
        <w:rPr>
          <w:color w:val="FF0000"/>
        </w:rPr>
        <w:t xml:space="preserve">Security Plan Changes </w:t>
      </w:r>
      <w:r w:rsidR="002930CC" w:rsidRPr="00510E47">
        <w:rPr>
          <w:color w:val="FF0000"/>
        </w:rPr>
        <w:t>(</w:t>
      </w:r>
      <w:r w:rsidR="00C9138B" w:rsidRPr="00510E47">
        <w:rPr>
          <w:color w:val="FF0000"/>
        </w:rPr>
        <w:t>IP 71130.09)</w:t>
      </w:r>
    </w:p>
    <w:p w14:paraId="6CBEBAE3" w14:textId="77777777" w:rsidR="0030034C" w:rsidRDefault="00892C2A" w:rsidP="00FB1054">
      <w:pPr>
        <w:pStyle w:val="ListParagraph"/>
        <w:numPr>
          <w:ilvl w:val="2"/>
          <w:numId w:val="1"/>
        </w:numPr>
        <w:tabs>
          <w:tab w:val="left" w:pos="951"/>
          <w:tab w:val="left" w:pos="952"/>
        </w:tabs>
        <w:ind w:left="0" w:firstLine="450"/>
      </w:pPr>
      <w:r>
        <w:t>Information Technology Security (IP 71130.10)</w:t>
      </w:r>
      <w:r>
        <w:rPr>
          <w:spacing w:val="-20"/>
        </w:rPr>
        <w:t xml:space="preserve"> </w:t>
      </w:r>
      <w:r>
        <w:t>**</w:t>
      </w:r>
    </w:p>
    <w:p w14:paraId="6CBEBAE4" w14:textId="77777777" w:rsidR="0030034C" w:rsidRDefault="00892C2A" w:rsidP="00FB1054">
      <w:pPr>
        <w:pStyle w:val="ListParagraph"/>
        <w:numPr>
          <w:ilvl w:val="2"/>
          <w:numId w:val="1"/>
        </w:numPr>
        <w:tabs>
          <w:tab w:val="left" w:pos="946"/>
          <w:tab w:val="left" w:pos="947"/>
        </w:tabs>
        <w:ind w:left="0" w:firstLine="450"/>
      </w:pPr>
      <w:r>
        <w:t>Material Control and Accounting (IP</w:t>
      </w:r>
      <w:r>
        <w:rPr>
          <w:spacing w:val="-9"/>
        </w:rPr>
        <w:t xml:space="preserve"> </w:t>
      </w:r>
      <w:r>
        <w:t>71130.11)</w:t>
      </w:r>
    </w:p>
    <w:p w14:paraId="6CBEBAE5" w14:textId="77777777" w:rsidR="0030034C" w:rsidRDefault="00892C2A" w:rsidP="00FB1054">
      <w:pPr>
        <w:pStyle w:val="ListParagraph"/>
        <w:numPr>
          <w:ilvl w:val="2"/>
          <w:numId w:val="1"/>
        </w:numPr>
        <w:tabs>
          <w:tab w:val="left" w:pos="946"/>
          <w:tab w:val="left" w:pos="947"/>
        </w:tabs>
        <w:spacing w:line="251" w:lineRule="exact"/>
        <w:ind w:left="0" w:firstLine="450"/>
      </w:pPr>
      <w:r>
        <w:t>Review of Power Reactor Target Sets (IP</w:t>
      </w:r>
      <w:r>
        <w:rPr>
          <w:spacing w:val="-16"/>
        </w:rPr>
        <w:t xml:space="preserve"> </w:t>
      </w:r>
      <w:r>
        <w:t>71130.14)</w:t>
      </w:r>
    </w:p>
    <w:p w14:paraId="6CBEBAE6" w14:textId="77777777" w:rsidR="0030034C" w:rsidRPr="00FB1054" w:rsidRDefault="0030034C" w:rsidP="00FB1054">
      <w:pPr>
        <w:pStyle w:val="BodyText"/>
        <w:spacing w:before="4"/>
      </w:pPr>
    </w:p>
    <w:p w14:paraId="6CBEBAE7" w14:textId="77777777" w:rsidR="0030034C" w:rsidRDefault="00892C2A" w:rsidP="00FB1054">
      <w:pPr>
        <w:pStyle w:val="BodyText"/>
        <w:spacing w:before="1"/>
      </w:pPr>
      <w:r>
        <w:t>** These inspectable area attachments are being developed.</w:t>
      </w:r>
    </w:p>
    <w:p w14:paraId="6CBEBAE8" w14:textId="77777777" w:rsidR="0030034C" w:rsidRDefault="0030034C">
      <w:pPr>
        <w:sectPr w:rsidR="0030034C" w:rsidSect="00FB1054">
          <w:footerReference w:type="default" r:id="rId10"/>
          <w:type w:val="continuous"/>
          <w:pgSz w:w="12240" w:h="15840" w:code="1"/>
          <w:pgMar w:top="1440" w:right="1440" w:bottom="1440" w:left="1440" w:header="720" w:footer="720" w:gutter="0"/>
          <w:pgNumType w:start="1"/>
          <w:cols w:space="720"/>
          <w:docGrid w:linePitch="299"/>
        </w:sectPr>
      </w:pPr>
    </w:p>
    <w:p w14:paraId="6CBEBAE9" w14:textId="73B6575A" w:rsidR="0030034C" w:rsidRPr="009561EA" w:rsidRDefault="00892C2A" w:rsidP="00BA5D30">
      <w:pPr>
        <w:pStyle w:val="ListParagraph"/>
        <w:numPr>
          <w:ilvl w:val="1"/>
          <w:numId w:val="1"/>
        </w:numPr>
        <w:tabs>
          <w:tab w:val="left" w:pos="810"/>
        </w:tabs>
        <w:spacing w:line="240" w:lineRule="auto"/>
        <w:ind w:left="806" w:right="461" w:hanging="806"/>
      </w:pPr>
      <w:r w:rsidRPr="009561EA">
        <w:lastRenderedPageBreak/>
        <w:t>These</w:t>
      </w:r>
      <w:r w:rsidRPr="009561EA">
        <w:rPr>
          <w:spacing w:val="-6"/>
        </w:rPr>
        <w:t xml:space="preserve"> </w:t>
      </w:r>
      <w:r w:rsidRPr="009561EA">
        <w:t>requirements</w:t>
      </w:r>
      <w:r w:rsidRPr="009561EA">
        <w:rPr>
          <w:spacing w:val="-7"/>
        </w:rPr>
        <w:t xml:space="preserve"> </w:t>
      </w:r>
      <w:r w:rsidRPr="009561EA">
        <w:t>represent</w:t>
      </w:r>
      <w:r w:rsidRPr="009561EA">
        <w:rPr>
          <w:spacing w:val="-7"/>
        </w:rPr>
        <w:t xml:space="preserve"> </w:t>
      </w:r>
      <w:r w:rsidRPr="009561EA">
        <w:t>the</w:t>
      </w:r>
      <w:r w:rsidRPr="009561EA">
        <w:rPr>
          <w:spacing w:val="-7"/>
        </w:rPr>
        <w:t xml:space="preserve"> </w:t>
      </w:r>
      <w:r w:rsidRPr="009561EA">
        <w:t>minimum</w:t>
      </w:r>
      <w:r w:rsidRPr="009561EA">
        <w:rPr>
          <w:spacing w:val="-7"/>
        </w:rPr>
        <w:t xml:space="preserve"> </w:t>
      </w:r>
      <w:r w:rsidRPr="009561EA">
        <w:t>inspection</w:t>
      </w:r>
      <w:r w:rsidRPr="009561EA">
        <w:rPr>
          <w:spacing w:val="-6"/>
        </w:rPr>
        <w:t xml:space="preserve"> </w:t>
      </w:r>
      <w:r w:rsidRPr="009561EA">
        <w:t>activity</w:t>
      </w:r>
      <w:r w:rsidRPr="009561EA">
        <w:rPr>
          <w:spacing w:val="-13"/>
        </w:rPr>
        <w:t xml:space="preserve"> </w:t>
      </w:r>
      <w:r w:rsidRPr="009561EA">
        <w:t>to</w:t>
      </w:r>
      <w:r w:rsidRPr="009561EA">
        <w:rPr>
          <w:spacing w:val="-7"/>
        </w:rPr>
        <w:t xml:space="preserve"> </w:t>
      </w:r>
      <w:r w:rsidRPr="009561EA">
        <w:t>be conducted</w:t>
      </w:r>
      <w:r w:rsidRPr="009561EA">
        <w:rPr>
          <w:spacing w:val="-7"/>
        </w:rPr>
        <w:t xml:space="preserve"> </w:t>
      </w:r>
      <w:r w:rsidRPr="009561EA">
        <w:t>at</w:t>
      </w:r>
      <w:r w:rsidRPr="009561EA">
        <w:rPr>
          <w:spacing w:val="-7"/>
        </w:rPr>
        <w:t xml:space="preserve"> </w:t>
      </w:r>
      <w:r w:rsidRPr="009561EA">
        <w:t>each reactor site at the frequencies shown in each inspectable area</w:t>
      </w:r>
      <w:r w:rsidRPr="009561EA">
        <w:rPr>
          <w:spacing w:val="-26"/>
        </w:rPr>
        <w:t xml:space="preserve"> </w:t>
      </w:r>
      <w:r w:rsidRPr="009561EA">
        <w:t>attachment.</w:t>
      </w:r>
    </w:p>
    <w:p w14:paraId="6CBEBAEA" w14:textId="77777777" w:rsidR="0030034C" w:rsidRPr="009561EA" w:rsidRDefault="0030034C">
      <w:pPr>
        <w:pStyle w:val="BodyText"/>
        <w:spacing w:before="7"/>
      </w:pPr>
    </w:p>
    <w:p w14:paraId="6CBEBAEB" w14:textId="08A2F4F6" w:rsidR="0030034C" w:rsidRPr="009561EA" w:rsidRDefault="00892C2A">
      <w:pPr>
        <w:pStyle w:val="ListParagraph"/>
        <w:numPr>
          <w:ilvl w:val="2"/>
          <w:numId w:val="1"/>
        </w:numPr>
        <w:tabs>
          <w:tab w:val="left" w:pos="946"/>
          <w:tab w:val="left" w:pos="947"/>
        </w:tabs>
        <w:spacing w:line="237" w:lineRule="auto"/>
        <w:ind w:right="210"/>
      </w:pPr>
      <w:r w:rsidRPr="009561EA">
        <w:t>The inspection requirements in Section 02 of the listed attachments describe the necessary</w:t>
      </w:r>
      <w:r w:rsidRPr="009561EA">
        <w:rPr>
          <w:spacing w:val="-12"/>
        </w:rPr>
        <w:t xml:space="preserve"> </w:t>
      </w:r>
      <w:r w:rsidRPr="009561EA">
        <w:t>actions</w:t>
      </w:r>
      <w:r w:rsidRPr="009561EA">
        <w:rPr>
          <w:spacing w:val="-5"/>
        </w:rPr>
        <w:t xml:space="preserve"> </w:t>
      </w:r>
      <w:r w:rsidRPr="009561EA">
        <w:t>to</w:t>
      </w:r>
      <w:r w:rsidRPr="009561EA">
        <w:rPr>
          <w:spacing w:val="-6"/>
        </w:rPr>
        <w:t xml:space="preserve"> </w:t>
      </w:r>
      <w:r w:rsidRPr="009561EA">
        <w:t>be</w:t>
      </w:r>
      <w:r w:rsidRPr="009561EA">
        <w:rPr>
          <w:spacing w:val="-5"/>
        </w:rPr>
        <w:t xml:space="preserve"> </w:t>
      </w:r>
      <w:r w:rsidRPr="009561EA">
        <w:t>completed</w:t>
      </w:r>
      <w:r w:rsidRPr="009561EA">
        <w:rPr>
          <w:spacing w:val="-6"/>
        </w:rPr>
        <w:t xml:space="preserve"> </w:t>
      </w:r>
      <w:r w:rsidRPr="009561EA">
        <w:t>in</w:t>
      </w:r>
      <w:r w:rsidRPr="009561EA">
        <w:rPr>
          <w:spacing w:val="-5"/>
        </w:rPr>
        <w:t xml:space="preserve"> </w:t>
      </w:r>
      <w:r w:rsidRPr="009561EA">
        <w:t>order</w:t>
      </w:r>
      <w:r w:rsidRPr="009561EA">
        <w:rPr>
          <w:spacing w:val="-7"/>
        </w:rPr>
        <w:t xml:space="preserve"> </w:t>
      </w:r>
      <w:r w:rsidRPr="009561EA">
        <w:t>to</w:t>
      </w:r>
      <w:r w:rsidRPr="009561EA">
        <w:rPr>
          <w:spacing w:val="-5"/>
        </w:rPr>
        <w:t xml:space="preserve"> </w:t>
      </w:r>
      <w:r w:rsidRPr="009561EA">
        <w:t>achieve</w:t>
      </w:r>
      <w:r w:rsidRPr="009561EA">
        <w:rPr>
          <w:spacing w:val="-6"/>
        </w:rPr>
        <w:t xml:space="preserve"> </w:t>
      </w:r>
      <w:r w:rsidRPr="009561EA">
        <w:t>the</w:t>
      </w:r>
      <w:r w:rsidRPr="009561EA">
        <w:rPr>
          <w:spacing w:val="-5"/>
        </w:rPr>
        <w:t xml:space="preserve"> </w:t>
      </w:r>
      <w:r w:rsidRPr="009561EA">
        <w:t>inspection</w:t>
      </w:r>
      <w:r w:rsidRPr="009561EA">
        <w:rPr>
          <w:spacing w:val="-5"/>
        </w:rPr>
        <w:t xml:space="preserve"> </w:t>
      </w:r>
      <w:r w:rsidRPr="009561EA">
        <w:t>objective(s)</w:t>
      </w:r>
      <w:r w:rsidRPr="009561EA">
        <w:rPr>
          <w:spacing w:val="-7"/>
        </w:rPr>
        <w:t xml:space="preserve"> </w:t>
      </w:r>
      <w:r w:rsidRPr="009561EA">
        <w:t>stated in Section 01 of the listed attachments.</w:t>
      </w:r>
      <w:r w:rsidR="005400DD" w:rsidRPr="009561EA">
        <w:t xml:space="preserve"> </w:t>
      </w:r>
      <w:r w:rsidRPr="009561EA">
        <w:t xml:space="preserve"> Inspection requirements may include, but are not limited to, inspecting systems, components, records, procedures, programs, and operations.</w:t>
      </w:r>
    </w:p>
    <w:p w14:paraId="6CBEBAEC" w14:textId="77777777" w:rsidR="0030034C" w:rsidRPr="009561EA" w:rsidRDefault="0030034C">
      <w:pPr>
        <w:pStyle w:val="BodyText"/>
        <w:spacing w:before="4"/>
      </w:pPr>
    </w:p>
    <w:p w14:paraId="6CBEBAED" w14:textId="6E9C3DFB" w:rsidR="0030034C" w:rsidRPr="009561EA" w:rsidRDefault="00892C2A">
      <w:pPr>
        <w:pStyle w:val="ListParagraph"/>
        <w:numPr>
          <w:ilvl w:val="2"/>
          <w:numId w:val="1"/>
        </w:numPr>
        <w:tabs>
          <w:tab w:val="left" w:pos="946"/>
          <w:tab w:val="left" w:pos="947"/>
        </w:tabs>
        <w:spacing w:line="237" w:lineRule="auto"/>
        <w:ind w:right="158"/>
      </w:pPr>
      <w:r w:rsidRPr="009561EA">
        <w:t xml:space="preserve">The sample size identified within each inspectable area has been determined to meet the inspection objective(s) and the general performance objective of the Security Cornerstone. </w:t>
      </w:r>
      <w:r w:rsidR="005400DD" w:rsidRPr="009561EA">
        <w:t xml:space="preserve"> </w:t>
      </w:r>
      <w:r w:rsidRPr="009561EA">
        <w:t>Inspection of the minimum number of inspection requirements within each inspectable area attachment at the periodicity specified within the attachment demonstrates the completion of the respective inspection</w:t>
      </w:r>
      <w:r w:rsidRPr="009561EA">
        <w:rPr>
          <w:spacing w:val="-16"/>
        </w:rPr>
        <w:t xml:space="preserve"> </w:t>
      </w:r>
      <w:r w:rsidRPr="009561EA">
        <w:t>procedure.</w:t>
      </w:r>
    </w:p>
    <w:p w14:paraId="6CBEBAEE" w14:textId="77777777" w:rsidR="0030034C" w:rsidRPr="009561EA" w:rsidRDefault="0030034C">
      <w:pPr>
        <w:pStyle w:val="BodyText"/>
        <w:spacing w:before="4"/>
      </w:pPr>
    </w:p>
    <w:p w14:paraId="6CBEBAEF" w14:textId="3433F921" w:rsidR="0030034C" w:rsidRPr="009561EA" w:rsidRDefault="00892C2A">
      <w:pPr>
        <w:pStyle w:val="ListParagraph"/>
        <w:numPr>
          <w:ilvl w:val="2"/>
          <w:numId w:val="1"/>
        </w:numPr>
        <w:tabs>
          <w:tab w:val="left" w:pos="946"/>
          <w:tab w:val="left" w:pos="947"/>
        </w:tabs>
        <w:spacing w:line="237" w:lineRule="auto"/>
        <w:ind w:right="377"/>
      </w:pPr>
      <w:r w:rsidRPr="009561EA">
        <w:t>The inspectable area attachments within the Security Baseline Inspection Program include</w:t>
      </w:r>
      <w:r w:rsidRPr="009561EA">
        <w:rPr>
          <w:spacing w:val="-7"/>
        </w:rPr>
        <w:t xml:space="preserve"> </w:t>
      </w:r>
      <w:r w:rsidRPr="009561EA">
        <w:t>a</w:t>
      </w:r>
      <w:r w:rsidRPr="009561EA">
        <w:rPr>
          <w:spacing w:val="-7"/>
        </w:rPr>
        <w:t xml:space="preserve"> </w:t>
      </w:r>
      <w:r w:rsidRPr="009561EA">
        <w:t>risk-informed</w:t>
      </w:r>
      <w:r w:rsidRPr="009561EA">
        <w:rPr>
          <w:spacing w:val="-7"/>
        </w:rPr>
        <w:t xml:space="preserve"> </w:t>
      </w:r>
      <w:r w:rsidRPr="009561EA">
        <w:t>structure</w:t>
      </w:r>
      <w:r w:rsidRPr="009561EA">
        <w:rPr>
          <w:spacing w:val="-7"/>
        </w:rPr>
        <w:t xml:space="preserve"> </w:t>
      </w:r>
      <w:r w:rsidRPr="009561EA">
        <w:t>which</w:t>
      </w:r>
      <w:r w:rsidRPr="009561EA">
        <w:rPr>
          <w:spacing w:val="-6"/>
        </w:rPr>
        <w:t xml:space="preserve"> </w:t>
      </w:r>
      <w:r w:rsidRPr="009561EA">
        <w:t>is</w:t>
      </w:r>
      <w:r w:rsidRPr="009561EA">
        <w:rPr>
          <w:spacing w:val="-7"/>
        </w:rPr>
        <w:t xml:space="preserve"> </w:t>
      </w:r>
      <w:r w:rsidRPr="009561EA">
        <w:t>depicted</w:t>
      </w:r>
      <w:r w:rsidRPr="009561EA">
        <w:rPr>
          <w:spacing w:val="-7"/>
        </w:rPr>
        <w:t xml:space="preserve"> </w:t>
      </w:r>
      <w:r w:rsidRPr="009561EA">
        <w:t>within</w:t>
      </w:r>
      <w:r w:rsidRPr="009561EA">
        <w:rPr>
          <w:spacing w:val="-1"/>
        </w:rPr>
        <w:t xml:space="preserve"> </w:t>
      </w:r>
      <w:r w:rsidRPr="009561EA">
        <w:t>each</w:t>
      </w:r>
      <w:r w:rsidRPr="009561EA">
        <w:rPr>
          <w:spacing w:val="-7"/>
        </w:rPr>
        <w:t xml:space="preserve"> </w:t>
      </w:r>
      <w:r w:rsidRPr="009561EA">
        <w:t>attachment</w:t>
      </w:r>
      <w:r w:rsidRPr="009561EA">
        <w:rPr>
          <w:spacing w:val="-5"/>
        </w:rPr>
        <w:t xml:space="preserve"> </w:t>
      </w:r>
      <w:r w:rsidRPr="009561EA">
        <w:t>through</w:t>
      </w:r>
      <w:r w:rsidRPr="009561EA">
        <w:rPr>
          <w:spacing w:val="-7"/>
        </w:rPr>
        <w:t xml:space="preserve"> </w:t>
      </w:r>
      <w:r w:rsidRPr="009561EA">
        <w:t xml:space="preserve">the application of a “tier level” format to indicate the risk significance of the inspection requirements within the specified sample. </w:t>
      </w:r>
      <w:r w:rsidR="005400DD" w:rsidRPr="009561EA">
        <w:t xml:space="preserve"> </w:t>
      </w:r>
      <w:r w:rsidRPr="009561EA">
        <w:t xml:space="preserve">The inspection requirements are separated into three tier level sections (Tier I, Tier II, and Tier III) with the most risk significant being assigned to the Tier I section of the attachment. </w:t>
      </w:r>
      <w:r w:rsidR="005400DD" w:rsidRPr="009561EA">
        <w:t xml:space="preserve"> </w:t>
      </w:r>
      <w:r w:rsidRPr="009561EA">
        <w:t>This tier level concept ensures that the licensee’s physical protection program and protective strategy receive inspection oversight relative to the risk significance of the specific elements that comprise the licensee’s security</w:t>
      </w:r>
      <w:r w:rsidRPr="009561EA">
        <w:rPr>
          <w:spacing w:val="-13"/>
        </w:rPr>
        <w:t xml:space="preserve"> </w:t>
      </w:r>
      <w:r w:rsidRPr="009561EA">
        <w:t>programs.</w:t>
      </w:r>
    </w:p>
    <w:p w14:paraId="6CBEBAF0" w14:textId="77777777" w:rsidR="0030034C" w:rsidRPr="009561EA" w:rsidRDefault="0030034C">
      <w:pPr>
        <w:pStyle w:val="BodyText"/>
      </w:pPr>
    </w:p>
    <w:p w14:paraId="36C7DDEE" w14:textId="2143C8CB" w:rsidR="005400DD" w:rsidRPr="009561EA" w:rsidRDefault="00767368" w:rsidP="00FB1054">
      <w:pPr>
        <w:pStyle w:val="ListParagraph"/>
        <w:numPr>
          <w:ilvl w:val="1"/>
          <w:numId w:val="1"/>
        </w:numPr>
        <w:tabs>
          <w:tab w:val="left" w:pos="750"/>
        </w:tabs>
        <w:spacing w:before="1" w:line="237" w:lineRule="auto"/>
        <w:ind w:left="0" w:right="235" w:firstLine="0"/>
      </w:pPr>
      <w:bookmarkStart w:id="0" w:name="_GoBack"/>
      <w:bookmarkEnd w:id="0"/>
      <w:r w:rsidRPr="009561EA">
        <w:t xml:space="preserve"> </w:t>
      </w:r>
      <w:r w:rsidR="00FB1054" w:rsidRPr="009561EA">
        <w:rPr>
          <w:u w:val="single"/>
        </w:rPr>
        <w:t>Problem Identification and Resolution</w:t>
      </w:r>
      <w:r w:rsidR="00892C2A" w:rsidRPr="009561EA">
        <w:t>.</w:t>
      </w:r>
      <w:r w:rsidR="002162A3" w:rsidRPr="009561EA">
        <w:t xml:space="preserve"> </w:t>
      </w:r>
      <w:r w:rsidR="00892C2A" w:rsidRPr="009561EA">
        <w:t xml:space="preserve"> </w:t>
      </w:r>
    </w:p>
    <w:p w14:paraId="236B9463" w14:textId="77777777" w:rsidR="005400DD" w:rsidRPr="009561EA" w:rsidRDefault="005400DD" w:rsidP="00FB1054">
      <w:pPr>
        <w:pStyle w:val="ListParagraph"/>
        <w:tabs>
          <w:tab w:val="left" w:pos="750"/>
        </w:tabs>
        <w:spacing w:before="1" w:line="237" w:lineRule="auto"/>
        <w:ind w:left="0" w:right="235" w:firstLine="0"/>
      </w:pPr>
    </w:p>
    <w:p w14:paraId="6CBEBAF1" w14:textId="407AE50B" w:rsidR="0030034C" w:rsidRPr="009561EA" w:rsidRDefault="00892C2A" w:rsidP="00FB1054">
      <w:pPr>
        <w:pStyle w:val="ListParagraph"/>
        <w:tabs>
          <w:tab w:val="left" w:pos="750"/>
        </w:tabs>
        <w:spacing w:before="1" w:line="237" w:lineRule="auto"/>
        <w:ind w:left="0" w:right="235" w:firstLine="0"/>
      </w:pPr>
      <w:r w:rsidRPr="009561EA">
        <w:t>The primary means by which licensees maintain</w:t>
      </w:r>
      <w:r w:rsidRPr="009561EA">
        <w:rPr>
          <w:spacing w:val="-7"/>
        </w:rPr>
        <w:t xml:space="preserve"> </w:t>
      </w:r>
      <w:r w:rsidRPr="009561EA">
        <w:t>an</w:t>
      </w:r>
      <w:r w:rsidRPr="009561EA">
        <w:rPr>
          <w:spacing w:val="-6"/>
        </w:rPr>
        <w:t xml:space="preserve"> </w:t>
      </w:r>
      <w:r w:rsidRPr="009561EA">
        <w:t>appropriate</w:t>
      </w:r>
      <w:r w:rsidRPr="009561EA">
        <w:rPr>
          <w:spacing w:val="-7"/>
        </w:rPr>
        <w:t xml:space="preserve"> </w:t>
      </w:r>
      <w:r w:rsidRPr="009561EA">
        <w:t>level</w:t>
      </w:r>
      <w:r w:rsidRPr="009561EA">
        <w:rPr>
          <w:spacing w:val="-7"/>
        </w:rPr>
        <w:t xml:space="preserve"> </w:t>
      </w:r>
      <w:r w:rsidRPr="009561EA">
        <w:t>of</w:t>
      </w:r>
      <w:r w:rsidRPr="009561EA">
        <w:rPr>
          <w:spacing w:val="-6"/>
        </w:rPr>
        <w:t xml:space="preserve"> </w:t>
      </w:r>
      <w:r w:rsidRPr="009561EA">
        <w:t>safety</w:t>
      </w:r>
      <w:r w:rsidRPr="009561EA">
        <w:rPr>
          <w:spacing w:val="-8"/>
        </w:rPr>
        <w:t xml:space="preserve"> </w:t>
      </w:r>
      <w:r w:rsidRPr="009561EA">
        <w:t>and</w:t>
      </w:r>
      <w:r w:rsidRPr="009561EA">
        <w:rPr>
          <w:spacing w:val="-6"/>
        </w:rPr>
        <w:t xml:space="preserve"> </w:t>
      </w:r>
      <w:r w:rsidRPr="009561EA">
        <w:t>security</w:t>
      </w:r>
      <w:r w:rsidRPr="009561EA">
        <w:rPr>
          <w:spacing w:val="-11"/>
        </w:rPr>
        <w:t xml:space="preserve"> </w:t>
      </w:r>
      <w:r w:rsidRPr="009561EA">
        <w:t>is</w:t>
      </w:r>
      <w:r w:rsidRPr="009561EA">
        <w:rPr>
          <w:spacing w:val="-7"/>
        </w:rPr>
        <w:t xml:space="preserve"> </w:t>
      </w:r>
      <w:r w:rsidRPr="009561EA">
        <w:t>through</w:t>
      </w:r>
      <w:r w:rsidRPr="009561EA">
        <w:rPr>
          <w:spacing w:val="-6"/>
        </w:rPr>
        <w:t xml:space="preserve"> </w:t>
      </w:r>
      <w:r w:rsidRPr="009561EA">
        <w:t>an</w:t>
      </w:r>
      <w:r w:rsidRPr="009561EA">
        <w:rPr>
          <w:spacing w:val="-6"/>
        </w:rPr>
        <w:t xml:space="preserve"> </w:t>
      </w:r>
      <w:r w:rsidRPr="009561EA">
        <w:t>effective</w:t>
      </w:r>
      <w:r w:rsidRPr="009561EA">
        <w:rPr>
          <w:spacing w:val="-7"/>
        </w:rPr>
        <w:t xml:space="preserve"> </w:t>
      </w:r>
      <w:r w:rsidRPr="009561EA">
        <w:t>problem</w:t>
      </w:r>
      <w:r w:rsidRPr="009561EA">
        <w:rPr>
          <w:spacing w:val="-6"/>
        </w:rPr>
        <w:t xml:space="preserve"> </w:t>
      </w:r>
      <w:r w:rsidRPr="009561EA">
        <w:t xml:space="preserve">identification and resolution program to correct deficiencies involving human performance, equipment, programs, and procedures. </w:t>
      </w:r>
      <w:r w:rsidR="00FB1054" w:rsidRPr="009561EA">
        <w:t xml:space="preserve"> </w:t>
      </w:r>
      <w:r w:rsidRPr="009561EA">
        <w:t>The baseline inspection program includes periodic inspections of the licensees’ corrective action programs to gauge their effectiveness for identifying and correcting</w:t>
      </w:r>
      <w:r w:rsidRPr="009561EA">
        <w:rPr>
          <w:spacing w:val="-1"/>
        </w:rPr>
        <w:t xml:space="preserve"> </w:t>
      </w:r>
      <w:r w:rsidRPr="009561EA">
        <w:t>problems.</w:t>
      </w:r>
    </w:p>
    <w:p w14:paraId="6CBEBAF2" w14:textId="77777777" w:rsidR="0030034C" w:rsidRPr="009561EA" w:rsidRDefault="0030034C" w:rsidP="00FB1054">
      <w:pPr>
        <w:pStyle w:val="BodyText"/>
      </w:pPr>
    </w:p>
    <w:p w14:paraId="6CBEBAF3" w14:textId="77777777" w:rsidR="0030034C" w:rsidRPr="009561EA" w:rsidRDefault="0030034C" w:rsidP="00FB1054">
      <w:pPr>
        <w:pStyle w:val="BodyText"/>
        <w:spacing w:before="9"/>
      </w:pPr>
    </w:p>
    <w:p w14:paraId="6CBEBAF4" w14:textId="77777777" w:rsidR="0030034C" w:rsidRPr="009561EA" w:rsidRDefault="00892C2A" w:rsidP="00FB1054">
      <w:pPr>
        <w:pStyle w:val="BodyText"/>
        <w:tabs>
          <w:tab w:val="left" w:pos="1580"/>
        </w:tabs>
      </w:pPr>
      <w:r w:rsidRPr="009561EA">
        <w:t>71130-03</w:t>
      </w:r>
      <w:r w:rsidRPr="009561EA">
        <w:tab/>
        <w:t>INSPECTION</w:t>
      </w:r>
      <w:r w:rsidRPr="009561EA">
        <w:rPr>
          <w:spacing w:val="-2"/>
        </w:rPr>
        <w:t xml:space="preserve"> </w:t>
      </w:r>
      <w:r w:rsidRPr="009561EA">
        <w:t>GUIDANCE</w:t>
      </w:r>
    </w:p>
    <w:p w14:paraId="6CBEBAF5" w14:textId="77777777" w:rsidR="0030034C" w:rsidRPr="009561EA" w:rsidRDefault="0030034C" w:rsidP="00FB1054">
      <w:pPr>
        <w:pStyle w:val="BodyText"/>
        <w:spacing w:before="7"/>
      </w:pPr>
    </w:p>
    <w:p w14:paraId="6CBEBAF6" w14:textId="1F533345" w:rsidR="0030034C" w:rsidRPr="009561EA" w:rsidRDefault="00892C2A" w:rsidP="00FB1054">
      <w:pPr>
        <w:pStyle w:val="BodyText"/>
        <w:spacing w:line="237" w:lineRule="auto"/>
        <w:ind w:right="92"/>
      </w:pPr>
      <w:r w:rsidRPr="009561EA">
        <w:t xml:space="preserve">Applicable Performance Indicator: </w:t>
      </w:r>
      <w:r w:rsidR="00767368" w:rsidRPr="009561EA">
        <w:t xml:space="preserve"> </w:t>
      </w:r>
      <w:r w:rsidRPr="009561EA">
        <w:t>The security cornerstone includes one performance indicator, “The Protected Area Security Equipment Performance Index,” which monitors the effectiveness of the maintenance process and equipment degradation of components of protected area perimeter detection and assessment.</w:t>
      </w:r>
    </w:p>
    <w:p w14:paraId="6CBEBAF7" w14:textId="77777777" w:rsidR="0030034C" w:rsidRPr="009561EA" w:rsidRDefault="0030034C" w:rsidP="00FB1054">
      <w:pPr>
        <w:pStyle w:val="BodyText"/>
      </w:pPr>
    </w:p>
    <w:p w14:paraId="6CBEBAF8" w14:textId="77777777" w:rsidR="0030034C" w:rsidRPr="009561EA" w:rsidRDefault="0030034C" w:rsidP="00FB1054">
      <w:pPr>
        <w:pStyle w:val="BodyText"/>
        <w:spacing w:before="11"/>
      </w:pPr>
    </w:p>
    <w:p w14:paraId="6CBEBAF9" w14:textId="77777777" w:rsidR="0030034C" w:rsidRPr="009561EA" w:rsidRDefault="00892C2A" w:rsidP="00FB1054">
      <w:pPr>
        <w:pStyle w:val="BodyText"/>
        <w:tabs>
          <w:tab w:val="left" w:pos="1580"/>
        </w:tabs>
      </w:pPr>
      <w:r w:rsidRPr="009561EA">
        <w:t>71130-04</w:t>
      </w:r>
      <w:r w:rsidRPr="009561EA">
        <w:tab/>
        <w:t>INSPECTION</w:t>
      </w:r>
      <w:r w:rsidRPr="009561EA">
        <w:rPr>
          <w:spacing w:val="-2"/>
        </w:rPr>
        <w:t xml:space="preserve"> </w:t>
      </w:r>
      <w:r w:rsidRPr="009561EA">
        <w:t>RESOURCES</w:t>
      </w:r>
    </w:p>
    <w:p w14:paraId="6CBEBAFA" w14:textId="77777777" w:rsidR="0030034C" w:rsidRPr="009561EA" w:rsidRDefault="0030034C" w:rsidP="00FB1054">
      <w:pPr>
        <w:pStyle w:val="BodyText"/>
        <w:spacing w:before="4"/>
      </w:pPr>
    </w:p>
    <w:p w14:paraId="6CBEBAFB" w14:textId="77777777" w:rsidR="0030034C" w:rsidRPr="009561EA" w:rsidRDefault="00892C2A" w:rsidP="00FB1054">
      <w:pPr>
        <w:pStyle w:val="BodyText"/>
      </w:pPr>
      <w:r w:rsidRPr="009561EA">
        <w:t>Estimates of inspection resources are identified within each inspectable area attachment.</w:t>
      </w:r>
    </w:p>
    <w:p w14:paraId="6CBEBAFC" w14:textId="530F0A59" w:rsidR="0030034C" w:rsidRPr="009561EA" w:rsidRDefault="0030034C" w:rsidP="00FB1054">
      <w:pPr>
        <w:pStyle w:val="BodyText"/>
        <w:spacing w:before="6"/>
      </w:pPr>
    </w:p>
    <w:p w14:paraId="030CCD14" w14:textId="77777777" w:rsidR="00FB1054" w:rsidRPr="009561EA" w:rsidRDefault="00FB1054" w:rsidP="00FB1054">
      <w:pPr>
        <w:pStyle w:val="BodyText"/>
        <w:spacing w:before="6"/>
      </w:pPr>
    </w:p>
    <w:p w14:paraId="6CBEBAFD" w14:textId="77777777" w:rsidR="0030034C" w:rsidRPr="009561EA" w:rsidRDefault="00892C2A" w:rsidP="00FB1054">
      <w:pPr>
        <w:pStyle w:val="BodyText"/>
        <w:ind w:right="10"/>
        <w:jc w:val="center"/>
      </w:pPr>
      <w:r w:rsidRPr="009561EA">
        <w:t>END</w:t>
      </w:r>
    </w:p>
    <w:p w14:paraId="6CBEBAFE" w14:textId="77777777" w:rsidR="0030034C" w:rsidRPr="00FB1054" w:rsidRDefault="0030034C" w:rsidP="00FB1054">
      <w:pPr>
        <w:jc w:val="center"/>
        <w:sectPr w:rsidR="0030034C" w:rsidRPr="00FB1054" w:rsidSect="009561EA">
          <w:pgSz w:w="12240" w:h="15840"/>
          <w:pgMar w:top="1440" w:right="1440" w:bottom="1440" w:left="1440" w:header="720" w:footer="720" w:gutter="0"/>
          <w:cols w:space="720"/>
          <w:docGrid w:linePitch="299"/>
        </w:sectPr>
      </w:pPr>
    </w:p>
    <w:p w14:paraId="6CBEBB00" w14:textId="77777777" w:rsidR="0030034C" w:rsidRDefault="00892C2A" w:rsidP="009561EA">
      <w:pPr>
        <w:pStyle w:val="BodyText"/>
        <w:ind w:left="4694" w:right="4709"/>
        <w:jc w:val="center"/>
      </w:pPr>
      <w:r>
        <w:lastRenderedPageBreak/>
        <w:t>Attachment 1- Revision History for 71130</w:t>
      </w:r>
    </w:p>
    <w:p w14:paraId="6CBEBB01" w14:textId="77777777" w:rsidR="0030034C" w:rsidRPr="009561EA" w:rsidRDefault="0030034C">
      <w:pPr>
        <w:pStyle w:val="BodyText"/>
        <w:spacing w:before="9"/>
      </w:pPr>
    </w:p>
    <w:tbl>
      <w:tblPr>
        <w:tblW w:w="13219"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61"/>
        <w:gridCol w:w="1989"/>
        <w:gridCol w:w="5120"/>
        <w:gridCol w:w="1929"/>
        <w:gridCol w:w="2520"/>
      </w:tblGrid>
      <w:tr w:rsidR="0030034C" w14:paraId="6CBEBB0B" w14:textId="77777777" w:rsidTr="009561EA">
        <w:trPr>
          <w:trHeight w:val="1247"/>
        </w:trPr>
        <w:tc>
          <w:tcPr>
            <w:tcW w:w="1661" w:type="dxa"/>
          </w:tcPr>
          <w:p w14:paraId="6CBEBB02" w14:textId="77777777" w:rsidR="0030034C" w:rsidRPr="00FB1054" w:rsidRDefault="0030034C">
            <w:pPr>
              <w:pStyle w:val="TableParagraph"/>
              <w:spacing w:before="5"/>
              <w:ind w:left="0"/>
            </w:pPr>
          </w:p>
          <w:p w14:paraId="6CBEBB03" w14:textId="77777777" w:rsidR="0030034C" w:rsidRPr="00FB1054" w:rsidRDefault="00892C2A">
            <w:pPr>
              <w:pStyle w:val="TableParagraph"/>
              <w:spacing w:line="237" w:lineRule="auto"/>
              <w:ind w:left="217" w:right="199"/>
              <w:jc w:val="center"/>
            </w:pPr>
            <w:r w:rsidRPr="00FB1054">
              <w:rPr>
                <w:w w:val="95"/>
              </w:rPr>
              <w:t xml:space="preserve">Commitment </w:t>
            </w:r>
            <w:r w:rsidRPr="00FB1054">
              <w:t>Tracking Number</w:t>
            </w:r>
          </w:p>
        </w:tc>
        <w:tc>
          <w:tcPr>
            <w:tcW w:w="1989" w:type="dxa"/>
          </w:tcPr>
          <w:p w14:paraId="6CBEBB04" w14:textId="77777777" w:rsidR="0030034C" w:rsidRPr="00FB1054" w:rsidRDefault="00892C2A">
            <w:pPr>
              <w:pStyle w:val="TableParagraph"/>
              <w:spacing w:before="121" w:line="237" w:lineRule="auto"/>
              <w:ind w:left="395" w:right="372" w:hanging="5"/>
              <w:jc w:val="center"/>
            </w:pPr>
            <w:r w:rsidRPr="00FB1054">
              <w:t>Accession Number Issue</w:t>
            </w:r>
            <w:r w:rsidRPr="00FB1054">
              <w:rPr>
                <w:spacing w:val="-4"/>
              </w:rPr>
              <w:t xml:space="preserve"> Date</w:t>
            </w:r>
          </w:p>
          <w:p w14:paraId="6CBEBB05" w14:textId="77777777" w:rsidR="0030034C" w:rsidRPr="00FB1054" w:rsidRDefault="00892C2A">
            <w:pPr>
              <w:pStyle w:val="TableParagraph"/>
              <w:spacing w:line="248" w:lineRule="exact"/>
              <w:ind w:left="170" w:right="152"/>
              <w:jc w:val="center"/>
            </w:pPr>
            <w:r w:rsidRPr="00FB1054">
              <w:t>Change Notice</w:t>
            </w:r>
          </w:p>
        </w:tc>
        <w:tc>
          <w:tcPr>
            <w:tcW w:w="5120" w:type="dxa"/>
          </w:tcPr>
          <w:p w14:paraId="6CBEBB06" w14:textId="77777777" w:rsidR="0030034C" w:rsidRPr="00FB1054" w:rsidRDefault="0030034C" w:rsidP="009561EA">
            <w:pPr>
              <w:pStyle w:val="TableParagraph"/>
              <w:ind w:left="0"/>
            </w:pPr>
          </w:p>
          <w:p w14:paraId="6CBEBB07" w14:textId="77777777" w:rsidR="0030034C" w:rsidRPr="00FB1054" w:rsidRDefault="0030034C" w:rsidP="009561EA">
            <w:pPr>
              <w:pStyle w:val="TableParagraph"/>
              <w:ind w:left="0"/>
            </w:pPr>
          </w:p>
          <w:p w14:paraId="6CBEBB08" w14:textId="77777777" w:rsidR="0030034C" w:rsidRPr="00FB1054" w:rsidRDefault="00892C2A">
            <w:pPr>
              <w:pStyle w:val="TableParagraph"/>
              <w:ind w:left="1548"/>
            </w:pPr>
            <w:r w:rsidRPr="00FB1054">
              <w:t>Description of Change</w:t>
            </w:r>
          </w:p>
        </w:tc>
        <w:tc>
          <w:tcPr>
            <w:tcW w:w="1929" w:type="dxa"/>
          </w:tcPr>
          <w:p w14:paraId="6CBEBB09" w14:textId="77777777" w:rsidR="0030034C" w:rsidRPr="00FB1054" w:rsidRDefault="00892C2A" w:rsidP="009561EA">
            <w:pPr>
              <w:pStyle w:val="TableParagraph"/>
              <w:ind w:left="120"/>
            </w:pPr>
            <w:r w:rsidRPr="00FB1054">
              <w:t>Description of Training Needed and Completion Date</w:t>
            </w:r>
          </w:p>
        </w:tc>
        <w:tc>
          <w:tcPr>
            <w:tcW w:w="2520" w:type="dxa"/>
          </w:tcPr>
          <w:p w14:paraId="6CBEBB0A" w14:textId="6F88BE2A" w:rsidR="0030034C" w:rsidRPr="00FB1054" w:rsidRDefault="00892C2A" w:rsidP="009561EA">
            <w:pPr>
              <w:pStyle w:val="TableParagraph"/>
              <w:ind w:left="169" w:right="150"/>
              <w:jc w:val="center"/>
            </w:pPr>
            <w:r w:rsidRPr="00FB1054">
              <w:t xml:space="preserve">Comment Resolution and Closed Feedback </w:t>
            </w:r>
            <w:r w:rsidR="00767368" w:rsidRPr="00FB1054">
              <w:t xml:space="preserve">Form </w:t>
            </w:r>
            <w:r w:rsidRPr="00FB1054">
              <w:t>Accession N</w:t>
            </w:r>
            <w:r w:rsidR="00767368" w:rsidRPr="00FB1054">
              <w:t>o.</w:t>
            </w:r>
            <w:r w:rsidRPr="00FB1054">
              <w:t xml:space="preserve"> (Pre-Decisional, Non- Public Information)</w:t>
            </w:r>
          </w:p>
        </w:tc>
      </w:tr>
      <w:tr w:rsidR="0030034C" w14:paraId="6CBEBB12" w14:textId="77777777" w:rsidTr="009561EA">
        <w:trPr>
          <w:trHeight w:val="494"/>
        </w:trPr>
        <w:tc>
          <w:tcPr>
            <w:tcW w:w="1661" w:type="dxa"/>
          </w:tcPr>
          <w:p w14:paraId="6CBEBB0C" w14:textId="77777777" w:rsidR="0030034C" w:rsidRDefault="0030034C" w:rsidP="009561EA">
            <w:pPr>
              <w:pStyle w:val="TableParagraph"/>
              <w:ind w:left="0"/>
              <w:rPr>
                <w:rFonts w:ascii="Times New Roman"/>
                <w:sz w:val="20"/>
              </w:rPr>
            </w:pPr>
          </w:p>
        </w:tc>
        <w:tc>
          <w:tcPr>
            <w:tcW w:w="1989" w:type="dxa"/>
          </w:tcPr>
          <w:p w14:paraId="6CBEBB0D" w14:textId="77777777" w:rsidR="0030034C" w:rsidRDefault="00892C2A" w:rsidP="009561EA">
            <w:pPr>
              <w:pStyle w:val="TableParagraph"/>
            </w:pPr>
            <w:r>
              <w:t>04/03/00</w:t>
            </w:r>
          </w:p>
          <w:p w14:paraId="6CBEBB0E" w14:textId="77777777" w:rsidR="0030034C" w:rsidRDefault="00892C2A" w:rsidP="009561EA">
            <w:pPr>
              <w:pStyle w:val="TableParagraph"/>
            </w:pPr>
            <w:r>
              <w:t>CN 00-003</w:t>
            </w:r>
          </w:p>
        </w:tc>
        <w:tc>
          <w:tcPr>
            <w:tcW w:w="5120" w:type="dxa"/>
          </w:tcPr>
          <w:p w14:paraId="6CBEBB0F" w14:textId="77777777" w:rsidR="0030034C" w:rsidRDefault="00892C2A" w:rsidP="009561EA">
            <w:pPr>
              <w:pStyle w:val="TableParagraph"/>
              <w:ind w:left="120"/>
            </w:pPr>
            <w:r>
              <w:t>Initial issuance.</w:t>
            </w:r>
          </w:p>
        </w:tc>
        <w:tc>
          <w:tcPr>
            <w:tcW w:w="1929" w:type="dxa"/>
          </w:tcPr>
          <w:p w14:paraId="6CBEBB10" w14:textId="77777777" w:rsidR="0030034C" w:rsidRDefault="0030034C" w:rsidP="009561EA">
            <w:pPr>
              <w:pStyle w:val="TableParagraph"/>
              <w:ind w:left="0"/>
              <w:rPr>
                <w:rFonts w:ascii="Times New Roman"/>
                <w:sz w:val="20"/>
              </w:rPr>
            </w:pPr>
          </w:p>
        </w:tc>
        <w:tc>
          <w:tcPr>
            <w:tcW w:w="2520" w:type="dxa"/>
          </w:tcPr>
          <w:p w14:paraId="6CBEBB11" w14:textId="77777777" w:rsidR="0030034C" w:rsidRDefault="0030034C" w:rsidP="009561EA">
            <w:pPr>
              <w:pStyle w:val="TableParagraph"/>
              <w:ind w:left="0"/>
              <w:rPr>
                <w:rFonts w:ascii="Times New Roman"/>
                <w:sz w:val="20"/>
              </w:rPr>
            </w:pPr>
          </w:p>
        </w:tc>
      </w:tr>
      <w:tr w:rsidR="0030034C" w14:paraId="6CBEBB19" w14:textId="77777777" w:rsidTr="009561EA">
        <w:trPr>
          <w:trHeight w:val="748"/>
        </w:trPr>
        <w:tc>
          <w:tcPr>
            <w:tcW w:w="1661" w:type="dxa"/>
          </w:tcPr>
          <w:p w14:paraId="6CBEBB13" w14:textId="77777777" w:rsidR="0030034C" w:rsidRDefault="0030034C" w:rsidP="009561EA">
            <w:pPr>
              <w:pStyle w:val="TableParagraph"/>
              <w:ind w:left="0"/>
              <w:rPr>
                <w:rFonts w:ascii="Times New Roman"/>
                <w:sz w:val="20"/>
              </w:rPr>
            </w:pPr>
          </w:p>
        </w:tc>
        <w:tc>
          <w:tcPr>
            <w:tcW w:w="1989" w:type="dxa"/>
          </w:tcPr>
          <w:p w14:paraId="6CBEBB14" w14:textId="77777777" w:rsidR="0030034C" w:rsidRDefault="00892C2A" w:rsidP="009561EA">
            <w:pPr>
              <w:pStyle w:val="TableParagraph"/>
            </w:pPr>
            <w:r>
              <w:rPr>
                <w:w w:val="95"/>
              </w:rPr>
              <w:t xml:space="preserve">ML040680555 </w:t>
            </w:r>
            <w:r>
              <w:t>02/19/04</w:t>
            </w:r>
          </w:p>
          <w:p w14:paraId="6CBEBB15" w14:textId="77777777" w:rsidR="0030034C" w:rsidRDefault="00892C2A" w:rsidP="009561EA">
            <w:pPr>
              <w:pStyle w:val="TableParagraph"/>
            </w:pPr>
            <w:r>
              <w:t>CN 04-007</w:t>
            </w:r>
          </w:p>
        </w:tc>
        <w:tc>
          <w:tcPr>
            <w:tcW w:w="5120" w:type="dxa"/>
          </w:tcPr>
          <w:p w14:paraId="6CBEBB16" w14:textId="77777777" w:rsidR="0030034C" w:rsidRDefault="00892C2A" w:rsidP="009561EA">
            <w:pPr>
              <w:pStyle w:val="TableParagraph"/>
              <w:ind w:left="120"/>
            </w:pPr>
            <w:r>
              <w:t>Periodic revision.</w:t>
            </w:r>
          </w:p>
        </w:tc>
        <w:tc>
          <w:tcPr>
            <w:tcW w:w="1929" w:type="dxa"/>
          </w:tcPr>
          <w:p w14:paraId="6CBEBB17" w14:textId="77777777" w:rsidR="0030034C" w:rsidRDefault="0030034C" w:rsidP="009561EA">
            <w:pPr>
              <w:pStyle w:val="TableParagraph"/>
              <w:ind w:left="0"/>
              <w:rPr>
                <w:rFonts w:ascii="Times New Roman"/>
                <w:sz w:val="20"/>
              </w:rPr>
            </w:pPr>
          </w:p>
        </w:tc>
        <w:tc>
          <w:tcPr>
            <w:tcW w:w="2520" w:type="dxa"/>
          </w:tcPr>
          <w:p w14:paraId="6CBEBB18" w14:textId="77777777" w:rsidR="0030034C" w:rsidRDefault="0030034C" w:rsidP="009561EA">
            <w:pPr>
              <w:pStyle w:val="TableParagraph"/>
              <w:ind w:left="0"/>
              <w:rPr>
                <w:rFonts w:ascii="Times New Roman"/>
                <w:sz w:val="20"/>
              </w:rPr>
            </w:pPr>
          </w:p>
        </w:tc>
      </w:tr>
      <w:tr w:rsidR="0030034C" w14:paraId="6CBEBB20" w14:textId="77777777" w:rsidTr="009561EA">
        <w:trPr>
          <w:trHeight w:val="997"/>
        </w:trPr>
        <w:tc>
          <w:tcPr>
            <w:tcW w:w="1661" w:type="dxa"/>
          </w:tcPr>
          <w:p w14:paraId="6CBEBB1A" w14:textId="77777777" w:rsidR="0030034C" w:rsidRDefault="00892C2A" w:rsidP="009561EA">
            <w:pPr>
              <w:pStyle w:val="TableParagraph"/>
            </w:pPr>
            <w:r>
              <w:t>N/A</w:t>
            </w:r>
          </w:p>
        </w:tc>
        <w:tc>
          <w:tcPr>
            <w:tcW w:w="1989" w:type="dxa"/>
          </w:tcPr>
          <w:p w14:paraId="6CBEBB1B" w14:textId="77777777" w:rsidR="0030034C" w:rsidRDefault="00892C2A" w:rsidP="009561EA">
            <w:pPr>
              <w:pStyle w:val="TableParagraph"/>
            </w:pPr>
            <w:r>
              <w:rPr>
                <w:w w:val="95"/>
              </w:rPr>
              <w:t xml:space="preserve">ML0719304062 </w:t>
            </w:r>
            <w:r>
              <w:t>12/10/08</w:t>
            </w:r>
          </w:p>
          <w:p w14:paraId="6CBEBB1C" w14:textId="77777777" w:rsidR="0030034C" w:rsidRDefault="00892C2A" w:rsidP="009561EA">
            <w:pPr>
              <w:pStyle w:val="TableParagraph"/>
            </w:pPr>
            <w:r>
              <w:t>CN 08-035</w:t>
            </w:r>
          </w:p>
        </w:tc>
        <w:tc>
          <w:tcPr>
            <w:tcW w:w="5120" w:type="dxa"/>
          </w:tcPr>
          <w:p w14:paraId="6CBEBB1D" w14:textId="77777777" w:rsidR="0030034C" w:rsidRDefault="00892C2A" w:rsidP="009561EA">
            <w:pPr>
              <w:pStyle w:val="TableParagraph"/>
              <w:ind w:left="120" w:right="2"/>
            </w:pPr>
            <w:r>
              <w:t>This document has been revised to include updates resulting from inspection feedback and oversight; add new inspectable area (MC&amp;A); correct editorial errors and the conversion to MS Word.</w:t>
            </w:r>
          </w:p>
        </w:tc>
        <w:tc>
          <w:tcPr>
            <w:tcW w:w="1929" w:type="dxa"/>
          </w:tcPr>
          <w:p w14:paraId="6CBEBB1E" w14:textId="77777777" w:rsidR="0030034C" w:rsidRDefault="00892C2A" w:rsidP="009561EA">
            <w:pPr>
              <w:pStyle w:val="TableParagraph"/>
              <w:ind w:left="120"/>
            </w:pPr>
            <w:r>
              <w:t>N/A</w:t>
            </w:r>
          </w:p>
        </w:tc>
        <w:tc>
          <w:tcPr>
            <w:tcW w:w="2520" w:type="dxa"/>
          </w:tcPr>
          <w:p w14:paraId="6CBEBB1F" w14:textId="77777777" w:rsidR="0030034C" w:rsidRDefault="00892C2A" w:rsidP="009561EA">
            <w:pPr>
              <w:pStyle w:val="TableParagraph"/>
              <w:ind w:left="121"/>
            </w:pPr>
            <w:r>
              <w:t>ML073550675</w:t>
            </w:r>
          </w:p>
        </w:tc>
      </w:tr>
      <w:tr w:rsidR="0030034C" w14:paraId="6CBEBB27" w14:textId="77777777" w:rsidTr="009561EA">
        <w:trPr>
          <w:trHeight w:val="994"/>
        </w:trPr>
        <w:tc>
          <w:tcPr>
            <w:tcW w:w="1661" w:type="dxa"/>
          </w:tcPr>
          <w:p w14:paraId="6CBEBB21" w14:textId="77777777" w:rsidR="0030034C" w:rsidRDefault="00892C2A" w:rsidP="009561EA">
            <w:pPr>
              <w:pStyle w:val="TableParagraph"/>
            </w:pPr>
            <w:r>
              <w:t>N/A</w:t>
            </w:r>
          </w:p>
        </w:tc>
        <w:tc>
          <w:tcPr>
            <w:tcW w:w="1989" w:type="dxa"/>
          </w:tcPr>
          <w:p w14:paraId="6CBEBB22" w14:textId="77777777" w:rsidR="0030034C" w:rsidRDefault="00892C2A" w:rsidP="009561EA">
            <w:pPr>
              <w:pStyle w:val="TableParagraph"/>
              <w:ind w:right="296"/>
            </w:pPr>
            <w:r>
              <w:rPr>
                <w:w w:val="95"/>
              </w:rPr>
              <w:t xml:space="preserve">ML093421304 </w:t>
            </w:r>
            <w:r>
              <w:t>01/12/10 CN10-002</w:t>
            </w:r>
          </w:p>
        </w:tc>
        <w:tc>
          <w:tcPr>
            <w:tcW w:w="5120" w:type="dxa"/>
          </w:tcPr>
          <w:p w14:paraId="6CBEBB23" w14:textId="77777777" w:rsidR="0030034C" w:rsidRDefault="00892C2A" w:rsidP="009561EA">
            <w:pPr>
              <w:pStyle w:val="TableParagraph"/>
              <w:ind w:left="120"/>
            </w:pPr>
            <w:r>
              <w:t>This document has been revised to address the changes to 10 CFR Part 73 that resulted from a</w:t>
            </w:r>
          </w:p>
          <w:p w14:paraId="6CBEBB24" w14:textId="77777777" w:rsidR="0030034C" w:rsidRDefault="00892C2A" w:rsidP="009561EA">
            <w:pPr>
              <w:pStyle w:val="TableParagraph"/>
              <w:ind w:left="120"/>
            </w:pPr>
            <w:r>
              <w:t>rulemaking; and in accordance with the ROP realignment process.</w:t>
            </w:r>
          </w:p>
        </w:tc>
        <w:tc>
          <w:tcPr>
            <w:tcW w:w="1929" w:type="dxa"/>
          </w:tcPr>
          <w:p w14:paraId="6CBEBB25" w14:textId="77777777" w:rsidR="0030034C" w:rsidRDefault="00892C2A" w:rsidP="009561EA">
            <w:pPr>
              <w:pStyle w:val="TableParagraph"/>
              <w:ind w:left="120"/>
            </w:pPr>
            <w:r>
              <w:t>N/A</w:t>
            </w:r>
          </w:p>
        </w:tc>
        <w:tc>
          <w:tcPr>
            <w:tcW w:w="2520" w:type="dxa"/>
          </w:tcPr>
          <w:p w14:paraId="6CBEBB26" w14:textId="77777777" w:rsidR="0030034C" w:rsidRDefault="00892C2A" w:rsidP="009561EA">
            <w:pPr>
              <w:pStyle w:val="TableParagraph"/>
              <w:ind w:left="121"/>
            </w:pPr>
            <w:r>
              <w:t>N/A</w:t>
            </w:r>
          </w:p>
        </w:tc>
      </w:tr>
      <w:tr w:rsidR="0030034C" w14:paraId="6CBEBB2E" w14:textId="77777777" w:rsidTr="009561EA">
        <w:trPr>
          <w:trHeight w:val="741"/>
        </w:trPr>
        <w:tc>
          <w:tcPr>
            <w:tcW w:w="1661" w:type="dxa"/>
          </w:tcPr>
          <w:p w14:paraId="6CBEBB28" w14:textId="77777777" w:rsidR="0030034C" w:rsidRDefault="00892C2A" w:rsidP="009561EA">
            <w:pPr>
              <w:pStyle w:val="TableParagraph"/>
            </w:pPr>
            <w:r>
              <w:t>N/A</w:t>
            </w:r>
          </w:p>
        </w:tc>
        <w:tc>
          <w:tcPr>
            <w:tcW w:w="1989" w:type="dxa"/>
          </w:tcPr>
          <w:p w14:paraId="6CBEBB29" w14:textId="77777777" w:rsidR="0030034C" w:rsidRDefault="00892C2A" w:rsidP="009561EA">
            <w:pPr>
              <w:pStyle w:val="TableParagraph"/>
            </w:pPr>
            <w:r>
              <w:rPr>
                <w:w w:val="95"/>
              </w:rPr>
              <w:t xml:space="preserve">ML100471188 </w:t>
            </w:r>
            <w:r>
              <w:t>02/24/10</w:t>
            </w:r>
          </w:p>
          <w:p w14:paraId="6CBEBB2A" w14:textId="77777777" w:rsidR="0030034C" w:rsidRDefault="00892C2A" w:rsidP="009561EA">
            <w:pPr>
              <w:pStyle w:val="TableParagraph"/>
            </w:pPr>
            <w:r>
              <w:t>CN 10-007</w:t>
            </w:r>
          </w:p>
        </w:tc>
        <w:tc>
          <w:tcPr>
            <w:tcW w:w="5120" w:type="dxa"/>
          </w:tcPr>
          <w:p w14:paraId="6CBEBB2B" w14:textId="77777777" w:rsidR="0030034C" w:rsidRDefault="00892C2A" w:rsidP="009561EA">
            <w:pPr>
              <w:pStyle w:val="TableParagraph"/>
              <w:ind w:left="120"/>
            </w:pPr>
            <w:r>
              <w:t>Effective date changed to 04/01/10.</w:t>
            </w:r>
          </w:p>
        </w:tc>
        <w:tc>
          <w:tcPr>
            <w:tcW w:w="1929" w:type="dxa"/>
          </w:tcPr>
          <w:p w14:paraId="6CBEBB2C" w14:textId="77777777" w:rsidR="0030034C" w:rsidRDefault="00892C2A" w:rsidP="009561EA">
            <w:pPr>
              <w:pStyle w:val="TableParagraph"/>
              <w:ind w:left="120"/>
            </w:pPr>
            <w:r>
              <w:t>N/A</w:t>
            </w:r>
          </w:p>
        </w:tc>
        <w:tc>
          <w:tcPr>
            <w:tcW w:w="2520" w:type="dxa"/>
          </w:tcPr>
          <w:p w14:paraId="6CBEBB2D" w14:textId="77777777" w:rsidR="0030034C" w:rsidRDefault="00892C2A" w:rsidP="009561EA">
            <w:pPr>
              <w:pStyle w:val="TableParagraph"/>
              <w:ind w:left="121"/>
            </w:pPr>
            <w:r>
              <w:t>N/A</w:t>
            </w:r>
          </w:p>
        </w:tc>
      </w:tr>
      <w:tr w:rsidR="0030034C" w14:paraId="6CBEBB35" w14:textId="77777777" w:rsidTr="009561EA">
        <w:trPr>
          <w:trHeight w:val="1247"/>
        </w:trPr>
        <w:tc>
          <w:tcPr>
            <w:tcW w:w="1661" w:type="dxa"/>
          </w:tcPr>
          <w:p w14:paraId="6CBEBB2F" w14:textId="77777777" w:rsidR="0030034C" w:rsidRDefault="00892C2A" w:rsidP="009561EA">
            <w:pPr>
              <w:pStyle w:val="TableParagraph"/>
            </w:pPr>
            <w:r>
              <w:t>N/A</w:t>
            </w:r>
          </w:p>
        </w:tc>
        <w:tc>
          <w:tcPr>
            <w:tcW w:w="1989" w:type="dxa"/>
          </w:tcPr>
          <w:p w14:paraId="6CBEBB30" w14:textId="77777777" w:rsidR="0030034C" w:rsidRDefault="00892C2A" w:rsidP="009561EA">
            <w:pPr>
              <w:pStyle w:val="TableParagraph"/>
            </w:pPr>
            <w:r>
              <w:rPr>
                <w:w w:val="95"/>
              </w:rPr>
              <w:t xml:space="preserve">ML14296A315 </w:t>
            </w:r>
            <w:r>
              <w:t>04/20/15</w:t>
            </w:r>
          </w:p>
          <w:p w14:paraId="6CBEBB31" w14:textId="77777777" w:rsidR="0030034C" w:rsidRDefault="00892C2A" w:rsidP="009561EA">
            <w:pPr>
              <w:pStyle w:val="TableParagraph"/>
            </w:pPr>
            <w:r>
              <w:t>CN 15-006</w:t>
            </w:r>
          </w:p>
        </w:tc>
        <w:tc>
          <w:tcPr>
            <w:tcW w:w="5120" w:type="dxa"/>
          </w:tcPr>
          <w:p w14:paraId="6CBEBB32" w14:textId="77777777" w:rsidR="0030034C" w:rsidRDefault="00892C2A" w:rsidP="009561EA">
            <w:pPr>
              <w:pStyle w:val="TableParagraph"/>
              <w:ind w:left="120" w:right="121"/>
            </w:pPr>
            <w:r>
              <w:t>This document has been revised to change the program applicability to ensure the procedures have</w:t>
            </w:r>
            <w:r>
              <w:rPr>
                <w:spacing w:val="-8"/>
              </w:rPr>
              <w:t xml:space="preserve"> </w:t>
            </w:r>
            <w:r>
              <w:t>connectivity</w:t>
            </w:r>
            <w:r>
              <w:rPr>
                <w:spacing w:val="-13"/>
              </w:rPr>
              <w:t xml:space="preserve"> </w:t>
            </w:r>
            <w:r>
              <w:t>to</w:t>
            </w:r>
            <w:r>
              <w:rPr>
                <w:spacing w:val="-7"/>
              </w:rPr>
              <w:t xml:space="preserve"> </w:t>
            </w:r>
            <w:r>
              <w:t>the</w:t>
            </w:r>
            <w:r>
              <w:rPr>
                <w:spacing w:val="-8"/>
              </w:rPr>
              <w:t xml:space="preserve"> </w:t>
            </w:r>
            <w:r>
              <w:t>appropriate</w:t>
            </w:r>
            <w:r>
              <w:rPr>
                <w:spacing w:val="-7"/>
              </w:rPr>
              <w:t xml:space="preserve"> </w:t>
            </w:r>
            <w:r>
              <w:t>base</w:t>
            </w:r>
            <w:r>
              <w:rPr>
                <w:spacing w:val="-8"/>
              </w:rPr>
              <w:t xml:space="preserve"> </w:t>
            </w:r>
            <w:r>
              <w:t>document which specifically identifies the inspectable areas within its</w:t>
            </w:r>
            <w:r>
              <w:rPr>
                <w:spacing w:val="-3"/>
              </w:rPr>
              <w:t xml:space="preserve"> </w:t>
            </w:r>
            <w:r>
              <w:t>content.</w:t>
            </w:r>
          </w:p>
        </w:tc>
        <w:tc>
          <w:tcPr>
            <w:tcW w:w="1929" w:type="dxa"/>
          </w:tcPr>
          <w:p w14:paraId="6CBEBB33" w14:textId="77777777" w:rsidR="0030034C" w:rsidRDefault="00892C2A" w:rsidP="009561EA">
            <w:pPr>
              <w:pStyle w:val="TableParagraph"/>
              <w:ind w:left="120"/>
            </w:pPr>
            <w:r>
              <w:t>N/A</w:t>
            </w:r>
          </w:p>
        </w:tc>
        <w:tc>
          <w:tcPr>
            <w:tcW w:w="2520" w:type="dxa"/>
          </w:tcPr>
          <w:p w14:paraId="6CBEBB34" w14:textId="77777777" w:rsidR="0030034C" w:rsidRDefault="00892C2A" w:rsidP="009561EA">
            <w:pPr>
              <w:pStyle w:val="TableParagraph"/>
              <w:ind w:left="121"/>
            </w:pPr>
            <w:r>
              <w:t>ML15041A166</w:t>
            </w:r>
          </w:p>
        </w:tc>
      </w:tr>
    </w:tbl>
    <w:p w14:paraId="6CBEBB36" w14:textId="77777777" w:rsidR="0030034C" w:rsidRDefault="0030034C">
      <w:pPr>
        <w:spacing w:line="248" w:lineRule="exact"/>
        <w:sectPr w:rsidR="0030034C" w:rsidSect="00FB1054">
          <w:footerReference w:type="default" r:id="rId11"/>
          <w:pgSz w:w="15840" w:h="12240" w:orient="landscape"/>
          <w:pgMar w:top="1440" w:right="1440" w:bottom="1440" w:left="1440" w:header="720" w:footer="720" w:gutter="0"/>
          <w:pgNumType w:start="1"/>
          <w:cols w:space="720"/>
          <w:docGrid w:linePitch="299"/>
        </w:sectPr>
      </w:pPr>
    </w:p>
    <w:p w14:paraId="6CBEBB37" w14:textId="77777777" w:rsidR="0030034C" w:rsidRDefault="0030034C">
      <w:pPr>
        <w:pStyle w:val="BodyText"/>
        <w:spacing w:before="1"/>
        <w:rPr>
          <w:sz w:val="2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61"/>
        <w:gridCol w:w="1838"/>
        <w:gridCol w:w="5271"/>
        <w:gridCol w:w="1929"/>
        <w:gridCol w:w="2520"/>
      </w:tblGrid>
      <w:tr w:rsidR="0030034C" w14:paraId="6CBEBB41" w14:textId="77777777">
        <w:trPr>
          <w:trHeight w:val="1247"/>
        </w:trPr>
        <w:tc>
          <w:tcPr>
            <w:tcW w:w="1661" w:type="dxa"/>
          </w:tcPr>
          <w:p w14:paraId="6CBEBB38" w14:textId="77777777" w:rsidR="0030034C" w:rsidRPr="009561EA" w:rsidRDefault="0030034C" w:rsidP="009561EA">
            <w:pPr>
              <w:pStyle w:val="TableParagraph"/>
              <w:ind w:left="0"/>
            </w:pPr>
          </w:p>
          <w:p w14:paraId="6CBEBB39" w14:textId="77777777" w:rsidR="0030034C" w:rsidRPr="009561EA" w:rsidRDefault="00892C2A" w:rsidP="009561EA">
            <w:pPr>
              <w:pStyle w:val="TableParagraph"/>
              <w:ind w:left="217" w:right="199"/>
              <w:jc w:val="center"/>
            </w:pPr>
            <w:r w:rsidRPr="009561EA">
              <w:rPr>
                <w:w w:val="95"/>
              </w:rPr>
              <w:t xml:space="preserve">Commitment </w:t>
            </w:r>
            <w:r w:rsidRPr="009561EA">
              <w:t>Tracking Number</w:t>
            </w:r>
          </w:p>
        </w:tc>
        <w:tc>
          <w:tcPr>
            <w:tcW w:w="1838" w:type="dxa"/>
          </w:tcPr>
          <w:p w14:paraId="6CBEBB3A" w14:textId="77777777" w:rsidR="0030034C" w:rsidRPr="009561EA" w:rsidRDefault="00892C2A" w:rsidP="009561EA">
            <w:pPr>
              <w:pStyle w:val="TableParagraph"/>
              <w:ind w:left="395" w:right="372" w:hanging="5"/>
              <w:jc w:val="center"/>
            </w:pPr>
            <w:r w:rsidRPr="009561EA">
              <w:t>Accession Number Issue</w:t>
            </w:r>
            <w:r w:rsidRPr="009561EA">
              <w:rPr>
                <w:spacing w:val="-4"/>
              </w:rPr>
              <w:t xml:space="preserve"> Date</w:t>
            </w:r>
          </w:p>
          <w:p w14:paraId="6CBEBB3B" w14:textId="77777777" w:rsidR="0030034C" w:rsidRPr="009561EA" w:rsidRDefault="00892C2A" w:rsidP="009561EA">
            <w:pPr>
              <w:pStyle w:val="TableParagraph"/>
              <w:ind w:left="170" w:right="152"/>
              <w:jc w:val="center"/>
            </w:pPr>
            <w:r w:rsidRPr="009561EA">
              <w:t>Change Notice</w:t>
            </w:r>
          </w:p>
        </w:tc>
        <w:tc>
          <w:tcPr>
            <w:tcW w:w="5271" w:type="dxa"/>
          </w:tcPr>
          <w:p w14:paraId="6CBEBB3C" w14:textId="77777777" w:rsidR="0030034C" w:rsidRPr="009561EA" w:rsidRDefault="0030034C" w:rsidP="009561EA">
            <w:pPr>
              <w:pStyle w:val="TableParagraph"/>
              <w:ind w:left="0"/>
            </w:pPr>
          </w:p>
          <w:p w14:paraId="6CBEBB3D" w14:textId="77777777" w:rsidR="0030034C" w:rsidRPr="009561EA" w:rsidRDefault="0030034C" w:rsidP="009561EA">
            <w:pPr>
              <w:pStyle w:val="TableParagraph"/>
              <w:ind w:left="0"/>
            </w:pPr>
          </w:p>
          <w:p w14:paraId="6CBEBB3E" w14:textId="77777777" w:rsidR="0030034C" w:rsidRPr="009561EA" w:rsidRDefault="00892C2A" w:rsidP="009561EA">
            <w:pPr>
              <w:pStyle w:val="TableParagraph"/>
              <w:ind w:left="1548"/>
            </w:pPr>
            <w:r w:rsidRPr="009561EA">
              <w:t>Description of Change</w:t>
            </w:r>
          </w:p>
        </w:tc>
        <w:tc>
          <w:tcPr>
            <w:tcW w:w="1929" w:type="dxa"/>
          </w:tcPr>
          <w:p w14:paraId="6CBEBB3F" w14:textId="77777777" w:rsidR="0030034C" w:rsidRPr="009561EA" w:rsidRDefault="00892C2A" w:rsidP="009561EA">
            <w:pPr>
              <w:pStyle w:val="TableParagraph"/>
              <w:ind w:left="120"/>
            </w:pPr>
            <w:r w:rsidRPr="009561EA">
              <w:t>Description of Training Needed and Completion Date</w:t>
            </w:r>
          </w:p>
        </w:tc>
        <w:tc>
          <w:tcPr>
            <w:tcW w:w="2520" w:type="dxa"/>
          </w:tcPr>
          <w:p w14:paraId="6CBEBB40" w14:textId="04570C27" w:rsidR="0030034C" w:rsidRPr="009561EA" w:rsidRDefault="00767368" w:rsidP="009561EA">
            <w:pPr>
              <w:pStyle w:val="TableParagraph"/>
              <w:ind w:left="169" w:right="150"/>
              <w:jc w:val="center"/>
            </w:pPr>
            <w:r w:rsidRPr="009561EA">
              <w:t>Comment Resolution and Closed Feedback Form Accession No. (Pre-Decisional, Non- Public Information)</w:t>
            </w:r>
          </w:p>
        </w:tc>
      </w:tr>
      <w:tr w:rsidR="0030034C" w14:paraId="6CBEBB4A" w14:textId="77777777">
        <w:trPr>
          <w:trHeight w:val="3240"/>
        </w:trPr>
        <w:tc>
          <w:tcPr>
            <w:tcW w:w="1661" w:type="dxa"/>
          </w:tcPr>
          <w:p w14:paraId="6CBEBB42" w14:textId="77777777" w:rsidR="0030034C" w:rsidRDefault="00892C2A" w:rsidP="009561EA">
            <w:pPr>
              <w:pStyle w:val="TableParagraph"/>
            </w:pPr>
            <w:r>
              <w:t>N/A</w:t>
            </w:r>
          </w:p>
        </w:tc>
        <w:tc>
          <w:tcPr>
            <w:tcW w:w="1838" w:type="dxa"/>
          </w:tcPr>
          <w:p w14:paraId="6CBEBB43" w14:textId="77777777" w:rsidR="0030034C" w:rsidRDefault="00892C2A" w:rsidP="009561EA">
            <w:pPr>
              <w:pStyle w:val="TableParagraph"/>
            </w:pPr>
            <w:r>
              <w:rPr>
                <w:w w:val="95"/>
              </w:rPr>
              <w:t xml:space="preserve">ML17262A757 </w:t>
            </w:r>
            <w:r>
              <w:t>08/23/18</w:t>
            </w:r>
          </w:p>
          <w:p w14:paraId="6CBEBB44" w14:textId="77777777" w:rsidR="0030034C" w:rsidRDefault="00892C2A" w:rsidP="009561EA">
            <w:pPr>
              <w:pStyle w:val="TableParagraph"/>
            </w:pPr>
            <w:r>
              <w:t>CN 18-028</w:t>
            </w:r>
          </w:p>
        </w:tc>
        <w:tc>
          <w:tcPr>
            <w:tcW w:w="5271" w:type="dxa"/>
          </w:tcPr>
          <w:p w14:paraId="6CBEBB45" w14:textId="77777777" w:rsidR="0030034C" w:rsidRDefault="00892C2A" w:rsidP="009561EA">
            <w:pPr>
              <w:pStyle w:val="TableParagraph"/>
              <w:ind w:left="120"/>
            </w:pPr>
            <w:r>
              <w:t>SOSB revised the 71130 series Inspection Procedures (IP) and associated Inspection Manual Chapters (IMC) in response to Staff Requirements</w:t>
            </w:r>
          </w:p>
          <w:p w14:paraId="6CBEBB46" w14:textId="01B7ACF5" w:rsidR="0030034C" w:rsidRDefault="00892C2A" w:rsidP="009561EA">
            <w:pPr>
              <w:pStyle w:val="TableParagraph"/>
              <w:ind w:left="120" w:right="122"/>
            </w:pPr>
            <w:r>
              <w:t xml:space="preserve">– SECY 16-0073 (Options and Recommendations for the Force-On-Force Inspection Program) and the March 2017 Assessment Team (Regions and HQ) review for redundancy’s and efficiencies of the 71130 series IPs for power reactors. </w:t>
            </w:r>
            <w:r w:rsidR="00FB1054">
              <w:t xml:space="preserve"> </w:t>
            </w:r>
            <w:r>
              <w:t>Upon completion of a SUNSI review, the staff concluded that this document should be de-controlled. Consistent with the staff’s SUNSI determination, an administrative revision of this document was</w:t>
            </w:r>
          </w:p>
          <w:p w14:paraId="6CBEBB47" w14:textId="77777777" w:rsidR="0030034C" w:rsidRDefault="00892C2A" w:rsidP="009561EA">
            <w:pPr>
              <w:pStyle w:val="TableParagraph"/>
              <w:ind w:left="120"/>
            </w:pPr>
            <w:r>
              <w:t>conducted to remove SUNSI markings.</w:t>
            </w:r>
          </w:p>
        </w:tc>
        <w:tc>
          <w:tcPr>
            <w:tcW w:w="1929" w:type="dxa"/>
          </w:tcPr>
          <w:p w14:paraId="6CBEBB48" w14:textId="77777777" w:rsidR="0030034C" w:rsidRDefault="00892C2A" w:rsidP="009561EA">
            <w:pPr>
              <w:pStyle w:val="TableParagraph"/>
              <w:ind w:left="120"/>
            </w:pPr>
            <w:r>
              <w:t>N/A</w:t>
            </w:r>
          </w:p>
        </w:tc>
        <w:tc>
          <w:tcPr>
            <w:tcW w:w="2520" w:type="dxa"/>
          </w:tcPr>
          <w:p w14:paraId="6CBEBB49" w14:textId="77777777" w:rsidR="0030034C" w:rsidRDefault="00892C2A" w:rsidP="009561EA">
            <w:pPr>
              <w:pStyle w:val="TableParagraph"/>
              <w:ind w:left="121"/>
            </w:pPr>
            <w:r>
              <w:t>ML17262A704</w:t>
            </w:r>
          </w:p>
        </w:tc>
      </w:tr>
      <w:tr w:rsidR="00376F63" w14:paraId="204D3EC5" w14:textId="77777777" w:rsidTr="009561EA">
        <w:trPr>
          <w:trHeight w:val="853"/>
        </w:trPr>
        <w:tc>
          <w:tcPr>
            <w:tcW w:w="1661" w:type="dxa"/>
          </w:tcPr>
          <w:p w14:paraId="4CA1E424" w14:textId="379A52FE" w:rsidR="00376F63" w:rsidRDefault="00376F63" w:rsidP="009561EA">
            <w:pPr>
              <w:pStyle w:val="TableParagraph"/>
            </w:pPr>
            <w:r>
              <w:t>N/A</w:t>
            </w:r>
          </w:p>
        </w:tc>
        <w:tc>
          <w:tcPr>
            <w:tcW w:w="1838" w:type="dxa"/>
          </w:tcPr>
          <w:p w14:paraId="3F88C9DB" w14:textId="77777777" w:rsidR="00376F63" w:rsidRDefault="009561EA" w:rsidP="009561EA">
            <w:pPr>
              <w:pStyle w:val="TableParagraph"/>
              <w:rPr>
                <w:w w:val="95"/>
              </w:rPr>
            </w:pPr>
            <w:r w:rsidRPr="009561EA">
              <w:rPr>
                <w:w w:val="95"/>
              </w:rPr>
              <w:t>ML20196L853</w:t>
            </w:r>
          </w:p>
          <w:p w14:paraId="15E3419F" w14:textId="012E088D" w:rsidR="009561EA" w:rsidRDefault="00C05B7C" w:rsidP="009561EA">
            <w:pPr>
              <w:pStyle w:val="TableParagraph"/>
              <w:rPr>
                <w:w w:val="95"/>
              </w:rPr>
            </w:pPr>
            <w:r>
              <w:rPr>
                <w:w w:val="95"/>
              </w:rPr>
              <w:t>07/23/20</w:t>
            </w:r>
          </w:p>
          <w:p w14:paraId="79BA1E9A" w14:textId="482F2FFB" w:rsidR="009561EA" w:rsidRDefault="009561EA" w:rsidP="009561EA">
            <w:pPr>
              <w:pStyle w:val="TableParagraph"/>
              <w:rPr>
                <w:w w:val="95"/>
              </w:rPr>
            </w:pPr>
            <w:r>
              <w:rPr>
                <w:w w:val="95"/>
              </w:rPr>
              <w:t>CN 20-</w:t>
            </w:r>
            <w:r w:rsidR="00C05B7C">
              <w:rPr>
                <w:w w:val="95"/>
              </w:rPr>
              <w:t>034</w:t>
            </w:r>
          </w:p>
        </w:tc>
        <w:tc>
          <w:tcPr>
            <w:tcW w:w="5271" w:type="dxa"/>
          </w:tcPr>
          <w:p w14:paraId="7434FEDE" w14:textId="1CA5A186" w:rsidR="00376F63" w:rsidRPr="009561EA" w:rsidRDefault="00510E47" w:rsidP="00F87F51">
            <w:pPr>
              <w:pStyle w:val="TableParagraph"/>
              <w:ind w:left="115"/>
            </w:pPr>
            <w:r w:rsidRPr="009561EA">
              <w:t>This revision is a minor administrative change to update the list of inspectable areas within the 71130 series to include inspection procedure 71130.09.</w:t>
            </w:r>
          </w:p>
        </w:tc>
        <w:tc>
          <w:tcPr>
            <w:tcW w:w="1929" w:type="dxa"/>
          </w:tcPr>
          <w:p w14:paraId="30226D7B" w14:textId="30EFF1E9" w:rsidR="00376F63" w:rsidRPr="009561EA" w:rsidRDefault="00957A26" w:rsidP="009561EA">
            <w:pPr>
              <w:pStyle w:val="TableParagraph"/>
              <w:ind w:left="120"/>
            </w:pPr>
            <w:r w:rsidRPr="009561EA">
              <w:t>N/A</w:t>
            </w:r>
          </w:p>
        </w:tc>
        <w:tc>
          <w:tcPr>
            <w:tcW w:w="2520" w:type="dxa"/>
          </w:tcPr>
          <w:p w14:paraId="33CED1A4" w14:textId="7DF6BDA6" w:rsidR="00376F63" w:rsidRDefault="00510E47" w:rsidP="009561EA">
            <w:pPr>
              <w:pStyle w:val="TableParagraph"/>
              <w:ind w:left="121"/>
            </w:pPr>
            <w:r>
              <w:t>N/A</w:t>
            </w:r>
          </w:p>
        </w:tc>
      </w:tr>
    </w:tbl>
    <w:p w14:paraId="6CBEBB4B" w14:textId="77777777" w:rsidR="00892C2A" w:rsidRDefault="00892C2A"/>
    <w:sectPr w:rsidR="00892C2A" w:rsidSect="00FB1054">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D878D" w14:textId="77777777" w:rsidR="00814748" w:rsidRDefault="00814748">
      <w:r>
        <w:separator/>
      </w:r>
    </w:p>
  </w:endnote>
  <w:endnote w:type="continuationSeparator" w:id="0">
    <w:p w14:paraId="19A01EF4" w14:textId="77777777" w:rsidR="00814748" w:rsidRDefault="0081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7423" w14:textId="54A1F170" w:rsidR="00FB1054" w:rsidRDefault="00FB1054" w:rsidP="00FB1054">
    <w:pPr>
      <w:pStyle w:val="Footer"/>
    </w:pPr>
    <w:r>
      <w:t xml:space="preserve">Issue Date:  </w:t>
    </w:r>
    <w:sdt>
      <w:sdtPr>
        <w:id w:val="2072073974"/>
        <w:docPartObj>
          <w:docPartGallery w:val="Page Numbers (Bottom of Page)"/>
          <w:docPartUnique/>
        </w:docPartObj>
      </w:sdtPr>
      <w:sdtEndPr>
        <w:rPr>
          <w:noProof/>
        </w:rPr>
      </w:sdtEndPr>
      <w:sdtContent>
        <w:r w:rsidR="00C05B7C">
          <w:t>07/23/20</w:t>
        </w:r>
        <w:r>
          <w:tab/>
        </w:r>
        <w:r>
          <w:fldChar w:fldCharType="begin"/>
        </w:r>
        <w:r>
          <w:instrText xml:space="preserve"> PAGE   \* MERGEFORMAT </w:instrText>
        </w:r>
        <w:r>
          <w:fldChar w:fldCharType="separate"/>
        </w:r>
        <w:r>
          <w:rPr>
            <w:noProof/>
          </w:rPr>
          <w:t>2</w:t>
        </w:r>
        <w:r>
          <w:rPr>
            <w:noProof/>
          </w:rPr>
          <w:fldChar w:fldCharType="end"/>
        </w:r>
      </w:sdtContent>
    </w:sdt>
    <w:r>
      <w:rPr>
        <w:noProof/>
      </w:rPr>
      <w:tab/>
      <w:t>71130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EBB50" w14:textId="0C55442F" w:rsidR="0030034C" w:rsidRPr="00FB1054" w:rsidRDefault="009561EA" w:rsidP="009561EA">
    <w:pPr>
      <w:pStyle w:val="BodyText"/>
      <w:tabs>
        <w:tab w:val="center" w:pos="6480"/>
        <w:tab w:val="right" w:pos="12960"/>
      </w:tabs>
    </w:pPr>
    <w:r>
      <w:t xml:space="preserve">Issue Date:  </w:t>
    </w:r>
    <w:sdt>
      <w:sdtPr>
        <w:id w:val="375673275"/>
        <w:docPartObj>
          <w:docPartGallery w:val="Page Numbers (Bottom of Page)"/>
          <w:docPartUnique/>
        </w:docPartObj>
      </w:sdtPr>
      <w:sdtEndPr>
        <w:rPr>
          <w:noProof/>
        </w:rPr>
      </w:sdtEndPr>
      <w:sdtContent>
        <w:r w:rsidR="00C05B7C">
          <w:t>07/23/20</w:t>
        </w:r>
        <w:r>
          <w:tab/>
          <w:t>Att1-</w:t>
        </w:r>
        <w:r>
          <w:fldChar w:fldCharType="begin"/>
        </w:r>
        <w:r>
          <w:instrText xml:space="preserve"> PAGE   \* MERGEFORMAT </w:instrText>
        </w:r>
        <w:r>
          <w:fldChar w:fldCharType="separate"/>
        </w:r>
        <w:r>
          <w:t>2</w:t>
        </w:r>
        <w:r>
          <w:rPr>
            <w:noProof/>
          </w:rPr>
          <w:fldChar w:fldCharType="end"/>
        </w:r>
      </w:sdtContent>
    </w:sdt>
    <w:r>
      <w:rPr>
        <w:noProof/>
      </w:rPr>
      <w:tab/>
      <w:t>71130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99611" w14:textId="77777777" w:rsidR="00814748" w:rsidRDefault="00814748">
      <w:r>
        <w:separator/>
      </w:r>
    </w:p>
  </w:footnote>
  <w:footnote w:type="continuationSeparator" w:id="0">
    <w:p w14:paraId="01182E85" w14:textId="77777777" w:rsidR="00814748" w:rsidRDefault="00814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F4809"/>
    <w:multiLevelType w:val="multilevel"/>
    <w:tmpl w:val="77DA6A88"/>
    <w:lvl w:ilvl="0">
      <w:start w:val="2"/>
      <w:numFmt w:val="decimalZero"/>
      <w:lvlText w:val="%1"/>
      <w:lvlJc w:val="left"/>
      <w:pPr>
        <w:ind w:left="140" w:hanging="807"/>
        <w:jc w:val="left"/>
      </w:pPr>
      <w:rPr>
        <w:rFonts w:hint="default"/>
        <w:lang w:val="en-US" w:eastAsia="en-US" w:bidi="en-US"/>
      </w:rPr>
    </w:lvl>
    <w:lvl w:ilvl="1">
      <w:start w:val="1"/>
      <w:numFmt w:val="decimalZero"/>
      <w:lvlText w:val="%1.%2"/>
      <w:lvlJc w:val="left"/>
      <w:pPr>
        <w:ind w:left="140" w:hanging="807"/>
        <w:jc w:val="left"/>
      </w:pPr>
      <w:rPr>
        <w:rFonts w:ascii="Arial" w:eastAsia="Arial" w:hAnsi="Arial" w:cs="Arial" w:hint="default"/>
        <w:spacing w:val="-1"/>
        <w:w w:val="99"/>
        <w:sz w:val="22"/>
        <w:szCs w:val="22"/>
        <w:lang w:val="en-US" w:eastAsia="en-US" w:bidi="en-US"/>
      </w:rPr>
    </w:lvl>
    <w:lvl w:ilvl="2">
      <w:start w:val="1"/>
      <w:numFmt w:val="lowerLetter"/>
      <w:lvlText w:val="%3."/>
      <w:lvlJc w:val="left"/>
      <w:pPr>
        <w:ind w:left="946" w:hanging="533"/>
        <w:jc w:val="left"/>
      </w:pPr>
      <w:rPr>
        <w:rFonts w:ascii="Arial" w:eastAsia="Arial" w:hAnsi="Arial" w:cs="Arial" w:hint="default"/>
        <w:w w:val="99"/>
        <w:sz w:val="22"/>
        <w:szCs w:val="22"/>
        <w:lang w:val="en-US" w:eastAsia="en-US" w:bidi="en-US"/>
      </w:rPr>
    </w:lvl>
    <w:lvl w:ilvl="3">
      <w:numFmt w:val="bullet"/>
      <w:lvlText w:val="•"/>
      <w:lvlJc w:val="left"/>
      <w:pPr>
        <w:ind w:left="2873" w:hanging="533"/>
      </w:pPr>
      <w:rPr>
        <w:rFonts w:hint="default"/>
        <w:lang w:val="en-US" w:eastAsia="en-US" w:bidi="en-US"/>
      </w:rPr>
    </w:lvl>
    <w:lvl w:ilvl="4">
      <w:numFmt w:val="bullet"/>
      <w:lvlText w:val="•"/>
      <w:lvlJc w:val="left"/>
      <w:pPr>
        <w:ind w:left="3840" w:hanging="533"/>
      </w:pPr>
      <w:rPr>
        <w:rFonts w:hint="default"/>
        <w:lang w:val="en-US" w:eastAsia="en-US" w:bidi="en-US"/>
      </w:rPr>
    </w:lvl>
    <w:lvl w:ilvl="5">
      <w:numFmt w:val="bullet"/>
      <w:lvlText w:val="•"/>
      <w:lvlJc w:val="left"/>
      <w:pPr>
        <w:ind w:left="4806" w:hanging="533"/>
      </w:pPr>
      <w:rPr>
        <w:rFonts w:hint="default"/>
        <w:lang w:val="en-US" w:eastAsia="en-US" w:bidi="en-US"/>
      </w:rPr>
    </w:lvl>
    <w:lvl w:ilvl="6">
      <w:numFmt w:val="bullet"/>
      <w:lvlText w:val="•"/>
      <w:lvlJc w:val="left"/>
      <w:pPr>
        <w:ind w:left="5773" w:hanging="533"/>
      </w:pPr>
      <w:rPr>
        <w:rFonts w:hint="default"/>
        <w:lang w:val="en-US" w:eastAsia="en-US" w:bidi="en-US"/>
      </w:rPr>
    </w:lvl>
    <w:lvl w:ilvl="7">
      <w:numFmt w:val="bullet"/>
      <w:lvlText w:val="•"/>
      <w:lvlJc w:val="left"/>
      <w:pPr>
        <w:ind w:left="6740" w:hanging="533"/>
      </w:pPr>
      <w:rPr>
        <w:rFonts w:hint="default"/>
        <w:lang w:val="en-US" w:eastAsia="en-US" w:bidi="en-US"/>
      </w:rPr>
    </w:lvl>
    <w:lvl w:ilvl="8">
      <w:numFmt w:val="bullet"/>
      <w:lvlText w:val="•"/>
      <w:lvlJc w:val="left"/>
      <w:pPr>
        <w:ind w:left="7706" w:hanging="533"/>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4C"/>
    <w:rsid w:val="00024028"/>
    <w:rsid w:val="0009374D"/>
    <w:rsid w:val="002162A3"/>
    <w:rsid w:val="002262B5"/>
    <w:rsid w:val="002930CC"/>
    <w:rsid w:val="002F598B"/>
    <w:rsid w:val="0030034C"/>
    <w:rsid w:val="00323EA0"/>
    <w:rsid w:val="00347626"/>
    <w:rsid w:val="00376F63"/>
    <w:rsid w:val="004621FC"/>
    <w:rsid w:val="004E4014"/>
    <w:rsid w:val="004F62DE"/>
    <w:rsid w:val="00510E47"/>
    <w:rsid w:val="00537214"/>
    <w:rsid w:val="005400DD"/>
    <w:rsid w:val="005C1686"/>
    <w:rsid w:val="005E05E2"/>
    <w:rsid w:val="005F6B37"/>
    <w:rsid w:val="00673F92"/>
    <w:rsid w:val="006B6715"/>
    <w:rsid w:val="006F6180"/>
    <w:rsid w:val="00767368"/>
    <w:rsid w:val="007E4837"/>
    <w:rsid w:val="00814748"/>
    <w:rsid w:val="00892C2A"/>
    <w:rsid w:val="008D6503"/>
    <w:rsid w:val="009561EA"/>
    <w:rsid w:val="00957A26"/>
    <w:rsid w:val="00A0696F"/>
    <w:rsid w:val="00B21BF0"/>
    <w:rsid w:val="00B4240F"/>
    <w:rsid w:val="00BA5D30"/>
    <w:rsid w:val="00BD0EB2"/>
    <w:rsid w:val="00C05B7C"/>
    <w:rsid w:val="00C9138B"/>
    <w:rsid w:val="00CB208B"/>
    <w:rsid w:val="00D3525A"/>
    <w:rsid w:val="00F166F3"/>
    <w:rsid w:val="00F7338B"/>
    <w:rsid w:val="00F87F51"/>
    <w:rsid w:val="00FB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EBAC7"/>
  <w15:docId w15:val="{B380BB3A-21EB-406F-AA1C-6CA246B2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0" w:lineRule="exact"/>
      <w:ind w:left="946" w:hanging="533"/>
    </w:pPr>
  </w:style>
  <w:style w:type="paragraph" w:customStyle="1" w:styleId="TableParagraph">
    <w:name w:val="Table Paragraph"/>
    <w:basedOn w:val="Normal"/>
    <w:uiPriority w:val="1"/>
    <w:qFormat/>
    <w:pPr>
      <w:ind w:left="119"/>
    </w:pPr>
  </w:style>
  <w:style w:type="paragraph" w:styleId="BalloonText">
    <w:name w:val="Balloon Text"/>
    <w:basedOn w:val="Normal"/>
    <w:link w:val="BalloonTextChar"/>
    <w:uiPriority w:val="99"/>
    <w:semiHidden/>
    <w:unhideWhenUsed/>
    <w:rsid w:val="002930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0CC"/>
    <w:rPr>
      <w:rFonts w:ascii="Segoe UI" w:eastAsia="Arial" w:hAnsi="Segoe UI" w:cs="Segoe UI"/>
      <w:sz w:val="18"/>
      <w:szCs w:val="18"/>
      <w:lang w:bidi="en-US"/>
    </w:rPr>
  </w:style>
  <w:style w:type="paragraph" w:styleId="Header">
    <w:name w:val="header"/>
    <w:basedOn w:val="Normal"/>
    <w:link w:val="HeaderChar"/>
    <w:uiPriority w:val="99"/>
    <w:unhideWhenUsed/>
    <w:rsid w:val="00673F92"/>
    <w:pPr>
      <w:tabs>
        <w:tab w:val="center" w:pos="4680"/>
        <w:tab w:val="right" w:pos="9360"/>
      </w:tabs>
    </w:pPr>
  </w:style>
  <w:style w:type="character" w:customStyle="1" w:styleId="HeaderChar">
    <w:name w:val="Header Char"/>
    <w:basedOn w:val="DefaultParagraphFont"/>
    <w:link w:val="Header"/>
    <w:uiPriority w:val="99"/>
    <w:rsid w:val="00673F92"/>
    <w:rPr>
      <w:rFonts w:ascii="Arial" w:eastAsia="Arial" w:hAnsi="Arial" w:cs="Arial"/>
      <w:lang w:bidi="en-US"/>
    </w:rPr>
  </w:style>
  <w:style w:type="paragraph" w:styleId="Footer">
    <w:name w:val="footer"/>
    <w:basedOn w:val="Normal"/>
    <w:link w:val="FooterChar"/>
    <w:uiPriority w:val="99"/>
    <w:unhideWhenUsed/>
    <w:rsid w:val="00673F92"/>
    <w:pPr>
      <w:tabs>
        <w:tab w:val="center" w:pos="4680"/>
        <w:tab w:val="right" w:pos="9360"/>
      </w:tabs>
    </w:pPr>
  </w:style>
  <w:style w:type="character" w:customStyle="1" w:styleId="FooterChar">
    <w:name w:val="Footer Char"/>
    <w:basedOn w:val="DefaultParagraphFont"/>
    <w:link w:val="Footer"/>
    <w:uiPriority w:val="99"/>
    <w:rsid w:val="00673F92"/>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3" ma:contentTypeDescription="Create a new document." ma:contentTypeScope="" ma:versionID="84cb3d8f85b8aa13660dfbd9e0c7eda4">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193254b8bac66cff1e2e62bfc5742e74"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8A446-6718-430D-9B2F-D740266ABD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9A6B0E8-9FCD-4A20-9E35-A739122387B5}">
  <ds:schemaRefs>
    <ds:schemaRef ds:uri="http://schemas.microsoft.com/sharepoint/v3/contenttype/forms"/>
  </ds:schemaRefs>
</ds:datastoreItem>
</file>

<file path=customXml/itemProps3.xml><?xml version="1.0" encoding="utf-8"?>
<ds:datastoreItem xmlns:ds="http://schemas.openxmlformats.org/officeDocument/2006/customXml" ds:itemID="{63144C66-D941-40B1-8503-AC167FE66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IP 71130 Security.</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71130 Security.</dc:title>
  <dc:creator>Wall, Yvonne</dc:creator>
  <cp:lastModifiedBy>Curran, Bridget</cp:lastModifiedBy>
  <cp:revision>2</cp:revision>
  <cp:lastPrinted>2020-07-22T17:15:00Z</cp:lastPrinted>
  <dcterms:created xsi:type="dcterms:W3CDTF">2020-07-22T17:18:00Z</dcterms:created>
  <dcterms:modified xsi:type="dcterms:W3CDTF">2020-07-22T17:18:00Z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LastSaved">
    <vt:filetime>2020-07-14T00:00:00Z</vt:filetime>
  </property>
  <property fmtid="{D5CDD505-2E9C-101B-9397-08002B2CF9AE}" pid="4" name="ContentTypeId">
    <vt:lpwstr>0x0101005ED311BD9C53A64BA35A594801500659</vt:lpwstr>
  </property>
</Properties>
</file>