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FF596" w14:textId="35723EB1" w:rsidR="00D441B4" w:rsidRPr="00D441B4" w:rsidRDefault="005338CD" w:rsidP="005338CD">
      <w:pPr>
        <w:tabs>
          <w:tab w:val="clear" w:pos="806"/>
          <w:tab w:val="clear" w:pos="1440"/>
          <w:tab w:val="clear" w:pos="2074"/>
          <w:tab w:val="clear" w:pos="2707"/>
          <w:tab w:val="clear" w:pos="3240"/>
          <w:tab w:val="clear" w:pos="3874"/>
          <w:tab w:val="clear" w:pos="4507"/>
          <w:tab w:val="center" w:pos="4680"/>
          <w:tab w:val="right" w:pos="9360"/>
        </w:tabs>
        <w:jc w:val="left"/>
        <w:rPr>
          <w:bCs/>
        </w:rPr>
      </w:pPr>
      <w:bookmarkStart w:id="0" w:name="_GoBack"/>
      <w:bookmarkEnd w:id="0"/>
      <w:r>
        <w:tab/>
      </w:r>
      <w:r>
        <w:tab/>
      </w:r>
      <w:r>
        <w:tab/>
      </w:r>
      <w:r w:rsidR="00D441B4" w:rsidRPr="00D441B4">
        <w:rPr>
          <w:b/>
          <w:bCs/>
          <w:sz w:val="38"/>
          <w:szCs w:val="38"/>
        </w:rPr>
        <w:t>NRC INSPECTION MANUAL</w:t>
      </w:r>
      <w:r w:rsidR="00D441B4" w:rsidRPr="00D441B4">
        <w:rPr>
          <w:b/>
          <w:bCs/>
          <w:sz w:val="38"/>
          <w:szCs w:val="38"/>
        </w:rPr>
        <w:tab/>
      </w:r>
      <w:r w:rsidR="00D441B4">
        <w:rPr>
          <w:b/>
          <w:bCs/>
          <w:sz w:val="38"/>
          <w:szCs w:val="38"/>
        </w:rPr>
        <w:tab/>
      </w:r>
      <w:r w:rsidR="00D441B4">
        <w:rPr>
          <w:b/>
          <w:bCs/>
          <w:sz w:val="38"/>
          <w:szCs w:val="38"/>
        </w:rPr>
        <w:tab/>
      </w:r>
      <w:r w:rsidR="00D441B4" w:rsidRPr="00D441B4">
        <w:rPr>
          <w:bCs/>
          <w:sz w:val="20"/>
          <w:szCs w:val="20"/>
        </w:rPr>
        <w:t>ARCB</w:t>
      </w:r>
    </w:p>
    <w:p w14:paraId="735D5A46" w14:textId="77777777" w:rsidR="00D441B4" w:rsidRPr="00D441B4" w:rsidRDefault="00D441B4" w:rsidP="00D441B4">
      <w:pPr>
        <w:ind w:left="0" w:firstLine="0"/>
        <w:jc w:val="center"/>
        <w:rPr>
          <w:bCs/>
        </w:rPr>
      </w:pPr>
    </w:p>
    <w:p w14:paraId="5F5D2703" w14:textId="77777777" w:rsidR="00D441B4" w:rsidRPr="00D441B4" w:rsidRDefault="00D441B4" w:rsidP="00D441B4">
      <w:pPr>
        <w:pBdr>
          <w:top w:val="single" w:sz="6" w:space="1" w:color="auto"/>
          <w:bottom w:val="single" w:sz="6" w:space="1" w:color="auto"/>
        </w:pBdr>
        <w:ind w:left="0" w:firstLine="0"/>
        <w:jc w:val="center"/>
      </w:pPr>
      <w:r w:rsidRPr="00D441B4">
        <w:rPr>
          <w:bCs/>
        </w:rPr>
        <w:t>INSPECTION PROCEDURE 71124 ATTACHMENT 07</w:t>
      </w:r>
    </w:p>
    <w:p w14:paraId="13AE9A66" w14:textId="77777777" w:rsidR="00D441B4" w:rsidRPr="00D441B4" w:rsidRDefault="00D441B4" w:rsidP="00D441B4">
      <w:pPr>
        <w:ind w:left="0" w:firstLine="0"/>
        <w:jc w:val="center"/>
      </w:pPr>
    </w:p>
    <w:p w14:paraId="2C65FBA5" w14:textId="77777777" w:rsidR="00D441B4" w:rsidRPr="00D441B4" w:rsidRDefault="00D441B4" w:rsidP="00D441B4">
      <w:pPr>
        <w:ind w:left="0" w:firstLine="0"/>
        <w:jc w:val="center"/>
      </w:pPr>
    </w:p>
    <w:p w14:paraId="5F73B272" w14:textId="77777777" w:rsidR="00D441B4" w:rsidRPr="00D441B4" w:rsidRDefault="00D441B4" w:rsidP="00D441B4">
      <w:pPr>
        <w:ind w:left="2700" w:hanging="2700"/>
        <w:jc w:val="center"/>
      </w:pPr>
      <w:r w:rsidRPr="00D441B4">
        <w:t>RADIOLOGICAL ENVIRONMENTAL MONITORING PROGRAM</w:t>
      </w:r>
    </w:p>
    <w:p w14:paraId="7491A085" w14:textId="77777777" w:rsidR="003B204C" w:rsidRPr="00182066" w:rsidRDefault="003B204C" w:rsidP="00D441B4"/>
    <w:p w14:paraId="11C7F7BE" w14:textId="307D9CBD" w:rsidR="003B204C" w:rsidRDefault="005338CD" w:rsidP="005338CD">
      <w:pPr>
        <w:jc w:val="center"/>
      </w:pPr>
      <w:r w:rsidRPr="005338CD">
        <w:t xml:space="preserve">Effective Date:  </w:t>
      </w:r>
      <w:r w:rsidR="00475B2D">
        <w:t>March 30</w:t>
      </w:r>
      <w:r w:rsidRPr="005338CD">
        <w:t>, 20</w:t>
      </w:r>
      <w:r w:rsidR="00575136">
        <w:t>20</w:t>
      </w:r>
    </w:p>
    <w:p w14:paraId="32399DB3" w14:textId="77777777" w:rsidR="00AF6FAD" w:rsidRDefault="00AF6FAD" w:rsidP="00AF6FAD">
      <w:pPr>
        <w:tabs>
          <w:tab w:val="center" w:pos="4680"/>
          <w:tab w:val="right" w:pos="9360"/>
        </w:tabs>
      </w:pPr>
    </w:p>
    <w:p w14:paraId="6763B484" w14:textId="5E3E4B68" w:rsidR="00AF6FAD" w:rsidRDefault="00AF6FAD" w:rsidP="00AF6FAD">
      <w:pPr>
        <w:ind w:left="2707" w:hanging="2707"/>
      </w:pPr>
      <w:r>
        <w:t>PROGRAM APPLICABILITY:</w:t>
      </w:r>
      <w:r>
        <w:tab/>
        <w:t>IMC 2515 App A</w:t>
      </w:r>
    </w:p>
    <w:p w14:paraId="320E848B" w14:textId="1F6B8DBA" w:rsidR="005338CD" w:rsidRDefault="00AF6FAD" w:rsidP="007234B4">
      <w:pPr>
        <w:ind w:left="2707" w:hanging="2707"/>
      </w:pPr>
      <w:r>
        <w:tab/>
      </w:r>
      <w:r>
        <w:tab/>
      </w:r>
      <w:r>
        <w:tab/>
      </w:r>
      <w:r>
        <w:tab/>
      </w:r>
      <w:r>
        <w:tab/>
      </w:r>
      <w:r>
        <w:tab/>
      </w:r>
    </w:p>
    <w:p w14:paraId="4E76C3AB" w14:textId="04AD4DA6" w:rsidR="00AF6FAD" w:rsidRDefault="00AF6FAD" w:rsidP="007234B4">
      <w:pPr>
        <w:ind w:left="2635" w:hanging="2635"/>
      </w:pPr>
      <w:r>
        <w:t>CORNERSTONE:</w:t>
      </w:r>
      <w:r>
        <w:tab/>
      </w:r>
      <w:r w:rsidR="007234B4">
        <w:tab/>
      </w:r>
      <w:r w:rsidR="007234B4">
        <w:tab/>
      </w:r>
      <w:r w:rsidR="007234B4">
        <w:tab/>
      </w:r>
      <w:r>
        <w:t>Public Radiation Safety</w:t>
      </w:r>
      <w:r>
        <w:tab/>
      </w:r>
      <w:r>
        <w:tab/>
      </w:r>
    </w:p>
    <w:p w14:paraId="6F690DDE" w14:textId="3D3D55AF" w:rsidR="00AF6FAD" w:rsidRDefault="00AF6FAD" w:rsidP="003B204C"/>
    <w:p w14:paraId="53D1955C" w14:textId="351CE728" w:rsidR="00AF6FAD" w:rsidRDefault="00AF6FAD" w:rsidP="00AF6FAD">
      <w:pPr>
        <w:ind w:left="2700" w:hanging="2700"/>
      </w:pPr>
      <w:r>
        <w:t>INSPECTION BASES:</w:t>
      </w:r>
      <w:r>
        <w:tab/>
      </w:r>
      <w:r w:rsidR="007234B4">
        <w:tab/>
      </w:r>
      <w:r w:rsidR="007234B4">
        <w:tab/>
      </w:r>
      <w:r>
        <w:t>See IMC 0308</w:t>
      </w:r>
      <w:r w:rsidR="007234B4">
        <w:t xml:space="preserve"> </w:t>
      </w:r>
      <w:r>
        <w:t>Attachment 2</w:t>
      </w:r>
    </w:p>
    <w:p w14:paraId="6ED555D0" w14:textId="72E51438" w:rsidR="003B204C" w:rsidRPr="003B204C" w:rsidRDefault="003B204C" w:rsidP="007234B4">
      <w:pPr>
        <w:ind w:left="0" w:firstLine="0"/>
      </w:pPr>
    </w:p>
    <w:p w14:paraId="2DF315E0" w14:textId="77777777" w:rsidR="00AF6FAD" w:rsidRDefault="00AF6FAD" w:rsidP="00AF6FAD">
      <w:pPr>
        <w:ind w:left="2700" w:hanging="2700"/>
      </w:pPr>
      <w:r>
        <w:t>SAMPLE REQUIREMENTS:</w:t>
      </w:r>
      <w:r>
        <w:tab/>
      </w:r>
      <w:r>
        <w:tab/>
      </w:r>
    </w:p>
    <w:p w14:paraId="619AEC71" w14:textId="77777777" w:rsidR="00AF6FAD" w:rsidRDefault="00AF6FAD" w:rsidP="00AF6FAD"/>
    <w:tbl>
      <w:tblPr>
        <w:tblW w:w="90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7"/>
        <w:gridCol w:w="1171"/>
        <w:gridCol w:w="1350"/>
        <w:gridCol w:w="1531"/>
        <w:gridCol w:w="1260"/>
        <w:gridCol w:w="1621"/>
      </w:tblGrid>
      <w:tr w:rsidR="00AF6FAD" w14:paraId="01CEB426" w14:textId="77777777" w:rsidTr="00CD5CA7">
        <w:tc>
          <w:tcPr>
            <w:tcW w:w="3298" w:type="dxa"/>
            <w:gridSpan w:val="2"/>
            <w:tcBorders>
              <w:top w:val="single" w:sz="12" w:space="0" w:color="auto"/>
              <w:left w:val="single" w:sz="12" w:space="0" w:color="auto"/>
              <w:bottom w:val="single" w:sz="4" w:space="0" w:color="auto"/>
              <w:right w:val="single" w:sz="4" w:space="0" w:color="auto"/>
            </w:tcBorders>
            <w:tcMar>
              <w:top w:w="58" w:type="dxa"/>
              <w:left w:w="58" w:type="dxa"/>
              <w:bottom w:w="58" w:type="dxa"/>
              <w:right w:w="58" w:type="dxa"/>
            </w:tcMar>
            <w:hideMark/>
          </w:tcPr>
          <w:p w14:paraId="0F6DA27D" w14:textId="77777777" w:rsidR="00AF6FAD" w:rsidRDefault="00AF6FAD">
            <w:pPr>
              <w:tabs>
                <w:tab w:val="left" w:pos="244"/>
                <w:tab w:val="left" w:pos="835"/>
                <w:tab w:val="left" w:pos="2044"/>
                <w:tab w:val="left" w:pos="2635"/>
              </w:tabs>
              <w:spacing w:line="240" w:lineRule="exact"/>
            </w:pPr>
            <w:r>
              <w:t>Sample Requirements</w:t>
            </w:r>
          </w:p>
        </w:tc>
        <w:tc>
          <w:tcPr>
            <w:tcW w:w="2881" w:type="dxa"/>
            <w:gridSpan w:val="2"/>
            <w:tcBorders>
              <w:top w:val="single" w:sz="12"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7BFF5D6A" w14:textId="57D19B8E" w:rsidR="00AF6FAD" w:rsidRDefault="0046489D" w:rsidP="007B0590">
            <w:pPr>
              <w:tabs>
                <w:tab w:val="clear" w:pos="806"/>
                <w:tab w:val="clear" w:pos="1440"/>
                <w:tab w:val="clear" w:pos="2074"/>
                <w:tab w:val="left" w:pos="0"/>
                <w:tab w:val="left" w:pos="36"/>
                <w:tab w:val="left" w:pos="244"/>
                <w:tab w:val="left" w:pos="1386"/>
                <w:tab w:val="left" w:pos="2635"/>
              </w:tabs>
              <w:spacing w:line="240" w:lineRule="exact"/>
              <w:ind w:left="36" w:firstLine="0"/>
              <w:jc w:val="left"/>
            </w:pPr>
            <w:r>
              <w:t xml:space="preserve">Minimum Baseline Sample Completion </w:t>
            </w:r>
            <w:r w:rsidR="00AF6FAD">
              <w:t>Requirements</w:t>
            </w:r>
          </w:p>
        </w:tc>
        <w:tc>
          <w:tcPr>
            <w:tcW w:w="2881" w:type="dxa"/>
            <w:gridSpan w:val="2"/>
            <w:tcBorders>
              <w:top w:val="single" w:sz="12" w:space="0" w:color="auto"/>
              <w:left w:val="single" w:sz="4" w:space="0" w:color="auto"/>
              <w:bottom w:val="single" w:sz="4" w:space="0" w:color="auto"/>
              <w:right w:val="single" w:sz="12" w:space="0" w:color="auto"/>
            </w:tcBorders>
            <w:tcMar>
              <w:top w:w="0" w:type="dxa"/>
              <w:left w:w="58" w:type="dxa"/>
              <w:bottom w:w="0" w:type="dxa"/>
              <w:right w:w="0" w:type="dxa"/>
            </w:tcMar>
            <w:hideMark/>
          </w:tcPr>
          <w:p w14:paraId="0EAF9AB4" w14:textId="77777777" w:rsidR="00AF6FAD" w:rsidRDefault="00AF6FAD">
            <w:pPr>
              <w:tabs>
                <w:tab w:val="left" w:pos="244"/>
                <w:tab w:val="left" w:pos="835"/>
                <w:tab w:val="left" w:pos="2044"/>
                <w:tab w:val="left" w:pos="2635"/>
              </w:tabs>
              <w:spacing w:line="240" w:lineRule="exact"/>
            </w:pPr>
            <w:r>
              <w:t>Budgeted Range</w:t>
            </w:r>
          </w:p>
        </w:tc>
      </w:tr>
      <w:tr w:rsidR="00AF6FAD" w14:paraId="5E3F1C29" w14:textId="77777777" w:rsidTr="00AE5132">
        <w:trPr>
          <w:trHeight w:val="256"/>
        </w:trPr>
        <w:tc>
          <w:tcPr>
            <w:tcW w:w="2127" w:type="dxa"/>
            <w:tcBorders>
              <w:top w:val="single" w:sz="4" w:space="0" w:color="auto"/>
              <w:left w:val="single" w:sz="12" w:space="0" w:color="auto"/>
              <w:bottom w:val="double" w:sz="4" w:space="0" w:color="auto"/>
              <w:right w:val="single" w:sz="4" w:space="0" w:color="auto"/>
            </w:tcBorders>
            <w:tcMar>
              <w:top w:w="58" w:type="dxa"/>
              <w:left w:w="58" w:type="dxa"/>
              <w:bottom w:w="58" w:type="dxa"/>
              <w:right w:w="58" w:type="dxa"/>
            </w:tcMar>
            <w:hideMark/>
          </w:tcPr>
          <w:p w14:paraId="71E1D797" w14:textId="77777777" w:rsidR="00AF6FAD" w:rsidRDefault="00AF6FAD">
            <w:pPr>
              <w:tabs>
                <w:tab w:val="left" w:pos="244"/>
                <w:tab w:val="left" w:pos="835"/>
                <w:tab w:val="left" w:pos="2044"/>
                <w:tab w:val="left" w:pos="2635"/>
              </w:tabs>
              <w:spacing w:line="240" w:lineRule="exact"/>
            </w:pPr>
            <w:r>
              <w:t>Sample Type</w:t>
            </w:r>
          </w:p>
        </w:tc>
        <w:tc>
          <w:tcPr>
            <w:tcW w:w="1171"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0018A822" w14:textId="77777777" w:rsidR="00AF6FAD" w:rsidRDefault="00AF6FAD">
            <w:pPr>
              <w:tabs>
                <w:tab w:val="left" w:pos="244"/>
                <w:tab w:val="left" w:pos="835"/>
                <w:tab w:val="left" w:pos="2044"/>
                <w:tab w:val="left" w:pos="2635"/>
              </w:tabs>
              <w:spacing w:line="240" w:lineRule="exact"/>
            </w:pPr>
            <w:r>
              <w:t>Section(s)</w:t>
            </w:r>
          </w:p>
        </w:tc>
        <w:tc>
          <w:tcPr>
            <w:tcW w:w="135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4CF6D686" w14:textId="77777777" w:rsidR="00AF6FAD" w:rsidRPr="00083554" w:rsidRDefault="00AF6FAD">
            <w:pPr>
              <w:tabs>
                <w:tab w:val="left" w:pos="244"/>
                <w:tab w:val="left" w:pos="835"/>
                <w:tab w:val="left" w:pos="2044"/>
                <w:tab w:val="left" w:pos="2635"/>
              </w:tabs>
              <w:spacing w:line="240" w:lineRule="exact"/>
            </w:pPr>
            <w:r w:rsidRPr="00083554">
              <w:t>Frequency</w:t>
            </w:r>
          </w:p>
        </w:tc>
        <w:tc>
          <w:tcPr>
            <w:tcW w:w="1531"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3490B909" w14:textId="77777777" w:rsidR="00AF6FAD" w:rsidRDefault="00AF6FAD">
            <w:pPr>
              <w:tabs>
                <w:tab w:val="left" w:pos="244"/>
                <w:tab w:val="left" w:pos="835"/>
                <w:tab w:val="left" w:pos="2044"/>
                <w:tab w:val="left" w:pos="2635"/>
              </w:tabs>
              <w:spacing w:line="240" w:lineRule="exact"/>
            </w:pPr>
            <w:r>
              <w:t>Sample Size</w:t>
            </w:r>
          </w:p>
        </w:tc>
        <w:tc>
          <w:tcPr>
            <w:tcW w:w="1260" w:type="dxa"/>
            <w:tcBorders>
              <w:top w:val="single" w:sz="4" w:space="0" w:color="auto"/>
              <w:left w:val="single" w:sz="4" w:space="0" w:color="auto"/>
              <w:bottom w:val="double" w:sz="4" w:space="0" w:color="auto"/>
              <w:right w:val="single" w:sz="4" w:space="0" w:color="auto"/>
            </w:tcBorders>
            <w:tcMar>
              <w:top w:w="0" w:type="dxa"/>
              <w:left w:w="58" w:type="dxa"/>
              <w:bottom w:w="0" w:type="dxa"/>
              <w:right w:w="0" w:type="dxa"/>
            </w:tcMar>
            <w:hideMark/>
          </w:tcPr>
          <w:p w14:paraId="2F175407" w14:textId="77777777" w:rsidR="00AF6FAD" w:rsidRDefault="00AF6FAD">
            <w:pPr>
              <w:tabs>
                <w:tab w:val="left" w:pos="244"/>
                <w:tab w:val="left" w:pos="835"/>
                <w:tab w:val="left" w:pos="2044"/>
                <w:tab w:val="left" w:pos="2635"/>
              </w:tabs>
              <w:spacing w:line="240" w:lineRule="exact"/>
            </w:pPr>
            <w:r>
              <w:t>Samples</w:t>
            </w:r>
          </w:p>
        </w:tc>
        <w:tc>
          <w:tcPr>
            <w:tcW w:w="1621" w:type="dxa"/>
            <w:tcBorders>
              <w:top w:val="single" w:sz="4" w:space="0" w:color="auto"/>
              <w:left w:val="single" w:sz="4" w:space="0" w:color="auto"/>
              <w:bottom w:val="double" w:sz="4" w:space="0" w:color="auto"/>
              <w:right w:val="single" w:sz="12" w:space="0" w:color="auto"/>
            </w:tcBorders>
            <w:tcMar>
              <w:top w:w="0" w:type="dxa"/>
              <w:left w:w="58" w:type="dxa"/>
              <w:bottom w:w="0" w:type="dxa"/>
              <w:right w:w="0" w:type="dxa"/>
            </w:tcMar>
            <w:hideMark/>
          </w:tcPr>
          <w:p w14:paraId="2CFF6E81" w14:textId="78DD7A6A" w:rsidR="00AF6FAD" w:rsidRDefault="00AF6FAD">
            <w:pPr>
              <w:tabs>
                <w:tab w:val="left" w:pos="244"/>
                <w:tab w:val="left" w:pos="835"/>
                <w:tab w:val="left" w:pos="2044"/>
                <w:tab w:val="left" w:pos="2635"/>
              </w:tabs>
              <w:spacing w:line="240" w:lineRule="exact"/>
            </w:pPr>
            <w:r>
              <w:t xml:space="preserve">Hours </w:t>
            </w:r>
          </w:p>
        </w:tc>
      </w:tr>
      <w:tr w:rsidR="00AF6FAD" w14:paraId="0188BB1D" w14:textId="77777777" w:rsidTr="00AE5132">
        <w:trPr>
          <w:trHeight w:val="29"/>
        </w:trPr>
        <w:tc>
          <w:tcPr>
            <w:tcW w:w="2127" w:type="dxa"/>
            <w:tcBorders>
              <w:top w:val="double" w:sz="4" w:space="0" w:color="auto"/>
              <w:left w:val="single" w:sz="12" w:space="0" w:color="auto"/>
              <w:bottom w:val="single" w:sz="4" w:space="0" w:color="auto"/>
              <w:right w:val="single" w:sz="4" w:space="0" w:color="auto"/>
            </w:tcBorders>
            <w:tcMar>
              <w:top w:w="58" w:type="dxa"/>
              <w:left w:w="58" w:type="dxa"/>
              <w:bottom w:w="58" w:type="dxa"/>
              <w:right w:w="58" w:type="dxa"/>
            </w:tcMar>
            <w:hideMark/>
          </w:tcPr>
          <w:p w14:paraId="36282DCE" w14:textId="7F1734B8" w:rsidR="00AF6FAD" w:rsidRDefault="006F6B6B" w:rsidP="00E65D15">
            <w:pPr>
              <w:tabs>
                <w:tab w:val="clear" w:pos="806"/>
                <w:tab w:val="left" w:pos="244"/>
                <w:tab w:val="left" w:pos="2044"/>
                <w:tab w:val="left" w:pos="2635"/>
              </w:tabs>
              <w:spacing w:line="240" w:lineRule="exact"/>
              <w:ind w:left="0" w:firstLine="0"/>
              <w:jc w:val="left"/>
            </w:pPr>
            <w:r>
              <w:t>Environmental Monitoring</w:t>
            </w:r>
            <w:r w:rsidR="00AE5132">
              <w:t xml:space="preserve"> Equipment</w:t>
            </w:r>
            <w:r w:rsidR="009F571A">
              <w:t xml:space="preserve"> and Sampling</w:t>
            </w:r>
          </w:p>
        </w:tc>
        <w:tc>
          <w:tcPr>
            <w:tcW w:w="1171" w:type="dxa"/>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3E721AAB" w14:textId="77777777" w:rsidR="00AF6FAD" w:rsidRDefault="00AF6FAD">
            <w:pPr>
              <w:tabs>
                <w:tab w:val="left" w:pos="244"/>
                <w:tab w:val="left" w:pos="835"/>
                <w:tab w:val="left" w:pos="2044"/>
                <w:tab w:val="left" w:pos="2635"/>
              </w:tabs>
              <w:spacing w:line="240" w:lineRule="exact"/>
            </w:pPr>
            <w:r>
              <w:t>03.01</w:t>
            </w:r>
          </w:p>
        </w:tc>
        <w:tc>
          <w:tcPr>
            <w:tcW w:w="1350" w:type="dxa"/>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3A75DC00" w14:textId="36A24F24" w:rsidR="00AF6FAD" w:rsidRPr="00083554" w:rsidRDefault="00C42DD5">
            <w:r w:rsidRPr="00083554">
              <w:t>Tr</w:t>
            </w:r>
            <w:r w:rsidR="00AF6FAD" w:rsidRPr="00083554">
              <w:t>iennial</w:t>
            </w:r>
          </w:p>
        </w:tc>
        <w:tc>
          <w:tcPr>
            <w:tcW w:w="1531" w:type="dxa"/>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5685C996" w14:textId="50D8D544" w:rsidR="00AF6FAD" w:rsidRPr="00142462" w:rsidRDefault="00610BA6">
            <w:r w:rsidRPr="00E65D15">
              <w:t>1</w:t>
            </w:r>
            <w:r w:rsidR="00AF6FAD" w:rsidRPr="00142462">
              <w:t xml:space="preserve"> per site</w:t>
            </w:r>
          </w:p>
        </w:tc>
        <w:tc>
          <w:tcPr>
            <w:tcW w:w="1260" w:type="dxa"/>
            <w:tcBorders>
              <w:top w:val="double" w:sz="4" w:space="0" w:color="auto"/>
              <w:left w:val="single" w:sz="4" w:space="0" w:color="auto"/>
              <w:bottom w:val="single" w:sz="4" w:space="0" w:color="auto"/>
              <w:right w:val="single" w:sz="4" w:space="0" w:color="auto"/>
            </w:tcBorders>
            <w:tcMar>
              <w:top w:w="0" w:type="dxa"/>
              <w:left w:w="58" w:type="dxa"/>
              <w:bottom w:w="0" w:type="dxa"/>
              <w:right w:w="0" w:type="dxa"/>
            </w:tcMar>
            <w:hideMark/>
          </w:tcPr>
          <w:p w14:paraId="6593544F" w14:textId="0C7668C5" w:rsidR="00AF6FAD" w:rsidRPr="00142462" w:rsidRDefault="00610BA6">
            <w:r w:rsidRPr="00E65D15">
              <w:t>1</w:t>
            </w:r>
            <w:r w:rsidR="00AF6FAD" w:rsidRPr="00142462">
              <w:t xml:space="preserve"> per site</w:t>
            </w:r>
          </w:p>
        </w:tc>
        <w:tc>
          <w:tcPr>
            <w:tcW w:w="1621" w:type="dxa"/>
            <w:vMerge w:val="restart"/>
            <w:tcBorders>
              <w:top w:val="double" w:sz="4" w:space="0" w:color="auto"/>
              <w:left w:val="single" w:sz="4" w:space="0" w:color="auto"/>
              <w:bottom w:val="single" w:sz="12" w:space="0" w:color="auto"/>
              <w:right w:val="single" w:sz="12" w:space="0" w:color="auto"/>
            </w:tcBorders>
            <w:tcMar>
              <w:top w:w="0" w:type="dxa"/>
              <w:left w:w="58" w:type="dxa"/>
              <w:bottom w:w="0" w:type="dxa"/>
              <w:right w:w="0" w:type="dxa"/>
            </w:tcMar>
          </w:tcPr>
          <w:p w14:paraId="1C58462C" w14:textId="46279DCC" w:rsidR="00AF6FAD" w:rsidRPr="00083554" w:rsidRDefault="00AF6FAD" w:rsidP="00083554">
            <w:pPr>
              <w:ind w:left="0" w:firstLine="0"/>
            </w:pPr>
            <w:r w:rsidRPr="00083554">
              <w:t>29 +/- 4</w:t>
            </w:r>
            <w:r w:rsidR="00083554" w:rsidRPr="00083554">
              <w:t xml:space="preserve"> per site</w:t>
            </w:r>
          </w:p>
        </w:tc>
      </w:tr>
      <w:tr w:rsidR="00AE5132" w14:paraId="4D0544FF" w14:textId="77777777" w:rsidTr="006F6B6B">
        <w:trPr>
          <w:trHeight w:val="812"/>
        </w:trPr>
        <w:tc>
          <w:tcPr>
            <w:tcW w:w="2127" w:type="dxa"/>
            <w:tcBorders>
              <w:top w:val="double" w:sz="4" w:space="0" w:color="auto"/>
              <w:left w:val="single" w:sz="12" w:space="0" w:color="auto"/>
              <w:bottom w:val="single" w:sz="4" w:space="0" w:color="auto"/>
              <w:right w:val="single" w:sz="4" w:space="0" w:color="auto"/>
            </w:tcBorders>
            <w:tcMar>
              <w:top w:w="58" w:type="dxa"/>
              <w:left w:w="58" w:type="dxa"/>
              <w:bottom w:w="58" w:type="dxa"/>
              <w:right w:w="58" w:type="dxa"/>
            </w:tcMar>
          </w:tcPr>
          <w:p w14:paraId="5A00F409" w14:textId="2901E3A5" w:rsidR="00AE5132" w:rsidRDefault="00AE5132" w:rsidP="00E65D15">
            <w:pPr>
              <w:tabs>
                <w:tab w:val="clear" w:pos="806"/>
                <w:tab w:val="left" w:pos="244"/>
                <w:tab w:val="left" w:pos="354"/>
                <w:tab w:val="left" w:pos="2044"/>
                <w:tab w:val="left" w:pos="2635"/>
              </w:tabs>
              <w:spacing w:line="240" w:lineRule="exact"/>
              <w:ind w:left="0" w:firstLine="0"/>
              <w:jc w:val="left"/>
            </w:pPr>
            <w:r>
              <w:t xml:space="preserve">Radiological Environmental Monitoring Program </w:t>
            </w:r>
          </w:p>
        </w:tc>
        <w:tc>
          <w:tcPr>
            <w:tcW w:w="1171" w:type="dxa"/>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tcPr>
          <w:p w14:paraId="719EEC03" w14:textId="25B92A90" w:rsidR="00AE5132" w:rsidRDefault="00007201">
            <w:pPr>
              <w:tabs>
                <w:tab w:val="left" w:pos="244"/>
                <w:tab w:val="left" w:pos="835"/>
                <w:tab w:val="left" w:pos="2044"/>
                <w:tab w:val="left" w:pos="2635"/>
              </w:tabs>
              <w:spacing w:line="240" w:lineRule="exact"/>
            </w:pPr>
            <w:r>
              <w:t>03.02</w:t>
            </w:r>
          </w:p>
        </w:tc>
        <w:tc>
          <w:tcPr>
            <w:tcW w:w="1350" w:type="dxa"/>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tcPr>
          <w:p w14:paraId="78D131C3" w14:textId="0BFF1920" w:rsidR="00AE5132" w:rsidRPr="00083554" w:rsidRDefault="00C42DD5">
            <w:r w:rsidRPr="00083554">
              <w:t>Tr</w:t>
            </w:r>
            <w:r w:rsidR="00007201" w:rsidRPr="00083554">
              <w:t>iennial</w:t>
            </w:r>
          </w:p>
        </w:tc>
        <w:tc>
          <w:tcPr>
            <w:tcW w:w="1531" w:type="dxa"/>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tcPr>
          <w:p w14:paraId="0C6EFDA7" w14:textId="71A39400" w:rsidR="00AE5132" w:rsidRPr="00142462" w:rsidRDefault="00657286">
            <w:r w:rsidRPr="00E65D15">
              <w:t>1</w:t>
            </w:r>
            <w:r w:rsidR="00007201" w:rsidRPr="00142462">
              <w:t xml:space="preserve"> per site</w:t>
            </w:r>
          </w:p>
        </w:tc>
        <w:tc>
          <w:tcPr>
            <w:tcW w:w="1260" w:type="dxa"/>
            <w:tcBorders>
              <w:top w:val="double" w:sz="4" w:space="0" w:color="auto"/>
              <w:left w:val="single" w:sz="4" w:space="0" w:color="auto"/>
              <w:bottom w:val="single" w:sz="4" w:space="0" w:color="auto"/>
              <w:right w:val="single" w:sz="4" w:space="0" w:color="auto"/>
            </w:tcBorders>
            <w:tcMar>
              <w:top w:w="0" w:type="dxa"/>
              <w:left w:w="58" w:type="dxa"/>
              <w:bottom w:w="0" w:type="dxa"/>
              <w:right w:w="0" w:type="dxa"/>
            </w:tcMar>
          </w:tcPr>
          <w:p w14:paraId="1905B43B" w14:textId="2B71C747" w:rsidR="00AE5132" w:rsidRPr="00142462" w:rsidRDefault="00657286">
            <w:r w:rsidRPr="00E65D15">
              <w:t>1</w:t>
            </w:r>
            <w:r w:rsidR="00007201" w:rsidRPr="00142462">
              <w:t xml:space="preserve"> per site</w:t>
            </w:r>
          </w:p>
        </w:tc>
        <w:tc>
          <w:tcPr>
            <w:tcW w:w="1621" w:type="dxa"/>
            <w:vMerge/>
            <w:tcBorders>
              <w:top w:val="double" w:sz="4" w:space="0" w:color="auto"/>
              <w:left w:val="single" w:sz="4" w:space="0" w:color="auto"/>
              <w:bottom w:val="single" w:sz="12" w:space="0" w:color="auto"/>
              <w:right w:val="single" w:sz="12" w:space="0" w:color="auto"/>
            </w:tcBorders>
            <w:tcMar>
              <w:top w:w="0" w:type="dxa"/>
              <w:left w:w="58" w:type="dxa"/>
              <w:bottom w:w="0" w:type="dxa"/>
              <w:right w:w="0" w:type="dxa"/>
            </w:tcMar>
          </w:tcPr>
          <w:p w14:paraId="0ADFF6A1" w14:textId="77777777" w:rsidR="00AE5132" w:rsidRPr="0046489D" w:rsidRDefault="00AE5132"/>
        </w:tc>
      </w:tr>
      <w:tr w:rsidR="00AF6FAD" w14:paraId="4320F075" w14:textId="77777777" w:rsidTr="00E65D15">
        <w:trPr>
          <w:trHeight w:val="292"/>
        </w:trPr>
        <w:tc>
          <w:tcPr>
            <w:tcW w:w="2127" w:type="dxa"/>
            <w:tcBorders>
              <w:top w:val="single" w:sz="4" w:space="0" w:color="auto"/>
              <w:left w:val="single" w:sz="12" w:space="0" w:color="auto"/>
              <w:bottom w:val="single" w:sz="12" w:space="0" w:color="auto"/>
              <w:right w:val="single" w:sz="4" w:space="0" w:color="auto"/>
            </w:tcBorders>
            <w:tcMar>
              <w:top w:w="58" w:type="dxa"/>
              <w:left w:w="58" w:type="dxa"/>
              <w:bottom w:w="58" w:type="dxa"/>
              <w:right w:w="58" w:type="dxa"/>
            </w:tcMar>
            <w:hideMark/>
          </w:tcPr>
          <w:p w14:paraId="757EF2B1" w14:textId="5AE6C8E7" w:rsidR="00AF6FAD" w:rsidRDefault="00AE5132" w:rsidP="00E65D15">
            <w:pPr>
              <w:tabs>
                <w:tab w:val="left" w:pos="244"/>
                <w:tab w:val="left" w:pos="835"/>
                <w:tab w:val="left" w:pos="2044"/>
                <w:tab w:val="left" w:pos="2635"/>
              </w:tabs>
              <w:spacing w:line="240" w:lineRule="exact"/>
              <w:jc w:val="left"/>
            </w:pPr>
            <w:r>
              <w:t xml:space="preserve">GPI </w:t>
            </w:r>
            <w:r w:rsidR="0046489D">
              <w:t>Implementation</w:t>
            </w:r>
          </w:p>
        </w:tc>
        <w:tc>
          <w:tcPr>
            <w:tcW w:w="1171" w:type="dxa"/>
            <w:tcBorders>
              <w:top w:val="single" w:sz="4" w:space="0" w:color="auto"/>
              <w:left w:val="single" w:sz="4" w:space="0" w:color="auto"/>
              <w:bottom w:val="single" w:sz="12" w:space="0" w:color="auto"/>
              <w:right w:val="single" w:sz="4" w:space="0" w:color="auto"/>
            </w:tcBorders>
            <w:tcMar>
              <w:top w:w="58" w:type="dxa"/>
              <w:left w:w="58" w:type="dxa"/>
              <w:bottom w:w="58" w:type="dxa"/>
              <w:right w:w="58" w:type="dxa"/>
            </w:tcMar>
            <w:hideMark/>
          </w:tcPr>
          <w:p w14:paraId="2231621F" w14:textId="46F6AB43" w:rsidR="00AF6FAD" w:rsidRDefault="00AF6FAD">
            <w:pPr>
              <w:tabs>
                <w:tab w:val="left" w:pos="244"/>
                <w:tab w:val="left" w:pos="835"/>
                <w:tab w:val="left" w:pos="2044"/>
                <w:tab w:val="left" w:pos="2635"/>
              </w:tabs>
              <w:spacing w:line="240" w:lineRule="exact"/>
            </w:pPr>
            <w:r>
              <w:t>03.0</w:t>
            </w:r>
            <w:r w:rsidR="00007201">
              <w:t>3</w:t>
            </w:r>
          </w:p>
        </w:tc>
        <w:tc>
          <w:tcPr>
            <w:tcW w:w="1350" w:type="dxa"/>
            <w:tcBorders>
              <w:top w:val="single" w:sz="4" w:space="0" w:color="auto"/>
              <w:left w:val="single" w:sz="4" w:space="0" w:color="auto"/>
              <w:bottom w:val="single" w:sz="12" w:space="0" w:color="auto"/>
              <w:right w:val="single" w:sz="4" w:space="0" w:color="auto"/>
            </w:tcBorders>
            <w:tcMar>
              <w:top w:w="58" w:type="dxa"/>
              <w:left w:w="58" w:type="dxa"/>
              <w:bottom w:w="58" w:type="dxa"/>
              <w:right w:w="58" w:type="dxa"/>
            </w:tcMar>
            <w:hideMark/>
          </w:tcPr>
          <w:p w14:paraId="5B8DFAFA" w14:textId="0014F339" w:rsidR="001D5370" w:rsidRPr="00083554" w:rsidRDefault="00C42DD5">
            <w:r w:rsidRPr="00083554">
              <w:t>Tr</w:t>
            </w:r>
            <w:r w:rsidR="00AF6FAD" w:rsidRPr="00083554">
              <w:t>iennial</w:t>
            </w:r>
          </w:p>
        </w:tc>
        <w:tc>
          <w:tcPr>
            <w:tcW w:w="1531" w:type="dxa"/>
            <w:tcBorders>
              <w:top w:val="single" w:sz="4" w:space="0" w:color="auto"/>
              <w:left w:val="single" w:sz="4" w:space="0" w:color="auto"/>
              <w:bottom w:val="single" w:sz="12" w:space="0" w:color="auto"/>
              <w:right w:val="single" w:sz="4" w:space="0" w:color="auto"/>
            </w:tcBorders>
            <w:tcMar>
              <w:top w:w="58" w:type="dxa"/>
              <w:left w:w="58" w:type="dxa"/>
              <w:bottom w:w="58" w:type="dxa"/>
              <w:right w:w="58" w:type="dxa"/>
            </w:tcMar>
            <w:hideMark/>
          </w:tcPr>
          <w:p w14:paraId="70E2401A" w14:textId="77777777" w:rsidR="00AF6FAD" w:rsidRPr="00142462" w:rsidRDefault="00AF6FAD">
            <w:r w:rsidRPr="00142462">
              <w:t>1 per site</w:t>
            </w:r>
          </w:p>
        </w:tc>
        <w:tc>
          <w:tcPr>
            <w:tcW w:w="1260" w:type="dxa"/>
            <w:tcBorders>
              <w:top w:val="single" w:sz="4" w:space="0" w:color="auto"/>
              <w:left w:val="single" w:sz="4" w:space="0" w:color="auto"/>
              <w:bottom w:val="single" w:sz="12" w:space="0" w:color="auto"/>
              <w:right w:val="single" w:sz="4" w:space="0" w:color="auto"/>
            </w:tcBorders>
            <w:tcMar>
              <w:top w:w="0" w:type="dxa"/>
              <w:left w:w="58" w:type="dxa"/>
              <w:bottom w:w="0" w:type="dxa"/>
              <w:right w:w="0" w:type="dxa"/>
            </w:tcMar>
            <w:hideMark/>
          </w:tcPr>
          <w:p w14:paraId="32C22C3E" w14:textId="21CB5124" w:rsidR="00AF6FAD" w:rsidRPr="00142462" w:rsidRDefault="00AF6FAD">
            <w:r w:rsidRPr="00142462">
              <w:t>1</w:t>
            </w:r>
            <w:r w:rsidR="00007201" w:rsidRPr="00142462">
              <w:t xml:space="preserve"> </w:t>
            </w:r>
            <w:r w:rsidRPr="00142462">
              <w:t>per site</w:t>
            </w:r>
          </w:p>
        </w:tc>
        <w:tc>
          <w:tcPr>
            <w:tcW w:w="1621" w:type="dxa"/>
            <w:vMerge/>
            <w:tcBorders>
              <w:top w:val="double" w:sz="4" w:space="0" w:color="auto"/>
              <w:left w:val="single" w:sz="4" w:space="0" w:color="auto"/>
              <w:bottom w:val="single" w:sz="12" w:space="0" w:color="auto"/>
              <w:right w:val="single" w:sz="12" w:space="0" w:color="auto"/>
            </w:tcBorders>
            <w:vAlign w:val="center"/>
            <w:hideMark/>
          </w:tcPr>
          <w:p w14:paraId="5E2817AB" w14:textId="77777777" w:rsidR="00AF6FAD" w:rsidRDefault="00AF6FAD"/>
        </w:tc>
      </w:tr>
    </w:tbl>
    <w:p w14:paraId="2A32C03F" w14:textId="77777777" w:rsidR="00AF6FAD" w:rsidRDefault="00AF6FAD" w:rsidP="00AF6FAD"/>
    <w:p w14:paraId="228D5617" w14:textId="77777777" w:rsidR="00CD5CA7" w:rsidRDefault="00CD5CA7" w:rsidP="00CD5CA7">
      <w:pPr>
        <w:pStyle w:val="7112307-01"/>
        <w:ind w:left="0" w:firstLine="0"/>
        <w:jc w:val="left"/>
      </w:pPr>
    </w:p>
    <w:p w14:paraId="34ACDBD0" w14:textId="1024E3F4" w:rsidR="006661E4" w:rsidRPr="003B204C" w:rsidRDefault="006661E4" w:rsidP="00CD5CA7">
      <w:pPr>
        <w:pStyle w:val="7112307-01"/>
        <w:ind w:left="0" w:firstLine="0"/>
        <w:jc w:val="left"/>
      </w:pPr>
      <w:r w:rsidRPr="003B204C">
        <w:t>7112</w:t>
      </w:r>
      <w:r w:rsidR="00C76ECA" w:rsidRPr="003B204C">
        <w:t>4</w:t>
      </w:r>
      <w:r w:rsidRPr="003B204C">
        <w:t>.0</w:t>
      </w:r>
      <w:r w:rsidR="005A061F" w:rsidRPr="003B204C">
        <w:t>7</w:t>
      </w:r>
      <w:r w:rsidR="003B204C">
        <w:t>-01</w:t>
      </w:r>
      <w:r w:rsidR="003B204C">
        <w:tab/>
      </w:r>
      <w:r w:rsidRPr="003B204C">
        <w:t>INSPECTION OBJECTIVES</w:t>
      </w:r>
    </w:p>
    <w:p w14:paraId="66797AD9" w14:textId="77777777" w:rsidR="006661E4" w:rsidRPr="003B204C" w:rsidRDefault="006661E4" w:rsidP="00BC623E">
      <w:pPr>
        <w:jc w:val="left"/>
      </w:pPr>
    </w:p>
    <w:p w14:paraId="5D6AD130" w14:textId="3EC388EE" w:rsidR="006661E4" w:rsidRPr="003B204C" w:rsidRDefault="006661E4" w:rsidP="00BC623E">
      <w:pPr>
        <w:jc w:val="left"/>
      </w:pPr>
      <w:r w:rsidRPr="003B204C">
        <w:t>01.01</w:t>
      </w:r>
      <w:r w:rsidR="003B204C">
        <w:tab/>
      </w:r>
      <w:r w:rsidRPr="003B204C">
        <w:t xml:space="preserve">To </w:t>
      </w:r>
      <w:r w:rsidR="001E39A3" w:rsidRPr="003B204C">
        <w:t xml:space="preserve">verify </w:t>
      </w:r>
      <w:r w:rsidRPr="003B204C">
        <w:t xml:space="preserve">that the </w:t>
      </w:r>
      <w:r w:rsidR="00567166" w:rsidRPr="00F82E4F">
        <w:t xml:space="preserve">Radiological Environmental Monitoring Program </w:t>
      </w:r>
      <w:r w:rsidR="00567166">
        <w:t>(</w:t>
      </w:r>
      <w:r w:rsidRPr="003B204C">
        <w:t>REMP</w:t>
      </w:r>
      <w:r w:rsidR="00567166">
        <w:t>)</w:t>
      </w:r>
      <w:r w:rsidRPr="003B204C">
        <w:t xml:space="preserve"> </w:t>
      </w:r>
      <w:r w:rsidR="001E39A3" w:rsidRPr="003B204C">
        <w:t>quantifies</w:t>
      </w:r>
      <w:r w:rsidRPr="003B204C">
        <w:t xml:space="preserve"> the impact of radioactive effluent releases to the environment and sufficiently validates the integrity of the radioactive gaseous and liquid effluent release program.</w:t>
      </w:r>
    </w:p>
    <w:p w14:paraId="65E81007" w14:textId="77777777" w:rsidR="006661E4" w:rsidRPr="003B204C" w:rsidRDefault="006661E4" w:rsidP="00BC623E">
      <w:pPr>
        <w:jc w:val="left"/>
      </w:pPr>
    </w:p>
    <w:p w14:paraId="12BBC479" w14:textId="5B73977E" w:rsidR="006661E4" w:rsidRPr="003B204C" w:rsidRDefault="006661E4" w:rsidP="00325EEA">
      <w:pPr>
        <w:numPr>
          <w:ilvl w:val="1"/>
          <w:numId w:val="2"/>
        </w:numPr>
        <w:jc w:val="left"/>
      </w:pPr>
      <w:r w:rsidRPr="003B204C">
        <w:t>To verify that the REMP is implemented consistent</w:t>
      </w:r>
      <w:r w:rsidR="00DF4B4B" w:rsidRPr="003B204C">
        <w:t>ly</w:t>
      </w:r>
      <w:r w:rsidRPr="003B204C">
        <w:t xml:space="preserve"> with the licensee’s </w:t>
      </w:r>
      <w:r w:rsidR="002A6B5F">
        <w:t>technical specifications (</w:t>
      </w:r>
      <w:r w:rsidRPr="003B204C">
        <w:t>TS</w:t>
      </w:r>
      <w:r w:rsidR="002A6B5F">
        <w:t>)</w:t>
      </w:r>
      <w:r w:rsidRPr="003B204C">
        <w:t xml:space="preserve"> and/or</w:t>
      </w:r>
      <w:r w:rsidR="00797062">
        <w:t xml:space="preserve"> o</w:t>
      </w:r>
      <w:r w:rsidR="00797062" w:rsidRPr="00513511">
        <w:t xml:space="preserve">ffsite </w:t>
      </w:r>
      <w:r w:rsidR="00797062">
        <w:t>d</w:t>
      </w:r>
      <w:r w:rsidR="00797062" w:rsidRPr="00513511">
        <w:t xml:space="preserve">ose </w:t>
      </w:r>
      <w:r w:rsidR="00797062">
        <w:t>c</w:t>
      </w:r>
      <w:r w:rsidR="00797062" w:rsidRPr="00513511">
        <w:t xml:space="preserve">alculation </w:t>
      </w:r>
      <w:r w:rsidR="00797062">
        <w:t>m</w:t>
      </w:r>
      <w:r w:rsidR="00797062" w:rsidRPr="00513511">
        <w:t xml:space="preserve">anual </w:t>
      </w:r>
      <w:r w:rsidR="001577AA">
        <w:t>(</w:t>
      </w:r>
      <w:r w:rsidRPr="003B204C">
        <w:t>ODCM</w:t>
      </w:r>
      <w:r w:rsidR="001577AA">
        <w:t>)</w:t>
      </w:r>
      <w:r w:rsidR="001E39A3" w:rsidRPr="003B204C">
        <w:t xml:space="preserve"> and</w:t>
      </w:r>
      <w:r w:rsidRPr="003B204C">
        <w:t xml:space="preserve"> to validate that the radioactive effluent release program meets the design objective</w:t>
      </w:r>
      <w:r w:rsidR="000A4962">
        <w:t>s</w:t>
      </w:r>
      <w:r w:rsidRPr="003B204C">
        <w:t xml:space="preserve"> in Appendix</w:t>
      </w:r>
      <w:r w:rsidR="0066415A" w:rsidRPr="003B204C">
        <w:t> </w:t>
      </w:r>
      <w:r w:rsidRPr="003B204C">
        <w:t>I to 10</w:t>
      </w:r>
      <w:r w:rsidR="0066415A" w:rsidRPr="003B204C">
        <w:t> </w:t>
      </w:r>
      <w:r w:rsidRPr="003B204C">
        <w:t>CFR</w:t>
      </w:r>
      <w:r w:rsidR="0066415A" w:rsidRPr="003B204C">
        <w:t> </w:t>
      </w:r>
      <w:r w:rsidRPr="003B204C">
        <w:t>Part</w:t>
      </w:r>
      <w:r w:rsidR="0066415A" w:rsidRPr="003B204C">
        <w:t> </w:t>
      </w:r>
      <w:r w:rsidRPr="003B204C">
        <w:t xml:space="preserve">50. </w:t>
      </w:r>
    </w:p>
    <w:p w14:paraId="486D06F6" w14:textId="77777777" w:rsidR="00213D3C" w:rsidRPr="003B204C" w:rsidRDefault="00213D3C" w:rsidP="00BC623E">
      <w:pPr>
        <w:jc w:val="left"/>
      </w:pPr>
    </w:p>
    <w:p w14:paraId="19B0DD44" w14:textId="3CFFD791" w:rsidR="00213D3C" w:rsidRDefault="00213D3C" w:rsidP="000A4962">
      <w:pPr>
        <w:numPr>
          <w:ilvl w:val="1"/>
          <w:numId w:val="2"/>
        </w:numPr>
        <w:jc w:val="left"/>
      </w:pPr>
      <w:r w:rsidRPr="003B204C">
        <w:t xml:space="preserve">To ensure that the REMP </w:t>
      </w:r>
      <w:r w:rsidR="0066415A" w:rsidRPr="003B204C">
        <w:t>(</w:t>
      </w:r>
      <w:r w:rsidRPr="003B204C">
        <w:t>1) monitor</w:t>
      </w:r>
      <w:r w:rsidR="00EE17D6" w:rsidRPr="003B204C">
        <w:t>s</w:t>
      </w:r>
      <w:r w:rsidRPr="003B204C">
        <w:t xml:space="preserve"> noneffluent exposure pathways (e.g., onsite spills</w:t>
      </w:r>
      <w:r w:rsidR="0066415A" w:rsidRPr="003B204C">
        <w:t xml:space="preserve"> or </w:t>
      </w:r>
      <w:r w:rsidRPr="003B204C">
        <w:t xml:space="preserve">leaks, </w:t>
      </w:r>
      <w:r w:rsidR="00EE17D6" w:rsidRPr="003B204C">
        <w:t xml:space="preserve">exposures from </w:t>
      </w:r>
      <w:r w:rsidRPr="003B204C">
        <w:t>direct and scattered (sky</w:t>
      </w:r>
      <w:r w:rsidR="009273AE">
        <w:t xml:space="preserve"> </w:t>
      </w:r>
      <w:r w:rsidRPr="003B204C">
        <w:t xml:space="preserve">shine) radiation from </w:t>
      </w:r>
      <w:r w:rsidR="00EE17D6" w:rsidRPr="003B204C">
        <w:t xml:space="preserve">plant facilities and components), </w:t>
      </w:r>
      <w:r w:rsidR="0066415A" w:rsidRPr="003B204C">
        <w:t>(</w:t>
      </w:r>
      <w:r w:rsidR="00EE17D6" w:rsidRPr="003B204C">
        <w:t>2) is</w:t>
      </w:r>
      <w:r w:rsidRPr="003B204C">
        <w:t xml:space="preserve"> based on sound principles and assumptions</w:t>
      </w:r>
      <w:r w:rsidR="00EE17D6" w:rsidRPr="003B204C">
        <w:t xml:space="preserve">, </w:t>
      </w:r>
      <w:r w:rsidR="006F385D" w:rsidRPr="003B204C">
        <w:t xml:space="preserve">and </w:t>
      </w:r>
      <w:r w:rsidR="0066415A" w:rsidRPr="003B204C">
        <w:t>(</w:t>
      </w:r>
      <w:r w:rsidR="00EE17D6" w:rsidRPr="003B204C">
        <w:t>3)</w:t>
      </w:r>
      <w:r w:rsidR="0066415A" w:rsidRPr="003B204C">
        <w:t> </w:t>
      </w:r>
      <w:r w:rsidR="00EE17D6" w:rsidRPr="003B204C">
        <w:t>validates that doses to members of the public are within the dose limits of 10</w:t>
      </w:r>
      <w:r w:rsidR="0066415A" w:rsidRPr="003B204C">
        <w:t> </w:t>
      </w:r>
      <w:r w:rsidR="00EE17D6" w:rsidRPr="003B204C">
        <w:t>CFR</w:t>
      </w:r>
      <w:r w:rsidR="0066415A" w:rsidRPr="003B204C">
        <w:t> </w:t>
      </w:r>
      <w:r w:rsidR="00371123" w:rsidRPr="003B204C">
        <w:t>Part</w:t>
      </w:r>
      <w:r w:rsidR="0066415A" w:rsidRPr="003B204C">
        <w:t> </w:t>
      </w:r>
      <w:r w:rsidR="00EE17D6" w:rsidRPr="003B204C">
        <w:t>20</w:t>
      </w:r>
      <w:r w:rsidR="0066415A" w:rsidRPr="003B204C">
        <w:t>, “Standards for Protection against Radiation,”</w:t>
      </w:r>
      <w:r w:rsidR="00EE17D6" w:rsidRPr="003B204C">
        <w:t xml:space="preserve"> and 40</w:t>
      </w:r>
      <w:r w:rsidR="0066415A" w:rsidRPr="003B204C">
        <w:t> </w:t>
      </w:r>
      <w:r w:rsidR="00EE17D6" w:rsidRPr="003B204C">
        <w:t>CFR</w:t>
      </w:r>
      <w:r w:rsidR="0066415A" w:rsidRPr="003B204C">
        <w:t> </w:t>
      </w:r>
      <w:r w:rsidR="00371123" w:rsidRPr="003B204C">
        <w:t>Part</w:t>
      </w:r>
      <w:r w:rsidR="0066415A" w:rsidRPr="003B204C">
        <w:t> </w:t>
      </w:r>
      <w:r w:rsidR="00EE17D6" w:rsidRPr="003B204C">
        <w:t>190</w:t>
      </w:r>
      <w:r w:rsidR="0066415A" w:rsidRPr="003B204C">
        <w:t xml:space="preserve">, </w:t>
      </w:r>
      <w:r w:rsidR="0066415A" w:rsidRPr="003B204C">
        <w:lastRenderedPageBreak/>
        <w:t>“Environmental Radiation Protection Standards for Nuclear Power Operations,”</w:t>
      </w:r>
      <w:r w:rsidR="00A86D8B" w:rsidRPr="003B204C">
        <w:t xml:space="preserve"> as applicable</w:t>
      </w:r>
      <w:r w:rsidR="00EE17D6" w:rsidRPr="003B204C">
        <w:t>.</w:t>
      </w:r>
    </w:p>
    <w:p w14:paraId="312541A3" w14:textId="77777777" w:rsidR="000A4962" w:rsidRDefault="000A4962" w:rsidP="000A4962">
      <w:pPr>
        <w:pStyle w:val="ListParagraph"/>
      </w:pPr>
    </w:p>
    <w:p w14:paraId="7D53CC13" w14:textId="497D8DF2" w:rsidR="000A4962" w:rsidRDefault="000A4962" w:rsidP="000A4962">
      <w:pPr>
        <w:numPr>
          <w:ilvl w:val="1"/>
          <w:numId w:val="2"/>
        </w:numPr>
        <w:jc w:val="left"/>
      </w:pPr>
      <w:r>
        <w:t xml:space="preserve">To </w:t>
      </w:r>
      <w:r w:rsidR="00F8673E">
        <w:t>monitor the licensee’s continued</w:t>
      </w:r>
      <w:r w:rsidRPr="003B204C">
        <w:t xml:space="preserve"> implement</w:t>
      </w:r>
      <w:r w:rsidR="00F8673E">
        <w:t>ation of</w:t>
      </w:r>
      <w:r w:rsidRPr="003B204C">
        <w:t xml:space="preserve"> the voluntary NEI/Industry Ground Wate</w:t>
      </w:r>
      <w:r w:rsidR="005379FD">
        <w:t>r Protection Initiative (GPI).</w:t>
      </w:r>
    </w:p>
    <w:p w14:paraId="2A76F89C" w14:textId="77777777" w:rsidR="005379FD" w:rsidRDefault="005379FD" w:rsidP="005379FD">
      <w:pPr>
        <w:pStyle w:val="ListParagraph"/>
      </w:pPr>
    </w:p>
    <w:p w14:paraId="49A08EE0" w14:textId="5513DC95" w:rsidR="005379FD" w:rsidRPr="003B204C" w:rsidRDefault="0039121F" w:rsidP="000A4962">
      <w:pPr>
        <w:numPr>
          <w:ilvl w:val="1"/>
          <w:numId w:val="2"/>
        </w:numPr>
        <w:jc w:val="left"/>
      </w:pPr>
      <w:r>
        <w:t xml:space="preserve">To </w:t>
      </w:r>
      <w:r w:rsidR="005379FD">
        <w:t xml:space="preserve">conduct a </w:t>
      </w:r>
      <w:r w:rsidR="00E459C3">
        <w:t>r</w:t>
      </w:r>
      <w:r w:rsidR="005379FD">
        <w:t xml:space="preserve">outine </w:t>
      </w:r>
      <w:r w:rsidR="00E459C3">
        <w:t>r</w:t>
      </w:r>
      <w:r w:rsidR="005379FD" w:rsidRPr="006A2245">
        <w:t xml:space="preserve">eview of problem identification and resolution activities </w:t>
      </w:r>
      <w:r>
        <w:t>per</w:t>
      </w:r>
      <w:r w:rsidR="005379FD" w:rsidRPr="006A2245">
        <w:t xml:space="preserve"> Inspection Procedure (IP) 71152, “Problem Identification and Resolution.”</w:t>
      </w:r>
    </w:p>
    <w:p w14:paraId="12C8E825" w14:textId="1C7FFD26" w:rsidR="006661E4" w:rsidRDefault="006661E4" w:rsidP="00BC623E">
      <w:pPr>
        <w:jc w:val="left"/>
      </w:pPr>
    </w:p>
    <w:p w14:paraId="751F6581" w14:textId="77777777" w:rsidR="00531B95" w:rsidRDefault="00531B95" w:rsidP="00BC623E">
      <w:pPr>
        <w:jc w:val="left"/>
      </w:pPr>
    </w:p>
    <w:p w14:paraId="027D875F" w14:textId="608DD712" w:rsidR="00CD5CA7" w:rsidRPr="003B204C" w:rsidRDefault="00CD5CA7" w:rsidP="00CD5CA7">
      <w:pPr>
        <w:pStyle w:val="7112307-01"/>
        <w:jc w:val="left"/>
      </w:pPr>
      <w:r w:rsidRPr="003B204C">
        <w:t>71124.07-02</w:t>
      </w:r>
      <w:r w:rsidRPr="003B204C">
        <w:tab/>
      </w:r>
      <w:r>
        <w:t>GENERAL GUIDANCE</w:t>
      </w:r>
    </w:p>
    <w:p w14:paraId="0CF6E477" w14:textId="4FA6D94D" w:rsidR="00CD5CA7" w:rsidRPr="003B204C" w:rsidRDefault="00CD5CA7" w:rsidP="00CD5CA7">
      <w:pPr>
        <w:ind w:left="0" w:firstLine="0"/>
        <w:jc w:val="left"/>
      </w:pPr>
    </w:p>
    <w:p w14:paraId="412CBF48" w14:textId="35FA64B6" w:rsidR="00CC3830" w:rsidRPr="003B204C" w:rsidRDefault="00CC3830" w:rsidP="00B653CE">
      <w:pPr>
        <w:pStyle w:val="pa"/>
        <w:numPr>
          <w:ilvl w:val="0"/>
          <w:numId w:val="0"/>
        </w:numPr>
        <w:tabs>
          <w:tab w:val="clear" w:pos="274"/>
          <w:tab w:val="left" w:pos="0"/>
        </w:tabs>
      </w:pPr>
      <w:r w:rsidRPr="00675B43">
        <w:t xml:space="preserve">Review the </w:t>
      </w:r>
      <w:r w:rsidR="00E37489">
        <w:t>A</w:t>
      </w:r>
      <w:r w:rsidRPr="00675B43">
        <w:t xml:space="preserve">nnual </w:t>
      </w:r>
      <w:r w:rsidR="00E37489">
        <w:t>R</w:t>
      </w:r>
      <w:r w:rsidRPr="00675B43">
        <w:t xml:space="preserve">adiological </w:t>
      </w:r>
      <w:r w:rsidR="00E37489">
        <w:t>E</w:t>
      </w:r>
      <w:r w:rsidRPr="00675B43">
        <w:t xml:space="preserve">nvironmental </w:t>
      </w:r>
      <w:r w:rsidR="00E37489">
        <w:t>O</w:t>
      </w:r>
      <w:r w:rsidRPr="00675B43">
        <w:t xml:space="preserve">perating </w:t>
      </w:r>
      <w:r w:rsidR="00E37489">
        <w:t>R</w:t>
      </w:r>
      <w:r w:rsidRPr="00675B43">
        <w:t xml:space="preserve">eports </w:t>
      </w:r>
      <w:r w:rsidR="007F4244">
        <w:t xml:space="preserve">(AREOR) </w:t>
      </w:r>
      <w:r w:rsidRPr="00675B43">
        <w:t>and the results of any licensee assessments since the last inspection</w:t>
      </w:r>
      <w:r>
        <w:t xml:space="preserve"> </w:t>
      </w:r>
      <w:r w:rsidR="007F4244">
        <w:t xml:space="preserve">to </w:t>
      </w:r>
      <w:r>
        <w:t>enabl</w:t>
      </w:r>
      <w:r w:rsidR="007F4244">
        <w:t>e</w:t>
      </w:r>
      <w:r w:rsidRPr="00675B43">
        <w:t xml:space="preserve"> verify</w:t>
      </w:r>
      <w:r>
        <w:t>ing</w:t>
      </w:r>
      <w:r w:rsidRPr="00675B43">
        <w:t xml:space="preserve"> that the REMP was implemented in accordance with the TS and ODCM.  </w:t>
      </w:r>
      <w:r>
        <w:t xml:space="preserve">Review </w:t>
      </w:r>
      <w:r w:rsidRPr="00675B43">
        <w:t xml:space="preserve">the </w:t>
      </w:r>
      <w:r w:rsidR="002222EF">
        <w:t>AREOR</w:t>
      </w:r>
      <w:r w:rsidRPr="00675B43">
        <w:t xml:space="preserve"> for changes to the ODCM with respect to environmental monitoring, commitments in terms of sampling locations, monitoring and measurement frequencies, land use census, inter</w:t>
      </w:r>
      <w:r>
        <w:t>-</w:t>
      </w:r>
      <w:r w:rsidRPr="00675B43">
        <w:t>laboratory comparison program, and analysis of data.</w:t>
      </w:r>
      <w:r>
        <w:t xml:space="preserve">  </w:t>
      </w:r>
    </w:p>
    <w:p w14:paraId="6CB308CB" w14:textId="77777777" w:rsidR="00CC3830" w:rsidRPr="003B204C" w:rsidRDefault="00CC3830" w:rsidP="00B653CE">
      <w:pPr>
        <w:tabs>
          <w:tab w:val="clear" w:pos="274"/>
          <w:tab w:val="left" w:pos="0"/>
        </w:tabs>
        <w:ind w:left="0" w:firstLine="0"/>
        <w:jc w:val="left"/>
      </w:pPr>
    </w:p>
    <w:p w14:paraId="2B653335" w14:textId="77777777" w:rsidR="00CC3830" w:rsidRDefault="00CC3830" w:rsidP="00B653CE">
      <w:pPr>
        <w:pStyle w:val="pa"/>
        <w:numPr>
          <w:ilvl w:val="0"/>
          <w:numId w:val="0"/>
        </w:numPr>
        <w:tabs>
          <w:tab w:val="clear" w:pos="274"/>
          <w:tab w:val="left" w:pos="0"/>
        </w:tabs>
      </w:pPr>
      <w:r>
        <w:t xml:space="preserve">Review </w:t>
      </w:r>
      <w:r w:rsidRPr="003B204C">
        <w:t>the ODCM to identify locations of environmental monitoring stations.</w:t>
      </w:r>
    </w:p>
    <w:p w14:paraId="646A3B9D" w14:textId="77777777" w:rsidR="00CC3830" w:rsidRDefault="00CC3830" w:rsidP="00B653CE">
      <w:pPr>
        <w:pStyle w:val="pa"/>
        <w:numPr>
          <w:ilvl w:val="0"/>
          <w:numId w:val="0"/>
        </w:numPr>
        <w:tabs>
          <w:tab w:val="clear" w:pos="274"/>
          <w:tab w:val="left" w:pos="0"/>
        </w:tabs>
      </w:pPr>
    </w:p>
    <w:p w14:paraId="5A7DDB30" w14:textId="77777777" w:rsidR="00CC3830" w:rsidRDefault="00CC3830" w:rsidP="00B653CE">
      <w:pPr>
        <w:pStyle w:val="pa"/>
        <w:numPr>
          <w:ilvl w:val="0"/>
          <w:numId w:val="0"/>
        </w:numPr>
        <w:tabs>
          <w:tab w:val="clear" w:pos="274"/>
          <w:tab w:val="left" w:pos="0"/>
        </w:tabs>
      </w:pPr>
      <w:r>
        <w:t>Review</w:t>
      </w:r>
      <w:r w:rsidRPr="003A692E">
        <w:t xml:space="preserve"> </w:t>
      </w:r>
      <w:r w:rsidRPr="003B204C">
        <w:t>the final safety analysis report (FSAR) for information regarding the environmental monitoring program and meteorological monitoring instrumentation.</w:t>
      </w:r>
    </w:p>
    <w:p w14:paraId="294EA285" w14:textId="77777777" w:rsidR="00CC3830" w:rsidRDefault="00CC3830" w:rsidP="00B653CE">
      <w:pPr>
        <w:pStyle w:val="pa"/>
        <w:numPr>
          <w:ilvl w:val="0"/>
          <w:numId w:val="0"/>
        </w:numPr>
        <w:tabs>
          <w:tab w:val="clear" w:pos="274"/>
          <w:tab w:val="left" w:pos="0"/>
        </w:tabs>
      </w:pPr>
    </w:p>
    <w:p w14:paraId="48BD993D" w14:textId="77777777" w:rsidR="00CC3830" w:rsidRDefault="00CC3830" w:rsidP="00B653CE">
      <w:pPr>
        <w:pStyle w:val="pa"/>
        <w:numPr>
          <w:ilvl w:val="0"/>
          <w:numId w:val="0"/>
        </w:numPr>
        <w:tabs>
          <w:tab w:val="clear" w:pos="274"/>
          <w:tab w:val="left" w:pos="0"/>
        </w:tabs>
      </w:pPr>
      <w:r>
        <w:t>Review</w:t>
      </w:r>
      <w:r w:rsidRPr="003A692E">
        <w:t xml:space="preserve"> </w:t>
      </w:r>
      <w:r w:rsidRPr="003B204C">
        <w:t>quality assurance audit results of the program to assist in choosing inspection “smart samples.”  If the licensee uses a vendor laboratory to analyze the REMP samples, review any audits and technical evaluations performed on the vendor’s program.</w:t>
      </w:r>
    </w:p>
    <w:p w14:paraId="2CAC9998" w14:textId="77777777" w:rsidR="00CC3830" w:rsidRDefault="00CC3830" w:rsidP="00B653CE">
      <w:pPr>
        <w:pStyle w:val="pa"/>
        <w:numPr>
          <w:ilvl w:val="0"/>
          <w:numId w:val="0"/>
        </w:numPr>
        <w:tabs>
          <w:tab w:val="clear" w:pos="274"/>
          <w:tab w:val="left" w:pos="0"/>
        </w:tabs>
      </w:pPr>
    </w:p>
    <w:p w14:paraId="748D2D4A" w14:textId="77777777" w:rsidR="00CC3830" w:rsidRDefault="00CC3830" w:rsidP="00B653CE">
      <w:pPr>
        <w:pStyle w:val="pa"/>
        <w:numPr>
          <w:ilvl w:val="0"/>
          <w:numId w:val="0"/>
        </w:numPr>
        <w:tabs>
          <w:tab w:val="clear" w:pos="274"/>
          <w:tab w:val="left" w:pos="0"/>
        </w:tabs>
      </w:pPr>
      <w:r>
        <w:t>Review the annual effluent release report and the 10 CFR Part 61, “Licensing Requirements for Land Disposal of Radioactive Waste,” report, to determine if the licensee is sampling, as appropriate, for the predominant and dose-causing radionuclides likely to be released in effluents.</w:t>
      </w:r>
    </w:p>
    <w:p w14:paraId="2FAA3A0B" w14:textId="77777777" w:rsidR="00CC3830" w:rsidRDefault="00CC3830" w:rsidP="00B653CE">
      <w:pPr>
        <w:pStyle w:val="ListParagraph"/>
        <w:tabs>
          <w:tab w:val="clear" w:pos="274"/>
          <w:tab w:val="left" w:pos="0"/>
        </w:tabs>
        <w:ind w:left="0" w:firstLine="0"/>
      </w:pPr>
    </w:p>
    <w:p w14:paraId="5A277230" w14:textId="1A7B9A90" w:rsidR="00F02766" w:rsidRPr="003B204C" w:rsidRDefault="00AE46A7" w:rsidP="00B653CE">
      <w:pPr>
        <w:pStyle w:val="pa"/>
        <w:numPr>
          <w:ilvl w:val="0"/>
          <w:numId w:val="0"/>
        </w:numPr>
        <w:tabs>
          <w:tab w:val="clear" w:pos="274"/>
          <w:tab w:val="left" w:pos="0"/>
        </w:tabs>
      </w:pPr>
      <w:r w:rsidRPr="00BD1831">
        <w:t xml:space="preserve">For each sample, conduct a routine review of problem identification and resolution activities using Inspection Procedure (IP) 71152, “Problem Identification and Resolution.”  </w:t>
      </w:r>
      <w:r w:rsidR="00CC3830">
        <w:t xml:space="preserve">Per IP 71152, it is expected that routine reviews of </w:t>
      </w:r>
      <w:r w:rsidR="007574F1">
        <w:t>Problem Identification and Resolution (</w:t>
      </w:r>
      <w:r w:rsidR="00CC3830">
        <w:t>PI&amp;R</w:t>
      </w:r>
      <w:r w:rsidR="007574F1">
        <w:t>)</w:t>
      </w:r>
      <w:r w:rsidR="00CC3830">
        <w:t xml:space="preserve"> activities should equate to approximately 10 to 15 percent of the resources estimated for the associated baseline cornerstone procedures, this is a general estimate only based on the overall effort expected to be expended in each strategic performance area.  It is anticipated that the actual hours required to be expended may vary significantly from attachment to attachment, depending on the nature and complexity of the issues that arise at the particular facility.  Overall, an effort should be made to remain within the 10 to 15 percent estimate on a strategic performance area basis.  Inspection time spent assessing PI&amp;R as part of the baseline procedure attachments should be charged to the corresponding baseline procedure.</w:t>
      </w:r>
    </w:p>
    <w:p w14:paraId="407E9501" w14:textId="495DA061" w:rsidR="00736FCB" w:rsidRDefault="00736FCB" w:rsidP="00BC623E">
      <w:pPr>
        <w:jc w:val="left"/>
      </w:pPr>
    </w:p>
    <w:p w14:paraId="27DE76CA" w14:textId="12DBC4C1" w:rsidR="00531B95" w:rsidRDefault="00531B95" w:rsidP="00BC623E">
      <w:pPr>
        <w:jc w:val="left"/>
      </w:pPr>
    </w:p>
    <w:p w14:paraId="1417D3D1" w14:textId="7125B923" w:rsidR="001C2DF4" w:rsidRDefault="001C2DF4" w:rsidP="00BC623E">
      <w:pPr>
        <w:jc w:val="left"/>
      </w:pPr>
    </w:p>
    <w:p w14:paraId="4F3C671B" w14:textId="5B4C4628" w:rsidR="001C2DF4" w:rsidRDefault="001C2DF4" w:rsidP="00BC623E">
      <w:pPr>
        <w:jc w:val="left"/>
      </w:pPr>
    </w:p>
    <w:p w14:paraId="182C5416" w14:textId="77A28484" w:rsidR="001C2DF4" w:rsidRDefault="001C2DF4" w:rsidP="00BC623E">
      <w:pPr>
        <w:jc w:val="left"/>
      </w:pPr>
    </w:p>
    <w:p w14:paraId="30C2A275" w14:textId="35DF2890" w:rsidR="001C2DF4" w:rsidRDefault="001C2DF4" w:rsidP="00BC623E">
      <w:pPr>
        <w:jc w:val="left"/>
      </w:pPr>
    </w:p>
    <w:p w14:paraId="4D23EFC8" w14:textId="77777777" w:rsidR="001C2DF4" w:rsidRPr="003B204C" w:rsidRDefault="001C2DF4" w:rsidP="00BC623E">
      <w:pPr>
        <w:jc w:val="left"/>
      </w:pPr>
    </w:p>
    <w:p w14:paraId="53271EBB" w14:textId="7FCAE846" w:rsidR="006661E4" w:rsidRPr="003B204C" w:rsidRDefault="006661E4" w:rsidP="00BC623E">
      <w:pPr>
        <w:pStyle w:val="7112307-01"/>
        <w:jc w:val="left"/>
      </w:pPr>
      <w:r w:rsidRPr="003B204C">
        <w:lastRenderedPageBreak/>
        <w:t>7112</w:t>
      </w:r>
      <w:r w:rsidR="00C76ECA" w:rsidRPr="003B204C">
        <w:t>4</w:t>
      </w:r>
      <w:r w:rsidRPr="003B204C">
        <w:t>.0</w:t>
      </w:r>
      <w:r w:rsidR="005A061F" w:rsidRPr="003B204C">
        <w:t>7</w:t>
      </w:r>
      <w:r w:rsidR="003D7C74">
        <w:t>-03</w:t>
      </w:r>
      <w:r w:rsidR="00416DB5" w:rsidRPr="003B204C">
        <w:tab/>
      </w:r>
      <w:r w:rsidRPr="003B204C">
        <w:t>INSPECTION REQUIREMENTS</w:t>
      </w:r>
    </w:p>
    <w:p w14:paraId="1ED2BDD5" w14:textId="77777777" w:rsidR="006661E4" w:rsidRPr="003B204C" w:rsidRDefault="006661E4" w:rsidP="00BC623E">
      <w:pPr>
        <w:jc w:val="left"/>
      </w:pPr>
    </w:p>
    <w:p w14:paraId="03A9132D" w14:textId="590F310A" w:rsidR="006661E4" w:rsidRPr="003B204C" w:rsidRDefault="00E165AB" w:rsidP="00BC623E">
      <w:pPr>
        <w:pStyle w:val="0201"/>
        <w:jc w:val="left"/>
      </w:pPr>
      <w:r>
        <w:t>03</w:t>
      </w:r>
      <w:r w:rsidR="003A692E">
        <w:t>.01</w:t>
      </w:r>
      <w:r w:rsidR="00F90577" w:rsidRPr="003B204C">
        <w:tab/>
      </w:r>
      <w:r w:rsidR="00AE5132">
        <w:rPr>
          <w:u w:val="single"/>
        </w:rPr>
        <w:t>Environmental Monitoring Equipment</w:t>
      </w:r>
      <w:r w:rsidR="009F571A">
        <w:rPr>
          <w:u w:val="single"/>
        </w:rPr>
        <w:t xml:space="preserve"> and Sampling</w:t>
      </w:r>
      <w:r w:rsidR="00AE5132">
        <w:rPr>
          <w:u w:val="single"/>
        </w:rPr>
        <w:t xml:space="preserve"> </w:t>
      </w:r>
      <w:r>
        <w:rPr>
          <w:u w:val="single"/>
        </w:rPr>
        <w:t>Sample</w:t>
      </w:r>
    </w:p>
    <w:p w14:paraId="5193C1C3" w14:textId="65B7E5A1" w:rsidR="00E165AB" w:rsidRDefault="00E165AB" w:rsidP="00BC623E">
      <w:pPr>
        <w:jc w:val="left"/>
      </w:pPr>
    </w:p>
    <w:p w14:paraId="41306583" w14:textId="5BF94410" w:rsidR="00531B95" w:rsidRPr="001C2DF4" w:rsidRDefault="008F52D5" w:rsidP="001C2DF4">
      <w:pPr>
        <w:tabs>
          <w:tab w:val="clear" w:pos="806"/>
        </w:tabs>
        <w:ind w:left="0" w:firstLine="0"/>
        <w:jc w:val="left"/>
        <w:rPr>
          <w:b/>
        </w:rPr>
      </w:pPr>
      <w:r>
        <w:rPr>
          <w:b/>
        </w:rPr>
        <w:t xml:space="preserve">Verify </w:t>
      </w:r>
      <w:r w:rsidR="00FF067F">
        <w:rPr>
          <w:b/>
        </w:rPr>
        <w:t>licensee</w:t>
      </w:r>
      <w:r w:rsidR="00133144">
        <w:rPr>
          <w:b/>
        </w:rPr>
        <w:t xml:space="preserve"> environmental monitoring equipment is properly located, calibrated and maintained</w:t>
      </w:r>
      <w:r w:rsidR="00D37C37">
        <w:rPr>
          <w:b/>
        </w:rPr>
        <w:t xml:space="preserve"> and observe the collection of environmental samples</w:t>
      </w:r>
      <w:r w:rsidR="00610BA6">
        <w:rPr>
          <w:b/>
        </w:rPr>
        <w:t>.</w:t>
      </w:r>
      <w:r w:rsidR="00133144">
        <w:rPr>
          <w:b/>
        </w:rPr>
        <w:t xml:space="preserve"> </w:t>
      </w:r>
    </w:p>
    <w:p w14:paraId="0B26FBDF" w14:textId="77777777" w:rsidR="00531B95" w:rsidRDefault="00531B95" w:rsidP="007E2381">
      <w:pPr>
        <w:tabs>
          <w:tab w:val="clear" w:pos="806"/>
        </w:tabs>
        <w:ind w:left="810" w:firstLine="0"/>
        <w:jc w:val="left"/>
      </w:pPr>
    </w:p>
    <w:p w14:paraId="5A786EB3" w14:textId="3DFA60BA" w:rsidR="00345B2C" w:rsidRDefault="00345B2C" w:rsidP="00B653CE">
      <w:pPr>
        <w:tabs>
          <w:tab w:val="clear" w:pos="806"/>
        </w:tabs>
        <w:ind w:left="0" w:firstLine="0"/>
        <w:jc w:val="left"/>
        <w:rPr>
          <w:u w:val="single"/>
        </w:rPr>
      </w:pPr>
      <w:r>
        <w:rPr>
          <w:u w:val="single"/>
        </w:rPr>
        <w:t>Specific Guidance</w:t>
      </w:r>
    </w:p>
    <w:p w14:paraId="75ED9B01" w14:textId="77777777" w:rsidR="00345B2C" w:rsidRPr="00E165AB" w:rsidRDefault="00345B2C" w:rsidP="007E2381">
      <w:pPr>
        <w:tabs>
          <w:tab w:val="clear" w:pos="806"/>
        </w:tabs>
        <w:ind w:left="810" w:firstLine="0"/>
        <w:jc w:val="left"/>
      </w:pPr>
    </w:p>
    <w:p w14:paraId="40BE87A2" w14:textId="6AFF88AA" w:rsidR="00345B2C" w:rsidRDefault="006661E4" w:rsidP="00666A82">
      <w:pPr>
        <w:pStyle w:val="pa"/>
        <w:numPr>
          <w:ilvl w:val="0"/>
          <w:numId w:val="7"/>
        </w:numPr>
        <w:ind w:left="807" w:hanging="533"/>
      </w:pPr>
      <w:r w:rsidRPr="003B204C">
        <w:t>Walk</w:t>
      </w:r>
      <w:r w:rsidR="0066415A" w:rsidRPr="003B204C">
        <w:t xml:space="preserve"> </w:t>
      </w:r>
      <w:r w:rsidRPr="003B204C">
        <w:t xml:space="preserve">down </w:t>
      </w:r>
      <w:r w:rsidR="003200F1" w:rsidRPr="003B204C">
        <w:t xml:space="preserve">air sampling stations </w:t>
      </w:r>
      <w:r w:rsidRPr="003B204C">
        <w:t xml:space="preserve">and </w:t>
      </w:r>
      <w:r w:rsidR="00610BA6">
        <w:t xml:space="preserve">direct radiation </w:t>
      </w:r>
      <w:r w:rsidRPr="003B204C">
        <w:t>monitoring stations</w:t>
      </w:r>
      <w:r w:rsidR="00E15B64">
        <w:t xml:space="preserve"> (e.g., </w:t>
      </w:r>
      <w:proofErr w:type="spellStart"/>
      <w:r w:rsidR="00E15B64">
        <w:t>thermoluminescent</w:t>
      </w:r>
      <w:proofErr w:type="spellEnd"/>
      <w:r w:rsidR="00E15B64">
        <w:t xml:space="preserve"> dosimeters [TLD])</w:t>
      </w:r>
      <w:r w:rsidRPr="003B204C">
        <w:t xml:space="preserve"> </w:t>
      </w:r>
      <w:r w:rsidR="006A0396">
        <w:t>and consider if</w:t>
      </w:r>
      <w:r w:rsidRPr="003B204C">
        <w:t xml:space="preserve"> they are located as described in the </w:t>
      </w:r>
      <w:r w:rsidR="006A731D" w:rsidRPr="003B204C">
        <w:t>ODCM</w:t>
      </w:r>
      <w:r w:rsidRPr="003B204C">
        <w:t xml:space="preserve"> and to determine the equipment material condition.</w:t>
      </w:r>
      <w:r w:rsidR="003200F1" w:rsidRPr="003B204C">
        <w:t xml:space="preserve"> </w:t>
      </w:r>
      <w:r w:rsidR="0069783F" w:rsidRPr="003B204C">
        <w:t xml:space="preserve"> </w:t>
      </w:r>
    </w:p>
    <w:p w14:paraId="578F5EB4" w14:textId="32310179" w:rsidR="00345B2C" w:rsidRDefault="00345B2C" w:rsidP="00345B2C">
      <w:pPr>
        <w:pStyle w:val="pa"/>
        <w:numPr>
          <w:ilvl w:val="0"/>
          <w:numId w:val="0"/>
        </w:numPr>
      </w:pPr>
    </w:p>
    <w:p w14:paraId="1D124FE2" w14:textId="4C0DE90A" w:rsidR="00345B2C" w:rsidRPr="003B204C" w:rsidRDefault="00345B2C" w:rsidP="00345B2C">
      <w:pPr>
        <w:pStyle w:val="pa"/>
        <w:numPr>
          <w:ilvl w:val="0"/>
          <w:numId w:val="0"/>
        </w:numPr>
        <w:ind w:left="806" w:firstLine="4"/>
      </w:pPr>
      <w:r>
        <w:t xml:space="preserve">Consistent with smart sampling, the air sampling stations should be selected based on the locations in the downwind sectors with the highest concentration per unit release rate (X/Q), and highest deposition per unit release rate (D/Q), and </w:t>
      </w:r>
      <w:r w:rsidR="00E15B64">
        <w:t xml:space="preserve">direct radiation </w:t>
      </w:r>
      <w:r w:rsidR="00E15B64" w:rsidRPr="003B204C">
        <w:t xml:space="preserve">monitoring </w:t>
      </w:r>
      <w:r w:rsidR="00E15B64">
        <w:t>stations</w:t>
      </w:r>
      <w:r>
        <w:t xml:space="preserve"> should be selected based on the most risk-significant locations (e.g., those that have the highest potential for public dose impact).  Shifts in wind sectors with the highest X/Q and D/Q may be detected by comparing several years of the licensee’s meteorological data.</w:t>
      </w:r>
    </w:p>
    <w:p w14:paraId="62EA1C14" w14:textId="77777777" w:rsidR="0069783F" w:rsidRPr="003B204C" w:rsidRDefault="0069783F" w:rsidP="00BC623E">
      <w:pPr>
        <w:pStyle w:val="pa"/>
        <w:numPr>
          <w:ilvl w:val="0"/>
          <w:numId w:val="0"/>
        </w:numPr>
        <w:ind w:left="806"/>
      </w:pPr>
    </w:p>
    <w:p w14:paraId="2871EB4A" w14:textId="6851BC08" w:rsidR="0004470E" w:rsidRDefault="000541D7" w:rsidP="00666A82">
      <w:pPr>
        <w:pStyle w:val="pa"/>
        <w:numPr>
          <w:ilvl w:val="0"/>
          <w:numId w:val="7"/>
        </w:numPr>
        <w:ind w:left="807" w:hanging="533"/>
      </w:pPr>
      <w:r w:rsidRPr="003B204C">
        <w:t>For the air samplers selected</w:t>
      </w:r>
      <w:r w:rsidR="00E15B64">
        <w:t>,</w:t>
      </w:r>
      <w:r w:rsidRPr="003B204C">
        <w:t xml:space="preserve"> </w:t>
      </w:r>
      <w:r w:rsidR="0038584E">
        <w:t>consider if</w:t>
      </w:r>
      <w:r w:rsidR="0038584E" w:rsidRPr="003B204C">
        <w:t xml:space="preserve"> </w:t>
      </w:r>
      <w:r w:rsidRPr="003B204C">
        <w:t xml:space="preserve">the calibration and maintenance records demonstrate adequate operability of these components.  </w:t>
      </w:r>
    </w:p>
    <w:p w14:paraId="317F5CFA" w14:textId="77777777" w:rsidR="0004470E" w:rsidRDefault="0004470E" w:rsidP="00EC1111">
      <w:pPr>
        <w:pStyle w:val="ListParagraph"/>
      </w:pPr>
    </w:p>
    <w:p w14:paraId="4A440ACD" w14:textId="1BE68751" w:rsidR="000541D7" w:rsidRDefault="00E15B64" w:rsidP="00666A82">
      <w:pPr>
        <w:pStyle w:val="pa"/>
        <w:numPr>
          <w:ilvl w:val="0"/>
          <w:numId w:val="7"/>
        </w:numPr>
        <w:ind w:left="807" w:hanging="533"/>
      </w:pPr>
      <w:r>
        <w:t>As available, r</w:t>
      </w:r>
      <w:r w:rsidR="00EC1111" w:rsidRPr="003B204C">
        <w:t>eview</w:t>
      </w:r>
      <w:r w:rsidR="000541D7" w:rsidRPr="003B204C">
        <w:t xml:space="preserve"> the calibration </w:t>
      </w:r>
      <w:r w:rsidR="0004470E">
        <w:t>&amp;</w:t>
      </w:r>
      <w:r w:rsidR="0004470E" w:rsidRPr="003B204C">
        <w:t xml:space="preserve"> </w:t>
      </w:r>
      <w:r w:rsidR="000541D7" w:rsidRPr="003B204C">
        <w:t>maintenance</w:t>
      </w:r>
      <w:r w:rsidR="0004470E">
        <w:t xml:space="preserve"> (or volume verification)</w:t>
      </w:r>
      <w:r w:rsidR="000541D7" w:rsidRPr="003B204C">
        <w:t xml:space="preserve"> records of composite water samplers.</w:t>
      </w:r>
    </w:p>
    <w:p w14:paraId="663FA16F" w14:textId="77777777" w:rsidR="00D37C37" w:rsidRDefault="00D37C37" w:rsidP="00E65D15">
      <w:pPr>
        <w:pStyle w:val="ListParagraph"/>
      </w:pPr>
    </w:p>
    <w:p w14:paraId="3221120A" w14:textId="7E1004EC" w:rsidR="00D37C37" w:rsidRDefault="00D37C37" w:rsidP="00666A82">
      <w:pPr>
        <w:pStyle w:val="pa"/>
        <w:numPr>
          <w:ilvl w:val="0"/>
          <w:numId w:val="7"/>
        </w:numPr>
        <w:ind w:left="807" w:hanging="533"/>
      </w:pPr>
      <w:r w:rsidRPr="003B204C">
        <w:t>Observe the collection and preparation of samples fro</w:t>
      </w:r>
      <w:r>
        <w:t xml:space="preserve">m different environmental media and </w:t>
      </w:r>
      <w:r w:rsidR="00927971">
        <w:t>consider whether the</w:t>
      </w:r>
      <w:r w:rsidRPr="003B204C">
        <w:t xml:space="preserve"> environmental sampling is representative of the release pathways as specified in the ODCM and </w:t>
      </w:r>
      <w:r w:rsidR="00927971">
        <w:t>whether</w:t>
      </w:r>
      <w:r w:rsidRPr="003B204C">
        <w:t xml:space="preserve"> sampling techniques are in accordance with procedures.</w:t>
      </w:r>
    </w:p>
    <w:p w14:paraId="46D0BAB5" w14:textId="77777777" w:rsidR="00D37C37" w:rsidRDefault="00D37C37" w:rsidP="00E65D15">
      <w:pPr>
        <w:pStyle w:val="pa"/>
        <w:numPr>
          <w:ilvl w:val="0"/>
          <w:numId w:val="0"/>
        </w:numPr>
        <w:ind w:left="806"/>
      </w:pPr>
    </w:p>
    <w:p w14:paraId="7EAA5BED" w14:textId="553B6A2C" w:rsidR="00D37C37" w:rsidRDefault="00D37C37" w:rsidP="00666A82">
      <w:pPr>
        <w:pStyle w:val="pa"/>
        <w:numPr>
          <w:ilvl w:val="0"/>
          <w:numId w:val="7"/>
        </w:numPr>
        <w:ind w:left="807" w:hanging="533"/>
      </w:pPr>
      <w:r>
        <w:t xml:space="preserve">Based on direct observation and review of records, </w:t>
      </w:r>
      <w:r w:rsidR="00927971">
        <w:t>consider if</w:t>
      </w:r>
      <w:r w:rsidRPr="003B204C">
        <w:t xml:space="preserve"> the meteorological instruments are operable, calibrated, and maintained in accordance with guidance contained in the FSAR, and licensee procedures.</w:t>
      </w:r>
      <w:r>
        <w:t xml:space="preserve">  </w:t>
      </w:r>
      <w:r w:rsidR="00927971">
        <w:t>Consider whether</w:t>
      </w:r>
      <w:r>
        <w:t xml:space="preserve"> the meteorological data readout and recording instruments in the control room and, if applicable, at the tower are operable</w:t>
      </w:r>
      <w:r w:rsidR="00927971">
        <w:t>.</w:t>
      </w:r>
      <w:r w:rsidRPr="003B204C">
        <w:t xml:space="preserve">  </w:t>
      </w:r>
    </w:p>
    <w:p w14:paraId="68958E6D" w14:textId="77777777" w:rsidR="00D37C37" w:rsidRDefault="00D37C37" w:rsidP="00D37C37">
      <w:pPr>
        <w:pStyle w:val="ListParagraph"/>
      </w:pPr>
    </w:p>
    <w:p w14:paraId="4C85EB33" w14:textId="77777777" w:rsidR="00D37C37" w:rsidRDefault="00D37C37" w:rsidP="00D37C37">
      <w:pPr>
        <w:pStyle w:val="pa"/>
        <w:numPr>
          <w:ilvl w:val="0"/>
          <w:numId w:val="0"/>
        </w:numPr>
        <w:ind w:left="806"/>
      </w:pPr>
      <w:r>
        <w:t>Compare readout data (i.e., wind speed, wind direction, and delta temperature) in the control room and at the meteorological tower to identify any differences that would indicate that inaccurate data are being used for dose determination.</w:t>
      </w:r>
    </w:p>
    <w:p w14:paraId="29CF40B0" w14:textId="244AE255" w:rsidR="004E1684" w:rsidRDefault="004E1684" w:rsidP="004E1684">
      <w:pPr>
        <w:pStyle w:val="pa"/>
        <w:numPr>
          <w:ilvl w:val="0"/>
          <w:numId w:val="0"/>
        </w:numPr>
        <w:ind w:left="806"/>
      </w:pPr>
    </w:p>
    <w:p w14:paraId="67D995F7" w14:textId="215B22B0" w:rsidR="001C2DF4" w:rsidRDefault="001C2DF4" w:rsidP="004E1684">
      <w:pPr>
        <w:pStyle w:val="pa"/>
        <w:numPr>
          <w:ilvl w:val="0"/>
          <w:numId w:val="0"/>
        </w:numPr>
        <w:ind w:left="806"/>
      </w:pPr>
    </w:p>
    <w:p w14:paraId="404E7A60" w14:textId="1DB996CF" w:rsidR="001C2DF4" w:rsidRDefault="001C2DF4" w:rsidP="004E1684">
      <w:pPr>
        <w:pStyle w:val="pa"/>
        <w:numPr>
          <w:ilvl w:val="0"/>
          <w:numId w:val="0"/>
        </w:numPr>
        <w:ind w:left="806"/>
      </w:pPr>
    </w:p>
    <w:p w14:paraId="73DB462F" w14:textId="3E2061C0" w:rsidR="001C2DF4" w:rsidRDefault="001C2DF4" w:rsidP="004E1684">
      <w:pPr>
        <w:pStyle w:val="pa"/>
        <w:numPr>
          <w:ilvl w:val="0"/>
          <w:numId w:val="0"/>
        </w:numPr>
        <w:ind w:left="806"/>
      </w:pPr>
    </w:p>
    <w:p w14:paraId="7B52D325" w14:textId="337B2ED3" w:rsidR="001C2DF4" w:rsidRDefault="001C2DF4" w:rsidP="004E1684">
      <w:pPr>
        <w:pStyle w:val="pa"/>
        <w:numPr>
          <w:ilvl w:val="0"/>
          <w:numId w:val="0"/>
        </w:numPr>
        <w:ind w:left="806"/>
      </w:pPr>
    </w:p>
    <w:p w14:paraId="17C01C36" w14:textId="40070900" w:rsidR="001C2DF4" w:rsidRDefault="001C2DF4" w:rsidP="004E1684">
      <w:pPr>
        <w:pStyle w:val="pa"/>
        <w:numPr>
          <w:ilvl w:val="0"/>
          <w:numId w:val="0"/>
        </w:numPr>
        <w:ind w:left="806"/>
      </w:pPr>
    </w:p>
    <w:p w14:paraId="68F1267B" w14:textId="065E2297" w:rsidR="001C2DF4" w:rsidRDefault="001C2DF4" w:rsidP="004E1684">
      <w:pPr>
        <w:pStyle w:val="pa"/>
        <w:numPr>
          <w:ilvl w:val="0"/>
          <w:numId w:val="0"/>
        </w:numPr>
        <w:ind w:left="806"/>
      </w:pPr>
    </w:p>
    <w:p w14:paraId="6461AF87" w14:textId="1297C27C" w:rsidR="001C2DF4" w:rsidRDefault="001C2DF4" w:rsidP="004E1684">
      <w:pPr>
        <w:pStyle w:val="pa"/>
        <w:numPr>
          <w:ilvl w:val="0"/>
          <w:numId w:val="0"/>
        </w:numPr>
        <w:ind w:left="806"/>
      </w:pPr>
    </w:p>
    <w:p w14:paraId="630CCCDC" w14:textId="7D1C0E80" w:rsidR="001C2DF4" w:rsidRDefault="001C2DF4" w:rsidP="004E1684">
      <w:pPr>
        <w:pStyle w:val="pa"/>
        <w:numPr>
          <w:ilvl w:val="0"/>
          <w:numId w:val="0"/>
        </w:numPr>
        <w:ind w:left="806"/>
      </w:pPr>
    </w:p>
    <w:p w14:paraId="38654AFF" w14:textId="77777777" w:rsidR="001C2DF4" w:rsidRPr="003B204C" w:rsidRDefault="001C2DF4" w:rsidP="00D41104">
      <w:pPr>
        <w:pStyle w:val="pa"/>
        <w:numPr>
          <w:ilvl w:val="0"/>
          <w:numId w:val="0"/>
        </w:numPr>
      </w:pPr>
    </w:p>
    <w:p w14:paraId="759925E7" w14:textId="1E825548" w:rsidR="000D0CFE" w:rsidRPr="00AE5132" w:rsidRDefault="000D0CFE" w:rsidP="00BC623E">
      <w:pPr>
        <w:jc w:val="left"/>
        <w:rPr>
          <w:u w:val="single"/>
        </w:rPr>
      </w:pPr>
      <w:r w:rsidRPr="00FF067F">
        <w:lastRenderedPageBreak/>
        <w:t>03.02</w:t>
      </w:r>
      <w:r>
        <w:tab/>
      </w:r>
      <w:r w:rsidR="00AE5132" w:rsidRPr="00AE5132">
        <w:rPr>
          <w:u w:val="single"/>
        </w:rPr>
        <w:t>Radiological Environmental Monitoring Program Sample</w:t>
      </w:r>
    </w:p>
    <w:p w14:paraId="64BF7140" w14:textId="77777777" w:rsidR="00AE5132" w:rsidRDefault="00AE5132" w:rsidP="00BC623E">
      <w:pPr>
        <w:jc w:val="left"/>
        <w:rPr>
          <w:u w:val="single"/>
        </w:rPr>
      </w:pPr>
    </w:p>
    <w:p w14:paraId="7F0CC9A6" w14:textId="075C87FB" w:rsidR="000D0CFE" w:rsidRDefault="000D0CFE" w:rsidP="00B653CE">
      <w:pPr>
        <w:ind w:left="0" w:firstLine="0"/>
        <w:jc w:val="left"/>
        <w:rPr>
          <w:u w:val="single"/>
        </w:rPr>
      </w:pPr>
      <w:r>
        <w:rPr>
          <w:b/>
        </w:rPr>
        <w:t>Verify that the radiological environmental monitoring program is being implemented consistent with the regulations and ODCM.</w:t>
      </w:r>
    </w:p>
    <w:p w14:paraId="25CF7F14" w14:textId="77777777" w:rsidR="001C2DF4" w:rsidRDefault="001C2DF4" w:rsidP="001C2DF4">
      <w:pPr>
        <w:ind w:left="0" w:firstLine="0"/>
        <w:jc w:val="left"/>
        <w:rPr>
          <w:u w:val="single"/>
        </w:rPr>
      </w:pPr>
    </w:p>
    <w:p w14:paraId="65F6BBBE" w14:textId="6072F614" w:rsidR="001E24FD" w:rsidRPr="001E24FD" w:rsidRDefault="001E24FD" w:rsidP="00B653CE">
      <w:pPr>
        <w:pStyle w:val="pa"/>
        <w:numPr>
          <w:ilvl w:val="0"/>
          <w:numId w:val="0"/>
        </w:numPr>
        <w:tabs>
          <w:tab w:val="clear" w:pos="274"/>
        </w:tabs>
      </w:pPr>
      <w:r>
        <w:rPr>
          <w:u w:val="single"/>
        </w:rPr>
        <w:t>Specific Guidance</w:t>
      </w:r>
    </w:p>
    <w:p w14:paraId="109DB09B" w14:textId="77777777" w:rsidR="001E24FD" w:rsidRDefault="001E24FD" w:rsidP="00BC623E">
      <w:pPr>
        <w:jc w:val="left"/>
        <w:rPr>
          <w:u w:val="single"/>
        </w:rPr>
      </w:pPr>
    </w:p>
    <w:p w14:paraId="28D65D63" w14:textId="66D4D212" w:rsidR="000D0CFE" w:rsidRDefault="00E23613" w:rsidP="00FE255D">
      <w:pPr>
        <w:pStyle w:val="pa"/>
        <w:numPr>
          <w:ilvl w:val="0"/>
          <w:numId w:val="12"/>
        </w:numPr>
        <w:ind w:left="807" w:hanging="533"/>
      </w:pPr>
      <w:r>
        <w:t>Consider if</w:t>
      </w:r>
      <w:r w:rsidR="000D0CFE" w:rsidRPr="003B204C">
        <w:t xml:space="preserve"> the licensee has initiated sampling of appropriate media </w:t>
      </w:r>
      <w:r>
        <w:t xml:space="preserve">(e.g., ground and surface water, milk, vegetation, sediment, and soil) </w:t>
      </w:r>
      <w:r w:rsidR="000D0CFE" w:rsidRPr="003B204C">
        <w:t>upon loss of a required sampling station.</w:t>
      </w:r>
    </w:p>
    <w:p w14:paraId="4BAD54D7" w14:textId="77777777" w:rsidR="000D0CFE" w:rsidRPr="003B204C" w:rsidRDefault="000D0CFE" w:rsidP="000D0CFE">
      <w:pPr>
        <w:pStyle w:val="pa"/>
        <w:numPr>
          <w:ilvl w:val="0"/>
          <w:numId w:val="0"/>
        </w:numPr>
        <w:ind w:left="806"/>
      </w:pPr>
    </w:p>
    <w:p w14:paraId="539C9532" w14:textId="32ED2617" w:rsidR="000D0CFE" w:rsidRDefault="000D0CFE" w:rsidP="00666A82">
      <w:pPr>
        <w:pStyle w:val="pa"/>
        <w:numPr>
          <w:ilvl w:val="0"/>
          <w:numId w:val="7"/>
        </w:numPr>
        <w:ind w:left="807" w:hanging="533"/>
      </w:pPr>
      <w:r w:rsidRPr="00284F2C">
        <w:t xml:space="preserve">As available, </w:t>
      </w:r>
      <w:r>
        <w:t xml:space="preserve">evaluate the licensee’s actions in response to </w:t>
      </w:r>
      <w:r w:rsidRPr="00284F2C">
        <w:t xml:space="preserve">events that involved a missed sample, inoperable sampler, </w:t>
      </w:r>
      <w:r w:rsidR="00D37C37">
        <w:t>direct radiation monitoring equipment (e.g., TLD)</w:t>
      </w:r>
      <w:r w:rsidRPr="00284F2C">
        <w:t>, or anomalous measurement.</w:t>
      </w:r>
    </w:p>
    <w:p w14:paraId="391477E1" w14:textId="77777777" w:rsidR="000D0CFE" w:rsidRDefault="000D0CFE" w:rsidP="000D0CFE">
      <w:pPr>
        <w:pStyle w:val="pa"/>
        <w:numPr>
          <w:ilvl w:val="0"/>
          <w:numId w:val="0"/>
        </w:numPr>
        <w:ind w:left="806" w:hanging="532"/>
      </w:pPr>
    </w:p>
    <w:p w14:paraId="6147CEF9" w14:textId="1C99DB3E" w:rsidR="000D0CFE" w:rsidRDefault="000D0CFE" w:rsidP="000D0CFE">
      <w:pPr>
        <w:pStyle w:val="pa"/>
        <w:numPr>
          <w:ilvl w:val="0"/>
          <w:numId w:val="0"/>
        </w:numPr>
        <w:ind w:left="806"/>
      </w:pPr>
      <w:r>
        <w:t xml:space="preserve">Review missed and or anomalous environmental samples to identify if they should be reported in the annual environmental monitoring report.  Review the licensee’s assessment of any positive sample results (i.e., licensed radioactive material detected above the lower limits of detection (LLDs).  Review the associated radioactive effluent release data that was the source of the released material.  </w:t>
      </w:r>
      <w:r w:rsidR="00D37C37">
        <w:t>Consider if</w:t>
      </w:r>
      <w:r>
        <w:t xml:space="preserve"> the licensee has addressed any positive indications in the environmental monitoring samples and has adjusted the effluent monitoring program and dose modeling, as appropriate to ensure the accuracy of the models.</w:t>
      </w:r>
    </w:p>
    <w:p w14:paraId="0876AD95" w14:textId="77777777" w:rsidR="000D0CFE" w:rsidRDefault="000D0CFE" w:rsidP="000D0CFE">
      <w:pPr>
        <w:pStyle w:val="ListParagraph"/>
      </w:pPr>
    </w:p>
    <w:p w14:paraId="4BEDE0FB" w14:textId="5292A790" w:rsidR="000D0CFE" w:rsidRDefault="000D0CFE" w:rsidP="00666A82">
      <w:pPr>
        <w:pStyle w:val="pa"/>
        <w:numPr>
          <w:ilvl w:val="0"/>
          <w:numId w:val="7"/>
        </w:numPr>
        <w:ind w:left="807" w:hanging="533"/>
      </w:pPr>
      <w:r>
        <w:t>Review the licensee’s assessment of any positive sample results (i.e., licensed radioactive material was detected above the LLDs).</w:t>
      </w:r>
    </w:p>
    <w:p w14:paraId="15E3A862" w14:textId="77777777" w:rsidR="00FF067F" w:rsidRDefault="00FF067F" w:rsidP="00E65D15">
      <w:pPr>
        <w:pStyle w:val="pa"/>
        <w:numPr>
          <w:ilvl w:val="0"/>
          <w:numId w:val="0"/>
        </w:numPr>
        <w:ind w:left="806"/>
      </w:pPr>
    </w:p>
    <w:p w14:paraId="35F01020" w14:textId="4C018DBB" w:rsidR="00FF067F" w:rsidRDefault="00FF067F" w:rsidP="00666A82">
      <w:pPr>
        <w:pStyle w:val="pa"/>
        <w:numPr>
          <w:ilvl w:val="0"/>
          <w:numId w:val="7"/>
        </w:numPr>
        <w:ind w:left="807" w:hanging="533"/>
      </w:pPr>
      <w:r>
        <w:t>Consider if records developed since the last inspection</w:t>
      </w:r>
      <w:r w:rsidR="00926700">
        <w:t>,</w:t>
      </w:r>
      <w:r>
        <w:t xml:space="preserve"> that are important to decommissioning</w:t>
      </w:r>
      <w:r w:rsidR="00926700">
        <w:t>,</w:t>
      </w:r>
      <w:r>
        <w:t xml:space="preserve"> are retained as required.  Licensees should document significant contamination resulting from leaks and spills, as required by 10 CFR 50.75, “Reporting and recordkeeping for decommissioning planning,” paragraph (g).</w:t>
      </w:r>
    </w:p>
    <w:p w14:paraId="349E0D24" w14:textId="77777777" w:rsidR="000D0CFE" w:rsidRPr="003B204C" w:rsidRDefault="000D0CFE" w:rsidP="000D0CFE">
      <w:pPr>
        <w:pStyle w:val="pa"/>
        <w:numPr>
          <w:ilvl w:val="0"/>
          <w:numId w:val="0"/>
        </w:numPr>
        <w:ind w:left="806"/>
      </w:pPr>
    </w:p>
    <w:p w14:paraId="2E6ADC0C" w14:textId="352C0458" w:rsidR="000D0CFE" w:rsidRDefault="000D0CFE" w:rsidP="00666A82">
      <w:pPr>
        <w:pStyle w:val="pa"/>
        <w:numPr>
          <w:ilvl w:val="0"/>
          <w:numId w:val="7"/>
        </w:numPr>
        <w:ind w:left="807" w:hanging="533"/>
      </w:pPr>
      <w:r w:rsidRPr="003B204C">
        <w:t>Review any significant changes ma</w:t>
      </w:r>
      <w:r>
        <w:t>de by the licensee to the ODCM and r</w:t>
      </w:r>
      <w:r w:rsidRPr="003B204C">
        <w:t xml:space="preserve">eview technical justifications for any changed sampling locations.  </w:t>
      </w:r>
      <w:r w:rsidR="006D3852">
        <w:t>Consider whether</w:t>
      </w:r>
      <w:r w:rsidRPr="003B204C">
        <w:t xml:space="preserve"> the licensee performed the reviews required to ensure that the changes did not affect its ability to monitor the impacts of radioactive effluent releases on the environment.</w:t>
      </w:r>
    </w:p>
    <w:p w14:paraId="54887427" w14:textId="77777777" w:rsidR="000D0CFE" w:rsidRDefault="000D0CFE" w:rsidP="000D0CFE">
      <w:pPr>
        <w:pStyle w:val="pa"/>
        <w:numPr>
          <w:ilvl w:val="0"/>
          <w:numId w:val="0"/>
        </w:numPr>
        <w:ind w:left="806" w:hanging="532"/>
      </w:pPr>
    </w:p>
    <w:p w14:paraId="11DCD410" w14:textId="59D49C72" w:rsidR="000D0CFE" w:rsidRPr="003B204C" w:rsidRDefault="000D0CFE" w:rsidP="000D0CFE">
      <w:pPr>
        <w:pStyle w:val="pa"/>
        <w:numPr>
          <w:ilvl w:val="0"/>
          <w:numId w:val="0"/>
        </w:numPr>
        <w:ind w:left="806" w:hanging="532"/>
      </w:pPr>
      <w:r>
        <w:tab/>
        <w:t>Changes may be made in response to changes to the land use census, long-term meteorological conditions (3</w:t>
      </w:r>
      <w:r>
        <w:noBreakHyphen/>
        <w:t>year average), or modifications to the sampler stations since the last inspection</w:t>
      </w:r>
      <w:r w:rsidR="00987AB9">
        <w:t>.</w:t>
      </w:r>
    </w:p>
    <w:p w14:paraId="5FC01FC2" w14:textId="77777777" w:rsidR="000D0CFE" w:rsidRPr="003B204C" w:rsidRDefault="000D0CFE" w:rsidP="000D0CFE">
      <w:pPr>
        <w:pStyle w:val="pa"/>
        <w:numPr>
          <w:ilvl w:val="0"/>
          <w:numId w:val="0"/>
        </w:numPr>
        <w:ind w:left="806"/>
      </w:pPr>
    </w:p>
    <w:p w14:paraId="688F4D49" w14:textId="232483A0" w:rsidR="000D0CFE" w:rsidRDefault="00A3259E" w:rsidP="00666A82">
      <w:pPr>
        <w:pStyle w:val="pa"/>
        <w:numPr>
          <w:ilvl w:val="0"/>
          <w:numId w:val="7"/>
        </w:numPr>
        <w:ind w:left="807" w:hanging="533"/>
      </w:pPr>
      <w:r>
        <w:t>Consider if</w:t>
      </w:r>
      <w:r w:rsidR="000D0CFE" w:rsidRPr="003B204C">
        <w:t xml:space="preserve"> the appropriate detectio</w:t>
      </w:r>
      <w:r w:rsidR="000D0CFE">
        <w:t xml:space="preserve">n sensitivities </w:t>
      </w:r>
      <w:r w:rsidR="000D0CFE" w:rsidRPr="003B204C">
        <w:t xml:space="preserve">are used for counting samples </w:t>
      </w:r>
      <w:r w:rsidR="000D0CFE">
        <w:t>to satisfy TS/ODCM required LLDs</w:t>
      </w:r>
      <w:r w:rsidR="000D0CFE" w:rsidRPr="003B204C">
        <w:t xml:space="preserve">.  </w:t>
      </w:r>
    </w:p>
    <w:p w14:paraId="5BE15A93" w14:textId="5559A4D2" w:rsidR="000D0CFE" w:rsidRDefault="000D0CFE" w:rsidP="00BC623E">
      <w:pPr>
        <w:jc w:val="left"/>
        <w:rPr>
          <w:u w:val="single"/>
        </w:rPr>
      </w:pPr>
    </w:p>
    <w:p w14:paraId="658DF0F4" w14:textId="7FF2C047" w:rsidR="000D0CFE" w:rsidRDefault="00D37C37" w:rsidP="00666A82">
      <w:pPr>
        <w:pStyle w:val="pa"/>
        <w:numPr>
          <w:ilvl w:val="0"/>
          <w:numId w:val="7"/>
        </w:numPr>
        <w:ind w:left="807" w:hanging="533"/>
      </w:pPr>
      <w:r w:rsidRPr="00E65D15">
        <w:t xml:space="preserve">Review quality control charts for maintaining radiation measurement instrument status and actions taken for degrading detector performance.  </w:t>
      </w:r>
      <w:r w:rsidR="000D0CFE">
        <w:t xml:space="preserve">If the licensee uses a vendor laboratory to analyze REMP samples, </w:t>
      </w:r>
      <w:r w:rsidR="00A3259E">
        <w:t>consider if</w:t>
      </w:r>
      <w:r w:rsidR="000D0CFE">
        <w:t xml:space="preserve"> the vendor’s quality control program, including inter-laboratory comparison programs, is adequate.</w:t>
      </w:r>
      <w:r w:rsidR="00FE1A73" w:rsidRPr="00FE1A73">
        <w:t xml:space="preserve"> </w:t>
      </w:r>
      <w:r w:rsidR="00FE1A73">
        <w:t xml:space="preserve"> </w:t>
      </w:r>
      <w:r w:rsidR="00FE1A73" w:rsidRPr="003B204C">
        <w:t>If applicable, review the licensee’s determination of any bias to the data and the overall effect on the REMP.</w:t>
      </w:r>
    </w:p>
    <w:p w14:paraId="0EC839C5" w14:textId="20FAF447" w:rsidR="000D0CFE" w:rsidRDefault="000D0CFE" w:rsidP="00BC623E">
      <w:pPr>
        <w:jc w:val="left"/>
      </w:pPr>
    </w:p>
    <w:p w14:paraId="567A00E3" w14:textId="77777777" w:rsidR="001C2DF4" w:rsidRPr="003B204C" w:rsidRDefault="001C2DF4" w:rsidP="00BC623E">
      <w:pPr>
        <w:jc w:val="left"/>
      </w:pPr>
    </w:p>
    <w:p w14:paraId="2142A82B" w14:textId="2497AA9F" w:rsidR="00DB5625" w:rsidRDefault="00E165AB" w:rsidP="00BC623E">
      <w:pPr>
        <w:pStyle w:val="0201"/>
        <w:jc w:val="left"/>
      </w:pPr>
      <w:r>
        <w:lastRenderedPageBreak/>
        <w:t>03</w:t>
      </w:r>
      <w:r w:rsidR="00D64B7D">
        <w:t>.0</w:t>
      </w:r>
      <w:r w:rsidR="000D0CFE">
        <w:t>3</w:t>
      </w:r>
      <w:r w:rsidR="00100EB5" w:rsidRPr="003B204C">
        <w:tab/>
      </w:r>
      <w:r w:rsidR="00100EB5" w:rsidRPr="003B204C">
        <w:rPr>
          <w:u w:val="single"/>
        </w:rPr>
        <w:t>G</w:t>
      </w:r>
      <w:r w:rsidR="00D652EC">
        <w:rPr>
          <w:u w:val="single"/>
        </w:rPr>
        <w:t xml:space="preserve">roundwater </w:t>
      </w:r>
      <w:r w:rsidR="00100EB5" w:rsidRPr="003B204C">
        <w:rPr>
          <w:u w:val="single"/>
        </w:rPr>
        <w:t>P</w:t>
      </w:r>
      <w:r w:rsidR="00D652EC">
        <w:rPr>
          <w:u w:val="single"/>
        </w:rPr>
        <w:t xml:space="preserve">rotection </w:t>
      </w:r>
      <w:r w:rsidR="00100EB5" w:rsidRPr="003B204C">
        <w:rPr>
          <w:u w:val="single"/>
        </w:rPr>
        <w:t>I</w:t>
      </w:r>
      <w:r w:rsidR="00D652EC">
        <w:rPr>
          <w:u w:val="single"/>
        </w:rPr>
        <w:t>nitiative</w:t>
      </w:r>
      <w:r w:rsidR="00100EB5" w:rsidRPr="003B204C">
        <w:rPr>
          <w:u w:val="single"/>
        </w:rPr>
        <w:t xml:space="preserve"> Implementatio</w:t>
      </w:r>
      <w:r w:rsidR="00D64B7D">
        <w:rPr>
          <w:u w:val="single"/>
        </w:rPr>
        <w:t>n</w:t>
      </w:r>
      <w:r w:rsidR="007E2381">
        <w:rPr>
          <w:u w:val="single"/>
        </w:rPr>
        <w:t xml:space="preserve"> Sample</w:t>
      </w:r>
    </w:p>
    <w:p w14:paraId="153A3677" w14:textId="77777777" w:rsidR="00DB5625" w:rsidRDefault="00DB5625" w:rsidP="00BC623E">
      <w:pPr>
        <w:pStyle w:val="0201"/>
        <w:jc w:val="left"/>
      </w:pPr>
    </w:p>
    <w:p w14:paraId="75483996" w14:textId="3CA402D3" w:rsidR="00100EB5" w:rsidRDefault="00252724" w:rsidP="00EC1D9F">
      <w:pPr>
        <w:pStyle w:val="pa"/>
        <w:numPr>
          <w:ilvl w:val="0"/>
          <w:numId w:val="0"/>
        </w:numPr>
        <w:tabs>
          <w:tab w:val="clear" w:pos="274"/>
        </w:tabs>
      </w:pPr>
      <w:r w:rsidRPr="00267C73">
        <w:rPr>
          <w:b/>
          <w:i/>
        </w:rPr>
        <w:t xml:space="preserve">Document </w:t>
      </w:r>
      <w:r w:rsidR="00D652EC" w:rsidRPr="00267C73">
        <w:rPr>
          <w:b/>
          <w:i/>
        </w:rPr>
        <w:t>incomplete or discontinued elements of the licensee’s Groundwater Protection Initiative program</w:t>
      </w:r>
      <w:r w:rsidR="00D652EC">
        <w:rPr>
          <w:b/>
        </w:rPr>
        <w:t xml:space="preserve"> </w:t>
      </w:r>
      <w:r w:rsidR="00D652EC" w:rsidRPr="00E65D15">
        <w:rPr>
          <w:b/>
          <w:i/>
        </w:rPr>
        <w:t>[C1]</w:t>
      </w:r>
      <w:r w:rsidR="00100EB5" w:rsidRPr="007E2381">
        <w:rPr>
          <w:b/>
        </w:rPr>
        <w:t>.</w:t>
      </w:r>
      <w:r w:rsidR="00100EB5" w:rsidRPr="003B204C">
        <w:t xml:space="preserve">  </w:t>
      </w:r>
    </w:p>
    <w:p w14:paraId="4A02D9F5" w14:textId="6A706025" w:rsidR="00345B2C" w:rsidRDefault="00345B2C" w:rsidP="007E2381">
      <w:pPr>
        <w:pStyle w:val="pa"/>
        <w:numPr>
          <w:ilvl w:val="0"/>
          <w:numId w:val="0"/>
        </w:numPr>
        <w:tabs>
          <w:tab w:val="clear" w:pos="274"/>
        </w:tabs>
        <w:ind w:left="810"/>
      </w:pPr>
    </w:p>
    <w:p w14:paraId="74256AF7" w14:textId="5198DB48" w:rsidR="00345B2C" w:rsidRPr="003B204C" w:rsidRDefault="00345B2C" w:rsidP="00EC1D9F">
      <w:pPr>
        <w:pStyle w:val="pa"/>
        <w:numPr>
          <w:ilvl w:val="0"/>
          <w:numId w:val="0"/>
        </w:numPr>
        <w:tabs>
          <w:tab w:val="clear" w:pos="274"/>
        </w:tabs>
      </w:pPr>
      <w:r>
        <w:rPr>
          <w:u w:val="single"/>
        </w:rPr>
        <w:t>Specific Guidance</w:t>
      </w:r>
    </w:p>
    <w:p w14:paraId="6ED61ED5" w14:textId="77777777" w:rsidR="00100EB5" w:rsidRPr="003B204C" w:rsidRDefault="00100EB5" w:rsidP="00BC623E">
      <w:pPr>
        <w:jc w:val="left"/>
      </w:pPr>
    </w:p>
    <w:p w14:paraId="7D633110" w14:textId="2B0710FC" w:rsidR="00D652EC" w:rsidRDefault="005F4DC7" w:rsidP="00E36CBC">
      <w:pPr>
        <w:pStyle w:val="pa"/>
        <w:numPr>
          <w:ilvl w:val="0"/>
          <w:numId w:val="3"/>
        </w:numPr>
        <w:ind w:left="807" w:hanging="533"/>
      </w:pPr>
      <w:r>
        <w:t>Compare the licensee’s groundwater protection program to</w:t>
      </w:r>
      <w:r w:rsidR="008C0D36">
        <w:t xml:space="preserve"> the most current revision of</w:t>
      </w:r>
      <w:r>
        <w:t xml:space="preserve"> NEI 07-07. </w:t>
      </w:r>
      <w:r w:rsidR="0085248E" w:rsidRPr="00E65D15">
        <w:t xml:space="preserve"> </w:t>
      </w:r>
    </w:p>
    <w:p w14:paraId="7463AFEF" w14:textId="77777777" w:rsidR="00D652EC" w:rsidRDefault="00D652EC" w:rsidP="00E65D15">
      <w:pPr>
        <w:pStyle w:val="pa"/>
        <w:numPr>
          <w:ilvl w:val="0"/>
          <w:numId w:val="0"/>
        </w:numPr>
        <w:ind w:left="806"/>
      </w:pPr>
    </w:p>
    <w:p w14:paraId="412E1A5D" w14:textId="594E979A" w:rsidR="007E2381" w:rsidRDefault="00100EB5" w:rsidP="00E36CBC">
      <w:pPr>
        <w:pStyle w:val="pa"/>
        <w:numPr>
          <w:ilvl w:val="0"/>
          <w:numId w:val="3"/>
        </w:numPr>
        <w:ind w:left="807" w:hanging="533"/>
      </w:pPr>
      <w:r w:rsidRPr="003B204C">
        <w:t xml:space="preserve">Review monitoring results of the </w:t>
      </w:r>
      <w:r w:rsidR="00D41104">
        <w:t>Groundwater Protection Initiative (</w:t>
      </w:r>
      <w:r w:rsidRPr="003B204C">
        <w:t>GPI</w:t>
      </w:r>
      <w:r w:rsidR="00D41104">
        <w:t>)</w:t>
      </w:r>
      <w:r w:rsidRPr="003B204C">
        <w:t xml:space="preserve"> to determine if the licensee has implemented its program as intended, and to identify any anomalous results.  For anomalous results or missed samples, determine if the licensee has identified and addressed deficiencies through its corrective action program.</w:t>
      </w:r>
    </w:p>
    <w:p w14:paraId="692D0AAF" w14:textId="77777777" w:rsidR="004B2DDE" w:rsidRDefault="004B2DDE" w:rsidP="00D41104">
      <w:pPr>
        <w:pStyle w:val="ListParagraph"/>
      </w:pPr>
    </w:p>
    <w:p w14:paraId="329B1317" w14:textId="77777777" w:rsidR="004B2DDE" w:rsidRPr="00D41104" w:rsidRDefault="004B2DDE" w:rsidP="004B2DDE">
      <w:pPr>
        <w:pStyle w:val="pa"/>
        <w:numPr>
          <w:ilvl w:val="0"/>
          <w:numId w:val="3"/>
        </w:numPr>
        <w:autoSpaceDE w:val="0"/>
        <w:autoSpaceDN w:val="0"/>
      </w:pPr>
      <w:r w:rsidRPr="00D41104">
        <w:rPr>
          <w:color w:val="000000"/>
        </w:rPr>
        <w:t>Observations of incomplete of discontinued elements of the licensee's implementation of the GPI should be documented in accordance with IMC 0611.</w:t>
      </w:r>
    </w:p>
    <w:p w14:paraId="08C58549" w14:textId="77777777" w:rsidR="004B2DDE" w:rsidRDefault="004B2DDE" w:rsidP="00D41104">
      <w:pPr>
        <w:pStyle w:val="pa"/>
        <w:numPr>
          <w:ilvl w:val="0"/>
          <w:numId w:val="0"/>
        </w:numPr>
      </w:pPr>
    </w:p>
    <w:p w14:paraId="2AA0D776" w14:textId="483CF589" w:rsidR="003C0D71" w:rsidRDefault="003C0D71" w:rsidP="00FE255D">
      <w:pPr>
        <w:pStyle w:val="P1"/>
        <w:ind w:left="0"/>
      </w:pPr>
    </w:p>
    <w:p w14:paraId="0BD7BD60" w14:textId="08782A9C" w:rsidR="00A43FD7" w:rsidRDefault="00A43FD7" w:rsidP="006F6B6B">
      <w:pPr>
        <w:pStyle w:val="7112307-01"/>
        <w:ind w:left="0" w:firstLine="0"/>
        <w:jc w:val="left"/>
      </w:pPr>
      <w:r w:rsidRPr="003B204C">
        <w:t>71124.07-0</w:t>
      </w:r>
      <w:r w:rsidR="00D45964">
        <w:t>4</w:t>
      </w:r>
      <w:r w:rsidRPr="003B204C">
        <w:tab/>
      </w:r>
      <w:r>
        <w:t>REFERENCES</w:t>
      </w:r>
    </w:p>
    <w:p w14:paraId="67C2A7BE" w14:textId="4D6D5386" w:rsidR="00D900B6" w:rsidRDefault="00D900B6" w:rsidP="00E65D15">
      <w:pPr>
        <w:ind w:left="0" w:firstLine="0"/>
        <w:jc w:val="left"/>
      </w:pPr>
    </w:p>
    <w:p w14:paraId="762A11EB" w14:textId="0719F163" w:rsidR="00D900B6" w:rsidRDefault="00D900B6" w:rsidP="00E65D15">
      <w:pPr>
        <w:ind w:left="0" w:firstLine="0"/>
        <w:jc w:val="left"/>
      </w:pPr>
      <w:r>
        <w:t>40 CFR Part 190, “Environmental Radiation Protection Standards for Nuclear Power Operations”</w:t>
      </w:r>
    </w:p>
    <w:p w14:paraId="6F1CEA13" w14:textId="579606E0" w:rsidR="00FE1A73" w:rsidRDefault="00FE1A73" w:rsidP="00E65D15">
      <w:pPr>
        <w:ind w:left="0" w:firstLine="0"/>
        <w:jc w:val="left"/>
      </w:pPr>
    </w:p>
    <w:p w14:paraId="319C4219" w14:textId="347709AA" w:rsidR="007E0991" w:rsidRDefault="00FE1A73" w:rsidP="00E65D15">
      <w:pPr>
        <w:ind w:left="0" w:firstLine="0"/>
        <w:jc w:val="left"/>
      </w:pPr>
      <w:r w:rsidRPr="004473A0">
        <w:t xml:space="preserve">RG 1.21, </w:t>
      </w:r>
      <w:r w:rsidR="004473A0" w:rsidRPr="00FE751F">
        <w:t>“</w:t>
      </w:r>
      <w:r w:rsidR="004473A0">
        <w:t>Measuring, Evaluating, and Reporting Radioactive Material in Liquid and Gaseous Effluents and Solid Waste”</w:t>
      </w:r>
    </w:p>
    <w:p w14:paraId="7EBF19C9" w14:textId="77777777" w:rsidR="00FE1A73" w:rsidRDefault="00FE1A73" w:rsidP="00E65D15">
      <w:pPr>
        <w:ind w:left="0" w:firstLine="0"/>
        <w:jc w:val="left"/>
      </w:pPr>
    </w:p>
    <w:p w14:paraId="5DA2DCC6" w14:textId="2FEC6384" w:rsidR="007E0991" w:rsidRDefault="007E0991" w:rsidP="00E65D15">
      <w:pPr>
        <w:ind w:left="0" w:firstLine="0"/>
        <w:jc w:val="left"/>
      </w:pPr>
      <w:r w:rsidRPr="00BA1C01">
        <w:t xml:space="preserve">RG 1.23, “Meteorological Monitoring Programs for Nuclear Power Plants” </w:t>
      </w:r>
    </w:p>
    <w:p w14:paraId="226AB5F2" w14:textId="3A182B9E" w:rsidR="007F4244" w:rsidRDefault="007F4244" w:rsidP="00E65D15">
      <w:pPr>
        <w:ind w:left="0" w:firstLine="0"/>
        <w:jc w:val="left"/>
      </w:pPr>
    </w:p>
    <w:p w14:paraId="4C4E3021" w14:textId="7019507D" w:rsidR="00FE1A73" w:rsidRDefault="00FE1A73" w:rsidP="00E65D15">
      <w:pPr>
        <w:ind w:left="0" w:firstLine="0"/>
        <w:jc w:val="left"/>
      </w:pPr>
      <w:r w:rsidRPr="004473A0">
        <w:t>RG 1.33,</w:t>
      </w:r>
      <w:r w:rsidR="004473A0">
        <w:t xml:space="preserve"> “Quality Assurance Program Requirements (Operation)”</w:t>
      </w:r>
    </w:p>
    <w:p w14:paraId="7AD0DF6C" w14:textId="77777777" w:rsidR="00FE1A73" w:rsidRDefault="00FE1A73" w:rsidP="00E65D15">
      <w:pPr>
        <w:ind w:left="0" w:firstLine="0"/>
        <w:jc w:val="left"/>
      </w:pPr>
    </w:p>
    <w:p w14:paraId="27BE7297" w14:textId="77777777" w:rsidR="00FE1A73" w:rsidRDefault="007F4244" w:rsidP="00E65D15">
      <w:pPr>
        <w:ind w:left="0" w:firstLine="0"/>
        <w:jc w:val="left"/>
      </w:pPr>
      <w:r>
        <w:t xml:space="preserve">RG 1.109, “Calculation of Annual Doses to Man from Routine Releases of Reactor Effluents for </w:t>
      </w:r>
    </w:p>
    <w:p w14:paraId="64D3366C" w14:textId="155DAC1A" w:rsidR="007F4244" w:rsidRDefault="007F4244" w:rsidP="00E65D15">
      <w:pPr>
        <w:ind w:left="0" w:firstLine="0"/>
        <w:jc w:val="left"/>
      </w:pPr>
      <w:r>
        <w:t>the Purpose of Evaluating Compliance with 10 CFR Part 50, Appendix I”</w:t>
      </w:r>
    </w:p>
    <w:p w14:paraId="17DE1214" w14:textId="77777777" w:rsidR="00FE1A73" w:rsidRDefault="00FE1A73" w:rsidP="00E65D15">
      <w:pPr>
        <w:ind w:left="0" w:firstLine="0"/>
        <w:jc w:val="left"/>
      </w:pPr>
    </w:p>
    <w:p w14:paraId="61F60901" w14:textId="434D4725" w:rsidR="00FE1A73" w:rsidRPr="00BA1C01" w:rsidRDefault="00FE1A73" w:rsidP="00E65D15">
      <w:pPr>
        <w:ind w:left="0" w:firstLine="0"/>
        <w:jc w:val="left"/>
      </w:pPr>
      <w:r w:rsidRPr="004473A0">
        <w:t>RG 4.15</w:t>
      </w:r>
      <w:r w:rsidR="004473A0" w:rsidRPr="004473A0">
        <w:t>,</w:t>
      </w:r>
      <w:r w:rsidR="004473A0">
        <w:t xml:space="preserve"> “Quality Assurance for Radiological Monitoring Programs (Inception through Normal Operations to License Termination) -- Effluent Streams and the Environment”</w:t>
      </w:r>
    </w:p>
    <w:p w14:paraId="7A278B08" w14:textId="77777777" w:rsidR="007F4244" w:rsidRPr="00BA1C01" w:rsidRDefault="007F4244" w:rsidP="00E65D15">
      <w:pPr>
        <w:ind w:left="0" w:firstLine="0"/>
        <w:jc w:val="left"/>
      </w:pPr>
    </w:p>
    <w:p w14:paraId="5A0DBC4C" w14:textId="7D353D15" w:rsidR="007F4244" w:rsidRDefault="007F4244" w:rsidP="00E65D15">
      <w:pPr>
        <w:jc w:val="left"/>
      </w:pPr>
      <w:r w:rsidRPr="00BA1C01">
        <w:t>RG 4.22, “Decommissioning Planning During Operations”</w:t>
      </w:r>
    </w:p>
    <w:p w14:paraId="28C9C8B3" w14:textId="77777777" w:rsidR="00D900B6" w:rsidRPr="00BA1C01" w:rsidRDefault="00D900B6" w:rsidP="00E65D15">
      <w:pPr>
        <w:ind w:left="0" w:firstLine="0"/>
        <w:jc w:val="left"/>
      </w:pPr>
    </w:p>
    <w:p w14:paraId="6FD74936" w14:textId="7E755A24" w:rsidR="007E0991" w:rsidRDefault="007E0991" w:rsidP="00E65D15">
      <w:pPr>
        <w:tabs>
          <w:tab w:val="clear" w:pos="806"/>
        </w:tabs>
        <w:ind w:left="0" w:firstLine="0"/>
        <w:jc w:val="left"/>
      </w:pPr>
      <w:r w:rsidRPr="00BA1C01">
        <w:t>NUREG</w:t>
      </w:r>
      <w:r w:rsidRPr="00BA1C01">
        <w:noBreakHyphen/>
        <w:t xml:space="preserve">1301, “Offsite Dose Calculation Guidance:  Standard Radiological Effluent Controls for Pressurized Water Reactors” </w:t>
      </w:r>
    </w:p>
    <w:p w14:paraId="31207F86" w14:textId="77777777" w:rsidR="007E0991" w:rsidRPr="00BA1C01" w:rsidRDefault="007E0991" w:rsidP="00E65D15">
      <w:pPr>
        <w:jc w:val="left"/>
      </w:pPr>
    </w:p>
    <w:p w14:paraId="46C90887" w14:textId="77101FAB" w:rsidR="007E0991" w:rsidRDefault="007E0991" w:rsidP="00E65D15">
      <w:pPr>
        <w:tabs>
          <w:tab w:val="clear" w:pos="806"/>
        </w:tabs>
        <w:ind w:left="0" w:firstLine="0"/>
        <w:jc w:val="left"/>
      </w:pPr>
      <w:r w:rsidRPr="00BA1C01">
        <w:t>NUREG</w:t>
      </w:r>
      <w:r w:rsidRPr="00BA1C01">
        <w:noBreakHyphen/>
        <w:t>1302, “Offsite Dose Calculation Guidance:  Standard Radiological Effluent Controls for Boiling Water Reactors”</w:t>
      </w:r>
    </w:p>
    <w:p w14:paraId="2958FC82" w14:textId="77777777" w:rsidR="007E0991" w:rsidRPr="00BA1C01" w:rsidRDefault="007E0991" w:rsidP="00E65D15">
      <w:pPr>
        <w:jc w:val="left"/>
      </w:pPr>
    </w:p>
    <w:p w14:paraId="55DBDC6B" w14:textId="409BE86B" w:rsidR="007E0991" w:rsidRDefault="007E0991" w:rsidP="00E65D15">
      <w:pPr>
        <w:ind w:left="0" w:firstLine="0"/>
        <w:jc w:val="left"/>
      </w:pPr>
      <w:r w:rsidRPr="00BA1C01">
        <w:t>NUREG</w:t>
      </w:r>
      <w:r w:rsidRPr="00BA1C01">
        <w:noBreakHyphen/>
        <w:t xml:space="preserve">1576, “Multi-Agency Radiological Laboratory Analytical Protocols Manual”  </w:t>
      </w:r>
    </w:p>
    <w:p w14:paraId="62227ED1" w14:textId="77777777" w:rsidR="007F4244" w:rsidRDefault="007F4244" w:rsidP="00E65D15">
      <w:pPr>
        <w:ind w:left="0" w:firstLine="0"/>
        <w:jc w:val="left"/>
      </w:pPr>
    </w:p>
    <w:p w14:paraId="6A45B474" w14:textId="0EBE789E" w:rsidR="00D45964" w:rsidRDefault="00CD6564" w:rsidP="00E65D15">
      <w:pPr>
        <w:ind w:left="0" w:firstLine="0"/>
        <w:jc w:val="left"/>
      </w:pPr>
      <w:r w:rsidRPr="00BA1C01">
        <w:t>IMC 061</w:t>
      </w:r>
      <w:r w:rsidR="002D7512">
        <w:t>1</w:t>
      </w:r>
      <w:r w:rsidRPr="00BA1C01">
        <w:t>, “Power Reactor Inspection Reports”</w:t>
      </w:r>
    </w:p>
    <w:p w14:paraId="27BBAD42" w14:textId="77777777" w:rsidR="00D45964" w:rsidRDefault="00D45964" w:rsidP="00E65D15">
      <w:pPr>
        <w:ind w:left="0" w:firstLine="0"/>
        <w:jc w:val="left"/>
      </w:pPr>
    </w:p>
    <w:p w14:paraId="3D7596A3" w14:textId="219F1F4B" w:rsidR="00CD6564" w:rsidRDefault="00CD6564" w:rsidP="00E65D15">
      <w:pPr>
        <w:ind w:left="0" w:firstLine="0"/>
        <w:jc w:val="left"/>
      </w:pPr>
      <w:r w:rsidRPr="00BA1C01">
        <w:t>I</w:t>
      </w:r>
      <w:r w:rsidR="002222EF">
        <w:t>P</w:t>
      </w:r>
      <w:r w:rsidRPr="00BA1C01">
        <w:t xml:space="preserve"> 71152, “Problem Identification and Resolution”</w:t>
      </w:r>
    </w:p>
    <w:p w14:paraId="0D7A0DFC" w14:textId="77777777" w:rsidR="00CD6564" w:rsidRPr="00BA1C01" w:rsidRDefault="00CD6564" w:rsidP="00E65D15">
      <w:pPr>
        <w:ind w:left="0" w:firstLine="0"/>
        <w:jc w:val="left"/>
      </w:pPr>
    </w:p>
    <w:p w14:paraId="1E773246" w14:textId="22ED872D" w:rsidR="00CD6564" w:rsidRDefault="00281284" w:rsidP="00E65D15">
      <w:pPr>
        <w:ind w:left="0" w:firstLine="0"/>
        <w:jc w:val="left"/>
      </w:pPr>
      <w:r>
        <w:lastRenderedPageBreak/>
        <w:t xml:space="preserve">NRC, </w:t>
      </w:r>
      <w:r w:rsidR="00CD6564">
        <w:t>“</w:t>
      </w:r>
      <w:r w:rsidR="007E0991">
        <w:t xml:space="preserve">Liquid Radioactive Release </w:t>
      </w:r>
      <w:r w:rsidR="00CD6564" w:rsidRPr="00BA1C01">
        <w:t>Lessons Learned Task Force</w:t>
      </w:r>
      <w:r w:rsidR="007E0991">
        <w:t xml:space="preserve"> </w:t>
      </w:r>
      <w:r w:rsidR="00CD6564" w:rsidRPr="00BA1C01">
        <w:t>Report</w:t>
      </w:r>
      <w:r w:rsidR="00CD6564">
        <w:t>,”</w:t>
      </w:r>
      <w:r w:rsidR="00CD6564" w:rsidRPr="00BA1C01">
        <w:t xml:space="preserve"> </w:t>
      </w:r>
      <w:r w:rsidR="007E0991">
        <w:t>(</w:t>
      </w:r>
      <w:r w:rsidR="0057713F" w:rsidRPr="0057713F">
        <w:t>ML062650312</w:t>
      </w:r>
      <w:r w:rsidR="007E0991">
        <w:t>)</w:t>
      </w:r>
    </w:p>
    <w:p w14:paraId="091DD34F" w14:textId="77777777" w:rsidR="00CD6564" w:rsidRPr="00BA1C01" w:rsidRDefault="00CD6564" w:rsidP="00E65D15">
      <w:pPr>
        <w:jc w:val="left"/>
      </w:pPr>
    </w:p>
    <w:p w14:paraId="58402436" w14:textId="0D6782BF" w:rsidR="00CD6564" w:rsidRPr="00BA1C01" w:rsidRDefault="002222EF" w:rsidP="00E65D15">
      <w:pPr>
        <w:ind w:left="0" w:firstLine="0"/>
        <w:jc w:val="left"/>
      </w:pPr>
      <w:r>
        <w:t xml:space="preserve">NRC, </w:t>
      </w:r>
      <w:r w:rsidR="00CD6564" w:rsidRPr="00BA1C01">
        <w:t xml:space="preserve">Safety Guide 23, “Onsite Meteorological Programs” </w:t>
      </w:r>
    </w:p>
    <w:p w14:paraId="35D0DC98" w14:textId="0C8C921D" w:rsidR="007E0991" w:rsidRDefault="007E0991" w:rsidP="00E65D15">
      <w:pPr>
        <w:tabs>
          <w:tab w:val="clear" w:pos="274"/>
          <w:tab w:val="clear" w:pos="806"/>
          <w:tab w:val="left" w:pos="0"/>
        </w:tabs>
        <w:ind w:left="0" w:firstLine="0"/>
        <w:jc w:val="left"/>
      </w:pPr>
    </w:p>
    <w:p w14:paraId="580120FF" w14:textId="22B23DDE" w:rsidR="007F4244" w:rsidRDefault="007F4244" w:rsidP="00E65D15">
      <w:pPr>
        <w:tabs>
          <w:tab w:val="clear" w:pos="274"/>
          <w:tab w:val="clear" w:pos="806"/>
          <w:tab w:val="left" w:pos="0"/>
        </w:tabs>
        <w:ind w:left="0" w:firstLine="0"/>
        <w:jc w:val="left"/>
      </w:pPr>
      <w:r w:rsidRPr="00FF067F">
        <w:t>NRC</w:t>
      </w:r>
      <w:r w:rsidR="002222EF">
        <w:t>,</w:t>
      </w:r>
      <w:r w:rsidRPr="00FF067F">
        <w:t xml:space="preserve"> “An Acceptable Radiological Environmental Monitoring Program</w:t>
      </w:r>
      <w:r w:rsidRPr="007F4244">
        <w:t xml:space="preserve"> (ML010710060)”</w:t>
      </w:r>
    </w:p>
    <w:p w14:paraId="1086D320" w14:textId="5C6F0B8C" w:rsidR="00CD6564" w:rsidRDefault="00CD6564" w:rsidP="00E65D15">
      <w:pPr>
        <w:jc w:val="left"/>
      </w:pPr>
    </w:p>
    <w:p w14:paraId="78B66E75" w14:textId="399448B7" w:rsidR="0053763D" w:rsidRDefault="0053763D" w:rsidP="00FE255D">
      <w:pPr>
        <w:tabs>
          <w:tab w:val="clear" w:pos="806"/>
          <w:tab w:val="left" w:pos="180"/>
        </w:tabs>
        <w:ind w:left="0" w:firstLine="0"/>
        <w:jc w:val="left"/>
      </w:pPr>
      <w:r w:rsidRPr="00BA1C01">
        <w:t>NEI 07-07, “Industry Ground Water Protection Initiative (GPI)</w:t>
      </w:r>
      <w:r w:rsidR="00FE255D">
        <w:t xml:space="preserve"> – Final Guidance </w:t>
      </w:r>
      <w:proofErr w:type="gramStart"/>
      <w:r w:rsidR="00FE255D">
        <w:t>Document</w:t>
      </w:r>
      <w:r w:rsidR="004A3099">
        <w:t xml:space="preserve">, </w:t>
      </w:r>
      <w:r w:rsidR="00F51470">
        <w:t xml:space="preserve">  </w:t>
      </w:r>
      <w:proofErr w:type="gramEnd"/>
      <w:r w:rsidR="004A3099">
        <w:t>Rev</w:t>
      </w:r>
      <w:r w:rsidR="00FE255D">
        <w:t>.</w:t>
      </w:r>
      <w:r w:rsidR="004A3099">
        <w:t xml:space="preserve"> 1</w:t>
      </w:r>
      <w:r w:rsidRPr="00FE255D">
        <w:t>”</w:t>
      </w:r>
      <w:r w:rsidR="002222EF" w:rsidRPr="00FE255D">
        <w:t xml:space="preserve"> (ML</w:t>
      </w:r>
      <w:r w:rsidR="00FE255D" w:rsidRPr="00FE255D">
        <w:t>19142A074</w:t>
      </w:r>
      <w:r w:rsidR="002222EF" w:rsidRPr="00FE255D">
        <w:t>)</w:t>
      </w:r>
      <w:r w:rsidR="008C0D36">
        <w:t>, or most recent revision if applicable</w:t>
      </w:r>
    </w:p>
    <w:p w14:paraId="09B8763E" w14:textId="77777777" w:rsidR="0053763D" w:rsidRPr="00BA1C01" w:rsidRDefault="0053763D" w:rsidP="00E65D15">
      <w:pPr>
        <w:jc w:val="left"/>
      </w:pPr>
    </w:p>
    <w:p w14:paraId="049CE632" w14:textId="5A9CD9F8" w:rsidR="0053763D" w:rsidRDefault="0053763D" w:rsidP="00E65D15">
      <w:pPr>
        <w:ind w:left="0" w:firstLine="0"/>
        <w:jc w:val="left"/>
      </w:pPr>
      <w:r w:rsidRPr="00BA1C01">
        <w:t>NEI 08-08A, “Generic FSAR Template Guidance for Life-Cycle Minimization of Contamination”</w:t>
      </w:r>
      <w:r w:rsidR="002222EF">
        <w:t xml:space="preserve"> (</w:t>
      </w:r>
      <w:r w:rsidR="002222EF" w:rsidRPr="00FE255D">
        <w:t>ML</w:t>
      </w:r>
      <w:r w:rsidR="00FE255D" w:rsidRPr="00FE255D">
        <w:t>093480532</w:t>
      </w:r>
      <w:r w:rsidR="002222EF" w:rsidRPr="00FE255D">
        <w:t>)</w:t>
      </w:r>
    </w:p>
    <w:p w14:paraId="2B1AE934" w14:textId="362E204B" w:rsidR="007F4244" w:rsidRDefault="007F4244" w:rsidP="003B204C"/>
    <w:p w14:paraId="22999BBD" w14:textId="79F867DD" w:rsidR="007F4244" w:rsidRDefault="007F4244" w:rsidP="003B204C"/>
    <w:p w14:paraId="49B5910E" w14:textId="77777777" w:rsidR="007F4244" w:rsidRPr="003B204C" w:rsidRDefault="007F4244" w:rsidP="003B204C"/>
    <w:p w14:paraId="1F5E2667" w14:textId="77777777" w:rsidR="006661E4" w:rsidRPr="003B204C" w:rsidRDefault="006661E4" w:rsidP="00A66E23">
      <w:pPr>
        <w:jc w:val="center"/>
      </w:pPr>
      <w:r w:rsidRPr="003B204C">
        <w:t>END</w:t>
      </w:r>
    </w:p>
    <w:p w14:paraId="79F40499" w14:textId="77777777" w:rsidR="00AB2829" w:rsidRPr="003B204C" w:rsidRDefault="00AB2829" w:rsidP="003B204C"/>
    <w:p w14:paraId="216150DA" w14:textId="77777777" w:rsidR="001F37DD" w:rsidRPr="003B204C" w:rsidRDefault="001F37DD" w:rsidP="003B204C">
      <w:pPr>
        <w:pStyle w:val="AppendixTitle"/>
        <w:sectPr w:rsidR="001F37DD" w:rsidRPr="003B204C" w:rsidSect="00681A32">
          <w:footerReference w:type="default" r:id="rId11"/>
          <w:pgSz w:w="12240" w:h="15840" w:code="1"/>
          <w:pgMar w:top="1440" w:right="1440" w:bottom="1440" w:left="1440" w:header="720" w:footer="720" w:gutter="0"/>
          <w:cols w:space="720"/>
          <w:docGrid w:linePitch="299"/>
        </w:sectPr>
      </w:pPr>
      <w:bookmarkStart w:id="1" w:name="_Toc166392890"/>
      <w:bookmarkStart w:id="2" w:name="_Toc166462813"/>
      <w:bookmarkStart w:id="3" w:name="_Toc168390786"/>
      <w:bookmarkStart w:id="4" w:name="_Toc168390861"/>
      <w:bookmarkStart w:id="5" w:name="_Toc168393146"/>
      <w:bookmarkStart w:id="6" w:name="_Toc168393299"/>
      <w:bookmarkStart w:id="7" w:name="_Toc168393404"/>
      <w:bookmarkStart w:id="8" w:name="_Toc168911238"/>
      <w:bookmarkStart w:id="9" w:name="_Toc168911467"/>
    </w:p>
    <w:p w14:paraId="2D678AFF" w14:textId="77777777" w:rsidR="004552D4" w:rsidRPr="004552D4" w:rsidRDefault="00CA459A" w:rsidP="004552D4">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7474"/>
          <w:tab w:val="clear" w:pos="8107"/>
          <w:tab w:val="clear" w:pos="8726"/>
          <w:tab w:val="left" w:pos="2880"/>
        </w:tabs>
        <w:ind w:left="0" w:firstLine="0"/>
        <w:jc w:val="center"/>
      </w:pPr>
      <w:r>
        <w:lastRenderedPageBreak/>
        <w:t xml:space="preserve">Attachment 1:  </w:t>
      </w:r>
      <w:r w:rsidR="004552D4" w:rsidRPr="004552D4">
        <w:t>Revision History for IP 71124, Attachment 07</w:t>
      </w:r>
    </w:p>
    <w:p w14:paraId="784C1D45" w14:textId="77777777" w:rsidR="004552D4" w:rsidRPr="004552D4" w:rsidRDefault="004552D4" w:rsidP="004552D4">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7474"/>
          <w:tab w:val="clear" w:pos="8107"/>
          <w:tab w:val="clear" w:pos="8726"/>
        </w:tabs>
        <w:ind w:left="0" w:firstLine="0"/>
        <w:jc w:val="left"/>
        <w:outlineLvl w:val="1"/>
      </w:pPr>
    </w:p>
    <w:tbl>
      <w:tblPr>
        <w:tblW w:w="13230" w:type="dxa"/>
        <w:jc w:val="center"/>
        <w:tblLayout w:type="fixed"/>
        <w:tblCellMar>
          <w:left w:w="120" w:type="dxa"/>
          <w:right w:w="120" w:type="dxa"/>
        </w:tblCellMar>
        <w:tblLook w:val="0020" w:firstRow="1" w:lastRow="0" w:firstColumn="0" w:lastColumn="0" w:noHBand="0" w:noVBand="0"/>
      </w:tblPr>
      <w:tblGrid>
        <w:gridCol w:w="1530"/>
        <w:gridCol w:w="2160"/>
        <w:gridCol w:w="4545"/>
        <w:gridCol w:w="2430"/>
        <w:gridCol w:w="2565"/>
      </w:tblGrid>
      <w:tr w:rsidR="004552D4" w:rsidRPr="00681A32" w14:paraId="3C5981D1" w14:textId="77777777" w:rsidTr="00D64B7D">
        <w:trPr>
          <w:tblHeader/>
          <w:jc w:val="center"/>
        </w:trPr>
        <w:tc>
          <w:tcPr>
            <w:tcW w:w="1530" w:type="dxa"/>
            <w:tcBorders>
              <w:top w:val="single" w:sz="6" w:space="0" w:color="000000"/>
              <w:left w:val="single" w:sz="6" w:space="0" w:color="000000"/>
              <w:bottom w:val="single" w:sz="6" w:space="0" w:color="000000"/>
              <w:right w:val="single" w:sz="6" w:space="0" w:color="000000"/>
            </w:tcBorders>
          </w:tcPr>
          <w:p w14:paraId="1B0BC898" w14:textId="77777777" w:rsidR="004552D4" w:rsidRPr="00681A32" w:rsidRDefault="004552D4" w:rsidP="009119B8">
            <w:pPr>
              <w:ind w:left="0" w:firstLine="0"/>
              <w:jc w:val="center"/>
            </w:pPr>
            <w:r w:rsidRPr="00681A32">
              <w:t>Commitment Tracking Number</w:t>
            </w:r>
          </w:p>
        </w:tc>
        <w:tc>
          <w:tcPr>
            <w:tcW w:w="2160" w:type="dxa"/>
            <w:tcBorders>
              <w:top w:val="single" w:sz="6" w:space="0" w:color="000000"/>
              <w:left w:val="single" w:sz="6" w:space="0" w:color="000000"/>
              <w:bottom w:val="single" w:sz="6" w:space="0" w:color="000000"/>
              <w:right w:val="single" w:sz="6" w:space="0" w:color="000000"/>
            </w:tcBorders>
          </w:tcPr>
          <w:p w14:paraId="2E1B31AE" w14:textId="77777777" w:rsidR="004552D4" w:rsidRPr="00681A32" w:rsidRDefault="004552D4" w:rsidP="009119B8">
            <w:pPr>
              <w:ind w:left="0" w:firstLine="0"/>
              <w:jc w:val="center"/>
            </w:pPr>
            <w:r w:rsidRPr="00681A32">
              <w:t>Accession Number Issue Date   Change Notice</w:t>
            </w:r>
          </w:p>
        </w:tc>
        <w:tc>
          <w:tcPr>
            <w:tcW w:w="4545" w:type="dxa"/>
            <w:tcBorders>
              <w:top w:val="single" w:sz="6" w:space="0" w:color="000000"/>
              <w:left w:val="single" w:sz="6" w:space="0" w:color="000000"/>
              <w:bottom w:val="single" w:sz="6" w:space="0" w:color="000000"/>
              <w:right w:val="single" w:sz="6" w:space="0" w:color="000000"/>
            </w:tcBorders>
          </w:tcPr>
          <w:p w14:paraId="644DBE78" w14:textId="77777777" w:rsidR="004552D4" w:rsidRPr="00681A32" w:rsidRDefault="004552D4" w:rsidP="009119B8">
            <w:pPr>
              <w:ind w:left="0" w:firstLine="0"/>
              <w:jc w:val="center"/>
            </w:pPr>
            <w:r w:rsidRPr="00681A32">
              <w:t>Description of Change</w:t>
            </w:r>
          </w:p>
        </w:tc>
        <w:tc>
          <w:tcPr>
            <w:tcW w:w="2430" w:type="dxa"/>
            <w:tcBorders>
              <w:top w:val="single" w:sz="6" w:space="0" w:color="000000"/>
              <w:left w:val="single" w:sz="6" w:space="0" w:color="000000"/>
              <w:bottom w:val="single" w:sz="6" w:space="0" w:color="000000"/>
              <w:right w:val="single" w:sz="6" w:space="0" w:color="000000"/>
            </w:tcBorders>
          </w:tcPr>
          <w:p w14:paraId="1590EEC4" w14:textId="77777777" w:rsidR="004552D4" w:rsidRPr="00681A32" w:rsidRDefault="004552D4" w:rsidP="009119B8">
            <w:pPr>
              <w:ind w:left="0" w:firstLine="0"/>
              <w:jc w:val="center"/>
            </w:pPr>
            <w:r w:rsidRPr="00681A32">
              <w:t>Description of Training Required and Completion Date</w:t>
            </w:r>
          </w:p>
        </w:tc>
        <w:tc>
          <w:tcPr>
            <w:tcW w:w="2565" w:type="dxa"/>
            <w:tcBorders>
              <w:top w:val="single" w:sz="6" w:space="0" w:color="000000"/>
              <w:left w:val="single" w:sz="6" w:space="0" w:color="000000"/>
              <w:bottom w:val="single" w:sz="6" w:space="0" w:color="000000"/>
              <w:right w:val="single" w:sz="6" w:space="0" w:color="000000"/>
            </w:tcBorders>
          </w:tcPr>
          <w:p w14:paraId="7424A1A1" w14:textId="461F6442" w:rsidR="004552D4" w:rsidRPr="00681A32" w:rsidRDefault="004552D4" w:rsidP="009119B8">
            <w:pPr>
              <w:ind w:left="0" w:firstLine="0"/>
              <w:jc w:val="center"/>
            </w:pPr>
            <w:r w:rsidRPr="00681A32">
              <w:t xml:space="preserve">Comment </w:t>
            </w:r>
            <w:r w:rsidR="00475B2D">
              <w:t xml:space="preserve">Resolution </w:t>
            </w:r>
            <w:r w:rsidRPr="00681A32">
              <w:t xml:space="preserve">and </w:t>
            </w:r>
            <w:r w:rsidR="00475B2D">
              <w:t xml:space="preserve">Closed </w:t>
            </w:r>
            <w:r w:rsidRPr="00681A32">
              <w:t xml:space="preserve">Feedback </w:t>
            </w:r>
            <w:r w:rsidR="00475B2D">
              <w:t>Form</w:t>
            </w:r>
            <w:r w:rsidRPr="00681A32">
              <w:t xml:space="preserve"> Accession Number (Pre-Decisional, Non-Public Information)</w:t>
            </w:r>
          </w:p>
        </w:tc>
      </w:tr>
      <w:tr w:rsidR="004552D4" w:rsidRPr="00681A32" w14:paraId="3E66EB24" w14:textId="77777777" w:rsidTr="00D64B7D">
        <w:trPr>
          <w:jc w:val="center"/>
        </w:trPr>
        <w:tc>
          <w:tcPr>
            <w:tcW w:w="1530" w:type="dxa"/>
            <w:tcBorders>
              <w:top w:val="single" w:sz="6" w:space="0" w:color="000000"/>
              <w:left w:val="single" w:sz="6" w:space="0" w:color="000000"/>
              <w:bottom w:val="single" w:sz="6" w:space="0" w:color="000000"/>
              <w:right w:val="single" w:sz="6" w:space="0" w:color="000000"/>
            </w:tcBorders>
          </w:tcPr>
          <w:p w14:paraId="50D61128" w14:textId="77777777" w:rsidR="004552D4" w:rsidRPr="00681A32" w:rsidRDefault="004552D4" w:rsidP="00CA459A">
            <w:pPr>
              <w:ind w:left="0" w:firstLine="0"/>
              <w:jc w:val="left"/>
            </w:pPr>
            <w:r w:rsidRPr="00681A32">
              <w:t>N/A</w:t>
            </w:r>
          </w:p>
        </w:tc>
        <w:tc>
          <w:tcPr>
            <w:tcW w:w="2160" w:type="dxa"/>
            <w:tcBorders>
              <w:top w:val="single" w:sz="6" w:space="0" w:color="000000"/>
              <w:left w:val="single" w:sz="6" w:space="0" w:color="000000"/>
              <w:bottom w:val="single" w:sz="6" w:space="0" w:color="000000"/>
              <w:right w:val="single" w:sz="6" w:space="0" w:color="000000"/>
            </w:tcBorders>
          </w:tcPr>
          <w:p w14:paraId="3F5D0A64" w14:textId="77777777" w:rsidR="004552D4" w:rsidRPr="00681A32" w:rsidRDefault="004552D4" w:rsidP="00CA459A">
            <w:pPr>
              <w:ind w:left="0" w:firstLine="0"/>
              <w:jc w:val="left"/>
            </w:pPr>
            <w:r w:rsidRPr="00681A32">
              <w:t>12/02/09</w:t>
            </w:r>
          </w:p>
          <w:p w14:paraId="6F647684" w14:textId="77777777" w:rsidR="004552D4" w:rsidRPr="00681A32" w:rsidRDefault="004552D4" w:rsidP="00CA459A">
            <w:pPr>
              <w:ind w:left="0" w:firstLine="0"/>
              <w:jc w:val="left"/>
            </w:pPr>
            <w:r w:rsidRPr="00681A32">
              <w:t>CN 09-030</w:t>
            </w:r>
          </w:p>
        </w:tc>
        <w:tc>
          <w:tcPr>
            <w:tcW w:w="4545" w:type="dxa"/>
            <w:tcBorders>
              <w:top w:val="single" w:sz="6" w:space="0" w:color="000000"/>
              <w:left w:val="single" w:sz="6" w:space="0" w:color="000000"/>
              <w:bottom w:val="single" w:sz="6" w:space="0" w:color="000000"/>
              <w:right w:val="single" w:sz="6" w:space="0" w:color="000000"/>
            </w:tcBorders>
          </w:tcPr>
          <w:p w14:paraId="7C239E22" w14:textId="77777777" w:rsidR="004552D4" w:rsidRPr="00681A32" w:rsidRDefault="004552D4" w:rsidP="00CA459A">
            <w:pPr>
              <w:ind w:left="0" w:firstLine="0"/>
              <w:jc w:val="left"/>
            </w:pPr>
            <w:r w:rsidRPr="00681A32">
              <w:t>Conducted four year search for commitments and found none.</w:t>
            </w:r>
          </w:p>
          <w:p w14:paraId="7D768C0A" w14:textId="77777777" w:rsidR="004552D4" w:rsidRPr="00681A32" w:rsidRDefault="004552D4" w:rsidP="00CA459A">
            <w:pPr>
              <w:ind w:left="0" w:firstLine="0"/>
              <w:jc w:val="left"/>
            </w:pPr>
            <w:r w:rsidRPr="00681A32">
              <w:t>This new procedure is being issued as a result of the 2009 ROP IP Realignment.  It supersedes inspection requirements in IP 71121 and 71122.</w:t>
            </w:r>
          </w:p>
        </w:tc>
        <w:tc>
          <w:tcPr>
            <w:tcW w:w="2430" w:type="dxa"/>
            <w:tcBorders>
              <w:top w:val="single" w:sz="6" w:space="0" w:color="000000"/>
              <w:left w:val="single" w:sz="6" w:space="0" w:color="000000"/>
              <w:bottom w:val="single" w:sz="6" w:space="0" w:color="000000"/>
              <w:right w:val="single" w:sz="6" w:space="0" w:color="000000"/>
            </w:tcBorders>
          </w:tcPr>
          <w:p w14:paraId="47E7480E" w14:textId="77777777" w:rsidR="004552D4" w:rsidRPr="00681A32" w:rsidRDefault="004552D4" w:rsidP="00CA459A">
            <w:pPr>
              <w:ind w:left="0" w:firstLine="0"/>
              <w:jc w:val="left"/>
            </w:pPr>
            <w:r w:rsidRPr="00681A32">
              <w:t>Y</w:t>
            </w:r>
            <w:r w:rsidR="009119B8" w:rsidRPr="00681A32">
              <w:t>es</w:t>
            </w:r>
          </w:p>
          <w:p w14:paraId="0EC414A2" w14:textId="77777777" w:rsidR="004552D4" w:rsidRPr="00681A32" w:rsidRDefault="004552D4" w:rsidP="00CA459A">
            <w:pPr>
              <w:ind w:left="0" w:firstLine="0"/>
              <w:jc w:val="left"/>
            </w:pPr>
            <w:r w:rsidRPr="00681A32">
              <w:t>09/09/2009</w:t>
            </w:r>
          </w:p>
        </w:tc>
        <w:tc>
          <w:tcPr>
            <w:tcW w:w="2565" w:type="dxa"/>
            <w:tcBorders>
              <w:top w:val="single" w:sz="6" w:space="0" w:color="000000"/>
              <w:left w:val="single" w:sz="6" w:space="0" w:color="000000"/>
              <w:bottom w:val="single" w:sz="6" w:space="0" w:color="000000"/>
              <w:right w:val="single" w:sz="6" w:space="0" w:color="000000"/>
            </w:tcBorders>
          </w:tcPr>
          <w:p w14:paraId="135852A3" w14:textId="77777777" w:rsidR="004552D4" w:rsidRPr="00681A32" w:rsidRDefault="004552D4" w:rsidP="00CA459A">
            <w:pPr>
              <w:ind w:left="0" w:firstLine="0"/>
              <w:jc w:val="left"/>
            </w:pPr>
            <w:r w:rsidRPr="00681A32">
              <w:t>ML092810423</w:t>
            </w:r>
          </w:p>
        </w:tc>
      </w:tr>
      <w:tr w:rsidR="009D194B" w:rsidRPr="00681A32" w14:paraId="39976FED" w14:textId="77777777" w:rsidTr="00D64B7D">
        <w:trPr>
          <w:jc w:val="center"/>
        </w:trPr>
        <w:tc>
          <w:tcPr>
            <w:tcW w:w="1530" w:type="dxa"/>
            <w:tcBorders>
              <w:top w:val="single" w:sz="6" w:space="0" w:color="000000"/>
              <w:left w:val="single" w:sz="6" w:space="0" w:color="000000"/>
              <w:bottom w:val="single" w:sz="6" w:space="0" w:color="000000"/>
              <w:right w:val="single" w:sz="6" w:space="0" w:color="000000"/>
            </w:tcBorders>
          </w:tcPr>
          <w:p w14:paraId="0D579933" w14:textId="77777777" w:rsidR="009D194B" w:rsidRPr="00681A32" w:rsidRDefault="009D194B" w:rsidP="00CA459A">
            <w:pPr>
              <w:spacing w:line="240" w:lineRule="exact"/>
              <w:jc w:val="left"/>
              <w:outlineLvl w:val="1"/>
              <w:rPr>
                <w:i/>
              </w:rPr>
            </w:pPr>
            <w:r w:rsidRPr="00681A32">
              <w:rPr>
                <w:i/>
              </w:rPr>
              <w:t>C1</w:t>
            </w:r>
          </w:p>
          <w:p w14:paraId="749CFA30" w14:textId="77777777" w:rsidR="009D194B" w:rsidRPr="00681A32" w:rsidRDefault="009D194B" w:rsidP="00CA459A">
            <w:pPr>
              <w:spacing w:line="240" w:lineRule="exact"/>
              <w:jc w:val="left"/>
              <w:outlineLvl w:val="1"/>
            </w:pPr>
            <w:r w:rsidRPr="00681A32">
              <w:t xml:space="preserve">Reference: </w:t>
            </w:r>
          </w:p>
          <w:p w14:paraId="4536FA46" w14:textId="77777777" w:rsidR="009D194B" w:rsidRPr="00681A32" w:rsidRDefault="009D194B" w:rsidP="00CA459A">
            <w:pPr>
              <w:tabs>
                <w:tab w:val="clear" w:pos="806"/>
                <w:tab w:val="left" w:pos="15"/>
              </w:tabs>
              <w:spacing w:line="240" w:lineRule="exact"/>
              <w:ind w:left="15" w:hanging="15"/>
              <w:jc w:val="left"/>
              <w:outlineLvl w:val="1"/>
            </w:pPr>
            <w:r w:rsidRPr="00681A32">
              <w:t>SRM-SECY-11-019 (August 15, 2011)</w:t>
            </w:r>
          </w:p>
          <w:p w14:paraId="174768C2" w14:textId="77777777" w:rsidR="009D194B" w:rsidRDefault="009D194B" w:rsidP="00CA459A">
            <w:pPr>
              <w:ind w:left="0" w:firstLine="0"/>
              <w:jc w:val="left"/>
            </w:pPr>
            <w:r w:rsidRPr="00681A32">
              <w:t>Senior Management Review of Overall Regulatory Approach to Groundwater Protection</w:t>
            </w:r>
          </w:p>
          <w:p w14:paraId="30795401" w14:textId="77777777" w:rsidR="008C0D36" w:rsidRDefault="008C0D36" w:rsidP="00CA459A">
            <w:pPr>
              <w:ind w:left="0" w:firstLine="0"/>
              <w:jc w:val="left"/>
            </w:pPr>
          </w:p>
          <w:p w14:paraId="692C2C90" w14:textId="7DD23910" w:rsidR="008C0D36" w:rsidRPr="00681A32" w:rsidRDefault="008C0D36" w:rsidP="00CA459A">
            <w:pPr>
              <w:ind w:left="0" w:firstLine="0"/>
              <w:jc w:val="left"/>
            </w:pPr>
            <w:r>
              <w:t>CA Note Dated December 14</w:t>
            </w:r>
            <w:r w:rsidRPr="008C0D36">
              <w:rPr>
                <w:vertAlign w:val="superscript"/>
              </w:rPr>
              <w:t>th</w:t>
            </w:r>
            <w:r>
              <w:t>, 2012 (ML12347A290)</w:t>
            </w:r>
          </w:p>
        </w:tc>
        <w:tc>
          <w:tcPr>
            <w:tcW w:w="2160" w:type="dxa"/>
            <w:tcBorders>
              <w:top w:val="single" w:sz="6" w:space="0" w:color="000000"/>
              <w:left w:val="single" w:sz="6" w:space="0" w:color="000000"/>
              <w:bottom w:val="single" w:sz="6" w:space="0" w:color="000000"/>
              <w:right w:val="single" w:sz="6" w:space="0" w:color="000000"/>
            </w:tcBorders>
          </w:tcPr>
          <w:p w14:paraId="5EB6880C" w14:textId="77777777" w:rsidR="009D194B" w:rsidRPr="00681A32" w:rsidRDefault="009D194B" w:rsidP="00CA459A">
            <w:pPr>
              <w:widowControl w:val="0"/>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7474"/>
                <w:tab w:val="clear" w:pos="8107"/>
                <w:tab w:val="clear" w:pos="8726"/>
              </w:tabs>
              <w:autoSpaceDE w:val="0"/>
              <w:autoSpaceDN w:val="0"/>
              <w:adjustRightInd w:val="0"/>
              <w:spacing w:line="240" w:lineRule="exact"/>
              <w:ind w:left="0" w:firstLine="0"/>
              <w:jc w:val="left"/>
              <w:outlineLvl w:val="1"/>
            </w:pPr>
            <w:r w:rsidRPr="00681A32">
              <w:t>ML12321A387</w:t>
            </w:r>
          </w:p>
          <w:p w14:paraId="1B8E183E" w14:textId="77777777" w:rsidR="009D194B" w:rsidRPr="00681A32" w:rsidRDefault="009D194B" w:rsidP="00CA459A">
            <w:pPr>
              <w:widowControl w:val="0"/>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7474"/>
                <w:tab w:val="clear" w:pos="8107"/>
                <w:tab w:val="clear" w:pos="8726"/>
              </w:tabs>
              <w:autoSpaceDE w:val="0"/>
              <w:autoSpaceDN w:val="0"/>
              <w:adjustRightInd w:val="0"/>
              <w:spacing w:line="240" w:lineRule="exact"/>
              <w:ind w:left="0" w:firstLine="0"/>
              <w:jc w:val="left"/>
              <w:outlineLvl w:val="1"/>
            </w:pPr>
            <w:r w:rsidRPr="00681A32">
              <w:t>06/06/13</w:t>
            </w:r>
          </w:p>
          <w:p w14:paraId="3544BADF" w14:textId="77777777" w:rsidR="009D194B" w:rsidRPr="00681A32" w:rsidRDefault="009D194B" w:rsidP="00CA459A">
            <w:pPr>
              <w:ind w:left="0" w:firstLine="0"/>
              <w:jc w:val="left"/>
            </w:pPr>
            <w:r w:rsidRPr="00681A32">
              <w:t>CN 13-013</w:t>
            </w:r>
          </w:p>
        </w:tc>
        <w:tc>
          <w:tcPr>
            <w:tcW w:w="4545" w:type="dxa"/>
            <w:tcBorders>
              <w:top w:val="single" w:sz="6" w:space="0" w:color="000000"/>
              <w:left w:val="single" w:sz="6" w:space="0" w:color="000000"/>
              <w:bottom w:val="single" w:sz="6" w:space="0" w:color="000000"/>
              <w:right w:val="single" w:sz="6" w:space="0" w:color="000000"/>
            </w:tcBorders>
          </w:tcPr>
          <w:p w14:paraId="28C1C744" w14:textId="77777777" w:rsidR="009D194B" w:rsidRPr="00681A32" w:rsidRDefault="009D194B" w:rsidP="00CA459A">
            <w:pPr>
              <w:ind w:left="0" w:firstLine="0"/>
              <w:jc w:val="left"/>
            </w:pPr>
            <w:r w:rsidRPr="00681A32">
              <w:t>This revision directs the inspection staff to document observations of incomplete or discontinued implementation of the NEI/industry ground water protection Initiative (GPI). The revision also instructs inspection staff that if the licensee is not implementing the GPI, to review the adequacy of the licensee’s implementation of the Decommissioning Planning Rule under 10 CFR 20.1406(c) and 10 CFR 20.1501, including Part 52 licensee requirements to implement the GPI and NEI-08-08A.</w:t>
            </w:r>
          </w:p>
        </w:tc>
        <w:tc>
          <w:tcPr>
            <w:tcW w:w="2430" w:type="dxa"/>
            <w:tcBorders>
              <w:top w:val="single" w:sz="6" w:space="0" w:color="000000"/>
              <w:left w:val="single" w:sz="6" w:space="0" w:color="000000"/>
              <w:bottom w:val="single" w:sz="6" w:space="0" w:color="000000"/>
              <w:right w:val="single" w:sz="6" w:space="0" w:color="000000"/>
            </w:tcBorders>
          </w:tcPr>
          <w:p w14:paraId="2D0655C5" w14:textId="77777777" w:rsidR="009D194B" w:rsidRPr="00681A32" w:rsidRDefault="009D194B" w:rsidP="00CA459A">
            <w:pPr>
              <w:ind w:left="0" w:firstLine="0"/>
              <w:jc w:val="left"/>
            </w:pPr>
            <w:r w:rsidRPr="00681A32">
              <w:t>N/A</w:t>
            </w:r>
          </w:p>
        </w:tc>
        <w:tc>
          <w:tcPr>
            <w:tcW w:w="2565" w:type="dxa"/>
            <w:tcBorders>
              <w:top w:val="single" w:sz="6" w:space="0" w:color="000000"/>
              <w:left w:val="single" w:sz="6" w:space="0" w:color="000000"/>
              <w:bottom w:val="single" w:sz="6" w:space="0" w:color="000000"/>
              <w:right w:val="single" w:sz="6" w:space="0" w:color="000000"/>
            </w:tcBorders>
          </w:tcPr>
          <w:p w14:paraId="671526C7" w14:textId="77777777" w:rsidR="009D194B" w:rsidRPr="00681A32" w:rsidRDefault="009D194B" w:rsidP="00CA459A">
            <w:pPr>
              <w:widowControl w:val="0"/>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7474"/>
                <w:tab w:val="clear" w:pos="8107"/>
                <w:tab w:val="clear" w:pos="8726"/>
              </w:tabs>
              <w:autoSpaceDE w:val="0"/>
              <w:autoSpaceDN w:val="0"/>
              <w:adjustRightInd w:val="0"/>
              <w:ind w:left="0" w:firstLine="0"/>
              <w:jc w:val="left"/>
              <w:outlineLvl w:val="1"/>
            </w:pPr>
            <w:r w:rsidRPr="00681A32">
              <w:t>ML13085A201</w:t>
            </w:r>
          </w:p>
          <w:p w14:paraId="317D93AF" w14:textId="77777777" w:rsidR="009D194B" w:rsidRPr="00681A32" w:rsidRDefault="009D194B" w:rsidP="00CA459A">
            <w:pPr>
              <w:ind w:left="0" w:firstLine="0"/>
              <w:jc w:val="left"/>
            </w:pPr>
            <w:r w:rsidRPr="00681A32">
              <w:t>ML13129A076</w:t>
            </w:r>
          </w:p>
        </w:tc>
      </w:tr>
    </w:tbl>
    <w:p w14:paraId="0FEE8339" w14:textId="77777777" w:rsidR="005338CD" w:rsidRDefault="005338CD">
      <w:pPr>
        <w:sectPr w:rsidR="005338CD" w:rsidSect="00681A32">
          <w:footerReference w:type="default" r:id="rId12"/>
          <w:pgSz w:w="15840" w:h="12240" w:orient="landscape" w:code="1"/>
          <w:pgMar w:top="1440" w:right="1440" w:bottom="1440" w:left="1440" w:header="720" w:footer="720" w:gutter="0"/>
          <w:cols w:space="720"/>
          <w:docGrid w:linePitch="299"/>
        </w:sectPr>
      </w:pPr>
    </w:p>
    <w:p w14:paraId="1506CC03" w14:textId="7B15D738" w:rsidR="005338CD" w:rsidRDefault="005338CD"/>
    <w:tbl>
      <w:tblPr>
        <w:tblW w:w="13230" w:type="dxa"/>
        <w:jc w:val="center"/>
        <w:tblLayout w:type="fixed"/>
        <w:tblCellMar>
          <w:left w:w="120" w:type="dxa"/>
          <w:right w:w="120" w:type="dxa"/>
        </w:tblCellMar>
        <w:tblLook w:val="0000" w:firstRow="0" w:lastRow="0" w:firstColumn="0" w:lastColumn="0" w:noHBand="0" w:noVBand="0"/>
      </w:tblPr>
      <w:tblGrid>
        <w:gridCol w:w="1530"/>
        <w:gridCol w:w="2160"/>
        <w:gridCol w:w="4545"/>
        <w:gridCol w:w="2430"/>
        <w:gridCol w:w="2565"/>
      </w:tblGrid>
      <w:tr w:rsidR="005338CD" w:rsidRPr="00681A32" w14:paraId="2142640E" w14:textId="77777777" w:rsidTr="00CA459A">
        <w:trPr>
          <w:jc w:val="center"/>
        </w:trPr>
        <w:tc>
          <w:tcPr>
            <w:tcW w:w="1530" w:type="dxa"/>
            <w:tcBorders>
              <w:top w:val="single" w:sz="6" w:space="0" w:color="000000"/>
              <w:left w:val="single" w:sz="6" w:space="0" w:color="000000"/>
              <w:bottom w:val="single" w:sz="6" w:space="0" w:color="000000"/>
              <w:right w:val="single" w:sz="6" w:space="0" w:color="000000"/>
            </w:tcBorders>
          </w:tcPr>
          <w:p w14:paraId="52BA6E60" w14:textId="21A2E0D3" w:rsidR="005338CD" w:rsidRPr="00681A32" w:rsidRDefault="005338CD" w:rsidP="005338CD">
            <w:pPr>
              <w:ind w:left="0" w:firstLine="0"/>
              <w:jc w:val="left"/>
            </w:pPr>
            <w:r w:rsidRPr="00681A32">
              <w:t>Commitment Tracking Number</w:t>
            </w:r>
          </w:p>
        </w:tc>
        <w:tc>
          <w:tcPr>
            <w:tcW w:w="2160" w:type="dxa"/>
            <w:tcBorders>
              <w:top w:val="single" w:sz="6" w:space="0" w:color="000000"/>
              <w:left w:val="single" w:sz="6" w:space="0" w:color="000000"/>
              <w:bottom w:val="single" w:sz="6" w:space="0" w:color="000000"/>
              <w:right w:val="single" w:sz="6" w:space="0" w:color="000000"/>
            </w:tcBorders>
          </w:tcPr>
          <w:p w14:paraId="55294153" w14:textId="0097C34A" w:rsidR="005338CD" w:rsidRPr="00681A32" w:rsidRDefault="005338CD" w:rsidP="005338CD">
            <w:pPr>
              <w:ind w:left="0" w:firstLine="0"/>
              <w:jc w:val="left"/>
            </w:pPr>
            <w:r w:rsidRPr="00681A32">
              <w:t>Accession Number Issue Date   Change Notice</w:t>
            </w:r>
          </w:p>
        </w:tc>
        <w:tc>
          <w:tcPr>
            <w:tcW w:w="4545" w:type="dxa"/>
            <w:tcBorders>
              <w:top w:val="single" w:sz="6" w:space="0" w:color="000000"/>
              <w:left w:val="single" w:sz="6" w:space="0" w:color="000000"/>
              <w:bottom w:val="single" w:sz="6" w:space="0" w:color="000000"/>
              <w:right w:val="single" w:sz="6" w:space="0" w:color="000000"/>
            </w:tcBorders>
          </w:tcPr>
          <w:p w14:paraId="2ABBEEEF" w14:textId="592BB00B" w:rsidR="005338CD" w:rsidRPr="00681A32" w:rsidRDefault="005338CD" w:rsidP="005338CD">
            <w:pPr>
              <w:ind w:left="0" w:firstLine="0"/>
              <w:jc w:val="left"/>
            </w:pPr>
            <w:r w:rsidRPr="00681A32">
              <w:t>Description of Change</w:t>
            </w:r>
          </w:p>
        </w:tc>
        <w:tc>
          <w:tcPr>
            <w:tcW w:w="2430" w:type="dxa"/>
            <w:tcBorders>
              <w:top w:val="single" w:sz="6" w:space="0" w:color="000000"/>
              <w:left w:val="single" w:sz="6" w:space="0" w:color="000000"/>
              <w:bottom w:val="single" w:sz="6" w:space="0" w:color="000000"/>
              <w:right w:val="single" w:sz="6" w:space="0" w:color="000000"/>
            </w:tcBorders>
          </w:tcPr>
          <w:p w14:paraId="06CA223E" w14:textId="7C0D7EBE" w:rsidR="005338CD" w:rsidRPr="00681A32" w:rsidRDefault="005338CD" w:rsidP="005338CD">
            <w:pPr>
              <w:ind w:left="0" w:firstLine="0"/>
              <w:jc w:val="left"/>
            </w:pPr>
            <w:r w:rsidRPr="00681A32">
              <w:t>Description of Training Required and Completion Date</w:t>
            </w:r>
          </w:p>
        </w:tc>
        <w:tc>
          <w:tcPr>
            <w:tcW w:w="2565" w:type="dxa"/>
            <w:tcBorders>
              <w:top w:val="single" w:sz="6" w:space="0" w:color="000000"/>
              <w:left w:val="single" w:sz="6" w:space="0" w:color="000000"/>
              <w:bottom w:val="single" w:sz="6" w:space="0" w:color="000000"/>
              <w:right w:val="single" w:sz="6" w:space="0" w:color="000000"/>
            </w:tcBorders>
          </w:tcPr>
          <w:p w14:paraId="139048B8" w14:textId="67B71003" w:rsidR="005338CD" w:rsidRPr="00681A32" w:rsidRDefault="00475B2D" w:rsidP="005338CD">
            <w:pPr>
              <w:ind w:left="0" w:firstLine="0"/>
              <w:jc w:val="left"/>
            </w:pPr>
            <w:r w:rsidRPr="00681A32">
              <w:t xml:space="preserve">Comment </w:t>
            </w:r>
            <w:r>
              <w:t xml:space="preserve">Resolution </w:t>
            </w:r>
            <w:r w:rsidRPr="00681A32">
              <w:t xml:space="preserve">and </w:t>
            </w:r>
            <w:r>
              <w:t xml:space="preserve">Closed </w:t>
            </w:r>
            <w:r w:rsidRPr="00681A32">
              <w:t xml:space="preserve">Feedback </w:t>
            </w:r>
            <w:r>
              <w:t>Form</w:t>
            </w:r>
            <w:r w:rsidRPr="00681A32">
              <w:t xml:space="preserve"> Accession Number (Pre-Decisional, Non-Public Information)</w:t>
            </w:r>
          </w:p>
        </w:tc>
      </w:tr>
      <w:tr w:rsidR="005338CD" w:rsidRPr="00681A32" w14:paraId="00B093F3" w14:textId="77777777" w:rsidTr="00CA459A">
        <w:trPr>
          <w:jc w:val="center"/>
        </w:trPr>
        <w:tc>
          <w:tcPr>
            <w:tcW w:w="1530" w:type="dxa"/>
            <w:tcBorders>
              <w:top w:val="single" w:sz="6" w:space="0" w:color="000000"/>
              <w:left w:val="single" w:sz="6" w:space="0" w:color="000000"/>
              <w:bottom w:val="single" w:sz="6" w:space="0" w:color="000000"/>
              <w:right w:val="single" w:sz="6" w:space="0" w:color="000000"/>
            </w:tcBorders>
          </w:tcPr>
          <w:p w14:paraId="56ED20F3" w14:textId="77777777" w:rsidR="005338CD" w:rsidRPr="00681A32" w:rsidRDefault="005338CD" w:rsidP="005338CD">
            <w:pPr>
              <w:ind w:left="0" w:firstLine="0"/>
              <w:jc w:val="left"/>
            </w:pPr>
            <w:r w:rsidRPr="00681A32">
              <w:t>N/A</w:t>
            </w:r>
          </w:p>
        </w:tc>
        <w:tc>
          <w:tcPr>
            <w:tcW w:w="2160" w:type="dxa"/>
            <w:tcBorders>
              <w:top w:val="single" w:sz="6" w:space="0" w:color="000000"/>
              <w:left w:val="single" w:sz="6" w:space="0" w:color="000000"/>
              <w:bottom w:val="single" w:sz="6" w:space="0" w:color="000000"/>
              <w:right w:val="single" w:sz="6" w:space="0" w:color="000000"/>
            </w:tcBorders>
          </w:tcPr>
          <w:p w14:paraId="6215F13A" w14:textId="77777777" w:rsidR="005338CD" w:rsidRPr="00681A32" w:rsidRDefault="005338CD" w:rsidP="005338CD">
            <w:pPr>
              <w:ind w:left="0" w:firstLine="0"/>
              <w:jc w:val="left"/>
            </w:pPr>
            <w:r w:rsidRPr="00681A32">
              <w:t>ML15345A067</w:t>
            </w:r>
          </w:p>
          <w:p w14:paraId="7ED43966" w14:textId="77777777" w:rsidR="005338CD" w:rsidRPr="00681A32" w:rsidRDefault="005338CD" w:rsidP="005338CD">
            <w:pPr>
              <w:ind w:left="0" w:firstLine="0"/>
              <w:jc w:val="left"/>
            </w:pPr>
            <w:r w:rsidRPr="00681A32">
              <w:t>04/01/16</w:t>
            </w:r>
          </w:p>
          <w:p w14:paraId="2EAAFD82" w14:textId="77777777" w:rsidR="005338CD" w:rsidRPr="00681A32" w:rsidRDefault="005338CD" w:rsidP="005338CD">
            <w:pPr>
              <w:ind w:left="0" w:firstLine="0"/>
              <w:jc w:val="left"/>
            </w:pPr>
            <w:r w:rsidRPr="00681A32">
              <w:t>CN 16-010</w:t>
            </w:r>
          </w:p>
        </w:tc>
        <w:tc>
          <w:tcPr>
            <w:tcW w:w="4545" w:type="dxa"/>
            <w:tcBorders>
              <w:top w:val="single" w:sz="6" w:space="0" w:color="000000"/>
              <w:left w:val="single" w:sz="6" w:space="0" w:color="000000"/>
              <w:bottom w:val="single" w:sz="6" w:space="0" w:color="000000"/>
              <w:right w:val="single" w:sz="6" w:space="0" w:color="000000"/>
            </w:tcBorders>
          </w:tcPr>
          <w:p w14:paraId="70CC3D04" w14:textId="77777777" w:rsidR="005338CD" w:rsidRPr="00681A32" w:rsidRDefault="005338CD" w:rsidP="005338CD">
            <w:pPr>
              <w:ind w:left="0" w:firstLine="0"/>
              <w:jc w:val="left"/>
            </w:pPr>
            <w:r w:rsidRPr="00681A32">
              <w:t xml:space="preserve">Revisions to the IP 71124.07 procedure attachment were made in response to the 2013 ROP Enhancement Project.  </w:t>
            </w:r>
          </w:p>
          <w:p w14:paraId="664DA5A8" w14:textId="77777777" w:rsidR="005338CD" w:rsidRPr="00681A32" w:rsidRDefault="005338CD" w:rsidP="005338CD">
            <w:pPr>
              <w:ind w:left="0" w:firstLine="0"/>
              <w:jc w:val="left"/>
            </w:pPr>
          </w:p>
          <w:p w14:paraId="4BD90AC0" w14:textId="77777777" w:rsidR="005338CD" w:rsidRPr="00681A32" w:rsidRDefault="005338CD" w:rsidP="005338CD">
            <w:pPr>
              <w:ind w:left="0" w:firstLine="0"/>
              <w:jc w:val="left"/>
            </w:pPr>
            <w:r w:rsidRPr="00681A32">
              <w:t>This revised procedure includes groundwater monitoring inspection requirements transferred in from IP 71124.06.</w:t>
            </w:r>
          </w:p>
          <w:p w14:paraId="607E5717" w14:textId="77777777" w:rsidR="005338CD" w:rsidRPr="00681A32" w:rsidRDefault="005338CD" w:rsidP="005338CD">
            <w:pPr>
              <w:ind w:left="0" w:firstLine="0"/>
              <w:jc w:val="left"/>
            </w:pPr>
          </w:p>
          <w:p w14:paraId="69E00A69" w14:textId="77777777" w:rsidR="005338CD" w:rsidRPr="00681A32" w:rsidRDefault="005338CD" w:rsidP="005338CD">
            <w:pPr>
              <w:ind w:left="0" w:firstLine="0"/>
              <w:jc w:val="left"/>
            </w:pPr>
            <w:r w:rsidRPr="00681A32">
              <w:t>The revision changed the way samples are counted.</w:t>
            </w:r>
          </w:p>
        </w:tc>
        <w:tc>
          <w:tcPr>
            <w:tcW w:w="2430" w:type="dxa"/>
            <w:tcBorders>
              <w:top w:val="single" w:sz="6" w:space="0" w:color="000000"/>
              <w:left w:val="single" w:sz="6" w:space="0" w:color="000000"/>
              <w:bottom w:val="single" w:sz="6" w:space="0" w:color="000000"/>
              <w:right w:val="single" w:sz="6" w:space="0" w:color="000000"/>
            </w:tcBorders>
          </w:tcPr>
          <w:p w14:paraId="52FC3E0D" w14:textId="77777777" w:rsidR="005338CD" w:rsidRPr="00681A32" w:rsidRDefault="005338CD" w:rsidP="005338CD">
            <w:pPr>
              <w:ind w:left="0" w:firstLine="0"/>
              <w:jc w:val="left"/>
            </w:pPr>
            <w:r w:rsidRPr="00681A32">
              <w:t xml:space="preserve"> N/A</w:t>
            </w:r>
          </w:p>
          <w:p w14:paraId="31E565BF" w14:textId="77777777" w:rsidR="005338CD" w:rsidRPr="00681A32" w:rsidRDefault="005338CD" w:rsidP="005338CD">
            <w:pPr>
              <w:ind w:left="0" w:firstLine="0"/>
              <w:jc w:val="left"/>
            </w:pPr>
          </w:p>
        </w:tc>
        <w:tc>
          <w:tcPr>
            <w:tcW w:w="2565" w:type="dxa"/>
            <w:tcBorders>
              <w:top w:val="single" w:sz="6" w:space="0" w:color="000000"/>
              <w:left w:val="single" w:sz="6" w:space="0" w:color="000000"/>
              <w:bottom w:val="single" w:sz="6" w:space="0" w:color="000000"/>
              <w:right w:val="single" w:sz="6" w:space="0" w:color="000000"/>
            </w:tcBorders>
          </w:tcPr>
          <w:p w14:paraId="487D0EE0" w14:textId="77777777" w:rsidR="005338CD" w:rsidRPr="00681A32" w:rsidRDefault="005338CD" w:rsidP="005338CD">
            <w:pPr>
              <w:ind w:left="0" w:firstLine="0"/>
              <w:jc w:val="left"/>
            </w:pPr>
            <w:r w:rsidRPr="00681A32">
              <w:t>IP revised only to include new sample sizes.  There is no valid comment resolution at this time.</w:t>
            </w:r>
          </w:p>
        </w:tc>
      </w:tr>
      <w:tr w:rsidR="005338CD" w:rsidRPr="00681A32" w14:paraId="6C897D9A" w14:textId="77777777" w:rsidTr="000442A4">
        <w:trPr>
          <w:jc w:val="center"/>
        </w:trPr>
        <w:tc>
          <w:tcPr>
            <w:tcW w:w="1530" w:type="dxa"/>
            <w:tcBorders>
              <w:top w:val="single" w:sz="6" w:space="0" w:color="000000"/>
              <w:left w:val="single" w:sz="6" w:space="0" w:color="000000"/>
              <w:bottom w:val="single" w:sz="6" w:space="0" w:color="000000"/>
              <w:right w:val="single" w:sz="6" w:space="0" w:color="000000"/>
            </w:tcBorders>
          </w:tcPr>
          <w:p w14:paraId="4B85DEC8" w14:textId="2E171C49" w:rsidR="005338CD" w:rsidRPr="005338CD" w:rsidRDefault="005338CD" w:rsidP="005338CD">
            <w:pPr>
              <w:ind w:left="0" w:firstLine="0"/>
              <w:jc w:val="left"/>
            </w:pPr>
            <w:r w:rsidRPr="005338CD">
              <w:t>N/A</w:t>
            </w:r>
          </w:p>
        </w:tc>
        <w:tc>
          <w:tcPr>
            <w:tcW w:w="2160" w:type="dxa"/>
            <w:tcBorders>
              <w:top w:val="single" w:sz="6" w:space="0" w:color="000000"/>
              <w:left w:val="single" w:sz="6" w:space="0" w:color="000000"/>
              <w:bottom w:val="single" w:sz="6" w:space="0" w:color="000000"/>
              <w:right w:val="single" w:sz="6" w:space="0" w:color="000000"/>
            </w:tcBorders>
          </w:tcPr>
          <w:p w14:paraId="0B870F03" w14:textId="77777777" w:rsidR="005338CD" w:rsidRDefault="005338CD" w:rsidP="005338CD">
            <w:pPr>
              <w:ind w:left="0" w:firstLine="0"/>
              <w:jc w:val="left"/>
            </w:pPr>
            <w:r w:rsidRPr="005338CD">
              <w:t>ML17286A291</w:t>
            </w:r>
          </w:p>
          <w:p w14:paraId="5757A8B3" w14:textId="77777777" w:rsidR="0090450E" w:rsidRDefault="0090450E" w:rsidP="005338CD">
            <w:pPr>
              <w:ind w:left="0" w:firstLine="0"/>
              <w:jc w:val="left"/>
            </w:pPr>
            <w:r>
              <w:t>12/21/17</w:t>
            </w:r>
          </w:p>
          <w:p w14:paraId="69C06C5B" w14:textId="01BABAA4" w:rsidR="0090450E" w:rsidRPr="005338CD" w:rsidRDefault="0090450E" w:rsidP="005338CD">
            <w:pPr>
              <w:ind w:left="0" w:firstLine="0"/>
              <w:jc w:val="left"/>
            </w:pPr>
            <w:r>
              <w:t>CN 17-031</w:t>
            </w:r>
          </w:p>
        </w:tc>
        <w:tc>
          <w:tcPr>
            <w:tcW w:w="4545" w:type="dxa"/>
            <w:tcBorders>
              <w:top w:val="single" w:sz="6" w:space="0" w:color="000000"/>
              <w:left w:val="single" w:sz="6" w:space="0" w:color="000000"/>
              <w:bottom w:val="single" w:sz="6" w:space="0" w:color="000000"/>
              <w:right w:val="single" w:sz="6" w:space="0" w:color="000000"/>
            </w:tcBorders>
            <w:vAlign w:val="bottom"/>
          </w:tcPr>
          <w:p w14:paraId="71A46FCF" w14:textId="751402E8" w:rsidR="005338CD" w:rsidRPr="005338CD" w:rsidRDefault="005338CD" w:rsidP="000442A4">
            <w:pPr>
              <w:ind w:left="0" w:firstLine="0"/>
              <w:jc w:val="left"/>
            </w:pPr>
            <w:r w:rsidRPr="005338CD">
              <w:t>Major editorial revision of IP 71124.07.</w:t>
            </w:r>
          </w:p>
          <w:p w14:paraId="4C624392" w14:textId="77777777" w:rsidR="005338CD" w:rsidRPr="005338CD" w:rsidRDefault="005338CD" w:rsidP="000442A4">
            <w:pPr>
              <w:ind w:left="0" w:firstLine="0"/>
              <w:jc w:val="left"/>
            </w:pPr>
          </w:p>
          <w:p w14:paraId="70C71D1D" w14:textId="439E82C3" w:rsidR="005338CD" w:rsidRPr="005338CD" w:rsidRDefault="005338CD" w:rsidP="000442A4">
            <w:pPr>
              <w:ind w:left="0" w:firstLine="0"/>
              <w:jc w:val="left"/>
            </w:pPr>
            <w:r w:rsidRPr="005338CD">
              <w:t>Section 02 was audited and modified to move guidance to Section 03 and concisely state actions necessary to complete each requirement</w:t>
            </w:r>
          </w:p>
          <w:p w14:paraId="20C92463" w14:textId="77777777" w:rsidR="005338CD" w:rsidRPr="005338CD" w:rsidRDefault="005338CD" w:rsidP="000442A4">
            <w:pPr>
              <w:ind w:left="0" w:firstLine="0"/>
              <w:jc w:val="left"/>
            </w:pPr>
          </w:p>
          <w:p w14:paraId="2F13AC63" w14:textId="5D4429F1" w:rsidR="005338CD" w:rsidRPr="005338CD" w:rsidRDefault="005338CD" w:rsidP="000442A4">
            <w:pPr>
              <w:ind w:left="0" w:firstLine="0"/>
              <w:jc w:val="left"/>
            </w:pPr>
            <w:r w:rsidRPr="005338CD">
              <w:t>Modified Inspection Bases to reference applicable regulations.  Adjusted guidance in response to ROPFF 71124.06-1743.</w:t>
            </w:r>
          </w:p>
          <w:p w14:paraId="21B4E303" w14:textId="77777777" w:rsidR="005338CD" w:rsidRPr="005338CD" w:rsidRDefault="005338CD" w:rsidP="000442A4">
            <w:pPr>
              <w:ind w:left="0" w:firstLine="0"/>
              <w:jc w:val="left"/>
            </w:pPr>
          </w:p>
          <w:p w14:paraId="1609C6C3" w14:textId="59C349C1" w:rsidR="000442A4" w:rsidRPr="005338CD" w:rsidRDefault="000442A4" w:rsidP="000442A4">
            <w:pPr>
              <w:ind w:left="0" w:firstLine="0"/>
              <w:jc w:val="left"/>
            </w:pPr>
            <w:r w:rsidRPr="000442A4">
              <w:t>PI&amp;R was transitioned from an independent sample to a requirement that would be completed as part of each sample.  Guidance section updated to reflect resource estimates for routine review of PI&amp;R activities per IP 71152 Section 04.01.</w:t>
            </w:r>
          </w:p>
        </w:tc>
        <w:tc>
          <w:tcPr>
            <w:tcW w:w="2430" w:type="dxa"/>
            <w:tcBorders>
              <w:top w:val="single" w:sz="6" w:space="0" w:color="000000"/>
              <w:left w:val="single" w:sz="6" w:space="0" w:color="000000"/>
              <w:bottom w:val="single" w:sz="6" w:space="0" w:color="000000"/>
              <w:right w:val="single" w:sz="6" w:space="0" w:color="000000"/>
            </w:tcBorders>
          </w:tcPr>
          <w:p w14:paraId="14B4E935" w14:textId="29D9EA93" w:rsidR="005338CD" w:rsidRPr="005338CD" w:rsidRDefault="005338CD" w:rsidP="005338CD">
            <w:pPr>
              <w:ind w:left="0" w:firstLine="0"/>
              <w:jc w:val="left"/>
            </w:pPr>
            <w:r w:rsidRPr="005338CD">
              <w:t>Verbal discussion of changes during 2017 HP Counterpart meeting, 09/06/2017</w:t>
            </w:r>
          </w:p>
          <w:p w14:paraId="101AE94E" w14:textId="77777777" w:rsidR="005338CD" w:rsidRPr="005338CD" w:rsidRDefault="005338CD" w:rsidP="005338CD">
            <w:pPr>
              <w:ind w:left="0" w:firstLine="0"/>
              <w:jc w:val="left"/>
            </w:pPr>
          </w:p>
        </w:tc>
        <w:tc>
          <w:tcPr>
            <w:tcW w:w="2565" w:type="dxa"/>
            <w:tcBorders>
              <w:top w:val="single" w:sz="6" w:space="0" w:color="000000"/>
              <w:left w:val="single" w:sz="6" w:space="0" w:color="000000"/>
              <w:bottom w:val="single" w:sz="6" w:space="0" w:color="000000"/>
              <w:right w:val="single" w:sz="6" w:space="0" w:color="000000"/>
            </w:tcBorders>
          </w:tcPr>
          <w:p w14:paraId="15FAF1B7" w14:textId="77777777" w:rsidR="005338CD" w:rsidRPr="005338CD" w:rsidRDefault="005338CD" w:rsidP="005338CD">
            <w:pPr>
              <w:ind w:left="0" w:firstLine="0"/>
              <w:jc w:val="left"/>
            </w:pPr>
            <w:r w:rsidRPr="005338CD">
              <w:t>ML17300A476</w:t>
            </w:r>
          </w:p>
          <w:p w14:paraId="41CECAA0" w14:textId="77777777" w:rsidR="005338CD" w:rsidRPr="005338CD" w:rsidRDefault="005338CD" w:rsidP="005338CD">
            <w:pPr>
              <w:ind w:left="0" w:firstLine="0"/>
              <w:jc w:val="left"/>
            </w:pPr>
          </w:p>
          <w:p w14:paraId="35403345" w14:textId="77777777" w:rsidR="005338CD" w:rsidRPr="005338CD" w:rsidRDefault="005338CD" w:rsidP="005338CD">
            <w:pPr>
              <w:ind w:left="0" w:firstLine="0"/>
              <w:jc w:val="left"/>
            </w:pPr>
            <w:r w:rsidRPr="005338CD">
              <w:t>Closed FBF 71124.06-1743</w:t>
            </w:r>
          </w:p>
          <w:p w14:paraId="73750D3B" w14:textId="7E91A7FD" w:rsidR="005338CD" w:rsidRPr="00681A32" w:rsidRDefault="005338CD" w:rsidP="005338CD">
            <w:pPr>
              <w:ind w:left="0" w:firstLine="0"/>
              <w:jc w:val="left"/>
            </w:pPr>
            <w:r w:rsidRPr="005338CD">
              <w:t>ML17300B383</w:t>
            </w:r>
          </w:p>
        </w:tc>
      </w:tr>
    </w:tbl>
    <w:p w14:paraId="2D907907" w14:textId="77777777" w:rsidR="00475B2D" w:rsidRDefault="00475B2D">
      <w:pPr>
        <w:sectPr w:rsidR="00475B2D" w:rsidSect="00681A32">
          <w:footerReference w:type="default" r:id="rId13"/>
          <w:pgSz w:w="15840" w:h="12240" w:orient="landscape" w:code="1"/>
          <w:pgMar w:top="1440" w:right="1440" w:bottom="1440" w:left="1440" w:header="720" w:footer="720" w:gutter="0"/>
          <w:cols w:space="720"/>
          <w:docGrid w:linePitch="299"/>
        </w:sectPr>
      </w:pPr>
    </w:p>
    <w:p w14:paraId="0AC4938E" w14:textId="77777777" w:rsidR="00475B2D" w:rsidRDefault="00475B2D"/>
    <w:tbl>
      <w:tblPr>
        <w:tblW w:w="13230" w:type="dxa"/>
        <w:jc w:val="center"/>
        <w:tblLayout w:type="fixed"/>
        <w:tblCellMar>
          <w:left w:w="120" w:type="dxa"/>
          <w:right w:w="120" w:type="dxa"/>
        </w:tblCellMar>
        <w:tblLook w:val="0000" w:firstRow="0" w:lastRow="0" w:firstColumn="0" w:lastColumn="0" w:noHBand="0" w:noVBand="0"/>
      </w:tblPr>
      <w:tblGrid>
        <w:gridCol w:w="1530"/>
        <w:gridCol w:w="2160"/>
        <w:gridCol w:w="4545"/>
        <w:gridCol w:w="2430"/>
        <w:gridCol w:w="2565"/>
      </w:tblGrid>
      <w:tr w:rsidR="00475B2D" w:rsidRPr="00681A32" w14:paraId="17B08EDE" w14:textId="77777777" w:rsidTr="00BE2EB8">
        <w:trPr>
          <w:cantSplit/>
          <w:jc w:val="center"/>
        </w:trPr>
        <w:tc>
          <w:tcPr>
            <w:tcW w:w="1530" w:type="dxa"/>
            <w:tcBorders>
              <w:top w:val="single" w:sz="6" w:space="0" w:color="000000"/>
              <w:left w:val="single" w:sz="6" w:space="0" w:color="000000"/>
              <w:bottom w:val="single" w:sz="6" w:space="0" w:color="000000"/>
              <w:right w:val="single" w:sz="6" w:space="0" w:color="000000"/>
            </w:tcBorders>
          </w:tcPr>
          <w:p w14:paraId="420B6B6C" w14:textId="0C9E6207" w:rsidR="00475B2D" w:rsidRDefault="00475B2D" w:rsidP="00475B2D">
            <w:pPr>
              <w:ind w:left="0" w:firstLine="0"/>
              <w:jc w:val="left"/>
            </w:pPr>
            <w:r w:rsidRPr="00681A32">
              <w:t>Commitment Tracking Number</w:t>
            </w:r>
          </w:p>
        </w:tc>
        <w:tc>
          <w:tcPr>
            <w:tcW w:w="2160" w:type="dxa"/>
            <w:tcBorders>
              <w:top w:val="single" w:sz="6" w:space="0" w:color="000000"/>
              <w:left w:val="single" w:sz="6" w:space="0" w:color="000000"/>
              <w:bottom w:val="single" w:sz="6" w:space="0" w:color="000000"/>
              <w:right w:val="single" w:sz="6" w:space="0" w:color="000000"/>
            </w:tcBorders>
          </w:tcPr>
          <w:p w14:paraId="4B24D68A" w14:textId="33235DEB" w:rsidR="00475B2D" w:rsidRPr="00111515" w:rsidRDefault="00475B2D" w:rsidP="00475B2D">
            <w:pPr>
              <w:ind w:left="0" w:firstLine="0"/>
              <w:jc w:val="left"/>
            </w:pPr>
            <w:r w:rsidRPr="00681A32">
              <w:t>Accession Number Issue Date   Change Notice</w:t>
            </w:r>
          </w:p>
        </w:tc>
        <w:tc>
          <w:tcPr>
            <w:tcW w:w="4545" w:type="dxa"/>
            <w:tcBorders>
              <w:top w:val="single" w:sz="6" w:space="0" w:color="000000"/>
              <w:left w:val="single" w:sz="6" w:space="0" w:color="000000"/>
              <w:bottom w:val="single" w:sz="6" w:space="0" w:color="000000"/>
              <w:right w:val="single" w:sz="6" w:space="0" w:color="000000"/>
            </w:tcBorders>
          </w:tcPr>
          <w:p w14:paraId="5F4750D6" w14:textId="6ED6BCC3" w:rsidR="00475B2D" w:rsidRPr="00111515" w:rsidRDefault="00475B2D" w:rsidP="00475B2D">
            <w:pPr>
              <w:tabs>
                <w:tab w:val="clear" w:pos="806"/>
              </w:tabs>
              <w:ind w:left="0" w:firstLine="0"/>
            </w:pPr>
            <w:r w:rsidRPr="00681A32">
              <w:t>Description of Change</w:t>
            </w:r>
          </w:p>
        </w:tc>
        <w:tc>
          <w:tcPr>
            <w:tcW w:w="2430" w:type="dxa"/>
            <w:tcBorders>
              <w:top w:val="single" w:sz="6" w:space="0" w:color="000000"/>
              <w:left w:val="single" w:sz="6" w:space="0" w:color="000000"/>
              <w:bottom w:val="single" w:sz="6" w:space="0" w:color="000000"/>
              <w:right w:val="single" w:sz="6" w:space="0" w:color="000000"/>
            </w:tcBorders>
          </w:tcPr>
          <w:p w14:paraId="4DF50060" w14:textId="3F146E1D" w:rsidR="00475B2D" w:rsidRPr="00111515" w:rsidRDefault="00475B2D" w:rsidP="00475B2D">
            <w:pPr>
              <w:tabs>
                <w:tab w:val="clear" w:pos="274"/>
                <w:tab w:val="clear" w:pos="806"/>
                <w:tab w:val="clear" w:pos="1440"/>
                <w:tab w:val="left" w:pos="276"/>
                <w:tab w:val="left" w:pos="636"/>
              </w:tabs>
              <w:ind w:left="6" w:firstLine="10"/>
              <w:jc w:val="left"/>
            </w:pPr>
            <w:r w:rsidRPr="00681A32">
              <w:t>Description of Training Required and Completion Date</w:t>
            </w:r>
          </w:p>
        </w:tc>
        <w:tc>
          <w:tcPr>
            <w:tcW w:w="2565" w:type="dxa"/>
            <w:tcBorders>
              <w:top w:val="single" w:sz="6" w:space="0" w:color="000000"/>
              <w:left w:val="single" w:sz="6" w:space="0" w:color="000000"/>
              <w:bottom w:val="single" w:sz="6" w:space="0" w:color="000000"/>
              <w:right w:val="single" w:sz="6" w:space="0" w:color="000000"/>
            </w:tcBorders>
          </w:tcPr>
          <w:p w14:paraId="4B1C4C86" w14:textId="74EE3833" w:rsidR="00475B2D" w:rsidRDefault="00475B2D" w:rsidP="00475B2D">
            <w:pPr>
              <w:ind w:left="0" w:firstLine="0"/>
              <w:jc w:val="left"/>
            </w:pPr>
            <w:r w:rsidRPr="00681A32">
              <w:t xml:space="preserve">Comment </w:t>
            </w:r>
            <w:r>
              <w:t xml:space="preserve">Resolution </w:t>
            </w:r>
            <w:r w:rsidRPr="00681A32">
              <w:t xml:space="preserve">and </w:t>
            </w:r>
            <w:r>
              <w:t xml:space="preserve">Closed </w:t>
            </w:r>
            <w:r w:rsidRPr="00681A32">
              <w:t xml:space="preserve">Feedback </w:t>
            </w:r>
            <w:r>
              <w:t>Form</w:t>
            </w:r>
            <w:r w:rsidRPr="00681A32">
              <w:t xml:space="preserve"> Accession Number (Pre-Decisional, Non-Public Information)</w:t>
            </w:r>
          </w:p>
        </w:tc>
      </w:tr>
      <w:tr w:rsidR="00D45964" w:rsidRPr="00681A32" w14:paraId="16112D44" w14:textId="77777777" w:rsidTr="00BE2EB8">
        <w:trPr>
          <w:cantSplit/>
          <w:jc w:val="center"/>
        </w:trPr>
        <w:tc>
          <w:tcPr>
            <w:tcW w:w="1530" w:type="dxa"/>
            <w:tcBorders>
              <w:top w:val="single" w:sz="6" w:space="0" w:color="000000"/>
              <w:left w:val="single" w:sz="6" w:space="0" w:color="000000"/>
              <w:bottom w:val="single" w:sz="6" w:space="0" w:color="000000"/>
              <w:right w:val="single" w:sz="6" w:space="0" w:color="000000"/>
            </w:tcBorders>
          </w:tcPr>
          <w:p w14:paraId="4C77EB3C" w14:textId="767C53E6" w:rsidR="00BE2EB8" w:rsidRPr="005338CD" w:rsidRDefault="009B31A8" w:rsidP="00D45964">
            <w:pPr>
              <w:ind w:left="0" w:firstLine="0"/>
              <w:jc w:val="left"/>
            </w:pPr>
            <w:r>
              <w:t>N/A</w:t>
            </w:r>
          </w:p>
        </w:tc>
        <w:tc>
          <w:tcPr>
            <w:tcW w:w="2160" w:type="dxa"/>
            <w:tcBorders>
              <w:top w:val="single" w:sz="6" w:space="0" w:color="000000"/>
              <w:left w:val="single" w:sz="6" w:space="0" w:color="000000"/>
              <w:bottom w:val="single" w:sz="6" w:space="0" w:color="000000"/>
              <w:right w:val="single" w:sz="6" w:space="0" w:color="000000"/>
            </w:tcBorders>
          </w:tcPr>
          <w:p w14:paraId="51B93F2D" w14:textId="77777777" w:rsidR="00D45964" w:rsidRDefault="00D45964" w:rsidP="00D45964">
            <w:pPr>
              <w:ind w:left="0" w:firstLine="0"/>
              <w:jc w:val="left"/>
            </w:pPr>
            <w:r w:rsidRPr="00111515">
              <w:t>ML</w:t>
            </w:r>
            <w:r w:rsidR="004E3D12" w:rsidRPr="00111515">
              <w:t>19253C869</w:t>
            </w:r>
            <w:r w:rsidRPr="00111515">
              <w:t xml:space="preserve"> </w:t>
            </w:r>
          </w:p>
          <w:p w14:paraId="4AB99004" w14:textId="7EFC4788" w:rsidR="002944E5" w:rsidRPr="003B22BC" w:rsidRDefault="00475B2D" w:rsidP="002944E5">
            <w:pPr>
              <w:outlineLvl w:val="1"/>
            </w:pPr>
            <w:r>
              <w:t>03/04</w:t>
            </w:r>
            <w:r w:rsidR="002944E5" w:rsidRPr="003B22BC">
              <w:t>/20</w:t>
            </w:r>
          </w:p>
          <w:p w14:paraId="2F883211" w14:textId="4346BDD7" w:rsidR="002944E5" w:rsidRPr="00111515" w:rsidRDefault="002944E5" w:rsidP="002944E5">
            <w:pPr>
              <w:ind w:left="0" w:firstLine="0"/>
              <w:jc w:val="left"/>
            </w:pPr>
            <w:r w:rsidRPr="003B22BC">
              <w:t>CN 20-</w:t>
            </w:r>
            <w:r w:rsidR="00475B2D">
              <w:t>014</w:t>
            </w:r>
          </w:p>
        </w:tc>
        <w:tc>
          <w:tcPr>
            <w:tcW w:w="4545" w:type="dxa"/>
            <w:tcBorders>
              <w:top w:val="single" w:sz="6" w:space="0" w:color="000000"/>
              <w:left w:val="single" w:sz="6" w:space="0" w:color="000000"/>
              <w:bottom w:val="single" w:sz="6" w:space="0" w:color="000000"/>
              <w:right w:val="single" w:sz="6" w:space="0" w:color="000000"/>
            </w:tcBorders>
          </w:tcPr>
          <w:p w14:paraId="6B8CC0BF" w14:textId="5C0D862C" w:rsidR="00D45964" w:rsidRPr="00111515" w:rsidRDefault="00D45964" w:rsidP="002618E0">
            <w:pPr>
              <w:tabs>
                <w:tab w:val="clear" w:pos="806"/>
              </w:tabs>
              <w:ind w:left="0" w:firstLine="0"/>
            </w:pPr>
            <w:r w:rsidRPr="00111515">
              <w:t>Major editorial revisions of IP 71124.07 to conform with IMC 0040 formatting guidance</w:t>
            </w:r>
          </w:p>
          <w:p w14:paraId="11CB4298" w14:textId="77777777" w:rsidR="00D45964" w:rsidRPr="00111515" w:rsidRDefault="00D45964" w:rsidP="00D45964"/>
          <w:p w14:paraId="16F584C7" w14:textId="1AAB8762" w:rsidR="00D45964" w:rsidRPr="00111515" w:rsidRDefault="00BE2EB8" w:rsidP="00D45964">
            <w:pPr>
              <w:ind w:left="0" w:firstLine="0"/>
              <w:jc w:val="left"/>
            </w:pPr>
            <w:r>
              <w:t>This revision also adjusts the inspection frequency from biennial to triennial.</w:t>
            </w:r>
            <w:r w:rsidR="009B31A8">
              <w:t xml:space="preserve">  Notified the Commission of this change in accordance with Management Directive 8.13, “Reactor Oversight Process” January </w:t>
            </w:r>
            <w:r w:rsidR="00E759BE">
              <w:t>31</w:t>
            </w:r>
            <w:r w:rsidR="009B31A8">
              <w:t>, 2020 (ML19317D673 [Non-public])</w:t>
            </w:r>
          </w:p>
        </w:tc>
        <w:tc>
          <w:tcPr>
            <w:tcW w:w="2430" w:type="dxa"/>
            <w:tcBorders>
              <w:top w:val="single" w:sz="6" w:space="0" w:color="000000"/>
              <w:left w:val="single" w:sz="6" w:space="0" w:color="000000"/>
              <w:bottom w:val="single" w:sz="6" w:space="0" w:color="000000"/>
              <w:right w:val="single" w:sz="6" w:space="0" w:color="000000"/>
            </w:tcBorders>
          </w:tcPr>
          <w:p w14:paraId="3DC68794" w14:textId="348A4D34" w:rsidR="00D45964" w:rsidRDefault="00D45964" w:rsidP="00111515">
            <w:pPr>
              <w:tabs>
                <w:tab w:val="clear" w:pos="274"/>
                <w:tab w:val="clear" w:pos="806"/>
                <w:tab w:val="clear" w:pos="1440"/>
                <w:tab w:val="left" w:pos="276"/>
                <w:tab w:val="left" w:pos="636"/>
              </w:tabs>
              <w:ind w:left="6" w:firstLine="10"/>
              <w:jc w:val="left"/>
            </w:pPr>
            <w:r w:rsidRPr="00111515">
              <w:t>Verbal discussion of</w:t>
            </w:r>
            <w:r w:rsidR="004E3D12" w:rsidRPr="00111515">
              <w:t xml:space="preserve"> </w:t>
            </w:r>
            <w:r w:rsidRPr="00111515">
              <w:t>changes during 2019 HP</w:t>
            </w:r>
            <w:r w:rsidR="005C59AA" w:rsidRPr="00111515">
              <w:t xml:space="preserve"> </w:t>
            </w:r>
            <w:r w:rsidRPr="00111515">
              <w:t xml:space="preserve">Counterpart </w:t>
            </w:r>
            <w:r w:rsidR="004E3D12" w:rsidRPr="00111515">
              <w:t>M</w:t>
            </w:r>
            <w:r w:rsidRPr="00111515">
              <w:t>eeting</w:t>
            </w:r>
            <w:r w:rsidR="004E3D12" w:rsidRPr="00111515">
              <w:t>.</w:t>
            </w:r>
          </w:p>
          <w:p w14:paraId="38C09CD5" w14:textId="76FC519C" w:rsidR="003635D1" w:rsidRPr="00111515" w:rsidRDefault="003635D1" w:rsidP="00111515">
            <w:pPr>
              <w:tabs>
                <w:tab w:val="clear" w:pos="274"/>
                <w:tab w:val="clear" w:pos="806"/>
                <w:tab w:val="clear" w:pos="1440"/>
                <w:tab w:val="left" w:pos="276"/>
                <w:tab w:val="left" w:pos="636"/>
              </w:tabs>
              <w:ind w:left="6" w:firstLine="10"/>
              <w:jc w:val="left"/>
            </w:pPr>
            <w:r>
              <w:t>09/04/2019</w:t>
            </w:r>
          </w:p>
          <w:p w14:paraId="63F38E86" w14:textId="77777777" w:rsidR="00D45964" w:rsidRPr="00111515" w:rsidRDefault="00D45964" w:rsidP="00D45964">
            <w:pPr>
              <w:ind w:left="0" w:firstLine="0"/>
              <w:jc w:val="left"/>
            </w:pPr>
          </w:p>
        </w:tc>
        <w:tc>
          <w:tcPr>
            <w:tcW w:w="2565" w:type="dxa"/>
            <w:tcBorders>
              <w:top w:val="single" w:sz="6" w:space="0" w:color="000000"/>
              <w:left w:val="single" w:sz="6" w:space="0" w:color="000000"/>
              <w:bottom w:val="single" w:sz="6" w:space="0" w:color="000000"/>
              <w:right w:val="single" w:sz="6" w:space="0" w:color="000000"/>
            </w:tcBorders>
          </w:tcPr>
          <w:p w14:paraId="11AF886B" w14:textId="746F5165" w:rsidR="00D45964" w:rsidRPr="005338CD" w:rsidRDefault="00111515" w:rsidP="00D45964">
            <w:pPr>
              <w:ind w:left="0" w:firstLine="0"/>
              <w:jc w:val="left"/>
            </w:pPr>
            <w:r>
              <w:t>ML19253C885</w:t>
            </w:r>
          </w:p>
        </w:tc>
      </w:tr>
      <w:bookmarkEnd w:id="1"/>
      <w:bookmarkEnd w:id="2"/>
      <w:bookmarkEnd w:id="3"/>
      <w:bookmarkEnd w:id="4"/>
      <w:bookmarkEnd w:id="5"/>
      <w:bookmarkEnd w:id="6"/>
      <w:bookmarkEnd w:id="7"/>
      <w:bookmarkEnd w:id="8"/>
      <w:bookmarkEnd w:id="9"/>
    </w:tbl>
    <w:p w14:paraId="5B9C04B9" w14:textId="58EFC739" w:rsidR="00AB2829" w:rsidRPr="003B204C" w:rsidRDefault="00AB2829" w:rsidP="00681A32">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7474"/>
          <w:tab w:val="clear" w:pos="8107"/>
          <w:tab w:val="clear" w:pos="8726"/>
        </w:tabs>
        <w:spacing w:line="480" w:lineRule="auto"/>
        <w:ind w:left="0" w:firstLine="0"/>
        <w:jc w:val="left"/>
        <w:outlineLvl w:val="1"/>
      </w:pPr>
    </w:p>
    <w:sectPr w:rsidR="00AB2829" w:rsidRPr="003B204C" w:rsidSect="00681A32">
      <w:footerReference w:type="default" r:id="rId14"/>
      <w:pgSz w:w="15840" w:h="12240" w:orient="landscape"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FC5A0" w14:textId="77777777" w:rsidR="000B5CF9" w:rsidRDefault="000B5CF9" w:rsidP="003B204C">
      <w:r>
        <w:separator/>
      </w:r>
    </w:p>
  </w:endnote>
  <w:endnote w:type="continuationSeparator" w:id="0">
    <w:p w14:paraId="4DF1EC31" w14:textId="77777777" w:rsidR="000B5CF9" w:rsidRDefault="000B5CF9" w:rsidP="003B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EBE9" w14:textId="77B36B46" w:rsidR="00993876" w:rsidRPr="005338CD" w:rsidRDefault="008A79C5" w:rsidP="00475B2D">
    <w:pPr>
      <w:pStyle w:val="Footer"/>
      <w:tabs>
        <w:tab w:val="clear" w:pos="274"/>
        <w:tab w:val="clear" w:pos="806"/>
        <w:tab w:val="clear" w:pos="1440"/>
        <w:tab w:val="clear" w:pos="2074"/>
        <w:tab w:val="clear" w:pos="2707"/>
        <w:tab w:val="clear" w:pos="3240"/>
        <w:tab w:val="clear" w:pos="3874"/>
        <w:tab w:val="clear" w:pos="4320"/>
        <w:tab w:val="clear" w:pos="4507"/>
        <w:tab w:val="clear" w:pos="5040"/>
        <w:tab w:val="clear" w:pos="5674"/>
        <w:tab w:val="clear" w:pos="6307"/>
        <w:tab w:val="clear" w:pos="7474"/>
        <w:tab w:val="clear" w:pos="8107"/>
        <w:tab w:val="clear" w:pos="8640"/>
        <w:tab w:val="clear" w:pos="8726"/>
        <w:tab w:val="center" w:pos="4680"/>
        <w:tab w:val="right" w:pos="9360"/>
      </w:tabs>
      <w:jc w:val="left"/>
    </w:pPr>
    <w:sdt>
      <w:sdtPr>
        <w:id w:val="-1628542896"/>
        <w:docPartObj>
          <w:docPartGallery w:val="Page Numbers (Bottom of Page)"/>
          <w:docPartUnique/>
        </w:docPartObj>
      </w:sdtPr>
      <w:sdtEndPr>
        <w:rPr>
          <w:noProof/>
        </w:rPr>
      </w:sdtEndPr>
      <w:sdtContent>
        <w:r w:rsidR="00475B2D">
          <w:t>Issue Date:  03/04/20</w:t>
        </w:r>
        <w:r w:rsidR="00475B2D">
          <w:tab/>
        </w:r>
        <w:r w:rsidR="006F6B6B">
          <w:fldChar w:fldCharType="begin"/>
        </w:r>
        <w:r w:rsidR="006F6B6B">
          <w:instrText xml:space="preserve"> PAGE   \* MERGEFORMAT </w:instrText>
        </w:r>
        <w:r w:rsidR="006F6B6B">
          <w:fldChar w:fldCharType="separate"/>
        </w:r>
        <w:r w:rsidR="006F6B6B">
          <w:rPr>
            <w:noProof/>
          </w:rPr>
          <w:t>2</w:t>
        </w:r>
        <w:r w:rsidR="006F6B6B">
          <w:rPr>
            <w:noProof/>
          </w:rPr>
          <w:fldChar w:fldCharType="end"/>
        </w:r>
      </w:sdtContent>
    </w:sdt>
    <w:r w:rsidR="00475B2D">
      <w:rPr>
        <w:noProof/>
      </w:rPr>
      <w:tab/>
      <w:t>71124.07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A8717" w14:textId="18E1D7EE" w:rsidR="00993876" w:rsidRDefault="00993876" w:rsidP="00466B47">
    <w:pPr>
      <w:tabs>
        <w:tab w:val="clear" w:pos="1440"/>
        <w:tab w:val="clear" w:pos="2074"/>
        <w:tab w:val="clear" w:pos="2707"/>
        <w:tab w:val="clear" w:pos="3240"/>
        <w:tab w:val="clear" w:pos="3874"/>
        <w:tab w:val="clear" w:pos="4507"/>
        <w:tab w:val="clear" w:pos="5040"/>
        <w:tab w:val="clear" w:pos="5674"/>
        <w:tab w:val="clear" w:pos="6307"/>
        <w:tab w:val="clear" w:pos="7474"/>
        <w:tab w:val="clear" w:pos="8107"/>
        <w:tab w:val="clear" w:pos="8726"/>
        <w:tab w:val="center" w:pos="6480"/>
        <w:tab w:val="right" w:pos="12780"/>
      </w:tabs>
    </w:pPr>
    <w:r w:rsidRPr="00C8104F">
      <w:t xml:space="preserve">Issue Date: </w:t>
    </w:r>
    <w:r>
      <w:t xml:space="preserve"> </w:t>
    </w:r>
    <w:r w:rsidR="00475B2D">
      <w:t>03/04/20</w:t>
    </w:r>
    <w:r>
      <w:tab/>
    </w:r>
    <w:r>
      <w:rPr>
        <w:rStyle w:val="PageNumber"/>
      </w:rPr>
      <w:t>Att1-1</w:t>
    </w:r>
    <w:r>
      <w:tab/>
    </w:r>
    <w:r w:rsidRPr="00C8104F">
      <w:t>7112</w:t>
    </w:r>
    <w:r>
      <w:t>4</w:t>
    </w:r>
    <w:r w:rsidRPr="00C8104F">
      <w:t>.0</w:t>
    </w:r>
    <w: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8D568" w14:textId="799BD4A7" w:rsidR="00993876" w:rsidRDefault="00993876" w:rsidP="00466B47">
    <w:pPr>
      <w:tabs>
        <w:tab w:val="clear" w:pos="1440"/>
        <w:tab w:val="clear" w:pos="2074"/>
        <w:tab w:val="clear" w:pos="2707"/>
        <w:tab w:val="clear" w:pos="3240"/>
        <w:tab w:val="clear" w:pos="3874"/>
        <w:tab w:val="clear" w:pos="4507"/>
        <w:tab w:val="clear" w:pos="5040"/>
        <w:tab w:val="clear" w:pos="5674"/>
        <w:tab w:val="clear" w:pos="6307"/>
        <w:tab w:val="clear" w:pos="7474"/>
        <w:tab w:val="clear" w:pos="8107"/>
        <w:tab w:val="clear" w:pos="8726"/>
        <w:tab w:val="center" w:pos="6480"/>
        <w:tab w:val="right" w:pos="12780"/>
      </w:tabs>
    </w:pPr>
    <w:r w:rsidRPr="00C8104F">
      <w:t>Issue Date</w:t>
    </w:r>
    <w:r w:rsidRPr="00666A82">
      <w:t xml:space="preserve">:  </w:t>
    </w:r>
    <w:r w:rsidR="00475B2D">
      <w:t>03/04/20</w:t>
    </w:r>
    <w:r>
      <w:tab/>
    </w:r>
    <w:r>
      <w:rPr>
        <w:rStyle w:val="PageNumber"/>
      </w:rPr>
      <w:t>Att1-2</w:t>
    </w:r>
    <w:r>
      <w:tab/>
    </w:r>
    <w:r w:rsidRPr="00C8104F">
      <w:t>7112</w:t>
    </w:r>
    <w:r>
      <w:t>4</w:t>
    </w:r>
    <w:r w:rsidRPr="00C8104F">
      <w:t>.0</w:t>
    </w:r>
    <w:r>
      <w:t>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0CB9F" w14:textId="597DDE41" w:rsidR="008A79C5" w:rsidRDefault="008A79C5" w:rsidP="00466B47">
    <w:pPr>
      <w:tabs>
        <w:tab w:val="clear" w:pos="1440"/>
        <w:tab w:val="clear" w:pos="2074"/>
        <w:tab w:val="clear" w:pos="2707"/>
        <w:tab w:val="clear" w:pos="3240"/>
        <w:tab w:val="clear" w:pos="3874"/>
        <w:tab w:val="clear" w:pos="4507"/>
        <w:tab w:val="clear" w:pos="5040"/>
        <w:tab w:val="clear" w:pos="5674"/>
        <w:tab w:val="clear" w:pos="6307"/>
        <w:tab w:val="clear" w:pos="7474"/>
        <w:tab w:val="clear" w:pos="8107"/>
        <w:tab w:val="clear" w:pos="8726"/>
        <w:tab w:val="center" w:pos="6480"/>
        <w:tab w:val="right" w:pos="12780"/>
      </w:tabs>
    </w:pPr>
    <w:r w:rsidRPr="00C8104F">
      <w:t>Issue Date</w:t>
    </w:r>
    <w:r w:rsidRPr="00666A82">
      <w:t xml:space="preserve">:  </w:t>
    </w:r>
    <w:r>
      <w:t>03/04/20</w:t>
    </w:r>
    <w:r>
      <w:tab/>
    </w:r>
    <w:r>
      <w:rPr>
        <w:rStyle w:val="PageNumber"/>
      </w:rPr>
      <w:t>Att1-3</w:t>
    </w:r>
    <w:r>
      <w:tab/>
    </w:r>
    <w:r w:rsidRPr="00C8104F">
      <w:t>7112</w:t>
    </w:r>
    <w:r>
      <w:t>4</w:t>
    </w:r>
    <w:r w:rsidRPr="00C8104F">
      <w:t>.0</w:t>
    </w:r>
    <w: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F350C" w14:textId="77777777" w:rsidR="000B5CF9" w:rsidRDefault="000B5CF9" w:rsidP="003B204C">
      <w:r>
        <w:separator/>
      </w:r>
    </w:p>
  </w:footnote>
  <w:footnote w:type="continuationSeparator" w:id="0">
    <w:p w14:paraId="57B9D419" w14:textId="77777777" w:rsidR="000B5CF9" w:rsidRDefault="000B5CF9" w:rsidP="003B2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6366C"/>
    <w:multiLevelType w:val="multilevel"/>
    <w:tmpl w:val="0FC8CE32"/>
    <w:lvl w:ilvl="0">
      <w:start w:val="3"/>
      <w:numFmt w:val="decimalZero"/>
      <w:lvlText w:val="%1"/>
      <w:lvlJc w:val="left"/>
      <w:pPr>
        <w:tabs>
          <w:tab w:val="num" w:pos="870"/>
        </w:tabs>
        <w:ind w:left="870" w:hanging="870"/>
      </w:pPr>
      <w:rPr>
        <w:rFonts w:hint="default"/>
        <w:u w:val="none"/>
      </w:rPr>
    </w:lvl>
    <w:lvl w:ilvl="1">
      <w:start w:val="6"/>
      <w:numFmt w:val="decimalZero"/>
      <w:lvlText w:val="%1.%2"/>
      <w:lvlJc w:val="left"/>
      <w:pPr>
        <w:tabs>
          <w:tab w:val="num" w:pos="870"/>
        </w:tabs>
        <w:ind w:left="870" w:hanging="870"/>
      </w:pPr>
      <w:rPr>
        <w:rFonts w:hint="default"/>
        <w:u w:val="none"/>
      </w:rPr>
    </w:lvl>
    <w:lvl w:ilvl="2">
      <w:start w:val="1"/>
      <w:numFmt w:val="decimal"/>
      <w:lvlText w:val="%1.%2.%3"/>
      <w:lvlJc w:val="left"/>
      <w:pPr>
        <w:tabs>
          <w:tab w:val="num" w:pos="870"/>
        </w:tabs>
        <w:ind w:left="870" w:hanging="87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 w15:restartNumberingAfterBreak="0">
    <w:nsid w:val="4AC659DC"/>
    <w:multiLevelType w:val="multilevel"/>
    <w:tmpl w:val="97C4B302"/>
    <w:lvl w:ilvl="0">
      <w:start w:val="1"/>
      <w:numFmt w:val="lowerLetter"/>
      <w:pStyle w:val="pa"/>
      <w:lvlText w:val="%1."/>
      <w:lvlJc w:val="left"/>
      <w:pPr>
        <w:tabs>
          <w:tab w:val="num" w:pos="806"/>
        </w:tabs>
        <w:ind w:left="806" w:hanging="5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1440" w:hanging="634"/>
      </w:pPr>
      <w:rPr>
        <w:rFonts w:ascii="Arial" w:hAnsi="Arial" w:hint="default"/>
        <w:b w:val="0"/>
        <w:i w:val="0"/>
        <w:sz w:val="22"/>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 w15:restartNumberingAfterBreak="0">
    <w:nsid w:val="76C7736F"/>
    <w:multiLevelType w:val="multilevel"/>
    <w:tmpl w:val="8AFA1EFC"/>
    <w:lvl w:ilvl="0">
      <w:start w:val="1"/>
      <w:numFmt w:val="decimalZero"/>
      <w:lvlText w:val="%1"/>
      <w:lvlJc w:val="left"/>
      <w:pPr>
        <w:tabs>
          <w:tab w:val="num" w:pos="810"/>
        </w:tabs>
        <w:ind w:left="810" w:hanging="810"/>
      </w:pPr>
      <w:rPr>
        <w:rFonts w:hint="default"/>
      </w:rPr>
    </w:lvl>
    <w:lvl w:ilvl="1">
      <w:start w:val="2"/>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2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33"/>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5C7"/>
    <w:rsid w:val="0000510D"/>
    <w:rsid w:val="00007201"/>
    <w:rsid w:val="000417F2"/>
    <w:rsid w:val="00043E42"/>
    <w:rsid w:val="000442A4"/>
    <w:rsid w:val="0004470E"/>
    <w:rsid w:val="00047053"/>
    <w:rsid w:val="000541D7"/>
    <w:rsid w:val="00071492"/>
    <w:rsid w:val="0007295E"/>
    <w:rsid w:val="00076707"/>
    <w:rsid w:val="000806B7"/>
    <w:rsid w:val="00083554"/>
    <w:rsid w:val="0009194D"/>
    <w:rsid w:val="000A30FD"/>
    <w:rsid w:val="000A4962"/>
    <w:rsid w:val="000B3282"/>
    <w:rsid w:val="000B5CF9"/>
    <w:rsid w:val="000B76AA"/>
    <w:rsid w:val="000B7E44"/>
    <w:rsid w:val="000D0CFE"/>
    <w:rsid w:val="000D5255"/>
    <w:rsid w:val="000D7805"/>
    <w:rsid w:val="000E1909"/>
    <w:rsid w:val="000E3499"/>
    <w:rsid w:val="000E49E4"/>
    <w:rsid w:val="000F00D1"/>
    <w:rsid w:val="000F09AA"/>
    <w:rsid w:val="000F36EF"/>
    <w:rsid w:val="000F4CF3"/>
    <w:rsid w:val="00100EB5"/>
    <w:rsid w:val="00110BAE"/>
    <w:rsid w:val="00111515"/>
    <w:rsid w:val="001205C0"/>
    <w:rsid w:val="00123082"/>
    <w:rsid w:val="00130C91"/>
    <w:rsid w:val="00133144"/>
    <w:rsid w:val="00133B3E"/>
    <w:rsid w:val="00140264"/>
    <w:rsid w:val="001410CB"/>
    <w:rsid w:val="00142462"/>
    <w:rsid w:val="00150590"/>
    <w:rsid w:val="001505FE"/>
    <w:rsid w:val="001577AA"/>
    <w:rsid w:val="0016089B"/>
    <w:rsid w:val="00175585"/>
    <w:rsid w:val="00180D60"/>
    <w:rsid w:val="0019549E"/>
    <w:rsid w:val="001A02F3"/>
    <w:rsid w:val="001A25C5"/>
    <w:rsid w:val="001A31DD"/>
    <w:rsid w:val="001B22E6"/>
    <w:rsid w:val="001C003E"/>
    <w:rsid w:val="001C2DF4"/>
    <w:rsid w:val="001C54EC"/>
    <w:rsid w:val="001D5370"/>
    <w:rsid w:val="001E24FD"/>
    <w:rsid w:val="001E39A3"/>
    <w:rsid w:val="001F37DD"/>
    <w:rsid w:val="00200144"/>
    <w:rsid w:val="00213D3C"/>
    <w:rsid w:val="00216727"/>
    <w:rsid w:val="002222EF"/>
    <w:rsid w:val="00223641"/>
    <w:rsid w:val="00227CDA"/>
    <w:rsid w:val="00233A75"/>
    <w:rsid w:val="00240B5B"/>
    <w:rsid w:val="00242419"/>
    <w:rsid w:val="00243CFA"/>
    <w:rsid w:val="0024426A"/>
    <w:rsid w:val="00246F5B"/>
    <w:rsid w:val="00252320"/>
    <w:rsid w:val="00252724"/>
    <w:rsid w:val="002618E0"/>
    <w:rsid w:val="00267C73"/>
    <w:rsid w:val="00270AC3"/>
    <w:rsid w:val="00281284"/>
    <w:rsid w:val="00284F2C"/>
    <w:rsid w:val="00290F69"/>
    <w:rsid w:val="002944E5"/>
    <w:rsid w:val="00295B29"/>
    <w:rsid w:val="002A1CAA"/>
    <w:rsid w:val="002A278D"/>
    <w:rsid w:val="002A611C"/>
    <w:rsid w:val="002A6B5F"/>
    <w:rsid w:val="002B245F"/>
    <w:rsid w:val="002C4092"/>
    <w:rsid w:val="002C5D8A"/>
    <w:rsid w:val="002D6147"/>
    <w:rsid w:val="002D7512"/>
    <w:rsid w:val="002E2FA7"/>
    <w:rsid w:val="002E4157"/>
    <w:rsid w:val="002E5A5D"/>
    <w:rsid w:val="002F4CD9"/>
    <w:rsid w:val="003053C0"/>
    <w:rsid w:val="003079AB"/>
    <w:rsid w:val="00312A03"/>
    <w:rsid w:val="00313BCB"/>
    <w:rsid w:val="003200F1"/>
    <w:rsid w:val="00325EEA"/>
    <w:rsid w:val="00326013"/>
    <w:rsid w:val="00326CA1"/>
    <w:rsid w:val="0033281E"/>
    <w:rsid w:val="00332BBA"/>
    <w:rsid w:val="00343E67"/>
    <w:rsid w:val="00345219"/>
    <w:rsid w:val="00345B2C"/>
    <w:rsid w:val="0035701B"/>
    <w:rsid w:val="003635D1"/>
    <w:rsid w:val="00371123"/>
    <w:rsid w:val="00371AE6"/>
    <w:rsid w:val="00371B12"/>
    <w:rsid w:val="0037699F"/>
    <w:rsid w:val="00376AEB"/>
    <w:rsid w:val="00385338"/>
    <w:rsid w:val="0038584E"/>
    <w:rsid w:val="0039121F"/>
    <w:rsid w:val="0039348D"/>
    <w:rsid w:val="003A692E"/>
    <w:rsid w:val="003B204C"/>
    <w:rsid w:val="003C0D71"/>
    <w:rsid w:val="003D7C74"/>
    <w:rsid w:val="003E743D"/>
    <w:rsid w:val="004124BC"/>
    <w:rsid w:val="00416DB5"/>
    <w:rsid w:val="00424E67"/>
    <w:rsid w:val="00437AF6"/>
    <w:rsid w:val="0044249E"/>
    <w:rsid w:val="00447190"/>
    <w:rsid w:val="004473A0"/>
    <w:rsid w:val="00453E92"/>
    <w:rsid w:val="004552D4"/>
    <w:rsid w:val="0046135A"/>
    <w:rsid w:val="0046489D"/>
    <w:rsid w:val="00466B47"/>
    <w:rsid w:val="00475B2D"/>
    <w:rsid w:val="00477CC6"/>
    <w:rsid w:val="00483D64"/>
    <w:rsid w:val="00493786"/>
    <w:rsid w:val="00494B6E"/>
    <w:rsid w:val="004A3099"/>
    <w:rsid w:val="004B2DDE"/>
    <w:rsid w:val="004D37EE"/>
    <w:rsid w:val="004D79D0"/>
    <w:rsid w:val="004E1684"/>
    <w:rsid w:val="004E3D12"/>
    <w:rsid w:val="004F185F"/>
    <w:rsid w:val="004F2553"/>
    <w:rsid w:val="004F4F25"/>
    <w:rsid w:val="00501E69"/>
    <w:rsid w:val="0050287F"/>
    <w:rsid w:val="00520CA9"/>
    <w:rsid w:val="00531B95"/>
    <w:rsid w:val="005338CD"/>
    <w:rsid w:val="0053763D"/>
    <w:rsid w:val="005379FD"/>
    <w:rsid w:val="00537D38"/>
    <w:rsid w:val="00547FEE"/>
    <w:rsid w:val="00551784"/>
    <w:rsid w:val="00554BAF"/>
    <w:rsid w:val="00565BC2"/>
    <w:rsid w:val="00567166"/>
    <w:rsid w:val="00574B54"/>
    <w:rsid w:val="00575136"/>
    <w:rsid w:val="0057706E"/>
    <w:rsid w:val="0057713F"/>
    <w:rsid w:val="00582DB2"/>
    <w:rsid w:val="00590A2A"/>
    <w:rsid w:val="00591947"/>
    <w:rsid w:val="005A061F"/>
    <w:rsid w:val="005A5F66"/>
    <w:rsid w:val="005A619E"/>
    <w:rsid w:val="005B4A1A"/>
    <w:rsid w:val="005B6811"/>
    <w:rsid w:val="005C0A06"/>
    <w:rsid w:val="005C59AA"/>
    <w:rsid w:val="005C6B23"/>
    <w:rsid w:val="005C7D53"/>
    <w:rsid w:val="005D33F4"/>
    <w:rsid w:val="005D5A05"/>
    <w:rsid w:val="005E67AF"/>
    <w:rsid w:val="005F25B6"/>
    <w:rsid w:val="005F2E05"/>
    <w:rsid w:val="005F3F63"/>
    <w:rsid w:val="005F4DC7"/>
    <w:rsid w:val="005F7BFB"/>
    <w:rsid w:val="00603DFD"/>
    <w:rsid w:val="00610BA6"/>
    <w:rsid w:val="0061562E"/>
    <w:rsid w:val="00617B92"/>
    <w:rsid w:val="0063628B"/>
    <w:rsid w:val="0063635A"/>
    <w:rsid w:val="00636F17"/>
    <w:rsid w:val="006400AB"/>
    <w:rsid w:val="00651C5C"/>
    <w:rsid w:val="006567BD"/>
    <w:rsid w:val="00657286"/>
    <w:rsid w:val="006615BA"/>
    <w:rsid w:val="0066415A"/>
    <w:rsid w:val="00664AB4"/>
    <w:rsid w:val="006661E4"/>
    <w:rsid w:val="00666A82"/>
    <w:rsid w:val="00675B43"/>
    <w:rsid w:val="00677F85"/>
    <w:rsid w:val="00681A32"/>
    <w:rsid w:val="0068563E"/>
    <w:rsid w:val="00691AE2"/>
    <w:rsid w:val="00692093"/>
    <w:rsid w:val="0069783F"/>
    <w:rsid w:val="006A0396"/>
    <w:rsid w:val="006A0E03"/>
    <w:rsid w:val="006A731D"/>
    <w:rsid w:val="006B1B90"/>
    <w:rsid w:val="006B2440"/>
    <w:rsid w:val="006B439A"/>
    <w:rsid w:val="006C4615"/>
    <w:rsid w:val="006D3852"/>
    <w:rsid w:val="006D4839"/>
    <w:rsid w:val="006F385D"/>
    <w:rsid w:val="006F5B78"/>
    <w:rsid w:val="006F6B6B"/>
    <w:rsid w:val="0070160A"/>
    <w:rsid w:val="00702471"/>
    <w:rsid w:val="007117D1"/>
    <w:rsid w:val="00715CF4"/>
    <w:rsid w:val="007234B4"/>
    <w:rsid w:val="00730804"/>
    <w:rsid w:val="00736FCB"/>
    <w:rsid w:val="007373FB"/>
    <w:rsid w:val="00753A34"/>
    <w:rsid w:val="00754D9E"/>
    <w:rsid w:val="007574F1"/>
    <w:rsid w:val="00760A2A"/>
    <w:rsid w:val="0076133D"/>
    <w:rsid w:val="0076462C"/>
    <w:rsid w:val="007668A5"/>
    <w:rsid w:val="00770EFA"/>
    <w:rsid w:val="00785EAC"/>
    <w:rsid w:val="00787DEC"/>
    <w:rsid w:val="00791981"/>
    <w:rsid w:val="00794C87"/>
    <w:rsid w:val="00794F6F"/>
    <w:rsid w:val="00797062"/>
    <w:rsid w:val="007B0590"/>
    <w:rsid w:val="007B2FB5"/>
    <w:rsid w:val="007B71E7"/>
    <w:rsid w:val="007C6544"/>
    <w:rsid w:val="007D16BE"/>
    <w:rsid w:val="007D3469"/>
    <w:rsid w:val="007E0991"/>
    <w:rsid w:val="007E2381"/>
    <w:rsid w:val="007E5CC1"/>
    <w:rsid w:val="007E7006"/>
    <w:rsid w:val="007F3260"/>
    <w:rsid w:val="007F34CB"/>
    <w:rsid w:val="007F4244"/>
    <w:rsid w:val="007F6475"/>
    <w:rsid w:val="008010C3"/>
    <w:rsid w:val="00813C0D"/>
    <w:rsid w:val="008140BA"/>
    <w:rsid w:val="008316FB"/>
    <w:rsid w:val="00835F92"/>
    <w:rsid w:val="008361D7"/>
    <w:rsid w:val="008375BF"/>
    <w:rsid w:val="008439EE"/>
    <w:rsid w:val="0085248E"/>
    <w:rsid w:val="008778BD"/>
    <w:rsid w:val="00880579"/>
    <w:rsid w:val="00881320"/>
    <w:rsid w:val="00882140"/>
    <w:rsid w:val="00892E6A"/>
    <w:rsid w:val="008937CD"/>
    <w:rsid w:val="008A79C5"/>
    <w:rsid w:val="008B1790"/>
    <w:rsid w:val="008C0D36"/>
    <w:rsid w:val="008F0C98"/>
    <w:rsid w:val="008F3D26"/>
    <w:rsid w:val="008F52D5"/>
    <w:rsid w:val="0090450E"/>
    <w:rsid w:val="009049AA"/>
    <w:rsid w:val="00906302"/>
    <w:rsid w:val="00910537"/>
    <w:rsid w:val="00910B82"/>
    <w:rsid w:val="009119B8"/>
    <w:rsid w:val="00915E95"/>
    <w:rsid w:val="009218B4"/>
    <w:rsid w:val="00926700"/>
    <w:rsid w:val="0092726A"/>
    <w:rsid w:val="009273AE"/>
    <w:rsid w:val="00927971"/>
    <w:rsid w:val="00927A82"/>
    <w:rsid w:val="009308BE"/>
    <w:rsid w:val="0095065A"/>
    <w:rsid w:val="00953D80"/>
    <w:rsid w:val="0095640E"/>
    <w:rsid w:val="00956E7C"/>
    <w:rsid w:val="00957951"/>
    <w:rsid w:val="00961E6E"/>
    <w:rsid w:val="009800BC"/>
    <w:rsid w:val="009820C0"/>
    <w:rsid w:val="009838AA"/>
    <w:rsid w:val="00987AB9"/>
    <w:rsid w:val="00991BED"/>
    <w:rsid w:val="00993876"/>
    <w:rsid w:val="009A02ED"/>
    <w:rsid w:val="009A149A"/>
    <w:rsid w:val="009B19D6"/>
    <w:rsid w:val="009B31A8"/>
    <w:rsid w:val="009B432D"/>
    <w:rsid w:val="009C0C24"/>
    <w:rsid w:val="009C3846"/>
    <w:rsid w:val="009D194B"/>
    <w:rsid w:val="009E0565"/>
    <w:rsid w:val="009F571A"/>
    <w:rsid w:val="009F66AC"/>
    <w:rsid w:val="00A0266D"/>
    <w:rsid w:val="00A03D76"/>
    <w:rsid w:val="00A107EC"/>
    <w:rsid w:val="00A14A33"/>
    <w:rsid w:val="00A154FE"/>
    <w:rsid w:val="00A213A4"/>
    <w:rsid w:val="00A21C22"/>
    <w:rsid w:val="00A2520F"/>
    <w:rsid w:val="00A3259E"/>
    <w:rsid w:val="00A34F80"/>
    <w:rsid w:val="00A43890"/>
    <w:rsid w:val="00A43FD7"/>
    <w:rsid w:val="00A54443"/>
    <w:rsid w:val="00A60126"/>
    <w:rsid w:val="00A66E23"/>
    <w:rsid w:val="00A86D8B"/>
    <w:rsid w:val="00A95968"/>
    <w:rsid w:val="00AA12A7"/>
    <w:rsid w:val="00AB2829"/>
    <w:rsid w:val="00AC62CB"/>
    <w:rsid w:val="00AE46A7"/>
    <w:rsid w:val="00AE5132"/>
    <w:rsid w:val="00AF6FAD"/>
    <w:rsid w:val="00B12047"/>
    <w:rsid w:val="00B16236"/>
    <w:rsid w:val="00B255C6"/>
    <w:rsid w:val="00B32A6C"/>
    <w:rsid w:val="00B60DA6"/>
    <w:rsid w:val="00B61E2D"/>
    <w:rsid w:val="00B653CE"/>
    <w:rsid w:val="00B77568"/>
    <w:rsid w:val="00B8271B"/>
    <w:rsid w:val="00B93A4B"/>
    <w:rsid w:val="00B96016"/>
    <w:rsid w:val="00BB6F61"/>
    <w:rsid w:val="00BB7C71"/>
    <w:rsid w:val="00BC623E"/>
    <w:rsid w:val="00BD2A3C"/>
    <w:rsid w:val="00BD3370"/>
    <w:rsid w:val="00BD713D"/>
    <w:rsid w:val="00BE2EB8"/>
    <w:rsid w:val="00BF2981"/>
    <w:rsid w:val="00C019D4"/>
    <w:rsid w:val="00C2181E"/>
    <w:rsid w:val="00C319B3"/>
    <w:rsid w:val="00C42DD5"/>
    <w:rsid w:val="00C7206E"/>
    <w:rsid w:val="00C76ECA"/>
    <w:rsid w:val="00C8104F"/>
    <w:rsid w:val="00C84246"/>
    <w:rsid w:val="00CA459A"/>
    <w:rsid w:val="00CC1AA0"/>
    <w:rsid w:val="00CC3830"/>
    <w:rsid w:val="00CC6B6D"/>
    <w:rsid w:val="00CD21FD"/>
    <w:rsid w:val="00CD2AC1"/>
    <w:rsid w:val="00CD5CA7"/>
    <w:rsid w:val="00CD6564"/>
    <w:rsid w:val="00CF2B65"/>
    <w:rsid w:val="00CF4DE8"/>
    <w:rsid w:val="00CF72BF"/>
    <w:rsid w:val="00D01110"/>
    <w:rsid w:val="00D145C7"/>
    <w:rsid w:val="00D158DF"/>
    <w:rsid w:val="00D20A86"/>
    <w:rsid w:val="00D21008"/>
    <w:rsid w:val="00D322E8"/>
    <w:rsid w:val="00D32B8B"/>
    <w:rsid w:val="00D37C37"/>
    <w:rsid w:val="00D41104"/>
    <w:rsid w:val="00D4387B"/>
    <w:rsid w:val="00D441B4"/>
    <w:rsid w:val="00D4550E"/>
    <w:rsid w:val="00D45964"/>
    <w:rsid w:val="00D5245A"/>
    <w:rsid w:val="00D64B7D"/>
    <w:rsid w:val="00D65261"/>
    <w:rsid w:val="00D652EC"/>
    <w:rsid w:val="00D7736B"/>
    <w:rsid w:val="00D84661"/>
    <w:rsid w:val="00D85DD2"/>
    <w:rsid w:val="00D900B6"/>
    <w:rsid w:val="00D930DC"/>
    <w:rsid w:val="00D96481"/>
    <w:rsid w:val="00DA019B"/>
    <w:rsid w:val="00DA039D"/>
    <w:rsid w:val="00DA1A9C"/>
    <w:rsid w:val="00DB32C2"/>
    <w:rsid w:val="00DB5625"/>
    <w:rsid w:val="00DB7B16"/>
    <w:rsid w:val="00DC3F61"/>
    <w:rsid w:val="00DC70DA"/>
    <w:rsid w:val="00DD005C"/>
    <w:rsid w:val="00DD026D"/>
    <w:rsid w:val="00DE130A"/>
    <w:rsid w:val="00DE3FDA"/>
    <w:rsid w:val="00DF0B8C"/>
    <w:rsid w:val="00DF1523"/>
    <w:rsid w:val="00DF4B4B"/>
    <w:rsid w:val="00E02DB0"/>
    <w:rsid w:val="00E15B64"/>
    <w:rsid w:val="00E15BD5"/>
    <w:rsid w:val="00E165AB"/>
    <w:rsid w:val="00E200E2"/>
    <w:rsid w:val="00E212C6"/>
    <w:rsid w:val="00E22705"/>
    <w:rsid w:val="00E23613"/>
    <w:rsid w:val="00E31224"/>
    <w:rsid w:val="00E328B4"/>
    <w:rsid w:val="00E36CBC"/>
    <w:rsid w:val="00E37489"/>
    <w:rsid w:val="00E41437"/>
    <w:rsid w:val="00E41718"/>
    <w:rsid w:val="00E43D96"/>
    <w:rsid w:val="00E44FDD"/>
    <w:rsid w:val="00E459C3"/>
    <w:rsid w:val="00E472AF"/>
    <w:rsid w:val="00E5236A"/>
    <w:rsid w:val="00E56753"/>
    <w:rsid w:val="00E63638"/>
    <w:rsid w:val="00E65D15"/>
    <w:rsid w:val="00E73540"/>
    <w:rsid w:val="00E759BE"/>
    <w:rsid w:val="00E8472B"/>
    <w:rsid w:val="00E953B9"/>
    <w:rsid w:val="00E973C8"/>
    <w:rsid w:val="00EC1111"/>
    <w:rsid w:val="00EC1D9F"/>
    <w:rsid w:val="00ED7984"/>
    <w:rsid w:val="00EE0A89"/>
    <w:rsid w:val="00EE17D6"/>
    <w:rsid w:val="00EF0E3E"/>
    <w:rsid w:val="00EF72C6"/>
    <w:rsid w:val="00F02766"/>
    <w:rsid w:val="00F031B5"/>
    <w:rsid w:val="00F25B8F"/>
    <w:rsid w:val="00F26E3D"/>
    <w:rsid w:val="00F30E01"/>
    <w:rsid w:val="00F34378"/>
    <w:rsid w:val="00F401C5"/>
    <w:rsid w:val="00F41443"/>
    <w:rsid w:val="00F51470"/>
    <w:rsid w:val="00F759B4"/>
    <w:rsid w:val="00F81EB4"/>
    <w:rsid w:val="00F8673E"/>
    <w:rsid w:val="00F90577"/>
    <w:rsid w:val="00F94953"/>
    <w:rsid w:val="00F965CB"/>
    <w:rsid w:val="00FA4170"/>
    <w:rsid w:val="00FA7406"/>
    <w:rsid w:val="00FC4D86"/>
    <w:rsid w:val="00FE13C5"/>
    <w:rsid w:val="00FE1A73"/>
    <w:rsid w:val="00FE255D"/>
    <w:rsid w:val="00FF0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20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20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jc w:val="both"/>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145C7"/>
    <w:rPr>
      <w:rFonts w:ascii="Tahoma" w:hAnsi="Tahoma" w:cs="Tahoma"/>
      <w:sz w:val="16"/>
      <w:szCs w:val="16"/>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styleId="Header">
    <w:name w:val="header"/>
    <w:basedOn w:val="Normal"/>
    <w:link w:val="HeaderChar"/>
    <w:uiPriority w:val="99"/>
    <w:rsid w:val="00C8104F"/>
    <w:pPr>
      <w:tabs>
        <w:tab w:val="center" w:pos="4320"/>
        <w:tab w:val="right" w:pos="8640"/>
      </w:tabs>
    </w:pPr>
  </w:style>
  <w:style w:type="paragraph" w:styleId="Footer">
    <w:name w:val="footer"/>
    <w:basedOn w:val="Normal"/>
    <w:link w:val="FooterChar"/>
    <w:uiPriority w:val="99"/>
    <w:rsid w:val="00C8104F"/>
    <w:pPr>
      <w:tabs>
        <w:tab w:val="center" w:pos="4320"/>
        <w:tab w:val="right" w:pos="8640"/>
      </w:tabs>
    </w:pPr>
  </w:style>
  <w:style w:type="character" w:styleId="PageNumber">
    <w:name w:val="page number"/>
    <w:basedOn w:val="DefaultParagraphFont"/>
    <w:rsid w:val="00C8104F"/>
  </w:style>
  <w:style w:type="paragraph" w:customStyle="1" w:styleId="AppendixTitle">
    <w:name w:val="Appendix Title"/>
    <w:basedOn w:val="Normal"/>
    <w:rsid w:val="00AB2829"/>
    <w:pPr>
      <w:tabs>
        <w:tab w:val="left" w:pos="2880"/>
      </w:tabs>
      <w:jc w:val="center"/>
    </w:pPr>
    <w:rPr>
      <w:szCs w:val="24"/>
    </w:rPr>
  </w:style>
  <w:style w:type="paragraph" w:customStyle="1" w:styleId="7112307-01">
    <w:name w:val="71123.07-01"/>
    <w:basedOn w:val="Normal"/>
    <w:link w:val="7112307-01Char"/>
    <w:qFormat/>
    <w:rsid w:val="003B204C"/>
    <w:pPr>
      <w:ind w:left="1440" w:hanging="1440"/>
    </w:pPr>
  </w:style>
  <w:style w:type="paragraph" w:customStyle="1" w:styleId="0201">
    <w:name w:val="02.01"/>
    <w:basedOn w:val="Normal"/>
    <w:link w:val="0201Char"/>
    <w:qFormat/>
    <w:rsid w:val="003B204C"/>
  </w:style>
  <w:style w:type="character" w:customStyle="1" w:styleId="7112307-01Char">
    <w:name w:val="71123.07-01 Char"/>
    <w:link w:val="7112307-01"/>
    <w:rsid w:val="003B204C"/>
    <w:rPr>
      <w:rFonts w:ascii="Arial" w:hAnsi="Arial" w:cs="Arial"/>
      <w:sz w:val="22"/>
      <w:szCs w:val="22"/>
    </w:rPr>
  </w:style>
  <w:style w:type="paragraph" w:customStyle="1" w:styleId="pa">
    <w:name w:val="pa"/>
    <w:basedOn w:val="Level1"/>
    <w:link w:val="paChar"/>
    <w:qFormat/>
    <w:rsid w:val="00675B43"/>
    <w:pPr>
      <w:widowControl/>
      <w:numPr>
        <w:numId w:val="1"/>
      </w:numPr>
      <w:tabs>
        <w:tab w:val="clear" w:pos="806"/>
      </w:tabs>
      <w:jc w:val="left"/>
    </w:pPr>
  </w:style>
  <w:style w:type="character" w:customStyle="1" w:styleId="0201Char">
    <w:name w:val="02.01 Char"/>
    <w:link w:val="0201"/>
    <w:rsid w:val="003B204C"/>
    <w:rPr>
      <w:rFonts w:ascii="Arial" w:hAnsi="Arial" w:cs="Arial"/>
      <w:sz w:val="22"/>
      <w:szCs w:val="22"/>
    </w:rPr>
  </w:style>
  <w:style w:type="paragraph" w:customStyle="1" w:styleId="pa1">
    <w:name w:val="pa.1"/>
    <w:basedOn w:val="Normal"/>
    <w:link w:val="pa1Char"/>
    <w:qFormat/>
    <w:rsid w:val="00DB5625"/>
    <w:pPr>
      <w:ind w:left="1440" w:hanging="634"/>
      <w:jc w:val="left"/>
    </w:pPr>
  </w:style>
  <w:style w:type="character" w:customStyle="1" w:styleId="paChar">
    <w:name w:val="pa Char"/>
    <w:link w:val="pa"/>
    <w:rsid w:val="00675B43"/>
    <w:rPr>
      <w:rFonts w:ascii="Arial" w:hAnsi="Arial" w:cs="Arial"/>
      <w:sz w:val="22"/>
      <w:szCs w:val="22"/>
    </w:rPr>
  </w:style>
  <w:style w:type="paragraph" w:customStyle="1" w:styleId="P1">
    <w:name w:val="P1"/>
    <w:basedOn w:val="Normal"/>
    <w:link w:val="P1Char"/>
    <w:qFormat/>
    <w:rsid w:val="00A66E23"/>
    <w:pPr>
      <w:autoSpaceDE w:val="0"/>
      <w:autoSpaceDN w:val="0"/>
      <w:adjustRightInd w:val="0"/>
      <w:ind w:left="274" w:firstLine="0"/>
      <w:jc w:val="left"/>
    </w:pPr>
  </w:style>
  <w:style w:type="character" w:customStyle="1" w:styleId="pa1Char">
    <w:name w:val="pa.1 Char"/>
    <w:link w:val="pa1"/>
    <w:rsid w:val="00DB5625"/>
    <w:rPr>
      <w:rFonts w:ascii="Arial" w:hAnsi="Arial" w:cs="Arial"/>
      <w:sz w:val="22"/>
      <w:szCs w:val="22"/>
    </w:rPr>
  </w:style>
  <w:style w:type="character" w:customStyle="1" w:styleId="P1Char">
    <w:name w:val="P1 Char"/>
    <w:link w:val="P1"/>
    <w:locked/>
    <w:rsid w:val="00A66E23"/>
    <w:rPr>
      <w:rFonts w:ascii="Arial" w:hAnsi="Arial" w:cs="Arial"/>
      <w:sz w:val="22"/>
      <w:szCs w:val="22"/>
    </w:rPr>
  </w:style>
  <w:style w:type="paragraph" w:styleId="ListParagraph">
    <w:name w:val="List Paragraph"/>
    <w:basedOn w:val="Normal"/>
    <w:uiPriority w:val="34"/>
    <w:qFormat/>
    <w:rsid w:val="00991BED"/>
    <w:pPr>
      <w:ind w:left="720"/>
    </w:pPr>
  </w:style>
  <w:style w:type="character" w:customStyle="1" w:styleId="FooterChar">
    <w:name w:val="Footer Char"/>
    <w:link w:val="Footer"/>
    <w:uiPriority w:val="99"/>
    <w:rsid w:val="005C7D53"/>
    <w:rPr>
      <w:rFonts w:ascii="Arial" w:hAnsi="Arial" w:cs="Arial"/>
      <w:sz w:val="22"/>
      <w:szCs w:val="22"/>
    </w:rPr>
  </w:style>
  <w:style w:type="character" w:customStyle="1" w:styleId="HeaderChar">
    <w:name w:val="Header Char"/>
    <w:link w:val="Header"/>
    <w:uiPriority w:val="99"/>
    <w:rsid w:val="00466B47"/>
    <w:rPr>
      <w:rFonts w:ascii="Arial" w:hAnsi="Arial" w:cs="Arial"/>
      <w:sz w:val="22"/>
      <w:szCs w:val="22"/>
    </w:rPr>
  </w:style>
  <w:style w:type="character" w:styleId="CommentReference">
    <w:name w:val="annotation reference"/>
    <w:rsid w:val="004D79D0"/>
    <w:rPr>
      <w:sz w:val="16"/>
      <w:szCs w:val="16"/>
    </w:rPr>
  </w:style>
  <w:style w:type="paragraph" w:styleId="CommentText">
    <w:name w:val="annotation text"/>
    <w:basedOn w:val="Normal"/>
    <w:link w:val="CommentTextChar"/>
    <w:rsid w:val="004D79D0"/>
    <w:rPr>
      <w:sz w:val="20"/>
      <w:szCs w:val="20"/>
    </w:rPr>
  </w:style>
  <w:style w:type="character" w:customStyle="1" w:styleId="CommentTextChar">
    <w:name w:val="Comment Text Char"/>
    <w:link w:val="CommentText"/>
    <w:rsid w:val="004D79D0"/>
    <w:rPr>
      <w:rFonts w:ascii="Arial" w:hAnsi="Arial" w:cs="Arial"/>
    </w:rPr>
  </w:style>
  <w:style w:type="paragraph" w:styleId="CommentSubject">
    <w:name w:val="annotation subject"/>
    <w:basedOn w:val="CommentText"/>
    <w:next w:val="CommentText"/>
    <w:link w:val="CommentSubjectChar"/>
    <w:rsid w:val="004D79D0"/>
    <w:rPr>
      <w:b/>
      <w:bCs/>
    </w:rPr>
  </w:style>
  <w:style w:type="character" w:customStyle="1" w:styleId="CommentSubjectChar">
    <w:name w:val="Comment Subject Char"/>
    <w:link w:val="CommentSubject"/>
    <w:rsid w:val="004D79D0"/>
    <w:rPr>
      <w:rFonts w:ascii="Arial" w:hAnsi="Arial" w:cs="Arial"/>
      <w:b/>
      <w:bCs/>
    </w:rPr>
  </w:style>
  <w:style w:type="paragraph" w:styleId="Revision">
    <w:name w:val="Revision"/>
    <w:hidden/>
    <w:uiPriority w:val="99"/>
    <w:semiHidden/>
    <w:rsid w:val="004473A0"/>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046">
      <w:bodyDiv w:val="1"/>
      <w:marLeft w:val="0"/>
      <w:marRight w:val="0"/>
      <w:marTop w:val="0"/>
      <w:marBottom w:val="0"/>
      <w:divBdr>
        <w:top w:val="none" w:sz="0" w:space="0" w:color="auto"/>
        <w:left w:val="none" w:sz="0" w:space="0" w:color="auto"/>
        <w:bottom w:val="none" w:sz="0" w:space="0" w:color="auto"/>
        <w:right w:val="none" w:sz="0" w:space="0" w:color="auto"/>
      </w:divBdr>
    </w:div>
    <w:div w:id="940038">
      <w:bodyDiv w:val="1"/>
      <w:marLeft w:val="0"/>
      <w:marRight w:val="0"/>
      <w:marTop w:val="0"/>
      <w:marBottom w:val="0"/>
      <w:divBdr>
        <w:top w:val="none" w:sz="0" w:space="0" w:color="auto"/>
        <w:left w:val="none" w:sz="0" w:space="0" w:color="auto"/>
        <w:bottom w:val="none" w:sz="0" w:space="0" w:color="auto"/>
        <w:right w:val="none" w:sz="0" w:space="0" w:color="auto"/>
      </w:divBdr>
    </w:div>
    <w:div w:id="173305932">
      <w:bodyDiv w:val="1"/>
      <w:marLeft w:val="0"/>
      <w:marRight w:val="0"/>
      <w:marTop w:val="0"/>
      <w:marBottom w:val="0"/>
      <w:divBdr>
        <w:top w:val="none" w:sz="0" w:space="0" w:color="auto"/>
        <w:left w:val="none" w:sz="0" w:space="0" w:color="auto"/>
        <w:bottom w:val="none" w:sz="0" w:space="0" w:color="auto"/>
        <w:right w:val="none" w:sz="0" w:space="0" w:color="auto"/>
      </w:divBdr>
    </w:div>
    <w:div w:id="176777226">
      <w:bodyDiv w:val="1"/>
      <w:marLeft w:val="0"/>
      <w:marRight w:val="0"/>
      <w:marTop w:val="0"/>
      <w:marBottom w:val="0"/>
      <w:divBdr>
        <w:top w:val="none" w:sz="0" w:space="0" w:color="auto"/>
        <w:left w:val="none" w:sz="0" w:space="0" w:color="auto"/>
        <w:bottom w:val="none" w:sz="0" w:space="0" w:color="auto"/>
        <w:right w:val="none" w:sz="0" w:space="0" w:color="auto"/>
      </w:divBdr>
    </w:div>
    <w:div w:id="181552668">
      <w:bodyDiv w:val="1"/>
      <w:marLeft w:val="0"/>
      <w:marRight w:val="0"/>
      <w:marTop w:val="0"/>
      <w:marBottom w:val="0"/>
      <w:divBdr>
        <w:top w:val="none" w:sz="0" w:space="0" w:color="auto"/>
        <w:left w:val="none" w:sz="0" w:space="0" w:color="auto"/>
        <w:bottom w:val="none" w:sz="0" w:space="0" w:color="auto"/>
        <w:right w:val="none" w:sz="0" w:space="0" w:color="auto"/>
      </w:divBdr>
    </w:div>
    <w:div w:id="214631067">
      <w:bodyDiv w:val="1"/>
      <w:marLeft w:val="0"/>
      <w:marRight w:val="0"/>
      <w:marTop w:val="0"/>
      <w:marBottom w:val="0"/>
      <w:divBdr>
        <w:top w:val="none" w:sz="0" w:space="0" w:color="auto"/>
        <w:left w:val="none" w:sz="0" w:space="0" w:color="auto"/>
        <w:bottom w:val="none" w:sz="0" w:space="0" w:color="auto"/>
        <w:right w:val="none" w:sz="0" w:space="0" w:color="auto"/>
      </w:divBdr>
    </w:div>
    <w:div w:id="247858573">
      <w:bodyDiv w:val="1"/>
      <w:marLeft w:val="0"/>
      <w:marRight w:val="0"/>
      <w:marTop w:val="0"/>
      <w:marBottom w:val="0"/>
      <w:divBdr>
        <w:top w:val="none" w:sz="0" w:space="0" w:color="auto"/>
        <w:left w:val="none" w:sz="0" w:space="0" w:color="auto"/>
        <w:bottom w:val="none" w:sz="0" w:space="0" w:color="auto"/>
        <w:right w:val="none" w:sz="0" w:space="0" w:color="auto"/>
      </w:divBdr>
    </w:div>
    <w:div w:id="300039541">
      <w:bodyDiv w:val="1"/>
      <w:marLeft w:val="0"/>
      <w:marRight w:val="0"/>
      <w:marTop w:val="0"/>
      <w:marBottom w:val="0"/>
      <w:divBdr>
        <w:top w:val="none" w:sz="0" w:space="0" w:color="auto"/>
        <w:left w:val="none" w:sz="0" w:space="0" w:color="auto"/>
        <w:bottom w:val="none" w:sz="0" w:space="0" w:color="auto"/>
        <w:right w:val="none" w:sz="0" w:space="0" w:color="auto"/>
      </w:divBdr>
    </w:div>
    <w:div w:id="319386951">
      <w:bodyDiv w:val="1"/>
      <w:marLeft w:val="0"/>
      <w:marRight w:val="0"/>
      <w:marTop w:val="0"/>
      <w:marBottom w:val="0"/>
      <w:divBdr>
        <w:top w:val="none" w:sz="0" w:space="0" w:color="auto"/>
        <w:left w:val="none" w:sz="0" w:space="0" w:color="auto"/>
        <w:bottom w:val="none" w:sz="0" w:space="0" w:color="auto"/>
        <w:right w:val="none" w:sz="0" w:space="0" w:color="auto"/>
      </w:divBdr>
    </w:div>
    <w:div w:id="399333950">
      <w:bodyDiv w:val="1"/>
      <w:marLeft w:val="0"/>
      <w:marRight w:val="0"/>
      <w:marTop w:val="0"/>
      <w:marBottom w:val="0"/>
      <w:divBdr>
        <w:top w:val="none" w:sz="0" w:space="0" w:color="auto"/>
        <w:left w:val="none" w:sz="0" w:space="0" w:color="auto"/>
        <w:bottom w:val="none" w:sz="0" w:space="0" w:color="auto"/>
        <w:right w:val="none" w:sz="0" w:space="0" w:color="auto"/>
      </w:divBdr>
    </w:div>
    <w:div w:id="403720823">
      <w:bodyDiv w:val="1"/>
      <w:marLeft w:val="0"/>
      <w:marRight w:val="0"/>
      <w:marTop w:val="0"/>
      <w:marBottom w:val="0"/>
      <w:divBdr>
        <w:top w:val="none" w:sz="0" w:space="0" w:color="auto"/>
        <w:left w:val="none" w:sz="0" w:space="0" w:color="auto"/>
        <w:bottom w:val="none" w:sz="0" w:space="0" w:color="auto"/>
        <w:right w:val="none" w:sz="0" w:space="0" w:color="auto"/>
      </w:divBdr>
    </w:div>
    <w:div w:id="456022622">
      <w:bodyDiv w:val="1"/>
      <w:marLeft w:val="0"/>
      <w:marRight w:val="0"/>
      <w:marTop w:val="0"/>
      <w:marBottom w:val="0"/>
      <w:divBdr>
        <w:top w:val="none" w:sz="0" w:space="0" w:color="auto"/>
        <w:left w:val="none" w:sz="0" w:space="0" w:color="auto"/>
        <w:bottom w:val="none" w:sz="0" w:space="0" w:color="auto"/>
        <w:right w:val="none" w:sz="0" w:space="0" w:color="auto"/>
      </w:divBdr>
    </w:div>
    <w:div w:id="501895326">
      <w:bodyDiv w:val="1"/>
      <w:marLeft w:val="0"/>
      <w:marRight w:val="0"/>
      <w:marTop w:val="0"/>
      <w:marBottom w:val="0"/>
      <w:divBdr>
        <w:top w:val="none" w:sz="0" w:space="0" w:color="auto"/>
        <w:left w:val="none" w:sz="0" w:space="0" w:color="auto"/>
        <w:bottom w:val="none" w:sz="0" w:space="0" w:color="auto"/>
        <w:right w:val="none" w:sz="0" w:space="0" w:color="auto"/>
      </w:divBdr>
    </w:div>
    <w:div w:id="538780850">
      <w:bodyDiv w:val="1"/>
      <w:marLeft w:val="0"/>
      <w:marRight w:val="0"/>
      <w:marTop w:val="0"/>
      <w:marBottom w:val="0"/>
      <w:divBdr>
        <w:top w:val="none" w:sz="0" w:space="0" w:color="auto"/>
        <w:left w:val="none" w:sz="0" w:space="0" w:color="auto"/>
        <w:bottom w:val="none" w:sz="0" w:space="0" w:color="auto"/>
        <w:right w:val="none" w:sz="0" w:space="0" w:color="auto"/>
      </w:divBdr>
    </w:div>
    <w:div w:id="834154530">
      <w:bodyDiv w:val="1"/>
      <w:marLeft w:val="0"/>
      <w:marRight w:val="0"/>
      <w:marTop w:val="0"/>
      <w:marBottom w:val="0"/>
      <w:divBdr>
        <w:top w:val="none" w:sz="0" w:space="0" w:color="auto"/>
        <w:left w:val="none" w:sz="0" w:space="0" w:color="auto"/>
        <w:bottom w:val="none" w:sz="0" w:space="0" w:color="auto"/>
        <w:right w:val="none" w:sz="0" w:space="0" w:color="auto"/>
      </w:divBdr>
    </w:div>
    <w:div w:id="974337016">
      <w:bodyDiv w:val="1"/>
      <w:marLeft w:val="0"/>
      <w:marRight w:val="0"/>
      <w:marTop w:val="0"/>
      <w:marBottom w:val="0"/>
      <w:divBdr>
        <w:top w:val="none" w:sz="0" w:space="0" w:color="auto"/>
        <w:left w:val="none" w:sz="0" w:space="0" w:color="auto"/>
        <w:bottom w:val="none" w:sz="0" w:space="0" w:color="auto"/>
        <w:right w:val="none" w:sz="0" w:space="0" w:color="auto"/>
      </w:divBdr>
    </w:div>
    <w:div w:id="1004864447">
      <w:bodyDiv w:val="1"/>
      <w:marLeft w:val="0"/>
      <w:marRight w:val="0"/>
      <w:marTop w:val="0"/>
      <w:marBottom w:val="0"/>
      <w:divBdr>
        <w:top w:val="none" w:sz="0" w:space="0" w:color="auto"/>
        <w:left w:val="none" w:sz="0" w:space="0" w:color="auto"/>
        <w:bottom w:val="none" w:sz="0" w:space="0" w:color="auto"/>
        <w:right w:val="none" w:sz="0" w:space="0" w:color="auto"/>
      </w:divBdr>
    </w:div>
    <w:div w:id="1090589807">
      <w:bodyDiv w:val="1"/>
      <w:marLeft w:val="0"/>
      <w:marRight w:val="0"/>
      <w:marTop w:val="0"/>
      <w:marBottom w:val="0"/>
      <w:divBdr>
        <w:top w:val="none" w:sz="0" w:space="0" w:color="auto"/>
        <w:left w:val="none" w:sz="0" w:space="0" w:color="auto"/>
        <w:bottom w:val="none" w:sz="0" w:space="0" w:color="auto"/>
        <w:right w:val="none" w:sz="0" w:space="0" w:color="auto"/>
      </w:divBdr>
    </w:div>
    <w:div w:id="1102066468">
      <w:bodyDiv w:val="1"/>
      <w:marLeft w:val="0"/>
      <w:marRight w:val="0"/>
      <w:marTop w:val="0"/>
      <w:marBottom w:val="0"/>
      <w:divBdr>
        <w:top w:val="none" w:sz="0" w:space="0" w:color="auto"/>
        <w:left w:val="none" w:sz="0" w:space="0" w:color="auto"/>
        <w:bottom w:val="none" w:sz="0" w:space="0" w:color="auto"/>
        <w:right w:val="none" w:sz="0" w:space="0" w:color="auto"/>
      </w:divBdr>
    </w:div>
    <w:div w:id="1128233076">
      <w:bodyDiv w:val="1"/>
      <w:marLeft w:val="0"/>
      <w:marRight w:val="0"/>
      <w:marTop w:val="0"/>
      <w:marBottom w:val="0"/>
      <w:divBdr>
        <w:top w:val="none" w:sz="0" w:space="0" w:color="auto"/>
        <w:left w:val="none" w:sz="0" w:space="0" w:color="auto"/>
        <w:bottom w:val="none" w:sz="0" w:space="0" w:color="auto"/>
        <w:right w:val="none" w:sz="0" w:space="0" w:color="auto"/>
      </w:divBdr>
    </w:div>
    <w:div w:id="1292706672">
      <w:bodyDiv w:val="1"/>
      <w:marLeft w:val="0"/>
      <w:marRight w:val="0"/>
      <w:marTop w:val="0"/>
      <w:marBottom w:val="0"/>
      <w:divBdr>
        <w:top w:val="none" w:sz="0" w:space="0" w:color="auto"/>
        <w:left w:val="none" w:sz="0" w:space="0" w:color="auto"/>
        <w:bottom w:val="none" w:sz="0" w:space="0" w:color="auto"/>
        <w:right w:val="none" w:sz="0" w:space="0" w:color="auto"/>
      </w:divBdr>
    </w:div>
    <w:div w:id="1654018983">
      <w:bodyDiv w:val="1"/>
      <w:marLeft w:val="0"/>
      <w:marRight w:val="0"/>
      <w:marTop w:val="0"/>
      <w:marBottom w:val="0"/>
      <w:divBdr>
        <w:top w:val="none" w:sz="0" w:space="0" w:color="auto"/>
        <w:left w:val="none" w:sz="0" w:space="0" w:color="auto"/>
        <w:bottom w:val="none" w:sz="0" w:space="0" w:color="auto"/>
        <w:right w:val="none" w:sz="0" w:space="0" w:color="auto"/>
      </w:divBdr>
    </w:div>
    <w:div w:id="1721703527">
      <w:bodyDiv w:val="1"/>
      <w:marLeft w:val="0"/>
      <w:marRight w:val="0"/>
      <w:marTop w:val="0"/>
      <w:marBottom w:val="0"/>
      <w:divBdr>
        <w:top w:val="none" w:sz="0" w:space="0" w:color="auto"/>
        <w:left w:val="none" w:sz="0" w:space="0" w:color="auto"/>
        <w:bottom w:val="none" w:sz="0" w:space="0" w:color="auto"/>
        <w:right w:val="none" w:sz="0" w:space="0" w:color="auto"/>
      </w:divBdr>
    </w:div>
    <w:div w:id="1721902336">
      <w:bodyDiv w:val="1"/>
      <w:marLeft w:val="0"/>
      <w:marRight w:val="0"/>
      <w:marTop w:val="0"/>
      <w:marBottom w:val="0"/>
      <w:divBdr>
        <w:top w:val="none" w:sz="0" w:space="0" w:color="auto"/>
        <w:left w:val="none" w:sz="0" w:space="0" w:color="auto"/>
        <w:bottom w:val="none" w:sz="0" w:space="0" w:color="auto"/>
        <w:right w:val="none" w:sz="0" w:space="0" w:color="auto"/>
      </w:divBdr>
    </w:div>
    <w:div w:id="1742099128">
      <w:bodyDiv w:val="1"/>
      <w:marLeft w:val="0"/>
      <w:marRight w:val="0"/>
      <w:marTop w:val="0"/>
      <w:marBottom w:val="0"/>
      <w:divBdr>
        <w:top w:val="none" w:sz="0" w:space="0" w:color="auto"/>
        <w:left w:val="none" w:sz="0" w:space="0" w:color="auto"/>
        <w:bottom w:val="none" w:sz="0" w:space="0" w:color="auto"/>
        <w:right w:val="none" w:sz="0" w:space="0" w:color="auto"/>
      </w:divBdr>
    </w:div>
    <w:div w:id="1923027601">
      <w:bodyDiv w:val="1"/>
      <w:marLeft w:val="0"/>
      <w:marRight w:val="0"/>
      <w:marTop w:val="0"/>
      <w:marBottom w:val="0"/>
      <w:divBdr>
        <w:top w:val="none" w:sz="0" w:space="0" w:color="auto"/>
        <w:left w:val="none" w:sz="0" w:space="0" w:color="auto"/>
        <w:bottom w:val="none" w:sz="0" w:space="0" w:color="auto"/>
        <w:right w:val="none" w:sz="0" w:space="0" w:color="auto"/>
      </w:divBdr>
    </w:div>
    <w:div w:id="205357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3901D5786AEC43A4ABA8F4D76D7186" ma:contentTypeVersion="0" ma:contentTypeDescription="Create a new document." ma:contentTypeScope="" ma:versionID="3eb9c5848446863a02e718a3252baf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82F21-70E5-486A-9859-4F8736F8B2D1}">
  <ds:schemaRef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FCF38D7-EB69-46D4-8543-016392FF7066}">
  <ds:schemaRefs>
    <ds:schemaRef ds:uri="http://schemas.microsoft.com/sharepoint/v3/contenttype/forms"/>
  </ds:schemaRefs>
</ds:datastoreItem>
</file>

<file path=customXml/itemProps3.xml><?xml version="1.0" encoding="utf-8"?>
<ds:datastoreItem xmlns:ds="http://schemas.openxmlformats.org/officeDocument/2006/customXml" ds:itemID="{3BD7B135-1F1B-43F2-9479-57427A9F7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5F346E-55B3-4B14-B3CF-261E00CD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2071</Words>
  <Characters>12981</Characters>
  <Application>Microsoft Office Word</Application>
  <DocSecurity>2</DocSecurity>
  <Lines>108</Lines>
  <Paragraphs>30</Paragraphs>
  <ScaleCrop>false</ScaleCrop>
  <HeadingPairs>
    <vt:vector size="2" baseType="variant">
      <vt:variant>
        <vt:lpstr>Title</vt:lpstr>
      </vt:variant>
      <vt:variant>
        <vt:i4>1</vt:i4>
      </vt:variant>
    </vt:vector>
  </HeadingPairs>
  <TitlesOfParts>
    <vt:vector size="1" baseType="lpstr">
      <vt:lpstr>ATTACHMENT 71124</vt:lpstr>
    </vt:vector>
  </TitlesOfParts>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71124</dc:title>
  <dc:creator/>
  <cp:lastModifiedBy/>
  <cp:revision>1</cp:revision>
  <cp:lastPrinted>2009-09-10T11:14:00Z</cp:lastPrinted>
  <dcterms:created xsi:type="dcterms:W3CDTF">2020-03-05T18:39:00Z</dcterms:created>
  <dcterms:modified xsi:type="dcterms:W3CDTF">2020-03-05T18:39:00Z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0x0101008E3901D5786AEC43A4ABA8F4D76D7186</vt:lpwstr>
  </property>
</Properties>
</file>