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0DA66" w14:textId="77777777" w:rsidR="00E94AF3" w:rsidRPr="00513511" w:rsidRDefault="00E94AF3" w:rsidP="00E94AF3">
      <w:pPr>
        <w:tabs>
          <w:tab w:val="center" w:pos="4680"/>
          <w:tab w:val="right" w:pos="9360"/>
        </w:tabs>
        <w:jc w:val="center"/>
        <w:rPr>
          <w:bCs/>
        </w:rPr>
      </w:pPr>
      <w:bookmarkStart w:id="0" w:name="_GoBack"/>
      <w:bookmarkEnd w:id="0"/>
      <w:r w:rsidRPr="00513511">
        <w:rPr>
          <w:b/>
          <w:bCs/>
          <w:sz w:val="38"/>
          <w:szCs w:val="38"/>
        </w:rPr>
        <w:tab/>
        <w:t>NRC INSPECTION MANUAL</w:t>
      </w:r>
      <w:r w:rsidRPr="00513511">
        <w:rPr>
          <w:b/>
          <w:bCs/>
          <w:sz w:val="38"/>
          <w:szCs w:val="38"/>
        </w:rPr>
        <w:tab/>
      </w:r>
      <w:r w:rsidRPr="00513511">
        <w:rPr>
          <w:bCs/>
          <w:sz w:val="20"/>
          <w:szCs w:val="20"/>
        </w:rPr>
        <w:t>ARCB</w:t>
      </w:r>
    </w:p>
    <w:p w14:paraId="44173340" w14:textId="77777777" w:rsidR="00E94AF3" w:rsidRPr="00513511" w:rsidRDefault="00E94AF3" w:rsidP="00E9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491600EE" w14:textId="77777777" w:rsidR="00E94AF3" w:rsidRPr="00513511" w:rsidRDefault="00E94AF3" w:rsidP="00E94AF3">
      <w:pPr>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513511">
        <w:rPr>
          <w:bCs/>
        </w:rPr>
        <w:t>INSPECTION PROCEDURE 71124 ATTACHMENT 06</w:t>
      </w:r>
    </w:p>
    <w:p w14:paraId="50DB2108" w14:textId="77777777" w:rsidR="00E94AF3" w:rsidRPr="00513511" w:rsidRDefault="00E94AF3" w:rsidP="00E9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8F040E" w14:textId="77777777" w:rsidR="00E94AF3" w:rsidRPr="00513511" w:rsidRDefault="00E94AF3" w:rsidP="00E9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pPr>
      <w:r w:rsidRPr="00513511">
        <w:t>RADIOACTIVE GASEOUS AND LIQUID EFFLUENT TREATMENT</w:t>
      </w:r>
    </w:p>
    <w:p w14:paraId="669B3FE3" w14:textId="77777777" w:rsidR="00E94AF3" w:rsidRDefault="00E94AF3" w:rsidP="00E94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9FEAE1" w14:textId="5F8D2975" w:rsidR="003614BA" w:rsidRPr="00513511" w:rsidRDefault="003614BA" w:rsidP="003614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A20C3B">
        <w:t xml:space="preserve">Effective Date:  </w:t>
      </w:r>
      <w:r w:rsidR="0042145D">
        <w:t>March 30</w:t>
      </w:r>
      <w:r w:rsidRPr="00A20C3B">
        <w:t>, 20</w:t>
      </w:r>
      <w:r w:rsidR="008D4E24" w:rsidRPr="00A20C3B">
        <w:t>20</w:t>
      </w:r>
    </w:p>
    <w:p w14:paraId="627E8B14" w14:textId="4FD1742D" w:rsidR="00E94AF3" w:rsidRPr="00513511" w:rsidRDefault="00E94AF3" w:rsidP="00E94AF3"/>
    <w:p w14:paraId="29A92F4D" w14:textId="460CEACB" w:rsidR="00D17C31" w:rsidRDefault="00D17C31" w:rsidP="0036067B">
      <w:pPr>
        <w:ind w:left="2707" w:hanging="2707"/>
      </w:pPr>
      <w:r>
        <w:t>PROGRAM APPLICABILITY:</w:t>
      </w:r>
      <w:r>
        <w:tab/>
        <w:t xml:space="preserve">IMC 2515 App A </w:t>
      </w:r>
    </w:p>
    <w:p w14:paraId="5A8857DD" w14:textId="77777777" w:rsidR="00D17C31" w:rsidRDefault="00D17C31" w:rsidP="00D17C31"/>
    <w:p w14:paraId="78489157" w14:textId="63097417" w:rsidR="00D17C31" w:rsidRDefault="00D17C31" w:rsidP="0036067B">
      <w:pPr>
        <w:ind w:left="2635" w:hanging="2635"/>
      </w:pPr>
      <w:r>
        <w:t>CORNERSTONE:</w:t>
      </w:r>
      <w:r>
        <w:tab/>
      </w:r>
      <w:r>
        <w:tab/>
        <w:t>Public Radiation Safety</w:t>
      </w:r>
    </w:p>
    <w:p w14:paraId="12FCA9EC" w14:textId="77777777" w:rsidR="00D17C31" w:rsidRDefault="00D17C31" w:rsidP="00D17C31"/>
    <w:p w14:paraId="020F8B32" w14:textId="40C399AD" w:rsidR="00D17C31" w:rsidRDefault="00D17C31" w:rsidP="008D4E24">
      <w:pPr>
        <w:ind w:left="3024" w:hanging="3024"/>
      </w:pPr>
      <w:r>
        <w:t>INSPECTION BASES:</w:t>
      </w:r>
      <w:r>
        <w:tab/>
      </w:r>
      <w:r w:rsidR="008D4E24">
        <w:tab/>
      </w:r>
      <w:r>
        <w:t>See IMC 0308</w:t>
      </w:r>
      <w:r w:rsidR="0036067B">
        <w:t xml:space="preserve"> </w:t>
      </w:r>
      <w:r>
        <w:t>Attachment 2</w:t>
      </w:r>
    </w:p>
    <w:p w14:paraId="46D7FC52" w14:textId="77777777" w:rsidR="008D4E24" w:rsidRDefault="008D4E24" w:rsidP="00E94AF3"/>
    <w:p w14:paraId="45F39C94" w14:textId="37154A81" w:rsidR="00E94AF3" w:rsidRPr="00513511" w:rsidRDefault="008D4E24" w:rsidP="00E94AF3">
      <w:r>
        <w:t>SAMPLE REQUIREMENTS:</w:t>
      </w:r>
    </w:p>
    <w:p w14:paraId="2DCAA8F7" w14:textId="77777777" w:rsidR="00E94AF3" w:rsidRPr="00513511" w:rsidRDefault="00E94AF3" w:rsidP="00E94AF3"/>
    <w:tbl>
      <w:tblPr>
        <w:tblW w:w="90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350"/>
        <w:gridCol w:w="1531"/>
        <w:gridCol w:w="1260"/>
        <w:gridCol w:w="1621"/>
      </w:tblGrid>
      <w:tr w:rsidR="008D4E24" w14:paraId="6D97EA6A" w14:textId="77777777" w:rsidTr="008D4E24">
        <w:tc>
          <w:tcPr>
            <w:tcW w:w="3298" w:type="dxa"/>
            <w:gridSpan w:val="2"/>
            <w:tcBorders>
              <w:top w:val="single" w:sz="12"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6351AEF3" w14:textId="77777777" w:rsidR="008D4E24" w:rsidRDefault="008D4E24">
            <w:pPr>
              <w:tabs>
                <w:tab w:val="left" w:pos="244"/>
                <w:tab w:val="left" w:pos="835"/>
                <w:tab w:val="left" w:pos="2044"/>
                <w:tab w:val="left" w:pos="2635"/>
              </w:tabs>
              <w:spacing w:line="240" w:lineRule="exact"/>
            </w:pPr>
            <w:r>
              <w:t>Sample Requirements</w:t>
            </w:r>
          </w:p>
        </w:tc>
        <w:tc>
          <w:tcPr>
            <w:tcW w:w="2881" w:type="dxa"/>
            <w:gridSpan w:val="2"/>
            <w:tcBorders>
              <w:top w:val="single" w:sz="12"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FB19F21" w14:textId="77777777" w:rsidR="008D4E24" w:rsidRDefault="008D4E24">
            <w:pPr>
              <w:tabs>
                <w:tab w:val="left" w:pos="0"/>
                <w:tab w:val="left" w:pos="36"/>
                <w:tab w:val="left" w:pos="244"/>
                <w:tab w:val="left" w:pos="1386"/>
                <w:tab w:val="left" w:pos="2635"/>
              </w:tabs>
              <w:spacing w:line="240" w:lineRule="exact"/>
              <w:ind w:left="36"/>
            </w:pPr>
            <w:r>
              <w:t>Minimum Baseline Sample Completion Requirements</w:t>
            </w:r>
          </w:p>
        </w:tc>
        <w:tc>
          <w:tcPr>
            <w:tcW w:w="2881" w:type="dxa"/>
            <w:gridSpan w:val="2"/>
            <w:tcBorders>
              <w:top w:val="single" w:sz="12" w:space="0" w:color="auto"/>
              <w:left w:val="single" w:sz="4" w:space="0" w:color="auto"/>
              <w:bottom w:val="single" w:sz="4" w:space="0" w:color="auto"/>
              <w:right w:val="single" w:sz="12" w:space="0" w:color="auto"/>
            </w:tcBorders>
            <w:tcMar>
              <w:top w:w="0" w:type="dxa"/>
              <w:left w:w="58" w:type="dxa"/>
              <w:bottom w:w="0" w:type="dxa"/>
              <w:right w:w="0" w:type="dxa"/>
            </w:tcMar>
            <w:hideMark/>
          </w:tcPr>
          <w:p w14:paraId="6C32A2AE" w14:textId="77777777" w:rsidR="008D4E24" w:rsidRDefault="008D4E24">
            <w:pPr>
              <w:tabs>
                <w:tab w:val="left" w:pos="244"/>
                <w:tab w:val="left" w:pos="835"/>
                <w:tab w:val="left" w:pos="2044"/>
                <w:tab w:val="left" w:pos="2635"/>
              </w:tabs>
              <w:spacing w:line="240" w:lineRule="exact"/>
            </w:pPr>
            <w:r>
              <w:t>Budgeted Range</w:t>
            </w:r>
          </w:p>
        </w:tc>
      </w:tr>
      <w:tr w:rsidR="008D4E24" w14:paraId="78561279" w14:textId="77777777" w:rsidTr="008D4E24">
        <w:trPr>
          <w:trHeight w:val="256"/>
        </w:trPr>
        <w:tc>
          <w:tcPr>
            <w:tcW w:w="2128" w:type="dxa"/>
            <w:tcBorders>
              <w:top w:val="single" w:sz="4" w:space="0" w:color="auto"/>
              <w:left w:val="single" w:sz="12" w:space="0" w:color="auto"/>
              <w:bottom w:val="double" w:sz="4" w:space="0" w:color="auto"/>
              <w:right w:val="single" w:sz="4" w:space="0" w:color="auto"/>
            </w:tcBorders>
            <w:tcMar>
              <w:top w:w="58" w:type="dxa"/>
              <w:left w:w="58" w:type="dxa"/>
              <w:bottom w:w="58" w:type="dxa"/>
              <w:right w:w="58" w:type="dxa"/>
            </w:tcMar>
            <w:hideMark/>
          </w:tcPr>
          <w:p w14:paraId="7808D26D" w14:textId="77777777" w:rsidR="008D4E24" w:rsidRDefault="008D4E24">
            <w:pPr>
              <w:tabs>
                <w:tab w:val="left" w:pos="244"/>
                <w:tab w:val="left" w:pos="835"/>
                <w:tab w:val="left" w:pos="2044"/>
                <w:tab w:val="left" w:pos="2635"/>
              </w:tabs>
              <w:spacing w:line="240" w:lineRule="exact"/>
            </w:pPr>
            <w:r>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057D8B6C" w14:textId="77777777" w:rsidR="008D4E24" w:rsidRDefault="008D4E24">
            <w:pPr>
              <w:tabs>
                <w:tab w:val="left" w:pos="244"/>
                <w:tab w:val="left" w:pos="835"/>
                <w:tab w:val="left" w:pos="2044"/>
                <w:tab w:val="left" w:pos="2635"/>
              </w:tabs>
              <w:spacing w:line="240" w:lineRule="exact"/>
            </w:pPr>
            <w:r>
              <w:t>Section(s)</w:t>
            </w:r>
          </w:p>
        </w:tc>
        <w:tc>
          <w:tcPr>
            <w:tcW w:w="135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3C5A7066" w14:textId="77777777" w:rsidR="008D4E24" w:rsidRPr="0036067B" w:rsidRDefault="008D4E24">
            <w:pPr>
              <w:tabs>
                <w:tab w:val="left" w:pos="244"/>
                <w:tab w:val="left" w:pos="835"/>
                <w:tab w:val="left" w:pos="2044"/>
                <w:tab w:val="left" w:pos="2635"/>
              </w:tabs>
              <w:spacing w:line="240" w:lineRule="exact"/>
            </w:pPr>
            <w:r w:rsidRPr="0036067B">
              <w:t>Frequency</w:t>
            </w:r>
          </w:p>
        </w:tc>
        <w:tc>
          <w:tcPr>
            <w:tcW w:w="1531"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7496BB70" w14:textId="77777777" w:rsidR="008D4E24" w:rsidRDefault="008D4E24">
            <w:pPr>
              <w:tabs>
                <w:tab w:val="left" w:pos="244"/>
                <w:tab w:val="left" w:pos="835"/>
                <w:tab w:val="left" w:pos="2044"/>
                <w:tab w:val="left" w:pos="2635"/>
              </w:tabs>
              <w:spacing w:line="240" w:lineRule="exact"/>
            </w:pPr>
            <w:r>
              <w:t>Sample Size</w:t>
            </w:r>
          </w:p>
        </w:tc>
        <w:tc>
          <w:tcPr>
            <w:tcW w:w="1260"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hideMark/>
          </w:tcPr>
          <w:p w14:paraId="55A1B557" w14:textId="77777777" w:rsidR="008D4E24" w:rsidRDefault="008D4E24">
            <w:pPr>
              <w:tabs>
                <w:tab w:val="left" w:pos="244"/>
                <w:tab w:val="left" w:pos="835"/>
                <w:tab w:val="left" w:pos="2044"/>
                <w:tab w:val="left" w:pos="2635"/>
              </w:tabs>
              <w:spacing w:line="240" w:lineRule="exact"/>
            </w:pPr>
            <w:r>
              <w:t>Samples</w:t>
            </w:r>
          </w:p>
        </w:tc>
        <w:tc>
          <w:tcPr>
            <w:tcW w:w="1621" w:type="dxa"/>
            <w:tcBorders>
              <w:top w:val="single" w:sz="4" w:space="0" w:color="auto"/>
              <w:left w:val="single" w:sz="4" w:space="0" w:color="auto"/>
              <w:bottom w:val="double" w:sz="4" w:space="0" w:color="auto"/>
              <w:right w:val="single" w:sz="12" w:space="0" w:color="auto"/>
            </w:tcBorders>
            <w:tcMar>
              <w:top w:w="0" w:type="dxa"/>
              <w:left w:w="58" w:type="dxa"/>
              <w:bottom w:w="0" w:type="dxa"/>
              <w:right w:w="0" w:type="dxa"/>
            </w:tcMar>
            <w:hideMark/>
          </w:tcPr>
          <w:p w14:paraId="37B6BBF9" w14:textId="64C2B71D" w:rsidR="008D4E24" w:rsidRDefault="008D4E24">
            <w:pPr>
              <w:tabs>
                <w:tab w:val="left" w:pos="244"/>
                <w:tab w:val="left" w:pos="835"/>
                <w:tab w:val="left" w:pos="2044"/>
                <w:tab w:val="left" w:pos="2635"/>
              </w:tabs>
              <w:spacing w:line="240" w:lineRule="exact"/>
            </w:pPr>
            <w:r>
              <w:t>Hours</w:t>
            </w:r>
          </w:p>
        </w:tc>
      </w:tr>
      <w:tr w:rsidR="008D4E24" w14:paraId="3A9CA51A" w14:textId="77777777" w:rsidTr="000F57B0">
        <w:trPr>
          <w:trHeight w:val="29"/>
        </w:trPr>
        <w:tc>
          <w:tcPr>
            <w:tcW w:w="2128" w:type="dxa"/>
            <w:tcBorders>
              <w:top w:val="double" w:sz="4"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190FB60D" w14:textId="70A02689" w:rsidR="008D4E24" w:rsidRDefault="00832CFA">
            <w:pPr>
              <w:tabs>
                <w:tab w:val="left" w:pos="244"/>
                <w:tab w:val="left" w:pos="835"/>
                <w:tab w:val="left" w:pos="2044"/>
                <w:tab w:val="left" w:pos="2635"/>
              </w:tabs>
              <w:spacing w:line="240" w:lineRule="exact"/>
            </w:pPr>
            <w:r>
              <w:t>Walkdowns and Observations</w:t>
            </w:r>
          </w:p>
        </w:tc>
        <w:tc>
          <w:tcPr>
            <w:tcW w:w="117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AC7E193" w14:textId="77777777" w:rsidR="008D4E24" w:rsidRDefault="008D4E24">
            <w:pPr>
              <w:tabs>
                <w:tab w:val="left" w:pos="244"/>
                <w:tab w:val="left" w:pos="835"/>
                <w:tab w:val="left" w:pos="2044"/>
                <w:tab w:val="left" w:pos="2635"/>
              </w:tabs>
              <w:spacing w:line="240" w:lineRule="exact"/>
            </w:pPr>
            <w:r>
              <w:t>03.01</w:t>
            </w:r>
          </w:p>
        </w:tc>
        <w:tc>
          <w:tcPr>
            <w:tcW w:w="135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tcPr>
          <w:p w14:paraId="31257781" w14:textId="3162BA51" w:rsidR="008D4E24" w:rsidRPr="0036067B" w:rsidRDefault="000137C9">
            <w:r w:rsidRPr="0036067B">
              <w:t>Tr</w:t>
            </w:r>
            <w:r w:rsidR="008D4E24" w:rsidRPr="0036067B">
              <w:t>iennial</w:t>
            </w:r>
          </w:p>
          <w:p w14:paraId="05666510" w14:textId="7A6AAA48" w:rsidR="008D4E24" w:rsidRPr="0036067B" w:rsidRDefault="008D4E24"/>
        </w:tc>
        <w:tc>
          <w:tcPr>
            <w:tcW w:w="1531"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43FB815" w14:textId="33927258" w:rsidR="008D4E24" w:rsidRPr="000137C9" w:rsidRDefault="004419AF">
            <w:r w:rsidRPr="000137C9">
              <w:t>3</w:t>
            </w:r>
            <w:r w:rsidR="008D4E24" w:rsidRPr="000137C9">
              <w:t xml:space="preserve"> per site</w:t>
            </w:r>
          </w:p>
        </w:tc>
        <w:tc>
          <w:tcPr>
            <w:tcW w:w="1260" w:type="dxa"/>
            <w:tcBorders>
              <w:top w:val="doub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5B85C9FB" w14:textId="08EAB7EE" w:rsidR="008D4E24" w:rsidRPr="000137C9" w:rsidRDefault="00832CFA">
            <w:r w:rsidRPr="000137C9">
              <w:t>3-5 per site</w:t>
            </w:r>
          </w:p>
        </w:tc>
        <w:tc>
          <w:tcPr>
            <w:tcW w:w="1621" w:type="dxa"/>
            <w:vMerge w:val="restart"/>
            <w:tcBorders>
              <w:top w:val="double" w:sz="4" w:space="0" w:color="auto"/>
              <w:left w:val="single" w:sz="4" w:space="0" w:color="auto"/>
              <w:right w:val="single" w:sz="12" w:space="0" w:color="auto"/>
            </w:tcBorders>
            <w:tcMar>
              <w:top w:w="0" w:type="dxa"/>
              <w:left w:w="58" w:type="dxa"/>
              <w:bottom w:w="0" w:type="dxa"/>
              <w:right w:w="0" w:type="dxa"/>
            </w:tcMar>
          </w:tcPr>
          <w:p w14:paraId="662983F0" w14:textId="33AEFCB8" w:rsidR="008D4E24" w:rsidRPr="0036067B" w:rsidRDefault="00932A79">
            <w:r>
              <w:t>29</w:t>
            </w:r>
            <w:r w:rsidR="008D4E24" w:rsidRPr="0036067B">
              <w:t xml:space="preserve"> +/- 4 </w:t>
            </w:r>
            <w:r w:rsidR="0036067B" w:rsidRPr="0036067B">
              <w:t>per site</w:t>
            </w:r>
          </w:p>
          <w:p w14:paraId="16F7C711" w14:textId="77777777" w:rsidR="008D4E24" w:rsidRDefault="008D4E24" w:rsidP="0036067B"/>
        </w:tc>
      </w:tr>
      <w:tr w:rsidR="008D4E24" w14:paraId="079BFF7B" w14:textId="77777777" w:rsidTr="000F57B0">
        <w:trPr>
          <w:trHeight w:val="292"/>
        </w:trPr>
        <w:tc>
          <w:tcPr>
            <w:tcW w:w="2128" w:type="dxa"/>
            <w:tcBorders>
              <w:top w:val="single" w:sz="4" w:space="0" w:color="auto"/>
              <w:left w:val="single" w:sz="12" w:space="0" w:color="auto"/>
              <w:bottom w:val="single" w:sz="4" w:space="0" w:color="auto"/>
              <w:right w:val="single" w:sz="4" w:space="0" w:color="auto"/>
            </w:tcBorders>
            <w:tcMar>
              <w:top w:w="58" w:type="dxa"/>
              <w:left w:w="58" w:type="dxa"/>
              <w:bottom w:w="58" w:type="dxa"/>
              <w:right w:w="58" w:type="dxa"/>
            </w:tcMar>
          </w:tcPr>
          <w:p w14:paraId="01E4FC9F" w14:textId="2E8F93C2" w:rsidR="008D4E24" w:rsidRDefault="00717391" w:rsidP="008D4E24">
            <w:pPr>
              <w:tabs>
                <w:tab w:val="left" w:pos="244"/>
                <w:tab w:val="left" w:pos="835"/>
                <w:tab w:val="left" w:pos="2044"/>
                <w:tab w:val="left" w:pos="2635"/>
              </w:tabs>
              <w:spacing w:line="240" w:lineRule="exact"/>
            </w:pPr>
            <w:r>
              <w:t>Sampling and Analysis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8BC1B41" w14:textId="425F36F6" w:rsidR="008D4E24" w:rsidRDefault="008D4E24" w:rsidP="008D4E24">
            <w:pPr>
              <w:tabs>
                <w:tab w:val="left" w:pos="244"/>
                <w:tab w:val="left" w:pos="835"/>
                <w:tab w:val="left" w:pos="2044"/>
                <w:tab w:val="left" w:pos="2635"/>
              </w:tabs>
              <w:spacing w:line="240" w:lineRule="exact"/>
            </w:pPr>
            <w:r>
              <w:t>03.0</w:t>
            </w:r>
            <w:r w:rsidR="00932A79">
              <w:t>2</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50E3E47" w14:textId="29C46D8A" w:rsidR="008D4E24" w:rsidRPr="0036067B" w:rsidRDefault="000137C9" w:rsidP="008D4E24">
            <w:r w:rsidRPr="0036067B">
              <w:t>Tr</w:t>
            </w:r>
            <w:r w:rsidR="008D4E24" w:rsidRPr="0036067B">
              <w:t>iennial</w:t>
            </w:r>
          </w:p>
          <w:p w14:paraId="736E6EFE" w14:textId="2C2DAC11" w:rsidR="008D4E24" w:rsidRPr="0036067B" w:rsidRDefault="008D4E24" w:rsidP="008D4E24"/>
        </w:tc>
        <w:tc>
          <w:tcPr>
            <w:tcW w:w="15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EA50A12" w14:textId="6FAB1355" w:rsidR="008D4E24" w:rsidRPr="000137C9" w:rsidRDefault="00C50B18" w:rsidP="008D4E24">
            <w:r>
              <w:t>3</w:t>
            </w:r>
            <w:r w:rsidR="008D4E24" w:rsidRPr="000137C9">
              <w:t xml:space="preserve"> per site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tcPr>
          <w:p w14:paraId="4C8041DC" w14:textId="111199AB" w:rsidR="008D4E24" w:rsidRPr="000137C9" w:rsidRDefault="00C50B18" w:rsidP="008D4E24">
            <w:r>
              <w:t>3</w:t>
            </w:r>
            <w:r w:rsidR="00717391" w:rsidRPr="000137C9">
              <w:t>-5</w:t>
            </w:r>
            <w:r w:rsidR="008D4E24" w:rsidRPr="000137C9">
              <w:t xml:space="preserve"> per site</w:t>
            </w:r>
          </w:p>
        </w:tc>
        <w:tc>
          <w:tcPr>
            <w:tcW w:w="1621" w:type="dxa"/>
            <w:vMerge/>
            <w:tcBorders>
              <w:left w:val="single" w:sz="4" w:space="0" w:color="auto"/>
              <w:right w:val="single" w:sz="12" w:space="0" w:color="auto"/>
            </w:tcBorders>
            <w:vAlign w:val="center"/>
          </w:tcPr>
          <w:p w14:paraId="6F6B6F5C" w14:textId="77777777" w:rsidR="008D4E24" w:rsidRDefault="008D4E24" w:rsidP="008D4E24"/>
        </w:tc>
      </w:tr>
      <w:tr w:rsidR="00154EF0" w14:paraId="1CA94625" w14:textId="77777777" w:rsidTr="000F57B0">
        <w:trPr>
          <w:trHeight w:val="292"/>
        </w:trPr>
        <w:tc>
          <w:tcPr>
            <w:tcW w:w="2128" w:type="dxa"/>
            <w:tcBorders>
              <w:top w:val="single" w:sz="4" w:space="0" w:color="auto"/>
              <w:left w:val="single" w:sz="12" w:space="0" w:color="auto"/>
              <w:bottom w:val="single" w:sz="4" w:space="0" w:color="auto"/>
              <w:right w:val="single" w:sz="4" w:space="0" w:color="auto"/>
            </w:tcBorders>
            <w:tcMar>
              <w:top w:w="58" w:type="dxa"/>
              <w:left w:w="58" w:type="dxa"/>
              <w:bottom w:w="58" w:type="dxa"/>
              <w:right w:w="58" w:type="dxa"/>
            </w:tcMar>
          </w:tcPr>
          <w:p w14:paraId="0137F3F6" w14:textId="6B40FD46" w:rsidR="00154EF0" w:rsidRPr="0041528B" w:rsidRDefault="00154EF0" w:rsidP="00154EF0">
            <w:pPr>
              <w:tabs>
                <w:tab w:val="left" w:pos="244"/>
                <w:tab w:val="left" w:pos="835"/>
                <w:tab w:val="left" w:pos="2044"/>
                <w:tab w:val="left" w:pos="2635"/>
              </w:tabs>
              <w:spacing w:line="240" w:lineRule="exact"/>
            </w:pPr>
            <w:r>
              <w:t>Dose Calculations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A96C6E8" w14:textId="59CC4CE3" w:rsidR="00154EF0" w:rsidRDefault="00154EF0" w:rsidP="00154EF0">
            <w:pPr>
              <w:tabs>
                <w:tab w:val="left" w:pos="244"/>
                <w:tab w:val="left" w:pos="835"/>
                <w:tab w:val="left" w:pos="2044"/>
                <w:tab w:val="left" w:pos="2635"/>
              </w:tabs>
              <w:spacing w:line="240" w:lineRule="exact"/>
            </w:pPr>
            <w:r>
              <w:t>03.0</w:t>
            </w:r>
            <w:r w:rsidR="00932A79">
              <w:t>3</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764477A" w14:textId="65F0280D" w:rsidR="00154EF0" w:rsidRPr="0036067B" w:rsidRDefault="00154EF0" w:rsidP="00154EF0">
            <w:r w:rsidRPr="0036067B">
              <w:t>Triennial</w:t>
            </w:r>
          </w:p>
          <w:p w14:paraId="6559A85E" w14:textId="6F2ED473" w:rsidR="00154EF0" w:rsidRPr="0036067B" w:rsidRDefault="00154EF0" w:rsidP="00154EF0"/>
        </w:tc>
        <w:tc>
          <w:tcPr>
            <w:tcW w:w="15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B9D0DA4" w14:textId="58558C84" w:rsidR="00154EF0" w:rsidRPr="000137C9" w:rsidRDefault="009F1547" w:rsidP="00154EF0">
            <w:r>
              <w:t>2</w:t>
            </w:r>
            <w:r w:rsidR="00154EF0" w:rsidRPr="000137C9">
              <w:t xml:space="preserve"> per site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tcPr>
          <w:p w14:paraId="13213136" w14:textId="0DAE9249" w:rsidR="00154EF0" w:rsidRPr="000137C9" w:rsidRDefault="00243F67" w:rsidP="00154EF0">
            <w:r>
              <w:t>2</w:t>
            </w:r>
            <w:r w:rsidR="00154EF0" w:rsidRPr="000137C9">
              <w:t>-3 per site</w:t>
            </w:r>
          </w:p>
        </w:tc>
        <w:tc>
          <w:tcPr>
            <w:tcW w:w="1621" w:type="dxa"/>
            <w:vMerge/>
            <w:tcBorders>
              <w:left w:val="single" w:sz="4" w:space="0" w:color="auto"/>
              <w:right w:val="single" w:sz="12" w:space="0" w:color="auto"/>
            </w:tcBorders>
            <w:vAlign w:val="center"/>
          </w:tcPr>
          <w:p w14:paraId="7B6995EB" w14:textId="77777777" w:rsidR="00154EF0" w:rsidRDefault="00154EF0" w:rsidP="00154EF0"/>
        </w:tc>
      </w:tr>
      <w:tr w:rsidR="00154EF0" w14:paraId="1B8061A0" w14:textId="77777777" w:rsidTr="0007009C">
        <w:trPr>
          <w:trHeight w:val="544"/>
        </w:trPr>
        <w:tc>
          <w:tcPr>
            <w:tcW w:w="2128" w:type="dxa"/>
            <w:tcBorders>
              <w:top w:val="single" w:sz="4" w:space="0" w:color="auto"/>
              <w:left w:val="single" w:sz="12" w:space="0" w:color="auto"/>
              <w:bottom w:val="single" w:sz="12" w:space="0" w:color="auto"/>
              <w:right w:val="single" w:sz="4" w:space="0" w:color="auto"/>
            </w:tcBorders>
            <w:tcMar>
              <w:top w:w="58" w:type="dxa"/>
              <w:left w:w="58" w:type="dxa"/>
              <w:bottom w:w="58" w:type="dxa"/>
              <w:right w:w="58" w:type="dxa"/>
            </w:tcMar>
          </w:tcPr>
          <w:p w14:paraId="0777A781" w14:textId="53C6E006" w:rsidR="00154EF0" w:rsidRDefault="00154EF0" w:rsidP="00154EF0">
            <w:pPr>
              <w:tabs>
                <w:tab w:val="left" w:pos="244"/>
                <w:tab w:val="left" w:pos="835"/>
                <w:tab w:val="left" w:pos="2044"/>
                <w:tab w:val="left" w:pos="2635"/>
              </w:tabs>
              <w:spacing w:line="240" w:lineRule="exact"/>
            </w:pPr>
            <w:r>
              <w:t>Abnormal Discharges</w:t>
            </w:r>
          </w:p>
        </w:tc>
        <w:tc>
          <w:tcPr>
            <w:tcW w:w="1170" w:type="dxa"/>
            <w:tcBorders>
              <w:top w:val="single" w:sz="4" w:space="0" w:color="auto"/>
              <w:left w:val="single" w:sz="4" w:space="0" w:color="auto"/>
              <w:bottom w:val="single" w:sz="12" w:space="0" w:color="auto"/>
              <w:right w:val="single" w:sz="4" w:space="0" w:color="auto"/>
            </w:tcBorders>
            <w:tcMar>
              <w:top w:w="58" w:type="dxa"/>
              <w:left w:w="58" w:type="dxa"/>
              <w:bottom w:w="58" w:type="dxa"/>
              <w:right w:w="58" w:type="dxa"/>
            </w:tcMar>
          </w:tcPr>
          <w:p w14:paraId="1461B1EB" w14:textId="7D2EAA9F" w:rsidR="00154EF0" w:rsidRDefault="00154EF0" w:rsidP="00154EF0">
            <w:pPr>
              <w:tabs>
                <w:tab w:val="left" w:pos="244"/>
                <w:tab w:val="left" w:pos="835"/>
                <w:tab w:val="left" w:pos="2044"/>
                <w:tab w:val="left" w:pos="2635"/>
              </w:tabs>
              <w:spacing w:line="240" w:lineRule="exact"/>
            </w:pPr>
            <w:r>
              <w:t>03.0</w:t>
            </w:r>
            <w:r w:rsidR="00932A79">
              <w:t>4</w:t>
            </w:r>
          </w:p>
        </w:tc>
        <w:tc>
          <w:tcPr>
            <w:tcW w:w="1350" w:type="dxa"/>
            <w:tcBorders>
              <w:top w:val="single" w:sz="4" w:space="0" w:color="auto"/>
              <w:left w:val="single" w:sz="4" w:space="0" w:color="auto"/>
              <w:bottom w:val="single" w:sz="12" w:space="0" w:color="auto"/>
              <w:right w:val="single" w:sz="4" w:space="0" w:color="auto"/>
            </w:tcBorders>
            <w:tcMar>
              <w:top w:w="58" w:type="dxa"/>
              <w:left w:w="58" w:type="dxa"/>
              <w:bottom w:w="58" w:type="dxa"/>
              <w:right w:w="58" w:type="dxa"/>
            </w:tcMar>
          </w:tcPr>
          <w:p w14:paraId="343DB837" w14:textId="255828CE" w:rsidR="00154EF0" w:rsidRPr="0036067B" w:rsidRDefault="00154EF0" w:rsidP="00154EF0">
            <w:r w:rsidRPr="0036067B">
              <w:t>Triennial</w:t>
            </w:r>
          </w:p>
          <w:p w14:paraId="5C3AACDD" w14:textId="6E935606" w:rsidR="00B21C73" w:rsidRPr="0036067B" w:rsidRDefault="00B21C73" w:rsidP="00154EF0"/>
          <w:p w14:paraId="02F344BD" w14:textId="77777777" w:rsidR="00154EF0" w:rsidRPr="0036067B" w:rsidRDefault="00154EF0" w:rsidP="00154EF0"/>
        </w:tc>
        <w:tc>
          <w:tcPr>
            <w:tcW w:w="1531" w:type="dxa"/>
            <w:tcBorders>
              <w:top w:val="single" w:sz="4" w:space="0" w:color="auto"/>
              <w:left w:val="single" w:sz="4" w:space="0" w:color="auto"/>
              <w:bottom w:val="single" w:sz="12" w:space="0" w:color="auto"/>
              <w:right w:val="single" w:sz="4" w:space="0" w:color="auto"/>
            </w:tcBorders>
            <w:tcMar>
              <w:top w:w="58" w:type="dxa"/>
              <w:left w:w="58" w:type="dxa"/>
              <w:bottom w:w="58" w:type="dxa"/>
              <w:right w:w="58" w:type="dxa"/>
            </w:tcMar>
          </w:tcPr>
          <w:p w14:paraId="49A0BB42" w14:textId="7B860E11" w:rsidR="00154EF0" w:rsidRPr="000137C9" w:rsidRDefault="00154EF0" w:rsidP="00154EF0">
            <w:r>
              <w:t>1</w:t>
            </w:r>
            <w:r w:rsidRPr="000137C9">
              <w:t xml:space="preserve"> per site</w:t>
            </w:r>
          </w:p>
        </w:tc>
        <w:tc>
          <w:tcPr>
            <w:tcW w:w="1260" w:type="dxa"/>
            <w:tcBorders>
              <w:top w:val="single" w:sz="4" w:space="0" w:color="auto"/>
              <w:left w:val="single" w:sz="4" w:space="0" w:color="auto"/>
              <w:bottom w:val="single" w:sz="12" w:space="0" w:color="auto"/>
              <w:right w:val="single" w:sz="4" w:space="0" w:color="auto"/>
            </w:tcBorders>
            <w:tcMar>
              <w:top w:w="0" w:type="dxa"/>
              <w:left w:w="58" w:type="dxa"/>
              <w:bottom w:w="0" w:type="dxa"/>
              <w:right w:w="0" w:type="dxa"/>
            </w:tcMar>
          </w:tcPr>
          <w:p w14:paraId="363CC073" w14:textId="249EDAE2" w:rsidR="00154EF0" w:rsidRPr="000137C9" w:rsidRDefault="00154EF0" w:rsidP="00154EF0">
            <w:r w:rsidRPr="000137C9">
              <w:t>1-3 per site</w:t>
            </w:r>
          </w:p>
        </w:tc>
        <w:tc>
          <w:tcPr>
            <w:tcW w:w="1621" w:type="dxa"/>
            <w:vMerge/>
            <w:tcBorders>
              <w:left w:val="single" w:sz="4" w:space="0" w:color="auto"/>
              <w:bottom w:val="single" w:sz="12" w:space="0" w:color="auto"/>
              <w:right w:val="single" w:sz="12" w:space="0" w:color="auto"/>
            </w:tcBorders>
            <w:vAlign w:val="center"/>
          </w:tcPr>
          <w:p w14:paraId="53AFD4B7" w14:textId="77777777" w:rsidR="00154EF0" w:rsidRDefault="00154EF0" w:rsidP="00154EF0"/>
        </w:tc>
      </w:tr>
    </w:tbl>
    <w:p w14:paraId="1A5D1106" w14:textId="3B4BD93D" w:rsidR="008B430E" w:rsidRDefault="008B430E" w:rsidP="00F91446"/>
    <w:p w14:paraId="67D9CD27" w14:textId="29A042C3" w:rsidR="00B16278" w:rsidRDefault="00B16278" w:rsidP="00F91446"/>
    <w:p w14:paraId="20CE4730" w14:textId="165E00B5" w:rsidR="00F14482" w:rsidRPr="00513511" w:rsidRDefault="00BD4851" w:rsidP="00A27A34">
      <w:pPr>
        <w:widowControl/>
        <w:autoSpaceDE/>
        <w:autoSpaceDN/>
        <w:adjustRightInd/>
      </w:pPr>
      <w:r w:rsidRPr="00513511">
        <w:t>7112</w:t>
      </w:r>
      <w:r w:rsidR="00523A86" w:rsidRPr="00513511">
        <w:t>4</w:t>
      </w:r>
      <w:r w:rsidRPr="00513511">
        <w:t>.0</w:t>
      </w:r>
      <w:r w:rsidR="00F14482" w:rsidRPr="00513511">
        <w:t>6</w:t>
      </w:r>
      <w:r w:rsidR="00360C64" w:rsidRPr="00513511">
        <w:t>-</w:t>
      </w:r>
      <w:r w:rsidRPr="00513511">
        <w:t>01</w:t>
      </w:r>
      <w:r w:rsidR="002A40BE" w:rsidRPr="00513511">
        <w:tab/>
      </w:r>
      <w:r w:rsidRPr="00513511">
        <w:t>INSPECTION OBJECTIVES</w:t>
      </w:r>
    </w:p>
    <w:p w14:paraId="248DAE44" w14:textId="77777777" w:rsidR="00821446" w:rsidRPr="00513511" w:rsidRDefault="00821446" w:rsidP="00D647B0">
      <w:pPr>
        <w:widowControl/>
        <w:tabs>
          <w:tab w:val="left" w:pos="274"/>
          <w:tab w:val="left" w:pos="806"/>
          <w:tab w:val="left" w:pos="1440"/>
          <w:tab w:val="left" w:pos="2074"/>
          <w:tab w:val="left" w:pos="2707"/>
          <w:tab w:val="left" w:pos="3240"/>
          <w:tab w:val="left" w:pos="3874"/>
          <w:tab w:val="left" w:pos="4507"/>
        </w:tabs>
      </w:pPr>
    </w:p>
    <w:p w14:paraId="6A633886" w14:textId="7D3FCAB1" w:rsidR="00BD4851" w:rsidRPr="00513511" w:rsidRDefault="009F6D07" w:rsidP="00FA5A99">
      <w:pPr>
        <w:pStyle w:val="CommentText"/>
        <w:ind w:left="864" w:hanging="864"/>
        <w:rPr>
          <w:sz w:val="22"/>
          <w:szCs w:val="22"/>
        </w:rPr>
      </w:pPr>
      <w:r w:rsidRPr="00513511">
        <w:rPr>
          <w:sz w:val="22"/>
          <w:szCs w:val="22"/>
        </w:rPr>
        <w:t>01.01</w:t>
      </w:r>
      <w:r w:rsidRPr="00513511">
        <w:rPr>
          <w:sz w:val="22"/>
          <w:szCs w:val="22"/>
        </w:rPr>
        <w:tab/>
      </w:r>
      <w:r w:rsidR="005F1830" w:rsidRPr="00513511">
        <w:rPr>
          <w:sz w:val="22"/>
          <w:szCs w:val="22"/>
        </w:rPr>
        <w:t xml:space="preserve">To </w:t>
      </w:r>
      <w:r w:rsidR="00886D0A">
        <w:rPr>
          <w:sz w:val="22"/>
          <w:szCs w:val="22"/>
        </w:rPr>
        <w:t>verify</w:t>
      </w:r>
      <w:r w:rsidR="005F1830" w:rsidRPr="00513511">
        <w:rPr>
          <w:sz w:val="22"/>
          <w:szCs w:val="22"/>
        </w:rPr>
        <w:t xml:space="preserve"> the gaseous and liquid effluent processing systems are maintained so that radiological discharges are properly mitigated, monitored, and evaluated with regard to public exposure.  </w:t>
      </w:r>
    </w:p>
    <w:p w14:paraId="7B7C5401" w14:textId="77777777" w:rsidR="00F14482" w:rsidRPr="00513511" w:rsidRDefault="00F14482" w:rsidP="00D647B0"/>
    <w:p w14:paraId="6BAF96B5" w14:textId="134FEA28" w:rsidR="00F14482" w:rsidRPr="00513511" w:rsidRDefault="001B355F" w:rsidP="00FA5A99">
      <w:pPr>
        <w:ind w:left="864" w:hanging="864"/>
      </w:pPr>
      <w:r w:rsidRPr="00513511">
        <w:t>01.02</w:t>
      </w:r>
      <w:r w:rsidRPr="00513511">
        <w:tab/>
      </w:r>
      <w:r w:rsidR="00BD4851" w:rsidRPr="00513511">
        <w:t xml:space="preserve">To </w:t>
      </w:r>
      <w:r w:rsidR="00886D0A">
        <w:t>verify</w:t>
      </w:r>
      <w:r w:rsidR="00BD4851" w:rsidRPr="00513511">
        <w:t xml:space="preserve"> that abnormal radioactive gaseous or liquid discharges and conditions, when effluent radiation monitors are out</w:t>
      </w:r>
      <w:r w:rsidR="00BD4851" w:rsidRPr="00513511">
        <w:noBreakHyphen/>
        <w:t>of</w:t>
      </w:r>
      <w:r w:rsidR="00BD4851" w:rsidRPr="00513511">
        <w:noBreakHyphen/>
        <w:t>service, are controlled in accordance with applicable regulatory requirements and licensee procedures.</w:t>
      </w:r>
    </w:p>
    <w:p w14:paraId="4A3590C5" w14:textId="77777777" w:rsidR="00BD4851" w:rsidRPr="00513511" w:rsidRDefault="00BD4851" w:rsidP="00D647B0"/>
    <w:p w14:paraId="03FFA884" w14:textId="7588509F" w:rsidR="00777560" w:rsidRPr="00513511" w:rsidRDefault="001D5E8D" w:rsidP="00FA5A99">
      <w:pPr>
        <w:ind w:left="864" w:hanging="864"/>
      </w:pPr>
      <w:r w:rsidRPr="00513511">
        <w:t>01.03</w:t>
      </w:r>
      <w:r w:rsidRPr="00513511">
        <w:tab/>
      </w:r>
      <w:r w:rsidR="00BD4851" w:rsidRPr="00513511">
        <w:t>To verify licensees</w:t>
      </w:r>
      <w:r w:rsidR="00360C64" w:rsidRPr="00513511">
        <w:t>’</w:t>
      </w:r>
      <w:r w:rsidR="00BD4851" w:rsidRPr="00513511">
        <w:t xml:space="preserve"> quality control program ensures radioactive effluent sampling and analysis requirements are satisfied so that discharges of radioactive materials are adequately quantified and evaluated</w:t>
      </w:r>
      <w:r w:rsidR="00D92F2B" w:rsidRPr="00513511">
        <w:t xml:space="preserve"> </w:t>
      </w:r>
      <w:r w:rsidR="004D7BE6" w:rsidRPr="00513511">
        <w:t>from all established release points and any unmonitored and uncontrolled discharge path.</w:t>
      </w:r>
      <w:r w:rsidR="008E5C6B" w:rsidRPr="00513511">
        <w:t xml:space="preserve"> </w:t>
      </w:r>
    </w:p>
    <w:p w14:paraId="01F0865B" w14:textId="77777777" w:rsidR="00777560" w:rsidRPr="00513511" w:rsidRDefault="00777560" w:rsidP="00D647B0"/>
    <w:p w14:paraId="443380D8" w14:textId="4335D7F1" w:rsidR="00484460" w:rsidRDefault="001D5E8D" w:rsidP="004C7640">
      <w:pPr>
        <w:ind w:left="864" w:hanging="864"/>
      </w:pPr>
      <w:r w:rsidRPr="00513511">
        <w:t>01.04</w:t>
      </w:r>
      <w:r w:rsidRPr="00513511">
        <w:tab/>
      </w:r>
      <w:r w:rsidR="00BD4851" w:rsidRPr="00513511">
        <w:t xml:space="preserve">To verify the adequacy of public dose </w:t>
      </w:r>
      <w:r w:rsidR="004D7461" w:rsidRPr="00513511">
        <w:t xml:space="preserve">calculations and </w:t>
      </w:r>
      <w:r w:rsidR="00BD4851" w:rsidRPr="00513511">
        <w:t>projections resulting from radioactive effluent discharges.</w:t>
      </w:r>
      <w:r w:rsidR="008E5C6B" w:rsidRPr="00513511">
        <w:t xml:space="preserve"> </w:t>
      </w:r>
      <w:r w:rsidR="00484460">
        <w:t xml:space="preserve"> </w:t>
      </w:r>
    </w:p>
    <w:p w14:paraId="50E421CC" w14:textId="5FD45321" w:rsidR="0030208D" w:rsidRPr="002855AF" w:rsidRDefault="00484460" w:rsidP="0030208D">
      <w:pPr>
        <w:ind w:left="864" w:hanging="864"/>
      </w:pPr>
      <w:r>
        <w:lastRenderedPageBreak/>
        <w:t>01.05</w:t>
      </w:r>
      <w:r>
        <w:tab/>
      </w:r>
      <w:r w:rsidR="00D448BF">
        <w:t xml:space="preserve">To </w:t>
      </w:r>
      <w:r w:rsidR="0030208D">
        <w:t xml:space="preserve">conduct a </w:t>
      </w:r>
      <w:r w:rsidR="004C7640">
        <w:t>r</w:t>
      </w:r>
      <w:r w:rsidR="0030208D">
        <w:t xml:space="preserve">outine </w:t>
      </w:r>
      <w:r w:rsidR="004C7640">
        <w:t>r</w:t>
      </w:r>
      <w:r w:rsidR="0030208D" w:rsidRPr="006A2245">
        <w:t xml:space="preserve">eview of problem identification and resolution activities </w:t>
      </w:r>
      <w:r w:rsidR="00D448BF">
        <w:t>per</w:t>
      </w:r>
      <w:r w:rsidR="0030208D" w:rsidRPr="006A2245">
        <w:t xml:space="preserve"> Inspection Procedure (IP) 71152, “Problem Identification and Resolution.”</w:t>
      </w:r>
    </w:p>
    <w:p w14:paraId="6E8015FA" w14:textId="605E885A" w:rsidR="00B55650" w:rsidRDefault="00B55650" w:rsidP="00E34A5A">
      <w:pPr>
        <w:pStyle w:val="7112405"/>
      </w:pPr>
    </w:p>
    <w:p w14:paraId="25A1E0A1" w14:textId="77777777" w:rsidR="00073F9E" w:rsidRDefault="00073F9E" w:rsidP="00E34A5A">
      <w:pPr>
        <w:pStyle w:val="7112405"/>
      </w:pPr>
    </w:p>
    <w:p w14:paraId="3B89FBC8" w14:textId="6D0E9ACF" w:rsidR="0018233A" w:rsidRDefault="0018233A" w:rsidP="0018233A">
      <w:pPr>
        <w:pStyle w:val="7112307-01"/>
        <w:jc w:val="left"/>
      </w:pPr>
      <w:r>
        <w:t>71124.06-02</w:t>
      </w:r>
      <w:r>
        <w:tab/>
        <w:t>GENERAL GUIDANCE</w:t>
      </w:r>
    </w:p>
    <w:p w14:paraId="5160B016" w14:textId="77777777" w:rsidR="00052A91" w:rsidRDefault="00052A91" w:rsidP="00052A91"/>
    <w:p w14:paraId="37FBA28B" w14:textId="428807BB" w:rsidR="001D088D" w:rsidRPr="00BA440D" w:rsidRDefault="001D088D" w:rsidP="00052A91">
      <w:r w:rsidRPr="00BA440D">
        <w:t xml:space="preserve">To the extent </w:t>
      </w:r>
      <w:r w:rsidR="008207C0">
        <w:t>possible</w:t>
      </w:r>
      <w:r w:rsidRPr="00BA440D">
        <w:t>, perform in</w:t>
      </w:r>
      <w:r w:rsidRPr="00BA440D">
        <w:noBreakHyphen/>
        <w:t>office preparation before the inspection, and complete the remaining inspection planning and follow</w:t>
      </w:r>
      <w:r w:rsidRPr="00BA440D">
        <w:noBreakHyphen/>
        <w:t>up actions during the onsite aspects of the inspection.</w:t>
      </w:r>
    </w:p>
    <w:p w14:paraId="4B979107" w14:textId="77777777" w:rsidR="001D088D" w:rsidRPr="00513511" w:rsidRDefault="001D088D" w:rsidP="001D088D">
      <w:pPr>
        <w:pStyle w:val="ListParagraph"/>
        <w:tabs>
          <w:tab w:val="left" w:pos="810"/>
        </w:tabs>
        <w:spacing w:line="240" w:lineRule="auto"/>
        <w:ind w:left="807"/>
        <w:rPr>
          <w:rFonts w:ascii="Arial" w:hAnsi="Arial"/>
        </w:rPr>
      </w:pPr>
    </w:p>
    <w:p w14:paraId="10A38DEA" w14:textId="734766D8" w:rsidR="001D088D" w:rsidRDefault="001D088D" w:rsidP="001D088D">
      <w:pPr>
        <w:pStyle w:val="ListParagraph"/>
        <w:numPr>
          <w:ilvl w:val="0"/>
          <w:numId w:val="15"/>
        </w:numPr>
        <w:tabs>
          <w:tab w:val="left" w:pos="810"/>
        </w:tabs>
        <w:spacing w:line="240" w:lineRule="auto"/>
        <w:ind w:left="807" w:hanging="533"/>
        <w:rPr>
          <w:rFonts w:ascii="Arial" w:hAnsi="Arial"/>
        </w:rPr>
      </w:pPr>
      <w:r w:rsidRPr="00B8095F">
        <w:rPr>
          <w:rFonts w:ascii="Arial" w:hAnsi="Arial"/>
        </w:rPr>
        <w:t>Event Reports and Effluent Report Reviews</w:t>
      </w:r>
      <w:r w:rsidRPr="00B8095F">
        <w:rPr>
          <w:rFonts w:ascii="Arial" w:hAnsi="Arial"/>
        </w:rPr>
        <w:br/>
      </w:r>
      <w:r w:rsidRPr="00B8095F">
        <w:rPr>
          <w:rFonts w:ascii="Arial" w:hAnsi="Arial"/>
        </w:rPr>
        <w:br/>
        <w:t xml:space="preserve">Ensure that docketed reports since the previous inspection are included in the current inspection (e.g., annual radioactive effluent release reports, special </w:t>
      </w:r>
      <w:r w:rsidR="005B17BC" w:rsidRPr="00B8095F">
        <w:rPr>
          <w:rFonts w:ascii="Arial" w:hAnsi="Arial"/>
        </w:rPr>
        <w:t>30-day</w:t>
      </w:r>
      <w:r w:rsidRPr="00B8095F">
        <w:rPr>
          <w:rFonts w:ascii="Arial" w:hAnsi="Arial"/>
        </w:rPr>
        <w:t xml:space="preserve"> reports, supplemental monitoring reports, offsite dose calculation manual revisions).  Consider scheduling this inspection soon after the annual radiological environmental report has been submitted such that recent data can be compared between the effluent report and the environmental reports.</w:t>
      </w:r>
    </w:p>
    <w:p w14:paraId="6D8811B6" w14:textId="77777777" w:rsidR="001D088D" w:rsidRPr="00513511" w:rsidRDefault="001D088D" w:rsidP="001D088D">
      <w:pPr>
        <w:widowControl/>
        <w:numPr>
          <w:ilvl w:val="0"/>
          <w:numId w:val="10"/>
        </w:numPr>
        <w:tabs>
          <w:tab w:val="clear" w:pos="720"/>
          <w:tab w:val="left" w:pos="-1440"/>
          <w:tab w:val="num" w:pos="1440"/>
        </w:tabs>
        <w:autoSpaceDE/>
        <w:autoSpaceDN/>
        <w:adjustRightInd/>
        <w:ind w:left="1440" w:hanging="634"/>
      </w:pPr>
      <w:r w:rsidRPr="00513511">
        <w:t>Review the Annual Radiological Effluent Release Report(s) issued since the last inspection.  Determine if the reports were submitted as required by the ODCM/Technical Specifications.  Note any anomalous results, unexpected trends or abnormal releases identified by the licensee for further inspection to determine if they were evaluated, were entered in the corrective action program and were adequately resolved.</w:t>
      </w:r>
    </w:p>
    <w:p w14:paraId="692C76B7" w14:textId="6B6B8024" w:rsidR="003730BA" w:rsidRPr="00AB1BBE" w:rsidRDefault="003730BA" w:rsidP="001D088D">
      <w:pPr>
        <w:tabs>
          <w:tab w:val="left" w:pos="810"/>
        </w:tabs>
      </w:pPr>
    </w:p>
    <w:p w14:paraId="4E7A4A8F" w14:textId="67F035D6" w:rsidR="001D088D" w:rsidRPr="00513511" w:rsidRDefault="001D088D" w:rsidP="001D088D">
      <w:pPr>
        <w:numPr>
          <w:ilvl w:val="0"/>
          <w:numId w:val="4"/>
        </w:numPr>
        <w:tabs>
          <w:tab w:val="clear" w:pos="720"/>
          <w:tab w:val="left" w:pos="-1440"/>
          <w:tab w:val="num" w:pos="810"/>
        </w:tabs>
        <w:ind w:left="807" w:hanging="533"/>
      </w:pPr>
      <w:r w:rsidRPr="00513511">
        <w:t>ODCM and FSAR Reviews</w:t>
      </w:r>
      <w:r w:rsidRPr="00513511">
        <w:br/>
      </w:r>
    </w:p>
    <w:p w14:paraId="448B419E" w14:textId="77777777" w:rsidR="001D088D" w:rsidRPr="00AB1BBE" w:rsidRDefault="001D088D" w:rsidP="00052A91">
      <w:pPr>
        <w:pStyle w:val="ListParagraph"/>
        <w:numPr>
          <w:ilvl w:val="0"/>
          <w:numId w:val="17"/>
        </w:numPr>
        <w:spacing w:after="120" w:line="240" w:lineRule="auto"/>
        <w:ind w:left="1440" w:hanging="634"/>
        <w:rPr>
          <w:rFonts w:ascii="Arial" w:hAnsi="Arial"/>
        </w:rPr>
      </w:pPr>
      <w:r>
        <w:rPr>
          <w:rFonts w:ascii="Arial" w:hAnsi="Arial"/>
        </w:rPr>
        <w:t xml:space="preserve">Review </w:t>
      </w:r>
      <w:r w:rsidRPr="00AB1BBE">
        <w:rPr>
          <w:rFonts w:ascii="Arial" w:hAnsi="Arial"/>
        </w:rPr>
        <w:t>FSAR descriptions of the radioactive effluent monitoring systems, treatment systems, and effluent flow paths so they can be verified during inspection walk-downs.</w:t>
      </w:r>
    </w:p>
    <w:p w14:paraId="2D6112EE" w14:textId="77777777" w:rsidR="001D088D" w:rsidRPr="00AB1BBE" w:rsidRDefault="001D088D" w:rsidP="001D088D">
      <w:pPr>
        <w:pStyle w:val="ListParagraph"/>
        <w:tabs>
          <w:tab w:val="left" w:pos="-1440"/>
        </w:tabs>
        <w:spacing w:after="0" w:line="240" w:lineRule="auto"/>
        <w:ind w:left="1166"/>
        <w:rPr>
          <w:rFonts w:ascii="Arial" w:hAnsi="Arial"/>
        </w:rPr>
      </w:pPr>
    </w:p>
    <w:p w14:paraId="67D47D06" w14:textId="156EAD49" w:rsidR="001D088D" w:rsidRPr="00052A91" w:rsidRDefault="001D088D" w:rsidP="00052A91">
      <w:pPr>
        <w:numPr>
          <w:ilvl w:val="0"/>
          <w:numId w:val="17"/>
        </w:numPr>
        <w:ind w:left="1440" w:hanging="634"/>
        <w:rPr>
          <w:rFonts w:eastAsia="Calibri"/>
        </w:rPr>
      </w:pPr>
      <w:r>
        <w:rPr>
          <w:rFonts w:eastAsia="Calibri"/>
        </w:rPr>
        <w:t xml:space="preserve">Review </w:t>
      </w:r>
      <w:r w:rsidRPr="00AB1BBE">
        <w:rPr>
          <w:rFonts w:eastAsia="Calibri"/>
        </w:rPr>
        <w:t>changes to the ODCM made by the licensee since the last inspection.</w:t>
      </w:r>
      <w:r w:rsidR="00052A91">
        <w:rPr>
          <w:rFonts w:eastAsia="Calibri"/>
        </w:rPr>
        <w:t xml:space="preserve"> </w:t>
      </w:r>
      <w:r w:rsidR="0039402C">
        <w:rPr>
          <w:rFonts w:eastAsia="Calibri"/>
        </w:rPr>
        <w:t xml:space="preserve"> </w:t>
      </w:r>
      <w:r w:rsidRPr="00052A91">
        <w:rPr>
          <w:rFonts w:eastAsia="Calibri"/>
        </w:rPr>
        <w:t>If differences are identified, review the technical basis or evaluations of the change during the onsite inspection, to determine whether they were technically justified and maintain effluent releases ALARA.</w:t>
      </w:r>
    </w:p>
    <w:p w14:paraId="5DCD39F4" w14:textId="77777777" w:rsidR="001D088D" w:rsidRDefault="001D088D" w:rsidP="001D088D">
      <w:pPr>
        <w:ind w:left="1167"/>
        <w:rPr>
          <w:rFonts w:eastAsia="Calibri"/>
        </w:rPr>
      </w:pPr>
    </w:p>
    <w:p w14:paraId="253527A6" w14:textId="4B400F5C" w:rsidR="001D088D" w:rsidRDefault="001D088D" w:rsidP="00052A91">
      <w:pPr>
        <w:ind w:left="1440"/>
        <w:rPr>
          <w:rFonts w:eastAsia="Calibri"/>
        </w:rPr>
      </w:pPr>
      <w:r w:rsidRPr="00513511">
        <w:rPr>
          <w:rFonts w:eastAsia="Calibri"/>
        </w:rPr>
        <w:t>Changes to the ODCM are provided in the latest Annual Radiological Effluent</w:t>
      </w:r>
      <w:r w:rsidR="00052A91">
        <w:rPr>
          <w:rFonts w:eastAsia="Calibri"/>
        </w:rPr>
        <w:t xml:space="preserve">   </w:t>
      </w:r>
      <w:r w:rsidRPr="00513511">
        <w:rPr>
          <w:rFonts w:eastAsia="Calibri"/>
        </w:rPr>
        <w:t>Release Report.</w:t>
      </w:r>
    </w:p>
    <w:p w14:paraId="033ED543" w14:textId="77777777" w:rsidR="001D088D" w:rsidRDefault="001D088D" w:rsidP="001D088D">
      <w:pPr>
        <w:ind w:left="1167"/>
        <w:rPr>
          <w:rFonts w:eastAsia="Calibri"/>
        </w:rPr>
      </w:pPr>
    </w:p>
    <w:p w14:paraId="1C882988" w14:textId="77777777" w:rsidR="001D088D" w:rsidRPr="00052F80" w:rsidRDefault="001D088D" w:rsidP="00052A91">
      <w:pPr>
        <w:ind w:left="1311" w:firstLine="129"/>
        <w:rPr>
          <w:rFonts w:eastAsia="Calibri"/>
        </w:rPr>
      </w:pPr>
      <w:r w:rsidRPr="00513511">
        <w:t>Review changes against the guidance in the following documents:</w:t>
      </w:r>
    </w:p>
    <w:p w14:paraId="2EAE171C" w14:textId="77777777" w:rsidR="001D088D" w:rsidRPr="00513511" w:rsidRDefault="001D088D" w:rsidP="001D088D">
      <w:pPr>
        <w:widowControl/>
      </w:pPr>
    </w:p>
    <w:p w14:paraId="67B94956" w14:textId="77777777" w:rsidR="001D088D" w:rsidRPr="00513511" w:rsidRDefault="001D088D" w:rsidP="00052A91">
      <w:pPr>
        <w:numPr>
          <w:ilvl w:val="1"/>
          <w:numId w:val="22"/>
        </w:numPr>
        <w:tabs>
          <w:tab w:val="left" w:pos="-1440"/>
        </w:tabs>
        <w:ind w:left="2074" w:hanging="634"/>
      </w:pPr>
      <w:r w:rsidRPr="00513511">
        <w:t>NUREG-1301, “Offsite Dose Calculation Manual Guidance: Standard Radiological Effluent Controls for Pressurized Water Reactors,”</w:t>
      </w:r>
      <w:r w:rsidRPr="00513511">
        <w:br/>
      </w:r>
    </w:p>
    <w:p w14:paraId="4A3F62F9" w14:textId="77777777" w:rsidR="001D088D" w:rsidRPr="00513511" w:rsidRDefault="001D088D" w:rsidP="00052A91">
      <w:pPr>
        <w:numPr>
          <w:ilvl w:val="1"/>
          <w:numId w:val="22"/>
        </w:numPr>
        <w:tabs>
          <w:tab w:val="left" w:pos="-1440"/>
        </w:tabs>
        <w:ind w:left="2074" w:hanging="634"/>
      </w:pPr>
      <w:r w:rsidRPr="00513511">
        <w:t xml:space="preserve">NUREG-1302, “Offsite Dose Calculation Manual Guidance: Standard Radiological Effluent Controls for Boiling Water Reactors,” </w:t>
      </w:r>
    </w:p>
    <w:p w14:paraId="7CC4D886" w14:textId="77777777" w:rsidR="001D088D" w:rsidRPr="00513511" w:rsidRDefault="001D088D" w:rsidP="001D088D">
      <w:pPr>
        <w:tabs>
          <w:tab w:val="left" w:pos="-1440"/>
        </w:tabs>
        <w:ind w:left="1800"/>
      </w:pPr>
    </w:p>
    <w:p w14:paraId="26B3865D" w14:textId="77777777" w:rsidR="001D088D" w:rsidRPr="00513511" w:rsidRDefault="001D088D" w:rsidP="00052A91">
      <w:pPr>
        <w:numPr>
          <w:ilvl w:val="1"/>
          <w:numId w:val="22"/>
        </w:numPr>
        <w:tabs>
          <w:tab w:val="left" w:pos="-1440"/>
        </w:tabs>
        <w:ind w:left="2074" w:hanging="634"/>
      </w:pPr>
      <w:r w:rsidRPr="00513511">
        <w:t>NUREG-0133, “Preparation of Radiological Effluent Technical Specifications for Nuclear Power Plants,”</w:t>
      </w:r>
    </w:p>
    <w:p w14:paraId="50367706" w14:textId="77777777" w:rsidR="001D088D" w:rsidRPr="00513511" w:rsidRDefault="001D088D" w:rsidP="001D088D">
      <w:pPr>
        <w:tabs>
          <w:tab w:val="left" w:pos="-1440"/>
        </w:tabs>
        <w:ind w:left="1800"/>
      </w:pPr>
    </w:p>
    <w:p w14:paraId="548107D5" w14:textId="3B6DBF91" w:rsidR="001D088D" w:rsidRPr="00513511" w:rsidRDefault="001D088D" w:rsidP="00052A91">
      <w:pPr>
        <w:numPr>
          <w:ilvl w:val="1"/>
          <w:numId w:val="22"/>
        </w:numPr>
        <w:tabs>
          <w:tab w:val="left" w:pos="-1440"/>
        </w:tabs>
        <w:ind w:left="2074" w:hanging="634"/>
      </w:pPr>
      <w:r w:rsidRPr="00513511">
        <w:t xml:space="preserve">Regulatory Guide (RG) 1.109, </w:t>
      </w:r>
      <w:r w:rsidR="003A210E">
        <w:t>“</w:t>
      </w:r>
      <w:r w:rsidRPr="00513511">
        <w:t xml:space="preserve">Calculation of Annual Doses to Man from </w:t>
      </w:r>
      <w:r w:rsidRPr="00513511">
        <w:lastRenderedPageBreak/>
        <w:t xml:space="preserve">Routine Releases of Reactor Effluents for the Purpose of Evaluating Compliance with 10 CFR 50, Appendix I,” </w:t>
      </w:r>
    </w:p>
    <w:p w14:paraId="75164A5F" w14:textId="77777777" w:rsidR="001D088D" w:rsidRPr="00513511" w:rsidRDefault="001D088D" w:rsidP="001D088D">
      <w:pPr>
        <w:tabs>
          <w:tab w:val="left" w:pos="-1440"/>
        </w:tabs>
        <w:ind w:left="1800"/>
      </w:pPr>
    </w:p>
    <w:p w14:paraId="7330101A" w14:textId="77777777" w:rsidR="001D088D" w:rsidRDefault="001D088D" w:rsidP="00052A91">
      <w:pPr>
        <w:numPr>
          <w:ilvl w:val="1"/>
          <w:numId w:val="22"/>
        </w:numPr>
        <w:tabs>
          <w:tab w:val="left" w:pos="-1440"/>
        </w:tabs>
        <w:ind w:left="2074" w:hanging="634"/>
      </w:pPr>
      <w:r w:rsidRPr="00513511">
        <w:t>RG 1.21, “Measuring, Evaluating, and Reporting Radioactive Material in Liquid and Gaseous Effluents and Solid Waste</w:t>
      </w:r>
      <w:r>
        <w:t>,</w:t>
      </w:r>
      <w:r w:rsidRPr="00513511">
        <w:t xml:space="preserve">” </w:t>
      </w:r>
    </w:p>
    <w:p w14:paraId="15E69D60" w14:textId="77777777" w:rsidR="001D088D" w:rsidRDefault="001D088D" w:rsidP="001D088D">
      <w:pPr>
        <w:widowControl/>
        <w:tabs>
          <w:tab w:val="left" w:pos="-1440"/>
        </w:tabs>
        <w:autoSpaceDE/>
        <w:autoSpaceDN/>
        <w:adjustRightInd/>
        <w:ind w:left="1800"/>
      </w:pPr>
    </w:p>
    <w:p w14:paraId="4B301CF4" w14:textId="77777777" w:rsidR="001D088D" w:rsidRPr="00513511" w:rsidRDefault="001D088D" w:rsidP="00052A91">
      <w:pPr>
        <w:numPr>
          <w:ilvl w:val="1"/>
          <w:numId w:val="22"/>
        </w:numPr>
        <w:tabs>
          <w:tab w:val="left" w:pos="-1440"/>
        </w:tabs>
        <w:ind w:left="2074" w:hanging="634"/>
      </w:pPr>
      <w:r w:rsidRPr="00513511">
        <w:t>RG 4.1, “Radiological Environmental Monitoring for Nuclear Power Plants,” and</w:t>
      </w:r>
    </w:p>
    <w:p w14:paraId="0FD39582" w14:textId="77777777" w:rsidR="001D088D" w:rsidRPr="00513511" w:rsidRDefault="001D088D" w:rsidP="001D088D">
      <w:pPr>
        <w:tabs>
          <w:tab w:val="left" w:pos="-1440"/>
        </w:tabs>
        <w:ind w:left="1800"/>
      </w:pPr>
    </w:p>
    <w:p w14:paraId="431B6009" w14:textId="77777777" w:rsidR="001D088D" w:rsidRPr="00513511" w:rsidRDefault="001D088D" w:rsidP="00052A91">
      <w:pPr>
        <w:numPr>
          <w:ilvl w:val="1"/>
          <w:numId w:val="22"/>
        </w:numPr>
        <w:tabs>
          <w:tab w:val="left" w:pos="-1440"/>
        </w:tabs>
        <w:ind w:left="2074" w:hanging="634"/>
      </w:pPr>
      <w:r w:rsidRPr="00513511">
        <w:t>RG 4.15, “Quality Assurance for Radiological Monitoring Programs (Inception through Normal Operations to License Termination)—Effluent Streams and the Environment.”</w:t>
      </w:r>
    </w:p>
    <w:p w14:paraId="0C4021DF" w14:textId="77777777" w:rsidR="001D088D" w:rsidRDefault="001D088D" w:rsidP="001D088D">
      <w:pPr>
        <w:rPr>
          <w:rFonts w:eastAsia="Calibri"/>
        </w:rPr>
      </w:pPr>
    </w:p>
    <w:p w14:paraId="1360315F" w14:textId="77777777" w:rsidR="001D088D" w:rsidRPr="00AB1BBE" w:rsidRDefault="001D088D" w:rsidP="001B6745">
      <w:pPr>
        <w:numPr>
          <w:ilvl w:val="0"/>
          <w:numId w:val="17"/>
        </w:numPr>
        <w:ind w:left="1440" w:hanging="634"/>
        <w:rPr>
          <w:rFonts w:eastAsia="Calibri"/>
        </w:rPr>
      </w:pPr>
      <w:r>
        <w:t xml:space="preserve">If applicable, evaluate the licensee’s management of </w:t>
      </w:r>
      <w:r w:rsidRPr="00513511">
        <w:t>non</w:t>
      </w:r>
      <w:r w:rsidRPr="00513511">
        <w:noBreakHyphen/>
        <w:t xml:space="preserve">radioactive systems that have become contaminated </w:t>
      </w:r>
      <w:r>
        <w:t xml:space="preserve">since the last inspection.  Determine if any of the newly </w:t>
      </w:r>
      <w:r w:rsidRPr="001B6745">
        <w:rPr>
          <w:rFonts w:eastAsia="Calibri"/>
        </w:rPr>
        <w:t>contaminated</w:t>
      </w:r>
      <w:r>
        <w:t xml:space="preserve"> systems have an unmonitored effluent discharge path to the environment, whether any required ODCM revisions were made to incorporate these new pathways and whether the associated effluents were reported as required. </w:t>
      </w:r>
    </w:p>
    <w:p w14:paraId="6C52B651" w14:textId="77777777" w:rsidR="001D088D" w:rsidRDefault="001D088D" w:rsidP="001D088D">
      <w:pPr>
        <w:ind w:left="1167"/>
      </w:pPr>
    </w:p>
    <w:p w14:paraId="3C293318" w14:textId="3F66165F" w:rsidR="001D088D" w:rsidRPr="00513511" w:rsidRDefault="001D088D" w:rsidP="001B6745">
      <w:pPr>
        <w:ind w:left="1440"/>
        <w:rPr>
          <w:rFonts w:eastAsia="Calibri"/>
        </w:rPr>
      </w:pPr>
      <w:r w:rsidRPr="00513511">
        <w:t xml:space="preserve">During the onsite inspection, review any </w:t>
      </w:r>
      <w:r>
        <w:t xml:space="preserve">event reports, ODCM entries and </w:t>
      </w:r>
      <w:r w:rsidRPr="00513511">
        <w:t>10 CFR 50.59 evaluations that have been performed for systems that have been identified as contaminated since the last inspection.</w:t>
      </w:r>
      <w:r>
        <w:t xml:space="preserve"> </w:t>
      </w:r>
      <w:r w:rsidRPr="00513511">
        <w:rPr>
          <w:rFonts w:eastAsia="Calibri"/>
        </w:rPr>
        <w:t xml:space="preserve"> Bulletin 80</w:t>
      </w:r>
      <w:r w:rsidRPr="00513511">
        <w:rPr>
          <w:rFonts w:eastAsia="Calibri"/>
        </w:rPr>
        <w:noBreakHyphen/>
        <w:t>10 provides guidance on contaminated systems not originally designed to be contaminated.</w:t>
      </w:r>
    </w:p>
    <w:p w14:paraId="1399E854" w14:textId="77777777" w:rsidR="001D088D" w:rsidRPr="00513511" w:rsidRDefault="001D088D" w:rsidP="001D088D">
      <w:pPr>
        <w:tabs>
          <w:tab w:val="left" w:pos="-1440"/>
        </w:tabs>
        <w:ind w:left="807" w:hanging="533"/>
        <w:rPr>
          <w:rFonts w:eastAsia="Calibri"/>
        </w:rPr>
      </w:pPr>
    </w:p>
    <w:p w14:paraId="1272925E" w14:textId="77777777" w:rsidR="001D088D" w:rsidRDefault="001D088D" w:rsidP="001D088D">
      <w:pPr>
        <w:numPr>
          <w:ilvl w:val="0"/>
          <w:numId w:val="4"/>
        </w:numPr>
        <w:tabs>
          <w:tab w:val="clear" w:pos="720"/>
          <w:tab w:val="left" w:pos="-1440"/>
          <w:tab w:val="num" w:pos="810"/>
        </w:tabs>
        <w:ind w:left="807" w:hanging="533"/>
      </w:pPr>
      <w:r w:rsidRPr="00513511">
        <w:t>Procedures, Special Reports, and Other Documents</w:t>
      </w:r>
    </w:p>
    <w:p w14:paraId="5065EE4C" w14:textId="77777777" w:rsidR="001D088D" w:rsidRDefault="001D088D" w:rsidP="001D088D">
      <w:pPr>
        <w:tabs>
          <w:tab w:val="left" w:pos="-1440"/>
        </w:tabs>
        <w:ind w:left="807"/>
      </w:pPr>
    </w:p>
    <w:p w14:paraId="7173C4C1" w14:textId="77777777" w:rsidR="001D088D" w:rsidRDefault="001D088D" w:rsidP="001B6745">
      <w:pPr>
        <w:pStyle w:val="ListParagraph"/>
        <w:numPr>
          <w:ilvl w:val="1"/>
          <w:numId w:val="4"/>
        </w:numPr>
        <w:tabs>
          <w:tab w:val="left" w:pos="-1440"/>
        </w:tabs>
        <w:spacing w:after="0" w:line="240" w:lineRule="auto"/>
        <w:ind w:hanging="634"/>
        <w:rPr>
          <w:rFonts w:ascii="Arial" w:hAnsi="Arial"/>
        </w:rPr>
      </w:pPr>
      <w:r>
        <w:rPr>
          <w:rFonts w:ascii="Arial" w:hAnsi="Arial"/>
        </w:rPr>
        <w:t xml:space="preserve">Review </w:t>
      </w:r>
      <w:r w:rsidRPr="00AB1BBE">
        <w:rPr>
          <w:rFonts w:ascii="Arial" w:hAnsi="Arial"/>
        </w:rPr>
        <w:t>LERs, event reports and/or special reports related to the effluent program issued since the previous inspection.  Identify any additional focus areas for the inspection based on the scope/breadth of problems described in these reports</w:t>
      </w:r>
      <w:r w:rsidRPr="00513511">
        <w:rPr>
          <w:rFonts w:ascii="Arial" w:hAnsi="Arial"/>
        </w:rPr>
        <w:t>.</w:t>
      </w:r>
    </w:p>
    <w:p w14:paraId="01501694" w14:textId="77777777" w:rsidR="001D088D" w:rsidRDefault="001D088D" w:rsidP="001D088D">
      <w:pPr>
        <w:pStyle w:val="ListParagraph"/>
        <w:tabs>
          <w:tab w:val="left" w:pos="-1440"/>
        </w:tabs>
        <w:spacing w:after="0" w:line="240" w:lineRule="auto"/>
        <w:ind w:left="1440"/>
        <w:rPr>
          <w:rFonts w:ascii="Arial" w:hAnsi="Arial"/>
        </w:rPr>
      </w:pPr>
    </w:p>
    <w:p w14:paraId="787EE5FB" w14:textId="77777777" w:rsidR="001D088D" w:rsidRPr="00AB1BBE" w:rsidRDefault="001D088D" w:rsidP="001B6745">
      <w:pPr>
        <w:pStyle w:val="ListParagraph"/>
        <w:numPr>
          <w:ilvl w:val="1"/>
          <w:numId w:val="4"/>
        </w:numPr>
        <w:tabs>
          <w:tab w:val="left" w:pos="-1440"/>
        </w:tabs>
        <w:spacing w:after="0" w:line="240" w:lineRule="auto"/>
        <w:ind w:hanging="634"/>
        <w:rPr>
          <w:rFonts w:ascii="Arial" w:hAnsi="Arial"/>
        </w:rPr>
      </w:pPr>
      <w:r w:rsidRPr="00AB1BBE">
        <w:rPr>
          <w:rFonts w:ascii="Arial" w:hAnsi="Arial"/>
        </w:rPr>
        <w:t>Review effluent program implementing procedures, particularly those associated with effluent sampling, effluent monitor set point determinations and dose calculations.</w:t>
      </w:r>
    </w:p>
    <w:p w14:paraId="3749D38F" w14:textId="77777777" w:rsidR="001D088D" w:rsidRPr="00AB1BBE" w:rsidRDefault="001D088D" w:rsidP="001D088D">
      <w:pPr>
        <w:pStyle w:val="ListParagraph"/>
        <w:rPr>
          <w:rFonts w:ascii="Arial" w:hAnsi="Arial"/>
        </w:rPr>
      </w:pPr>
    </w:p>
    <w:p w14:paraId="2645E041" w14:textId="4A751AF2" w:rsidR="001D088D" w:rsidRPr="00AB1BBE" w:rsidRDefault="001D088D" w:rsidP="001B6745">
      <w:pPr>
        <w:pStyle w:val="ListParagraph"/>
        <w:numPr>
          <w:ilvl w:val="1"/>
          <w:numId w:val="4"/>
        </w:numPr>
        <w:tabs>
          <w:tab w:val="left" w:pos="-1440"/>
        </w:tabs>
        <w:spacing w:after="0" w:line="240" w:lineRule="auto"/>
        <w:ind w:hanging="634"/>
        <w:rPr>
          <w:rFonts w:ascii="Arial" w:hAnsi="Arial"/>
        </w:rPr>
      </w:pPr>
      <w:r w:rsidRPr="00AB1BBE">
        <w:rPr>
          <w:rFonts w:ascii="Arial" w:hAnsi="Arial"/>
        </w:rPr>
        <w:t>Review copies of licensee and third party (independent) evaluation reports of the effluent monitoring program since the last inspection for insights into the licensee’s program and to aid the inspector in selecting areas for review (smart sampling).  Such reports include Quality Assurance (QA) reports and reports describing the results of the inter-comparison program with third party analytical laboratories.</w:t>
      </w:r>
    </w:p>
    <w:p w14:paraId="458730E5" w14:textId="22C572E0" w:rsidR="00E45967" w:rsidRDefault="00E45967" w:rsidP="001D088D">
      <w:pPr>
        <w:pStyle w:val="ListParagraph"/>
        <w:spacing w:after="0" w:line="240" w:lineRule="auto"/>
        <w:rPr>
          <w:rFonts w:ascii="Arial" w:hAnsi="Arial"/>
        </w:rPr>
      </w:pPr>
    </w:p>
    <w:p w14:paraId="46605B2D" w14:textId="74A42AA5" w:rsidR="00A27A34" w:rsidRPr="00585287" w:rsidRDefault="00BD1831" w:rsidP="001B6745">
      <w:pPr>
        <w:pStyle w:val="ListParagraph"/>
        <w:numPr>
          <w:ilvl w:val="0"/>
          <w:numId w:val="4"/>
        </w:numPr>
        <w:spacing w:after="0" w:line="240" w:lineRule="auto"/>
        <w:ind w:hanging="446"/>
        <w:rPr>
          <w:rFonts w:ascii="Arial" w:hAnsi="Arial"/>
        </w:rPr>
      </w:pPr>
      <w:r w:rsidRPr="00BD1831">
        <w:rPr>
          <w:rFonts w:ascii="Arial" w:hAnsi="Arial"/>
        </w:rPr>
        <w:t>For each sample, conduct a routine review of problem identification and resolution activities using Inspection Procedure (IP) 71152, “Problem Identification and Resolution.”  Per IP 71152, it is expected that routine reviews of Problem Identification and Resolution (PI&amp;R) activities should equate to approximately 10 to 15 percent of the resources estimated for the associated baseline cornerstone procedures, this is a general estimate only based on the overall effort expected to be expended in each strategic performance area.</w:t>
      </w:r>
      <w:r w:rsidR="00E45967" w:rsidRPr="00E45967">
        <w:rPr>
          <w:rFonts w:ascii="Arial" w:hAnsi="Arial"/>
        </w:rPr>
        <w:t xml:space="preserve">  It is anticipated that the actual hours required to be expended may vary significantly from attachment to attachment, depending on the nature and complexity of the issues that arise at the particular facility.  Overall, an effort should be made to remain </w:t>
      </w:r>
      <w:r w:rsidR="00E45967" w:rsidRPr="00E45967">
        <w:rPr>
          <w:rFonts w:ascii="Arial" w:hAnsi="Arial"/>
        </w:rPr>
        <w:lastRenderedPageBreak/>
        <w:t>within the 10 to 15 percent estimate on a strategic performance area basis.  Inspection time spent assessing PI&amp;R as part of the baseline procedure attachments should be charged to the corresponding baseline procedure.</w:t>
      </w:r>
    </w:p>
    <w:p w14:paraId="0DE23ED9" w14:textId="5DD280AE" w:rsidR="003730BA" w:rsidRDefault="003730BA">
      <w:pPr>
        <w:widowControl/>
        <w:autoSpaceDE/>
        <w:autoSpaceDN/>
        <w:adjustRightInd/>
      </w:pPr>
    </w:p>
    <w:p w14:paraId="6F9F7271" w14:textId="77777777" w:rsidR="00EC261F" w:rsidRDefault="00EC261F">
      <w:pPr>
        <w:widowControl/>
        <w:autoSpaceDE/>
        <w:autoSpaceDN/>
        <w:adjustRightInd/>
      </w:pPr>
    </w:p>
    <w:p w14:paraId="7543C953" w14:textId="40703198" w:rsidR="00BD4851" w:rsidRPr="00513511" w:rsidRDefault="00BD4851" w:rsidP="00E34A5A">
      <w:pPr>
        <w:pStyle w:val="7112405"/>
      </w:pPr>
      <w:r w:rsidRPr="00513511">
        <w:t>7112</w:t>
      </w:r>
      <w:r w:rsidR="00523A86" w:rsidRPr="00513511">
        <w:t>4</w:t>
      </w:r>
      <w:r w:rsidRPr="00513511">
        <w:t>.0</w:t>
      </w:r>
      <w:r w:rsidR="00F14482" w:rsidRPr="00513511">
        <w:t>6</w:t>
      </w:r>
      <w:r w:rsidR="001D5E8D" w:rsidRPr="00513511">
        <w:t>-</w:t>
      </w:r>
      <w:r w:rsidRPr="00513511">
        <w:t>0</w:t>
      </w:r>
      <w:r w:rsidR="0018233A">
        <w:t>3</w:t>
      </w:r>
      <w:r w:rsidR="00E34A5A" w:rsidRPr="00513511">
        <w:tab/>
      </w:r>
      <w:r w:rsidRPr="00513511">
        <w:t>INSPECTION REQUIREMENTS</w:t>
      </w:r>
    </w:p>
    <w:p w14:paraId="3C3D452B" w14:textId="77777777" w:rsidR="00C25B00" w:rsidRPr="00513511" w:rsidRDefault="00C25B00" w:rsidP="00C25B00">
      <w:pPr>
        <w:tabs>
          <w:tab w:val="left" w:pos="-1440"/>
          <w:tab w:val="left" w:pos="810"/>
        </w:tabs>
        <w:ind w:left="807" w:hanging="533"/>
        <w:rPr>
          <w:u w:val="single"/>
        </w:rPr>
      </w:pPr>
    </w:p>
    <w:p w14:paraId="15935BA4" w14:textId="0989DC7A" w:rsidR="00BD4851" w:rsidRPr="00513511" w:rsidRDefault="008E0F44" w:rsidP="008E0F44">
      <w:pPr>
        <w:widowControl/>
        <w:tabs>
          <w:tab w:val="left" w:pos="274"/>
          <w:tab w:val="left" w:pos="720"/>
          <w:tab w:val="left" w:pos="1440"/>
          <w:tab w:val="left" w:pos="2074"/>
          <w:tab w:val="left" w:pos="2707"/>
          <w:tab w:val="left" w:pos="3240"/>
          <w:tab w:val="left" w:pos="3874"/>
          <w:tab w:val="left" w:pos="4507"/>
        </w:tabs>
      </w:pPr>
      <w:r>
        <w:t>03.01</w:t>
      </w:r>
      <w:r>
        <w:tab/>
      </w:r>
      <w:r w:rsidR="00BD4851" w:rsidRPr="00513511">
        <w:rPr>
          <w:u w:val="single"/>
        </w:rPr>
        <w:t>Walk</w:t>
      </w:r>
      <w:r w:rsidR="00633B97" w:rsidRPr="00513511">
        <w:rPr>
          <w:u w:val="single"/>
        </w:rPr>
        <w:t xml:space="preserve"> D</w:t>
      </w:r>
      <w:r w:rsidR="00BD4851" w:rsidRPr="00513511">
        <w:rPr>
          <w:u w:val="single"/>
        </w:rPr>
        <w:t>owns and Observation</w:t>
      </w:r>
      <w:r w:rsidR="00AB1BBE">
        <w:rPr>
          <w:u w:val="single"/>
        </w:rPr>
        <w:t>s</w:t>
      </w:r>
      <w:r w:rsidR="00CC7500">
        <w:rPr>
          <w:u w:val="single"/>
        </w:rPr>
        <w:t xml:space="preserve"> Sample</w:t>
      </w:r>
      <w:r w:rsidR="00820299" w:rsidRPr="00CF4C71">
        <w:t xml:space="preserve"> </w:t>
      </w:r>
    </w:p>
    <w:p w14:paraId="5DCE61DC" w14:textId="77777777" w:rsidR="00CE0521" w:rsidRDefault="00CE0521" w:rsidP="00CE0521">
      <w:pPr>
        <w:tabs>
          <w:tab w:val="left" w:pos="-1440"/>
        </w:tabs>
      </w:pPr>
    </w:p>
    <w:p w14:paraId="6F83A8B9" w14:textId="31D89B66" w:rsidR="00CC7500" w:rsidRDefault="00395CAB" w:rsidP="00CE0521">
      <w:pPr>
        <w:tabs>
          <w:tab w:val="left" w:pos="-1440"/>
        </w:tabs>
      </w:pPr>
      <w:r>
        <w:rPr>
          <w:b/>
        </w:rPr>
        <w:t xml:space="preserve">Walk down </w:t>
      </w:r>
      <w:r w:rsidR="0060635A">
        <w:rPr>
          <w:b/>
        </w:rPr>
        <w:t>selected</w:t>
      </w:r>
      <w:r w:rsidR="00832CFA">
        <w:rPr>
          <w:b/>
        </w:rPr>
        <w:t xml:space="preserve"> effluent</w:t>
      </w:r>
      <w:r>
        <w:rPr>
          <w:b/>
        </w:rPr>
        <w:t xml:space="preserve"> </w:t>
      </w:r>
      <w:r w:rsidR="008E0F44">
        <w:rPr>
          <w:b/>
        </w:rPr>
        <w:t xml:space="preserve">monitoring, ventilation and discharge </w:t>
      </w:r>
      <w:r>
        <w:rPr>
          <w:b/>
        </w:rPr>
        <w:t xml:space="preserve">systems to </w:t>
      </w:r>
      <w:r w:rsidR="008E0F44">
        <w:rPr>
          <w:b/>
        </w:rPr>
        <w:t>verif</w:t>
      </w:r>
      <w:r>
        <w:rPr>
          <w:b/>
        </w:rPr>
        <w:t>y that the current system configurations</w:t>
      </w:r>
      <w:r w:rsidR="00F41AF5">
        <w:rPr>
          <w:b/>
        </w:rPr>
        <w:t>, flow</w:t>
      </w:r>
      <w:r w:rsidR="00FF7119">
        <w:rPr>
          <w:b/>
        </w:rPr>
        <w:t xml:space="preserve"> </w:t>
      </w:r>
      <w:r w:rsidR="00F41AF5">
        <w:rPr>
          <w:b/>
        </w:rPr>
        <w:t>paths</w:t>
      </w:r>
      <w:r>
        <w:rPr>
          <w:b/>
        </w:rPr>
        <w:t xml:space="preserve"> and operation are consistent with the descriptions in the FSAR, ODCM,</w:t>
      </w:r>
      <w:r w:rsidR="008E0F44">
        <w:rPr>
          <w:b/>
        </w:rPr>
        <w:t xml:space="preserve"> and site procedures.</w:t>
      </w:r>
    </w:p>
    <w:p w14:paraId="2B008613" w14:textId="77777777" w:rsidR="00CE0521" w:rsidRDefault="00CE0521" w:rsidP="00CE0521">
      <w:pPr>
        <w:pStyle w:val="pa"/>
        <w:numPr>
          <w:ilvl w:val="0"/>
          <w:numId w:val="0"/>
        </w:numPr>
        <w:tabs>
          <w:tab w:val="clear" w:pos="274"/>
        </w:tabs>
      </w:pPr>
    </w:p>
    <w:p w14:paraId="52116741" w14:textId="518D0B8A" w:rsidR="00423CD7" w:rsidRDefault="00423CD7" w:rsidP="00CE0521">
      <w:pPr>
        <w:pStyle w:val="pa"/>
        <w:numPr>
          <w:ilvl w:val="0"/>
          <w:numId w:val="0"/>
        </w:numPr>
        <w:tabs>
          <w:tab w:val="clear" w:pos="274"/>
        </w:tabs>
      </w:pPr>
      <w:r>
        <w:rPr>
          <w:u w:val="single"/>
        </w:rPr>
        <w:t>Specific Guidance</w:t>
      </w:r>
    </w:p>
    <w:p w14:paraId="02DC5879" w14:textId="77777777" w:rsidR="00423CD7" w:rsidRPr="00513511" w:rsidRDefault="00423CD7" w:rsidP="00D647B0">
      <w:pPr>
        <w:tabs>
          <w:tab w:val="left" w:pos="-1440"/>
        </w:tabs>
        <w:ind w:left="720" w:hanging="720"/>
      </w:pPr>
    </w:p>
    <w:p w14:paraId="3B484321" w14:textId="7E82B140" w:rsidR="00CC7500" w:rsidRPr="00FF7119" w:rsidRDefault="00FF7119" w:rsidP="001B6745">
      <w:pPr>
        <w:pStyle w:val="ListParagraph"/>
        <w:widowControl w:val="0"/>
        <w:numPr>
          <w:ilvl w:val="0"/>
          <w:numId w:val="27"/>
        </w:numPr>
        <w:tabs>
          <w:tab w:val="left" w:pos="-1440"/>
          <w:tab w:val="left" w:pos="810"/>
        </w:tabs>
        <w:autoSpaceDE w:val="0"/>
        <w:autoSpaceDN w:val="0"/>
        <w:adjustRightInd w:val="0"/>
        <w:spacing w:after="0" w:line="240" w:lineRule="auto"/>
        <w:ind w:left="807" w:hanging="533"/>
        <w:rPr>
          <w:rFonts w:ascii="Arial" w:hAnsi="Arial"/>
        </w:rPr>
      </w:pPr>
      <w:r w:rsidRPr="00FF7119">
        <w:rPr>
          <w:rFonts w:ascii="Arial" w:hAnsi="Arial"/>
        </w:rPr>
        <w:t>F</w:t>
      </w:r>
      <w:r w:rsidR="00CC7500" w:rsidRPr="00FF7119">
        <w:rPr>
          <w:rFonts w:ascii="Arial" w:hAnsi="Arial"/>
        </w:rPr>
        <w:t>ocus on any flow measurement devices and all accessible point-of-discharge liquid and gaseous effluent monitors of the selected systems.  Look for monitor degradation and out-of-service tags.  For effluent sampling systems, look for indications of non-representative sampling such as severe bends in sample line tubing, non-isokinetic sampling, or lack of heat tracing in areas where temperature extremes could have an impact (causing condensation and plate-out).  Additionally, be alert to degraded ventilation system connections (e.g., flexible duct connectors) that could contribute to releases.</w:t>
      </w:r>
    </w:p>
    <w:p w14:paraId="5A8A9EEF" w14:textId="77777777" w:rsidR="004D32BE" w:rsidRPr="004D32BE" w:rsidRDefault="004D32BE" w:rsidP="004D32BE">
      <w:pPr>
        <w:pStyle w:val="ListParagraph"/>
        <w:tabs>
          <w:tab w:val="left" w:pos="-1440"/>
          <w:tab w:val="left" w:pos="810"/>
        </w:tabs>
        <w:rPr>
          <w:rFonts w:ascii="Arial" w:hAnsi="Arial"/>
        </w:rPr>
      </w:pPr>
    </w:p>
    <w:p w14:paraId="5CED2103" w14:textId="5F988F5B" w:rsidR="00CC7500" w:rsidRPr="003730BA" w:rsidRDefault="00CC7500" w:rsidP="001B6745">
      <w:pPr>
        <w:pStyle w:val="ListParagraph"/>
        <w:widowControl w:val="0"/>
        <w:numPr>
          <w:ilvl w:val="0"/>
          <w:numId w:val="27"/>
        </w:numPr>
        <w:tabs>
          <w:tab w:val="left" w:pos="-1440"/>
          <w:tab w:val="left" w:pos="810"/>
        </w:tabs>
        <w:autoSpaceDE w:val="0"/>
        <w:autoSpaceDN w:val="0"/>
        <w:adjustRightInd w:val="0"/>
        <w:spacing w:after="0" w:line="240" w:lineRule="auto"/>
        <w:ind w:left="807" w:hanging="533"/>
        <w:rPr>
          <w:rFonts w:ascii="Arial" w:hAnsi="Arial"/>
        </w:rPr>
      </w:pPr>
      <w:r w:rsidRPr="003730BA">
        <w:rPr>
          <w:rFonts w:ascii="Arial" w:hAnsi="Arial"/>
        </w:rPr>
        <w:t>Be alert for potential unmonitored release points (such as open roof vents in BWR turbine decks, temporary structures butted against turbine, auxiliary or containment buildings), building alterations which could impact airborne, or liquid, effluent controls, and ventilation system leakage</w:t>
      </w:r>
      <w:r w:rsidRPr="003730BA" w:rsidDel="00467385">
        <w:rPr>
          <w:rFonts w:ascii="Arial" w:hAnsi="Arial"/>
        </w:rPr>
        <w:t xml:space="preserve"> </w:t>
      </w:r>
      <w:r w:rsidRPr="003730BA">
        <w:rPr>
          <w:rFonts w:ascii="Arial" w:hAnsi="Arial"/>
        </w:rPr>
        <w:t>that communicates directly with the environment.  Be aware of system contamination that may have impacted otherwise non-contaminated systems (e.g., PWR turbine sumps, plant boilers, RHR heat exchangers, etc.).</w:t>
      </w:r>
    </w:p>
    <w:p w14:paraId="5C870D0B" w14:textId="77777777" w:rsidR="004D32BE" w:rsidRPr="003730BA" w:rsidRDefault="004D32BE" w:rsidP="004D32BE">
      <w:pPr>
        <w:pStyle w:val="ListParagraph"/>
        <w:tabs>
          <w:tab w:val="left" w:pos="-1440"/>
          <w:tab w:val="left" w:pos="810"/>
        </w:tabs>
        <w:rPr>
          <w:rFonts w:ascii="Arial" w:hAnsi="Arial"/>
        </w:rPr>
      </w:pPr>
    </w:p>
    <w:p w14:paraId="3DB6DB2F" w14:textId="5786A068" w:rsidR="00CC7500" w:rsidRPr="002F1875" w:rsidRDefault="00691F89" w:rsidP="001B6745">
      <w:pPr>
        <w:pStyle w:val="ListParagraph"/>
        <w:widowControl w:val="0"/>
        <w:numPr>
          <w:ilvl w:val="0"/>
          <w:numId w:val="27"/>
        </w:numPr>
        <w:tabs>
          <w:tab w:val="left" w:pos="-1440"/>
          <w:tab w:val="left" w:pos="810"/>
        </w:tabs>
        <w:autoSpaceDE w:val="0"/>
        <w:autoSpaceDN w:val="0"/>
        <w:adjustRightInd w:val="0"/>
        <w:spacing w:after="0" w:line="240" w:lineRule="auto"/>
        <w:ind w:left="807" w:hanging="533"/>
        <w:rPr>
          <w:rFonts w:ascii="Arial" w:hAnsi="Arial"/>
        </w:rPr>
      </w:pPr>
      <w:r>
        <w:rPr>
          <w:rFonts w:ascii="Arial" w:hAnsi="Arial"/>
        </w:rPr>
        <w:t>Identify</w:t>
      </w:r>
      <w:r w:rsidR="004D32BE" w:rsidRPr="004D32BE">
        <w:rPr>
          <w:rFonts w:ascii="Arial" w:hAnsi="Arial"/>
        </w:rPr>
        <w:t xml:space="preserve"> conditions that would impact the performance, or the effluent monitor</w:t>
      </w:r>
      <w:r w:rsidR="005702F7">
        <w:rPr>
          <w:rFonts w:ascii="Arial" w:hAnsi="Arial"/>
        </w:rPr>
        <w:t xml:space="preserve">ing capability, of the </w:t>
      </w:r>
      <w:r w:rsidR="004D32BE" w:rsidRPr="004D32BE">
        <w:rPr>
          <w:rFonts w:ascii="Arial" w:hAnsi="Arial"/>
        </w:rPr>
        <w:t>system.</w:t>
      </w:r>
      <w:r w:rsidR="00EC305B">
        <w:rPr>
          <w:rFonts w:ascii="Arial" w:hAnsi="Arial"/>
        </w:rPr>
        <w:t xml:space="preserve"> </w:t>
      </w:r>
      <w:r>
        <w:rPr>
          <w:rFonts w:ascii="Arial" w:hAnsi="Arial"/>
        </w:rPr>
        <w:t xml:space="preserve"> </w:t>
      </w:r>
      <w:r w:rsidRPr="00691F89">
        <w:rPr>
          <w:rFonts w:ascii="Arial" w:hAnsi="Arial"/>
        </w:rPr>
        <w:t>Conditions that may impact ventilation system performance include degraded HEPA/charcoal banks, improper alignment, or system installation issues.</w:t>
      </w:r>
    </w:p>
    <w:p w14:paraId="4DF90E63" w14:textId="3C5CE812" w:rsidR="00CC7500" w:rsidRPr="00CC7500" w:rsidRDefault="00CC7500" w:rsidP="00CC7500">
      <w:pPr>
        <w:tabs>
          <w:tab w:val="left" w:pos="-1440"/>
          <w:tab w:val="left" w:pos="810"/>
        </w:tabs>
        <w:ind w:left="810" w:hanging="810"/>
      </w:pPr>
      <w:r>
        <w:tab/>
      </w:r>
    </w:p>
    <w:p w14:paraId="1620D14B" w14:textId="5969BC62" w:rsidR="004D32BE" w:rsidRPr="00BF554C" w:rsidRDefault="004D32BE" w:rsidP="001B6745">
      <w:pPr>
        <w:pStyle w:val="ListParagraph"/>
        <w:widowControl w:val="0"/>
        <w:numPr>
          <w:ilvl w:val="0"/>
          <w:numId w:val="27"/>
        </w:numPr>
        <w:tabs>
          <w:tab w:val="left" w:pos="-1440"/>
          <w:tab w:val="left" w:pos="810"/>
        </w:tabs>
        <w:autoSpaceDE w:val="0"/>
        <w:autoSpaceDN w:val="0"/>
        <w:adjustRightInd w:val="0"/>
        <w:spacing w:after="0" w:line="240" w:lineRule="auto"/>
        <w:ind w:left="807" w:hanging="533"/>
        <w:rPr>
          <w:rFonts w:ascii="Arial" w:hAnsi="Arial"/>
        </w:rPr>
      </w:pPr>
      <w:r w:rsidRPr="00BF554C">
        <w:rPr>
          <w:rFonts w:ascii="Arial" w:hAnsi="Arial"/>
        </w:rPr>
        <w:t>When possible for gaseous waste processing, observe the routine processing and discharge of effluent</w:t>
      </w:r>
      <w:r w:rsidR="005E2D60">
        <w:rPr>
          <w:rFonts w:ascii="Arial" w:hAnsi="Arial"/>
        </w:rPr>
        <w:t>s</w:t>
      </w:r>
      <w:r w:rsidRPr="00BF554C">
        <w:rPr>
          <w:rFonts w:ascii="Arial" w:hAnsi="Arial"/>
        </w:rPr>
        <w:t xml:space="preserve">.  </w:t>
      </w:r>
      <w:r w:rsidR="00C37EB9">
        <w:rPr>
          <w:rFonts w:ascii="Arial" w:hAnsi="Arial"/>
        </w:rPr>
        <w:t>Consider if</w:t>
      </w:r>
      <w:r w:rsidRPr="00BF554C">
        <w:rPr>
          <w:rFonts w:ascii="Arial" w:hAnsi="Arial"/>
        </w:rPr>
        <w:t xml:space="preserve"> appropriate treatment equipment is used and the processing activities align with discharge permits.</w:t>
      </w:r>
    </w:p>
    <w:p w14:paraId="0409DE7A" w14:textId="77777777" w:rsidR="004D32BE" w:rsidRDefault="004D32BE" w:rsidP="004D32BE">
      <w:pPr>
        <w:pStyle w:val="ListParagraph"/>
        <w:rPr>
          <w:rFonts w:ascii="Arial" w:hAnsi="Arial"/>
        </w:rPr>
      </w:pPr>
    </w:p>
    <w:p w14:paraId="5EACD729" w14:textId="73F6D8CE" w:rsidR="00691F89" w:rsidRPr="00691F89" w:rsidRDefault="00691F89" w:rsidP="001B6745">
      <w:pPr>
        <w:pStyle w:val="ListParagraph"/>
        <w:widowControl w:val="0"/>
        <w:numPr>
          <w:ilvl w:val="0"/>
          <w:numId w:val="27"/>
        </w:numPr>
        <w:tabs>
          <w:tab w:val="left" w:pos="-1440"/>
          <w:tab w:val="left" w:pos="810"/>
        </w:tabs>
        <w:autoSpaceDE w:val="0"/>
        <w:autoSpaceDN w:val="0"/>
        <w:adjustRightInd w:val="0"/>
        <w:spacing w:after="0" w:line="240" w:lineRule="auto"/>
        <w:ind w:left="807" w:hanging="533"/>
        <w:rPr>
          <w:rFonts w:ascii="Arial" w:hAnsi="Arial"/>
        </w:rPr>
      </w:pPr>
      <w:r w:rsidRPr="004D32BE">
        <w:rPr>
          <w:rFonts w:ascii="Arial" w:hAnsi="Arial"/>
        </w:rPr>
        <w:t>When possible for liquid waste processing, observe the routine processing and discharge of effluents</w:t>
      </w:r>
      <w:r w:rsidR="00C37EB9">
        <w:rPr>
          <w:rFonts w:ascii="Arial" w:hAnsi="Arial"/>
        </w:rPr>
        <w:t>.  Consider if</w:t>
      </w:r>
      <w:r w:rsidR="00C37EB9" w:rsidRPr="00BF554C">
        <w:rPr>
          <w:rFonts w:ascii="Arial" w:hAnsi="Arial"/>
        </w:rPr>
        <w:t xml:space="preserve"> appropriate treatment equipment is used and the processing activities align with discharge permits</w:t>
      </w:r>
      <w:r w:rsidRPr="004D32BE">
        <w:rPr>
          <w:rFonts w:ascii="Arial" w:hAnsi="Arial"/>
        </w:rPr>
        <w:t>.</w:t>
      </w:r>
    </w:p>
    <w:p w14:paraId="27C73875" w14:textId="77777777" w:rsidR="00691F89" w:rsidRPr="004D32BE" w:rsidRDefault="00691F89" w:rsidP="004D32BE">
      <w:pPr>
        <w:pStyle w:val="ListParagraph"/>
        <w:rPr>
          <w:rFonts w:ascii="Arial" w:hAnsi="Arial"/>
        </w:rPr>
      </w:pPr>
    </w:p>
    <w:p w14:paraId="09A89297" w14:textId="5088F5D2" w:rsidR="004D32BE" w:rsidRDefault="00C37EB9" w:rsidP="001B6745">
      <w:pPr>
        <w:pStyle w:val="ListParagraph"/>
        <w:widowControl w:val="0"/>
        <w:numPr>
          <w:ilvl w:val="0"/>
          <w:numId w:val="27"/>
        </w:numPr>
        <w:tabs>
          <w:tab w:val="left" w:pos="-1440"/>
          <w:tab w:val="left" w:pos="810"/>
        </w:tabs>
        <w:autoSpaceDE w:val="0"/>
        <w:autoSpaceDN w:val="0"/>
        <w:adjustRightInd w:val="0"/>
        <w:spacing w:after="0" w:line="240" w:lineRule="auto"/>
        <w:ind w:left="807" w:hanging="533"/>
        <w:rPr>
          <w:rFonts w:ascii="Arial" w:hAnsi="Arial"/>
        </w:rPr>
      </w:pPr>
      <w:r>
        <w:rPr>
          <w:rFonts w:ascii="Arial" w:hAnsi="Arial"/>
        </w:rPr>
        <w:t>Consider if</w:t>
      </w:r>
      <w:r w:rsidR="004D32BE" w:rsidRPr="004D32BE">
        <w:rPr>
          <w:rFonts w:ascii="Arial" w:hAnsi="Arial"/>
        </w:rPr>
        <w:t xml:space="preserve"> significant changes</w:t>
      </w:r>
      <w:r w:rsidR="00425B24" w:rsidRPr="004D32BE">
        <w:rPr>
          <w:rFonts w:ascii="Arial" w:hAnsi="Arial"/>
        </w:rPr>
        <w:t xml:space="preserve">, since the last </w:t>
      </w:r>
      <w:r w:rsidR="00425B24">
        <w:rPr>
          <w:rFonts w:ascii="Arial" w:hAnsi="Arial"/>
        </w:rPr>
        <w:t>inspection,</w:t>
      </w:r>
      <w:r w:rsidR="004D32BE" w:rsidRPr="004D32BE">
        <w:rPr>
          <w:rFonts w:ascii="Arial" w:hAnsi="Arial"/>
        </w:rPr>
        <w:t xml:space="preserve"> to the licensee’s effluent release points</w:t>
      </w:r>
      <w:r>
        <w:rPr>
          <w:rFonts w:ascii="Arial" w:hAnsi="Arial"/>
        </w:rPr>
        <w:t xml:space="preserve"> </w:t>
      </w:r>
      <w:r w:rsidR="00A125A8">
        <w:rPr>
          <w:rFonts w:ascii="Arial" w:hAnsi="Arial"/>
        </w:rPr>
        <w:t>were adequately</w:t>
      </w:r>
      <w:r w:rsidR="005702F7">
        <w:rPr>
          <w:rFonts w:ascii="Arial" w:hAnsi="Arial"/>
        </w:rPr>
        <w:t xml:space="preserve"> evaluated</w:t>
      </w:r>
      <w:r w:rsidR="004D32BE" w:rsidRPr="004D32BE">
        <w:rPr>
          <w:rFonts w:ascii="Arial" w:hAnsi="Arial"/>
        </w:rPr>
        <w:t>.</w:t>
      </w:r>
    </w:p>
    <w:p w14:paraId="0068681B" w14:textId="1AFB3BDA" w:rsidR="00CC7500" w:rsidRDefault="00CC7500" w:rsidP="00CC7500">
      <w:pPr>
        <w:tabs>
          <w:tab w:val="left" w:pos="-1440"/>
          <w:tab w:val="left" w:pos="810"/>
        </w:tabs>
        <w:rPr>
          <w:rFonts w:eastAsia="Calibri"/>
        </w:rPr>
      </w:pPr>
    </w:p>
    <w:p w14:paraId="230C5B09" w14:textId="62C4A772" w:rsidR="004D32BE" w:rsidRPr="004D32BE" w:rsidRDefault="00CC7500" w:rsidP="00A27A34">
      <w:pPr>
        <w:tabs>
          <w:tab w:val="left" w:pos="-1440"/>
          <w:tab w:val="left" w:pos="810"/>
        </w:tabs>
        <w:ind w:left="810" w:hanging="810"/>
      </w:pPr>
      <w:r>
        <w:rPr>
          <w:rFonts w:eastAsia="Calibri"/>
        </w:rPr>
        <w:tab/>
      </w:r>
      <w:r w:rsidRPr="00513511">
        <w:t>In general, discharge points that are secondary dispersion/dilution points (i.e., those originating from authorized effluent discharges such as rain</w:t>
      </w:r>
      <w:r w:rsidRPr="00513511">
        <w:noBreakHyphen/>
        <w:t xml:space="preserve">out into storm drains or drainage from equipment condensation, including freezers) do not need further </w:t>
      </w:r>
      <w:r w:rsidRPr="00513511">
        <w:lastRenderedPageBreak/>
        <w:t>evaluation (see RIS 2008-03).</w:t>
      </w:r>
      <w:r w:rsidR="00EC305B">
        <w:t xml:space="preserve"> </w:t>
      </w:r>
      <w:r w:rsidRPr="00513511">
        <w:t xml:space="preserve"> However, the discharge of radioactive material from unusual discharge points (e.g., pumping of water from cable trays) needs an evaluation prior to discharge.  This evaluation can be a bounding evaluation for less significant release points (see RG 1.21, Rev. 2).</w:t>
      </w:r>
      <w:r>
        <w:t xml:space="preserve">  Some changes may require </w:t>
      </w:r>
      <w:r w:rsidR="00425B24">
        <w:t>the licensee to perform a</w:t>
      </w:r>
      <w:r>
        <w:t xml:space="preserve"> 10 CFR 50.59 </w:t>
      </w:r>
      <w:r w:rsidR="00425B24">
        <w:t xml:space="preserve">evaluation </w:t>
      </w:r>
      <w:r>
        <w:t xml:space="preserve">(e.g., burning contaminated oil in an auxiliary boiler).  Consider if changes </w:t>
      </w:r>
      <w:r w:rsidR="00425B24">
        <w:t>require</w:t>
      </w:r>
      <w:r>
        <w:t xml:space="preserve"> NRC approval</w:t>
      </w:r>
      <w:r w:rsidRPr="00513511">
        <w:t>.</w:t>
      </w:r>
    </w:p>
    <w:p w14:paraId="4129F1C7" w14:textId="77777777" w:rsidR="005C3ED4" w:rsidRDefault="005C3ED4" w:rsidP="00F707BB"/>
    <w:p w14:paraId="7E870791" w14:textId="1482E749" w:rsidR="00BD4851" w:rsidRPr="00513511" w:rsidRDefault="00A91759" w:rsidP="00D647B0">
      <w:pPr>
        <w:tabs>
          <w:tab w:val="left" w:pos="-1440"/>
          <w:tab w:val="left" w:pos="810"/>
        </w:tabs>
      </w:pPr>
      <w:r w:rsidRPr="00513511">
        <w:t>0</w:t>
      </w:r>
      <w:r w:rsidR="001D088D">
        <w:t>3</w:t>
      </w:r>
      <w:r w:rsidR="00BD4851" w:rsidRPr="00513511">
        <w:t>.</w:t>
      </w:r>
      <w:r w:rsidRPr="00513511">
        <w:t>0</w:t>
      </w:r>
      <w:r w:rsidR="00932A79">
        <w:t>2</w:t>
      </w:r>
      <w:r w:rsidR="00BD4851" w:rsidRPr="00513511">
        <w:tab/>
      </w:r>
      <w:r w:rsidR="00BD4851" w:rsidRPr="00513511">
        <w:rPr>
          <w:u w:val="single"/>
        </w:rPr>
        <w:t>Sampling and Analyse</w:t>
      </w:r>
      <w:r w:rsidR="00BD4851" w:rsidRPr="00AB1BBE">
        <w:rPr>
          <w:u w:val="single"/>
        </w:rPr>
        <w:t>s</w:t>
      </w:r>
      <w:r w:rsidR="00CC6D36">
        <w:rPr>
          <w:u w:val="single"/>
        </w:rPr>
        <w:t xml:space="preserve"> Sample</w:t>
      </w:r>
    </w:p>
    <w:p w14:paraId="46581FC7" w14:textId="77777777" w:rsidR="00CE0521" w:rsidRDefault="00CE0521" w:rsidP="00CE0521">
      <w:pPr>
        <w:tabs>
          <w:tab w:val="left" w:pos="-1440"/>
        </w:tabs>
      </w:pPr>
    </w:p>
    <w:p w14:paraId="7E49ED86" w14:textId="6D8FF287" w:rsidR="00423CD7" w:rsidRDefault="00423CD7" w:rsidP="00CE0521">
      <w:pPr>
        <w:tabs>
          <w:tab w:val="left" w:pos="-1440"/>
        </w:tabs>
      </w:pPr>
      <w:r>
        <w:rPr>
          <w:b/>
        </w:rPr>
        <w:t xml:space="preserve">Verify </w:t>
      </w:r>
      <w:r w:rsidR="00522223">
        <w:rPr>
          <w:b/>
        </w:rPr>
        <w:t>representative samples are obtained and that</w:t>
      </w:r>
      <w:r w:rsidR="00F4320E">
        <w:rPr>
          <w:b/>
        </w:rPr>
        <w:t>, if applicable,</w:t>
      </w:r>
      <w:r w:rsidR="00522223">
        <w:rPr>
          <w:b/>
        </w:rPr>
        <w:t xml:space="preserve"> compensatory sampling is done consistent with the ODCM.</w:t>
      </w:r>
      <w:r>
        <w:rPr>
          <w:b/>
        </w:rPr>
        <w:t xml:space="preserve"> </w:t>
      </w:r>
    </w:p>
    <w:p w14:paraId="377BDC10" w14:textId="77777777" w:rsidR="00CE0521" w:rsidRDefault="00CE0521" w:rsidP="00CE0521">
      <w:pPr>
        <w:pStyle w:val="pa"/>
        <w:numPr>
          <w:ilvl w:val="0"/>
          <w:numId w:val="0"/>
        </w:numPr>
        <w:tabs>
          <w:tab w:val="clear" w:pos="274"/>
        </w:tabs>
      </w:pPr>
    </w:p>
    <w:p w14:paraId="6B40CAAD" w14:textId="3DC7DD26" w:rsidR="00423CD7" w:rsidRDefault="00423CD7" w:rsidP="00CE0521">
      <w:pPr>
        <w:pStyle w:val="pa"/>
        <w:numPr>
          <w:ilvl w:val="0"/>
          <w:numId w:val="0"/>
        </w:numPr>
        <w:tabs>
          <w:tab w:val="clear" w:pos="274"/>
        </w:tabs>
      </w:pPr>
      <w:r>
        <w:rPr>
          <w:u w:val="single"/>
        </w:rPr>
        <w:t>Specific Guidance</w:t>
      </w:r>
    </w:p>
    <w:p w14:paraId="303BB98C" w14:textId="77777777" w:rsidR="00423CD7" w:rsidRPr="00513511" w:rsidRDefault="00423CD7" w:rsidP="004D32BE">
      <w:pPr>
        <w:tabs>
          <w:tab w:val="left" w:pos="-1440"/>
        </w:tabs>
        <w:ind w:left="994" w:hanging="720"/>
      </w:pPr>
    </w:p>
    <w:p w14:paraId="1CEB9435" w14:textId="031DAAD1" w:rsidR="00CC7500" w:rsidRPr="00513511" w:rsidRDefault="00BD4851" w:rsidP="001B6745">
      <w:pPr>
        <w:pStyle w:val="0201a"/>
        <w:tabs>
          <w:tab w:val="clear" w:pos="274"/>
          <w:tab w:val="left" w:pos="900"/>
        </w:tabs>
        <w:ind w:left="807" w:hanging="533"/>
        <w:rPr>
          <w:u w:val="single"/>
        </w:rPr>
      </w:pPr>
      <w:r w:rsidRPr="00513511">
        <w:t>a.</w:t>
      </w:r>
      <w:r w:rsidR="003730BA" w:rsidRPr="003730BA">
        <w:t xml:space="preserve"> </w:t>
      </w:r>
      <w:r w:rsidR="003730BA">
        <w:tab/>
      </w:r>
      <w:r w:rsidR="00CC7500" w:rsidRPr="004E6EF0">
        <w:t>Evaluate</w:t>
      </w:r>
      <w:r w:rsidR="001C41D9">
        <w:t xml:space="preserve"> </w:t>
      </w:r>
      <w:r w:rsidR="00CC7500" w:rsidRPr="004E6EF0">
        <w:t>sampling system configurations or situations that may impact representative sampling (e.g., media by</w:t>
      </w:r>
      <w:r w:rsidR="00CC7500" w:rsidRPr="004E6EF0">
        <w:noBreakHyphen/>
        <w:t>pass, humidity, line loss, heat trace, sample line flushing, vessel recirculation, composite samplers</w:t>
      </w:r>
      <w:r w:rsidR="00A676DB">
        <w:t>,</w:t>
      </w:r>
      <w:r w:rsidR="00CC7500" w:rsidRPr="004E6EF0">
        <w:t xml:space="preserve"> etc.).  </w:t>
      </w:r>
      <w:r w:rsidR="00CC7500" w:rsidRPr="00E533F0">
        <w:t>Guidance for review of reasonableness and consistency of sample data is covered in RG 4.15, Rev</w:t>
      </w:r>
      <w:r w:rsidR="00173816">
        <w:t>.</w:t>
      </w:r>
      <w:r w:rsidR="00CC7500" w:rsidRPr="00E533F0">
        <w:t xml:space="preserve"> 1, Section C. 8.  For those licensees committed to Rev.</w:t>
      </w:r>
      <w:r w:rsidR="00173816">
        <w:t xml:space="preserve"> </w:t>
      </w:r>
      <w:r w:rsidR="00CC7500" w:rsidRPr="00E533F0">
        <w:t>2 of RG 4.15, guidance is included in Section C.7 for quality assurance, Section C.8 for verification and validation, and Section 10 for preventive and corrective action.</w:t>
      </w:r>
      <w:r w:rsidR="00CC7500">
        <w:t xml:space="preserve">  </w:t>
      </w:r>
      <w:r w:rsidR="00CC7500" w:rsidRPr="004E6EF0">
        <w:t>In general, the licensee’s program in this area should be sufficient to detect anomalous data indicative of potential deficiencies in sample collection or analysis.  For example, if the licensee’s sample line for a system (e.g., stack) has lost integrity resulting in non-representative samples, would the program provide a means of detecting the deficiency?</w:t>
      </w:r>
    </w:p>
    <w:p w14:paraId="28CA91E9" w14:textId="77777777" w:rsidR="00F14482" w:rsidRPr="00513511" w:rsidRDefault="00F14482" w:rsidP="00D647B0">
      <w:pPr>
        <w:tabs>
          <w:tab w:val="left" w:pos="-1440"/>
        </w:tabs>
        <w:ind w:left="807" w:hanging="533"/>
      </w:pPr>
    </w:p>
    <w:p w14:paraId="7E3BD535" w14:textId="05A6E950" w:rsidR="005057C2" w:rsidRDefault="00CC0CBC" w:rsidP="001B6745">
      <w:pPr>
        <w:pStyle w:val="0201a"/>
        <w:tabs>
          <w:tab w:val="clear" w:pos="274"/>
          <w:tab w:val="left" w:pos="900"/>
        </w:tabs>
        <w:ind w:left="807" w:hanging="533"/>
      </w:pPr>
      <w:r w:rsidRPr="00513511">
        <w:t>b</w:t>
      </w:r>
      <w:r w:rsidR="00BD4851" w:rsidRPr="00513511">
        <w:t>.</w:t>
      </w:r>
      <w:r w:rsidR="00FB29D3" w:rsidRPr="00513511">
        <w:tab/>
      </w:r>
      <w:r w:rsidR="00A459DB">
        <w:t>For</w:t>
      </w:r>
      <w:r w:rsidR="00BD4851" w:rsidRPr="00513511">
        <w:t xml:space="preserve"> inoperable effluent radiation monitors</w:t>
      </w:r>
      <w:r w:rsidR="005F1830" w:rsidRPr="00513511">
        <w:t xml:space="preserve"> </w:t>
      </w:r>
      <w:r w:rsidR="00C174C5">
        <w:t>consider if</w:t>
      </w:r>
      <w:r w:rsidR="00A459DB" w:rsidRPr="00513511">
        <w:t xml:space="preserve"> </w:t>
      </w:r>
      <w:r w:rsidR="005F1830" w:rsidRPr="00513511">
        <w:t xml:space="preserve">compensatory sampling </w:t>
      </w:r>
      <w:r w:rsidR="00360DB4" w:rsidRPr="00513511">
        <w:t>is</w:t>
      </w:r>
      <w:r w:rsidR="005F1830" w:rsidRPr="00513511">
        <w:t xml:space="preserve"> performed </w:t>
      </w:r>
      <w:r w:rsidR="00EA4060" w:rsidRPr="00513511">
        <w:t>consistent</w:t>
      </w:r>
      <w:r w:rsidR="005F1830" w:rsidRPr="00513511">
        <w:t xml:space="preserve"> </w:t>
      </w:r>
      <w:r w:rsidR="00F505D4" w:rsidRPr="00513511">
        <w:t xml:space="preserve">with </w:t>
      </w:r>
      <w:r w:rsidR="005F1830" w:rsidRPr="00513511">
        <w:t xml:space="preserve">the </w:t>
      </w:r>
      <w:r w:rsidR="00A074CA" w:rsidRPr="00513511">
        <w:t>ODC</w:t>
      </w:r>
      <w:r w:rsidR="005F1830" w:rsidRPr="00513511">
        <w:t>M</w:t>
      </w:r>
      <w:r w:rsidR="00C174C5">
        <w:t xml:space="preserve"> and that compensatory actions are appropriate.</w:t>
      </w:r>
    </w:p>
    <w:p w14:paraId="6E8801F4" w14:textId="38DB95CA" w:rsidR="004D32BE" w:rsidRDefault="004D32BE" w:rsidP="003730BA">
      <w:pPr>
        <w:pStyle w:val="0201a1"/>
        <w:numPr>
          <w:ilvl w:val="0"/>
          <w:numId w:val="0"/>
        </w:numPr>
        <w:ind w:left="1152"/>
      </w:pPr>
    </w:p>
    <w:p w14:paraId="2118AA6E" w14:textId="7CEF852D" w:rsidR="00BD4851" w:rsidRPr="00563236" w:rsidRDefault="00A91759" w:rsidP="00771102">
      <w:pPr>
        <w:pStyle w:val="0101"/>
        <w:rPr>
          <w:u w:val="single"/>
        </w:rPr>
      </w:pPr>
      <w:r w:rsidRPr="00513511">
        <w:t>0</w:t>
      </w:r>
      <w:r w:rsidR="001D088D">
        <w:t>3</w:t>
      </w:r>
      <w:r w:rsidRPr="00513511">
        <w:t>.0</w:t>
      </w:r>
      <w:r w:rsidR="00932A79">
        <w:t>3</w:t>
      </w:r>
      <w:r w:rsidR="00BD4851" w:rsidRPr="00513511">
        <w:tab/>
      </w:r>
      <w:r w:rsidR="00BD4851" w:rsidRPr="00563236">
        <w:rPr>
          <w:u w:val="single"/>
        </w:rPr>
        <w:t>Dose Calculation</w:t>
      </w:r>
      <w:r w:rsidR="00AB1BBE" w:rsidRPr="00563236">
        <w:rPr>
          <w:u w:val="single"/>
        </w:rPr>
        <w:t>s</w:t>
      </w:r>
      <w:r w:rsidR="00EC643A" w:rsidRPr="00563236">
        <w:rPr>
          <w:u w:val="single"/>
        </w:rPr>
        <w:t xml:space="preserve"> Sample</w:t>
      </w:r>
    </w:p>
    <w:p w14:paraId="4A4F0046" w14:textId="22C07B46" w:rsidR="00DD10D5" w:rsidRPr="00563236" w:rsidRDefault="00DD10D5" w:rsidP="00771102">
      <w:pPr>
        <w:pStyle w:val="0101"/>
        <w:rPr>
          <w:u w:val="single"/>
        </w:rPr>
      </w:pPr>
    </w:p>
    <w:p w14:paraId="47E5F9EA" w14:textId="32825195" w:rsidR="00423CD7" w:rsidRPr="00072005" w:rsidRDefault="00072005" w:rsidP="00CE0521">
      <w:pPr>
        <w:tabs>
          <w:tab w:val="left" w:pos="-1440"/>
        </w:tabs>
        <w:rPr>
          <w:b/>
        </w:rPr>
      </w:pPr>
      <w:r w:rsidRPr="00072005">
        <w:rPr>
          <w:b/>
        </w:rPr>
        <w:t xml:space="preserve">Evaluate </w:t>
      </w:r>
      <w:r>
        <w:rPr>
          <w:b/>
        </w:rPr>
        <w:t xml:space="preserve">licensee calculations of </w:t>
      </w:r>
      <w:r w:rsidRPr="00072005">
        <w:rPr>
          <w:b/>
        </w:rPr>
        <w:t xml:space="preserve">doses resulting from effluent activities and confirm that </w:t>
      </w:r>
      <w:r w:rsidR="005738E8" w:rsidRPr="00072005">
        <w:rPr>
          <w:b/>
        </w:rPr>
        <w:t>projected doses to members of the public</w:t>
      </w:r>
      <w:r w:rsidR="00F63C31" w:rsidRPr="00072005">
        <w:rPr>
          <w:b/>
        </w:rPr>
        <w:t xml:space="preserve"> are</w:t>
      </w:r>
      <w:r w:rsidR="00412E06" w:rsidRPr="00072005">
        <w:rPr>
          <w:b/>
        </w:rPr>
        <w:t xml:space="preserve"> within 10</w:t>
      </w:r>
      <w:r w:rsidR="001F4C41" w:rsidRPr="00072005">
        <w:rPr>
          <w:b/>
        </w:rPr>
        <w:t xml:space="preserve"> CFR</w:t>
      </w:r>
      <w:r w:rsidR="00412E06" w:rsidRPr="00072005">
        <w:rPr>
          <w:b/>
        </w:rPr>
        <w:t xml:space="preserve"> Part 50, Appendix I</w:t>
      </w:r>
      <w:r w:rsidR="009770AC">
        <w:rPr>
          <w:b/>
        </w:rPr>
        <w:t xml:space="preserve"> numerical guides</w:t>
      </w:r>
      <w:r w:rsidRPr="00072005">
        <w:rPr>
          <w:b/>
        </w:rPr>
        <w:t>.</w:t>
      </w:r>
      <w:r w:rsidR="00412E06" w:rsidRPr="00072005">
        <w:rPr>
          <w:b/>
        </w:rPr>
        <w:t xml:space="preserve">  </w:t>
      </w:r>
    </w:p>
    <w:p w14:paraId="5CB166E3" w14:textId="77777777" w:rsidR="00423CD7" w:rsidRDefault="00423CD7" w:rsidP="00423CD7">
      <w:pPr>
        <w:tabs>
          <w:tab w:val="left" w:pos="-1440"/>
        </w:tabs>
        <w:ind w:left="720" w:hanging="720"/>
      </w:pPr>
    </w:p>
    <w:p w14:paraId="4D45DF75" w14:textId="5962F28B" w:rsidR="00423CD7" w:rsidRDefault="00423CD7" w:rsidP="00CE0521">
      <w:pPr>
        <w:pStyle w:val="pa"/>
        <w:numPr>
          <w:ilvl w:val="0"/>
          <w:numId w:val="0"/>
        </w:numPr>
        <w:tabs>
          <w:tab w:val="clear" w:pos="274"/>
        </w:tabs>
      </w:pPr>
      <w:r>
        <w:rPr>
          <w:u w:val="single"/>
        </w:rPr>
        <w:t>Specific Guidance</w:t>
      </w:r>
    </w:p>
    <w:p w14:paraId="187126B0" w14:textId="77777777" w:rsidR="00423CD7" w:rsidRPr="00513511" w:rsidRDefault="00423CD7" w:rsidP="00771102">
      <w:pPr>
        <w:pStyle w:val="0101"/>
      </w:pPr>
    </w:p>
    <w:p w14:paraId="39C8F952" w14:textId="0BD50F41" w:rsidR="009770AC" w:rsidRDefault="009770AC" w:rsidP="001B6745">
      <w:pPr>
        <w:pStyle w:val="0201a"/>
        <w:numPr>
          <w:ilvl w:val="0"/>
          <w:numId w:val="31"/>
        </w:numPr>
        <w:ind w:left="807" w:hanging="533"/>
      </w:pPr>
      <w:r w:rsidRPr="00513511">
        <w:t>Review radioactive liquid and gaseous waste discharge permits</w:t>
      </w:r>
      <w:r w:rsidR="004C486B">
        <w:t>.</w:t>
      </w:r>
      <w:r>
        <w:t xml:space="preserve"> </w:t>
      </w:r>
      <w:r w:rsidR="004C486B">
        <w:t xml:space="preserve"> C</w:t>
      </w:r>
      <w:r>
        <w:t xml:space="preserve">onsider </w:t>
      </w:r>
      <w:r w:rsidR="004C486B">
        <w:t xml:space="preserve">how the licensee is quantifying discharges and </w:t>
      </w:r>
      <w:r>
        <w:t>if projected doses to members of the public are accurate</w:t>
      </w:r>
      <w:r w:rsidR="009F1547">
        <w:t xml:space="preserve"> and calculated using methods described in the licensee’s ODCM.  </w:t>
      </w:r>
    </w:p>
    <w:p w14:paraId="34B7430C" w14:textId="77777777" w:rsidR="009770AC" w:rsidRDefault="009770AC" w:rsidP="009770AC">
      <w:pPr>
        <w:pStyle w:val="0201a"/>
        <w:ind w:left="802" w:firstLine="0"/>
      </w:pPr>
    </w:p>
    <w:p w14:paraId="2E21A415" w14:textId="477B8D23" w:rsidR="009F1547" w:rsidRDefault="004C486B" w:rsidP="001B6745">
      <w:pPr>
        <w:pStyle w:val="0201a"/>
        <w:numPr>
          <w:ilvl w:val="0"/>
          <w:numId w:val="31"/>
        </w:numPr>
        <w:ind w:left="807" w:hanging="533"/>
      </w:pPr>
      <w:r w:rsidRPr="004C486B">
        <w:t>Consider if the licensee’s method(s) used to determine source term isotopes included all applicable radionuclides within detectability standards</w:t>
      </w:r>
      <w:r w:rsidR="009F1547" w:rsidRPr="00513511">
        <w:t>.  Review the current Part 61 analyses to ensure hard</w:t>
      </w:r>
      <w:r w:rsidR="009F1547" w:rsidRPr="00513511">
        <w:noBreakHyphen/>
        <w:t>to</w:t>
      </w:r>
      <w:r w:rsidR="009F1547" w:rsidRPr="00513511">
        <w:noBreakHyphen/>
        <w:t xml:space="preserve">detect radionuclides are included in the source term. </w:t>
      </w:r>
    </w:p>
    <w:p w14:paraId="3123B8AC" w14:textId="6D1B9879" w:rsidR="009F1547" w:rsidRDefault="009F1547" w:rsidP="009F1547">
      <w:pPr>
        <w:pStyle w:val="0201a"/>
        <w:ind w:left="0" w:firstLine="0"/>
      </w:pPr>
    </w:p>
    <w:p w14:paraId="6A8AC98B" w14:textId="6241F5C3" w:rsidR="000D110D" w:rsidRPr="00513511" w:rsidRDefault="005738E8" w:rsidP="001B6745">
      <w:pPr>
        <w:pStyle w:val="0201a"/>
        <w:numPr>
          <w:ilvl w:val="0"/>
          <w:numId w:val="31"/>
        </w:numPr>
        <w:ind w:left="807" w:hanging="533"/>
      </w:pPr>
      <w:r>
        <w:t xml:space="preserve">Review </w:t>
      </w:r>
      <w:r w:rsidR="00BD4851" w:rsidRPr="00513511">
        <w:t>significant changes in reported dose v</w:t>
      </w:r>
      <w:r w:rsidR="000E583C">
        <w:t xml:space="preserve">alues compared to the previous </w:t>
      </w:r>
      <w:r w:rsidR="00A829BA">
        <w:t xml:space="preserve">Annual </w:t>
      </w:r>
      <w:r w:rsidR="00BD4851" w:rsidRPr="00513511">
        <w:t>Radiological Effluent Release Report</w:t>
      </w:r>
      <w:r w:rsidR="00072005">
        <w:t>s</w:t>
      </w:r>
      <w:r>
        <w:t xml:space="preserve"> and</w:t>
      </w:r>
      <w:r w:rsidR="00BD4851" w:rsidRPr="00513511">
        <w:t xml:space="preserve"> evaluate the factors which may have resulted in the change.  </w:t>
      </w:r>
      <w:r w:rsidR="000D110D">
        <w:t xml:space="preserve">Consider dose values that change by </w:t>
      </w:r>
      <w:r w:rsidR="000D110D" w:rsidRPr="00513511">
        <w:t>a factor of 5, or</w:t>
      </w:r>
      <w:r w:rsidR="000D110D">
        <w:t xml:space="preserve"> that increase such</w:t>
      </w:r>
      <w:r w:rsidR="000D110D" w:rsidRPr="00513511">
        <w:t xml:space="preserve"> that</w:t>
      </w:r>
      <w:r w:rsidR="000D110D">
        <w:t xml:space="preserve"> they</w:t>
      </w:r>
      <w:r w:rsidR="000D110D" w:rsidRPr="00513511">
        <w:t xml:space="preserve"> approach </w:t>
      </w:r>
      <w:r w:rsidR="00072005">
        <w:t xml:space="preserve">an </w:t>
      </w:r>
      <w:r w:rsidR="000D110D" w:rsidRPr="00513511">
        <w:t xml:space="preserve">Appendix I </w:t>
      </w:r>
      <w:r w:rsidR="00072005">
        <w:t>c</w:t>
      </w:r>
      <w:r w:rsidR="000D110D">
        <w:t>riterion.  Factors that may result in changes to dose values include</w:t>
      </w:r>
      <w:r w:rsidR="000D110D" w:rsidRPr="00513511">
        <w:t xml:space="preserve"> fuel integrity, recent changes in coolant chemistry, extended outage, or</w:t>
      </w:r>
      <w:r w:rsidR="000D110D">
        <w:t xml:space="preserve"> major decontamination efforts. </w:t>
      </w:r>
      <w:r w:rsidR="000D110D" w:rsidRPr="00513511">
        <w:t xml:space="preserve"> </w:t>
      </w:r>
      <w:r w:rsidR="000D110D" w:rsidRPr="00812ED8">
        <w:t xml:space="preserve">Review the licensee’s dose </w:t>
      </w:r>
      <w:r w:rsidR="000D110D" w:rsidRPr="00812ED8">
        <w:lastRenderedPageBreak/>
        <w:t>calculation methods.  If any concerns arise, u</w:t>
      </w:r>
      <w:r w:rsidR="000D110D">
        <w:t>se available</w:t>
      </w:r>
      <w:r w:rsidR="000D110D" w:rsidRPr="00812ED8">
        <w:t xml:space="preserve"> NRC computer code</w:t>
      </w:r>
      <w:r w:rsidR="000D110D">
        <w:t>s</w:t>
      </w:r>
      <w:r w:rsidR="000D110D" w:rsidRPr="00812ED8">
        <w:t xml:space="preserve"> (agreement should be within a factor of 2) to verify dose values, perform manual calculation, or review the licensee’s dose calculation methods.</w:t>
      </w:r>
    </w:p>
    <w:p w14:paraId="72F03AC3" w14:textId="1897852F" w:rsidR="00351F2C" w:rsidRPr="00513511" w:rsidRDefault="00CC0CBC" w:rsidP="009F1547">
      <w:pPr>
        <w:pStyle w:val="0201a"/>
        <w:ind w:left="274" w:firstLine="0"/>
      </w:pPr>
      <w:r w:rsidRPr="00513511">
        <w:tab/>
      </w:r>
    </w:p>
    <w:p w14:paraId="050B4A5F" w14:textId="69A99FCB" w:rsidR="005C3ED4" w:rsidRDefault="00BD4851" w:rsidP="001B6745">
      <w:pPr>
        <w:pStyle w:val="0201a"/>
        <w:ind w:left="807" w:hanging="533"/>
      </w:pPr>
      <w:r w:rsidRPr="00513511">
        <w:t>d.</w:t>
      </w:r>
      <w:r w:rsidR="00CC0CBC" w:rsidRPr="00513511">
        <w:tab/>
      </w:r>
      <w:r w:rsidRPr="00513511">
        <w:t>Review changes in the licensee</w:t>
      </w:r>
      <w:r w:rsidR="00777560" w:rsidRPr="00513511">
        <w:t>’</w:t>
      </w:r>
      <w:r w:rsidRPr="00513511">
        <w:t xml:space="preserve">s </w:t>
      </w:r>
      <w:r w:rsidR="005F1830" w:rsidRPr="00513511">
        <w:t>offsite</w:t>
      </w:r>
      <w:r w:rsidRPr="00513511">
        <w:t xml:space="preserve"> dose calculations</w:t>
      </w:r>
      <w:r w:rsidR="00B02ED1" w:rsidRPr="00513511">
        <w:t xml:space="preserve"> since the last inspection </w:t>
      </w:r>
      <w:r w:rsidR="00B32F84">
        <w:t>for consistency</w:t>
      </w:r>
      <w:r w:rsidRPr="00513511">
        <w:t xml:space="preserve"> with ODCM </w:t>
      </w:r>
      <w:r w:rsidR="00072005">
        <w:t xml:space="preserve">methods </w:t>
      </w:r>
      <w:r w:rsidRPr="00513511">
        <w:t>and R</w:t>
      </w:r>
      <w:r w:rsidR="005767E0">
        <w:t>G</w:t>
      </w:r>
      <w:r w:rsidRPr="00513511">
        <w:t xml:space="preserve"> 1.109.  </w:t>
      </w:r>
      <w:r w:rsidR="005F1830" w:rsidRPr="00513511">
        <w:t>Review meteorological</w:t>
      </w:r>
      <w:r w:rsidRPr="00513511">
        <w:t xml:space="preserve"> dispersion and deposition factors used in the ODCM and effluent dose calculations to ensure appropriate factors are being used for public dose calculations.</w:t>
      </w:r>
      <w:r w:rsidR="00CA274D">
        <w:t xml:space="preserve"> </w:t>
      </w:r>
      <w:r w:rsidRPr="00513511">
        <w:t xml:space="preserve"> </w:t>
      </w:r>
      <w:r w:rsidR="00B66C05" w:rsidRPr="00513511">
        <w:t>Con</w:t>
      </w:r>
      <w:r w:rsidR="00072005">
        <w:t>sider if</w:t>
      </w:r>
      <w:r w:rsidR="00B66C05" w:rsidRPr="00513511">
        <w:t xml:space="preserve"> in-plant dilution factors and dilution factors applied beyond the point of discharge into unrestricted areas are appropriately used in dose calculations for liquid effluents</w:t>
      </w:r>
      <w:r w:rsidR="00BE1161" w:rsidRPr="00513511">
        <w:t>.</w:t>
      </w:r>
    </w:p>
    <w:p w14:paraId="1D30D7FC" w14:textId="77777777" w:rsidR="005C3ED4" w:rsidRDefault="005C3ED4" w:rsidP="00633B97">
      <w:pPr>
        <w:pStyle w:val="0201a"/>
      </w:pPr>
    </w:p>
    <w:p w14:paraId="340DAD23" w14:textId="791EEFD9" w:rsidR="00E45967" w:rsidRDefault="00927FBE" w:rsidP="001B6745">
      <w:pPr>
        <w:pStyle w:val="0201a"/>
        <w:ind w:left="807" w:hanging="533"/>
      </w:pPr>
      <w:r w:rsidRPr="00513511">
        <w:t>e.</w:t>
      </w:r>
      <w:r w:rsidRPr="00513511">
        <w:tab/>
        <w:t xml:space="preserve">Review the </w:t>
      </w:r>
      <w:r w:rsidR="00B66C05" w:rsidRPr="00513511">
        <w:t xml:space="preserve">results of the </w:t>
      </w:r>
      <w:r w:rsidRPr="00513511">
        <w:t xml:space="preserve">latest Land Use Census </w:t>
      </w:r>
      <w:r w:rsidR="00412E06">
        <w:t>for</w:t>
      </w:r>
      <w:r w:rsidRPr="00513511">
        <w:t xml:space="preserve"> changes </w:t>
      </w:r>
      <w:r w:rsidR="00412E06">
        <w:t>that may need to be</w:t>
      </w:r>
      <w:r w:rsidR="00B32F84">
        <w:t xml:space="preserve"> </w:t>
      </w:r>
      <w:r w:rsidRPr="00513511">
        <w:t>factored into the dose calculations.</w:t>
      </w:r>
      <w:r w:rsidR="00AB7C00">
        <w:t xml:space="preserve">  </w:t>
      </w:r>
      <w:r w:rsidR="00E45967">
        <w:t xml:space="preserve">Consider </w:t>
      </w:r>
      <w:r w:rsidR="00E45967" w:rsidRPr="00513511">
        <w:t>significant increases or decreases to population in the plant environs, changes in critical exposure pathways, the location of nearest member of the public, or critical receptor, etc.</w:t>
      </w:r>
    </w:p>
    <w:p w14:paraId="0906B766" w14:textId="77777777" w:rsidR="00EC1C40" w:rsidRPr="00513511" w:rsidRDefault="00EC1C40" w:rsidP="00357922">
      <w:pPr>
        <w:tabs>
          <w:tab w:val="left" w:pos="-1440"/>
        </w:tabs>
        <w:ind w:left="810" w:hanging="180"/>
      </w:pPr>
    </w:p>
    <w:p w14:paraId="5EF54CC5" w14:textId="3C985F4E" w:rsidR="00F14482" w:rsidRPr="00635412" w:rsidRDefault="00EC1C40" w:rsidP="00EC1C40">
      <w:pPr>
        <w:tabs>
          <w:tab w:val="left" w:pos="-1440"/>
        </w:tabs>
        <w:ind w:left="807" w:hanging="807"/>
        <w:rPr>
          <w:u w:val="single"/>
        </w:rPr>
      </w:pPr>
      <w:r>
        <w:t>03.0</w:t>
      </w:r>
      <w:r w:rsidR="00932A79">
        <w:t>4</w:t>
      </w:r>
      <w:r>
        <w:tab/>
      </w:r>
      <w:r w:rsidRPr="00635412">
        <w:rPr>
          <w:u w:val="single"/>
        </w:rPr>
        <w:t>Abnormal Discharges Sample</w:t>
      </w:r>
    </w:p>
    <w:p w14:paraId="5AF3E578" w14:textId="77777777" w:rsidR="00EC1C40" w:rsidRDefault="00EC1C40" w:rsidP="00EC1C40">
      <w:pPr>
        <w:tabs>
          <w:tab w:val="left" w:pos="-1440"/>
        </w:tabs>
        <w:ind w:left="807" w:hanging="807"/>
      </w:pPr>
    </w:p>
    <w:p w14:paraId="0365EC37" w14:textId="5689B64C" w:rsidR="00F329F3" w:rsidRPr="00CC4332" w:rsidRDefault="00F329F3" w:rsidP="00CE0521">
      <w:pPr>
        <w:tabs>
          <w:tab w:val="left" w:pos="-1440"/>
        </w:tabs>
        <w:rPr>
          <w:b/>
          <w:strike/>
        </w:rPr>
      </w:pPr>
      <w:r>
        <w:rPr>
          <w:b/>
        </w:rPr>
        <w:t xml:space="preserve">Verify that abnormal gaseous and liquid </w:t>
      </w:r>
      <w:r w:rsidR="00CC4332">
        <w:rPr>
          <w:b/>
        </w:rPr>
        <w:t>discharges, which occurred since the last inspection,</w:t>
      </w:r>
      <w:r>
        <w:rPr>
          <w:b/>
        </w:rPr>
        <w:t xml:space="preserve"> were </w:t>
      </w:r>
      <w:r w:rsidR="00CC4332">
        <w:rPr>
          <w:b/>
        </w:rPr>
        <w:t xml:space="preserve">evaluated for the impact to the public. </w:t>
      </w:r>
    </w:p>
    <w:p w14:paraId="5B7EB444" w14:textId="08EF17EF" w:rsidR="00F329F3" w:rsidRDefault="00F329F3" w:rsidP="00D647B0">
      <w:pPr>
        <w:tabs>
          <w:tab w:val="left" w:pos="-1440"/>
        </w:tabs>
        <w:ind w:left="807" w:hanging="533"/>
        <w:rPr>
          <w:b/>
        </w:rPr>
      </w:pPr>
    </w:p>
    <w:p w14:paraId="5775D1D0" w14:textId="7C23664F" w:rsidR="00F329F3" w:rsidRPr="00563236" w:rsidRDefault="00F329F3" w:rsidP="00CE0521">
      <w:pPr>
        <w:tabs>
          <w:tab w:val="left" w:pos="-1440"/>
        </w:tabs>
        <w:rPr>
          <w:b/>
          <w:u w:val="single"/>
        </w:rPr>
      </w:pPr>
      <w:r w:rsidRPr="00563236">
        <w:rPr>
          <w:u w:val="single"/>
        </w:rPr>
        <w:t>Specific</w:t>
      </w:r>
      <w:r w:rsidRPr="00563236">
        <w:rPr>
          <w:b/>
          <w:u w:val="single"/>
        </w:rPr>
        <w:t xml:space="preserve"> </w:t>
      </w:r>
      <w:r w:rsidRPr="00563236">
        <w:rPr>
          <w:u w:val="single"/>
        </w:rPr>
        <w:t>Guidance</w:t>
      </w:r>
    </w:p>
    <w:p w14:paraId="36ADA650" w14:textId="77777777" w:rsidR="00CC4332" w:rsidRDefault="00CC4332" w:rsidP="00D647B0">
      <w:pPr>
        <w:tabs>
          <w:tab w:val="left" w:pos="-1440"/>
        </w:tabs>
        <w:ind w:left="807" w:hanging="533"/>
      </w:pPr>
    </w:p>
    <w:p w14:paraId="3ED22281" w14:textId="7518E9B2" w:rsidR="00CC4332" w:rsidRPr="00513511" w:rsidRDefault="00CC4332" w:rsidP="00CE0521">
      <w:pPr>
        <w:tabs>
          <w:tab w:val="left" w:pos="-1440"/>
        </w:tabs>
      </w:pPr>
      <w:r>
        <w:t>No Guidance.</w:t>
      </w:r>
    </w:p>
    <w:p w14:paraId="666B0F0A" w14:textId="7A27482C" w:rsidR="00E45967" w:rsidRDefault="00E45967" w:rsidP="000E1992">
      <w:pPr>
        <w:pStyle w:val="0201a"/>
        <w:tabs>
          <w:tab w:val="clear" w:pos="806"/>
        </w:tabs>
        <w:ind w:left="0" w:firstLine="0"/>
      </w:pPr>
    </w:p>
    <w:p w14:paraId="66851858" w14:textId="5008BA7E" w:rsidR="003730BA" w:rsidRDefault="003730BA">
      <w:pPr>
        <w:widowControl/>
        <w:autoSpaceDE/>
        <w:autoSpaceDN/>
        <w:adjustRightInd/>
      </w:pPr>
    </w:p>
    <w:p w14:paraId="5BE42BF1" w14:textId="451F1B98" w:rsidR="007E26A6" w:rsidRPr="00543287" w:rsidRDefault="007E26A6" w:rsidP="007E26A6">
      <w:pPr>
        <w:pStyle w:val="7112405"/>
      </w:pPr>
      <w:r w:rsidRPr="00543287">
        <w:t>71124.06-0</w:t>
      </w:r>
      <w:r w:rsidR="00EC261F">
        <w:t>4</w:t>
      </w:r>
      <w:r w:rsidRPr="00543287">
        <w:tab/>
      </w:r>
      <w:r w:rsidR="00513511" w:rsidRPr="00543287">
        <w:t xml:space="preserve"> </w:t>
      </w:r>
      <w:r w:rsidRPr="00543287">
        <w:t>REFERENCES</w:t>
      </w:r>
    </w:p>
    <w:p w14:paraId="752D1592" w14:textId="77777777" w:rsidR="00E26FC1" w:rsidRDefault="00E26FC1" w:rsidP="00E26FC1"/>
    <w:p w14:paraId="0451F514" w14:textId="1944C84E" w:rsidR="00E26FC1" w:rsidRPr="00543287" w:rsidRDefault="00E26FC1" w:rsidP="00E26FC1">
      <w:r w:rsidRPr="00543287">
        <w:t>RG 1.21, “Measuring, Evaluating, and Reporting Radioactive Material in Liquid and Ga</w:t>
      </w:r>
      <w:r>
        <w:t>seous Effluents and Solid Waste</w:t>
      </w:r>
      <w:r w:rsidRPr="00543287">
        <w:t xml:space="preserve">” </w:t>
      </w:r>
    </w:p>
    <w:p w14:paraId="5B76981D" w14:textId="77777777" w:rsidR="007E26A6" w:rsidRPr="00543287" w:rsidRDefault="007E26A6" w:rsidP="007E26A6">
      <w:pPr>
        <w:pStyle w:val="7112405"/>
      </w:pPr>
    </w:p>
    <w:p w14:paraId="2A040594" w14:textId="44394086" w:rsidR="006012BE" w:rsidRPr="00543287" w:rsidRDefault="006012BE" w:rsidP="006012BE">
      <w:r w:rsidRPr="00543287">
        <w:t xml:space="preserve">RG 1.109, “Calculation of Annual Doses to Man from Routine Releases of Reactor Effluents for the Purpose of Evaluating Compliance with 10 CFR 50, Appendix I” </w:t>
      </w:r>
    </w:p>
    <w:p w14:paraId="7756D528" w14:textId="77777777" w:rsidR="006012BE" w:rsidRPr="00543287" w:rsidRDefault="006012BE" w:rsidP="006012BE"/>
    <w:p w14:paraId="3823254D" w14:textId="706D412A" w:rsidR="006012BE" w:rsidRPr="00543287" w:rsidRDefault="006012BE" w:rsidP="006012BE">
      <w:r w:rsidRPr="00543287">
        <w:t xml:space="preserve">RG 4.1, “Radiological Environmental Monitoring for Nuclear Power Plants” </w:t>
      </w:r>
    </w:p>
    <w:p w14:paraId="375ACF6B" w14:textId="77777777" w:rsidR="006012BE" w:rsidRPr="00543287" w:rsidRDefault="006012BE" w:rsidP="006012BE"/>
    <w:p w14:paraId="31D40A8C" w14:textId="2A69DCB3" w:rsidR="006012BE" w:rsidRPr="00543287" w:rsidRDefault="006012BE" w:rsidP="006012BE">
      <w:r w:rsidRPr="00543287">
        <w:t>RG 4.15, “Quality Assurance for Radiological Monitoring Programs (Inception through Normal Operations to License Termination)—Effluent Streams and the Environment”</w:t>
      </w:r>
    </w:p>
    <w:p w14:paraId="05E6C88F" w14:textId="77777777" w:rsidR="00513511" w:rsidRPr="00543287" w:rsidRDefault="00513511" w:rsidP="00C21F8C"/>
    <w:p w14:paraId="0432F56F" w14:textId="5D7EA386" w:rsidR="009E16C6" w:rsidRPr="00543287" w:rsidRDefault="009E16C6" w:rsidP="009E16C6">
      <w:r>
        <w:t xml:space="preserve">NRC </w:t>
      </w:r>
      <w:r w:rsidRPr="00543287">
        <w:t xml:space="preserve">Generic Letter </w:t>
      </w:r>
      <w:r>
        <w:t>19</w:t>
      </w:r>
      <w:r w:rsidRPr="00543287">
        <w:t>89-01, “Implementation of Programmatic and Procedural Controls for Radiological Effluent Technical Specifications”</w:t>
      </w:r>
    </w:p>
    <w:p w14:paraId="0BD1B283" w14:textId="1605D9B3" w:rsidR="009E16C6" w:rsidRDefault="009E16C6" w:rsidP="00C21F8C"/>
    <w:p w14:paraId="2639B56F" w14:textId="5E543241" w:rsidR="009E16C6" w:rsidRPr="00543287" w:rsidRDefault="009E16C6" w:rsidP="009E16C6">
      <w:r>
        <w:t xml:space="preserve">NRC Regulatory Issue Summary </w:t>
      </w:r>
      <w:r w:rsidRPr="00543287">
        <w:t>RIS 2008-03, “Return/Re-use of Previously Discharged Radioactive Effluents”</w:t>
      </w:r>
    </w:p>
    <w:p w14:paraId="797D617F" w14:textId="5A122B30" w:rsidR="009E16C6" w:rsidRDefault="009E16C6" w:rsidP="00C21F8C"/>
    <w:p w14:paraId="7B9ECC05" w14:textId="3C8D036F" w:rsidR="009E16C6" w:rsidRPr="00543287" w:rsidRDefault="009E16C6" w:rsidP="009E16C6">
      <w:pPr>
        <w:rPr>
          <w:rFonts w:eastAsia="Calibri"/>
        </w:rPr>
      </w:pPr>
      <w:r>
        <w:rPr>
          <w:rFonts w:eastAsia="Calibri"/>
        </w:rPr>
        <w:t xml:space="preserve">NRC </w:t>
      </w:r>
      <w:r w:rsidRPr="00543287">
        <w:rPr>
          <w:rFonts w:eastAsia="Calibri"/>
        </w:rPr>
        <w:t xml:space="preserve">Bulletin </w:t>
      </w:r>
      <w:r>
        <w:rPr>
          <w:rFonts w:eastAsia="Calibri"/>
        </w:rPr>
        <w:t>19</w:t>
      </w:r>
      <w:r w:rsidRPr="00543287">
        <w:rPr>
          <w:rFonts w:eastAsia="Calibri"/>
        </w:rPr>
        <w:t>80</w:t>
      </w:r>
      <w:r w:rsidRPr="00543287">
        <w:rPr>
          <w:rFonts w:eastAsia="Calibri"/>
        </w:rPr>
        <w:noBreakHyphen/>
        <w:t>10, “</w:t>
      </w:r>
      <w:r w:rsidRPr="00543287">
        <w:t>Contamination of Nonradioactive System and Resulting Potential for Unmonitored, Uncontrolled Release to Environment</w:t>
      </w:r>
      <w:r>
        <w:t>”</w:t>
      </w:r>
    </w:p>
    <w:p w14:paraId="162F65C9" w14:textId="77777777" w:rsidR="00C21F8C" w:rsidRPr="00543287" w:rsidRDefault="00C21F8C" w:rsidP="00C21F8C"/>
    <w:p w14:paraId="60F39193" w14:textId="579684B6" w:rsidR="009E16C6" w:rsidRDefault="009E16C6" w:rsidP="009E16C6">
      <w:r w:rsidRPr="00543287">
        <w:t>NUREG-0133, “Preparation of Radiological Effluent Technical Specifications for Nuclear Power Plants”</w:t>
      </w:r>
    </w:p>
    <w:p w14:paraId="30337966" w14:textId="77777777" w:rsidR="009E16C6" w:rsidRDefault="009E16C6" w:rsidP="009E16C6"/>
    <w:p w14:paraId="31F11141" w14:textId="446E21AB" w:rsidR="009E16C6" w:rsidRPr="00543287" w:rsidRDefault="009E16C6" w:rsidP="009E16C6">
      <w:r w:rsidRPr="00543287">
        <w:lastRenderedPageBreak/>
        <w:t>NUREG</w:t>
      </w:r>
      <w:r w:rsidRPr="00543287">
        <w:noBreakHyphen/>
        <w:t>0737, “Clarification of TMI Action Plan Requirements”</w:t>
      </w:r>
    </w:p>
    <w:p w14:paraId="082FBF70" w14:textId="77777777" w:rsidR="009E16C6" w:rsidRPr="00543287" w:rsidRDefault="009E16C6" w:rsidP="009E16C6"/>
    <w:p w14:paraId="2ACFD07B" w14:textId="500E7802" w:rsidR="009E16C6" w:rsidRPr="00543287" w:rsidRDefault="009E16C6" w:rsidP="009E16C6">
      <w:r w:rsidRPr="00543287">
        <w:t>NUREG</w:t>
      </w:r>
      <w:r w:rsidRPr="00543287">
        <w:noBreakHyphen/>
        <w:t xml:space="preserve">1301, “Offsite Dose Calculation Guidance:  Standard Radiological Effluent Controls for Pressurized Water Reactors” </w:t>
      </w:r>
    </w:p>
    <w:p w14:paraId="017DB948" w14:textId="77777777" w:rsidR="009E16C6" w:rsidRPr="00543287" w:rsidRDefault="009E16C6" w:rsidP="009E16C6"/>
    <w:p w14:paraId="4F39B448" w14:textId="561ECB3A" w:rsidR="009E16C6" w:rsidRPr="00543287" w:rsidRDefault="009E16C6" w:rsidP="009E16C6">
      <w:r w:rsidRPr="00543287">
        <w:t>NUREG</w:t>
      </w:r>
      <w:r w:rsidRPr="00543287">
        <w:noBreakHyphen/>
        <w:t>1302, “Offsite Dose Calculation Guidance:  Standard Radiological Effluent Controls for Boiling Water Reactors</w:t>
      </w:r>
      <w:r>
        <w:t>”</w:t>
      </w:r>
    </w:p>
    <w:p w14:paraId="73C5FFAD" w14:textId="77777777" w:rsidR="009E16C6" w:rsidRPr="00543287" w:rsidRDefault="009E16C6" w:rsidP="009E16C6"/>
    <w:p w14:paraId="0DEE8D22" w14:textId="76675C7D" w:rsidR="009E16C6" w:rsidRPr="00543287" w:rsidRDefault="009E16C6" w:rsidP="009E16C6">
      <w:r w:rsidRPr="00543287">
        <w:t>NUREG/CR-5569, Revision 1, “Health Physics Positions Data Base”</w:t>
      </w:r>
      <w:r w:rsidRPr="009E16C6">
        <w:t xml:space="preserve"> </w:t>
      </w:r>
      <w:r>
        <w:t>(</w:t>
      </w:r>
      <w:r w:rsidRPr="00513511">
        <w:t>H</w:t>
      </w:r>
      <w:r>
        <w:t xml:space="preserve">ealth Physics Positions [HPPOS] </w:t>
      </w:r>
      <w:r w:rsidRPr="00513511">
        <w:t>040 and 229</w:t>
      </w:r>
      <w:r>
        <w:t>)</w:t>
      </w:r>
    </w:p>
    <w:p w14:paraId="1A172000" w14:textId="77777777" w:rsidR="00C21F8C" w:rsidRPr="00543287" w:rsidRDefault="00C21F8C" w:rsidP="00C21F8C"/>
    <w:p w14:paraId="0C22E9B5" w14:textId="2B64BC16" w:rsidR="009E16C6" w:rsidRDefault="009E16C6" w:rsidP="009E16C6">
      <w:r w:rsidRPr="00543287">
        <w:t>ANSI N13.1-1969, “Guide to Sampling Airborne Radioactive Materials in Nuclear Facilities”</w:t>
      </w:r>
    </w:p>
    <w:p w14:paraId="326C6BF1" w14:textId="77777777" w:rsidR="009E16C6" w:rsidRDefault="009E16C6" w:rsidP="009E16C6"/>
    <w:p w14:paraId="0475D652" w14:textId="5904E417" w:rsidR="009E16C6" w:rsidRPr="00543287" w:rsidRDefault="009E16C6" w:rsidP="009E16C6">
      <w:r w:rsidRPr="00543287">
        <w:t>ANSI N13.10-1974, “Specification and Performance of On-site Instrumentation for Continuously Monitoring Radioactivity in Effluents”</w:t>
      </w:r>
    </w:p>
    <w:p w14:paraId="37ABAC21" w14:textId="77777777" w:rsidR="009E16C6" w:rsidRPr="00543287" w:rsidRDefault="009E16C6" w:rsidP="009E16C6"/>
    <w:p w14:paraId="4FF74B80" w14:textId="529058CE" w:rsidR="009E16C6" w:rsidRPr="00543287" w:rsidRDefault="009E16C6" w:rsidP="009E16C6">
      <w:r w:rsidRPr="00543287">
        <w:t>ANSI N42.18-2004, “Specification and Performance of Onsite Instrumentation for Continuously Monitoring Radioactivity in Effluents”</w:t>
      </w:r>
    </w:p>
    <w:p w14:paraId="5D183B59" w14:textId="77777777" w:rsidR="009E16C6" w:rsidRPr="00543287" w:rsidRDefault="009E16C6" w:rsidP="009E16C6"/>
    <w:p w14:paraId="05A9BAF9" w14:textId="06ABB540" w:rsidR="009E16C6" w:rsidRPr="00543287" w:rsidRDefault="009E16C6" w:rsidP="009E16C6">
      <w:r w:rsidRPr="00543287">
        <w:t>ASME N510-1989, “Testing of Nuclear Air Treatment Systems”</w:t>
      </w:r>
    </w:p>
    <w:p w14:paraId="764A569D" w14:textId="4A1499E6" w:rsidR="00522D94" w:rsidRDefault="00522D94" w:rsidP="00E533F0">
      <w:pPr>
        <w:tabs>
          <w:tab w:val="left" w:pos="-1440"/>
        </w:tabs>
      </w:pPr>
    </w:p>
    <w:p w14:paraId="4FE9A490" w14:textId="77777777" w:rsidR="00A76951" w:rsidRPr="00543287" w:rsidRDefault="00A76951" w:rsidP="00887BBB"/>
    <w:p w14:paraId="14DB1100" w14:textId="77777777" w:rsidR="00BC3B0E" w:rsidRPr="00543287" w:rsidRDefault="00887BBB" w:rsidP="005C3ED4">
      <w:pPr>
        <w:jc w:val="center"/>
      </w:pPr>
      <w:r w:rsidRPr="00543287">
        <w:t>END</w:t>
      </w:r>
    </w:p>
    <w:p w14:paraId="3327DFA7" w14:textId="77777777" w:rsidR="00BC3B0E" w:rsidRPr="00543287" w:rsidRDefault="00BC3B0E" w:rsidP="00BC3B0E">
      <w:pPr>
        <w:jc w:val="center"/>
        <w:sectPr w:rsidR="00BC3B0E" w:rsidRPr="00543287" w:rsidSect="00702EC1">
          <w:footerReference w:type="even" r:id="rId11"/>
          <w:footerReference w:type="default" r:id="rId12"/>
          <w:pgSz w:w="12238" w:h="15838"/>
          <w:pgMar w:top="1440" w:right="1440" w:bottom="1440" w:left="1440" w:header="720" w:footer="720" w:gutter="0"/>
          <w:cols w:space="720"/>
          <w:noEndnote/>
          <w:docGrid w:linePitch="326"/>
        </w:sectPr>
      </w:pPr>
    </w:p>
    <w:p w14:paraId="1BBBE9C9" w14:textId="77777777" w:rsidR="00887BBB" w:rsidRPr="00543287" w:rsidRDefault="005057C2" w:rsidP="00BC3B0E">
      <w:pPr>
        <w:jc w:val="center"/>
      </w:pPr>
      <w:r>
        <w:lastRenderedPageBreak/>
        <w:t xml:space="preserve">Attachment 1: </w:t>
      </w:r>
      <w:r w:rsidR="00887BBB" w:rsidRPr="00543287">
        <w:t xml:space="preserve"> Revision History for IP 71124.06</w:t>
      </w:r>
    </w:p>
    <w:p w14:paraId="2ED90442" w14:textId="77777777" w:rsidR="00887BBB" w:rsidRPr="00543287" w:rsidRDefault="00887BBB" w:rsidP="00887BBB">
      <w:pPr>
        <w:spacing w:line="240" w:lineRule="exact"/>
        <w:outlineLvl w:val="1"/>
      </w:pPr>
    </w:p>
    <w:tbl>
      <w:tblPr>
        <w:tblW w:w="13462" w:type="dxa"/>
        <w:tblInd w:w="120" w:type="dxa"/>
        <w:tblLayout w:type="fixed"/>
        <w:tblCellMar>
          <w:left w:w="120" w:type="dxa"/>
          <w:right w:w="120" w:type="dxa"/>
        </w:tblCellMar>
        <w:tblLook w:val="0020" w:firstRow="1" w:lastRow="0" w:firstColumn="0" w:lastColumn="0" w:noHBand="0" w:noVBand="0"/>
      </w:tblPr>
      <w:tblGrid>
        <w:gridCol w:w="1852"/>
        <w:gridCol w:w="1928"/>
        <w:gridCol w:w="4912"/>
        <w:gridCol w:w="2070"/>
        <w:gridCol w:w="2700"/>
      </w:tblGrid>
      <w:tr w:rsidR="00887BBB" w:rsidRPr="00702EC1" w14:paraId="3CFA5BB7" w14:textId="77777777" w:rsidTr="00702EC1">
        <w:trPr>
          <w:tblHeader/>
        </w:trPr>
        <w:tc>
          <w:tcPr>
            <w:tcW w:w="1852" w:type="dxa"/>
            <w:tcBorders>
              <w:top w:val="single" w:sz="6" w:space="0" w:color="000000"/>
              <w:left w:val="single" w:sz="6" w:space="0" w:color="000000"/>
              <w:bottom w:val="single" w:sz="6" w:space="0" w:color="000000"/>
              <w:right w:val="single" w:sz="6" w:space="0" w:color="000000"/>
            </w:tcBorders>
          </w:tcPr>
          <w:p w14:paraId="56851498" w14:textId="77777777" w:rsidR="00887BBB" w:rsidRPr="00702EC1" w:rsidRDefault="00887BBB" w:rsidP="000F57B0">
            <w:pPr>
              <w:spacing w:line="240" w:lineRule="exact"/>
              <w:outlineLvl w:val="1"/>
            </w:pPr>
            <w:r w:rsidRPr="00702EC1">
              <w:t>Commitment Tracking Number</w:t>
            </w:r>
          </w:p>
        </w:tc>
        <w:tc>
          <w:tcPr>
            <w:tcW w:w="1928" w:type="dxa"/>
            <w:tcBorders>
              <w:top w:val="single" w:sz="6" w:space="0" w:color="000000"/>
              <w:left w:val="single" w:sz="6" w:space="0" w:color="000000"/>
              <w:bottom w:val="single" w:sz="6" w:space="0" w:color="000000"/>
              <w:right w:val="single" w:sz="6" w:space="0" w:color="000000"/>
            </w:tcBorders>
          </w:tcPr>
          <w:p w14:paraId="4A73E309" w14:textId="77777777" w:rsidR="00887BBB" w:rsidRPr="00702EC1" w:rsidRDefault="00887BBB" w:rsidP="000F57B0">
            <w:pPr>
              <w:spacing w:line="240" w:lineRule="exact"/>
              <w:jc w:val="center"/>
              <w:outlineLvl w:val="1"/>
            </w:pPr>
            <w:r w:rsidRPr="00702EC1">
              <w:t>Accession Number</w:t>
            </w:r>
          </w:p>
          <w:p w14:paraId="5AD9A59D" w14:textId="77777777" w:rsidR="00887BBB" w:rsidRPr="00702EC1" w:rsidRDefault="00887BBB" w:rsidP="000F57B0">
            <w:pPr>
              <w:spacing w:line="240" w:lineRule="exact"/>
              <w:jc w:val="center"/>
              <w:outlineLvl w:val="1"/>
            </w:pPr>
            <w:r w:rsidRPr="00702EC1">
              <w:t>Issue Date</w:t>
            </w:r>
          </w:p>
          <w:p w14:paraId="6AB34D9A" w14:textId="77777777" w:rsidR="00887BBB" w:rsidRPr="00702EC1" w:rsidRDefault="00887BBB" w:rsidP="000F57B0">
            <w:pPr>
              <w:spacing w:line="240" w:lineRule="exact"/>
              <w:jc w:val="center"/>
              <w:outlineLvl w:val="1"/>
            </w:pPr>
            <w:r w:rsidRPr="00702EC1">
              <w:t>Change Notice</w:t>
            </w:r>
          </w:p>
        </w:tc>
        <w:tc>
          <w:tcPr>
            <w:tcW w:w="4912" w:type="dxa"/>
            <w:tcBorders>
              <w:top w:val="single" w:sz="6" w:space="0" w:color="000000"/>
              <w:left w:val="single" w:sz="6" w:space="0" w:color="000000"/>
              <w:bottom w:val="single" w:sz="6" w:space="0" w:color="000000"/>
              <w:right w:val="single" w:sz="6" w:space="0" w:color="000000"/>
            </w:tcBorders>
          </w:tcPr>
          <w:p w14:paraId="7BB4F76A" w14:textId="77777777" w:rsidR="00E278C7" w:rsidRPr="00702EC1" w:rsidRDefault="00887BBB" w:rsidP="000F57B0">
            <w:pPr>
              <w:spacing w:line="240" w:lineRule="exact"/>
              <w:jc w:val="center"/>
              <w:outlineLvl w:val="1"/>
            </w:pPr>
            <w:r w:rsidRPr="00702EC1">
              <w:t>Description of Change</w:t>
            </w:r>
          </w:p>
          <w:p w14:paraId="6884A1FB" w14:textId="77777777" w:rsidR="00887BBB" w:rsidRPr="00702EC1" w:rsidRDefault="00E278C7" w:rsidP="00E278C7">
            <w:pPr>
              <w:tabs>
                <w:tab w:val="left" w:pos="3540"/>
              </w:tabs>
            </w:pPr>
            <w:r w:rsidRPr="00702EC1">
              <w:tab/>
            </w:r>
          </w:p>
        </w:tc>
        <w:tc>
          <w:tcPr>
            <w:tcW w:w="2070" w:type="dxa"/>
            <w:tcBorders>
              <w:top w:val="single" w:sz="6" w:space="0" w:color="000000"/>
              <w:left w:val="single" w:sz="6" w:space="0" w:color="000000"/>
              <w:bottom w:val="single" w:sz="6" w:space="0" w:color="000000"/>
              <w:right w:val="single" w:sz="6" w:space="0" w:color="000000"/>
            </w:tcBorders>
          </w:tcPr>
          <w:p w14:paraId="4346F96B" w14:textId="77777777" w:rsidR="00887BBB" w:rsidRPr="00702EC1" w:rsidRDefault="00887BBB" w:rsidP="000F57B0">
            <w:pPr>
              <w:spacing w:line="240" w:lineRule="exact"/>
              <w:outlineLvl w:val="1"/>
            </w:pPr>
            <w:r w:rsidRPr="00702EC1">
              <w:t>Description of Training Required and Completion Date</w:t>
            </w:r>
          </w:p>
        </w:tc>
        <w:tc>
          <w:tcPr>
            <w:tcW w:w="2700" w:type="dxa"/>
            <w:tcBorders>
              <w:top w:val="single" w:sz="6" w:space="0" w:color="000000"/>
              <w:left w:val="single" w:sz="6" w:space="0" w:color="000000"/>
              <w:bottom w:val="single" w:sz="6" w:space="0" w:color="000000"/>
              <w:right w:val="single" w:sz="6" w:space="0" w:color="000000"/>
            </w:tcBorders>
          </w:tcPr>
          <w:p w14:paraId="14DB528B" w14:textId="31B676F1" w:rsidR="00887BBB" w:rsidRPr="00702EC1" w:rsidRDefault="00887BBB" w:rsidP="00702EC1">
            <w:pPr>
              <w:spacing w:line="240" w:lineRule="exact"/>
              <w:outlineLvl w:val="1"/>
            </w:pPr>
            <w:r w:rsidRPr="00702EC1">
              <w:t xml:space="preserve">Comment </w:t>
            </w:r>
            <w:r w:rsidR="00702EC1">
              <w:t xml:space="preserve">Resolution </w:t>
            </w:r>
            <w:r w:rsidRPr="00702EC1">
              <w:t xml:space="preserve">and </w:t>
            </w:r>
            <w:r w:rsidR="00702EC1">
              <w:t xml:space="preserve">Closed </w:t>
            </w:r>
            <w:r w:rsidRPr="00702EC1">
              <w:t xml:space="preserve">Feedback </w:t>
            </w:r>
            <w:r w:rsidR="00702EC1">
              <w:t xml:space="preserve">Form </w:t>
            </w:r>
            <w:r w:rsidRPr="00702EC1">
              <w:t xml:space="preserve">Accession Number (Pre-Decisional, Non-Public Information) </w:t>
            </w:r>
          </w:p>
        </w:tc>
      </w:tr>
      <w:tr w:rsidR="00887BBB" w:rsidRPr="00702EC1" w14:paraId="304763A3" w14:textId="77777777" w:rsidTr="00702EC1">
        <w:tc>
          <w:tcPr>
            <w:tcW w:w="1852" w:type="dxa"/>
            <w:tcBorders>
              <w:top w:val="single" w:sz="6" w:space="0" w:color="000000"/>
              <w:left w:val="single" w:sz="6" w:space="0" w:color="000000"/>
              <w:bottom w:val="single" w:sz="6" w:space="0" w:color="000000"/>
              <w:right w:val="single" w:sz="6" w:space="0" w:color="000000"/>
            </w:tcBorders>
          </w:tcPr>
          <w:p w14:paraId="6B9D3E50" w14:textId="77777777" w:rsidR="00887BBB" w:rsidRPr="00702EC1" w:rsidRDefault="00887BBB" w:rsidP="00702EC1">
            <w:pPr>
              <w:spacing w:line="240" w:lineRule="exact"/>
              <w:outlineLvl w:val="1"/>
            </w:pPr>
            <w:r w:rsidRPr="00702EC1">
              <w:t>N/A</w:t>
            </w:r>
          </w:p>
        </w:tc>
        <w:tc>
          <w:tcPr>
            <w:tcW w:w="1928" w:type="dxa"/>
            <w:tcBorders>
              <w:top w:val="single" w:sz="6" w:space="0" w:color="000000"/>
              <w:left w:val="single" w:sz="6" w:space="0" w:color="000000"/>
              <w:bottom w:val="single" w:sz="6" w:space="0" w:color="000000"/>
              <w:right w:val="single" w:sz="6" w:space="0" w:color="000000"/>
            </w:tcBorders>
          </w:tcPr>
          <w:p w14:paraId="0A6C842B" w14:textId="77777777" w:rsidR="00887BBB" w:rsidRPr="00702EC1" w:rsidRDefault="00887BBB" w:rsidP="000F57B0">
            <w:pPr>
              <w:spacing w:line="240" w:lineRule="exact"/>
              <w:outlineLvl w:val="1"/>
            </w:pPr>
            <w:r w:rsidRPr="00702EC1">
              <w:t>12/02/09</w:t>
            </w:r>
          </w:p>
          <w:p w14:paraId="001717E7" w14:textId="77777777" w:rsidR="00887BBB" w:rsidRPr="00702EC1" w:rsidRDefault="00887BBB" w:rsidP="000F57B0">
            <w:pPr>
              <w:spacing w:line="240" w:lineRule="exact"/>
              <w:outlineLvl w:val="1"/>
            </w:pPr>
            <w:r w:rsidRPr="00702EC1">
              <w:t>CN 09-030</w:t>
            </w:r>
          </w:p>
        </w:tc>
        <w:tc>
          <w:tcPr>
            <w:tcW w:w="4912" w:type="dxa"/>
            <w:tcBorders>
              <w:top w:val="single" w:sz="6" w:space="0" w:color="000000"/>
              <w:left w:val="single" w:sz="6" w:space="0" w:color="000000"/>
              <w:bottom w:val="single" w:sz="6" w:space="0" w:color="000000"/>
              <w:right w:val="single" w:sz="6" w:space="0" w:color="000000"/>
            </w:tcBorders>
          </w:tcPr>
          <w:p w14:paraId="10FCA7D4" w14:textId="77777777" w:rsidR="00887BBB" w:rsidRPr="00702EC1" w:rsidRDefault="00887BBB" w:rsidP="000F57B0">
            <w:pPr>
              <w:outlineLvl w:val="1"/>
            </w:pPr>
            <w:r w:rsidRPr="00702EC1">
              <w:t>Conducted four year search for commitments and found none.</w:t>
            </w:r>
          </w:p>
          <w:p w14:paraId="47BF1841" w14:textId="77777777" w:rsidR="00887BBB" w:rsidRPr="00702EC1" w:rsidRDefault="00887BBB" w:rsidP="000F57B0">
            <w:pPr>
              <w:spacing w:line="240" w:lineRule="exact"/>
              <w:outlineLvl w:val="1"/>
            </w:pPr>
          </w:p>
          <w:p w14:paraId="09124B81" w14:textId="77777777" w:rsidR="00887BBB" w:rsidRPr="00702EC1" w:rsidRDefault="00887BBB" w:rsidP="000F57B0">
            <w:pPr>
              <w:spacing w:line="240" w:lineRule="exact"/>
              <w:outlineLvl w:val="1"/>
            </w:pPr>
            <w:r w:rsidRPr="00702EC1">
              <w:t xml:space="preserve">This new procedure is being issued as a result of the 2009 ROP IP Realignment.  It supersedes inspection requirements in IP 71121 and 71122. </w:t>
            </w:r>
          </w:p>
        </w:tc>
        <w:tc>
          <w:tcPr>
            <w:tcW w:w="2070" w:type="dxa"/>
            <w:tcBorders>
              <w:top w:val="single" w:sz="6" w:space="0" w:color="000000"/>
              <w:left w:val="single" w:sz="6" w:space="0" w:color="000000"/>
              <w:bottom w:val="single" w:sz="6" w:space="0" w:color="000000"/>
              <w:right w:val="single" w:sz="6" w:space="0" w:color="000000"/>
            </w:tcBorders>
          </w:tcPr>
          <w:p w14:paraId="1DE7459E" w14:textId="77777777" w:rsidR="00887BBB" w:rsidRPr="00702EC1" w:rsidRDefault="00887BBB" w:rsidP="000F57B0">
            <w:pPr>
              <w:spacing w:line="240" w:lineRule="exact"/>
              <w:outlineLvl w:val="1"/>
            </w:pPr>
            <w:r w:rsidRPr="00702EC1">
              <w:t>Yes</w:t>
            </w:r>
          </w:p>
          <w:p w14:paraId="4C668940" w14:textId="77777777" w:rsidR="00887BBB" w:rsidRPr="00702EC1" w:rsidRDefault="00887BBB" w:rsidP="000F57B0">
            <w:pPr>
              <w:spacing w:line="240" w:lineRule="exact"/>
              <w:outlineLvl w:val="1"/>
            </w:pPr>
            <w:r w:rsidRPr="00702EC1">
              <w:t>09/09/2009</w:t>
            </w:r>
          </w:p>
        </w:tc>
        <w:tc>
          <w:tcPr>
            <w:tcW w:w="2700" w:type="dxa"/>
            <w:tcBorders>
              <w:top w:val="single" w:sz="6" w:space="0" w:color="000000"/>
              <w:left w:val="single" w:sz="6" w:space="0" w:color="000000"/>
              <w:bottom w:val="single" w:sz="6" w:space="0" w:color="000000"/>
              <w:right w:val="single" w:sz="6" w:space="0" w:color="000000"/>
            </w:tcBorders>
          </w:tcPr>
          <w:p w14:paraId="14AC47B3" w14:textId="77777777" w:rsidR="00887BBB" w:rsidRPr="00702EC1" w:rsidRDefault="00887BBB" w:rsidP="000F57B0">
            <w:pPr>
              <w:spacing w:line="240" w:lineRule="exact"/>
              <w:outlineLvl w:val="1"/>
            </w:pPr>
            <w:r w:rsidRPr="00702EC1">
              <w:t>ML092810414</w:t>
            </w:r>
          </w:p>
        </w:tc>
      </w:tr>
      <w:tr w:rsidR="00887BBB" w:rsidRPr="00702EC1" w14:paraId="4102E216" w14:textId="77777777" w:rsidTr="00702EC1">
        <w:trPr>
          <w:trHeight w:val="892"/>
        </w:trPr>
        <w:tc>
          <w:tcPr>
            <w:tcW w:w="1852" w:type="dxa"/>
            <w:tcBorders>
              <w:top w:val="single" w:sz="6" w:space="0" w:color="000000"/>
              <w:left w:val="single" w:sz="6" w:space="0" w:color="000000"/>
              <w:bottom w:val="single" w:sz="6" w:space="0" w:color="000000"/>
              <w:right w:val="single" w:sz="6" w:space="0" w:color="000000"/>
            </w:tcBorders>
          </w:tcPr>
          <w:p w14:paraId="3DC6343D" w14:textId="77777777" w:rsidR="00887BBB" w:rsidRPr="00702EC1" w:rsidRDefault="00887BBB" w:rsidP="000F57B0">
            <w:pPr>
              <w:spacing w:line="240" w:lineRule="exact"/>
              <w:outlineLvl w:val="1"/>
            </w:pPr>
            <w:r w:rsidRPr="00702EC1">
              <w:t xml:space="preserve">C1 Reference: </w:t>
            </w:r>
          </w:p>
          <w:p w14:paraId="77CEE1B2" w14:textId="77777777" w:rsidR="00887BBB" w:rsidRPr="00702EC1" w:rsidRDefault="00887BBB" w:rsidP="000F57B0">
            <w:pPr>
              <w:spacing w:line="240" w:lineRule="exact"/>
              <w:outlineLvl w:val="1"/>
            </w:pPr>
            <w:r w:rsidRPr="00702EC1">
              <w:t>SRM-SECY-11-019 (August 15, 2011)</w:t>
            </w:r>
          </w:p>
          <w:p w14:paraId="56B56C30" w14:textId="77777777" w:rsidR="00887BBB" w:rsidRPr="00702EC1" w:rsidRDefault="00887BBB" w:rsidP="000F57B0">
            <w:pPr>
              <w:spacing w:line="240" w:lineRule="exact"/>
              <w:outlineLvl w:val="1"/>
            </w:pPr>
            <w:r w:rsidRPr="00702EC1">
              <w:t>Senior Management Review of Overall Regulatory Approach to Groundwater Protection</w:t>
            </w:r>
          </w:p>
        </w:tc>
        <w:tc>
          <w:tcPr>
            <w:tcW w:w="1928" w:type="dxa"/>
            <w:tcBorders>
              <w:top w:val="single" w:sz="6" w:space="0" w:color="000000"/>
              <w:left w:val="single" w:sz="6" w:space="0" w:color="000000"/>
              <w:bottom w:val="single" w:sz="6" w:space="0" w:color="000000"/>
              <w:right w:val="single" w:sz="6" w:space="0" w:color="000000"/>
            </w:tcBorders>
          </w:tcPr>
          <w:p w14:paraId="09045777" w14:textId="77777777" w:rsidR="00887BBB" w:rsidRPr="00702EC1" w:rsidRDefault="00887BBB" w:rsidP="000F57B0">
            <w:pPr>
              <w:spacing w:line="240" w:lineRule="exact"/>
              <w:outlineLvl w:val="1"/>
            </w:pPr>
            <w:r w:rsidRPr="00702EC1">
              <w:t>ML12321A387</w:t>
            </w:r>
          </w:p>
          <w:p w14:paraId="069C2489" w14:textId="77777777" w:rsidR="00887BBB" w:rsidRPr="00702EC1" w:rsidRDefault="00887BBB" w:rsidP="000F57B0">
            <w:pPr>
              <w:spacing w:line="240" w:lineRule="exact"/>
              <w:outlineLvl w:val="1"/>
            </w:pPr>
            <w:r w:rsidRPr="00702EC1">
              <w:t>06/06/13</w:t>
            </w:r>
          </w:p>
          <w:p w14:paraId="2F324701" w14:textId="77777777" w:rsidR="00887BBB" w:rsidRPr="00702EC1" w:rsidRDefault="00887BBB" w:rsidP="000F57B0">
            <w:pPr>
              <w:spacing w:line="240" w:lineRule="exact"/>
              <w:outlineLvl w:val="1"/>
            </w:pPr>
            <w:r w:rsidRPr="00702EC1">
              <w:t>CN 13-013</w:t>
            </w:r>
          </w:p>
        </w:tc>
        <w:tc>
          <w:tcPr>
            <w:tcW w:w="4912" w:type="dxa"/>
            <w:tcBorders>
              <w:top w:val="single" w:sz="6" w:space="0" w:color="000000"/>
              <w:left w:val="single" w:sz="6" w:space="0" w:color="000000"/>
              <w:bottom w:val="single" w:sz="6" w:space="0" w:color="000000"/>
              <w:right w:val="single" w:sz="6" w:space="0" w:color="000000"/>
            </w:tcBorders>
          </w:tcPr>
          <w:p w14:paraId="36DAC3C9" w14:textId="77777777" w:rsidR="00887BBB" w:rsidRPr="00702EC1" w:rsidRDefault="00887BBB" w:rsidP="000F57B0">
            <w:pPr>
              <w:spacing w:line="240" w:lineRule="exact"/>
              <w:outlineLvl w:val="1"/>
            </w:pPr>
            <w:r w:rsidRPr="00702EC1">
              <w:t>This revision directs the inspection staff to document observations of incomplete or discontinued implementation of the NEI/industry ground water protection Initiative (GPI). The revision also instructs inspection staff that if the licensee is not implementing the GPI, to review the adequacy of the licensee’s implementation of the Decommissioning Planning Rule under 10 CFR 20.1406(c) and 10 CFR 20.1501, including Part 52 licensee requirements to implement the GPI and NEI-08-08A.</w:t>
            </w:r>
          </w:p>
        </w:tc>
        <w:tc>
          <w:tcPr>
            <w:tcW w:w="2070" w:type="dxa"/>
            <w:tcBorders>
              <w:top w:val="single" w:sz="6" w:space="0" w:color="000000"/>
              <w:left w:val="single" w:sz="6" w:space="0" w:color="000000"/>
              <w:bottom w:val="single" w:sz="6" w:space="0" w:color="000000"/>
              <w:right w:val="single" w:sz="6" w:space="0" w:color="000000"/>
            </w:tcBorders>
          </w:tcPr>
          <w:p w14:paraId="0195C85F" w14:textId="77777777" w:rsidR="00887BBB" w:rsidRPr="00702EC1" w:rsidRDefault="00887BBB" w:rsidP="000F57B0">
            <w:pPr>
              <w:spacing w:line="240" w:lineRule="exact"/>
              <w:outlineLvl w:val="1"/>
            </w:pPr>
            <w:r w:rsidRPr="00702EC1">
              <w:t>N/A</w:t>
            </w:r>
          </w:p>
        </w:tc>
        <w:tc>
          <w:tcPr>
            <w:tcW w:w="2700" w:type="dxa"/>
            <w:tcBorders>
              <w:top w:val="single" w:sz="6" w:space="0" w:color="000000"/>
              <w:left w:val="single" w:sz="6" w:space="0" w:color="000000"/>
              <w:bottom w:val="single" w:sz="6" w:space="0" w:color="000000"/>
              <w:right w:val="single" w:sz="6" w:space="0" w:color="000000"/>
            </w:tcBorders>
          </w:tcPr>
          <w:p w14:paraId="6A348986" w14:textId="77777777" w:rsidR="00887BBB" w:rsidRPr="00702EC1" w:rsidRDefault="00887BBB" w:rsidP="000F57B0">
            <w:pPr>
              <w:outlineLvl w:val="1"/>
            </w:pPr>
            <w:r w:rsidRPr="00702EC1">
              <w:t>ML13085A201</w:t>
            </w:r>
          </w:p>
          <w:p w14:paraId="7C8CCF8A" w14:textId="77777777" w:rsidR="00887BBB" w:rsidRPr="00702EC1" w:rsidRDefault="00887BBB" w:rsidP="000F57B0">
            <w:pPr>
              <w:outlineLvl w:val="1"/>
            </w:pPr>
            <w:r w:rsidRPr="00702EC1">
              <w:t>ML13129A076</w:t>
            </w:r>
          </w:p>
        </w:tc>
      </w:tr>
      <w:tr w:rsidR="005057C2" w:rsidRPr="00702EC1" w14:paraId="4BB40598" w14:textId="77777777" w:rsidTr="00702EC1">
        <w:tblPrEx>
          <w:tblLook w:val="0000" w:firstRow="0" w:lastRow="0" w:firstColumn="0" w:lastColumn="0" w:noHBand="0" w:noVBand="0"/>
        </w:tblPrEx>
        <w:trPr>
          <w:trHeight w:val="892"/>
        </w:trPr>
        <w:tc>
          <w:tcPr>
            <w:tcW w:w="1852" w:type="dxa"/>
            <w:tcBorders>
              <w:top w:val="single" w:sz="6" w:space="0" w:color="000000"/>
              <w:left w:val="single" w:sz="6" w:space="0" w:color="000000"/>
              <w:bottom w:val="single" w:sz="6" w:space="0" w:color="000000"/>
              <w:right w:val="single" w:sz="6" w:space="0" w:color="000000"/>
            </w:tcBorders>
          </w:tcPr>
          <w:p w14:paraId="0E6F4233" w14:textId="77777777" w:rsidR="005057C2" w:rsidRPr="00702EC1" w:rsidRDefault="005057C2" w:rsidP="00702EC1">
            <w:pPr>
              <w:spacing w:line="240" w:lineRule="exact"/>
              <w:outlineLvl w:val="1"/>
            </w:pPr>
            <w:r w:rsidRPr="00702EC1">
              <w:t>N/A</w:t>
            </w:r>
          </w:p>
        </w:tc>
        <w:tc>
          <w:tcPr>
            <w:tcW w:w="1928" w:type="dxa"/>
            <w:tcBorders>
              <w:top w:val="single" w:sz="6" w:space="0" w:color="000000"/>
              <w:left w:val="single" w:sz="6" w:space="0" w:color="000000"/>
              <w:bottom w:val="single" w:sz="6" w:space="0" w:color="000000"/>
              <w:right w:val="single" w:sz="6" w:space="0" w:color="000000"/>
            </w:tcBorders>
          </w:tcPr>
          <w:p w14:paraId="5D4B4A0F" w14:textId="77777777" w:rsidR="005057C2" w:rsidRPr="00702EC1" w:rsidRDefault="005057C2" w:rsidP="005057C2">
            <w:pPr>
              <w:autoSpaceDE/>
              <w:autoSpaceDN/>
              <w:adjustRightInd/>
              <w:rPr>
                <w:color w:val="000000"/>
              </w:rPr>
            </w:pPr>
            <w:r w:rsidRPr="00702EC1">
              <w:rPr>
                <w:color w:val="000000"/>
              </w:rPr>
              <w:t>ML15345A054</w:t>
            </w:r>
          </w:p>
          <w:p w14:paraId="2C650FBF" w14:textId="77777777" w:rsidR="005057C2" w:rsidRPr="00702EC1" w:rsidRDefault="005057C2" w:rsidP="005057C2">
            <w:pPr>
              <w:autoSpaceDE/>
              <w:autoSpaceDN/>
              <w:adjustRightInd/>
              <w:rPr>
                <w:color w:val="000000"/>
              </w:rPr>
            </w:pPr>
            <w:r w:rsidRPr="00702EC1">
              <w:rPr>
                <w:color w:val="000000"/>
              </w:rPr>
              <w:t>04/01/16</w:t>
            </w:r>
          </w:p>
          <w:p w14:paraId="3C19D440" w14:textId="77777777" w:rsidR="005057C2" w:rsidRPr="00702EC1" w:rsidRDefault="005057C2" w:rsidP="005057C2">
            <w:pPr>
              <w:autoSpaceDE/>
              <w:autoSpaceDN/>
              <w:adjustRightInd/>
              <w:rPr>
                <w:color w:val="000000"/>
              </w:rPr>
            </w:pPr>
            <w:r w:rsidRPr="00702EC1">
              <w:rPr>
                <w:color w:val="000000"/>
              </w:rPr>
              <w:t>CN 16-010</w:t>
            </w:r>
          </w:p>
          <w:p w14:paraId="45F06820" w14:textId="77777777" w:rsidR="005057C2" w:rsidRPr="00702EC1" w:rsidRDefault="005057C2" w:rsidP="005057C2">
            <w:pPr>
              <w:spacing w:line="240" w:lineRule="exact"/>
              <w:outlineLvl w:val="1"/>
            </w:pPr>
          </w:p>
        </w:tc>
        <w:tc>
          <w:tcPr>
            <w:tcW w:w="4912" w:type="dxa"/>
            <w:tcBorders>
              <w:top w:val="single" w:sz="6" w:space="0" w:color="000000"/>
              <w:left w:val="single" w:sz="6" w:space="0" w:color="000000"/>
              <w:bottom w:val="single" w:sz="6" w:space="0" w:color="000000"/>
              <w:right w:val="single" w:sz="6" w:space="0" w:color="000000"/>
            </w:tcBorders>
          </w:tcPr>
          <w:p w14:paraId="32D77B67" w14:textId="77777777" w:rsidR="005057C2" w:rsidRPr="00702EC1" w:rsidRDefault="005057C2" w:rsidP="005057C2">
            <w:r w:rsidRPr="00702EC1">
              <w:t xml:space="preserve">Revisions to the IP 71124.06 procedure attachment were made in response to the 2013 ROP Enhancement Project.  </w:t>
            </w:r>
          </w:p>
          <w:p w14:paraId="0FA5E7DA" w14:textId="77777777" w:rsidR="005057C2" w:rsidRPr="00702EC1" w:rsidRDefault="005057C2" w:rsidP="005057C2"/>
          <w:p w14:paraId="6ABC49F8" w14:textId="77777777" w:rsidR="005057C2" w:rsidRPr="00702EC1" w:rsidRDefault="005057C2" w:rsidP="005057C2">
            <w:r w:rsidRPr="00702EC1">
              <w:t>The revision changed how inspection samples are counted, moved the sections on ground water inspections from 71124.06 to 71124.07.  It incorporates effluent monitoring instrumentation from 71124.05 into 71124.06.</w:t>
            </w:r>
          </w:p>
        </w:tc>
        <w:tc>
          <w:tcPr>
            <w:tcW w:w="2070" w:type="dxa"/>
            <w:tcBorders>
              <w:top w:val="single" w:sz="6" w:space="0" w:color="000000"/>
              <w:left w:val="single" w:sz="6" w:space="0" w:color="000000"/>
              <w:bottom w:val="single" w:sz="6" w:space="0" w:color="000000"/>
              <w:right w:val="single" w:sz="6" w:space="0" w:color="000000"/>
            </w:tcBorders>
          </w:tcPr>
          <w:p w14:paraId="546E9CA3" w14:textId="77777777" w:rsidR="005057C2" w:rsidRPr="00702EC1" w:rsidRDefault="005057C2" w:rsidP="005057C2">
            <w:pPr>
              <w:spacing w:line="240" w:lineRule="exact"/>
              <w:outlineLvl w:val="1"/>
            </w:pPr>
            <w:r w:rsidRPr="00702EC1">
              <w:t>N/A</w:t>
            </w:r>
          </w:p>
        </w:tc>
        <w:tc>
          <w:tcPr>
            <w:tcW w:w="2700" w:type="dxa"/>
            <w:tcBorders>
              <w:top w:val="single" w:sz="6" w:space="0" w:color="000000"/>
              <w:left w:val="single" w:sz="6" w:space="0" w:color="000000"/>
              <w:bottom w:val="single" w:sz="6" w:space="0" w:color="000000"/>
              <w:right w:val="single" w:sz="6" w:space="0" w:color="000000"/>
            </w:tcBorders>
          </w:tcPr>
          <w:p w14:paraId="327C087C" w14:textId="77777777" w:rsidR="005057C2" w:rsidRPr="00702EC1" w:rsidRDefault="005057C2" w:rsidP="005057C2">
            <w:pPr>
              <w:outlineLvl w:val="1"/>
            </w:pPr>
            <w:r w:rsidRPr="00702EC1">
              <w:t>IP revised only to include new sample sizes.  There is no valid comment resolution at this time.</w:t>
            </w:r>
          </w:p>
          <w:p w14:paraId="5B5E4CC5" w14:textId="77777777" w:rsidR="005057C2" w:rsidRPr="00702EC1" w:rsidRDefault="005057C2" w:rsidP="005057C2">
            <w:pPr>
              <w:outlineLvl w:val="1"/>
            </w:pPr>
          </w:p>
        </w:tc>
      </w:tr>
    </w:tbl>
    <w:p w14:paraId="720A5B9A" w14:textId="77777777" w:rsidR="003614BA" w:rsidRDefault="003614BA">
      <w:pPr>
        <w:sectPr w:rsidR="003614BA" w:rsidSect="003614BA">
          <w:footerReference w:type="default" r:id="rId13"/>
          <w:pgSz w:w="15838" w:h="12238" w:orient="landscape"/>
          <w:pgMar w:top="1440" w:right="1440" w:bottom="1440" w:left="1440" w:header="720" w:footer="720" w:gutter="0"/>
          <w:pgNumType w:start="1"/>
          <w:cols w:space="720"/>
          <w:noEndnote/>
          <w:docGrid w:linePitch="326"/>
        </w:sectPr>
      </w:pPr>
    </w:p>
    <w:tbl>
      <w:tblPr>
        <w:tblW w:w="13462" w:type="dxa"/>
        <w:tblInd w:w="120" w:type="dxa"/>
        <w:tblLayout w:type="fixed"/>
        <w:tblCellMar>
          <w:left w:w="120" w:type="dxa"/>
          <w:right w:w="120" w:type="dxa"/>
        </w:tblCellMar>
        <w:tblLook w:val="0000" w:firstRow="0" w:lastRow="0" w:firstColumn="0" w:lastColumn="0" w:noHBand="0" w:noVBand="0"/>
      </w:tblPr>
      <w:tblGrid>
        <w:gridCol w:w="1852"/>
        <w:gridCol w:w="1928"/>
        <w:gridCol w:w="4912"/>
        <w:gridCol w:w="2070"/>
        <w:gridCol w:w="2700"/>
      </w:tblGrid>
      <w:tr w:rsidR="003614BA" w:rsidRPr="00702EC1" w14:paraId="780CB147" w14:textId="77777777" w:rsidTr="00702EC1">
        <w:trPr>
          <w:trHeight w:val="892"/>
        </w:trPr>
        <w:tc>
          <w:tcPr>
            <w:tcW w:w="1852" w:type="dxa"/>
            <w:tcBorders>
              <w:top w:val="single" w:sz="6" w:space="0" w:color="000000"/>
              <w:left w:val="single" w:sz="6" w:space="0" w:color="000000"/>
              <w:bottom w:val="single" w:sz="6" w:space="0" w:color="000000"/>
              <w:right w:val="single" w:sz="6" w:space="0" w:color="000000"/>
            </w:tcBorders>
          </w:tcPr>
          <w:p w14:paraId="36644504" w14:textId="5E6A366B" w:rsidR="003614BA" w:rsidRDefault="003614BA" w:rsidP="003614BA">
            <w:pPr>
              <w:spacing w:line="240" w:lineRule="exact"/>
              <w:outlineLvl w:val="1"/>
            </w:pPr>
            <w:r w:rsidRPr="00702EC1">
              <w:lastRenderedPageBreak/>
              <w:t>Commitment Tracking Number</w:t>
            </w:r>
          </w:p>
        </w:tc>
        <w:tc>
          <w:tcPr>
            <w:tcW w:w="1928" w:type="dxa"/>
            <w:tcBorders>
              <w:top w:val="single" w:sz="6" w:space="0" w:color="000000"/>
              <w:left w:val="single" w:sz="6" w:space="0" w:color="000000"/>
              <w:bottom w:val="single" w:sz="6" w:space="0" w:color="000000"/>
              <w:right w:val="single" w:sz="6" w:space="0" w:color="000000"/>
            </w:tcBorders>
          </w:tcPr>
          <w:p w14:paraId="2BB68C8D" w14:textId="77777777" w:rsidR="003614BA" w:rsidRPr="00702EC1" w:rsidRDefault="003614BA" w:rsidP="003614BA">
            <w:pPr>
              <w:spacing w:line="240" w:lineRule="exact"/>
              <w:jc w:val="center"/>
              <w:outlineLvl w:val="1"/>
            </w:pPr>
            <w:r w:rsidRPr="00702EC1">
              <w:t>Accession Number</w:t>
            </w:r>
          </w:p>
          <w:p w14:paraId="153AC35C" w14:textId="77777777" w:rsidR="003614BA" w:rsidRPr="00702EC1" w:rsidRDefault="003614BA" w:rsidP="003614BA">
            <w:pPr>
              <w:spacing w:line="240" w:lineRule="exact"/>
              <w:jc w:val="center"/>
              <w:outlineLvl w:val="1"/>
            </w:pPr>
            <w:r w:rsidRPr="00702EC1">
              <w:t>Issue Date</w:t>
            </w:r>
          </w:p>
          <w:p w14:paraId="3FB87B3A" w14:textId="0A655480" w:rsidR="003614BA" w:rsidRDefault="003614BA" w:rsidP="003614BA">
            <w:pPr>
              <w:autoSpaceDE/>
              <w:autoSpaceDN/>
              <w:adjustRightInd/>
              <w:rPr>
                <w:color w:val="000000"/>
              </w:rPr>
            </w:pPr>
            <w:r w:rsidRPr="00702EC1">
              <w:t>Change Notice</w:t>
            </w:r>
          </w:p>
        </w:tc>
        <w:tc>
          <w:tcPr>
            <w:tcW w:w="4912" w:type="dxa"/>
            <w:tcBorders>
              <w:top w:val="single" w:sz="6" w:space="0" w:color="000000"/>
              <w:left w:val="single" w:sz="6" w:space="0" w:color="000000"/>
              <w:bottom w:val="single" w:sz="6" w:space="0" w:color="000000"/>
              <w:right w:val="single" w:sz="6" w:space="0" w:color="000000"/>
            </w:tcBorders>
          </w:tcPr>
          <w:p w14:paraId="6C676F31" w14:textId="77777777" w:rsidR="003614BA" w:rsidRPr="00702EC1" w:rsidRDefault="003614BA" w:rsidP="003614BA">
            <w:pPr>
              <w:spacing w:line="240" w:lineRule="exact"/>
              <w:jc w:val="center"/>
              <w:outlineLvl w:val="1"/>
            </w:pPr>
            <w:r w:rsidRPr="00702EC1">
              <w:t>Description of Change</w:t>
            </w:r>
          </w:p>
          <w:p w14:paraId="235C3292" w14:textId="57218996" w:rsidR="003614BA" w:rsidRPr="003614BA" w:rsidRDefault="003614BA" w:rsidP="003614BA">
            <w:r w:rsidRPr="00702EC1">
              <w:tab/>
            </w:r>
          </w:p>
        </w:tc>
        <w:tc>
          <w:tcPr>
            <w:tcW w:w="2070" w:type="dxa"/>
            <w:tcBorders>
              <w:top w:val="single" w:sz="6" w:space="0" w:color="000000"/>
              <w:left w:val="single" w:sz="6" w:space="0" w:color="000000"/>
              <w:bottom w:val="single" w:sz="6" w:space="0" w:color="000000"/>
              <w:right w:val="single" w:sz="6" w:space="0" w:color="000000"/>
            </w:tcBorders>
          </w:tcPr>
          <w:p w14:paraId="230CBDFE" w14:textId="3CA810CA" w:rsidR="003614BA" w:rsidRPr="00702EC1" w:rsidRDefault="003614BA" w:rsidP="003614BA">
            <w:r w:rsidRPr="00702EC1">
              <w:t>Description of Training Required and Completion Date</w:t>
            </w:r>
          </w:p>
        </w:tc>
        <w:tc>
          <w:tcPr>
            <w:tcW w:w="2700" w:type="dxa"/>
            <w:tcBorders>
              <w:top w:val="single" w:sz="6" w:space="0" w:color="000000"/>
              <w:left w:val="single" w:sz="6" w:space="0" w:color="000000"/>
              <w:bottom w:val="single" w:sz="6" w:space="0" w:color="000000"/>
              <w:right w:val="single" w:sz="6" w:space="0" w:color="000000"/>
            </w:tcBorders>
          </w:tcPr>
          <w:p w14:paraId="3AE18088" w14:textId="1698F24C" w:rsidR="003614BA" w:rsidRDefault="003614BA" w:rsidP="003614BA">
            <w:pPr>
              <w:outlineLvl w:val="1"/>
            </w:pPr>
            <w:r w:rsidRPr="00702EC1">
              <w:t xml:space="preserve">Comment </w:t>
            </w:r>
            <w:r>
              <w:t xml:space="preserve">Resolution </w:t>
            </w:r>
            <w:r w:rsidRPr="00702EC1">
              <w:t xml:space="preserve">and </w:t>
            </w:r>
            <w:r>
              <w:t xml:space="preserve">Closed </w:t>
            </w:r>
            <w:r w:rsidRPr="00702EC1">
              <w:t xml:space="preserve">Feedback </w:t>
            </w:r>
            <w:r>
              <w:t xml:space="preserve">Form </w:t>
            </w:r>
            <w:r w:rsidRPr="00702EC1">
              <w:t xml:space="preserve">Accession Number (Pre-Decisional, Non-Public Information) </w:t>
            </w:r>
          </w:p>
        </w:tc>
      </w:tr>
      <w:tr w:rsidR="003614BA" w:rsidRPr="00702EC1" w14:paraId="48F22C67" w14:textId="77777777" w:rsidTr="00702EC1">
        <w:trPr>
          <w:trHeight w:val="892"/>
        </w:trPr>
        <w:tc>
          <w:tcPr>
            <w:tcW w:w="1852" w:type="dxa"/>
            <w:tcBorders>
              <w:top w:val="single" w:sz="6" w:space="0" w:color="000000"/>
              <w:left w:val="single" w:sz="6" w:space="0" w:color="000000"/>
              <w:bottom w:val="single" w:sz="6" w:space="0" w:color="000000"/>
              <w:right w:val="single" w:sz="6" w:space="0" w:color="000000"/>
            </w:tcBorders>
          </w:tcPr>
          <w:p w14:paraId="61A5713E" w14:textId="3FFDD910" w:rsidR="003614BA" w:rsidRPr="00702EC1" w:rsidRDefault="003614BA" w:rsidP="003614BA">
            <w:pPr>
              <w:spacing w:line="240" w:lineRule="exact"/>
              <w:outlineLvl w:val="1"/>
            </w:pPr>
            <w:r>
              <w:t>N/A</w:t>
            </w:r>
          </w:p>
        </w:tc>
        <w:tc>
          <w:tcPr>
            <w:tcW w:w="1928" w:type="dxa"/>
            <w:tcBorders>
              <w:top w:val="single" w:sz="6" w:space="0" w:color="000000"/>
              <w:left w:val="single" w:sz="6" w:space="0" w:color="000000"/>
              <w:bottom w:val="single" w:sz="6" w:space="0" w:color="000000"/>
              <w:right w:val="single" w:sz="6" w:space="0" w:color="000000"/>
            </w:tcBorders>
          </w:tcPr>
          <w:p w14:paraId="33F99169" w14:textId="77777777" w:rsidR="003614BA" w:rsidRDefault="003614BA" w:rsidP="003614BA">
            <w:pPr>
              <w:autoSpaceDE/>
              <w:autoSpaceDN/>
              <w:adjustRightInd/>
              <w:rPr>
                <w:color w:val="000000"/>
              </w:rPr>
            </w:pPr>
            <w:r>
              <w:rPr>
                <w:color w:val="000000"/>
              </w:rPr>
              <w:t>ML17286A290</w:t>
            </w:r>
          </w:p>
          <w:p w14:paraId="084C4430" w14:textId="77777777" w:rsidR="00000A87" w:rsidRDefault="00000A87" w:rsidP="003614BA">
            <w:pPr>
              <w:autoSpaceDE/>
              <w:autoSpaceDN/>
              <w:adjustRightInd/>
              <w:rPr>
                <w:color w:val="000000"/>
              </w:rPr>
            </w:pPr>
            <w:r>
              <w:rPr>
                <w:color w:val="000000"/>
              </w:rPr>
              <w:t>12/21/17</w:t>
            </w:r>
          </w:p>
          <w:p w14:paraId="22F64598" w14:textId="7193CEFB" w:rsidR="00000A87" w:rsidRPr="00702EC1" w:rsidRDefault="00000A87" w:rsidP="003614BA">
            <w:pPr>
              <w:autoSpaceDE/>
              <w:autoSpaceDN/>
              <w:adjustRightInd/>
              <w:rPr>
                <w:color w:val="000000"/>
              </w:rPr>
            </w:pPr>
            <w:r>
              <w:rPr>
                <w:color w:val="000000"/>
              </w:rPr>
              <w:t>CN 17-031</w:t>
            </w:r>
          </w:p>
        </w:tc>
        <w:tc>
          <w:tcPr>
            <w:tcW w:w="4912" w:type="dxa"/>
            <w:tcBorders>
              <w:top w:val="single" w:sz="6" w:space="0" w:color="000000"/>
              <w:left w:val="single" w:sz="6" w:space="0" w:color="000000"/>
              <w:bottom w:val="single" w:sz="6" w:space="0" w:color="000000"/>
              <w:right w:val="single" w:sz="6" w:space="0" w:color="000000"/>
            </w:tcBorders>
          </w:tcPr>
          <w:p w14:paraId="0D9E4496" w14:textId="0572A5D7" w:rsidR="003614BA" w:rsidRPr="003614BA" w:rsidRDefault="003614BA" w:rsidP="003614BA">
            <w:r w:rsidRPr="003614BA">
              <w:t>Major editorial revision of IP 71124.06.</w:t>
            </w:r>
          </w:p>
          <w:p w14:paraId="29ACC301" w14:textId="4CC46EC7" w:rsidR="003614BA" w:rsidRPr="003614BA" w:rsidRDefault="003614BA" w:rsidP="003614BA">
            <w:r w:rsidRPr="003614BA">
              <w:t>Inspection Bases was updated to reference applicable regulations.  Guidance added to address sample quality assurance in response to ROPFF 71124.06-1639.</w:t>
            </w:r>
          </w:p>
          <w:p w14:paraId="1A50D29E" w14:textId="77777777" w:rsidR="003614BA" w:rsidRPr="003614BA" w:rsidRDefault="003614BA" w:rsidP="003614BA"/>
          <w:p w14:paraId="75FEEEAD" w14:textId="08A87345" w:rsidR="003614BA" w:rsidRPr="003614BA" w:rsidRDefault="003614BA" w:rsidP="003614BA">
            <w:r w:rsidRPr="003614BA">
              <w:t>Section 02 was audited and modified to move guidance to Section 03 and to concisely state actions necessary to complete each requirement</w:t>
            </w:r>
          </w:p>
          <w:p w14:paraId="50175410" w14:textId="77777777" w:rsidR="003614BA" w:rsidRPr="003614BA" w:rsidRDefault="003614BA" w:rsidP="003614BA"/>
          <w:p w14:paraId="17FFC13D" w14:textId="77777777" w:rsidR="003614BA" w:rsidRPr="003614BA" w:rsidRDefault="003614BA" w:rsidP="003614BA">
            <w:r w:rsidRPr="003614BA">
              <w:t>Modified 02.04 to add requirement for inspectors to review rad monitor calculations used to establish EAL thresholds in response to ROPFF 71124.06-2237. Reduced 02.02.a to 2-3 from 3-5.</w:t>
            </w:r>
          </w:p>
          <w:p w14:paraId="49A4F190" w14:textId="77777777" w:rsidR="003614BA" w:rsidRPr="003614BA" w:rsidRDefault="003614BA" w:rsidP="003614BA"/>
          <w:p w14:paraId="3E167A3B" w14:textId="77777777" w:rsidR="003614BA" w:rsidRDefault="003614BA" w:rsidP="003614BA">
            <w:r w:rsidRPr="003614BA">
              <w:t>Moved requirement to review results of inter-lab comparison to 71124.05 (02.02.a.2)</w:t>
            </w:r>
            <w:r w:rsidR="000C6245">
              <w:t>.</w:t>
            </w:r>
          </w:p>
          <w:p w14:paraId="07A029FC" w14:textId="77777777" w:rsidR="000C6245" w:rsidRDefault="000C6245" w:rsidP="003614BA"/>
          <w:p w14:paraId="5CD8AB8A" w14:textId="6C1EF5A9" w:rsidR="000C6245" w:rsidRPr="000C6245" w:rsidRDefault="000C6245" w:rsidP="003614BA">
            <w:pPr>
              <w:rPr>
                <w:rFonts w:asciiTheme="minorHAnsi" w:eastAsiaTheme="minorHAnsi" w:hAnsiTheme="minorHAnsi" w:cstheme="minorBidi"/>
              </w:rPr>
            </w:pPr>
            <w:r>
              <w:t>PI&amp;R was transitioned from an independent sample to a requirement that would be completed as part of each sample.  Guidance section updated to reflect resource estimates for routine review of PI&amp;R activities per IP 71152 Section 04.01.</w:t>
            </w:r>
          </w:p>
        </w:tc>
        <w:tc>
          <w:tcPr>
            <w:tcW w:w="2070" w:type="dxa"/>
            <w:tcBorders>
              <w:top w:val="single" w:sz="6" w:space="0" w:color="000000"/>
              <w:left w:val="single" w:sz="6" w:space="0" w:color="000000"/>
              <w:bottom w:val="single" w:sz="6" w:space="0" w:color="000000"/>
              <w:right w:val="single" w:sz="6" w:space="0" w:color="000000"/>
            </w:tcBorders>
          </w:tcPr>
          <w:p w14:paraId="3992063C" w14:textId="77777777" w:rsidR="003614BA" w:rsidRPr="00702EC1" w:rsidRDefault="003614BA" w:rsidP="003614BA">
            <w:r w:rsidRPr="00702EC1">
              <w:t>Verbal discussion of changes during 2017 HP Counterpart meeting, 09/06/2017</w:t>
            </w:r>
          </w:p>
          <w:p w14:paraId="7F39A65E" w14:textId="77777777" w:rsidR="003614BA" w:rsidRPr="00702EC1" w:rsidRDefault="003614BA" w:rsidP="003614BA">
            <w:pPr>
              <w:spacing w:line="240" w:lineRule="exact"/>
              <w:outlineLvl w:val="1"/>
            </w:pPr>
          </w:p>
        </w:tc>
        <w:tc>
          <w:tcPr>
            <w:tcW w:w="2700" w:type="dxa"/>
            <w:tcBorders>
              <w:top w:val="single" w:sz="6" w:space="0" w:color="000000"/>
              <w:left w:val="single" w:sz="6" w:space="0" w:color="000000"/>
              <w:bottom w:val="single" w:sz="6" w:space="0" w:color="000000"/>
              <w:right w:val="single" w:sz="6" w:space="0" w:color="000000"/>
            </w:tcBorders>
          </w:tcPr>
          <w:p w14:paraId="5062F3DB" w14:textId="77777777" w:rsidR="003614BA" w:rsidRDefault="003614BA" w:rsidP="003614BA">
            <w:pPr>
              <w:outlineLvl w:val="1"/>
            </w:pPr>
            <w:r>
              <w:t>ML17300A475</w:t>
            </w:r>
          </w:p>
          <w:p w14:paraId="3AC55DDF" w14:textId="77777777" w:rsidR="003614BA" w:rsidRDefault="003614BA" w:rsidP="003614BA">
            <w:pPr>
              <w:outlineLvl w:val="1"/>
            </w:pPr>
          </w:p>
          <w:p w14:paraId="74686FAD" w14:textId="77777777" w:rsidR="003614BA" w:rsidRDefault="003614BA" w:rsidP="003614BA">
            <w:pPr>
              <w:outlineLvl w:val="1"/>
            </w:pPr>
            <w:r>
              <w:t>Closed FBFs:</w:t>
            </w:r>
          </w:p>
          <w:p w14:paraId="36C379E2" w14:textId="77777777" w:rsidR="003614BA" w:rsidRDefault="003614BA" w:rsidP="003614BA">
            <w:pPr>
              <w:outlineLvl w:val="1"/>
            </w:pPr>
          </w:p>
          <w:p w14:paraId="40AF193D" w14:textId="4E786DD7" w:rsidR="003614BA" w:rsidRDefault="003614BA" w:rsidP="003614BA">
            <w:pPr>
              <w:outlineLvl w:val="1"/>
            </w:pPr>
            <w:r>
              <w:t>71124.06-1639</w:t>
            </w:r>
          </w:p>
          <w:p w14:paraId="2CE90318" w14:textId="6F0E9AD7" w:rsidR="003614BA" w:rsidRDefault="003614BA" w:rsidP="003614BA">
            <w:pPr>
              <w:outlineLvl w:val="1"/>
            </w:pPr>
            <w:r w:rsidRPr="00F3489A">
              <w:t>ML</w:t>
            </w:r>
            <w:r>
              <w:t>17300B385</w:t>
            </w:r>
          </w:p>
          <w:p w14:paraId="176DD718" w14:textId="77777777" w:rsidR="003614BA" w:rsidRDefault="003614BA" w:rsidP="003614BA">
            <w:pPr>
              <w:outlineLvl w:val="1"/>
            </w:pPr>
          </w:p>
          <w:p w14:paraId="04F318BD" w14:textId="77777777" w:rsidR="00273092" w:rsidRDefault="00273092" w:rsidP="003614BA">
            <w:pPr>
              <w:outlineLvl w:val="1"/>
            </w:pPr>
            <w:r>
              <w:t>71124.06-1743</w:t>
            </w:r>
          </w:p>
          <w:p w14:paraId="524543F7" w14:textId="1C7344DE" w:rsidR="00273092" w:rsidRDefault="00273092" w:rsidP="003614BA">
            <w:pPr>
              <w:outlineLvl w:val="1"/>
            </w:pPr>
            <w:r>
              <w:t>ML17300B383</w:t>
            </w:r>
          </w:p>
          <w:p w14:paraId="7D08B644" w14:textId="77777777" w:rsidR="00273092" w:rsidRDefault="00273092" w:rsidP="003614BA">
            <w:pPr>
              <w:outlineLvl w:val="1"/>
            </w:pPr>
          </w:p>
          <w:p w14:paraId="0427AC7F" w14:textId="7D1AB847" w:rsidR="003614BA" w:rsidRDefault="003614BA" w:rsidP="003614BA">
            <w:pPr>
              <w:outlineLvl w:val="1"/>
            </w:pPr>
            <w:r>
              <w:t>71124.06-2237</w:t>
            </w:r>
          </w:p>
          <w:p w14:paraId="61B07129" w14:textId="1E572FEE" w:rsidR="003614BA" w:rsidRPr="00702EC1" w:rsidRDefault="003614BA" w:rsidP="003614BA">
            <w:pPr>
              <w:outlineLvl w:val="1"/>
            </w:pPr>
            <w:r w:rsidRPr="00F3489A">
              <w:t>ML</w:t>
            </w:r>
            <w:r>
              <w:t>17300B384</w:t>
            </w:r>
          </w:p>
        </w:tc>
      </w:tr>
    </w:tbl>
    <w:p w14:paraId="664EF19E" w14:textId="77777777" w:rsidR="0042145D" w:rsidRDefault="0042145D">
      <w:pPr>
        <w:sectPr w:rsidR="0042145D" w:rsidSect="003614BA">
          <w:footerReference w:type="default" r:id="rId14"/>
          <w:pgSz w:w="15838" w:h="12238" w:orient="landscape"/>
          <w:pgMar w:top="1440" w:right="1440" w:bottom="1440" w:left="1440" w:header="720" w:footer="720" w:gutter="0"/>
          <w:cols w:space="720"/>
          <w:noEndnote/>
          <w:docGrid w:linePitch="326"/>
        </w:sectPr>
      </w:pPr>
    </w:p>
    <w:p w14:paraId="60A908D4" w14:textId="77777777" w:rsidR="0042145D" w:rsidRDefault="0042145D"/>
    <w:tbl>
      <w:tblPr>
        <w:tblW w:w="13462" w:type="dxa"/>
        <w:tblInd w:w="120" w:type="dxa"/>
        <w:tblLayout w:type="fixed"/>
        <w:tblCellMar>
          <w:left w:w="120" w:type="dxa"/>
          <w:right w:w="120" w:type="dxa"/>
        </w:tblCellMar>
        <w:tblLook w:val="0000" w:firstRow="0" w:lastRow="0" w:firstColumn="0" w:lastColumn="0" w:noHBand="0" w:noVBand="0"/>
      </w:tblPr>
      <w:tblGrid>
        <w:gridCol w:w="1852"/>
        <w:gridCol w:w="1928"/>
        <w:gridCol w:w="4912"/>
        <w:gridCol w:w="2070"/>
        <w:gridCol w:w="2700"/>
      </w:tblGrid>
      <w:tr w:rsidR="0042145D" w:rsidRPr="00702EC1" w14:paraId="7699A227" w14:textId="77777777" w:rsidTr="00222377">
        <w:trPr>
          <w:cantSplit/>
          <w:trHeight w:val="892"/>
        </w:trPr>
        <w:tc>
          <w:tcPr>
            <w:tcW w:w="1852" w:type="dxa"/>
            <w:tcBorders>
              <w:top w:val="single" w:sz="6" w:space="0" w:color="000000"/>
              <w:left w:val="single" w:sz="6" w:space="0" w:color="000000"/>
              <w:bottom w:val="single" w:sz="6" w:space="0" w:color="000000"/>
              <w:right w:val="single" w:sz="6" w:space="0" w:color="000000"/>
            </w:tcBorders>
          </w:tcPr>
          <w:p w14:paraId="1C077F95" w14:textId="28F23AF7" w:rsidR="0042145D" w:rsidRDefault="0042145D" w:rsidP="0042145D">
            <w:pPr>
              <w:spacing w:line="240" w:lineRule="exact"/>
              <w:outlineLvl w:val="1"/>
            </w:pPr>
            <w:r w:rsidRPr="00702EC1">
              <w:t>Commitment Tracking Number</w:t>
            </w:r>
          </w:p>
        </w:tc>
        <w:tc>
          <w:tcPr>
            <w:tcW w:w="1928" w:type="dxa"/>
            <w:tcBorders>
              <w:top w:val="single" w:sz="6" w:space="0" w:color="000000"/>
              <w:left w:val="single" w:sz="6" w:space="0" w:color="000000"/>
              <w:bottom w:val="single" w:sz="6" w:space="0" w:color="000000"/>
              <w:right w:val="single" w:sz="6" w:space="0" w:color="000000"/>
            </w:tcBorders>
          </w:tcPr>
          <w:p w14:paraId="6FCCD57E" w14:textId="77777777" w:rsidR="0042145D" w:rsidRPr="00702EC1" w:rsidRDefault="0042145D" w:rsidP="0042145D">
            <w:pPr>
              <w:spacing w:line="240" w:lineRule="exact"/>
              <w:jc w:val="center"/>
              <w:outlineLvl w:val="1"/>
            </w:pPr>
            <w:r w:rsidRPr="00702EC1">
              <w:t>Accession Number</w:t>
            </w:r>
          </w:p>
          <w:p w14:paraId="202732B8" w14:textId="77777777" w:rsidR="0042145D" w:rsidRPr="00702EC1" w:rsidRDefault="0042145D" w:rsidP="0042145D">
            <w:pPr>
              <w:spacing w:line="240" w:lineRule="exact"/>
              <w:jc w:val="center"/>
              <w:outlineLvl w:val="1"/>
            </w:pPr>
            <w:r w:rsidRPr="00702EC1">
              <w:t>Issue Date</w:t>
            </w:r>
          </w:p>
          <w:p w14:paraId="66B6335F" w14:textId="1AD17EB5" w:rsidR="0042145D" w:rsidRPr="00104A65" w:rsidRDefault="0042145D" w:rsidP="0042145D">
            <w:pPr>
              <w:autoSpaceDE/>
              <w:autoSpaceDN/>
              <w:adjustRightInd/>
            </w:pPr>
            <w:r w:rsidRPr="00702EC1">
              <w:t>Change Notice</w:t>
            </w:r>
          </w:p>
        </w:tc>
        <w:tc>
          <w:tcPr>
            <w:tcW w:w="4912" w:type="dxa"/>
            <w:tcBorders>
              <w:top w:val="single" w:sz="6" w:space="0" w:color="000000"/>
              <w:left w:val="single" w:sz="6" w:space="0" w:color="000000"/>
              <w:bottom w:val="single" w:sz="6" w:space="0" w:color="000000"/>
              <w:right w:val="single" w:sz="6" w:space="0" w:color="000000"/>
            </w:tcBorders>
          </w:tcPr>
          <w:p w14:paraId="71F6B2A1" w14:textId="77777777" w:rsidR="0042145D" w:rsidRPr="00702EC1" w:rsidRDefault="0042145D" w:rsidP="0042145D">
            <w:pPr>
              <w:spacing w:line="240" w:lineRule="exact"/>
              <w:jc w:val="center"/>
              <w:outlineLvl w:val="1"/>
            </w:pPr>
            <w:r w:rsidRPr="00702EC1">
              <w:t>Description of Change</w:t>
            </w:r>
          </w:p>
          <w:p w14:paraId="76DD9ED9" w14:textId="202FB244" w:rsidR="0042145D" w:rsidRPr="00A33606" w:rsidRDefault="0042145D" w:rsidP="0042145D">
            <w:r w:rsidRPr="00702EC1">
              <w:tab/>
            </w:r>
          </w:p>
        </w:tc>
        <w:tc>
          <w:tcPr>
            <w:tcW w:w="2070" w:type="dxa"/>
            <w:tcBorders>
              <w:top w:val="single" w:sz="6" w:space="0" w:color="000000"/>
              <w:left w:val="single" w:sz="6" w:space="0" w:color="000000"/>
              <w:bottom w:val="single" w:sz="6" w:space="0" w:color="000000"/>
              <w:right w:val="single" w:sz="6" w:space="0" w:color="000000"/>
            </w:tcBorders>
          </w:tcPr>
          <w:p w14:paraId="2F23D4C8" w14:textId="60D6A435" w:rsidR="0042145D" w:rsidRPr="00104A65" w:rsidRDefault="0042145D" w:rsidP="0042145D">
            <w:r w:rsidRPr="00702EC1">
              <w:t>Description of Training Required and Completion Date</w:t>
            </w:r>
          </w:p>
        </w:tc>
        <w:tc>
          <w:tcPr>
            <w:tcW w:w="2700" w:type="dxa"/>
            <w:tcBorders>
              <w:top w:val="single" w:sz="6" w:space="0" w:color="000000"/>
              <w:left w:val="single" w:sz="6" w:space="0" w:color="000000"/>
              <w:bottom w:val="single" w:sz="6" w:space="0" w:color="000000"/>
              <w:right w:val="single" w:sz="6" w:space="0" w:color="000000"/>
            </w:tcBorders>
          </w:tcPr>
          <w:p w14:paraId="0CA6D081" w14:textId="2566665D" w:rsidR="0042145D" w:rsidRDefault="0042145D" w:rsidP="0042145D">
            <w:pPr>
              <w:outlineLvl w:val="1"/>
            </w:pPr>
            <w:r w:rsidRPr="00702EC1">
              <w:t xml:space="preserve">Comment </w:t>
            </w:r>
            <w:r>
              <w:t xml:space="preserve">Resolution </w:t>
            </w:r>
            <w:r w:rsidRPr="00702EC1">
              <w:t xml:space="preserve">and </w:t>
            </w:r>
            <w:r>
              <w:t xml:space="preserve">Closed </w:t>
            </w:r>
            <w:r w:rsidRPr="00702EC1">
              <w:t xml:space="preserve">Feedback </w:t>
            </w:r>
            <w:r>
              <w:t xml:space="preserve">Form </w:t>
            </w:r>
            <w:r w:rsidRPr="00702EC1">
              <w:t xml:space="preserve">Accession Number (Pre-Decisional, Non-Public Information) </w:t>
            </w:r>
          </w:p>
        </w:tc>
      </w:tr>
      <w:tr w:rsidR="005F4D3F" w:rsidRPr="00702EC1" w14:paraId="672FCB04" w14:textId="77777777" w:rsidTr="00222377">
        <w:trPr>
          <w:cantSplit/>
          <w:trHeight w:val="892"/>
        </w:trPr>
        <w:tc>
          <w:tcPr>
            <w:tcW w:w="1852" w:type="dxa"/>
            <w:tcBorders>
              <w:top w:val="single" w:sz="6" w:space="0" w:color="000000"/>
              <w:left w:val="single" w:sz="6" w:space="0" w:color="000000"/>
              <w:bottom w:val="single" w:sz="6" w:space="0" w:color="000000"/>
              <w:right w:val="single" w:sz="6" w:space="0" w:color="000000"/>
            </w:tcBorders>
          </w:tcPr>
          <w:p w14:paraId="284A9929" w14:textId="5F46906B" w:rsidR="005F4D3F" w:rsidRDefault="00176D7C" w:rsidP="006207FA">
            <w:pPr>
              <w:spacing w:line="240" w:lineRule="exact"/>
              <w:outlineLvl w:val="1"/>
            </w:pPr>
            <w:r>
              <w:t>N/A</w:t>
            </w:r>
          </w:p>
        </w:tc>
        <w:tc>
          <w:tcPr>
            <w:tcW w:w="1928" w:type="dxa"/>
            <w:tcBorders>
              <w:top w:val="single" w:sz="6" w:space="0" w:color="000000"/>
              <w:left w:val="single" w:sz="6" w:space="0" w:color="000000"/>
              <w:bottom w:val="single" w:sz="6" w:space="0" w:color="000000"/>
              <w:right w:val="single" w:sz="6" w:space="0" w:color="000000"/>
            </w:tcBorders>
          </w:tcPr>
          <w:p w14:paraId="66FE0086" w14:textId="77777777" w:rsidR="0042145D" w:rsidRDefault="005F4D3F" w:rsidP="0042145D">
            <w:pPr>
              <w:autoSpaceDE/>
              <w:autoSpaceDN/>
              <w:adjustRightInd/>
            </w:pPr>
            <w:r w:rsidRPr="00104A65">
              <w:t>ML</w:t>
            </w:r>
            <w:r w:rsidR="00104A65" w:rsidRPr="00104A65">
              <w:t>19253C913</w:t>
            </w:r>
          </w:p>
          <w:p w14:paraId="18ED18DA" w14:textId="23BEBA4E" w:rsidR="00C202DB" w:rsidRPr="003B22BC" w:rsidRDefault="0042145D" w:rsidP="0042145D">
            <w:pPr>
              <w:autoSpaceDE/>
              <w:autoSpaceDN/>
              <w:adjustRightInd/>
            </w:pPr>
            <w:r>
              <w:t>03/04</w:t>
            </w:r>
            <w:r w:rsidR="00C202DB" w:rsidRPr="003B22BC">
              <w:t>/20</w:t>
            </w:r>
          </w:p>
          <w:p w14:paraId="50E27E61" w14:textId="18B10A77" w:rsidR="00C202DB" w:rsidRPr="00104A65" w:rsidRDefault="00C202DB" w:rsidP="00C202DB">
            <w:pPr>
              <w:autoSpaceDE/>
              <w:autoSpaceDN/>
              <w:adjustRightInd/>
              <w:rPr>
                <w:color w:val="000000"/>
              </w:rPr>
            </w:pPr>
            <w:r w:rsidRPr="003B22BC">
              <w:t>CN 20-</w:t>
            </w:r>
            <w:r w:rsidR="0042145D">
              <w:t>014</w:t>
            </w:r>
          </w:p>
        </w:tc>
        <w:tc>
          <w:tcPr>
            <w:tcW w:w="4912" w:type="dxa"/>
            <w:tcBorders>
              <w:top w:val="single" w:sz="6" w:space="0" w:color="000000"/>
              <w:left w:val="single" w:sz="6" w:space="0" w:color="000000"/>
              <w:bottom w:val="single" w:sz="6" w:space="0" w:color="000000"/>
              <w:right w:val="single" w:sz="6" w:space="0" w:color="000000"/>
            </w:tcBorders>
          </w:tcPr>
          <w:p w14:paraId="221F9230" w14:textId="75AD5AA5" w:rsidR="005F4D3F" w:rsidRPr="00A33606" w:rsidRDefault="005F4D3F" w:rsidP="005F4D3F">
            <w:r w:rsidRPr="00A33606">
              <w:t>Major editorial revisions of IP 71124.06 to conform with IMC 0040 formatting guidance</w:t>
            </w:r>
          </w:p>
          <w:p w14:paraId="3037FDFA" w14:textId="77777777" w:rsidR="005F4D3F" w:rsidRDefault="005F4D3F" w:rsidP="005F4D3F">
            <w:pPr>
              <w:rPr>
                <w:highlight w:val="yellow"/>
              </w:rPr>
            </w:pPr>
          </w:p>
          <w:p w14:paraId="34222F90" w14:textId="77777777" w:rsidR="00222377" w:rsidRPr="002A01A8" w:rsidRDefault="00222377" w:rsidP="00222377">
            <w:r>
              <w:t xml:space="preserve">Moved </w:t>
            </w:r>
            <w:r w:rsidRPr="00B237BD">
              <w:t>Effluent Monitoring Calibration and Testing Program Sample</w:t>
            </w:r>
            <w:r>
              <w:t xml:space="preserve"> from IP 71124.06 to IP 71124.05 along with 6 inspection hours. </w:t>
            </w:r>
          </w:p>
          <w:p w14:paraId="3CA0B488" w14:textId="77777777" w:rsidR="005F4D3F" w:rsidRDefault="005F4D3F" w:rsidP="005F4D3F"/>
          <w:p w14:paraId="1C1729D4" w14:textId="311F3123" w:rsidR="006207FA" w:rsidRPr="003614BA" w:rsidRDefault="006207FA" w:rsidP="005F4D3F">
            <w:r>
              <w:t>This revision also adjusts the inspection frequency from biennial to triennial.</w:t>
            </w:r>
            <w:r w:rsidR="00176D7C">
              <w:t xml:space="preserve">  Notified the Commission of this change in accordance with Management Directive 8.13, “Reactor Oversight Process” January </w:t>
            </w:r>
            <w:r w:rsidR="00E15450">
              <w:t>31</w:t>
            </w:r>
            <w:r w:rsidR="00176D7C">
              <w:t>, 2020 (ML19317D673 [Non-public])</w:t>
            </w:r>
          </w:p>
        </w:tc>
        <w:tc>
          <w:tcPr>
            <w:tcW w:w="2070" w:type="dxa"/>
            <w:tcBorders>
              <w:top w:val="single" w:sz="6" w:space="0" w:color="000000"/>
              <w:left w:val="single" w:sz="6" w:space="0" w:color="000000"/>
              <w:bottom w:val="single" w:sz="6" w:space="0" w:color="000000"/>
              <w:right w:val="single" w:sz="6" w:space="0" w:color="000000"/>
            </w:tcBorders>
          </w:tcPr>
          <w:p w14:paraId="6F171EAF" w14:textId="2FE6B1FB" w:rsidR="005F4D3F" w:rsidRPr="00104A65" w:rsidRDefault="005F4D3F" w:rsidP="005F4D3F">
            <w:r w:rsidRPr="00104A65">
              <w:t xml:space="preserve">Verbal discussion of changes during 2019 HP Counterpart </w:t>
            </w:r>
            <w:r w:rsidR="00104A65" w:rsidRPr="00104A65">
              <w:t>M</w:t>
            </w:r>
            <w:r w:rsidRPr="00104A65">
              <w:t>eeting</w:t>
            </w:r>
            <w:r w:rsidR="00104A65" w:rsidRPr="00104A65">
              <w:t>.</w:t>
            </w:r>
          </w:p>
          <w:p w14:paraId="4046B9C2" w14:textId="299D4758" w:rsidR="00104A65" w:rsidRPr="00104A65" w:rsidRDefault="00104A65" w:rsidP="005F4D3F">
            <w:r w:rsidRPr="00104A65">
              <w:t>09/04/2019</w:t>
            </w:r>
          </w:p>
          <w:p w14:paraId="3FAC74A5" w14:textId="77777777" w:rsidR="005F4D3F" w:rsidRPr="00104A65" w:rsidRDefault="005F4D3F" w:rsidP="005F4D3F"/>
        </w:tc>
        <w:tc>
          <w:tcPr>
            <w:tcW w:w="2700" w:type="dxa"/>
            <w:tcBorders>
              <w:top w:val="single" w:sz="6" w:space="0" w:color="000000"/>
              <w:left w:val="single" w:sz="6" w:space="0" w:color="000000"/>
              <w:bottom w:val="single" w:sz="6" w:space="0" w:color="000000"/>
              <w:right w:val="single" w:sz="6" w:space="0" w:color="000000"/>
            </w:tcBorders>
          </w:tcPr>
          <w:p w14:paraId="5603B47C" w14:textId="25EB411A" w:rsidR="005F4D3F" w:rsidRDefault="00A6534F" w:rsidP="005F4D3F">
            <w:pPr>
              <w:outlineLvl w:val="1"/>
            </w:pPr>
            <w:r>
              <w:t>ML19253C930</w:t>
            </w:r>
          </w:p>
        </w:tc>
      </w:tr>
    </w:tbl>
    <w:p w14:paraId="544784DD" w14:textId="464D3EE9" w:rsidR="00F14482" w:rsidRPr="00543287" w:rsidRDefault="00F14482" w:rsidP="00D647B0">
      <w:pPr>
        <w:tabs>
          <w:tab w:val="left" w:pos="-1440"/>
        </w:tabs>
      </w:pPr>
    </w:p>
    <w:p w14:paraId="56C0FAA9" w14:textId="77777777" w:rsidR="00887BBB" w:rsidRPr="00543287" w:rsidRDefault="00887BBB" w:rsidP="00D647B0">
      <w:pPr>
        <w:tabs>
          <w:tab w:val="left" w:pos="-1440"/>
        </w:tabs>
      </w:pPr>
    </w:p>
    <w:sectPr w:rsidR="00887BBB" w:rsidRPr="00543287" w:rsidSect="003614BA">
      <w:footerReference w:type="default" r:id="rId15"/>
      <w:pgSz w:w="15838" w:h="12238"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FCA4E" w14:textId="77777777" w:rsidR="00EB68C8" w:rsidRDefault="00EB68C8">
      <w:r>
        <w:separator/>
      </w:r>
    </w:p>
    <w:p w14:paraId="2320B9C0" w14:textId="77777777" w:rsidR="00EB68C8" w:rsidRDefault="00EB68C8"/>
  </w:endnote>
  <w:endnote w:type="continuationSeparator" w:id="0">
    <w:p w14:paraId="6881D4CA" w14:textId="77777777" w:rsidR="00EB68C8" w:rsidRDefault="00EB68C8">
      <w:r>
        <w:continuationSeparator/>
      </w:r>
    </w:p>
    <w:p w14:paraId="57CD2804" w14:textId="77777777" w:rsidR="00EB68C8" w:rsidRDefault="00EB6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C97E" w14:textId="77777777" w:rsidR="00A2637D" w:rsidRDefault="00A2637D" w:rsidP="000F57B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BBBDB0" w14:textId="77777777" w:rsidR="00A2637D" w:rsidRDefault="00A2637D" w:rsidP="000F5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4EA2" w14:textId="03B835BE" w:rsidR="00A2637D" w:rsidRPr="003614BA" w:rsidRDefault="00A2637D" w:rsidP="00E278C7">
    <w:pPr>
      <w:pStyle w:val="Footer"/>
      <w:tabs>
        <w:tab w:val="clear" w:pos="4320"/>
        <w:tab w:val="clear" w:pos="8640"/>
        <w:tab w:val="center" w:pos="5040"/>
        <w:tab w:val="right" w:pos="9358"/>
      </w:tabs>
    </w:pPr>
    <w:r w:rsidRPr="003614BA">
      <w:t xml:space="preserve">Issue Date:  </w:t>
    </w:r>
    <w:r w:rsidR="0042145D">
      <w:t>03/04/20</w:t>
    </w:r>
    <w:r w:rsidRPr="003614BA">
      <w:tab/>
    </w:r>
    <w:r w:rsidRPr="003614BA">
      <w:fldChar w:fldCharType="begin"/>
    </w:r>
    <w:r w:rsidRPr="003614BA">
      <w:instrText xml:space="preserve"> PAGE   \* MERGEFORMAT </w:instrText>
    </w:r>
    <w:r w:rsidRPr="003614BA">
      <w:fldChar w:fldCharType="separate"/>
    </w:r>
    <w:r>
      <w:rPr>
        <w:noProof/>
      </w:rPr>
      <w:t>11</w:t>
    </w:r>
    <w:r w:rsidRPr="003614BA">
      <w:fldChar w:fldCharType="end"/>
    </w:r>
    <w:r w:rsidRPr="003614BA">
      <w:tab/>
      <w:t>71124.06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149D" w14:textId="0C46B466" w:rsidR="00A2637D" w:rsidRDefault="00A2637D" w:rsidP="00491831">
    <w:pPr>
      <w:pStyle w:val="Footer"/>
      <w:tabs>
        <w:tab w:val="clear" w:pos="4320"/>
        <w:tab w:val="clear" w:pos="8640"/>
        <w:tab w:val="center" w:pos="6480"/>
        <w:tab w:val="right" w:pos="12958"/>
      </w:tabs>
    </w:pPr>
    <w:r>
      <w:t xml:space="preserve">Issue Date:  </w:t>
    </w:r>
    <w:r w:rsidR="0042145D">
      <w:t>03/04/20</w:t>
    </w:r>
    <w:r>
      <w:tab/>
      <w:t>Att1-1</w:t>
    </w:r>
    <w:r>
      <w:tab/>
      <w:t>71124.06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A852" w14:textId="3A7BBDDC" w:rsidR="00A2637D" w:rsidRDefault="00A2637D" w:rsidP="00491831">
    <w:pPr>
      <w:pStyle w:val="Footer"/>
      <w:tabs>
        <w:tab w:val="clear" w:pos="4320"/>
        <w:tab w:val="clear" w:pos="8640"/>
        <w:tab w:val="center" w:pos="6480"/>
        <w:tab w:val="right" w:pos="12958"/>
      </w:tabs>
    </w:pPr>
    <w:r>
      <w:t xml:space="preserve">Issue Date:  </w:t>
    </w:r>
    <w:r w:rsidR="0042145D">
      <w:t>03/04/20</w:t>
    </w:r>
    <w:r>
      <w:tab/>
      <w:t>Att1-2</w:t>
    </w:r>
    <w:r>
      <w:tab/>
      <w:t>71124.06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B3ED1" w14:textId="2C2F0FFB" w:rsidR="0042145D" w:rsidRDefault="0042145D" w:rsidP="00491831">
    <w:pPr>
      <w:pStyle w:val="Footer"/>
      <w:tabs>
        <w:tab w:val="clear" w:pos="4320"/>
        <w:tab w:val="clear" w:pos="8640"/>
        <w:tab w:val="center" w:pos="6480"/>
        <w:tab w:val="right" w:pos="12958"/>
      </w:tabs>
    </w:pPr>
    <w:r>
      <w:t>Issue Date:  03/04/20</w:t>
    </w:r>
    <w:r>
      <w:tab/>
      <w:t>Att1-3</w:t>
    </w:r>
    <w:r>
      <w:tab/>
      <w:t>71124.06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0F9A" w14:textId="77777777" w:rsidR="00EB68C8" w:rsidRDefault="00EB68C8">
      <w:r>
        <w:separator/>
      </w:r>
    </w:p>
    <w:p w14:paraId="62497709" w14:textId="77777777" w:rsidR="00EB68C8" w:rsidRDefault="00EB68C8"/>
  </w:footnote>
  <w:footnote w:type="continuationSeparator" w:id="0">
    <w:p w14:paraId="408DC938" w14:textId="77777777" w:rsidR="00EB68C8" w:rsidRDefault="00EB68C8">
      <w:r>
        <w:continuationSeparator/>
      </w:r>
    </w:p>
    <w:p w14:paraId="1A6D33C0" w14:textId="77777777" w:rsidR="00EB68C8" w:rsidRDefault="00EB68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Custo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Custo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Custom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Custom6"/>
    <w:lvl w:ilvl="0">
      <w:start w:val="1"/>
      <w:numFmt w:val="lowerLetter"/>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Custo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Custom12"/>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Custom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Custom14"/>
    <w:lvl w:ilvl="0">
      <w:start w:val="1"/>
      <w:numFmt w:val="lowerLetter"/>
      <w:lvlText w:val="%1."/>
      <w:lvlJc w:val="left"/>
    </w:lvl>
    <w:lvl w:ilvl="1">
      <w:start w:val="1"/>
      <w:numFmt w:val="lowerRoman"/>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Custom14"/>
    <w:lvl w:ilvl="0">
      <w:start w:val="1"/>
      <w:numFmt w:val="lowerLetter"/>
      <w:lvlText w:val="%1."/>
      <w:lvlJc w:val="left"/>
    </w:lvl>
    <w:lvl w:ilvl="1">
      <w:start w:val="1"/>
      <w:numFmt w:val="lowerRoman"/>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3E100FF"/>
    <w:multiLevelType w:val="hybridMultilevel"/>
    <w:tmpl w:val="5DA28EF2"/>
    <w:lvl w:ilvl="0" w:tplc="E6AAB586">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1" w15:restartNumberingAfterBreak="0">
    <w:nsid w:val="0E1457AF"/>
    <w:multiLevelType w:val="hybridMultilevel"/>
    <w:tmpl w:val="4B6838D6"/>
    <w:lvl w:ilvl="0" w:tplc="03A2B57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4250C"/>
    <w:multiLevelType w:val="hybridMultilevel"/>
    <w:tmpl w:val="7A32395E"/>
    <w:lvl w:ilvl="0" w:tplc="45E8698C">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E45F00"/>
    <w:multiLevelType w:val="hybridMultilevel"/>
    <w:tmpl w:val="57B2C6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F77FC5"/>
    <w:multiLevelType w:val="hybridMultilevel"/>
    <w:tmpl w:val="1404328E"/>
    <w:lvl w:ilvl="0" w:tplc="F3D03A7E">
      <w:start w:val="1"/>
      <w:numFmt w:val="decimal"/>
      <w:lvlText w:val="%1."/>
      <w:lvlJc w:val="left"/>
      <w:pPr>
        <w:ind w:left="1167" w:hanging="360"/>
      </w:pPr>
      <w:rPr>
        <w:rFonts w:ascii="Arial" w:hAnsi="Arial" w:cs="Arial"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5" w15:restartNumberingAfterBreak="0">
    <w:nsid w:val="15D95841"/>
    <w:multiLevelType w:val="hybridMultilevel"/>
    <w:tmpl w:val="19B6B978"/>
    <w:lvl w:ilvl="0" w:tplc="024EDD12">
      <w:start w:val="1"/>
      <w:numFmt w:val="lowerLetter"/>
      <w:lvlText w:val="%1."/>
      <w:lvlJc w:val="left"/>
      <w:pPr>
        <w:ind w:left="792" w:hanging="360"/>
      </w:pPr>
      <w:rPr>
        <w:rFonts w:ascii="Arial" w:hAnsi="Aria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1A47515B"/>
    <w:multiLevelType w:val="hybridMultilevel"/>
    <w:tmpl w:val="A7FA957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F342B8"/>
    <w:multiLevelType w:val="hybridMultilevel"/>
    <w:tmpl w:val="3EA0F27C"/>
    <w:lvl w:ilvl="0" w:tplc="024EDD12">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B0156E"/>
    <w:multiLevelType w:val="hybridMultilevel"/>
    <w:tmpl w:val="6F823C5C"/>
    <w:lvl w:ilvl="0" w:tplc="04090019">
      <w:start w:val="2"/>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A327FE"/>
    <w:multiLevelType w:val="multilevel"/>
    <w:tmpl w:val="33C696FC"/>
    <w:lvl w:ilvl="0">
      <w:start w:val="2"/>
      <w:numFmt w:val="decimalZero"/>
      <w:lvlText w:val="%1"/>
      <w:lvlJc w:val="left"/>
      <w:pPr>
        <w:tabs>
          <w:tab w:val="num" w:pos="840"/>
        </w:tabs>
        <w:ind w:left="840" w:hanging="840"/>
      </w:pPr>
      <w:rPr>
        <w:rFonts w:hint="default"/>
        <w:u w:val="none"/>
      </w:rPr>
    </w:lvl>
    <w:lvl w:ilvl="1">
      <w:start w:val="1"/>
      <w:numFmt w:val="decimalZero"/>
      <w:lvlText w:val="%1.%2"/>
      <w:lvlJc w:val="left"/>
      <w:pPr>
        <w:tabs>
          <w:tab w:val="num" w:pos="840"/>
        </w:tabs>
        <w:ind w:left="840" w:hanging="840"/>
      </w:pPr>
      <w:rPr>
        <w:rFonts w:ascii="Arial" w:hAnsi="Arial" w:hint="default"/>
        <w:u w:val="none"/>
      </w:rPr>
    </w:lvl>
    <w:lvl w:ilvl="2">
      <w:start w:val="1"/>
      <w:numFmt w:val="decimal"/>
      <w:lvlText w:val="%1.%2.%3"/>
      <w:lvlJc w:val="left"/>
      <w:pPr>
        <w:tabs>
          <w:tab w:val="num" w:pos="840"/>
        </w:tabs>
        <w:ind w:left="840" w:hanging="84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0" w15:restartNumberingAfterBreak="0">
    <w:nsid w:val="25112C83"/>
    <w:multiLevelType w:val="hybridMultilevel"/>
    <w:tmpl w:val="64C692A6"/>
    <w:lvl w:ilvl="0" w:tplc="BEE4A66E">
      <w:start w:val="1"/>
      <w:numFmt w:val="lowerLetter"/>
      <w:lvlText w:val="%1."/>
      <w:lvlJc w:val="left"/>
      <w:pPr>
        <w:ind w:left="814" w:hanging="540"/>
      </w:pPr>
      <w:rPr>
        <w:rFonts w:ascii="Arial" w:hAnsi="Arial" w:hint="default"/>
        <w:sz w:val="22"/>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35FA6F43"/>
    <w:multiLevelType w:val="hybridMultilevel"/>
    <w:tmpl w:val="CB762A10"/>
    <w:lvl w:ilvl="0" w:tplc="1EA04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36459"/>
    <w:multiLevelType w:val="hybridMultilevel"/>
    <w:tmpl w:val="ED70A27E"/>
    <w:lvl w:ilvl="0" w:tplc="523C48CA">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3AFF12AD"/>
    <w:multiLevelType w:val="hybridMultilevel"/>
    <w:tmpl w:val="21FAB82E"/>
    <w:lvl w:ilvl="0" w:tplc="479C842A">
      <w:start w:val="1"/>
      <w:numFmt w:val="decimal"/>
      <w:pStyle w:val="0201a1"/>
      <w:lvlText w:val="%1."/>
      <w:lvlJc w:val="left"/>
      <w:pPr>
        <w:tabs>
          <w:tab w:val="num" w:pos="1152"/>
        </w:tabs>
        <w:ind w:left="1152" w:hanging="360"/>
      </w:pPr>
    </w:lvl>
    <w:lvl w:ilvl="1" w:tplc="40CC4DDA">
      <w:start w:val="1"/>
      <w:numFmt w:val="decimal"/>
      <w:lvlText w:val="%2)"/>
      <w:lvlJc w:val="left"/>
      <w:pPr>
        <w:tabs>
          <w:tab w:val="num" w:pos="1872"/>
        </w:tabs>
        <w:ind w:left="1872" w:hanging="360"/>
      </w:pPr>
      <w:rPr>
        <w:rFonts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0F">
      <w:start w:val="1"/>
      <w:numFmt w:val="decimal"/>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4" w15:restartNumberingAfterBreak="0">
    <w:nsid w:val="4264469A"/>
    <w:multiLevelType w:val="hybridMultilevel"/>
    <w:tmpl w:val="CB54F21E"/>
    <w:lvl w:ilvl="0" w:tplc="06B6D34C">
      <w:start w:val="1"/>
      <w:numFmt w:val="lowerLetter"/>
      <w:lvlText w:val="%1."/>
      <w:lvlJc w:val="left"/>
      <w:pPr>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38C1C2F"/>
    <w:multiLevelType w:val="hybridMultilevel"/>
    <w:tmpl w:val="A41AF4CC"/>
    <w:lvl w:ilvl="0" w:tplc="E1AC11A0">
      <w:start w:val="2"/>
      <w:numFmt w:val="lowerLetter"/>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FC0798"/>
    <w:multiLevelType w:val="hybridMultilevel"/>
    <w:tmpl w:val="21AAED5E"/>
    <w:lvl w:ilvl="0" w:tplc="0409000F">
      <w:start w:val="1"/>
      <w:numFmt w:val="decimal"/>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AC659DC"/>
    <w:multiLevelType w:val="multilevel"/>
    <w:tmpl w:val="97C4B302"/>
    <w:lvl w:ilvl="0">
      <w:start w:val="1"/>
      <w:numFmt w:val="lowerLetter"/>
      <w:pStyle w:val="pa"/>
      <w:lvlText w:val="%1."/>
      <w:lvlJc w:val="left"/>
      <w:pPr>
        <w:tabs>
          <w:tab w:val="num" w:pos="806"/>
        </w:tabs>
        <w:ind w:left="806" w:hanging="5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1440" w:hanging="634"/>
      </w:pPr>
      <w:rPr>
        <w:rFonts w:ascii="Arial" w:hAnsi="Arial" w:cs="Times New Roman" w:hint="default"/>
        <w:b w:val="0"/>
        <w:i w:val="0"/>
        <w:sz w:val="22"/>
        <w:szCs w:val="24"/>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10080"/>
        </w:tabs>
        <w:ind w:left="10080" w:hanging="4320"/>
      </w:pPr>
    </w:lvl>
  </w:abstractNum>
  <w:abstractNum w:abstractNumId="28" w15:restartNumberingAfterBreak="0">
    <w:nsid w:val="4CE77880"/>
    <w:multiLevelType w:val="hybridMultilevel"/>
    <w:tmpl w:val="55A298D2"/>
    <w:lvl w:ilvl="0" w:tplc="0409000F">
      <w:start w:val="1"/>
      <w:numFmt w:val="decimal"/>
      <w:lvlText w:val="%1."/>
      <w:lvlJc w:val="left"/>
      <w:pPr>
        <w:tabs>
          <w:tab w:val="num" w:pos="720"/>
        </w:tabs>
        <w:ind w:left="720" w:hanging="360"/>
      </w:pPr>
    </w:lvl>
    <w:lvl w:ilvl="1" w:tplc="1EA0443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006AAA"/>
    <w:multiLevelType w:val="hybridMultilevel"/>
    <w:tmpl w:val="6FA81314"/>
    <w:lvl w:ilvl="0" w:tplc="34B09EE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F1F56"/>
    <w:multiLevelType w:val="hybridMultilevel"/>
    <w:tmpl w:val="AF4C6784"/>
    <w:lvl w:ilvl="0" w:tplc="63B48B6C">
      <w:start w:val="1"/>
      <w:numFmt w:val="decimal"/>
      <w:lvlText w:val="%1."/>
      <w:lvlJc w:val="left"/>
      <w:pPr>
        <w:ind w:left="1167" w:hanging="360"/>
      </w:pPr>
      <w:rPr>
        <w:rFonts w:hint="default"/>
      </w:rPr>
    </w:lvl>
    <w:lvl w:ilvl="1" w:tplc="8FBCB932">
      <w:start w:val="1"/>
      <w:numFmt w:val="lowerLetter"/>
      <w:lvlText w:val="%2."/>
      <w:lvlJc w:val="left"/>
      <w:pPr>
        <w:ind w:left="1962" w:hanging="435"/>
      </w:pPr>
      <w:rPr>
        <w:rFonts w:hint="default"/>
      </w:r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1" w15:restartNumberingAfterBreak="0">
    <w:nsid w:val="53EB1E20"/>
    <w:multiLevelType w:val="hybridMultilevel"/>
    <w:tmpl w:val="7910BE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F23F55"/>
    <w:multiLevelType w:val="hybridMultilevel"/>
    <w:tmpl w:val="247040A8"/>
    <w:lvl w:ilvl="0" w:tplc="DA7A30DE">
      <w:start w:val="1"/>
      <w:numFmt w:val="low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B47090"/>
    <w:multiLevelType w:val="hybridMultilevel"/>
    <w:tmpl w:val="264EC838"/>
    <w:lvl w:ilvl="0" w:tplc="ED6AC27C">
      <w:start w:val="3"/>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CA29A9"/>
    <w:multiLevelType w:val="hybridMultilevel"/>
    <w:tmpl w:val="CFD83BA2"/>
    <w:lvl w:ilvl="0" w:tplc="024EDD12">
      <w:start w:val="1"/>
      <w:numFmt w:val="lowerLetter"/>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E82DB4"/>
    <w:multiLevelType w:val="hybridMultilevel"/>
    <w:tmpl w:val="E5523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CC2D00"/>
    <w:multiLevelType w:val="hybridMultilevel"/>
    <w:tmpl w:val="3EA0F27C"/>
    <w:lvl w:ilvl="0" w:tplc="024EDD12">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0041A2"/>
    <w:multiLevelType w:val="multilevel"/>
    <w:tmpl w:val="2DA2E45E"/>
    <w:lvl w:ilvl="0">
      <w:start w:val="3"/>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6A306C"/>
    <w:multiLevelType w:val="hybridMultilevel"/>
    <w:tmpl w:val="DBD2C7D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B9C0ED9"/>
    <w:multiLevelType w:val="hybridMultilevel"/>
    <w:tmpl w:val="A8902408"/>
    <w:lvl w:ilvl="0" w:tplc="0409000F">
      <w:start w:val="1"/>
      <w:numFmt w:val="decimal"/>
      <w:lvlText w:val="%1."/>
      <w:lvlJc w:val="left"/>
      <w:pPr>
        <w:ind w:left="1548" w:hanging="360"/>
      </w:pPr>
    </w:lvl>
    <w:lvl w:ilvl="1" w:tplc="04090019">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0" w15:restartNumberingAfterBreak="0">
    <w:nsid w:val="710A60C1"/>
    <w:multiLevelType w:val="hybridMultilevel"/>
    <w:tmpl w:val="440E63C8"/>
    <w:lvl w:ilvl="0" w:tplc="6A78F5BE">
      <w:start w:val="1"/>
      <w:numFmt w:val="lowerLetter"/>
      <w:pStyle w:val="lowercaseletter"/>
      <w:lvlText w:val="%1."/>
      <w:lvlJc w:val="left"/>
      <w:pPr>
        <w:tabs>
          <w:tab w:val="num" w:pos="2114"/>
        </w:tabs>
        <w:ind w:left="2114" w:hanging="360"/>
      </w:pPr>
      <w:rPr>
        <w:rFonts w:hint="default"/>
      </w:rPr>
    </w:lvl>
    <w:lvl w:ilvl="1" w:tplc="0409000F">
      <w:start w:val="1"/>
      <w:numFmt w:val="decimal"/>
      <w:lvlText w:val="%2."/>
      <w:lvlJc w:val="left"/>
      <w:pPr>
        <w:tabs>
          <w:tab w:val="num" w:pos="3690"/>
        </w:tabs>
        <w:ind w:left="3690" w:hanging="360"/>
      </w:pPr>
      <w:rPr>
        <w:rFonts w:hint="default"/>
      </w:rPr>
    </w:lvl>
    <w:lvl w:ilvl="2" w:tplc="0409001B">
      <w:start w:val="1"/>
      <w:numFmt w:val="lowerRoman"/>
      <w:lvlText w:val="%3."/>
      <w:lvlJc w:val="right"/>
      <w:pPr>
        <w:tabs>
          <w:tab w:val="num" w:pos="3670"/>
        </w:tabs>
        <w:ind w:left="3670" w:hanging="180"/>
      </w:pPr>
    </w:lvl>
    <w:lvl w:ilvl="3" w:tplc="0409000F">
      <w:start w:val="1"/>
      <w:numFmt w:val="decimal"/>
      <w:lvlText w:val="%4."/>
      <w:lvlJc w:val="left"/>
      <w:pPr>
        <w:tabs>
          <w:tab w:val="num" w:pos="4390"/>
        </w:tabs>
        <w:ind w:left="4390" w:hanging="360"/>
      </w:pPr>
      <w:rPr>
        <w:rFonts w:hint="default"/>
      </w:rPr>
    </w:lvl>
    <w:lvl w:ilvl="4" w:tplc="04090019" w:tentative="1">
      <w:start w:val="1"/>
      <w:numFmt w:val="lowerLetter"/>
      <w:lvlText w:val="%5."/>
      <w:lvlJc w:val="left"/>
      <w:pPr>
        <w:tabs>
          <w:tab w:val="num" w:pos="5110"/>
        </w:tabs>
        <w:ind w:left="5110" w:hanging="360"/>
      </w:pPr>
    </w:lvl>
    <w:lvl w:ilvl="5" w:tplc="0409001B" w:tentative="1">
      <w:start w:val="1"/>
      <w:numFmt w:val="lowerRoman"/>
      <w:lvlText w:val="%6."/>
      <w:lvlJc w:val="right"/>
      <w:pPr>
        <w:tabs>
          <w:tab w:val="num" w:pos="5830"/>
        </w:tabs>
        <w:ind w:left="5830" w:hanging="180"/>
      </w:pPr>
    </w:lvl>
    <w:lvl w:ilvl="6" w:tplc="0409000F" w:tentative="1">
      <w:start w:val="1"/>
      <w:numFmt w:val="decimal"/>
      <w:lvlText w:val="%7."/>
      <w:lvlJc w:val="left"/>
      <w:pPr>
        <w:tabs>
          <w:tab w:val="num" w:pos="6550"/>
        </w:tabs>
        <w:ind w:left="6550" w:hanging="360"/>
      </w:pPr>
    </w:lvl>
    <w:lvl w:ilvl="7" w:tplc="04090019" w:tentative="1">
      <w:start w:val="1"/>
      <w:numFmt w:val="lowerLetter"/>
      <w:lvlText w:val="%8."/>
      <w:lvlJc w:val="left"/>
      <w:pPr>
        <w:tabs>
          <w:tab w:val="num" w:pos="7270"/>
        </w:tabs>
        <w:ind w:left="7270" w:hanging="360"/>
      </w:pPr>
    </w:lvl>
    <w:lvl w:ilvl="8" w:tplc="0409001B" w:tentative="1">
      <w:start w:val="1"/>
      <w:numFmt w:val="lowerRoman"/>
      <w:lvlText w:val="%9."/>
      <w:lvlJc w:val="right"/>
      <w:pPr>
        <w:tabs>
          <w:tab w:val="num" w:pos="7990"/>
        </w:tabs>
        <w:ind w:left="7990" w:hanging="180"/>
      </w:pPr>
    </w:lvl>
  </w:abstractNum>
  <w:abstractNum w:abstractNumId="41" w15:restartNumberingAfterBreak="0">
    <w:nsid w:val="71CC5F45"/>
    <w:multiLevelType w:val="multilevel"/>
    <w:tmpl w:val="E07E00D4"/>
    <w:lvl w:ilvl="0">
      <w:start w:val="3"/>
      <w:numFmt w:val="decimalZero"/>
      <w:lvlText w:val="%1"/>
      <w:lvlJc w:val="left"/>
      <w:pPr>
        <w:tabs>
          <w:tab w:val="num" w:pos="870"/>
        </w:tabs>
        <w:ind w:left="870" w:hanging="870"/>
      </w:pPr>
      <w:rPr>
        <w:rFonts w:hint="default"/>
        <w:u w:val="none"/>
      </w:rPr>
    </w:lvl>
    <w:lvl w:ilvl="1">
      <w:start w:val="1"/>
      <w:numFmt w:val="decimalZero"/>
      <w:lvlText w:val="%1.%2"/>
      <w:lvlJc w:val="left"/>
      <w:pPr>
        <w:tabs>
          <w:tab w:val="num" w:pos="870"/>
        </w:tabs>
        <w:ind w:left="870" w:hanging="870"/>
      </w:pPr>
      <w:rPr>
        <w:rFonts w:hint="default"/>
        <w:u w:val="none"/>
      </w:rPr>
    </w:lvl>
    <w:lvl w:ilvl="2">
      <w:start w:val="1"/>
      <w:numFmt w:val="decimal"/>
      <w:lvlText w:val="%1.%2.%3"/>
      <w:lvlJc w:val="left"/>
      <w:pPr>
        <w:tabs>
          <w:tab w:val="num" w:pos="870"/>
        </w:tabs>
        <w:ind w:left="870" w:hanging="87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2" w15:restartNumberingAfterBreak="0">
    <w:nsid w:val="743C711F"/>
    <w:multiLevelType w:val="hybridMultilevel"/>
    <w:tmpl w:val="0AD025D4"/>
    <w:lvl w:ilvl="0" w:tplc="024EDD12">
      <w:start w:val="1"/>
      <w:numFmt w:val="lowerLetter"/>
      <w:lvlText w:val="%1."/>
      <w:lvlJc w:val="left"/>
      <w:pPr>
        <w:ind w:left="792" w:hanging="360"/>
      </w:pPr>
      <w:rPr>
        <w:rFonts w:ascii="Arial" w:hAnsi="Aria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765E567F"/>
    <w:multiLevelType w:val="hybridMultilevel"/>
    <w:tmpl w:val="14C41D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B004F2"/>
    <w:multiLevelType w:val="hybridMultilevel"/>
    <w:tmpl w:val="AD08B7F2"/>
    <w:lvl w:ilvl="0" w:tplc="0409000F">
      <w:start w:val="1"/>
      <w:numFmt w:val="decimal"/>
      <w:lvlText w:val="%1."/>
      <w:lvlJc w:val="left"/>
      <w:pPr>
        <w:tabs>
          <w:tab w:val="num" w:pos="720"/>
        </w:tabs>
        <w:ind w:left="720" w:hanging="360"/>
      </w:pPr>
    </w:lvl>
    <w:lvl w:ilvl="1" w:tplc="40CC4D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000309"/>
    <w:multiLevelType w:val="hybridMultilevel"/>
    <w:tmpl w:val="DBD2C7D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7B7120"/>
    <w:multiLevelType w:val="multilevel"/>
    <w:tmpl w:val="48624DE4"/>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115B42"/>
    <w:multiLevelType w:val="multilevel"/>
    <w:tmpl w:val="92DA3376"/>
    <w:lvl w:ilvl="0">
      <w:start w:val="2"/>
      <w:numFmt w:val="decimalZero"/>
      <w:lvlText w:val="%1"/>
      <w:lvlJc w:val="left"/>
      <w:pPr>
        <w:tabs>
          <w:tab w:val="num" w:pos="870"/>
        </w:tabs>
        <w:ind w:left="870" w:hanging="870"/>
      </w:pPr>
      <w:rPr>
        <w:rFonts w:hint="default"/>
        <w:color w:val="auto"/>
      </w:rPr>
    </w:lvl>
    <w:lvl w:ilvl="1">
      <w:start w:val="7"/>
      <w:numFmt w:val="decimalZero"/>
      <w:lvlText w:val="%1.%2"/>
      <w:lvlJc w:val="left"/>
      <w:pPr>
        <w:tabs>
          <w:tab w:val="num" w:pos="870"/>
        </w:tabs>
        <w:ind w:left="870" w:hanging="870"/>
      </w:pPr>
      <w:rPr>
        <w:rFonts w:hint="default"/>
        <w:color w:val="auto"/>
      </w:rPr>
    </w:lvl>
    <w:lvl w:ilvl="2">
      <w:start w:val="1"/>
      <w:numFmt w:val="decimal"/>
      <w:lvlText w:val="%1.%2.%3"/>
      <w:lvlJc w:val="left"/>
      <w:pPr>
        <w:tabs>
          <w:tab w:val="num" w:pos="870"/>
        </w:tabs>
        <w:ind w:left="870" w:hanging="87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40"/>
  </w:num>
  <w:num w:numId="2">
    <w:abstractNumId w:val="19"/>
  </w:num>
  <w:num w:numId="3">
    <w:abstractNumId w:val="47"/>
  </w:num>
  <w:num w:numId="4">
    <w:abstractNumId w:val="18"/>
  </w:num>
  <w:num w:numId="5">
    <w:abstractNumId w:val="41"/>
  </w:num>
  <w:num w:numId="6">
    <w:abstractNumId w:val="32"/>
  </w:num>
  <w:num w:numId="7">
    <w:abstractNumId w:val="45"/>
  </w:num>
  <w:num w:numId="8">
    <w:abstractNumId w:val="25"/>
  </w:num>
  <w:num w:numId="9">
    <w:abstractNumId w:val="13"/>
  </w:num>
  <w:num w:numId="10">
    <w:abstractNumId w:val="44"/>
  </w:num>
  <w:num w:numId="11">
    <w:abstractNumId w:val="12"/>
  </w:num>
  <w:num w:numId="12">
    <w:abstractNumId w:val="31"/>
  </w:num>
  <w:num w:numId="13">
    <w:abstractNumId w:val="44"/>
    <w:lvlOverride w:ilvl="0">
      <w:startOverride w:val="1"/>
    </w:lvlOverride>
  </w:num>
  <w:num w:numId="14">
    <w:abstractNumId w:val="23"/>
  </w:num>
  <w:num w:numId="15">
    <w:abstractNumId w:val="22"/>
  </w:num>
  <w:num w:numId="16">
    <w:abstractNumId w:val="37"/>
  </w:num>
  <w:num w:numId="17">
    <w:abstractNumId w:val="30"/>
  </w:num>
  <w:num w:numId="18">
    <w:abstractNumId w:val="23"/>
  </w:num>
  <w:num w:numId="19">
    <w:abstractNumId w:val="16"/>
  </w:num>
  <w:num w:numId="20">
    <w:abstractNumId w:val="20"/>
  </w:num>
  <w:num w:numId="21">
    <w:abstractNumId w:val="35"/>
  </w:num>
  <w:num w:numId="22">
    <w:abstractNumId w:val="28"/>
  </w:num>
  <w:num w:numId="23">
    <w:abstractNumId w:val="24"/>
  </w:num>
  <w:num w:numId="24">
    <w:abstractNumId w:val="34"/>
  </w:num>
  <w:num w:numId="25">
    <w:abstractNumId w:val="15"/>
  </w:num>
  <w:num w:numId="26">
    <w:abstractNumId w:val="33"/>
  </w:num>
  <w:num w:numId="27">
    <w:abstractNumId w:val="36"/>
  </w:num>
  <w:num w:numId="28">
    <w:abstractNumId w:val="46"/>
  </w:num>
  <w:num w:numId="29">
    <w:abstractNumId w:val="38"/>
  </w:num>
  <w:num w:numId="30">
    <w:abstractNumId w:val="14"/>
  </w:num>
  <w:num w:numId="31">
    <w:abstractNumId w:val="10"/>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9"/>
  </w:num>
  <w:num w:numId="36">
    <w:abstractNumId w:val="11"/>
  </w:num>
  <w:num w:numId="37">
    <w:abstractNumId w:val="23"/>
  </w:num>
  <w:num w:numId="38">
    <w:abstractNumId w:val="39"/>
  </w:num>
  <w:num w:numId="39">
    <w:abstractNumId w:val="26"/>
  </w:num>
  <w:num w:numId="40">
    <w:abstractNumId w:val="43"/>
  </w:num>
  <w:num w:numId="41">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32"/>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851"/>
    <w:rsid w:val="00000A87"/>
    <w:rsid w:val="00002012"/>
    <w:rsid w:val="00002D00"/>
    <w:rsid w:val="0000593B"/>
    <w:rsid w:val="0000791F"/>
    <w:rsid w:val="0001092F"/>
    <w:rsid w:val="00010E65"/>
    <w:rsid w:val="00011BB9"/>
    <w:rsid w:val="000137C9"/>
    <w:rsid w:val="000143B7"/>
    <w:rsid w:val="000144E2"/>
    <w:rsid w:val="00017FDD"/>
    <w:rsid w:val="00020398"/>
    <w:rsid w:val="00024823"/>
    <w:rsid w:val="00025E6A"/>
    <w:rsid w:val="00032CFB"/>
    <w:rsid w:val="000367C2"/>
    <w:rsid w:val="000419CA"/>
    <w:rsid w:val="00052A91"/>
    <w:rsid w:val="00052F80"/>
    <w:rsid w:val="00060BC4"/>
    <w:rsid w:val="000613FD"/>
    <w:rsid w:val="00063515"/>
    <w:rsid w:val="0007009C"/>
    <w:rsid w:val="00072005"/>
    <w:rsid w:val="00073F9E"/>
    <w:rsid w:val="00091D8F"/>
    <w:rsid w:val="00091E82"/>
    <w:rsid w:val="0009599C"/>
    <w:rsid w:val="000A5CFC"/>
    <w:rsid w:val="000B1BB3"/>
    <w:rsid w:val="000B549E"/>
    <w:rsid w:val="000C1EA8"/>
    <w:rsid w:val="000C6245"/>
    <w:rsid w:val="000D110D"/>
    <w:rsid w:val="000D6E8E"/>
    <w:rsid w:val="000D7660"/>
    <w:rsid w:val="000E1992"/>
    <w:rsid w:val="000E455C"/>
    <w:rsid w:val="000E583C"/>
    <w:rsid w:val="000E5FF2"/>
    <w:rsid w:val="000F0B27"/>
    <w:rsid w:val="000F3C71"/>
    <w:rsid w:val="000F57B0"/>
    <w:rsid w:val="000F5EF1"/>
    <w:rsid w:val="000F6EE8"/>
    <w:rsid w:val="00104A65"/>
    <w:rsid w:val="00110F93"/>
    <w:rsid w:val="0011381A"/>
    <w:rsid w:val="00120D20"/>
    <w:rsid w:val="00140AE3"/>
    <w:rsid w:val="0014223F"/>
    <w:rsid w:val="001424BE"/>
    <w:rsid w:val="00150C45"/>
    <w:rsid w:val="00150E90"/>
    <w:rsid w:val="00154EF0"/>
    <w:rsid w:val="00155B9B"/>
    <w:rsid w:val="001561FA"/>
    <w:rsid w:val="00156815"/>
    <w:rsid w:val="00160A34"/>
    <w:rsid w:val="00164161"/>
    <w:rsid w:val="001658E1"/>
    <w:rsid w:val="00170846"/>
    <w:rsid w:val="0017101B"/>
    <w:rsid w:val="001734B9"/>
    <w:rsid w:val="00173816"/>
    <w:rsid w:val="00176D7C"/>
    <w:rsid w:val="001771DC"/>
    <w:rsid w:val="0018233A"/>
    <w:rsid w:val="00182622"/>
    <w:rsid w:val="00182A5A"/>
    <w:rsid w:val="00187A53"/>
    <w:rsid w:val="00187B5F"/>
    <w:rsid w:val="00191387"/>
    <w:rsid w:val="00195106"/>
    <w:rsid w:val="001A2610"/>
    <w:rsid w:val="001A2FFF"/>
    <w:rsid w:val="001B07EE"/>
    <w:rsid w:val="001B2C25"/>
    <w:rsid w:val="001B355F"/>
    <w:rsid w:val="001B6468"/>
    <w:rsid w:val="001B6745"/>
    <w:rsid w:val="001C03EB"/>
    <w:rsid w:val="001C0DBC"/>
    <w:rsid w:val="001C1488"/>
    <w:rsid w:val="001C41D9"/>
    <w:rsid w:val="001C5319"/>
    <w:rsid w:val="001C5EB5"/>
    <w:rsid w:val="001D088D"/>
    <w:rsid w:val="001D1479"/>
    <w:rsid w:val="001D2019"/>
    <w:rsid w:val="001D5E8D"/>
    <w:rsid w:val="001E0220"/>
    <w:rsid w:val="001E4B1A"/>
    <w:rsid w:val="001E52B5"/>
    <w:rsid w:val="001F0A69"/>
    <w:rsid w:val="001F38D7"/>
    <w:rsid w:val="001F4C41"/>
    <w:rsid w:val="001F64CD"/>
    <w:rsid w:val="00200124"/>
    <w:rsid w:val="0020338B"/>
    <w:rsid w:val="00205996"/>
    <w:rsid w:val="002173E1"/>
    <w:rsid w:val="00217650"/>
    <w:rsid w:val="00220049"/>
    <w:rsid w:val="00220800"/>
    <w:rsid w:val="00221DAB"/>
    <w:rsid w:val="00222377"/>
    <w:rsid w:val="002350FA"/>
    <w:rsid w:val="002405F5"/>
    <w:rsid w:val="00243F67"/>
    <w:rsid w:val="0025160B"/>
    <w:rsid w:val="002624BF"/>
    <w:rsid w:val="00264301"/>
    <w:rsid w:val="0027277C"/>
    <w:rsid w:val="00273092"/>
    <w:rsid w:val="00286217"/>
    <w:rsid w:val="002935A1"/>
    <w:rsid w:val="002964D4"/>
    <w:rsid w:val="002A40BE"/>
    <w:rsid w:val="002B538D"/>
    <w:rsid w:val="002B539A"/>
    <w:rsid w:val="002C3101"/>
    <w:rsid w:val="002C6B90"/>
    <w:rsid w:val="002C7DAF"/>
    <w:rsid w:val="002D22F1"/>
    <w:rsid w:val="002D516F"/>
    <w:rsid w:val="002D5268"/>
    <w:rsid w:val="002E0945"/>
    <w:rsid w:val="002E1B65"/>
    <w:rsid w:val="002E7BA2"/>
    <w:rsid w:val="002F12AE"/>
    <w:rsid w:val="002F1875"/>
    <w:rsid w:val="002F68E9"/>
    <w:rsid w:val="0030208D"/>
    <w:rsid w:val="00303579"/>
    <w:rsid w:val="0030385C"/>
    <w:rsid w:val="00304F14"/>
    <w:rsid w:val="00306D1A"/>
    <w:rsid w:val="00307D55"/>
    <w:rsid w:val="00307D5C"/>
    <w:rsid w:val="00310A57"/>
    <w:rsid w:val="00313356"/>
    <w:rsid w:val="00316743"/>
    <w:rsid w:val="003227C6"/>
    <w:rsid w:val="00323F9D"/>
    <w:rsid w:val="00351F2C"/>
    <w:rsid w:val="0035478F"/>
    <w:rsid w:val="00355368"/>
    <w:rsid w:val="00357922"/>
    <w:rsid w:val="0036067B"/>
    <w:rsid w:val="00360C64"/>
    <w:rsid w:val="00360DB4"/>
    <w:rsid w:val="003614BA"/>
    <w:rsid w:val="0036237B"/>
    <w:rsid w:val="003679B5"/>
    <w:rsid w:val="0037026F"/>
    <w:rsid w:val="003730BA"/>
    <w:rsid w:val="003744D4"/>
    <w:rsid w:val="003819D1"/>
    <w:rsid w:val="00381A93"/>
    <w:rsid w:val="003853C2"/>
    <w:rsid w:val="003855D9"/>
    <w:rsid w:val="00385CCF"/>
    <w:rsid w:val="00386511"/>
    <w:rsid w:val="00391F28"/>
    <w:rsid w:val="0039224E"/>
    <w:rsid w:val="00392722"/>
    <w:rsid w:val="0039402C"/>
    <w:rsid w:val="00395CAB"/>
    <w:rsid w:val="003A210E"/>
    <w:rsid w:val="003A273C"/>
    <w:rsid w:val="003A5901"/>
    <w:rsid w:val="003A6724"/>
    <w:rsid w:val="003D1041"/>
    <w:rsid w:val="003D1E21"/>
    <w:rsid w:val="003D3DEC"/>
    <w:rsid w:val="003D4C09"/>
    <w:rsid w:val="003E6C28"/>
    <w:rsid w:val="003E7594"/>
    <w:rsid w:val="003E7F27"/>
    <w:rsid w:val="003F20A0"/>
    <w:rsid w:val="003F3116"/>
    <w:rsid w:val="003F36FA"/>
    <w:rsid w:val="003F6722"/>
    <w:rsid w:val="004055D8"/>
    <w:rsid w:val="00406997"/>
    <w:rsid w:val="00406F8D"/>
    <w:rsid w:val="00412B71"/>
    <w:rsid w:val="00412E06"/>
    <w:rsid w:val="0041528B"/>
    <w:rsid w:val="0041616B"/>
    <w:rsid w:val="0042145D"/>
    <w:rsid w:val="00423CD7"/>
    <w:rsid w:val="00425B24"/>
    <w:rsid w:val="004276D2"/>
    <w:rsid w:val="004304BA"/>
    <w:rsid w:val="00430732"/>
    <w:rsid w:val="00436909"/>
    <w:rsid w:val="004419AF"/>
    <w:rsid w:val="004467F8"/>
    <w:rsid w:val="004469AD"/>
    <w:rsid w:val="00452D1E"/>
    <w:rsid w:val="00454CD6"/>
    <w:rsid w:val="00457933"/>
    <w:rsid w:val="0046137D"/>
    <w:rsid w:val="00463D92"/>
    <w:rsid w:val="00467385"/>
    <w:rsid w:val="00467D65"/>
    <w:rsid w:val="00475459"/>
    <w:rsid w:val="00480595"/>
    <w:rsid w:val="0048076A"/>
    <w:rsid w:val="00481347"/>
    <w:rsid w:val="00481E26"/>
    <w:rsid w:val="00484460"/>
    <w:rsid w:val="004855A5"/>
    <w:rsid w:val="004906DB"/>
    <w:rsid w:val="00491831"/>
    <w:rsid w:val="00492EEE"/>
    <w:rsid w:val="004A19C7"/>
    <w:rsid w:val="004A37EC"/>
    <w:rsid w:val="004B4916"/>
    <w:rsid w:val="004B493C"/>
    <w:rsid w:val="004C486B"/>
    <w:rsid w:val="004C6A7A"/>
    <w:rsid w:val="004C7640"/>
    <w:rsid w:val="004D1C10"/>
    <w:rsid w:val="004D32BE"/>
    <w:rsid w:val="004D46BC"/>
    <w:rsid w:val="004D550A"/>
    <w:rsid w:val="004D7461"/>
    <w:rsid w:val="004D7BE6"/>
    <w:rsid w:val="004E258C"/>
    <w:rsid w:val="004E48F5"/>
    <w:rsid w:val="004E61AA"/>
    <w:rsid w:val="004E6EF0"/>
    <w:rsid w:val="004E72C5"/>
    <w:rsid w:val="004F061E"/>
    <w:rsid w:val="005006F8"/>
    <w:rsid w:val="0050259B"/>
    <w:rsid w:val="00505249"/>
    <w:rsid w:val="005052B1"/>
    <w:rsid w:val="005057C2"/>
    <w:rsid w:val="005061CC"/>
    <w:rsid w:val="00513511"/>
    <w:rsid w:val="005153F4"/>
    <w:rsid w:val="00517717"/>
    <w:rsid w:val="00521D1B"/>
    <w:rsid w:val="00522223"/>
    <w:rsid w:val="00522D94"/>
    <w:rsid w:val="00523850"/>
    <w:rsid w:val="00523A86"/>
    <w:rsid w:val="00525488"/>
    <w:rsid w:val="00531049"/>
    <w:rsid w:val="00531606"/>
    <w:rsid w:val="00531B51"/>
    <w:rsid w:val="005322EB"/>
    <w:rsid w:val="00536006"/>
    <w:rsid w:val="00543287"/>
    <w:rsid w:val="00546239"/>
    <w:rsid w:val="0055308D"/>
    <w:rsid w:val="00555F52"/>
    <w:rsid w:val="00560646"/>
    <w:rsid w:val="00561514"/>
    <w:rsid w:val="005623B2"/>
    <w:rsid w:val="00563236"/>
    <w:rsid w:val="005638B2"/>
    <w:rsid w:val="005702F7"/>
    <w:rsid w:val="00570CAC"/>
    <w:rsid w:val="005738E8"/>
    <w:rsid w:val="005767E0"/>
    <w:rsid w:val="00576B9B"/>
    <w:rsid w:val="00585287"/>
    <w:rsid w:val="00585C32"/>
    <w:rsid w:val="00585C56"/>
    <w:rsid w:val="00590A6D"/>
    <w:rsid w:val="00592998"/>
    <w:rsid w:val="0059368A"/>
    <w:rsid w:val="00594C5C"/>
    <w:rsid w:val="005A5400"/>
    <w:rsid w:val="005A5A3C"/>
    <w:rsid w:val="005B0852"/>
    <w:rsid w:val="005B17BC"/>
    <w:rsid w:val="005B493F"/>
    <w:rsid w:val="005B79F4"/>
    <w:rsid w:val="005C3121"/>
    <w:rsid w:val="005C3A5F"/>
    <w:rsid w:val="005C3C22"/>
    <w:rsid w:val="005C3ED4"/>
    <w:rsid w:val="005C6345"/>
    <w:rsid w:val="005D12EF"/>
    <w:rsid w:val="005D42D8"/>
    <w:rsid w:val="005E07A3"/>
    <w:rsid w:val="005E28CE"/>
    <w:rsid w:val="005E2D60"/>
    <w:rsid w:val="005E2F48"/>
    <w:rsid w:val="005E7239"/>
    <w:rsid w:val="005F0993"/>
    <w:rsid w:val="005F1830"/>
    <w:rsid w:val="005F23AF"/>
    <w:rsid w:val="005F2865"/>
    <w:rsid w:val="005F4D3F"/>
    <w:rsid w:val="005F74FE"/>
    <w:rsid w:val="006012BE"/>
    <w:rsid w:val="00604771"/>
    <w:rsid w:val="0060635A"/>
    <w:rsid w:val="0061001E"/>
    <w:rsid w:val="00613D0B"/>
    <w:rsid w:val="00614EE8"/>
    <w:rsid w:val="006161FD"/>
    <w:rsid w:val="00617EAA"/>
    <w:rsid w:val="006207FA"/>
    <w:rsid w:val="006226B0"/>
    <w:rsid w:val="00625849"/>
    <w:rsid w:val="00632E11"/>
    <w:rsid w:val="00633B97"/>
    <w:rsid w:val="00635412"/>
    <w:rsid w:val="00640A60"/>
    <w:rsid w:val="00647FB7"/>
    <w:rsid w:val="00667787"/>
    <w:rsid w:val="0067029B"/>
    <w:rsid w:val="00674964"/>
    <w:rsid w:val="00680C74"/>
    <w:rsid w:val="00683B27"/>
    <w:rsid w:val="00685D8B"/>
    <w:rsid w:val="00686B77"/>
    <w:rsid w:val="006900E5"/>
    <w:rsid w:val="00691F89"/>
    <w:rsid w:val="006A5C9C"/>
    <w:rsid w:val="006A6BB6"/>
    <w:rsid w:val="006D0E7A"/>
    <w:rsid w:val="006D2A3F"/>
    <w:rsid w:val="006D71FE"/>
    <w:rsid w:val="006E2C04"/>
    <w:rsid w:val="006E3185"/>
    <w:rsid w:val="006E5E4C"/>
    <w:rsid w:val="006E6138"/>
    <w:rsid w:val="006F1F37"/>
    <w:rsid w:val="006F7289"/>
    <w:rsid w:val="00700126"/>
    <w:rsid w:val="00700517"/>
    <w:rsid w:val="007019EB"/>
    <w:rsid w:val="00701F3D"/>
    <w:rsid w:val="00702EC1"/>
    <w:rsid w:val="00710A85"/>
    <w:rsid w:val="00717391"/>
    <w:rsid w:val="0072282A"/>
    <w:rsid w:val="00724FD0"/>
    <w:rsid w:val="00735453"/>
    <w:rsid w:val="007375AD"/>
    <w:rsid w:val="00737C61"/>
    <w:rsid w:val="00746F92"/>
    <w:rsid w:val="00747B30"/>
    <w:rsid w:val="00750B70"/>
    <w:rsid w:val="00751647"/>
    <w:rsid w:val="00752924"/>
    <w:rsid w:val="00753B45"/>
    <w:rsid w:val="00754DC6"/>
    <w:rsid w:val="00755034"/>
    <w:rsid w:val="00756007"/>
    <w:rsid w:val="00756222"/>
    <w:rsid w:val="00757A26"/>
    <w:rsid w:val="0076432C"/>
    <w:rsid w:val="00764770"/>
    <w:rsid w:val="00766F82"/>
    <w:rsid w:val="00767BED"/>
    <w:rsid w:val="00771102"/>
    <w:rsid w:val="0077203A"/>
    <w:rsid w:val="00772CBF"/>
    <w:rsid w:val="00777560"/>
    <w:rsid w:val="00781380"/>
    <w:rsid w:val="00782C7F"/>
    <w:rsid w:val="0078310A"/>
    <w:rsid w:val="00784AFD"/>
    <w:rsid w:val="007865D2"/>
    <w:rsid w:val="00790032"/>
    <w:rsid w:val="00791A87"/>
    <w:rsid w:val="00795E55"/>
    <w:rsid w:val="007A0DA4"/>
    <w:rsid w:val="007A30B6"/>
    <w:rsid w:val="007A3D64"/>
    <w:rsid w:val="007A5FD3"/>
    <w:rsid w:val="007A66B7"/>
    <w:rsid w:val="007B11F9"/>
    <w:rsid w:val="007B2AC9"/>
    <w:rsid w:val="007B6300"/>
    <w:rsid w:val="007C4032"/>
    <w:rsid w:val="007C47EB"/>
    <w:rsid w:val="007C5BDF"/>
    <w:rsid w:val="007C725D"/>
    <w:rsid w:val="007D2A1B"/>
    <w:rsid w:val="007D33FC"/>
    <w:rsid w:val="007D5F2C"/>
    <w:rsid w:val="007E26A6"/>
    <w:rsid w:val="007E2D7C"/>
    <w:rsid w:val="007E3D5E"/>
    <w:rsid w:val="007E4019"/>
    <w:rsid w:val="007E4187"/>
    <w:rsid w:val="007F1954"/>
    <w:rsid w:val="007F1F92"/>
    <w:rsid w:val="007F6901"/>
    <w:rsid w:val="007F6CDA"/>
    <w:rsid w:val="008015EC"/>
    <w:rsid w:val="00812ED8"/>
    <w:rsid w:val="00813E47"/>
    <w:rsid w:val="00820299"/>
    <w:rsid w:val="008207C0"/>
    <w:rsid w:val="00821446"/>
    <w:rsid w:val="0082479F"/>
    <w:rsid w:val="00824B02"/>
    <w:rsid w:val="00824C3C"/>
    <w:rsid w:val="00832CFA"/>
    <w:rsid w:val="00833897"/>
    <w:rsid w:val="00842EBF"/>
    <w:rsid w:val="00850DFD"/>
    <w:rsid w:val="00853F5C"/>
    <w:rsid w:val="00853F79"/>
    <w:rsid w:val="008721EB"/>
    <w:rsid w:val="0087442A"/>
    <w:rsid w:val="008807C6"/>
    <w:rsid w:val="0088319C"/>
    <w:rsid w:val="00883B26"/>
    <w:rsid w:val="00884470"/>
    <w:rsid w:val="008849BD"/>
    <w:rsid w:val="008853A1"/>
    <w:rsid w:val="008862A7"/>
    <w:rsid w:val="008866A8"/>
    <w:rsid w:val="00886D0A"/>
    <w:rsid w:val="008874DC"/>
    <w:rsid w:val="00887BBB"/>
    <w:rsid w:val="00890853"/>
    <w:rsid w:val="00891C9F"/>
    <w:rsid w:val="00895072"/>
    <w:rsid w:val="00896DE7"/>
    <w:rsid w:val="008A192B"/>
    <w:rsid w:val="008A1F52"/>
    <w:rsid w:val="008A28DB"/>
    <w:rsid w:val="008A390B"/>
    <w:rsid w:val="008B430E"/>
    <w:rsid w:val="008B5CC8"/>
    <w:rsid w:val="008C3296"/>
    <w:rsid w:val="008D4E24"/>
    <w:rsid w:val="008D618F"/>
    <w:rsid w:val="008E0E55"/>
    <w:rsid w:val="008E0F44"/>
    <w:rsid w:val="008E12FB"/>
    <w:rsid w:val="008E5C6B"/>
    <w:rsid w:val="008F0ED1"/>
    <w:rsid w:val="008F3BA1"/>
    <w:rsid w:val="008F483E"/>
    <w:rsid w:val="008F4B4E"/>
    <w:rsid w:val="008F4E1B"/>
    <w:rsid w:val="00904FB0"/>
    <w:rsid w:val="009079E6"/>
    <w:rsid w:val="00907F6D"/>
    <w:rsid w:val="0091117D"/>
    <w:rsid w:val="009114F9"/>
    <w:rsid w:val="00922858"/>
    <w:rsid w:val="0092394B"/>
    <w:rsid w:val="00923A68"/>
    <w:rsid w:val="00927AB8"/>
    <w:rsid w:val="00927FBE"/>
    <w:rsid w:val="00932A79"/>
    <w:rsid w:val="0093322B"/>
    <w:rsid w:val="009370C6"/>
    <w:rsid w:val="009469BE"/>
    <w:rsid w:val="00950193"/>
    <w:rsid w:val="00951E7B"/>
    <w:rsid w:val="00953170"/>
    <w:rsid w:val="00955E9F"/>
    <w:rsid w:val="00965850"/>
    <w:rsid w:val="00967799"/>
    <w:rsid w:val="009720B1"/>
    <w:rsid w:val="0097375D"/>
    <w:rsid w:val="00975804"/>
    <w:rsid w:val="009770AC"/>
    <w:rsid w:val="00980FE2"/>
    <w:rsid w:val="00982DA0"/>
    <w:rsid w:val="0098616A"/>
    <w:rsid w:val="009863F8"/>
    <w:rsid w:val="0099285A"/>
    <w:rsid w:val="0099439D"/>
    <w:rsid w:val="009A1C21"/>
    <w:rsid w:val="009A6E50"/>
    <w:rsid w:val="009B02F1"/>
    <w:rsid w:val="009B6E8C"/>
    <w:rsid w:val="009C2716"/>
    <w:rsid w:val="009C4DD8"/>
    <w:rsid w:val="009D1A58"/>
    <w:rsid w:val="009D1C13"/>
    <w:rsid w:val="009E16C6"/>
    <w:rsid w:val="009E59CA"/>
    <w:rsid w:val="009F04A9"/>
    <w:rsid w:val="009F1547"/>
    <w:rsid w:val="009F22ED"/>
    <w:rsid w:val="009F6D07"/>
    <w:rsid w:val="00A02D04"/>
    <w:rsid w:val="00A071EC"/>
    <w:rsid w:val="00A074CA"/>
    <w:rsid w:val="00A100F6"/>
    <w:rsid w:val="00A125A8"/>
    <w:rsid w:val="00A15712"/>
    <w:rsid w:val="00A20C3B"/>
    <w:rsid w:val="00A20DEA"/>
    <w:rsid w:val="00A21A49"/>
    <w:rsid w:val="00A23BA6"/>
    <w:rsid w:val="00A2408F"/>
    <w:rsid w:val="00A2637D"/>
    <w:rsid w:val="00A27A34"/>
    <w:rsid w:val="00A33606"/>
    <w:rsid w:val="00A4457B"/>
    <w:rsid w:val="00A459DB"/>
    <w:rsid w:val="00A53EE2"/>
    <w:rsid w:val="00A54294"/>
    <w:rsid w:val="00A60D9D"/>
    <w:rsid w:val="00A619EB"/>
    <w:rsid w:val="00A64EEB"/>
    <w:rsid w:val="00A6534F"/>
    <w:rsid w:val="00A676DB"/>
    <w:rsid w:val="00A678D0"/>
    <w:rsid w:val="00A7289C"/>
    <w:rsid w:val="00A72DB2"/>
    <w:rsid w:val="00A76951"/>
    <w:rsid w:val="00A800E7"/>
    <w:rsid w:val="00A829BA"/>
    <w:rsid w:val="00A87E39"/>
    <w:rsid w:val="00A91759"/>
    <w:rsid w:val="00A9266E"/>
    <w:rsid w:val="00A93CC2"/>
    <w:rsid w:val="00A9450D"/>
    <w:rsid w:val="00A95925"/>
    <w:rsid w:val="00A95C72"/>
    <w:rsid w:val="00AA0068"/>
    <w:rsid w:val="00AA0E07"/>
    <w:rsid w:val="00AA0EC1"/>
    <w:rsid w:val="00AA6EF8"/>
    <w:rsid w:val="00AA75B9"/>
    <w:rsid w:val="00AB1965"/>
    <w:rsid w:val="00AB1BBE"/>
    <w:rsid w:val="00AB5B1C"/>
    <w:rsid w:val="00AB7C00"/>
    <w:rsid w:val="00AC0FC2"/>
    <w:rsid w:val="00AD27A9"/>
    <w:rsid w:val="00AD3531"/>
    <w:rsid w:val="00AD56FC"/>
    <w:rsid w:val="00AD6CAB"/>
    <w:rsid w:val="00AE043E"/>
    <w:rsid w:val="00AE4A48"/>
    <w:rsid w:val="00AE4CA8"/>
    <w:rsid w:val="00AE583A"/>
    <w:rsid w:val="00AF33E3"/>
    <w:rsid w:val="00AF5D96"/>
    <w:rsid w:val="00B02ED1"/>
    <w:rsid w:val="00B058ED"/>
    <w:rsid w:val="00B15D3D"/>
    <w:rsid w:val="00B15E07"/>
    <w:rsid w:val="00B16278"/>
    <w:rsid w:val="00B21C73"/>
    <w:rsid w:val="00B3101E"/>
    <w:rsid w:val="00B31EB3"/>
    <w:rsid w:val="00B32F84"/>
    <w:rsid w:val="00B33E00"/>
    <w:rsid w:val="00B34DF8"/>
    <w:rsid w:val="00B401F9"/>
    <w:rsid w:val="00B41B33"/>
    <w:rsid w:val="00B450AB"/>
    <w:rsid w:val="00B50FFD"/>
    <w:rsid w:val="00B539F8"/>
    <w:rsid w:val="00B55650"/>
    <w:rsid w:val="00B6047B"/>
    <w:rsid w:val="00B61755"/>
    <w:rsid w:val="00B61CDD"/>
    <w:rsid w:val="00B6517C"/>
    <w:rsid w:val="00B6649C"/>
    <w:rsid w:val="00B66C05"/>
    <w:rsid w:val="00B66F01"/>
    <w:rsid w:val="00B71056"/>
    <w:rsid w:val="00B753CB"/>
    <w:rsid w:val="00B76F64"/>
    <w:rsid w:val="00B776DF"/>
    <w:rsid w:val="00B77B3B"/>
    <w:rsid w:val="00B8095F"/>
    <w:rsid w:val="00B82069"/>
    <w:rsid w:val="00B84748"/>
    <w:rsid w:val="00B84C91"/>
    <w:rsid w:val="00B85EEC"/>
    <w:rsid w:val="00B92568"/>
    <w:rsid w:val="00B93371"/>
    <w:rsid w:val="00B95828"/>
    <w:rsid w:val="00B963E5"/>
    <w:rsid w:val="00B96A6B"/>
    <w:rsid w:val="00BA440D"/>
    <w:rsid w:val="00BA48A5"/>
    <w:rsid w:val="00BA6BD2"/>
    <w:rsid w:val="00BB0BBA"/>
    <w:rsid w:val="00BB7498"/>
    <w:rsid w:val="00BC323C"/>
    <w:rsid w:val="00BC3B0E"/>
    <w:rsid w:val="00BC42BB"/>
    <w:rsid w:val="00BC4768"/>
    <w:rsid w:val="00BD1831"/>
    <w:rsid w:val="00BD4851"/>
    <w:rsid w:val="00BD5A25"/>
    <w:rsid w:val="00BE1161"/>
    <w:rsid w:val="00BE4861"/>
    <w:rsid w:val="00BE7090"/>
    <w:rsid w:val="00BF554C"/>
    <w:rsid w:val="00BF58BE"/>
    <w:rsid w:val="00BF613A"/>
    <w:rsid w:val="00C07E69"/>
    <w:rsid w:val="00C170DF"/>
    <w:rsid w:val="00C174C5"/>
    <w:rsid w:val="00C17F48"/>
    <w:rsid w:val="00C202DB"/>
    <w:rsid w:val="00C20D39"/>
    <w:rsid w:val="00C21F8C"/>
    <w:rsid w:val="00C24B2F"/>
    <w:rsid w:val="00C25B00"/>
    <w:rsid w:val="00C26204"/>
    <w:rsid w:val="00C27824"/>
    <w:rsid w:val="00C3258F"/>
    <w:rsid w:val="00C33D28"/>
    <w:rsid w:val="00C34AC1"/>
    <w:rsid w:val="00C37B30"/>
    <w:rsid w:val="00C37EB9"/>
    <w:rsid w:val="00C4217E"/>
    <w:rsid w:val="00C42409"/>
    <w:rsid w:val="00C42743"/>
    <w:rsid w:val="00C42CCA"/>
    <w:rsid w:val="00C45E46"/>
    <w:rsid w:val="00C46783"/>
    <w:rsid w:val="00C4729E"/>
    <w:rsid w:val="00C50B18"/>
    <w:rsid w:val="00C50EDC"/>
    <w:rsid w:val="00C61E84"/>
    <w:rsid w:val="00C661DB"/>
    <w:rsid w:val="00C70A2C"/>
    <w:rsid w:val="00C75CD8"/>
    <w:rsid w:val="00C94E81"/>
    <w:rsid w:val="00C956F0"/>
    <w:rsid w:val="00C95976"/>
    <w:rsid w:val="00C96C4B"/>
    <w:rsid w:val="00CA274D"/>
    <w:rsid w:val="00CA2C5A"/>
    <w:rsid w:val="00CA52AA"/>
    <w:rsid w:val="00CA7331"/>
    <w:rsid w:val="00CA73B3"/>
    <w:rsid w:val="00CB0873"/>
    <w:rsid w:val="00CB2B1A"/>
    <w:rsid w:val="00CB393B"/>
    <w:rsid w:val="00CB78B0"/>
    <w:rsid w:val="00CC00B3"/>
    <w:rsid w:val="00CC0CBC"/>
    <w:rsid w:val="00CC4332"/>
    <w:rsid w:val="00CC54E8"/>
    <w:rsid w:val="00CC6D36"/>
    <w:rsid w:val="00CC7500"/>
    <w:rsid w:val="00CC7DD9"/>
    <w:rsid w:val="00CD0620"/>
    <w:rsid w:val="00CD107D"/>
    <w:rsid w:val="00CD190E"/>
    <w:rsid w:val="00CD3E84"/>
    <w:rsid w:val="00CE0521"/>
    <w:rsid w:val="00CE0663"/>
    <w:rsid w:val="00CE493A"/>
    <w:rsid w:val="00CF121E"/>
    <w:rsid w:val="00CF4C71"/>
    <w:rsid w:val="00CF7553"/>
    <w:rsid w:val="00D01A6C"/>
    <w:rsid w:val="00D103EB"/>
    <w:rsid w:val="00D12E3A"/>
    <w:rsid w:val="00D13ED6"/>
    <w:rsid w:val="00D1638B"/>
    <w:rsid w:val="00D17C31"/>
    <w:rsid w:val="00D21AEE"/>
    <w:rsid w:val="00D22E19"/>
    <w:rsid w:val="00D30274"/>
    <w:rsid w:val="00D319A5"/>
    <w:rsid w:val="00D344F2"/>
    <w:rsid w:val="00D37AC6"/>
    <w:rsid w:val="00D40FB1"/>
    <w:rsid w:val="00D4237B"/>
    <w:rsid w:val="00D448BF"/>
    <w:rsid w:val="00D461F3"/>
    <w:rsid w:val="00D50CC4"/>
    <w:rsid w:val="00D525F1"/>
    <w:rsid w:val="00D52CF0"/>
    <w:rsid w:val="00D53387"/>
    <w:rsid w:val="00D53C3B"/>
    <w:rsid w:val="00D551F1"/>
    <w:rsid w:val="00D6006B"/>
    <w:rsid w:val="00D647B0"/>
    <w:rsid w:val="00D67CD9"/>
    <w:rsid w:val="00D71AA0"/>
    <w:rsid w:val="00D7421A"/>
    <w:rsid w:val="00D81322"/>
    <w:rsid w:val="00D82E58"/>
    <w:rsid w:val="00D82F27"/>
    <w:rsid w:val="00D91F46"/>
    <w:rsid w:val="00D92F2B"/>
    <w:rsid w:val="00D96552"/>
    <w:rsid w:val="00DA0BDB"/>
    <w:rsid w:val="00DA770D"/>
    <w:rsid w:val="00DB6096"/>
    <w:rsid w:val="00DC24AD"/>
    <w:rsid w:val="00DC5F20"/>
    <w:rsid w:val="00DC789D"/>
    <w:rsid w:val="00DD03CC"/>
    <w:rsid w:val="00DD10D5"/>
    <w:rsid w:val="00DD73EA"/>
    <w:rsid w:val="00DE1560"/>
    <w:rsid w:val="00DE21FA"/>
    <w:rsid w:val="00DE58DD"/>
    <w:rsid w:val="00DF007F"/>
    <w:rsid w:val="00DF1F36"/>
    <w:rsid w:val="00DF265B"/>
    <w:rsid w:val="00DF306B"/>
    <w:rsid w:val="00DF3117"/>
    <w:rsid w:val="00DF49A0"/>
    <w:rsid w:val="00DF54DC"/>
    <w:rsid w:val="00E0074A"/>
    <w:rsid w:val="00E123C9"/>
    <w:rsid w:val="00E15450"/>
    <w:rsid w:val="00E179B4"/>
    <w:rsid w:val="00E2002A"/>
    <w:rsid w:val="00E23367"/>
    <w:rsid w:val="00E26FC1"/>
    <w:rsid w:val="00E278C7"/>
    <w:rsid w:val="00E30BC2"/>
    <w:rsid w:val="00E32A48"/>
    <w:rsid w:val="00E34A5A"/>
    <w:rsid w:val="00E34D3E"/>
    <w:rsid w:val="00E368B4"/>
    <w:rsid w:val="00E36F03"/>
    <w:rsid w:val="00E41320"/>
    <w:rsid w:val="00E44EF2"/>
    <w:rsid w:val="00E45967"/>
    <w:rsid w:val="00E45975"/>
    <w:rsid w:val="00E462D3"/>
    <w:rsid w:val="00E472C9"/>
    <w:rsid w:val="00E533F0"/>
    <w:rsid w:val="00E5705C"/>
    <w:rsid w:val="00E60DE7"/>
    <w:rsid w:val="00E63EBF"/>
    <w:rsid w:val="00E64B93"/>
    <w:rsid w:val="00E65B38"/>
    <w:rsid w:val="00E66CF5"/>
    <w:rsid w:val="00E67CBA"/>
    <w:rsid w:val="00E70D5C"/>
    <w:rsid w:val="00E71DF9"/>
    <w:rsid w:val="00E74ADF"/>
    <w:rsid w:val="00E760C4"/>
    <w:rsid w:val="00E8070B"/>
    <w:rsid w:val="00E811D3"/>
    <w:rsid w:val="00E81881"/>
    <w:rsid w:val="00E81E4D"/>
    <w:rsid w:val="00E87146"/>
    <w:rsid w:val="00E90BE9"/>
    <w:rsid w:val="00E94AF3"/>
    <w:rsid w:val="00EA1E9B"/>
    <w:rsid w:val="00EA4060"/>
    <w:rsid w:val="00EA51ED"/>
    <w:rsid w:val="00EA53DC"/>
    <w:rsid w:val="00EA6376"/>
    <w:rsid w:val="00EB11BA"/>
    <w:rsid w:val="00EB2669"/>
    <w:rsid w:val="00EB3D6E"/>
    <w:rsid w:val="00EB6781"/>
    <w:rsid w:val="00EB68C8"/>
    <w:rsid w:val="00EC1C40"/>
    <w:rsid w:val="00EC261F"/>
    <w:rsid w:val="00EC28F0"/>
    <w:rsid w:val="00EC305B"/>
    <w:rsid w:val="00EC3E6F"/>
    <w:rsid w:val="00EC5062"/>
    <w:rsid w:val="00EC643A"/>
    <w:rsid w:val="00ED218B"/>
    <w:rsid w:val="00ED2540"/>
    <w:rsid w:val="00ED2FAD"/>
    <w:rsid w:val="00EE21CB"/>
    <w:rsid w:val="00EE35B1"/>
    <w:rsid w:val="00EE757B"/>
    <w:rsid w:val="00EE76A8"/>
    <w:rsid w:val="00EF2B31"/>
    <w:rsid w:val="00F10686"/>
    <w:rsid w:val="00F14482"/>
    <w:rsid w:val="00F26C11"/>
    <w:rsid w:val="00F2753C"/>
    <w:rsid w:val="00F275F1"/>
    <w:rsid w:val="00F30D41"/>
    <w:rsid w:val="00F329F3"/>
    <w:rsid w:val="00F3489A"/>
    <w:rsid w:val="00F35064"/>
    <w:rsid w:val="00F361DD"/>
    <w:rsid w:val="00F3793C"/>
    <w:rsid w:val="00F4124F"/>
    <w:rsid w:val="00F41AF5"/>
    <w:rsid w:val="00F42862"/>
    <w:rsid w:val="00F4320E"/>
    <w:rsid w:val="00F44703"/>
    <w:rsid w:val="00F45255"/>
    <w:rsid w:val="00F46571"/>
    <w:rsid w:val="00F505D4"/>
    <w:rsid w:val="00F52BA3"/>
    <w:rsid w:val="00F536DF"/>
    <w:rsid w:val="00F56A78"/>
    <w:rsid w:val="00F57B58"/>
    <w:rsid w:val="00F6165F"/>
    <w:rsid w:val="00F63C31"/>
    <w:rsid w:val="00F65A51"/>
    <w:rsid w:val="00F66061"/>
    <w:rsid w:val="00F679F4"/>
    <w:rsid w:val="00F707BB"/>
    <w:rsid w:val="00F73C95"/>
    <w:rsid w:val="00F85D31"/>
    <w:rsid w:val="00F8695F"/>
    <w:rsid w:val="00F91446"/>
    <w:rsid w:val="00F9206D"/>
    <w:rsid w:val="00F9297F"/>
    <w:rsid w:val="00F93D9E"/>
    <w:rsid w:val="00F94AF8"/>
    <w:rsid w:val="00FA11F3"/>
    <w:rsid w:val="00FA2C39"/>
    <w:rsid w:val="00FA5A99"/>
    <w:rsid w:val="00FB19E6"/>
    <w:rsid w:val="00FB2589"/>
    <w:rsid w:val="00FB29D3"/>
    <w:rsid w:val="00FB320E"/>
    <w:rsid w:val="00FB382A"/>
    <w:rsid w:val="00FB4B3E"/>
    <w:rsid w:val="00FD710E"/>
    <w:rsid w:val="00FE0C83"/>
    <w:rsid w:val="00FF514A"/>
    <w:rsid w:val="00FF5E6A"/>
    <w:rsid w:val="00FF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1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5A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2935A1"/>
  </w:style>
  <w:style w:type="paragraph" w:customStyle="1" w:styleId="Level1">
    <w:name w:val="Level 1"/>
    <w:basedOn w:val="Normal"/>
    <w:rsid w:val="002935A1"/>
    <w:pPr>
      <w:ind w:left="2880" w:hanging="720"/>
    </w:pPr>
  </w:style>
  <w:style w:type="paragraph" w:styleId="Header">
    <w:name w:val="header"/>
    <w:basedOn w:val="Normal"/>
    <w:rsid w:val="008874DC"/>
    <w:pPr>
      <w:tabs>
        <w:tab w:val="center" w:pos="4320"/>
        <w:tab w:val="right" w:pos="8640"/>
      </w:tabs>
    </w:pPr>
  </w:style>
  <w:style w:type="paragraph" w:styleId="Footer">
    <w:name w:val="footer"/>
    <w:basedOn w:val="Normal"/>
    <w:link w:val="FooterChar"/>
    <w:uiPriority w:val="99"/>
    <w:rsid w:val="008874DC"/>
    <w:pPr>
      <w:tabs>
        <w:tab w:val="center" w:pos="4320"/>
        <w:tab w:val="right" w:pos="8640"/>
      </w:tabs>
    </w:pPr>
  </w:style>
  <w:style w:type="paragraph" w:styleId="BalloonText">
    <w:name w:val="Balloon Text"/>
    <w:basedOn w:val="Normal"/>
    <w:semiHidden/>
    <w:rsid w:val="002E0945"/>
    <w:rPr>
      <w:rFonts w:ascii="Tahoma" w:hAnsi="Tahoma" w:cs="Tahoma"/>
      <w:sz w:val="16"/>
      <w:szCs w:val="16"/>
    </w:rPr>
  </w:style>
  <w:style w:type="paragraph" w:customStyle="1" w:styleId="Default">
    <w:name w:val="Default"/>
    <w:rsid w:val="002E0945"/>
    <w:pPr>
      <w:widowControl w:val="0"/>
      <w:autoSpaceDE w:val="0"/>
      <w:autoSpaceDN w:val="0"/>
      <w:adjustRightInd w:val="0"/>
    </w:pPr>
    <w:rPr>
      <w:color w:val="000000"/>
      <w:sz w:val="24"/>
      <w:szCs w:val="24"/>
    </w:rPr>
  </w:style>
  <w:style w:type="character" w:styleId="PageNumber">
    <w:name w:val="page number"/>
    <w:basedOn w:val="DefaultParagraphFont"/>
    <w:rsid w:val="002E0945"/>
  </w:style>
  <w:style w:type="paragraph" w:customStyle="1" w:styleId="lowercaseletter">
    <w:name w:val="lower case letter"/>
    <w:basedOn w:val="Normal"/>
    <w:rsid w:val="002E0945"/>
    <w:pPr>
      <w:widowControl/>
      <w:numPr>
        <w:numId w:val="1"/>
      </w:numPr>
      <w:tabs>
        <w:tab w:val="left" w:pos="244"/>
        <w:tab w:val="left" w:pos="835"/>
        <w:tab w:val="left" w:pos="2044"/>
        <w:tab w:val="left" w:pos="2635"/>
        <w:tab w:val="left" w:pos="3240"/>
      </w:tabs>
      <w:jc w:val="both"/>
    </w:pPr>
    <w:rPr>
      <w:color w:val="000000"/>
    </w:rPr>
  </w:style>
  <w:style w:type="paragraph" w:customStyle="1" w:styleId="AppendixTitle">
    <w:name w:val="Appendix Title"/>
    <w:basedOn w:val="Normal"/>
    <w:rsid w:val="00D53387"/>
    <w:pPr>
      <w:widowControl/>
      <w:tabs>
        <w:tab w:val="left" w:pos="2880"/>
      </w:tabs>
      <w:autoSpaceDE/>
      <w:autoSpaceDN/>
      <w:adjustRightInd/>
      <w:jc w:val="center"/>
    </w:pPr>
  </w:style>
  <w:style w:type="character" w:styleId="CommentReference">
    <w:name w:val="annotation reference"/>
    <w:basedOn w:val="DefaultParagraphFont"/>
    <w:rsid w:val="00AE4CA8"/>
    <w:rPr>
      <w:sz w:val="16"/>
      <w:szCs w:val="16"/>
    </w:rPr>
  </w:style>
  <w:style w:type="paragraph" w:styleId="CommentText">
    <w:name w:val="annotation text"/>
    <w:basedOn w:val="Normal"/>
    <w:link w:val="CommentTextChar"/>
    <w:rsid w:val="00AE4CA8"/>
    <w:rPr>
      <w:sz w:val="20"/>
      <w:szCs w:val="20"/>
    </w:rPr>
  </w:style>
  <w:style w:type="character" w:customStyle="1" w:styleId="CommentTextChar">
    <w:name w:val="Comment Text Char"/>
    <w:basedOn w:val="DefaultParagraphFont"/>
    <w:link w:val="CommentText"/>
    <w:rsid w:val="00AE4CA8"/>
  </w:style>
  <w:style w:type="paragraph" w:styleId="CommentSubject">
    <w:name w:val="annotation subject"/>
    <w:basedOn w:val="CommentText"/>
    <w:next w:val="CommentText"/>
    <w:link w:val="CommentSubjectChar"/>
    <w:rsid w:val="00AE4CA8"/>
    <w:rPr>
      <w:b/>
      <w:bCs/>
    </w:rPr>
  </w:style>
  <w:style w:type="character" w:customStyle="1" w:styleId="CommentSubjectChar">
    <w:name w:val="Comment Subject Char"/>
    <w:basedOn w:val="CommentTextChar"/>
    <w:link w:val="CommentSubject"/>
    <w:rsid w:val="00AE4CA8"/>
    <w:rPr>
      <w:b/>
      <w:bCs/>
    </w:rPr>
  </w:style>
  <w:style w:type="paragraph" w:styleId="ListParagraph">
    <w:name w:val="List Paragraph"/>
    <w:basedOn w:val="Normal"/>
    <w:uiPriority w:val="34"/>
    <w:qFormat/>
    <w:rsid w:val="00E368B4"/>
    <w:pPr>
      <w:widowControl/>
      <w:autoSpaceDE/>
      <w:autoSpaceDN/>
      <w:adjustRightInd/>
      <w:spacing w:after="200" w:line="276" w:lineRule="auto"/>
      <w:ind w:left="720"/>
      <w:contextualSpacing/>
    </w:pPr>
    <w:rPr>
      <w:rFonts w:ascii="Calibri" w:eastAsia="Calibri" w:hAnsi="Calibri"/>
    </w:rPr>
  </w:style>
  <w:style w:type="character" w:customStyle="1" w:styleId="FooterChar">
    <w:name w:val="Footer Char"/>
    <w:basedOn w:val="DefaultParagraphFont"/>
    <w:link w:val="Footer"/>
    <w:uiPriority w:val="99"/>
    <w:rsid w:val="00406997"/>
    <w:rPr>
      <w:sz w:val="24"/>
      <w:szCs w:val="24"/>
    </w:rPr>
  </w:style>
  <w:style w:type="paragraph" w:styleId="Revision">
    <w:name w:val="Revision"/>
    <w:hidden/>
    <w:uiPriority w:val="99"/>
    <w:semiHidden/>
    <w:rsid w:val="00585C56"/>
    <w:rPr>
      <w:sz w:val="24"/>
      <w:szCs w:val="24"/>
    </w:rPr>
  </w:style>
  <w:style w:type="paragraph" w:customStyle="1" w:styleId="0101">
    <w:name w:val="01.01"/>
    <w:basedOn w:val="Normal"/>
    <w:link w:val="0101Char"/>
    <w:qFormat/>
    <w:rsid w:val="00C42CCA"/>
    <w:pPr>
      <w:widowControl/>
      <w:tabs>
        <w:tab w:val="left" w:pos="-1440"/>
        <w:tab w:val="left" w:pos="274"/>
        <w:tab w:val="left" w:pos="806"/>
        <w:tab w:val="left" w:pos="1440"/>
        <w:tab w:val="left" w:pos="2074"/>
        <w:tab w:val="left" w:pos="2707"/>
        <w:tab w:val="left" w:pos="3240"/>
        <w:tab w:val="left" w:pos="3874"/>
        <w:tab w:val="left" w:pos="4507"/>
      </w:tabs>
      <w:ind w:left="806" w:hanging="806"/>
    </w:pPr>
  </w:style>
  <w:style w:type="paragraph" w:customStyle="1" w:styleId="0201a">
    <w:name w:val="02.01.a"/>
    <w:basedOn w:val="Normal"/>
    <w:link w:val="0201aChar"/>
    <w:qFormat/>
    <w:rsid w:val="00633B97"/>
    <w:pPr>
      <w:widowControl/>
      <w:tabs>
        <w:tab w:val="left" w:pos="274"/>
        <w:tab w:val="left" w:pos="806"/>
        <w:tab w:val="left" w:pos="1440"/>
        <w:tab w:val="left" w:pos="2074"/>
        <w:tab w:val="left" w:pos="2707"/>
        <w:tab w:val="left" w:pos="3240"/>
        <w:tab w:val="left" w:pos="3874"/>
        <w:tab w:val="left" w:pos="4507"/>
      </w:tabs>
      <w:ind w:left="806" w:hanging="532"/>
    </w:pPr>
  </w:style>
  <w:style w:type="character" w:customStyle="1" w:styleId="0101Char">
    <w:name w:val="01.01 Char"/>
    <w:link w:val="0101"/>
    <w:rsid w:val="00C42CCA"/>
    <w:rPr>
      <w:rFonts w:ascii="Arial" w:hAnsi="Arial" w:cs="Arial"/>
      <w:sz w:val="22"/>
      <w:szCs w:val="22"/>
    </w:rPr>
  </w:style>
  <w:style w:type="paragraph" w:customStyle="1" w:styleId="0201a1">
    <w:name w:val="02.01.a.1"/>
    <w:basedOn w:val="Normal"/>
    <w:link w:val="0201a1Char"/>
    <w:qFormat/>
    <w:rsid w:val="00633B97"/>
    <w:pPr>
      <w:widowControl/>
      <w:numPr>
        <w:numId w:val="14"/>
      </w:numPr>
      <w:tabs>
        <w:tab w:val="left" w:pos="274"/>
        <w:tab w:val="left" w:pos="806"/>
        <w:tab w:val="left" w:pos="1440"/>
        <w:tab w:val="left" w:pos="2074"/>
        <w:tab w:val="left" w:pos="2707"/>
        <w:tab w:val="left" w:pos="3240"/>
        <w:tab w:val="left" w:pos="3874"/>
        <w:tab w:val="left" w:pos="4507"/>
      </w:tabs>
    </w:pPr>
  </w:style>
  <w:style w:type="character" w:customStyle="1" w:styleId="0201aChar">
    <w:name w:val="02.01.a Char"/>
    <w:link w:val="0201a"/>
    <w:rsid w:val="00633B97"/>
    <w:rPr>
      <w:rFonts w:ascii="Arial" w:hAnsi="Arial" w:cs="Arial"/>
      <w:sz w:val="22"/>
      <w:szCs w:val="22"/>
    </w:rPr>
  </w:style>
  <w:style w:type="character" w:customStyle="1" w:styleId="0201a1Char">
    <w:name w:val="02.01.a.1 Char"/>
    <w:link w:val="0201a1"/>
    <w:rsid w:val="00633B97"/>
    <w:rPr>
      <w:rFonts w:ascii="Arial" w:hAnsi="Arial" w:cs="Arial"/>
      <w:sz w:val="22"/>
      <w:szCs w:val="22"/>
    </w:rPr>
  </w:style>
  <w:style w:type="paragraph" w:customStyle="1" w:styleId="7112406">
    <w:name w:val="71124.06"/>
    <w:basedOn w:val="Normal"/>
    <w:link w:val="7112406Char"/>
    <w:qFormat/>
    <w:rsid w:val="00887BBB"/>
    <w:pPr>
      <w:widowControl/>
      <w:tabs>
        <w:tab w:val="left" w:pos="274"/>
        <w:tab w:val="left" w:pos="806"/>
        <w:tab w:val="left" w:pos="1440"/>
        <w:tab w:val="left" w:pos="2074"/>
        <w:tab w:val="left" w:pos="2707"/>
        <w:tab w:val="left" w:pos="3240"/>
        <w:tab w:val="left" w:pos="3874"/>
        <w:tab w:val="left" w:pos="4507"/>
      </w:tabs>
      <w:ind w:left="1440" w:hanging="1440"/>
    </w:pPr>
  </w:style>
  <w:style w:type="character" w:customStyle="1" w:styleId="7112406Char">
    <w:name w:val="71124.06 Char"/>
    <w:link w:val="7112406"/>
    <w:rsid w:val="00887BBB"/>
    <w:rPr>
      <w:rFonts w:ascii="Arial" w:hAnsi="Arial" w:cs="Arial"/>
      <w:sz w:val="22"/>
      <w:szCs w:val="22"/>
    </w:rPr>
  </w:style>
  <w:style w:type="paragraph" w:customStyle="1" w:styleId="P1">
    <w:name w:val="P1"/>
    <w:basedOn w:val="Normal"/>
    <w:link w:val="P1Char"/>
    <w:qFormat/>
    <w:rsid w:val="00887BB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style>
  <w:style w:type="character" w:customStyle="1" w:styleId="P1Char">
    <w:name w:val="P1 Char"/>
    <w:link w:val="P1"/>
    <w:locked/>
    <w:rsid w:val="00887BBB"/>
    <w:rPr>
      <w:rFonts w:ascii="Arial" w:hAnsi="Arial" w:cs="Arial"/>
      <w:sz w:val="22"/>
      <w:szCs w:val="22"/>
    </w:rPr>
  </w:style>
  <w:style w:type="paragraph" w:customStyle="1" w:styleId="7112405">
    <w:name w:val="71124.05"/>
    <w:basedOn w:val="Normal"/>
    <w:link w:val="7112405Char"/>
    <w:qFormat/>
    <w:rsid w:val="00E34A5A"/>
    <w:pPr>
      <w:tabs>
        <w:tab w:val="left" w:pos="1350"/>
      </w:tabs>
    </w:pPr>
  </w:style>
  <w:style w:type="character" w:customStyle="1" w:styleId="7112405Char">
    <w:name w:val="71124.05 Char"/>
    <w:basedOn w:val="DefaultParagraphFont"/>
    <w:link w:val="7112405"/>
    <w:rsid w:val="00E34A5A"/>
    <w:rPr>
      <w:rFonts w:ascii="Arial" w:hAnsi="Arial" w:cs="Arial"/>
      <w:sz w:val="22"/>
      <w:szCs w:val="22"/>
    </w:rPr>
  </w:style>
  <w:style w:type="paragraph" w:customStyle="1" w:styleId="L1">
    <w:name w:val="L1"/>
    <w:basedOn w:val="Normal"/>
    <w:link w:val="L1Char"/>
    <w:qFormat/>
    <w:rsid w:val="0051351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800"/>
    </w:pPr>
  </w:style>
  <w:style w:type="character" w:customStyle="1" w:styleId="L1Char">
    <w:name w:val="L1 Char"/>
    <w:link w:val="L1"/>
    <w:rsid w:val="00513511"/>
    <w:rPr>
      <w:rFonts w:ascii="Arial" w:hAnsi="Arial" w:cs="Arial"/>
      <w:sz w:val="22"/>
      <w:szCs w:val="22"/>
    </w:rPr>
  </w:style>
  <w:style w:type="paragraph" w:styleId="NormalWeb">
    <w:name w:val="Normal (Web)"/>
    <w:basedOn w:val="Normal"/>
    <w:uiPriority w:val="99"/>
    <w:unhideWhenUsed/>
    <w:rsid w:val="00B96A6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7112307-01Char">
    <w:name w:val="71123.07-01 Char"/>
    <w:link w:val="7112307-01"/>
    <w:locked/>
    <w:rsid w:val="0018233A"/>
  </w:style>
  <w:style w:type="paragraph" w:customStyle="1" w:styleId="7112307-01">
    <w:name w:val="71123.07-01"/>
    <w:basedOn w:val="Normal"/>
    <w:link w:val="7112307-01Char"/>
    <w:qFormat/>
    <w:rsid w:val="0018233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1440"/>
      <w:jc w:val="both"/>
    </w:pPr>
  </w:style>
  <w:style w:type="character" w:customStyle="1" w:styleId="paChar">
    <w:name w:val="pa Char"/>
    <w:link w:val="pa"/>
    <w:locked/>
    <w:rsid w:val="00423CD7"/>
  </w:style>
  <w:style w:type="paragraph" w:customStyle="1" w:styleId="pa">
    <w:name w:val="pa"/>
    <w:basedOn w:val="Normal"/>
    <w:link w:val="paChar"/>
    <w:qFormat/>
    <w:rsid w:val="00423CD7"/>
    <w:pPr>
      <w:widowControl/>
      <w:numPr>
        <w:numId w:val="33"/>
      </w:numPr>
      <w:tabs>
        <w:tab w:val="clear" w:pos="80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2029">
      <w:bodyDiv w:val="1"/>
      <w:marLeft w:val="0"/>
      <w:marRight w:val="0"/>
      <w:marTop w:val="0"/>
      <w:marBottom w:val="0"/>
      <w:divBdr>
        <w:top w:val="none" w:sz="0" w:space="0" w:color="auto"/>
        <w:left w:val="none" w:sz="0" w:space="0" w:color="auto"/>
        <w:bottom w:val="none" w:sz="0" w:space="0" w:color="auto"/>
        <w:right w:val="none" w:sz="0" w:space="0" w:color="auto"/>
      </w:divBdr>
    </w:div>
    <w:div w:id="190921733">
      <w:bodyDiv w:val="1"/>
      <w:marLeft w:val="0"/>
      <w:marRight w:val="0"/>
      <w:marTop w:val="0"/>
      <w:marBottom w:val="0"/>
      <w:divBdr>
        <w:top w:val="none" w:sz="0" w:space="0" w:color="auto"/>
        <w:left w:val="none" w:sz="0" w:space="0" w:color="auto"/>
        <w:bottom w:val="none" w:sz="0" w:space="0" w:color="auto"/>
        <w:right w:val="none" w:sz="0" w:space="0" w:color="auto"/>
      </w:divBdr>
    </w:div>
    <w:div w:id="224534510">
      <w:bodyDiv w:val="1"/>
      <w:marLeft w:val="0"/>
      <w:marRight w:val="0"/>
      <w:marTop w:val="0"/>
      <w:marBottom w:val="0"/>
      <w:divBdr>
        <w:top w:val="none" w:sz="0" w:space="0" w:color="auto"/>
        <w:left w:val="none" w:sz="0" w:space="0" w:color="auto"/>
        <w:bottom w:val="none" w:sz="0" w:space="0" w:color="auto"/>
        <w:right w:val="none" w:sz="0" w:space="0" w:color="auto"/>
      </w:divBdr>
    </w:div>
    <w:div w:id="369496114">
      <w:bodyDiv w:val="1"/>
      <w:marLeft w:val="0"/>
      <w:marRight w:val="0"/>
      <w:marTop w:val="0"/>
      <w:marBottom w:val="0"/>
      <w:divBdr>
        <w:top w:val="none" w:sz="0" w:space="0" w:color="auto"/>
        <w:left w:val="none" w:sz="0" w:space="0" w:color="auto"/>
        <w:bottom w:val="none" w:sz="0" w:space="0" w:color="auto"/>
        <w:right w:val="none" w:sz="0" w:space="0" w:color="auto"/>
      </w:divBdr>
    </w:div>
    <w:div w:id="599990388">
      <w:bodyDiv w:val="1"/>
      <w:marLeft w:val="0"/>
      <w:marRight w:val="0"/>
      <w:marTop w:val="0"/>
      <w:marBottom w:val="0"/>
      <w:divBdr>
        <w:top w:val="none" w:sz="0" w:space="0" w:color="auto"/>
        <w:left w:val="none" w:sz="0" w:space="0" w:color="auto"/>
        <w:bottom w:val="none" w:sz="0" w:space="0" w:color="auto"/>
        <w:right w:val="none" w:sz="0" w:space="0" w:color="auto"/>
      </w:divBdr>
    </w:div>
    <w:div w:id="647829476">
      <w:bodyDiv w:val="1"/>
      <w:marLeft w:val="0"/>
      <w:marRight w:val="0"/>
      <w:marTop w:val="0"/>
      <w:marBottom w:val="0"/>
      <w:divBdr>
        <w:top w:val="none" w:sz="0" w:space="0" w:color="auto"/>
        <w:left w:val="none" w:sz="0" w:space="0" w:color="auto"/>
        <w:bottom w:val="none" w:sz="0" w:space="0" w:color="auto"/>
        <w:right w:val="none" w:sz="0" w:space="0" w:color="auto"/>
      </w:divBdr>
    </w:div>
    <w:div w:id="1156186781">
      <w:bodyDiv w:val="1"/>
      <w:marLeft w:val="0"/>
      <w:marRight w:val="0"/>
      <w:marTop w:val="0"/>
      <w:marBottom w:val="0"/>
      <w:divBdr>
        <w:top w:val="none" w:sz="0" w:space="0" w:color="auto"/>
        <w:left w:val="none" w:sz="0" w:space="0" w:color="auto"/>
        <w:bottom w:val="none" w:sz="0" w:space="0" w:color="auto"/>
        <w:right w:val="none" w:sz="0" w:space="0" w:color="auto"/>
      </w:divBdr>
    </w:div>
    <w:div w:id="1201823409">
      <w:bodyDiv w:val="1"/>
      <w:marLeft w:val="0"/>
      <w:marRight w:val="0"/>
      <w:marTop w:val="0"/>
      <w:marBottom w:val="0"/>
      <w:divBdr>
        <w:top w:val="none" w:sz="0" w:space="0" w:color="auto"/>
        <w:left w:val="none" w:sz="0" w:space="0" w:color="auto"/>
        <w:bottom w:val="none" w:sz="0" w:space="0" w:color="auto"/>
        <w:right w:val="none" w:sz="0" w:space="0" w:color="auto"/>
      </w:divBdr>
    </w:div>
    <w:div w:id="1362439741">
      <w:bodyDiv w:val="1"/>
      <w:marLeft w:val="0"/>
      <w:marRight w:val="0"/>
      <w:marTop w:val="0"/>
      <w:marBottom w:val="0"/>
      <w:divBdr>
        <w:top w:val="none" w:sz="0" w:space="0" w:color="auto"/>
        <w:left w:val="none" w:sz="0" w:space="0" w:color="auto"/>
        <w:bottom w:val="none" w:sz="0" w:space="0" w:color="auto"/>
        <w:right w:val="none" w:sz="0" w:space="0" w:color="auto"/>
      </w:divBdr>
    </w:div>
    <w:div w:id="1387102202">
      <w:bodyDiv w:val="1"/>
      <w:marLeft w:val="0"/>
      <w:marRight w:val="0"/>
      <w:marTop w:val="0"/>
      <w:marBottom w:val="0"/>
      <w:divBdr>
        <w:top w:val="none" w:sz="0" w:space="0" w:color="auto"/>
        <w:left w:val="none" w:sz="0" w:space="0" w:color="auto"/>
        <w:bottom w:val="none" w:sz="0" w:space="0" w:color="auto"/>
        <w:right w:val="none" w:sz="0" w:space="0" w:color="auto"/>
      </w:divBdr>
    </w:div>
    <w:div w:id="1414745097">
      <w:bodyDiv w:val="1"/>
      <w:marLeft w:val="0"/>
      <w:marRight w:val="0"/>
      <w:marTop w:val="0"/>
      <w:marBottom w:val="0"/>
      <w:divBdr>
        <w:top w:val="none" w:sz="0" w:space="0" w:color="auto"/>
        <w:left w:val="none" w:sz="0" w:space="0" w:color="auto"/>
        <w:bottom w:val="none" w:sz="0" w:space="0" w:color="auto"/>
        <w:right w:val="none" w:sz="0" w:space="0" w:color="auto"/>
      </w:divBdr>
    </w:div>
    <w:div w:id="1468282255">
      <w:bodyDiv w:val="1"/>
      <w:marLeft w:val="0"/>
      <w:marRight w:val="0"/>
      <w:marTop w:val="0"/>
      <w:marBottom w:val="0"/>
      <w:divBdr>
        <w:top w:val="none" w:sz="0" w:space="0" w:color="auto"/>
        <w:left w:val="none" w:sz="0" w:space="0" w:color="auto"/>
        <w:bottom w:val="none" w:sz="0" w:space="0" w:color="auto"/>
        <w:right w:val="none" w:sz="0" w:space="0" w:color="auto"/>
      </w:divBdr>
    </w:div>
    <w:div w:id="1534197920">
      <w:bodyDiv w:val="1"/>
      <w:marLeft w:val="0"/>
      <w:marRight w:val="0"/>
      <w:marTop w:val="0"/>
      <w:marBottom w:val="0"/>
      <w:divBdr>
        <w:top w:val="none" w:sz="0" w:space="0" w:color="auto"/>
        <w:left w:val="none" w:sz="0" w:space="0" w:color="auto"/>
        <w:bottom w:val="none" w:sz="0" w:space="0" w:color="auto"/>
        <w:right w:val="none" w:sz="0" w:space="0" w:color="auto"/>
      </w:divBdr>
    </w:div>
    <w:div w:id="1957256074">
      <w:bodyDiv w:val="1"/>
      <w:marLeft w:val="0"/>
      <w:marRight w:val="0"/>
      <w:marTop w:val="0"/>
      <w:marBottom w:val="0"/>
      <w:divBdr>
        <w:top w:val="none" w:sz="0" w:space="0" w:color="auto"/>
        <w:left w:val="none" w:sz="0" w:space="0" w:color="auto"/>
        <w:bottom w:val="none" w:sz="0" w:space="0" w:color="auto"/>
        <w:right w:val="none" w:sz="0" w:space="0" w:color="auto"/>
      </w:divBdr>
    </w:div>
    <w:div w:id="201603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901D5786AEC43A4ABA8F4D76D7186" ma:contentTypeVersion="0" ma:contentTypeDescription="Create a new document." ma:contentTypeScope="" ma:versionID="3eb9c5848446863a02e718a3252baf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FEA58-8926-4254-BE7E-AEA60C7B1E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BC207-AF9C-4F38-91E8-1CAD9C9707BF}">
  <ds:schemaRefs>
    <ds:schemaRef ds:uri="http://schemas.microsoft.com/sharepoint/v3/contenttype/forms"/>
  </ds:schemaRefs>
</ds:datastoreItem>
</file>

<file path=customXml/itemProps3.xml><?xml version="1.0" encoding="utf-8"?>
<ds:datastoreItem xmlns:ds="http://schemas.openxmlformats.org/officeDocument/2006/customXml" ds:itemID="{EFD99963-B727-41E2-B339-5D4376C93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262B28-DC7C-4FC3-A2CD-79E83DAD4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ATTACHMENT 71124</vt:lpstr>
    </vt:vector>
  </TitlesOfParts>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71124</dc:title>
  <dc:creator/>
  <cp:lastModifiedBy/>
  <cp:revision>1</cp:revision>
  <cp:lastPrinted>2009-11-13T13:25:00Z</cp:lastPrinted>
  <dcterms:created xsi:type="dcterms:W3CDTF">2020-03-05T18:42:00Z</dcterms:created>
  <dcterms:modified xsi:type="dcterms:W3CDTF">2020-03-05T18:42:00Z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0x0101008E3901D5786AEC43A4ABA8F4D76D7186</vt:lpwstr>
  </property>
</Properties>
</file>