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F6" w:rsidRPr="00D61340" w:rsidRDefault="00D61340" w:rsidP="00D61340">
      <w:pPr>
        <w:tabs>
          <w:tab w:val="center" w:pos="4680"/>
          <w:tab w:val="right" w:pos="9360"/>
        </w:tabs>
        <w:spacing w:line="240" w:lineRule="auto"/>
        <w:rPr>
          <w:b/>
          <w:szCs w:val="38"/>
        </w:rPr>
      </w:pPr>
      <w:bookmarkStart w:id="0" w:name="_GoBack"/>
      <w:bookmarkEnd w:id="0"/>
      <w:r>
        <w:rPr>
          <w:b/>
          <w:sz w:val="38"/>
          <w:szCs w:val="38"/>
        </w:rPr>
        <w:tab/>
      </w:r>
      <w:r w:rsidR="003848F6" w:rsidRPr="003848F6">
        <w:rPr>
          <w:b/>
          <w:sz w:val="38"/>
          <w:szCs w:val="38"/>
        </w:rPr>
        <w:t>NRC INSPECTION MANUAL</w:t>
      </w:r>
      <w:r>
        <w:rPr>
          <w:b/>
          <w:sz w:val="38"/>
          <w:szCs w:val="38"/>
        </w:rPr>
        <w:tab/>
      </w:r>
      <w:r w:rsidRPr="00D61340">
        <w:rPr>
          <w:szCs w:val="38"/>
        </w:rPr>
        <w:t>FCSE</w:t>
      </w:r>
    </w:p>
    <w:p w:rsidR="00425BD3" w:rsidRPr="00EB4A32" w:rsidRDefault="00425BD3" w:rsidP="00D61340">
      <w:pPr>
        <w:spacing w:line="240" w:lineRule="auto"/>
        <w:jc w:val="center"/>
        <w:rPr>
          <w:szCs w:val="38"/>
        </w:rPr>
      </w:pPr>
    </w:p>
    <w:p w:rsidR="003848F6" w:rsidRDefault="00103BF0" w:rsidP="00D61340">
      <w:pPr>
        <w:pBdr>
          <w:top w:val="single" w:sz="6" w:space="1" w:color="auto"/>
          <w:bottom w:val="single" w:sz="6" w:space="1" w:color="auto"/>
        </w:pBdr>
        <w:spacing w:line="240" w:lineRule="auto"/>
        <w:jc w:val="center"/>
      </w:pPr>
      <w:r>
        <w:t>INSPECTION MANUAL CHAPTER 2650</w:t>
      </w:r>
    </w:p>
    <w:p w:rsidR="00425BD3" w:rsidRDefault="00425BD3" w:rsidP="00D61340">
      <w:pPr>
        <w:spacing w:line="240" w:lineRule="auto"/>
      </w:pPr>
    </w:p>
    <w:p w:rsidR="00CA3BAF" w:rsidRDefault="00EB4A32" w:rsidP="00D61340">
      <w:pPr>
        <w:spacing w:line="240" w:lineRule="auto"/>
        <w:jc w:val="center"/>
      </w:pPr>
      <w:r>
        <w:t>FUEL CYCLE INSPECTION ASSESSMENT PROGRAM</w:t>
      </w:r>
    </w:p>
    <w:p w:rsidR="00425BD3" w:rsidRDefault="00425BD3" w:rsidP="00D61340">
      <w:pPr>
        <w:spacing w:line="240" w:lineRule="auto"/>
        <w:jc w:val="center"/>
      </w:pPr>
    </w:p>
    <w:p w:rsidR="00425BD3" w:rsidRDefault="007868C6" w:rsidP="00D61340">
      <w:pPr>
        <w:spacing w:line="240" w:lineRule="auto"/>
        <w:jc w:val="center"/>
      </w:pPr>
      <w:r>
        <w:t xml:space="preserve">Effective Date: </w:t>
      </w:r>
      <w:r w:rsidR="00103BF0">
        <w:t xml:space="preserve"> </w:t>
      </w:r>
      <w:r w:rsidR="003C4189">
        <w:t>11/08/</w:t>
      </w:r>
      <w:r w:rsidR="00103BF0">
        <w:t>2018</w:t>
      </w:r>
    </w:p>
    <w:p w:rsidR="00425BD3" w:rsidRDefault="00425BD3" w:rsidP="00D61340">
      <w:pPr>
        <w:spacing w:line="240" w:lineRule="auto"/>
        <w:jc w:val="center"/>
      </w:pPr>
    </w:p>
    <w:p w:rsidR="00CA3BAF" w:rsidRPr="00CF29BC" w:rsidRDefault="00CA3BAF" w:rsidP="00D61340">
      <w:pPr>
        <w:spacing w:line="240" w:lineRule="auto"/>
      </w:pPr>
    </w:p>
    <w:p w:rsidR="00CA3BAF" w:rsidRPr="00CF29BC" w:rsidRDefault="00103BF0" w:rsidP="00485D6C">
      <w:pPr>
        <w:tabs>
          <w:tab w:val="left" w:pos="274"/>
          <w:tab w:val="left" w:pos="99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  <w:r>
        <w:t>2650-01</w:t>
      </w:r>
      <w:r>
        <w:tab/>
      </w:r>
      <w:r>
        <w:tab/>
      </w:r>
      <w:r w:rsidR="00EE4309" w:rsidRPr="00CF29BC">
        <w:t>PURPOSE</w:t>
      </w:r>
    </w:p>
    <w:p w:rsidR="00EE4309" w:rsidRPr="00CF29BC" w:rsidRDefault="00EE4309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1A48FC" w:rsidRPr="00CF29BC" w:rsidRDefault="001A48FC" w:rsidP="00485D6C">
      <w:pPr>
        <w:tabs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  <w:r w:rsidRPr="00CF29BC">
        <w:t xml:space="preserve">The purpose of this manual chapter is to </w:t>
      </w:r>
      <w:r w:rsidR="009D5D95">
        <w:t xml:space="preserve">provide the </w:t>
      </w:r>
      <w:r w:rsidRPr="00CF29BC">
        <w:t>process for</w:t>
      </w:r>
      <w:r w:rsidR="00C142B3">
        <w:t xml:space="preserve"> annually</w:t>
      </w:r>
      <w:r w:rsidRPr="00CF29BC">
        <w:t xml:space="preserve"> assessing the Fuel Cycle Inspection Program.</w:t>
      </w:r>
      <w:r w:rsidR="007868C6">
        <w:t xml:space="preserve">  This</w:t>
      </w:r>
      <w:r w:rsidR="00C175AF">
        <w:t xml:space="preserve"> self-assessment process will evaluate the overall effectiveness of the Fuel Cycle Inspection Program in meeting its established goals and intended outcomes.</w:t>
      </w:r>
      <w:r w:rsidRPr="00CF29BC">
        <w:t xml:space="preserve">  </w:t>
      </w:r>
    </w:p>
    <w:p w:rsidR="001A48FC" w:rsidRDefault="001A48FC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D61340" w:rsidRPr="00CF29BC" w:rsidRDefault="00D61340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EE4309" w:rsidRPr="00CF29BC" w:rsidRDefault="00103BF0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  <w:r>
        <w:t>2650-02</w:t>
      </w:r>
      <w:r>
        <w:tab/>
      </w:r>
      <w:r w:rsidR="00EE4309" w:rsidRPr="00CF29BC">
        <w:t>OBJECTIVES</w:t>
      </w:r>
    </w:p>
    <w:p w:rsidR="00A01DB0" w:rsidRPr="00CF29BC" w:rsidRDefault="00A01DB0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1A48FC" w:rsidRPr="00CF29BC" w:rsidRDefault="00485D6C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</w:pPr>
      <w:r>
        <w:t>02.01</w:t>
      </w:r>
      <w:r>
        <w:tab/>
      </w:r>
      <w:r w:rsidR="001A48FC" w:rsidRPr="00CF29BC">
        <w:t xml:space="preserve">Determine the adequacy of inspection </w:t>
      </w:r>
      <w:r w:rsidR="00CA768B" w:rsidRPr="00CF29BC">
        <w:t xml:space="preserve">program </w:t>
      </w:r>
      <w:r w:rsidR="001A48FC" w:rsidRPr="00CF29BC">
        <w:t>requirements and guidance</w:t>
      </w:r>
      <w:r w:rsidR="00004C6A">
        <w:t>,</w:t>
      </w:r>
      <w:r w:rsidR="007868C6">
        <w:t xml:space="preserve"> including inspection procedures and manual chapters</w:t>
      </w:r>
      <w:r w:rsidR="001A48FC" w:rsidRPr="00CF29BC">
        <w:t>.</w:t>
      </w:r>
    </w:p>
    <w:p w:rsidR="00A01DB0" w:rsidRPr="00CF29BC" w:rsidRDefault="00A01DB0" w:rsidP="00485D6C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0"/>
      </w:pPr>
    </w:p>
    <w:p w:rsidR="001A48FC" w:rsidRPr="00CF29BC" w:rsidRDefault="00485D6C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</w:pPr>
      <w:r>
        <w:t>02.02</w:t>
      </w:r>
      <w:r>
        <w:tab/>
      </w:r>
      <w:r w:rsidR="00301EC4" w:rsidRPr="00CF29BC">
        <w:t xml:space="preserve">Determine whether inspection </w:t>
      </w:r>
      <w:r w:rsidR="00414C4B">
        <w:t>documentation is</w:t>
      </w:r>
      <w:r w:rsidR="00301EC4" w:rsidRPr="00CF29BC">
        <w:t xml:space="preserve"> consistent with agency </w:t>
      </w:r>
      <w:r w:rsidR="00CA768B" w:rsidRPr="00CF29BC">
        <w:t xml:space="preserve">regulations, </w:t>
      </w:r>
      <w:r w:rsidR="00301EC4" w:rsidRPr="00CF29BC">
        <w:t xml:space="preserve">guidance, </w:t>
      </w:r>
      <w:r w:rsidR="007868C6">
        <w:t xml:space="preserve">and </w:t>
      </w:r>
      <w:r w:rsidR="00301EC4" w:rsidRPr="00CF29BC">
        <w:t>technical positions</w:t>
      </w:r>
      <w:r w:rsidR="007868C6">
        <w:t xml:space="preserve">. </w:t>
      </w:r>
      <w:r w:rsidR="00301EC4" w:rsidRPr="00CF29BC">
        <w:t xml:space="preserve"> </w:t>
      </w:r>
    </w:p>
    <w:p w:rsidR="00A01DB0" w:rsidRPr="00CF29BC" w:rsidRDefault="00A01DB0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8816A0" w:rsidRDefault="00485D6C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</w:pPr>
      <w:r>
        <w:t>02.03</w:t>
      </w:r>
      <w:r>
        <w:tab/>
      </w:r>
      <w:r w:rsidR="008816A0">
        <w:t xml:space="preserve">Provide timely, objective information to inform program planning and to develop recommended improvements to the inspection program. </w:t>
      </w:r>
    </w:p>
    <w:p w:rsidR="00E1739F" w:rsidRDefault="00E1739F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</w:pPr>
    </w:p>
    <w:p w:rsidR="007868C6" w:rsidRDefault="007868C6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</w:pPr>
    </w:p>
    <w:p w:rsidR="00E1739F" w:rsidRDefault="00E1739F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</w:pPr>
      <w:r>
        <w:t>2650-03</w:t>
      </w:r>
      <w:r>
        <w:tab/>
        <w:t>APPLICABILITY</w:t>
      </w:r>
    </w:p>
    <w:p w:rsidR="00E1739F" w:rsidRDefault="00E1739F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</w:pPr>
    </w:p>
    <w:p w:rsidR="00E1739F" w:rsidRPr="00CF29BC" w:rsidRDefault="00E1739F" w:rsidP="00E1739F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</w:pPr>
      <w:r>
        <w:t>The self-assessment process described in this Inspection Manual Chapter (IMC) applies to all p</w:t>
      </w:r>
      <w:r w:rsidR="007868C6">
        <w:t>rocesses and procedures</w:t>
      </w:r>
      <w:r>
        <w:t xml:space="preserve"> that are utilized to implement the </w:t>
      </w:r>
      <w:r w:rsidR="00004C6A">
        <w:t>Fuel C</w:t>
      </w:r>
      <w:r w:rsidR="00414C4B">
        <w:t xml:space="preserve">ycle </w:t>
      </w:r>
      <w:r w:rsidR="00004C6A">
        <w:t>Inspection P</w:t>
      </w:r>
      <w:r>
        <w:t>rogram.</w:t>
      </w:r>
    </w:p>
    <w:p w:rsidR="00301EC4" w:rsidRPr="00CF29BC" w:rsidRDefault="00301EC4" w:rsidP="00485D6C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0"/>
      </w:pPr>
    </w:p>
    <w:p w:rsidR="007868C6" w:rsidRDefault="007868C6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EE4309" w:rsidRDefault="009C5594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  <w:r>
        <w:t>2650-04</w:t>
      </w:r>
      <w:r w:rsidR="003B062A">
        <w:tab/>
        <w:t>RESPONSIBILITES AND AUTHORITIES</w:t>
      </w:r>
    </w:p>
    <w:p w:rsidR="003B062A" w:rsidRDefault="003B062A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3B062A" w:rsidRPr="003B062A" w:rsidRDefault="009C5594" w:rsidP="003B062A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rPr>
          <w:u w:val="single"/>
        </w:rPr>
      </w:pPr>
      <w:r>
        <w:t>04</w:t>
      </w:r>
      <w:r w:rsidR="003B062A">
        <w:t>.01</w:t>
      </w:r>
      <w:r w:rsidR="003B062A">
        <w:tab/>
      </w:r>
      <w:r w:rsidR="003B062A" w:rsidRPr="003B062A">
        <w:rPr>
          <w:u w:val="single"/>
        </w:rPr>
        <w:t>Director, Division of Fuel Cycle Safety, Safeguards and Environmental Review (FC</w:t>
      </w:r>
      <w:r w:rsidR="00004C6A">
        <w:rPr>
          <w:u w:val="single"/>
        </w:rPr>
        <w:t>SE), Office of Nuclear Material</w:t>
      </w:r>
      <w:r w:rsidR="003B062A" w:rsidRPr="003B062A">
        <w:rPr>
          <w:u w:val="single"/>
        </w:rPr>
        <w:t xml:space="preserve"> Safety and Safeguards (NMSS) </w:t>
      </w:r>
    </w:p>
    <w:p w:rsidR="003B062A" w:rsidRDefault="003B062A" w:rsidP="003B062A">
      <w:pPr>
        <w:pStyle w:val="Default"/>
        <w:rPr>
          <w:sz w:val="22"/>
          <w:szCs w:val="22"/>
        </w:rPr>
      </w:pPr>
    </w:p>
    <w:p w:rsidR="003B062A" w:rsidRDefault="003B062A" w:rsidP="003B062A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Oversees the implementation of the self-assessment program. </w:t>
      </w:r>
    </w:p>
    <w:p w:rsidR="003B062A" w:rsidRDefault="003B062A" w:rsidP="003B062A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3B062A">
        <w:rPr>
          <w:sz w:val="22"/>
          <w:szCs w:val="22"/>
        </w:rPr>
        <w:t>Develops poli</w:t>
      </w:r>
      <w:r>
        <w:rPr>
          <w:sz w:val="22"/>
          <w:szCs w:val="22"/>
        </w:rPr>
        <w:t xml:space="preserve">cies and procedures for the </w:t>
      </w:r>
      <w:r w:rsidRPr="003B062A">
        <w:rPr>
          <w:sz w:val="22"/>
          <w:szCs w:val="22"/>
        </w:rPr>
        <w:t xml:space="preserve">self-assessment program. </w:t>
      </w:r>
    </w:p>
    <w:p w:rsidR="003B062A" w:rsidRDefault="003B062A" w:rsidP="003B062A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3B062A">
        <w:rPr>
          <w:sz w:val="22"/>
          <w:szCs w:val="22"/>
        </w:rPr>
        <w:t>Reviews, approves, and ens</w:t>
      </w:r>
      <w:r>
        <w:rPr>
          <w:sz w:val="22"/>
          <w:szCs w:val="22"/>
        </w:rPr>
        <w:t xml:space="preserve">ures issuance of the annual </w:t>
      </w:r>
      <w:r w:rsidRPr="003B062A">
        <w:rPr>
          <w:sz w:val="22"/>
          <w:szCs w:val="22"/>
        </w:rPr>
        <w:t>self-</w:t>
      </w:r>
      <w:r>
        <w:rPr>
          <w:sz w:val="22"/>
          <w:szCs w:val="22"/>
        </w:rPr>
        <w:t>assessment report</w:t>
      </w:r>
      <w:r w:rsidRPr="003B062A">
        <w:rPr>
          <w:sz w:val="22"/>
          <w:szCs w:val="22"/>
        </w:rPr>
        <w:t xml:space="preserve">. </w:t>
      </w:r>
    </w:p>
    <w:p w:rsidR="003B062A" w:rsidRDefault="003B062A" w:rsidP="003B062A">
      <w:pPr>
        <w:pStyle w:val="Default"/>
        <w:rPr>
          <w:sz w:val="22"/>
          <w:szCs w:val="22"/>
        </w:rPr>
      </w:pPr>
    </w:p>
    <w:p w:rsidR="003B062A" w:rsidRDefault="009C5594" w:rsidP="003B062A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rPr>
          <w:u w:val="single"/>
        </w:rPr>
      </w:pPr>
      <w:r>
        <w:t>04</w:t>
      </w:r>
      <w:r w:rsidR="003B062A">
        <w:t xml:space="preserve">.02 </w:t>
      </w:r>
      <w:r w:rsidR="003B062A">
        <w:tab/>
      </w:r>
      <w:r w:rsidR="003B062A" w:rsidRPr="003B062A">
        <w:rPr>
          <w:u w:val="single"/>
        </w:rPr>
        <w:t>Director, Division of Fuel Facility Inspection (DFFI), Region II</w:t>
      </w:r>
    </w:p>
    <w:p w:rsidR="003B062A" w:rsidRDefault="003B062A" w:rsidP="003B062A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</w:pPr>
    </w:p>
    <w:p w:rsidR="003B062A" w:rsidRDefault="003B062A" w:rsidP="003B062A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Ensure</w:t>
      </w:r>
      <w:r w:rsidR="00E1739F">
        <w:rPr>
          <w:sz w:val="22"/>
          <w:szCs w:val="22"/>
        </w:rPr>
        <w:t>s</w:t>
      </w:r>
      <w:r>
        <w:rPr>
          <w:sz w:val="22"/>
          <w:szCs w:val="22"/>
        </w:rPr>
        <w:t xml:space="preserve"> regional data is collected and submitted to facilitate analysis.</w:t>
      </w:r>
    </w:p>
    <w:p w:rsidR="00B52C5E" w:rsidRPr="00B52C5E" w:rsidRDefault="007868C6" w:rsidP="00B52C5E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Supports</w:t>
      </w:r>
      <w:r w:rsidR="00E1739F">
        <w:rPr>
          <w:sz w:val="22"/>
          <w:szCs w:val="22"/>
        </w:rPr>
        <w:t xml:space="preserve"> self-assessment</w:t>
      </w:r>
      <w:r w:rsidR="00B52C5E">
        <w:rPr>
          <w:sz w:val="22"/>
          <w:szCs w:val="22"/>
        </w:rPr>
        <w:t xml:space="preserve"> reviews, as applicable</w:t>
      </w:r>
      <w:r w:rsidR="00004C6A">
        <w:rPr>
          <w:sz w:val="22"/>
          <w:szCs w:val="22"/>
        </w:rPr>
        <w:t>.</w:t>
      </w:r>
      <w:r w:rsidR="00B52C5E">
        <w:rPr>
          <w:sz w:val="22"/>
          <w:szCs w:val="22"/>
        </w:rPr>
        <w:t xml:space="preserve"> </w:t>
      </w:r>
    </w:p>
    <w:p w:rsidR="003B062A" w:rsidRPr="003B062A" w:rsidRDefault="003B062A" w:rsidP="003B062A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Review</w:t>
      </w:r>
      <w:r w:rsidR="007868C6">
        <w:rPr>
          <w:sz w:val="22"/>
          <w:szCs w:val="22"/>
        </w:rPr>
        <w:t>s</w:t>
      </w:r>
      <w:r>
        <w:rPr>
          <w:sz w:val="22"/>
          <w:szCs w:val="22"/>
        </w:rPr>
        <w:t xml:space="preserve"> and approve</w:t>
      </w:r>
      <w:r w:rsidR="007868C6">
        <w:rPr>
          <w:sz w:val="22"/>
          <w:szCs w:val="22"/>
        </w:rPr>
        <w:t>s</w:t>
      </w:r>
      <w:r>
        <w:rPr>
          <w:sz w:val="22"/>
          <w:szCs w:val="22"/>
        </w:rPr>
        <w:t xml:space="preserve"> the annual self-assessment report. </w:t>
      </w:r>
    </w:p>
    <w:p w:rsidR="003B062A" w:rsidRDefault="003B062A" w:rsidP="00B52C5E">
      <w:pPr>
        <w:pStyle w:val="Default"/>
        <w:rPr>
          <w:sz w:val="22"/>
          <w:szCs w:val="22"/>
        </w:rPr>
      </w:pPr>
    </w:p>
    <w:p w:rsidR="003C4189" w:rsidRDefault="003C4189" w:rsidP="00B52C5E">
      <w:pPr>
        <w:pStyle w:val="Default"/>
        <w:rPr>
          <w:sz w:val="22"/>
          <w:szCs w:val="22"/>
        </w:rPr>
      </w:pPr>
    </w:p>
    <w:p w:rsidR="00B52C5E" w:rsidRPr="00B52C5E" w:rsidRDefault="009C5594" w:rsidP="00B52C5E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rPr>
          <w:u w:val="single"/>
        </w:rPr>
      </w:pPr>
      <w:r>
        <w:lastRenderedPageBreak/>
        <w:t>04</w:t>
      </w:r>
      <w:r w:rsidR="00B52C5E">
        <w:t>.03</w:t>
      </w:r>
      <w:r w:rsidR="00B52C5E">
        <w:tab/>
      </w:r>
      <w:r w:rsidR="00B52C5E" w:rsidRPr="00B52C5E">
        <w:rPr>
          <w:u w:val="single"/>
        </w:rPr>
        <w:t xml:space="preserve">Chief, </w:t>
      </w:r>
      <w:r w:rsidR="00E46ED5">
        <w:rPr>
          <w:u w:val="single"/>
        </w:rPr>
        <w:t>Fuel Facility Licensing and Oversight Branch (FLOB</w:t>
      </w:r>
      <w:r w:rsidR="00450190">
        <w:rPr>
          <w:u w:val="single"/>
        </w:rPr>
        <w:t>)</w:t>
      </w:r>
      <w:r w:rsidR="002112A0">
        <w:rPr>
          <w:u w:val="single"/>
        </w:rPr>
        <w:t xml:space="preserve"> NMSS/FCSE</w:t>
      </w:r>
    </w:p>
    <w:p w:rsidR="00B52C5E" w:rsidRDefault="00B52C5E" w:rsidP="00B52C5E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</w:pPr>
    </w:p>
    <w:p w:rsidR="00450190" w:rsidRDefault="00450190" w:rsidP="00450190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Develops </w:t>
      </w:r>
      <w:r w:rsidR="00004C6A">
        <w:rPr>
          <w:sz w:val="22"/>
          <w:szCs w:val="22"/>
        </w:rPr>
        <w:t>policies and procedures</w:t>
      </w:r>
      <w:r>
        <w:rPr>
          <w:sz w:val="22"/>
          <w:szCs w:val="22"/>
        </w:rPr>
        <w:t xml:space="preserve"> for the self-assessment program. </w:t>
      </w:r>
    </w:p>
    <w:p w:rsidR="00450190" w:rsidRPr="00450190" w:rsidRDefault="00450190" w:rsidP="00450190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450190">
        <w:rPr>
          <w:sz w:val="22"/>
          <w:szCs w:val="22"/>
        </w:rPr>
        <w:t xml:space="preserve">Ensures data from all sources are collected and consolidated to facilitate analysis. </w:t>
      </w:r>
    </w:p>
    <w:p w:rsidR="00450190" w:rsidRDefault="00450190" w:rsidP="00450190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450190">
        <w:rPr>
          <w:sz w:val="22"/>
          <w:szCs w:val="22"/>
        </w:rPr>
        <w:t>Recommends and imp</w:t>
      </w:r>
      <w:r>
        <w:rPr>
          <w:sz w:val="22"/>
          <w:szCs w:val="22"/>
        </w:rPr>
        <w:t xml:space="preserve">lements improvements to the </w:t>
      </w:r>
      <w:r w:rsidRPr="00450190">
        <w:rPr>
          <w:sz w:val="22"/>
          <w:szCs w:val="22"/>
        </w:rPr>
        <w:t xml:space="preserve">self-assessment program. </w:t>
      </w:r>
    </w:p>
    <w:p w:rsidR="00B52C5E" w:rsidRDefault="00450190" w:rsidP="00450190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Develops the annual</w:t>
      </w:r>
      <w:r w:rsidRPr="00450190">
        <w:rPr>
          <w:sz w:val="22"/>
          <w:szCs w:val="22"/>
        </w:rPr>
        <w:t xml:space="preserve"> self-assessment report.</w:t>
      </w:r>
    </w:p>
    <w:p w:rsidR="0049484B" w:rsidRDefault="0049484B" w:rsidP="00450190">
      <w:pPr>
        <w:pStyle w:val="Default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Signs the annual self-assessment report and sends to Directors of FCSE and DFFI for review. </w:t>
      </w:r>
    </w:p>
    <w:p w:rsidR="009C5594" w:rsidRDefault="009C5594" w:rsidP="009C5594">
      <w:pPr>
        <w:pStyle w:val="Default"/>
        <w:ind w:left="720"/>
        <w:rPr>
          <w:sz w:val="22"/>
          <w:szCs w:val="22"/>
        </w:rPr>
      </w:pPr>
    </w:p>
    <w:p w:rsidR="00E30460" w:rsidRDefault="00E30460" w:rsidP="009C5594">
      <w:pPr>
        <w:pStyle w:val="Default"/>
        <w:ind w:left="720"/>
        <w:rPr>
          <w:sz w:val="22"/>
          <w:szCs w:val="22"/>
        </w:rPr>
      </w:pPr>
    </w:p>
    <w:p w:rsidR="00CA3BAF" w:rsidRPr="00CF29BC" w:rsidRDefault="009C5594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  <w:r>
        <w:t>2650-05</w:t>
      </w:r>
      <w:r w:rsidR="00103BF0">
        <w:tab/>
      </w:r>
      <w:r>
        <w:t xml:space="preserve">ELEMENT 1: </w:t>
      </w:r>
      <w:r w:rsidR="003C4189">
        <w:t xml:space="preserve"> </w:t>
      </w:r>
      <w:r w:rsidR="007868C6">
        <w:t>EFFICACY</w:t>
      </w:r>
      <w:r w:rsidR="00CA3BAF" w:rsidRPr="00CF29BC">
        <w:t xml:space="preserve"> REVIEW</w:t>
      </w:r>
    </w:p>
    <w:p w:rsidR="00CA3BAF" w:rsidRPr="00CF29BC" w:rsidRDefault="00CA3BAF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CA3BAF" w:rsidRDefault="00E82D73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  <w:r>
        <w:t xml:space="preserve">The </w:t>
      </w:r>
      <w:r w:rsidR="007868C6">
        <w:t>efficacy</w:t>
      </w:r>
      <w:r>
        <w:t xml:space="preserve"> review will </w:t>
      </w:r>
      <w:r w:rsidR="0069148C" w:rsidRPr="00CF29BC">
        <w:t>determine</w:t>
      </w:r>
      <w:r w:rsidR="00CA3BAF" w:rsidRPr="00CF29BC">
        <w:t xml:space="preserve"> whether inspection guidance</w:t>
      </w:r>
      <w:r w:rsidR="00CA3BAF" w:rsidRPr="00CF29BC">
        <w:rPr>
          <w:rStyle w:val="FootnoteReference"/>
        </w:rPr>
        <w:footnoteReference w:id="1"/>
      </w:r>
      <w:r w:rsidR="00CA3BAF" w:rsidRPr="00CF29BC">
        <w:t xml:space="preserve"> </w:t>
      </w:r>
      <w:r w:rsidR="000F10F9">
        <w:t>is sufficient to identify</w:t>
      </w:r>
      <w:r w:rsidR="00A52F18" w:rsidRPr="00CF29BC">
        <w:t xml:space="preserve"> performance issues</w:t>
      </w:r>
      <w:r w:rsidR="000F10F9">
        <w:t xml:space="preserve"> observed through recent experience</w:t>
      </w:r>
      <w:r w:rsidR="0069148C" w:rsidRPr="00CF29BC">
        <w:t>.</w:t>
      </w:r>
    </w:p>
    <w:p w:rsidR="00E82D73" w:rsidRDefault="00E82D73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  <w:rPr>
          <w:u w:val="single"/>
        </w:rPr>
      </w:pPr>
      <w:r w:rsidRPr="00E82D73">
        <w:tab/>
      </w:r>
    </w:p>
    <w:p w:rsidR="005F7153" w:rsidRPr="00CF29BC" w:rsidRDefault="009C5594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  <w:r>
        <w:t>05.01</w:t>
      </w:r>
      <w:r w:rsidR="00E82D73" w:rsidRPr="00E82D73">
        <w:tab/>
      </w:r>
      <w:r w:rsidR="00E849E9">
        <w:rPr>
          <w:u w:val="single"/>
        </w:rPr>
        <w:t>Assessment Area</w:t>
      </w:r>
      <w:r w:rsidR="00E849E9" w:rsidRPr="00E849E9">
        <w:rPr>
          <w:u w:val="single"/>
        </w:rPr>
        <w:t xml:space="preserve"> 1</w:t>
      </w:r>
      <w:r>
        <w:rPr>
          <w:u w:val="single"/>
        </w:rPr>
        <w:t>:</w:t>
      </w:r>
      <w:r>
        <w:t xml:space="preserve"> </w:t>
      </w:r>
      <w:r w:rsidR="003C4189">
        <w:t xml:space="preserve"> </w:t>
      </w:r>
      <w:r w:rsidR="00E849E9">
        <w:t>Assess the s</w:t>
      </w:r>
      <w:r w:rsidR="00575E4C" w:rsidRPr="00E849E9">
        <w:t>ufficiency</w:t>
      </w:r>
      <w:r w:rsidR="0049484B">
        <w:t xml:space="preserve"> of inspection guidance</w:t>
      </w:r>
      <w:r w:rsidR="00575E4C" w:rsidRPr="00CF29BC">
        <w:t xml:space="preserve"> to</w:t>
      </w:r>
      <w:r w:rsidR="0049484B">
        <w:t xml:space="preserve"> support the proactive identification of</w:t>
      </w:r>
      <w:r w:rsidR="00575E4C" w:rsidRPr="00CF29BC">
        <w:t xml:space="preserve"> safety, safeguards, and regulatory performance issues as revealed by operating experience</w:t>
      </w:r>
      <w:r w:rsidR="00E849E9">
        <w:t>.</w:t>
      </w:r>
    </w:p>
    <w:p w:rsidR="00575E4C" w:rsidRPr="00CF29BC" w:rsidRDefault="00575E4C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9C5594" w:rsidRDefault="009C5594" w:rsidP="00E82D73">
      <w:pPr>
        <w:pStyle w:val="ListParagraph"/>
        <w:numPr>
          <w:ilvl w:val="0"/>
          <w:numId w:val="5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  <w:r w:rsidRPr="00E82D73">
        <w:rPr>
          <w:u w:val="single"/>
        </w:rPr>
        <w:t>Lead</w:t>
      </w:r>
      <w:r>
        <w:rPr>
          <w:u w:val="single"/>
        </w:rPr>
        <w:t xml:space="preserve"> Organization:</w:t>
      </w:r>
      <w:r>
        <w:t xml:space="preserve"> </w:t>
      </w:r>
      <w:r w:rsidR="003C4189">
        <w:t xml:space="preserve"> </w:t>
      </w:r>
      <w:r w:rsidRPr="00E82D73">
        <w:t>NMSS/FCSE/</w:t>
      </w:r>
      <w:r w:rsidR="00E46ED5">
        <w:t>FLO</w:t>
      </w:r>
      <w:r w:rsidRPr="00E82D73">
        <w:t>B</w:t>
      </w:r>
    </w:p>
    <w:p w:rsidR="009C5594" w:rsidRPr="009C5594" w:rsidRDefault="009C5594" w:rsidP="009C5594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/>
      </w:pPr>
    </w:p>
    <w:p w:rsidR="00B135D6" w:rsidRDefault="000A0189" w:rsidP="00B135D6">
      <w:pPr>
        <w:pStyle w:val="ListParagraph"/>
        <w:numPr>
          <w:ilvl w:val="0"/>
          <w:numId w:val="5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  <w:r w:rsidRPr="00853F60">
        <w:rPr>
          <w:u w:val="single"/>
        </w:rPr>
        <w:t>Assessment Activities</w:t>
      </w:r>
      <w:r w:rsidR="009C5594">
        <w:t>:</w:t>
      </w:r>
      <w:r w:rsidR="00E849E9">
        <w:t xml:space="preserve">  </w:t>
      </w:r>
      <w:r w:rsidR="007868C6">
        <w:t>Review all Part 70 Appendix A</w:t>
      </w:r>
      <w:r w:rsidR="00367F81" w:rsidRPr="00CF29BC">
        <w:t xml:space="preserve"> reportable events</w:t>
      </w:r>
      <w:r w:rsidR="007868C6">
        <w:t xml:space="preserve"> </w:t>
      </w:r>
      <w:r w:rsidR="000F10F9">
        <w:t>(</w:t>
      </w:r>
      <w:r w:rsidR="0049484B">
        <w:t xml:space="preserve">over the past </w:t>
      </w:r>
      <w:r w:rsidR="007868C6">
        <w:t>10 years</w:t>
      </w:r>
      <w:r w:rsidR="000F10F9">
        <w:t>)</w:t>
      </w:r>
      <w:r w:rsidR="009649B5">
        <w:t xml:space="preserve"> and other documented </w:t>
      </w:r>
      <w:r w:rsidR="005717FC">
        <w:t>issues</w:t>
      </w:r>
      <w:r w:rsidR="009649B5">
        <w:t xml:space="preserve"> (e.g.</w:t>
      </w:r>
      <w:r w:rsidR="0049484B">
        <w:t>,</w:t>
      </w:r>
      <w:r w:rsidR="009649B5">
        <w:t xml:space="preserve"> findings or unresolved items in inspection reports) </w:t>
      </w:r>
      <w:r w:rsidR="009649B5" w:rsidRPr="00CF29BC">
        <w:t xml:space="preserve">that occurred </w:t>
      </w:r>
      <w:r w:rsidR="00853F60">
        <w:t>during the assessment period.</w:t>
      </w:r>
    </w:p>
    <w:p w:rsidR="00B135D6" w:rsidRDefault="00B135D6" w:rsidP="007868C6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</w:pPr>
    </w:p>
    <w:p w:rsidR="00B135D6" w:rsidRDefault="00367F81" w:rsidP="00B135D6">
      <w:pPr>
        <w:pStyle w:val="ListParagraph"/>
        <w:numPr>
          <w:ilvl w:val="1"/>
          <w:numId w:val="5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</w:pPr>
      <w:r w:rsidRPr="00CF29BC">
        <w:t xml:space="preserve">Determine whether the </w:t>
      </w:r>
      <w:r w:rsidR="00B135D6">
        <w:t xml:space="preserve">relevant </w:t>
      </w:r>
      <w:r w:rsidRPr="00CF29BC">
        <w:t xml:space="preserve">inspection procedures </w:t>
      </w:r>
      <w:r w:rsidR="005717FC">
        <w:t>have the</w:t>
      </w:r>
      <w:r w:rsidRPr="00CF29BC">
        <w:t xml:space="preserve"> appropriate</w:t>
      </w:r>
      <w:r w:rsidR="005717FC">
        <w:t xml:space="preserve"> scope</w:t>
      </w:r>
      <w:r w:rsidR="00853F60">
        <w:t xml:space="preserve"> and focus</w:t>
      </w:r>
      <w:r w:rsidR="005717FC">
        <w:t xml:space="preserve"> to </w:t>
      </w:r>
      <w:r w:rsidR="00853F60">
        <w:t xml:space="preserve">identify and </w:t>
      </w:r>
      <w:r w:rsidR="005717FC">
        <w:t>assess the</w:t>
      </w:r>
      <w:r w:rsidRPr="00CF29BC">
        <w:t xml:space="preserve"> i</w:t>
      </w:r>
      <w:r w:rsidR="007868C6">
        <w:t>ssues revealed through recent experience</w:t>
      </w:r>
      <w:r w:rsidR="00944BEB" w:rsidRPr="00CF29BC">
        <w:t>.</w:t>
      </w:r>
      <w:r w:rsidR="00853F60">
        <w:t xml:space="preserve"> </w:t>
      </w:r>
    </w:p>
    <w:p w:rsidR="00944BEB" w:rsidRDefault="00853F60" w:rsidP="00B135D6">
      <w:pPr>
        <w:pStyle w:val="ListParagraph"/>
        <w:numPr>
          <w:ilvl w:val="1"/>
          <w:numId w:val="5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</w:pPr>
      <w:r>
        <w:t>D</w:t>
      </w:r>
      <w:r w:rsidRPr="00CF29BC">
        <w:t xml:space="preserve">etermine </w:t>
      </w:r>
      <w:r w:rsidR="007868C6">
        <w:t>if changes in</w:t>
      </w:r>
      <w:r>
        <w:t xml:space="preserve"> frequency</w:t>
      </w:r>
      <w:r w:rsidR="007868C6">
        <w:t xml:space="preserve"> or level of effort are needed</w:t>
      </w:r>
      <w:r w:rsidRPr="00CF29BC">
        <w:t xml:space="preserve"> to address trends and concerns identified </w:t>
      </w:r>
      <w:r>
        <w:t xml:space="preserve">by operating experience. </w:t>
      </w:r>
    </w:p>
    <w:p w:rsidR="00853F60" w:rsidRPr="00CF29BC" w:rsidRDefault="00853F60" w:rsidP="00853F6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</w:pPr>
    </w:p>
    <w:p w:rsidR="00E849E9" w:rsidRDefault="00E849E9" w:rsidP="00E82D73">
      <w:pPr>
        <w:pStyle w:val="ListParagraph"/>
        <w:numPr>
          <w:ilvl w:val="0"/>
          <w:numId w:val="5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  <w:r w:rsidRPr="00E849E9">
        <w:rPr>
          <w:u w:val="single"/>
        </w:rPr>
        <w:t>Guidance</w:t>
      </w:r>
      <w:r w:rsidR="009C5594">
        <w:t>:</w:t>
      </w:r>
      <w:r>
        <w:t xml:space="preserve">  </w:t>
      </w:r>
      <w:r w:rsidR="009C5594">
        <w:t>R</w:t>
      </w:r>
      <w:r w:rsidR="007868C6">
        <w:t xml:space="preserve">eview </w:t>
      </w:r>
      <w:r w:rsidR="007868C6" w:rsidRPr="00CF29BC">
        <w:t xml:space="preserve">the Annual </w:t>
      </w:r>
      <w:r w:rsidR="007868C6">
        <w:t>Fuel Cycle Operating Experience Report</w:t>
      </w:r>
      <w:r w:rsidR="00F1197B" w:rsidRPr="00CF29BC">
        <w:t xml:space="preserve">, </w:t>
      </w:r>
      <w:r w:rsidR="007868C6">
        <w:t xml:space="preserve">including </w:t>
      </w:r>
      <w:r w:rsidR="00C42379" w:rsidRPr="00CF29BC">
        <w:t>any conclusions concerning trends and/or common causes and contributing fac</w:t>
      </w:r>
      <w:r w:rsidR="007868C6">
        <w:t>tors</w:t>
      </w:r>
      <w:r w:rsidR="00853F60">
        <w:t xml:space="preserve">; </w:t>
      </w:r>
      <w:r w:rsidR="00C42379" w:rsidRPr="00CF29BC">
        <w:t xml:space="preserve">compare them to the inspection areas in applicable inspection </w:t>
      </w:r>
      <w:r w:rsidR="007868C6">
        <w:t xml:space="preserve">guidance and </w:t>
      </w:r>
      <w:r w:rsidR="00C42379" w:rsidRPr="00CF29BC">
        <w:t>procedures.</w:t>
      </w:r>
      <w:r w:rsidR="00F213AF">
        <w:t xml:space="preserve"> </w:t>
      </w:r>
      <w:r w:rsidR="003C4189">
        <w:t xml:space="preserve"> </w:t>
      </w:r>
      <w:r w:rsidR="00F213AF" w:rsidRPr="00CF29BC">
        <w:t xml:space="preserve">The distribution of inspection resources should be commensurate with the perceived risk significance </w:t>
      </w:r>
      <w:r w:rsidR="00F213AF">
        <w:t>and</w:t>
      </w:r>
      <w:r w:rsidR="00F213AF" w:rsidRPr="00CF29BC">
        <w:t xml:space="preserve"> informed by operating experience.</w:t>
      </w:r>
    </w:p>
    <w:p w:rsidR="00E849E9" w:rsidRDefault="00E849E9" w:rsidP="00E82D73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</w:p>
    <w:p w:rsidR="00E849E9" w:rsidRDefault="00655CEB" w:rsidP="00637A32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firstLine="3"/>
      </w:pPr>
      <w:r>
        <w:t xml:space="preserve">Note: </w:t>
      </w:r>
      <w:r w:rsidR="003C4189">
        <w:t xml:space="preserve"> </w:t>
      </w:r>
      <w:r w:rsidR="005717FC">
        <w:t>I</w:t>
      </w:r>
      <w:r w:rsidR="00BD41B7" w:rsidRPr="00CF29BC">
        <w:t xml:space="preserve">f </w:t>
      </w:r>
      <w:r w:rsidR="008D7B79">
        <w:t xml:space="preserve">safety </w:t>
      </w:r>
      <w:r w:rsidR="00477C9C" w:rsidRPr="00CF29BC">
        <w:t>si</w:t>
      </w:r>
      <w:r w:rsidR="008D7B79">
        <w:t>gnificant issues or adverse trends arise</w:t>
      </w:r>
      <w:r w:rsidR="007868C6">
        <w:t xml:space="preserve"> in areas that were not </w:t>
      </w:r>
      <w:r w:rsidR="005717FC">
        <w:t>inspected</w:t>
      </w:r>
      <w:r w:rsidR="00477C9C" w:rsidRPr="00CF29BC">
        <w:t xml:space="preserve">, this may indicate that </w:t>
      </w:r>
      <w:r w:rsidR="005717FC">
        <w:t>the scope of an inspection procedure may need to be revised</w:t>
      </w:r>
      <w:r w:rsidR="00477C9C" w:rsidRPr="00CF29BC">
        <w:t xml:space="preserve">.  If </w:t>
      </w:r>
      <w:r w:rsidR="008D7B79">
        <w:t xml:space="preserve">safety </w:t>
      </w:r>
      <w:r w:rsidR="00477C9C" w:rsidRPr="00CF29BC">
        <w:t>significant issues</w:t>
      </w:r>
      <w:r w:rsidR="008D7B79">
        <w:t xml:space="preserve"> or adverse trends</w:t>
      </w:r>
      <w:r w:rsidR="00477C9C" w:rsidRPr="00CF29BC">
        <w:t xml:space="preserve"> arise in areas that were inspected but not identified by inspectors, this may indicate a need for additional</w:t>
      </w:r>
      <w:r w:rsidR="007744B5">
        <w:t xml:space="preserve"> </w:t>
      </w:r>
      <w:r w:rsidR="0049484B">
        <w:t>inspection guidance</w:t>
      </w:r>
      <w:r w:rsidR="00477C9C" w:rsidRPr="00CF29BC">
        <w:t xml:space="preserve">.  </w:t>
      </w:r>
    </w:p>
    <w:p w:rsidR="00E849E9" w:rsidRDefault="00E849E9" w:rsidP="00E82D73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</w:p>
    <w:p w:rsidR="007868C6" w:rsidRPr="00CF29BC" w:rsidRDefault="00944BEB" w:rsidP="007868C6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firstLine="3"/>
      </w:pPr>
      <w:r w:rsidRPr="00E849E9">
        <w:rPr>
          <w:u w:val="single"/>
        </w:rPr>
        <w:t>Criterion</w:t>
      </w:r>
      <w:r w:rsidR="00B135D6">
        <w:t>:</w:t>
      </w:r>
      <w:r w:rsidR="008D7B79">
        <w:t xml:space="preserve">  </w:t>
      </w:r>
      <w:r w:rsidR="007868C6">
        <w:t xml:space="preserve">Propose </w:t>
      </w:r>
      <w:r w:rsidR="008D7B79">
        <w:t xml:space="preserve">changes or </w:t>
      </w:r>
      <w:r w:rsidR="007868C6">
        <w:t xml:space="preserve">improvements to </w:t>
      </w:r>
      <w:r w:rsidR="007868C6" w:rsidRPr="00CF29BC">
        <w:t xml:space="preserve">inspection </w:t>
      </w:r>
      <w:r w:rsidR="007744B5">
        <w:t xml:space="preserve">guidance </w:t>
      </w:r>
      <w:r w:rsidR="007868C6">
        <w:t xml:space="preserve">as necessary. </w:t>
      </w:r>
      <w:r w:rsidR="007868C6" w:rsidRPr="00CF29BC">
        <w:t xml:space="preserve"> </w:t>
      </w:r>
    </w:p>
    <w:p w:rsidR="00944BEB" w:rsidRPr="00CF29BC" w:rsidRDefault="00944BEB" w:rsidP="007868C6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</w:pPr>
    </w:p>
    <w:p w:rsidR="00C175AF" w:rsidRDefault="00C175AF" w:rsidP="00485D6C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0"/>
      </w:pPr>
    </w:p>
    <w:p w:rsidR="00944BEB" w:rsidRPr="00CF29BC" w:rsidRDefault="008767B0" w:rsidP="00637A32">
      <w:pPr>
        <w:keepNext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  <w:r>
        <w:lastRenderedPageBreak/>
        <w:t>2650-06</w:t>
      </w:r>
      <w:r w:rsidR="00485D6C">
        <w:tab/>
      </w:r>
      <w:r w:rsidR="00223D68">
        <w:t xml:space="preserve">ELEMENT 2: </w:t>
      </w:r>
      <w:r w:rsidR="003C4189">
        <w:t xml:space="preserve"> </w:t>
      </w:r>
      <w:r w:rsidR="006A7D78" w:rsidRPr="00CF29BC">
        <w:t>CONSISTENCY REVIEW</w:t>
      </w:r>
    </w:p>
    <w:p w:rsidR="006A7D78" w:rsidRPr="00CF29BC" w:rsidRDefault="006A7D78" w:rsidP="00637A32">
      <w:pPr>
        <w:keepNext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6C4F69" w:rsidRPr="00CF29BC" w:rsidRDefault="00637A32" w:rsidP="00637A32">
      <w:pPr>
        <w:keepNext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  <w:r w:rsidRPr="00637A32">
        <w:t xml:space="preserve">The consistency review will </w:t>
      </w:r>
      <w:r w:rsidR="001A13CF">
        <w:t>determine</w:t>
      </w:r>
      <w:r w:rsidR="006C4F69" w:rsidRPr="00CF29BC">
        <w:t xml:space="preserve"> whether inspection guid</w:t>
      </w:r>
      <w:r w:rsidR="00223D68">
        <w:t>ance is sufficient to ensure</w:t>
      </w:r>
      <w:r w:rsidR="006C4F69" w:rsidRPr="00CF29BC">
        <w:t xml:space="preserve"> technical </w:t>
      </w:r>
      <w:r w:rsidR="0095480C" w:rsidRPr="00CF29BC">
        <w:t>adequacy</w:t>
      </w:r>
      <w:r w:rsidR="006C4F69" w:rsidRPr="00CF29BC">
        <w:t xml:space="preserve"> </w:t>
      </w:r>
      <w:r w:rsidR="000F1BEA" w:rsidRPr="00CF29BC">
        <w:t>and consistency with established Agency technical positions</w:t>
      </w:r>
      <w:r w:rsidR="000F1BEA">
        <w:t>.</w:t>
      </w:r>
      <w:r w:rsidR="006C4F69" w:rsidRPr="00CF29BC">
        <w:t xml:space="preserve"> </w:t>
      </w:r>
    </w:p>
    <w:p w:rsidR="006C4F69" w:rsidRPr="00CF29BC" w:rsidRDefault="006C4F69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6A7D78" w:rsidRDefault="008767B0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  <w:r>
        <w:t>06</w:t>
      </w:r>
      <w:r w:rsidR="00223D68">
        <w:t>.01</w:t>
      </w:r>
      <w:r w:rsidR="00637A32" w:rsidRPr="00373CDE">
        <w:tab/>
      </w:r>
      <w:r w:rsidR="003400B7">
        <w:rPr>
          <w:u w:val="single"/>
        </w:rPr>
        <w:t>Assessment Area 1</w:t>
      </w:r>
      <w:r w:rsidR="00223D68">
        <w:t>:</w:t>
      </w:r>
      <w:r w:rsidR="003400B7">
        <w:t xml:space="preserve">  </w:t>
      </w:r>
      <w:r w:rsidR="000A0189">
        <w:t>Assess the s</w:t>
      </w:r>
      <w:r w:rsidR="006C4F69" w:rsidRPr="00CF29BC">
        <w:t xml:space="preserve">ufficiency </w:t>
      </w:r>
      <w:r w:rsidR="00E46ED5">
        <w:t xml:space="preserve">of </w:t>
      </w:r>
      <w:r w:rsidR="007744B5">
        <w:t>inspection guidance</w:t>
      </w:r>
      <w:r w:rsidR="00223D68">
        <w:t xml:space="preserve"> to ensure</w:t>
      </w:r>
      <w:r w:rsidR="0095480C" w:rsidRPr="00CF29BC">
        <w:t xml:space="preserve"> technical adequacy</w:t>
      </w:r>
      <w:r w:rsidR="00B3665F" w:rsidRPr="00CF29BC">
        <w:t xml:space="preserve"> </w:t>
      </w:r>
      <w:r w:rsidR="0095480C" w:rsidRPr="00CF29BC">
        <w:t>and consistency of inspection reports</w:t>
      </w:r>
      <w:r w:rsidR="00223D68">
        <w:t>.</w:t>
      </w:r>
    </w:p>
    <w:p w:rsidR="00B826F3" w:rsidRPr="003400B7" w:rsidRDefault="00B826F3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  <w:rPr>
          <w:u w:val="single"/>
        </w:rPr>
      </w:pPr>
    </w:p>
    <w:p w:rsidR="00223D68" w:rsidRDefault="00223D68" w:rsidP="00373CDE">
      <w:pPr>
        <w:pStyle w:val="ListParagraph"/>
        <w:numPr>
          <w:ilvl w:val="0"/>
          <w:numId w:val="7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  <w:r w:rsidRPr="00223D68">
        <w:rPr>
          <w:u w:val="single"/>
        </w:rPr>
        <w:t>Lead Organization:</w:t>
      </w:r>
      <w:r>
        <w:t xml:space="preserve"> </w:t>
      </w:r>
      <w:r w:rsidR="003C4189">
        <w:t xml:space="preserve"> </w:t>
      </w:r>
      <w:r w:rsidRPr="00637A32">
        <w:t>NMSS/FCSE/</w:t>
      </w:r>
      <w:r w:rsidR="00E46ED5">
        <w:t>FLO</w:t>
      </w:r>
      <w:r w:rsidRPr="00637A32">
        <w:t xml:space="preserve">B </w:t>
      </w:r>
    </w:p>
    <w:p w:rsidR="00223D68" w:rsidRPr="00223D68" w:rsidRDefault="00223D68" w:rsidP="00223D68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/>
      </w:pPr>
    </w:p>
    <w:p w:rsidR="000A0189" w:rsidRDefault="003400B7" w:rsidP="00373CDE">
      <w:pPr>
        <w:pStyle w:val="ListParagraph"/>
        <w:numPr>
          <w:ilvl w:val="0"/>
          <w:numId w:val="7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  <w:r w:rsidRPr="000A0189">
        <w:rPr>
          <w:u w:val="single"/>
        </w:rPr>
        <w:t>Assessment Activit</w:t>
      </w:r>
      <w:r w:rsidR="000C1A15">
        <w:rPr>
          <w:u w:val="single"/>
        </w:rPr>
        <w:t>ies</w:t>
      </w:r>
      <w:r w:rsidR="00223D68">
        <w:t>:</w:t>
      </w:r>
      <w:r w:rsidR="0095480C" w:rsidRPr="00CF29BC">
        <w:t xml:space="preserve"> </w:t>
      </w:r>
      <w:r w:rsidR="003C4189">
        <w:t xml:space="preserve"> </w:t>
      </w:r>
      <w:r w:rsidR="008E2646">
        <w:t xml:space="preserve">Audit a </w:t>
      </w:r>
      <w:r w:rsidR="007744B5">
        <w:t xml:space="preserve">25% </w:t>
      </w:r>
      <w:r w:rsidR="00815B72">
        <w:t>sample</w:t>
      </w:r>
      <w:r w:rsidR="00FB5832">
        <w:t xml:space="preserve"> of inspection reports,</w:t>
      </w:r>
      <w:r w:rsidR="0095480C" w:rsidRPr="00CF29BC">
        <w:t xml:space="preserve"> ins</w:t>
      </w:r>
      <w:r w:rsidR="000F1BEA">
        <w:t>pection-related correspondence</w:t>
      </w:r>
      <w:r w:rsidR="007744B5">
        <w:t>,</w:t>
      </w:r>
      <w:r w:rsidR="000F1BEA">
        <w:t xml:space="preserve"> </w:t>
      </w:r>
      <w:r w:rsidR="0095480C" w:rsidRPr="00CF29BC">
        <w:t>and</w:t>
      </w:r>
      <w:r w:rsidR="00223D68">
        <w:t xml:space="preserve"> associated inspection guidance.  D</w:t>
      </w:r>
      <w:r w:rsidR="0095480C" w:rsidRPr="00CF29BC">
        <w:t>etermine the adequacy of the guidance</w:t>
      </w:r>
      <w:r w:rsidR="00223D68">
        <w:t xml:space="preserve"> to</w:t>
      </w:r>
      <w:r w:rsidR="00FB5832">
        <w:t xml:space="preserve"> produce consistent, technically adequate results.</w:t>
      </w:r>
      <w:r w:rsidR="00223D68">
        <w:t xml:space="preserve"> </w:t>
      </w:r>
      <w:r w:rsidR="00E46ED5">
        <w:t xml:space="preserve">Interview a selection of inspectors.  </w:t>
      </w:r>
      <w:r w:rsidR="00223D68">
        <w:t>E</w:t>
      </w:r>
      <w:r w:rsidR="00223D68" w:rsidRPr="00CF29BC">
        <w:t xml:space="preserve">valuate the sufficiency of inspection guidance in providing </w:t>
      </w:r>
      <w:r w:rsidR="008E2646">
        <w:t>adequate</w:t>
      </w:r>
      <w:r w:rsidR="00223D68" w:rsidRPr="00CF29BC">
        <w:t xml:space="preserve"> direction to inspectors</w:t>
      </w:r>
      <w:r w:rsidR="00FB5832">
        <w:t>.</w:t>
      </w:r>
    </w:p>
    <w:p w:rsidR="000A0189" w:rsidRPr="000A0189" w:rsidRDefault="000A0189" w:rsidP="00373CDE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</w:p>
    <w:p w:rsidR="000A0189" w:rsidRDefault="0095480C" w:rsidP="00373CDE">
      <w:pPr>
        <w:pStyle w:val="ListParagraph"/>
        <w:numPr>
          <w:ilvl w:val="0"/>
          <w:numId w:val="7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  <w:r w:rsidRPr="000A0189">
        <w:rPr>
          <w:u w:val="single"/>
        </w:rPr>
        <w:t>Guidance</w:t>
      </w:r>
      <w:r w:rsidR="00FB5832">
        <w:t>:</w:t>
      </w:r>
      <w:r w:rsidRPr="00CF29BC">
        <w:t xml:space="preserve">  </w:t>
      </w:r>
      <w:r w:rsidR="00F73E23">
        <w:t>Inspection reports should contain adequate detail to enable traceability; through the available documentation to the determinations and conclusions.</w:t>
      </w:r>
    </w:p>
    <w:p w:rsidR="000A0189" w:rsidRDefault="000A0189" w:rsidP="00373CDE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</w:p>
    <w:p w:rsidR="003813CD" w:rsidRDefault="000F10F9" w:rsidP="003813CD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firstLine="3"/>
      </w:pPr>
      <w:r>
        <w:t xml:space="preserve">Note: </w:t>
      </w:r>
      <w:r w:rsidR="003C4189">
        <w:t xml:space="preserve"> </w:t>
      </w:r>
      <w:r>
        <w:t>If any t</w:t>
      </w:r>
      <w:r w:rsidR="000716EC" w:rsidRPr="00CF29BC">
        <w:t>echnical incon</w:t>
      </w:r>
      <w:r w:rsidR="00803978">
        <w:t xml:space="preserve">sistencies or inaccuracies </w:t>
      </w:r>
      <w:r w:rsidR="001908D0">
        <w:t xml:space="preserve">in </w:t>
      </w:r>
      <w:r w:rsidR="008C4882" w:rsidRPr="00CF29BC">
        <w:t>guidance or inspection reports</w:t>
      </w:r>
      <w:r>
        <w:t xml:space="preserve"> are discovered, they</w:t>
      </w:r>
      <w:r w:rsidR="000716EC" w:rsidRPr="00CF29BC">
        <w:t xml:space="preserve"> should be </w:t>
      </w:r>
      <w:r w:rsidR="00223D68">
        <w:t xml:space="preserve">raised to the </w:t>
      </w:r>
      <w:r w:rsidR="00E46ED5">
        <w:t>FLOB</w:t>
      </w:r>
      <w:r w:rsidR="00223D68">
        <w:t xml:space="preserve"> and </w:t>
      </w:r>
      <w:r w:rsidR="00815B72">
        <w:t>DFFI</w:t>
      </w:r>
      <w:r w:rsidR="00223D68">
        <w:t xml:space="preserve"> Branch Chiefs and documented in the assessment report</w:t>
      </w:r>
      <w:r w:rsidR="000716EC" w:rsidRPr="00CF29BC">
        <w:t>.</w:t>
      </w:r>
      <w:r w:rsidR="00223D68">
        <w:t xml:space="preserve"> </w:t>
      </w:r>
    </w:p>
    <w:p w:rsidR="003813CD" w:rsidRDefault="003813CD" w:rsidP="003813CD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firstLine="3"/>
      </w:pPr>
    </w:p>
    <w:p w:rsidR="00B826F3" w:rsidRPr="00CF29BC" w:rsidRDefault="0095480C" w:rsidP="003813CD">
      <w:pPr>
        <w:pStyle w:val="ListParagraph"/>
        <w:numPr>
          <w:ilvl w:val="0"/>
          <w:numId w:val="7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</w:pPr>
      <w:r w:rsidRPr="003813CD">
        <w:rPr>
          <w:u w:val="single"/>
        </w:rPr>
        <w:t>Criterion</w:t>
      </w:r>
      <w:r w:rsidR="00FB5832">
        <w:t>:</w:t>
      </w:r>
      <w:r w:rsidR="008C4882" w:rsidRPr="00CF29BC">
        <w:t xml:space="preserve">  No</w:t>
      </w:r>
      <w:r w:rsidR="00223D68">
        <w:t xml:space="preserve"> significant</w:t>
      </w:r>
      <w:r w:rsidR="008C4882" w:rsidRPr="00CF29BC">
        <w:t xml:space="preserve"> technical inconsistencies or inaccuracies identified in the documents reviewed. </w:t>
      </w:r>
      <w:r w:rsidR="003C4189">
        <w:t xml:space="preserve"> </w:t>
      </w:r>
      <w:r w:rsidR="008E2646">
        <w:t>No more than 5</w:t>
      </w:r>
      <w:r w:rsidR="00F73E23" w:rsidRPr="00CF29BC">
        <w:t>% of inspection reports should be amended for substantive reasons (e.g., factual errors,</w:t>
      </w:r>
      <w:r w:rsidR="00F73E23">
        <w:t xml:space="preserve"> missing information,</w:t>
      </w:r>
      <w:r w:rsidR="00F73E23" w:rsidRPr="00CF29BC">
        <w:t xml:space="preserve"> mishandling of OUO).</w:t>
      </w:r>
      <w:r w:rsidR="008C4882" w:rsidRPr="00CF29BC">
        <w:t xml:space="preserve"> “Significant” means the</w:t>
      </w:r>
      <w:r w:rsidR="00E46ED5">
        <w:t>re</w:t>
      </w:r>
      <w:r w:rsidR="008C4882" w:rsidRPr="00CF29BC">
        <w:t xml:space="preserve"> are material inconsistencies or inaccuracies that could reduce confide</w:t>
      </w:r>
      <w:r w:rsidR="001908D0">
        <w:t xml:space="preserve">nce in the staff’s conclusions or </w:t>
      </w:r>
      <w:r w:rsidR="008C4882" w:rsidRPr="00CF29BC">
        <w:t xml:space="preserve">have a </w:t>
      </w:r>
      <w:r w:rsidR="00223D68">
        <w:t>negative effect on safety or</w:t>
      </w:r>
      <w:r w:rsidR="008C4882" w:rsidRPr="00CF29BC">
        <w:t xml:space="preserve"> </w:t>
      </w:r>
      <w:r w:rsidR="00223D68">
        <w:t>safeguards</w:t>
      </w:r>
      <w:r w:rsidR="001908D0">
        <w:t>.</w:t>
      </w:r>
      <w:r w:rsidR="008C4882" w:rsidRPr="00CF29BC">
        <w:t xml:space="preserve">  </w:t>
      </w:r>
    </w:p>
    <w:p w:rsidR="00730DD3" w:rsidRDefault="00730DD3" w:rsidP="00730DD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730DD3" w:rsidRPr="00CF29BC" w:rsidRDefault="00730DD3" w:rsidP="00730DD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  <w:r>
        <w:t>06.02</w:t>
      </w:r>
      <w:r w:rsidRPr="00FA573A">
        <w:tab/>
      </w:r>
      <w:r w:rsidRPr="00EE1E1A">
        <w:rPr>
          <w:u w:val="single"/>
        </w:rPr>
        <w:t>Assessment Area 2</w:t>
      </w:r>
      <w:r>
        <w:t xml:space="preserve">:  </w:t>
      </w:r>
      <w:r w:rsidR="00C142B3">
        <w:t>Inspection results are documented in accordance with r</w:t>
      </w:r>
      <w:r w:rsidR="008E2646">
        <w:t>equirements</w:t>
      </w:r>
      <w:r w:rsidR="00815B72">
        <w:t>.</w:t>
      </w:r>
    </w:p>
    <w:p w:rsidR="00730DD3" w:rsidRDefault="00730DD3" w:rsidP="00730DD3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0"/>
      </w:pPr>
    </w:p>
    <w:p w:rsidR="005118BB" w:rsidRDefault="00730DD3" w:rsidP="005118BB">
      <w:pPr>
        <w:pStyle w:val="ListParagraph"/>
        <w:numPr>
          <w:ilvl w:val="0"/>
          <w:numId w:val="8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  <w:r w:rsidRPr="00730DD3">
        <w:rPr>
          <w:u w:val="single"/>
        </w:rPr>
        <w:t>Lead Organization:</w:t>
      </w:r>
      <w:r>
        <w:t xml:space="preserve"> </w:t>
      </w:r>
      <w:r w:rsidR="003C4189">
        <w:t xml:space="preserve"> </w:t>
      </w:r>
      <w:r w:rsidRPr="00637A32">
        <w:t>NMSS/FCSE/</w:t>
      </w:r>
      <w:r w:rsidR="00E46ED5">
        <w:t>FLO</w:t>
      </w:r>
      <w:r w:rsidRPr="00637A32">
        <w:t xml:space="preserve">B </w:t>
      </w:r>
    </w:p>
    <w:p w:rsidR="005118BB" w:rsidRDefault="005118BB" w:rsidP="005118BB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/>
      </w:pPr>
    </w:p>
    <w:p w:rsidR="005118BB" w:rsidRDefault="00730DD3" w:rsidP="005118BB">
      <w:pPr>
        <w:pStyle w:val="ListParagraph"/>
        <w:numPr>
          <w:ilvl w:val="0"/>
          <w:numId w:val="8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  <w:r w:rsidRPr="005118BB">
        <w:rPr>
          <w:u w:val="single"/>
        </w:rPr>
        <w:t>Assessment Activity</w:t>
      </w:r>
      <w:r>
        <w:t>:</w:t>
      </w:r>
      <w:r w:rsidRPr="00CF29BC">
        <w:t xml:space="preserve">  Determine whether inspection reports are written in accordance with inspection guidance </w:t>
      </w:r>
      <w:r w:rsidR="00BB03BE">
        <w:t>(</w:t>
      </w:r>
      <w:r>
        <w:t xml:space="preserve">IMC </w:t>
      </w:r>
      <w:r w:rsidRPr="00CF29BC">
        <w:t>0616</w:t>
      </w:r>
      <w:r w:rsidR="00815B72">
        <w:t>,</w:t>
      </w:r>
      <w:r w:rsidR="00F73E23">
        <w:t xml:space="preserve"> “Fuel Cycle Safety and Safeguards Inspection Reports</w:t>
      </w:r>
      <w:r w:rsidR="00815B72">
        <w:t>”</w:t>
      </w:r>
      <w:r w:rsidRPr="00CF29BC">
        <w:t>)</w:t>
      </w:r>
      <w:r>
        <w:t>.</w:t>
      </w:r>
    </w:p>
    <w:p w:rsidR="005118BB" w:rsidRPr="005118BB" w:rsidRDefault="005118BB" w:rsidP="005118BB">
      <w:pPr>
        <w:pStyle w:val="ListParagraph"/>
        <w:rPr>
          <w:u w:val="single"/>
        </w:rPr>
      </w:pPr>
    </w:p>
    <w:p w:rsidR="005118BB" w:rsidRDefault="00730DD3" w:rsidP="005118BB">
      <w:pPr>
        <w:pStyle w:val="ListParagraph"/>
        <w:numPr>
          <w:ilvl w:val="0"/>
          <w:numId w:val="8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  <w:r w:rsidRPr="005118BB">
        <w:rPr>
          <w:u w:val="single"/>
        </w:rPr>
        <w:t>Guidance</w:t>
      </w:r>
      <w:r>
        <w:t xml:space="preserve">: </w:t>
      </w:r>
      <w:r w:rsidR="003C4189">
        <w:t xml:space="preserve"> </w:t>
      </w:r>
      <w:r>
        <w:t>S</w:t>
      </w:r>
      <w:r w:rsidRPr="00CF29BC">
        <w:t xml:space="preserve">elect </w:t>
      </w:r>
      <w:r w:rsidR="005118BB">
        <w:t xml:space="preserve">a </w:t>
      </w:r>
      <w:r w:rsidR="00815B72">
        <w:t xml:space="preserve">25% </w:t>
      </w:r>
      <w:r w:rsidRPr="00CF29BC">
        <w:t>sample</w:t>
      </w:r>
      <w:r w:rsidR="005118BB">
        <w:t xml:space="preserve"> of</w:t>
      </w:r>
      <w:r w:rsidRPr="00CF29BC">
        <w:t xml:space="preserve"> inspection reports to </w:t>
      </w:r>
      <w:r>
        <w:t>determine</w:t>
      </w:r>
      <w:r w:rsidRPr="00CF29BC">
        <w:t xml:space="preserve"> if they ar</w:t>
      </w:r>
      <w:r>
        <w:t>e being documented in accordance with established procedures</w:t>
      </w:r>
      <w:r w:rsidR="00F73E23">
        <w:t xml:space="preserve"> and written in plain English</w:t>
      </w:r>
      <w:r w:rsidR="003C4189">
        <w:t>.</w:t>
      </w:r>
    </w:p>
    <w:p w:rsidR="005118BB" w:rsidRPr="005118BB" w:rsidRDefault="005118BB" w:rsidP="005118BB">
      <w:pPr>
        <w:pStyle w:val="ListParagraph"/>
        <w:rPr>
          <w:u w:val="single"/>
        </w:rPr>
      </w:pPr>
    </w:p>
    <w:p w:rsidR="008C4882" w:rsidRDefault="00730DD3" w:rsidP="00485D6C">
      <w:pPr>
        <w:pStyle w:val="ListParagraph"/>
        <w:numPr>
          <w:ilvl w:val="0"/>
          <w:numId w:val="8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  <w:r w:rsidRPr="00F73E23">
        <w:rPr>
          <w:u w:val="single"/>
        </w:rPr>
        <w:t>Criterion</w:t>
      </w:r>
      <w:r w:rsidR="00815B72">
        <w:t xml:space="preserve">: </w:t>
      </w:r>
      <w:r w:rsidR="003C4189">
        <w:t xml:space="preserve"> </w:t>
      </w:r>
      <w:r w:rsidR="002865F1">
        <w:t>Report</w:t>
      </w:r>
      <w:r w:rsidR="008E2646">
        <w:t xml:space="preserve"> ident</w:t>
      </w:r>
      <w:r w:rsidR="00E15242">
        <w:t>ified weaknesses and recommend</w:t>
      </w:r>
      <w:r w:rsidR="008E2646">
        <w:t xml:space="preserve"> improvements in guidance or training. </w:t>
      </w:r>
    </w:p>
    <w:p w:rsidR="00730DD3" w:rsidRPr="00CF29BC" w:rsidRDefault="00730DD3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8C4882" w:rsidRPr="00CF29BC" w:rsidRDefault="00730DD3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  <w:r>
        <w:t>06.03</w:t>
      </w:r>
      <w:r w:rsidR="00637A32" w:rsidRPr="00373CDE">
        <w:tab/>
      </w:r>
      <w:r>
        <w:rPr>
          <w:u w:val="single"/>
        </w:rPr>
        <w:t>Assessment Area 3</w:t>
      </w:r>
      <w:r>
        <w:t>:</w:t>
      </w:r>
      <w:r w:rsidR="000A0189">
        <w:t xml:space="preserve">  </w:t>
      </w:r>
      <w:r w:rsidR="00D64428">
        <w:t>Assess the s</w:t>
      </w:r>
      <w:r w:rsidR="00B3665F" w:rsidRPr="00CF29BC">
        <w:t>ufficiency of inspector training, qualification, and knowledge management</w:t>
      </w:r>
      <w:r w:rsidR="00D64428">
        <w:t>.</w:t>
      </w:r>
    </w:p>
    <w:p w:rsidR="00B3665F" w:rsidRPr="00CF29BC" w:rsidRDefault="00B3665F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FB5832" w:rsidRPr="003813CD" w:rsidRDefault="00FB5832" w:rsidP="003813CD">
      <w:pPr>
        <w:pStyle w:val="ListParagraph"/>
        <w:numPr>
          <w:ilvl w:val="0"/>
          <w:numId w:val="20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  <w:rPr>
          <w:u w:val="single"/>
        </w:rPr>
      </w:pPr>
      <w:r w:rsidRPr="003813CD">
        <w:rPr>
          <w:u w:val="single"/>
        </w:rPr>
        <w:t>Lead Organization:</w:t>
      </w:r>
      <w:r w:rsidRPr="003C4189">
        <w:t xml:space="preserve"> </w:t>
      </w:r>
      <w:r w:rsidR="003C4189" w:rsidRPr="003C4189">
        <w:t xml:space="preserve"> </w:t>
      </w:r>
      <w:r w:rsidR="00E46ED5">
        <w:t>NMSS/FCSE/FLO</w:t>
      </w:r>
      <w:r w:rsidRPr="00C142B3">
        <w:t xml:space="preserve">B </w:t>
      </w:r>
    </w:p>
    <w:p w:rsidR="00FB5832" w:rsidRPr="00FB5832" w:rsidRDefault="00FB5832" w:rsidP="00FB5832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/>
      </w:pPr>
    </w:p>
    <w:p w:rsidR="00D64428" w:rsidRDefault="00D64428" w:rsidP="003813CD">
      <w:pPr>
        <w:pStyle w:val="ListParagraph"/>
        <w:numPr>
          <w:ilvl w:val="0"/>
          <w:numId w:val="20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  <w:r w:rsidRPr="00D64428">
        <w:rPr>
          <w:u w:val="single"/>
        </w:rPr>
        <w:lastRenderedPageBreak/>
        <w:t>Assessment Activity</w:t>
      </w:r>
      <w:r w:rsidR="00FB5832">
        <w:t>:</w:t>
      </w:r>
      <w:r w:rsidR="000D1E6A" w:rsidRPr="00CF29BC">
        <w:t xml:space="preserve">  Review the training requirements</w:t>
      </w:r>
      <w:r w:rsidR="00731094">
        <w:t xml:space="preserve"> </w:t>
      </w:r>
      <w:r w:rsidR="003813CD">
        <w:t>contained in IMC 1247 “Qualification Program for Fuel Facility Inspectors in the Nuclear Material Safety and Safeguards Program Area,”</w:t>
      </w:r>
      <w:r w:rsidR="00731094">
        <w:t xml:space="preserve"> </w:t>
      </w:r>
      <w:r w:rsidR="000D1E6A" w:rsidRPr="00CF29BC">
        <w:t xml:space="preserve">to </w:t>
      </w:r>
      <w:r w:rsidR="00731094">
        <w:t>determine whether</w:t>
      </w:r>
      <w:r w:rsidR="000D1E6A" w:rsidRPr="00CF29BC">
        <w:t xml:space="preserve"> any topics should be added or changed</w:t>
      </w:r>
      <w:r w:rsidR="00FB5832">
        <w:t>.</w:t>
      </w:r>
      <w:r w:rsidR="000D1E6A" w:rsidRPr="00CF29BC">
        <w:t xml:space="preserve"> </w:t>
      </w:r>
    </w:p>
    <w:p w:rsidR="00D64428" w:rsidRDefault="00D64428" w:rsidP="00373CDE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</w:p>
    <w:p w:rsidR="00D64428" w:rsidRDefault="00B3665F" w:rsidP="003813CD">
      <w:pPr>
        <w:pStyle w:val="ListParagraph"/>
        <w:numPr>
          <w:ilvl w:val="0"/>
          <w:numId w:val="20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  <w:r w:rsidRPr="00D64428">
        <w:rPr>
          <w:u w:val="single"/>
        </w:rPr>
        <w:t>Guidance</w:t>
      </w:r>
      <w:r w:rsidR="00730DD3">
        <w:t>:</w:t>
      </w:r>
      <w:r w:rsidR="000D1E6A" w:rsidRPr="00CF29BC">
        <w:t xml:space="preserve">  </w:t>
      </w:r>
      <w:r w:rsidR="002865F1">
        <w:t xml:space="preserve">Use the findings from </w:t>
      </w:r>
      <w:r w:rsidR="00E46ED5">
        <w:t>S</w:t>
      </w:r>
      <w:r w:rsidR="002865F1">
        <w:t>ection</w:t>
      </w:r>
      <w:r w:rsidR="00E46ED5">
        <w:t>s</w:t>
      </w:r>
      <w:r w:rsidR="002865F1">
        <w:t xml:space="preserve"> 05 and 06 of this IMC to determine if </w:t>
      </w:r>
      <w:r w:rsidR="00C60E14" w:rsidRPr="00CF29BC">
        <w:t>additional</w:t>
      </w:r>
      <w:r w:rsidR="00FB5832">
        <w:t xml:space="preserve"> training or</w:t>
      </w:r>
      <w:r w:rsidR="00C60E14" w:rsidRPr="00CF29BC">
        <w:t xml:space="preserve"> knowledge management </w:t>
      </w:r>
      <w:r w:rsidR="000F10F9">
        <w:t>is</w:t>
      </w:r>
      <w:r w:rsidR="008A0B74">
        <w:t xml:space="preserve"> needed.</w:t>
      </w:r>
      <w:r w:rsidR="00C142B3">
        <w:t xml:space="preserve"> </w:t>
      </w:r>
      <w:r w:rsidR="003C4189">
        <w:t xml:space="preserve"> </w:t>
      </w:r>
      <w:r w:rsidR="00C142B3">
        <w:t xml:space="preserve">Review the training materials and presentations that were used for knowledge management </w:t>
      </w:r>
      <w:r w:rsidR="00815B72">
        <w:t>seminars</w:t>
      </w:r>
      <w:r w:rsidR="00C142B3">
        <w:t xml:space="preserve"> to determin</w:t>
      </w:r>
      <w:r w:rsidR="00815B72">
        <w:t>e if additional formal training</w:t>
      </w:r>
      <w:r w:rsidR="00C142B3">
        <w:t xml:space="preserve"> or changes to the qualification program are needed. </w:t>
      </w:r>
    </w:p>
    <w:p w:rsidR="00D64428" w:rsidRPr="00D64428" w:rsidRDefault="00D64428" w:rsidP="00373CDE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  <w:rPr>
          <w:u w:val="single"/>
        </w:rPr>
      </w:pPr>
    </w:p>
    <w:p w:rsidR="008C4882" w:rsidRPr="00CF29BC" w:rsidRDefault="00B3665F" w:rsidP="003813CD">
      <w:pPr>
        <w:pStyle w:val="ListParagraph"/>
        <w:numPr>
          <w:ilvl w:val="0"/>
          <w:numId w:val="20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  <w:r w:rsidRPr="00D64428">
        <w:rPr>
          <w:u w:val="single"/>
        </w:rPr>
        <w:t>Criterion</w:t>
      </w:r>
      <w:r w:rsidR="00730DD3">
        <w:t>:</w:t>
      </w:r>
      <w:r w:rsidR="00C60E14" w:rsidRPr="00CF29BC">
        <w:t xml:space="preserve">  </w:t>
      </w:r>
      <w:r w:rsidR="00FB5832">
        <w:t>No significant gaps in t</w:t>
      </w:r>
      <w:r w:rsidR="00C60E14" w:rsidRPr="00CF29BC">
        <w:t>raining and qu</w:t>
      </w:r>
      <w:r w:rsidR="00321901" w:rsidRPr="00CF29BC">
        <w:t>alification requirements</w:t>
      </w:r>
      <w:r w:rsidR="00730DD3">
        <w:t>.</w:t>
      </w:r>
      <w:r w:rsidR="003813CD">
        <w:t xml:space="preserve"> </w:t>
      </w:r>
      <w:r w:rsidR="003C4189">
        <w:t xml:space="preserve"> </w:t>
      </w:r>
      <w:r w:rsidR="003813CD" w:rsidRPr="006E25F2">
        <w:t xml:space="preserve">Summarize and evaluate the training accomplished over </w:t>
      </w:r>
      <w:r w:rsidR="003813CD">
        <w:t>the assessment</w:t>
      </w:r>
      <w:r w:rsidR="003813CD" w:rsidRPr="006E25F2">
        <w:t xml:space="preserve"> year and propose program improvements as necessary to address noted concerns.</w:t>
      </w:r>
    </w:p>
    <w:p w:rsidR="00CF29BC" w:rsidRPr="00CF29BC" w:rsidRDefault="00CF29BC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910F70" w:rsidRDefault="00910F70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B3665F" w:rsidRPr="00CF29BC" w:rsidRDefault="00912F10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  <w:r>
        <w:t>2650-07</w:t>
      </w:r>
      <w:r w:rsidR="00485D6C">
        <w:tab/>
      </w:r>
      <w:r>
        <w:t xml:space="preserve">ELEMENT 3: </w:t>
      </w:r>
      <w:r w:rsidR="003C4189">
        <w:t xml:space="preserve"> </w:t>
      </w:r>
      <w:r w:rsidR="00030394">
        <w:t>COMPLETENESS REVIEW</w:t>
      </w:r>
    </w:p>
    <w:p w:rsidR="00EE746C" w:rsidRPr="00CF29BC" w:rsidRDefault="00EE746C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EE746C" w:rsidRDefault="00373CDE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  <w:r w:rsidRPr="00FA573A">
        <w:t xml:space="preserve">The completeness review will </w:t>
      </w:r>
      <w:r w:rsidR="00C175AF">
        <w:t>determine</w:t>
      </w:r>
      <w:r w:rsidR="00EE746C" w:rsidRPr="00CF29BC">
        <w:t xml:space="preserve"> whether the inspection program is being </w:t>
      </w:r>
      <w:r w:rsidR="000F10F9">
        <w:t>implemented</w:t>
      </w:r>
      <w:r w:rsidR="00EE746C" w:rsidRPr="00CF29BC">
        <w:t xml:space="preserve"> consistent with inspection guidance</w:t>
      </w:r>
      <w:r w:rsidR="00815B72">
        <w:t xml:space="preserve"> and established metrics</w:t>
      </w:r>
      <w:r w:rsidR="00EE746C" w:rsidRPr="00CF29BC">
        <w:t xml:space="preserve"> to ensure the</w:t>
      </w:r>
      <w:r w:rsidR="00912F10">
        <w:t xml:space="preserve"> timely</w:t>
      </w:r>
      <w:r w:rsidR="00EE746C" w:rsidRPr="00CF29BC">
        <w:t xml:space="preserve"> coverage of all licensees, disciplines, and facility/process areas</w:t>
      </w:r>
      <w:r w:rsidR="00815B72">
        <w:t xml:space="preserve"> as appropriate</w:t>
      </w:r>
      <w:r w:rsidR="00F14399">
        <w:t>.</w:t>
      </w:r>
    </w:p>
    <w:p w:rsidR="00F14399" w:rsidRPr="00CF29BC" w:rsidRDefault="00F14399" w:rsidP="00D6134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  <w:contextualSpacing/>
      </w:pPr>
    </w:p>
    <w:p w:rsidR="00F14399" w:rsidRDefault="00912F10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  <w:r>
        <w:t>07.01</w:t>
      </w:r>
      <w:r w:rsidR="00637A32" w:rsidRPr="00FA573A">
        <w:tab/>
      </w:r>
      <w:r w:rsidR="00F14399" w:rsidRPr="00F14399">
        <w:rPr>
          <w:u w:val="single"/>
        </w:rPr>
        <w:t xml:space="preserve">Assessment </w:t>
      </w:r>
      <w:r w:rsidR="00272EDF">
        <w:rPr>
          <w:u w:val="single"/>
        </w:rPr>
        <w:t>Area</w:t>
      </w:r>
      <w:r w:rsidR="00F14399" w:rsidRPr="00F14399">
        <w:rPr>
          <w:u w:val="single"/>
        </w:rPr>
        <w:t xml:space="preserve"> 1</w:t>
      </w:r>
      <w:r>
        <w:t>:</w:t>
      </w:r>
      <w:r w:rsidR="00F14399">
        <w:t xml:space="preserve">  </w:t>
      </w:r>
      <w:r w:rsidR="002865F1">
        <w:t>Analyze resource data for the completion of the core inspection program, supplemental/plant specific inspection</w:t>
      </w:r>
      <w:r w:rsidR="00815B72">
        <w:t>,</w:t>
      </w:r>
      <w:r w:rsidR="002865F1">
        <w:t xml:space="preserve"> and other inspection activities</w:t>
      </w:r>
      <w:r w:rsidR="00882753" w:rsidRPr="00CF29BC">
        <w:t>.</w:t>
      </w:r>
    </w:p>
    <w:p w:rsidR="00F14399" w:rsidRDefault="00F14399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912F10" w:rsidRDefault="00912F10" w:rsidP="00FA573A">
      <w:pPr>
        <w:pStyle w:val="ListParagraph"/>
        <w:numPr>
          <w:ilvl w:val="0"/>
          <w:numId w:val="1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  <w:r w:rsidRPr="00912F10">
        <w:rPr>
          <w:u w:val="single"/>
        </w:rPr>
        <w:t>Lead Organization</w:t>
      </w:r>
      <w:r>
        <w:t xml:space="preserve">: </w:t>
      </w:r>
      <w:r w:rsidR="00514F15">
        <w:t xml:space="preserve"> </w:t>
      </w:r>
      <w:r w:rsidR="000F10F9">
        <w:t>NMSS/FCSE/</w:t>
      </w:r>
      <w:r w:rsidR="00E46ED5">
        <w:t>FL</w:t>
      </w:r>
      <w:r w:rsidR="000F10F9">
        <w:t>OB</w:t>
      </w:r>
      <w:r>
        <w:t xml:space="preserve"> </w:t>
      </w:r>
    </w:p>
    <w:p w:rsidR="00912F10" w:rsidRPr="00912F10" w:rsidRDefault="00912F10" w:rsidP="00912F10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/>
      </w:pPr>
    </w:p>
    <w:p w:rsidR="00A36035" w:rsidRDefault="000C1A15" w:rsidP="00A36035">
      <w:pPr>
        <w:pStyle w:val="ListParagraph"/>
        <w:numPr>
          <w:ilvl w:val="0"/>
          <w:numId w:val="1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  <w:r>
        <w:rPr>
          <w:u w:val="single"/>
        </w:rPr>
        <w:t>Assessment Activities</w:t>
      </w:r>
      <w:r w:rsidR="00912F10">
        <w:t>:</w:t>
      </w:r>
      <w:r w:rsidR="00EE746C" w:rsidRPr="00CF29BC">
        <w:t xml:space="preserve">  </w:t>
      </w:r>
      <w:r w:rsidR="00882753" w:rsidRPr="00CF29BC">
        <w:t>Verify completion of the core inspection program, as defined in IMC 2600, App</w:t>
      </w:r>
      <w:r>
        <w:t>endix</w:t>
      </w:r>
      <w:r w:rsidR="00882753" w:rsidRPr="00CF29BC">
        <w:t xml:space="preserve"> B, or as modifi</w:t>
      </w:r>
      <w:r w:rsidR="002865F1">
        <w:t xml:space="preserve">ed by the </w:t>
      </w:r>
      <w:r w:rsidR="00815B72">
        <w:t>Licensee Performance Review (LPR)</w:t>
      </w:r>
      <w:r w:rsidR="002865F1">
        <w:t xml:space="preserve"> or any program adjustments</w:t>
      </w:r>
      <w:r w:rsidR="00A36035">
        <w:t xml:space="preserve">. </w:t>
      </w:r>
    </w:p>
    <w:p w:rsidR="00A36035" w:rsidRDefault="00A36035" w:rsidP="00514F15">
      <w:pPr>
        <w:pStyle w:val="ListParagraph"/>
        <w:spacing w:line="240" w:lineRule="auto"/>
      </w:pPr>
    </w:p>
    <w:p w:rsidR="002865F1" w:rsidRDefault="00A36035" w:rsidP="00514F15">
      <w:pPr>
        <w:pStyle w:val="ListParagraph"/>
        <w:numPr>
          <w:ilvl w:val="0"/>
          <w:numId w:val="19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</w:pPr>
      <w:r>
        <w:t>Determine whether the</w:t>
      </w:r>
      <w:r w:rsidR="002865F1">
        <w:t xml:space="preserve"> total number of hours, </w:t>
      </w:r>
      <w:r w:rsidR="00882753" w:rsidRPr="00CF29BC">
        <w:t>inspection modules</w:t>
      </w:r>
      <w:r w:rsidR="002865F1">
        <w:t>, and facilities/process areas</w:t>
      </w:r>
      <w:r>
        <w:t xml:space="preserve"> were completed in accordance with the inspection guidance</w:t>
      </w:r>
      <w:r w:rsidR="00882753" w:rsidRPr="00CF29BC">
        <w:t>.</w:t>
      </w:r>
      <w:r w:rsidR="0079571E">
        <w:t xml:space="preserve"> </w:t>
      </w:r>
    </w:p>
    <w:p w:rsidR="00E15242" w:rsidRDefault="00E15242" w:rsidP="00514F15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1167"/>
      </w:pPr>
    </w:p>
    <w:p w:rsidR="00A36035" w:rsidRDefault="0079571E" w:rsidP="00514F15">
      <w:pPr>
        <w:pStyle w:val="ListParagraph"/>
        <w:numPr>
          <w:ilvl w:val="0"/>
          <w:numId w:val="19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</w:pPr>
      <w:r w:rsidRPr="006E25F2">
        <w:t>Track and trend resource usage for</w:t>
      </w:r>
      <w:r w:rsidR="002865F1">
        <w:t xml:space="preserve"> the</w:t>
      </w:r>
      <w:r w:rsidRPr="006E25F2">
        <w:t xml:space="preserve"> </w:t>
      </w:r>
      <w:r w:rsidR="00E15242">
        <w:t>core</w:t>
      </w:r>
      <w:r w:rsidR="00815B72">
        <w:t xml:space="preserve"> inspection program, </w:t>
      </w:r>
      <w:r w:rsidR="002865F1">
        <w:t xml:space="preserve">supplemental/plant specific inspections, </w:t>
      </w:r>
      <w:r w:rsidRPr="006E25F2">
        <w:t xml:space="preserve">preparation, documentation, and other </w:t>
      </w:r>
      <w:r>
        <w:t>inspection</w:t>
      </w:r>
      <w:r w:rsidRPr="006E25F2">
        <w:t xml:space="preserve"> activities, and assess the effects on budgeted resources.</w:t>
      </w:r>
      <w:r w:rsidR="00882753" w:rsidRPr="00CF29BC">
        <w:t xml:space="preserve">  </w:t>
      </w:r>
      <w:r w:rsidR="00671D6F" w:rsidRPr="00CF29BC">
        <w:t xml:space="preserve">  </w:t>
      </w:r>
    </w:p>
    <w:p w:rsidR="00272EDF" w:rsidRDefault="00272EDF" w:rsidP="00514F15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/>
      </w:pPr>
    </w:p>
    <w:p w:rsidR="00272EDF" w:rsidRDefault="00944BEB" w:rsidP="00514F15">
      <w:pPr>
        <w:pStyle w:val="ListParagraph"/>
        <w:numPr>
          <w:ilvl w:val="0"/>
          <w:numId w:val="1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  <w:r w:rsidRPr="00272EDF">
        <w:rPr>
          <w:u w:val="single"/>
        </w:rPr>
        <w:t>Guidance</w:t>
      </w:r>
      <w:r w:rsidR="002865F1">
        <w:t xml:space="preserve">: </w:t>
      </w:r>
      <w:r w:rsidR="00514F15">
        <w:t xml:space="preserve"> </w:t>
      </w:r>
      <w:r w:rsidR="002865F1">
        <w:t>I</w:t>
      </w:r>
      <w:r w:rsidR="002C724D" w:rsidRPr="00CF29BC">
        <w:t>ssues and events</w:t>
      </w:r>
      <w:r w:rsidR="00912F10">
        <w:t xml:space="preserve"> that impact</w:t>
      </w:r>
      <w:r w:rsidR="00815B72">
        <w:t>ed</w:t>
      </w:r>
      <w:r w:rsidR="00912F10">
        <w:t xml:space="preserve"> completion of the core inspection program</w:t>
      </w:r>
      <w:r w:rsidR="002C724D" w:rsidRPr="00CF29BC">
        <w:t xml:space="preserve"> should</w:t>
      </w:r>
      <w:r w:rsidR="002865F1">
        <w:t xml:space="preserve"> be discussed in the </w:t>
      </w:r>
      <w:r w:rsidR="002C724D" w:rsidRPr="00CF29BC">
        <w:t>report</w:t>
      </w:r>
      <w:r w:rsidR="00815B72">
        <w:t>,</w:t>
      </w:r>
      <w:r w:rsidR="00912F10">
        <w:t xml:space="preserve"> including r</w:t>
      </w:r>
      <w:r w:rsidR="00912F10" w:rsidRPr="00CF29BC">
        <w:t>eactive or special inspections</w:t>
      </w:r>
      <w:r w:rsidR="002C724D" w:rsidRPr="00CF29BC">
        <w:t xml:space="preserve">. </w:t>
      </w:r>
    </w:p>
    <w:p w:rsidR="00272EDF" w:rsidRDefault="00272EDF" w:rsidP="00514F15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</w:p>
    <w:p w:rsidR="000E47AA" w:rsidRDefault="00272EDF" w:rsidP="00514F15">
      <w:pPr>
        <w:pStyle w:val="ListParagraph"/>
        <w:numPr>
          <w:ilvl w:val="0"/>
          <w:numId w:val="1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  <w:r w:rsidRPr="00A36035">
        <w:rPr>
          <w:u w:val="single"/>
        </w:rPr>
        <w:t>Cr</w:t>
      </w:r>
      <w:r w:rsidR="00944BEB" w:rsidRPr="00A36035">
        <w:rPr>
          <w:u w:val="single"/>
        </w:rPr>
        <w:t>iterion</w:t>
      </w:r>
      <w:r w:rsidR="00A36035">
        <w:t>: 100% completion</w:t>
      </w:r>
      <w:r w:rsidR="008E3BCF" w:rsidRPr="00CF29BC">
        <w:t xml:space="preserve"> </w:t>
      </w:r>
      <w:r w:rsidR="000E47AA" w:rsidRPr="00CF29BC">
        <w:t xml:space="preserve">of </w:t>
      </w:r>
      <w:r w:rsidR="00A36035">
        <w:t xml:space="preserve">core </w:t>
      </w:r>
      <w:r w:rsidR="000E47AA" w:rsidRPr="00CF29BC">
        <w:t>inspection program</w:t>
      </w:r>
      <w:r w:rsidR="00F73E23">
        <w:t xml:space="preserve"> in accordance with IMC 2600</w:t>
      </w:r>
      <w:r w:rsidR="00A36035">
        <w:t>.</w:t>
      </w:r>
      <w:r w:rsidR="003813CD">
        <w:t xml:space="preserve"> Track and trend resource usage to improve </w:t>
      </w:r>
      <w:r w:rsidR="00815B72">
        <w:t>the efficiency</w:t>
      </w:r>
      <w:r w:rsidR="003813CD">
        <w:t xml:space="preserve"> of the inspection program and to inform management and budget decisions. </w:t>
      </w:r>
      <w:r w:rsidR="00A36035">
        <w:t xml:space="preserve"> </w:t>
      </w:r>
      <w:r w:rsidR="000E47AA" w:rsidRPr="00CF29BC">
        <w:t xml:space="preserve"> </w:t>
      </w:r>
    </w:p>
    <w:p w:rsidR="00730DD3" w:rsidRDefault="00730DD3" w:rsidP="00514F15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730DD3" w:rsidRPr="00CF29BC" w:rsidRDefault="00912F10" w:rsidP="00514F15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  <w:r>
        <w:t>07.02</w:t>
      </w:r>
      <w:r w:rsidR="00730DD3" w:rsidRPr="00373CDE">
        <w:tab/>
      </w:r>
      <w:r>
        <w:rPr>
          <w:u w:val="single"/>
        </w:rPr>
        <w:t>Assessment Area 2</w:t>
      </w:r>
      <w:r w:rsidR="00730DD3">
        <w:t>:  Assess the timeliness of inspection reports</w:t>
      </w:r>
      <w:r w:rsidR="00553FC0">
        <w:t xml:space="preserve"> and temporary instructions</w:t>
      </w:r>
      <w:r w:rsidR="00730DD3" w:rsidRPr="00CF29BC">
        <w:t xml:space="preserve">. </w:t>
      </w:r>
    </w:p>
    <w:p w:rsidR="00730DD3" w:rsidRPr="00CF29BC" w:rsidRDefault="00730DD3" w:rsidP="00514F15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553FC0" w:rsidRDefault="00553FC0" w:rsidP="00514F15">
      <w:pPr>
        <w:pStyle w:val="ListParagraph"/>
        <w:numPr>
          <w:ilvl w:val="0"/>
          <w:numId w:val="9"/>
        </w:numPr>
        <w:spacing w:line="240" w:lineRule="auto"/>
      </w:pPr>
      <w:r w:rsidRPr="00C142B3">
        <w:rPr>
          <w:u w:val="single"/>
        </w:rPr>
        <w:t>Lead Organization</w:t>
      </w:r>
      <w:r w:rsidRPr="00553FC0">
        <w:t xml:space="preserve">: </w:t>
      </w:r>
      <w:r w:rsidR="00514F15">
        <w:t xml:space="preserve"> </w:t>
      </w:r>
      <w:r>
        <w:t>NMSS/FCSE/</w:t>
      </w:r>
      <w:r w:rsidR="00E46ED5">
        <w:t>FL</w:t>
      </w:r>
      <w:r>
        <w:t>OB</w:t>
      </w:r>
    </w:p>
    <w:p w:rsidR="00553FC0" w:rsidRPr="00553FC0" w:rsidRDefault="00553FC0" w:rsidP="00514F15">
      <w:pPr>
        <w:pStyle w:val="ListParagraph"/>
        <w:spacing w:line="240" w:lineRule="auto"/>
      </w:pPr>
    </w:p>
    <w:p w:rsidR="00730DD3" w:rsidRDefault="00730DD3" w:rsidP="003C4189">
      <w:pPr>
        <w:pStyle w:val="ListParagraph"/>
        <w:numPr>
          <w:ilvl w:val="0"/>
          <w:numId w:val="9"/>
        </w:numPr>
        <w:spacing w:line="240" w:lineRule="auto"/>
      </w:pPr>
      <w:r w:rsidRPr="00553FC0">
        <w:rPr>
          <w:u w:val="single"/>
        </w:rPr>
        <w:t>Assessment Activities</w:t>
      </w:r>
      <w:r w:rsidR="00DA3FD1">
        <w:t>:</w:t>
      </w:r>
      <w:r>
        <w:t xml:space="preserve">  </w:t>
      </w:r>
      <w:r w:rsidRPr="00BD3DF9">
        <w:t xml:space="preserve">Obtain data from the </w:t>
      </w:r>
      <w:r w:rsidR="00553FC0">
        <w:t xml:space="preserve">project inspectors </w:t>
      </w:r>
      <w:r w:rsidR="00E46ED5">
        <w:t>and</w:t>
      </w:r>
      <w:r w:rsidR="00553FC0">
        <w:t xml:space="preserve"> the </w:t>
      </w:r>
      <w:r w:rsidRPr="00BD3DF9">
        <w:t>Reactor Program System</w:t>
      </w:r>
      <w:r w:rsidR="00514F15">
        <w:t>-Inspections</w:t>
      </w:r>
      <w:r w:rsidRPr="00BD3DF9">
        <w:t xml:space="preserve"> (RPS</w:t>
      </w:r>
      <w:r w:rsidR="00514F15">
        <w:t>-Inspections</w:t>
      </w:r>
      <w:r w:rsidRPr="00BD3DF9">
        <w:t xml:space="preserve">) on the total number of </w:t>
      </w:r>
      <w:r w:rsidR="00815B72">
        <w:t xml:space="preserve">inspection </w:t>
      </w:r>
      <w:r w:rsidRPr="00BD3DF9">
        <w:t xml:space="preserve">reports issued </w:t>
      </w:r>
      <w:r w:rsidRPr="00BD3DF9">
        <w:lastRenderedPageBreak/>
        <w:t xml:space="preserve">and the number </w:t>
      </w:r>
      <w:r w:rsidR="00514F15">
        <w:t xml:space="preserve">of reports </w:t>
      </w:r>
      <w:r w:rsidRPr="00BD3DF9">
        <w:t>issued within timeliness</w:t>
      </w:r>
      <w:r w:rsidR="00553FC0">
        <w:t xml:space="preserve"> goals as stipulated in IMC 0616</w:t>
      </w:r>
      <w:r w:rsidR="00815B72">
        <w:t xml:space="preserve">. </w:t>
      </w:r>
      <w:r w:rsidRPr="00030394">
        <w:t xml:space="preserve">Audit the time to complete </w:t>
      </w:r>
      <w:r>
        <w:t>temporary instructions (</w:t>
      </w:r>
      <w:r w:rsidRPr="00030394">
        <w:t>T</w:t>
      </w:r>
      <w:r w:rsidR="00DA3FD1">
        <w:t>I</w:t>
      </w:r>
      <w:r w:rsidRPr="00030394">
        <w:t>s</w:t>
      </w:r>
      <w:r>
        <w:t>)</w:t>
      </w:r>
      <w:r w:rsidRPr="00030394">
        <w:t>.  Co</w:t>
      </w:r>
      <w:r w:rsidR="00514F15">
        <w:t xml:space="preserve">mpare the completion status in </w:t>
      </w:r>
      <w:r w:rsidRPr="00030394">
        <w:t>RPS</w:t>
      </w:r>
      <w:r w:rsidR="00514F15">
        <w:t>-Inspections</w:t>
      </w:r>
      <w:r w:rsidRPr="00030394">
        <w:t xml:space="preserve"> to TI requirements.  Report the number of TIs closed within goals.</w:t>
      </w:r>
    </w:p>
    <w:p w:rsidR="00730DD3" w:rsidRPr="004A53B9" w:rsidRDefault="00730DD3" w:rsidP="00730DD3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</w:p>
    <w:p w:rsidR="00730DD3" w:rsidRDefault="00730DD3" w:rsidP="00730DD3">
      <w:pPr>
        <w:pStyle w:val="ListParagraph"/>
        <w:numPr>
          <w:ilvl w:val="0"/>
          <w:numId w:val="9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  <w:r w:rsidRPr="004A53B9">
        <w:rPr>
          <w:u w:val="single"/>
        </w:rPr>
        <w:t>Guidance</w:t>
      </w:r>
      <w:r w:rsidR="00DA3FD1">
        <w:t>:</w:t>
      </w:r>
      <w:r w:rsidRPr="00CF29BC">
        <w:t xml:space="preserve">  </w:t>
      </w:r>
      <w:r w:rsidR="00553FC0">
        <w:t>A</w:t>
      </w:r>
      <w:r w:rsidRPr="00CF29BC">
        <w:t xml:space="preserve">ny challenges in meeting </w:t>
      </w:r>
      <w:r>
        <w:t xml:space="preserve">timeliness </w:t>
      </w:r>
      <w:r w:rsidR="00553FC0">
        <w:t>metrics should be documented in the</w:t>
      </w:r>
      <w:r w:rsidR="00DA3FD1">
        <w:t xml:space="preserve"> assessment report.</w:t>
      </w:r>
    </w:p>
    <w:p w:rsidR="00730DD3" w:rsidRPr="004A53B9" w:rsidRDefault="00730DD3" w:rsidP="00730DD3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  <w:rPr>
          <w:u w:val="single"/>
        </w:rPr>
      </w:pPr>
    </w:p>
    <w:p w:rsidR="00730DD3" w:rsidRPr="00CF29BC" w:rsidRDefault="00730DD3" w:rsidP="00730DD3">
      <w:pPr>
        <w:pStyle w:val="ListParagraph"/>
        <w:numPr>
          <w:ilvl w:val="0"/>
          <w:numId w:val="9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</w:pPr>
      <w:r w:rsidRPr="00030394">
        <w:rPr>
          <w:u w:val="single"/>
        </w:rPr>
        <w:t>Criteria</w:t>
      </w:r>
      <w:r w:rsidR="00DA3FD1">
        <w:t>:</w:t>
      </w:r>
      <w:r w:rsidRPr="00CF29BC">
        <w:t xml:space="preserve">  </w:t>
      </w:r>
      <w:r>
        <w:t xml:space="preserve">Issuance of 90% </w:t>
      </w:r>
      <w:r w:rsidRPr="00030394">
        <w:t xml:space="preserve">of </w:t>
      </w:r>
      <w:r>
        <w:t xml:space="preserve">core </w:t>
      </w:r>
      <w:r w:rsidRPr="00030394">
        <w:t xml:space="preserve">inspection reports within </w:t>
      </w:r>
      <w:r>
        <w:t xml:space="preserve">the </w:t>
      </w:r>
      <w:r w:rsidRPr="00030394">
        <w:t>program's timeliness goals.</w:t>
      </w:r>
      <w:r>
        <w:t xml:space="preserve">  Issuance of 100% of </w:t>
      </w:r>
      <w:r w:rsidRPr="006E25F2">
        <w:t>TI</w:t>
      </w:r>
      <w:r>
        <w:t xml:space="preserve"> inspection reports wit</w:t>
      </w:r>
      <w:r w:rsidRPr="006E25F2">
        <w:t>hin TI timeliness requirements.</w:t>
      </w:r>
    </w:p>
    <w:p w:rsidR="00730DD3" w:rsidRPr="00CF29BC" w:rsidRDefault="00730DD3" w:rsidP="00485D6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9D5D95" w:rsidRDefault="009D5D95" w:rsidP="00D6134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  <w:contextualSpacing/>
      </w:pPr>
    </w:p>
    <w:p w:rsidR="009D5D95" w:rsidRDefault="00912F10" w:rsidP="00C175AF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533" w:hanging="533"/>
        <w:contextualSpacing/>
      </w:pPr>
      <w:r>
        <w:t>2650-08</w:t>
      </w:r>
      <w:r w:rsidR="009D5D95">
        <w:tab/>
      </w:r>
      <w:r w:rsidR="006F5E7D">
        <w:t xml:space="preserve">RESOURCE ESTIMATE AND </w:t>
      </w:r>
      <w:r w:rsidR="00C175AF">
        <w:t xml:space="preserve">DOCUMENTATION </w:t>
      </w:r>
    </w:p>
    <w:p w:rsidR="00C175AF" w:rsidRDefault="00C175AF" w:rsidP="00D6134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ind w:left="807" w:hanging="533"/>
        <w:contextualSpacing/>
      </w:pPr>
    </w:p>
    <w:p w:rsidR="00C175AF" w:rsidRPr="00C175AF" w:rsidRDefault="006F5E7D" w:rsidP="00C175AF">
      <w:pPr>
        <w:tabs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  <w:r>
        <w:t xml:space="preserve">It is expected that the self-assessment described in this manual chapter will take between </w:t>
      </w:r>
      <w:r w:rsidR="00AE0002">
        <w:t>80 and 12</w:t>
      </w:r>
      <w:r>
        <w:t>0 hours to complete</w:t>
      </w:r>
      <w:r w:rsidR="00FB298F">
        <w:t>.</w:t>
      </w:r>
      <w:r>
        <w:t xml:space="preserve"> </w:t>
      </w:r>
      <w:r w:rsidR="00514F15">
        <w:t xml:space="preserve"> </w:t>
      </w:r>
      <w:r w:rsidR="00C175AF" w:rsidRPr="00C175AF">
        <w:t xml:space="preserve">The assessment results will be compiled in an annual report to </w:t>
      </w:r>
      <w:r w:rsidR="00F97DCB">
        <w:t xml:space="preserve">the </w:t>
      </w:r>
      <w:r w:rsidR="00C175AF" w:rsidRPr="00C175AF">
        <w:t>Office of Nuclear Material Safety and Safeguards (NMSS), Division of Fuel Cycle Safety, Safeguards, and Environmental Review (FCSE) and Region II (RII), Division of Fuel Facility Inspection (DFFI) management</w:t>
      </w:r>
      <w:r w:rsidR="00DA3FD1">
        <w:t xml:space="preserve">. </w:t>
      </w:r>
      <w:r w:rsidR="00F97DCB">
        <w:t xml:space="preserve"> </w:t>
      </w:r>
      <w:r w:rsidR="00DA3FD1">
        <w:t>All</w:t>
      </w:r>
      <w:r w:rsidR="00C175AF" w:rsidRPr="00C175AF">
        <w:t xml:space="preserve"> findings should be supported with data </w:t>
      </w:r>
      <w:r w:rsidR="00DA3FD1">
        <w:t xml:space="preserve">and specific examples. </w:t>
      </w:r>
      <w:r w:rsidR="00F97DCB">
        <w:t xml:space="preserve"> </w:t>
      </w:r>
      <w:r w:rsidR="00C175AF" w:rsidRPr="00C175AF">
        <w:t xml:space="preserve">In addition to </w:t>
      </w:r>
      <w:r w:rsidR="00853641">
        <w:t>evaluating the overall effectiveness of the Fuel Cycle Inspection Program in meeting its established goals and intended outcomes</w:t>
      </w:r>
      <w:r w:rsidR="00C175AF" w:rsidRPr="00C175AF">
        <w:t>, the report should also make recommendations to address any deficiencies</w:t>
      </w:r>
      <w:r w:rsidR="00DA3FD1">
        <w:t xml:space="preserve"> or areas for improvement</w:t>
      </w:r>
      <w:r w:rsidR="00C175AF" w:rsidRPr="00C175AF">
        <w:t xml:space="preserve">. </w:t>
      </w:r>
    </w:p>
    <w:p w:rsidR="00C175AF" w:rsidRDefault="00C175AF" w:rsidP="004B7456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910F70" w:rsidRDefault="00910F70" w:rsidP="004B7456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4B7456" w:rsidRDefault="004B7456" w:rsidP="004B7456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  <w:r>
        <w:t>2650-09</w:t>
      </w:r>
      <w:r>
        <w:tab/>
        <w:t>REFER</w:t>
      </w:r>
      <w:r w:rsidR="003C4189">
        <w:t>E</w:t>
      </w:r>
      <w:r>
        <w:t>NCES</w:t>
      </w:r>
    </w:p>
    <w:p w:rsidR="003C4189" w:rsidRDefault="003C4189" w:rsidP="004B7456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9A1A5A" w:rsidRDefault="009A1A5A" w:rsidP="009A1A5A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  <w:r>
        <w:t>IMC 0616, “Fuel Cycle Safety and Safeguards Inspection Reports”</w:t>
      </w:r>
    </w:p>
    <w:p w:rsidR="009A1A5A" w:rsidRDefault="008A6E76" w:rsidP="009A1A5A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  <w:r>
        <w:t>IMC 1247</w:t>
      </w:r>
      <w:r w:rsidR="009A1A5A">
        <w:t>, “Qualification Program for Fuel Facility Inspectors in the Nuclear Material Safety and Safeguards Program Area”</w:t>
      </w:r>
    </w:p>
    <w:p w:rsidR="009A1A5A" w:rsidRDefault="009A1A5A" w:rsidP="009A1A5A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  <w:r>
        <w:t>IMC 2600, “Fuel Cycle Facility Operational Safety and Safeguards Inspection Program”</w:t>
      </w:r>
    </w:p>
    <w:p w:rsidR="009A1A5A" w:rsidRDefault="009A1A5A" w:rsidP="009A1A5A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  <w:r>
        <w:t>IMC 2604, “Licensee Performance Review”</w:t>
      </w:r>
    </w:p>
    <w:p w:rsidR="009A1A5A" w:rsidRPr="00CF29BC" w:rsidRDefault="009A1A5A" w:rsidP="009A1A5A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9A1A5A" w:rsidRDefault="009A1A5A" w:rsidP="00910F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  <w:jc w:val="center"/>
      </w:pPr>
    </w:p>
    <w:p w:rsidR="00910F70" w:rsidRDefault="00910F70" w:rsidP="00910F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  <w:jc w:val="center"/>
      </w:pPr>
      <w:r>
        <w:t>END</w:t>
      </w:r>
    </w:p>
    <w:p w:rsidR="00910F70" w:rsidRDefault="00910F70" w:rsidP="00910F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  <w:jc w:val="center"/>
      </w:pPr>
    </w:p>
    <w:p w:rsidR="00910F70" w:rsidRDefault="00910F70" w:rsidP="00910F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  <w:r>
        <w:t>Attachment:</w:t>
      </w:r>
    </w:p>
    <w:p w:rsidR="00910F70" w:rsidRDefault="00910F70" w:rsidP="00910F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  <w:r>
        <w:tab/>
        <w:t>Revision History for IMC 2650</w:t>
      </w:r>
    </w:p>
    <w:p w:rsidR="00910F70" w:rsidRDefault="00910F70" w:rsidP="00910F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910F70" w:rsidRDefault="00910F70" w:rsidP="00910F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</w:pPr>
    </w:p>
    <w:p w:rsidR="00910F70" w:rsidRDefault="00910F70" w:rsidP="00910F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  <w:sectPr w:rsidR="00910F70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10F70" w:rsidRDefault="00910F70" w:rsidP="00910F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  <w:jc w:val="center"/>
      </w:pPr>
      <w:r>
        <w:lastRenderedPageBreak/>
        <w:t>Attachment 1 – Revision History for IMC 2650</w:t>
      </w:r>
    </w:p>
    <w:p w:rsidR="00910F70" w:rsidRDefault="00910F70" w:rsidP="00910F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  <w:jc w:val="center"/>
      </w:pPr>
    </w:p>
    <w:p w:rsidR="00910F70" w:rsidRDefault="00910F70" w:rsidP="00910F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  <w:jc w:val="center"/>
      </w:pPr>
    </w:p>
    <w:tbl>
      <w:tblPr>
        <w:tblW w:w="13192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71"/>
        <w:gridCol w:w="1839"/>
        <w:gridCol w:w="4822"/>
        <w:gridCol w:w="2250"/>
        <w:gridCol w:w="2610"/>
      </w:tblGrid>
      <w:tr w:rsidR="00910F70" w:rsidTr="003C4189">
        <w:trPr>
          <w:trHeight w:val="1020"/>
        </w:trPr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F70" w:rsidRDefault="00910F70">
            <w:pPr>
              <w:widowControl w:val="0"/>
              <w:tabs>
                <w:tab w:val="left" w:pos="270"/>
                <w:tab w:val="left" w:pos="810"/>
                <w:tab w:val="left" w:pos="1440"/>
                <w:tab w:val="left" w:pos="2059"/>
                <w:tab w:val="left" w:pos="2663"/>
                <w:tab w:val="left" w:pos="3267"/>
                <w:tab w:val="left" w:pos="3871"/>
                <w:tab w:val="left" w:pos="4475"/>
                <w:tab w:val="left" w:pos="5079"/>
                <w:tab w:val="left" w:pos="5683"/>
                <w:tab w:val="left" w:pos="6287"/>
                <w:tab w:val="left" w:pos="6891"/>
                <w:tab w:val="left" w:pos="7495"/>
                <w:tab w:val="left" w:pos="8099"/>
                <w:tab w:val="left" w:pos="8703"/>
                <w:tab w:val="left" w:pos="9307"/>
                <w:tab w:val="left" w:pos="9911"/>
                <w:tab w:val="left" w:pos="10515"/>
                <w:tab w:val="left" w:pos="11119"/>
                <w:tab w:val="left" w:pos="11723"/>
                <w:tab w:val="left" w:pos="12327"/>
                <w:tab w:val="left" w:pos="12931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Commitment Tracking Number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F70" w:rsidRDefault="00910F70">
            <w:pPr>
              <w:widowControl w:val="0"/>
              <w:tabs>
                <w:tab w:val="left" w:pos="270"/>
                <w:tab w:val="left" w:pos="810"/>
                <w:tab w:val="left" w:pos="1440"/>
                <w:tab w:val="left" w:pos="2059"/>
                <w:tab w:val="left" w:pos="2663"/>
                <w:tab w:val="left" w:pos="3267"/>
                <w:tab w:val="left" w:pos="3871"/>
                <w:tab w:val="left" w:pos="4475"/>
                <w:tab w:val="left" w:pos="5079"/>
                <w:tab w:val="left" w:pos="5683"/>
                <w:tab w:val="left" w:pos="6287"/>
                <w:tab w:val="left" w:pos="6891"/>
                <w:tab w:val="left" w:pos="7495"/>
                <w:tab w:val="left" w:pos="8099"/>
                <w:tab w:val="left" w:pos="8703"/>
                <w:tab w:val="left" w:pos="9307"/>
                <w:tab w:val="left" w:pos="9911"/>
                <w:tab w:val="left" w:pos="10515"/>
                <w:tab w:val="left" w:pos="11119"/>
                <w:tab w:val="left" w:pos="11723"/>
                <w:tab w:val="left" w:pos="12327"/>
                <w:tab w:val="left" w:pos="12931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Accession Number</w:t>
            </w:r>
          </w:p>
          <w:p w:rsidR="00910F70" w:rsidRDefault="00910F70">
            <w:pPr>
              <w:widowControl w:val="0"/>
              <w:tabs>
                <w:tab w:val="left" w:pos="270"/>
                <w:tab w:val="left" w:pos="810"/>
                <w:tab w:val="left" w:pos="1440"/>
                <w:tab w:val="left" w:pos="2059"/>
                <w:tab w:val="left" w:pos="2663"/>
                <w:tab w:val="left" w:pos="3267"/>
                <w:tab w:val="left" w:pos="3871"/>
                <w:tab w:val="left" w:pos="4475"/>
                <w:tab w:val="left" w:pos="5079"/>
                <w:tab w:val="left" w:pos="5683"/>
                <w:tab w:val="left" w:pos="6287"/>
                <w:tab w:val="left" w:pos="6891"/>
                <w:tab w:val="left" w:pos="7495"/>
                <w:tab w:val="left" w:pos="8099"/>
                <w:tab w:val="left" w:pos="8703"/>
                <w:tab w:val="left" w:pos="9307"/>
                <w:tab w:val="left" w:pos="9911"/>
                <w:tab w:val="left" w:pos="10515"/>
                <w:tab w:val="left" w:pos="11119"/>
                <w:tab w:val="left" w:pos="11723"/>
                <w:tab w:val="left" w:pos="12327"/>
                <w:tab w:val="left" w:pos="12931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Issue Date</w:t>
            </w:r>
          </w:p>
          <w:p w:rsidR="00910F70" w:rsidRDefault="00910F70">
            <w:pPr>
              <w:widowControl w:val="0"/>
              <w:tabs>
                <w:tab w:val="left" w:pos="270"/>
                <w:tab w:val="left" w:pos="810"/>
                <w:tab w:val="left" w:pos="1440"/>
                <w:tab w:val="left" w:pos="2059"/>
                <w:tab w:val="left" w:pos="2663"/>
                <w:tab w:val="left" w:pos="3267"/>
                <w:tab w:val="left" w:pos="3871"/>
                <w:tab w:val="left" w:pos="4475"/>
                <w:tab w:val="left" w:pos="5079"/>
                <w:tab w:val="left" w:pos="5683"/>
                <w:tab w:val="left" w:pos="6287"/>
                <w:tab w:val="left" w:pos="6891"/>
                <w:tab w:val="left" w:pos="7495"/>
                <w:tab w:val="left" w:pos="8099"/>
                <w:tab w:val="left" w:pos="8703"/>
                <w:tab w:val="left" w:pos="9307"/>
                <w:tab w:val="left" w:pos="9911"/>
                <w:tab w:val="left" w:pos="10515"/>
                <w:tab w:val="left" w:pos="11119"/>
                <w:tab w:val="left" w:pos="11723"/>
                <w:tab w:val="left" w:pos="12327"/>
                <w:tab w:val="left" w:pos="12931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Change Notice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F70" w:rsidRDefault="00910F70">
            <w:pPr>
              <w:widowControl w:val="0"/>
              <w:tabs>
                <w:tab w:val="left" w:pos="270"/>
                <w:tab w:val="left" w:pos="810"/>
                <w:tab w:val="left" w:pos="1440"/>
                <w:tab w:val="left" w:pos="2059"/>
                <w:tab w:val="left" w:pos="2663"/>
                <w:tab w:val="left" w:pos="3267"/>
                <w:tab w:val="left" w:pos="3871"/>
                <w:tab w:val="left" w:pos="4475"/>
                <w:tab w:val="left" w:pos="5079"/>
                <w:tab w:val="left" w:pos="5683"/>
                <w:tab w:val="left" w:pos="6287"/>
                <w:tab w:val="left" w:pos="6891"/>
                <w:tab w:val="left" w:pos="7495"/>
                <w:tab w:val="left" w:pos="8099"/>
                <w:tab w:val="left" w:pos="8703"/>
                <w:tab w:val="left" w:pos="9307"/>
                <w:tab w:val="left" w:pos="9911"/>
                <w:tab w:val="left" w:pos="10515"/>
                <w:tab w:val="left" w:pos="11119"/>
                <w:tab w:val="left" w:pos="11723"/>
                <w:tab w:val="left" w:pos="12327"/>
                <w:tab w:val="left" w:pos="12931"/>
              </w:tabs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Description of Change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F70" w:rsidRDefault="00910F70">
            <w:pPr>
              <w:widowControl w:val="0"/>
              <w:tabs>
                <w:tab w:val="left" w:pos="270"/>
                <w:tab w:val="left" w:pos="810"/>
                <w:tab w:val="left" w:pos="1440"/>
                <w:tab w:val="left" w:pos="2059"/>
                <w:tab w:val="left" w:pos="2663"/>
                <w:tab w:val="left" w:pos="3267"/>
                <w:tab w:val="left" w:pos="3871"/>
                <w:tab w:val="left" w:pos="4475"/>
                <w:tab w:val="left" w:pos="5079"/>
                <w:tab w:val="left" w:pos="5683"/>
                <w:tab w:val="left" w:pos="6287"/>
                <w:tab w:val="left" w:pos="6891"/>
                <w:tab w:val="left" w:pos="7495"/>
                <w:tab w:val="left" w:pos="8099"/>
                <w:tab w:val="left" w:pos="8703"/>
                <w:tab w:val="left" w:pos="9307"/>
                <w:tab w:val="left" w:pos="9911"/>
                <w:tab w:val="left" w:pos="10515"/>
                <w:tab w:val="left" w:pos="11119"/>
                <w:tab w:val="left" w:pos="11723"/>
                <w:tab w:val="left" w:pos="12327"/>
                <w:tab w:val="left" w:pos="12931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Description of Training Required and Completion Date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F70" w:rsidRDefault="00910F70">
            <w:pPr>
              <w:widowControl w:val="0"/>
              <w:tabs>
                <w:tab w:val="left" w:pos="270"/>
                <w:tab w:val="left" w:pos="810"/>
                <w:tab w:val="left" w:pos="1440"/>
                <w:tab w:val="left" w:pos="2059"/>
                <w:tab w:val="left" w:pos="2663"/>
                <w:tab w:val="left" w:pos="3267"/>
                <w:tab w:val="left" w:pos="3871"/>
                <w:tab w:val="left" w:pos="4475"/>
                <w:tab w:val="left" w:pos="5079"/>
                <w:tab w:val="left" w:pos="5683"/>
                <w:tab w:val="left" w:pos="6287"/>
                <w:tab w:val="left" w:pos="6891"/>
                <w:tab w:val="left" w:pos="7495"/>
                <w:tab w:val="left" w:pos="8099"/>
                <w:tab w:val="left" w:pos="8703"/>
                <w:tab w:val="left" w:pos="9307"/>
                <w:tab w:val="left" w:pos="9911"/>
                <w:tab w:val="left" w:pos="10515"/>
                <w:tab w:val="left" w:pos="11119"/>
                <w:tab w:val="left" w:pos="11723"/>
                <w:tab w:val="left" w:pos="12327"/>
                <w:tab w:val="left" w:pos="12931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Comment Resolution </w:t>
            </w:r>
            <w:r w:rsidR="003C4189">
              <w:rPr>
                <w:rFonts w:eastAsia="Times New Roman"/>
              </w:rPr>
              <w:t>and</w:t>
            </w:r>
            <w:r>
              <w:rPr>
                <w:rFonts w:eastAsia="Times New Roman"/>
              </w:rPr>
              <w:t xml:space="preserve"> </w:t>
            </w:r>
            <w:r w:rsidR="003C4189">
              <w:rPr>
                <w:rFonts w:eastAsia="Times New Roman"/>
              </w:rPr>
              <w:t xml:space="preserve">Closed Feedback Form </w:t>
            </w:r>
            <w:r>
              <w:rPr>
                <w:rFonts w:eastAsia="Times New Roman"/>
              </w:rPr>
              <w:t>Accession Number</w:t>
            </w:r>
            <w:r w:rsidR="003C4189">
              <w:rPr>
                <w:rFonts w:eastAsia="Times New Roman"/>
              </w:rPr>
              <w:t xml:space="preserve"> (Pre-Decisional, Non-Public Information</w:t>
            </w:r>
          </w:p>
        </w:tc>
      </w:tr>
      <w:tr w:rsidR="00910F70" w:rsidTr="003C4189"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F70" w:rsidRDefault="00910F70">
            <w:pPr>
              <w:widowControl w:val="0"/>
              <w:tabs>
                <w:tab w:val="left" w:pos="270"/>
                <w:tab w:val="left" w:pos="810"/>
                <w:tab w:val="left" w:pos="1440"/>
                <w:tab w:val="left" w:pos="2059"/>
                <w:tab w:val="left" w:pos="2663"/>
                <w:tab w:val="left" w:pos="3267"/>
                <w:tab w:val="left" w:pos="3871"/>
                <w:tab w:val="left" w:pos="4475"/>
                <w:tab w:val="left" w:pos="5079"/>
                <w:tab w:val="left" w:pos="5683"/>
                <w:tab w:val="left" w:pos="6287"/>
                <w:tab w:val="left" w:pos="6891"/>
                <w:tab w:val="left" w:pos="7495"/>
                <w:tab w:val="left" w:pos="8099"/>
                <w:tab w:val="left" w:pos="8703"/>
                <w:tab w:val="left" w:pos="9307"/>
                <w:tab w:val="left" w:pos="9911"/>
                <w:tab w:val="left" w:pos="10515"/>
                <w:tab w:val="left" w:pos="11119"/>
                <w:tab w:val="left" w:pos="11723"/>
                <w:tab w:val="left" w:pos="12327"/>
                <w:tab w:val="left" w:pos="12931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N/A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F70" w:rsidRDefault="00910F70">
            <w:pPr>
              <w:widowControl w:val="0"/>
              <w:tabs>
                <w:tab w:val="left" w:pos="270"/>
                <w:tab w:val="left" w:pos="810"/>
                <w:tab w:val="left" w:pos="1440"/>
                <w:tab w:val="left" w:pos="2059"/>
                <w:tab w:val="left" w:pos="2663"/>
                <w:tab w:val="left" w:pos="3267"/>
                <w:tab w:val="left" w:pos="3871"/>
                <w:tab w:val="left" w:pos="4475"/>
                <w:tab w:val="left" w:pos="5079"/>
                <w:tab w:val="left" w:pos="5683"/>
                <w:tab w:val="left" w:pos="6287"/>
                <w:tab w:val="left" w:pos="6891"/>
                <w:tab w:val="left" w:pos="7495"/>
                <w:tab w:val="left" w:pos="8099"/>
                <w:tab w:val="left" w:pos="8703"/>
                <w:tab w:val="left" w:pos="9307"/>
                <w:tab w:val="left" w:pos="9911"/>
                <w:tab w:val="left" w:pos="10515"/>
                <w:tab w:val="left" w:pos="11119"/>
                <w:tab w:val="left" w:pos="11723"/>
                <w:tab w:val="left" w:pos="12327"/>
                <w:tab w:val="left" w:pos="12931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ML18114A806</w:t>
            </w:r>
          </w:p>
          <w:p w:rsidR="00910F70" w:rsidRDefault="003C4189">
            <w:pPr>
              <w:widowControl w:val="0"/>
              <w:tabs>
                <w:tab w:val="left" w:pos="270"/>
                <w:tab w:val="left" w:pos="810"/>
                <w:tab w:val="left" w:pos="1440"/>
                <w:tab w:val="left" w:pos="2059"/>
                <w:tab w:val="left" w:pos="2663"/>
                <w:tab w:val="left" w:pos="3267"/>
                <w:tab w:val="left" w:pos="3871"/>
                <w:tab w:val="left" w:pos="4475"/>
                <w:tab w:val="left" w:pos="5079"/>
                <w:tab w:val="left" w:pos="5683"/>
                <w:tab w:val="left" w:pos="6287"/>
                <w:tab w:val="left" w:pos="6891"/>
                <w:tab w:val="left" w:pos="7495"/>
                <w:tab w:val="left" w:pos="8099"/>
                <w:tab w:val="left" w:pos="8703"/>
                <w:tab w:val="left" w:pos="9307"/>
                <w:tab w:val="left" w:pos="9911"/>
                <w:tab w:val="left" w:pos="10515"/>
                <w:tab w:val="left" w:pos="11119"/>
                <w:tab w:val="left" w:pos="11723"/>
                <w:tab w:val="left" w:pos="12327"/>
                <w:tab w:val="left" w:pos="12931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11/08/18</w:t>
            </w:r>
          </w:p>
          <w:p w:rsidR="00910F70" w:rsidRDefault="003C4189">
            <w:pPr>
              <w:widowControl w:val="0"/>
              <w:tabs>
                <w:tab w:val="left" w:pos="270"/>
                <w:tab w:val="left" w:pos="810"/>
                <w:tab w:val="left" w:pos="1440"/>
                <w:tab w:val="left" w:pos="2059"/>
                <w:tab w:val="left" w:pos="2663"/>
                <w:tab w:val="left" w:pos="3267"/>
                <w:tab w:val="left" w:pos="3871"/>
                <w:tab w:val="left" w:pos="4475"/>
                <w:tab w:val="left" w:pos="5079"/>
                <w:tab w:val="left" w:pos="5683"/>
                <w:tab w:val="left" w:pos="6287"/>
                <w:tab w:val="left" w:pos="6891"/>
                <w:tab w:val="left" w:pos="7495"/>
                <w:tab w:val="left" w:pos="8099"/>
                <w:tab w:val="left" w:pos="8703"/>
                <w:tab w:val="left" w:pos="9307"/>
                <w:tab w:val="left" w:pos="9911"/>
                <w:tab w:val="left" w:pos="10515"/>
                <w:tab w:val="left" w:pos="11119"/>
                <w:tab w:val="left" w:pos="11723"/>
                <w:tab w:val="left" w:pos="12327"/>
                <w:tab w:val="left" w:pos="12931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CN 18-038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F70" w:rsidRDefault="00910F70">
            <w:pPr>
              <w:widowControl w:val="0"/>
              <w:tabs>
                <w:tab w:val="left" w:pos="270"/>
                <w:tab w:val="left" w:pos="810"/>
                <w:tab w:val="left" w:pos="1440"/>
                <w:tab w:val="left" w:pos="2059"/>
                <w:tab w:val="left" w:pos="2663"/>
                <w:tab w:val="left" w:pos="3267"/>
                <w:tab w:val="left" w:pos="3871"/>
                <w:tab w:val="left" w:pos="4475"/>
                <w:tab w:val="left" w:pos="5079"/>
                <w:tab w:val="left" w:pos="5683"/>
                <w:tab w:val="left" w:pos="6287"/>
                <w:tab w:val="left" w:pos="6891"/>
                <w:tab w:val="left" w:pos="7495"/>
                <w:tab w:val="left" w:pos="8099"/>
                <w:tab w:val="left" w:pos="8703"/>
                <w:tab w:val="left" w:pos="9307"/>
                <w:tab w:val="left" w:pos="9911"/>
                <w:tab w:val="left" w:pos="10515"/>
                <w:tab w:val="left" w:pos="11119"/>
                <w:tab w:val="left" w:pos="11723"/>
                <w:tab w:val="left" w:pos="12327"/>
                <w:tab w:val="left" w:pos="12931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New document.</w:t>
            </w:r>
            <w:r w:rsidR="003C4189">
              <w:rPr>
                <w:rFonts w:eastAsia="Times New Roman"/>
              </w:rPr>
              <w:t xml:space="preserve">  </w:t>
            </w:r>
            <w:r w:rsidR="003C4189">
              <w:t>A four-year historical search</w:t>
            </w:r>
            <w:r w:rsidR="003C4189">
              <w:rPr>
                <w:sz w:val="14"/>
                <w:szCs w:val="14"/>
              </w:rPr>
              <w:t xml:space="preserve"> </w:t>
            </w:r>
            <w:r w:rsidR="003C4189">
              <w:t>for commitments was conducted and no commitments were found.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F70" w:rsidRDefault="00910F70">
            <w:pPr>
              <w:widowControl w:val="0"/>
              <w:tabs>
                <w:tab w:val="left" w:pos="270"/>
                <w:tab w:val="left" w:pos="810"/>
                <w:tab w:val="left" w:pos="1440"/>
                <w:tab w:val="left" w:pos="2059"/>
                <w:tab w:val="left" w:pos="2663"/>
                <w:tab w:val="left" w:pos="3267"/>
                <w:tab w:val="left" w:pos="3871"/>
                <w:tab w:val="left" w:pos="4475"/>
                <w:tab w:val="left" w:pos="5079"/>
                <w:tab w:val="left" w:pos="5683"/>
                <w:tab w:val="left" w:pos="6287"/>
                <w:tab w:val="left" w:pos="6891"/>
                <w:tab w:val="left" w:pos="7495"/>
                <w:tab w:val="left" w:pos="8099"/>
                <w:tab w:val="left" w:pos="8703"/>
                <w:tab w:val="left" w:pos="9307"/>
                <w:tab w:val="left" w:pos="9911"/>
                <w:tab w:val="left" w:pos="10515"/>
                <w:tab w:val="left" w:pos="11119"/>
                <w:tab w:val="left" w:pos="11723"/>
                <w:tab w:val="left" w:pos="12327"/>
                <w:tab w:val="left" w:pos="12931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N/A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F70" w:rsidRDefault="00910F70">
            <w:pPr>
              <w:widowControl w:val="0"/>
              <w:tabs>
                <w:tab w:val="left" w:pos="270"/>
                <w:tab w:val="left" w:pos="810"/>
                <w:tab w:val="left" w:pos="1440"/>
                <w:tab w:val="left" w:pos="2059"/>
                <w:tab w:val="left" w:pos="2663"/>
                <w:tab w:val="left" w:pos="3267"/>
                <w:tab w:val="left" w:pos="3871"/>
                <w:tab w:val="left" w:pos="4475"/>
                <w:tab w:val="left" w:pos="5079"/>
                <w:tab w:val="left" w:pos="5683"/>
                <w:tab w:val="left" w:pos="6287"/>
                <w:tab w:val="left" w:pos="6891"/>
                <w:tab w:val="left" w:pos="7495"/>
                <w:tab w:val="left" w:pos="8099"/>
                <w:tab w:val="left" w:pos="8703"/>
                <w:tab w:val="left" w:pos="9307"/>
                <w:tab w:val="left" w:pos="9911"/>
                <w:tab w:val="left" w:pos="10515"/>
                <w:tab w:val="left" w:pos="11119"/>
                <w:tab w:val="left" w:pos="11723"/>
                <w:tab w:val="left" w:pos="12327"/>
                <w:tab w:val="left" w:pos="12931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N/A</w:t>
            </w:r>
          </w:p>
        </w:tc>
      </w:tr>
    </w:tbl>
    <w:p w:rsidR="00910F70" w:rsidRPr="00CF29BC" w:rsidRDefault="00910F70" w:rsidP="00910F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0" w:lineRule="auto"/>
        <w:contextualSpacing/>
        <w:jc w:val="center"/>
      </w:pPr>
    </w:p>
    <w:sectPr w:rsidR="00910F70" w:rsidRPr="00CF29BC" w:rsidSect="006E2D44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21" w:rsidRDefault="007A5821" w:rsidP="00CA3BAF">
      <w:pPr>
        <w:spacing w:line="240" w:lineRule="auto"/>
      </w:pPr>
      <w:r>
        <w:separator/>
      </w:r>
    </w:p>
  </w:endnote>
  <w:endnote w:type="continuationSeparator" w:id="0">
    <w:p w:rsidR="007A5821" w:rsidRDefault="007A5821" w:rsidP="00CA3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ED5" w:rsidRDefault="00E46ED5">
    <w:pPr>
      <w:pStyle w:val="Footer"/>
    </w:pPr>
    <w:r>
      <w:t xml:space="preserve">Issue Date:  </w:t>
    </w:r>
    <w:r w:rsidR="003C4189">
      <w:t>11/08/18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EB4A32"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>
      <w:t>2650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ED5" w:rsidRDefault="00E46ED5">
    <w:pPr>
      <w:pStyle w:val="Footer"/>
    </w:pPr>
    <w:r>
      <w:t xml:space="preserve">Issue Date:  </w:t>
    </w:r>
    <w:r w:rsidR="003C4189">
      <w:t>11/08/18</w:t>
    </w:r>
    <w:r>
      <w:ptab w:relativeTo="margin" w:alignment="center" w:leader="none"/>
    </w:r>
    <w:r>
      <w:t>Att-</w:t>
    </w:r>
    <w:r>
      <w:fldChar w:fldCharType="begin"/>
    </w:r>
    <w:r>
      <w:instrText xml:space="preserve"> PAGE   \* MERGEFORMAT </w:instrText>
    </w:r>
    <w:r>
      <w:fldChar w:fldCharType="separate"/>
    </w:r>
    <w:r w:rsidR="00EB4A32"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  <w:r>
      <w:t>2650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21" w:rsidRDefault="007A5821" w:rsidP="00CA3BAF">
      <w:pPr>
        <w:spacing w:line="240" w:lineRule="auto"/>
      </w:pPr>
      <w:r>
        <w:separator/>
      </w:r>
    </w:p>
  </w:footnote>
  <w:footnote w:type="continuationSeparator" w:id="0">
    <w:p w:rsidR="007A5821" w:rsidRDefault="007A5821" w:rsidP="00CA3BAF">
      <w:pPr>
        <w:spacing w:line="240" w:lineRule="auto"/>
      </w:pPr>
      <w:r>
        <w:continuationSeparator/>
      </w:r>
    </w:p>
  </w:footnote>
  <w:footnote w:id="1">
    <w:p w:rsidR="00E46ED5" w:rsidRDefault="00E46ED5">
      <w:pPr>
        <w:pStyle w:val="FootnoteText"/>
      </w:pPr>
      <w:r>
        <w:rPr>
          <w:rStyle w:val="FootnoteReference"/>
        </w:rPr>
        <w:footnoteRef/>
      </w:r>
      <w:r>
        <w:t xml:space="preserve"> The term “inspection guidance” refers to Manual Chapters, Inspection Procedures, Regional Office Instructions, etc.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3F2D"/>
    <w:multiLevelType w:val="hybridMultilevel"/>
    <w:tmpl w:val="815C45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700B"/>
    <w:multiLevelType w:val="hybridMultilevel"/>
    <w:tmpl w:val="DA5C7EBC"/>
    <w:lvl w:ilvl="0" w:tplc="1D5CAE14">
      <w:start w:val="40"/>
      <w:numFmt w:val="bullet"/>
      <w:lvlText w:val=""/>
      <w:lvlJc w:val="left"/>
      <w:pPr>
        <w:ind w:left="1167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" w15:restartNumberingAfterBreak="0">
    <w:nsid w:val="0BC12748"/>
    <w:multiLevelType w:val="hybridMultilevel"/>
    <w:tmpl w:val="65FCE3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20A3"/>
    <w:multiLevelType w:val="hybridMultilevel"/>
    <w:tmpl w:val="476A09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5649D"/>
    <w:multiLevelType w:val="hybridMultilevel"/>
    <w:tmpl w:val="7A4A07AC"/>
    <w:lvl w:ilvl="0" w:tplc="4A82DDA4">
      <w:start w:val="1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A484C34"/>
    <w:multiLevelType w:val="hybridMultilevel"/>
    <w:tmpl w:val="B7C0DD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A1826"/>
    <w:multiLevelType w:val="hybridMultilevel"/>
    <w:tmpl w:val="8EEC81EA"/>
    <w:lvl w:ilvl="0" w:tplc="663EF866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87437"/>
    <w:multiLevelType w:val="hybridMultilevel"/>
    <w:tmpl w:val="75DE2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C7FF5"/>
    <w:multiLevelType w:val="hybridMultilevel"/>
    <w:tmpl w:val="4F7CB79E"/>
    <w:lvl w:ilvl="0" w:tplc="0409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9" w15:restartNumberingAfterBreak="0">
    <w:nsid w:val="42B72FDB"/>
    <w:multiLevelType w:val="hybridMultilevel"/>
    <w:tmpl w:val="B9DEFA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76CDB"/>
    <w:multiLevelType w:val="hybridMultilevel"/>
    <w:tmpl w:val="3438C026"/>
    <w:lvl w:ilvl="0" w:tplc="1F2AF8DC">
      <w:start w:val="1"/>
      <w:numFmt w:val="upperLetter"/>
      <w:lvlText w:val="(%1)"/>
      <w:lvlJc w:val="left"/>
      <w:pPr>
        <w:ind w:left="3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55043E13"/>
    <w:multiLevelType w:val="hybridMultilevel"/>
    <w:tmpl w:val="91784E9A"/>
    <w:lvl w:ilvl="0" w:tplc="CAD49D0C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26E73"/>
    <w:multiLevelType w:val="hybridMultilevel"/>
    <w:tmpl w:val="2B8017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B732B"/>
    <w:multiLevelType w:val="hybridMultilevel"/>
    <w:tmpl w:val="7A4A07AC"/>
    <w:lvl w:ilvl="0" w:tplc="4A82DDA4">
      <w:start w:val="1"/>
      <w:numFmt w:val="upp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650710C1"/>
    <w:multiLevelType w:val="hybridMultilevel"/>
    <w:tmpl w:val="C74E9A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035C2"/>
    <w:multiLevelType w:val="hybridMultilevel"/>
    <w:tmpl w:val="476A09BE"/>
    <w:lvl w:ilvl="0" w:tplc="04090019">
      <w:start w:val="1"/>
      <w:numFmt w:val="lowerLetter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6" w15:restartNumberingAfterBreak="0">
    <w:nsid w:val="681F425C"/>
    <w:multiLevelType w:val="hybridMultilevel"/>
    <w:tmpl w:val="53508DB6"/>
    <w:lvl w:ilvl="0" w:tplc="085C3446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62C54"/>
    <w:multiLevelType w:val="hybridMultilevel"/>
    <w:tmpl w:val="7292B6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7415A"/>
    <w:multiLevelType w:val="hybridMultilevel"/>
    <w:tmpl w:val="FABEFE04"/>
    <w:lvl w:ilvl="0" w:tplc="0409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9" w15:restartNumberingAfterBreak="0">
    <w:nsid w:val="706D59D6"/>
    <w:multiLevelType w:val="hybridMultilevel"/>
    <w:tmpl w:val="C596C0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7"/>
  </w:num>
  <w:num w:numId="5">
    <w:abstractNumId w:val="14"/>
  </w:num>
  <w:num w:numId="6">
    <w:abstractNumId w:val="9"/>
  </w:num>
  <w:num w:numId="7">
    <w:abstractNumId w:val="11"/>
  </w:num>
  <w:num w:numId="8">
    <w:abstractNumId w:val="3"/>
  </w:num>
  <w:num w:numId="9">
    <w:abstractNumId w:val="17"/>
  </w:num>
  <w:num w:numId="10">
    <w:abstractNumId w:val="16"/>
  </w:num>
  <w:num w:numId="11">
    <w:abstractNumId w:val="5"/>
  </w:num>
  <w:num w:numId="12">
    <w:abstractNumId w:val="6"/>
  </w:num>
  <w:num w:numId="13">
    <w:abstractNumId w:val="0"/>
  </w:num>
  <w:num w:numId="14">
    <w:abstractNumId w:val="19"/>
  </w:num>
  <w:num w:numId="15">
    <w:abstractNumId w:val="12"/>
  </w:num>
  <w:num w:numId="16">
    <w:abstractNumId w:val="2"/>
  </w:num>
  <w:num w:numId="17">
    <w:abstractNumId w:val="18"/>
  </w:num>
  <w:num w:numId="18">
    <w:abstractNumId w:val="1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0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AF"/>
    <w:rsid w:val="00002839"/>
    <w:rsid w:val="00004C6A"/>
    <w:rsid w:val="00030394"/>
    <w:rsid w:val="00043A72"/>
    <w:rsid w:val="000679A4"/>
    <w:rsid w:val="0007139F"/>
    <w:rsid w:val="000716EC"/>
    <w:rsid w:val="000A0189"/>
    <w:rsid w:val="000C1A15"/>
    <w:rsid w:val="000D1E6A"/>
    <w:rsid w:val="000D5C6E"/>
    <w:rsid w:val="000E47AA"/>
    <w:rsid w:val="000F10F9"/>
    <w:rsid w:val="000F1BEA"/>
    <w:rsid w:val="00103BF0"/>
    <w:rsid w:val="00117B19"/>
    <w:rsid w:val="001624E1"/>
    <w:rsid w:val="001908D0"/>
    <w:rsid w:val="001A10F7"/>
    <w:rsid w:val="001A13CF"/>
    <w:rsid w:val="001A48FC"/>
    <w:rsid w:val="001F6C72"/>
    <w:rsid w:val="002112A0"/>
    <w:rsid w:val="00223D68"/>
    <w:rsid w:val="00256591"/>
    <w:rsid w:val="00272EDF"/>
    <w:rsid w:val="002865F1"/>
    <w:rsid w:val="002B1E02"/>
    <w:rsid w:val="002C724D"/>
    <w:rsid w:val="002D1413"/>
    <w:rsid w:val="002D75D0"/>
    <w:rsid w:val="00301EC4"/>
    <w:rsid w:val="00304073"/>
    <w:rsid w:val="00321901"/>
    <w:rsid w:val="00335873"/>
    <w:rsid w:val="003400B7"/>
    <w:rsid w:val="00367F81"/>
    <w:rsid w:val="00373CDE"/>
    <w:rsid w:val="003813CD"/>
    <w:rsid w:val="003848F6"/>
    <w:rsid w:val="003B062A"/>
    <w:rsid w:val="003C4189"/>
    <w:rsid w:val="003F7CF2"/>
    <w:rsid w:val="00414C4B"/>
    <w:rsid w:val="00425BD3"/>
    <w:rsid w:val="00450190"/>
    <w:rsid w:val="004615E7"/>
    <w:rsid w:val="00477C9C"/>
    <w:rsid w:val="00485D6C"/>
    <w:rsid w:val="00487EBA"/>
    <w:rsid w:val="0049484B"/>
    <w:rsid w:val="004A1AEE"/>
    <w:rsid w:val="004A5113"/>
    <w:rsid w:val="004A53B9"/>
    <w:rsid w:val="004B7456"/>
    <w:rsid w:val="005118BB"/>
    <w:rsid w:val="00514F15"/>
    <w:rsid w:val="00553FC0"/>
    <w:rsid w:val="00556445"/>
    <w:rsid w:val="005717FC"/>
    <w:rsid w:val="00575E4C"/>
    <w:rsid w:val="00585D5F"/>
    <w:rsid w:val="00590E58"/>
    <w:rsid w:val="005A55CF"/>
    <w:rsid w:val="005F608E"/>
    <w:rsid w:val="005F7153"/>
    <w:rsid w:val="006259DC"/>
    <w:rsid w:val="006328C8"/>
    <w:rsid w:val="00637A32"/>
    <w:rsid w:val="00655CEB"/>
    <w:rsid w:val="00671D6F"/>
    <w:rsid w:val="0069148C"/>
    <w:rsid w:val="006A7556"/>
    <w:rsid w:val="006A7D78"/>
    <w:rsid w:val="006C4F69"/>
    <w:rsid w:val="006E2D44"/>
    <w:rsid w:val="006F5E7D"/>
    <w:rsid w:val="00730DD3"/>
    <w:rsid w:val="00731094"/>
    <w:rsid w:val="00760A6C"/>
    <w:rsid w:val="007744B5"/>
    <w:rsid w:val="00777208"/>
    <w:rsid w:val="00777308"/>
    <w:rsid w:val="007868C6"/>
    <w:rsid w:val="0079571E"/>
    <w:rsid w:val="007A5821"/>
    <w:rsid w:val="007B302F"/>
    <w:rsid w:val="00803978"/>
    <w:rsid w:val="00815B72"/>
    <w:rsid w:val="00853641"/>
    <w:rsid w:val="00853F60"/>
    <w:rsid w:val="008767B0"/>
    <w:rsid w:val="008816A0"/>
    <w:rsid w:val="00882753"/>
    <w:rsid w:val="008A0B74"/>
    <w:rsid w:val="008A6E76"/>
    <w:rsid w:val="008C4882"/>
    <w:rsid w:val="008D2E75"/>
    <w:rsid w:val="008D7B79"/>
    <w:rsid w:val="008E2646"/>
    <w:rsid w:val="008E3BCF"/>
    <w:rsid w:val="008E4F01"/>
    <w:rsid w:val="00910F70"/>
    <w:rsid w:val="00912F10"/>
    <w:rsid w:val="00915AEE"/>
    <w:rsid w:val="00944BEB"/>
    <w:rsid w:val="00950BC6"/>
    <w:rsid w:val="0095480C"/>
    <w:rsid w:val="009649B5"/>
    <w:rsid w:val="00977D63"/>
    <w:rsid w:val="009A1A5A"/>
    <w:rsid w:val="009C5594"/>
    <w:rsid w:val="009D5D95"/>
    <w:rsid w:val="00A01DB0"/>
    <w:rsid w:val="00A211AD"/>
    <w:rsid w:val="00A36035"/>
    <w:rsid w:val="00A45137"/>
    <w:rsid w:val="00A45F1C"/>
    <w:rsid w:val="00A52F18"/>
    <w:rsid w:val="00A8488E"/>
    <w:rsid w:val="00AB4137"/>
    <w:rsid w:val="00AE0002"/>
    <w:rsid w:val="00B10466"/>
    <w:rsid w:val="00B135D6"/>
    <w:rsid w:val="00B32F81"/>
    <w:rsid w:val="00B3662A"/>
    <w:rsid w:val="00B3665F"/>
    <w:rsid w:val="00B52C5E"/>
    <w:rsid w:val="00B826F3"/>
    <w:rsid w:val="00BB03BE"/>
    <w:rsid w:val="00BD3DF9"/>
    <w:rsid w:val="00BD41B7"/>
    <w:rsid w:val="00C00111"/>
    <w:rsid w:val="00C142B3"/>
    <w:rsid w:val="00C175AF"/>
    <w:rsid w:val="00C42379"/>
    <w:rsid w:val="00C60E14"/>
    <w:rsid w:val="00CA3BAF"/>
    <w:rsid w:val="00CA768B"/>
    <w:rsid w:val="00CB2DDF"/>
    <w:rsid w:val="00CF29BC"/>
    <w:rsid w:val="00D50C7A"/>
    <w:rsid w:val="00D61340"/>
    <w:rsid w:val="00D64428"/>
    <w:rsid w:val="00D941BA"/>
    <w:rsid w:val="00DA3FD1"/>
    <w:rsid w:val="00DF3D2B"/>
    <w:rsid w:val="00E15242"/>
    <w:rsid w:val="00E1739F"/>
    <w:rsid w:val="00E30460"/>
    <w:rsid w:val="00E46ED5"/>
    <w:rsid w:val="00E75D15"/>
    <w:rsid w:val="00E82D73"/>
    <w:rsid w:val="00E849E9"/>
    <w:rsid w:val="00E8631C"/>
    <w:rsid w:val="00EB4A32"/>
    <w:rsid w:val="00EE1E1A"/>
    <w:rsid w:val="00EE2CA4"/>
    <w:rsid w:val="00EE4309"/>
    <w:rsid w:val="00EE746C"/>
    <w:rsid w:val="00EF032D"/>
    <w:rsid w:val="00F11202"/>
    <w:rsid w:val="00F1197B"/>
    <w:rsid w:val="00F14399"/>
    <w:rsid w:val="00F213AF"/>
    <w:rsid w:val="00F35C43"/>
    <w:rsid w:val="00F73E23"/>
    <w:rsid w:val="00F96C8A"/>
    <w:rsid w:val="00F97DCB"/>
    <w:rsid w:val="00FA573A"/>
    <w:rsid w:val="00FB298F"/>
    <w:rsid w:val="00FB5832"/>
    <w:rsid w:val="00F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A27E7F-C111-48A7-BD9D-B1F0264B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A3BA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B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3B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32F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3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D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D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5B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BD3"/>
  </w:style>
  <w:style w:type="paragraph" w:styleId="Footer">
    <w:name w:val="footer"/>
    <w:basedOn w:val="Normal"/>
    <w:link w:val="FooterChar"/>
    <w:uiPriority w:val="99"/>
    <w:unhideWhenUsed/>
    <w:rsid w:val="00425B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BD3"/>
  </w:style>
  <w:style w:type="paragraph" w:customStyle="1" w:styleId="Default">
    <w:name w:val="Default"/>
    <w:rsid w:val="003B062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7F4F8-CA2A-47A2-A8D5-948F1729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Tripp, Christopher</dc:creator>
  <cp:keywords/>
  <dc:description/>
  <cp:lastModifiedBy>Curran, Bridget</cp:lastModifiedBy>
  <cp:revision>2</cp:revision>
  <dcterms:created xsi:type="dcterms:W3CDTF">2018-11-08T14:04:00Z</dcterms:created>
  <dcterms:modified xsi:type="dcterms:W3CDTF">2018-11-08T14:04:00Z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1749099791</vt:i4>
  </property>
</Properties>
</file>