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3B19962" w14:textId="77777777" w:rsidR="00270EAC" w:rsidRPr="00270EAC" w:rsidRDefault="00270EAC" w:rsidP="00270EAC">
      <w:pPr>
        <w:tabs>
          <w:tab w:val="center" w:pos="4680"/>
        </w:tabs>
        <w:jc w:val="center"/>
        <w:rPr>
          <w:b/>
          <w:sz w:val="38"/>
          <w:szCs w:val="38"/>
        </w:rPr>
      </w:pPr>
      <w:r w:rsidRPr="00270EAC">
        <w:rPr>
          <w:b/>
          <w:noProof/>
          <w:sz w:val="38"/>
          <w:szCs w:val="38"/>
        </w:rPr>
        <mc:AlternateContent>
          <mc:Choice Requires="wps">
            <w:drawing>
              <wp:anchor distT="0" distB="0" distL="114300" distR="114300" simplePos="0" relativeHeight="251659264" behindDoc="0" locked="0" layoutInCell="1" allowOverlap="1" wp14:anchorId="4E47595C" wp14:editId="223BEF32">
                <wp:simplePos x="0" y="0"/>
                <wp:positionH relativeFrom="column">
                  <wp:posOffset>5405755</wp:posOffset>
                </wp:positionH>
                <wp:positionV relativeFrom="paragraph">
                  <wp:posOffset>50800</wp:posOffset>
                </wp:positionV>
                <wp:extent cx="66167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DB34F" w14:textId="77777777" w:rsidR="00270EAC" w:rsidRPr="00C15D52" w:rsidRDefault="00270EAC" w:rsidP="00270EAC">
                            <w:pPr>
                              <w:rPr>
                                <w:sz w:val="20"/>
                                <w:szCs w:val="20"/>
                              </w:rPr>
                            </w:pPr>
                            <w:r w:rsidRPr="00C15D52">
                              <w:rPr>
                                <w:sz w:val="20"/>
                                <w:szCs w:val="20"/>
                              </w:rPr>
                              <w:t>AP</w:t>
                            </w:r>
                            <w:r>
                              <w:rPr>
                                <w:sz w:val="20"/>
                                <w:szCs w:val="20"/>
                              </w:rPr>
                              <w:t>H</w:t>
                            </w:r>
                            <w:r w:rsidRPr="00C15D52">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7595C" id="_x0000_t202" coordsize="21600,21600" o:spt="202" path="m,l,21600r21600,l21600,xe">
                <v:stroke joinstyle="miter"/>
                <v:path gradientshapeok="t" o:connecttype="rect"/>
              </v:shapetype>
              <v:shape id="Text Box 2" o:spid="_x0000_s1026" type="#_x0000_t202" style="position:absolute;left:0;text-align:left;margin-left:425.65pt;margin-top:4pt;width:52.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MU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" stroked="f">
                <v:textbox>
                  <w:txbxContent>
                    <w:p w14:paraId="3DFDB34F" w14:textId="77777777" w:rsidR="00270EAC" w:rsidRPr="00C15D52" w:rsidRDefault="00270EAC" w:rsidP="00270EAC">
                      <w:pPr>
                        <w:rPr>
                          <w:sz w:val="20"/>
                          <w:szCs w:val="20"/>
                        </w:rPr>
                      </w:pPr>
                      <w:r w:rsidRPr="00C15D52">
                        <w:rPr>
                          <w:sz w:val="20"/>
                          <w:szCs w:val="20"/>
                        </w:rPr>
                        <w:t>AP</w:t>
                      </w:r>
                      <w:r>
                        <w:rPr>
                          <w:sz w:val="20"/>
                          <w:szCs w:val="20"/>
                        </w:rPr>
                        <w:t>H</w:t>
                      </w:r>
                      <w:r w:rsidRPr="00C15D52">
                        <w:rPr>
                          <w:sz w:val="20"/>
                          <w:szCs w:val="20"/>
                        </w:rPr>
                        <w:t>B</w:t>
                      </w:r>
                    </w:p>
                  </w:txbxContent>
                </v:textbox>
              </v:shape>
            </w:pict>
          </mc:Fallback>
        </mc:AlternateContent>
      </w:r>
      <w:r w:rsidRPr="00270EAC">
        <w:rPr>
          <w:b/>
          <w:sz w:val="38"/>
          <w:szCs w:val="38"/>
        </w:rPr>
        <w:t>NRC INSPECTION MANUAL</w:t>
      </w:r>
    </w:p>
    <w:p w14:paraId="6F561705" w14:textId="5905E933" w:rsidR="00270EAC" w:rsidRPr="00270EAC" w:rsidRDefault="00270EAC" w:rsidP="00270EAC">
      <w:pPr>
        <w:pBdr>
          <w:top w:val="single" w:sz="4" w:space="1" w:color="auto"/>
          <w:bottom w:val="single" w:sz="4" w:space="1" w:color="auto"/>
        </w:pBdr>
        <w:tabs>
          <w:tab w:val="center" w:pos="4680"/>
        </w:tabs>
        <w:jc w:val="center"/>
        <w:rPr>
          <w:sz w:val="22"/>
        </w:rPr>
      </w:pPr>
      <w:r w:rsidRPr="00270EAC">
        <w:rPr>
          <w:sz w:val="22"/>
        </w:rPr>
        <w:t>INSPECTION MANUAL CHAPTER 0609 APPENDIX F</w:t>
      </w:r>
      <w:r>
        <w:rPr>
          <w:sz w:val="22"/>
        </w:rPr>
        <w:t xml:space="preserve"> ATTACHMENT 6</w:t>
      </w:r>
    </w:p>
    <w:p w14:paraId="54BE1386" w14:textId="77777777" w:rsidR="00270EAC" w:rsidRPr="00270EAC" w:rsidRDefault="00270EAC" w:rsidP="00270EAC">
      <w:pPr>
        <w:jc w:val="center"/>
        <w:rPr>
          <w:sz w:val="22"/>
        </w:rPr>
      </w:pPr>
    </w:p>
    <w:p w14:paraId="1AFFED80" w14:textId="77777777" w:rsidR="00270EAC" w:rsidRPr="00270EAC" w:rsidRDefault="00270EAC" w:rsidP="00270EAC">
      <w:pPr>
        <w:jc w:val="center"/>
        <w:rPr>
          <w:sz w:val="22"/>
        </w:rPr>
      </w:pPr>
    </w:p>
    <w:p w14:paraId="0A088061" w14:textId="77777777" w:rsidR="00270EAC" w:rsidRPr="00270EAC" w:rsidRDefault="00270EAC" w:rsidP="00270EAC">
      <w:pPr>
        <w:widowControl/>
        <w:jc w:val="center"/>
        <w:rPr>
          <w:bCs/>
          <w:sz w:val="22"/>
        </w:rPr>
      </w:pPr>
      <w:r w:rsidRPr="00270EAC">
        <w:rPr>
          <w:bCs/>
          <w:sz w:val="22"/>
        </w:rPr>
        <w:t>GUIDANCE FOR THE IDENTIFICATION OF TARGETS AND</w:t>
      </w:r>
    </w:p>
    <w:p w14:paraId="0331C82F" w14:textId="77777777" w:rsidR="00270EAC" w:rsidRPr="00270EAC" w:rsidRDefault="00270EAC" w:rsidP="00270EAC">
      <w:pPr>
        <w:widowControl/>
        <w:jc w:val="center"/>
        <w:rPr>
          <w:sz w:val="22"/>
        </w:rPr>
      </w:pPr>
      <w:r w:rsidRPr="00270EAC">
        <w:rPr>
          <w:bCs/>
          <w:sz w:val="22"/>
        </w:rPr>
        <w:t>THEIR IGNITION AND DAMAGE CRITERIA</w:t>
      </w:r>
    </w:p>
    <w:p w14:paraId="13FF9016" w14:textId="77777777" w:rsidR="00270EAC" w:rsidRPr="00270EAC" w:rsidRDefault="00270EAC" w:rsidP="00270EAC">
      <w:pPr>
        <w:widowControl/>
        <w:jc w:val="center"/>
        <w:rPr>
          <w:rFonts w:cs="Arial"/>
          <w:sz w:val="22"/>
          <w:szCs w:val="22"/>
        </w:rPr>
      </w:pPr>
    </w:p>
    <w:p w14:paraId="0F748461" w14:textId="77777777" w:rsidR="00270EAC" w:rsidRDefault="00270EAC" w:rsidP="00310349">
      <w:pPr>
        <w:widowControl/>
        <w:rPr>
          <w:rFonts w:cs="Arial"/>
          <w:bCs/>
          <w:sz w:val="28"/>
          <w:szCs w:val="28"/>
        </w:rPr>
        <w:sectPr w:rsidR="00270EAC" w:rsidSect="00270EAC">
          <w:footerReference w:type="even" r:id="rId10"/>
          <w:pgSz w:w="12240" w:h="15840" w:code="1"/>
          <w:pgMar w:top="1440" w:right="1440" w:bottom="1440" w:left="1440" w:header="720" w:footer="720" w:gutter="0"/>
          <w:cols w:space="720"/>
          <w:noEndnote/>
          <w:docGrid w:linePitch="326"/>
        </w:sectPr>
      </w:pPr>
    </w:p>
    <w:p w14:paraId="4DAA9DDD" w14:textId="77777777" w:rsidR="006F3BE7" w:rsidRPr="00270EAC" w:rsidRDefault="006F3BE7" w:rsidP="002D23D9">
      <w:pPr>
        <w:widowControl/>
        <w:rPr>
          <w:rFonts w:cs="Arial"/>
          <w:sz w:val="22"/>
          <w:szCs w:val="22"/>
        </w:rPr>
      </w:pPr>
      <w:r w:rsidRPr="00270EAC">
        <w:rPr>
          <w:rFonts w:cs="Arial"/>
          <w:sz w:val="22"/>
          <w:szCs w:val="22"/>
        </w:rPr>
        <w:lastRenderedPageBreak/>
        <w:t xml:space="preserve">The identification of nearest ignition and damage targets will most often involve the identification of cables as both ignition and damage targets.  Often the same cable will represent both targets.  For </w:t>
      </w:r>
      <w:r w:rsidR="00DE07C4" w:rsidRPr="00270EAC">
        <w:rPr>
          <w:rFonts w:cs="Arial"/>
          <w:sz w:val="22"/>
          <w:szCs w:val="22"/>
        </w:rPr>
        <w:t xml:space="preserve">thermoplastic (TP) and thermoset (TS) </w:t>
      </w:r>
      <w:r w:rsidRPr="00270EAC">
        <w:rPr>
          <w:rFonts w:cs="Arial"/>
          <w:sz w:val="22"/>
          <w:szCs w:val="22"/>
        </w:rPr>
        <w:t>cables, the ignition and damage criteria will be assumed to be the same.  Heat flux and temperature criteria for damage and/or ignition are identified below:</w:t>
      </w:r>
    </w:p>
    <w:p w14:paraId="25770E50" w14:textId="77777777" w:rsidR="006F3BE7" w:rsidRPr="00270EAC" w:rsidRDefault="006F3BE7" w:rsidP="00310349">
      <w:pPr>
        <w:widowControl/>
        <w:rPr>
          <w:rFonts w:cs="Arial"/>
          <w:sz w:val="22"/>
          <w:szCs w:val="22"/>
        </w:rPr>
      </w:pPr>
    </w:p>
    <w:tbl>
      <w:tblPr>
        <w:tblW w:w="0" w:type="auto"/>
        <w:tblInd w:w="109" w:type="dxa"/>
        <w:tblLayout w:type="fixed"/>
        <w:tblCellMar>
          <w:left w:w="109" w:type="dxa"/>
          <w:right w:w="109" w:type="dxa"/>
        </w:tblCellMar>
        <w:tblLook w:val="0000" w:firstRow="0" w:lastRow="0" w:firstColumn="0" w:lastColumn="0" w:noHBand="0" w:noVBand="0"/>
      </w:tblPr>
      <w:tblGrid>
        <w:gridCol w:w="3019"/>
        <w:gridCol w:w="3120"/>
        <w:gridCol w:w="3120"/>
      </w:tblGrid>
      <w:tr w:rsidR="00F508B0" w:rsidRPr="00270EAC" w14:paraId="5A842AC4" w14:textId="77777777">
        <w:tc>
          <w:tcPr>
            <w:tcW w:w="3019" w:type="dxa"/>
            <w:gridSpan w:val="3"/>
            <w:tcBorders>
              <w:top w:val="single" w:sz="7" w:space="0" w:color="000000"/>
              <w:left w:val="single" w:sz="7" w:space="0" w:color="000000"/>
              <w:bottom w:val="single" w:sz="6" w:space="0" w:color="FFFFFF"/>
              <w:right w:val="single" w:sz="7" w:space="0" w:color="000000"/>
            </w:tcBorders>
            <w:shd w:val="pct25" w:color="000000" w:fill="FFFFFF"/>
            <w:vAlign w:val="bottom"/>
          </w:tcPr>
          <w:p w14:paraId="636CE389" w14:textId="77777777" w:rsidR="006F3BE7" w:rsidRPr="00270EAC" w:rsidRDefault="006F3BE7" w:rsidP="00310349">
            <w:pPr>
              <w:spacing w:line="14" w:lineRule="exact"/>
              <w:rPr>
                <w:rFonts w:cs="Arial"/>
                <w:sz w:val="22"/>
                <w:szCs w:val="22"/>
              </w:rPr>
            </w:pPr>
          </w:p>
          <w:p w14:paraId="6361DBC1" w14:textId="77777777" w:rsidR="006F3BE7" w:rsidRPr="00270EAC" w:rsidRDefault="006F3BE7" w:rsidP="00310349">
            <w:pPr>
              <w:widowControl/>
              <w:jc w:val="center"/>
              <w:rPr>
                <w:rFonts w:cs="Arial"/>
                <w:bCs/>
                <w:sz w:val="22"/>
                <w:szCs w:val="22"/>
              </w:rPr>
            </w:pPr>
            <w:r w:rsidRPr="00270EAC">
              <w:rPr>
                <w:rFonts w:cs="Arial"/>
                <w:bCs/>
                <w:sz w:val="22"/>
                <w:szCs w:val="22"/>
              </w:rPr>
              <w:t>Table A6.1 - Screening Criteria for the Assessment</w:t>
            </w:r>
          </w:p>
          <w:p w14:paraId="3C3864EA" w14:textId="77777777" w:rsidR="006F3BE7" w:rsidRPr="00270EAC" w:rsidRDefault="006F3BE7" w:rsidP="00310349">
            <w:pPr>
              <w:widowControl/>
              <w:jc w:val="center"/>
              <w:rPr>
                <w:rFonts w:cs="Arial"/>
                <w:bCs/>
                <w:sz w:val="22"/>
                <w:szCs w:val="22"/>
              </w:rPr>
            </w:pPr>
            <w:r w:rsidRPr="00270EAC">
              <w:rPr>
                <w:rFonts w:cs="Arial"/>
                <w:bCs/>
                <w:sz w:val="22"/>
                <w:szCs w:val="22"/>
              </w:rPr>
              <w:t>of the Ignition and Damage Potential of Electrical Cables</w:t>
            </w:r>
          </w:p>
        </w:tc>
      </w:tr>
      <w:tr w:rsidR="006F3BE7" w:rsidRPr="00270EAC" w14:paraId="1D8E8E94" w14:textId="77777777">
        <w:trPr>
          <w:trHeight w:hRule="exact" w:val="402"/>
        </w:trPr>
        <w:tc>
          <w:tcPr>
            <w:tcW w:w="3019" w:type="dxa"/>
            <w:tcBorders>
              <w:top w:val="single" w:sz="7" w:space="0" w:color="000000"/>
              <w:left w:val="single" w:sz="7" w:space="0" w:color="000000"/>
              <w:bottom w:val="single" w:sz="6" w:space="0" w:color="FFFFFF"/>
              <w:right w:val="single" w:sz="6" w:space="0" w:color="FFFFFF"/>
            </w:tcBorders>
            <w:vAlign w:val="bottom"/>
          </w:tcPr>
          <w:p w14:paraId="1B697F2A" w14:textId="77777777" w:rsidR="006F3BE7" w:rsidRPr="00270EAC" w:rsidRDefault="006F3BE7" w:rsidP="00310349">
            <w:pPr>
              <w:spacing w:line="14" w:lineRule="exact"/>
              <w:rPr>
                <w:rFonts w:cs="Arial"/>
                <w:bCs/>
                <w:sz w:val="22"/>
                <w:szCs w:val="22"/>
              </w:rPr>
            </w:pPr>
          </w:p>
          <w:p w14:paraId="39403F8E"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rPr>
                <w:rFonts w:cs="Arial"/>
                <w:bCs/>
                <w:sz w:val="22"/>
                <w:szCs w:val="22"/>
              </w:rPr>
            </w:pPr>
            <w:r w:rsidRPr="00270EAC">
              <w:rPr>
                <w:rFonts w:cs="Arial"/>
                <w:bCs/>
                <w:sz w:val="22"/>
                <w:szCs w:val="22"/>
              </w:rPr>
              <w:t>Cable Type</w:t>
            </w:r>
          </w:p>
        </w:tc>
        <w:tc>
          <w:tcPr>
            <w:tcW w:w="3120" w:type="dxa"/>
            <w:tcBorders>
              <w:top w:val="single" w:sz="7" w:space="0" w:color="000000"/>
              <w:left w:val="single" w:sz="7" w:space="0" w:color="000000"/>
              <w:bottom w:val="single" w:sz="6" w:space="0" w:color="FFFFFF"/>
              <w:right w:val="single" w:sz="6" w:space="0" w:color="FFFFFF"/>
            </w:tcBorders>
            <w:vAlign w:val="bottom"/>
          </w:tcPr>
          <w:p w14:paraId="70D3077F" w14:textId="77777777" w:rsidR="006F3BE7" w:rsidRPr="00270EAC" w:rsidRDefault="006F3BE7" w:rsidP="00310349">
            <w:pPr>
              <w:spacing w:line="14" w:lineRule="exact"/>
              <w:rPr>
                <w:rFonts w:cs="Arial"/>
                <w:bCs/>
                <w:sz w:val="22"/>
                <w:szCs w:val="22"/>
              </w:rPr>
            </w:pPr>
          </w:p>
          <w:p w14:paraId="6AD375F7"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jc w:val="center"/>
              <w:rPr>
                <w:rFonts w:cs="Arial"/>
                <w:bCs/>
                <w:sz w:val="22"/>
                <w:szCs w:val="22"/>
              </w:rPr>
            </w:pPr>
            <w:r w:rsidRPr="00270EAC">
              <w:rPr>
                <w:rFonts w:cs="Arial"/>
                <w:bCs/>
                <w:sz w:val="22"/>
                <w:szCs w:val="22"/>
              </w:rPr>
              <w:t>Radiant Heating Criteria</w:t>
            </w:r>
          </w:p>
        </w:tc>
        <w:tc>
          <w:tcPr>
            <w:tcW w:w="3120" w:type="dxa"/>
            <w:tcBorders>
              <w:top w:val="single" w:sz="7" w:space="0" w:color="000000"/>
              <w:left w:val="single" w:sz="7" w:space="0" w:color="000000"/>
              <w:bottom w:val="single" w:sz="6" w:space="0" w:color="FFFFFF"/>
              <w:right w:val="single" w:sz="7" w:space="0" w:color="000000"/>
            </w:tcBorders>
            <w:vAlign w:val="bottom"/>
          </w:tcPr>
          <w:p w14:paraId="4D61750C" w14:textId="77777777" w:rsidR="006F3BE7" w:rsidRPr="00270EAC" w:rsidRDefault="006F3BE7" w:rsidP="00310349">
            <w:pPr>
              <w:spacing w:line="14" w:lineRule="exact"/>
              <w:rPr>
                <w:rFonts w:cs="Arial"/>
                <w:bCs/>
                <w:sz w:val="22"/>
                <w:szCs w:val="22"/>
              </w:rPr>
            </w:pPr>
          </w:p>
          <w:p w14:paraId="2ED431FD"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jc w:val="center"/>
              <w:rPr>
                <w:rFonts w:cs="Arial"/>
                <w:bCs/>
                <w:sz w:val="22"/>
                <w:szCs w:val="22"/>
              </w:rPr>
            </w:pPr>
            <w:r w:rsidRPr="00270EAC">
              <w:rPr>
                <w:rFonts w:cs="Arial"/>
                <w:bCs/>
                <w:sz w:val="22"/>
                <w:szCs w:val="22"/>
              </w:rPr>
              <w:t>Temperature Criteria</w:t>
            </w:r>
          </w:p>
        </w:tc>
      </w:tr>
      <w:tr w:rsidR="006F3BE7" w:rsidRPr="00270EAC" w14:paraId="67A59890" w14:textId="77777777">
        <w:trPr>
          <w:trHeight w:hRule="exact" w:val="402"/>
        </w:trPr>
        <w:tc>
          <w:tcPr>
            <w:tcW w:w="3019" w:type="dxa"/>
            <w:tcBorders>
              <w:top w:val="single" w:sz="7" w:space="0" w:color="000000"/>
              <w:left w:val="single" w:sz="7" w:space="0" w:color="000000"/>
              <w:bottom w:val="single" w:sz="6" w:space="0" w:color="FFFFFF"/>
              <w:right w:val="single" w:sz="6" w:space="0" w:color="FFFFFF"/>
            </w:tcBorders>
            <w:vAlign w:val="bottom"/>
          </w:tcPr>
          <w:p w14:paraId="01008B2D" w14:textId="77777777" w:rsidR="006F3BE7" w:rsidRPr="00270EAC" w:rsidRDefault="006F3BE7" w:rsidP="00310349">
            <w:pPr>
              <w:spacing w:line="14" w:lineRule="exact"/>
              <w:rPr>
                <w:rFonts w:cs="Arial"/>
                <w:bCs/>
                <w:sz w:val="22"/>
                <w:szCs w:val="22"/>
              </w:rPr>
            </w:pPr>
          </w:p>
          <w:p w14:paraId="0CE7F4CC"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Thermoplastic</w:t>
            </w:r>
          </w:p>
        </w:tc>
        <w:tc>
          <w:tcPr>
            <w:tcW w:w="3120" w:type="dxa"/>
            <w:tcBorders>
              <w:top w:val="single" w:sz="7" w:space="0" w:color="000000"/>
              <w:left w:val="single" w:sz="7" w:space="0" w:color="000000"/>
              <w:bottom w:val="single" w:sz="6" w:space="0" w:color="FFFFFF"/>
              <w:right w:val="single" w:sz="6" w:space="0" w:color="FFFFFF"/>
            </w:tcBorders>
            <w:vAlign w:val="bottom"/>
          </w:tcPr>
          <w:p w14:paraId="39A6F979" w14:textId="77777777" w:rsidR="006F3BE7" w:rsidRPr="00270EAC" w:rsidRDefault="006F3BE7" w:rsidP="00310349">
            <w:pPr>
              <w:spacing w:line="14" w:lineRule="exact"/>
              <w:rPr>
                <w:rFonts w:cs="Arial"/>
                <w:sz w:val="22"/>
                <w:szCs w:val="22"/>
              </w:rPr>
            </w:pPr>
          </w:p>
          <w:p w14:paraId="55BD613F"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6 kW/m</w:t>
            </w:r>
            <w:r w:rsidRPr="00270EAC">
              <w:rPr>
                <w:rFonts w:cs="Arial"/>
                <w:sz w:val="22"/>
                <w:szCs w:val="22"/>
                <w:vertAlign w:val="superscript"/>
              </w:rPr>
              <w:t>2</w:t>
            </w:r>
            <w:r w:rsidRPr="00270EAC">
              <w:rPr>
                <w:rFonts w:cs="Arial"/>
                <w:sz w:val="22"/>
                <w:szCs w:val="22"/>
              </w:rPr>
              <w:t xml:space="preserve">  (0.5 BTU/ft</w:t>
            </w:r>
            <w:r w:rsidRPr="00270EAC">
              <w:rPr>
                <w:rFonts w:cs="Arial"/>
                <w:sz w:val="22"/>
                <w:szCs w:val="22"/>
                <w:vertAlign w:val="superscript"/>
              </w:rPr>
              <w:t>2</w:t>
            </w:r>
            <w:r w:rsidRPr="00270EAC">
              <w:rPr>
                <w:rFonts w:cs="Arial"/>
                <w:sz w:val="22"/>
                <w:szCs w:val="22"/>
              </w:rPr>
              <w:t>s)</w:t>
            </w:r>
          </w:p>
        </w:tc>
        <w:tc>
          <w:tcPr>
            <w:tcW w:w="3120" w:type="dxa"/>
            <w:tcBorders>
              <w:top w:val="single" w:sz="7" w:space="0" w:color="000000"/>
              <w:left w:val="single" w:sz="7" w:space="0" w:color="000000"/>
              <w:bottom w:val="single" w:sz="6" w:space="0" w:color="FFFFFF"/>
              <w:right w:val="single" w:sz="7" w:space="0" w:color="000000"/>
            </w:tcBorders>
            <w:vAlign w:val="bottom"/>
          </w:tcPr>
          <w:p w14:paraId="5D489E94" w14:textId="77777777" w:rsidR="006F3BE7" w:rsidRPr="00270EAC" w:rsidRDefault="006F3BE7" w:rsidP="00310349">
            <w:pPr>
              <w:spacing w:line="14" w:lineRule="exact"/>
              <w:rPr>
                <w:rFonts w:cs="Arial"/>
                <w:sz w:val="22"/>
                <w:szCs w:val="22"/>
              </w:rPr>
            </w:pPr>
          </w:p>
          <w:p w14:paraId="45F874CC"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205</w:t>
            </w:r>
            <w:r w:rsidR="00F731AA" w:rsidRPr="00270EAC">
              <w:rPr>
                <w:rFonts w:cs="Arial"/>
                <w:sz w:val="22"/>
                <w:szCs w:val="22"/>
              </w:rPr>
              <w:t>º</w:t>
            </w:r>
            <w:r w:rsidRPr="00270EAC">
              <w:rPr>
                <w:rFonts w:cs="Arial"/>
                <w:sz w:val="22"/>
                <w:szCs w:val="22"/>
              </w:rPr>
              <w:t>C (400</w:t>
            </w:r>
            <w:r w:rsidR="00F731AA" w:rsidRPr="00270EAC">
              <w:rPr>
                <w:rFonts w:cs="Arial"/>
                <w:sz w:val="22"/>
                <w:szCs w:val="22"/>
              </w:rPr>
              <w:t>º</w:t>
            </w:r>
            <w:r w:rsidRPr="00270EAC">
              <w:rPr>
                <w:rFonts w:cs="Arial"/>
                <w:sz w:val="22"/>
                <w:szCs w:val="22"/>
              </w:rPr>
              <w:t>F)</w:t>
            </w:r>
          </w:p>
        </w:tc>
      </w:tr>
      <w:tr w:rsidR="006F3BE7" w:rsidRPr="00270EAC" w14:paraId="0E7BA780" w14:textId="77777777">
        <w:trPr>
          <w:trHeight w:hRule="exact" w:val="402"/>
        </w:trPr>
        <w:tc>
          <w:tcPr>
            <w:tcW w:w="3019" w:type="dxa"/>
            <w:tcBorders>
              <w:top w:val="single" w:sz="7" w:space="0" w:color="000000"/>
              <w:left w:val="single" w:sz="7" w:space="0" w:color="000000"/>
              <w:bottom w:val="single" w:sz="7" w:space="0" w:color="000000"/>
              <w:right w:val="single" w:sz="6" w:space="0" w:color="FFFFFF"/>
            </w:tcBorders>
            <w:vAlign w:val="bottom"/>
          </w:tcPr>
          <w:p w14:paraId="56DAC013" w14:textId="77777777" w:rsidR="006F3BE7" w:rsidRPr="00270EAC" w:rsidRDefault="006F3BE7" w:rsidP="00310349">
            <w:pPr>
              <w:spacing w:line="14" w:lineRule="exact"/>
              <w:rPr>
                <w:rFonts w:cs="Arial"/>
                <w:sz w:val="22"/>
                <w:szCs w:val="22"/>
              </w:rPr>
            </w:pPr>
          </w:p>
          <w:p w14:paraId="21078B18"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spacing w:after="14"/>
              <w:rPr>
                <w:rFonts w:cs="Arial"/>
                <w:sz w:val="22"/>
                <w:szCs w:val="22"/>
              </w:rPr>
            </w:pPr>
            <w:r w:rsidRPr="00270EAC">
              <w:rPr>
                <w:rFonts w:cs="Arial"/>
                <w:sz w:val="22"/>
                <w:szCs w:val="22"/>
              </w:rPr>
              <w:t>Thermoset</w:t>
            </w:r>
          </w:p>
        </w:tc>
        <w:tc>
          <w:tcPr>
            <w:tcW w:w="3120" w:type="dxa"/>
            <w:tcBorders>
              <w:top w:val="single" w:sz="7" w:space="0" w:color="000000"/>
              <w:left w:val="single" w:sz="7" w:space="0" w:color="000000"/>
              <w:bottom w:val="single" w:sz="7" w:space="0" w:color="000000"/>
              <w:right w:val="single" w:sz="6" w:space="0" w:color="FFFFFF"/>
            </w:tcBorders>
            <w:vAlign w:val="bottom"/>
          </w:tcPr>
          <w:p w14:paraId="396FEAAA" w14:textId="77777777" w:rsidR="006F3BE7" w:rsidRPr="00270EAC" w:rsidRDefault="006F3BE7" w:rsidP="00310349">
            <w:pPr>
              <w:spacing w:line="14" w:lineRule="exact"/>
              <w:rPr>
                <w:rFonts w:cs="Arial"/>
                <w:sz w:val="22"/>
                <w:szCs w:val="22"/>
              </w:rPr>
            </w:pPr>
          </w:p>
          <w:p w14:paraId="158A5886"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spacing w:after="14"/>
              <w:jc w:val="center"/>
              <w:rPr>
                <w:rFonts w:cs="Arial"/>
                <w:sz w:val="22"/>
                <w:szCs w:val="22"/>
              </w:rPr>
            </w:pPr>
            <w:r w:rsidRPr="00270EAC">
              <w:rPr>
                <w:rFonts w:cs="Arial"/>
                <w:sz w:val="22"/>
                <w:szCs w:val="22"/>
              </w:rPr>
              <w:t>11 kW/m</w:t>
            </w:r>
            <w:r w:rsidRPr="00270EAC">
              <w:rPr>
                <w:rFonts w:cs="Arial"/>
                <w:sz w:val="22"/>
                <w:szCs w:val="22"/>
                <w:vertAlign w:val="superscript"/>
              </w:rPr>
              <w:t>2</w:t>
            </w:r>
            <w:r w:rsidRPr="00270EAC">
              <w:rPr>
                <w:rFonts w:cs="Arial"/>
                <w:sz w:val="22"/>
                <w:szCs w:val="22"/>
              </w:rPr>
              <w:t xml:space="preserve">  (1.0 BTU/ft</w:t>
            </w:r>
            <w:r w:rsidRPr="00270EAC">
              <w:rPr>
                <w:rFonts w:cs="Arial"/>
                <w:sz w:val="22"/>
                <w:szCs w:val="22"/>
                <w:vertAlign w:val="superscript"/>
              </w:rPr>
              <w:t>2</w:t>
            </w:r>
            <w:r w:rsidRPr="00270EAC">
              <w:rPr>
                <w:rFonts w:cs="Arial"/>
                <w:sz w:val="22"/>
                <w:szCs w:val="22"/>
              </w:rPr>
              <w:t>s)</w:t>
            </w:r>
          </w:p>
        </w:tc>
        <w:tc>
          <w:tcPr>
            <w:tcW w:w="3120" w:type="dxa"/>
            <w:tcBorders>
              <w:top w:val="single" w:sz="7" w:space="0" w:color="000000"/>
              <w:left w:val="single" w:sz="7" w:space="0" w:color="000000"/>
              <w:bottom w:val="single" w:sz="7" w:space="0" w:color="000000"/>
              <w:right w:val="single" w:sz="7" w:space="0" w:color="000000"/>
            </w:tcBorders>
            <w:vAlign w:val="bottom"/>
          </w:tcPr>
          <w:p w14:paraId="7772BB35" w14:textId="77777777" w:rsidR="006F3BE7" w:rsidRPr="00270EAC" w:rsidRDefault="006F3BE7" w:rsidP="00310349">
            <w:pPr>
              <w:spacing w:line="14" w:lineRule="exact"/>
              <w:rPr>
                <w:rFonts w:cs="Arial"/>
                <w:sz w:val="22"/>
                <w:szCs w:val="22"/>
              </w:rPr>
            </w:pPr>
          </w:p>
          <w:p w14:paraId="0784D8BE"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spacing w:after="14"/>
              <w:jc w:val="center"/>
              <w:rPr>
                <w:rFonts w:cs="Arial"/>
                <w:sz w:val="22"/>
                <w:szCs w:val="22"/>
              </w:rPr>
            </w:pPr>
            <w:r w:rsidRPr="00270EAC">
              <w:rPr>
                <w:rFonts w:cs="Arial"/>
                <w:sz w:val="22"/>
                <w:szCs w:val="22"/>
              </w:rPr>
              <w:t>330</w:t>
            </w:r>
            <w:r w:rsidR="00F731AA" w:rsidRPr="00270EAC">
              <w:rPr>
                <w:rFonts w:cs="Arial"/>
                <w:sz w:val="22"/>
                <w:szCs w:val="22"/>
              </w:rPr>
              <w:t>º</w:t>
            </w:r>
            <w:r w:rsidRPr="00270EAC">
              <w:rPr>
                <w:rFonts w:cs="Arial"/>
                <w:sz w:val="22"/>
                <w:szCs w:val="22"/>
              </w:rPr>
              <w:t>C (625</w:t>
            </w:r>
            <w:r w:rsidR="00F731AA" w:rsidRPr="00270EAC">
              <w:rPr>
                <w:rFonts w:cs="Arial"/>
                <w:sz w:val="22"/>
                <w:szCs w:val="22"/>
              </w:rPr>
              <w:t>º</w:t>
            </w:r>
            <w:r w:rsidRPr="00270EAC">
              <w:rPr>
                <w:rFonts w:cs="Arial"/>
                <w:sz w:val="22"/>
                <w:szCs w:val="22"/>
              </w:rPr>
              <w:t>F)</w:t>
            </w:r>
          </w:p>
        </w:tc>
      </w:tr>
    </w:tbl>
    <w:p w14:paraId="38D58F00"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rPr>
          <w:rFonts w:cs="Arial"/>
          <w:sz w:val="22"/>
          <w:szCs w:val="22"/>
        </w:rPr>
      </w:pPr>
    </w:p>
    <w:p w14:paraId="73DBC0FF" w14:textId="77777777" w:rsidR="00DE07C4" w:rsidRPr="00270EAC" w:rsidRDefault="00DE07C4"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 xml:space="preserve">TP damage thresholds are assumed for </w:t>
      </w:r>
      <w:proofErr w:type="spellStart"/>
      <w:r w:rsidRPr="00270EAC">
        <w:rPr>
          <w:rFonts w:cs="Arial"/>
          <w:sz w:val="22"/>
          <w:szCs w:val="22"/>
        </w:rPr>
        <w:t>Kerite</w:t>
      </w:r>
      <w:proofErr w:type="spellEnd"/>
      <w:r w:rsidRPr="00270EAC">
        <w:rPr>
          <w:rFonts w:cs="Arial"/>
          <w:sz w:val="22"/>
          <w:szCs w:val="22"/>
        </w:rPr>
        <w:t xml:space="preserve">-FR cable.  </w:t>
      </w:r>
      <w:proofErr w:type="spellStart"/>
      <w:r w:rsidRPr="00270EAC">
        <w:rPr>
          <w:rFonts w:cs="Arial"/>
          <w:sz w:val="22"/>
          <w:szCs w:val="22"/>
        </w:rPr>
        <w:t>Kerite</w:t>
      </w:r>
      <w:proofErr w:type="spellEnd"/>
      <w:r w:rsidRPr="00270EAC">
        <w:rPr>
          <w:rFonts w:cs="Arial"/>
          <w:sz w:val="22"/>
          <w:szCs w:val="22"/>
        </w:rPr>
        <w:t xml:space="preserve"> FR-II, FR-III, and HT cable are assigned TS damage thresholds.  In addition, since all </w:t>
      </w:r>
      <w:proofErr w:type="spellStart"/>
      <w:r w:rsidRPr="00270EAC">
        <w:rPr>
          <w:rFonts w:cs="Arial"/>
          <w:sz w:val="22"/>
          <w:szCs w:val="22"/>
        </w:rPr>
        <w:t>Kerite</w:t>
      </w:r>
      <w:proofErr w:type="spellEnd"/>
      <w:r w:rsidRPr="00270EAC">
        <w:rPr>
          <w:rFonts w:cs="Arial"/>
          <w:sz w:val="22"/>
          <w:szCs w:val="22"/>
        </w:rPr>
        <w:t xml:space="preserve"> cable varieties are qualified, TS ignition thresholds are assigned to these types of cables.</w:t>
      </w:r>
    </w:p>
    <w:p w14:paraId="5087FA36" w14:textId="77777777" w:rsidR="00DE07C4" w:rsidRPr="00270EAC" w:rsidRDefault="00DE07C4"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0B96C1F6"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Additional rules for application in the target identification task are:</w:t>
      </w:r>
    </w:p>
    <w:p w14:paraId="319BB3C3"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3D4C1EED"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u w:val="single"/>
        </w:rPr>
        <w:t>Cables in conduit</w:t>
      </w:r>
      <w:r w:rsidRPr="00270EAC">
        <w:rPr>
          <w:rFonts w:cs="Arial"/>
          <w:sz w:val="22"/>
          <w:szCs w:val="22"/>
        </w:rPr>
        <w:t xml:space="preserve"> will be considered potential damage targets, but not ignition targets.  Cables in conduit will not contribute to fire growth and spread.  The conduit will be given no credit for delaying the onset of thermal damage.</w:t>
      </w:r>
    </w:p>
    <w:p w14:paraId="2C4B30D5"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5B9D20D6"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u w:val="single"/>
        </w:rPr>
        <w:t>Cables coated by a fire-retardant coating</w:t>
      </w:r>
      <w:r w:rsidRPr="00270EAC">
        <w:rPr>
          <w:rFonts w:cs="Arial"/>
          <w:sz w:val="22"/>
          <w:szCs w:val="22"/>
        </w:rPr>
        <w:t xml:space="preserve"> will be considered as both thermal damage and fire spread targets.  For the purposes of the Phase 2 analysis, no credit will be given to the coating for delaying or preventing the onset of damage and/or ignition.</w:t>
      </w:r>
    </w:p>
    <w:p w14:paraId="36019A31"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76852B94"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In ide</w:t>
      </w:r>
      <w:r w:rsidR="003417F1" w:rsidRPr="00270EAC">
        <w:rPr>
          <w:rFonts w:cs="Arial"/>
          <w:sz w:val="22"/>
          <w:szCs w:val="22"/>
        </w:rPr>
        <w:t xml:space="preserve">ntifying damage targets, do not </w:t>
      </w:r>
      <w:r w:rsidRPr="00270EAC">
        <w:rPr>
          <w:rFonts w:cs="Arial"/>
          <w:sz w:val="22"/>
          <w:szCs w:val="22"/>
        </w:rPr>
        <w:t>include components directly within or associated with the fire ignition source itself.  The fire ignition source will inherently be assumed to be damaged given any fire involving itself as the source so further evaluation of the components as damage targets is unnecessary.</w:t>
      </w:r>
    </w:p>
    <w:p w14:paraId="6DE5CE8A"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2431750D" w14:textId="529F7DCB" w:rsidR="006F3BE7" w:rsidRPr="00270EAC" w:rsidRDefault="006F3BE7" w:rsidP="002D23D9">
      <w:pPr>
        <w:widowControl/>
        <w:pBdr>
          <w:top w:val="single" w:sz="6" w:space="0" w:color="FFFFFF"/>
          <w:left w:val="single" w:sz="6" w:space="0" w:color="FFFFFF"/>
          <w:bottom w:val="single" w:sz="6" w:space="0" w:color="FFFFFF"/>
          <w:right w:val="single" w:sz="6" w:space="0" w:color="FFFFFF"/>
        </w:pBdr>
        <w:ind w:left="720"/>
        <w:rPr>
          <w:rFonts w:cs="Arial"/>
          <w:sz w:val="22"/>
          <w:szCs w:val="22"/>
        </w:rPr>
      </w:pPr>
      <w:r w:rsidRPr="00270EAC">
        <w:rPr>
          <w:rFonts w:cs="Arial"/>
          <w:sz w:val="22"/>
          <w:szCs w:val="22"/>
        </w:rPr>
        <w:t>Example:</w:t>
      </w:r>
      <w:r w:rsidR="0064122C">
        <w:rPr>
          <w:rFonts w:cs="Arial"/>
          <w:sz w:val="22"/>
          <w:szCs w:val="22"/>
        </w:rPr>
        <w:t xml:space="preserve"> </w:t>
      </w:r>
      <w:r w:rsidRPr="00270EAC">
        <w:rPr>
          <w:rFonts w:cs="Arial"/>
          <w:sz w:val="22"/>
          <w:szCs w:val="22"/>
        </w:rPr>
        <w:t xml:space="preserve"> </w:t>
      </w:r>
      <w:r w:rsidR="00310349" w:rsidRPr="00270EAC">
        <w:rPr>
          <w:rFonts w:cs="Arial"/>
          <w:sz w:val="22"/>
          <w:szCs w:val="22"/>
        </w:rPr>
        <w:t xml:space="preserve">For </w:t>
      </w:r>
      <w:r w:rsidRPr="00270EAC">
        <w:rPr>
          <w:rFonts w:cs="Arial"/>
          <w:sz w:val="22"/>
          <w:szCs w:val="22"/>
        </w:rPr>
        <w:t>an electrical panel fire, all equipment and components within the panel will be assumed to fail.  Per the counting guidance, a panel will be defined as a distinct vertical section in this context.</w:t>
      </w:r>
    </w:p>
    <w:p w14:paraId="18644360"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59797092" w14:textId="1648486C" w:rsidR="006F3BE7" w:rsidRDefault="006F3BE7" w:rsidP="002D23D9">
      <w:pPr>
        <w:widowControl/>
        <w:pBdr>
          <w:top w:val="single" w:sz="6" w:space="0" w:color="FFFFFF"/>
          <w:left w:val="single" w:sz="6" w:space="0" w:color="FFFFFF"/>
          <w:bottom w:val="single" w:sz="6" w:space="0" w:color="FFFFFF"/>
          <w:right w:val="single" w:sz="6" w:space="0" w:color="FFFFFF"/>
        </w:pBdr>
        <w:ind w:left="720"/>
        <w:rPr>
          <w:rFonts w:cs="Arial"/>
          <w:sz w:val="22"/>
          <w:szCs w:val="22"/>
        </w:rPr>
      </w:pPr>
      <w:r w:rsidRPr="00270EAC">
        <w:rPr>
          <w:rFonts w:cs="Arial"/>
          <w:sz w:val="22"/>
          <w:szCs w:val="22"/>
        </w:rPr>
        <w:t>Exa</w:t>
      </w:r>
      <w:r w:rsidR="0064122C">
        <w:rPr>
          <w:rFonts w:cs="Arial"/>
          <w:sz w:val="22"/>
          <w:szCs w:val="22"/>
        </w:rPr>
        <w:t xml:space="preserve">mple:  </w:t>
      </w:r>
      <w:r w:rsidRPr="00270EAC">
        <w:rPr>
          <w:rFonts w:cs="Arial"/>
          <w:sz w:val="22"/>
          <w:szCs w:val="22"/>
        </w:rPr>
        <w:t>Given a self-ignited cable fire, all cables in the initiating raceway will be assumed to fail immediately on fire ignition (time zero).</w:t>
      </w:r>
    </w:p>
    <w:p w14:paraId="40453898" w14:textId="77777777" w:rsidR="00843829" w:rsidRPr="00270EAC" w:rsidRDefault="00843829" w:rsidP="002D23D9">
      <w:pPr>
        <w:widowControl/>
        <w:pBdr>
          <w:top w:val="single" w:sz="6" w:space="0" w:color="FFFFFF"/>
          <w:left w:val="single" w:sz="6" w:space="0" w:color="FFFFFF"/>
          <w:bottom w:val="single" w:sz="6" w:space="0" w:color="FFFFFF"/>
          <w:right w:val="single" w:sz="6" w:space="0" w:color="FFFFFF"/>
        </w:pBdr>
        <w:ind w:left="720"/>
        <w:rPr>
          <w:rFonts w:cs="Arial"/>
          <w:sz w:val="22"/>
          <w:szCs w:val="22"/>
        </w:rPr>
      </w:pPr>
    </w:p>
    <w:p w14:paraId="3FA48D5F" w14:textId="19E45B21" w:rsidR="006C08F0" w:rsidRPr="006C08F0" w:rsidRDefault="0070688B" w:rsidP="006C08F0">
      <w:pPr>
        <w:widowControl/>
        <w:pBdr>
          <w:top w:val="single" w:sz="6" w:space="0" w:color="FFFFFF"/>
          <w:left w:val="single" w:sz="6" w:space="0" w:color="FFFFFF"/>
          <w:bottom w:val="single" w:sz="6" w:space="0" w:color="FFFFFF"/>
          <w:right w:val="single" w:sz="6" w:space="0" w:color="FFFFFF"/>
        </w:pBdr>
        <w:rPr>
          <w:rFonts w:cs="Arial"/>
          <w:bCs/>
          <w:sz w:val="22"/>
          <w:szCs w:val="22"/>
        </w:rPr>
      </w:pPr>
      <w:r>
        <w:rPr>
          <w:rFonts w:cs="Arial"/>
          <w:sz w:val="22"/>
          <w:szCs w:val="22"/>
          <w:u w:val="single"/>
        </w:rPr>
        <w:t>Cables in stacks of cable trays</w:t>
      </w:r>
      <w:r w:rsidR="006C08F0">
        <w:rPr>
          <w:rFonts w:cs="Arial"/>
          <w:sz w:val="22"/>
          <w:szCs w:val="22"/>
        </w:rPr>
        <w:t xml:space="preserve"> </w:t>
      </w:r>
      <w:r w:rsidRPr="0070688B">
        <w:rPr>
          <w:rFonts w:cs="Arial"/>
          <w:sz w:val="22"/>
          <w:szCs w:val="22"/>
        </w:rPr>
        <w:t xml:space="preserve">will be considered as both thermal damage and fire spread targets.  Flame spread and fire propagation characteristics for fires involving </w:t>
      </w:r>
      <w:r w:rsidR="00B17949">
        <w:rPr>
          <w:rFonts w:cs="Arial"/>
          <w:sz w:val="22"/>
          <w:szCs w:val="22"/>
        </w:rPr>
        <w:t xml:space="preserve">ignition sources and </w:t>
      </w:r>
      <w:r w:rsidRPr="0070688B">
        <w:rPr>
          <w:rFonts w:cs="Arial"/>
          <w:sz w:val="22"/>
          <w:szCs w:val="22"/>
        </w:rPr>
        <w:t>stacks of cable trays are discussed in the section for FDS 2 scenarios in Attachment 3 and in Section 06.03.03 of the basis document (IMC 0308 Attachment 3 Appendix F</w:t>
      </w:r>
      <w:r w:rsidR="00874FB7">
        <w:rPr>
          <w:rFonts w:cs="Arial"/>
          <w:bCs/>
          <w:sz w:val="22"/>
          <w:szCs w:val="22"/>
        </w:rPr>
        <w:t>).</w:t>
      </w:r>
    </w:p>
    <w:p w14:paraId="34702861" w14:textId="2695D19D" w:rsidR="0070688B" w:rsidRPr="0070688B" w:rsidRDefault="0070688B"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4DC9DCFE" w14:textId="77777777" w:rsidR="0070688B" w:rsidRDefault="0070688B" w:rsidP="002D23D9">
      <w:pPr>
        <w:widowControl/>
        <w:pBdr>
          <w:top w:val="single" w:sz="6" w:space="0" w:color="FFFFFF"/>
          <w:left w:val="single" w:sz="6" w:space="0" w:color="FFFFFF"/>
          <w:bottom w:val="single" w:sz="6" w:space="0" w:color="FFFFFF"/>
          <w:right w:val="single" w:sz="6" w:space="0" w:color="FFFFFF"/>
        </w:pBdr>
        <w:rPr>
          <w:rFonts w:cs="Arial"/>
          <w:sz w:val="22"/>
          <w:szCs w:val="22"/>
          <w:u w:val="single"/>
        </w:rPr>
      </w:pPr>
    </w:p>
    <w:p w14:paraId="19E0A3D7" w14:textId="77777777" w:rsidR="00BD2041" w:rsidRPr="00270EAC" w:rsidRDefault="00BD2041" w:rsidP="0070688B">
      <w:pPr>
        <w:keepNext/>
        <w:widowControl/>
        <w:pBdr>
          <w:top w:val="single" w:sz="6" w:space="0" w:color="FFFFFF"/>
          <w:left w:val="single" w:sz="6" w:space="0" w:color="FFFFFF"/>
          <w:bottom w:val="single" w:sz="6" w:space="0" w:color="FFFFFF"/>
          <w:right w:val="single" w:sz="6" w:space="0" w:color="FFFFFF"/>
        </w:pBdr>
        <w:rPr>
          <w:rFonts w:cs="Arial"/>
          <w:sz w:val="22"/>
          <w:szCs w:val="22"/>
          <w:u w:val="single"/>
        </w:rPr>
      </w:pPr>
      <w:r w:rsidRPr="00270EAC">
        <w:rPr>
          <w:rFonts w:cs="Arial"/>
          <w:sz w:val="22"/>
          <w:szCs w:val="22"/>
          <w:u w:val="single"/>
        </w:rPr>
        <w:lastRenderedPageBreak/>
        <w:t>Cables in Trays with Solid Bottoms</w:t>
      </w:r>
    </w:p>
    <w:p w14:paraId="59FA2713" w14:textId="77777777" w:rsidR="00BD2041" w:rsidRPr="00270EAC" w:rsidRDefault="00BD2041" w:rsidP="0070688B">
      <w:pPr>
        <w:keepNext/>
        <w:widowControl/>
        <w:pBdr>
          <w:top w:val="single" w:sz="6" w:space="0" w:color="FFFFFF"/>
          <w:left w:val="single" w:sz="6" w:space="0" w:color="FFFFFF"/>
          <w:bottom w:val="single" w:sz="6" w:space="0" w:color="FFFFFF"/>
          <w:right w:val="single" w:sz="6" w:space="0" w:color="FFFFFF"/>
        </w:pBdr>
        <w:rPr>
          <w:rFonts w:cs="Arial"/>
          <w:sz w:val="22"/>
          <w:szCs w:val="22"/>
        </w:rPr>
      </w:pPr>
    </w:p>
    <w:p w14:paraId="6CB9F80A" w14:textId="77777777" w:rsidR="00BD2041" w:rsidRPr="00270EAC" w:rsidRDefault="006D11E7" w:rsidP="0070688B">
      <w:pPr>
        <w:keepNext/>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Bottom tray covers do not affect the ignition and damage thresholds of cables in the tray, but can be assumed to delay ignition and damage to TS and TP cables by 20 min and 4 min, respectively.</w:t>
      </w:r>
    </w:p>
    <w:p w14:paraId="356D864E" w14:textId="55E06F78" w:rsidR="00BD2041" w:rsidRPr="00270EAC" w:rsidRDefault="00BD2041"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45C61CC0"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u w:val="single"/>
        </w:rPr>
        <w:t>Mixed Cable Insulation/Jacket Type Configurations</w:t>
      </w:r>
    </w:p>
    <w:p w14:paraId="5C49D75A"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17D77D3A" w14:textId="46EA7262" w:rsidR="006F3BE7"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 xml:space="preserve">There are cables that are formulated with a </w:t>
      </w:r>
      <w:r w:rsidR="00DF017A" w:rsidRPr="00270EAC">
        <w:rPr>
          <w:rFonts w:cs="Arial"/>
          <w:sz w:val="22"/>
          <w:szCs w:val="22"/>
        </w:rPr>
        <w:t xml:space="preserve">TS </w:t>
      </w:r>
      <w:r w:rsidRPr="00270EAC">
        <w:rPr>
          <w:rFonts w:cs="Arial"/>
          <w:sz w:val="22"/>
          <w:szCs w:val="22"/>
        </w:rPr>
        <w:t xml:space="preserve">insulation and a </w:t>
      </w:r>
      <w:r w:rsidR="00DF017A" w:rsidRPr="00270EAC">
        <w:rPr>
          <w:rFonts w:cs="Arial"/>
          <w:sz w:val="22"/>
          <w:szCs w:val="22"/>
        </w:rPr>
        <w:t xml:space="preserve">TP </w:t>
      </w:r>
      <w:r w:rsidRPr="00270EAC">
        <w:rPr>
          <w:rFonts w:cs="Arial"/>
          <w:sz w:val="22"/>
          <w:szCs w:val="22"/>
        </w:rPr>
        <w:t xml:space="preserve">jacket, and potentially, </w:t>
      </w:r>
      <w:r w:rsidRPr="00270EAC">
        <w:rPr>
          <w:rFonts w:cs="Arial"/>
          <w:i/>
          <w:iCs/>
          <w:sz w:val="22"/>
          <w:szCs w:val="22"/>
        </w:rPr>
        <w:t>vise-versa</w:t>
      </w:r>
      <w:r w:rsidRPr="00270EAC">
        <w:rPr>
          <w:rFonts w:cs="Arial"/>
          <w:sz w:val="22"/>
          <w:szCs w:val="22"/>
        </w:rPr>
        <w:t xml:space="preserve">.  </w:t>
      </w:r>
      <w:r w:rsidR="00CC629C">
        <w:rPr>
          <w:rFonts w:cs="Arial"/>
          <w:sz w:val="22"/>
          <w:szCs w:val="22"/>
        </w:rPr>
        <w:t xml:space="preserve">The parts of a cable are shown in Figure A6.1 below.  </w:t>
      </w:r>
      <w:r w:rsidRPr="00270EAC">
        <w:rPr>
          <w:rFonts w:cs="Arial"/>
          <w:sz w:val="22"/>
          <w:szCs w:val="22"/>
        </w:rPr>
        <w:t xml:space="preserve">Armored cables may have a bare metal armor exposed, or may have either a </w:t>
      </w:r>
      <w:r w:rsidR="00DF017A" w:rsidRPr="00270EAC">
        <w:rPr>
          <w:rFonts w:cs="Arial"/>
          <w:sz w:val="22"/>
          <w:szCs w:val="22"/>
        </w:rPr>
        <w:t xml:space="preserve">TS </w:t>
      </w:r>
      <w:r w:rsidRPr="00270EAC">
        <w:rPr>
          <w:rFonts w:cs="Arial"/>
          <w:sz w:val="22"/>
          <w:szCs w:val="22"/>
        </w:rPr>
        <w:t xml:space="preserve">or </w:t>
      </w:r>
      <w:r w:rsidR="00DF017A" w:rsidRPr="00270EAC">
        <w:rPr>
          <w:rFonts w:cs="Arial"/>
          <w:sz w:val="22"/>
          <w:szCs w:val="22"/>
        </w:rPr>
        <w:t xml:space="preserve">TP </w:t>
      </w:r>
      <w:r w:rsidRPr="00270EAC">
        <w:rPr>
          <w:rFonts w:cs="Arial"/>
          <w:sz w:val="22"/>
          <w:szCs w:val="22"/>
        </w:rPr>
        <w:t>covering over the metallic armor.  For such cases, some special consideration is needed.</w:t>
      </w:r>
    </w:p>
    <w:p w14:paraId="1992A157" w14:textId="77777777" w:rsidR="001D3C61" w:rsidRDefault="001D3C61"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01885868" w14:textId="77777777" w:rsidR="001D3C61" w:rsidRDefault="001D3C61" w:rsidP="002E1F2A">
      <w:pPr>
        <w:keepNext/>
        <w:widowControl/>
        <w:pBdr>
          <w:top w:val="single" w:sz="6" w:space="0" w:color="FFFFFF"/>
          <w:left w:val="single" w:sz="6" w:space="0" w:color="FFFFFF"/>
          <w:bottom w:val="single" w:sz="6" w:space="0" w:color="FFFFFF"/>
          <w:right w:val="single" w:sz="6" w:space="0" w:color="FFFFFF"/>
        </w:pBdr>
        <w:jc w:val="center"/>
      </w:pPr>
      <w:r w:rsidRPr="001D3C61">
        <w:rPr>
          <w:rFonts w:cs="Arial"/>
          <w:noProof/>
          <w:sz w:val="22"/>
          <w:szCs w:val="22"/>
        </w:rPr>
        <w:drawing>
          <wp:inline distT="0" distB="0" distL="0" distR="0" wp14:anchorId="1AD4BE7F" wp14:editId="778AB8DE">
            <wp:extent cx="2260600" cy="1653997"/>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766" cy="1677532"/>
                    </a:xfrm>
                    <a:prstGeom prst="rect">
                      <a:avLst/>
                    </a:prstGeom>
                    <a:noFill/>
                    <a:ln>
                      <a:noFill/>
                    </a:ln>
                  </pic:spPr>
                </pic:pic>
              </a:graphicData>
            </a:graphic>
          </wp:inline>
        </w:drawing>
      </w:r>
    </w:p>
    <w:p w14:paraId="40EBD244" w14:textId="096798FB" w:rsidR="006F3BE7" w:rsidRPr="00270EAC" w:rsidRDefault="001D3C61" w:rsidP="004E7D3B">
      <w:pPr>
        <w:pStyle w:val="Caption"/>
        <w:jc w:val="center"/>
        <w:rPr>
          <w:rFonts w:cs="Arial"/>
          <w:sz w:val="22"/>
          <w:szCs w:val="22"/>
        </w:rPr>
      </w:pPr>
      <w:r w:rsidRPr="004E7D3B">
        <w:rPr>
          <w:i w:val="0"/>
          <w:color w:val="auto"/>
          <w:sz w:val="22"/>
          <w:szCs w:val="22"/>
        </w:rPr>
        <w:t xml:space="preserve">Figure </w:t>
      </w:r>
      <w:r w:rsidR="002E1F2A" w:rsidRPr="004E7D3B">
        <w:rPr>
          <w:i w:val="0"/>
          <w:color w:val="auto"/>
          <w:sz w:val="22"/>
          <w:szCs w:val="22"/>
        </w:rPr>
        <w:t>A6.</w:t>
      </w:r>
      <w:r w:rsidRPr="004E7D3B">
        <w:rPr>
          <w:i w:val="0"/>
          <w:color w:val="auto"/>
          <w:sz w:val="22"/>
          <w:szCs w:val="22"/>
        </w:rPr>
        <w:fldChar w:fldCharType="begin"/>
      </w:r>
      <w:r w:rsidRPr="004E7D3B">
        <w:rPr>
          <w:i w:val="0"/>
          <w:color w:val="auto"/>
          <w:sz w:val="22"/>
          <w:szCs w:val="22"/>
        </w:rPr>
        <w:instrText xml:space="preserve"> SEQ Figure \* ARABIC </w:instrText>
      </w:r>
      <w:r w:rsidRPr="004E7D3B">
        <w:rPr>
          <w:i w:val="0"/>
          <w:color w:val="auto"/>
          <w:sz w:val="22"/>
          <w:szCs w:val="22"/>
        </w:rPr>
        <w:fldChar w:fldCharType="separate"/>
      </w:r>
      <w:r w:rsidR="00D36B0B">
        <w:rPr>
          <w:i w:val="0"/>
          <w:noProof/>
          <w:color w:val="auto"/>
          <w:sz w:val="22"/>
          <w:szCs w:val="22"/>
        </w:rPr>
        <w:t>1</w:t>
      </w:r>
      <w:r w:rsidRPr="004E7D3B">
        <w:rPr>
          <w:i w:val="0"/>
          <w:color w:val="auto"/>
          <w:sz w:val="22"/>
          <w:szCs w:val="22"/>
        </w:rPr>
        <w:fldChar w:fldCharType="end"/>
      </w:r>
      <w:r w:rsidR="002E1F2A" w:rsidRPr="004E7D3B">
        <w:rPr>
          <w:i w:val="0"/>
          <w:color w:val="auto"/>
          <w:sz w:val="22"/>
          <w:szCs w:val="22"/>
        </w:rPr>
        <w:t>: I</w:t>
      </w:r>
      <w:r w:rsidR="00EB7725" w:rsidRPr="004E7D3B">
        <w:rPr>
          <w:i w:val="0"/>
          <w:color w:val="auto"/>
          <w:sz w:val="22"/>
          <w:szCs w:val="22"/>
        </w:rPr>
        <w:t>l</w:t>
      </w:r>
      <w:r w:rsidR="002E1F2A" w:rsidRPr="004E7D3B">
        <w:rPr>
          <w:i w:val="0"/>
          <w:color w:val="auto"/>
          <w:sz w:val="22"/>
          <w:szCs w:val="22"/>
        </w:rPr>
        <w:t>lustration of Parts of a Cable</w:t>
      </w:r>
    </w:p>
    <w:p w14:paraId="1D895C1C" w14:textId="56D7BAB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In the SDP process, the analysis does not distinguish between ignition and damage behaviors</w:t>
      </w:r>
      <w:r w:rsidR="00DF017A" w:rsidRPr="00270EAC">
        <w:rPr>
          <w:rFonts w:cs="Arial"/>
          <w:sz w:val="22"/>
          <w:szCs w:val="22"/>
        </w:rPr>
        <w:t xml:space="preserve">, except for </w:t>
      </w:r>
      <w:proofErr w:type="spellStart"/>
      <w:r w:rsidR="00DF017A" w:rsidRPr="00270EAC">
        <w:rPr>
          <w:rFonts w:cs="Arial"/>
          <w:sz w:val="22"/>
          <w:szCs w:val="22"/>
        </w:rPr>
        <w:t>Kerite</w:t>
      </w:r>
      <w:proofErr w:type="spellEnd"/>
      <w:r w:rsidR="00DF017A" w:rsidRPr="00270EAC">
        <w:rPr>
          <w:rFonts w:cs="Arial"/>
          <w:sz w:val="22"/>
          <w:szCs w:val="22"/>
        </w:rPr>
        <w:t xml:space="preserve"> cable as explained above</w:t>
      </w:r>
      <w:r w:rsidRPr="00270EAC">
        <w:rPr>
          <w:rFonts w:cs="Arial"/>
          <w:sz w:val="22"/>
          <w:szCs w:val="22"/>
        </w:rPr>
        <w:t xml:space="preserve">.  Ignition of a </w:t>
      </w:r>
      <w:r w:rsidR="00DF017A" w:rsidRPr="00270EAC">
        <w:rPr>
          <w:rFonts w:cs="Arial"/>
          <w:sz w:val="22"/>
          <w:szCs w:val="22"/>
        </w:rPr>
        <w:t xml:space="preserve">TS or TP </w:t>
      </w:r>
      <w:r w:rsidRPr="00270EAC">
        <w:rPr>
          <w:rFonts w:cs="Arial"/>
          <w:sz w:val="22"/>
          <w:szCs w:val="22"/>
        </w:rPr>
        <w:t xml:space="preserve">cable is taken as an indication of imminent failure.  In the assessment of whether to treat a cable as </w:t>
      </w:r>
      <w:r w:rsidR="00DF017A" w:rsidRPr="00270EAC">
        <w:rPr>
          <w:rFonts w:cs="Arial"/>
          <w:sz w:val="22"/>
          <w:szCs w:val="22"/>
        </w:rPr>
        <w:t xml:space="preserve">TS </w:t>
      </w:r>
      <w:r w:rsidRPr="00270EAC">
        <w:rPr>
          <w:rFonts w:cs="Arial"/>
          <w:sz w:val="22"/>
          <w:szCs w:val="22"/>
        </w:rPr>
        <w:t xml:space="preserve">or </w:t>
      </w:r>
      <w:r w:rsidR="00DF017A" w:rsidRPr="00270EAC">
        <w:rPr>
          <w:rFonts w:cs="Arial"/>
          <w:sz w:val="22"/>
          <w:szCs w:val="22"/>
        </w:rPr>
        <w:t>TP</w:t>
      </w:r>
      <w:r w:rsidRPr="00270EAC">
        <w:rPr>
          <w:rFonts w:cs="Arial"/>
          <w:sz w:val="22"/>
          <w:szCs w:val="22"/>
        </w:rPr>
        <w:t xml:space="preserve">, the weakest link will dominate.  </w:t>
      </w:r>
      <w:r w:rsidR="007715AE">
        <w:rPr>
          <w:rFonts w:cs="Arial"/>
          <w:sz w:val="22"/>
          <w:szCs w:val="22"/>
        </w:rPr>
        <w:t xml:space="preserve">Therefore, </w:t>
      </w:r>
      <w:r w:rsidR="00A84BB4">
        <w:rPr>
          <w:rFonts w:cs="Arial"/>
          <w:sz w:val="22"/>
          <w:szCs w:val="22"/>
        </w:rPr>
        <w:t>if any part of the cable is TP, the entire</w:t>
      </w:r>
      <w:r w:rsidR="007715AE">
        <w:rPr>
          <w:rFonts w:cs="Arial"/>
          <w:sz w:val="22"/>
          <w:szCs w:val="22"/>
        </w:rPr>
        <w:t xml:space="preserve"> cable is treated as TP.  </w:t>
      </w:r>
      <w:r w:rsidRPr="00270EAC">
        <w:rPr>
          <w:rFonts w:cs="Arial"/>
          <w:sz w:val="22"/>
          <w:szCs w:val="22"/>
        </w:rPr>
        <w:t xml:space="preserve">For example, a cable with a </w:t>
      </w:r>
      <w:r w:rsidR="00DF017A" w:rsidRPr="00270EAC">
        <w:rPr>
          <w:rFonts w:cs="Arial"/>
          <w:sz w:val="22"/>
          <w:szCs w:val="22"/>
        </w:rPr>
        <w:t xml:space="preserve">TS </w:t>
      </w:r>
      <w:r w:rsidRPr="00270EAC">
        <w:rPr>
          <w:rFonts w:cs="Arial"/>
          <w:sz w:val="22"/>
          <w:szCs w:val="22"/>
        </w:rPr>
        <w:t xml:space="preserve">insulation and a </w:t>
      </w:r>
      <w:r w:rsidR="00DF017A" w:rsidRPr="00270EAC">
        <w:rPr>
          <w:rFonts w:cs="Arial"/>
          <w:sz w:val="22"/>
          <w:szCs w:val="22"/>
        </w:rPr>
        <w:t xml:space="preserve">TP </w:t>
      </w:r>
      <w:r w:rsidRPr="00270EAC">
        <w:rPr>
          <w:rFonts w:cs="Arial"/>
          <w:sz w:val="22"/>
          <w:szCs w:val="22"/>
        </w:rPr>
        <w:t xml:space="preserve">jacket will be treated using the failure criteria of a </w:t>
      </w:r>
      <w:r w:rsidR="00A84BB4">
        <w:rPr>
          <w:rFonts w:cs="Arial"/>
          <w:sz w:val="22"/>
          <w:szCs w:val="22"/>
        </w:rPr>
        <w:t>TP</w:t>
      </w:r>
      <w:r w:rsidR="00A84BB4" w:rsidRPr="00270EAC">
        <w:rPr>
          <w:rFonts w:cs="Arial"/>
          <w:sz w:val="22"/>
          <w:szCs w:val="22"/>
        </w:rPr>
        <w:t xml:space="preserve"> </w:t>
      </w:r>
      <w:r w:rsidRPr="00270EAC">
        <w:rPr>
          <w:rFonts w:cs="Arial"/>
          <w:sz w:val="22"/>
          <w:szCs w:val="22"/>
        </w:rPr>
        <w:t xml:space="preserve">cable to reflect the reduced resistance to ignition of the jacket material.  A cable with a </w:t>
      </w:r>
      <w:r w:rsidR="00DF017A" w:rsidRPr="00270EAC">
        <w:rPr>
          <w:rFonts w:cs="Arial"/>
          <w:sz w:val="22"/>
          <w:szCs w:val="22"/>
        </w:rPr>
        <w:t xml:space="preserve">TP </w:t>
      </w:r>
      <w:r w:rsidRPr="00270EAC">
        <w:rPr>
          <w:rFonts w:cs="Arial"/>
          <w:sz w:val="22"/>
          <w:szCs w:val="22"/>
        </w:rPr>
        <w:t xml:space="preserve">insulation and a </w:t>
      </w:r>
      <w:r w:rsidR="00DF017A" w:rsidRPr="00270EAC">
        <w:rPr>
          <w:rFonts w:cs="Arial"/>
          <w:sz w:val="22"/>
          <w:szCs w:val="22"/>
        </w:rPr>
        <w:t xml:space="preserve">TS </w:t>
      </w:r>
      <w:r w:rsidRPr="00270EAC">
        <w:rPr>
          <w:rFonts w:cs="Arial"/>
          <w:sz w:val="22"/>
          <w:szCs w:val="22"/>
        </w:rPr>
        <w:t xml:space="preserve">jacket will also be treated as a </w:t>
      </w:r>
      <w:r w:rsidR="00DF017A" w:rsidRPr="00270EAC">
        <w:rPr>
          <w:rFonts w:cs="Arial"/>
          <w:sz w:val="22"/>
          <w:szCs w:val="22"/>
        </w:rPr>
        <w:t xml:space="preserve">TP </w:t>
      </w:r>
      <w:r w:rsidRPr="00270EAC">
        <w:rPr>
          <w:rFonts w:cs="Arial"/>
          <w:sz w:val="22"/>
          <w:szCs w:val="22"/>
        </w:rPr>
        <w:t>due to the likelihood of melting of the insulation material.</w:t>
      </w:r>
      <w:r w:rsidR="004B6393">
        <w:rPr>
          <w:rFonts w:cs="Arial"/>
          <w:sz w:val="22"/>
          <w:szCs w:val="22"/>
        </w:rPr>
        <w:t xml:space="preserve">  </w:t>
      </w:r>
      <w:r w:rsidRPr="00270EAC">
        <w:rPr>
          <w:rFonts w:cs="Arial"/>
          <w:sz w:val="22"/>
          <w:szCs w:val="22"/>
        </w:rPr>
        <w:t>The following table provides a decision matrix for the selection of which failure/ignition property set to apply to a given cable.</w:t>
      </w:r>
    </w:p>
    <w:p w14:paraId="399F723E"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rPr>
          <w:rFonts w:cs="Arial"/>
          <w:sz w:val="22"/>
          <w:szCs w:val="22"/>
        </w:rPr>
      </w:pPr>
    </w:p>
    <w:tbl>
      <w:tblPr>
        <w:tblW w:w="0" w:type="auto"/>
        <w:tblInd w:w="780" w:type="dxa"/>
        <w:tblLayout w:type="fixed"/>
        <w:tblCellMar>
          <w:left w:w="114" w:type="dxa"/>
          <w:right w:w="114" w:type="dxa"/>
        </w:tblCellMar>
        <w:tblLook w:val="0000" w:firstRow="0" w:lastRow="0" w:firstColumn="0" w:lastColumn="0" w:noHBand="0" w:noVBand="0"/>
      </w:tblPr>
      <w:tblGrid>
        <w:gridCol w:w="3044"/>
        <w:gridCol w:w="2528"/>
        <w:gridCol w:w="2569"/>
      </w:tblGrid>
      <w:tr w:rsidR="00F508B0" w:rsidRPr="00270EAC" w14:paraId="1C91CC0C" w14:textId="77777777" w:rsidTr="0075599A">
        <w:trPr>
          <w:trHeight w:hRule="exact" w:val="402"/>
        </w:trPr>
        <w:tc>
          <w:tcPr>
            <w:tcW w:w="3044" w:type="dxa"/>
            <w:gridSpan w:val="3"/>
            <w:tcBorders>
              <w:top w:val="single" w:sz="7" w:space="0" w:color="000000"/>
              <w:left w:val="single" w:sz="7" w:space="0" w:color="000000"/>
              <w:bottom w:val="single" w:sz="6" w:space="0" w:color="FFFFFF"/>
              <w:right w:val="single" w:sz="7" w:space="0" w:color="000000"/>
            </w:tcBorders>
            <w:shd w:val="pct25" w:color="000000" w:fill="FFFFFF"/>
            <w:vAlign w:val="center"/>
          </w:tcPr>
          <w:p w14:paraId="3DB324A6" w14:textId="77777777" w:rsidR="006F3BE7" w:rsidRPr="00270EAC" w:rsidRDefault="006F3BE7" w:rsidP="0075599A">
            <w:pPr>
              <w:widowControl/>
              <w:jc w:val="center"/>
              <w:rPr>
                <w:rFonts w:cs="Arial"/>
                <w:sz w:val="22"/>
                <w:szCs w:val="22"/>
              </w:rPr>
            </w:pPr>
            <w:r w:rsidRPr="00270EAC">
              <w:rPr>
                <w:rFonts w:cs="Arial"/>
                <w:bCs/>
                <w:sz w:val="22"/>
                <w:szCs w:val="22"/>
              </w:rPr>
              <w:t>Table A6.2 - Cable Properties Selection Decision Matrix</w:t>
            </w:r>
          </w:p>
        </w:tc>
      </w:tr>
      <w:tr w:rsidR="00F508B0" w:rsidRPr="00270EAC" w14:paraId="7AB1A7E0" w14:textId="77777777" w:rsidTr="0075599A">
        <w:trPr>
          <w:trHeight w:hRule="exact" w:val="402"/>
        </w:trPr>
        <w:tc>
          <w:tcPr>
            <w:tcW w:w="3044" w:type="dxa"/>
            <w:gridSpan w:val="2"/>
            <w:tcBorders>
              <w:top w:val="single" w:sz="7" w:space="0" w:color="000000"/>
              <w:left w:val="single" w:sz="7" w:space="0" w:color="000000"/>
              <w:bottom w:val="single" w:sz="6" w:space="0" w:color="FFFFFF"/>
              <w:right w:val="single" w:sz="6" w:space="0" w:color="FFFFFF"/>
            </w:tcBorders>
            <w:vAlign w:val="center"/>
          </w:tcPr>
          <w:p w14:paraId="606823FC"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bCs/>
                <w:sz w:val="22"/>
                <w:szCs w:val="22"/>
              </w:rPr>
              <w:t>Cable Construction / Configuration</w:t>
            </w:r>
          </w:p>
        </w:tc>
        <w:tc>
          <w:tcPr>
            <w:tcW w:w="2569" w:type="dxa"/>
            <w:vMerge w:val="restart"/>
            <w:tcBorders>
              <w:top w:val="single" w:sz="7" w:space="0" w:color="000000"/>
              <w:left w:val="single" w:sz="7" w:space="0" w:color="000000"/>
              <w:bottom w:val="nil"/>
              <w:right w:val="single" w:sz="7" w:space="0" w:color="000000"/>
            </w:tcBorders>
            <w:vAlign w:val="bottom"/>
          </w:tcPr>
          <w:p w14:paraId="32D6EF93"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bCs/>
                <w:sz w:val="22"/>
                <w:szCs w:val="22"/>
              </w:rPr>
              <w:t>Ignition/Damage Parameter Set to be Used</w:t>
            </w:r>
          </w:p>
        </w:tc>
      </w:tr>
      <w:tr w:rsidR="006F3BE7" w:rsidRPr="00270EAC" w14:paraId="4817002F" w14:textId="77777777" w:rsidTr="0075599A">
        <w:trPr>
          <w:trHeight w:hRule="exact" w:val="402"/>
        </w:trPr>
        <w:tc>
          <w:tcPr>
            <w:tcW w:w="3044" w:type="dxa"/>
            <w:tcBorders>
              <w:top w:val="single" w:sz="7" w:space="0" w:color="000000"/>
              <w:left w:val="single" w:sz="7" w:space="0" w:color="000000"/>
              <w:bottom w:val="single" w:sz="6" w:space="0" w:color="FFFFFF"/>
              <w:right w:val="single" w:sz="6" w:space="0" w:color="FFFFFF"/>
            </w:tcBorders>
            <w:vAlign w:val="center"/>
          </w:tcPr>
          <w:p w14:paraId="7A4C97AA"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bCs/>
                <w:sz w:val="22"/>
                <w:szCs w:val="22"/>
              </w:rPr>
              <w:t>Insulation Type</w:t>
            </w:r>
          </w:p>
        </w:tc>
        <w:tc>
          <w:tcPr>
            <w:tcW w:w="2528" w:type="dxa"/>
            <w:tcBorders>
              <w:top w:val="single" w:sz="7" w:space="0" w:color="000000"/>
              <w:left w:val="single" w:sz="7" w:space="0" w:color="000000"/>
              <w:bottom w:val="single" w:sz="6" w:space="0" w:color="FFFFFF"/>
              <w:right w:val="single" w:sz="6" w:space="0" w:color="FFFFFF"/>
            </w:tcBorders>
            <w:vAlign w:val="center"/>
          </w:tcPr>
          <w:p w14:paraId="6A490152"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bCs/>
                <w:sz w:val="22"/>
                <w:szCs w:val="22"/>
              </w:rPr>
              <w:t>Jacket/Covering Type</w:t>
            </w:r>
          </w:p>
        </w:tc>
        <w:tc>
          <w:tcPr>
            <w:tcW w:w="2569" w:type="dxa"/>
            <w:vMerge/>
            <w:tcBorders>
              <w:top w:val="nil"/>
              <w:left w:val="single" w:sz="7" w:space="0" w:color="000000"/>
              <w:bottom w:val="single" w:sz="6" w:space="0" w:color="FFFFFF"/>
              <w:right w:val="single" w:sz="7" w:space="0" w:color="000000"/>
            </w:tcBorders>
          </w:tcPr>
          <w:p w14:paraId="0DC48B0C"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rPr>
                <w:rFonts w:cs="Arial"/>
                <w:sz w:val="22"/>
                <w:szCs w:val="22"/>
              </w:rPr>
            </w:pPr>
          </w:p>
        </w:tc>
      </w:tr>
      <w:tr w:rsidR="006F3BE7" w:rsidRPr="00270EAC" w14:paraId="5B29E7FB" w14:textId="77777777" w:rsidTr="0075599A">
        <w:trPr>
          <w:trHeight w:hRule="exact" w:val="318"/>
        </w:trPr>
        <w:tc>
          <w:tcPr>
            <w:tcW w:w="3044" w:type="dxa"/>
            <w:tcBorders>
              <w:top w:val="single" w:sz="7" w:space="0" w:color="000000"/>
              <w:left w:val="single" w:sz="7" w:space="0" w:color="000000"/>
              <w:bottom w:val="single" w:sz="6" w:space="0" w:color="FFFFFF"/>
              <w:right w:val="single" w:sz="6" w:space="0" w:color="FFFFFF"/>
            </w:tcBorders>
            <w:vAlign w:val="center"/>
          </w:tcPr>
          <w:p w14:paraId="7AA412ED"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TS</w:t>
            </w:r>
          </w:p>
        </w:tc>
        <w:tc>
          <w:tcPr>
            <w:tcW w:w="2528" w:type="dxa"/>
            <w:tcBorders>
              <w:top w:val="single" w:sz="7" w:space="0" w:color="000000"/>
              <w:left w:val="single" w:sz="7" w:space="0" w:color="000000"/>
              <w:bottom w:val="single" w:sz="6" w:space="0" w:color="FFFFFF"/>
              <w:right w:val="single" w:sz="6" w:space="0" w:color="FFFFFF"/>
            </w:tcBorders>
            <w:vAlign w:val="center"/>
          </w:tcPr>
          <w:p w14:paraId="08B19A34"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TS</w:t>
            </w:r>
          </w:p>
        </w:tc>
        <w:tc>
          <w:tcPr>
            <w:tcW w:w="2569" w:type="dxa"/>
            <w:tcBorders>
              <w:top w:val="single" w:sz="7" w:space="0" w:color="000000"/>
              <w:left w:val="single" w:sz="7" w:space="0" w:color="000000"/>
              <w:bottom w:val="single" w:sz="6" w:space="0" w:color="FFFFFF"/>
              <w:right w:val="single" w:sz="7" w:space="0" w:color="000000"/>
            </w:tcBorders>
            <w:vAlign w:val="center"/>
          </w:tcPr>
          <w:p w14:paraId="565021B4"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TS</w:t>
            </w:r>
          </w:p>
        </w:tc>
      </w:tr>
      <w:tr w:rsidR="006F3BE7" w:rsidRPr="00270EAC" w14:paraId="4BCB469B" w14:textId="77777777" w:rsidTr="0075599A">
        <w:trPr>
          <w:trHeight w:hRule="exact" w:val="336"/>
        </w:trPr>
        <w:tc>
          <w:tcPr>
            <w:tcW w:w="3044" w:type="dxa"/>
            <w:tcBorders>
              <w:top w:val="single" w:sz="7" w:space="0" w:color="000000"/>
              <w:left w:val="single" w:sz="7" w:space="0" w:color="000000"/>
              <w:bottom w:val="single" w:sz="6" w:space="0" w:color="FFFFFF"/>
              <w:right w:val="single" w:sz="6" w:space="0" w:color="FFFFFF"/>
            </w:tcBorders>
            <w:vAlign w:val="center"/>
          </w:tcPr>
          <w:p w14:paraId="589AB989"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TS</w:t>
            </w:r>
          </w:p>
        </w:tc>
        <w:tc>
          <w:tcPr>
            <w:tcW w:w="2528" w:type="dxa"/>
            <w:tcBorders>
              <w:top w:val="single" w:sz="7" w:space="0" w:color="000000"/>
              <w:left w:val="single" w:sz="7" w:space="0" w:color="000000"/>
              <w:bottom w:val="single" w:sz="6" w:space="0" w:color="FFFFFF"/>
              <w:right w:val="single" w:sz="6" w:space="0" w:color="FFFFFF"/>
            </w:tcBorders>
            <w:vAlign w:val="center"/>
          </w:tcPr>
          <w:p w14:paraId="424F7B94"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TP</w:t>
            </w:r>
          </w:p>
        </w:tc>
        <w:tc>
          <w:tcPr>
            <w:tcW w:w="2569" w:type="dxa"/>
            <w:tcBorders>
              <w:top w:val="single" w:sz="7" w:space="0" w:color="000000"/>
              <w:left w:val="single" w:sz="7" w:space="0" w:color="000000"/>
              <w:bottom w:val="single" w:sz="6" w:space="0" w:color="FFFFFF"/>
              <w:right w:val="single" w:sz="7" w:space="0" w:color="000000"/>
            </w:tcBorders>
            <w:vAlign w:val="center"/>
          </w:tcPr>
          <w:p w14:paraId="2E09DF61"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TP</w:t>
            </w:r>
          </w:p>
        </w:tc>
      </w:tr>
      <w:tr w:rsidR="006F3BE7" w:rsidRPr="00270EAC" w14:paraId="6E680557" w14:textId="77777777" w:rsidTr="0075599A">
        <w:trPr>
          <w:trHeight w:hRule="exact" w:val="354"/>
        </w:trPr>
        <w:tc>
          <w:tcPr>
            <w:tcW w:w="3044" w:type="dxa"/>
            <w:tcBorders>
              <w:top w:val="single" w:sz="7" w:space="0" w:color="000000"/>
              <w:left w:val="single" w:sz="7" w:space="0" w:color="000000"/>
              <w:bottom w:val="single" w:sz="6" w:space="0" w:color="FFFFFF"/>
              <w:right w:val="single" w:sz="6" w:space="0" w:color="FFFFFF"/>
            </w:tcBorders>
            <w:vAlign w:val="center"/>
          </w:tcPr>
          <w:p w14:paraId="244ABC80"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TP</w:t>
            </w:r>
          </w:p>
        </w:tc>
        <w:tc>
          <w:tcPr>
            <w:tcW w:w="2528" w:type="dxa"/>
            <w:tcBorders>
              <w:top w:val="single" w:sz="7" w:space="0" w:color="000000"/>
              <w:left w:val="single" w:sz="7" w:space="0" w:color="000000"/>
              <w:bottom w:val="single" w:sz="6" w:space="0" w:color="FFFFFF"/>
              <w:right w:val="single" w:sz="6" w:space="0" w:color="FFFFFF"/>
            </w:tcBorders>
            <w:vAlign w:val="center"/>
          </w:tcPr>
          <w:p w14:paraId="24135A0D"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TS</w:t>
            </w:r>
          </w:p>
        </w:tc>
        <w:tc>
          <w:tcPr>
            <w:tcW w:w="2569" w:type="dxa"/>
            <w:tcBorders>
              <w:top w:val="single" w:sz="7" w:space="0" w:color="000000"/>
              <w:left w:val="single" w:sz="7" w:space="0" w:color="000000"/>
              <w:bottom w:val="single" w:sz="6" w:space="0" w:color="FFFFFF"/>
              <w:right w:val="single" w:sz="7" w:space="0" w:color="000000"/>
            </w:tcBorders>
            <w:vAlign w:val="center"/>
          </w:tcPr>
          <w:p w14:paraId="5FF8FF53"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TP</w:t>
            </w:r>
          </w:p>
        </w:tc>
      </w:tr>
      <w:tr w:rsidR="006F3BE7" w:rsidRPr="00270EAC" w14:paraId="3AE5CB28" w14:textId="77777777" w:rsidTr="0075599A">
        <w:trPr>
          <w:trHeight w:hRule="exact" w:val="344"/>
        </w:trPr>
        <w:tc>
          <w:tcPr>
            <w:tcW w:w="3044" w:type="dxa"/>
            <w:tcBorders>
              <w:top w:val="single" w:sz="7" w:space="0" w:color="000000"/>
              <w:left w:val="single" w:sz="7" w:space="0" w:color="000000"/>
              <w:bottom w:val="single" w:sz="6" w:space="0" w:color="FFFFFF"/>
              <w:right w:val="single" w:sz="6" w:space="0" w:color="FFFFFF"/>
            </w:tcBorders>
            <w:vAlign w:val="center"/>
          </w:tcPr>
          <w:p w14:paraId="064B94D9"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TP</w:t>
            </w:r>
          </w:p>
        </w:tc>
        <w:tc>
          <w:tcPr>
            <w:tcW w:w="2528" w:type="dxa"/>
            <w:tcBorders>
              <w:top w:val="single" w:sz="7" w:space="0" w:color="000000"/>
              <w:left w:val="single" w:sz="7" w:space="0" w:color="000000"/>
              <w:bottom w:val="single" w:sz="6" w:space="0" w:color="FFFFFF"/>
              <w:right w:val="single" w:sz="6" w:space="0" w:color="FFFFFF"/>
            </w:tcBorders>
            <w:vAlign w:val="center"/>
          </w:tcPr>
          <w:p w14:paraId="5ABED0E1"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TP</w:t>
            </w:r>
          </w:p>
        </w:tc>
        <w:tc>
          <w:tcPr>
            <w:tcW w:w="2569" w:type="dxa"/>
            <w:tcBorders>
              <w:top w:val="single" w:sz="7" w:space="0" w:color="000000"/>
              <w:left w:val="single" w:sz="7" w:space="0" w:color="000000"/>
              <w:bottom w:val="single" w:sz="6" w:space="0" w:color="FFFFFF"/>
              <w:right w:val="single" w:sz="7" w:space="0" w:color="000000"/>
            </w:tcBorders>
            <w:vAlign w:val="center"/>
          </w:tcPr>
          <w:p w14:paraId="3476569E"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TP</w:t>
            </w:r>
          </w:p>
        </w:tc>
      </w:tr>
      <w:tr w:rsidR="006F3BE7" w:rsidRPr="00270EAC" w14:paraId="008A5F1F" w14:textId="77777777" w:rsidTr="0075599A">
        <w:trPr>
          <w:trHeight w:hRule="exact" w:val="344"/>
        </w:trPr>
        <w:tc>
          <w:tcPr>
            <w:tcW w:w="3044" w:type="dxa"/>
            <w:tcBorders>
              <w:top w:val="single" w:sz="7" w:space="0" w:color="000000"/>
              <w:left w:val="single" w:sz="7" w:space="0" w:color="000000"/>
              <w:bottom w:val="single" w:sz="6" w:space="0" w:color="FFFFFF"/>
              <w:right w:val="single" w:sz="6" w:space="0" w:color="FFFFFF"/>
            </w:tcBorders>
            <w:vAlign w:val="center"/>
          </w:tcPr>
          <w:p w14:paraId="18182022" w14:textId="3600CA96"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 xml:space="preserve">Armored </w:t>
            </w:r>
            <w:r w:rsidR="008313D9" w:rsidRPr="00270EAC">
              <w:rPr>
                <w:rFonts w:cs="Arial"/>
                <w:sz w:val="22"/>
                <w:szCs w:val="22"/>
              </w:rPr>
              <w:t>–</w:t>
            </w:r>
            <w:r w:rsidRPr="00270EAC">
              <w:rPr>
                <w:rFonts w:cs="Arial"/>
                <w:sz w:val="22"/>
                <w:szCs w:val="22"/>
              </w:rPr>
              <w:t xml:space="preserve"> TS</w:t>
            </w:r>
          </w:p>
        </w:tc>
        <w:tc>
          <w:tcPr>
            <w:tcW w:w="2528" w:type="dxa"/>
            <w:tcBorders>
              <w:top w:val="single" w:sz="7" w:space="0" w:color="000000"/>
              <w:left w:val="single" w:sz="7" w:space="0" w:color="000000"/>
              <w:bottom w:val="single" w:sz="6" w:space="0" w:color="FFFFFF"/>
              <w:right w:val="single" w:sz="6" w:space="0" w:color="FFFFFF"/>
            </w:tcBorders>
            <w:vAlign w:val="center"/>
          </w:tcPr>
          <w:p w14:paraId="320856A7"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TS,  or  No Cover</w:t>
            </w:r>
          </w:p>
        </w:tc>
        <w:tc>
          <w:tcPr>
            <w:tcW w:w="2569" w:type="dxa"/>
            <w:tcBorders>
              <w:top w:val="single" w:sz="7" w:space="0" w:color="000000"/>
              <w:left w:val="single" w:sz="7" w:space="0" w:color="000000"/>
              <w:bottom w:val="single" w:sz="6" w:space="0" w:color="FFFFFF"/>
              <w:right w:val="single" w:sz="7" w:space="0" w:color="000000"/>
            </w:tcBorders>
            <w:vAlign w:val="center"/>
          </w:tcPr>
          <w:p w14:paraId="2CA2E726"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TS</w:t>
            </w:r>
          </w:p>
        </w:tc>
      </w:tr>
      <w:tr w:rsidR="006F3BE7" w:rsidRPr="00270EAC" w14:paraId="35E22BA3" w14:textId="77777777" w:rsidTr="0075599A">
        <w:trPr>
          <w:trHeight w:hRule="exact" w:val="336"/>
        </w:trPr>
        <w:tc>
          <w:tcPr>
            <w:tcW w:w="3044" w:type="dxa"/>
            <w:tcBorders>
              <w:top w:val="single" w:sz="7" w:space="0" w:color="000000"/>
              <w:left w:val="single" w:sz="7" w:space="0" w:color="000000"/>
              <w:bottom w:val="single" w:sz="6" w:space="0" w:color="FFFFFF"/>
              <w:right w:val="single" w:sz="6" w:space="0" w:color="FFFFFF"/>
            </w:tcBorders>
            <w:vAlign w:val="center"/>
          </w:tcPr>
          <w:p w14:paraId="77E0A3C1" w14:textId="5768B92D"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 xml:space="preserve">Armored </w:t>
            </w:r>
            <w:r w:rsidR="008313D9" w:rsidRPr="00270EAC">
              <w:rPr>
                <w:rFonts w:cs="Arial"/>
                <w:sz w:val="22"/>
                <w:szCs w:val="22"/>
              </w:rPr>
              <w:t>–</w:t>
            </w:r>
            <w:r w:rsidRPr="00270EAC">
              <w:rPr>
                <w:rFonts w:cs="Arial"/>
                <w:sz w:val="22"/>
                <w:szCs w:val="22"/>
              </w:rPr>
              <w:t xml:space="preserve"> TS</w:t>
            </w:r>
          </w:p>
        </w:tc>
        <w:tc>
          <w:tcPr>
            <w:tcW w:w="2528" w:type="dxa"/>
            <w:tcBorders>
              <w:top w:val="single" w:sz="7" w:space="0" w:color="000000"/>
              <w:left w:val="single" w:sz="7" w:space="0" w:color="000000"/>
              <w:bottom w:val="single" w:sz="6" w:space="0" w:color="FFFFFF"/>
              <w:right w:val="single" w:sz="6" w:space="0" w:color="FFFFFF"/>
            </w:tcBorders>
            <w:vAlign w:val="center"/>
          </w:tcPr>
          <w:p w14:paraId="46AB30D4"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TP Cover</w:t>
            </w:r>
          </w:p>
        </w:tc>
        <w:tc>
          <w:tcPr>
            <w:tcW w:w="2569" w:type="dxa"/>
            <w:tcBorders>
              <w:top w:val="single" w:sz="7" w:space="0" w:color="000000"/>
              <w:left w:val="single" w:sz="7" w:space="0" w:color="000000"/>
              <w:bottom w:val="single" w:sz="6" w:space="0" w:color="FFFFFF"/>
              <w:right w:val="single" w:sz="7" w:space="0" w:color="000000"/>
            </w:tcBorders>
            <w:vAlign w:val="center"/>
          </w:tcPr>
          <w:p w14:paraId="48E936A5"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TP</w:t>
            </w:r>
          </w:p>
        </w:tc>
      </w:tr>
      <w:tr w:rsidR="006F3BE7" w:rsidRPr="00270EAC" w14:paraId="621C0102" w14:textId="77777777" w:rsidTr="0075599A">
        <w:trPr>
          <w:trHeight w:hRule="exact" w:val="354"/>
        </w:trPr>
        <w:tc>
          <w:tcPr>
            <w:tcW w:w="3044" w:type="dxa"/>
            <w:tcBorders>
              <w:top w:val="single" w:sz="7" w:space="0" w:color="000000"/>
              <w:left w:val="single" w:sz="7" w:space="0" w:color="000000"/>
              <w:bottom w:val="single" w:sz="7" w:space="0" w:color="000000"/>
              <w:right w:val="single" w:sz="6" w:space="0" w:color="FFFFFF"/>
            </w:tcBorders>
            <w:vAlign w:val="center"/>
          </w:tcPr>
          <w:p w14:paraId="5CD85FDF" w14:textId="6794E7A2"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 xml:space="preserve">Armored </w:t>
            </w:r>
            <w:r w:rsidR="008313D9" w:rsidRPr="00270EAC">
              <w:rPr>
                <w:rFonts w:cs="Arial"/>
                <w:sz w:val="22"/>
                <w:szCs w:val="22"/>
              </w:rPr>
              <w:t>–</w:t>
            </w:r>
            <w:r w:rsidRPr="00270EAC">
              <w:rPr>
                <w:rFonts w:cs="Arial"/>
                <w:sz w:val="22"/>
                <w:szCs w:val="22"/>
              </w:rPr>
              <w:t xml:space="preserve"> TP</w:t>
            </w:r>
          </w:p>
        </w:tc>
        <w:tc>
          <w:tcPr>
            <w:tcW w:w="2528" w:type="dxa"/>
            <w:tcBorders>
              <w:top w:val="single" w:sz="7" w:space="0" w:color="000000"/>
              <w:left w:val="single" w:sz="7" w:space="0" w:color="000000"/>
              <w:bottom w:val="single" w:sz="7" w:space="0" w:color="000000"/>
              <w:right w:val="single" w:sz="6" w:space="0" w:color="FFFFFF"/>
            </w:tcBorders>
            <w:vAlign w:val="center"/>
          </w:tcPr>
          <w:p w14:paraId="5D816EB8"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TS, TP, or No Cover</w:t>
            </w:r>
          </w:p>
        </w:tc>
        <w:tc>
          <w:tcPr>
            <w:tcW w:w="2569" w:type="dxa"/>
            <w:tcBorders>
              <w:top w:val="single" w:sz="7" w:space="0" w:color="000000"/>
              <w:left w:val="single" w:sz="7" w:space="0" w:color="000000"/>
              <w:bottom w:val="single" w:sz="7" w:space="0" w:color="000000"/>
              <w:right w:val="single" w:sz="7" w:space="0" w:color="000000"/>
            </w:tcBorders>
            <w:vAlign w:val="center"/>
          </w:tcPr>
          <w:p w14:paraId="07A1B7FC" w14:textId="77777777" w:rsidR="006F3BE7" w:rsidRPr="00270EAC" w:rsidRDefault="006F3BE7" w:rsidP="0075599A">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270EAC">
              <w:rPr>
                <w:rFonts w:cs="Arial"/>
                <w:sz w:val="22"/>
                <w:szCs w:val="22"/>
              </w:rPr>
              <w:t>TP</w:t>
            </w:r>
          </w:p>
        </w:tc>
      </w:tr>
    </w:tbl>
    <w:p w14:paraId="6C5E4E45" w14:textId="77777777" w:rsidR="006F3BE7" w:rsidRPr="00270EAC" w:rsidRDefault="006F3BE7" w:rsidP="00310349">
      <w:pPr>
        <w:widowControl/>
        <w:pBdr>
          <w:top w:val="single" w:sz="6" w:space="0" w:color="FFFFFF"/>
          <w:left w:val="single" w:sz="6" w:space="0" w:color="FFFFFF"/>
          <w:bottom w:val="single" w:sz="6" w:space="0" w:color="FFFFFF"/>
          <w:right w:val="single" w:sz="6" w:space="0" w:color="FFFFFF"/>
        </w:pBdr>
        <w:rPr>
          <w:rFonts w:cs="Arial"/>
          <w:sz w:val="22"/>
          <w:szCs w:val="22"/>
        </w:rPr>
      </w:pPr>
    </w:p>
    <w:p w14:paraId="78ED9164" w14:textId="0D56B3CF"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u w:val="single"/>
        </w:rPr>
        <w:lastRenderedPageBreak/>
        <w:t>Targets other than electrical cables</w:t>
      </w:r>
      <w:r w:rsidRPr="00270EAC">
        <w:rPr>
          <w:rFonts w:cs="Arial"/>
          <w:sz w:val="22"/>
          <w:szCs w:val="22"/>
        </w:rPr>
        <w:t xml:space="preserve"> may also be vulnerable to fire damage.  Large, strictly mechanic</w:t>
      </w:r>
      <w:r w:rsidR="00C84B08" w:rsidRPr="00270EAC">
        <w:rPr>
          <w:rFonts w:cs="Arial"/>
          <w:sz w:val="22"/>
          <w:szCs w:val="22"/>
        </w:rPr>
        <w:t>al</w:t>
      </w:r>
      <w:r w:rsidRPr="00270EAC">
        <w:rPr>
          <w:rFonts w:cs="Arial"/>
          <w:sz w:val="22"/>
          <w:szCs w:val="22"/>
        </w:rPr>
        <w:t xml:space="preserve"> components (e.g., pipes, check valves, structural supports, tanks, etc.) are not considered vulnerable to fire damage for the purposes of SDP Phase 2 analyses.  Should an issue related to potential fire-induced failures of such elements (e.g., fire-induced collapse of a structure or structural supports) be deemed relevant, the </w:t>
      </w:r>
      <w:r w:rsidR="00D10274" w:rsidRPr="00270EAC">
        <w:rPr>
          <w:rFonts w:cs="Arial"/>
          <w:sz w:val="22"/>
          <w:szCs w:val="22"/>
        </w:rPr>
        <w:t xml:space="preserve">analyst </w:t>
      </w:r>
      <w:r w:rsidRPr="00270EAC">
        <w:rPr>
          <w:rFonts w:cs="Arial"/>
          <w:sz w:val="22"/>
          <w:szCs w:val="22"/>
        </w:rPr>
        <w:t xml:space="preserve">should consult NRC HQ staff for </w:t>
      </w:r>
      <w:proofErr w:type="gramStart"/>
      <w:r w:rsidR="00E8359A" w:rsidRPr="00270EAC">
        <w:rPr>
          <w:rFonts w:cs="Arial"/>
          <w:sz w:val="22"/>
          <w:szCs w:val="22"/>
        </w:rPr>
        <w:t>guidance.</w:t>
      </w:r>
      <w:proofErr w:type="gramEnd"/>
    </w:p>
    <w:p w14:paraId="4CEFB1EC"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228989AC"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For the majority of plant components, electrical cables servicing the equipment (power, control, and/or instrument cables) will be the most vulnerable aspect of the component.  Hence, failure of the cables will represent the predominant failure mode for the component.  In these cases, the failure criteria for the component will be based on failure of the cables servicing the component as already described.  This approach applies to any electrical or electro-mechanical component with a thermal mass that exceeds that of a short segment of cable.  Such components would include motors, pumps, fans, most valves, transformers, electro-mechanical relays, switchgear, breakers, mechanical switches, hand switches on a control board, etc.</w:t>
      </w:r>
    </w:p>
    <w:p w14:paraId="11734448"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0E0F4BDC" w14:textId="0D172413"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 xml:space="preserve">The only case where damage criteria other than those applied to cables should be considered is solid state devices and printed circuit based components (e.g., circuit cards, electronic relays, computers, electronic signal conditioning equipment, digital instrumentation and control circuits, electronic displays, etc.).  Electronic devices are generally vulnerable to failure at temperatures much lower than those that may cause cable failures.  If a scenario should arise involving </w:t>
      </w:r>
      <w:r w:rsidR="0069199E" w:rsidRPr="00270EAC">
        <w:rPr>
          <w:rFonts w:cs="Arial"/>
          <w:sz w:val="22"/>
          <w:szCs w:val="22"/>
        </w:rPr>
        <w:t xml:space="preserve">exposed </w:t>
      </w:r>
      <w:r w:rsidRPr="00270EAC">
        <w:rPr>
          <w:rFonts w:cs="Arial"/>
          <w:sz w:val="22"/>
          <w:szCs w:val="22"/>
        </w:rPr>
        <w:t xml:space="preserve">solid state control components as a potentially risk-important thermal damage target, the failure criteria to be applied in screening are </w:t>
      </w:r>
      <w:r w:rsidR="0069199E" w:rsidRPr="00270EAC">
        <w:rPr>
          <w:rFonts w:cs="Arial"/>
          <w:sz w:val="22"/>
          <w:szCs w:val="22"/>
        </w:rPr>
        <w:t>3 kW/m</w:t>
      </w:r>
      <w:r w:rsidR="0069199E" w:rsidRPr="00270EAC">
        <w:rPr>
          <w:rFonts w:cs="Arial"/>
          <w:sz w:val="22"/>
          <w:szCs w:val="22"/>
          <w:vertAlign w:val="superscript"/>
        </w:rPr>
        <w:t>2</w:t>
      </w:r>
      <w:r w:rsidR="0069199E" w:rsidRPr="00270EAC">
        <w:rPr>
          <w:rFonts w:cs="Arial"/>
          <w:sz w:val="22"/>
          <w:szCs w:val="22"/>
        </w:rPr>
        <w:t xml:space="preserve"> (</w:t>
      </w:r>
      <w:r w:rsidRPr="00270EAC">
        <w:rPr>
          <w:rFonts w:cs="Arial"/>
          <w:sz w:val="22"/>
          <w:szCs w:val="22"/>
        </w:rPr>
        <w:t>0.25 BTU/ft</w:t>
      </w:r>
      <w:r w:rsidRPr="00270EAC">
        <w:rPr>
          <w:rFonts w:cs="Arial"/>
          <w:sz w:val="22"/>
          <w:szCs w:val="22"/>
          <w:vertAlign w:val="superscript"/>
        </w:rPr>
        <w:t>2</w:t>
      </w:r>
      <w:r w:rsidRPr="00270EAC">
        <w:rPr>
          <w:rFonts w:cs="Arial"/>
          <w:sz w:val="22"/>
          <w:szCs w:val="22"/>
        </w:rPr>
        <w:t>s</w:t>
      </w:r>
      <w:r w:rsidR="0069199E" w:rsidRPr="00270EAC">
        <w:rPr>
          <w:rFonts w:cs="Arial"/>
          <w:sz w:val="22"/>
          <w:szCs w:val="22"/>
        </w:rPr>
        <w:t>)</w:t>
      </w:r>
      <w:r w:rsidRPr="00270EAC">
        <w:rPr>
          <w:rFonts w:cs="Arial"/>
          <w:sz w:val="22"/>
          <w:szCs w:val="22"/>
        </w:rPr>
        <w:t xml:space="preserve"> and </w:t>
      </w:r>
      <w:r w:rsidR="0069199E" w:rsidRPr="00270EAC">
        <w:rPr>
          <w:rFonts w:cs="Arial"/>
          <w:sz w:val="22"/>
          <w:szCs w:val="22"/>
        </w:rPr>
        <w:t>65ºC (</w:t>
      </w:r>
      <w:r w:rsidRPr="00270EAC">
        <w:rPr>
          <w:rFonts w:cs="Arial"/>
          <w:sz w:val="22"/>
          <w:szCs w:val="22"/>
        </w:rPr>
        <w:t>150</w:t>
      </w:r>
      <w:r w:rsidR="00F731AA" w:rsidRPr="00270EAC">
        <w:rPr>
          <w:rFonts w:cs="Arial"/>
          <w:sz w:val="22"/>
          <w:szCs w:val="22"/>
        </w:rPr>
        <w:t>º</w:t>
      </w:r>
      <w:r w:rsidRPr="00270EAC">
        <w:rPr>
          <w:rFonts w:cs="Arial"/>
          <w:sz w:val="22"/>
          <w:szCs w:val="22"/>
        </w:rPr>
        <w:t>F</w:t>
      </w:r>
      <w:r w:rsidR="0069199E" w:rsidRPr="00270EAC">
        <w:rPr>
          <w:rFonts w:cs="Arial"/>
          <w:sz w:val="22"/>
          <w:szCs w:val="22"/>
        </w:rPr>
        <w:t>)</w:t>
      </w:r>
      <w:r w:rsidRPr="00270EAC">
        <w:rPr>
          <w:rFonts w:cs="Arial"/>
          <w:sz w:val="22"/>
          <w:szCs w:val="22"/>
        </w:rPr>
        <w:t>, unless information is available to indicate the components are qualified for continuous operation at a higher temperature.</w:t>
      </w:r>
    </w:p>
    <w:p w14:paraId="7BDDF842" w14:textId="77777777" w:rsidR="006F3BE7" w:rsidRPr="00270EAC" w:rsidRDefault="006F3BE7"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0D89E4CE" w14:textId="77777777" w:rsidR="00B60033" w:rsidRPr="00270EAC" w:rsidRDefault="00B60033" w:rsidP="002D23D9">
      <w:pPr>
        <w:widowControl/>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Sensitive electronic components that are mounted inside a control panel (cabinet) such that the cabinet walls, top, front and back doors shield the component from the radiant energy of an exposure fire may be considered qualified up to the heat flux damage threshold for thermoset cables, provided that:</w:t>
      </w:r>
    </w:p>
    <w:p w14:paraId="7E1B6ACE" w14:textId="77777777" w:rsidR="00B60033" w:rsidRPr="00270EAC" w:rsidRDefault="00B60033"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7CDD54F9" w14:textId="77777777" w:rsidR="00B60033" w:rsidRPr="00270EAC" w:rsidRDefault="00B60033" w:rsidP="002D23D9">
      <w:pPr>
        <w:pStyle w:val="ListParagraph"/>
        <w:widowControl/>
        <w:numPr>
          <w:ilvl w:val="0"/>
          <w:numId w:val="1"/>
        </w:numPr>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The component is not mounted on the surface of the cabinet (front or back wall/door) where it would be directly exposed to the convective and/or radiant energy of an exposure fire.</w:t>
      </w:r>
    </w:p>
    <w:p w14:paraId="0E7D4726" w14:textId="24646C3F" w:rsidR="0069199E" w:rsidRPr="00270EAC" w:rsidRDefault="00B60033" w:rsidP="002D23D9">
      <w:pPr>
        <w:pStyle w:val="ListParagraph"/>
        <w:widowControl/>
        <w:numPr>
          <w:ilvl w:val="0"/>
          <w:numId w:val="1"/>
        </w:numPr>
        <w:pBdr>
          <w:top w:val="single" w:sz="6" w:space="0" w:color="FFFFFF"/>
          <w:left w:val="single" w:sz="6" w:space="0" w:color="FFFFFF"/>
          <w:bottom w:val="single" w:sz="6" w:space="0" w:color="FFFFFF"/>
          <w:right w:val="single" w:sz="6" w:space="0" w:color="FFFFFF"/>
        </w:pBdr>
        <w:rPr>
          <w:rFonts w:cs="Arial"/>
          <w:sz w:val="22"/>
          <w:szCs w:val="22"/>
        </w:rPr>
      </w:pPr>
      <w:r w:rsidRPr="00270EAC">
        <w:rPr>
          <w:rFonts w:cs="Arial"/>
          <w:sz w:val="22"/>
          <w:szCs w:val="22"/>
        </w:rPr>
        <w:t>The presence of louvers or other typical ventilation means do</w:t>
      </w:r>
      <w:r w:rsidR="00C84B08" w:rsidRPr="00270EAC">
        <w:rPr>
          <w:rFonts w:cs="Arial"/>
          <w:sz w:val="22"/>
          <w:szCs w:val="22"/>
        </w:rPr>
        <w:t>es</w:t>
      </w:r>
      <w:r w:rsidRPr="00270EAC">
        <w:rPr>
          <w:rFonts w:cs="Arial"/>
          <w:sz w:val="22"/>
          <w:szCs w:val="22"/>
        </w:rPr>
        <w:t xml:space="preserve"> not invalidate the guidance provided for here.</w:t>
      </w:r>
    </w:p>
    <w:p w14:paraId="771F33CD" w14:textId="77777777" w:rsidR="0069199E" w:rsidRPr="00270EAC" w:rsidRDefault="0069199E" w:rsidP="002D23D9">
      <w:pPr>
        <w:widowControl/>
        <w:pBdr>
          <w:top w:val="single" w:sz="6" w:space="0" w:color="FFFFFF"/>
          <w:left w:val="single" w:sz="6" w:space="0" w:color="FFFFFF"/>
          <w:bottom w:val="single" w:sz="6" w:space="0" w:color="FFFFFF"/>
          <w:right w:val="single" w:sz="6" w:space="0" w:color="FFFFFF"/>
        </w:pBdr>
        <w:rPr>
          <w:rFonts w:cs="Arial"/>
          <w:sz w:val="22"/>
          <w:szCs w:val="22"/>
        </w:rPr>
      </w:pPr>
    </w:p>
    <w:p w14:paraId="031325C1" w14:textId="7B9E54FC" w:rsidR="006F3BE7" w:rsidRPr="00270EAC" w:rsidRDefault="006F3BE7" w:rsidP="00310349">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0D615137" w14:textId="77777777" w:rsidR="00072068" w:rsidRDefault="00072068" w:rsidP="00310349">
      <w:pPr>
        <w:widowControl/>
        <w:pBdr>
          <w:top w:val="single" w:sz="6" w:space="0" w:color="FFFFFF"/>
          <w:left w:val="single" w:sz="6" w:space="0" w:color="FFFFFF"/>
          <w:bottom w:val="single" w:sz="6" w:space="0" w:color="FFFFFF"/>
          <w:right w:val="single" w:sz="6" w:space="0" w:color="FFFFFF"/>
        </w:pBdr>
        <w:rPr>
          <w:rFonts w:cs="Arial"/>
          <w:bCs/>
          <w:sz w:val="22"/>
          <w:szCs w:val="22"/>
        </w:rPr>
        <w:sectPr w:rsidR="00072068" w:rsidSect="0064122C">
          <w:footerReference w:type="default" r:id="rId12"/>
          <w:pgSz w:w="12240" w:h="15840" w:code="1"/>
          <w:pgMar w:top="1440" w:right="1440" w:bottom="1440" w:left="1440" w:header="720" w:footer="720" w:gutter="0"/>
          <w:pgNumType w:start="1"/>
          <w:cols w:space="720"/>
          <w:noEndnote/>
          <w:docGrid w:linePitch="326"/>
        </w:sectPr>
      </w:pPr>
    </w:p>
    <w:p w14:paraId="47981BAF" w14:textId="77777777" w:rsidR="00072068" w:rsidRPr="00072068" w:rsidRDefault="00072068" w:rsidP="00072068">
      <w:pPr>
        <w:widowControl/>
        <w:autoSpaceDE/>
        <w:autoSpaceDN/>
        <w:adjustRightInd/>
        <w:jc w:val="center"/>
        <w:rPr>
          <w:sz w:val="22"/>
          <w:szCs w:val="22"/>
        </w:rPr>
      </w:pPr>
      <w:r w:rsidRPr="00072068">
        <w:rPr>
          <w:sz w:val="22"/>
          <w:szCs w:val="22"/>
        </w:rPr>
        <w:lastRenderedPageBreak/>
        <w:t>ATTACHMENT 1</w:t>
      </w:r>
    </w:p>
    <w:p w14:paraId="52811075" w14:textId="661F9E9E" w:rsidR="00072068" w:rsidRDefault="00072068" w:rsidP="008F3339">
      <w:pPr>
        <w:widowControl/>
        <w:autoSpaceDE/>
        <w:autoSpaceDN/>
        <w:adjustRightInd/>
        <w:jc w:val="center"/>
        <w:rPr>
          <w:sz w:val="22"/>
          <w:szCs w:val="22"/>
        </w:rPr>
      </w:pPr>
      <w:r w:rsidRPr="00072068">
        <w:rPr>
          <w:sz w:val="22"/>
          <w:szCs w:val="22"/>
        </w:rPr>
        <w:t>Revision History for IMC 0609, Appendix F</w:t>
      </w:r>
      <w:r>
        <w:rPr>
          <w:sz w:val="22"/>
          <w:szCs w:val="22"/>
        </w:rPr>
        <w:t xml:space="preserve"> Attachment 6</w:t>
      </w:r>
    </w:p>
    <w:p w14:paraId="66150E47" w14:textId="77777777" w:rsidR="008F3339" w:rsidRPr="00072068" w:rsidRDefault="008F3339" w:rsidP="008F3339">
      <w:pPr>
        <w:widowControl/>
        <w:autoSpaceDE/>
        <w:autoSpaceDN/>
        <w:adjustRightInd/>
        <w:jc w:val="center"/>
        <w:rPr>
          <w:sz w:val="22"/>
          <w:szCs w:val="22"/>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752"/>
        <w:gridCol w:w="6374"/>
        <w:gridCol w:w="1875"/>
        <w:gridCol w:w="2156"/>
      </w:tblGrid>
      <w:tr w:rsidR="00072068" w:rsidRPr="00072068" w14:paraId="47954401" w14:textId="77777777" w:rsidTr="008F3339">
        <w:trPr>
          <w:cantSplit/>
          <w:tblHeader/>
          <w:jc w:val="center"/>
        </w:trPr>
        <w:tc>
          <w:tcPr>
            <w:tcW w:w="1523" w:type="dxa"/>
            <w:shd w:val="clear" w:color="auto" w:fill="auto"/>
            <w:vAlign w:val="center"/>
          </w:tcPr>
          <w:p w14:paraId="5250E66F" w14:textId="1A2FDC95" w:rsidR="00072068" w:rsidRPr="00072068" w:rsidRDefault="00072068" w:rsidP="0075599A">
            <w:pPr>
              <w:widowControl/>
              <w:autoSpaceDE/>
              <w:autoSpaceDN/>
              <w:adjustRightInd/>
              <w:jc w:val="center"/>
              <w:rPr>
                <w:bCs/>
                <w:sz w:val="22"/>
                <w:szCs w:val="22"/>
              </w:rPr>
            </w:pPr>
            <w:r w:rsidRPr="00072068">
              <w:rPr>
                <w:bCs/>
                <w:sz w:val="22"/>
                <w:szCs w:val="22"/>
              </w:rPr>
              <w:t>Commitment</w:t>
            </w:r>
            <w:r w:rsidR="009A4C80">
              <w:rPr>
                <w:bCs/>
                <w:sz w:val="22"/>
                <w:szCs w:val="22"/>
              </w:rPr>
              <w:t xml:space="preserve"> </w:t>
            </w:r>
            <w:r w:rsidRPr="00072068">
              <w:rPr>
                <w:bCs/>
                <w:sz w:val="22"/>
                <w:szCs w:val="22"/>
              </w:rPr>
              <w:t>Tracking</w:t>
            </w:r>
            <w:r w:rsidR="009A4C80">
              <w:rPr>
                <w:bCs/>
                <w:sz w:val="22"/>
                <w:szCs w:val="22"/>
              </w:rPr>
              <w:t xml:space="preserve"> </w:t>
            </w:r>
            <w:r w:rsidRPr="00072068">
              <w:rPr>
                <w:bCs/>
                <w:sz w:val="22"/>
                <w:szCs w:val="22"/>
              </w:rPr>
              <w:t>Number</w:t>
            </w:r>
          </w:p>
        </w:tc>
        <w:tc>
          <w:tcPr>
            <w:tcW w:w="1752" w:type="dxa"/>
            <w:shd w:val="clear" w:color="auto" w:fill="auto"/>
            <w:vAlign w:val="center"/>
          </w:tcPr>
          <w:p w14:paraId="04A5188E" w14:textId="77777777" w:rsidR="00072068" w:rsidRPr="00072068" w:rsidRDefault="00072068" w:rsidP="0075599A">
            <w:pPr>
              <w:widowControl/>
              <w:autoSpaceDE/>
              <w:autoSpaceDN/>
              <w:adjustRightInd/>
              <w:jc w:val="center"/>
              <w:rPr>
                <w:bCs/>
                <w:sz w:val="22"/>
                <w:szCs w:val="22"/>
              </w:rPr>
            </w:pPr>
            <w:r w:rsidRPr="00072068">
              <w:rPr>
                <w:bCs/>
                <w:sz w:val="22"/>
                <w:szCs w:val="22"/>
              </w:rPr>
              <w:t>Accession Number</w:t>
            </w:r>
          </w:p>
          <w:p w14:paraId="79CA22F6" w14:textId="77777777" w:rsidR="009A4C80" w:rsidRDefault="00072068" w:rsidP="0075599A">
            <w:pPr>
              <w:widowControl/>
              <w:autoSpaceDE/>
              <w:autoSpaceDN/>
              <w:adjustRightInd/>
              <w:jc w:val="center"/>
              <w:rPr>
                <w:bCs/>
                <w:sz w:val="22"/>
                <w:szCs w:val="22"/>
              </w:rPr>
            </w:pPr>
            <w:r w:rsidRPr="00072068">
              <w:rPr>
                <w:bCs/>
                <w:sz w:val="22"/>
                <w:szCs w:val="22"/>
              </w:rPr>
              <w:t xml:space="preserve">Issue Date </w:t>
            </w:r>
          </w:p>
          <w:p w14:paraId="4CABA619" w14:textId="5AAC1DB8" w:rsidR="00072068" w:rsidRPr="00072068" w:rsidRDefault="00072068" w:rsidP="0075599A">
            <w:pPr>
              <w:widowControl/>
              <w:autoSpaceDE/>
              <w:autoSpaceDN/>
              <w:adjustRightInd/>
              <w:jc w:val="center"/>
              <w:rPr>
                <w:bCs/>
                <w:sz w:val="22"/>
                <w:szCs w:val="22"/>
              </w:rPr>
            </w:pPr>
            <w:r w:rsidRPr="00072068">
              <w:rPr>
                <w:bCs/>
                <w:sz w:val="22"/>
                <w:szCs w:val="22"/>
              </w:rPr>
              <w:t>Change Notice</w:t>
            </w:r>
          </w:p>
        </w:tc>
        <w:tc>
          <w:tcPr>
            <w:tcW w:w="6374" w:type="dxa"/>
            <w:shd w:val="clear" w:color="auto" w:fill="auto"/>
            <w:vAlign w:val="center"/>
          </w:tcPr>
          <w:p w14:paraId="700FF4DB" w14:textId="77777777" w:rsidR="00072068" w:rsidRPr="00072068" w:rsidRDefault="00072068" w:rsidP="0075599A">
            <w:pPr>
              <w:widowControl/>
              <w:autoSpaceDE/>
              <w:autoSpaceDN/>
              <w:adjustRightInd/>
              <w:jc w:val="center"/>
              <w:rPr>
                <w:bCs/>
                <w:sz w:val="22"/>
                <w:szCs w:val="22"/>
              </w:rPr>
            </w:pPr>
            <w:r w:rsidRPr="00072068">
              <w:rPr>
                <w:bCs/>
                <w:sz w:val="22"/>
                <w:szCs w:val="22"/>
              </w:rPr>
              <w:t>Description of Change</w:t>
            </w:r>
          </w:p>
        </w:tc>
        <w:tc>
          <w:tcPr>
            <w:tcW w:w="1875" w:type="dxa"/>
            <w:shd w:val="clear" w:color="auto" w:fill="auto"/>
            <w:vAlign w:val="center"/>
          </w:tcPr>
          <w:p w14:paraId="150A07D6" w14:textId="392DF6AD" w:rsidR="00072068" w:rsidRPr="00072068" w:rsidRDefault="00072068" w:rsidP="0075599A">
            <w:pPr>
              <w:widowControl/>
              <w:autoSpaceDE/>
              <w:autoSpaceDN/>
              <w:adjustRightInd/>
              <w:jc w:val="center"/>
              <w:rPr>
                <w:bCs/>
                <w:sz w:val="22"/>
                <w:szCs w:val="22"/>
              </w:rPr>
            </w:pPr>
            <w:r w:rsidRPr="00072068">
              <w:rPr>
                <w:bCs/>
                <w:sz w:val="22"/>
                <w:szCs w:val="22"/>
              </w:rPr>
              <w:t>Description of Training</w:t>
            </w:r>
            <w:r w:rsidR="009A4C80">
              <w:rPr>
                <w:bCs/>
                <w:sz w:val="22"/>
                <w:szCs w:val="22"/>
              </w:rPr>
              <w:t xml:space="preserve"> </w:t>
            </w:r>
            <w:r w:rsidRPr="00072068">
              <w:rPr>
                <w:bCs/>
                <w:sz w:val="22"/>
                <w:szCs w:val="22"/>
              </w:rPr>
              <w:t>Required and Completion Date</w:t>
            </w:r>
          </w:p>
        </w:tc>
        <w:tc>
          <w:tcPr>
            <w:tcW w:w="2156" w:type="dxa"/>
            <w:shd w:val="clear" w:color="auto" w:fill="auto"/>
            <w:vAlign w:val="center"/>
          </w:tcPr>
          <w:p w14:paraId="3CDB63ED" w14:textId="3FF4CF84" w:rsidR="00072068" w:rsidRPr="00072068" w:rsidRDefault="00072068" w:rsidP="0075599A">
            <w:pPr>
              <w:widowControl/>
              <w:autoSpaceDE/>
              <w:autoSpaceDN/>
              <w:adjustRightInd/>
              <w:jc w:val="center"/>
              <w:rPr>
                <w:bCs/>
                <w:sz w:val="22"/>
                <w:szCs w:val="22"/>
              </w:rPr>
            </w:pPr>
            <w:r w:rsidRPr="00072068">
              <w:rPr>
                <w:bCs/>
                <w:sz w:val="22"/>
                <w:szCs w:val="22"/>
              </w:rPr>
              <w:t xml:space="preserve">Comment </w:t>
            </w:r>
            <w:r w:rsidR="0064122C">
              <w:rPr>
                <w:bCs/>
                <w:sz w:val="22"/>
                <w:szCs w:val="22"/>
              </w:rPr>
              <w:t xml:space="preserve">Resolution </w:t>
            </w:r>
            <w:r w:rsidRPr="00072068">
              <w:rPr>
                <w:bCs/>
                <w:sz w:val="22"/>
                <w:szCs w:val="22"/>
              </w:rPr>
              <w:t xml:space="preserve">and </w:t>
            </w:r>
            <w:r w:rsidR="00602456">
              <w:rPr>
                <w:bCs/>
                <w:sz w:val="22"/>
                <w:szCs w:val="22"/>
              </w:rPr>
              <w:t xml:space="preserve">Closed </w:t>
            </w:r>
            <w:r w:rsidRPr="00072068">
              <w:rPr>
                <w:bCs/>
                <w:sz w:val="22"/>
                <w:szCs w:val="22"/>
              </w:rPr>
              <w:t xml:space="preserve">Feedback </w:t>
            </w:r>
            <w:r w:rsidR="0064122C">
              <w:rPr>
                <w:bCs/>
                <w:sz w:val="22"/>
                <w:szCs w:val="22"/>
              </w:rPr>
              <w:t>Form</w:t>
            </w:r>
            <w:r w:rsidRPr="00072068">
              <w:rPr>
                <w:bCs/>
                <w:sz w:val="22"/>
                <w:szCs w:val="22"/>
              </w:rPr>
              <w:t xml:space="preserve"> Accession Number</w:t>
            </w:r>
            <w:r w:rsidR="0064122C">
              <w:rPr>
                <w:bCs/>
                <w:sz w:val="22"/>
                <w:szCs w:val="22"/>
              </w:rPr>
              <w:t xml:space="preserve"> (Pre-Decisional, Non-Public)</w:t>
            </w:r>
          </w:p>
        </w:tc>
      </w:tr>
      <w:tr w:rsidR="00072068" w:rsidRPr="00072068" w14:paraId="1356848F" w14:textId="77777777" w:rsidTr="008F3339">
        <w:trPr>
          <w:cantSplit/>
          <w:jc w:val="center"/>
        </w:trPr>
        <w:tc>
          <w:tcPr>
            <w:tcW w:w="1523" w:type="dxa"/>
            <w:shd w:val="clear" w:color="auto" w:fill="auto"/>
          </w:tcPr>
          <w:p w14:paraId="445EAA16" w14:textId="3E1FBFC7" w:rsidR="00072068" w:rsidRPr="00072068" w:rsidRDefault="00072068" w:rsidP="0075599A">
            <w:pPr>
              <w:widowControl/>
              <w:autoSpaceDE/>
              <w:autoSpaceDN/>
              <w:adjustRightInd/>
              <w:rPr>
                <w:bCs/>
                <w:sz w:val="22"/>
                <w:szCs w:val="22"/>
              </w:rPr>
            </w:pPr>
          </w:p>
        </w:tc>
        <w:tc>
          <w:tcPr>
            <w:tcW w:w="1752" w:type="dxa"/>
            <w:shd w:val="clear" w:color="auto" w:fill="auto"/>
          </w:tcPr>
          <w:p w14:paraId="25FF56B6" w14:textId="77777777" w:rsidR="00072068" w:rsidRDefault="00072068" w:rsidP="0075599A">
            <w:pPr>
              <w:widowControl/>
              <w:autoSpaceDE/>
              <w:autoSpaceDN/>
              <w:adjustRightInd/>
              <w:rPr>
                <w:rFonts w:cs="Arial"/>
                <w:color w:val="000000"/>
                <w:sz w:val="22"/>
                <w:szCs w:val="22"/>
              </w:rPr>
            </w:pPr>
            <w:r w:rsidRPr="00072068">
              <w:rPr>
                <w:rFonts w:cs="Arial"/>
                <w:color w:val="000000"/>
                <w:sz w:val="22"/>
                <w:szCs w:val="22"/>
              </w:rPr>
              <w:t>05/28/2004</w:t>
            </w:r>
          </w:p>
          <w:p w14:paraId="7EAFF205" w14:textId="7C79C8D4" w:rsidR="002D23D9" w:rsidRPr="00072068" w:rsidRDefault="002D23D9" w:rsidP="0075599A">
            <w:pPr>
              <w:widowControl/>
              <w:autoSpaceDE/>
              <w:autoSpaceDN/>
              <w:adjustRightInd/>
              <w:rPr>
                <w:bCs/>
                <w:sz w:val="22"/>
                <w:szCs w:val="22"/>
              </w:rPr>
            </w:pPr>
            <w:r>
              <w:rPr>
                <w:bCs/>
                <w:sz w:val="22"/>
                <w:szCs w:val="22"/>
              </w:rPr>
              <w:t>CN 04-016</w:t>
            </w:r>
          </w:p>
        </w:tc>
        <w:tc>
          <w:tcPr>
            <w:tcW w:w="6374" w:type="dxa"/>
            <w:shd w:val="clear" w:color="auto" w:fill="auto"/>
          </w:tcPr>
          <w:p w14:paraId="3EE49676" w14:textId="7405A552" w:rsidR="00072068" w:rsidRPr="00072068" w:rsidRDefault="00072068" w:rsidP="0075599A">
            <w:pPr>
              <w:widowControl/>
              <w:autoSpaceDE/>
              <w:autoSpaceDN/>
              <w:adjustRightInd/>
              <w:rPr>
                <w:bCs/>
                <w:sz w:val="22"/>
                <w:szCs w:val="22"/>
              </w:rPr>
            </w:pPr>
            <w:r>
              <w:rPr>
                <w:rFonts w:cs="Arial"/>
                <w:color w:val="000000"/>
                <w:sz w:val="22"/>
                <w:szCs w:val="22"/>
              </w:rPr>
              <w:t xml:space="preserve">IMC 0609, App F, </w:t>
            </w:r>
            <w:proofErr w:type="spellStart"/>
            <w:r>
              <w:rPr>
                <w:rFonts w:cs="Arial"/>
                <w:color w:val="000000"/>
                <w:sz w:val="22"/>
                <w:szCs w:val="22"/>
              </w:rPr>
              <w:t>Att</w:t>
            </w:r>
            <w:proofErr w:type="spellEnd"/>
            <w:r>
              <w:rPr>
                <w:rFonts w:cs="Arial"/>
                <w:color w:val="000000"/>
                <w:sz w:val="22"/>
                <w:szCs w:val="22"/>
              </w:rPr>
              <w:t xml:space="preserve"> 6 “</w:t>
            </w:r>
            <w:r w:rsidRPr="00072068">
              <w:rPr>
                <w:rFonts w:cs="Arial"/>
                <w:color w:val="000000"/>
                <w:sz w:val="22"/>
                <w:szCs w:val="22"/>
              </w:rPr>
              <w:t>Guidance for the Identification of Targets and The</w:t>
            </w:r>
            <w:r>
              <w:rPr>
                <w:rFonts w:cs="Arial"/>
                <w:color w:val="000000"/>
                <w:sz w:val="22"/>
                <w:szCs w:val="22"/>
              </w:rPr>
              <w:t>ir Ignition and Damage Criteria,”</w:t>
            </w:r>
            <w:r w:rsidRPr="00072068">
              <w:rPr>
                <w:rFonts w:cs="Arial"/>
                <w:color w:val="000000"/>
                <w:sz w:val="22"/>
                <w:szCs w:val="22"/>
              </w:rPr>
              <w:t xml:space="preserve"> is added to provide for the development of specific fire growth and damage scenarios for fire ignition sources that were not screened out to this point by the process.  This helps to evaluate the independence of the designated safe shutdown path.</w:t>
            </w:r>
          </w:p>
        </w:tc>
        <w:tc>
          <w:tcPr>
            <w:tcW w:w="1875" w:type="dxa"/>
            <w:shd w:val="clear" w:color="auto" w:fill="auto"/>
          </w:tcPr>
          <w:p w14:paraId="626D1564" w14:textId="77777777" w:rsidR="00072068" w:rsidRPr="00072068" w:rsidRDefault="00072068" w:rsidP="0075599A">
            <w:pPr>
              <w:widowControl/>
              <w:autoSpaceDE/>
              <w:autoSpaceDN/>
              <w:adjustRightInd/>
              <w:rPr>
                <w:bCs/>
                <w:sz w:val="22"/>
                <w:szCs w:val="22"/>
              </w:rPr>
            </w:pPr>
            <w:r w:rsidRPr="00072068">
              <w:rPr>
                <w:bCs/>
                <w:sz w:val="22"/>
                <w:szCs w:val="22"/>
              </w:rPr>
              <w:t>None</w:t>
            </w:r>
          </w:p>
        </w:tc>
        <w:tc>
          <w:tcPr>
            <w:tcW w:w="2156" w:type="dxa"/>
            <w:shd w:val="clear" w:color="auto" w:fill="auto"/>
          </w:tcPr>
          <w:p w14:paraId="0DDA8615" w14:textId="77777777" w:rsidR="00072068" w:rsidRPr="00072068" w:rsidRDefault="00072068" w:rsidP="0075599A">
            <w:pPr>
              <w:widowControl/>
              <w:autoSpaceDE/>
              <w:autoSpaceDN/>
              <w:adjustRightInd/>
              <w:rPr>
                <w:bCs/>
                <w:sz w:val="22"/>
                <w:szCs w:val="22"/>
              </w:rPr>
            </w:pPr>
            <w:r w:rsidRPr="00072068">
              <w:rPr>
                <w:bCs/>
                <w:sz w:val="22"/>
                <w:szCs w:val="22"/>
              </w:rPr>
              <w:t>N/A</w:t>
            </w:r>
          </w:p>
        </w:tc>
      </w:tr>
      <w:tr w:rsidR="00072068" w:rsidRPr="00072068" w14:paraId="133205BC" w14:textId="77777777" w:rsidTr="008F3339">
        <w:trPr>
          <w:cantSplit/>
          <w:jc w:val="center"/>
        </w:trPr>
        <w:tc>
          <w:tcPr>
            <w:tcW w:w="1523" w:type="dxa"/>
            <w:shd w:val="clear" w:color="auto" w:fill="auto"/>
          </w:tcPr>
          <w:p w14:paraId="6F534B62" w14:textId="6B4E82BF" w:rsidR="00072068" w:rsidRPr="00072068" w:rsidRDefault="00072068" w:rsidP="0075599A">
            <w:pPr>
              <w:widowControl/>
              <w:autoSpaceDE/>
              <w:autoSpaceDN/>
              <w:adjustRightInd/>
              <w:rPr>
                <w:bCs/>
                <w:sz w:val="22"/>
                <w:szCs w:val="22"/>
              </w:rPr>
            </w:pPr>
          </w:p>
        </w:tc>
        <w:tc>
          <w:tcPr>
            <w:tcW w:w="1752" w:type="dxa"/>
            <w:shd w:val="clear" w:color="auto" w:fill="auto"/>
          </w:tcPr>
          <w:p w14:paraId="671A7A54" w14:textId="77777777" w:rsidR="00072068" w:rsidRDefault="00072068" w:rsidP="0075599A">
            <w:pPr>
              <w:widowControl/>
              <w:autoSpaceDE/>
              <w:autoSpaceDN/>
              <w:adjustRightInd/>
              <w:rPr>
                <w:rFonts w:cs="Arial"/>
                <w:color w:val="000000"/>
                <w:sz w:val="22"/>
                <w:szCs w:val="22"/>
              </w:rPr>
            </w:pPr>
            <w:r w:rsidRPr="00072068">
              <w:rPr>
                <w:rFonts w:cs="Arial"/>
                <w:color w:val="000000"/>
                <w:sz w:val="22"/>
                <w:szCs w:val="22"/>
              </w:rPr>
              <w:t>02/28/2005</w:t>
            </w:r>
          </w:p>
          <w:p w14:paraId="697FE297" w14:textId="7DD3D888" w:rsidR="002D23D9" w:rsidRPr="00072068" w:rsidRDefault="002D23D9" w:rsidP="0075599A">
            <w:pPr>
              <w:widowControl/>
              <w:autoSpaceDE/>
              <w:autoSpaceDN/>
              <w:adjustRightInd/>
              <w:rPr>
                <w:bCs/>
                <w:sz w:val="22"/>
                <w:szCs w:val="22"/>
              </w:rPr>
            </w:pPr>
            <w:r>
              <w:rPr>
                <w:rFonts w:cs="Arial"/>
                <w:color w:val="000000"/>
                <w:sz w:val="22"/>
                <w:szCs w:val="22"/>
              </w:rPr>
              <w:t>CN 05-007</w:t>
            </w:r>
          </w:p>
        </w:tc>
        <w:tc>
          <w:tcPr>
            <w:tcW w:w="6374" w:type="dxa"/>
            <w:shd w:val="clear" w:color="auto" w:fill="auto"/>
          </w:tcPr>
          <w:p w14:paraId="6A249B96" w14:textId="118819A2" w:rsidR="00072068" w:rsidRPr="00072068" w:rsidRDefault="00072068" w:rsidP="0075599A">
            <w:pPr>
              <w:widowControl/>
              <w:autoSpaceDE/>
              <w:autoSpaceDN/>
              <w:adjustRightInd/>
              <w:rPr>
                <w:bCs/>
                <w:sz w:val="22"/>
                <w:szCs w:val="22"/>
              </w:rPr>
            </w:pPr>
            <w:r w:rsidRPr="00072068">
              <w:rPr>
                <w:rFonts w:cs="Arial"/>
                <w:color w:val="000000"/>
                <w:sz w:val="22"/>
                <w:szCs w:val="22"/>
              </w:rPr>
              <w:t xml:space="preserve">IMC 0609, App F, </w:t>
            </w:r>
            <w:proofErr w:type="spellStart"/>
            <w:r w:rsidRPr="00072068">
              <w:rPr>
                <w:rFonts w:cs="Arial"/>
                <w:color w:val="000000"/>
                <w:sz w:val="22"/>
                <w:szCs w:val="22"/>
              </w:rPr>
              <w:t>Att</w:t>
            </w:r>
            <w:proofErr w:type="spellEnd"/>
            <w:r w:rsidRPr="00072068">
              <w:rPr>
                <w:rFonts w:cs="Arial"/>
                <w:color w:val="000000"/>
                <w:sz w:val="22"/>
                <w:szCs w:val="22"/>
              </w:rPr>
              <w:t xml:space="preserve"> 6 </w:t>
            </w:r>
            <w:r>
              <w:rPr>
                <w:rFonts w:cs="Arial"/>
                <w:color w:val="000000"/>
                <w:sz w:val="22"/>
                <w:szCs w:val="22"/>
              </w:rPr>
              <w:t>“</w:t>
            </w:r>
            <w:r w:rsidRPr="00072068">
              <w:rPr>
                <w:rFonts w:cs="Arial"/>
                <w:color w:val="000000"/>
                <w:sz w:val="22"/>
                <w:szCs w:val="22"/>
              </w:rPr>
              <w:t>Guidance for the Identification of Targets and The</w:t>
            </w:r>
            <w:r>
              <w:rPr>
                <w:rFonts w:cs="Arial"/>
                <w:color w:val="000000"/>
                <w:sz w:val="22"/>
                <w:szCs w:val="22"/>
              </w:rPr>
              <w:t>ir Ignition and Damage Criteria,”</w:t>
            </w:r>
            <w:r w:rsidRPr="00072068">
              <w:rPr>
                <w:rFonts w:cs="Arial"/>
                <w:color w:val="000000"/>
                <w:sz w:val="22"/>
                <w:szCs w:val="22"/>
              </w:rPr>
              <w:t xml:space="preserve"> is revised to provide additional guidance for solid state components.</w:t>
            </w:r>
          </w:p>
        </w:tc>
        <w:tc>
          <w:tcPr>
            <w:tcW w:w="1875" w:type="dxa"/>
            <w:shd w:val="clear" w:color="auto" w:fill="auto"/>
          </w:tcPr>
          <w:p w14:paraId="1971B671" w14:textId="77777777" w:rsidR="00072068" w:rsidRPr="00072068" w:rsidRDefault="00072068" w:rsidP="0075599A">
            <w:pPr>
              <w:widowControl/>
              <w:autoSpaceDE/>
              <w:autoSpaceDN/>
              <w:adjustRightInd/>
              <w:rPr>
                <w:bCs/>
                <w:sz w:val="22"/>
                <w:szCs w:val="22"/>
              </w:rPr>
            </w:pPr>
          </w:p>
        </w:tc>
        <w:tc>
          <w:tcPr>
            <w:tcW w:w="2156" w:type="dxa"/>
            <w:shd w:val="clear" w:color="auto" w:fill="auto"/>
          </w:tcPr>
          <w:p w14:paraId="3A70C493" w14:textId="77777777" w:rsidR="00072068" w:rsidRPr="00072068" w:rsidRDefault="00072068" w:rsidP="0075599A">
            <w:pPr>
              <w:widowControl/>
              <w:autoSpaceDE/>
              <w:autoSpaceDN/>
              <w:adjustRightInd/>
              <w:rPr>
                <w:bCs/>
                <w:sz w:val="22"/>
                <w:szCs w:val="22"/>
              </w:rPr>
            </w:pPr>
          </w:p>
        </w:tc>
      </w:tr>
      <w:tr w:rsidR="00072068" w:rsidRPr="00072068" w14:paraId="3589296F" w14:textId="77777777" w:rsidTr="008F3339">
        <w:trPr>
          <w:cantSplit/>
          <w:jc w:val="center"/>
        </w:trPr>
        <w:tc>
          <w:tcPr>
            <w:tcW w:w="1523" w:type="dxa"/>
            <w:shd w:val="clear" w:color="auto" w:fill="auto"/>
          </w:tcPr>
          <w:p w14:paraId="0112B7F8" w14:textId="77777777" w:rsidR="00072068" w:rsidRPr="00072068" w:rsidRDefault="00072068" w:rsidP="0075599A">
            <w:pPr>
              <w:widowControl/>
              <w:autoSpaceDE/>
              <w:autoSpaceDN/>
              <w:adjustRightInd/>
              <w:rPr>
                <w:bCs/>
                <w:sz w:val="22"/>
                <w:szCs w:val="22"/>
              </w:rPr>
            </w:pPr>
          </w:p>
        </w:tc>
        <w:tc>
          <w:tcPr>
            <w:tcW w:w="1752" w:type="dxa"/>
            <w:shd w:val="clear" w:color="auto" w:fill="auto"/>
          </w:tcPr>
          <w:p w14:paraId="4FAE57D0" w14:textId="77777777" w:rsidR="00072068" w:rsidRDefault="0064122C" w:rsidP="0075599A">
            <w:pPr>
              <w:widowControl/>
              <w:autoSpaceDE/>
              <w:autoSpaceDN/>
              <w:adjustRightInd/>
              <w:rPr>
                <w:bCs/>
                <w:sz w:val="22"/>
                <w:szCs w:val="22"/>
              </w:rPr>
            </w:pPr>
            <w:r>
              <w:rPr>
                <w:bCs/>
                <w:sz w:val="22"/>
                <w:szCs w:val="22"/>
              </w:rPr>
              <w:t>ML17089A423</w:t>
            </w:r>
          </w:p>
          <w:p w14:paraId="6E6B9C47" w14:textId="77777777" w:rsidR="002D23D9" w:rsidRDefault="00602456" w:rsidP="0075599A">
            <w:pPr>
              <w:widowControl/>
              <w:autoSpaceDE/>
              <w:autoSpaceDN/>
              <w:adjustRightInd/>
              <w:rPr>
                <w:bCs/>
                <w:sz w:val="22"/>
                <w:szCs w:val="22"/>
              </w:rPr>
            </w:pPr>
            <w:r>
              <w:rPr>
                <w:bCs/>
                <w:sz w:val="22"/>
                <w:szCs w:val="22"/>
              </w:rPr>
              <w:t>DRAFT</w:t>
            </w:r>
          </w:p>
          <w:p w14:paraId="364FA1DB" w14:textId="4D5B3B0A" w:rsidR="00602456" w:rsidRDefault="00602456" w:rsidP="0075599A">
            <w:pPr>
              <w:widowControl/>
              <w:autoSpaceDE/>
              <w:autoSpaceDN/>
              <w:adjustRightInd/>
              <w:rPr>
                <w:bCs/>
                <w:sz w:val="22"/>
                <w:szCs w:val="22"/>
              </w:rPr>
            </w:pPr>
            <w:r>
              <w:rPr>
                <w:bCs/>
                <w:sz w:val="22"/>
                <w:szCs w:val="22"/>
              </w:rPr>
              <w:t>CN 17-XXX</w:t>
            </w:r>
          </w:p>
          <w:p w14:paraId="16253BD8" w14:textId="1A129DCC" w:rsidR="002D23D9" w:rsidRPr="00072068" w:rsidRDefault="002D23D9" w:rsidP="0075599A">
            <w:pPr>
              <w:widowControl/>
              <w:autoSpaceDE/>
              <w:autoSpaceDN/>
              <w:adjustRightInd/>
              <w:rPr>
                <w:bCs/>
                <w:sz w:val="22"/>
                <w:szCs w:val="22"/>
              </w:rPr>
            </w:pPr>
          </w:p>
        </w:tc>
        <w:tc>
          <w:tcPr>
            <w:tcW w:w="6374" w:type="dxa"/>
            <w:shd w:val="clear" w:color="auto" w:fill="auto"/>
          </w:tcPr>
          <w:p w14:paraId="169E316B" w14:textId="77777777" w:rsidR="00072068" w:rsidRDefault="003B2FD9" w:rsidP="0075599A">
            <w:pPr>
              <w:widowControl/>
              <w:autoSpaceDE/>
              <w:autoSpaceDN/>
              <w:adjustRightInd/>
              <w:rPr>
                <w:bCs/>
                <w:iCs/>
                <w:sz w:val="22"/>
                <w:szCs w:val="22"/>
              </w:rPr>
            </w:pPr>
            <w:r w:rsidRPr="003B2FD9">
              <w:rPr>
                <w:bCs/>
                <w:iCs/>
                <w:sz w:val="22"/>
                <w:szCs w:val="22"/>
              </w:rPr>
              <w:t xml:space="preserve">Revised to reflect changes to the Phase 2 process.  </w:t>
            </w:r>
          </w:p>
          <w:p w14:paraId="4546D1DA" w14:textId="77777777" w:rsidR="004A6B4C" w:rsidRDefault="004A6B4C" w:rsidP="0075599A">
            <w:pPr>
              <w:widowControl/>
              <w:autoSpaceDE/>
              <w:autoSpaceDN/>
              <w:adjustRightInd/>
              <w:rPr>
                <w:bCs/>
                <w:sz w:val="22"/>
                <w:szCs w:val="22"/>
              </w:rPr>
            </w:pPr>
            <w:r w:rsidRPr="004A6B4C">
              <w:rPr>
                <w:bCs/>
                <w:sz w:val="22"/>
                <w:szCs w:val="22"/>
              </w:rPr>
              <w:t>CA Note sent 7/18/17 for information only, ML17191A681.</w:t>
            </w:r>
          </w:p>
          <w:p w14:paraId="2D757E66" w14:textId="335D2DAE" w:rsidR="004A6B4C" w:rsidRPr="00072068" w:rsidRDefault="009A4C80" w:rsidP="0075599A">
            <w:pPr>
              <w:widowControl/>
              <w:autoSpaceDE/>
              <w:autoSpaceDN/>
              <w:adjustRightInd/>
              <w:rPr>
                <w:bCs/>
                <w:sz w:val="22"/>
                <w:szCs w:val="22"/>
              </w:rPr>
            </w:pPr>
            <w:r w:rsidRPr="009A4C80">
              <w:rPr>
                <w:bCs/>
                <w:sz w:val="22"/>
                <w:szCs w:val="22"/>
              </w:rPr>
              <w:t>Issued 10/11/17 as a draft publically available document to allow for public comments.</w:t>
            </w:r>
          </w:p>
        </w:tc>
        <w:tc>
          <w:tcPr>
            <w:tcW w:w="1875" w:type="dxa"/>
            <w:shd w:val="clear" w:color="auto" w:fill="auto"/>
          </w:tcPr>
          <w:p w14:paraId="0F7ED9FC" w14:textId="13D10AE3" w:rsidR="00072068" w:rsidRPr="00072068" w:rsidRDefault="004A6B4C" w:rsidP="0075599A">
            <w:pPr>
              <w:widowControl/>
              <w:autoSpaceDE/>
              <w:autoSpaceDN/>
              <w:adjustRightInd/>
              <w:rPr>
                <w:bCs/>
                <w:sz w:val="22"/>
                <w:szCs w:val="22"/>
              </w:rPr>
            </w:pPr>
            <w:r>
              <w:rPr>
                <w:bCs/>
                <w:sz w:val="22"/>
                <w:szCs w:val="22"/>
              </w:rPr>
              <w:t xml:space="preserve">November 2017 </w:t>
            </w:r>
          </w:p>
        </w:tc>
        <w:tc>
          <w:tcPr>
            <w:tcW w:w="2156" w:type="dxa"/>
            <w:shd w:val="clear" w:color="auto" w:fill="auto"/>
          </w:tcPr>
          <w:p w14:paraId="107D649A" w14:textId="53B21E99" w:rsidR="00072068" w:rsidRPr="00072068" w:rsidRDefault="0064122C" w:rsidP="0075599A">
            <w:pPr>
              <w:widowControl/>
              <w:autoSpaceDE/>
              <w:autoSpaceDN/>
              <w:adjustRightInd/>
              <w:rPr>
                <w:bCs/>
                <w:sz w:val="22"/>
                <w:szCs w:val="22"/>
              </w:rPr>
            </w:pPr>
            <w:r>
              <w:rPr>
                <w:bCs/>
                <w:sz w:val="22"/>
                <w:szCs w:val="22"/>
              </w:rPr>
              <w:t>ML17093A185</w:t>
            </w:r>
          </w:p>
        </w:tc>
      </w:tr>
      <w:tr w:rsidR="009A4C80" w:rsidRPr="00072068" w14:paraId="497E650B" w14:textId="77777777" w:rsidTr="008F3339">
        <w:trPr>
          <w:cantSplit/>
          <w:jc w:val="center"/>
        </w:trPr>
        <w:tc>
          <w:tcPr>
            <w:tcW w:w="1523" w:type="dxa"/>
            <w:shd w:val="clear" w:color="auto" w:fill="auto"/>
          </w:tcPr>
          <w:p w14:paraId="15633CF4" w14:textId="77777777" w:rsidR="009A4C80" w:rsidRPr="00072068" w:rsidRDefault="009A4C80" w:rsidP="0075599A">
            <w:pPr>
              <w:widowControl/>
              <w:autoSpaceDE/>
              <w:autoSpaceDN/>
              <w:adjustRightInd/>
              <w:rPr>
                <w:bCs/>
                <w:sz w:val="22"/>
                <w:szCs w:val="22"/>
              </w:rPr>
            </w:pPr>
          </w:p>
        </w:tc>
        <w:tc>
          <w:tcPr>
            <w:tcW w:w="1752" w:type="dxa"/>
            <w:shd w:val="clear" w:color="auto" w:fill="auto"/>
          </w:tcPr>
          <w:p w14:paraId="77F11E5C" w14:textId="77777777" w:rsidR="009A4C80" w:rsidRDefault="0075599A" w:rsidP="0075599A">
            <w:pPr>
              <w:widowControl/>
              <w:autoSpaceDE/>
              <w:autoSpaceDN/>
              <w:adjustRightInd/>
              <w:rPr>
                <w:bCs/>
                <w:sz w:val="22"/>
                <w:szCs w:val="22"/>
              </w:rPr>
            </w:pPr>
            <w:r w:rsidRPr="0075599A">
              <w:rPr>
                <w:bCs/>
                <w:sz w:val="22"/>
                <w:szCs w:val="22"/>
              </w:rPr>
              <w:t>ML18087A410</w:t>
            </w:r>
          </w:p>
          <w:p w14:paraId="782696AC" w14:textId="0F67DBAF" w:rsidR="0075599A" w:rsidRDefault="007E1D52" w:rsidP="0075599A">
            <w:pPr>
              <w:widowControl/>
              <w:autoSpaceDE/>
              <w:autoSpaceDN/>
              <w:adjustRightInd/>
              <w:rPr>
                <w:bCs/>
                <w:sz w:val="22"/>
                <w:szCs w:val="22"/>
              </w:rPr>
            </w:pPr>
            <w:r>
              <w:rPr>
                <w:bCs/>
                <w:sz w:val="22"/>
                <w:szCs w:val="22"/>
              </w:rPr>
              <w:t>05/02/18</w:t>
            </w:r>
          </w:p>
          <w:p w14:paraId="1B261836" w14:textId="1E638678" w:rsidR="0075599A" w:rsidRDefault="0075599A" w:rsidP="0075599A">
            <w:pPr>
              <w:widowControl/>
              <w:autoSpaceDE/>
              <w:autoSpaceDN/>
              <w:adjustRightInd/>
              <w:rPr>
                <w:bCs/>
                <w:sz w:val="22"/>
                <w:szCs w:val="22"/>
              </w:rPr>
            </w:pPr>
            <w:r>
              <w:rPr>
                <w:bCs/>
                <w:sz w:val="22"/>
                <w:szCs w:val="22"/>
              </w:rPr>
              <w:t>CN 18-</w:t>
            </w:r>
            <w:r w:rsidR="007E1D52">
              <w:rPr>
                <w:bCs/>
                <w:sz w:val="22"/>
                <w:szCs w:val="22"/>
              </w:rPr>
              <w:t>010</w:t>
            </w:r>
          </w:p>
        </w:tc>
        <w:tc>
          <w:tcPr>
            <w:tcW w:w="6374" w:type="dxa"/>
            <w:shd w:val="clear" w:color="auto" w:fill="auto"/>
          </w:tcPr>
          <w:p w14:paraId="1F7B929B" w14:textId="5BDA6E33" w:rsidR="009A4C80" w:rsidRPr="003B2FD9" w:rsidRDefault="009A4C80" w:rsidP="0075599A">
            <w:pPr>
              <w:widowControl/>
              <w:autoSpaceDE/>
              <w:autoSpaceDN/>
              <w:adjustRightInd/>
              <w:rPr>
                <w:bCs/>
                <w:iCs/>
                <w:sz w:val="22"/>
                <w:szCs w:val="22"/>
              </w:rPr>
            </w:pPr>
            <w:r w:rsidRPr="009A4C80">
              <w:rPr>
                <w:bCs/>
                <w:iCs/>
                <w:sz w:val="22"/>
                <w:szCs w:val="22"/>
              </w:rPr>
              <w:t>Draft document revised to incorporate minor public comments and re-issued with new accession number in order to issue as an official revision after receipt of public comments.</w:t>
            </w:r>
          </w:p>
        </w:tc>
        <w:tc>
          <w:tcPr>
            <w:tcW w:w="1875" w:type="dxa"/>
            <w:shd w:val="clear" w:color="auto" w:fill="auto"/>
          </w:tcPr>
          <w:p w14:paraId="62B4069E" w14:textId="5116004F" w:rsidR="009A4C80" w:rsidRDefault="009A4C80" w:rsidP="0075599A">
            <w:pPr>
              <w:widowControl/>
              <w:autoSpaceDE/>
              <w:autoSpaceDN/>
              <w:adjustRightInd/>
              <w:rPr>
                <w:bCs/>
                <w:sz w:val="22"/>
                <w:szCs w:val="22"/>
              </w:rPr>
            </w:pPr>
            <w:r w:rsidRPr="009A4C80">
              <w:rPr>
                <w:bCs/>
                <w:sz w:val="22"/>
                <w:szCs w:val="22"/>
              </w:rPr>
              <w:t>Gap training covering changes to the procedure completed November 2017</w:t>
            </w:r>
          </w:p>
        </w:tc>
        <w:tc>
          <w:tcPr>
            <w:tcW w:w="2156" w:type="dxa"/>
            <w:shd w:val="clear" w:color="auto" w:fill="auto"/>
          </w:tcPr>
          <w:p w14:paraId="2F6ED216" w14:textId="5CDB28EB" w:rsidR="009A4C80" w:rsidRDefault="009A4C80" w:rsidP="0075599A">
            <w:pPr>
              <w:widowControl/>
              <w:autoSpaceDE/>
              <w:autoSpaceDN/>
              <w:adjustRightInd/>
              <w:rPr>
                <w:bCs/>
                <w:sz w:val="22"/>
                <w:szCs w:val="22"/>
              </w:rPr>
            </w:pPr>
            <w:r w:rsidRPr="009A4C80">
              <w:rPr>
                <w:bCs/>
                <w:sz w:val="22"/>
                <w:szCs w:val="22"/>
              </w:rPr>
              <w:t>ML17093A185</w:t>
            </w:r>
          </w:p>
        </w:tc>
      </w:tr>
    </w:tbl>
    <w:p w14:paraId="0053EAFD" w14:textId="28011A50" w:rsidR="006F3BE7" w:rsidRPr="00072068" w:rsidRDefault="006F3BE7" w:rsidP="005D1E9C">
      <w:pPr>
        <w:widowControl/>
        <w:pBdr>
          <w:top w:val="single" w:sz="6" w:space="0" w:color="FFFFFF"/>
          <w:left w:val="single" w:sz="6" w:space="0" w:color="FFFFFF"/>
          <w:bottom w:val="single" w:sz="6" w:space="0" w:color="FFFFFF"/>
          <w:right w:val="single" w:sz="6" w:space="0" w:color="FFFFFF"/>
        </w:pBdr>
        <w:rPr>
          <w:rFonts w:cs="Arial"/>
        </w:rPr>
      </w:pPr>
    </w:p>
    <w:sectPr w:rsidR="006F3BE7" w:rsidRPr="00072068" w:rsidSect="00072068">
      <w:footerReference w:type="default" r:id="rId13"/>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F585E" w14:textId="77777777" w:rsidR="00993AC9" w:rsidRDefault="00993AC9">
      <w:r>
        <w:separator/>
      </w:r>
    </w:p>
  </w:endnote>
  <w:endnote w:type="continuationSeparator" w:id="0">
    <w:p w14:paraId="694DF12F" w14:textId="77777777" w:rsidR="00993AC9" w:rsidRDefault="0099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819C8" w14:textId="77777777" w:rsidR="007D48F6" w:rsidRDefault="007D48F6">
    <w:pPr>
      <w:spacing w:line="915" w:lineRule="exact"/>
    </w:pPr>
  </w:p>
  <w:p w14:paraId="68A1EC10" w14:textId="77777777" w:rsidR="007D48F6" w:rsidRDefault="007D48F6">
    <w:pPr>
      <w:tabs>
        <w:tab w:val="center" w:pos="4680"/>
        <w:tab w:val="right" w:pos="9360"/>
      </w:tabs>
      <w:rPr>
        <w:rFonts w:cs="Arial"/>
        <w:sz w:val="22"/>
        <w:szCs w:val="22"/>
      </w:rPr>
    </w:pPr>
    <w:r>
      <w:rPr>
        <w:rFonts w:cs="Arial"/>
        <w:sz w:val="22"/>
        <w:szCs w:val="22"/>
      </w:rPr>
      <w:t xml:space="preserve">0609, App F, </w:t>
    </w:r>
    <w:proofErr w:type="spellStart"/>
    <w:r>
      <w:rPr>
        <w:rFonts w:cs="Arial"/>
        <w:sz w:val="22"/>
        <w:szCs w:val="22"/>
      </w:rPr>
      <w:t>Att</w:t>
    </w:r>
    <w:proofErr w:type="spellEnd"/>
    <w:r>
      <w:rPr>
        <w:rFonts w:cs="Arial"/>
        <w:sz w:val="22"/>
        <w:szCs w:val="22"/>
      </w:rPr>
      <w:t xml:space="preserve"> 6 </w:t>
    </w:r>
    <w:r>
      <w:rPr>
        <w:rFonts w:cs="Arial"/>
        <w:sz w:val="22"/>
        <w:szCs w:val="22"/>
      </w:rPr>
      <w:tab/>
    </w:r>
    <w:r>
      <w:rPr>
        <w:rFonts w:cs="Arial"/>
        <w:sz w:val="22"/>
        <w:szCs w:val="22"/>
      </w:rPr>
      <w:tab/>
      <w:t>Issue Date: 02/28/05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5888" w14:textId="4F47C546" w:rsidR="00270EAC" w:rsidRPr="00F508B0" w:rsidRDefault="008150B3" w:rsidP="000E6C8F">
    <w:pPr>
      <w:tabs>
        <w:tab w:val="center" w:pos="4680"/>
        <w:tab w:val="right" w:pos="9360"/>
      </w:tabs>
      <w:rPr>
        <w:rFonts w:cs="Arial"/>
        <w:sz w:val="22"/>
        <w:szCs w:val="22"/>
      </w:rPr>
    </w:pPr>
    <w:r>
      <w:rPr>
        <w:rFonts w:cs="Arial"/>
        <w:sz w:val="22"/>
        <w:szCs w:val="22"/>
      </w:rPr>
      <w:t>Issue Date:</w:t>
    </w:r>
    <w:r w:rsidR="007E1D52">
      <w:rPr>
        <w:rFonts w:cs="Arial"/>
        <w:sz w:val="22"/>
        <w:szCs w:val="22"/>
      </w:rPr>
      <w:t xml:space="preserve">  05//02/18</w:t>
    </w:r>
    <w:r w:rsidR="00AB4649">
      <w:rPr>
        <w:rFonts w:cs="Arial"/>
        <w:sz w:val="22"/>
        <w:szCs w:val="22"/>
      </w:rPr>
      <w:tab/>
    </w:r>
    <w:r w:rsidR="00270EAC" w:rsidRPr="00F508B0">
      <w:rPr>
        <w:rStyle w:val="PageNumber"/>
        <w:sz w:val="22"/>
        <w:szCs w:val="22"/>
      </w:rPr>
      <w:fldChar w:fldCharType="begin"/>
    </w:r>
    <w:r w:rsidR="00270EAC" w:rsidRPr="00F508B0">
      <w:rPr>
        <w:rStyle w:val="PageNumber"/>
        <w:sz w:val="22"/>
        <w:szCs w:val="22"/>
      </w:rPr>
      <w:instrText xml:space="preserve"> PAGE </w:instrText>
    </w:r>
    <w:r w:rsidR="00270EAC" w:rsidRPr="00F508B0">
      <w:rPr>
        <w:rStyle w:val="PageNumber"/>
        <w:sz w:val="22"/>
        <w:szCs w:val="22"/>
      </w:rPr>
      <w:fldChar w:fldCharType="separate"/>
    </w:r>
    <w:r w:rsidR="00D36B0B">
      <w:rPr>
        <w:rStyle w:val="PageNumber"/>
        <w:noProof/>
        <w:sz w:val="22"/>
        <w:szCs w:val="22"/>
      </w:rPr>
      <w:t>3</w:t>
    </w:r>
    <w:r w:rsidR="00270EAC" w:rsidRPr="00F508B0">
      <w:rPr>
        <w:rStyle w:val="PageNumber"/>
        <w:sz w:val="22"/>
        <w:szCs w:val="22"/>
      </w:rPr>
      <w:fldChar w:fldCharType="end"/>
    </w:r>
    <w:r w:rsidR="00270EAC" w:rsidRPr="00F508B0">
      <w:rPr>
        <w:rFonts w:cs="Arial"/>
        <w:sz w:val="22"/>
        <w:szCs w:val="22"/>
      </w:rPr>
      <w:tab/>
      <w:t xml:space="preserve">0609 App F </w:t>
    </w:r>
    <w:proofErr w:type="spellStart"/>
    <w:r w:rsidR="00270EAC" w:rsidRPr="00F508B0">
      <w:rPr>
        <w:rFonts w:cs="Arial"/>
        <w:sz w:val="22"/>
        <w:szCs w:val="22"/>
      </w:rPr>
      <w:t>Att</w:t>
    </w:r>
    <w:proofErr w:type="spellEnd"/>
    <w:r w:rsidR="00270EAC" w:rsidRPr="00F508B0">
      <w:rPr>
        <w:rFonts w:cs="Arial"/>
        <w:sz w:val="22"/>
        <w:szCs w:val="22"/>
      </w:rPr>
      <w:t xml:space="preserve"> 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4D2E" w14:textId="53B05DF9" w:rsidR="00072068" w:rsidRPr="00F508B0" w:rsidRDefault="008150B3" w:rsidP="000E6C8F">
    <w:pPr>
      <w:tabs>
        <w:tab w:val="center" w:pos="4680"/>
        <w:tab w:val="right" w:pos="9360"/>
      </w:tabs>
      <w:rPr>
        <w:rFonts w:cs="Arial"/>
        <w:sz w:val="22"/>
        <w:szCs w:val="22"/>
      </w:rPr>
    </w:pPr>
    <w:r>
      <w:rPr>
        <w:rFonts w:cs="Arial"/>
        <w:sz w:val="22"/>
        <w:szCs w:val="22"/>
      </w:rPr>
      <w:t>Issue Date:</w:t>
    </w:r>
    <w:r w:rsidR="00E57D4E">
      <w:rPr>
        <w:rFonts w:cs="Arial"/>
        <w:sz w:val="22"/>
        <w:szCs w:val="22"/>
      </w:rPr>
      <w:t xml:space="preserve">  05/02/18</w:t>
    </w:r>
    <w:r w:rsidR="00072068" w:rsidRPr="00072068">
      <w:rPr>
        <w:rFonts w:cs="Arial"/>
        <w:sz w:val="22"/>
        <w:szCs w:val="22"/>
      </w:rPr>
      <w:ptab w:relativeTo="margin" w:alignment="center" w:leader="none"/>
    </w:r>
    <w:r w:rsidR="00072068">
      <w:rPr>
        <w:rFonts w:cs="Arial"/>
        <w:sz w:val="22"/>
        <w:szCs w:val="22"/>
      </w:rPr>
      <w:t>Att1-</w:t>
    </w:r>
    <w:r w:rsidR="00072068" w:rsidRPr="00072068">
      <w:rPr>
        <w:rFonts w:cs="Arial"/>
        <w:sz w:val="22"/>
        <w:szCs w:val="22"/>
      </w:rPr>
      <w:fldChar w:fldCharType="begin"/>
    </w:r>
    <w:r w:rsidR="00072068" w:rsidRPr="00072068">
      <w:rPr>
        <w:rFonts w:cs="Arial"/>
        <w:sz w:val="22"/>
        <w:szCs w:val="22"/>
      </w:rPr>
      <w:instrText xml:space="preserve"> PAGE   \* MERGEFORMAT </w:instrText>
    </w:r>
    <w:r w:rsidR="00072068" w:rsidRPr="00072068">
      <w:rPr>
        <w:rFonts w:cs="Arial"/>
        <w:sz w:val="22"/>
        <w:szCs w:val="22"/>
      </w:rPr>
      <w:fldChar w:fldCharType="separate"/>
    </w:r>
    <w:r w:rsidR="00D36B0B">
      <w:rPr>
        <w:rFonts w:cs="Arial"/>
        <w:noProof/>
        <w:sz w:val="22"/>
        <w:szCs w:val="22"/>
      </w:rPr>
      <w:t>1</w:t>
    </w:r>
    <w:r w:rsidR="00072068" w:rsidRPr="00072068">
      <w:rPr>
        <w:rFonts w:cs="Arial"/>
        <w:noProof/>
        <w:sz w:val="22"/>
        <w:szCs w:val="22"/>
      </w:rPr>
      <w:fldChar w:fldCharType="end"/>
    </w:r>
    <w:r w:rsidR="00072068" w:rsidRPr="00072068">
      <w:rPr>
        <w:rFonts w:cs="Arial"/>
        <w:sz w:val="22"/>
        <w:szCs w:val="22"/>
      </w:rPr>
      <w:ptab w:relativeTo="margin" w:alignment="right" w:leader="none"/>
    </w:r>
    <w:r w:rsidR="00072068" w:rsidRPr="00072068">
      <w:rPr>
        <w:rFonts w:cs="Arial"/>
        <w:sz w:val="22"/>
        <w:szCs w:val="22"/>
      </w:rPr>
      <w:t xml:space="preserve">0609 App F </w:t>
    </w:r>
    <w:proofErr w:type="spellStart"/>
    <w:r w:rsidR="00072068" w:rsidRPr="00072068">
      <w:rPr>
        <w:rFonts w:cs="Arial"/>
        <w:sz w:val="22"/>
        <w:szCs w:val="22"/>
      </w:rPr>
      <w:t>Att</w:t>
    </w:r>
    <w:proofErr w:type="spellEnd"/>
    <w:r w:rsidR="00072068" w:rsidRPr="00072068">
      <w:rPr>
        <w:rFonts w:cs="Arial"/>
        <w:sz w:val="22"/>
        <w:szCs w:val="22"/>
      </w:rPr>
      <w:t xml:space="preserve">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3A12A" w14:textId="77777777" w:rsidR="00993AC9" w:rsidRDefault="00993AC9">
      <w:r>
        <w:separator/>
      </w:r>
    </w:p>
  </w:footnote>
  <w:footnote w:type="continuationSeparator" w:id="0">
    <w:p w14:paraId="2D51AD45" w14:textId="77777777" w:rsidR="00993AC9" w:rsidRDefault="00993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E4A17"/>
    <w:multiLevelType w:val="hybridMultilevel"/>
    <w:tmpl w:val="1FA2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16BC1"/>
    <w:multiLevelType w:val="hybridMultilevel"/>
    <w:tmpl w:val="81180752"/>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E7"/>
    <w:rsid w:val="00024A2A"/>
    <w:rsid w:val="0004238F"/>
    <w:rsid w:val="00072068"/>
    <w:rsid w:val="000E6C8F"/>
    <w:rsid w:val="000E7C35"/>
    <w:rsid w:val="00113A5A"/>
    <w:rsid w:val="00173CF9"/>
    <w:rsid w:val="00184496"/>
    <w:rsid w:val="001D3C61"/>
    <w:rsid w:val="00201AF2"/>
    <w:rsid w:val="00270EAC"/>
    <w:rsid w:val="00271F10"/>
    <w:rsid w:val="002D23D9"/>
    <w:rsid w:val="002D685C"/>
    <w:rsid w:val="002E1F2A"/>
    <w:rsid w:val="00310349"/>
    <w:rsid w:val="003417F1"/>
    <w:rsid w:val="003B2FD9"/>
    <w:rsid w:val="00422A3C"/>
    <w:rsid w:val="00433669"/>
    <w:rsid w:val="00474C9E"/>
    <w:rsid w:val="00481AE7"/>
    <w:rsid w:val="004A6B4C"/>
    <w:rsid w:val="004B6393"/>
    <w:rsid w:val="004E7D3B"/>
    <w:rsid w:val="00521BF6"/>
    <w:rsid w:val="00541C13"/>
    <w:rsid w:val="00580C14"/>
    <w:rsid w:val="005D1E9C"/>
    <w:rsid w:val="00602456"/>
    <w:rsid w:val="0064122C"/>
    <w:rsid w:val="0069199E"/>
    <w:rsid w:val="006C08F0"/>
    <w:rsid w:val="006D11E7"/>
    <w:rsid w:val="006F3BE7"/>
    <w:rsid w:val="0070688B"/>
    <w:rsid w:val="0075599A"/>
    <w:rsid w:val="007715AE"/>
    <w:rsid w:val="007D48F6"/>
    <w:rsid w:val="007E1D52"/>
    <w:rsid w:val="008150B3"/>
    <w:rsid w:val="00827281"/>
    <w:rsid w:val="008313D9"/>
    <w:rsid w:val="00843829"/>
    <w:rsid w:val="00851461"/>
    <w:rsid w:val="00856786"/>
    <w:rsid w:val="00874FB7"/>
    <w:rsid w:val="00896CA7"/>
    <w:rsid w:val="008F3339"/>
    <w:rsid w:val="00940CB2"/>
    <w:rsid w:val="00993AC9"/>
    <w:rsid w:val="009A4C80"/>
    <w:rsid w:val="00A13205"/>
    <w:rsid w:val="00A84BB4"/>
    <w:rsid w:val="00AB4649"/>
    <w:rsid w:val="00B07BFA"/>
    <w:rsid w:val="00B17949"/>
    <w:rsid w:val="00B34DA7"/>
    <w:rsid w:val="00B60033"/>
    <w:rsid w:val="00BD2041"/>
    <w:rsid w:val="00BE472A"/>
    <w:rsid w:val="00C34146"/>
    <w:rsid w:val="00C84B08"/>
    <w:rsid w:val="00C84CFE"/>
    <w:rsid w:val="00CC629C"/>
    <w:rsid w:val="00D10274"/>
    <w:rsid w:val="00D15DF1"/>
    <w:rsid w:val="00D36B0B"/>
    <w:rsid w:val="00DE07C4"/>
    <w:rsid w:val="00DF017A"/>
    <w:rsid w:val="00E40B55"/>
    <w:rsid w:val="00E57D4E"/>
    <w:rsid w:val="00E8359A"/>
    <w:rsid w:val="00EB7725"/>
    <w:rsid w:val="00F508B0"/>
    <w:rsid w:val="00F731AA"/>
    <w:rsid w:val="00FC121B"/>
    <w:rsid w:val="00FD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230E069"/>
  <w15:docId w15:val="{D9455AA9-E0EF-4F30-AB51-B824B094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F508B0"/>
    <w:pPr>
      <w:tabs>
        <w:tab w:val="center" w:pos="4320"/>
        <w:tab w:val="right" w:pos="8640"/>
      </w:tabs>
    </w:pPr>
  </w:style>
  <w:style w:type="paragraph" w:styleId="Footer">
    <w:name w:val="footer"/>
    <w:basedOn w:val="Normal"/>
    <w:rsid w:val="00F508B0"/>
    <w:pPr>
      <w:tabs>
        <w:tab w:val="center" w:pos="4320"/>
        <w:tab w:val="right" w:pos="8640"/>
      </w:tabs>
    </w:pPr>
  </w:style>
  <w:style w:type="character" w:styleId="PageNumber">
    <w:name w:val="page number"/>
    <w:basedOn w:val="DefaultParagraphFont"/>
    <w:rsid w:val="00F508B0"/>
  </w:style>
  <w:style w:type="paragraph" w:styleId="ListParagraph">
    <w:name w:val="List Paragraph"/>
    <w:basedOn w:val="Normal"/>
    <w:uiPriority w:val="34"/>
    <w:qFormat/>
    <w:rsid w:val="00B60033"/>
    <w:pPr>
      <w:ind w:left="720"/>
      <w:contextualSpacing/>
    </w:pPr>
  </w:style>
  <w:style w:type="paragraph" w:styleId="BalloonText">
    <w:name w:val="Balloon Text"/>
    <w:basedOn w:val="Normal"/>
    <w:link w:val="BalloonTextChar"/>
    <w:rsid w:val="00B60033"/>
    <w:rPr>
      <w:rFonts w:ascii="Tahoma" w:hAnsi="Tahoma" w:cs="Tahoma"/>
      <w:sz w:val="16"/>
      <w:szCs w:val="16"/>
    </w:rPr>
  </w:style>
  <w:style w:type="character" w:customStyle="1" w:styleId="BalloonTextChar">
    <w:name w:val="Balloon Text Char"/>
    <w:basedOn w:val="DefaultParagraphFont"/>
    <w:link w:val="BalloonText"/>
    <w:rsid w:val="00B60033"/>
    <w:rPr>
      <w:rFonts w:ascii="Tahoma" w:hAnsi="Tahoma" w:cs="Tahoma"/>
      <w:sz w:val="16"/>
      <w:szCs w:val="16"/>
    </w:rPr>
  </w:style>
  <w:style w:type="character" w:styleId="CommentReference">
    <w:name w:val="annotation reference"/>
    <w:basedOn w:val="DefaultParagraphFont"/>
    <w:rsid w:val="00BD2041"/>
    <w:rPr>
      <w:sz w:val="16"/>
      <w:szCs w:val="16"/>
    </w:rPr>
  </w:style>
  <w:style w:type="paragraph" w:styleId="CommentText">
    <w:name w:val="annotation text"/>
    <w:basedOn w:val="Normal"/>
    <w:link w:val="CommentTextChar"/>
    <w:rsid w:val="00BD2041"/>
    <w:rPr>
      <w:sz w:val="20"/>
      <w:szCs w:val="20"/>
    </w:rPr>
  </w:style>
  <w:style w:type="character" w:customStyle="1" w:styleId="CommentTextChar">
    <w:name w:val="Comment Text Char"/>
    <w:basedOn w:val="DefaultParagraphFont"/>
    <w:link w:val="CommentText"/>
    <w:rsid w:val="00BD2041"/>
    <w:rPr>
      <w:rFonts w:ascii="Arial" w:hAnsi="Arial"/>
    </w:rPr>
  </w:style>
  <w:style w:type="paragraph" w:styleId="CommentSubject">
    <w:name w:val="annotation subject"/>
    <w:basedOn w:val="CommentText"/>
    <w:next w:val="CommentText"/>
    <w:link w:val="CommentSubjectChar"/>
    <w:rsid w:val="00BD2041"/>
    <w:rPr>
      <w:b/>
      <w:bCs/>
    </w:rPr>
  </w:style>
  <w:style w:type="character" w:customStyle="1" w:styleId="CommentSubjectChar">
    <w:name w:val="Comment Subject Char"/>
    <w:basedOn w:val="CommentTextChar"/>
    <w:link w:val="CommentSubject"/>
    <w:rsid w:val="00BD2041"/>
    <w:rPr>
      <w:rFonts w:ascii="Arial" w:hAnsi="Arial"/>
      <w:b/>
      <w:bCs/>
    </w:rPr>
  </w:style>
  <w:style w:type="paragraph" w:styleId="Caption">
    <w:name w:val="caption"/>
    <w:basedOn w:val="Normal"/>
    <w:next w:val="Normal"/>
    <w:unhideWhenUsed/>
    <w:qFormat/>
    <w:rsid w:val="001D3C6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Guidance for the ID of Targets and their Ignition and Damage Criteria</Document_x0020_Name>
    <Comment_x0020_Resolution xmlns="f85d8686-16b3-4c45-ab9c-cbddf1abf031">
      <Url>https://adamsxt.nrc.gov/AdamsXT/content/downloadContent.faces?objectStoreName=MainLibrary&amp;vsId=%7b79DB05B4-C0F7-47E7-94EA-6ABA53AA6C0E%7d&amp;ForceBrowserDownloadMgrPrompt=false</Url>
      <Description>ML17093A186</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Props1.xml><?xml version="1.0" encoding="utf-8"?>
<ds:datastoreItem xmlns:ds="http://schemas.openxmlformats.org/officeDocument/2006/customXml" ds:itemID="{E1CE0923-5F57-4767-A1A4-87DB6F9A2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DD89F-8639-46A4-8A51-682CD9E9A2FD}">
  <ds:schemaRefs>
    <ds:schemaRef ds:uri="http://schemas.microsoft.com/sharepoint/v3/contenttype/forms"/>
  </ds:schemaRefs>
</ds:datastoreItem>
</file>

<file path=customXml/itemProps3.xml><?xml version="1.0" encoding="utf-8"?>
<ds:datastoreItem xmlns:ds="http://schemas.openxmlformats.org/officeDocument/2006/customXml" ds:itemID="{03040D5C-D970-4A94-8EEF-67AB1BFB9AB4}">
  <ds:schemaRefs>
    <ds:schemaRef ds:uri="http://schemas.microsoft.com/office/2006/metadata/properties"/>
    <ds:schemaRef ds:uri="http://schemas.microsoft.com/office/infopath/2007/PartnerControls"/>
    <ds:schemaRef ds:uri="f85d8686-16b3-4c45-ab9c-cbddf1abf03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IMC 0609 App F Att 6</vt:lpstr>
    </vt:vector>
  </TitlesOfParts>
  <Company>SwRI</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 Att 6</dc:title>
  <dc:creator>Document Conversion</dc:creator>
  <cp:lastModifiedBy>Curran, Bridget</cp:lastModifiedBy>
  <cp:revision>3</cp:revision>
  <cp:lastPrinted>2018-05-01T15:35:00Z</cp:lastPrinted>
  <dcterms:created xsi:type="dcterms:W3CDTF">2018-05-01T15:34:00Z</dcterms:created>
  <dcterms:modified xsi:type="dcterms:W3CDTF">2018-05-01T15:35:00Z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