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C2324AA" w14:textId="32DFE03C" w:rsidR="00BB1CD3" w:rsidRDefault="008A38FE" w:rsidP="00FD5075">
      <w:pPr>
        <w:jc w:val="center"/>
        <w:rPr>
          <w:b/>
          <w:sz w:val="38"/>
          <w:szCs w:val="38"/>
        </w:rPr>
      </w:pPr>
      <w:r>
        <w:rPr>
          <w:b/>
          <w:noProof/>
          <w:sz w:val="38"/>
          <w:szCs w:val="38"/>
        </w:rPr>
        <mc:AlternateContent>
          <mc:Choice Requires="wps">
            <w:drawing>
              <wp:anchor distT="0" distB="0" distL="114300" distR="114300" simplePos="0" relativeHeight="251657728" behindDoc="0" locked="0" layoutInCell="1" allowOverlap="1" wp14:anchorId="34AA1F35" wp14:editId="7D7BFC08">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5F57D" w14:textId="77777777" w:rsidR="00B43D79" w:rsidRPr="00C15D52" w:rsidRDefault="00B43D79" w:rsidP="00BB1CD3">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A1F35"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1B35F57D" w14:textId="77777777" w:rsidR="00B43D79" w:rsidRPr="00C15D52" w:rsidRDefault="00B43D79" w:rsidP="00BB1CD3">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00BB1CD3" w:rsidRPr="00B74AF9">
        <w:rPr>
          <w:b/>
          <w:sz w:val="38"/>
          <w:szCs w:val="38"/>
        </w:rPr>
        <w:t>NRC INSPECTION MANUAL</w:t>
      </w:r>
    </w:p>
    <w:p w14:paraId="51AA2281" w14:textId="77777777" w:rsidR="00D56DDF" w:rsidRPr="00D56DDF" w:rsidRDefault="00D56DDF" w:rsidP="00FD5075">
      <w:pPr>
        <w:jc w:val="center"/>
        <w:rPr>
          <w:szCs w:val="22"/>
        </w:rPr>
      </w:pPr>
    </w:p>
    <w:p w14:paraId="4B426D84" w14:textId="52204946" w:rsidR="00BB1CD3" w:rsidRPr="00935BDE" w:rsidRDefault="0002408C" w:rsidP="00FD5075">
      <w:pPr>
        <w:pBdr>
          <w:top w:val="single" w:sz="4" w:space="1" w:color="auto"/>
          <w:bottom w:val="single" w:sz="4" w:space="1" w:color="auto"/>
        </w:pBdr>
        <w:jc w:val="center"/>
      </w:pPr>
      <w:r>
        <w:t xml:space="preserve">INSPECTION </w:t>
      </w:r>
      <w:r w:rsidR="00BB1CD3" w:rsidRPr="00935BDE">
        <w:t xml:space="preserve">MANUAL CHAPTER </w:t>
      </w:r>
      <w:r w:rsidR="009C6B17" w:rsidRPr="00935BDE">
        <w:t>0</w:t>
      </w:r>
      <w:r w:rsidR="009C6B17">
        <w:t>3</w:t>
      </w:r>
      <w:r w:rsidR="009C6B17" w:rsidRPr="00935BDE">
        <w:t>0</w:t>
      </w:r>
      <w:r w:rsidR="009C6B17">
        <w:t>8 ATTACHMENT 3</w:t>
      </w:r>
      <w:r w:rsidR="009C6B17" w:rsidRPr="00935BDE">
        <w:t xml:space="preserve"> </w:t>
      </w:r>
      <w:r w:rsidR="00BB1CD3" w:rsidRPr="00935BDE">
        <w:t>APPENDIX F</w:t>
      </w:r>
    </w:p>
    <w:p w14:paraId="4355865E" w14:textId="294E01D0" w:rsidR="00BB1CD3" w:rsidRDefault="00BB1CD3" w:rsidP="00FD5075">
      <w:pPr>
        <w:jc w:val="both"/>
      </w:pPr>
    </w:p>
    <w:p w14:paraId="30A8622E" w14:textId="77777777" w:rsidR="00D56DDF" w:rsidRDefault="00D56DDF" w:rsidP="00FD5075">
      <w:pPr>
        <w:jc w:val="both"/>
      </w:pPr>
    </w:p>
    <w:p w14:paraId="0D4DF33F" w14:textId="77777777" w:rsidR="009C6B17" w:rsidRPr="00C70CAC" w:rsidRDefault="009C6B17" w:rsidP="00FD5075">
      <w:pPr>
        <w:widowControl/>
        <w:jc w:val="center"/>
        <w:rPr>
          <w:rFonts w:cs="Arial"/>
        </w:rPr>
      </w:pPr>
      <w:r w:rsidRPr="00C70CAC">
        <w:rPr>
          <w:rFonts w:cs="Arial"/>
        </w:rPr>
        <w:t>TECHNICAL BASIS</w:t>
      </w:r>
    </w:p>
    <w:p w14:paraId="52C47F8E" w14:textId="77777777" w:rsidR="009C6B17" w:rsidRPr="00C70CAC" w:rsidRDefault="009C6B17" w:rsidP="00FD5075">
      <w:pPr>
        <w:widowControl/>
        <w:jc w:val="center"/>
        <w:rPr>
          <w:rFonts w:cs="Arial"/>
        </w:rPr>
      </w:pPr>
      <w:r w:rsidRPr="00C70CAC">
        <w:rPr>
          <w:rFonts w:cs="Arial"/>
        </w:rPr>
        <w:t>FIRE PROTECTION SIGNIFICANCE DETERMINATION PROCESS</w:t>
      </w:r>
    </w:p>
    <w:p w14:paraId="575E3F2B" w14:textId="0BA6571E" w:rsidR="009C6B17" w:rsidRPr="00C70CAC" w:rsidRDefault="009C6B17" w:rsidP="00FD5075">
      <w:pPr>
        <w:widowControl/>
        <w:jc w:val="center"/>
        <w:rPr>
          <w:rFonts w:cs="Arial"/>
        </w:rPr>
      </w:pPr>
      <w:r w:rsidRPr="00C70CAC">
        <w:rPr>
          <w:rFonts w:cs="Arial"/>
        </w:rPr>
        <w:t xml:space="preserve">(SUPPLEMENTAL GUIDANCE FOR IMPLEMENTING IMC 0609, </w:t>
      </w:r>
      <w:r w:rsidR="00D56DDF">
        <w:rPr>
          <w:rFonts w:cs="Arial"/>
        </w:rPr>
        <w:t>APPENDIX</w:t>
      </w:r>
      <w:r w:rsidRPr="00C70CAC">
        <w:rPr>
          <w:rFonts w:cs="Arial"/>
        </w:rPr>
        <w:t xml:space="preserve"> F)</w:t>
      </w:r>
    </w:p>
    <w:p w14:paraId="3BE669DC" w14:textId="4DFB49DC" w:rsidR="009C6B17" w:rsidRDefault="009C6B17" w:rsidP="00FD5075">
      <w:pPr>
        <w:widowControl/>
        <w:jc w:val="center"/>
        <w:rPr>
          <w:rFonts w:cs="Arial"/>
        </w:rPr>
      </w:pPr>
      <w:r w:rsidRPr="00C70CAC">
        <w:rPr>
          <w:rFonts w:cs="Arial"/>
        </w:rPr>
        <w:t>AT POWER OPERATIONS</w:t>
      </w:r>
    </w:p>
    <w:p w14:paraId="3C4D4B4C" w14:textId="2EDD44A0" w:rsidR="00BF4543" w:rsidRDefault="00BF4543" w:rsidP="00FD5075">
      <w:pPr>
        <w:widowControl/>
        <w:jc w:val="center"/>
        <w:rPr>
          <w:rFonts w:cs="Arial"/>
        </w:rPr>
      </w:pPr>
    </w:p>
    <w:p w14:paraId="799E6831" w14:textId="5E1A80F8" w:rsidR="00BF4543" w:rsidRDefault="00BF4543" w:rsidP="00FD5075">
      <w:pPr>
        <w:widowControl/>
        <w:jc w:val="center"/>
        <w:rPr>
          <w:rFonts w:cs="Arial"/>
        </w:rPr>
      </w:pPr>
    </w:p>
    <w:p w14:paraId="0A8AAD4F" w14:textId="77777777" w:rsidR="00616F0C" w:rsidRPr="00C70CAC" w:rsidRDefault="00616F0C" w:rsidP="00FD5075">
      <w:pPr>
        <w:widowControl/>
        <w:jc w:val="center"/>
        <w:rPr>
          <w:rFonts w:cs="Arial"/>
        </w:rPr>
      </w:pPr>
    </w:p>
    <w:p w14:paraId="7D4D341F" w14:textId="77777777" w:rsidR="00616F0C" w:rsidRDefault="00616F0C" w:rsidP="00FD5075">
      <w:pPr>
        <w:widowControl/>
        <w:autoSpaceDE/>
        <w:autoSpaceDN/>
        <w:adjustRightInd/>
        <w:rPr>
          <w:rFonts w:cs="Arial"/>
          <w:szCs w:val="22"/>
        </w:rPr>
        <w:sectPr w:rsidR="00616F0C" w:rsidSect="009B3736">
          <w:footerReference w:type="even" r:id="rId11"/>
          <w:footerReference w:type="default" r:id="rId12"/>
          <w:pgSz w:w="12240" w:h="15840" w:code="1"/>
          <w:pgMar w:top="1440" w:right="1440" w:bottom="1440" w:left="1440" w:header="720" w:footer="720" w:gutter="0"/>
          <w:pgNumType w:fmt="lowerRoman" w:start="1"/>
          <w:cols w:space="720"/>
          <w:noEndnote/>
          <w:titlePg/>
          <w:docGrid w:linePitch="299"/>
        </w:sectPr>
      </w:pPr>
    </w:p>
    <w:p w14:paraId="26812C38" w14:textId="18E35D0A" w:rsidR="005504D8" w:rsidRPr="003D25C3" w:rsidRDefault="001A51C5" w:rsidP="00B43D79">
      <w:pPr>
        <w:tabs>
          <w:tab w:val="left" w:pos="360"/>
        </w:tabs>
        <w:jc w:val="center"/>
        <w:rPr>
          <w:rFonts w:cs="Arial"/>
        </w:rPr>
      </w:pPr>
      <w:r w:rsidRPr="003D25C3">
        <w:rPr>
          <w:rFonts w:cs="Arial"/>
        </w:rPr>
        <w:lastRenderedPageBreak/>
        <w:t>TABLE OF CONTENTS</w:t>
      </w:r>
    </w:p>
    <w:p w14:paraId="00C2894F" w14:textId="468AD229" w:rsidR="00B27F2A" w:rsidRDefault="00B27F2A" w:rsidP="00C51E30">
      <w:pPr>
        <w:rPr>
          <w:rFonts w:cs="Arial"/>
        </w:rPr>
      </w:pPr>
    </w:p>
    <w:p w14:paraId="509EEA99" w14:textId="77777777" w:rsidR="00470D7C" w:rsidRDefault="00FF78ED">
      <w:pPr>
        <w:pStyle w:val="TOC1"/>
        <w:rPr>
          <w:rFonts w:asciiTheme="minorHAnsi" w:eastAsiaTheme="minorEastAsia" w:hAnsiTheme="minorHAnsi" w:cstheme="minorBidi"/>
          <w:noProof/>
          <w:szCs w:val="22"/>
        </w:rPr>
      </w:pPr>
      <w:r>
        <w:rPr>
          <w:rFonts w:cs="Arial"/>
        </w:rPr>
        <w:fldChar w:fldCharType="begin"/>
      </w:r>
      <w:r>
        <w:rPr>
          <w:rFonts w:cs="Arial"/>
        </w:rPr>
        <w:instrText xml:space="preserve"> TOC \o "1-3" \h \z \u </w:instrText>
      </w:r>
      <w:r>
        <w:rPr>
          <w:rFonts w:cs="Arial"/>
        </w:rPr>
        <w:fldChar w:fldCharType="separate"/>
      </w:r>
      <w:hyperlink w:anchor="_Toc511060835" w:history="1">
        <w:r w:rsidR="00470D7C" w:rsidRPr="00302671">
          <w:rPr>
            <w:rStyle w:val="Hyperlink"/>
            <w:noProof/>
          </w:rPr>
          <w:t>0308.03F-01</w:t>
        </w:r>
        <w:r w:rsidR="00470D7C">
          <w:rPr>
            <w:rFonts w:asciiTheme="minorHAnsi" w:eastAsiaTheme="minorEastAsia" w:hAnsiTheme="minorHAnsi" w:cstheme="minorBidi"/>
            <w:noProof/>
            <w:szCs w:val="22"/>
          </w:rPr>
          <w:tab/>
        </w:r>
        <w:r w:rsidR="00470D7C" w:rsidRPr="00302671">
          <w:rPr>
            <w:rStyle w:val="Hyperlink"/>
            <w:noProof/>
          </w:rPr>
          <w:t>ENTRY CONDITIONS AND APPLICABILITY</w:t>
        </w:r>
        <w:r w:rsidR="00470D7C">
          <w:rPr>
            <w:noProof/>
            <w:webHidden/>
          </w:rPr>
          <w:tab/>
        </w:r>
        <w:r w:rsidR="00470D7C">
          <w:rPr>
            <w:noProof/>
            <w:webHidden/>
          </w:rPr>
          <w:fldChar w:fldCharType="begin"/>
        </w:r>
        <w:r w:rsidR="00470D7C">
          <w:rPr>
            <w:noProof/>
            <w:webHidden/>
          </w:rPr>
          <w:instrText xml:space="preserve"> PAGEREF _Toc511060835 \h </w:instrText>
        </w:r>
        <w:r w:rsidR="00470D7C">
          <w:rPr>
            <w:noProof/>
            <w:webHidden/>
          </w:rPr>
        </w:r>
        <w:r w:rsidR="00470D7C">
          <w:rPr>
            <w:noProof/>
            <w:webHidden/>
          </w:rPr>
          <w:fldChar w:fldCharType="separate"/>
        </w:r>
        <w:r w:rsidR="00267057">
          <w:rPr>
            <w:noProof/>
            <w:webHidden/>
          </w:rPr>
          <w:t>1</w:t>
        </w:r>
        <w:r w:rsidR="00470D7C">
          <w:rPr>
            <w:noProof/>
            <w:webHidden/>
          </w:rPr>
          <w:fldChar w:fldCharType="end"/>
        </w:r>
      </w:hyperlink>
    </w:p>
    <w:p w14:paraId="7B9ABF14" w14:textId="77777777" w:rsidR="00470D7C" w:rsidRDefault="00B9252A">
      <w:pPr>
        <w:pStyle w:val="TOC2"/>
        <w:tabs>
          <w:tab w:val="left" w:pos="2160"/>
        </w:tabs>
        <w:rPr>
          <w:rFonts w:asciiTheme="minorHAnsi" w:eastAsiaTheme="minorEastAsia" w:hAnsiTheme="minorHAnsi" w:cstheme="minorBidi"/>
          <w:noProof/>
          <w:szCs w:val="22"/>
        </w:rPr>
      </w:pPr>
      <w:hyperlink w:anchor="_Toc511060836" w:history="1">
        <w:r w:rsidR="00470D7C" w:rsidRPr="00302671">
          <w:rPr>
            <w:rStyle w:val="Hyperlink"/>
            <w:noProof/>
          </w:rPr>
          <w:t>01.01</w:t>
        </w:r>
        <w:r w:rsidR="00470D7C">
          <w:rPr>
            <w:rFonts w:asciiTheme="minorHAnsi" w:eastAsiaTheme="minorEastAsia" w:hAnsiTheme="minorHAnsi" w:cstheme="minorBidi"/>
            <w:noProof/>
            <w:szCs w:val="22"/>
          </w:rPr>
          <w:tab/>
        </w:r>
        <w:r w:rsidR="00470D7C" w:rsidRPr="00302671">
          <w:rPr>
            <w:rStyle w:val="Hyperlink"/>
            <w:noProof/>
          </w:rPr>
          <w:t>Entry Conditions</w:t>
        </w:r>
        <w:r w:rsidR="00470D7C">
          <w:rPr>
            <w:noProof/>
            <w:webHidden/>
          </w:rPr>
          <w:tab/>
        </w:r>
        <w:r w:rsidR="00470D7C">
          <w:rPr>
            <w:noProof/>
            <w:webHidden/>
          </w:rPr>
          <w:fldChar w:fldCharType="begin"/>
        </w:r>
        <w:r w:rsidR="00470D7C">
          <w:rPr>
            <w:noProof/>
            <w:webHidden/>
          </w:rPr>
          <w:instrText xml:space="preserve"> PAGEREF _Toc511060836 \h </w:instrText>
        </w:r>
        <w:r w:rsidR="00470D7C">
          <w:rPr>
            <w:noProof/>
            <w:webHidden/>
          </w:rPr>
        </w:r>
        <w:r w:rsidR="00470D7C">
          <w:rPr>
            <w:noProof/>
            <w:webHidden/>
          </w:rPr>
          <w:fldChar w:fldCharType="separate"/>
        </w:r>
        <w:r w:rsidR="00267057">
          <w:rPr>
            <w:noProof/>
            <w:webHidden/>
          </w:rPr>
          <w:t>2</w:t>
        </w:r>
        <w:r w:rsidR="00470D7C">
          <w:rPr>
            <w:noProof/>
            <w:webHidden/>
          </w:rPr>
          <w:fldChar w:fldCharType="end"/>
        </w:r>
      </w:hyperlink>
    </w:p>
    <w:p w14:paraId="7AA16EC1" w14:textId="77777777" w:rsidR="00470D7C" w:rsidRDefault="00B9252A">
      <w:pPr>
        <w:pStyle w:val="TOC2"/>
        <w:tabs>
          <w:tab w:val="left" w:pos="2160"/>
        </w:tabs>
        <w:rPr>
          <w:rFonts w:asciiTheme="minorHAnsi" w:eastAsiaTheme="minorEastAsia" w:hAnsiTheme="minorHAnsi" w:cstheme="minorBidi"/>
          <w:noProof/>
          <w:szCs w:val="22"/>
        </w:rPr>
      </w:pPr>
      <w:hyperlink w:anchor="_Toc511060837" w:history="1">
        <w:r w:rsidR="00470D7C" w:rsidRPr="00302671">
          <w:rPr>
            <w:rStyle w:val="Hyperlink"/>
            <w:noProof/>
          </w:rPr>
          <w:t>01.02</w:t>
        </w:r>
        <w:r w:rsidR="00470D7C">
          <w:rPr>
            <w:rFonts w:asciiTheme="minorHAnsi" w:eastAsiaTheme="minorEastAsia" w:hAnsiTheme="minorHAnsi" w:cstheme="minorBidi"/>
            <w:noProof/>
            <w:szCs w:val="22"/>
          </w:rPr>
          <w:tab/>
        </w:r>
        <w:r w:rsidR="00470D7C" w:rsidRPr="00302671">
          <w:rPr>
            <w:rStyle w:val="Hyperlink"/>
            <w:noProof/>
          </w:rPr>
          <w:t>Applicability</w:t>
        </w:r>
        <w:r w:rsidR="00470D7C">
          <w:rPr>
            <w:noProof/>
            <w:webHidden/>
          </w:rPr>
          <w:tab/>
        </w:r>
        <w:r w:rsidR="00470D7C">
          <w:rPr>
            <w:noProof/>
            <w:webHidden/>
          </w:rPr>
          <w:fldChar w:fldCharType="begin"/>
        </w:r>
        <w:r w:rsidR="00470D7C">
          <w:rPr>
            <w:noProof/>
            <w:webHidden/>
          </w:rPr>
          <w:instrText xml:space="preserve"> PAGEREF _Toc511060837 \h </w:instrText>
        </w:r>
        <w:r w:rsidR="00470D7C">
          <w:rPr>
            <w:noProof/>
            <w:webHidden/>
          </w:rPr>
        </w:r>
        <w:r w:rsidR="00470D7C">
          <w:rPr>
            <w:noProof/>
            <w:webHidden/>
          </w:rPr>
          <w:fldChar w:fldCharType="separate"/>
        </w:r>
        <w:r w:rsidR="00267057">
          <w:rPr>
            <w:noProof/>
            <w:webHidden/>
          </w:rPr>
          <w:t>2</w:t>
        </w:r>
        <w:r w:rsidR="00470D7C">
          <w:rPr>
            <w:noProof/>
            <w:webHidden/>
          </w:rPr>
          <w:fldChar w:fldCharType="end"/>
        </w:r>
      </w:hyperlink>
    </w:p>
    <w:p w14:paraId="1E22D222" w14:textId="77777777" w:rsidR="00470D7C" w:rsidRDefault="00B9252A">
      <w:pPr>
        <w:pStyle w:val="TOC1"/>
        <w:rPr>
          <w:rFonts w:asciiTheme="minorHAnsi" w:eastAsiaTheme="minorEastAsia" w:hAnsiTheme="minorHAnsi" w:cstheme="minorBidi"/>
          <w:noProof/>
          <w:szCs w:val="22"/>
        </w:rPr>
      </w:pPr>
      <w:hyperlink w:anchor="_Toc511060838" w:history="1">
        <w:r w:rsidR="00470D7C" w:rsidRPr="00302671">
          <w:rPr>
            <w:rStyle w:val="Hyperlink"/>
            <w:noProof/>
          </w:rPr>
          <w:t>0308.03F-02</w:t>
        </w:r>
        <w:r w:rsidR="00470D7C">
          <w:rPr>
            <w:rFonts w:asciiTheme="minorHAnsi" w:eastAsiaTheme="minorEastAsia" w:hAnsiTheme="minorHAnsi" w:cstheme="minorBidi"/>
            <w:noProof/>
            <w:szCs w:val="22"/>
          </w:rPr>
          <w:tab/>
        </w:r>
        <w:r w:rsidR="00470D7C" w:rsidRPr="00302671">
          <w:rPr>
            <w:rStyle w:val="Hyperlink"/>
            <w:noProof/>
          </w:rPr>
          <w:t>LIMITS AND PRECAUTIONS</w:t>
        </w:r>
        <w:r w:rsidR="00470D7C">
          <w:rPr>
            <w:noProof/>
            <w:webHidden/>
          </w:rPr>
          <w:tab/>
        </w:r>
        <w:r w:rsidR="00470D7C">
          <w:rPr>
            <w:noProof/>
            <w:webHidden/>
          </w:rPr>
          <w:fldChar w:fldCharType="begin"/>
        </w:r>
        <w:r w:rsidR="00470D7C">
          <w:rPr>
            <w:noProof/>
            <w:webHidden/>
          </w:rPr>
          <w:instrText xml:space="preserve"> PAGEREF _Toc511060838 \h </w:instrText>
        </w:r>
        <w:r w:rsidR="00470D7C">
          <w:rPr>
            <w:noProof/>
            <w:webHidden/>
          </w:rPr>
        </w:r>
        <w:r w:rsidR="00470D7C">
          <w:rPr>
            <w:noProof/>
            <w:webHidden/>
          </w:rPr>
          <w:fldChar w:fldCharType="separate"/>
        </w:r>
        <w:r w:rsidR="00267057">
          <w:rPr>
            <w:noProof/>
            <w:webHidden/>
          </w:rPr>
          <w:t>3</w:t>
        </w:r>
        <w:r w:rsidR="00470D7C">
          <w:rPr>
            <w:noProof/>
            <w:webHidden/>
          </w:rPr>
          <w:fldChar w:fldCharType="end"/>
        </w:r>
      </w:hyperlink>
    </w:p>
    <w:p w14:paraId="38E42B1C" w14:textId="77777777" w:rsidR="00470D7C" w:rsidRDefault="00B9252A">
      <w:pPr>
        <w:pStyle w:val="TOC1"/>
        <w:rPr>
          <w:rFonts w:asciiTheme="minorHAnsi" w:eastAsiaTheme="minorEastAsia" w:hAnsiTheme="minorHAnsi" w:cstheme="minorBidi"/>
          <w:noProof/>
          <w:szCs w:val="22"/>
        </w:rPr>
      </w:pPr>
      <w:hyperlink w:anchor="_Toc511060839" w:history="1">
        <w:r w:rsidR="00470D7C" w:rsidRPr="00302671">
          <w:rPr>
            <w:rStyle w:val="Hyperlink"/>
            <w:noProof/>
          </w:rPr>
          <w:t>0308.03F-03</w:t>
        </w:r>
        <w:r w:rsidR="00470D7C">
          <w:rPr>
            <w:rFonts w:asciiTheme="minorHAnsi" w:eastAsiaTheme="minorEastAsia" w:hAnsiTheme="minorHAnsi" w:cstheme="minorBidi"/>
            <w:noProof/>
            <w:szCs w:val="22"/>
          </w:rPr>
          <w:tab/>
        </w:r>
        <w:r w:rsidR="00470D7C" w:rsidRPr="00302671">
          <w:rPr>
            <w:rStyle w:val="Hyperlink"/>
            <w:noProof/>
          </w:rPr>
          <w:t>ABBREVIATIONS, SYMBOLS AND DEFINITIONS</w:t>
        </w:r>
        <w:r w:rsidR="00470D7C">
          <w:rPr>
            <w:noProof/>
            <w:webHidden/>
          </w:rPr>
          <w:tab/>
        </w:r>
        <w:r w:rsidR="00470D7C">
          <w:rPr>
            <w:noProof/>
            <w:webHidden/>
          </w:rPr>
          <w:fldChar w:fldCharType="begin"/>
        </w:r>
        <w:r w:rsidR="00470D7C">
          <w:rPr>
            <w:noProof/>
            <w:webHidden/>
          </w:rPr>
          <w:instrText xml:space="preserve"> PAGEREF _Toc511060839 \h </w:instrText>
        </w:r>
        <w:r w:rsidR="00470D7C">
          <w:rPr>
            <w:noProof/>
            <w:webHidden/>
          </w:rPr>
        </w:r>
        <w:r w:rsidR="00470D7C">
          <w:rPr>
            <w:noProof/>
            <w:webHidden/>
          </w:rPr>
          <w:fldChar w:fldCharType="separate"/>
        </w:r>
        <w:r w:rsidR="00267057">
          <w:rPr>
            <w:noProof/>
            <w:webHidden/>
          </w:rPr>
          <w:t>5</w:t>
        </w:r>
        <w:r w:rsidR="00470D7C">
          <w:rPr>
            <w:noProof/>
            <w:webHidden/>
          </w:rPr>
          <w:fldChar w:fldCharType="end"/>
        </w:r>
      </w:hyperlink>
    </w:p>
    <w:p w14:paraId="245692F6" w14:textId="77777777" w:rsidR="00470D7C" w:rsidRDefault="00B9252A">
      <w:pPr>
        <w:pStyle w:val="TOC2"/>
        <w:tabs>
          <w:tab w:val="left" w:pos="2160"/>
        </w:tabs>
        <w:rPr>
          <w:rFonts w:asciiTheme="minorHAnsi" w:eastAsiaTheme="minorEastAsia" w:hAnsiTheme="minorHAnsi" w:cstheme="minorBidi"/>
          <w:noProof/>
          <w:szCs w:val="22"/>
        </w:rPr>
      </w:pPr>
      <w:hyperlink w:anchor="_Toc511060840" w:history="1">
        <w:r w:rsidR="00470D7C" w:rsidRPr="00302671">
          <w:rPr>
            <w:rStyle w:val="Hyperlink"/>
            <w:noProof/>
          </w:rPr>
          <w:t>03.01</w:t>
        </w:r>
        <w:r w:rsidR="00470D7C">
          <w:rPr>
            <w:rFonts w:asciiTheme="minorHAnsi" w:eastAsiaTheme="minorEastAsia" w:hAnsiTheme="minorHAnsi" w:cstheme="minorBidi"/>
            <w:noProof/>
            <w:szCs w:val="22"/>
          </w:rPr>
          <w:tab/>
        </w:r>
        <w:r w:rsidR="00470D7C" w:rsidRPr="00302671">
          <w:rPr>
            <w:rStyle w:val="Hyperlink"/>
            <w:noProof/>
          </w:rPr>
          <w:t>Abbreviations</w:t>
        </w:r>
        <w:r w:rsidR="00470D7C">
          <w:rPr>
            <w:noProof/>
            <w:webHidden/>
          </w:rPr>
          <w:tab/>
        </w:r>
        <w:r w:rsidR="00470D7C">
          <w:rPr>
            <w:noProof/>
            <w:webHidden/>
          </w:rPr>
          <w:fldChar w:fldCharType="begin"/>
        </w:r>
        <w:r w:rsidR="00470D7C">
          <w:rPr>
            <w:noProof/>
            <w:webHidden/>
          </w:rPr>
          <w:instrText xml:space="preserve"> PAGEREF _Toc511060840 \h </w:instrText>
        </w:r>
        <w:r w:rsidR="00470D7C">
          <w:rPr>
            <w:noProof/>
            <w:webHidden/>
          </w:rPr>
        </w:r>
        <w:r w:rsidR="00470D7C">
          <w:rPr>
            <w:noProof/>
            <w:webHidden/>
          </w:rPr>
          <w:fldChar w:fldCharType="separate"/>
        </w:r>
        <w:r w:rsidR="00267057">
          <w:rPr>
            <w:noProof/>
            <w:webHidden/>
          </w:rPr>
          <w:t>5</w:t>
        </w:r>
        <w:r w:rsidR="00470D7C">
          <w:rPr>
            <w:noProof/>
            <w:webHidden/>
          </w:rPr>
          <w:fldChar w:fldCharType="end"/>
        </w:r>
      </w:hyperlink>
    </w:p>
    <w:p w14:paraId="2850AD47" w14:textId="77777777" w:rsidR="00470D7C" w:rsidRDefault="00B9252A">
      <w:pPr>
        <w:pStyle w:val="TOC2"/>
        <w:tabs>
          <w:tab w:val="left" w:pos="2160"/>
        </w:tabs>
        <w:rPr>
          <w:rFonts w:asciiTheme="minorHAnsi" w:eastAsiaTheme="minorEastAsia" w:hAnsiTheme="minorHAnsi" w:cstheme="minorBidi"/>
          <w:noProof/>
          <w:szCs w:val="22"/>
        </w:rPr>
      </w:pPr>
      <w:hyperlink w:anchor="_Toc511060841" w:history="1">
        <w:r w:rsidR="00470D7C" w:rsidRPr="00302671">
          <w:rPr>
            <w:rStyle w:val="Hyperlink"/>
            <w:noProof/>
          </w:rPr>
          <w:t>03.02</w:t>
        </w:r>
        <w:r w:rsidR="00470D7C">
          <w:rPr>
            <w:rFonts w:asciiTheme="minorHAnsi" w:eastAsiaTheme="minorEastAsia" w:hAnsiTheme="minorHAnsi" w:cstheme="minorBidi"/>
            <w:noProof/>
            <w:szCs w:val="22"/>
          </w:rPr>
          <w:tab/>
        </w:r>
        <w:r w:rsidR="00470D7C" w:rsidRPr="00302671">
          <w:rPr>
            <w:rStyle w:val="Hyperlink"/>
            <w:noProof/>
          </w:rPr>
          <w:t>Mathematical Symbols</w:t>
        </w:r>
        <w:r w:rsidR="00470D7C">
          <w:rPr>
            <w:noProof/>
            <w:webHidden/>
          </w:rPr>
          <w:tab/>
        </w:r>
        <w:r w:rsidR="00470D7C">
          <w:rPr>
            <w:noProof/>
            <w:webHidden/>
          </w:rPr>
          <w:fldChar w:fldCharType="begin"/>
        </w:r>
        <w:r w:rsidR="00470D7C">
          <w:rPr>
            <w:noProof/>
            <w:webHidden/>
          </w:rPr>
          <w:instrText xml:space="preserve"> PAGEREF _Toc511060841 \h </w:instrText>
        </w:r>
        <w:r w:rsidR="00470D7C">
          <w:rPr>
            <w:noProof/>
            <w:webHidden/>
          </w:rPr>
        </w:r>
        <w:r w:rsidR="00470D7C">
          <w:rPr>
            <w:noProof/>
            <w:webHidden/>
          </w:rPr>
          <w:fldChar w:fldCharType="separate"/>
        </w:r>
        <w:r w:rsidR="00267057">
          <w:rPr>
            <w:noProof/>
            <w:webHidden/>
          </w:rPr>
          <w:t>6</w:t>
        </w:r>
        <w:r w:rsidR="00470D7C">
          <w:rPr>
            <w:noProof/>
            <w:webHidden/>
          </w:rPr>
          <w:fldChar w:fldCharType="end"/>
        </w:r>
      </w:hyperlink>
    </w:p>
    <w:p w14:paraId="3A144254" w14:textId="51F0EE13" w:rsidR="00470D7C" w:rsidRDefault="00B9252A">
      <w:pPr>
        <w:pStyle w:val="TOC2"/>
        <w:tabs>
          <w:tab w:val="left" w:pos="2160"/>
        </w:tabs>
        <w:rPr>
          <w:rFonts w:asciiTheme="minorHAnsi" w:eastAsiaTheme="minorEastAsia" w:hAnsiTheme="minorHAnsi" w:cstheme="minorBidi"/>
          <w:noProof/>
          <w:szCs w:val="22"/>
        </w:rPr>
      </w:pPr>
      <w:hyperlink w:anchor="_Toc511060842" w:history="1">
        <w:r w:rsidR="00470D7C" w:rsidRPr="00302671">
          <w:rPr>
            <w:rStyle w:val="Hyperlink"/>
            <w:noProof/>
          </w:rPr>
          <w:t>03.03</w:t>
        </w:r>
        <w:r w:rsidR="00470D7C">
          <w:rPr>
            <w:rFonts w:asciiTheme="minorHAnsi" w:eastAsiaTheme="minorEastAsia" w:hAnsiTheme="minorHAnsi" w:cstheme="minorBidi"/>
            <w:noProof/>
            <w:szCs w:val="22"/>
          </w:rPr>
          <w:tab/>
        </w:r>
        <w:r w:rsidR="00470D7C" w:rsidRPr="00302671">
          <w:rPr>
            <w:rStyle w:val="Hyperlink"/>
            <w:noProof/>
          </w:rPr>
          <w:t>Definitions</w:t>
        </w:r>
        <w:r w:rsidR="00470D7C">
          <w:rPr>
            <w:noProof/>
            <w:webHidden/>
          </w:rPr>
          <w:tab/>
        </w:r>
        <w:r w:rsidR="00470D7C">
          <w:rPr>
            <w:noProof/>
            <w:webHidden/>
          </w:rPr>
          <w:tab/>
        </w:r>
        <w:r w:rsidR="00470D7C">
          <w:rPr>
            <w:noProof/>
            <w:webHidden/>
          </w:rPr>
          <w:fldChar w:fldCharType="begin"/>
        </w:r>
        <w:r w:rsidR="00470D7C">
          <w:rPr>
            <w:noProof/>
            <w:webHidden/>
          </w:rPr>
          <w:instrText xml:space="preserve"> PAGEREF _Toc511060842 \h </w:instrText>
        </w:r>
        <w:r w:rsidR="00470D7C">
          <w:rPr>
            <w:noProof/>
            <w:webHidden/>
          </w:rPr>
        </w:r>
        <w:r w:rsidR="00470D7C">
          <w:rPr>
            <w:noProof/>
            <w:webHidden/>
          </w:rPr>
          <w:fldChar w:fldCharType="separate"/>
        </w:r>
        <w:r w:rsidR="00267057">
          <w:rPr>
            <w:noProof/>
            <w:webHidden/>
          </w:rPr>
          <w:t>8</w:t>
        </w:r>
        <w:r w:rsidR="00470D7C">
          <w:rPr>
            <w:noProof/>
            <w:webHidden/>
          </w:rPr>
          <w:fldChar w:fldCharType="end"/>
        </w:r>
      </w:hyperlink>
    </w:p>
    <w:p w14:paraId="36415992" w14:textId="77777777" w:rsidR="00470D7C" w:rsidRDefault="00B9252A">
      <w:pPr>
        <w:pStyle w:val="TOC1"/>
        <w:rPr>
          <w:rFonts w:asciiTheme="minorHAnsi" w:eastAsiaTheme="minorEastAsia" w:hAnsiTheme="minorHAnsi" w:cstheme="minorBidi"/>
          <w:noProof/>
          <w:szCs w:val="22"/>
        </w:rPr>
      </w:pPr>
      <w:hyperlink w:anchor="_Toc511060843" w:history="1">
        <w:r w:rsidR="00470D7C" w:rsidRPr="00302671">
          <w:rPr>
            <w:rStyle w:val="Hyperlink"/>
            <w:noProof/>
          </w:rPr>
          <w:t>0308.03F-04</w:t>
        </w:r>
        <w:r w:rsidR="00470D7C">
          <w:rPr>
            <w:rFonts w:asciiTheme="minorHAnsi" w:eastAsiaTheme="minorEastAsia" w:hAnsiTheme="minorHAnsi" w:cstheme="minorBidi"/>
            <w:noProof/>
            <w:szCs w:val="22"/>
          </w:rPr>
          <w:tab/>
        </w:r>
        <w:r w:rsidR="00470D7C" w:rsidRPr="00302671">
          <w:rPr>
            <w:rStyle w:val="Hyperlink"/>
            <w:noProof/>
          </w:rPr>
          <w:t>GENERAL APPROACH FOR SIGNIFICANCE DETERMINATION</w:t>
        </w:r>
        <w:r w:rsidR="00470D7C">
          <w:rPr>
            <w:noProof/>
            <w:webHidden/>
          </w:rPr>
          <w:tab/>
        </w:r>
        <w:r w:rsidR="00470D7C">
          <w:rPr>
            <w:noProof/>
            <w:webHidden/>
          </w:rPr>
          <w:fldChar w:fldCharType="begin"/>
        </w:r>
        <w:r w:rsidR="00470D7C">
          <w:rPr>
            <w:noProof/>
            <w:webHidden/>
          </w:rPr>
          <w:instrText xml:space="preserve"> PAGEREF _Toc511060843 \h </w:instrText>
        </w:r>
        <w:r w:rsidR="00470D7C">
          <w:rPr>
            <w:noProof/>
            <w:webHidden/>
          </w:rPr>
        </w:r>
        <w:r w:rsidR="00470D7C">
          <w:rPr>
            <w:noProof/>
            <w:webHidden/>
          </w:rPr>
          <w:fldChar w:fldCharType="separate"/>
        </w:r>
        <w:r w:rsidR="00267057">
          <w:rPr>
            <w:noProof/>
            <w:webHidden/>
          </w:rPr>
          <w:t>15</w:t>
        </w:r>
        <w:r w:rsidR="00470D7C">
          <w:rPr>
            <w:noProof/>
            <w:webHidden/>
          </w:rPr>
          <w:fldChar w:fldCharType="end"/>
        </w:r>
      </w:hyperlink>
    </w:p>
    <w:p w14:paraId="041613B4" w14:textId="22EA34BB" w:rsidR="00470D7C" w:rsidRDefault="00B9252A">
      <w:pPr>
        <w:pStyle w:val="TOC2"/>
        <w:tabs>
          <w:tab w:val="left" w:pos="2160"/>
        </w:tabs>
        <w:rPr>
          <w:rFonts w:asciiTheme="minorHAnsi" w:eastAsiaTheme="minorEastAsia" w:hAnsiTheme="minorHAnsi" w:cstheme="minorBidi"/>
          <w:noProof/>
          <w:szCs w:val="22"/>
        </w:rPr>
      </w:pPr>
      <w:hyperlink w:anchor="_Toc511060844" w:history="1">
        <w:r w:rsidR="00470D7C" w:rsidRPr="00302671">
          <w:rPr>
            <w:rStyle w:val="Hyperlink"/>
            <w:noProof/>
          </w:rPr>
          <w:t>04.01</w:t>
        </w:r>
        <w:r w:rsidR="00470D7C">
          <w:rPr>
            <w:rFonts w:asciiTheme="minorHAnsi" w:eastAsiaTheme="minorEastAsia" w:hAnsiTheme="minorHAnsi" w:cstheme="minorBidi"/>
            <w:noProof/>
            <w:szCs w:val="22"/>
          </w:rPr>
          <w:tab/>
        </w:r>
        <w:r w:rsidR="00470D7C" w:rsidRPr="00302671">
          <w:rPr>
            <w:rStyle w:val="Hyperlink"/>
            <w:noProof/>
          </w:rPr>
          <w:t>Road Map</w:t>
        </w:r>
        <w:r w:rsidR="00470D7C">
          <w:rPr>
            <w:noProof/>
            <w:webHidden/>
          </w:rPr>
          <w:tab/>
        </w:r>
        <w:r w:rsidR="00470D7C">
          <w:rPr>
            <w:noProof/>
            <w:webHidden/>
          </w:rPr>
          <w:tab/>
        </w:r>
        <w:r w:rsidR="00470D7C">
          <w:rPr>
            <w:noProof/>
            <w:webHidden/>
          </w:rPr>
          <w:fldChar w:fldCharType="begin"/>
        </w:r>
        <w:r w:rsidR="00470D7C">
          <w:rPr>
            <w:noProof/>
            <w:webHidden/>
          </w:rPr>
          <w:instrText xml:space="preserve"> PAGEREF _Toc511060844 \h </w:instrText>
        </w:r>
        <w:r w:rsidR="00470D7C">
          <w:rPr>
            <w:noProof/>
            <w:webHidden/>
          </w:rPr>
        </w:r>
        <w:r w:rsidR="00470D7C">
          <w:rPr>
            <w:noProof/>
            <w:webHidden/>
          </w:rPr>
          <w:fldChar w:fldCharType="separate"/>
        </w:r>
        <w:r w:rsidR="00267057">
          <w:rPr>
            <w:noProof/>
            <w:webHidden/>
          </w:rPr>
          <w:t>15</w:t>
        </w:r>
        <w:r w:rsidR="00470D7C">
          <w:rPr>
            <w:noProof/>
            <w:webHidden/>
          </w:rPr>
          <w:fldChar w:fldCharType="end"/>
        </w:r>
      </w:hyperlink>
    </w:p>
    <w:p w14:paraId="5DFE95D0" w14:textId="77777777" w:rsidR="00470D7C" w:rsidRDefault="00B9252A">
      <w:pPr>
        <w:pStyle w:val="TOC2"/>
        <w:tabs>
          <w:tab w:val="left" w:pos="2160"/>
        </w:tabs>
        <w:rPr>
          <w:rFonts w:asciiTheme="minorHAnsi" w:eastAsiaTheme="minorEastAsia" w:hAnsiTheme="minorHAnsi" w:cstheme="minorBidi"/>
          <w:noProof/>
          <w:szCs w:val="22"/>
        </w:rPr>
      </w:pPr>
      <w:hyperlink w:anchor="_Toc511060845" w:history="1">
        <w:r w:rsidR="00470D7C" w:rsidRPr="00302671">
          <w:rPr>
            <w:rStyle w:val="Hyperlink"/>
            <w:noProof/>
          </w:rPr>
          <w:t>04.02</w:t>
        </w:r>
        <w:r w:rsidR="00470D7C">
          <w:rPr>
            <w:rFonts w:asciiTheme="minorHAnsi" w:eastAsiaTheme="minorEastAsia" w:hAnsiTheme="minorHAnsi" w:cstheme="minorBidi"/>
            <w:noProof/>
            <w:szCs w:val="22"/>
          </w:rPr>
          <w:tab/>
        </w:r>
        <w:r w:rsidR="00470D7C" w:rsidRPr="00302671">
          <w:rPr>
            <w:rStyle w:val="Hyperlink"/>
            <w:noProof/>
          </w:rPr>
          <w:t>General Approach</w:t>
        </w:r>
        <w:r w:rsidR="00470D7C">
          <w:rPr>
            <w:noProof/>
            <w:webHidden/>
          </w:rPr>
          <w:tab/>
        </w:r>
        <w:r w:rsidR="00470D7C">
          <w:rPr>
            <w:noProof/>
            <w:webHidden/>
          </w:rPr>
          <w:fldChar w:fldCharType="begin"/>
        </w:r>
        <w:r w:rsidR="00470D7C">
          <w:rPr>
            <w:noProof/>
            <w:webHidden/>
          </w:rPr>
          <w:instrText xml:space="preserve"> PAGEREF _Toc511060845 \h </w:instrText>
        </w:r>
        <w:r w:rsidR="00470D7C">
          <w:rPr>
            <w:noProof/>
            <w:webHidden/>
          </w:rPr>
        </w:r>
        <w:r w:rsidR="00470D7C">
          <w:rPr>
            <w:noProof/>
            <w:webHidden/>
          </w:rPr>
          <w:fldChar w:fldCharType="separate"/>
        </w:r>
        <w:r w:rsidR="00267057">
          <w:rPr>
            <w:noProof/>
            <w:webHidden/>
          </w:rPr>
          <w:t>16</w:t>
        </w:r>
        <w:r w:rsidR="00470D7C">
          <w:rPr>
            <w:noProof/>
            <w:webHidden/>
          </w:rPr>
          <w:fldChar w:fldCharType="end"/>
        </w:r>
      </w:hyperlink>
    </w:p>
    <w:p w14:paraId="0AC639F6" w14:textId="77777777" w:rsidR="00470D7C" w:rsidRDefault="00B9252A">
      <w:pPr>
        <w:pStyle w:val="TOC3"/>
        <w:rPr>
          <w:rFonts w:asciiTheme="minorHAnsi" w:eastAsiaTheme="minorEastAsia" w:hAnsiTheme="minorHAnsi" w:cstheme="minorBidi"/>
        </w:rPr>
      </w:pPr>
      <w:hyperlink w:anchor="_Toc511060846" w:history="1">
        <w:r w:rsidR="00470D7C" w:rsidRPr="00302671">
          <w:rPr>
            <w:rStyle w:val="Hyperlink"/>
          </w:rPr>
          <w:t>04.02.01</w:t>
        </w:r>
        <w:r w:rsidR="00470D7C">
          <w:rPr>
            <w:rFonts w:asciiTheme="minorHAnsi" w:eastAsiaTheme="minorEastAsia" w:hAnsiTheme="minorHAnsi" w:cstheme="minorBidi"/>
          </w:rPr>
          <w:tab/>
        </w:r>
        <w:r w:rsidR="00470D7C" w:rsidRPr="00302671">
          <w:rPr>
            <w:rStyle w:val="Hyperlink"/>
          </w:rPr>
          <w:t>Phase 1: Qualitative Screening Analysis</w:t>
        </w:r>
        <w:r w:rsidR="00470D7C">
          <w:rPr>
            <w:webHidden/>
          </w:rPr>
          <w:tab/>
        </w:r>
        <w:r w:rsidR="00470D7C">
          <w:rPr>
            <w:webHidden/>
          </w:rPr>
          <w:fldChar w:fldCharType="begin"/>
        </w:r>
        <w:r w:rsidR="00470D7C">
          <w:rPr>
            <w:webHidden/>
          </w:rPr>
          <w:instrText xml:space="preserve"> PAGEREF _Toc511060846 \h </w:instrText>
        </w:r>
        <w:r w:rsidR="00470D7C">
          <w:rPr>
            <w:webHidden/>
          </w:rPr>
        </w:r>
        <w:r w:rsidR="00470D7C">
          <w:rPr>
            <w:webHidden/>
          </w:rPr>
          <w:fldChar w:fldCharType="separate"/>
        </w:r>
        <w:r w:rsidR="00267057">
          <w:rPr>
            <w:webHidden/>
          </w:rPr>
          <w:t>16</w:t>
        </w:r>
        <w:r w:rsidR="00470D7C">
          <w:rPr>
            <w:webHidden/>
          </w:rPr>
          <w:fldChar w:fldCharType="end"/>
        </w:r>
      </w:hyperlink>
    </w:p>
    <w:p w14:paraId="71AA4D55" w14:textId="77777777" w:rsidR="00470D7C" w:rsidRDefault="00B9252A">
      <w:pPr>
        <w:pStyle w:val="TOC3"/>
        <w:rPr>
          <w:rFonts w:asciiTheme="minorHAnsi" w:eastAsiaTheme="minorEastAsia" w:hAnsiTheme="minorHAnsi" w:cstheme="minorBidi"/>
        </w:rPr>
      </w:pPr>
      <w:hyperlink w:anchor="_Toc511060847" w:history="1">
        <w:r w:rsidR="00470D7C" w:rsidRPr="00302671">
          <w:rPr>
            <w:rStyle w:val="Hyperlink"/>
          </w:rPr>
          <w:t>04.02.02</w:t>
        </w:r>
        <w:r w:rsidR="00470D7C">
          <w:rPr>
            <w:rFonts w:asciiTheme="minorHAnsi" w:eastAsiaTheme="minorEastAsia" w:hAnsiTheme="minorHAnsi" w:cstheme="minorBidi"/>
          </w:rPr>
          <w:tab/>
        </w:r>
        <w:r w:rsidR="00470D7C" w:rsidRPr="00302671">
          <w:rPr>
            <w:rStyle w:val="Hyperlink"/>
          </w:rPr>
          <w:t>Phase 2: Quantitative Analysis</w:t>
        </w:r>
        <w:r w:rsidR="00470D7C">
          <w:rPr>
            <w:webHidden/>
          </w:rPr>
          <w:tab/>
        </w:r>
        <w:r w:rsidR="00470D7C">
          <w:rPr>
            <w:webHidden/>
          </w:rPr>
          <w:fldChar w:fldCharType="begin"/>
        </w:r>
        <w:r w:rsidR="00470D7C">
          <w:rPr>
            <w:webHidden/>
          </w:rPr>
          <w:instrText xml:space="preserve"> PAGEREF _Toc511060847 \h </w:instrText>
        </w:r>
        <w:r w:rsidR="00470D7C">
          <w:rPr>
            <w:webHidden/>
          </w:rPr>
        </w:r>
        <w:r w:rsidR="00470D7C">
          <w:rPr>
            <w:webHidden/>
          </w:rPr>
          <w:fldChar w:fldCharType="separate"/>
        </w:r>
        <w:r w:rsidR="00267057">
          <w:rPr>
            <w:webHidden/>
          </w:rPr>
          <w:t>16</w:t>
        </w:r>
        <w:r w:rsidR="00470D7C">
          <w:rPr>
            <w:webHidden/>
          </w:rPr>
          <w:fldChar w:fldCharType="end"/>
        </w:r>
      </w:hyperlink>
    </w:p>
    <w:p w14:paraId="2D65B436" w14:textId="77777777" w:rsidR="00470D7C" w:rsidRDefault="00B9252A">
      <w:pPr>
        <w:pStyle w:val="TOC2"/>
        <w:tabs>
          <w:tab w:val="left" w:pos="2160"/>
        </w:tabs>
        <w:rPr>
          <w:rFonts w:asciiTheme="minorHAnsi" w:eastAsiaTheme="minorEastAsia" w:hAnsiTheme="minorHAnsi" w:cstheme="minorBidi"/>
          <w:noProof/>
          <w:szCs w:val="22"/>
        </w:rPr>
      </w:pPr>
      <w:hyperlink w:anchor="_Toc511060848" w:history="1">
        <w:r w:rsidR="00470D7C" w:rsidRPr="00302671">
          <w:rPr>
            <w:rStyle w:val="Hyperlink"/>
            <w:noProof/>
          </w:rPr>
          <w:t>04.03</w:t>
        </w:r>
        <w:r w:rsidR="00470D7C">
          <w:rPr>
            <w:rFonts w:asciiTheme="minorHAnsi" w:eastAsiaTheme="minorEastAsia" w:hAnsiTheme="minorHAnsi" w:cstheme="minorBidi"/>
            <w:noProof/>
            <w:szCs w:val="22"/>
          </w:rPr>
          <w:tab/>
        </w:r>
        <w:r w:rsidR="00470D7C" w:rsidRPr="00302671">
          <w:rPr>
            <w:rStyle w:val="Hyperlink"/>
            <w:noProof/>
          </w:rPr>
          <w:t>Analysis Procedures</w:t>
        </w:r>
        <w:r w:rsidR="00470D7C">
          <w:rPr>
            <w:noProof/>
            <w:webHidden/>
          </w:rPr>
          <w:tab/>
        </w:r>
        <w:r w:rsidR="00470D7C">
          <w:rPr>
            <w:noProof/>
            <w:webHidden/>
          </w:rPr>
          <w:fldChar w:fldCharType="begin"/>
        </w:r>
        <w:r w:rsidR="00470D7C">
          <w:rPr>
            <w:noProof/>
            <w:webHidden/>
          </w:rPr>
          <w:instrText xml:space="preserve"> PAGEREF _Toc511060848 \h </w:instrText>
        </w:r>
        <w:r w:rsidR="00470D7C">
          <w:rPr>
            <w:noProof/>
            <w:webHidden/>
          </w:rPr>
        </w:r>
        <w:r w:rsidR="00470D7C">
          <w:rPr>
            <w:noProof/>
            <w:webHidden/>
          </w:rPr>
          <w:fldChar w:fldCharType="separate"/>
        </w:r>
        <w:r w:rsidR="00267057">
          <w:rPr>
            <w:noProof/>
            <w:webHidden/>
          </w:rPr>
          <w:t>19</w:t>
        </w:r>
        <w:r w:rsidR="00470D7C">
          <w:rPr>
            <w:noProof/>
            <w:webHidden/>
          </w:rPr>
          <w:fldChar w:fldCharType="end"/>
        </w:r>
      </w:hyperlink>
    </w:p>
    <w:p w14:paraId="31BF38AF" w14:textId="77777777" w:rsidR="00470D7C" w:rsidRDefault="00B9252A">
      <w:pPr>
        <w:pStyle w:val="TOC2"/>
        <w:tabs>
          <w:tab w:val="left" w:pos="2160"/>
        </w:tabs>
        <w:rPr>
          <w:rFonts w:asciiTheme="minorHAnsi" w:eastAsiaTheme="minorEastAsia" w:hAnsiTheme="minorHAnsi" w:cstheme="minorBidi"/>
          <w:noProof/>
          <w:szCs w:val="22"/>
        </w:rPr>
      </w:pPr>
      <w:hyperlink w:anchor="_Toc511060849" w:history="1">
        <w:r w:rsidR="00470D7C" w:rsidRPr="00302671">
          <w:rPr>
            <w:rStyle w:val="Hyperlink"/>
            <w:noProof/>
          </w:rPr>
          <w:t>04.04</w:t>
        </w:r>
        <w:r w:rsidR="00470D7C">
          <w:rPr>
            <w:rFonts w:asciiTheme="minorHAnsi" w:eastAsiaTheme="minorEastAsia" w:hAnsiTheme="minorHAnsi" w:cstheme="minorBidi"/>
            <w:noProof/>
            <w:szCs w:val="22"/>
          </w:rPr>
          <w:tab/>
        </w:r>
        <w:r w:rsidR="00470D7C" w:rsidRPr="00302671">
          <w:rPr>
            <w:rStyle w:val="Hyperlink"/>
            <w:noProof/>
          </w:rPr>
          <w:t>Flexibility in Exercising the Analysis Procedures</w:t>
        </w:r>
        <w:r w:rsidR="00470D7C">
          <w:rPr>
            <w:noProof/>
            <w:webHidden/>
          </w:rPr>
          <w:tab/>
        </w:r>
        <w:r w:rsidR="00470D7C">
          <w:rPr>
            <w:noProof/>
            <w:webHidden/>
          </w:rPr>
          <w:fldChar w:fldCharType="begin"/>
        </w:r>
        <w:r w:rsidR="00470D7C">
          <w:rPr>
            <w:noProof/>
            <w:webHidden/>
          </w:rPr>
          <w:instrText xml:space="preserve"> PAGEREF _Toc511060849 \h </w:instrText>
        </w:r>
        <w:r w:rsidR="00470D7C">
          <w:rPr>
            <w:noProof/>
            <w:webHidden/>
          </w:rPr>
        </w:r>
        <w:r w:rsidR="00470D7C">
          <w:rPr>
            <w:noProof/>
            <w:webHidden/>
          </w:rPr>
          <w:fldChar w:fldCharType="separate"/>
        </w:r>
        <w:r w:rsidR="00267057">
          <w:rPr>
            <w:noProof/>
            <w:webHidden/>
          </w:rPr>
          <w:t>19</w:t>
        </w:r>
        <w:r w:rsidR="00470D7C">
          <w:rPr>
            <w:noProof/>
            <w:webHidden/>
          </w:rPr>
          <w:fldChar w:fldCharType="end"/>
        </w:r>
      </w:hyperlink>
    </w:p>
    <w:p w14:paraId="0FEE6CD7" w14:textId="77777777" w:rsidR="00470D7C" w:rsidRDefault="00B9252A">
      <w:pPr>
        <w:pStyle w:val="TOC3"/>
        <w:rPr>
          <w:rFonts w:asciiTheme="minorHAnsi" w:eastAsiaTheme="minorEastAsia" w:hAnsiTheme="minorHAnsi" w:cstheme="minorBidi"/>
        </w:rPr>
      </w:pPr>
      <w:hyperlink w:anchor="_Toc511060850" w:history="1">
        <w:r w:rsidR="00470D7C" w:rsidRPr="00302671">
          <w:rPr>
            <w:rStyle w:val="Hyperlink"/>
          </w:rPr>
          <w:t>04.04.01</w:t>
        </w:r>
        <w:r w:rsidR="00470D7C">
          <w:rPr>
            <w:rFonts w:asciiTheme="minorHAnsi" w:eastAsiaTheme="minorEastAsia" w:hAnsiTheme="minorHAnsi" w:cstheme="minorBidi"/>
          </w:rPr>
          <w:tab/>
        </w:r>
        <w:r w:rsidR="00470D7C" w:rsidRPr="00302671">
          <w:rPr>
            <w:rStyle w:val="Hyperlink"/>
          </w:rPr>
          <w:t>Fire Protection Significance Determination Process Flexibility</w:t>
        </w:r>
        <w:r w:rsidR="00470D7C">
          <w:rPr>
            <w:webHidden/>
          </w:rPr>
          <w:tab/>
        </w:r>
        <w:r w:rsidR="00470D7C">
          <w:rPr>
            <w:webHidden/>
          </w:rPr>
          <w:fldChar w:fldCharType="begin"/>
        </w:r>
        <w:r w:rsidR="00470D7C">
          <w:rPr>
            <w:webHidden/>
          </w:rPr>
          <w:instrText xml:space="preserve"> PAGEREF _Toc511060850 \h </w:instrText>
        </w:r>
        <w:r w:rsidR="00470D7C">
          <w:rPr>
            <w:webHidden/>
          </w:rPr>
        </w:r>
        <w:r w:rsidR="00470D7C">
          <w:rPr>
            <w:webHidden/>
          </w:rPr>
          <w:fldChar w:fldCharType="separate"/>
        </w:r>
        <w:r w:rsidR="00267057">
          <w:rPr>
            <w:webHidden/>
          </w:rPr>
          <w:t>19</w:t>
        </w:r>
        <w:r w:rsidR="00470D7C">
          <w:rPr>
            <w:webHidden/>
          </w:rPr>
          <w:fldChar w:fldCharType="end"/>
        </w:r>
      </w:hyperlink>
    </w:p>
    <w:p w14:paraId="48D230B9" w14:textId="77777777" w:rsidR="00470D7C" w:rsidRDefault="00B9252A">
      <w:pPr>
        <w:pStyle w:val="TOC3"/>
        <w:rPr>
          <w:rFonts w:asciiTheme="minorHAnsi" w:eastAsiaTheme="minorEastAsia" w:hAnsiTheme="minorHAnsi" w:cstheme="minorBidi"/>
        </w:rPr>
      </w:pPr>
      <w:hyperlink w:anchor="_Toc511060851" w:history="1">
        <w:r w:rsidR="00470D7C" w:rsidRPr="00302671">
          <w:rPr>
            <w:rStyle w:val="Hyperlink"/>
          </w:rPr>
          <w:t>04.04.02</w:t>
        </w:r>
        <w:r w:rsidR="00470D7C">
          <w:rPr>
            <w:rFonts w:asciiTheme="minorHAnsi" w:eastAsiaTheme="minorEastAsia" w:hAnsiTheme="minorHAnsi" w:cstheme="minorBidi"/>
          </w:rPr>
          <w:tab/>
        </w:r>
        <w:r w:rsidR="00470D7C" w:rsidRPr="00302671">
          <w:rPr>
            <w:rStyle w:val="Hyperlink"/>
          </w:rPr>
          <w:t>Flexibility Examples</w:t>
        </w:r>
        <w:r w:rsidR="00470D7C">
          <w:rPr>
            <w:webHidden/>
          </w:rPr>
          <w:tab/>
        </w:r>
        <w:r w:rsidR="00470D7C">
          <w:rPr>
            <w:webHidden/>
          </w:rPr>
          <w:fldChar w:fldCharType="begin"/>
        </w:r>
        <w:r w:rsidR="00470D7C">
          <w:rPr>
            <w:webHidden/>
          </w:rPr>
          <w:instrText xml:space="preserve"> PAGEREF _Toc511060851 \h </w:instrText>
        </w:r>
        <w:r w:rsidR="00470D7C">
          <w:rPr>
            <w:webHidden/>
          </w:rPr>
        </w:r>
        <w:r w:rsidR="00470D7C">
          <w:rPr>
            <w:webHidden/>
          </w:rPr>
          <w:fldChar w:fldCharType="separate"/>
        </w:r>
        <w:r w:rsidR="00267057">
          <w:rPr>
            <w:webHidden/>
          </w:rPr>
          <w:t>20</w:t>
        </w:r>
        <w:r w:rsidR="00470D7C">
          <w:rPr>
            <w:webHidden/>
          </w:rPr>
          <w:fldChar w:fldCharType="end"/>
        </w:r>
      </w:hyperlink>
    </w:p>
    <w:p w14:paraId="42A40106" w14:textId="77777777" w:rsidR="00470D7C" w:rsidRDefault="00B9252A">
      <w:pPr>
        <w:pStyle w:val="TOC3"/>
        <w:rPr>
          <w:rFonts w:asciiTheme="minorHAnsi" w:eastAsiaTheme="minorEastAsia" w:hAnsiTheme="minorHAnsi" w:cstheme="minorBidi"/>
        </w:rPr>
      </w:pPr>
      <w:hyperlink w:anchor="_Toc511060852" w:history="1">
        <w:r w:rsidR="00470D7C" w:rsidRPr="00302671">
          <w:rPr>
            <w:rStyle w:val="Hyperlink"/>
          </w:rPr>
          <w:t>04.04.03</w:t>
        </w:r>
        <w:r w:rsidR="00470D7C">
          <w:rPr>
            <w:rFonts w:asciiTheme="minorHAnsi" w:eastAsiaTheme="minorEastAsia" w:hAnsiTheme="minorHAnsi" w:cstheme="minorBidi"/>
          </w:rPr>
          <w:tab/>
        </w:r>
        <w:r w:rsidR="00470D7C" w:rsidRPr="00302671">
          <w:rPr>
            <w:rStyle w:val="Hyperlink"/>
          </w:rPr>
          <w:t>Early Completion of a Later Step</w:t>
        </w:r>
        <w:r w:rsidR="00470D7C">
          <w:rPr>
            <w:webHidden/>
          </w:rPr>
          <w:tab/>
        </w:r>
        <w:r w:rsidR="00470D7C">
          <w:rPr>
            <w:webHidden/>
          </w:rPr>
          <w:fldChar w:fldCharType="begin"/>
        </w:r>
        <w:r w:rsidR="00470D7C">
          <w:rPr>
            <w:webHidden/>
          </w:rPr>
          <w:instrText xml:space="preserve"> PAGEREF _Toc511060852 \h </w:instrText>
        </w:r>
        <w:r w:rsidR="00470D7C">
          <w:rPr>
            <w:webHidden/>
          </w:rPr>
        </w:r>
        <w:r w:rsidR="00470D7C">
          <w:rPr>
            <w:webHidden/>
          </w:rPr>
          <w:fldChar w:fldCharType="separate"/>
        </w:r>
        <w:r w:rsidR="00267057">
          <w:rPr>
            <w:webHidden/>
          </w:rPr>
          <w:t>20</w:t>
        </w:r>
        <w:r w:rsidR="00470D7C">
          <w:rPr>
            <w:webHidden/>
          </w:rPr>
          <w:fldChar w:fldCharType="end"/>
        </w:r>
      </w:hyperlink>
    </w:p>
    <w:p w14:paraId="28C81886" w14:textId="77777777" w:rsidR="00470D7C" w:rsidRDefault="00B9252A">
      <w:pPr>
        <w:pStyle w:val="TOC3"/>
        <w:rPr>
          <w:rFonts w:asciiTheme="minorHAnsi" w:eastAsiaTheme="minorEastAsia" w:hAnsiTheme="minorHAnsi" w:cstheme="minorBidi"/>
        </w:rPr>
      </w:pPr>
      <w:hyperlink w:anchor="_Toc511060853" w:history="1">
        <w:r w:rsidR="00470D7C" w:rsidRPr="00302671">
          <w:rPr>
            <w:rStyle w:val="Hyperlink"/>
          </w:rPr>
          <w:t>04.04.04</w:t>
        </w:r>
        <w:r w:rsidR="00470D7C">
          <w:rPr>
            <w:rFonts w:asciiTheme="minorHAnsi" w:eastAsiaTheme="minorEastAsia" w:hAnsiTheme="minorHAnsi" w:cstheme="minorBidi"/>
          </w:rPr>
          <w:tab/>
        </w:r>
        <w:r w:rsidR="00470D7C" w:rsidRPr="00302671">
          <w:rPr>
            <w:rStyle w:val="Hyperlink"/>
          </w:rPr>
          <w:t>Omission of Non-Productive Steps</w:t>
        </w:r>
        <w:r w:rsidR="00470D7C">
          <w:rPr>
            <w:webHidden/>
          </w:rPr>
          <w:tab/>
        </w:r>
        <w:r w:rsidR="00470D7C">
          <w:rPr>
            <w:webHidden/>
          </w:rPr>
          <w:fldChar w:fldCharType="begin"/>
        </w:r>
        <w:r w:rsidR="00470D7C">
          <w:rPr>
            <w:webHidden/>
          </w:rPr>
          <w:instrText xml:space="preserve"> PAGEREF _Toc511060853 \h </w:instrText>
        </w:r>
        <w:r w:rsidR="00470D7C">
          <w:rPr>
            <w:webHidden/>
          </w:rPr>
        </w:r>
        <w:r w:rsidR="00470D7C">
          <w:rPr>
            <w:webHidden/>
          </w:rPr>
          <w:fldChar w:fldCharType="separate"/>
        </w:r>
        <w:r w:rsidR="00267057">
          <w:rPr>
            <w:webHidden/>
          </w:rPr>
          <w:t>21</w:t>
        </w:r>
        <w:r w:rsidR="00470D7C">
          <w:rPr>
            <w:webHidden/>
          </w:rPr>
          <w:fldChar w:fldCharType="end"/>
        </w:r>
      </w:hyperlink>
    </w:p>
    <w:p w14:paraId="1F61A240" w14:textId="77777777" w:rsidR="00470D7C" w:rsidRDefault="00B9252A">
      <w:pPr>
        <w:pStyle w:val="TOC3"/>
        <w:rPr>
          <w:rFonts w:asciiTheme="minorHAnsi" w:eastAsiaTheme="minorEastAsia" w:hAnsiTheme="minorHAnsi" w:cstheme="minorBidi"/>
        </w:rPr>
      </w:pPr>
      <w:hyperlink w:anchor="_Toc511060854" w:history="1">
        <w:r w:rsidR="00470D7C" w:rsidRPr="00302671">
          <w:rPr>
            <w:rStyle w:val="Hyperlink"/>
          </w:rPr>
          <w:t>04.04.05</w:t>
        </w:r>
        <w:r w:rsidR="00470D7C">
          <w:rPr>
            <w:rFonts w:asciiTheme="minorHAnsi" w:eastAsiaTheme="minorEastAsia" w:hAnsiTheme="minorHAnsi" w:cstheme="minorBidi"/>
          </w:rPr>
          <w:tab/>
        </w:r>
        <w:r w:rsidR="00470D7C" w:rsidRPr="00302671">
          <w:rPr>
            <w:rStyle w:val="Hyperlink"/>
          </w:rPr>
          <w:t>Reducing Analysis Depth for a Given Step</w:t>
        </w:r>
        <w:r w:rsidR="00470D7C">
          <w:rPr>
            <w:webHidden/>
          </w:rPr>
          <w:tab/>
        </w:r>
        <w:r w:rsidR="00470D7C">
          <w:rPr>
            <w:webHidden/>
          </w:rPr>
          <w:fldChar w:fldCharType="begin"/>
        </w:r>
        <w:r w:rsidR="00470D7C">
          <w:rPr>
            <w:webHidden/>
          </w:rPr>
          <w:instrText xml:space="preserve"> PAGEREF _Toc511060854 \h </w:instrText>
        </w:r>
        <w:r w:rsidR="00470D7C">
          <w:rPr>
            <w:webHidden/>
          </w:rPr>
        </w:r>
        <w:r w:rsidR="00470D7C">
          <w:rPr>
            <w:webHidden/>
          </w:rPr>
          <w:fldChar w:fldCharType="separate"/>
        </w:r>
        <w:r w:rsidR="00267057">
          <w:rPr>
            <w:webHidden/>
          </w:rPr>
          <w:t>21</w:t>
        </w:r>
        <w:r w:rsidR="00470D7C">
          <w:rPr>
            <w:webHidden/>
          </w:rPr>
          <w:fldChar w:fldCharType="end"/>
        </w:r>
      </w:hyperlink>
    </w:p>
    <w:p w14:paraId="7F9A355B" w14:textId="6045B06E" w:rsidR="00470D7C" w:rsidRDefault="00B9252A">
      <w:pPr>
        <w:pStyle w:val="TOC1"/>
        <w:rPr>
          <w:rFonts w:asciiTheme="minorHAnsi" w:eastAsiaTheme="minorEastAsia" w:hAnsiTheme="minorHAnsi" w:cstheme="minorBidi"/>
          <w:noProof/>
          <w:szCs w:val="22"/>
        </w:rPr>
      </w:pPr>
      <w:hyperlink w:anchor="_Toc511060855" w:history="1">
        <w:r w:rsidR="00470D7C" w:rsidRPr="00302671">
          <w:rPr>
            <w:rStyle w:val="Hyperlink"/>
            <w:noProof/>
          </w:rPr>
          <w:t>0308.03F-05</w:t>
        </w:r>
        <w:r w:rsidR="00470D7C">
          <w:rPr>
            <w:rFonts w:asciiTheme="minorHAnsi" w:eastAsiaTheme="minorEastAsia" w:hAnsiTheme="minorHAnsi" w:cstheme="minorBidi"/>
            <w:noProof/>
            <w:szCs w:val="22"/>
          </w:rPr>
          <w:tab/>
        </w:r>
        <w:r w:rsidR="00470D7C" w:rsidRPr="00302671">
          <w:rPr>
            <w:rStyle w:val="Hyperlink"/>
            <w:noProof/>
          </w:rPr>
          <w:t>SUPPORTING GUIDANCE AND EXPLANATORY MATERIAL</w:t>
        </w:r>
        <w:r w:rsidR="00470D7C">
          <w:rPr>
            <w:noProof/>
            <w:webHidden/>
          </w:rPr>
          <w:tab/>
        </w:r>
        <w:r w:rsidR="00470D7C">
          <w:rPr>
            <w:noProof/>
            <w:webHidden/>
          </w:rPr>
          <w:fldChar w:fldCharType="begin"/>
        </w:r>
        <w:r w:rsidR="00470D7C">
          <w:rPr>
            <w:noProof/>
            <w:webHidden/>
          </w:rPr>
          <w:instrText xml:space="preserve"> PAGEREF _Toc511060855 \h </w:instrText>
        </w:r>
        <w:r w:rsidR="00470D7C">
          <w:rPr>
            <w:noProof/>
            <w:webHidden/>
          </w:rPr>
        </w:r>
        <w:r w:rsidR="00470D7C">
          <w:rPr>
            <w:noProof/>
            <w:webHidden/>
          </w:rPr>
          <w:fldChar w:fldCharType="separate"/>
        </w:r>
        <w:r w:rsidR="00267057">
          <w:rPr>
            <w:noProof/>
            <w:webHidden/>
          </w:rPr>
          <w:t>22</w:t>
        </w:r>
        <w:r w:rsidR="00470D7C">
          <w:rPr>
            <w:noProof/>
            <w:webHidden/>
          </w:rPr>
          <w:fldChar w:fldCharType="end"/>
        </w:r>
      </w:hyperlink>
    </w:p>
    <w:p w14:paraId="59FDE888" w14:textId="0A57163B" w:rsidR="00470D7C" w:rsidRDefault="00B9252A">
      <w:pPr>
        <w:pStyle w:val="TOC2"/>
        <w:tabs>
          <w:tab w:val="left" w:pos="2160"/>
        </w:tabs>
        <w:rPr>
          <w:rFonts w:asciiTheme="minorHAnsi" w:eastAsiaTheme="minorEastAsia" w:hAnsiTheme="minorHAnsi" w:cstheme="minorBidi"/>
          <w:noProof/>
          <w:szCs w:val="22"/>
        </w:rPr>
      </w:pPr>
      <w:hyperlink w:anchor="_Toc511060856" w:history="1">
        <w:r w:rsidR="00470D7C" w:rsidRPr="00302671">
          <w:rPr>
            <w:rStyle w:val="Hyperlink"/>
            <w:noProof/>
          </w:rPr>
          <w:t>05.01</w:t>
        </w:r>
        <w:r w:rsidR="00470D7C">
          <w:rPr>
            <w:rFonts w:asciiTheme="minorHAnsi" w:eastAsiaTheme="minorEastAsia" w:hAnsiTheme="minorHAnsi" w:cstheme="minorBidi"/>
            <w:noProof/>
            <w:szCs w:val="22"/>
          </w:rPr>
          <w:tab/>
        </w:r>
        <w:r w:rsidR="00470D7C" w:rsidRPr="00302671">
          <w:rPr>
            <w:rStyle w:val="Hyperlink"/>
            <w:noProof/>
          </w:rPr>
          <w:t>Phase 1 Analysis Supporting Information</w:t>
        </w:r>
        <w:r w:rsidR="00470D7C">
          <w:rPr>
            <w:noProof/>
            <w:webHidden/>
          </w:rPr>
          <w:tab/>
        </w:r>
        <w:r w:rsidR="00470D7C">
          <w:rPr>
            <w:noProof/>
            <w:webHidden/>
          </w:rPr>
          <w:fldChar w:fldCharType="begin"/>
        </w:r>
        <w:r w:rsidR="00470D7C">
          <w:rPr>
            <w:noProof/>
            <w:webHidden/>
          </w:rPr>
          <w:instrText xml:space="preserve"> PAGEREF _Toc511060856 \h </w:instrText>
        </w:r>
        <w:r w:rsidR="00470D7C">
          <w:rPr>
            <w:noProof/>
            <w:webHidden/>
          </w:rPr>
        </w:r>
        <w:r w:rsidR="00470D7C">
          <w:rPr>
            <w:noProof/>
            <w:webHidden/>
          </w:rPr>
          <w:fldChar w:fldCharType="separate"/>
        </w:r>
        <w:r w:rsidR="00267057">
          <w:rPr>
            <w:noProof/>
            <w:webHidden/>
          </w:rPr>
          <w:t>22</w:t>
        </w:r>
        <w:r w:rsidR="00470D7C">
          <w:rPr>
            <w:noProof/>
            <w:webHidden/>
          </w:rPr>
          <w:fldChar w:fldCharType="end"/>
        </w:r>
      </w:hyperlink>
    </w:p>
    <w:p w14:paraId="7CCE88A3" w14:textId="19ADFB52" w:rsidR="00470D7C" w:rsidRDefault="00B9252A">
      <w:pPr>
        <w:pStyle w:val="TOC3"/>
        <w:rPr>
          <w:rFonts w:asciiTheme="minorHAnsi" w:eastAsiaTheme="minorEastAsia" w:hAnsiTheme="minorHAnsi" w:cstheme="minorBidi"/>
        </w:rPr>
      </w:pPr>
      <w:hyperlink w:anchor="_Toc511060857" w:history="1">
        <w:r w:rsidR="00470D7C" w:rsidRPr="00302671">
          <w:rPr>
            <w:rStyle w:val="Hyperlink"/>
          </w:rPr>
          <w:t>05.01.01</w:t>
        </w:r>
        <w:r w:rsidR="00470D7C">
          <w:rPr>
            <w:rFonts w:asciiTheme="minorHAnsi" w:eastAsiaTheme="minorEastAsia" w:hAnsiTheme="minorHAnsi" w:cstheme="minorBidi"/>
          </w:rPr>
          <w:tab/>
        </w:r>
        <w:r w:rsidR="00470D7C" w:rsidRPr="00302671">
          <w:rPr>
            <w:rStyle w:val="Hyperlink"/>
          </w:rPr>
          <w:t>Step 1.1 - Provide Statement of Fire Inspection Finding</w:t>
        </w:r>
        <w:r w:rsidR="00470D7C">
          <w:rPr>
            <w:webHidden/>
          </w:rPr>
          <w:tab/>
        </w:r>
        <w:r w:rsidR="00470D7C">
          <w:rPr>
            <w:webHidden/>
          </w:rPr>
          <w:fldChar w:fldCharType="begin"/>
        </w:r>
        <w:r w:rsidR="00470D7C">
          <w:rPr>
            <w:webHidden/>
          </w:rPr>
          <w:instrText xml:space="preserve"> PAGEREF _Toc511060857 \h </w:instrText>
        </w:r>
        <w:r w:rsidR="00470D7C">
          <w:rPr>
            <w:webHidden/>
          </w:rPr>
        </w:r>
        <w:r w:rsidR="00470D7C">
          <w:rPr>
            <w:webHidden/>
          </w:rPr>
          <w:fldChar w:fldCharType="separate"/>
        </w:r>
        <w:r w:rsidR="00267057">
          <w:rPr>
            <w:webHidden/>
          </w:rPr>
          <w:t>22</w:t>
        </w:r>
        <w:r w:rsidR="00470D7C">
          <w:rPr>
            <w:webHidden/>
          </w:rPr>
          <w:fldChar w:fldCharType="end"/>
        </w:r>
      </w:hyperlink>
    </w:p>
    <w:p w14:paraId="1A5CD040" w14:textId="000F440A" w:rsidR="00470D7C" w:rsidRDefault="00B9252A">
      <w:pPr>
        <w:pStyle w:val="TOC3"/>
        <w:rPr>
          <w:rFonts w:asciiTheme="minorHAnsi" w:eastAsiaTheme="minorEastAsia" w:hAnsiTheme="minorHAnsi" w:cstheme="minorBidi"/>
        </w:rPr>
      </w:pPr>
      <w:hyperlink w:anchor="_Toc511060858" w:history="1">
        <w:r w:rsidR="00470D7C" w:rsidRPr="00302671">
          <w:rPr>
            <w:rStyle w:val="Hyperlink"/>
          </w:rPr>
          <w:t>05.01.02</w:t>
        </w:r>
        <w:r w:rsidR="00470D7C">
          <w:rPr>
            <w:rFonts w:asciiTheme="minorHAnsi" w:eastAsiaTheme="minorEastAsia" w:hAnsiTheme="minorHAnsi" w:cstheme="minorBidi"/>
          </w:rPr>
          <w:tab/>
        </w:r>
        <w:r w:rsidR="00470D7C" w:rsidRPr="00302671">
          <w:rPr>
            <w:rStyle w:val="Hyperlink"/>
          </w:rPr>
          <w:t>Step 1.2 - Assign a Fire Finding Category</w:t>
        </w:r>
        <w:r w:rsidR="00470D7C">
          <w:rPr>
            <w:webHidden/>
          </w:rPr>
          <w:tab/>
        </w:r>
        <w:r w:rsidR="00470D7C">
          <w:rPr>
            <w:webHidden/>
          </w:rPr>
          <w:fldChar w:fldCharType="begin"/>
        </w:r>
        <w:r w:rsidR="00470D7C">
          <w:rPr>
            <w:webHidden/>
          </w:rPr>
          <w:instrText xml:space="preserve"> PAGEREF _Toc511060858 \h </w:instrText>
        </w:r>
        <w:r w:rsidR="00470D7C">
          <w:rPr>
            <w:webHidden/>
          </w:rPr>
        </w:r>
        <w:r w:rsidR="00470D7C">
          <w:rPr>
            <w:webHidden/>
          </w:rPr>
          <w:fldChar w:fldCharType="separate"/>
        </w:r>
        <w:r w:rsidR="00267057">
          <w:rPr>
            <w:webHidden/>
          </w:rPr>
          <w:t>22</w:t>
        </w:r>
        <w:r w:rsidR="00470D7C">
          <w:rPr>
            <w:webHidden/>
          </w:rPr>
          <w:fldChar w:fldCharType="end"/>
        </w:r>
      </w:hyperlink>
    </w:p>
    <w:p w14:paraId="75ADE49D" w14:textId="706F93D6" w:rsidR="00470D7C" w:rsidRDefault="00B9252A">
      <w:pPr>
        <w:pStyle w:val="TOC3"/>
        <w:rPr>
          <w:rFonts w:asciiTheme="minorHAnsi" w:eastAsiaTheme="minorEastAsia" w:hAnsiTheme="minorHAnsi" w:cstheme="minorBidi"/>
        </w:rPr>
      </w:pPr>
      <w:hyperlink w:anchor="_Toc511060859" w:history="1">
        <w:r w:rsidR="00470D7C" w:rsidRPr="00302671">
          <w:rPr>
            <w:rStyle w:val="Hyperlink"/>
          </w:rPr>
          <w:t>05.01.03</w:t>
        </w:r>
        <w:r w:rsidR="00470D7C">
          <w:rPr>
            <w:rFonts w:asciiTheme="minorHAnsi" w:eastAsiaTheme="minorEastAsia" w:hAnsiTheme="minorHAnsi" w:cstheme="minorBidi"/>
          </w:rPr>
          <w:tab/>
        </w:r>
        <w:r w:rsidR="00470D7C" w:rsidRPr="00302671">
          <w:rPr>
            <w:rStyle w:val="Hyperlink"/>
          </w:rPr>
          <w:t>Step 1.3 – Screen Low Degradation Deficiencies</w:t>
        </w:r>
        <w:r w:rsidR="00470D7C">
          <w:rPr>
            <w:webHidden/>
          </w:rPr>
          <w:tab/>
        </w:r>
        <w:r w:rsidR="00470D7C">
          <w:rPr>
            <w:webHidden/>
          </w:rPr>
          <w:fldChar w:fldCharType="begin"/>
        </w:r>
        <w:r w:rsidR="00470D7C">
          <w:rPr>
            <w:webHidden/>
          </w:rPr>
          <w:instrText xml:space="preserve"> PAGEREF _Toc511060859 \h </w:instrText>
        </w:r>
        <w:r w:rsidR="00470D7C">
          <w:rPr>
            <w:webHidden/>
          </w:rPr>
        </w:r>
        <w:r w:rsidR="00470D7C">
          <w:rPr>
            <w:webHidden/>
          </w:rPr>
          <w:fldChar w:fldCharType="separate"/>
        </w:r>
        <w:r w:rsidR="00267057">
          <w:rPr>
            <w:webHidden/>
          </w:rPr>
          <w:t>22</w:t>
        </w:r>
        <w:r w:rsidR="00470D7C">
          <w:rPr>
            <w:webHidden/>
          </w:rPr>
          <w:fldChar w:fldCharType="end"/>
        </w:r>
      </w:hyperlink>
    </w:p>
    <w:p w14:paraId="2B28522C" w14:textId="7A0F2609" w:rsidR="00470D7C" w:rsidRDefault="00B9252A">
      <w:pPr>
        <w:pStyle w:val="TOC3"/>
        <w:rPr>
          <w:rFonts w:asciiTheme="minorHAnsi" w:eastAsiaTheme="minorEastAsia" w:hAnsiTheme="minorHAnsi" w:cstheme="minorBidi"/>
        </w:rPr>
      </w:pPr>
      <w:hyperlink w:anchor="_Toc511060860" w:history="1">
        <w:r w:rsidR="00470D7C" w:rsidRPr="00302671">
          <w:rPr>
            <w:rStyle w:val="Hyperlink"/>
          </w:rPr>
          <w:t>05.01.04</w:t>
        </w:r>
        <w:r w:rsidR="00470D7C">
          <w:rPr>
            <w:rFonts w:asciiTheme="minorHAnsi" w:eastAsiaTheme="minorEastAsia" w:hAnsiTheme="minorHAnsi" w:cstheme="minorBidi"/>
          </w:rPr>
          <w:tab/>
        </w:r>
        <w:r w:rsidR="00470D7C" w:rsidRPr="00302671">
          <w:rPr>
            <w:rStyle w:val="Hyperlink"/>
          </w:rPr>
          <w:t>Step 1.4 - Qualitative Screening Questions for Eight Individual Categories</w:t>
        </w:r>
        <w:r w:rsidR="00470D7C">
          <w:rPr>
            <w:webHidden/>
          </w:rPr>
          <w:tab/>
        </w:r>
        <w:r w:rsidR="00B43D79">
          <w:rPr>
            <w:webHidden/>
          </w:rPr>
          <w:t>22</w:t>
        </w:r>
      </w:hyperlink>
    </w:p>
    <w:p w14:paraId="44E534A1" w14:textId="46D96C3D" w:rsidR="00470D7C" w:rsidRDefault="00B9252A">
      <w:pPr>
        <w:pStyle w:val="TOC3"/>
        <w:rPr>
          <w:rFonts w:asciiTheme="minorHAnsi" w:eastAsiaTheme="minorEastAsia" w:hAnsiTheme="minorHAnsi" w:cstheme="minorBidi"/>
        </w:rPr>
      </w:pPr>
      <w:hyperlink w:anchor="_Toc511060861" w:history="1">
        <w:r w:rsidR="00470D7C" w:rsidRPr="00302671">
          <w:rPr>
            <w:rStyle w:val="Hyperlink"/>
          </w:rPr>
          <w:t>05.01.05</w:t>
        </w:r>
        <w:r w:rsidR="00470D7C">
          <w:rPr>
            <w:rFonts w:asciiTheme="minorHAnsi" w:eastAsiaTheme="minorEastAsia" w:hAnsiTheme="minorHAnsi" w:cstheme="minorBidi"/>
          </w:rPr>
          <w:tab/>
        </w:r>
        <w:r w:rsidR="00470D7C" w:rsidRPr="00302671">
          <w:rPr>
            <w:rStyle w:val="Hyperlink"/>
          </w:rPr>
          <w:t>Step 1.5 – Screen Based on Licensee Fire PRA Results</w:t>
        </w:r>
        <w:r w:rsidR="00470D7C">
          <w:rPr>
            <w:webHidden/>
          </w:rPr>
          <w:tab/>
        </w:r>
        <w:r w:rsidR="00B43D79">
          <w:rPr>
            <w:webHidden/>
          </w:rPr>
          <w:t>22</w:t>
        </w:r>
      </w:hyperlink>
    </w:p>
    <w:p w14:paraId="2820EBBE" w14:textId="7961F5B3" w:rsidR="00470D7C" w:rsidRDefault="00B9252A">
      <w:pPr>
        <w:pStyle w:val="TOC2"/>
        <w:tabs>
          <w:tab w:val="left" w:pos="2160"/>
        </w:tabs>
        <w:rPr>
          <w:rFonts w:asciiTheme="minorHAnsi" w:eastAsiaTheme="minorEastAsia" w:hAnsiTheme="minorHAnsi" w:cstheme="minorBidi"/>
          <w:noProof/>
          <w:szCs w:val="22"/>
        </w:rPr>
      </w:pPr>
      <w:hyperlink w:anchor="_Toc511060862" w:history="1">
        <w:r w:rsidR="00470D7C" w:rsidRPr="00302671">
          <w:rPr>
            <w:rStyle w:val="Hyperlink"/>
            <w:noProof/>
          </w:rPr>
          <w:t>05.02</w:t>
        </w:r>
        <w:r w:rsidR="00470D7C">
          <w:rPr>
            <w:rFonts w:asciiTheme="minorHAnsi" w:eastAsiaTheme="minorEastAsia" w:hAnsiTheme="minorHAnsi" w:cstheme="minorBidi"/>
            <w:noProof/>
            <w:szCs w:val="22"/>
          </w:rPr>
          <w:tab/>
        </w:r>
        <w:r w:rsidR="00470D7C" w:rsidRPr="00302671">
          <w:rPr>
            <w:rStyle w:val="Hyperlink"/>
            <w:noProof/>
          </w:rPr>
          <w:t>Phase 2 Analysis Supporting Information</w:t>
        </w:r>
        <w:r w:rsidR="00470D7C">
          <w:rPr>
            <w:noProof/>
            <w:webHidden/>
          </w:rPr>
          <w:tab/>
        </w:r>
        <w:r w:rsidR="00470D7C">
          <w:rPr>
            <w:noProof/>
            <w:webHidden/>
          </w:rPr>
          <w:fldChar w:fldCharType="begin"/>
        </w:r>
        <w:r w:rsidR="00470D7C">
          <w:rPr>
            <w:noProof/>
            <w:webHidden/>
          </w:rPr>
          <w:instrText xml:space="preserve"> PAGEREF _Toc511060862 \h </w:instrText>
        </w:r>
        <w:r w:rsidR="00470D7C">
          <w:rPr>
            <w:noProof/>
            <w:webHidden/>
          </w:rPr>
        </w:r>
        <w:r w:rsidR="00470D7C">
          <w:rPr>
            <w:noProof/>
            <w:webHidden/>
          </w:rPr>
          <w:fldChar w:fldCharType="separate"/>
        </w:r>
        <w:r w:rsidR="00267057">
          <w:rPr>
            <w:noProof/>
            <w:webHidden/>
          </w:rPr>
          <w:t>23</w:t>
        </w:r>
        <w:r w:rsidR="00470D7C">
          <w:rPr>
            <w:noProof/>
            <w:webHidden/>
          </w:rPr>
          <w:fldChar w:fldCharType="end"/>
        </w:r>
      </w:hyperlink>
    </w:p>
    <w:p w14:paraId="1200970B" w14:textId="4BCC5737" w:rsidR="00470D7C" w:rsidRDefault="00B9252A">
      <w:pPr>
        <w:pStyle w:val="TOC3"/>
        <w:rPr>
          <w:rFonts w:asciiTheme="minorHAnsi" w:eastAsiaTheme="minorEastAsia" w:hAnsiTheme="minorHAnsi" w:cstheme="minorBidi"/>
        </w:rPr>
      </w:pPr>
      <w:hyperlink w:anchor="_Toc511060863" w:history="1">
        <w:r w:rsidR="00470D7C" w:rsidRPr="00302671">
          <w:rPr>
            <w:rStyle w:val="Hyperlink"/>
          </w:rPr>
          <w:t>05.02.01</w:t>
        </w:r>
        <w:r w:rsidR="00470D7C">
          <w:rPr>
            <w:rFonts w:asciiTheme="minorHAnsi" w:eastAsiaTheme="minorEastAsia" w:hAnsiTheme="minorHAnsi" w:cstheme="minorBidi"/>
          </w:rPr>
          <w:tab/>
        </w:r>
        <w:r w:rsidR="00470D7C" w:rsidRPr="00302671">
          <w:rPr>
            <w:rStyle w:val="Hyperlink"/>
          </w:rPr>
          <w:t>Step 2.1 - Bounding Risk Quantification</w:t>
        </w:r>
        <w:r w:rsidR="00470D7C">
          <w:rPr>
            <w:webHidden/>
          </w:rPr>
          <w:tab/>
        </w:r>
        <w:r w:rsidR="00470D7C">
          <w:rPr>
            <w:webHidden/>
          </w:rPr>
          <w:fldChar w:fldCharType="begin"/>
        </w:r>
        <w:r w:rsidR="00470D7C">
          <w:rPr>
            <w:webHidden/>
          </w:rPr>
          <w:instrText xml:space="preserve"> PAGEREF _Toc511060863 \h </w:instrText>
        </w:r>
        <w:r w:rsidR="00470D7C">
          <w:rPr>
            <w:webHidden/>
          </w:rPr>
        </w:r>
        <w:r w:rsidR="00470D7C">
          <w:rPr>
            <w:webHidden/>
          </w:rPr>
          <w:fldChar w:fldCharType="separate"/>
        </w:r>
        <w:r w:rsidR="00267057">
          <w:rPr>
            <w:webHidden/>
          </w:rPr>
          <w:t>23</w:t>
        </w:r>
        <w:r w:rsidR="00470D7C">
          <w:rPr>
            <w:webHidden/>
          </w:rPr>
          <w:fldChar w:fldCharType="end"/>
        </w:r>
      </w:hyperlink>
    </w:p>
    <w:p w14:paraId="3BAF2B42" w14:textId="68E6CB89" w:rsidR="00470D7C" w:rsidRDefault="00B9252A">
      <w:pPr>
        <w:pStyle w:val="TOC3"/>
        <w:rPr>
          <w:rFonts w:asciiTheme="minorHAnsi" w:eastAsiaTheme="minorEastAsia" w:hAnsiTheme="minorHAnsi" w:cstheme="minorBidi"/>
        </w:rPr>
      </w:pPr>
      <w:hyperlink w:anchor="_Toc511060864" w:history="1">
        <w:r w:rsidR="00470D7C" w:rsidRPr="00302671">
          <w:rPr>
            <w:rStyle w:val="Hyperlink"/>
          </w:rPr>
          <w:t>05.02.02</w:t>
        </w:r>
        <w:r w:rsidR="00470D7C">
          <w:rPr>
            <w:rFonts w:asciiTheme="minorHAnsi" w:eastAsiaTheme="minorEastAsia" w:hAnsiTheme="minorHAnsi" w:cstheme="minorBidi"/>
          </w:rPr>
          <w:tab/>
        </w:r>
        <w:r w:rsidR="00470D7C" w:rsidRPr="00302671">
          <w:rPr>
            <w:rStyle w:val="Hyperlink"/>
          </w:rPr>
          <w:t>Step 2.2: Identifying Credible Fire Scenarios and Information Gathering</w:t>
        </w:r>
        <w:r w:rsidR="00470D7C">
          <w:rPr>
            <w:webHidden/>
          </w:rPr>
          <w:tab/>
        </w:r>
        <w:r w:rsidR="00470D7C">
          <w:rPr>
            <w:webHidden/>
          </w:rPr>
          <w:fldChar w:fldCharType="begin"/>
        </w:r>
        <w:r w:rsidR="00470D7C">
          <w:rPr>
            <w:webHidden/>
          </w:rPr>
          <w:instrText xml:space="preserve"> PAGEREF _Toc511060864 \h </w:instrText>
        </w:r>
        <w:r w:rsidR="00470D7C">
          <w:rPr>
            <w:webHidden/>
          </w:rPr>
        </w:r>
        <w:r w:rsidR="00470D7C">
          <w:rPr>
            <w:webHidden/>
          </w:rPr>
          <w:fldChar w:fldCharType="separate"/>
        </w:r>
        <w:r w:rsidR="00267057">
          <w:rPr>
            <w:webHidden/>
          </w:rPr>
          <w:t>25</w:t>
        </w:r>
        <w:r w:rsidR="00470D7C">
          <w:rPr>
            <w:webHidden/>
          </w:rPr>
          <w:fldChar w:fldCharType="end"/>
        </w:r>
      </w:hyperlink>
    </w:p>
    <w:p w14:paraId="4A1B4789" w14:textId="261714C9" w:rsidR="00470D7C" w:rsidRDefault="00B9252A">
      <w:pPr>
        <w:pStyle w:val="TOC3"/>
        <w:rPr>
          <w:rFonts w:asciiTheme="minorHAnsi" w:eastAsiaTheme="minorEastAsia" w:hAnsiTheme="minorHAnsi" w:cstheme="minorBidi"/>
        </w:rPr>
      </w:pPr>
      <w:hyperlink w:anchor="_Toc511060865" w:history="1">
        <w:r w:rsidR="00470D7C" w:rsidRPr="00302671">
          <w:rPr>
            <w:rStyle w:val="Hyperlink"/>
          </w:rPr>
          <w:t>05.02.03</w:t>
        </w:r>
        <w:r w:rsidR="00470D7C">
          <w:rPr>
            <w:rFonts w:asciiTheme="minorHAnsi" w:eastAsiaTheme="minorEastAsia" w:hAnsiTheme="minorHAnsi" w:cstheme="minorBidi"/>
          </w:rPr>
          <w:tab/>
        </w:r>
        <w:r w:rsidR="00470D7C" w:rsidRPr="00302671">
          <w:rPr>
            <w:rStyle w:val="Hyperlink"/>
          </w:rPr>
          <w:t>Step 2.3: Ignition Source Screening and Fire Scenario Refinement</w:t>
        </w:r>
        <w:r w:rsidR="00470D7C">
          <w:rPr>
            <w:webHidden/>
          </w:rPr>
          <w:tab/>
        </w:r>
        <w:r w:rsidR="00470D7C">
          <w:rPr>
            <w:webHidden/>
          </w:rPr>
          <w:fldChar w:fldCharType="begin"/>
        </w:r>
        <w:r w:rsidR="00470D7C">
          <w:rPr>
            <w:webHidden/>
          </w:rPr>
          <w:instrText xml:space="preserve"> PAGEREF _Toc511060865 \h </w:instrText>
        </w:r>
        <w:r w:rsidR="00470D7C">
          <w:rPr>
            <w:webHidden/>
          </w:rPr>
        </w:r>
        <w:r w:rsidR="00470D7C">
          <w:rPr>
            <w:webHidden/>
          </w:rPr>
          <w:fldChar w:fldCharType="separate"/>
        </w:r>
        <w:r w:rsidR="00267057">
          <w:rPr>
            <w:webHidden/>
          </w:rPr>
          <w:t>26</w:t>
        </w:r>
        <w:r w:rsidR="00470D7C">
          <w:rPr>
            <w:webHidden/>
          </w:rPr>
          <w:fldChar w:fldCharType="end"/>
        </w:r>
      </w:hyperlink>
    </w:p>
    <w:p w14:paraId="13943454" w14:textId="37AD9EE8" w:rsidR="00470D7C" w:rsidRDefault="00B9252A">
      <w:pPr>
        <w:pStyle w:val="TOC3"/>
        <w:rPr>
          <w:rFonts w:asciiTheme="minorHAnsi" w:eastAsiaTheme="minorEastAsia" w:hAnsiTheme="minorHAnsi" w:cstheme="minorBidi"/>
        </w:rPr>
      </w:pPr>
      <w:hyperlink w:anchor="_Toc511060866" w:history="1">
        <w:r w:rsidR="00470D7C" w:rsidRPr="00302671">
          <w:rPr>
            <w:rStyle w:val="Hyperlink"/>
          </w:rPr>
          <w:t>05.02.04</w:t>
        </w:r>
        <w:r w:rsidR="00470D7C">
          <w:rPr>
            <w:rFonts w:asciiTheme="minorHAnsi" w:eastAsiaTheme="minorEastAsia" w:hAnsiTheme="minorHAnsi" w:cstheme="minorBidi"/>
          </w:rPr>
          <w:tab/>
        </w:r>
        <w:r w:rsidR="00470D7C" w:rsidRPr="00302671">
          <w:rPr>
            <w:rStyle w:val="Hyperlink"/>
          </w:rPr>
          <w:t>Step 2.4: Final Fire Ignition Frequency Estimates</w:t>
        </w:r>
        <w:r w:rsidR="00470D7C">
          <w:rPr>
            <w:webHidden/>
          </w:rPr>
          <w:tab/>
        </w:r>
        <w:r w:rsidR="00470D7C">
          <w:rPr>
            <w:webHidden/>
          </w:rPr>
          <w:fldChar w:fldCharType="begin"/>
        </w:r>
        <w:r w:rsidR="00470D7C">
          <w:rPr>
            <w:webHidden/>
          </w:rPr>
          <w:instrText xml:space="preserve"> PAGEREF _Toc511060866 \h </w:instrText>
        </w:r>
        <w:r w:rsidR="00470D7C">
          <w:rPr>
            <w:webHidden/>
          </w:rPr>
        </w:r>
        <w:r w:rsidR="00470D7C">
          <w:rPr>
            <w:webHidden/>
          </w:rPr>
          <w:fldChar w:fldCharType="separate"/>
        </w:r>
        <w:r w:rsidR="00267057">
          <w:rPr>
            <w:webHidden/>
          </w:rPr>
          <w:t>32</w:t>
        </w:r>
        <w:r w:rsidR="00470D7C">
          <w:rPr>
            <w:webHidden/>
          </w:rPr>
          <w:fldChar w:fldCharType="end"/>
        </w:r>
      </w:hyperlink>
    </w:p>
    <w:p w14:paraId="37A84106" w14:textId="77777777" w:rsidR="00470D7C" w:rsidRDefault="00B9252A">
      <w:pPr>
        <w:pStyle w:val="TOC3"/>
        <w:rPr>
          <w:rFonts w:asciiTheme="minorHAnsi" w:eastAsiaTheme="minorEastAsia" w:hAnsiTheme="minorHAnsi" w:cstheme="minorBidi"/>
        </w:rPr>
      </w:pPr>
      <w:hyperlink w:anchor="_Toc511060867" w:history="1">
        <w:r w:rsidR="00470D7C" w:rsidRPr="00302671">
          <w:rPr>
            <w:rStyle w:val="Hyperlink"/>
          </w:rPr>
          <w:t>High Degradation Findings against the Combustible Controls Program</w:t>
        </w:r>
        <w:r w:rsidR="00470D7C">
          <w:rPr>
            <w:webHidden/>
          </w:rPr>
          <w:tab/>
        </w:r>
        <w:r w:rsidR="00470D7C">
          <w:rPr>
            <w:webHidden/>
          </w:rPr>
          <w:fldChar w:fldCharType="begin"/>
        </w:r>
        <w:r w:rsidR="00470D7C">
          <w:rPr>
            <w:webHidden/>
          </w:rPr>
          <w:instrText xml:space="preserve"> PAGEREF _Toc511060867 \h </w:instrText>
        </w:r>
        <w:r w:rsidR="00470D7C">
          <w:rPr>
            <w:webHidden/>
          </w:rPr>
        </w:r>
        <w:r w:rsidR="00470D7C">
          <w:rPr>
            <w:webHidden/>
          </w:rPr>
          <w:fldChar w:fldCharType="separate"/>
        </w:r>
        <w:r w:rsidR="00267057">
          <w:rPr>
            <w:webHidden/>
          </w:rPr>
          <w:t>32</w:t>
        </w:r>
        <w:r w:rsidR="00470D7C">
          <w:rPr>
            <w:webHidden/>
          </w:rPr>
          <w:fldChar w:fldCharType="end"/>
        </w:r>
      </w:hyperlink>
    </w:p>
    <w:p w14:paraId="4CD35A19" w14:textId="5230BD4C" w:rsidR="00470D7C" w:rsidRDefault="00B9252A">
      <w:pPr>
        <w:pStyle w:val="TOC3"/>
        <w:rPr>
          <w:rFonts w:asciiTheme="minorHAnsi" w:eastAsiaTheme="minorEastAsia" w:hAnsiTheme="minorHAnsi" w:cstheme="minorBidi"/>
        </w:rPr>
      </w:pPr>
      <w:hyperlink w:anchor="_Toc511060868" w:history="1">
        <w:r w:rsidR="00470D7C" w:rsidRPr="00302671">
          <w:rPr>
            <w:rStyle w:val="Hyperlink"/>
          </w:rPr>
          <w:t>05.02.05</w:t>
        </w:r>
        <w:r w:rsidR="00470D7C">
          <w:rPr>
            <w:rFonts w:asciiTheme="minorHAnsi" w:eastAsiaTheme="minorEastAsia" w:hAnsiTheme="minorHAnsi" w:cstheme="minorBidi"/>
          </w:rPr>
          <w:tab/>
        </w:r>
        <w:r w:rsidR="00470D7C" w:rsidRPr="00302671">
          <w:rPr>
            <w:rStyle w:val="Hyperlink"/>
          </w:rPr>
          <w:t>Step 2.5: Final Conditional Core Damage Probability Estimates Determination</w:t>
        </w:r>
        <w:r w:rsidR="00470D7C">
          <w:rPr>
            <w:webHidden/>
          </w:rPr>
          <w:tab/>
        </w:r>
        <w:r w:rsidR="00470D7C">
          <w:rPr>
            <w:webHidden/>
          </w:rPr>
          <w:fldChar w:fldCharType="begin"/>
        </w:r>
        <w:r w:rsidR="00470D7C">
          <w:rPr>
            <w:webHidden/>
          </w:rPr>
          <w:instrText xml:space="preserve"> PAGEREF _Toc511060868 \h </w:instrText>
        </w:r>
        <w:r w:rsidR="00470D7C">
          <w:rPr>
            <w:webHidden/>
          </w:rPr>
        </w:r>
        <w:r w:rsidR="00470D7C">
          <w:rPr>
            <w:webHidden/>
          </w:rPr>
          <w:fldChar w:fldCharType="separate"/>
        </w:r>
        <w:r w:rsidR="00267057">
          <w:rPr>
            <w:webHidden/>
          </w:rPr>
          <w:t>33</w:t>
        </w:r>
        <w:r w:rsidR="00470D7C">
          <w:rPr>
            <w:webHidden/>
          </w:rPr>
          <w:fldChar w:fldCharType="end"/>
        </w:r>
      </w:hyperlink>
    </w:p>
    <w:p w14:paraId="63343F88" w14:textId="142C0B6A" w:rsidR="00470D7C" w:rsidRDefault="00B9252A">
      <w:pPr>
        <w:pStyle w:val="TOC3"/>
        <w:rPr>
          <w:rFonts w:asciiTheme="minorHAnsi" w:eastAsiaTheme="minorEastAsia" w:hAnsiTheme="minorHAnsi" w:cstheme="minorBidi"/>
        </w:rPr>
      </w:pPr>
      <w:hyperlink w:anchor="_Toc511060869" w:history="1">
        <w:r w:rsidR="00470D7C" w:rsidRPr="00302671">
          <w:rPr>
            <w:rStyle w:val="Hyperlink"/>
          </w:rPr>
          <w:t>05.02.06</w:t>
        </w:r>
        <w:r w:rsidR="00470D7C">
          <w:rPr>
            <w:rFonts w:asciiTheme="minorHAnsi" w:eastAsiaTheme="minorEastAsia" w:hAnsiTheme="minorHAnsi" w:cstheme="minorBidi"/>
          </w:rPr>
          <w:tab/>
        </w:r>
        <w:r w:rsidR="00470D7C" w:rsidRPr="00302671">
          <w:rPr>
            <w:rStyle w:val="Hyperlink"/>
          </w:rPr>
          <w:t>Step 2.6: Final Fire Severity Factor Estimates</w:t>
        </w:r>
        <w:r w:rsidR="00470D7C">
          <w:rPr>
            <w:webHidden/>
          </w:rPr>
          <w:tab/>
        </w:r>
        <w:r w:rsidR="00470D7C">
          <w:rPr>
            <w:webHidden/>
          </w:rPr>
          <w:fldChar w:fldCharType="begin"/>
        </w:r>
        <w:r w:rsidR="00470D7C">
          <w:rPr>
            <w:webHidden/>
          </w:rPr>
          <w:instrText xml:space="preserve"> PAGEREF _Toc511060869 \h </w:instrText>
        </w:r>
        <w:r w:rsidR="00470D7C">
          <w:rPr>
            <w:webHidden/>
          </w:rPr>
        </w:r>
        <w:r w:rsidR="00470D7C">
          <w:rPr>
            <w:webHidden/>
          </w:rPr>
          <w:fldChar w:fldCharType="separate"/>
        </w:r>
        <w:r w:rsidR="00267057">
          <w:rPr>
            <w:webHidden/>
          </w:rPr>
          <w:t>34</w:t>
        </w:r>
        <w:r w:rsidR="00470D7C">
          <w:rPr>
            <w:webHidden/>
          </w:rPr>
          <w:fldChar w:fldCharType="end"/>
        </w:r>
      </w:hyperlink>
    </w:p>
    <w:p w14:paraId="66762510" w14:textId="463D6CFD" w:rsidR="00470D7C" w:rsidRDefault="00B9252A">
      <w:pPr>
        <w:pStyle w:val="TOC3"/>
        <w:rPr>
          <w:rFonts w:asciiTheme="minorHAnsi" w:eastAsiaTheme="minorEastAsia" w:hAnsiTheme="minorHAnsi" w:cstheme="minorBidi"/>
        </w:rPr>
      </w:pPr>
      <w:hyperlink w:anchor="_Toc511060870" w:history="1">
        <w:r w:rsidR="00470D7C" w:rsidRPr="00302671">
          <w:rPr>
            <w:rStyle w:val="Hyperlink"/>
          </w:rPr>
          <w:t>05.02.07</w:t>
        </w:r>
        <w:r w:rsidR="00470D7C">
          <w:rPr>
            <w:rFonts w:asciiTheme="minorHAnsi" w:eastAsiaTheme="minorEastAsia" w:hAnsiTheme="minorHAnsi" w:cstheme="minorBidi"/>
          </w:rPr>
          <w:tab/>
        </w:r>
        <w:r w:rsidR="00470D7C" w:rsidRPr="00302671">
          <w:rPr>
            <w:rStyle w:val="Hyperlink"/>
          </w:rPr>
          <w:t>Step 2.7: Final Non-Suppression Probability Estimates</w:t>
        </w:r>
        <w:r w:rsidR="00470D7C">
          <w:rPr>
            <w:webHidden/>
          </w:rPr>
          <w:tab/>
        </w:r>
        <w:r w:rsidR="00470D7C">
          <w:rPr>
            <w:webHidden/>
          </w:rPr>
          <w:fldChar w:fldCharType="begin"/>
        </w:r>
        <w:r w:rsidR="00470D7C">
          <w:rPr>
            <w:webHidden/>
          </w:rPr>
          <w:instrText xml:space="preserve"> PAGEREF _Toc511060870 \h </w:instrText>
        </w:r>
        <w:r w:rsidR="00470D7C">
          <w:rPr>
            <w:webHidden/>
          </w:rPr>
        </w:r>
        <w:r w:rsidR="00470D7C">
          <w:rPr>
            <w:webHidden/>
          </w:rPr>
          <w:fldChar w:fldCharType="separate"/>
        </w:r>
        <w:r w:rsidR="00267057">
          <w:rPr>
            <w:webHidden/>
          </w:rPr>
          <w:t>35</w:t>
        </w:r>
        <w:r w:rsidR="00470D7C">
          <w:rPr>
            <w:webHidden/>
          </w:rPr>
          <w:fldChar w:fldCharType="end"/>
        </w:r>
      </w:hyperlink>
    </w:p>
    <w:p w14:paraId="5D78BCCA" w14:textId="109A5AD9" w:rsidR="00470D7C" w:rsidRDefault="00B9252A">
      <w:pPr>
        <w:pStyle w:val="TOC2"/>
        <w:tabs>
          <w:tab w:val="left" w:pos="2160"/>
        </w:tabs>
        <w:rPr>
          <w:rFonts w:asciiTheme="minorHAnsi" w:eastAsiaTheme="minorEastAsia" w:hAnsiTheme="minorHAnsi" w:cstheme="minorBidi"/>
          <w:noProof/>
          <w:szCs w:val="22"/>
        </w:rPr>
      </w:pPr>
      <w:hyperlink w:anchor="_Toc511060871" w:history="1">
        <w:r w:rsidR="00470D7C" w:rsidRPr="00302671">
          <w:rPr>
            <w:rStyle w:val="Hyperlink"/>
            <w:noProof/>
          </w:rPr>
          <w:t>05.03</w:t>
        </w:r>
        <w:r w:rsidR="00470D7C">
          <w:rPr>
            <w:rFonts w:asciiTheme="minorHAnsi" w:eastAsiaTheme="minorEastAsia" w:hAnsiTheme="minorHAnsi" w:cstheme="minorBidi"/>
            <w:noProof/>
            <w:szCs w:val="22"/>
          </w:rPr>
          <w:tab/>
        </w:r>
        <w:r w:rsidR="00470D7C" w:rsidRPr="00302671">
          <w:rPr>
            <w:rStyle w:val="Hyperlink"/>
            <w:noProof/>
          </w:rPr>
          <w:t>Attachment 8: Tables and Plots Supporting the Phase 2 Risk Quantification</w:t>
        </w:r>
        <w:r w:rsidR="00470D7C">
          <w:rPr>
            <w:noProof/>
            <w:webHidden/>
          </w:rPr>
          <w:tab/>
        </w:r>
        <w:r w:rsidR="00470D7C">
          <w:rPr>
            <w:noProof/>
            <w:webHidden/>
          </w:rPr>
          <w:fldChar w:fldCharType="begin"/>
        </w:r>
        <w:r w:rsidR="00470D7C">
          <w:rPr>
            <w:noProof/>
            <w:webHidden/>
          </w:rPr>
          <w:instrText xml:space="preserve"> PAGEREF _Toc511060871 \h </w:instrText>
        </w:r>
        <w:r w:rsidR="00470D7C">
          <w:rPr>
            <w:noProof/>
            <w:webHidden/>
          </w:rPr>
        </w:r>
        <w:r w:rsidR="00470D7C">
          <w:rPr>
            <w:noProof/>
            <w:webHidden/>
          </w:rPr>
          <w:fldChar w:fldCharType="separate"/>
        </w:r>
        <w:r w:rsidR="00267057">
          <w:rPr>
            <w:noProof/>
            <w:webHidden/>
          </w:rPr>
          <w:t>35</w:t>
        </w:r>
        <w:r w:rsidR="00470D7C">
          <w:rPr>
            <w:noProof/>
            <w:webHidden/>
          </w:rPr>
          <w:fldChar w:fldCharType="end"/>
        </w:r>
      </w:hyperlink>
    </w:p>
    <w:p w14:paraId="7BEF7363" w14:textId="5528027B" w:rsidR="00470D7C" w:rsidRDefault="00B9252A">
      <w:pPr>
        <w:pStyle w:val="TOC3"/>
        <w:rPr>
          <w:rFonts w:asciiTheme="minorHAnsi" w:eastAsiaTheme="minorEastAsia" w:hAnsiTheme="minorHAnsi" w:cstheme="minorBidi"/>
        </w:rPr>
      </w:pPr>
      <w:hyperlink w:anchor="_Toc511060872" w:history="1">
        <w:r w:rsidR="00470D7C" w:rsidRPr="00302671">
          <w:rPr>
            <w:rStyle w:val="Hyperlink"/>
          </w:rPr>
          <w:t>05.03.01</w:t>
        </w:r>
        <w:r w:rsidR="00470D7C">
          <w:rPr>
            <w:rFonts w:asciiTheme="minorHAnsi" w:eastAsiaTheme="minorEastAsia" w:hAnsiTheme="minorHAnsi" w:cstheme="minorBidi"/>
          </w:rPr>
          <w:tab/>
        </w:r>
        <w:r w:rsidR="00470D7C" w:rsidRPr="00302671">
          <w:rPr>
            <w:rStyle w:val="Hyperlink"/>
          </w:rPr>
          <w:t>Table/Plot Set A: Vertical and Radial Zone of Influence</w:t>
        </w:r>
        <w:r w:rsidR="00470D7C">
          <w:rPr>
            <w:webHidden/>
          </w:rPr>
          <w:tab/>
        </w:r>
        <w:r w:rsidR="00470D7C">
          <w:rPr>
            <w:webHidden/>
          </w:rPr>
          <w:fldChar w:fldCharType="begin"/>
        </w:r>
        <w:r w:rsidR="00470D7C">
          <w:rPr>
            <w:webHidden/>
          </w:rPr>
          <w:instrText xml:space="preserve"> PAGEREF _Toc511060872 \h </w:instrText>
        </w:r>
        <w:r w:rsidR="00470D7C">
          <w:rPr>
            <w:webHidden/>
          </w:rPr>
        </w:r>
        <w:r w:rsidR="00470D7C">
          <w:rPr>
            <w:webHidden/>
          </w:rPr>
          <w:fldChar w:fldCharType="separate"/>
        </w:r>
        <w:r w:rsidR="00267057">
          <w:rPr>
            <w:webHidden/>
          </w:rPr>
          <w:t>36</w:t>
        </w:r>
        <w:r w:rsidR="00470D7C">
          <w:rPr>
            <w:webHidden/>
          </w:rPr>
          <w:fldChar w:fldCharType="end"/>
        </w:r>
      </w:hyperlink>
    </w:p>
    <w:p w14:paraId="2C2A8D49" w14:textId="3E99E56A" w:rsidR="00470D7C" w:rsidRDefault="00B9252A">
      <w:pPr>
        <w:pStyle w:val="TOC3"/>
        <w:rPr>
          <w:rFonts w:asciiTheme="minorHAnsi" w:eastAsiaTheme="minorEastAsia" w:hAnsiTheme="minorHAnsi" w:cstheme="minorBidi"/>
        </w:rPr>
      </w:pPr>
      <w:hyperlink w:anchor="_Toc511060873" w:history="1">
        <w:r w:rsidR="00470D7C" w:rsidRPr="00302671">
          <w:rPr>
            <w:rStyle w:val="Hyperlink"/>
          </w:rPr>
          <w:t>05.03.02</w:t>
        </w:r>
        <w:r w:rsidR="00470D7C">
          <w:rPr>
            <w:rFonts w:asciiTheme="minorHAnsi" w:eastAsiaTheme="minorEastAsia" w:hAnsiTheme="minorHAnsi" w:cstheme="minorBidi"/>
          </w:rPr>
          <w:tab/>
        </w:r>
        <w:r w:rsidR="00470D7C" w:rsidRPr="00302671">
          <w:rPr>
            <w:rStyle w:val="Hyperlink"/>
          </w:rPr>
          <w:t>Table/Plot Set B: Minimum HRR to Create a Damaging HGL</w:t>
        </w:r>
        <w:r w:rsidR="00470D7C">
          <w:rPr>
            <w:webHidden/>
          </w:rPr>
          <w:tab/>
        </w:r>
        <w:r w:rsidR="00470D7C">
          <w:rPr>
            <w:webHidden/>
          </w:rPr>
          <w:fldChar w:fldCharType="begin"/>
        </w:r>
        <w:r w:rsidR="00470D7C">
          <w:rPr>
            <w:webHidden/>
          </w:rPr>
          <w:instrText xml:space="preserve"> PAGEREF _Toc511060873 \h </w:instrText>
        </w:r>
        <w:r w:rsidR="00470D7C">
          <w:rPr>
            <w:webHidden/>
          </w:rPr>
        </w:r>
        <w:r w:rsidR="00470D7C">
          <w:rPr>
            <w:webHidden/>
          </w:rPr>
          <w:fldChar w:fldCharType="separate"/>
        </w:r>
        <w:r w:rsidR="00267057">
          <w:rPr>
            <w:webHidden/>
          </w:rPr>
          <w:t>40</w:t>
        </w:r>
        <w:r w:rsidR="00470D7C">
          <w:rPr>
            <w:webHidden/>
          </w:rPr>
          <w:fldChar w:fldCharType="end"/>
        </w:r>
      </w:hyperlink>
    </w:p>
    <w:p w14:paraId="777AE7C8" w14:textId="5A43CAE3" w:rsidR="00470D7C" w:rsidRDefault="00B9252A">
      <w:pPr>
        <w:pStyle w:val="TOC3"/>
        <w:rPr>
          <w:rFonts w:asciiTheme="minorHAnsi" w:eastAsiaTheme="minorEastAsia" w:hAnsiTheme="minorHAnsi" w:cstheme="minorBidi"/>
        </w:rPr>
      </w:pPr>
      <w:hyperlink w:anchor="_Toc511060874" w:history="1">
        <w:r w:rsidR="00470D7C" w:rsidRPr="00302671">
          <w:rPr>
            <w:rStyle w:val="Hyperlink"/>
          </w:rPr>
          <w:t>05.03.03</w:t>
        </w:r>
        <w:r w:rsidR="00470D7C">
          <w:rPr>
            <w:rFonts w:asciiTheme="minorHAnsi" w:eastAsiaTheme="minorEastAsia" w:hAnsiTheme="minorHAnsi" w:cstheme="minorBidi"/>
          </w:rPr>
          <w:tab/>
        </w:r>
        <w:r w:rsidR="00470D7C" w:rsidRPr="00302671">
          <w:rPr>
            <w:rStyle w:val="Hyperlink"/>
          </w:rPr>
          <w:t>Table/Plot Set C: HRR Profiles of Fires Involving Cable Trays</w:t>
        </w:r>
        <w:r w:rsidR="00470D7C">
          <w:rPr>
            <w:webHidden/>
          </w:rPr>
          <w:tab/>
        </w:r>
        <w:r w:rsidR="00470D7C">
          <w:rPr>
            <w:webHidden/>
          </w:rPr>
          <w:fldChar w:fldCharType="begin"/>
        </w:r>
        <w:r w:rsidR="00470D7C">
          <w:rPr>
            <w:webHidden/>
          </w:rPr>
          <w:instrText xml:space="preserve"> PAGEREF _Toc511060874 \h </w:instrText>
        </w:r>
        <w:r w:rsidR="00470D7C">
          <w:rPr>
            <w:webHidden/>
          </w:rPr>
        </w:r>
        <w:r w:rsidR="00470D7C">
          <w:rPr>
            <w:webHidden/>
          </w:rPr>
          <w:fldChar w:fldCharType="separate"/>
        </w:r>
        <w:r w:rsidR="00267057">
          <w:rPr>
            <w:webHidden/>
          </w:rPr>
          <w:t>42</w:t>
        </w:r>
        <w:r w:rsidR="00470D7C">
          <w:rPr>
            <w:webHidden/>
          </w:rPr>
          <w:fldChar w:fldCharType="end"/>
        </w:r>
      </w:hyperlink>
    </w:p>
    <w:p w14:paraId="411AE1B0" w14:textId="14FDF904" w:rsidR="00470D7C" w:rsidRDefault="00B9252A">
      <w:pPr>
        <w:pStyle w:val="TOC3"/>
        <w:rPr>
          <w:rFonts w:asciiTheme="minorHAnsi" w:eastAsiaTheme="minorEastAsia" w:hAnsiTheme="minorHAnsi" w:cstheme="minorBidi"/>
        </w:rPr>
      </w:pPr>
      <w:hyperlink w:anchor="_Toc511060875" w:history="1">
        <w:r w:rsidR="00470D7C" w:rsidRPr="00302671">
          <w:rPr>
            <w:rStyle w:val="Hyperlink"/>
          </w:rPr>
          <w:t>05.03.04</w:t>
        </w:r>
        <w:r w:rsidR="00470D7C">
          <w:rPr>
            <w:rFonts w:asciiTheme="minorHAnsi" w:eastAsiaTheme="minorEastAsia" w:hAnsiTheme="minorHAnsi" w:cstheme="minorBidi"/>
          </w:rPr>
          <w:tab/>
        </w:r>
        <w:r w:rsidR="00470D7C" w:rsidRPr="00302671">
          <w:rPr>
            <w:rStyle w:val="Hyperlink"/>
          </w:rPr>
          <w:t>Table/Plot Set D: Severity Factor vs. Vertical Target Distance</w:t>
        </w:r>
        <w:r w:rsidR="00470D7C">
          <w:rPr>
            <w:webHidden/>
          </w:rPr>
          <w:tab/>
        </w:r>
        <w:r w:rsidR="00470D7C">
          <w:rPr>
            <w:webHidden/>
          </w:rPr>
          <w:fldChar w:fldCharType="begin"/>
        </w:r>
        <w:r w:rsidR="00470D7C">
          <w:rPr>
            <w:webHidden/>
          </w:rPr>
          <w:instrText xml:space="preserve"> PAGEREF _Toc511060875 \h </w:instrText>
        </w:r>
        <w:r w:rsidR="00470D7C">
          <w:rPr>
            <w:webHidden/>
          </w:rPr>
        </w:r>
        <w:r w:rsidR="00470D7C">
          <w:rPr>
            <w:webHidden/>
          </w:rPr>
          <w:fldChar w:fldCharType="separate"/>
        </w:r>
        <w:r w:rsidR="00267057">
          <w:rPr>
            <w:webHidden/>
          </w:rPr>
          <w:t>44</w:t>
        </w:r>
        <w:r w:rsidR="00470D7C">
          <w:rPr>
            <w:webHidden/>
          </w:rPr>
          <w:fldChar w:fldCharType="end"/>
        </w:r>
      </w:hyperlink>
    </w:p>
    <w:p w14:paraId="3F50E47F" w14:textId="2B2E9D46" w:rsidR="00470D7C" w:rsidRDefault="00B9252A">
      <w:pPr>
        <w:pStyle w:val="TOC3"/>
        <w:rPr>
          <w:rFonts w:asciiTheme="minorHAnsi" w:eastAsiaTheme="minorEastAsia" w:hAnsiTheme="minorHAnsi" w:cstheme="minorBidi"/>
        </w:rPr>
      </w:pPr>
      <w:hyperlink w:anchor="_Toc511060876" w:history="1">
        <w:r w:rsidR="00470D7C" w:rsidRPr="00302671">
          <w:rPr>
            <w:rStyle w:val="Hyperlink"/>
          </w:rPr>
          <w:t>05.03.05</w:t>
        </w:r>
        <w:r w:rsidR="00470D7C">
          <w:rPr>
            <w:rFonts w:asciiTheme="minorHAnsi" w:eastAsiaTheme="minorEastAsia" w:hAnsiTheme="minorHAnsi" w:cstheme="minorBidi"/>
          </w:rPr>
          <w:tab/>
        </w:r>
        <w:r w:rsidR="00470D7C" w:rsidRPr="00302671">
          <w:rPr>
            <w:rStyle w:val="Hyperlink"/>
          </w:rPr>
          <w:t>Table/Plot Set E: Severity Factor vs. Radial Target Distance</w:t>
        </w:r>
        <w:r w:rsidR="00470D7C">
          <w:rPr>
            <w:webHidden/>
          </w:rPr>
          <w:tab/>
        </w:r>
        <w:r w:rsidR="00470D7C">
          <w:rPr>
            <w:webHidden/>
          </w:rPr>
          <w:fldChar w:fldCharType="begin"/>
        </w:r>
        <w:r w:rsidR="00470D7C">
          <w:rPr>
            <w:webHidden/>
          </w:rPr>
          <w:instrText xml:space="preserve"> PAGEREF _Toc511060876 \h </w:instrText>
        </w:r>
        <w:r w:rsidR="00470D7C">
          <w:rPr>
            <w:webHidden/>
          </w:rPr>
        </w:r>
        <w:r w:rsidR="00470D7C">
          <w:rPr>
            <w:webHidden/>
          </w:rPr>
          <w:fldChar w:fldCharType="separate"/>
        </w:r>
        <w:r w:rsidR="00267057">
          <w:rPr>
            <w:webHidden/>
          </w:rPr>
          <w:t>45</w:t>
        </w:r>
        <w:r w:rsidR="00470D7C">
          <w:rPr>
            <w:webHidden/>
          </w:rPr>
          <w:fldChar w:fldCharType="end"/>
        </w:r>
      </w:hyperlink>
    </w:p>
    <w:p w14:paraId="1D5AA186" w14:textId="5AB6AE80" w:rsidR="00470D7C" w:rsidRDefault="00B9252A">
      <w:pPr>
        <w:pStyle w:val="TOC3"/>
        <w:rPr>
          <w:rFonts w:asciiTheme="minorHAnsi" w:eastAsiaTheme="minorEastAsia" w:hAnsiTheme="minorHAnsi" w:cstheme="minorBidi"/>
        </w:rPr>
      </w:pPr>
      <w:hyperlink w:anchor="_Toc511060877" w:history="1">
        <w:r w:rsidR="00470D7C" w:rsidRPr="00302671">
          <w:rPr>
            <w:rStyle w:val="Hyperlink"/>
          </w:rPr>
          <w:t>05.03.06</w:t>
        </w:r>
        <w:r w:rsidR="00470D7C">
          <w:rPr>
            <w:rFonts w:asciiTheme="minorHAnsi" w:eastAsiaTheme="minorEastAsia" w:hAnsiTheme="minorHAnsi" w:cstheme="minorBidi"/>
          </w:rPr>
          <w:tab/>
        </w:r>
        <w:r w:rsidR="00470D7C" w:rsidRPr="00302671">
          <w:rPr>
            <w:rStyle w:val="Hyperlink"/>
          </w:rPr>
          <w:t>Table/Plot Set F: Failure Time vs. Vertical Target Distance</w:t>
        </w:r>
        <w:r w:rsidR="00470D7C">
          <w:rPr>
            <w:webHidden/>
          </w:rPr>
          <w:tab/>
        </w:r>
        <w:r w:rsidR="00470D7C">
          <w:rPr>
            <w:webHidden/>
          </w:rPr>
          <w:fldChar w:fldCharType="begin"/>
        </w:r>
        <w:r w:rsidR="00470D7C">
          <w:rPr>
            <w:webHidden/>
          </w:rPr>
          <w:instrText xml:space="preserve"> PAGEREF _Toc511060877 \h </w:instrText>
        </w:r>
        <w:r w:rsidR="00470D7C">
          <w:rPr>
            <w:webHidden/>
          </w:rPr>
        </w:r>
        <w:r w:rsidR="00470D7C">
          <w:rPr>
            <w:webHidden/>
          </w:rPr>
          <w:fldChar w:fldCharType="separate"/>
        </w:r>
        <w:r w:rsidR="00267057">
          <w:rPr>
            <w:webHidden/>
          </w:rPr>
          <w:t>46</w:t>
        </w:r>
        <w:r w:rsidR="00470D7C">
          <w:rPr>
            <w:webHidden/>
          </w:rPr>
          <w:fldChar w:fldCharType="end"/>
        </w:r>
      </w:hyperlink>
    </w:p>
    <w:p w14:paraId="38F34CCD" w14:textId="22DC89BE" w:rsidR="00470D7C" w:rsidRDefault="00B9252A">
      <w:pPr>
        <w:pStyle w:val="TOC3"/>
        <w:rPr>
          <w:rFonts w:asciiTheme="minorHAnsi" w:eastAsiaTheme="minorEastAsia" w:hAnsiTheme="minorHAnsi" w:cstheme="minorBidi"/>
        </w:rPr>
      </w:pPr>
      <w:hyperlink w:anchor="_Toc511060878" w:history="1">
        <w:r w:rsidR="00470D7C" w:rsidRPr="00302671">
          <w:rPr>
            <w:rStyle w:val="Hyperlink"/>
          </w:rPr>
          <w:t>05.03.07</w:t>
        </w:r>
        <w:r w:rsidR="00470D7C">
          <w:rPr>
            <w:rFonts w:asciiTheme="minorHAnsi" w:eastAsiaTheme="minorEastAsia" w:hAnsiTheme="minorHAnsi" w:cstheme="minorBidi"/>
          </w:rPr>
          <w:tab/>
        </w:r>
        <w:r w:rsidR="00470D7C" w:rsidRPr="00302671">
          <w:rPr>
            <w:rStyle w:val="Hyperlink"/>
          </w:rPr>
          <w:t>Table/Plot Set G: Failure Time vs. Radial Target Distance</w:t>
        </w:r>
        <w:r w:rsidR="00470D7C">
          <w:rPr>
            <w:webHidden/>
          </w:rPr>
          <w:tab/>
        </w:r>
        <w:r w:rsidR="00470D7C">
          <w:rPr>
            <w:webHidden/>
          </w:rPr>
          <w:fldChar w:fldCharType="begin"/>
        </w:r>
        <w:r w:rsidR="00470D7C">
          <w:rPr>
            <w:webHidden/>
          </w:rPr>
          <w:instrText xml:space="preserve"> PAGEREF _Toc511060878 \h </w:instrText>
        </w:r>
        <w:r w:rsidR="00470D7C">
          <w:rPr>
            <w:webHidden/>
          </w:rPr>
        </w:r>
        <w:r w:rsidR="00470D7C">
          <w:rPr>
            <w:webHidden/>
          </w:rPr>
          <w:fldChar w:fldCharType="separate"/>
        </w:r>
        <w:r w:rsidR="00267057">
          <w:rPr>
            <w:webHidden/>
          </w:rPr>
          <w:t>47</w:t>
        </w:r>
        <w:r w:rsidR="00470D7C">
          <w:rPr>
            <w:webHidden/>
          </w:rPr>
          <w:fldChar w:fldCharType="end"/>
        </w:r>
      </w:hyperlink>
    </w:p>
    <w:p w14:paraId="68D61402" w14:textId="7F6D7033" w:rsidR="00470D7C" w:rsidRDefault="00B9252A">
      <w:pPr>
        <w:pStyle w:val="TOC3"/>
        <w:rPr>
          <w:rStyle w:val="Hyperlink"/>
        </w:rPr>
      </w:pPr>
      <w:hyperlink w:anchor="_Toc511060879" w:history="1">
        <w:r w:rsidR="00470D7C" w:rsidRPr="00302671">
          <w:rPr>
            <w:rStyle w:val="Hyperlink"/>
          </w:rPr>
          <w:t>05.03.08</w:t>
        </w:r>
        <w:r w:rsidR="00470D7C">
          <w:rPr>
            <w:rFonts w:asciiTheme="minorHAnsi" w:eastAsiaTheme="minorEastAsia" w:hAnsiTheme="minorHAnsi" w:cstheme="minorBidi"/>
          </w:rPr>
          <w:tab/>
        </w:r>
        <w:r w:rsidR="00470D7C" w:rsidRPr="00302671">
          <w:rPr>
            <w:rStyle w:val="Hyperlink"/>
          </w:rPr>
          <w:t>Table/Plot Set H: Detector Actuation and Sprinkler Activation Times</w:t>
        </w:r>
        <w:r w:rsidR="00470D7C">
          <w:rPr>
            <w:webHidden/>
          </w:rPr>
          <w:tab/>
        </w:r>
        <w:r w:rsidR="00470D7C">
          <w:rPr>
            <w:webHidden/>
          </w:rPr>
          <w:fldChar w:fldCharType="begin"/>
        </w:r>
        <w:r w:rsidR="00470D7C">
          <w:rPr>
            <w:webHidden/>
          </w:rPr>
          <w:instrText xml:space="preserve"> PAGEREF _Toc511060879 \h </w:instrText>
        </w:r>
        <w:r w:rsidR="00470D7C">
          <w:rPr>
            <w:webHidden/>
          </w:rPr>
        </w:r>
        <w:r w:rsidR="00470D7C">
          <w:rPr>
            <w:webHidden/>
          </w:rPr>
          <w:fldChar w:fldCharType="separate"/>
        </w:r>
        <w:r w:rsidR="00267057">
          <w:rPr>
            <w:webHidden/>
          </w:rPr>
          <w:t>48</w:t>
        </w:r>
        <w:r w:rsidR="00470D7C">
          <w:rPr>
            <w:webHidden/>
          </w:rPr>
          <w:fldChar w:fldCharType="end"/>
        </w:r>
      </w:hyperlink>
    </w:p>
    <w:p w14:paraId="2786FE90" w14:textId="77777777" w:rsidR="00470D7C" w:rsidRPr="00470D7C" w:rsidRDefault="00470D7C" w:rsidP="00470D7C">
      <w:pPr>
        <w:rPr>
          <w:rFonts w:eastAsiaTheme="minorEastAsia"/>
        </w:rPr>
      </w:pPr>
    </w:p>
    <w:p w14:paraId="77CA9220" w14:textId="6F74DBD2" w:rsidR="00470D7C" w:rsidRDefault="00B9252A">
      <w:pPr>
        <w:pStyle w:val="TOC1"/>
        <w:rPr>
          <w:rFonts w:asciiTheme="minorHAnsi" w:eastAsiaTheme="minorEastAsia" w:hAnsiTheme="minorHAnsi" w:cstheme="minorBidi"/>
          <w:noProof/>
          <w:szCs w:val="22"/>
        </w:rPr>
      </w:pPr>
      <w:hyperlink w:anchor="_Toc511060880" w:history="1">
        <w:r w:rsidR="00470D7C" w:rsidRPr="00302671">
          <w:rPr>
            <w:rStyle w:val="Hyperlink"/>
            <w:noProof/>
          </w:rPr>
          <w:t>0308.03F-06</w:t>
        </w:r>
        <w:r w:rsidR="00470D7C">
          <w:rPr>
            <w:rFonts w:asciiTheme="minorHAnsi" w:eastAsiaTheme="minorEastAsia" w:hAnsiTheme="minorHAnsi" w:cstheme="minorBidi"/>
            <w:noProof/>
            <w:szCs w:val="22"/>
          </w:rPr>
          <w:tab/>
        </w:r>
        <w:r w:rsidR="00470D7C" w:rsidRPr="00302671">
          <w:rPr>
            <w:rStyle w:val="Hyperlink"/>
            <w:noProof/>
          </w:rPr>
          <w:t>BASIS</w:t>
        </w:r>
        <w:r w:rsidR="00470D7C">
          <w:rPr>
            <w:noProof/>
            <w:webHidden/>
          </w:rPr>
          <w:tab/>
        </w:r>
        <w:r w:rsidR="00470D7C">
          <w:rPr>
            <w:noProof/>
            <w:webHidden/>
          </w:rPr>
          <w:tab/>
        </w:r>
        <w:r w:rsidR="00470D7C">
          <w:rPr>
            <w:noProof/>
            <w:webHidden/>
          </w:rPr>
          <w:fldChar w:fldCharType="begin"/>
        </w:r>
        <w:r w:rsidR="00470D7C">
          <w:rPr>
            <w:noProof/>
            <w:webHidden/>
          </w:rPr>
          <w:instrText xml:space="preserve"> PAGEREF _Toc511060880 \h </w:instrText>
        </w:r>
        <w:r w:rsidR="00470D7C">
          <w:rPr>
            <w:noProof/>
            <w:webHidden/>
          </w:rPr>
        </w:r>
        <w:r w:rsidR="00470D7C">
          <w:rPr>
            <w:noProof/>
            <w:webHidden/>
          </w:rPr>
          <w:fldChar w:fldCharType="separate"/>
        </w:r>
        <w:r w:rsidR="00267057">
          <w:rPr>
            <w:noProof/>
            <w:webHidden/>
          </w:rPr>
          <w:t>54</w:t>
        </w:r>
        <w:r w:rsidR="00470D7C">
          <w:rPr>
            <w:noProof/>
            <w:webHidden/>
          </w:rPr>
          <w:fldChar w:fldCharType="end"/>
        </w:r>
      </w:hyperlink>
    </w:p>
    <w:p w14:paraId="3154CA11" w14:textId="401EEEC3" w:rsidR="00470D7C" w:rsidRDefault="00B9252A">
      <w:pPr>
        <w:pStyle w:val="TOC2"/>
        <w:tabs>
          <w:tab w:val="left" w:pos="2160"/>
        </w:tabs>
        <w:rPr>
          <w:rFonts w:asciiTheme="minorHAnsi" w:eastAsiaTheme="minorEastAsia" w:hAnsiTheme="minorHAnsi" w:cstheme="minorBidi"/>
          <w:noProof/>
          <w:szCs w:val="22"/>
        </w:rPr>
      </w:pPr>
      <w:hyperlink w:anchor="_Toc511060881" w:history="1">
        <w:r w:rsidR="00470D7C" w:rsidRPr="00302671">
          <w:rPr>
            <w:rStyle w:val="Hyperlink"/>
            <w:noProof/>
          </w:rPr>
          <w:t>06.01</w:t>
        </w:r>
        <w:r w:rsidR="00470D7C">
          <w:rPr>
            <w:rFonts w:asciiTheme="minorHAnsi" w:eastAsiaTheme="minorEastAsia" w:hAnsiTheme="minorHAnsi" w:cstheme="minorBidi"/>
            <w:noProof/>
            <w:szCs w:val="22"/>
          </w:rPr>
          <w:tab/>
        </w:r>
        <w:r w:rsidR="00470D7C" w:rsidRPr="00302671">
          <w:rPr>
            <w:rStyle w:val="Hyperlink"/>
            <w:noProof/>
          </w:rPr>
          <w:t>Phase 1 Analysis Basis</w:t>
        </w:r>
        <w:r w:rsidR="00470D7C">
          <w:rPr>
            <w:noProof/>
            <w:webHidden/>
          </w:rPr>
          <w:tab/>
        </w:r>
        <w:r w:rsidR="00470D7C">
          <w:rPr>
            <w:noProof/>
            <w:webHidden/>
          </w:rPr>
          <w:fldChar w:fldCharType="begin"/>
        </w:r>
        <w:r w:rsidR="00470D7C">
          <w:rPr>
            <w:noProof/>
            <w:webHidden/>
          </w:rPr>
          <w:instrText xml:space="preserve"> PAGEREF _Toc511060881 \h </w:instrText>
        </w:r>
        <w:r w:rsidR="00470D7C">
          <w:rPr>
            <w:noProof/>
            <w:webHidden/>
          </w:rPr>
        </w:r>
        <w:r w:rsidR="00470D7C">
          <w:rPr>
            <w:noProof/>
            <w:webHidden/>
          </w:rPr>
          <w:fldChar w:fldCharType="separate"/>
        </w:r>
        <w:r w:rsidR="00267057">
          <w:rPr>
            <w:noProof/>
            <w:webHidden/>
          </w:rPr>
          <w:t>54</w:t>
        </w:r>
        <w:r w:rsidR="00470D7C">
          <w:rPr>
            <w:noProof/>
            <w:webHidden/>
          </w:rPr>
          <w:fldChar w:fldCharType="end"/>
        </w:r>
      </w:hyperlink>
    </w:p>
    <w:p w14:paraId="1CD8AC25" w14:textId="76D85B5D" w:rsidR="00470D7C" w:rsidRDefault="00B9252A">
      <w:pPr>
        <w:pStyle w:val="TOC3"/>
        <w:rPr>
          <w:rFonts w:asciiTheme="minorHAnsi" w:eastAsiaTheme="minorEastAsia" w:hAnsiTheme="minorHAnsi" w:cstheme="minorBidi"/>
        </w:rPr>
      </w:pPr>
      <w:hyperlink w:anchor="_Toc511060882" w:history="1">
        <w:r w:rsidR="00470D7C" w:rsidRPr="00302671">
          <w:rPr>
            <w:rStyle w:val="Hyperlink"/>
          </w:rPr>
          <w:t>06.01.01</w:t>
        </w:r>
        <w:r w:rsidR="00470D7C">
          <w:rPr>
            <w:rFonts w:asciiTheme="minorHAnsi" w:eastAsiaTheme="minorEastAsia" w:hAnsiTheme="minorHAnsi" w:cstheme="minorBidi"/>
          </w:rPr>
          <w:tab/>
        </w:r>
        <w:r w:rsidR="00470D7C" w:rsidRPr="00302671">
          <w:rPr>
            <w:rStyle w:val="Hyperlink"/>
          </w:rPr>
          <w:t>Step 1.1 – Provide Statement of Fire Protection Finding</w:t>
        </w:r>
        <w:r w:rsidR="00470D7C">
          <w:rPr>
            <w:webHidden/>
          </w:rPr>
          <w:tab/>
        </w:r>
        <w:r w:rsidR="00470D7C">
          <w:rPr>
            <w:webHidden/>
          </w:rPr>
          <w:fldChar w:fldCharType="begin"/>
        </w:r>
        <w:r w:rsidR="00470D7C">
          <w:rPr>
            <w:webHidden/>
          </w:rPr>
          <w:instrText xml:space="preserve"> PAGEREF _Toc511060882 \h </w:instrText>
        </w:r>
        <w:r w:rsidR="00470D7C">
          <w:rPr>
            <w:webHidden/>
          </w:rPr>
        </w:r>
        <w:r w:rsidR="00470D7C">
          <w:rPr>
            <w:webHidden/>
          </w:rPr>
          <w:fldChar w:fldCharType="separate"/>
        </w:r>
        <w:r w:rsidR="00267057">
          <w:rPr>
            <w:webHidden/>
          </w:rPr>
          <w:t>54</w:t>
        </w:r>
        <w:r w:rsidR="00470D7C">
          <w:rPr>
            <w:webHidden/>
          </w:rPr>
          <w:fldChar w:fldCharType="end"/>
        </w:r>
      </w:hyperlink>
    </w:p>
    <w:p w14:paraId="3F50C33C" w14:textId="63A6801A" w:rsidR="00470D7C" w:rsidRDefault="00B9252A">
      <w:pPr>
        <w:pStyle w:val="TOC3"/>
        <w:rPr>
          <w:rFonts w:asciiTheme="minorHAnsi" w:eastAsiaTheme="minorEastAsia" w:hAnsiTheme="minorHAnsi" w:cstheme="minorBidi"/>
        </w:rPr>
      </w:pPr>
      <w:hyperlink w:anchor="_Toc511060883" w:history="1">
        <w:r w:rsidR="00470D7C" w:rsidRPr="00302671">
          <w:rPr>
            <w:rStyle w:val="Hyperlink"/>
          </w:rPr>
          <w:t>06.01.02</w:t>
        </w:r>
        <w:r w:rsidR="00470D7C">
          <w:rPr>
            <w:rFonts w:asciiTheme="minorHAnsi" w:eastAsiaTheme="minorEastAsia" w:hAnsiTheme="minorHAnsi" w:cstheme="minorBidi"/>
          </w:rPr>
          <w:tab/>
        </w:r>
        <w:r w:rsidR="00470D7C" w:rsidRPr="00302671">
          <w:rPr>
            <w:rStyle w:val="Hyperlink"/>
          </w:rPr>
          <w:t>Step 1.2 – Assign a Fire Finding Category</w:t>
        </w:r>
        <w:r w:rsidR="00470D7C">
          <w:rPr>
            <w:webHidden/>
          </w:rPr>
          <w:tab/>
        </w:r>
        <w:r w:rsidR="00470D7C">
          <w:rPr>
            <w:webHidden/>
          </w:rPr>
          <w:fldChar w:fldCharType="begin"/>
        </w:r>
        <w:r w:rsidR="00470D7C">
          <w:rPr>
            <w:webHidden/>
          </w:rPr>
          <w:instrText xml:space="preserve"> PAGEREF _Toc511060883 \h </w:instrText>
        </w:r>
        <w:r w:rsidR="00470D7C">
          <w:rPr>
            <w:webHidden/>
          </w:rPr>
        </w:r>
        <w:r w:rsidR="00470D7C">
          <w:rPr>
            <w:webHidden/>
          </w:rPr>
          <w:fldChar w:fldCharType="separate"/>
        </w:r>
        <w:r w:rsidR="00267057">
          <w:rPr>
            <w:webHidden/>
          </w:rPr>
          <w:t>54</w:t>
        </w:r>
        <w:r w:rsidR="00470D7C">
          <w:rPr>
            <w:webHidden/>
          </w:rPr>
          <w:fldChar w:fldCharType="end"/>
        </w:r>
      </w:hyperlink>
    </w:p>
    <w:p w14:paraId="185EACB1" w14:textId="1BD20ADE" w:rsidR="00470D7C" w:rsidRDefault="00B9252A">
      <w:pPr>
        <w:pStyle w:val="TOC3"/>
        <w:rPr>
          <w:rFonts w:asciiTheme="minorHAnsi" w:eastAsiaTheme="minorEastAsia" w:hAnsiTheme="minorHAnsi" w:cstheme="minorBidi"/>
        </w:rPr>
      </w:pPr>
      <w:hyperlink w:anchor="_Toc511060884" w:history="1">
        <w:r w:rsidR="00470D7C" w:rsidRPr="00302671">
          <w:rPr>
            <w:rStyle w:val="Hyperlink"/>
          </w:rPr>
          <w:t>06.01.03</w:t>
        </w:r>
        <w:r w:rsidR="00470D7C">
          <w:rPr>
            <w:rFonts w:asciiTheme="minorHAnsi" w:eastAsiaTheme="minorEastAsia" w:hAnsiTheme="minorHAnsi" w:cstheme="minorBidi"/>
          </w:rPr>
          <w:tab/>
        </w:r>
        <w:r w:rsidR="00470D7C" w:rsidRPr="00302671">
          <w:rPr>
            <w:rStyle w:val="Hyperlink"/>
          </w:rPr>
          <w:t>Step 1.3 - Low Degradation Deficiencies</w:t>
        </w:r>
        <w:r w:rsidR="00470D7C">
          <w:rPr>
            <w:webHidden/>
          </w:rPr>
          <w:tab/>
        </w:r>
        <w:r w:rsidR="00470D7C">
          <w:rPr>
            <w:webHidden/>
          </w:rPr>
          <w:fldChar w:fldCharType="begin"/>
        </w:r>
        <w:r w:rsidR="00470D7C">
          <w:rPr>
            <w:webHidden/>
          </w:rPr>
          <w:instrText xml:space="preserve"> PAGEREF _Toc511060884 \h </w:instrText>
        </w:r>
        <w:r w:rsidR="00470D7C">
          <w:rPr>
            <w:webHidden/>
          </w:rPr>
        </w:r>
        <w:r w:rsidR="00470D7C">
          <w:rPr>
            <w:webHidden/>
          </w:rPr>
          <w:fldChar w:fldCharType="separate"/>
        </w:r>
        <w:r w:rsidR="00267057">
          <w:rPr>
            <w:webHidden/>
          </w:rPr>
          <w:t>54</w:t>
        </w:r>
        <w:r w:rsidR="00470D7C">
          <w:rPr>
            <w:webHidden/>
          </w:rPr>
          <w:fldChar w:fldCharType="end"/>
        </w:r>
      </w:hyperlink>
    </w:p>
    <w:p w14:paraId="0313B841" w14:textId="2FFCCB7A" w:rsidR="00470D7C" w:rsidRDefault="00B9252A">
      <w:pPr>
        <w:pStyle w:val="TOC3"/>
        <w:rPr>
          <w:rFonts w:asciiTheme="minorHAnsi" w:eastAsiaTheme="minorEastAsia" w:hAnsiTheme="minorHAnsi" w:cstheme="minorBidi"/>
        </w:rPr>
      </w:pPr>
      <w:hyperlink w:anchor="_Toc511060885" w:history="1">
        <w:r w:rsidR="00470D7C" w:rsidRPr="00302671">
          <w:rPr>
            <w:rStyle w:val="Hyperlink"/>
          </w:rPr>
          <w:t>06.01.04</w:t>
        </w:r>
        <w:r w:rsidR="00470D7C">
          <w:rPr>
            <w:rFonts w:asciiTheme="minorHAnsi" w:eastAsiaTheme="minorEastAsia" w:hAnsiTheme="minorHAnsi" w:cstheme="minorBidi"/>
          </w:rPr>
          <w:tab/>
        </w:r>
        <w:r w:rsidR="00470D7C" w:rsidRPr="00302671">
          <w:rPr>
            <w:rStyle w:val="Hyperlink"/>
          </w:rPr>
          <w:t>Step 1.4 - Qualitative Screening Questions</w:t>
        </w:r>
        <w:r w:rsidR="00470D7C">
          <w:rPr>
            <w:webHidden/>
          </w:rPr>
          <w:tab/>
        </w:r>
        <w:r w:rsidR="00470D7C">
          <w:rPr>
            <w:webHidden/>
          </w:rPr>
          <w:fldChar w:fldCharType="begin"/>
        </w:r>
        <w:r w:rsidR="00470D7C">
          <w:rPr>
            <w:webHidden/>
          </w:rPr>
          <w:instrText xml:space="preserve"> PAGEREF _Toc511060885 \h </w:instrText>
        </w:r>
        <w:r w:rsidR="00470D7C">
          <w:rPr>
            <w:webHidden/>
          </w:rPr>
        </w:r>
        <w:r w:rsidR="00470D7C">
          <w:rPr>
            <w:webHidden/>
          </w:rPr>
          <w:fldChar w:fldCharType="separate"/>
        </w:r>
        <w:r w:rsidR="00267057">
          <w:rPr>
            <w:webHidden/>
          </w:rPr>
          <w:t>56</w:t>
        </w:r>
        <w:r w:rsidR="00470D7C">
          <w:rPr>
            <w:webHidden/>
          </w:rPr>
          <w:fldChar w:fldCharType="end"/>
        </w:r>
      </w:hyperlink>
    </w:p>
    <w:p w14:paraId="269040B3" w14:textId="5A0B62A8" w:rsidR="00470D7C" w:rsidRDefault="00B9252A">
      <w:pPr>
        <w:pStyle w:val="TOC3"/>
        <w:rPr>
          <w:rFonts w:asciiTheme="minorHAnsi" w:eastAsiaTheme="minorEastAsia" w:hAnsiTheme="minorHAnsi" w:cstheme="minorBidi"/>
        </w:rPr>
      </w:pPr>
      <w:hyperlink w:anchor="_Toc511060886" w:history="1">
        <w:r w:rsidR="00470D7C" w:rsidRPr="00302671">
          <w:rPr>
            <w:rStyle w:val="Hyperlink"/>
          </w:rPr>
          <w:t>06.01.05</w:t>
        </w:r>
        <w:r w:rsidR="00470D7C">
          <w:rPr>
            <w:rFonts w:asciiTheme="minorHAnsi" w:eastAsiaTheme="minorEastAsia" w:hAnsiTheme="minorHAnsi" w:cstheme="minorBidi"/>
          </w:rPr>
          <w:tab/>
        </w:r>
        <w:r w:rsidR="00470D7C" w:rsidRPr="00302671">
          <w:rPr>
            <w:rStyle w:val="Hyperlink"/>
          </w:rPr>
          <w:t>Step 1.5 – Screen Based on Licensee Fire PRA Results</w:t>
        </w:r>
        <w:r w:rsidR="00470D7C">
          <w:rPr>
            <w:webHidden/>
          </w:rPr>
          <w:tab/>
        </w:r>
        <w:r w:rsidR="0016545E">
          <w:rPr>
            <w:webHidden/>
          </w:rPr>
          <w:t>59</w:t>
        </w:r>
      </w:hyperlink>
    </w:p>
    <w:p w14:paraId="070ED785" w14:textId="2F3CBB6A" w:rsidR="00470D7C" w:rsidRDefault="00B9252A">
      <w:pPr>
        <w:pStyle w:val="TOC2"/>
        <w:tabs>
          <w:tab w:val="left" w:pos="2160"/>
        </w:tabs>
        <w:rPr>
          <w:rFonts w:asciiTheme="minorHAnsi" w:eastAsiaTheme="minorEastAsia" w:hAnsiTheme="minorHAnsi" w:cstheme="minorBidi"/>
          <w:noProof/>
          <w:szCs w:val="22"/>
        </w:rPr>
      </w:pPr>
      <w:hyperlink w:anchor="_Toc511060887" w:history="1">
        <w:r w:rsidR="00470D7C" w:rsidRPr="00302671">
          <w:rPr>
            <w:rStyle w:val="Hyperlink"/>
            <w:noProof/>
          </w:rPr>
          <w:t>06.02</w:t>
        </w:r>
        <w:r w:rsidR="00470D7C">
          <w:rPr>
            <w:rFonts w:asciiTheme="minorHAnsi" w:eastAsiaTheme="minorEastAsia" w:hAnsiTheme="minorHAnsi" w:cstheme="minorBidi"/>
            <w:noProof/>
            <w:szCs w:val="22"/>
          </w:rPr>
          <w:tab/>
        </w:r>
        <w:r w:rsidR="00470D7C" w:rsidRPr="00302671">
          <w:rPr>
            <w:rStyle w:val="Hyperlink"/>
            <w:noProof/>
          </w:rPr>
          <w:t>Phase 2 Analysis Basis</w:t>
        </w:r>
        <w:r w:rsidR="00470D7C">
          <w:rPr>
            <w:noProof/>
            <w:webHidden/>
          </w:rPr>
          <w:tab/>
        </w:r>
        <w:r w:rsidR="0016545E">
          <w:rPr>
            <w:noProof/>
            <w:webHidden/>
          </w:rPr>
          <w:t>59</w:t>
        </w:r>
      </w:hyperlink>
    </w:p>
    <w:p w14:paraId="5F6EAE2E" w14:textId="2F058050" w:rsidR="00470D7C" w:rsidRDefault="00B9252A">
      <w:pPr>
        <w:pStyle w:val="TOC3"/>
        <w:rPr>
          <w:rFonts w:asciiTheme="minorHAnsi" w:eastAsiaTheme="minorEastAsia" w:hAnsiTheme="minorHAnsi" w:cstheme="minorBidi"/>
        </w:rPr>
      </w:pPr>
      <w:hyperlink w:anchor="_Toc511060888" w:history="1">
        <w:r w:rsidR="00470D7C" w:rsidRPr="00302671">
          <w:rPr>
            <w:rStyle w:val="Hyperlink"/>
          </w:rPr>
          <w:t>06.02.01</w:t>
        </w:r>
        <w:r w:rsidR="00470D7C">
          <w:rPr>
            <w:rFonts w:asciiTheme="minorHAnsi" w:eastAsiaTheme="minorEastAsia" w:hAnsiTheme="minorHAnsi" w:cstheme="minorBidi"/>
          </w:rPr>
          <w:tab/>
        </w:r>
        <w:r w:rsidR="00470D7C" w:rsidRPr="00302671">
          <w:rPr>
            <w:rStyle w:val="Hyperlink"/>
          </w:rPr>
          <w:t>Step 2.1: Bounding Risk Quantification</w:t>
        </w:r>
        <w:r w:rsidR="00470D7C">
          <w:rPr>
            <w:webHidden/>
          </w:rPr>
          <w:tab/>
        </w:r>
        <w:r w:rsidR="0016545E">
          <w:rPr>
            <w:webHidden/>
          </w:rPr>
          <w:t>62</w:t>
        </w:r>
      </w:hyperlink>
    </w:p>
    <w:p w14:paraId="341D02A3" w14:textId="77777777" w:rsidR="00470D7C" w:rsidRDefault="00B9252A">
      <w:pPr>
        <w:pStyle w:val="TOC3"/>
        <w:rPr>
          <w:rFonts w:asciiTheme="minorHAnsi" w:eastAsiaTheme="minorEastAsia" w:hAnsiTheme="minorHAnsi" w:cstheme="minorBidi"/>
        </w:rPr>
      </w:pPr>
      <w:hyperlink w:anchor="_Toc511060889" w:history="1">
        <w:r w:rsidR="00470D7C" w:rsidRPr="00302671">
          <w:rPr>
            <w:rStyle w:val="Hyperlink"/>
          </w:rPr>
          <w:t>06.02.02</w:t>
        </w:r>
        <w:r w:rsidR="00470D7C">
          <w:rPr>
            <w:rFonts w:asciiTheme="minorHAnsi" w:eastAsiaTheme="minorEastAsia" w:hAnsiTheme="minorHAnsi" w:cstheme="minorBidi"/>
          </w:rPr>
          <w:tab/>
        </w:r>
        <w:r w:rsidR="00470D7C" w:rsidRPr="00302671">
          <w:rPr>
            <w:rStyle w:val="Hyperlink"/>
          </w:rPr>
          <w:t>Step 2.2: Identifying Credible Fire Scenarios and Information Gathering</w:t>
        </w:r>
        <w:r w:rsidR="00470D7C">
          <w:rPr>
            <w:webHidden/>
          </w:rPr>
          <w:tab/>
        </w:r>
        <w:r w:rsidR="00470D7C">
          <w:rPr>
            <w:webHidden/>
          </w:rPr>
          <w:fldChar w:fldCharType="begin"/>
        </w:r>
        <w:r w:rsidR="00470D7C">
          <w:rPr>
            <w:webHidden/>
          </w:rPr>
          <w:instrText xml:space="preserve"> PAGEREF _Toc511060889 \h </w:instrText>
        </w:r>
        <w:r w:rsidR="00470D7C">
          <w:rPr>
            <w:webHidden/>
          </w:rPr>
        </w:r>
        <w:r w:rsidR="00470D7C">
          <w:rPr>
            <w:webHidden/>
          </w:rPr>
          <w:fldChar w:fldCharType="separate"/>
        </w:r>
        <w:r w:rsidR="00267057">
          <w:rPr>
            <w:webHidden/>
          </w:rPr>
          <w:t>62</w:t>
        </w:r>
        <w:r w:rsidR="00470D7C">
          <w:rPr>
            <w:webHidden/>
          </w:rPr>
          <w:fldChar w:fldCharType="end"/>
        </w:r>
      </w:hyperlink>
    </w:p>
    <w:p w14:paraId="57FAFE95" w14:textId="1AD6AF9B" w:rsidR="00470D7C" w:rsidRDefault="00B9252A">
      <w:pPr>
        <w:pStyle w:val="TOC3"/>
        <w:rPr>
          <w:rFonts w:asciiTheme="minorHAnsi" w:eastAsiaTheme="minorEastAsia" w:hAnsiTheme="minorHAnsi" w:cstheme="minorBidi"/>
        </w:rPr>
      </w:pPr>
      <w:hyperlink w:anchor="_Toc511060890" w:history="1">
        <w:r w:rsidR="00470D7C" w:rsidRPr="00302671">
          <w:rPr>
            <w:rStyle w:val="Hyperlink"/>
          </w:rPr>
          <w:t>06.02.03</w:t>
        </w:r>
        <w:r w:rsidR="00470D7C">
          <w:rPr>
            <w:rFonts w:asciiTheme="minorHAnsi" w:eastAsiaTheme="minorEastAsia" w:hAnsiTheme="minorHAnsi" w:cstheme="minorBidi"/>
          </w:rPr>
          <w:tab/>
        </w:r>
        <w:r w:rsidR="00470D7C" w:rsidRPr="00302671">
          <w:rPr>
            <w:rStyle w:val="Hyperlink"/>
          </w:rPr>
          <w:t>Step 2.3: Ignition Source Screening and Fire Scenario Refinement</w:t>
        </w:r>
        <w:r w:rsidR="00470D7C">
          <w:rPr>
            <w:webHidden/>
          </w:rPr>
          <w:tab/>
        </w:r>
        <w:r w:rsidR="00470D7C">
          <w:rPr>
            <w:webHidden/>
          </w:rPr>
          <w:fldChar w:fldCharType="begin"/>
        </w:r>
        <w:r w:rsidR="00470D7C">
          <w:rPr>
            <w:webHidden/>
          </w:rPr>
          <w:instrText xml:space="preserve"> PAGEREF _Toc511060890 \h </w:instrText>
        </w:r>
        <w:r w:rsidR="00470D7C">
          <w:rPr>
            <w:webHidden/>
          </w:rPr>
        </w:r>
        <w:r w:rsidR="00470D7C">
          <w:rPr>
            <w:webHidden/>
          </w:rPr>
          <w:fldChar w:fldCharType="separate"/>
        </w:r>
        <w:r w:rsidR="00267057">
          <w:rPr>
            <w:webHidden/>
          </w:rPr>
          <w:t>65</w:t>
        </w:r>
        <w:r w:rsidR="00470D7C">
          <w:rPr>
            <w:webHidden/>
          </w:rPr>
          <w:fldChar w:fldCharType="end"/>
        </w:r>
      </w:hyperlink>
    </w:p>
    <w:p w14:paraId="53056C06" w14:textId="708A0C48" w:rsidR="00470D7C" w:rsidRDefault="00B9252A">
      <w:pPr>
        <w:pStyle w:val="TOC3"/>
        <w:rPr>
          <w:rFonts w:asciiTheme="minorHAnsi" w:eastAsiaTheme="minorEastAsia" w:hAnsiTheme="minorHAnsi" w:cstheme="minorBidi"/>
        </w:rPr>
      </w:pPr>
      <w:hyperlink w:anchor="_Toc511060891" w:history="1">
        <w:r w:rsidR="00470D7C" w:rsidRPr="00302671">
          <w:rPr>
            <w:rStyle w:val="Hyperlink"/>
          </w:rPr>
          <w:t>06.02.04</w:t>
        </w:r>
        <w:r w:rsidR="00470D7C">
          <w:rPr>
            <w:rFonts w:asciiTheme="minorHAnsi" w:eastAsiaTheme="minorEastAsia" w:hAnsiTheme="minorHAnsi" w:cstheme="minorBidi"/>
          </w:rPr>
          <w:tab/>
        </w:r>
        <w:r w:rsidR="00470D7C" w:rsidRPr="00302671">
          <w:rPr>
            <w:rStyle w:val="Hyperlink"/>
          </w:rPr>
          <w:t>Step 2.4: Final Fire Ignition Frequency Estimates</w:t>
        </w:r>
        <w:r w:rsidR="00470D7C">
          <w:rPr>
            <w:webHidden/>
          </w:rPr>
          <w:tab/>
        </w:r>
        <w:r w:rsidR="00470D7C">
          <w:rPr>
            <w:webHidden/>
          </w:rPr>
          <w:fldChar w:fldCharType="begin"/>
        </w:r>
        <w:r w:rsidR="00470D7C">
          <w:rPr>
            <w:webHidden/>
          </w:rPr>
          <w:instrText xml:space="preserve"> PAGEREF _Toc511060891 \h </w:instrText>
        </w:r>
        <w:r w:rsidR="00470D7C">
          <w:rPr>
            <w:webHidden/>
          </w:rPr>
        </w:r>
        <w:r w:rsidR="00470D7C">
          <w:rPr>
            <w:webHidden/>
          </w:rPr>
          <w:fldChar w:fldCharType="separate"/>
        </w:r>
        <w:r w:rsidR="00267057">
          <w:rPr>
            <w:webHidden/>
          </w:rPr>
          <w:t>72</w:t>
        </w:r>
        <w:r w:rsidR="00470D7C">
          <w:rPr>
            <w:webHidden/>
          </w:rPr>
          <w:fldChar w:fldCharType="end"/>
        </w:r>
      </w:hyperlink>
    </w:p>
    <w:p w14:paraId="120E107A" w14:textId="36E33E9F" w:rsidR="00470D7C" w:rsidRDefault="00B9252A">
      <w:pPr>
        <w:pStyle w:val="TOC3"/>
        <w:rPr>
          <w:rFonts w:asciiTheme="minorHAnsi" w:eastAsiaTheme="minorEastAsia" w:hAnsiTheme="minorHAnsi" w:cstheme="minorBidi"/>
        </w:rPr>
      </w:pPr>
      <w:hyperlink w:anchor="_Toc511060892" w:history="1">
        <w:r w:rsidR="00470D7C" w:rsidRPr="00302671">
          <w:rPr>
            <w:rStyle w:val="Hyperlink"/>
          </w:rPr>
          <w:t>06.02.05</w:t>
        </w:r>
        <w:r w:rsidR="00470D7C">
          <w:rPr>
            <w:rFonts w:asciiTheme="minorHAnsi" w:eastAsiaTheme="minorEastAsia" w:hAnsiTheme="minorHAnsi" w:cstheme="minorBidi"/>
          </w:rPr>
          <w:tab/>
        </w:r>
        <w:r w:rsidR="00470D7C" w:rsidRPr="00302671">
          <w:rPr>
            <w:rStyle w:val="Hyperlink"/>
          </w:rPr>
          <w:t>Step 2.5: Final Conditional Core Damage Probability Estimates Determination</w:t>
        </w:r>
        <w:r w:rsidR="00470D7C">
          <w:rPr>
            <w:webHidden/>
          </w:rPr>
          <w:tab/>
        </w:r>
        <w:r w:rsidR="00470D7C">
          <w:rPr>
            <w:webHidden/>
          </w:rPr>
          <w:fldChar w:fldCharType="begin"/>
        </w:r>
        <w:r w:rsidR="00470D7C">
          <w:rPr>
            <w:webHidden/>
          </w:rPr>
          <w:instrText xml:space="preserve"> PAGEREF _Toc511060892 \h </w:instrText>
        </w:r>
        <w:r w:rsidR="00470D7C">
          <w:rPr>
            <w:webHidden/>
          </w:rPr>
        </w:r>
        <w:r w:rsidR="00470D7C">
          <w:rPr>
            <w:webHidden/>
          </w:rPr>
          <w:fldChar w:fldCharType="separate"/>
        </w:r>
        <w:r w:rsidR="00267057">
          <w:rPr>
            <w:webHidden/>
          </w:rPr>
          <w:t>81</w:t>
        </w:r>
        <w:r w:rsidR="00470D7C">
          <w:rPr>
            <w:webHidden/>
          </w:rPr>
          <w:fldChar w:fldCharType="end"/>
        </w:r>
      </w:hyperlink>
    </w:p>
    <w:p w14:paraId="409ADA2F" w14:textId="04401BB2" w:rsidR="00470D7C" w:rsidRDefault="00B9252A">
      <w:pPr>
        <w:pStyle w:val="TOC3"/>
        <w:rPr>
          <w:rFonts w:asciiTheme="minorHAnsi" w:eastAsiaTheme="minorEastAsia" w:hAnsiTheme="minorHAnsi" w:cstheme="minorBidi"/>
        </w:rPr>
      </w:pPr>
      <w:hyperlink w:anchor="_Toc511060893" w:history="1">
        <w:r w:rsidR="00470D7C" w:rsidRPr="00302671">
          <w:rPr>
            <w:rStyle w:val="Hyperlink"/>
          </w:rPr>
          <w:t>06.02.06</w:t>
        </w:r>
        <w:r w:rsidR="00470D7C">
          <w:rPr>
            <w:rFonts w:asciiTheme="minorHAnsi" w:eastAsiaTheme="minorEastAsia" w:hAnsiTheme="minorHAnsi" w:cstheme="minorBidi"/>
          </w:rPr>
          <w:tab/>
        </w:r>
        <w:r w:rsidR="00470D7C" w:rsidRPr="00302671">
          <w:rPr>
            <w:rStyle w:val="Hyperlink"/>
          </w:rPr>
          <w:t>Step 2.6: Final Fire Severity Factor Estimates</w:t>
        </w:r>
        <w:r w:rsidR="00470D7C">
          <w:rPr>
            <w:webHidden/>
          </w:rPr>
          <w:tab/>
        </w:r>
        <w:r w:rsidR="00470D7C">
          <w:rPr>
            <w:webHidden/>
          </w:rPr>
          <w:fldChar w:fldCharType="begin"/>
        </w:r>
        <w:r w:rsidR="00470D7C">
          <w:rPr>
            <w:webHidden/>
          </w:rPr>
          <w:instrText xml:space="preserve"> PAGEREF _Toc511060893 \h </w:instrText>
        </w:r>
        <w:r w:rsidR="00470D7C">
          <w:rPr>
            <w:webHidden/>
          </w:rPr>
        </w:r>
        <w:r w:rsidR="00470D7C">
          <w:rPr>
            <w:webHidden/>
          </w:rPr>
          <w:fldChar w:fldCharType="separate"/>
        </w:r>
        <w:r w:rsidR="00267057">
          <w:rPr>
            <w:webHidden/>
          </w:rPr>
          <w:t>83</w:t>
        </w:r>
        <w:r w:rsidR="00470D7C">
          <w:rPr>
            <w:webHidden/>
          </w:rPr>
          <w:fldChar w:fldCharType="end"/>
        </w:r>
      </w:hyperlink>
    </w:p>
    <w:p w14:paraId="0FB109F4" w14:textId="206883CE" w:rsidR="00470D7C" w:rsidRDefault="00B9252A">
      <w:pPr>
        <w:pStyle w:val="TOC3"/>
        <w:rPr>
          <w:rFonts w:asciiTheme="minorHAnsi" w:eastAsiaTheme="minorEastAsia" w:hAnsiTheme="minorHAnsi" w:cstheme="minorBidi"/>
        </w:rPr>
      </w:pPr>
      <w:hyperlink w:anchor="_Toc511060894" w:history="1">
        <w:r w:rsidR="00470D7C" w:rsidRPr="00302671">
          <w:rPr>
            <w:rStyle w:val="Hyperlink"/>
          </w:rPr>
          <w:t>06.02.07</w:t>
        </w:r>
        <w:r w:rsidR="00470D7C">
          <w:rPr>
            <w:rFonts w:asciiTheme="minorHAnsi" w:eastAsiaTheme="minorEastAsia" w:hAnsiTheme="minorHAnsi" w:cstheme="minorBidi"/>
          </w:rPr>
          <w:tab/>
        </w:r>
        <w:r w:rsidR="00470D7C" w:rsidRPr="00302671">
          <w:rPr>
            <w:rStyle w:val="Hyperlink"/>
          </w:rPr>
          <w:t>Step 2.7: Final Non-Suppression Probability Estimates</w:t>
        </w:r>
        <w:r w:rsidR="00470D7C">
          <w:rPr>
            <w:webHidden/>
          </w:rPr>
          <w:tab/>
        </w:r>
        <w:r w:rsidR="00470D7C">
          <w:rPr>
            <w:webHidden/>
          </w:rPr>
          <w:fldChar w:fldCharType="begin"/>
        </w:r>
        <w:r w:rsidR="00470D7C">
          <w:rPr>
            <w:webHidden/>
          </w:rPr>
          <w:instrText xml:space="preserve"> PAGEREF _Toc511060894 \h </w:instrText>
        </w:r>
        <w:r w:rsidR="00470D7C">
          <w:rPr>
            <w:webHidden/>
          </w:rPr>
        </w:r>
        <w:r w:rsidR="00470D7C">
          <w:rPr>
            <w:webHidden/>
          </w:rPr>
          <w:fldChar w:fldCharType="separate"/>
        </w:r>
        <w:r w:rsidR="00267057">
          <w:rPr>
            <w:webHidden/>
          </w:rPr>
          <w:t>84</w:t>
        </w:r>
        <w:r w:rsidR="00470D7C">
          <w:rPr>
            <w:webHidden/>
          </w:rPr>
          <w:fldChar w:fldCharType="end"/>
        </w:r>
      </w:hyperlink>
    </w:p>
    <w:p w14:paraId="15D7970E" w14:textId="1F8D489C" w:rsidR="00470D7C" w:rsidRDefault="00B9252A">
      <w:pPr>
        <w:pStyle w:val="TOC2"/>
        <w:tabs>
          <w:tab w:val="left" w:pos="2160"/>
        </w:tabs>
        <w:rPr>
          <w:rFonts w:asciiTheme="minorHAnsi" w:eastAsiaTheme="minorEastAsia" w:hAnsiTheme="minorHAnsi" w:cstheme="minorBidi"/>
          <w:noProof/>
          <w:szCs w:val="22"/>
        </w:rPr>
      </w:pPr>
      <w:hyperlink w:anchor="_Toc511060895" w:history="1">
        <w:r w:rsidR="00470D7C" w:rsidRPr="00302671">
          <w:rPr>
            <w:rStyle w:val="Hyperlink"/>
            <w:noProof/>
          </w:rPr>
          <w:t>06.03</w:t>
        </w:r>
        <w:r w:rsidR="00470D7C">
          <w:rPr>
            <w:rFonts w:asciiTheme="minorHAnsi" w:eastAsiaTheme="minorEastAsia" w:hAnsiTheme="minorHAnsi" w:cstheme="minorBidi"/>
            <w:noProof/>
            <w:szCs w:val="22"/>
          </w:rPr>
          <w:tab/>
        </w:r>
        <w:r w:rsidR="00470D7C" w:rsidRPr="00302671">
          <w:rPr>
            <w:rStyle w:val="Hyperlink"/>
            <w:noProof/>
          </w:rPr>
          <w:t>Attachment 8: Tables and Plots Supporting the Phase 2 Risk Quantification</w:t>
        </w:r>
        <w:r w:rsidR="00470D7C">
          <w:rPr>
            <w:noProof/>
            <w:webHidden/>
          </w:rPr>
          <w:tab/>
        </w:r>
        <w:r w:rsidR="00470D7C">
          <w:rPr>
            <w:noProof/>
            <w:webHidden/>
          </w:rPr>
          <w:fldChar w:fldCharType="begin"/>
        </w:r>
        <w:r w:rsidR="00470D7C">
          <w:rPr>
            <w:noProof/>
            <w:webHidden/>
          </w:rPr>
          <w:instrText xml:space="preserve"> PAGEREF _Toc511060895 \h </w:instrText>
        </w:r>
        <w:r w:rsidR="00470D7C">
          <w:rPr>
            <w:noProof/>
            <w:webHidden/>
          </w:rPr>
        </w:r>
        <w:r w:rsidR="00470D7C">
          <w:rPr>
            <w:noProof/>
            <w:webHidden/>
          </w:rPr>
          <w:fldChar w:fldCharType="separate"/>
        </w:r>
        <w:r w:rsidR="00267057">
          <w:rPr>
            <w:noProof/>
            <w:webHidden/>
          </w:rPr>
          <w:t>88</w:t>
        </w:r>
        <w:r w:rsidR="00470D7C">
          <w:rPr>
            <w:noProof/>
            <w:webHidden/>
          </w:rPr>
          <w:fldChar w:fldCharType="end"/>
        </w:r>
      </w:hyperlink>
    </w:p>
    <w:p w14:paraId="0ACABD85" w14:textId="1E9E7B04" w:rsidR="00470D7C" w:rsidRDefault="00B9252A">
      <w:pPr>
        <w:pStyle w:val="TOC3"/>
        <w:rPr>
          <w:rFonts w:asciiTheme="minorHAnsi" w:eastAsiaTheme="minorEastAsia" w:hAnsiTheme="minorHAnsi" w:cstheme="minorBidi"/>
        </w:rPr>
      </w:pPr>
      <w:hyperlink w:anchor="_Toc511060896" w:history="1">
        <w:r w:rsidR="00470D7C" w:rsidRPr="00302671">
          <w:rPr>
            <w:rStyle w:val="Hyperlink"/>
          </w:rPr>
          <w:t>06.03.01</w:t>
        </w:r>
        <w:r w:rsidR="00470D7C">
          <w:rPr>
            <w:rFonts w:asciiTheme="minorHAnsi" w:eastAsiaTheme="minorEastAsia" w:hAnsiTheme="minorHAnsi" w:cstheme="minorBidi"/>
          </w:rPr>
          <w:tab/>
        </w:r>
        <w:r w:rsidR="00470D7C" w:rsidRPr="00302671">
          <w:rPr>
            <w:rStyle w:val="Hyperlink"/>
          </w:rPr>
          <w:t>Table/Plot Set A: Vertical and Radial ZOI</w:t>
        </w:r>
        <w:r w:rsidR="00470D7C">
          <w:rPr>
            <w:webHidden/>
          </w:rPr>
          <w:tab/>
        </w:r>
        <w:r w:rsidR="00470D7C">
          <w:rPr>
            <w:webHidden/>
          </w:rPr>
          <w:fldChar w:fldCharType="begin"/>
        </w:r>
        <w:r w:rsidR="00470D7C">
          <w:rPr>
            <w:webHidden/>
          </w:rPr>
          <w:instrText xml:space="preserve"> PAGEREF _Toc511060896 \h </w:instrText>
        </w:r>
        <w:r w:rsidR="00470D7C">
          <w:rPr>
            <w:webHidden/>
          </w:rPr>
        </w:r>
        <w:r w:rsidR="00470D7C">
          <w:rPr>
            <w:webHidden/>
          </w:rPr>
          <w:fldChar w:fldCharType="separate"/>
        </w:r>
        <w:r w:rsidR="00267057">
          <w:rPr>
            <w:webHidden/>
          </w:rPr>
          <w:t>88</w:t>
        </w:r>
        <w:r w:rsidR="00470D7C">
          <w:rPr>
            <w:webHidden/>
          </w:rPr>
          <w:fldChar w:fldCharType="end"/>
        </w:r>
      </w:hyperlink>
    </w:p>
    <w:p w14:paraId="1ED54B18" w14:textId="3D09E757" w:rsidR="00470D7C" w:rsidRDefault="00B9252A">
      <w:pPr>
        <w:pStyle w:val="TOC3"/>
        <w:rPr>
          <w:rFonts w:asciiTheme="minorHAnsi" w:eastAsiaTheme="minorEastAsia" w:hAnsiTheme="minorHAnsi" w:cstheme="minorBidi"/>
        </w:rPr>
      </w:pPr>
      <w:hyperlink w:anchor="_Toc511060897" w:history="1">
        <w:r w:rsidR="00470D7C" w:rsidRPr="00302671">
          <w:rPr>
            <w:rStyle w:val="Hyperlink"/>
          </w:rPr>
          <w:t>06.03.02</w:t>
        </w:r>
        <w:r w:rsidR="00470D7C">
          <w:rPr>
            <w:rFonts w:asciiTheme="minorHAnsi" w:eastAsiaTheme="minorEastAsia" w:hAnsiTheme="minorHAnsi" w:cstheme="minorBidi"/>
          </w:rPr>
          <w:tab/>
        </w:r>
        <w:r w:rsidR="00470D7C" w:rsidRPr="00302671">
          <w:rPr>
            <w:rStyle w:val="Hyperlink"/>
          </w:rPr>
          <w:t>Table/Plot Set B: Minimum HRR to Create a Damaging HGL</w:t>
        </w:r>
        <w:r w:rsidR="00470D7C">
          <w:rPr>
            <w:webHidden/>
          </w:rPr>
          <w:tab/>
        </w:r>
        <w:r w:rsidR="00470D7C">
          <w:rPr>
            <w:webHidden/>
          </w:rPr>
          <w:fldChar w:fldCharType="begin"/>
        </w:r>
        <w:r w:rsidR="00470D7C">
          <w:rPr>
            <w:webHidden/>
          </w:rPr>
          <w:instrText xml:space="preserve"> PAGEREF _Toc511060897 \h </w:instrText>
        </w:r>
        <w:r w:rsidR="00470D7C">
          <w:rPr>
            <w:webHidden/>
          </w:rPr>
        </w:r>
        <w:r w:rsidR="00470D7C">
          <w:rPr>
            <w:webHidden/>
          </w:rPr>
          <w:fldChar w:fldCharType="separate"/>
        </w:r>
        <w:r w:rsidR="00267057">
          <w:rPr>
            <w:webHidden/>
          </w:rPr>
          <w:t>97</w:t>
        </w:r>
        <w:r w:rsidR="00470D7C">
          <w:rPr>
            <w:webHidden/>
          </w:rPr>
          <w:fldChar w:fldCharType="end"/>
        </w:r>
      </w:hyperlink>
    </w:p>
    <w:p w14:paraId="77AE9EE6" w14:textId="5FB3E23B" w:rsidR="00470D7C" w:rsidRDefault="00B9252A">
      <w:pPr>
        <w:pStyle w:val="TOC3"/>
        <w:rPr>
          <w:rFonts w:asciiTheme="minorHAnsi" w:eastAsiaTheme="minorEastAsia" w:hAnsiTheme="minorHAnsi" w:cstheme="minorBidi"/>
        </w:rPr>
      </w:pPr>
      <w:hyperlink w:anchor="_Toc511060898" w:history="1">
        <w:r w:rsidR="00470D7C" w:rsidRPr="00302671">
          <w:rPr>
            <w:rStyle w:val="Hyperlink"/>
          </w:rPr>
          <w:t>06.03.03</w:t>
        </w:r>
        <w:r w:rsidR="00470D7C">
          <w:rPr>
            <w:rFonts w:asciiTheme="minorHAnsi" w:eastAsiaTheme="minorEastAsia" w:hAnsiTheme="minorHAnsi" w:cstheme="minorBidi"/>
          </w:rPr>
          <w:tab/>
        </w:r>
        <w:r w:rsidR="00470D7C" w:rsidRPr="00302671">
          <w:rPr>
            <w:rStyle w:val="Hyperlink"/>
          </w:rPr>
          <w:t>Table/Plot Set C: HRR Profiles of Fires Involving Cable Trays</w:t>
        </w:r>
        <w:r w:rsidR="00470D7C">
          <w:rPr>
            <w:webHidden/>
          </w:rPr>
          <w:tab/>
        </w:r>
        <w:r w:rsidR="0016545E">
          <w:rPr>
            <w:webHidden/>
          </w:rPr>
          <w:t>99</w:t>
        </w:r>
      </w:hyperlink>
    </w:p>
    <w:p w14:paraId="0112CCD4" w14:textId="3A830C08" w:rsidR="00470D7C" w:rsidRDefault="00B9252A">
      <w:pPr>
        <w:pStyle w:val="TOC3"/>
        <w:rPr>
          <w:rFonts w:asciiTheme="minorHAnsi" w:eastAsiaTheme="minorEastAsia" w:hAnsiTheme="minorHAnsi" w:cstheme="minorBidi"/>
        </w:rPr>
      </w:pPr>
      <w:hyperlink w:anchor="_Toc511060899" w:history="1">
        <w:r w:rsidR="00470D7C" w:rsidRPr="00302671">
          <w:rPr>
            <w:rStyle w:val="Hyperlink"/>
          </w:rPr>
          <w:t>06.03.04</w:t>
        </w:r>
        <w:r w:rsidR="00470D7C">
          <w:rPr>
            <w:rFonts w:asciiTheme="minorHAnsi" w:eastAsiaTheme="minorEastAsia" w:hAnsiTheme="minorHAnsi" w:cstheme="minorBidi"/>
          </w:rPr>
          <w:tab/>
        </w:r>
        <w:r w:rsidR="00470D7C" w:rsidRPr="00302671">
          <w:rPr>
            <w:rStyle w:val="Hyperlink"/>
          </w:rPr>
          <w:t>Table/Plot Set D: Severity Factor vs. Vertical Target Distance</w:t>
        </w:r>
        <w:r w:rsidR="00470D7C">
          <w:rPr>
            <w:webHidden/>
          </w:rPr>
          <w:tab/>
        </w:r>
        <w:r w:rsidR="00470D7C">
          <w:rPr>
            <w:webHidden/>
          </w:rPr>
          <w:fldChar w:fldCharType="begin"/>
        </w:r>
        <w:r w:rsidR="00470D7C">
          <w:rPr>
            <w:webHidden/>
          </w:rPr>
          <w:instrText xml:space="preserve"> PAGEREF _Toc511060899 \h </w:instrText>
        </w:r>
        <w:r w:rsidR="00470D7C">
          <w:rPr>
            <w:webHidden/>
          </w:rPr>
        </w:r>
        <w:r w:rsidR="00470D7C">
          <w:rPr>
            <w:webHidden/>
          </w:rPr>
          <w:fldChar w:fldCharType="separate"/>
        </w:r>
        <w:r w:rsidR="00267057">
          <w:rPr>
            <w:webHidden/>
          </w:rPr>
          <w:t>103</w:t>
        </w:r>
        <w:r w:rsidR="00470D7C">
          <w:rPr>
            <w:webHidden/>
          </w:rPr>
          <w:fldChar w:fldCharType="end"/>
        </w:r>
      </w:hyperlink>
    </w:p>
    <w:p w14:paraId="49488A73" w14:textId="5F83ED76" w:rsidR="00470D7C" w:rsidRDefault="00B9252A">
      <w:pPr>
        <w:pStyle w:val="TOC3"/>
        <w:rPr>
          <w:rFonts w:asciiTheme="minorHAnsi" w:eastAsiaTheme="minorEastAsia" w:hAnsiTheme="minorHAnsi" w:cstheme="minorBidi"/>
        </w:rPr>
      </w:pPr>
      <w:hyperlink w:anchor="_Toc511060900" w:history="1">
        <w:r w:rsidR="00470D7C" w:rsidRPr="00302671">
          <w:rPr>
            <w:rStyle w:val="Hyperlink"/>
          </w:rPr>
          <w:t>06.03.05</w:t>
        </w:r>
        <w:r w:rsidR="00470D7C">
          <w:rPr>
            <w:rFonts w:asciiTheme="minorHAnsi" w:eastAsiaTheme="minorEastAsia" w:hAnsiTheme="minorHAnsi" w:cstheme="minorBidi"/>
          </w:rPr>
          <w:tab/>
        </w:r>
        <w:r w:rsidR="00470D7C" w:rsidRPr="00302671">
          <w:rPr>
            <w:rStyle w:val="Hyperlink"/>
          </w:rPr>
          <w:t>Table/Plot Set E: Severity Factor vs. Radial Target Distance</w:t>
        </w:r>
        <w:r w:rsidR="00470D7C">
          <w:rPr>
            <w:webHidden/>
          </w:rPr>
          <w:tab/>
        </w:r>
        <w:r w:rsidR="00470D7C">
          <w:rPr>
            <w:webHidden/>
          </w:rPr>
          <w:fldChar w:fldCharType="begin"/>
        </w:r>
        <w:r w:rsidR="00470D7C">
          <w:rPr>
            <w:webHidden/>
          </w:rPr>
          <w:instrText xml:space="preserve"> PAGEREF _Toc511060900 \h </w:instrText>
        </w:r>
        <w:r w:rsidR="00470D7C">
          <w:rPr>
            <w:webHidden/>
          </w:rPr>
        </w:r>
        <w:r w:rsidR="00470D7C">
          <w:rPr>
            <w:webHidden/>
          </w:rPr>
          <w:fldChar w:fldCharType="separate"/>
        </w:r>
        <w:r w:rsidR="00267057">
          <w:rPr>
            <w:webHidden/>
          </w:rPr>
          <w:t>104</w:t>
        </w:r>
        <w:r w:rsidR="00470D7C">
          <w:rPr>
            <w:webHidden/>
          </w:rPr>
          <w:fldChar w:fldCharType="end"/>
        </w:r>
      </w:hyperlink>
    </w:p>
    <w:p w14:paraId="7EF448C6" w14:textId="12C9BB51" w:rsidR="00470D7C" w:rsidRDefault="00B9252A">
      <w:pPr>
        <w:pStyle w:val="TOC3"/>
        <w:rPr>
          <w:rFonts w:asciiTheme="minorHAnsi" w:eastAsiaTheme="minorEastAsia" w:hAnsiTheme="minorHAnsi" w:cstheme="minorBidi"/>
        </w:rPr>
      </w:pPr>
      <w:hyperlink w:anchor="_Toc511060901" w:history="1">
        <w:r w:rsidR="00470D7C" w:rsidRPr="00302671">
          <w:rPr>
            <w:rStyle w:val="Hyperlink"/>
          </w:rPr>
          <w:t>06.03.06</w:t>
        </w:r>
        <w:r w:rsidR="00470D7C">
          <w:rPr>
            <w:rFonts w:asciiTheme="minorHAnsi" w:eastAsiaTheme="minorEastAsia" w:hAnsiTheme="minorHAnsi" w:cstheme="minorBidi"/>
          </w:rPr>
          <w:tab/>
        </w:r>
        <w:r w:rsidR="00470D7C" w:rsidRPr="00302671">
          <w:rPr>
            <w:rStyle w:val="Hyperlink"/>
          </w:rPr>
          <w:t>Table/Plot Set F: Failure Time vs. Vertical Target Distance</w:t>
        </w:r>
        <w:r w:rsidR="00470D7C">
          <w:rPr>
            <w:webHidden/>
          </w:rPr>
          <w:tab/>
        </w:r>
        <w:r w:rsidR="00470D7C">
          <w:rPr>
            <w:webHidden/>
          </w:rPr>
          <w:fldChar w:fldCharType="begin"/>
        </w:r>
        <w:r w:rsidR="00470D7C">
          <w:rPr>
            <w:webHidden/>
          </w:rPr>
          <w:instrText xml:space="preserve"> PAGEREF _Toc511060901 \h </w:instrText>
        </w:r>
        <w:r w:rsidR="00470D7C">
          <w:rPr>
            <w:webHidden/>
          </w:rPr>
        </w:r>
        <w:r w:rsidR="00470D7C">
          <w:rPr>
            <w:webHidden/>
          </w:rPr>
          <w:fldChar w:fldCharType="separate"/>
        </w:r>
        <w:r w:rsidR="00267057">
          <w:rPr>
            <w:webHidden/>
          </w:rPr>
          <w:t>104</w:t>
        </w:r>
        <w:r w:rsidR="00470D7C">
          <w:rPr>
            <w:webHidden/>
          </w:rPr>
          <w:fldChar w:fldCharType="end"/>
        </w:r>
      </w:hyperlink>
    </w:p>
    <w:p w14:paraId="7C98C7EA" w14:textId="573842EB" w:rsidR="00470D7C" w:rsidRDefault="00B9252A">
      <w:pPr>
        <w:pStyle w:val="TOC3"/>
        <w:rPr>
          <w:rFonts w:asciiTheme="minorHAnsi" w:eastAsiaTheme="minorEastAsia" w:hAnsiTheme="minorHAnsi" w:cstheme="minorBidi"/>
        </w:rPr>
      </w:pPr>
      <w:hyperlink w:anchor="_Toc511060902" w:history="1">
        <w:r w:rsidR="00470D7C" w:rsidRPr="00302671">
          <w:rPr>
            <w:rStyle w:val="Hyperlink"/>
          </w:rPr>
          <w:t>06.03.07</w:t>
        </w:r>
        <w:r w:rsidR="00470D7C">
          <w:rPr>
            <w:rFonts w:asciiTheme="minorHAnsi" w:eastAsiaTheme="minorEastAsia" w:hAnsiTheme="minorHAnsi" w:cstheme="minorBidi"/>
          </w:rPr>
          <w:tab/>
        </w:r>
        <w:r w:rsidR="00470D7C" w:rsidRPr="00302671">
          <w:rPr>
            <w:rStyle w:val="Hyperlink"/>
          </w:rPr>
          <w:t>Table/Plot Set G: Failure Time vs. Radial Target Distance</w:t>
        </w:r>
        <w:r w:rsidR="00470D7C">
          <w:rPr>
            <w:webHidden/>
          </w:rPr>
          <w:tab/>
        </w:r>
        <w:r w:rsidR="00470D7C">
          <w:rPr>
            <w:webHidden/>
          </w:rPr>
          <w:fldChar w:fldCharType="begin"/>
        </w:r>
        <w:r w:rsidR="00470D7C">
          <w:rPr>
            <w:webHidden/>
          </w:rPr>
          <w:instrText xml:space="preserve"> PAGEREF _Toc511060902 \h </w:instrText>
        </w:r>
        <w:r w:rsidR="00470D7C">
          <w:rPr>
            <w:webHidden/>
          </w:rPr>
        </w:r>
        <w:r w:rsidR="00470D7C">
          <w:rPr>
            <w:webHidden/>
          </w:rPr>
          <w:fldChar w:fldCharType="separate"/>
        </w:r>
        <w:r w:rsidR="00267057">
          <w:rPr>
            <w:webHidden/>
          </w:rPr>
          <w:t>104</w:t>
        </w:r>
        <w:r w:rsidR="00470D7C">
          <w:rPr>
            <w:webHidden/>
          </w:rPr>
          <w:fldChar w:fldCharType="end"/>
        </w:r>
      </w:hyperlink>
    </w:p>
    <w:p w14:paraId="0C3A631B" w14:textId="2B58E737" w:rsidR="00470D7C" w:rsidRDefault="00B9252A">
      <w:pPr>
        <w:pStyle w:val="TOC3"/>
        <w:rPr>
          <w:rFonts w:asciiTheme="minorHAnsi" w:eastAsiaTheme="minorEastAsia" w:hAnsiTheme="minorHAnsi" w:cstheme="minorBidi"/>
        </w:rPr>
      </w:pPr>
      <w:hyperlink w:anchor="_Toc511060903" w:history="1">
        <w:r w:rsidR="00470D7C" w:rsidRPr="00302671">
          <w:rPr>
            <w:rStyle w:val="Hyperlink"/>
          </w:rPr>
          <w:t>06.03.08</w:t>
        </w:r>
        <w:r w:rsidR="00470D7C">
          <w:rPr>
            <w:rFonts w:asciiTheme="minorHAnsi" w:eastAsiaTheme="minorEastAsia" w:hAnsiTheme="minorHAnsi" w:cstheme="minorBidi"/>
          </w:rPr>
          <w:tab/>
        </w:r>
        <w:r w:rsidR="00470D7C" w:rsidRPr="00302671">
          <w:rPr>
            <w:rStyle w:val="Hyperlink"/>
          </w:rPr>
          <w:t>Table/Plot Set H: Detector Actuation and Sprinkler Activation Times</w:t>
        </w:r>
        <w:r w:rsidR="00470D7C">
          <w:rPr>
            <w:webHidden/>
          </w:rPr>
          <w:tab/>
        </w:r>
        <w:r w:rsidR="00470D7C">
          <w:rPr>
            <w:webHidden/>
          </w:rPr>
          <w:fldChar w:fldCharType="begin"/>
        </w:r>
        <w:r w:rsidR="00470D7C">
          <w:rPr>
            <w:webHidden/>
          </w:rPr>
          <w:instrText xml:space="preserve"> PAGEREF _Toc511060903 \h </w:instrText>
        </w:r>
        <w:r w:rsidR="00470D7C">
          <w:rPr>
            <w:webHidden/>
          </w:rPr>
        </w:r>
        <w:r w:rsidR="00470D7C">
          <w:rPr>
            <w:webHidden/>
          </w:rPr>
          <w:fldChar w:fldCharType="separate"/>
        </w:r>
        <w:r w:rsidR="00267057">
          <w:rPr>
            <w:webHidden/>
          </w:rPr>
          <w:t>104</w:t>
        </w:r>
        <w:r w:rsidR="00470D7C">
          <w:rPr>
            <w:webHidden/>
          </w:rPr>
          <w:fldChar w:fldCharType="end"/>
        </w:r>
      </w:hyperlink>
    </w:p>
    <w:p w14:paraId="36F8C978" w14:textId="36A11B8C" w:rsidR="00470D7C" w:rsidRDefault="00B9252A">
      <w:pPr>
        <w:pStyle w:val="TOC1"/>
        <w:rPr>
          <w:rFonts w:asciiTheme="minorHAnsi" w:eastAsiaTheme="minorEastAsia" w:hAnsiTheme="minorHAnsi" w:cstheme="minorBidi"/>
          <w:noProof/>
          <w:szCs w:val="22"/>
        </w:rPr>
      </w:pPr>
      <w:hyperlink w:anchor="_Toc511060904" w:history="1">
        <w:r w:rsidR="00470D7C" w:rsidRPr="00302671">
          <w:rPr>
            <w:rStyle w:val="Hyperlink"/>
            <w:noProof/>
          </w:rPr>
          <w:t>0308.03F-08</w:t>
        </w:r>
        <w:r w:rsidR="00470D7C">
          <w:rPr>
            <w:rFonts w:asciiTheme="minorHAnsi" w:eastAsiaTheme="minorEastAsia" w:hAnsiTheme="minorHAnsi" w:cstheme="minorBidi"/>
            <w:noProof/>
            <w:szCs w:val="22"/>
          </w:rPr>
          <w:tab/>
        </w:r>
        <w:r w:rsidR="00470D7C" w:rsidRPr="00302671">
          <w:rPr>
            <w:rStyle w:val="Hyperlink"/>
            <w:noProof/>
          </w:rPr>
          <w:t>REFERENCES</w:t>
        </w:r>
        <w:r w:rsidR="00470D7C">
          <w:rPr>
            <w:noProof/>
            <w:webHidden/>
          </w:rPr>
          <w:tab/>
        </w:r>
        <w:r w:rsidR="00470D7C">
          <w:rPr>
            <w:noProof/>
            <w:webHidden/>
          </w:rPr>
          <w:fldChar w:fldCharType="begin"/>
        </w:r>
        <w:r w:rsidR="00470D7C">
          <w:rPr>
            <w:noProof/>
            <w:webHidden/>
          </w:rPr>
          <w:instrText xml:space="preserve"> PAGEREF _Toc511060904 \h </w:instrText>
        </w:r>
        <w:r w:rsidR="00470D7C">
          <w:rPr>
            <w:noProof/>
            <w:webHidden/>
          </w:rPr>
        </w:r>
        <w:r w:rsidR="00470D7C">
          <w:rPr>
            <w:noProof/>
            <w:webHidden/>
          </w:rPr>
          <w:fldChar w:fldCharType="separate"/>
        </w:r>
        <w:r w:rsidR="00267057">
          <w:rPr>
            <w:noProof/>
            <w:webHidden/>
          </w:rPr>
          <w:t>110</w:t>
        </w:r>
        <w:r w:rsidR="00470D7C">
          <w:rPr>
            <w:noProof/>
            <w:webHidden/>
          </w:rPr>
          <w:fldChar w:fldCharType="end"/>
        </w:r>
      </w:hyperlink>
    </w:p>
    <w:p w14:paraId="1DB404F5" w14:textId="3CF27A4D" w:rsidR="005E7B82" w:rsidRDefault="00FF78ED" w:rsidP="00C51E30">
      <w:pPr>
        <w:rPr>
          <w:rFonts w:cs="Arial"/>
        </w:rPr>
      </w:pPr>
      <w:r>
        <w:rPr>
          <w:rFonts w:cs="Arial"/>
        </w:rPr>
        <w:fldChar w:fldCharType="end"/>
      </w:r>
    </w:p>
    <w:p w14:paraId="3D4AC300" w14:textId="3D978669" w:rsidR="000A75D8" w:rsidRDefault="000A75D8" w:rsidP="00C51E30">
      <w:pPr>
        <w:widowControl/>
        <w:autoSpaceDE/>
        <w:autoSpaceDN/>
        <w:adjustRightInd/>
        <w:rPr>
          <w:rFonts w:cs="Arial"/>
        </w:rPr>
      </w:pPr>
      <w:r>
        <w:rPr>
          <w:rFonts w:cs="Arial"/>
        </w:rPr>
        <w:br w:type="page"/>
      </w:r>
    </w:p>
    <w:p w14:paraId="13C9605B" w14:textId="28D105A9" w:rsidR="000A75D8" w:rsidRPr="003D25C3" w:rsidRDefault="001A51C5" w:rsidP="00C51E30">
      <w:pPr>
        <w:jc w:val="center"/>
        <w:rPr>
          <w:rFonts w:cs="Arial"/>
        </w:rPr>
      </w:pPr>
      <w:r w:rsidRPr="003D25C3">
        <w:rPr>
          <w:rFonts w:cs="Arial"/>
        </w:rPr>
        <w:lastRenderedPageBreak/>
        <w:t>LIST OF FIGURES</w:t>
      </w:r>
    </w:p>
    <w:p w14:paraId="11B21202" w14:textId="7081C2C4" w:rsidR="00031A86" w:rsidRDefault="00031A86" w:rsidP="00C51E30">
      <w:pPr>
        <w:tabs>
          <w:tab w:val="left" w:pos="720"/>
          <w:tab w:val="left" w:pos="1440"/>
          <w:tab w:val="left" w:pos="2160"/>
          <w:tab w:val="right" w:leader="dot" w:pos="9360"/>
        </w:tabs>
      </w:pPr>
      <w:r>
        <w:fldChar w:fldCharType="begin"/>
      </w:r>
      <w:r>
        <w:instrText xml:space="preserve"> TOC \c "Figure" </w:instrText>
      </w:r>
      <w:r>
        <w:fldChar w:fldCharType="end"/>
      </w:r>
    </w:p>
    <w:p w14:paraId="4E0C1F65" w14:textId="6C0E7E6D" w:rsidR="003E0F10" w:rsidRDefault="003E0F10" w:rsidP="00C51E30">
      <w:pPr>
        <w:pStyle w:val="TableofFigures"/>
        <w:tabs>
          <w:tab w:val="right" w:leader="dot" w:pos="9350"/>
        </w:tabs>
        <w:rPr>
          <w:rFonts w:asciiTheme="minorHAnsi" w:eastAsiaTheme="minorEastAsia" w:hAnsiTheme="minorHAnsi" w:cstheme="minorBidi"/>
          <w:noProof/>
          <w:szCs w:val="22"/>
        </w:rPr>
      </w:pPr>
      <w:r>
        <w:fldChar w:fldCharType="begin"/>
      </w:r>
      <w:r>
        <w:instrText xml:space="preserve"> TOC \t "Figures" \c </w:instrText>
      </w:r>
      <w:r>
        <w:fldChar w:fldCharType="separate"/>
      </w:r>
      <w:r>
        <w:rPr>
          <w:noProof/>
        </w:rPr>
        <w:t>Figure 5.2.1 – Finding the Vertical ZOI for an MCC and TP Cable Target.</w:t>
      </w:r>
      <w:r>
        <w:rPr>
          <w:noProof/>
        </w:rPr>
        <w:tab/>
      </w:r>
      <w:r>
        <w:rPr>
          <w:noProof/>
        </w:rPr>
        <w:fldChar w:fldCharType="begin"/>
      </w:r>
      <w:r>
        <w:rPr>
          <w:noProof/>
        </w:rPr>
        <w:instrText xml:space="preserve"> PAGEREF _Toc483393800 \h </w:instrText>
      </w:r>
      <w:r>
        <w:rPr>
          <w:noProof/>
        </w:rPr>
      </w:r>
      <w:r>
        <w:rPr>
          <w:noProof/>
        </w:rPr>
        <w:fldChar w:fldCharType="separate"/>
      </w:r>
      <w:r w:rsidR="00267057">
        <w:rPr>
          <w:noProof/>
        </w:rPr>
        <w:t>36</w:t>
      </w:r>
      <w:r>
        <w:rPr>
          <w:noProof/>
        </w:rPr>
        <w:fldChar w:fldCharType="end"/>
      </w:r>
    </w:p>
    <w:p w14:paraId="421D4659" w14:textId="7C5430DE"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5.2.2 – Tabulated Vertical ZOI for a Transient and TS Cable Target.</w:t>
      </w:r>
      <w:r>
        <w:rPr>
          <w:noProof/>
        </w:rPr>
        <w:tab/>
      </w:r>
      <w:r>
        <w:rPr>
          <w:noProof/>
        </w:rPr>
        <w:fldChar w:fldCharType="begin"/>
      </w:r>
      <w:r>
        <w:rPr>
          <w:noProof/>
        </w:rPr>
        <w:instrText xml:space="preserve"> PAGEREF _Toc483393801 \h </w:instrText>
      </w:r>
      <w:r>
        <w:rPr>
          <w:noProof/>
        </w:rPr>
      </w:r>
      <w:r>
        <w:rPr>
          <w:noProof/>
        </w:rPr>
        <w:fldChar w:fldCharType="separate"/>
      </w:r>
      <w:r w:rsidR="00267057">
        <w:rPr>
          <w:noProof/>
        </w:rPr>
        <w:t>37</w:t>
      </w:r>
      <w:r>
        <w:rPr>
          <w:noProof/>
        </w:rPr>
        <w:fldChar w:fldCharType="end"/>
      </w:r>
    </w:p>
    <w:p w14:paraId="7820AA4E" w14:textId="4A0640CF"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5.2.3 – Finding the Vertical ZOI for a Transient and TS Cable Target from Plots.</w:t>
      </w:r>
      <w:r>
        <w:rPr>
          <w:noProof/>
        </w:rPr>
        <w:tab/>
      </w:r>
      <w:r>
        <w:rPr>
          <w:noProof/>
        </w:rPr>
        <w:fldChar w:fldCharType="begin"/>
      </w:r>
      <w:r>
        <w:rPr>
          <w:noProof/>
        </w:rPr>
        <w:instrText xml:space="preserve"> PAGEREF _Toc483393802 \h </w:instrText>
      </w:r>
      <w:r>
        <w:rPr>
          <w:noProof/>
        </w:rPr>
      </w:r>
      <w:r>
        <w:rPr>
          <w:noProof/>
        </w:rPr>
        <w:fldChar w:fldCharType="separate"/>
      </w:r>
      <w:r w:rsidR="00267057">
        <w:rPr>
          <w:noProof/>
        </w:rPr>
        <w:t>37</w:t>
      </w:r>
      <w:r>
        <w:rPr>
          <w:noProof/>
        </w:rPr>
        <w:fldChar w:fldCharType="end"/>
      </w:r>
    </w:p>
    <w:p w14:paraId="18327AB5" w14:textId="2B786F1B"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5.2.4 – Radial ZOI for a Closed Large Enclosure and TP Cable Target.</w:t>
      </w:r>
      <w:r>
        <w:rPr>
          <w:noProof/>
        </w:rPr>
        <w:tab/>
      </w:r>
      <w:r>
        <w:rPr>
          <w:noProof/>
        </w:rPr>
        <w:fldChar w:fldCharType="begin"/>
      </w:r>
      <w:r>
        <w:rPr>
          <w:noProof/>
        </w:rPr>
        <w:instrText xml:space="preserve"> PAGEREF _Toc483393803 \h </w:instrText>
      </w:r>
      <w:r>
        <w:rPr>
          <w:noProof/>
        </w:rPr>
      </w:r>
      <w:r>
        <w:rPr>
          <w:noProof/>
        </w:rPr>
        <w:fldChar w:fldCharType="separate"/>
      </w:r>
      <w:r w:rsidR="00267057">
        <w:rPr>
          <w:noProof/>
        </w:rPr>
        <w:t>38</w:t>
      </w:r>
      <w:r>
        <w:rPr>
          <w:noProof/>
        </w:rPr>
        <w:fldChar w:fldCharType="end"/>
      </w:r>
    </w:p>
    <w:p w14:paraId="639A3BB5" w14:textId="2D031F2F"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5.2.5 – Vertical ZOI for a Confined Silicone Liquid Pool Fire and a TS Target.</w:t>
      </w:r>
      <w:r>
        <w:rPr>
          <w:noProof/>
        </w:rPr>
        <w:tab/>
      </w:r>
      <w:r w:rsidR="000702DC">
        <w:rPr>
          <w:noProof/>
        </w:rPr>
        <w:t>39</w:t>
      </w:r>
    </w:p>
    <w:p w14:paraId="2EF1734F" w14:textId="31FF0EDA"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5.2.6 – Vertical ZOI for an Unconfined Silicone Liquid Spill Fire and a TS Target.</w:t>
      </w:r>
      <w:r>
        <w:rPr>
          <w:noProof/>
        </w:rPr>
        <w:tab/>
      </w:r>
      <w:r>
        <w:rPr>
          <w:noProof/>
        </w:rPr>
        <w:fldChar w:fldCharType="begin"/>
      </w:r>
      <w:r>
        <w:rPr>
          <w:noProof/>
        </w:rPr>
        <w:instrText xml:space="preserve"> PAGEREF _Toc483393805 \h </w:instrText>
      </w:r>
      <w:r>
        <w:rPr>
          <w:noProof/>
        </w:rPr>
      </w:r>
      <w:r>
        <w:rPr>
          <w:noProof/>
        </w:rPr>
        <w:fldChar w:fldCharType="separate"/>
      </w:r>
      <w:r w:rsidR="00267057">
        <w:rPr>
          <w:noProof/>
        </w:rPr>
        <w:t>40</w:t>
      </w:r>
      <w:r>
        <w:rPr>
          <w:noProof/>
        </w:rPr>
        <w:fldChar w:fldCharType="end"/>
      </w:r>
    </w:p>
    <w:p w14:paraId="7FE16E65" w14:textId="49234C77" w:rsidR="003E0F10" w:rsidRDefault="003E0F10" w:rsidP="00C51E30">
      <w:pPr>
        <w:pStyle w:val="TableofFigures"/>
        <w:tabs>
          <w:tab w:val="right" w:leader="dot" w:pos="9350"/>
        </w:tabs>
        <w:ind w:left="1440" w:hanging="1440"/>
        <w:rPr>
          <w:rFonts w:asciiTheme="minorHAnsi" w:eastAsiaTheme="minorEastAsia" w:hAnsiTheme="minorHAnsi" w:cstheme="minorBidi"/>
          <w:noProof/>
          <w:szCs w:val="22"/>
        </w:rPr>
      </w:pPr>
      <w:r>
        <w:rPr>
          <w:noProof/>
        </w:rPr>
        <w:t>Figure 5.2.7 – Minimum HRR Required Creating a Damaging HGL for TS Targets in a Compartment with a Floor Area of 2400 ft</w:t>
      </w:r>
      <w:r w:rsidRPr="008D17C5">
        <w:rPr>
          <w:noProof/>
          <w:vertAlign w:val="superscript"/>
        </w:rPr>
        <w:t>2</w:t>
      </w:r>
      <w:r>
        <w:rPr>
          <w:noProof/>
        </w:rPr>
        <w:t xml:space="preserve"> and Ceiling Height of 15 ft.</w:t>
      </w:r>
      <w:r>
        <w:rPr>
          <w:noProof/>
        </w:rPr>
        <w:tab/>
      </w:r>
      <w:r>
        <w:rPr>
          <w:noProof/>
        </w:rPr>
        <w:fldChar w:fldCharType="begin"/>
      </w:r>
      <w:r>
        <w:rPr>
          <w:noProof/>
        </w:rPr>
        <w:instrText xml:space="preserve"> PAGEREF _Toc483393806 \h </w:instrText>
      </w:r>
      <w:r>
        <w:rPr>
          <w:noProof/>
        </w:rPr>
      </w:r>
      <w:r>
        <w:rPr>
          <w:noProof/>
        </w:rPr>
        <w:fldChar w:fldCharType="separate"/>
      </w:r>
      <w:r w:rsidR="00267057">
        <w:rPr>
          <w:noProof/>
        </w:rPr>
        <w:t>41</w:t>
      </w:r>
      <w:r>
        <w:rPr>
          <w:noProof/>
        </w:rPr>
        <w:fldChar w:fldCharType="end"/>
      </w:r>
    </w:p>
    <w:p w14:paraId="06550A96" w14:textId="2074AD65" w:rsidR="003E0F10" w:rsidRDefault="003E0F10" w:rsidP="00C51E30">
      <w:pPr>
        <w:pStyle w:val="TableofFigures"/>
        <w:tabs>
          <w:tab w:val="right" w:leader="dot" w:pos="9350"/>
        </w:tabs>
        <w:ind w:left="1440" w:hanging="1440"/>
        <w:rPr>
          <w:rFonts w:asciiTheme="minorHAnsi" w:eastAsiaTheme="minorEastAsia" w:hAnsiTheme="minorHAnsi" w:cstheme="minorBidi"/>
          <w:noProof/>
          <w:szCs w:val="22"/>
        </w:rPr>
      </w:pPr>
      <w:r>
        <w:rPr>
          <w:noProof/>
        </w:rPr>
        <w:t>Figure 5.2.8 – Minimum HRR Required Creating a Damaging HGL for TS Targets in a Compartment with a Floor Area of 1900 ft</w:t>
      </w:r>
      <w:r w:rsidRPr="008D17C5">
        <w:rPr>
          <w:noProof/>
          <w:vertAlign w:val="superscript"/>
        </w:rPr>
        <w:t>2</w:t>
      </w:r>
      <w:r>
        <w:rPr>
          <w:noProof/>
        </w:rPr>
        <w:t xml:space="preserve"> and Ceiling Height of 20 ft.</w:t>
      </w:r>
      <w:r>
        <w:rPr>
          <w:noProof/>
        </w:rPr>
        <w:tab/>
      </w:r>
      <w:r>
        <w:rPr>
          <w:noProof/>
        </w:rPr>
        <w:fldChar w:fldCharType="begin"/>
      </w:r>
      <w:r>
        <w:rPr>
          <w:noProof/>
        </w:rPr>
        <w:instrText xml:space="preserve"> PAGEREF _Toc483393807 \h </w:instrText>
      </w:r>
      <w:r>
        <w:rPr>
          <w:noProof/>
        </w:rPr>
      </w:r>
      <w:r>
        <w:rPr>
          <w:noProof/>
        </w:rPr>
        <w:fldChar w:fldCharType="separate"/>
      </w:r>
      <w:r w:rsidR="00267057">
        <w:rPr>
          <w:noProof/>
        </w:rPr>
        <w:t>42</w:t>
      </w:r>
      <w:r>
        <w:rPr>
          <w:noProof/>
        </w:rPr>
        <w:fldChar w:fldCharType="end"/>
      </w:r>
    </w:p>
    <w:p w14:paraId="0783D391" w14:textId="4EE5B414" w:rsidR="003E0F10" w:rsidRDefault="003E0F10" w:rsidP="00C51E30">
      <w:pPr>
        <w:pStyle w:val="TableofFigures"/>
        <w:tabs>
          <w:tab w:val="right" w:leader="dot" w:pos="9350"/>
        </w:tabs>
        <w:ind w:left="1440" w:hanging="1440"/>
        <w:rPr>
          <w:rFonts w:asciiTheme="minorHAnsi" w:eastAsiaTheme="minorEastAsia" w:hAnsiTheme="minorHAnsi" w:cstheme="minorBidi"/>
          <w:noProof/>
          <w:szCs w:val="22"/>
        </w:rPr>
      </w:pPr>
      <w:r>
        <w:rPr>
          <w:noProof/>
        </w:rPr>
        <w:t xml:space="preserve">Figure 5.2.9 – HRR of a Switchgear Fire Involving a Vertical Stack 1.5 ft. Wide Horizontal </w:t>
      </w:r>
      <w:r w:rsidR="00C51E30">
        <w:rPr>
          <w:noProof/>
        </w:rPr>
        <w:t xml:space="preserve">  </w:t>
      </w:r>
      <w:r>
        <w:rPr>
          <w:noProof/>
        </w:rPr>
        <w:t>Cable Trays Filled with TP Cables.</w:t>
      </w:r>
      <w:r>
        <w:rPr>
          <w:noProof/>
        </w:rPr>
        <w:tab/>
      </w:r>
      <w:r>
        <w:rPr>
          <w:noProof/>
        </w:rPr>
        <w:fldChar w:fldCharType="begin"/>
      </w:r>
      <w:r>
        <w:rPr>
          <w:noProof/>
        </w:rPr>
        <w:instrText xml:space="preserve"> PAGEREF _Toc483393808 \h </w:instrText>
      </w:r>
      <w:r>
        <w:rPr>
          <w:noProof/>
        </w:rPr>
      </w:r>
      <w:r>
        <w:rPr>
          <w:noProof/>
        </w:rPr>
        <w:fldChar w:fldCharType="separate"/>
      </w:r>
      <w:r w:rsidR="00267057">
        <w:rPr>
          <w:noProof/>
        </w:rPr>
        <w:t>43</w:t>
      </w:r>
      <w:r>
        <w:rPr>
          <w:noProof/>
        </w:rPr>
        <w:fldChar w:fldCharType="end"/>
      </w:r>
    </w:p>
    <w:p w14:paraId="6758288E" w14:textId="303F51C5"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5.2.10 – SF for a TP Target 2.7 ft. above an MCC.</w:t>
      </w:r>
      <w:r>
        <w:rPr>
          <w:noProof/>
        </w:rPr>
        <w:tab/>
      </w:r>
      <w:r>
        <w:rPr>
          <w:noProof/>
        </w:rPr>
        <w:fldChar w:fldCharType="begin"/>
      </w:r>
      <w:r>
        <w:rPr>
          <w:noProof/>
        </w:rPr>
        <w:instrText xml:space="preserve"> PAGEREF _Toc483393809 \h </w:instrText>
      </w:r>
      <w:r>
        <w:rPr>
          <w:noProof/>
        </w:rPr>
      </w:r>
      <w:r>
        <w:rPr>
          <w:noProof/>
        </w:rPr>
        <w:fldChar w:fldCharType="separate"/>
      </w:r>
      <w:r w:rsidR="00267057">
        <w:rPr>
          <w:noProof/>
        </w:rPr>
        <w:t>44</w:t>
      </w:r>
      <w:r>
        <w:rPr>
          <w:noProof/>
        </w:rPr>
        <w:fldChar w:fldCharType="end"/>
      </w:r>
    </w:p>
    <w:p w14:paraId="3C18C958" w14:textId="1E4B0D2B"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5.2.11 – SF for a TP Target at 1.75 ft. from a Closed Large Enclosure.</w:t>
      </w:r>
      <w:r>
        <w:rPr>
          <w:noProof/>
        </w:rPr>
        <w:tab/>
      </w:r>
      <w:r>
        <w:rPr>
          <w:noProof/>
        </w:rPr>
        <w:fldChar w:fldCharType="begin"/>
      </w:r>
      <w:r>
        <w:rPr>
          <w:noProof/>
        </w:rPr>
        <w:instrText xml:space="preserve"> PAGEREF _Toc483393810 \h </w:instrText>
      </w:r>
      <w:r>
        <w:rPr>
          <w:noProof/>
        </w:rPr>
      </w:r>
      <w:r>
        <w:rPr>
          <w:noProof/>
        </w:rPr>
        <w:fldChar w:fldCharType="separate"/>
      </w:r>
      <w:r w:rsidR="00267057">
        <w:rPr>
          <w:noProof/>
        </w:rPr>
        <w:t>46</w:t>
      </w:r>
      <w:r>
        <w:rPr>
          <w:noProof/>
        </w:rPr>
        <w:fldChar w:fldCharType="end"/>
      </w:r>
    </w:p>
    <w:p w14:paraId="1DF1152E" w14:textId="0F498BA9"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5.2.12 – Failure Time for a TP Target 2.7 ft. above an MCC.</w:t>
      </w:r>
      <w:r>
        <w:rPr>
          <w:noProof/>
        </w:rPr>
        <w:tab/>
      </w:r>
      <w:r>
        <w:rPr>
          <w:noProof/>
        </w:rPr>
        <w:fldChar w:fldCharType="begin"/>
      </w:r>
      <w:r>
        <w:rPr>
          <w:noProof/>
        </w:rPr>
        <w:instrText xml:space="preserve"> PAGEREF _Toc483393811 \h </w:instrText>
      </w:r>
      <w:r>
        <w:rPr>
          <w:noProof/>
        </w:rPr>
      </w:r>
      <w:r>
        <w:rPr>
          <w:noProof/>
        </w:rPr>
        <w:fldChar w:fldCharType="separate"/>
      </w:r>
      <w:r w:rsidR="00267057">
        <w:rPr>
          <w:noProof/>
        </w:rPr>
        <w:t>47</w:t>
      </w:r>
      <w:r>
        <w:rPr>
          <w:noProof/>
        </w:rPr>
        <w:fldChar w:fldCharType="end"/>
      </w:r>
    </w:p>
    <w:p w14:paraId="44C641E1" w14:textId="508A8E0B"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5.2.13 – Failure Time for a TP Target 2.7 ft. above an MCC.</w:t>
      </w:r>
      <w:r>
        <w:rPr>
          <w:noProof/>
        </w:rPr>
        <w:tab/>
      </w:r>
      <w:r>
        <w:rPr>
          <w:noProof/>
        </w:rPr>
        <w:fldChar w:fldCharType="begin"/>
      </w:r>
      <w:r>
        <w:rPr>
          <w:noProof/>
        </w:rPr>
        <w:instrText xml:space="preserve"> PAGEREF _Toc483393812 \h </w:instrText>
      </w:r>
      <w:r>
        <w:rPr>
          <w:noProof/>
        </w:rPr>
      </w:r>
      <w:r>
        <w:rPr>
          <w:noProof/>
        </w:rPr>
        <w:fldChar w:fldCharType="separate"/>
      </w:r>
      <w:r w:rsidR="00267057">
        <w:rPr>
          <w:noProof/>
        </w:rPr>
        <w:t>48</w:t>
      </w:r>
      <w:r>
        <w:rPr>
          <w:noProof/>
        </w:rPr>
        <w:fldChar w:fldCharType="end"/>
      </w:r>
    </w:p>
    <w:p w14:paraId="04DA291D" w14:textId="42F7E60C"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5.2.14 – Minimum HRR for Detector Actuation.</w:t>
      </w:r>
      <w:r>
        <w:rPr>
          <w:noProof/>
        </w:rPr>
        <w:tab/>
      </w:r>
      <w:r>
        <w:rPr>
          <w:noProof/>
        </w:rPr>
        <w:fldChar w:fldCharType="begin"/>
      </w:r>
      <w:r>
        <w:rPr>
          <w:noProof/>
        </w:rPr>
        <w:instrText xml:space="preserve"> PAGEREF _Toc483393813 \h </w:instrText>
      </w:r>
      <w:r>
        <w:rPr>
          <w:noProof/>
        </w:rPr>
      </w:r>
      <w:r>
        <w:rPr>
          <w:noProof/>
        </w:rPr>
        <w:fldChar w:fldCharType="separate"/>
      </w:r>
      <w:r w:rsidR="00267057">
        <w:rPr>
          <w:noProof/>
        </w:rPr>
        <w:t>50</w:t>
      </w:r>
      <w:r>
        <w:rPr>
          <w:noProof/>
        </w:rPr>
        <w:fldChar w:fldCharType="end"/>
      </w:r>
    </w:p>
    <w:p w14:paraId="4067DEE1" w14:textId="27364DCD"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5.2.15 – Time for the HRR of an MCC to reach 15 kW.</w:t>
      </w:r>
      <w:r>
        <w:rPr>
          <w:noProof/>
        </w:rPr>
        <w:tab/>
      </w:r>
      <w:r>
        <w:rPr>
          <w:noProof/>
        </w:rPr>
        <w:fldChar w:fldCharType="begin"/>
      </w:r>
      <w:r>
        <w:rPr>
          <w:noProof/>
        </w:rPr>
        <w:instrText xml:space="preserve"> PAGEREF _Toc483393814 \h </w:instrText>
      </w:r>
      <w:r>
        <w:rPr>
          <w:noProof/>
        </w:rPr>
      </w:r>
      <w:r>
        <w:rPr>
          <w:noProof/>
        </w:rPr>
        <w:fldChar w:fldCharType="separate"/>
      </w:r>
      <w:r w:rsidR="00267057">
        <w:rPr>
          <w:noProof/>
        </w:rPr>
        <w:t>51</w:t>
      </w:r>
      <w:r>
        <w:rPr>
          <w:noProof/>
        </w:rPr>
        <w:fldChar w:fldCharType="end"/>
      </w:r>
    </w:p>
    <w:p w14:paraId="6BDE310E" w14:textId="128454DB"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5.2.16 – Determination of Plume and Ceiling Jet Lag Time.</w:t>
      </w:r>
      <w:r>
        <w:rPr>
          <w:noProof/>
        </w:rPr>
        <w:tab/>
      </w:r>
      <w:r>
        <w:rPr>
          <w:noProof/>
        </w:rPr>
        <w:fldChar w:fldCharType="begin"/>
      </w:r>
      <w:r>
        <w:rPr>
          <w:noProof/>
        </w:rPr>
        <w:instrText xml:space="preserve"> PAGEREF _Toc483393815 \h </w:instrText>
      </w:r>
      <w:r>
        <w:rPr>
          <w:noProof/>
        </w:rPr>
      </w:r>
      <w:r>
        <w:rPr>
          <w:noProof/>
        </w:rPr>
        <w:fldChar w:fldCharType="separate"/>
      </w:r>
      <w:r w:rsidR="00267057">
        <w:rPr>
          <w:noProof/>
        </w:rPr>
        <w:t>52</w:t>
      </w:r>
      <w:r>
        <w:rPr>
          <w:noProof/>
        </w:rPr>
        <w:fldChar w:fldCharType="end"/>
      </w:r>
    </w:p>
    <w:p w14:paraId="460CE5B0" w14:textId="4BC485AF"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5.2.17 – Sprinkler Activation Time for Contained Transient Fire.</w:t>
      </w:r>
      <w:r>
        <w:rPr>
          <w:noProof/>
        </w:rPr>
        <w:tab/>
      </w:r>
      <w:r>
        <w:rPr>
          <w:noProof/>
        </w:rPr>
        <w:fldChar w:fldCharType="begin"/>
      </w:r>
      <w:r>
        <w:rPr>
          <w:noProof/>
        </w:rPr>
        <w:instrText xml:space="preserve"> PAGEREF _Toc483393816 \h </w:instrText>
      </w:r>
      <w:r>
        <w:rPr>
          <w:noProof/>
        </w:rPr>
      </w:r>
      <w:r>
        <w:rPr>
          <w:noProof/>
        </w:rPr>
        <w:fldChar w:fldCharType="separate"/>
      </w:r>
      <w:r w:rsidR="00267057">
        <w:rPr>
          <w:noProof/>
        </w:rPr>
        <w:t>53</w:t>
      </w:r>
      <w:r>
        <w:rPr>
          <w:noProof/>
        </w:rPr>
        <w:fldChar w:fldCharType="end"/>
      </w:r>
    </w:p>
    <w:p w14:paraId="2CFF8FB9" w14:textId="007C6181"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6.2.1 – Spill Depth as a Function of Fuel Volume for Unconfined JP-4 Spills</w:t>
      </w:r>
      <w:r>
        <w:rPr>
          <w:noProof/>
        </w:rPr>
        <w:tab/>
      </w:r>
      <w:r>
        <w:rPr>
          <w:noProof/>
        </w:rPr>
        <w:fldChar w:fldCharType="begin"/>
      </w:r>
      <w:r>
        <w:rPr>
          <w:noProof/>
        </w:rPr>
        <w:instrText xml:space="preserve"> PAGEREF _Toc483393818 \h </w:instrText>
      </w:r>
      <w:r>
        <w:rPr>
          <w:noProof/>
        </w:rPr>
      </w:r>
      <w:r>
        <w:rPr>
          <w:noProof/>
        </w:rPr>
        <w:fldChar w:fldCharType="separate"/>
      </w:r>
      <w:r w:rsidR="00267057">
        <w:rPr>
          <w:noProof/>
        </w:rPr>
        <w:t>70</w:t>
      </w:r>
      <w:r>
        <w:rPr>
          <w:noProof/>
        </w:rPr>
        <w:fldChar w:fldCharType="end"/>
      </w:r>
    </w:p>
    <w:p w14:paraId="63397376" w14:textId="79B2D4C4"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6.2.2 – Flame Spread Rate versus Spill Depth for an Unconfined Decane Spill.</w:t>
      </w:r>
      <w:r>
        <w:rPr>
          <w:noProof/>
        </w:rPr>
        <w:tab/>
      </w:r>
      <w:r>
        <w:rPr>
          <w:noProof/>
        </w:rPr>
        <w:fldChar w:fldCharType="begin"/>
      </w:r>
      <w:r>
        <w:rPr>
          <w:noProof/>
        </w:rPr>
        <w:instrText xml:space="preserve"> PAGEREF _Toc483393819 \h </w:instrText>
      </w:r>
      <w:r>
        <w:rPr>
          <w:noProof/>
        </w:rPr>
      </w:r>
      <w:r>
        <w:rPr>
          <w:noProof/>
        </w:rPr>
        <w:fldChar w:fldCharType="separate"/>
      </w:r>
      <w:r w:rsidR="00267057">
        <w:rPr>
          <w:noProof/>
        </w:rPr>
        <w:t>71</w:t>
      </w:r>
      <w:r>
        <w:rPr>
          <w:noProof/>
        </w:rPr>
        <w:fldChar w:fldCharType="end"/>
      </w:r>
    </w:p>
    <w:p w14:paraId="2E0F6C1B" w14:textId="217CFDAA"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6.2.3 – Determination of the Severity Factor.</w:t>
      </w:r>
      <w:r>
        <w:rPr>
          <w:noProof/>
        </w:rPr>
        <w:tab/>
      </w:r>
      <w:r>
        <w:rPr>
          <w:noProof/>
        </w:rPr>
        <w:fldChar w:fldCharType="begin"/>
      </w:r>
      <w:r>
        <w:rPr>
          <w:noProof/>
        </w:rPr>
        <w:instrText xml:space="preserve"> PAGEREF _Toc483393820 \h </w:instrText>
      </w:r>
      <w:r>
        <w:rPr>
          <w:noProof/>
        </w:rPr>
      </w:r>
      <w:r>
        <w:rPr>
          <w:noProof/>
        </w:rPr>
        <w:fldChar w:fldCharType="separate"/>
      </w:r>
      <w:r w:rsidR="00267057">
        <w:rPr>
          <w:noProof/>
        </w:rPr>
        <w:t>84</w:t>
      </w:r>
      <w:r>
        <w:rPr>
          <w:noProof/>
        </w:rPr>
        <w:fldChar w:fldCharType="end"/>
      </w:r>
    </w:p>
    <w:p w14:paraId="20B3136A" w14:textId="6E39EAF0"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6.2.4 – Damage Time Determination for FDS1 Scenarios.</w:t>
      </w:r>
      <w:r>
        <w:rPr>
          <w:noProof/>
        </w:rPr>
        <w:tab/>
      </w:r>
      <w:r>
        <w:rPr>
          <w:noProof/>
        </w:rPr>
        <w:fldChar w:fldCharType="begin"/>
      </w:r>
      <w:r>
        <w:rPr>
          <w:noProof/>
        </w:rPr>
        <w:instrText xml:space="preserve"> PAGEREF _Toc483393821 \h </w:instrText>
      </w:r>
      <w:r>
        <w:rPr>
          <w:noProof/>
        </w:rPr>
      </w:r>
      <w:r>
        <w:rPr>
          <w:noProof/>
        </w:rPr>
        <w:fldChar w:fldCharType="separate"/>
      </w:r>
      <w:r w:rsidR="00267057">
        <w:rPr>
          <w:noProof/>
        </w:rPr>
        <w:t>85</w:t>
      </w:r>
      <w:r>
        <w:rPr>
          <w:noProof/>
        </w:rPr>
        <w:fldChar w:fldCharType="end"/>
      </w:r>
    </w:p>
    <w:p w14:paraId="10FC878D" w14:textId="7BE980F0"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Figure 6.2.5 – Schematic of the Vertical and Radial ZOI.</w:t>
      </w:r>
      <w:r>
        <w:rPr>
          <w:noProof/>
        </w:rPr>
        <w:tab/>
      </w:r>
      <w:r w:rsidR="000702DC">
        <w:rPr>
          <w:noProof/>
        </w:rPr>
        <w:t>8</w:t>
      </w:r>
      <w:r>
        <w:rPr>
          <w:noProof/>
        </w:rPr>
        <w:fldChar w:fldCharType="begin"/>
      </w:r>
      <w:r>
        <w:rPr>
          <w:noProof/>
        </w:rPr>
        <w:instrText xml:space="preserve"> PAGEREF _Toc483393822 \h </w:instrText>
      </w:r>
      <w:r>
        <w:rPr>
          <w:noProof/>
        </w:rPr>
      </w:r>
      <w:r>
        <w:rPr>
          <w:noProof/>
        </w:rPr>
        <w:fldChar w:fldCharType="separate"/>
      </w:r>
      <w:r w:rsidR="00267057">
        <w:rPr>
          <w:noProof/>
        </w:rPr>
        <w:t>89</w:t>
      </w:r>
      <w:r>
        <w:rPr>
          <w:noProof/>
        </w:rPr>
        <w:fldChar w:fldCharType="end"/>
      </w:r>
    </w:p>
    <w:p w14:paraId="42E8EEFC" w14:textId="281264B2" w:rsidR="003E0F10" w:rsidRPr="003E0F10" w:rsidRDefault="003E0F10" w:rsidP="00C51E30">
      <w:pPr>
        <w:pStyle w:val="TableofFigures"/>
        <w:tabs>
          <w:tab w:val="right" w:leader="dot" w:pos="9350"/>
        </w:tabs>
        <w:rPr>
          <w:noProof/>
        </w:rPr>
      </w:pPr>
      <w:r>
        <w:rPr>
          <w:noProof/>
        </w:rPr>
        <w:t>Figure 6.2.6 - Schematic of the “Image” Method for Wall and Corner Fires.</w:t>
      </w:r>
      <w:r>
        <w:rPr>
          <w:noProof/>
        </w:rPr>
        <w:tab/>
      </w:r>
      <w:r>
        <w:rPr>
          <w:noProof/>
        </w:rPr>
        <w:fldChar w:fldCharType="begin"/>
      </w:r>
      <w:r>
        <w:rPr>
          <w:noProof/>
        </w:rPr>
        <w:instrText xml:space="preserve"> PAGEREF _Toc483393823 \h </w:instrText>
      </w:r>
      <w:r>
        <w:rPr>
          <w:noProof/>
        </w:rPr>
      </w:r>
      <w:r>
        <w:rPr>
          <w:noProof/>
        </w:rPr>
        <w:fldChar w:fldCharType="separate"/>
      </w:r>
      <w:r w:rsidR="00267057">
        <w:rPr>
          <w:noProof/>
        </w:rPr>
        <w:t>93</w:t>
      </w:r>
      <w:r>
        <w:rPr>
          <w:noProof/>
        </w:rPr>
        <w:fldChar w:fldCharType="end"/>
      </w:r>
    </w:p>
    <w:p w14:paraId="7D250D50" w14:textId="1E8455D4" w:rsidR="003E0F10" w:rsidRDefault="003E0F10" w:rsidP="00C51E30">
      <w:pPr>
        <w:pStyle w:val="TableofFigures"/>
        <w:tabs>
          <w:tab w:val="right" w:leader="dot" w:pos="9350"/>
        </w:tabs>
        <w:rPr>
          <w:rFonts w:asciiTheme="minorHAnsi" w:eastAsiaTheme="minorEastAsia" w:hAnsiTheme="minorHAnsi" w:cstheme="minorBidi"/>
          <w:noProof/>
          <w:szCs w:val="22"/>
        </w:rPr>
      </w:pPr>
      <w:r>
        <w:rPr>
          <w:noProof/>
        </w:rPr>
        <w:t xml:space="preserve">Figure 6.2.7 - </w:t>
      </w:r>
      <w:r w:rsidRPr="008D17C5">
        <w:rPr>
          <w:noProof/>
          <w:lang w:val="en-GB"/>
        </w:rPr>
        <w:t>Configuration for Modeling of Fire Propagation in a Stack of Cable Trays</w:t>
      </w:r>
      <w:r>
        <w:rPr>
          <w:noProof/>
        </w:rPr>
        <w:t>.</w:t>
      </w:r>
      <w:r>
        <w:rPr>
          <w:noProof/>
        </w:rPr>
        <w:tab/>
      </w:r>
      <w:r>
        <w:rPr>
          <w:noProof/>
        </w:rPr>
        <w:fldChar w:fldCharType="begin"/>
      </w:r>
      <w:r>
        <w:rPr>
          <w:noProof/>
        </w:rPr>
        <w:instrText xml:space="preserve"> PAGEREF _Toc483393824 \h </w:instrText>
      </w:r>
      <w:r>
        <w:rPr>
          <w:noProof/>
        </w:rPr>
      </w:r>
      <w:r>
        <w:rPr>
          <w:noProof/>
        </w:rPr>
        <w:fldChar w:fldCharType="separate"/>
      </w:r>
      <w:r w:rsidR="00267057">
        <w:rPr>
          <w:noProof/>
        </w:rPr>
        <w:t>100</w:t>
      </w:r>
      <w:r>
        <w:rPr>
          <w:noProof/>
        </w:rPr>
        <w:fldChar w:fldCharType="end"/>
      </w:r>
    </w:p>
    <w:p w14:paraId="5E7C54D5" w14:textId="7506F542" w:rsidR="00067414" w:rsidRDefault="003E0F10" w:rsidP="00C51E30">
      <w:pPr>
        <w:tabs>
          <w:tab w:val="left" w:pos="720"/>
          <w:tab w:val="left" w:pos="1440"/>
          <w:tab w:val="left" w:pos="2160"/>
          <w:tab w:val="right" w:leader="dot" w:pos="9360"/>
        </w:tabs>
      </w:pPr>
      <w:r>
        <w:fldChar w:fldCharType="end"/>
      </w:r>
    </w:p>
    <w:p w14:paraId="4F5DBE51" w14:textId="77777777" w:rsidR="00086A93" w:rsidRDefault="00086A93" w:rsidP="00C51E30">
      <w:pPr>
        <w:widowControl/>
        <w:autoSpaceDE/>
        <w:autoSpaceDN/>
        <w:adjustRightInd/>
        <w:rPr>
          <w:rFonts w:cs="Arial"/>
          <w:b/>
        </w:rPr>
      </w:pPr>
      <w:r>
        <w:rPr>
          <w:rFonts w:cs="Arial"/>
          <w:b/>
        </w:rPr>
        <w:br w:type="page"/>
      </w:r>
    </w:p>
    <w:p w14:paraId="0F16104F" w14:textId="0518D28C" w:rsidR="00086A93" w:rsidRPr="003D25C3" w:rsidRDefault="001A51C5" w:rsidP="00C51E30">
      <w:pPr>
        <w:jc w:val="center"/>
        <w:rPr>
          <w:rFonts w:cs="Arial"/>
        </w:rPr>
      </w:pPr>
      <w:r w:rsidRPr="003D25C3">
        <w:rPr>
          <w:rFonts w:cs="Arial"/>
        </w:rPr>
        <w:lastRenderedPageBreak/>
        <w:t>LIST OF TABLES</w:t>
      </w:r>
    </w:p>
    <w:p w14:paraId="7C119491" w14:textId="768BC0D4" w:rsidR="00031A86" w:rsidRDefault="00031A86" w:rsidP="00C51E30">
      <w:pPr>
        <w:tabs>
          <w:tab w:val="left" w:pos="720"/>
          <w:tab w:val="left" w:pos="1440"/>
          <w:tab w:val="left" w:pos="2160"/>
          <w:tab w:val="right" w:leader="dot" w:pos="9360"/>
        </w:tabs>
      </w:pPr>
    </w:p>
    <w:p w14:paraId="298DE2AB" w14:textId="497D853F" w:rsidR="00086A93" w:rsidRPr="007430A4" w:rsidRDefault="006F3010" w:rsidP="00C51E30">
      <w:pPr>
        <w:tabs>
          <w:tab w:val="left" w:pos="720"/>
          <w:tab w:val="left" w:pos="1440"/>
          <w:tab w:val="left" w:pos="2160"/>
          <w:tab w:val="right" w:leader="dot" w:pos="9360"/>
        </w:tabs>
      </w:pPr>
      <w:r w:rsidRPr="00185B9A">
        <w:t>Table 1.1</w:t>
      </w:r>
      <w:r w:rsidR="00046D7B">
        <w:t xml:space="preserve"> – </w:t>
      </w:r>
      <w:r w:rsidRPr="00185B9A">
        <w:t>Risk Significance Based on ΔLERF versus ΔCDF</w:t>
      </w:r>
      <w:r>
        <w:t>.</w:t>
      </w:r>
      <w:r w:rsidR="00086A93" w:rsidRPr="007430A4">
        <w:tab/>
      </w:r>
      <w:r>
        <w:t>1</w:t>
      </w:r>
    </w:p>
    <w:p w14:paraId="433D81C1" w14:textId="3D91ABD6" w:rsidR="00086A93" w:rsidRPr="007430A4" w:rsidRDefault="006F3010" w:rsidP="00C51E30">
      <w:pPr>
        <w:tabs>
          <w:tab w:val="left" w:pos="720"/>
          <w:tab w:val="left" w:pos="1440"/>
          <w:tab w:val="left" w:pos="2160"/>
          <w:tab w:val="right" w:leader="dot" w:pos="9360"/>
        </w:tabs>
      </w:pPr>
      <w:r>
        <w:t>Table 4.1.1 – Summary of Quantification/Screening Steps.</w:t>
      </w:r>
      <w:r w:rsidR="00086A93" w:rsidRPr="007430A4">
        <w:tab/>
      </w:r>
      <w:r w:rsidR="0016545E">
        <w:t>1</w:t>
      </w:r>
      <w:r w:rsidR="000702DC">
        <w:t>5</w:t>
      </w:r>
    </w:p>
    <w:p w14:paraId="29A79578" w14:textId="177470C4" w:rsidR="00086A93" w:rsidRPr="007430A4" w:rsidRDefault="006F3010" w:rsidP="00C51E30">
      <w:pPr>
        <w:tabs>
          <w:tab w:val="left" w:pos="720"/>
          <w:tab w:val="left" w:pos="1440"/>
          <w:tab w:val="left" w:pos="2160"/>
          <w:tab w:val="right" w:leader="dot" w:pos="9360"/>
        </w:tabs>
        <w:rPr>
          <w:rFonts w:cs="Arial"/>
        </w:rPr>
      </w:pPr>
      <w:r w:rsidRPr="00185B9A">
        <w:t>Table 6.2.1 – Electrical Enclosures from Reference 26.</w:t>
      </w:r>
      <w:r w:rsidR="0016545E">
        <w:tab/>
        <w:t>67</w:t>
      </w:r>
    </w:p>
    <w:p w14:paraId="1D1DD398" w14:textId="35D24A9D" w:rsidR="00086A93" w:rsidRPr="00C90CC8" w:rsidRDefault="00A75ED5" w:rsidP="00C51E30">
      <w:pPr>
        <w:tabs>
          <w:tab w:val="left" w:pos="720"/>
          <w:tab w:val="left" w:pos="1440"/>
          <w:tab w:val="left" w:pos="2160"/>
          <w:tab w:val="right" w:leader="dot" w:pos="9360"/>
        </w:tabs>
      </w:pPr>
      <w:r w:rsidRPr="00C90CC8">
        <w:t>Table 6.2.2</w:t>
      </w:r>
      <w:r w:rsidRPr="00C90CC8">
        <w:rPr>
          <w:szCs w:val="22"/>
        </w:rPr>
        <w:t xml:space="preserve"> – </w:t>
      </w:r>
      <w:r w:rsidRPr="00C90CC8">
        <w:t>Liquid Fuel Properties for Equation 4.</w:t>
      </w:r>
      <w:r w:rsidR="00086A93" w:rsidRPr="00C90CC8">
        <w:tab/>
      </w:r>
      <w:r w:rsidR="0016545E">
        <w:t>69</w:t>
      </w:r>
    </w:p>
    <w:p w14:paraId="2429157C" w14:textId="13E7D785" w:rsidR="00086A93" w:rsidRDefault="00A75ED5" w:rsidP="00C51E30">
      <w:pPr>
        <w:tabs>
          <w:tab w:val="left" w:pos="720"/>
          <w:tab w:val="left" w:pos="1440"/>
          <w:tab w:val="left" w:pos="2160"/>
          <w:tab w:val="right" w:leader="dot" w:pos="9360"/>
        </w:tabs>
      </w:pPr>
      <w:r w:rsidRPr="00FD79A6">
        <w:t>Table 6.2.3</w:t>
      </w:r>
      <w:r w:rsidR="00046D7B">
        <w:t xml:space="preserve"> – </w:t>
      </w:r>
      <w:r w:rsidRPr="00FD79A6">
        <w:t>Calculation of Component Specific Fire Ignition Frequencies</w:t>
      </w:r>
      <w:r w:rsidR="00973734">
        <w:t xml:space="preserve"> Based on</w:t>
      </w:r>
    </w:p>
    <w:p w14:paraId="5729F5BC" w14:textId="4B430FCC" w:rsidR="00086A93" w:rsidRPr="007430A4" w:rsidRDefault="00086A93" w:rsidP="00C51E30">
      <w:pPr>
        <w:tabs>
          <w:tab w:val="left" w:pos="720"/>
          <w:tab w:val="left" w:pos="1350"/>
          <w:tab w:val="left" w:pos="2160"/>
          <w:tab w:val="right" w:leader="dot" w:pos="9360"/>
        </w:tabs>
      </w:pPr>
      <w:r>
        <w:tab/>
      </w:r>
      <w:r w:rsidR="00973734">
        <w:tab/>
      </w:r>
      <w:r w:rsidR="00973734" w:rsidRPr="00973734">
        <w:rPr>
          <w:bCs/>
          <w:color w:val="000000"/>
          <w:szCs w:val="22"/>
        </w:rPr>
        <w:t>Plant Wide Fire Frequency and Generic Component Counts.</w:t>
      </w:r>
      <w:r w:rsidR="0016545E">
        <w:tab/>
        <w:t>74</w:t>
      </w:r>
    </w:p>
    <w:p w14:paraId="357C0F82" w14:textId="041E1232" w:rsidR="00086A93" w:rsidRPr="007430A4" w:rsidRDefault="00973734" w:rsidP="00C51E30">
      <w:pPr>
        <w:tabs>
          <w:tab w:val="left" w:pos="720"/>
          <w:tab w:val="left" w:pos="1440"/>
          <w:tab w:val="left" w:pos="2160"/>
          <w:tab w:val="right" w:leader="dot" w:pos="9360"/>
        </w:tabs>
      </w:pPr>
      <w:r w:rsidRPr="00973734">
        <w:t>Table 6.2.4</w:t>
      </w:r>
      <w:r w:rsidR="00046D7B">
        <w:t xml:space="preserve"> – </w:t>
      </w:r>
      <w:r w:rsidRPr="00973734">
        <w:t>Transient Fire Frequency.</w:t>
      </w:r>
      <w:r w:rsidR="00086A93" w:rsidRPr="007430A4">
        <w:tab/>
      </w:r>
      <w:r w:rsidR="00C90CC8">
        <w:t>7</w:t>
      </w:r>
      <w:r w:rsidR="0016545E">
        <w:t>8</w:t>
      </w:r>
    </w:p>
    <w:p w14:paraId="092C02BF" w14:textId="7F28B18F" w:rsidR="00086A93" w:rsidRPr="007430A4" w:rsidRDefault="00973734" w:rsidP="00C51E30">
      <w:pPr>
        <w:tabs>
          <w:tab w:val="left" w:pos="720"/>
          <w:tab w:val="left" w:pos="1440"/>
          <w:tab w:val="left" w:pos="2160"/>
          <w:tab w:val="right" w:leader="dot" w:pos="9360"/>
        </w:tabs>
      </w:pPr>
      <w:r w:rsidRPr="004B0779">
        <w:t xml:space="preserve">Table </w:t>
      </w:r>
      <w:r>
        <w:t>6.2</w:t>
      </w:r>
      <w:r w:rsidRPr="004B0779">
        <w:t>.5</w:t>
      </w:r>
      <w:r w:rsidR="00046D7B">
        <w:t xml:space="preserve"> – </w:t>
      </w:r>
      <w:r w:rsidRPr="004B0779">
        <w:t>Hot Work Fire Frequency</w:t>
      </w:r>
      <w:r>
        <w:t>.</w:t>
      </w:r>
      <w:r w:rsidR="00086A93" w:rsidRPr="007430A4">
        <w:tab/>
      </w:r>
      <w:r w:rsidR="0016545E">
        <w:t>78</w:t>
      </w:r>
    </w:p>
    <w:p w14:paraId="78721CBE" w14:textId="31AB0B35" w:rsidR="00086A93" w:rsidRPr="007430A4" w:rsidRDefault="00C90CC8" w:rsidP="00C51E30">
      <w:pPr>
        <w:tabs>
          <w:tab w:val="left" w:pos="720"/>
          <w:tab w:val="left" w:pos="1440"/>
          <w:tab w:val="left" w:pos="2160"/>
          <w:tab w:val="right" w:leader="dot" w:pos="9360"/>
        </w:tabs>
      </w:pPr>
      <w:r w:rsidRPr="00C90CC8">
        <w:t>Table 6.2.6 – Multiplication Factor for Hot Work Transient Fires.</w:t>
      </w:r>
      <w:r w:rsidR="00086A93" w:rsidRPr="007430A4">
        <w:tab/>
      </w:r>
      <w:r w:rsidR="0016545E">
        <w:t>79</w:t>
      </w:r>
    </w:p>
    <w:p w14:paraId="4CC5B08A" w14:textId="5AC836D5" w:rsidR="00086A93" w:rsidRPr="007430A4" w:rsidRDefault="00C90CC8" w:rsidP="00C51E30">
      <w:pPr>
        <w:tabs>
          <w:tab w:val="left" w:pos="720"/>
          <w:tab w:val="left" w:pos="1440"/>
          <w:tab w:val="left" w:pos="2160"/>
          <w:tab w:val="right" w:leader="dot" w:pos="9360"/>
        </w:tabs>
        <w:jc w:val="both"/>
      </w:pPr>
      <w:r w:rsidRPr="00C90CC8">
        <w:t>Table 6.2.7 – Multiplication Factor for Transient Fires.</w:t>
      </w:r>
      <w:r w:rsidR="00086A93" w:rsidRPr="007430A4">
        <w:tab/>
      </w:r>
      <w:r w:rsidR="002348CA">
        <w:t>8</w:t>
      </w:r>
      <w:r w:rsidR="0016545E">
        <w:t>0</w:t>
      </w:r>
    </w:p>
    <w:p w14:paraId="5712805D" w14:textId="5B4854EA" w:rsidR="00086A93" w:rsidRPr="007430A4" w:rsidRDefault="00C90CC8" w:rsidP="00C51E30">
      <w:pPr>
        <w:tabs>
          <w:tab w:val="left" w:pos="720"/>
          <w:tab w:val="left" w:pos="1440"/>
          <w:tab w:val="left" w:pos="2160"/>
          <w:tab w:val="right" w:leader="dot" w:pos="9360"/>
        </w:tabs>
        <w:jc w:val="both"/>
      </w:pPr>
      <w:r w:rsidRPr="00C90CC8">
        <w:t>Table 6.2.8 – Fire Diameter as a Function of HRR for Selected Fr Numbers.</w:t>
      </w:r>
      <w:r w:rsidR="002348CA">
        <w:tab/>
        <w:t>9</w:t>
      </w:r>
      <w:r w:rsidR="0016545E">
        <w:t>1</w:t>
      </w:r>
    </w:p>
    <w:p w14:paraId="7BD34EA4" w14:textId="34CFBDFD" w:rsidR="00086A93" w:rsidRPr="007430A4" w:rsidRDefault="00046D7B" w:rsidP="00C51E30">
      <w:pPr>
        <w:tabs>
          <w:tab w:val="left" w:pos="720"/>
          <w:tab w:val="left" w:pos="1440"/>
          <w:tab w:val="left" w:pos="2160"/>
          <w:tab w:val="right" w:leader="dot" w:pos="9360"/>
        </w:tabs>
        <w:jc w:val="both"/>
      </w:pPr>
      <w:r w:rsidRPr="00B94BD5">
        <w:t xml:space="preserve">Table </w:t>
      </w:r>
      <w:r>
        <w:t>6.2.9 –</w:t>
      </w:r>
      <w:r w:rsidR="00F209C2">
        <w:t xml:space="preserve"> Maximum Ceiling Height b</w:t>
      </w:r>
      <w:r w:rsidRPr="00B94BD5">
        <w:t xml:space="preserve">elow </w:t>
      </w:r>
      <w:r>
        <w:t>w</w:t>
      </w:r>
      <w:r w:rsidRPr="00B94BD5">
        <w:t>hich Ceiling Jet ZOI</w:t>
      </w:r>
      <w:r w:rsidRPr="00B94BD5">
        <w:rPr>
          <w:vertAlign w:val="subscript"/>
        </w:rPr>
        <w:t>rad</w:t>
      </w:r>
      <w:r w:rsidRPr="00B94BD5">
        <w:t xml:space="preserve"> &gt; PSM ZOI</w:t>
      </w:r>
      <w:r w:rsidRPr="00B94BD5">
        <w:rPr>
          <w:vertAlign w:val="subscript"/>
        </w:rPr>
        <w:t>rad</w:t>
      </w:r>
      <w:r w:rsidRPr="00B94BD5">
        <w:t>.</w:t>
      </w:r>
      <w:r w:rsidR="00086A93" w:rsidRPr="007430A4">
        <w:tab/>
      </w:r>
      <w:r w:rsidR="002348CA">
        <w:t>9</w:t>
      </w:r>
      <w:r w:rsidR="0016545E">
        <w:t>6</w:t>
      </w:r>
    </w:p>
    <w:p w14:paraId="747CE821" w14:textId="725789BD" w:rsidR="00086A93" w:rsidRPr="007430A4" w:rsidRDefault="00046D7B" w:rsidP="00C51E30">
      <w:pPr>
        <w:tabs>
          <w:tab w:val="left" w:pos="720"/>
          <w:tab w:val="left" w:pos="1440"/>
          <w:tab w:val="left" w:pos="2160"/>
          <w:tab w:val="right" w:leader="dot" w:pos="9360"/>
        </w:tabs>
      </w:pPr>
      <w:r w:rsidRPr="00046D7B">
        <w:t>Table 6.2.10</w:t>
      </w:r>
      <w:r>
        <w:t xml:space="preserve"> – </w:t>
      </w:r>
      <w:r w:rsidRPr="00046D7B">
        <w:t>Input Parameters for the Cable Tray Fire Propagation Model.</w:t>
      </w:r>
      <w:r w:rsidR="002348CA">
        <w:tab/>
        <w:t>10</w:t>
      </w:r>
      <w:r w:rsidR="0016545E">
        <w:t>2</w:t>
      </w:r>
    </w:p>
    <w:p w14:paraId="6C7191BA" w14:textId="77777777" w:rsidR="00067414" w:rsidRDefault="00067414" w:rsidP="00C51E30">
      <w:pPr>
        <w:jc w:val="both"/>
        <w:rPr>
          <w:rFonts w:cs="Arial"/>
        </w:rPr>
      </w:pPr>
    </w:p>
    <w:p w14:paraId="043FE0E9" w14:textId="77777777" w:rsidR="00E66B8D" w:rsidRDefault="00E66B8D" w:rsidP="00C51E30">
      <w:pPr>
        <w:rPr>
          <w:rFonts w:cs="Arial"/>
        </w:rPr>
      </w:pPr>
    </w:p>
    <w:p w14:paraId="7081DCEB" w14:textId="77777777" w:rsidR="00E66B8D" w:rsidRDefault="00E66B8D" w:rsidP="00C51E30">
      <w:pPr>
        <w:widowControl/>
        <w:autoSpaceDE/>
        <w:autoSpaceDN/>
        <w:adjustRightInd/>
        <w:rPr>
          <w:rFonts w:cs="Arial"/>
        </w:rPr>
        <w:sectPr w:rsidR="00E66B8D" w:rsidSect="009B3736">
          <w:footerReference w:type="first" r:id="rId13"/>
          <w:pgSz w:w="12240" w:h="15840" w:code="1"/>
          <w:pgMar w:top="1440" w:right="1440" w:bottom="1440" w:left="1440" w:header="720" w:footer="720" w:gutter="0"/>
          <w:pgNumType w:fmt="lowerRoman" w:start="1"/>
          <w:cols w:space="720"/>
          <w:noEndnote/>
          <w:docGrid w:linePitch="299"/>
        </w:sectPr>
      </w:pPr>
    </w:p>
    <w:p w14:paraId="52573AF7" w14:textId="707A7AC1" w:rsidR="0002408C" w:rsidRPr="003163D3" w:rsidRDefault="0002408C" w:rsidP="00470D7C">
      <w:pPr>
        <w:pStyle w:val="Heading1"/>
      </w:pPr>
      <w:bookmarkStart w:id="1" w:name="_Toc481265342"/>
      <w:bookmarkStart w:id="2" w:name="_Toc511060835"/>
      <w:r w:rsidRPr="003163D3">
        <w:lastRenderedPageBreak/>
        <w:t>ENTRY CONDITIONS AN</w:t>
      </w:r>
      <w:r w:rsidR="0054305B">
        <w:t>D</w:t>
      </w:r>
      <w:r w:rsidRPr="003163D3">
        <w:t xml:space="preserve"> APPLICABILITY</w:t>
      </w:r>
      <w:bookmarkEnd w:id="1"/>
      <w:bookmarkEnd w:id="2"/>
    </w:p>
    <w:p w14:paraId="1B4D0655" w14:textId="77777777" w:rsidR="0002408C" w:rsidRDefault="0002408C"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575E7B" w14:textId="1BA4E4E4" w:rsidR="007E2A03" w:rsidRPr="00C70CAC" w:rsidRDefault="007E2A03" w:rsidP="00C51E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SECY-99-007A</w:t>
      </w:r>
      <w:r w:rsidR="00141CF2">
        <w:rPr>
          <w:rFonts w:cs="Arial"/>
        </w:rPr>
        <w:t xml:space="preserve"> (Reference 1)</w:t>
      </w:r>
      <w:r w:rsidRPr="00C70CAC">
        <w:rPr>
          <w:rFonts w:cs="Arial"/>
        </w:rPr>
        <w:t xml:space="preserve"> describes the need for a method of assigning a risk characterization to inspection findings.  This risk characterization is necessary so that inspection findings can be aligned with risk-informed plant performance indicators (PIs) during the plant performance assessment process.  An attachment to the SECY describes in detail the staff</w:t>
      </w:r>
      <w:r>
        <w:rPr>
          <w:rFonts w:cs="Arial"/>
        </w:rPr>
        <w:t>’</w:t>
      </w:r>
      <w:r w:rsidRPr="00C70CAC">
        <w:rPr>
          <w:rFonts w:cs="Arial"/>
        </w:rPr>
        <w:t>s efforts for the risk characterization of inspection findings, which have a potential impact on at-power operations, affecting the initiating event, mitigating systems, or barrier cornerstones associated with the reactor safety strategic performance area.  This significance determination process (SDP), discussed in the SECY, focuses on risk-significant issues that could influence the determination of the change in core damage frequency (ΔCDF) at a nuclear power plant (NPP).  In this context, risk significance is based on the ΔCDF acceptance guidelines in</w:t>
      </w:r>
      <w:r w:rsidR="00A76674">
        <w:rPr>
          <w:rFonts w:cs="Arial"/>
        </w:rPr>
        <w:t xml:space="preserve"> NRC</w:t>
      </w:r>
      <w:r w:rsidRPr="00C70CAC">
        <w:rPr>
          <w:rFonts w:cs="Arial"/>
        </w:rPr>
        <w:t xml:space="preserve"> Regulatory Guide (RG) 1.174</w:t>
      </w:r>
      <w:r w:rsidR="00941D84">
        <w:rPr>
          <w:rFonts w:cs="Arial"/>
        </w:rPr>
        <w:t xml:space="preserve"> (Reference 2)</w:t>
      </w:r>
      <w:r w:rsidRPr="00C70CAC">
        <w:rPr>
          <w:rFonts w:cs="Arial"/>
        </w:rPr>
        <w:t>.</w:t>
      </w:r>
    </w:p>
    <w:p w14:paraId="15D06CA7" w14:textId="77777777" w:rsidR="007E2A03" w:rsidRPr="00C70CA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7E4FF95" w14:textId="1937D8D2" w:rsidR="007E2A03" w:rsidRPr="00C70CAC" w:rsidRDefault="007E2A03" w:rsidP="00C51E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A performance issue that leads to an increase</w:t>
      </w:r>
      <w:r w:rsidR="00E521CC">
        <w:rPr>
          <w:rFonts w:cs="Arial"/>
        </w:rPr>
        <w:t xml:space="preserve"> in </w:t>
      </w:r>
      <w:r w:rsidRPr="00C70CAC">
        <w:rPr>
          <w:rFonts w:cs="Arial"/>
        </w:rPr>
        <w:t>CDF larger than 10</w:t>
      </w:r>
      <w:r w:rsidR="008214E7">
        <w:rPr>
          <w:rFonts w:cs="Arial"/>
          <w:vertAlign w:val="superscript"/>
        </w:rPr>
        <w:noBreakHyphen/>
      </w:r>
      <w:r w:rsidRPr="00C70CAC">
        <w:rPr>
          <w:rFonts w:cs="Arial"/>
          <w:vertAlign w:val="superscript"/>
        </w:rPr>
        <w:t>4</w:t>
      </w:r>
      <w:r w:rsidRPr="00C70CAC">
        <w:rPr>
          <w:rFonts w:cs="Arial"/>
        </w:rPr>
        <w:t xml:space="preserve">/ry is risk significant and therefore the highest risk category (red) is given to this frequency range </w:t>
      </w:r>
      <w:r w:rsidR="00E521CC">
        <w:rPr>
          <w:rFonts w:cs="Arial"/>
        </w:rPr>
        <w:t xml:space="preserve">(as shown </w:t>
      </w:r>
      <w:r w:rsidRPr="00C70CAC">
        <w:rPr>
          <w:rFonts w:cs="Arial"/>
        </w:rPr>
        <w:t>in Table</w:t>
      </w:r>
      <w:r w:rsidR="008030C5">
        <w:rPr>
          <w:rFonts w:cs="Arial"/>
        </w:rPr>
        <w:t> </w:t>
      </w:r>
      <w:r w:rsidRPr="00C70CAC">
        <w:rPr>
          <w:rFonts w:cs="Arial"/>
        </w:rPr>
        <w:t>1.1</w:t>
      </w:r>
      <w:r w:rsidR="00E521CC">
        <w:rPr>
          <w:rFonts w:cs="Arial"/>
        </w:rPr>
        <w:t>)</w:t>
      </w:r>
      <w:r w:rsidRPr="00C70CAC">
        <w:rPr>
          <w:rFonts w:cs="Arial"/>
        </w:rPr>
        <w:t xml:space="preserve">.  Lower frequency ranges are allocated different colors (and hence risk significance categories) in one order of magnitude decrements.  The Fire Protection SDP </w:t>
      </w:r>
      <w:r w:rsidR="00264AFE">
        <w:rPr>
          <w:rFonts w:cs="Arial"/>
        </w:rPr>
        <w:t>(</w:t>
      </w:r>
      <w:r w:rsidR="005F3B2C">
        <w:rPr>
          <w:rFonts w:cs="Arial"/>
        </w:rPr>
        <w:t>Inspection Manual Chapter (</w:t>
      </w:r>
      <w:r w:rsidR="00264AFE">
        <w:rPr>
          <w:rFonts w:cs="Arial"/>
        </w:rPr>
        <w:t>IMC</w:t>
      </w:r>
      <w:r w:rsidR="005F3B2C">
        <w:rPr>
          <w:rFonts w:cs="Arial"/>
        </w:rPr>
        <w:t>)</w:t>
      </w:r>
      <w:r w:rsidR="00264AFE">
        <w:rPr>
          <w:rFonts w:cs="Arial"/>
        </w:rPr>
        <w:t xml:space="preserve"> 0609</w:t>
      </w:r>
      <w:r w:rsidR="001B7E81">
        <w:rPr>
          <w:rFonts w:cs="Arial"/>
        </w:rPr>
        <w:t>,</w:t>
      </w:r>
      <w:r w:rsidR="00264AFE">
        <w:rPr>
          <w:rFonts w:cs="Arial"/>
        </w:rPr>
        <w:t xml:space="preserve"> Appendix F</w:t>
      </w:r>
      <w:r w:rsidR="003C4A2C">
        <w:rPr>
          <w:rFonts w:cs="Arial"/>
        </w:rPr>
        <w:t xml:space="preserve"> (Reference 3)</w:t>
      </w:r>
      <w:r w:rsidR="001B65BF">
        <w:rPr>
          <w:rFonts w:cs="Arial"/>
        </w:rPr>
        <w:t>; referred to hereafter as “Appendix F”</w:t>
      </w:r>
      <w:r w:rsidR="00264AFE">
        <w:rPr>
          <w:rFonts w:cs="Arial"/>
        </w:rPr>
        <w:t xml:space="preserve">) </w:t>
      </w:r>
      <w:r w:rsidRPr="00C70CAC">
        <w:rPr>
          <w:rFonts w:cs="Arial"/>
        </w:rPr>
        <w:t>is based on changes in CDF, rather than changes in the large early release frequency (LERF).</w:t>
      </w:r>
      <w:r w:rsidR="00826C17">
        <w:rPr>
          <w:rFonts w:cs="Arial"/>
        </w:rPr>
        <w:t xml:space="preserve">  However, should an SDP performed for LERF indicate a more severe color than one for CDF, that color should take precedence.</w:t>
      </w:r>
    </w:p>
    <w:p w14:paraId="272DEAD2" w14:textId="77777777" w:rsidR="007E2A03" w:rsidRPr="00C70CA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7E2A03" w:rsidRPr="00C70CAC" w14:paraId="33942666" w14:textId="77777777" w:rsidTr="00E66B8D">
        <w:trPr>
          <w:trHeight w:val="360"/>
          <w:jc w:val="center"/>
        </w:trPr>
        <w:tc>
          <w:tcPr>
            <w:tcW w:w="3120" w:type="dxa"/>
            <w:gridSpan w:val="3"/>
            <w:tcBorders>
              <w:top w:val="single" w:sz="7" w:space="0" w:color="000000"/>
              <w:left w:val="single" w:sz="7" w:space="0" w:color="000000"/>
              <w:bottom w:val="single" w:sz="7" w:space="0" w:color="000000"/>
              <w:right w:val="single" w:sz="7" w:space="0" w:color="000000"/>
            </w:tcBorders>
            <w:shd w:val="solid" w:color="C0C0C0" w:fill="FFFFFF"/>
            <w:vAlign w:val="center"/>
          </w:tcPr>
          <w:p w14:paraId="4A016BDF" w14:textId="5BAD953C" w:rsidR="007E2A03" w:rsidRPr="00106B50" w:rsidRDefault="007E2A03" w:rsidP="00046D7B">
            <w:pPr>
              <w:pStyle w:val="TableCaption"/>
              <w:rPr>
                <w:b w:val="0"/>
              </w:rPr>
            </w:pPr>
            <w:bookmarkStart w:id="3" w:name="Table_A9_1"/>
            <w:bookmarkStart w:id="4" w:name="_Toc483393004"/>
            <w:r w:rsidRPr="00106B50">
              <w:rPr>
                <w:b w:val="0"/>
              </w:rPr>
              <w:t xml:space="preserve">Table </w:t>
            </w:r>
            <w:r w:rsidR="008214E7" w:rsidRPr="00106B50">
              <w:rPr>
                <w:b w:val="0"/>
              </w:rPr>
              <w:t>1</w:t>
            </w:r>
            <w:r w:rsidRPr="00106B50">
              <w:rPr>
                <w:b w:val="0"/>
              </w:rPr>
              <w:t>.1</w:t>
            </w:r>
            <w:r w:rsidR="006F3010" w:rsidRPr="00106B50">
              <w:rPr>
                <w:b w:val="0"/>
              </w:rPr>
              <w:t xml:space="preserve"> </w:t>
            </w:r>
            <w:r w:rsidR="00046D7B" w:rsidRPr="00106B50">
              <w:rPr>
                <w:b w:val="0"/>
              </w:rPr>
              <w:t>–</w:t>
            </w:r>
            <w:r w:rsidRPr="00106B50">
              <w:rPr>
                <w:b w:val="0"/>
              </w:rPr>
              <w:t xml:space="preserve"> Risk Significance Based on ΔLERF </w:t>
            </w:r>
            <w:r w:rsidR="008214E7" w:rsidRPr="00106B50">
              <w:rPr>
                <w:b w:val="0"/>
              </w:rPr>
              <w:t xml:space="preserve">versus </w:t>
            </w:r>
            <w:r w:rsidRPr="00106B50">
              <w:rPr>
                <w:b w:val="0"/>
              </w:rPr>
              <w:t>ΔCDF</w:t>
            </w:r>
            <w:bookmarkEnd w:id="3"/>
            <w:r w:rsidR="006F3010" w:rsidRPr="00106B50">
              <w:rPr>
                <w:b w:val="0"/>
              </w:rPr>
              <w:t>.</w:t>
            </w:r>
            <w:bookmarkEnd w:id="4"/>
          </w:p>
        </w:tc>
      </w:tr>
      <w:tr w:rsidR="007E2A03" w:rsidRPr="00C70CAC" w14:paraId="1B3C5BAD" w14:textId="77777777" w:rsidTr="00E66B8D">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5A9CB552" w14:textId="0AC3CBB8" w:rsidR="007E2A03" w:rsidRPr="00106B50"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106B50">
              <w:rPr>
                <w:rFonts w:cs="Arial"/>
                <w:bCs/>
                <w:szCs w:val="22"/>
              </w:rPr>
              <w:t>Frequency Range/ry</w:t>
            </w:r>
            <w:r w:rsidR="002A3333" w:rsidRPr="00106B50">
              <w:rPr>
                <w:rFonts w:cs="Arial"/>
                <w:bCs/>
                <w:szCs w:val="22"/>
              </w:rPr>
              <w:t>*</w:t>
            </w:r>
          </w:p>
        </w:tc>
        <w:tc>
          <w:tcPr>
            <w:tcW w:w="3120" w:type="dxa"/>
            <w:tcBorders>
              <w:top w:val="single" w:sz="7" w:space="0" w:color="000000"/>
              <w:left w:val="single" w:sz="7" w:space="0" w:color="000000"/>
              <w:bottom w:val="single" w:sz="7" w:space="0" w:color="000000"/>
              <w:right w:val="single" w:sz="7" w:space="0" w:color="000000"/>
            </w:tcBorders>
            <w:vAlign w:val="center"/>
          </w:tcPr>
          <w:p w14:paraId="104EE439" w14:textId="77777777" w:rsidR="007E2A03" w:rsidRPr="00106B50"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106B50">
              <w:rPr>
                <w:rFonts w:cs="Arial"/>
                <w:bCs/>
                <w:szCs w:val="22"/>
              </w:rPr>
              <w:t>SDP Based on ΔCDF</w:t>
            </w:r>
          </w:p>
        </w:tc>
        <w:tc>
          <w:tcPr>
            <w:tcW w:w="3120" w:type="dxa"/>
            <w:tcBorders>
              <w:top w:val="single" w:sz="7" w:space="0" w:color="000000"/>
              <w:left w:val="single" w:sz="7" w:space="0" w:color="000000"/>
              <w:bottom w:val="single" w:sz="7" w:space="0" w:color="000000"/>
              <w:right w:val="single" w:sz="7" w:space="0" w:color="000000"/>
            </w:tcBorders>
            <w:vAlign w:val="center"/>
          </w:tcPr>
          <w:p w14:paraId="436F2DC9" w14:textId="77777777" w:rsidR="007E2A03" w:rsidRPr="00106B50"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106B50">
              <w:rPr>
                <w:rFonts w:cs="Arial"/>
                <w:bCs/>
                <w:szCs w:val="22"/>
              </w:rPr>
              <w:t>SDP Based on ΔLERF</w:t>
            </w:r>
          </w:p>
        </w:tc>
      </w:tr>
      <w:tr w:rsidR="007E2A03" w:rsidRPr="00C70CAC" w14:paraId="22B81950" w14:textId="77777777" w:rsidTr="00E66B8D">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0DCC6E4A"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Pr>
                <w:rFonts w:cs="Arial"/>
                <w:szCs w:val="22"/>
              </w:rPr>
              <w:t>≥</w:t>
            </w:r>
            <w:r w:rsidRPr="00CC0E7C">
              <w:rPr>
                <w:rFonts w:cs="Arial"/>
                <w:szCs w:val="22"/>
              </w:rPr>
              <w:t xml:space="preserve"> 10</w:t>
            </w:r>
            <w:r w:rsidRPr="00CC0E7C">
              <w:rPr>
                <w:rFonts w:cs="Arial"/>
                <w:szCs w:val="22"/>
                <w:vertAlign w:val="superscript"/>
              </w:rPr>
              <w:t>-4</w:t>
            </w:r>
          </w:p>
        </w:tc>
        <w:tc>
          <w:tcPr>
            <w:tcW w:w="3120" w:type="dxa"/>
            <w:tcBorders>
              <w:top w:val="single" w:sz="7" w:space="0" w:color="000000"/>
              <w:left w:val="single" w:sz="7" w:space="0" w:color="000000"/>
              <w:bottom w:val="single" w:sz="7" w:space="0" w:color="000000"/>
              <w:right w:val="single" w:sz="7" w:space="0" w:color="000000"/>
            </w:tcBorders>
            <w:vAlign w:val="center"/>
          </w:tcPr>
          <w:p w14:paraId="4F50DCA5"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Red</w:t>
            </w:r>
          </w:p>
        </w:tc>
        <w:tc>
          <w:tcPr>
            <w:tcW w:w="3120" w:type="dxa"/>
            <w:tcBorders>
              <w:top w:val="single" w:sz="7" w:space="0" w:color="000000"/>
              <w:left w:val="single" w:sz="7" w:space="0" w:color="000000"/>
              <w:bottom w:val="single" w:sz="7" w:space="0" w:color="000000"/>
              <w:right w:val="single" w:sz="7" w:space="0" w:color="000000"/>
            </w:tcBorders>
            <w:vAlign w:val="center"/>
          </w:tcPr>
          <w:p w14:paraId="2A29DAB5"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Red</w:t>
            </w:r>
          </w:p>
        </w:tc>
      </w:tr>
      <w:tr w:rsidR="007E2A03" w:rsidRPr="00C70CAC" w14:paraId="218ED7B7" w14:textId="77777777" w:rsidTr="00E66B8D">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73E911E5" w14:textId="05ECED8A" w:rsidR="007E2A03" w:rsidRPr="00CC0E7C" w:rsidRDefault="00E17106"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Pr>
                <w:rFonts w:cs="Arial"/>
                <w:szCs w:val="22"/>
              </w:rPr>
              <w:t>≥</w:t>
            </w:r>
            <w:r w:rsidRPr="00CC0E7C">
              <w:rPr>
                <w:rFonts w:cs="Arial"/>
                <w:szCs w:val="22"/>
              </w:rPr>
              <w:t xml:space="preserve"> 10</w:t>
            </w:r>
            <w:r w:rsidRPr="00CC0E7C">
              <w:rPr>
                <w:rFonts w:cs="Arial"/>
                <w:szCs w:val="22"/>
                <w:vertAlign w:val="superscript"/>
              </w:rPr>
              <w:t>-5</w:t>
            </w:r>
            <w:r w:rsidRPr="00CC0E7C">
              <w:rPr>
                <w:rFonts w:cs="Arial"/>
                <w:szCs w:val="22"/>
              </w:rPr>
              <w:t xml:space="preserve"> </w:t>
            </w:r>
            <w:r>
              <w:rPr>
                <w:rFonts w:cs="Arial"/>
                <w:szCs w:val="22"/>
              </w:rPr>
              <w:t>and</w:t>
            </w:r>
            <w:r w:rsidRPr="00CC0E7C">
              <w:rPr>
                <w:rFonts w:cs="Arial"/>
                <w:szCs w:val="22"/>
              </w:rPr>
              <w:t xml:space="preserve"> &lt; 10</w:t>
            </w:r>
            <w:r w:rsidRPr="00CC0E7C">
              <w:rPr>
                <w:rFonts w:cs="Arial"/>
                <w:szCs w:val="22"/>
                <w:vertAlign w:val="superscript"/>
              </w:rPr>
              <w:t>-4</w:t>
            </w:r>
          </w:p>
        </w:tc>
        <w:tc>
          <w:tcPr>
            <w:tcW w:w="3120" w:type="dxa"/>
            <w:tcBorders>
              <w:top w:val="single" w:sz="7" w:space="0" w:color="000000"/>
              <w:left w:val="single" w:sz="7" w:space="0" w:color="000000"/>
              <w:bottom w:val="single" w:sz="7" w:space="0" w:color="000000"/>
              <w:right w:val="single" w:sz="7" w:space="0" w:color="000000"/>
            </w:tcBorders>
            <w:vAlign w:val="center"/>
          </w:tcPr>
          <w:p w14:paraId="3FECC7C2"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Yellow</w:t>
            </w:r>
          </w:p>
        </w:tc>
        <w:tc>
          <w:tcPr>
            <w:tcW w:w="3120" w:type="dxa"/>
            <w:tcBorders>
              <w:top w:val="single" w:sz="7" w:space="0" w:color="000000"/>
              <w:left w:val="single" w:sz="7" w:space="0" w:color="000000"/>
              <w:bottom w:val="single" w:sz="7" w:space="0" w:color="000000"/>
              <w:right w:val="single" w:sz="7" w:space="0" w:color="000000"/>
            </w:tcBorders>
            <w:vAlign w:val="center"/>
          </w:tcPr>
          <w:p w14:paraId="296BA467"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Red</w:t>
            </w:r>
          </w:p>
        </w:tc>
      </w:tr>
      <w:tr w:rsidR="007E2A03" w:rsidRPr="00C70CAC" w14:paraId="38088CE1" w14:textId="77777777" w:rsidTr="00E66B8D">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263D63C9" w14:textId="1FD12F78" w:rsidR="007E2A03" w:rsidRPr="00CC0E7C" w:rsidRDefault="00E17106"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Pr>
                <w:rFonts w:cs="Arial"/>
                <w:szCs w:val="22"/>
              </w:rPr>
              <w:t>≥</w:t>
            </w:r>
            <w:r w:rsidRPr="00CC0E7C">
              <w:rPr>
                <w:rFonts w:cs="Arial"/>
                <w:szCs w:val="22"/>
              </w:rPr>
              <w:t xml:space="preserve"> 10</w:t>
            </w:r>
            <w:r w:rsidRPr="00CC0E7C">
              <w:rPr>
                <w:rFonts w:cs="Arial"/>
                <w:szCs w:val="22"/>
                <w:vertAlign w:val="superscript"/>
              </w:rPr>
              <w:t>-6</w:t>
            </w:r>
            <w:r>
              <w:rPr>
                <w:rFonts w:cs="Arial"/>
                <w:szCs w:val="22"/>
              </w:rPr>
              <w:t xml:space="preserve"> and</w:t>
            </w:r>
            <w:r w:rsidRPr="00CC0E7C">
              <w:rPr>
                <w:rFonts w:cs="Arial"/>
                <w:szCs w:val="22"/>
              </w:rPr>
              <w:t xml:space="preserve"> &lt; 10</w:t>
            </w:r>
            <w:r w:rsidRPr="00CC0E7C">
              <w:rPr>
                <w:rFonts w:cs="Arial"/>
                <w:szCs w:val="22"/>
                <w:vertAlign w:val="superscript"/>
              </w:rPr>
              <w:t>-5</w:t>
            </w:r>
          </w:p>
        </w:tc>
        <w:tc>
          <w:tcPr>
            <w:tcW w:w="3120" w:type="dxa"/>
            <w:tcBorders>
              <w:top w:val="single" w:sz="7" w:space="0" w:color="000000"/>
              <w:left w:val="single" w:sz="7" w:space="0" w:color="000000"/>
              <w:bottom w:val="single" w:sz="7" w:space="0" w:color="000000"/>
              <w:right w:val="single" w:sz="7" w:space="0" w:color="000000"/>
            </w:tcBorders>
            <w:vAlign w:val="center"/>
          </w:tcPr>
          <w:p w14:paraId="0FC11E26"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White</w:t>
            </w:r>
          </w:p>
        </w:tc>
        <w:tc>
          <w:tcPr>
            <w:tcW w:w="3120" w:type="dxa"/>
            <w:tcBorders>
              <w:top w:val="single" w:sz="7" w:space="0" w:color="000000"/>
              <w:left w:val="single" w:sz="7" w:space="0" w:color="000000"/>
              <w:bottom w:val="single" w:sz="7" w:space="0" w:color="000000"/>
              <w:right w:val="single" w:sz="7" w:space="0" w:color="000000"/>
            </w:tcBorders>
            <w:vAlign w:val="center"/>
          </w:tcPr>
          <w:p w14:paraId="01230878"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Yellow</w:t>
            </w:r>
          </w:p>
        </w:tc>
      </w:tr>
      <w:tr w:rsidR="007E2A03" w:rsidRPr="00C70CAC" w14:paraId="690D3F06" w14:textId="77777777" w:rsidTr="00E66B8D">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27213E58" w14:textId="645ECFA3" w:rsidR="007E2A03" w:rsidRPr="00CC0E7C" w:rsidRDefault="00E17106"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Pr>
                <w:rFonts w:cs="Arial"/>
                <w:szCs w:val="22"/>
              </w:rPr>
              <w:t>≥</w:t>
            </w:r>
            <w:r w:rsidRPr="00CC0E7C">
              <w:rPr>
                <w:rFonts w:cs="Arial"/>
                <w:szCs w:val="22"/>
              </w:rPr>
              <w:t xml:space="preserve"> 10</w:t>
            </w:r>
            <w:r w:rsidRPr="00CC0E7C">
              <w:rPr>
                <w:rFonts w:cs="Arial"/>
                <w:szCs w:val="22"/>
                <w:vertAlign w:val="superscript"/>
              </w:rPr>
              <w:t>-7</w:t>
            </w:r>
            <w:r w:rsidRPr="00CC0E7C">
              <w:rPr>
                <w:rFonts w:cs="Arial"/>
                <w:szCs w:val="22"/>
              </w:rPr>
              <w:t xml:space="preserve"> </w:t>
            </w:r>
            <w:r>
              <w:rPr>
                <w:rFonts w:cs="Arial"/>
                <w:szCs w:val="22"/>
              </w:rPr>
              <w:t>and</w:t>
            </w:r>
            <w:r w:rsidRPr="00CC0E7C">
              <w:rPr>
                <w:rFonts w:cs="Arial"/>
                <w:szCs w:val="22"/>
              </w:rPr>
              <w:t xml:space="preserve"> &lt; 10</w:t>
            </w:r>
            <w:r w:rsidRPr="00CC0E7C">
              <w:rPr>
                <w:rFonts w:cs="Arial"/>
                <w:szCs w:val="22"/>
                <w:vertAlign w:val="superscript"/>
              </w:rPr>
              <w:t>-6</w:t>
            </w:r>
          </w:p>
        </w:tc>
        <w:tc>
          <w:tcPr>
            <w:tcW w:w="3120" w:type="dxa"/>
            <w:tcBorders>
              <w:top w:val="single" w:sz="7" w:space="0" w:color="000000"/>
              <w:left w:val="single" w:sz="7" w:space="0" w:color="000000"/>
              <w:bottom w:val="single" w:sz="7" w:space="0" w:color="000000"/>
              <w:right w:val="single" w:sz="7" w:space="0" w:color="000000"/>
            </w:tcBorders>
            <w:vAlign w:val="center"/>
          </w:tcPr>
          <w:p w14:paraId="5202C17B"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Green</w:t>
            </w:r>
          </w:p>
        </w:tc>
        <w:tc>
          <w:tcPr>
            <w:tcW w:w="3120" w:type="dxa"/>
            <w:tcBorders>
              <w:top w:val="single" w:sz="7" w:space="0" w:color="000000"/>
              <w:left w:val="single" w:sz="7" w:space="0" w:color="000000"/>
              <w:bottom w:val="single" w:sz="7" w:space="0" w:color="000000"/>
              <w:right w:val="single" w:sz="7" w:space="0" w:color="000000"/>
            </w:tcBorders>
            <w:vAlign w:val="center"/>
          </w:tcPr>
          <w:p w14:paraId="06DD0B75"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White</w:t>
            </w:r>
          </w:p>
        </w:tc>
      </w:tr>
      <w:tr w:rsidR="007E2A03" w:rsidRPr="00C70CAC" w14:paraId="1307FE76" w14:textId="77777777" w:rsidTr="00E66B8D">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40E2810B"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&lt;10</w:t>
            </w:r>
            <w:r w:rsidRPr="00CC0E7C">
              <w:rPr>
                <w:rFonts w:cs="Arial"/>
                <w:szCs w:val="22"/>
                <w:vertAlign w:val="superscript"/>
              </w:rPr>
              <w:t>-7</w:t>
            </w:r>
            <w:r w:rsidRPr="00CC0E7C">
              <w:rPr>
                <w:rFonts w:cs="Arial"/>
                <w:szCs w:val="22"/>
              </w:rPr>
              <w:t xml:space="preserve"> </w:t>
            </w:r>
          </w:p>
        </w:tc>
        <w:tc>
          <w:tcPr>
            <w:tcW w:w="3120" w:type="dxa"/>
            <w:tcBorders>
              <w:top w:val="single" w:sz="7" w:space="0" w:color="000000"/>
              <w:left w:val="single" w:sz="7" w:space="0" w:color="000000"/>
              <w:bottom w:val="single" w:sz="7" w:space="0" w:color="000000"/>
              <w:right w:val="single" w:sz="7" w:space="0" w:color="000000"/>
            </w:tcBorders>
            <w:vAlign w:val="center"/>
          </w:tcPr>
          <w:p w14:paraId="01A9E08C"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Green</w:t>
            </w:r>
          </w:p>
        </w:tc>
        <w:tc>
          <w:tcPr>
            <w:tcW w:w="3120" w:type="dxa"/>
            <w:tcBorders>
              <w:top w:val="single" w:sz="7" w:space="0" w:color="000000"/>
              <w:left w:val="single" w:sz="7" w:space="0" w:color="000000"/>
              <w:bottom w:val="single" w:sz="7" w:space="0" w:color="000000"/>
              <w:right w:val="single" w:sz="7" w:space="0" w:color="000000"/>
            </w:tcBorders>
            <w:vAlign w:val="center"/>
          </w:tcPr>
          <w:p w14:paraId="4CD14319" w14:textId="77777777" w:rsidR="007E2A03" w:rsidRPr="00CC0E7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CC0E7C">
              <w:rPr>
                <w:rFonts w:cs="Arial"/>
                <w:szCs w:val="22"/>
              </w:rPr>
              <w:t>Green</w:t>
            </w:r>
          </w:p>
        </w:tc>
      </w:tr>
    </w:tbl>
    <w:p w14:paraId="34B9A951" w14:textId="7C7E7401" w:rsidR="007E2A03" w:rsidRPr="002A3333" w:rsidRDefault="002A3333" w:rsidP="002A33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  *</w:t>
      </w:r>
      <w:r w:rsidRPr="002A3333">
        <w:rPr>
          <w:rFonts w:cs="Arial"/>
        </w:rPr>
        <w:t>ry = reactor year</w:t>
      </w:r>
    </w:p>
    <w:p w14:paraId="3835662B" w14:textId="77777777" w:rsidR="002A3333" w:rsidRPr="00C70CAC" w:rsidRDefault="002A333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1A167F5" w14:textId="77777777" w:rsidR="007E2A03" w:rsidRPr="00C70CAC" w:rsidRDefault="007E2A03"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Fire Protection SDP methodology consists of three phases:</w:t>
      </w:r>
    </w:p>
    <w:p w14:paraId="4C52822F" w14:textId="77777777" w:rsidR="007C04B6" w:rsidRDefault="007C04B6" w:rsidP="007C04B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593013" w14:textId="3663BD05" w:rsidR="007C04B6" w:rsidRDefault="007C04B6" w:rsidP="00FC72C5">
      <w:pPr>
        <w:pStyle w:val="ListParagraph"/>
        <w:numPr>
          <w:ilvl w:val="0"/>
          <w:numId w:val="6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pPr>
      <w:r w:rsidRPr="00C70CAC">
        <w:rPr>
          <w:rFonts w:cs="Arial"/>
        </w:rPr>
        <w:t>Phase 1: Characterization and initial screening of findings</w:t>
      </w:r>
      <w:r>
        <w:rPr>
          <w:rFonts w:cs="Arial"/>
        </w:rPr>
        <w:t>;</w:t>
      </w:r>
    </w:p>
    <w:p w14:paraId="63334D8F" w14:textId="1280A18F" w:rsidR="007C04B6" w:rsidRPr="007C04B6" w:rsidRDefault="007C04B6" w:rsidP="00FC72C5">
      <w:pPr>
        <w:pStyle w:val="ListParagraph"/>
        <w:numPr>
          <w:ilvl w:val="0"/>
          <w:numId w:val="6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pPr>
      <w:r w:rsidRPr="00C70CAC">
        <w:rPr>
          <w:rFonts w:cs="Arial"/>
        </w:rPr>
        <w:t>Phase 2: Initial approximation and basis of risk significance</w:t>
      </w:r>
      <w:r>
        <w:rPr>
          <w:rFonts w:cs="Arial"/>
        </w:rPr>
        <w:t>; and</w:t>
      </w:r>
    </w:p>
    <w:p w14:paraId="6BC2991A" w14:textId="6CD9021D" w:rsidR="007C04B6" w:rsidRPr="00C70CAC" w:rsidRDefault="007C04B6" w:rsidP="00FC72C5">
      <w:pPr>
        <w:pStyle w:val="ListParagraph"/>
        <w:numPr>
          <w:ilvl w:val="0"/>
          <w:numId w:val="6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pPr>
      <w:r w:rsidRPr="00C70CAC">
        <w:rPr>
          <w:rFonts w:cs="Arial"/>
        </w:rPr>
        <w:t>Phase 3: Finalized determination and basis of risk significance</w:t>
      </w:r>
      <w:r>
        <w:rPr>
          <w:rFonts w:cs="Arial"/>
        </w:rPr>
        <w:t>.</w:t>
      </w:r>
    </w:p>
    <w:p w14:paraId="4233649B" w14:textId="77777777" w:rsidR="007C04B6" w:rsidRDefault="007C04B6" w:rsidP="007C04B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5BC7AD" w14:textId="483FDD00" w:rsidR="004407CE" w:rsidRDefault="007E2A03" w:rsidP="00C51E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initial screening of findings in the Phase 1 process should lead to an identification of those findings that require Phase 2 or Phase 3 assessments.</w:t>
      </w:r>
      <w:r w:rsidR="007E6051">
        <w:rPr>
          <w:rFonts w:cs="Arial"/>
        </w:rPr>
        <w:t xml:space="preserve">  </w:t>
      </w:r>
      <w:r w:rsidR="007E6051" w:rsidRPr="00C70CAC">
        <w:rPr>
          <w:rFonts w:cs="Arial"/>
        </w:rPr>
        <w:t xml:space="preserve">The fire modeling tools </w:t>
      </w:r>
      <w:r w:rsidR="007E6051">
        <w:rPr>
          <w:rFonts w:cs="Arial"/>
        </w:rPr>
        <w:t>used</w:t>
      </w:r>
      <w:r w:rsidR="007E6051" w:rsidRPr="00C70CAC">
        <w:rPr>
          <w:rFonts w:cs="Arial"/>
        </w:rPr>
        <w:t xml:space="preserve"> to support the Phase 2 fire growth</w:t>
      </w:r>
      <w:r w:rsidR="007E6051">
        <w:rPr>
          <w:rFonts w:cs="Arial"/>
        </w:rPr>
        <w:t>,</w:t>
      </w:r>
      <w:r w:rsidR="007E6051" w:rsidRPr="00C70CAC">
        <w:rPr>
          <w:rFonts w:cs="Arial"/>
        </w:rPr>
        <w:t xml:space="preserve"> damage time</w:t>
      </w:r>
      <w:r w:rsidR="007E6051">
        <w:rPr>
          <w:rFonts w:cs="Arial"/>
        </w:rPr>
        <w:t>, detection, and suppression</w:t>
      </w:r>
      <w:r w:rsidR="007E6051" w:rsidRPr="00C70CAC">
        <w:rPr>
          <w:rFonts w:cs="Arial"/>
        </w:rPr>
        <w:t xml:space="preserve"> analysis are relatively simple correlation-based modeling approximations.  These tools cannot handle all fire growth conditions accurately.  Hence, an analysis that encounters complicated fire growth conditions is a potential candidate for a Phase 3 assessment.</w:t>
      </w:r>
      <w:r w:rsidR="0054305B">
        <w:rPr>
          <w:rFonts w:cs="Arial"/>
        </w:rPr>
        <w:t xml:space="preserve">  Moreover, a Phase 2 analysis generally does not account for the effects of human error and spurious operations.  If needed, these effects are considered in Phase 3.</w:t>
      </w:r>
    </w:p>
    <w:p w14:paraId="5D7525BA" w14:textId="77777777" w:rsidR="005A6F83" w:rsidRDefault="005A6F83"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9C7A55" w14:textId="346C6E62" w:rsidR="001D589F" w:rsidRPr="001D589F" w:rsidRDefault="001D589F" w:rsidP="009B3736">
      <w:pPr>
        <w:pStyle w:val="Heading2"/>
        <w:numPr>
          <w:ilvl w:val="1"/>
          <w:numId w:val="52"/>
        </w:numPr>
        <w:ind w:left="810"/>
      </w:pPr>
      <w:bookmarkStart w:id="5" w:name="_Toc481265346"/>
      <w:bookmarkStart w:id="6" w:name="_Toc511060836"/>
      <w:r w:rsidRPr="001D589F">
        <w:lastRenderedPageBreak/>
        <w:t>Entry Conditions</w:t>
      </w:r>
      <w:bookmarkEnd w:id="5"/>
      <w:bookmarkEnd w:id="6"/>
    </w:p>
    <w:p w14:paraId="4B966F07" w14:textId="60D4418A" w:rsidR="001D589F" w:rsidRDefault="001D589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6FE27B" w14:textId="0289924A" w:rsidR="00264AFE" w:rsidRPr="00C70CAC" w:rsidRDefault="00264AFE"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entry conditions for the Fire Protection SDP are defined for inspection findings of</w:t>
      </w:r>
      <w:r>
        <w:rPr>
          <w:rFonts w:cs="Arial"/>
        </w:rPr>
        <w:t xml:space="preserve"> d</w:t>
      </w:r>
      <w:r w:rsidRPr="00C70CAC">
        <w:rPr>
          <w:rFonts w:cs="Arial"/>
        </w:rPr>
        <w:t>egraded conditions associated with the plant fire protection program.</w:t>
      </w:r>
      <w:r>
        <w:rPr>
          <w:rFonts w:cs="Arial"/>
        </w:rPr>
        <w:t xml:space="preserve">  </w:t>
      </w:r>
      <w:r w:rsidRPr="00C70CAC">
        <w:rPr>
          <w:rFonts w:cs="Arial"/>
        </w:rPr>
        <w:t xml:space="preserve">The as-found degraded conditions are assumed to result from deficient </w:t>
      </w:r>
      <w:r w:rsidR="007E0CC2" w:rsidRPr="00C70CAC">
        <w:rPr>
          <w:rFonts w:cs="Arial"/>
        </w:rPr>
        <w:t>licen</w:t>
      </w:r>
      <w:r w:rsidR="007E0CC2">
        <w:rPr>
          <w:rFonts w:cs="Arial"/>
        </w:rPr>
        <w:t>s</w:t>
      </w:r>
      <w:r w:rsidR="007E0CC2" w:rsidRPr="00C70CAC">
        <w:rPr>
          <w:rFonts w:cs="Arial"/>
        </w:rPr>
        <w:t xml:space="preserve">ee </w:t>
      </w:r>
      <w:r w:rsidRPr="00C70CAC">
        <w:rPr>
          <w:rFonts w:cs="Arial"/>
        </w:rPr>
        <w:t>performance during full power operation of the plant (see IMC 0609</w:t>
      </w:r>
      <w:r w:rsidR="001B7E81">
        <w:rPr>
          <w:rFonts w:cs="Arial"/>
        </w:rPr>
        <w:t>,</w:t>
      </w:r>
      <w:r w:rsidRPr="00C70CAC">
        <w:rPr>
          <w:rFonts w:cs="Arial"/>
        </w:rPr>
        <w:t xml:space="preserve"> Appendix A</w:t>
      </w:r>
      <w:r w:rsidR="00941D84">
        <w:rPr>
          <w:rFonts w:cs="Arial"/>
        </w:rPr>
        <w:t xml:space="preserve"> (Reference </w:t>
      </w:r>
      <w:r w:rsidR="003C4A2C">
        <w:rPr>
          <w:rFonts w:cs="Arial"/>
        </w:rPr>
        <w:t>4</w:t>
      </w:r>
      <w:r w:rsidR="00941D84">
        <w:rPr>
          <w:rFonts w:cs="Arial"/>
        </w:rPr>
        <w:t>)</w:t>
      </w:r>
      <w:r w:rsidRPr="00C70CAC">
        <w:rPr>
          <w:rFonts w:cs="Arial"/>
        </w:rPr>
        <w:t>).  This may involve findings associated with fire protection features, fire protection systems</w:t>
      </w:r>
      <w:r w:rsidR="005F3B2C">
        <w:rPr>
          <w:rFonts w:cs="Arial"/>
        </w:rPr>
        <w:t xml:space="preserve"> (FPSs)</w:t>
      </w:r>
      <w:r w:rsidRPr="00C70CAC">
        <w:rPr>
          <w:rFonts w:cs="Arial"/>
        </w:rPr>
        <w:t>, post-fire safe shutdown (SSD) systems, procedures, and equipment, or any other aspect of the fire protection program.</w:t>
      </w:r>
    </w:p>
    <w:p w14:paraId="665066A4" w14:textId="77777777" w:rsidR="00264AFE" w:rsidRPr="00C70CAC" w:rsidRDefault="00264AFE"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57E993D" w14:textId="4D648301" w:rsidR="00264AFE" w:rsidRPr="00C70CAC" w:rsidRDefault="00264AFE"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Appendix F provides a simplified risk-informed methodology that estimates the increase in CDF associated with inspection findings of deficient </w:t>
      </w:r>
      <w:r w:rsidR="007E0CC2">
        <w:rPr>
          <w:rFonts w:cs="Arial"/>
        </w:rPr>
        <w:t>licensee</w:t>
      </w:r>
      <w:r w:rsidR="007E0CC2" w:rsidRPr="00C70CAC">
        <w:rPr>
          <w:rFonts w:cs="Arial"/>
        </w:rPr>
        <w:t xml:space="preserve"> </w:t>
      </w:r>
      <w:r w:rsidRPr="00C70CAC">
        <w:rPr>
          <w:rFonts w:cs="Arial"/>
        </w:rPr>
        <w:t>performance in assuring fire protection during full power operations.  Guidance for assessing risk significance of fire protection issues during low power or shutdown operations are currently not addressed in this Appendix</w:t>
      </w:r>
      <w:r w:rsidR="00E521CC">
        <w:rPr>
          <w:rFonts w:cs="Arial"/>
        </w:rPr>
        <w:t xml:space="preserve">.  If the inspection finding </w:t>
      </w:r>
      <w:r w:rsidRPr="00C70CAC">
        <w:rPr>
          <w:rFonts w:cs="Arial"/>
        </w:rPr>
        <w:t>is not related to deficient performance, no SDP evaluation would be performed.</w:t>
      </w:r>
    </w:p>
    <w:p w14:paraId="54C99612" w14:textId="77777777" w:rsidR="00264AFE" w:rsidRPr="00C70CAC" w:rsidRDefault="00264AFE"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48F135E" w14:textId="1FF70A6E" w:rsidR="00264AFE" w:rsidRPr="00C70CAC" w:rsidRDefault="00264AFE"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Nominally, each inspection finding is initially screened using the guidance in IMC 0612, Appendix B</w:t>
      </w:r>
      <w:r w:rsidR="0044265E">
        <w:rPr>
          <w:rFonts w:cs="Arial"/>
        </w:rPr>
        <w:t xml:space="preserve"> (Reference </w:t>
      </w:r>
      <w:r w:rsidR="003C4A2C">
        <w:rPr>
          <w:rFonts w:cs="Arial"/>
        </w:rPr>
        <w:t>5</w:t>
      </w:r>
      <w:r w:rsidR="0044265E">
        <w:rPr>
          <w:rFonts w:cs="Arial"/>
        </w:rPr>
        <w:t>)</w:t>
      </w:r>
      <w:r w:rsidR="007E0CC2">
        <w:rPr>
          <w:rFonts w:cs="Arial"/>
        </w:rPr>
        <w:t>,</w:t>
      </w:r>
      <w:r w:rsidRPr="00C70CAC">
        <w:rPr>
          <w:rFonts w:cs="Arial"/>
        </w:rPr>
        <w:t xml:space="preserve"> to determine </w:t>
      </w:r>
      <w:r w:rsidR="009441D2" w:rsidRPr="00C70CAC">
        <w:rPr>
          <w:rFonts w:cs="Arial"/>
        </w:rPr>
        <w:t>whether</w:t>
      </w:r>
      <w:r w:rsidRPr="00C70CAC">
        <w:rPr>
          <w:rFonts w:cs="Arial"/>
        </w:rPr>
        <w:t xml:space="preserve"> the finding is </w:t>
      </w:r>
      <w:r w:rsidR="006C6DE0">
        <w:rPr>
          <w:rFonts w:cs="Arial"/>
        </w:rPr>
        <w:t>more</w:t>
      </w:r>
      <w:r w:rsidR="006C6DE0" w:rsidRPr="00C70CAC">
        <w:rPr>
          <w:rFonts w:cs="Arial"/>
        </w:rPr>
        <w:t xml:space="preserve"> </w:t>
      </w:r>
      <w:r w:rsidRPr="00C70CAC">
        <w:rPr>
          <w:rFonts w:cs="Arial"/>
        </w:rPr>
        <w:t xml:space="preserve">than minor.  If the finding is </w:t>
      </w:r>
      <w:r w:rsidR="006C6DE0">
        <w:rPr>
          <w:rFonts w:cs="Arial"/>
        </w:rPr>
        <w:t>more</w:t>
      </w:r>
      <w:r w:rsidR="006C6DE0" w:rsidRPr="00C70CAC">
        <w:rPr>
          <w:rFonts w:cs="Arial"/>
        </w:rPr>
        <w:t xml:space="preserve"> </w:t>
      </w:r>
      <w:r w:rsidRPr="00C70CAC">
        <w:rPr>
          <w:rFonts w:cs="Arial"/>
        </w:rPr>
        <w:t xml:space="preserve">than minor, IMC 0612 guidance directs the analyst to perform a Phase 1 SDP assessment.  </w:t>
      </w:r>
      <w:r w:rsidR="006C6DE0">
        <w:rPr>
          <w:rFonts w:cs="Arial"/>
        </w:rPr>
        <w:t>A</w:t>
      </w:r>
      <w:r w:rsidRPr="00C70CAC">
        <w:rPr>
          <w:rFonts w:cs="Arial"/>
        </w:rPr>
        <w:t>ll inspection findings related to the fire protection program</w:t>
      </w:r>
      <w:r w:rsidR="006C6DE0">
        <w:rPr>
          <w:rFonts w:cs="Arial"/>
        </w:rPr>
        <w:t>, except for fire brigade findings,</w:t>
      </w:r>
      <w:r w:rsidRPr="00C70CAC">
        <w:rPr>
          <w:rFonts w:cs="Arial"/>
        </w:rPr>
        <w:t xml:space="preserve"> are </w:t>
      </w:r>
      <w:r w:rsidR="006C6DE0">
        <w:rPr>
          <w:rFonts w:cs="Arial"/>
        </w:rPr>
        <w:t>referred</w:t>
      </w:r>
      <w:r w:rsidR="006C6DE0" w:rsidRPr="00C70CAC">
        <w:rPr>
          <w:rFonts w:cs="Arial"/>
        </w:rPr>
        <w:t xml:space="preserve"> </w:t>
      </w:r>
      <w:r w:rsidRPr="00C70CAC">
        <w:rPr>
          <w:rFonts w:cs="Arial"/>
        </w:rPr>
        <w:t>to Appendix F for further consideration.</w:t>
      </w:r>
    </w:p>
    <w:p w14:paraId="0FE6ED65" w14:textId="77777777" w:rsidR="00264AFE" w:rsidRPr="00C70CAC" w:rsidRDefault="00264AFE"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92DF2EA" w14:textId="0D730A60" w:rsidR="00264AFE" w:rsidRPr="00C70CAC" w:rsidRDefault="00264AFE" w:rsidP="00F81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A detailed Phase 3 analysis </w:t>
      </w:r>
      <w:r w:rsidR="00E97094">
        <w:rPr>
          <w:rFonts w:cs="Arial"/>
        </w:rPr>
        <w:t>is</w:t>
      </w:r>
      <w:r w:rsidRPr="00C70CAC">
        <w:rPr>
          <w:rFonts w:cs="Arial"/>
        </w:rPr>
        <w:t xml:space="preserve"> recommended for any finding evaluated in Phase 2 as greater than Green.  </w:t>
      </w:r>
      <w:r w:rsidR="008D5760" w:rsidRPr="008D5760">
        <w:rPr>
          <w:rFonts w:cs="Arial"/>
        </w:rPr>
        <w:t xml:space="preserve">In </w:t>
      </w:r>
      <w:r w:rsidR="008D5760">
        <w:rPr>
          <w:rFonts w:cs="Arial"/>
        </w:rPr>
        <w:t>a</w:t>
      </w:r>
      <w:r w:rsidR="006C6DE0">
        <w:rPr>
          <w:rFonts w:cs="Arial"/>
        </w:rPr>
        <w:t>ddition</w:t>
      </w:r>
      <w:r w:rsidR="008D5760" w:rsidRPr="008D5760">
        <w:rPr>
          <w:rFonts w:cs="Arial"/>
        </w:rPr>
        <w:t xml:space="preserve">, </w:t>
      </w:r>
      <w:r w:rsidR="006C6DE0">
        <w:rPr>
          <w:rFonts w:cs="Arial"/>
        </w:rPr>
        <w:t>the</w:t>
      </w:r>
      <w:r w:rsidR="008D5760" w:rsidRPr="008D5760">
        <w:rPr>
          <w:rFonts w:cs="Arial"/>
        </w:rPr>
        <w:t xml:space="preserve"> Phase 2 analysis can be skipped and a Phase 3 analysis performed for a complex </w:t>
      </w:r>
      <w:r w:rsidR="008D5760" w:rsidRPr="009B3736">
        <w:rPr>
          <w:rFonts w:cs="Arial"/>
        </w:rPr>
        <w:t>finding</w:t>
      </w:r>
      <w:r w:rsidR="00E97094">
        <w:rPr>
          <w:rFonts w:cs="Arial"/>
        </w:rPr>
        <w:t>, based on the discretion of the inspector, risk analyst, and management</w:t>
      </w:r>
      <w:r w:rsidRPr="0034587C">
        <w:rPr>
          <w:rFonts w:cs="Arial"/>
        </w:rPr>
        <w:t>.</w:t>
      </w:r>
      <w:r w:rsidRPr="009B3736">
        <w:rPr>
          <w:rFonts w:cs="Arial"/>
        </w:rPr>
        <w:t xml:space="preserve">  </w:t>
      </w:r>
      <w:r w:rsidRPr="00C70CAC">
        <w:rPr>
          <w:rFonts w:cs="Arial"/>
        </w:rPr>
        <w:t>A complex finding is defined as:</w:t>
      </w:r>
    </w:p>
    <w:p w14:paraId="62CCCFD3" w14:textId="77777777" w:rsidR="00264AFE" w:rsidRPr="00C70CAC" w:rsidRDefault="00264AFE" w:rsidP="002D0B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64DC32B" w14:textId="4397F48D" w:rsidR="00264AFE" w:rsidRDefault="00264AFE" w:rsidP="00484C5B">
      <w:pPr>
        <w:pStyle w:val="ListParagraph"/>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7" w:name="_Toc481265347"/>
      <w:r w:rsidRPr="00C70CAC">
        <w:t>A finding with a number of correlated (or dependent) findings of performance deficiencies</w:t>
      </w:r>
      <w:r w:rsidRPr="007F241B">
        <w:rPr>
          <w:rStyle w:val="FootnoteReference"/>
        </w:rPr>
        <w:footnoteReference w:id="1"/>
      </w:r>
      <w:r w:rsidR="00031659">
        <w:t>;</w:t>
      </w:r>
      <w:bookmarkEnd w:id="7"/>
      <w:r w:rsidR="00EA2DDB">
        <w:t xml:space="preserve"> or</w:t>
      </w:r>
    </w:p>
    <w:p w14:paraId="50452994" w14:textId="2171219F" w:rsidR="00264AFE" w:rsidRDefault="00264AFE" w:rsidP="00484C5B">
      <w:pPr>
        <w:pStyle w:val="ListParagraph"/>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8" w:name="_Toc481265348"/>
      <w:r w:rsidRPr="00C70CAC">
        <w:t>A finding assessed in Phase 2 whose approximate risk significance appears to be driven by contentious assumptions and/or over-conservatism, or appears to be substantially affected by uncertainties associated with simplifying assumptions</w:t>
      </w:r>
      <w:r w:rsidR="00031659">
        <w:t>;</w:t>
      </w:r>
      <w:r w:rsidRPr="00C70CAC">
        <w:t xml:space="preserve"> or</w:t>
      </w:r>
      <w:bookmarkEnd w:id="8"/>
    </w:p>
    <w:p w14:paraId="0858EE42" w14:textId="05CAB05F" w:rsidR="00264AFE" w:rsidRPr="00C70CAC" w:rsidRDefault="00264AFE" w:rsidP="00484C5B">
      <w:pPr>
        <w:pStyle w:val="ListParagraph"/>
        <w:numPr>
          <w:ilvl w:val="0"/>
          <w:numId w:val="5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9" w:name="_Toc481265349"/>
      <w:r w:rsidRPr="00C70CAC">
        <w:t xml:space="preserve">A finding judged to be potentially risk significant that is not covered by the guidance provided in this Appendix (see Section </w:t>
      </w:r>
      <w:r w:rsidR="00CB30FF">
        <w:t>02</w:t>
      </w:r>
      <w:r w:rsidRPr="00C70CAC">
        <w:t>).</w:t>
      </w:r>
      <w:bookmarkEnd w:id="9"/>
    </w:p>
    <w:p w14:paraId="10FB9483" w14:textId="77777777" w:rsidR="00B42B63" w:rsidRDefault="00B42B63" w:rsidP="002D0B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D07159" w14:textId="533FF6D3" w:rsidR="00B27F2A" w:rsidRPr="00CB257E" w:rsidRDefault="00B27F2A" w:rsidP="0051659A">
      <w:pPr>
        <w:pStyle w:val="Heading2"/>
      </w:pPr>
      <w:bookmarkStart w:id="10" w:name="_Toc481265350"/>
      <w:bookmarkStart w:id="11" w:name="_Toc511060837"/>
      <w:r w:rsidRPr="00CB257E">
        <w:t>Applicability</w:t>
      </w:r>
      <w:bookmarkEnd w:id="10"/>
      <w:bookmarkEnd w:id="11"/>
    </w:p>
    <w:p w14:paraId="30FDEC7E" w14:textId="77777777" w:rsidR="00CB257E" w:rsidRDefault="00CB257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4182C3" w14:textId="5B651CCA" w:rsidR="00A6171D" w:rsidRDefault="00C85C0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Fire Protection SDP is designed to provide NRC analysts and management with a risk-informed tool for identifying potentially risk-significant issues that involve degradations in the plant fire protection program.  All such findings are evaluated in terms of the impact of the degradation finding on the change in fire-induced CDF.  The Fire Protection SDP also helps to facilitate communication of the basis for significance between the NRC and regulated licensees.  In addition, the SDP identifies findings that do not warrant further NRC engagement, due to very low risk significance, so that these findings are entered into the licensee</w:t>
      </w:r>
      <w:r>
        <w:rPr>
          <w:rFonts w:cs="Arial"/>
        </w:rPr>
        <w:t>’</w:t>
      </w:r>
      <w:r w:rsidRPr="00C70CAC">
        <w:rPr>
          <w:rFonts w:cs="Arial"/>
        </w:rPr>
        <w:t>s corrective action program.</w:t>
      </w:r>
      <w:r w:rsidR="00A6171D">
        <w:rPr>
          <w:rFonts w:cs="Arial"/>
        </w:rPr>
        <w:br w:type="page"/>
      </w:r>
    </w:p>
    <w:p w14:paraId="510E612D" w14:textId="77777777" w:rsidR="00B42B63" w:rsidRDefault="00B42B63"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424C75" w14:textId="03DE390A" w:rsidR="00B42B63" w:rsidRDefault="00B42B63" w:rsidP="00DA03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992172" w14:textId="3F82A359" w:rsidR="00B27F2A" w:rsidRDefault="00B27F2A" w:rsidP="00DA0312">
      <w:pPr>
        <w:pStyle w:val="Heading1"/>
      </w:pPr>
      <w:bookmarkStart w:id="12" w:name="_Toc481265351"/>
      <w:bookmarkStart w:id="13" w:name="_Toc511060838"/>
      <w:r>
        <w:t>LIMITS AND PRECAUTIONS</w:t>
      </w:r>
      <w:bookmarkEnd w:id="12"/>
      <w:bookmarkEnd w:id="13"/>
    </w:p>
    <w:p w14:paraId="4560CCD4" w14:textId="77777777" w:rsidR="003163D3" w:rsidRDefault="003163D3" w:rsidP="00DA03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A90E57" w14:textId="20A662AF" w:rsidR="001B65BF" w:rsidRPr="00C70CAC" w:rsidRDefault="001B65BF" w:rsidP="00DA0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This document provides supporting guidance for implementation of Phase 1 and 2 analyses under the Fire Protection SDP analysis process as described in Appendix F.  The actual analysis procedure is documented in Appendix F.  The current document is intended to serve as a supplemental resource to assist in implementation of, and to foster a greater understanding of, the Appendix F procedure.  This document is considered a necessary companion to the procedure itself.</w:t>
      </w:r>
    </w:p>
    <w:p w14:paraId="4B97D9AD" w14:textId="77777777" w:rsidR="001B65BF" w:rsidRPr="00C70CAC" w:rsidRDefault="001B65BF" w:rsidP="00DA0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B8692EC" w14:textId="12483459" w:rsidR="001B65BF" w:rsidRPr="00C70CAC" w:rsidRDefault="001B65BF" w:rsidP="00DA0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Fire Protection SDP analysis process is a simplified tool that </w:t>
      </w:r>
      <w:r w:rsidR="007E0CC2">
        <w:rPr>
          <w:rFonts w:cs="Arial"/>
        </w:rPr>
        <w:t xml:space="preserve">generally </w:t>
      </w:r>
      <w:r w:rsidRPr="00C70CAC">
        <w:rPr>
          <w:rFonts w:cs="Arial"/>
        </w:rPr>
        <w:t xml:space="preserve">provides a slightly conservative, nominally order-of-magnitude assessment of the risk significance of inspection findings related to the fire protection program.  The Fire Protection SDP is a tool that </w:t>
      </w:r>
      <w:r w:rsidR="00582F00">
        <w:rPr>
          <w:rFonts w:cs="Arial"/>
        </w:rPr>
        <w:t xml:space="preserve">facilitates </w:t>
      </w:r>
      <w:r w:rsidRPr="00C70CAC">
        <w:rPr>
          <w:rFonts w:cs="Arial"/>
        </w:rPr>
        <w:t xml:space="preserve">NRC analysts </w:t>
      </w:r>
      <w:r w:rsidR="00582F00">
        <w:rPr>
          <w:rFonts w:cs="Arial"/>
        </w:rPr>
        <w:t>obtaining a risk-informed</w:t>
      </w:r>
      <w:r w:rsidRPr="00C70CAC">
        <w:rPr>
          <w:rFonts w:cs="Arial"/>
        </w:rPr>
        <w:t xml:space="preserve"> assessment of the significance of a finding.</w:t>
      </w:r>
    </w:p>
    <w:p w14:paraId="14BF2FBE" w14:textId="77777777" w:rsidR="001B65BF" w:rsidRPr="00C70CAC" w:rsidRDefault="001B65BF" w:rsidP="00DA0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59754DC" w14:textId="77777777" w:rsidR="001B65BF" w:rsidRPr="00C70CAC" w:rsidRDefault="001B65BF" w:rsidP="00DA0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Fire Protection SDP approach has a number of inherent assumptions and limitations:</w:t>
      </w:r>
    </w:p>
    <w:p w14:paraId="057A47D5" w14:textId="77777777" w:rsidR="00A02FD9" w:rsidRPr="00C70CAC" w:rsidRDefault="00A02FD9" w:rsidP="00DA03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F22643C" w14:textId="1161C072" w:rsidR="00A02FD9" w:rsidRPr="00C70CAC" w:rsidRDefault="00A02FD9" w:rsidP="00DA0312">
      <w:pPr>
        <w:pStyle w:val="Level2"/>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The Fire Protection SDP assesses the change in CDF, rather than LERF, as a measure of risk significance.  The likelihood of early release of radioactive materials or long-term risk measures such as population dose (person-rem) and latent cancer fatalities are not addressed in this Appendix.  Containment performance depends on the containment design, plant specific attributes and features, which have considerable variability and are </w:t>
      </w:r>
      <w:r>
        <w:rPr>
          <w:rFonts w:cs="Arial"/>
        </w:rPr>
        <w:t xml:space="preserve">typically </w:t>
      </w:r>
      <w:r w:rsidRPr="00C70CAC">
        <w:rPr>
          <w:rFonts w:cs="Arial"/>
        </w:rPr>
        <w:t>beyond the scope of this simplified fire risk analysis tool.</w:t>
      </w:r>
      <w:r w:rsidR="00DA0312" w:rsidRPr="00DA0312">
        <w:rPr>
          <w:szCs w:val="22"/>
        </w:rPr>
        <w:t xml:space="preserve"> </w:t>
      </w:r>
      <w:r w:rsidR="00DA0312">
        <w:rPr>
          <w:szCs w:val="22"/>
        </w:rPr>
        <w:t xml:space="preserve"> I</w:t>
      </w:r>
      <w:r w:rsidR="00DA0312" w:rsidRPr="00DA0312">
        <w:rPr>
          <w:rFonts w:cs="Arial"/>
        </w:rPr>
        <w:t>f a finding increases the likelihood of otherwise low probability events that primarily impact LERF (such as fire-induced spurious opening of a containment isolation valve), the change in LERF may be the more appropriate risk metric.  In this case, the SDP analysis should proceed directly to Phase 3.</w:t>
      </w:r>
    </w:p>
    <w:p w14:paraId="42C45306" w14:textId="74500A52" w:rsidR="00A02FD9" w:rsidRPr="00C70CAC" w:rsidRDefault="00A02FD9" w:rsidP="00DA0312">
      <w:pPr>
        <w:pStyle w:val="Level2"/>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The quantification approach and analysis methods used in this Fire Protection SDP are</w:t>
      </w:r>
      <w:r>
        <w:rPr>
          <w:rFonts w:cs="Arial"/>
        </w:rPr>
        <w:t xml:space="preserve"> </w:t>
      </w:r>
      <w:r w:rsidRPr="00C70CAC">
        <w:rPr>
          <w:rFonts w:cs="Arial"/>
        </w:rPr>
        <w:t xml:space="preserve">largely based on existing fire </w:t>
      </w:r>
      <w:r w:rsidR="00AF3E9A">
        <w:rPr>
          <w:rFonts w:cs="Arial"/>
        </w:rPr>
        <w:t>Probabilistic Risk Assessment (</w:t>
      </w:r>
      <w:r w:rsidRPr="00C70CAC">
        <w:rPr>
          <w:rFonts w:cs="Arial"/>
        </w:rPr>
        <w:t>PRA</w:t>
      </w:r>
      <w:r w:rsidR="00AF3E9A">
        <w:rPr>
          <w:rFonts w:cs="Arial"/>
        </w:rPr>
        <w:t>)</w:t>
      </w:r>
      <w:r w:rsidRPr="00C70CAC">
        <w:rPr>
          <w:rFonts w:cs="Arial"/>
        </w:rPr>
        <w:t xml:space="preserve"> analysis methods.  As such, the methods are also limited by the current state of the art in fire PRA methodology.</w:t>
      </w:r>
    </w:p>
    <w:p w14:paraId="43C4BED1" w14:textId="6A648951" w:rsidR="00A02FD9" w:rsidRPr="00C70CAC" w:rsidRDefault="00A02FD9" w:rsidP="00DA0312">
      <w:pPr>
        <w:pStyle w:val="Level2"/>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The Fire Protection SDP focuses on risks due to degraded conditions of the fire protection program during full power operation of a </w:t>
      </w:r>
      <w:r w:rsidR="00731DCC">
        <w:rPr>
          <w:rFonts w:cs="Arial"/>
        </w:rPr>
        <w:t>NPP</w:t>
      </w:r>
      <w:r w:rsidRPr="00C70CAC">
        <w:rPr>
          <w:rFonts w:cs="Arial"/>
        </w:rPr>
        <w:t>.  This tool does not address the potential risk significance of fire protection inspection findings in the context of other modes of plant operation (i.e., low power or shutdown).</w:t>
      </w:r>
    </w:p>
    <w:p w14:paraId="3FE40E83" w14:textId="77777777" w:rsidR="00A02FD9" w:rsidRPr="00C70CAC" w:rsidRDefault="00A02FD9" w:rsidP="00DA0312">
      <w:pPr>
        <w:pStyle w:val="Level2"/>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The process strives to achieve order of magnitude estimates of risk significance.  However, it is recognized that fire PRA methods in general retain considerable uncertainty.  The Fire Protection SDP strives to minimize the occurrence of false-negative findings.  In the process of simplifying existing fire PRA methods for the purposes of the Phase 2 Fire Protection SDP analysis, compromises in analysis complexity have been made.  In general, these compromises have involved the application of quantification factors that may be somewhat conservative for specific applications.  Hence, the objective of order of magnitude accuracy may not be uniformly achieved in the Fire Protection SDP Phase 2 analyses.</w:t>
      </w:r>
    </w:p>
    <w:p w14:paraId="4303F576" w14:textId="4F0F1BFA" w:rsidR="00A02FD9" w:rsidRPr="00C70CAC" w:rsidRDefault="00A02FD9" w:rsidP="00DA0312">
      <w:pPr>
        <w:pStyle w:val="Level2"/>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The Fire Protection SDP excludes findings associated with the performance of the on-site manual fire brigade or fire department.  </w:t>
      </w:r>
      <w:r>
        <w:rPr>
          <w:rFonts w:cs="Arial"/>
        </w:rPr>
        <w:t>If</w:t>
      </w:r>
      <w:r w:rsidRPr="00353828">
        <w:rPr>
          <w:rFonts w:cs="Arial"/>
        </w:rPr>
        <w:t xml:space="preserve"> the finding involve</w:t>
      </w:r>
      <w:r>
        <w:rPr>
          <w:rFonts w:cs="Arial"/>
        </w:rPr>
        <w:t>s</w:t>
      </w:r>
      <w:r w:rsidRPr="00353828">
        <w:rPr>
          <w:rFonts w:cs="Arial"/>
        </w:rPr>
        <w:t xml:space="preserve"> the </w:t>
      </w:r>
      <w:r>
        <w:rPr>
          <w:rFonts w:cs="Arial"/>
        </w:rPr>
        <w:t>f</w:t>
      </w:r>
      <w:r w:rsidRPr="00353828">
        <w:rPr>
          <w:rFonts w:cs="Arial"/>
        </w:rPr>
        <w:t xml:space="preserve">ire </w:t>
      </w:r>
      <w:r>
        <w:rPr>
          <w:rFonts w:cs="Arial"/>
        </w:rPr>
        <w:t>b</w:t>
      </w:r>
      <w:r w:rsidRPr="00353828">
        <w:rPr>
          <w:rFonts w:cs="Arial"/>
        </w:rPr>
        <w:t>rigade, Appendix F direct</w:t>
      </w:r>
      <w:r>
        <w:rPr>
          <w:rFonts w:cs="Arial"/>
        </w:rPr>
        <w:t>s</w:t>
      </w:r>
      <w:r w:rsidRPr="00353828">
        <w:rPr>
          <w:rFonts w:cs="Arial"/>
        </w:rPr>
        <w:t xml:space="preserve"> the NRC </w:t>
      </w:r>
      <w:r>
        <w:rPr>
          <w:rFonts w:cs="Arial"/>
        </w:rPr>
        <w:t>analyst</w:t>
      </w:r>
      <w:r w:rsidRPr="00353828">
        <w:rPr>
          <w:rFonts w:cs="Arial"/>
        </w:rPr>
        <w:t xml:space="preserve"> to use </w:t>
      </w:r>
      <w:r w:rsidR="001E3EF6">
        <w:rPr>
          <w:rFonts w:cs="Arial"/>
        </w:rPr>
        <w:t>IMC 0609, Appendix A (</w:t>
      </w:r>
      <w:r w:rsidR="00941D84">
        <w:rPr>
          <w:rFonts w:cs="Arial"/>
        </w:rPr>
        <w:t xml:space="preserve">Reference </w:t>
      </w:r>
      <w:r w:rsidR="003C4A2C">
        <w:rPr>
          <w:rFonts w:cs="Arial"/>
        </w:rPr>
        <w:t>4</w:t>
      </w:r>
      <w:r w:rsidR="001E3EF6">
        <w:rPr>
          <w:rFonts w:cs="Arial"/>
        </w:rPr>
        <w:t>)</w:t>
      </w:r>
      <w:r w:rsidR="006C6DE0">
        <w:rPr>
          <w:rFonts w:cs="Arial"/>
        </w:rPr>
        <w:t>.</w:t>
      </w:r>
    </w:p>
    <w:p w14:paraId="50A58ADC" w14:textId="142B2D16" w:rsidR="00A02FD9" w:rsidRPr="00C70CAC" w:rsidRDefault="00A02FD9" w:rsidP="00C51E30">
      <w:pPr>
        <w:pStyle w:val="Level2"/>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The Fire Protection SDP Phase 2 quantitative screening method includes an approach for incorporating known </w:t>
      </w:r>
      <w:r>
        <w:rPr>
          <w:rFonts w:cs="Arial"/>
        </w:rPr>
        <w:t xml:space="preserve">issues about </w:t>
      </w:r>
      <w:r w:rsidRPr="00C70CAC">
        <w:rPr>
          <w:rFonts w:cs="Arial"/>
        </w:rPr>
        <w:t xml:space="preserve">fire-induced circuit failure modes and effects into an SDP analysis.  </w:t>
      </w:r>
      <w:r w:rsidR="00340253">
        <w:rPr>
          <w:rFonts w:cs="Arial"/>
        </w:rPr>
        <w:t>T</w:t>
      </w:r>
      <w:r w:rsidRPr="00C70CAC">
        <w:rPr>
          <w:rFonts w:cs="Arial"/>
        </w:rPr>
        <w:t xml:space="preserve">he SDP approach is </w:t>
      </w:r>
      <w:r w:rsidR="00340253">
        <w:rPr>
          <w:rFonts w:cs="Arial"/>
        </w:rPr>
        <w:t xml:space="preserve">mainly </w:t>
      </w:r>
      <w:r w:rsidRPr="00C70CAC">
        <w:rPr>
          <w:rFonts w:cs="Arial"/>
        </w:rPr>
        <w:t xml:space="preserve">intended to support the assessment of </w:t>
      </w:r>
      <w:r w:rsidRPr="00C70CAC">
        <w:rPr>
          <w:rFonts w:cs="Arial"/>
        </w:rPr>
        <w:lastRenderedPageBreak/>
        <w:t xml:space="preserve">known issues in the context of an individual fire area.  </w:t>
      </w:r>
      <w:r w:rsidR="00340253" w:rsidRPr="00340253">
        <w:rPr>
          <w:rFonts w:cs="Arial"/>
        </w:rPr>
        <w:t xml:space="preserve">However, the Phase 2 process may be appropriate for some issues involving multiple fire areas. </w:t>
      </w:r>
      <w:r w:rsidRPr="00C70CAC">
        <w:rPr>
          <w:rFonts w:cs="Arial"/>
        </w:rPr>
        <w:t xml:space="preserve">In practice, an </w:t>
      </w:r>
      <w:r>
        <w:rPr>
          <w:rFonts w:cs="Arial"/>
        </w:rPr>
        <w:t xml:space="preserve">issue about </w:t>
      </w:r>
      <w:r w:rsidRPr="00C70CAC">
        <w:rPr>
          <w:rFonts w:cs="Arial"/>
        </w:rPr>
        <w:t>given circuit failure modes and effects will likely impact the risk contribution arising from multiple fire areas.  The SDP analysis approach, in theory</w:t>
      </w:r>
      <w:r>
        <w:rPr>
          <w:rFonts w:cs="Arial"/>
        </w:rPr>
        <w:t>,</w:t>
      </w:r>
      <w:r w:rsidRPr="00C70CAC">
        <w:rPr>
          <w:rFonts w:cs="Arial"/>
        </w:rPr>
        <w:t xml:space="preserve"> could be used to provide a screening estimate of the plant-wide risk significance of a particular circuit failure issue, if supported by a plant-wide search for relevant vulnerabilities (i.e., plant-wide routing information for all relevant cables and circuit, and an assessment of fire vulnerabilities for each relevant fire area).  </w:t>
      </w:r>
      <w:r w:rsidR="00340253" w:rsidRPr="00340253">
        <w:rPr>
          <w:rFonts w:cs="Arial"/>
        </w:rPr>
        <w:t xml:space="preserve">It is recommended that additional guidance be sought from a risk analyst in the conduct of such an analysis.  </w:t>
      </w:r>
      <w:r w:rsidRPr="00C70CAC">
        <w:rPr>
          <w:rFonts w:cs="Arial"/>
        </w:rPr>
        <w:t xml:space="preserve">A systematic plant-wide search and assessment effort is beyond the intended scope of </w:t>
      </w:r>
      <w:r w:rsidR="001E3EF6">
        <w:rPr>
          <w:rFonts w:cs="Arial"/>
        </w:rPr>
        <w:t>Phase 2</w:t>
      </w:r>
      <w:r w:rsidRPr="00C70CAC">
        <w:rPr>
          <w:rFonts w:cs="Arial"/>
        </w:rPr>
        <w:t>.</w:t>
      </w:r>
      <w:r w:rsidR="001E3EF6">
        <w:rPr>
          <w:rFonts w:cs="Arial"/>
        </w:rPr>
        <w:t xml:space="preserve">  </w:t>
      </w:r>
      <w:r w:rsidR="001E3EF6" w:rsidRPr="001E3EF6">
        <w:rPr>
          <w:rFonts w:cs="Arial"/>
        </w:rPr>
        <w:t>In such cases, the SDP analysis can proceed directly to Phase 3.</w:t>
      </w:r>
    </w:p>
    <w:p w14:paraId="2166D219" w14:textId="1C3C973F" w:rsidR="00A02FD9" w:rsidRDefault="00340253" w:rsidP="00DA0312">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40253">
        <w:rPr>
          <w:rFonts w:cs="Arial"/>
        </w:rPr>
        <w:t xml:space="preserve">The Fire Protection SDP Phase 2 quantitative screening method </w:t>
      </w:r>
      <w:r w:rsidR="00A02FD9" w:rsidRPr="00C401CF">
        <w:rPr>
          <w:rFonts w:cs="Arial"/>
        </w:rPr>
        <w:t xml:space="preserve">does not currently include explicit treatment of </w:t>
      </w:r>
      <w:r w:rsidR="001471C7">
        <w:rPr>
          <w:rFonts w:cs="Arial"/>
        </w:rPr>
        <w:t xml:space="preserve">MCR </w:t>
      </w:r>
      <w:r w:rsidR="00A02FD9" w:rsidRPr="00C401CF">
        <w:rPr>
          <w:rFonts w:cs="Arial"/>
        </w:rPr>
        <w:t xml:space="preserve">fires </w:t>
      </w:r>
      <w:r w:rsidR="001471C7">
        <w:rPr>
          <w:rFonts w:cs="Arial"/>
        </w:rPr>
        <w:t xml:space="preserve">or fires </w:t>
      </w:r>
      <w:r w:rsidR="00A02FD9" w:rsidRPr="00C401CF">
        <w:rPr>
          <w:rFonts w:cs="Arial"/>
        </w:rPr>
        <w:t xml:space="preserve">leading to </w:t>
      </w:r>
      <w:r w:rsidR="00AB1F81">
        <w:rPr>
          <w:rFonts w:cs="Arial"/>
        </w:rPr>
        <w:t>MCR</w:t>
      </w:r>
      <w:r w:rsidR="00A02FD9" w:rsidRPr="00C401CF">
        <w:rPr>
          <w:rFonts w:cs="Arial"/>
        </w:rPr>
        <w:t xml:space="preserve"> abandonment</w:t>
      </w:r>
      <w:r w:rsidR="001471C7">
        <w:rPr>
          <w:rFonts w:cs="Arial"/>
        </w:rPr>
        <w:t xml:space="preserve"> (</w:t>
      </w:r>
      <w:r w:rsidR="00A02FD9" w:rsidRPr="00C401CF">
        <w:rPr>
          <w:rFonts w:cs="Arial"/>
        </w:rPr>
        <w:t xml:space="preserve">either due to fire in the </w:t>
      </w:r>
      <w:r w:rsidR="00AB1F81">
        <w:rPr>
          <w:rFonts w:cs="Arial"/>
        </w:rPr>
        <w:t>MCR</w:t>
      </w:r>
      <w:r w:rsidR="00A02FD9" w:rsidRPr="00C401CF">
        <w:rPr>
          <w:rFonts w:cs="Arial"/>
        </w:rPr>
        <w:t xml:space="preserve"> or due to fires in other fire areas</w:t>
      </w:r>
      <w:r w:rsidR="001471C7" w:rsidRPr="001471C7">
        <w:rPr>
          <w:szCs w:val="22"/>
        </w:rPr>
        <w:t xml:space="preserve"> </w:t>
      </w:r>
      <w:r w:rsidR="001471C7" w:rsidRPr="001471C7">
        <w:rPr>
          <w:rFonts w:cs="Arial"/>
        </w:rPr>
        <w:t>that would impair the ability to control the reactor from the MCR</w:t>
      </w:r>
      <w:r w:rsidR="001471C7">
        <w:rPr>
          <w:rFonts w:cs="Arial"/>
        </w:rPr>
        <w:t>)</w:t>
      </w:r>
      <w:r w:rsidR="00A02FD9" w:rsidRPr="00C401CF">
        <w:rPr>
          <w:rFonts w:cs="Arial"/>
        </w:rPr>
        <w:t xml:space="preserve">.  The Phase 2 process </w:t>
      </w:r>
      <w:r w:rsidR="001471C7">
        <w:rPr>
          <w:rFonts w:cs="Arial"/>
        </w:rPr>
        <w:t>may be able to</w:t>
      </w:r>
      <w:r w:rsidR="001471C7" w:rsidRPr="00C401CF">
        <w:rPr>
          <w:rFonts w:cs="Arial"/>
        </w:rPr>
        <w:t xml:space="preserve"> </w:t>
      </w:r>
      <w:r w:rsidR="00A02FD9" w:rsidRPr="00C401CF">
        <w:rPr>
          <w:rFonts w:cs="Arial"/>
        </w:rPr>
        <w:t>address such scenarios, but it is recommended that additional guidance be sought</w:t>
      </w:r>
      <w:r w:rsidR="001471C7">
        <w:rPr>
          <w:rFonts w:cs="Arial"/>
        </w:rPr>
        <w:t xml:space="preserve"> from a risk analyst</w:t>
      </w:r>
      <w:r w:rsidR="00A02FD9" w:rsidRPr="00C401CF">
        <w:rPr>
          <w:rFonts w:cs="Arial"/>
        </w:rPr>
        <w:t xml:space="preserve"> in the conduct of such an analysis.</w:t>
      </w:r>
    </w:p>
    <w:p w14:paraId="66DB684B" w14:textId="5C974931" w:rsidR="00A6171D" w:rsidRDefault="00A6171D" w:rsidP="00DA03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34A50282" w14:textId="65DDD398" w:rsidR="00B27F2A" w:rsidRDefault="00B27F2A" w:rsidP="00DA0312">
      <w:pPr>
        <w:pStyle w:val="Heading1"/>
      </w:pPr>
      <w:bookmarkStart w:id="14" w:name="_Toc481265352"/>
      <w:bookmarkStart w:id="15" w:name="_Toc511060839"/>
      <w:r>
        <w:lastRenderedPageBreak/>
        <w:t>ABBREVIATIONS, SYMBOLS AND DEFINITIONS</w:t>
      </w:r>
      <w:bookmarkEnd w:id="14"/>
      <w:bookmarkEnd w:id="15"/>
    </w:p>
    <w:p w14:paraId="5C1B2D00" w14:textId="77777777" w:rsidR="00B42B63" w:rsidRDefault="00B42B63" w:rsidP="00646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5E04E0" w14:textId="40823B9B" w:rsidR="00B27F2A" w:rsidRDefault="00B27F2A" w:rsidP="00B43D79">
      <w:pPr>
        <w:pStyle w:val="Heading2"/>
        <w:ind w:hanging="1166"/>
      </w:pPr>
      <w:bookmarkStart w:id="16" w:name="_Toc481265353"/>
      <w:bookmarkStart w:id="17" w:name="_Toc511060840"/>
      <w:r>
        <w:t>Abbreviations</w:t>
      </w:r>
      <w:bookmarkEnd w:id="16"/>
      <w:bookmarkEnd w:id="17"/>
    </w:p>
    <w:p w14:paraId="3216671A" w14:textId="77777777" w:rsidR="008522D6" w:rsidRDefault="008522D6" w:rsidP="00646E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D6BA29" w14:textId="7BAAD47F" w:rsidR="001B7630" w:rsidRPr="00C70CAC" w:rsidRDefault="001B7630"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AF</w:t>
      </w:r>
      <w:r>
        <w:rPr>
          <w:rFonts w:cs="Arial"/>
        </w:rPr>
        <w:tab/>
      </w:r>
      <w:r w:rsidR="00F47076">
        <w:rPr>
          <w:rFonts w:cs="Arial"/>
        </w:rPr>
        <w:tab/>
      </w:r>
      <w:r>
        <w:rPr>
          <w:rFonts w:cs="Arial"/>
        </w:rPr>
        <w:t>Adjustment Factor</w:t>
      </w:r>
    </w:p>
    <w:p w14:paraId="5AEA35E6" w14:textId="43EEF6E5"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CCDP</w:t>
      </w:r>
      <w:r>
        <w:rPr>
          <w:rFonts w:cs="Arial"/>
        </w:rPr>
        <w:tab/>
      </w:r>
      <w:r w:rsidR="00F47076">
        <w:rPr>
          <w:rFonts w:cs="Arial"/>
        </w:rPr>
        <w:tab/>
      </w:r>
      <w:r w:rsidRPr="00C70CAC">
        <w:rPr>
          <w:rFonts w:cs="Arial"/>
        </w:rPr>
        <w:t>Conditional Core Damage Probability</w:t>
      </w:r>
    </w:p>
    <w:p w14:paraId="56AD65FE" w14:textId="4C6E2DD5"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CDF</w:t>
      </w:r>
      <w:r w:rsidRPr="00C70CAC">
        <w:rPr>
          <w:rFonts w:cs="Arial"/>
        </w:rPr>
        <w:tab/>
      </w:r>
      <w:r w:rsidR="00F47076">
        <w:rPr>
          <w:rFonts w:cs="Arial"/>
        </w:rPr>
        <w:tab/>
      </w:r>
      <w:r w:rsidRPr="00C70CAC">
        <w:rPr>
          <w:rFonts w:cs="Arial"/>
        </w:rPr>
        <w:t>Core Damage Frequency</w:t>
      </w:r>
    </w:p>
    <w:p w14:paraId="552EA7A0" w14:textId="701791F3"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CM</w:t>
      </w:r>
      <w:r>
        <w:rPr>
          <w:rFonts w:cs="Arial"/>
        </w:rPr>
        <w:tab/>
      </w:r>
      <w:r w:rsidR="00F47076">
        <w:rPr>
          <w:rFonts w:cs="Arial"/>
        </w:rPr>
        <w:tab/>
      </w:r>
      <w:r>
        <w:rPr>
          <w:rFonts w:cs="Arial"/>
        </w:rPr>
        <w:t>C</w:t>
      </w:r>
      <w:r w:rsidRPr="00C70CAC">
        <w:rPr>
          <w:rFonts w:cs="Arial"/>
        </w:rPr>
        <w:t>ompensatory Measure</w:t>
      </w:r>
    </w:p>
    <w:p w14:paraId="5B82D362" w14:textId="006B8A7C"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DF</w:t>
      </w:r>
      <w:r>
        <w:rPr>
          <w:rFonts w:cs="Arial"/>
        </w:rPr>
        <w:tab/>
      </w:r>
      <w:r w:rsidR="00F47076">
        <w:rPr>
          <w:rFonts w:cs="Arial"/>
        </w:rPr>
        <w:tab/>
      </w:r>
      <w:r w:rsidRPr="00C70CAC">
        <w:rPr>
          <w:rFonts w:cs="Arial"/>
        </w:rPr>
        <w:t>Duration Factor</w:t>
      </w:r>
    </w:p>
    <w:p w14:paraId="44F43D07" w14:textId="4CFB9A3B"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DID</w:t>
      </w:r>
      <w:r w:rsidRPr="00C70CAC">
        <w:rPr>
          <w:rFonts w:cs="Arial"/>
        </w:rPr>
        <w:tab/>
      </w:r>
      <w:r w:rsidR="00F47076">
        <w:rPr>
          <w:rFonts w:cs="Arial"/>
        </w:rPr>
        <w:tab/>
      </w:r>
      <w:r w:rsidRPr="00C70CAC">
        <w:rPr>
          <w:rFonts w:cs="Arial"/>
        </w:rPr>
        <w:t>Defense in Depth</w:t>
      </w:r>
    </w:p>
    <w:p w14:paraId="68D61AFE" w14:textId="1A018E3A"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EPRI</w:t>
      </w:r>
      <w:r w:rsidRPr="00C70CAC">
        <w:rPr>
          <w:rFonts w:cs="Arial"/>
        </w:rPr>
        <w:tab/>
      </w:r>
      <w:r w:rsidR="00F47076">
        <w:rPr>
          <w:rFonts w:cs="Arial"/>
        </w:rPr>
        <w:tab/>
      </w:r>
      <w:r w:rsidRPr="00C70CAC">
        <w:rPr>
          <w:rFonts w:cs="Arial"/>
        </w:rPr>
        <w:t>Electric Power Research Institute</w:t>
      </w:r>
    </w:p>
    <w:p w14:paraId="78D6803A" w14:textId="63BA4E38"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FDS</w:t>
      </w:r>
      <w:r w:rsidRPr="00C70CAC">
        <w:rPr>
          <w:rFonts w:cs="Arial"/>
        </w:rPr>
        <w:tab/>
      </w:r>
      <w:r w:rsidR="00F47076">
        <w:rPr>
          <w:rFonts w:cs="Arial"/>
        </w:rPr>
        <w:tab/>
      </w:r>
      <w:r w:rsidRPr="00C70CAC">
        <w:rPr>
          <w:rFonts w:cs="Arial"/>
        </w:rPr>
        <w:t>Fire Damage State</w:t>
      </w:r>
    </w:p>
    <w:p w14:paraId="7C1E4F72" w14:textId="627F4AAC" w:rsidR="008F2AF4" w:rsidRDefault="008F2AF4"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FDTs</w:t>
      </w:r>
      <w:r>
        <w:rPr>
          <w:rFonts w:cs="Arial"/>
        </w:rPr>
        <w:tab/>
      </w:r>
      <w:r>
        <w:rPr>
          <w:rFonts w:cs="Arial"/>
        </w:rPr>
        <w:tab/>
        <w:t>Fire Dynamics Tools</w:t>
      </w:r>
    </w:p>
    <w:p w14:paraId="2EBB37D9" w14:textId="27FEFC35" w:rsidR="001B7630" w:rsidRDefault="001B7630"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FIF</w:t>
      </w:r>
      <w:r>
        <w:rPr>
          <w:rFonts w:cs="Arial"/>
        </w:rPr>
        <w:tab/>
      </w:r>
      <w:r w:rsidR="00F47076">
        <w:rPr>
          <w:rFonts w:cs="Arial"/>
        </w:rPr>
        <w:tab/>
      </w:r>
      <w:r>
        <w:rPr>
          <w:rFonts w:cs="Arial"/>
        </w:rPr>
        <w:t>Fire Ignition Frequency</w:t>
      </w:r>
    </w:p>
    <w:p w14:paraId="175B4CE9" w14:textId="34852D50" w:rsidR="008F2AF4" w:rsidRDefault="008F2AF4"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FIVE</w:t>
      </w:r>
      <w:r>
        <w:rPr>
          <w:rFonts w:cs="Arial"/>
        </w:rPr>
        <w:tab/>
      </w:r>
      <w:r>
        <w:rPr>
          <w:rFonts w:cs="Arial"/>
        </w:rPr>
        <w:tab/>
        <w:t>Fire-Induced Vulnerability Evaluation</w:t>
      </w:r>
    </w:p>
    <w:p w14:paraId="122A7DA2" w14:textId="622BD716" w:rsidR="005A6F83" w:rsidRDefault="005A6F83"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FLASH-CAT</w:t>
      </w:r>
      <w:r>
        <w:rPr>
          <w:rFonts w:cs="Arial"/>
        </w:rPr>
        <w:tab/>
      </w:r>
      <w:r w:rsidRPr="00420210">
        <w:rPr>
          <w:u w:val="single"/>
          <w:lang w:eastAsia="en-GB"/>
        </w:rPr>
        <w:t>Fla</w:t>
      </w:r>
      <w:r w:rsidRPr="00420210">
        <w:rPr>
          <w:lang w:eastAsia="en-GB"/>
        </w:rPr>
        <w:t xml:space="preserve">me </w:t>
      </w:r>
      <w:r w:rsidRPr="00420210">
        <w:rPr>
          <w:u w:val="single"/>
          <w:lang w:eastAsia="en-GB"/>
        </w:rPr>
        <w:t>S</w:t>
      </w:r>
      <w:r w:rsidRPr="00420210">
        <w:rPr>
          <w:lang w:eastAsia="en-GB"/>
        </w:rPr>
        <w:t xml:space="preserve">pread over </w:t>
      </w:r>
      <w:r w:rsidRPr="00420210">
        <w:rPr>
          <w:u w:val="single"/>
          <w:lang w:eastAsia="en-GB"/>
        </w:rPr>
        <w:t>H</w:t>
      </w:r>
      <w:r w:rsidRPr="00420210">
        <w:rPr>
          <w:lang w:eastAsia="en-GB"/>
        </w:rPr>
        <w:t xml:space="preserve">orizontal </w:t>
      </w:r>
      <w:r w:rsidRPr="00420210">
        <w:rPr>
          <w:u w:val="single"/>
          <w:lang w:eastAsia="en-GB"/>
        </w:rPr>
        <w:t>Ca</w:t>
      </w:r>
      <w:r w:rsidRPr="00420210">
        <w:rPr>
          <w:lang w:eastAsia="en-GB"/>
        </w:rPr>
        <w:t xml:space="preserve">ble </w:t>
      </w:r>
      <w:r w:rsidRPr="00420210">
        <w:rPr>
          <w:u w:val="single"/>
          <w:lang w:eastAsia="en-GB"/>
        </w:rPr>
        <w:t>T</w:t>
      </w:r>
      <w:r>
        <w:rPr>
          <w:lang w:eastAsia="en-GB"/>
        </w:rPr>
        <w:t>rays</w:t>
      </w:r>
    </w:p>
    <w:p w14:paraId="580217DF" w14:textId="7B76A87B"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FPS</w:t>
      </w:r>
      <w:r w:rsidRPr="00C70CAC">
        <w:rPr>
          <w:rFonts w:cs="Arial"/>
        </w:rPr>
        <w:tab/>
      </w:r>
      <w:r w:rsidR="00F47076">
        <w:rPr>
          <w:rFonts w:cs="Arial"/>
        </w:rPr>
        <w:tab/>
      </w:r>
      <w:r w:rsidRPr="00C70CAC">
        <w:rPr>
          <w:rFonts w:cs="Arial"/>
        </w:rPr>
        <w:t>Fire Protection System</w:t>
      </w:r>
    </w:p>
    <w:p w14:paraId="635AA7F1" w14:textId="365C8FD4" w:rsidR="00B11B3D" w:rsidRPr="00C70CAC" w:rsidRDefault="00B11B3D"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GDC</w:t>
      </w:r>
      <w:r w:rsidRPr="00C70CAC">
        <w:rPr>
          <w:rFonts w:cs="Arial"/>
        </w:rPr>
        <w:tab/>
      </w:r>
      <w:r w:rsidR="00F47076">
        <w:rPr>
          <w:rFonts w:cs="Arial"/>
        </w:rPr>
        <w:tab/>
      </w:r>
      <w:r w:rsidRPr="00C70CAC">
        <w:rPr>
          <w:rFonts w:cs="Arial"/>
        </w:rPr>
        <w:t>General Design Criterion</w:t>
      </w:r>
    </w:p>
    <w:p w14:paraId="6E4921D7" w14:textId="54B9F694" w:rsidR="007F4F20" w:rsidRDefault="007F4F20"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HEAF</w:t>
      </w:r>
      <w:r>
        <w:rPr>
          <w:rFonts w:cs="Arial"/>
        </w:rPr>
        <w:tab/>
      </w:r>
      <w:r>
        <w:rPr>
          <w:rFonts w:cs="Arial"/>
        </w:rPr>
        <w:tab/>
        <w:t>High Energy Arcing Fault</w:t>
      </w:r>
    </w:p>
    <w:p w14:paraId="5673B65A" w14:textId="6F5D6DC5" w:rsidR="00944342" w:rsidRDefault="00944342"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HGL</w:t>
      </w:r>
      <w:r>
        <w:rPr>
          <w:rFonts w:cs="Arial"/>
        </w:rPr>
        <w:tab/>
      </w:r>
      <w:r w:rsidR="00F47076">
        <w:rPr>
          <w:rFonts w:cs="Arial"/>
        </w:rPr>
        <w:tab/>
      </w:r>
      <w:r>
        <w:rPr>
          <w:rFonts w:cs="Arial"/>
        </w:rPr>
        <w:t>Hot Gas Layer</w:t>
      </w:r>
    </w:p>
    <w:p w14:paraId="1C3DEFF3" w14:textId="59E3940A" w:rsidR="00944342" w:rsidRDefault="00944342"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HRR</w:t>
      </w:r>
      <w:r>
        <w:rPr>
          <w:rFonts w:cs="Arial"/>
        </w:rPr>
        <w:tab/>
      </w:r>
      <w:r w:rsidR="00F47076">
        <w:rPr>
          <w:rFonts w:cs="Arial"/>
        </w:rPr>
        <w:tab/>
      </w:r>
      <w:r>
        <w:rPr>
          <w:rFonts w:cs="Arial"/>
        </w:rPr>
        <w:t>Heat Release Rate</w:t>
      </w:r>
    </w:p>
    <w:p w14:paraId="35F9F5C7" w14:textId="60A8E091" w:rsidR="00944342" w:rsidRDefault="00944342" w:rsidP="00646E6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HRRPUA</w:t>
      </w:r>
      <w:r w:rsidR="00F47076">
        <w:rPr>
          <w:rFonts w:cs="Arial"/>
        </w:rPr>
        <w:tab/>
        <w:t>Heat Release Rate per Unit Area</w:t>
      </w:r>
    </w:p>
    <w:p w14:paraId="27E9B1E7" w14:textId="4B9A3A53"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IMC</w:t>
      </w:r>
      <w:r w:rsidRPr="00C70CAC">
        <w:rPr>
          <w:rFonts w:cs="Arial"/>
        </w:rPr>
        <w:tab/>
      </w:r>
      <w:r w:rsidR="00F47076">
        <w:rPr>
          <w:rFonts w:cs="Arial"/>
        </w:rPr>
        <w:tab/>
      </w:r>
      <w:r w:rsidRPr="00C70CAC">
        <w:rPr>
          <w:rFonts w:cs="Arial"/>
        </w:rPr>
        <w:t>Inspection Manual Chapter</w:t>
      </w:r>
    </w:p>
    <w:p w14:paraId="4B5AAD3B" w14:textId="55B7F8C1"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IPEEE</w:t>
      </w:r>
      <w:r w:rsidRPr="00C70CAC">
        <w:rPr>
          <w:rFonts w:cs="Arial"/>
        </w:rPr>
        <w:tab/>
      </w:r>
      <w:r w:rsidR="00F47076">
        <w:rPr>
          <w:rFonts w:cs="Arial"/>
        </w:rPr>
        <w:tab/>
      </w:r>
      <w:r w:rsidRPr="00C70CAC">
        <w:rPr>
          <w:rFonts w:cs="Arial"/>
        </w:rPr>
        <w:t>Individual Plant Examination for External Events</w:t>
      </w:r>
    </w:p>
    <w:p w14:paraId="70B480C1" w14:textId="1D392AC6"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LER</w:t>
      </w:r>
      <w:r w:rsidRPr="00C70CAC">
        <w:rPr>
          <w:rFonts w:cs="Arial"/>
        </w:rPr>
        <w:tab/>
      </w:r>
      <w:r w:rsidR="00F47076">
        <w:rPr>
          <w:rFonts w:cs="Arial"/>
        </w:rPr>
        <w:tab/>
      </w:r>
      <w:r w:rsidRPr="00C70CAC">
        <w:rPr>
          <w:rFonts w:cs="Arial"/>
        </w:rPr>
        <w:t>Licensee Event Report</w:t>
      </w:r>
    </w:p>
    <w:p w14:paraId="57BC6186" w14:textId="148377D9"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LERF</w:t>
      </w:r>
      <w:r w:rsidRPr="00C70CAC">
        <w:rPr>
          <w:rFonts w:cs="Arial"/>
        </w:rPr>
        <w:tab/>
      </w:r>
      <w:r w:rsidR="00F47076">
        <w:rPr>
          <w:rFonts w:cs="Arial"/>
        </w:rPr>
        <w:tab/>
      </w:r>
      <w:r w:rsidRPr="00C70CAC">
        <w:rPr>
          <w:rFonts w:cs="Arial"/>
        </w:rPr>
        <w:t>Large Early Release Frequency</w:t>
      </w:r>
    </w:p>
    <w:p w14:paraId="264C979C" w14:textId="7E51071E" w:rsidR="007F4F20" w:rsidRDefault="007F4F20"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MCC</w:t>
      </w:r>
      <w:r>
        <w:rPr>
          <w:rFonts w:cs="Arial"/>
        </w:rPr>
        <w:tab/>
      </w:r>
      <w:r>
        <w:rPr>
          <w:rFonts w:cs="Arial"/>
        </w:rPr>
        <w:tab/>
        <w:t>Motor Control Center</w:t>
      </w:r>
    </w:p>
    <w:p w14:paraId="70F643CB" w14:textId="4B62BF2A"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MCR</w:t>
      </w:r>
      <w:r w:rsidRPr="00C70CAC">
        <w:rPr>
          <w:rFonts w:cs="Arial"/>
        </w:rPr>
        <w:tab/>
      </w:r>
      <w:r w:rsidR="00F47076">
        <w:rPr>
          <w:rFonts w:cs="Arial"/>
        </w:rPr>
        <w:tab/>
      </w:r>
      <w:r w:rsidRPr="00C70CAC">
        <w:rPr>
          <w:rFonts w:cs="Arial"/>
        </w:rPr>
        <w:t>Main Control Room</w:t>
      </w:r>
    </w:p>
    <w:p w14:paraId="25607EA0" w14:textId="2EDB0567" w:rsidR="006846E5" w:rsidRDefault="006846E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MQH</w:t>
      </w:r>
      <w:r>
        <w:rPr>
          <w:rFonts w:cs="Arial"/>
        </w:rPr>
        <w:tab/>
      </w:r>
      <w:r>
        <w:rPr>
          <w:rFonts w:cs="Arial"/>
        </w:rPr>
        <w:tab/>
        <w:t>McCaffrey, Quintiere, and Harkleroad</w:t>
      </w:r>
    </w:p>
    <w:p w14:paraId="3293B516" w14:textId="38F4E0CA"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NEI</w:t>
      </w:r>
      <w:r w:rsidRPr="00C70CAC">
        <w:rPr>
          <w:rFonts w:cs="Arial"/>
        </w:rPr>
        <w:tab/>
      </w:r>
      <w:r w:rsidR="00F47076">
        <w:rPr>
          <w:rFonts w:cs="Arial"/>
        </w:rPr>
        <w:tab/>
      </w:r>
      <w:r w:rsidRPr="00C70CAC">
        <w:rPr>
          <w:rFonts w:cs="Arial"/>
        </w:rPr>
        <w:t>Nuclear Energy Institute</w:t>
      </w:r>
    </w:p>
    <w:p w14:paraId="6796EE06" w14:textId="0671DEE5"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NPP</w:t>
      </w:r>
      <w:r w:rsidRPr="00C70CAC">
        <w:rPr>
          <w:rFonts w:cs="Arial"/>
        </w:rPr>
        <w:tab/>
      </w:r>
      <w:r w:rsidR="00F47076">
        <w:rPr>
          <w:rFonts w:cs="Arial"/>
        </w:rPr>
        <w:tab/>
      </w:r>
      <w:r w:rsidRPr="00C70CAC">
        <w:rPr>
          <w:rFonts w:cs="Arial"/>
        </w:rPr>
        <w:t>Nuclear Power Plant</w:t>
      </w:r>
    </w:p>
    <w:p w14:paraId="24363EA3" w14:textId="09BCFAB9"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NRC</w:t>
      </w:r>
      <w:r w:rsidRPr="00C70CAC">
        <w:rPr>
          <w:rFonts w:cs="Arial"/>
        </w:rPr>
        <w:tab/>
      </w:r>
      <w:r w:rsidR="00F47076">
        <w:rPr>
          <w:rFonts w:cs="Arial"/>
        </w:rPr>
        <w:tab/>
      </w:r>
      <w:r w:rsidRPr="00C70CAC">
        <w:rPr>
          <w:rFonts w:cs="Arial"/>
        </w:rPr>
        <w:t>Nuclear Regulatory Commission</w:t>
      </w:r>
    </w:p>
    <w:p w14:paraId="500DC09D" w14:textId="7569E9D2"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NRR</w:t>
      </w:r>
      <w:r w:rsidRPr="00C70CAC">
        <w:rPr>
          <w:rFonts w:cs="Arial"/>
        </w:rPr>
        <w:tab/>
      </w:r>
      <w:r w:rsidR="00F47076">
        <w:rPr>
          <w:rFonts w:cs="Arial"/>
        </w:rPr>
        <w:tab/>
      </w:r>
      <w:r w:rsidRPr="00C70CAC">
        <w:rPr>
          <w:rFonts w:cs="Arial"/>
        </w:rPr>
        <w:t>NRC Office of Nuclear Reactor Regulation</w:t>
      </w:r>
    </w:p>
    <w:p w14:paraId="3AA3393A" w14:textId="627802AC"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NFPA</w:t>
      </w:r>
      <w:r w:rsidRPr="00C70CAC">
        <w:rPr>
          <w:rFonts w:cs="Arial"/>
        </w:rPr>
        <w:tab/>
      </w:r>
      <w:r w:rsidR="00F47076">
        <w:rPr>
          <w:rFonts w:cs="Arial"/>
        </w:rPr>
        <w:tab/>
      </w:r>
      <w:r w:rsidRPr="00C70CAC">
        <w:rPr>
          <w:rFonts w:cs="Arial"/>
        </w:rPr>
        <w:t>National Fire Protection Association</w:t>
      </w:r>
    </w:p>
    <w:p w14:paraId="22D73905" w14:textId="761A0CE6"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NS</w:t>
      </w:r>
      <w:r w:rsidR="001B7630">
        <w:rPr>
          <w:rFonts w:cs="Arial"/>
        </w:rPr>
        <w:t>P</w:t>
      </w:r>
      <w:r w:rsidRPr="00C70CAC">
        <w:rPr>
          <w:rFonts w:cs="Arial"/>
        </w:rPr>
        <w:tab/>
      </w:r>
      <w:r w:rsidR="00F47076">
        <w:rPr>
          <w:rFonts w:cs="Arial"/>
        </w:rPr>
        <w:tab/>
      </w:r>
      <w:r w:rsidRPr="00C70CAC">
        <w:rPr>
          <w:rFonts w:cs="Arial"/>
        </w:rPr>
        <w:t>Non-Suppression</w:t>
      </w:r>
      <w:r w:rsidR="001B7630">
        <w:rPr>
          <w:rFonts w:cs="Arial"/>
        </w:rPr>
        <w:t xml:space="preserve"> Probability</w:t>
      </w:r>
    </w:p>
    <w:p w14:paraId="35B32B37" w14:textId="6BA669FD"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PRA</w:t>
      </w:r>
      <w:r w:rsidRPr="00C70CAC">
        <w:rPr>
          <w:rFonts w:cs="Arial"/>
        </w:rPr>
        <w:tab/>
      </w:r>
      <w:r w:rsidR="00F47076">
        <w:rPr>
          <w:rFonts w:cs="Arial"/>
        </w:rPr>
        <w:tab/>
      </w:r>
      <w:r w:rsidRPr="00C70CAC">
        <w:rPr>
          <w:rFonts w:cs="Arial"/>
        </w:rPr>
        <w:t>Probabilistic Risk Assessment</w:t>
      </w:r>
    </w:p>
    <w:p w14:paraId="577D8807" w14:textId="432FFC4B" w:rsidR="008F2AF4" w:rsidRDefault="008F2AF4"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PSM</w:t>
      </w:r>
      <w:r>
        <w:rPr>
          <w:rFonts w:cs="Arial"/>
        </w:rPr>
        <w:tab/>
      </w:r>
      <w:r>
        <w:rPr>
          <w:rFonts w:cs="Arial"/>
        </w:rPr>
        <w:tab/>
        <w:t>Point Source Model</w:t>
      </w:r>
    </w:p>
    <w:p w14:paraId="074DEDF4" w14:textId="56F03065" w:rsidR="006846E5" w:rsidRDefault="006846E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QTP</w:t>
      </w:r>
      <w:r>
        <w:rPr>
          <w:rFonts w:cs="Arial"/>
        </w:rPr>
        <w:tab/>
      </w:r>
      <w:r>
        <w:rPr>
          <w:rFonts w:cs="Arial"/>
        </w:rPr>
        <w:tab/>
      </w:r>
      <w:r w:rsidR="00690A12">
        <w:rPr>
          <w:rFonts w:cs="Arial"/>
        </w:rPr>
        <w:t>IEEE 383-Qualified Thermoplastic</w:t>
      </w:r>
    </w:p>
    <w:p w14:paraId="358DB1E0" w14:textId="18B588CD"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RES</w:t>
      </w:r>
      <w:r w:rsidRPr="00C70CAC">
        <w:rPr>
          <w:rFonts w:cs="Arial"/>
        </w:rPr>
        <w:tab/>
      </w:r>
      <w:r w:rsidR="00F47076">
        <w:rPr>
          <w:rFonts w:cs="Arial"/>
        </w:rPr>
        <w:tab/>
      </w:r>
      <w:r w:rsidRPr="00C70CAC">
        <w:rPr>
          <w:rFonts w:cs="Arial"/>
        </w:rPr>
        <w:t>NRC Office of Nuclear Regulatory Research</w:t>
      </w:r>
    </w:p>
    <w:p w14:paraId="17EDB080" w14:textId="4EE5C885"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RG</w:t>
      </w:r>
      <w:r>
        <w:rPr>
          <w:rFonts w:cs="Arial"/>
        </w:rPr>
        <w:tab/>
      </w:r>
      <w:r w:rsidR="00F47076">
        <w:rPr>
          <w:rFonts w:cs="Arial"/>
        </w:rPr>
        <w:tab/>
      </w:r>
      <w:r w:rsidRPr="00C70CAC">
        <w:rPr>
          <w:rFonts w:cs="Arial"/>
        </w:rPr>
        <w:t>NRC Regulatory Guide</w:t>
      </w:r>
    </w:p>
    <w:p w14:paraId="462F3052" w14:textId="535980AB"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ry</w:t>
      </w:r>
      <w:r w:rsidRPr="00C70CAC">
        <w:rPr>
          <w:rFonts w:cs="Arial"/>
        </w:rPr>
        <w:tab/>
      </w:r>
      <w:r w:rsidR="000C57A9">
        <w:rPr>
          <w:rFonts w:cs="Arial"/>
        </w:rPr>
        <w:tab/>
      </w:r>
      <w:r w:rsidR="00F47076">
        <w:rPr>
          <w:rFonts w:cs="Arial"/>
        </w:rPr>
        <w:tab/>
      </w:r>
      <w:r w:rsidRPr="00C70CAC">
        <w:rPr>
          <w:rFonts w:cs="Arial"/>
        </w:rPr>
        <w:t>Reactor Year (generally in the context of an event frequency)</w:t>
      </w:r>
    </w:p>
    <w:p w14:paraId="6AD84C67" w14:textId="32F50510" w:rsidR="006846E5" w:rsidRDefault="006846E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SIS</w:t>
      </w:r>
      <w:r>
        <w:rPr>
          <w:rFonts w:cs="Arial"/>
        </w:rPr>
        <w:tab/>
      </w:r>
      <w:r>
        <w:rPr>
          <w:rFonts w:cs="Arial"/>
        </w:rPr>
        <w:tab/>
        <w:t>Switchboard Wire</w:t>
      </w:r>
    </w:p>
    <w:p w14:paraId="1B5D87CB" w14:textId="4BE9FE94"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SDP</w:t>
      </w:r>
      <w:r>
        <w:rPr>
          <w:rFonts w:cs="Arial"/>
        </w:rPr>
        <w:tab/>
      </w:r>
      <w:r w:rsidR="00F47076">
        <w:rPr>
          <w:rFonts w:cs="Arial"/>
        </w:rPr>
        <w:tab/>
      </w:r>
      <w:r w:rsidRPr="00C70CAC">
        <w:rPr>
          <w:rFonts w:cs="Arial"/>
        </w:rPr>
        <w:t>Significance Determination Process</w:t>
      </w:r>
    </w:p>
    <w:p w14:paraId="22F4F890" w14:textId="6F6263FC"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Pr>
          <w:rFonts w:cs="Arial"/>
        </w:rPr>
        <w:t>SF</w:t>
      </w:r>
      <w:r>
        <w:rPr>
          <w:rFonts w:cs="Arial"/>
        </w:rPr>
        <w:tab/>
      </w:r>
      <w:r w:rsidR="00F47076">
        <w:rPr>
          <w:rFonts w:cs="Arial"/>
        </w:rPr>
        <w:tab/>
      </w:r>
      <w:r w:rsidRPr="00C70CAC">
        <w:rPr>
          <w:rFonts w:cs="Arial"/>
        </w:rPr>
        <w:t>Severity Factor</w:t>
      </w:r>
    </w:p>
    <w:p w14:paraId="2AF065C9" w14:textId="37051A8D"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SSCs</w:t>
      </w:r>
      <w:r w:rsidRPr="00C70CAC">
        <w:rPr>
          <w:rFonts w:cs="Arial"/>
        </w:rPr>
        <w:tab/>
      </w:r>
      <w:r w:rsidR="00F47076">
        <w:rPr>
          <w:rFonts w:cs="Arial"/>
        </w:rPr>
        <w:tab/>
      </w:r>
      <w:r w:rsidRPr="00C70CAC">
        <w:rPr>
          <w:rFonts w:cs="Arial"/>
        </w:rPr>
        <w:t>Structures, Systems, and Components</w:t>
      </w:r>
    </w:p>
    <w:p w14:paraId="637D8FB5" w14:textId="7BFF0C09" w:rsidR="00B11B3D" w:rsidRPr="00C70CAC" w:rsidRDefault="00B11B3D"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C70CAC">
        <w:rPr>
          <w:rFonts w:cs="Arial"/>
        </w:rPr>
        <w:t>SSD</w:t>
      </w:r>
      <w:r w:rsidRPr="00C70CAC">
        <w:rPr>
          <w:rFonts w:cs="Arial"/>
        </w:rPr>
        <w:tab/>
      </w:r>
      <w:r w:rsidR="00F47076">
        <w:rPr>
          <w:rFonts w:cs="Arial"/>
        </w:rPr>
        <w:tab/>
      </w:r>
      <w:r w:rsidRPr="00C70CAC">
        <w:rPr>
          <w:rFonts w:cs="Arial"/>
        </w:rPr>
        <w:t>Safe Shutdown</w:t>
      </w:r>
    </w:p>
    <w:p w14:paraId="0F60910C" w14:textId="1CD5D83E" w:rsidR="00690A12" w:rsidRDefault="00690A12"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TP</w:t>
      </w:r>
      <w:r>
        <w:tab/>
      </w:r>
      <w:r>
        <w:tab/>
        <w:t>Thermoplastic</w:t>
      </w:r>
    </w:p>
    <w:p w14:paraId="52D58FA0" w14:textId="7A7B179E" w:rsidR="00690A12" w:rsidRDefault="00690A12"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TS</w:t>
      </w:r>
      <w:r>
        <w:tab/>
      </w:r>
      <w:r>
        <w:tab/>
        <w:t>Thermoset</w:t>
      </w:r>
    </w:p>
    <w:p w14:paraId="1F26D25D" w14:textId="0911EA92" w:rsidR="008522D6" w:rsidRDefault="00F47076"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ZOI</w:t>
      </w:r>
      <w:r>
        <w:tab/>
      </w:r>
      <w:r>
        <w:tab/>
        <w:t>Zone of Influence</w:t>
      </w:r>
    </w:p>
    <w:p w14:paraId="56BB6362" w14:textId="77777777" w:rsidR="00F47076" w:rsidRDefault="00F47076"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EDE26F" w14:textId="5FA527CD" w:rsidR="00B27F2A" w:rsidRDefault="00B27F2A" w:rsidP="00B43D79">
      <w:pPr>
        <w:pStyle w:val="Heading2"/>
        <w:keepNext/>
        <w:keepLines/>
        <w:ind w:hanging="1166"/>
      </w:pPr>
      <w:bookmarkStart w:id="18" w:name="_Toc481265354"/>
      <w:bookmarkStart w:id="19" w:name="_Toc511060841"/>
      <w:r>
        <w:lastRenderedPageBreak/>
        <w:t>Mathematical Symbols</w:t>
      </w:r>
      <w:bookmarkEnd w:id="18"/>
      <w:bookmarkEnd w:id="19"/>
    </w:p>
    <w:p w14:paraId="52DEB45D" w14:textId="77777777" w:rsidR="008522D6" w:rsidRDefault="008522D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97B288" w14:textId="57898BB2" w:rsidR="0083007B" w:rsidRPr="006736D7" w:rsidRDefault="0083007B" w:rsidP="0034587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t>A</w:t>
      </w:r>
      <w:r w:rsidRPr="006736D7">
        <w:rPr>
          <w:vertAlign w:val="subscript"/>
        </w:rPr>
        <w:t>f</w:t>
      </w:r>
      <w:r w:rsidRPr="006736D7">
        <w:tab/>
      </w:r>
      <w:r w:rsidRPr="006736D7">
        <w:tab/>
      </w:r>
      <w:r w:rsidRPr="006736D7">
        <w:tab/>
        <w:t>Fire area</w:t>
      </w:r>
    </w:p>
    <w:p w14:paraId="6FAEC52F" w14:textId="11644AD6" w:rsidR="005A6F83" w:rsidRPr="006736D7" w:rsidRDefault="005A6F83"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AF</w:t>
      </w:r>
      <w:r w:rsidRPr="006736D7">
        <w:rPr>
          <w:rFonts w:cs="Arial"/>
        </w:rPr>
        <w:tab/>
      </w:r>
      <w:r w:rsidRPr="006736D7">
        <w:rPr>
          <w:rFonts w:cs="Arial"/>
        </w:rPr>
        <w:tab/>
        <w:t xml:space="preserve">Adjustment </w:t>
      </w:r>
      <w:r w:rsidR="008F740F" w:rsidRPr="006736D7">
        <w:rPr>
          <w:rFonts w:cs="Arial"/>
        </w:rPr>
        <w:t>f</w:t>
      </w:r>
      <w:r w:rsidRPr="006736D7">
        <w:rPr>
          <w:rFonts w:cs="Arial"/>
        </w:rPr>
        <w:t>actor</w:t>
      </w:r>
    </w:p>
    <w:p w14:paraId="6FB82F6C" w14:textId="3EE227FC" w:rsidR="00A539B2" w:rsidRPr="006736D7" w:rsidRDefault="00A539B2"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rPr>
          <w:rFonts w:eastAsiaTheme="minorEastAsia"/>
        </w:rPr>
        <w:t>A</w:t>
      </w:r>
      <w:r w:rsidRPr="006736D7">
        <w:rPr>
          <w:rFonts w:eastAsiaTheme="minorEastAsia"/>
          <w:vertAlign w:val="subscript"/>
        </w:rPr>
        <w:t>T</w:t>
      </w:r>
      <w:r w:rsidRPr="006736D7">
        <w:rPr>
          <w:rFonts w:eastAsiaTheme="minorEastAsia"/>
        </w:rPr>
        <w:tab/>
      </w:r>
      <w:r w:rsidRPr="006736D7">
        <w:rPr>
          <w:rFonts w:eastAsiaTheme="minorEastAsia"/>
        </w:rPr>
        <w:tab/>
      </w:r>
      <w:r w:rsidRPr="006736D7">
        <w:rPr>
          <w:rFonts w:eastAsiaTheme="minorEastAsia"/>
        </w:rPr>
        <w:tab/>
      </w:r>
      <w:r>
        <w:rPr>
          <w:rFonts w:eastAsiaTheme="minorEastAsia"/>
        </w:rPr>
        <w:t>T</w:t>
      </w:r>
      <w:r w:rsidRPr="006736D7">
        <w:rPr>
          <w:rFonts w:eastAsiaTheme="minorEastAsia"/>
        </w:rPr>
        <w:t>otal area of the compartment enclosing surfaces minus A</w:t>
      </w:r>
      <w:r w:rsidRPr="006736D7">
        <w:rPr>
          <w:rFonts w:eastAsiaTheme="minorEastAsia"/>
          <w:vertAlign w:val="subscript"/>
        </w:rPr>
        <w:t>v</w:t>
      </w:r>
    </w:p>
    <w:p w14:paraId="54A45335" w14:textId="59C40D8C" w:rsidR="00A539B2" w:rsidRPr="006736D7" w:rsidRDefault="00A539B2"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6736D7">
        <w:rPr>
          <w:rFonts w:eastAsiaTheme="minorEastAsia"/>
        </w:rPr>
        <w:t>A</w:t>
      </w:r>
      <w:r w:rsidRPr="006736D7">
        <w:rPr>
          <w:rFonts w:eastAsiaTheme="minorEastAsia"/>
          <w:vertAlign w:val="subscript"/>
        </w:rPr>
        <w:t>v</w:t>
      </w:r>
      <w:r w:rsidRPr="006736D7">
        <w:rPr>
          <w:rFonts w:eastAsiaTheme="minorEastAsia"/>
        </w:rPr>
        <w:tab/>
      </w:r>
      <w:r w:rsidRPr="006736D7">
        <w:rPr>
          <w:rFonts w:eastAsiaTheme="minorEastAsia"/>
        </w:rPr>
        <w:tab/>
      </w:r>
      <w:r w:rsidRPr="006736D7">
        <w:rPr>
          <w:rFonts w:eastAsiaTheme="minorEastAsia"/>
        </w:rPr>
        <w:tab/>
      </w:r>
      <w:r>
        <w:rPr>
          <w:rFonts w:eastAsiaTheme="minorEastAsia"/>
        </w:rPr>
        <w:t>A</w:t>
      </w:r>
      <w:r w:rsidRPr="006736D7">
        <w:rPr>
          <w:rFonts w:eastAsiaTheme="minorEastAsia"/>
        </w:rPr>
        <w:t>rea of the ventilation opening</w:t>
      </w:r>
    </w:p>
    <w:p w14:paraId="7BD094CA" w14:textId="23E5E53F" w:rsidR="00FC5276" w:rsidRPr="006736D7" w:rsidRDefault="00FC527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6736D7">
        <w:t>c</w:t>
      </w:r>
      <w:r w:rsidRPr="006736D7">
        <w:rPr>
          <w:vertAlign w:val="subscript"/>
        </w:rPr>
        <w:t>p</w:t>
      </w:r>
      <w:r w:rsidRPr="006736D7">
        <w:tab/>
      </w:r>
      <w:r w:rsidRPr="006736D7">
        <w:tab/>
      </w:r>
      <w:r w:rsidRPr="006736D7">
        <w:tab/>
      </w:r>
      <w:r>
        <w:t>S</w:t>
      </w:r>
      <w:r w:rsidRPr="006736D7">
        <w:t>pecific heat capacity of ambient air</w:t>
      </w:r>
      <w:r w:rsidR="00AF515C">
        <w:t xml:space="preserve"> (Equations 7, 9, and 10) or the interior lining (Equation 1</w:t>
      </w:r>
      <w:r w:rsidR="007E779C">
        <w:t>4</w:t>
      </w:r>
      <w:r w:rsidR="00AF515C">
        <w:t>)</w:t>
      </w:r>
    </w:p>
    <w:p w14:paraId="0D4D6A7F" w14:textId="12DBD899" w:rsidR="00FC5276" w:rsidRPr="006736D7" w:rsidRDefault="00FC527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C</w:t>
      </w:r>
      <w:r w:rsidRPr="006736D7">
        <w:tab/>
      </w:r>
      <w:r w:rsidRPr="006736D7">
        <w:tab/>
      </w:r>
      <w:r w:rsidRPr="006736D7">
        <w:tab/>
      </w:r>
      <w:r>
        <w:t>C</w:t>
      </w:r>
      <w:r w:rsidRPr="006736D7">
        <w:t>onstant</w:t>
      </w:r>
    </w:p>
    <w:p w14:paraId="724E77B7" w14:textId="7FCD5C85" w:rsidR="008F740F" w:rsidRPr="006736D7" w:rsidRDefault="008F740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CCDP</w:t>
      </w:r>
      <w:r w:rsidRPr="006736D7">
        <w:rPr>
          <w:rFonts w:cs="Arial"/>
        </w:rPr>
        <w:tab/>
      </w:r>
      <w:r w:rsidRPr="006736D7">
        <w:rPr>
          <w:rFonts w:cs="Arial"/>
        </w:rPr>
        <w:tab/>
        <w:t>Conditional core damage probability</w:t>
      </w:r>
    </w:p>
    <w:p w14:paraId="49D6E100" w14:textId="421A4393" w:rsidR="0083007B" w:rsidRPr="006736D7" w:rsidRDefault="0083007B"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D</w:t>
      </w:r>
      <w:r w:rsidRPr="006736D7">
        <w:rPr>
          <w:rFonts w:cs="Arial"/>
        </w:rPr>
        <w:tab/>
      </w:r>
      <w:r w:rsidRPr="006736D7">
        <w:rPr>
          <w:rFonts w:cs="Arial"/>
        </w:rPr>
        <w:tab/>
      </w:r>
      <w:r w:rsidRPr="006736D7">
        <w:rPr>
          <w:rFonts w:cs="Arial"/>
        </w:rPr>
        <w:tab/>
        <w:t>Fire diameter</w:t>
      </w:r>
    </w:p>
    <w:p w14:paraId="1C8FEA19" w14:textId="3CE21F48" w:rsidR="00FA3E78" w:rsidRPr="006736D7" w:rsidRDefault="00FA3E78"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D</w:t>
      </w:r>
      <w:r w:rsidRPr="006736D7">
        <w:rPr>
          <w:rFonts w:cs="Arial"/>
          <w:vertAlign w:val="subscript"/>
        </w:rPr>
        <w:t>eff</w:t>
      </w:r>
      <w:r w:rsidRPr="005E3608">
        <w:rPr>
          <w:rFonts w:cs="Arial"/>
        </w:rPr>
        <w:tab/>
      </w:r>
      <w:r w:rsidRPr="005E3608">
        <w:rPr>
          <w:rFonts w:cs="Arial"/>
        </w:rPr>
        <w:tab/>
      </w:r>
      <w:r w:rsidRPr="006736D7">
        <w:rPr>
          <w:rFonts w:cs="Arial"/>
        </w:rPr>
        <w:t>Effective fire diameter</w:t>
      </w:r>
    </w:p>
    <w:p w14:paraId="3CD3FA8D" w14:textId="14DA7A3B" w:rsidR="008F740F" w:rsidRPr="006736D7" w:rsidRDefault="008F740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DF</w:t>
      </w:r>
      <w:r w:rsidRPr="006736D7">
        <w:rPr>
          <w:rFonts w:cs="Arial"/>
        </w:rPr>
        <w:tab/>
      </w:r>
      <w:r w:rsidRPr="006736D7">
        <w:rPr>
          <w:rFonts w:cs="Arial"/>
        </w:rPr>
        <w:tab/>
        <w:t>Duration factor</w:t>
      </w:r>
    </w:p>
    <w:p w14:paraId="1AD90013" w14:textId="11B6A833" w:rsidR="00E654AD" w:rsidRPr="006736D7" w:rsidRDefault="00E654AD"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f</w:t>
      </w:r>
      <w:r w:rsidRPr="006736D7">
        <w:rPr>
          <w:rFonts w:cs="Arial"/>
          <w:vertAlign w:val="subscript"/>
        </w:rPr>
        <w:t>high</w:t>
      </w:r>
      <w:r w:rsidRPr="006736D7">
        <w:rPr>
          <w:rFonts w:cs="Arial"/>
        </w:rPr>
        <w:tab/>
      </w:r>
      <w:r w:rsidRPr="006736D7">
        <w:rPr>
          <w:rFonts w:cs="Arial"/>
        </w:rPr>
        <w:tab/>
        <w:t>Transient o</w:t>
      </w:r>
      <w:r w:rsidR="008175EB" w:rsidRPr="006736D7">
        <w:rPr>
          <w:rFonts w:cs="Arial"/>
        </w:rPr>
        <w:t>r</w:t>
      </w:r>
      <w:r w:rsidRPr="006736D7">
        <w:rPr>
          <w:rFonts w:cs="Arial"/>
        </w:rPr>
        <w:t xml:space="preserve"> hot work fire frequency for area rated a</w:t>
      </w:r>
      <w:r w:rsidR="008175EB" w:rsidRPr="006736D7">
        <w:rPr>
          <w:rFonts w:cs="Arial"/>
        </w:rPr>
        <w:t>s</w:t>
      </w:r>
      <w:r w:rsidRPr="006736D7">
        <w:rPr>
          <w:rFonts w:cs="Arial"/>
        </w:rPr>
        <w:t xml:space="preserve"> high </w:t>
      </w:r>
    </w:p>
    <w:p w14:paraId="230CD5CE" w14:textId="27C27402" w:rsidR="00E23611" w:rsidRPr="006736D7" w:rsidRDefault="00E23611"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w:r w:rsidRPr="006736D7">
        <w:rPr>
          <w:rFonts w:ascii="Arial" w:eastAsiaTheme="minorEastAsia" w:hAnsi="Arial" w:cs="Arial"/>
          <w:sz w:val="22"/>
          <w:szCs w:val="22"/>
        </w:rPr>
        <w:t>F</w:t>
      </w:r>
      <w:r w:rsidRPr="006E19C1">
        <w:rPr>
          <w:rFonts w:ascii="Arial" w:eastAsiaTheme="minorEastAsia" w:hAnsi="Arial" w:cs="Arial"/>
          <w:sz w:val="22"/>
          <w:szCs w:val="22"/>
        </w:rPr>
        <w:tab/>
      </w:r>
      <w:r w:rsidRPr="006E19C1">
        <w:rPr>
          <w:rFonts w:ascii="Arial" w:eastAsiaTheme="minorEastAsia" w:hAnsi="Arial" w:cs="Arial"/>
          <w:sz w:val="22"/>
          <w:szCs w:val="22"/>
        </w:rPr>
        <w:tab/>
      </w:r>
      <w:r w:rsidRPr="006E19C1">
        <w:rPr>
          <w:rFonts w:ascii="Arial" w:eastAsiaTheme="minorEastAsia" w:hAnsi="Arial" w:cs="Arial"/>
          <w:sz w:val="22"/>
          <w:szCs w:val="22"/>
        </w:rPr>
        <w:tab/>
      </w:r>
      <w:r>
        <w:rPr>
          <w:rFonts w:ascii="Arial" w:eastAsiaTheme="minorEastAsia" w:hAnsi="Arial" w:cs="Arial"/>
          <w:sz w:val="22"/>
          <w:szCs w:val="22"/>
        </w:rPr>
        <w:t>C</w:t>
      </w:r>
      <w:r w:rsidRPr="006736D7">
        <w:rPr>
          <w:rFonts w:ascii="Arial" w:eastAsiaTheme="minorEastAsia" w:hAnsi="Arial" w:cs="Arial"/>
          <w:sz w:val="22"/>
          <w:szCs w:val="22"/>
        </w:rPr>
        <w:t xml:space="preserve">umulative gamma distribution of </w:t>
      </w:r>
      <w:r w:rsidR="00A262B1">
        <w:rPr>
          <w:rFonts w:ascii="Arial" w:eastAsiaTheme="minorEastAsia" w:hAnsi="Arial" w:cs="Arial"/>
          <w:sz w:val="22"/>
          <w:szCs w:val="22"/>
        </w:rPr>
        <w:t>ignition source</w:t>
      </w:r>
      <w:r w:rsidRPr="006736D7">
        <w:rPr>
          <w:rFonts w:ascii="Arial" w:eastAsiaTheme="minorEastAsia" w:hAnsi="Arial" w:cs="Arial"/>
          <w:sz w:val="22"/>
          <w:szCs w:val="22"/>
        </w:rPr>
        <w:t xml:space="preserve"> HRR</w:t>
      </w:r>
    </w:p>
    <w:p w14:paraId="2208B393" w14:textId="3A1DD798" w:rsidR="008F740F" w:rsidRPr="006736D7" w:rsidRDefault="008F740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FIF</w:t>
      </w:r>
      <w:r w:rsidRPr="006736D7">
        <w:rPr>
          <w:rFonts w:cs="Arial"/>
        </w:rPr>
        <w:tab/>
      </w:r>
      <w:r w:rsidRPr="006736D7">
        <w:rPr>
          <w:rFonts w:cs="Arial"/>
        </w:rPr>
        <w:tab/>
        <w:t>Fire ignition frequency</w:t>
      </w:r>
    </w:p>
    <w:p w14:paraId="6A7F609A" w14:textId="0E434674" w:rsidR="008175EB" w:rsidRPr="006736D7" w:rsidRDefault="008175EB"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f</w:t>
      </w:r>
      <w:r w:rsidRPr="006736D7">
        <w:rPr>
          <w:rFonts w:cs="Arial"/>
          <w:vertAlign w:val="subscript"/>
        </w:rPr>
        <w:t>low</w:t>
      </w:r>
      <w:r w:rsidRPr="006736D7">
        <w:rPr>
          <w:rFonts w:cs="Arial"/>
        </w:rPr>
        <w:tab/>
      </w:r>
      <w:r w:rsidRPr="006736D7">
        <w:rPr>
          <w:rFonts w:cs="Arial"/>
        </w:rPr>
        <w:tab/>
      </w:r>
      <w:r w:rsidRPr="006736D7">
        <w:rPr>
          <w:rFonts w:cs="Arial"/>
        </w:rPr>
        <w:tab/>
        <w:t xml:space="preserve">Transient or hot work fire frequency for area rated as low </w:t>
      </w:r>
    </w:p>
    <w:p w14:paraId="3E627944" w14:textId="3BCB2A0E" w:rsidR="008175EB" w:rsidRPr="006736D7" w:rsidRDefault="008175EB"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f</w:t>
      </w:r>
      <w:r w:rsidRPr="006736D7">
        <w:rPr>
          <w:rFonts w:cs="Arial"/>
          <w:vertAlign w:val="subscript"/>
        </w:rPr>
        <w:t>medium</w:t>
      </w:r>
      <w:r w:rsidRPr="006736D7">
        <w:rPr>
          <w:rFonts w:cs="Arial"/>
        </w:rPr>
        <w:tab/>
      </w:r>
      <w:r w:rsidRPr="006736D7">
        <w:rPr>
          <w:rFonts w:cs="Arial"/>
        </w:rPr>
        <w:tab/>
        <w:t>Transient or hot work fire frequency for area rated a</w:t>
      </w:r>
      <w:r w:rsidR="00377BC1" w:rsidRPr="006736D7">
        <w:rPr>
          <w:rFonts w:cs="Arial"/>
        </w:rPr>
        <w:t>s</w:t>
      </w:r>
      <w:r w:rsidRPr="006736D7">
        <w:rPr>
          <w:rFonts w:cs="Arial"/>
        </w:rPr>
        <w:t xml:space="preserve"> medium </w:t>
      </w:r>
    </w:p>
    <w:p w14:paraId="19A2BBA1" w14:textId="77777777" w:rsidR="00377BC1" w:rsidRPr="006736D7" w:rsidRDefault="00377BC1"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f</w:t>
      </w:r>
      <w:r w:rsidRPr="006736D7">
        <w:rPr>
          <w:rFonts w:cs="Arial"/>
          <w:vertAlign w:val="subscript"/>
        </w:rPr>
        <w:t>plant-wide</w:t>
      </w:r>
      <w:r w:rsidRPr="006736D7">
        <w:rPr>
          <w:rFonts w:cs="Arial"/>
        </w:rPr>
        <w:tab/>
      </w:r>
      <w:r w:rsidRPr="006736D7">
        <w:rPr>
          <w:rFonts w:cs="Arial"/>
        </w:rPr>
        <w:tab/>
        <w:t xml:space="preserve">Plant-wide transient or hot work fire frequency </w:t>
      </w:r>
    </w:p>
    <w:p w14:paraId="08EB72B5" w14:textId="0ED68A86" w:rsidR="00E63D96" w:rsidRDefault="00E63D96"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6736D7">
        <w:rPr>
          <w:rFonts w:eastAsiaTheme="minorEastAsia"/>
        </w:rPr>
        <w:t>Fr</w:t>
      </w:r>
      <w:r w:rsidRPr="006736D7">
        <w:rPr>
          <w:rFonts w:eastAsiaTheme="minorEastAsia"/>
        </w:rPr>
        <w:tab/>
      </w:r>
      <w:r w:rsidRPr="006736D7">
        <w:rPr>
          <w:rFonts w:eastAsiaTheme="minorEastAsia"/>
        </w:rPr>
        <w:tab/>
      </w:r>
      <w:r w:rsidRPr="006736D7">
        <w:rPr>
          <w:rFonts w:eastAsiaTheme="minorEastAsia"/>
        </w:rPr>
        <w:tab/>
        <w:t>Froude number</w:t>
      </w:r>
    </w:p>
    <w:p w14:paraId="104A86FD" w14:textId="536D9ED8" w:rsidR="00FC5276" w:rsidRDefault="00FC5276"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t>g</w:t>
      </w:r>
      <w:r w:rsidRPr="006736D7">
        <w:tab/>
      </w:r>
      <w:r w:rsidRPr="006736D7">
        <w:tab/>
      </w:r>
      <w:r w:rsidRPr="006736D7">
        <w:tab/>
      </w:r>
      <w:r w:rsidR="00E63D96">
        <w:t>A</w:t>
      </w:r>
      <w:r w:rsidRPr="006736D7">
        <w:t>cceleration of gravity</w:t>
      </w:r>
    </w:p>
    <w:p w14:paraId="3F7F5CE1" w14:textId="77777777" w:rsidR="002A34C7" w:rsidRPr="006736D7" w:rsidRDefault="002A34C7"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h</w:t>
      </w:r>
      <w:r w:rsidRPr="006736D7">
        <w:tab/>
      </w:r>
      <w:r w:rsidRPr="006736D7">
        <w:tab/>
      </w:r>
      <w:r w:rsidRPr="006736D7">
        <w:tab/>
        <w:t>Vertical spacing between horizontal trays in a vertical stack</w:t>
      </w:r>
    </w:p>
    <w:p w14:paraId="6EA96B3D" w14:textId="2D5BC9AB" w:rsidR="00A539B2" w:rsidRPr="006736D7" w:rsidRDefault="00A539B2"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h</w:t>
      </w:r>
      <w:r w:rsidRPr="006736D7">
        <w:rPr>
          <w:vertAlign w:val="subscript"/>
        </w:rPr>
        <w:t>T</w:t>
      </w:r>
      <w:r w:rsidRPr="006736D7">
        <w:tab/>
      </w:r>
      <w:r w:rsidRPr="006736D7">
        <w:tab/>
      </w:r>
      <w:r w:rsidRPr="006736D7">
        <w:tab/>
      </w:r>
      <w:r>
        <w:t>H</w:t>
      </w:r>
      <w:r w:rsidRPr="006736D7">
        <w:t>eat transfer coefficient</w:t>
      </w:r>
    </w:p>
    <w:p w14:paraId="1DDFD22C" w14:textId="72F19355" w:rsidR="004C395F" w:rsidRPr="006736D7" w:rsidRDefault="004C395F"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H</w:t>
      </w:r>
      <w:r w:rsidRPr="006736D7">
        <w:tab/>
      </w:r>
      <w:r w:rsidRPr="006736D7">
        <w:tab/>
      </w:r>
      <w:r w:rsidRPr="006736D7">
        <w:tab/>
      </w:r>
      <w:r>
        <w:t>C</w:t>
      </w:r>
      <w:r w:rsidRPr="006736D7">
        <w:t>eiling height above the fire base</w:t>
      </w:r>
    </w:p>
    <w:p w14:paraId="69502FAC" w14:textId="622A3C7D" w:rsidR="00A539B2" w:rsidRPr="006736D7" w:rsidRDefault="00A539B2"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H</w:t>
      </w:r>
      <w:r w:rsidRPr="006736D7">
        <w:rPr>
          <w:vertAlign w:val="subscript"/>
        </w:rPr>
        <w:t>v</w:t>
      </w:r>
      <w:r w:rsidRPr="006736D7">
        <w:tab/>
      </w:r>
      <w:r w:rsidRPr="006736D7">
        <w:tab/>
      </w:r>
      <w:r w:rsidRPr="006736D7">
        <w:tab/>
      </w:r>
      <w:r>
        <w:t>H</w:t>
      </w:r>
      <w:r w:rsidRPr="006736D7">
        <w:t>eight of the ventilation opening</w:t>
      </w:r>
    </w:p>
    <w:p w14:paraId="4D1821FC" w14:textId="25DE098E" w:rsidR="002A34C7" w:rsidRPr="006736D7" w:rsidRDefault="002A34C7"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w:r w:rsidRPr="006736D7">
        <w:rPr>
          <w:rFonts w:ascii="Arial" w:eastAsiaTheme="minorEastAsia" w:hAnsi="Arial" w:cs="Arial"/>
          <w:sz w:val="22"/>
          <w:szCs w:val="22"/>
        </w:rPr>
        <w:t>HRR</w:t>
      </w:r>
      <w:r>
        <w:rPr>
          <w:rFonts w:ascii="Arial" w:eastAsiaTheme="minorEastAsia" w:hAnsi="Arial" w:cs="Arial"/>
          <w:sz w:val="22"/>
          <w:szCs w:val="22"/>
        </w:rPr>
        <w:tab/>
      </w:r>
      <w:r>
        <w:rPr>
          <w:rFonts w:ascii="Arial" w:eastAsiaTheme="minorEastAsia" w:hAnsi="Arial" w:cs="Arial"/>
          <w:sz w:val="22"/>
          <w:szCs w:val="22"/>
        </w:rPr>
        <w:tab/>
        <w:t>Heat release rate</w:t>
      </w:r>
    </w:p>
    <w:p w14:paraId="6C038214" w14:textId="4BC10193" w:rsidR="00FA3E78" w:rsidRPr="006736D7" w:rsidRDefault="00FA3E78"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HRR</w:t>
      </w:r>
      <w:r w:rsidRPr="006736D7">
        <w:rPr>
          <w:rFonts w:cs="Arial"/>
          <w:vertAlign w:val="subscript"/>
        </w:rPr>
        <w:t>peak</w:t>
      </w:r>
      <w:r w:rsidRPr="006736D7">
        <w:rPr>
          <w:rFonts w:cs="Arial"/>
        </w:rPr>
        <w:tab/>
      </w:r>
      <w:r w:rsidRPr="006736D7">
        <w:rPr>
          <w:rFonts w:cs="Arial"/>
        </w:rPr>
        <w:tab/>
      </w:r>
      <w:r w:rsidR="00FC5276">
        <w:rPr>
          <w:rFonts w:cs="Arial"/>
        </w:rPr>
        <w:t>Ignition source p</w:t>
      </w:r>
      <w:r w:rsidRPr="006736D7">
        <w:rPr>
          <w:rFonts w:cs="Arial"/>
        </w:rPr>
        <w:t xml:space="preserve">eak </w:t>
      </w:r>
      <w:r w:rsidR="002071AF" w:rsidRPr="006736D7">
        <w:rPr>
          <w:rFonts w:cs="Arial"/>
        </w:rPr>
        <w:t>HRR</w:t>
      </w:r>
    </w:p>
    <w:p w14:paraId="62D7D30D" w14:textId="26B2C7BF" w:rsidR="002A34C7" w:rsidRPr="006736D7" w:rsidRDefault="002A34C7"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rPr>
          <w:rFonts w:eastAsiaTheme="minorEastAsia" w:cs="Arial"/>
          <w:szCs w:val="22"/>
        </w:rPr>
        <w:t>HRRPUA</w:t>
      </w:r>
      <w:r w:rsidRPr="006736D7">
        <w:rPr>
          <w:rFonts w:eastAsiaTheme="minorEastAsia" w:cs="Arial"/>
          <w:szCs w:val="22"/>
        </w:rPr>
        <w:tab/>
        <w:t>Cable HRR per unit area</w:t>
      </w:r>
    </w:p>
    <w:p w14:paraId="5AD37859" w14:textId="19562F6E" w:rsidR="00A539B2" w:rsidRPr="006736D7" w:rsidRDefault="00A539B2"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k</w:t>
      </w:r>
      <w:r w:rsidRPr="006736D7">
        <w:tab/>
      </w:r>
      <w:r w:rsidRPr="006736D7">
        <w:tab/>
      </w:r>
      <w:r w:rsidRPr="006736D7">
        <w:tab/>
      </w:r>
      <w:r>
        <w:t>T</w:t>
      </w:r>
      <w:r w:rsidRPr="006736D7">
        <w:t>hermal conductivity of the interior lining</w:t>
      </w:r>
    </w:p>
    <w:p w14:paraId="6164CA5D" w14:textId="77777777" w:rsidR="008175EB" w:rsidRPr="006736D7" w:rsidRDefault="008175EB"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t>k</w:t>
      </w:r>
      <w:r w:rsidRPr="006736D7">
        <w:sym w:font="Symbol" w:char="F062"/>
      </w:r>
      <w:r w:rsidRPr="006736D7">
        <w:tab/>
      </w:r>
      <w:r w:rsidRPr="006736D7">
        <w:tab/>
      </w:r>
      <w:r w:rsidRPr="006736D7">
        <w:tab/>
        <w:t>Flame absorption coefficient</w:t>
      </w:r>
    </w:p>
    <w:p w14:paraId="527EC1D8" w14:textId="77777777" w:rsidR="002A34C7" w:rsidRPr="006736D7" w:rsidRDefault="002A34C7"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L</w:t>
      </w:r>
      <w:r w:rsidRPr="006736D7">
        <w:rPr>
          <w:vertAlign w:val="subscript"/>
        </w:rPr>
        <w:t>n</w:t>
      </w:r>
      <w:r w:rsidRPr="006736D7">
        <w:tab/>
      </w:r>
      <w:r w:rsidRPr="006736D7">
        <w:tab/>
      </w:r>
      <w:r w:rsidRPr="006736D7">
        <w:tab/>
        <w:t>Lateral extent of the initial fire in the n</w:t>
      </w:r>
      <w:r w:rsidRPr="00BF2128">
        <w:rPr>
          <w:vertAlign w:val="superscript"/>
        </w:rPr>
        <w:t>th</w:t>
      </w:r>
      <w:r w:rsidRPr="006736D7">
        <w:t xml:space="preserve"> tray in a stack above the ignition source</w:t>
      </w:r>
    </w:p>
    <w:p w14:paraId="135CEE74" w14:textId="2115065D" w:rsidR="002A34C7" w:rsidRPr="006736D7" w:rsidRDefault="00B9252A"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m:oMath>
        <m:sSup>
          <m:sSupPr>
            <m:ctrlPr>
              <w:rPr>
                <w:rFonts w:ascii="Cambria Math" w:eastAsiaTheme="minorEastAsia" w:hAnsi="Cambria Math" w:cs="Arial"/>
                <w:sz w:val="22"/>
                <w:szCs w:val="22"/>
              </w:rPr>
            </m:ctrlPr>
          </m:sSupPr>
          <m:e>
            <m:r>
              <m:rPr>
                <m:sty m:val="p"/>
              </m:rPr>
              <w:rPr>
                <w:rFonts w:ascii="Cambria Math" w:eastAsiaTheme="minorEastAsia" w:hAnsi="Cambria Math" w:cs="Arial"/>
                <w:sz w:val="22"/>
                <w:szCs w:val="22"/>
              </w:rPr>
              <m:t>m</m:t>
            </m:r>
          </m:e>
          <m:sup>
            <m:r>
              <m:rPr>
                <m:sty m:val="p"/>
              </m:rPr>
              <w:rPr>
                <w:rFonts w:ascii="Cambria Math" w:eastAsiaTheme="minorEastAsia" w:hAnsi="Cambria Math" w:cs="Arial"/>
                <w:sz w:val="22"/>
                <w:szCs w:val="22"/>
              </w:rPr>
              <m:t>'</m:t>
            </m:r>
          </m:sup>
        </m:sSup>
      </m:oMath>
      <w:r w:rsidR="002A34C7" w:rsidRPr="006736D7">
        <w:rPr>
          <w:rFonts w:ascii="Arial" w:eastAsiaTheme="minorEastAsia" w:hAnsi="Arial" w:cs="Arial"/>
          <w:sz w:val="22"/>
          <w:szCs w:val="22"/>
        </w:rPr>
        <w:tab/>
      </w:r>
      <w:r w:rsidR="002A34C7" w:rsidRPr="006736D7">
        <w:rPr>
          <w:rFonts w:ascii="Arial" w:eastAsiaTheme="minorEastAsia" w:hAnsi="Arial" w:cs="Arial"/>
          <w:sz w:val="22"/>
          <w:szCs w:val="22"/>
        </w:rPr>
        <w:tab/>
      </w:r>
      <w:r w:rsidR="002A34C7" w:rsidRPr="006736D7">
        <w:rPr>
          <w:rFonts w:ascii="Arial" w:eastAsiaTheme="minorEastAsia" w:hAnsi="Arial" w:cs="Arial"/>
          <w:sz w:val="22"/>
          <w:szCs w:val="22"/>
        </w:rPr>
        <w:tab/>
        <w:t>Cable mass per unit length</w:t>
      </w:r>
    </w:p>
    <w:p w14:paraId="7642DD39" w14:textId="3C7A79DB" w:rsidR="0083007B" w:rsidRPr="006736D7" w:rsidRDefault="00B9252A"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max</m:t>
            </m:r>
          </m:sub>
          <m:sup>
            <m:r>
              <m:rPr>
                <m:sty m:val="p"/>
              </m:rPr>
              <w:rPr>
                <w:rFonts w:ascii="Cambria Math" w:hAnsi="Cambria Math"/>
              </w:rPr>
              <m:t>"</m:t>
            </m:r>
          </m:sup>
        </m:sSubSup>
      </m:oMath>
      <w:r w:rsidR="0083007B" w:rsidRPr="006736D7">
        <w:tab/>
      </w:r>
      <w:r w:rsidR="0083007B" w:rsidRPr="006736D7">
        <w:tab/>
        <w:t>Maximum pool fire mass loss rate per unit area</w:t>
      </w:r>
    </w:p>
    <w:p w14:paraId="188279FA" w14:textId="6906D7A0" w:rsidR="008F740F" w:rsidRPr="006736D7" w:rsidRDefault="008F740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N</w:t>
      </w:r>
      <w:r w:rsidRPr="006736D7">
        <w:rPr>
          <w:rFonts w:cs="Arial"/>
        </w:rPr>
        <w:tab/>
      </w:r>
      <w:r w:rsidRPr="006736D7">
        <w:rPr>
          <w:rFonts w:cs="Arial"/>
        </w:rPr>
        <w:tab/>
      </w:r>
      <w:r w:rsidRPr="006736D7">
        <w:rPr>
          <w:rFonts w:cs="Arial"/>
        </w:rPr>
        <w:tab/>
      </w:r>
      <w:r w:rsidRPr="006736D7">
        <w:t>Number of fire scenarios evaluated for a given finding</w:t>
      </w:r>
    </w:p>
    <w:p w14:paraId="30695B72" w14:textId="5D149337" w:rsidR="008175EB" w:rsidRPr="006736D7" w:rsidRDefault="00377BC1"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n</w:t>
      </w:r>
      <w:r w:rsidR="008175EB" w:rsidRPr="006736D7">
        <w:rPr>
          <w:rFonts w:cs="Arial"/>
          <w:vertAlign w:val="subscript"/>
        </w:rPr>
        <w:t>high</w:t>
      </w:r>
      <w:r w:rsidR="008175EB" w:rsidRPr="006736D7">
        <w:rPr>
          <w:rFonts w:cs="Arial"/>
        </w:rPr>
        <w:tab/>
      </w:r>
      <w:r w:rsidR="008175EB" w:rsidRPr="006736D7">
        <w:rPr>
          <w:rFonts w:cs="Arial"/>
        </w:rPr>
        <w:tab/>
      </w:r>
      <w:r w:rsidRPr="006736D7">
        <w:rPr>
          <w:rFonts w:cs="Arial"/>
        </w:rPr>
        <w:t>Number of areas in the plant with</w:t>
      </w:r>
      <w:r w:rsidR="008175EB" w:rsidRPr="006736D7">
        <w:rPr>
          <w:rFonts w:cs="Arial"/>
        </w:rPr>
        <w:t xml:space="preserve"> high</w:t>
      </w:r>
      <w:r w:rsidRPr="006736D7">
        <w:rPr>
          <w:rFonts w:cs="Arial"/>
        </w:rPr>
        <w:t xml:space="preserve"> transient or hot work fire likelihood rating</w:t>
      </w:r>
    </w:p>
    <w:p w14:paraId="462E76A5" w14:textId="47396747" w:rsidR="008175EB" w:rsidRPr="006736D7" w:rsidRDefault="00377BC1"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n</w:t>
      </w:r>
      <w:r w:rsidR="008175EB" w:rsidRPr="006736D7">
        <w:rPr>
          <w:rFonts w:cs="Arial"/>
          <w:vertAlign w:val="subscript"/>
        </w:rPr>
        <w:t>low</w:t>
      </w:r>
      <w:r w:rsidR="008175EB" w:rsidRPr="006736D7">
        <w:rPr>
          <w:rFonts w:cs="Arial"/>
        </w:rPr>
        <w:tab/>
      </w:r>
      <w:r w:rsidR="008175EB" w:rsidRPr="006736D7">
        <w:rPr>
          <w:rFonts w:cs="Arial"/>
        </w:rPr>
        <w:tab/>
      </w:r>
      <w:r w:rsidRPr="006736D7">
        <w:rPr>
          <w:rFonts w:cs="Arial"/>
        </w:rPr>
        <w:t>Number of areas in the plant with low transient or hot work fire likelihood rating</w:t>
      </w:r>
      <w:r w:rsidR="008175EB" w:rsidRPr="006736D7">
        <w:rPr>
          <w:rFonts w:cs="Arial"/>
        </w:rPr>
        <w:t xml:space="preserve"> </w:t>
      </w:r>
    </w:p>
    <w:p w14:paraId="3DD3DD06" w14:textId="75603095" w:rsidR="008175EB" w:rsidRPr="006736D7" w:rsidRDefault="00377BC1"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n</w:t>
      </w:r>
      <w:r w:rsidR="008175EB" w:rsidRPr="006736D7">
        <w:rPr>
          <w:rFonts w:cs="Arial"/>
          <w:vertAlign w:val="subscript"/>
        </w:rPr>
        <w:t>medium</w:t>
      </w:r>
      <w:r w:rsidR="008175EB" w:rsidRPr="006736D7">
        <w:rPr>
          <w:rFonts w:cs="Arial"/>
        </w:rPr>
        <w:tab/>
      </w:r>
      <w:r w:rsidR="008175EB" w:rsidRPr="006736D7">
        <w:rPr>
          <w:rFonts w:cs="Arial"/>
        </w:rPr>
        <w:tab/>
      </w:r>
      <w:r w:rsidRPr="006736D7">
        <w:rPr>
          <w:rFonts w:cs="Arial"/>
        </w:rPr>
        <w:t>Number of areas in the plant with medium transient or hot work likelihood rating</w:t>
      </w:r>
    </w:p>
    <w:p w14:paraId="64202794" w14:textId="65261B24" w:rsidR="002A34C7" w:rsidRPr="006736D7" w:rsidRDefault="00B9252A"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m:oMath>
        <m:sSubSup>
          <m:sSubSupPr>
            <m:ctrlPr>
              <w:rPr>
                <w:rFonts w:ascii="Cambria Math" w:eastAsiaTheme="minorEastAsia" w:hAnsi="Cambria Math" w:cs="Arial"/>
                <w:sz w:val="22"/>
                <w:szCs w:val="22"/>
              </w:rPr>
            </m:ctrlPr>
          </m:sSubSupPr>
          <m:e>
            <m:acc>
              <m:accPr>
                <m:chr m:val="̇"/>
                <m:ctrlPr>
                  <w:rPr>
                    <w:rFonts w:ascii="Cambria Math" w:eastAsiaTheme="minorEastAsia" w:hAnsi="Cambria Math" w:cs="Arial"/>
                    <w:sz w:val="22"/>
                    <w:szCs w:val="22"/>
                  </w:rPr>
                </m:ctrlPr>
              </m:accPr>
              <m:e>
                <m:r>
                  <m:rPr>
                    <m:sty m:val="p"/>
                  </m:rPr>
                  <w:rPr>
                    <w:rFonts w:ascii="Cambria Math" w:eastAsiaTheme="minorEastAsia" w:hAnsi="Cambria Math" w:cs="Arial"/>
                    <w:sz w:val="22"/>
                    <w:szCs w:val="22"/>
                  </w:rPr>
                  <m:t>m</m:t>
                </m:r>
              </m:e>
            </m:acc>
          </m:e>
          <m:sub>
            <m:r>
              <m:rPr>
                <m:sty m:val="p"/>
              </m:rPr>
              <w:rPr>
                <w:rFonts w:ascii="Cambria Math" w:eastAsiaTheme="minorEastAsia" w:hAnsi="Cambria Math" w:cs="Arial"/>
                <w:sz w:val="22"/>
                <w:szCs w:val="22"/>
              </w:rPr>
              <m:t>c</m:t>
            </m:r>
          </m:sub>
          <m:sup>
            <m:r>
              <m:rPr>
                <m:sty m:val="p"/>
              </m:rPr>
              <w:rPr>
                <w:rFonts w:ascii="Cambria Math" w:eastAsiaTheme="minorEastAsia" w:hAnsi="Cambria Math" w:cs="Arial"/>
                <w:sz w:val="22"/>
                <w:szCs w:val="22"/>
              </w:rPr>
              <m:t>"</m:t>
            </m:r>
          </m:sup>
        </m:sSubSup>
      </m:oMath>
      <w:r w:rsidR="002A34C7" w:rsidRPr="006736D7">
        <w:rPr>
          <w:rFonts w:ascii="Arial" w:eastAsiaTheme="minorEastAsia" w:hAnsi="Arial" w:cs="Arial"/>
          <w:sz w:val="22"/>
          <w:szCs w:val="22"/>
        </w:rPr>
        <w:tab/>
      </w:r>
      <w:r w:rsidR="002A34C7" w:rsidRPr="006736D7">
        <w:rPr>
          <w:rFonts w:ascii="Arial" w:eastAsiaTheme="minorEastAsia" w:hAnsi="Arial" w:cs="Arial"/>
          <w:sz w:val="22"/>
          <w:szCs w:val="22"/>
        </w:rPr>
        <w:tab/>
      </w:r>
      <w:r w:rsidR="002A34C7" w:rsidRPr="006736D7">
        <w:rPr>
          <w:rFonts w:ascii="Arial" w:eastAsiaTheme="minorEastAsia" w:hAnsi="Arial" w:cs="Arial"/>
          <w:sz w:val="22"/>
          <w:szCs w:val="22"/>
        </w:rPr>
        <w:tab/>
        <w:t>Combustible cable mass per unit tray area</w:t>
      </w:r>
    </w:p>
    <w:p w14:paraId="5FD2C7A4" w14:textId="78BC5C5A" w:rsidR="002A34C7" w:rsidRPr="006736D7" w:rsidRDefault="002A34C7"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w:r w:rsidRPr="006736D7">
        <w:rPr>
          <w:rFonts w:ascii="Arial" w:eastAsiaTheme="minorEastAsia" w:hAnsi="Arial" w:cs="Arial"/>
          <w:sz w:val="22"/>
          <w:szCs w:val="22"/>
        </w:rPr>
        <w:t>N</w:t>
      </w:r>
      <w:r w:rsidRPr="006E19C1">
        <w:rPr>
          <w:rFonts w:ascii="Arial" w:eastAsiaTheme="minorEastAsia" w:hAnsi="Arial" w:cs="Arial"/>
          <w:sz w:val="22"/>
          <w:szCs w:val="22"/>
        </w:rPr>
        <w:tab/>
      </w:r>
      <w:r w:rsidRPr="006E19C1">
        <w:rPr>
          <w:rFonts w:ascii="Arial" w:eastAsiaTheme="minorEastAsia" w:hAnsi="Arial" w:cs="Arial"/>
          <w:sz w:val="22"/>
          <w:szCs w:val="22"/>
        </w:rPr>
        <w:tab/>
      </w:r>
      <w:r w:rsidRPr="006E19C1">
        <w:rPr>
          <w:rFonts w:ascii="Arial" w:eastAsiaTheme="minorEastAsia" w:hAnsi="Arial" w:cs="Arial"/>
          <w:sz w:val="22"/>
          <w:szCs w:val="22"/>
        </w:rPr>
        <w:tab/>
      </w:r>
      <w:r w:rsidRPr="006736D7">
        <w:rPr>
          <w:rFonts w:ascii="Arial" w:eastAsiaTheme="minorEastAsia" w:hAnsi="Arial" w:cs="Arial"/>
          <w:sz w:val="22"/>
          <w:szCs w:val="22"/>
        </w:rPr>
        <w:t>Number of cables per tray</w:t>
      </w:r>
    </w:p>
    <w:p w14:paraId="539B4B9F" w14:textId="09B5B37D" w:rsidR="008F740F" w:rsidRPr="006736D7" w:rsidRDefault="008F740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NSP</w:t>
      </w:r>
      <w:r w:rsidRPr="006736D7">
        <w:rPr>
          <w:rFonts w:cs="Arial"/>
        </w:rPr>
        <w:tab/>
      </w:r>
      <w:r w:rsidRPr="006736D7">
        <w:rPr>
          <w:rFonts w:cs="Arial"/>
        </w:rPr>
        <w:tab/>
        <w:t>Non-suppression probability</w:t>
      </w:r>
    </w:p>
    <w:p w14:paraId="57D74249" w14:textId="04C8D5F5" w:rsidR="004E040B" w:rsidRPr="006736D7" w:rsidRDefault="004E040B"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u w:val="single"/>
        </w:rPr>
        <w:t>NSP</w:t>
      </w:r>
      <w:r w:rsidRPr="006736D7">
        <w:rPr>
          <w:rFonts w:cs="Arial"/>
          <w:vertAlign w:val="subscript"/>
        </w:rPr>
        <w:t>Fixed</w:t>
      </w:r>
      <w:r w:rsidRPr="006736D7">
        <w:rPr>
          <w:rFonts w:cs="Arial"/>
        </w:rPr>
        <w:tab/>
      </w:r>
      <w:r w:rsidRPr="006736D7">
        <w:rPr>
          <w:rFonts w:cs="Arial"/>
        </w:rPr>
        <w:tab/>
        <w:t>NSP assuming fixed fire suppression system activation</w:t>
      </w:r>
    </w:p>
    <w:p w14:paraId="3AB44D22" w14:textId="05AE8BF7" w:rsidR="004E040B" w:rsidRPr="006736D7" w:rsidRDefault="004E040B"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u w:val="single"/>
        </w:rPr>
        <w:t>NSP</w:t>
      </w:r>
      <w:r w:rsidRPr="006736D7">
        <w:rPr>
          <w:rFonts w:cs="Arial"/>
          <w:vertAlign w:val="subscript"/>
        </w:rPr>
        <w:t>Manual</w:t>
      </w:r>
      <w:r w:rsidRPr="006736D7">
        <w:rPr>
          <w:rFonts w:cs="Arial"/>
        </w:rPr>
        <w:tab/>
        <w:t>NSP assuming manual fire suppression only</w:t>
      </w:r>
    </w:p>
    <w:p w14:paraId="5AFBA07C" w14:textId="1CD82B9A" w:rsidR="004E040B" w:rsidRPr="006736D7" w:rsidRDefault="004E040B"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u w:val="single"/>
        </w:rPr>
        <w:t>NSP</w:t>
      </w:r>
      <w:r w:rsidRPr="006736D7">
        <w:rPr>
          <w:rFonts w:cs="Arial"/>
          <w:vertAlign w:val="subscript"/>
        </w:rPr>
        <w:t>Scenario</w:t>
      </w:r>
      <w:r w:rsidRPr="006736D7">
        <w:rPr>
          <w:rFonts w:cs="Arial"/>
        </w:rPr>
        <w:tab/>
        <w:t xml:space="preserve">NSP for the scenario, which combines </w:t>
      </w:r>
      <w:r w:rsidRPr="006736D7">
        <w:rPr>
          <w:rFonts w:cs="Arial"/>
          <w:u w:val="single"/>
        </w:rPr>
        <w:t>NSP</w:t>
      </w:r>
      <w:r w:rsidRPr="006736D7">
        <w:rPr>
          <w:rFonts w:cs="Arial"/>
          <w:vertAlign w:val="subscript"/>
        </w:rPr>
        <w:t>Fixed</w:t>
      </w:r>
      <w:r w:rsidRPr="006736D7">
        <w:rPr>
          <w:rFonts w:cs="Arial"/>
        </w:rPr>
        <w:t xml:space="preserve"> and </w:t>
      </w:r>
      <w:r w:rsidRPr="006736D7">
        <w:rPr>
          <w:rFonts w:cs="Arial"/>
          <w:u w:val="single"/>
        </w:rPr>
        <w:t>NSP</w:t>
      </w:r>
      <w:r w:rsidRPr="006736D7">
        <w:rPr>
          <w:rFonts w:cs="Arial"/>
          <w:vertAlign w:val="subscript"/>
        </w:rPr>
        <w:t>Manual</w:t>
      </w:r>
      <w:r w:rsidRPr="006736D7">
        <w:rPr>
          <w:rFonts w:cs="Arial"/>
        </w:rPr>
        <w:t xml:space="preserve"> </w:t>
      </w:r>
      <w:r w:rsidR="00A07639">
        <w:rPr>
          <w:rFonts w:cs="Arial"/>
        </w:rPr>
        <w:t>based on the</w:t>
      </w:r>
      <w:r w:rsidRPr="006736D7">
        <w:rPr>
          <w:rFonts w:cs="Arial"/>
        </w:rPr>
        <w:t xml:space="preserve"> event tree</w:t>
      </w:r>
      <w:r w:rsidR="00A07639">
        <w:rPr>
          <w:rFonts w:cs="Arial"/>
        </w:rPr>
        <w:t>,</w:t>
      </w:r>
      <w:r w:rsidRPr="006736D7">
        <w:rPr>
          <w:rFonts w:cs="Arial"/>
        </w:rPr>
        <w:t xml:space="preserve"> and accounting for the </w:t>
      </w:r>
      <w:r w:rsidR="00BF6D1F" w:rsidRPr="006736D7">
        <w:rPr>
          <w:rFonts w:cs="Arial"/>
        </w:rPr>
        <w:t>fixed fire suppression failure probability</w:t>
      </w:r>
      <w:r w:rsidRPr="006736D7">
        <w:rPr>
          <w:rFonts w:cs="Arial"/>
        </w:rPr>
        <w:t xml:space="preserve"> </w:t>
      </w:r>
    </w:p>
    <w:p w14:paraId="3C0213AA" w14:textId="1332AE3F" w:rsidR="00E63D96" w:rsidRPr="006736D7" w:rsidRDefault="00B9252A"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m:oMath>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w:rPr>
                <w:rFonts w:ascii="Cambria Math" w:hAnsi="Cambria Math"/>
              </w:rPr>
              <m:t>"</m:t>
            </m:r>
          </m:sup>
        </m:sSup>
      </m:oMath>
      <w:r w:rsidR="00E63D96" w:rsidRPr="006736D7">
        <w:tab/>
      </w:r>
      <w:r w:rsidR="00E63D96" w:rsidRPr="006736D7">
        <w:tab/>
      </w:r>
      <w:r w:rsidR="00E63D96" w:rsidRPr="006736D7">
        <w:tab/>
      </w:r>
      <w:r w:rsidR="00E63D96">
        <w:t>I</w:t>
      </w:r>
      <w:r w:rsidR="00E63D96" w:rsidRPr="006736D7">
        <w:t>ncident heat flux at the target</w:t>
      </w:r>
    </w:p>
    <w:p w14:paraId="47739C4B" w14:textId="61CE2037" w:rsidR="00E63D96" w:rsidRPr="006736D7" w:rsidRDefault="00B9252A"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cr</m:t>
            </m:r>
          </m:sub>
          <m:sup>
            <m:r>
              <m:rPr>
                <m:sty m:val="p"/>
              </m:rPr>
              <w:rPr>
                <w:rFonts w:ascii="Cambria Math" w:hAnsi="Cambria Math"/>
              </w:rPr>
              <m:t>"</m:t>
            </m:r>
          </m:sup>
        </m:sSubSup>
      </m:oMath>
      <w:r w:rsidR="00E63D96" w:rsidRPr="006736D7">
        <w:tab/>
      </w:r>
      <w:r w:rsidR="00E63D96" w:rsidRPr="006736D7">
        <w:tab/>
      </w:r>
      <w:r w:rsidR="00E63D96">
        <w:t>D</w:t>
      </w:r>
      <w:r w:rsidR="00E63D96" w:rsidRPr="006736D7">
        <w:t>amage or ignition threshold heat flux of the target</w:t>
      </w:r>
    </w:p>
    <w:p w14:paraId="366722AE" w14:textId="2065AB8A" w:rsidR="0083007B" w:rsidRPr="006736D7" w:rsidRDefault="00B9252A"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m:oMath>
        <m:acc>
          <m:accPr>
            <m:chr m:val="̇"/>
            <m:ctrlPr>
              <w:rPr>
                <w:rFonts w:ascii="Cambria Math" w:hAnsi="Cambria Math"/>
              </w:rPr>
            </m:ctrlPr>
          </m:accPr>
          <m:e>
            <m:r>
              <m:rPr>
                <m:sty m:val="p"/>
              </m:rPr>
              <w:rPr>
                <w:rFonts w:ascii="Cambria Math" w:hAnsi="Cambria Math"/>
              </w:rPr>
              <m:t>Q</m:t>
            </m:r>
          </m:e>
        </m:acc>
      </m:oMath>
      <w:r w:rsidR="0083007B" w:rsidRPr="006736D7">
        <w:tab/>
      </w:r>
      <w:r w:rsidR="0083007B" w:rsidRPr="006736D7">
        <w:tab/>
      </w:r>
      <w:r w:rsidR="0083007B" w:rsidRPr="006736D7">
        <w:tab/>
        <w:t xml:space="preserve">HRR </w:t>
      </w:r>
      <w:r w:rsidR="00E63D96">
        <w:t>of the fire</w:t>
      </w:r>
    </w:p>
    <w:p w14:paraId="259CB341" w14:textId="11A133C3" w:rsidR="00E63D96" w:rsidRPr="006736D7" w:rsidRDefault="00B9252A"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Sub>
      </m:oMath>
      <w:r w:rsidR="00E63D96" w:rsidRPr="006736D7">
        <w:rPr>
          <w:rFonts w:eastAsiaTheme="minorEastAsia"/>
        </w:rPr>
        <w:tab/>
      </w:r>
      <w:r w:rsidR="00E63D96" w:rsidRPr="006736D7">
        <w:rPr>
          <w:rFonts w:eastAsiaTheme="minorEastAsia"/>
        </w:rPr>
        <w:tab/>
      </w:r>
      <w:r w:rsidR="00E63D96" w:rsidRPr="006736D7">
        <w:rPr>
          <w:rFonts w:eastAsiaTheme="minorEastAsia"/>
        </w:rPr>
        <w:tab/>
      </w:r>
      <w:r w:rsidR="00E63D96">
        <w:rPr>
          <w:rFonts w:eastAsiaTheme="minorEastAsia"/>
        </w:rPr>
        <w:t>C</w:t>
      </w:r>
      <w:r w:rsidR="00E63D96" w:rsidRPr="006736D7">
        <w:rPr>
          <w:rFonts w:eastAsiaTheme="minorEastAsia"/>
        </w:rPr>
        <w:t>onvective part of the HRR of the fire</w:t>
      </w:r>
    </w:p>
    <w:p w14:paraId="559C1509" w14:textId="7784416A" w:rsidR="002A34C7" w:rsidRPr="006736D7" w:rsidRDefault="00B9252A"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min</m:t>
            </m:r>
          </m:sub>
        </m:sSub>
      </m:oMath>
      <w:r w:rsidR="002A34C7" w:rsidRPr="006736D7">
        <w:rPr>
          <w:rFonts w:eastAsiaTheme="minorEastAsia"/>
        </w:rPr>
        <w:tab/>
      </w:r>
      <w:r w:rsidR="002A34C7" w:rsidRPr="006736D7">
        <w:rPr>
          <w:rFonts w:eastAsiaTheme="minorEastAsia"/>
        </w:rPr>
        <w:tab/>
      </w:r>
      <w:r w:rsidR="002A34C7">
        <w:rPr>
          <w:rFonts w:eastAsiaTheme="minorEastAsia"/>
        </w:rPr>
        <w:t>M</w:t>
      </w:r>
      <w:r w:rsidR="002A34C7" w:rsidRPr="006736D7">
        <w:rPr>
          <w:rFonts w:eastAsiaTheme="minorEastAsia"/>
        </w:rPr>
        <w:t>inimum HRR to create a damaging HGL</w:t>
      </w:r>
    </w:p>
    <w:p w14:paraId="0F683AFF" w14:textId="7424B835" w:rsidR="004C395F" w:rsidRPr="006736D7" w:rsidRDefault="00B9252A"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004C395F" w:rsidRPr="006736D7">
        <w:tab/>
      </w:r>
      <w:r w:rsidR="004C395F" w:rsidRPr="006736D7">
        <w:tab/>
        <w:t>HRR needed to raise the ceiling jet temperature to 10</w:t>
      </w:r>
      <w:r w:rsidR="004C395F" w:rsidRPr="006736D7">
        <w:sym w:font="Symbol" w:char="F0B0"/>
      </w:r>
      <w:r w:rsidR="004C395F" w:rsidRPr="006736D7">
        <w:t>C above T</w:t>
      </w:r>
      <w:r w:rsidR="004C395F" w:rsidRPr="006736D7">
        <w:rPr>
          <w:vertAlign w:val="subscript"/>
        </w:rPr>
        <w:t>a</w:t>
      </w:r>
    </w:p>
    <w:p w14:paraId="63CC07D7" w14:textId="122E3134" w:rsidR="00E63D96" w:rsidRPr="006736D7" w:rsidRDefault="00E63D9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6736D7">
        <w:lastRenderedPageBreak/>
        <w:t>R</w:t>
      </w:r>
      <w:r w:rsidRPr="006736D7">
        <w:tab/>
      </w:r>
      <w:r w:rsidRPr="006736D7">
        <w:tab/>
      </w:r>
      <w:r w:rsidRPr="006736D7">
        <w:tab/>
      </w:r>
      <w:r>
        <w:t>R</w:t>
      </w:r>
      <w:r w:rsidRPr="006736D7">
        <w:t>adial distance between the target and the center of the ignition source</w:t>
      </w:r>
      <w:r w:rsidR="00E23611">
        <w:t xml:space="preserve"> (Equation </w:t>
      </w:r>
      <w:r w:rsidR="004C395F">
        <w:t>11)</w:t>
      </w:r>
      <w:r w:rsidR="00A07639">
        <w:t>,</w:t>
      </w:r>
      <w:r w:rsidR="004C395F">
        <w:t xml:space="preserve"> </w:t>
      </w:r>
      <w:r w:rsidR="00E23611">
        <w:t>or r</w:t>
      </w:r>
      <w:r w:rsidR="00E23611" w:rsidRPr="006736D7">
        <w:t>adial distance from the center of the fire base to the detector</w:t>
      </w:r>
      <w:r w:rsidR="004C395F">
        <w:t xml:space="preserve"> (Equations 2</w:t>
      </w:r>
      <w:r w:rsidR="007E779C">
        <w:t>1</w:t>
      </w:r>
      <w:r w:rsidR="004C395F">
        <w:t>, 2</w:t>
      </w:r>
      <w:r w:rsidR="007E779C">
        <w:t>2</w:t>
      </w:r>
      <w:r w:rsidR="004C395F">
        <w:t>, 2</w:t>
      </w:r>
      <w:r w:rsidR="007E779C">
        <w:t>4</w:t>
      </w:r>
      <w:r w:rsidR="004C395F">
        <w:t>, 2</w:t>
      </w:r>
      <w:r w:rsidR="007E779C">
        <w:t>6</w:t>
      </w:r>
      <w:r w:rsidR="004C395F">
        <w:t>-2</w:t>
      </w:r>
      <w:r w:rsidR="007E779C">
        <w:t>7</w:t>
      </w:r>
      <w:r w:rsidR="004C395F">
        <w:t>, 2</w:t>
      </w:r>
      <w:r w:rsidR="007E779C">
        <w:t>9</w:t>
      </w:r>
      <w:r w:rsidR="004C395F">
        <w:t>-3</w:t>
      </w:r>
      <w:r w:rsidR="007E779C">
        <w:t>2</w:t>
      </w:r>
      <w:r w:rsidR="004C395F">
        <w:t>, 3</w:t>
      </w:r>
      <w:r w:rsidR="007E779C">
        <w:t>4</w:t>
      </w:r>
      <w:r w:rsidR="004C395F">
        <w:t>-3</w:t>
      </w:r>
      <w:r w:rsidR="007E779C">
        <w:t>5</w:t>
      </w:r>
      <w:r w:rsidR="004C395F">
        <w:t xml:space="preserve">) </w:t>
      </w:r>
    </w:p>
    <w:p w14:paraId="4B2AA452" w14:textId="27DBEF19" w:rsidR="002A34C7" w:rsidRPr="006736D7" w:rsidRDefault="002A34C7"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w:r w:rsidRPr="001E3E8F">
        <w:rPr>
          <w:rFonts w:ascii="Arial" w:hAnsi="Arial" w:cs="Arial"/>
          <w:sz w:val="22"/>
          <w:szCs w:val="22"/>
        </w:rPr>
        <w:t>S</w:t>
      </w:r>
      <w:r>
        <w:rPr>
          <w:rFonts w:ascii="Arial" w:hAnsi="Arial" w:cs="Arial"/>
          <w:sz w:val="22"/>
          <w:szCs w:val="22"/>
        </w:rPr>
        <w:tab/>
      </w:r>
      <w:r>
        <w:rPr>
          <w:rFonts w:ascii="Arial" w:hAnsi="Arial" w:cs="Arial"/>
          <w:sz w:val="22"/>
          <w:szCs w:val="22"/>
        </w:rPr>
        <w:tab/>
      </w:r>
      <w:r>
        <w:rPr>
          <w:rFonts w:ascii="Arial" w:hAnsi="Arial" w:cs="Arial"/>
          <w:sz w:val="22"/>
          <w:szCs w:val="22"/>
        </w:rPr>
        <w:tab/>
        <w:t>Flame spread rate</w:t>
      </w:r>
    </w:p>
    <w:p w14:paraId="1D281A9C" w14:textId="2C348663" w:rsidR="008F740F" w:rsidRPr="006736D7" w:rsidRDefault="008F740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rPr>
      </w:pPr>
      <w:r w:rsidRPr="006736D7">
        <w:rPr>
          <w:rFonts w:cs="Arial"/>
        </w:rPr>
        <w:t>SF</w:t>
      </w:r>
      <w:r w:rsidRPr="006736D7">
        <w:rPr>
          <w:rFonts w:cs="Arial"/>
        </w:rPr>
        <w:tab/>
      </w:r>
      <w:r w:rsidRPr="006736D7">
        <w:rPr>
          <w:rFonts w:cs="Arial"/>
        </w:rPr>
        <w:tab/>
        <w:t>Severity factor</w:t>
      </w:r>
    </w:p>
    <w:p w14:paraId="4A62A794" w14:textId="6588AC81" w:rsidR="001B7630" w:rsidRPr="006736D7" w:rsidRDefault="001B7630"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t</w:t>
      </w:r>
      <w:r w:rsidRPr="006736D7">
        <w:rPr>
          <w:rFonts w:cs="Arial"/>
        </w:rPr>
        <w:tab/>
      </w:r>
      <w:r w:rsidR="000C57A9" w:rsidRPr="006736D7">
        <w:rPr>
          <w:rFonts w:cs="Arial"/>
        </w:rPr>
        <w:tab/>
      </w:r>
      <w:r w:rsidR="000C57A9" w:rsidRPr="006736D7">
        <w:rPr>
          <w:rFonts w:cs="Arial"/>
        </w:rPr>
        <w:tab/>
      </w:r>
      <w:r w:rsidRPr="006736D7">
        <w:rPr>
          <w:rFonts w:cs="Arial"/>
        </w:rPr>
        <w:t>Time</w:t>
      </w:r>
    </w:p>
    <w:p w14:paraId="1782BCD6" w14:textId="5A01F7CE" w:rsidR="00E23611" w:rsidRPr="006736D7" w:rsidRDefault="00E23611"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6736D7">
        <w:rPr>
          <w:rFonts w:eastAsiaTheme="minorEastAsia"/>
        </w:rPr>
        <w:t>t</w:t>
      </w:r>
      <w:r w:rsidRPr="006736D7">
        <w:rPr>
          <w:rFonts w:eastAsiaTheme="minorEastAsia"/>
          <w:vertAlign w:val="subscript"/>
        </w:rPr>
        <w:t>act</w:t>
      </w:r>
      <w:r w:rsidRPr="006736D7">
        <w:rPr>
          <w:rFonts w:eastAsiaTheme="minorEastAsia"/>
          <w:vertAlign w:val="superscript"/>
        </w:rPr>
        <w:tab/>
      </w:r>
      <w:r w:rsidRPr="006736D7">
        <w:rPr>
          <w:rFonts w:eastAsiaTheme="minorEastAsia"/>
        </w:rPr>
        <w:tab/>
      </w:r>
      <w:r w:rsidRPr="006736D7">
        <w:rPr>
          <w:rFonts w:eastAsiaTheme="minorEastAsia"/>
        </w:rPr>
        <w:tab/>
      </w:r>
      <w:r>
        <w:rPr>
          <w:rFonts w:eastAsiaTheme="minorEastAsia"/>
        </w:rPr>
        <w:t>S</w:t>
      </w:r>
      <w:r w:rsidRPr="006736D7">
        <w:rPr>
          <w:rFonts w:eastAsiaTheme="minorEastAsia"/>
        </w:rPr>
        <w:t>moke detector actuation time</w:t>
      </w:r>
    </w:p>
    <w:p w14:paraId="51E528A0" w14:textId="6290EEDA" w:rsidR="00E23611" w:rsidRPr="006736D7" w:rsidRDefault="00E23611"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6736D7">
        <w:rPr>
          <w:rFonts w:eastAsiaTheme="minorEastAsia"/>
        </w:rPr>
        <w:t>t</w:t>
      </w:r>
      <w:r w:rsidRPr="006736D7">
        <w:rPr>
          <w:rFonts w:eastAsiaTheme="minorEastAsia"/>
          <w:vertAlign w:val="subscript"/>
        </w:rPr>
        <w:t>cj</w:t>
      </w:r>
      <w:r w:rsidRPr="006736D7">
        <w:rPr>
          <w:rFonts w:eastAsiaTheme="minorEastAsia"/>
          <w:vertAlign w:val="superscript"/>
        </w:rPr>
        <w:tab/>
      </w:r>
      <w:r w:rsidRPr="006736D7">
        <w:rPr>
          <w:rFonts w:eastAsiaTheme="minorEastAsia"/>
        </w:rPr>
        <w:tab/>
      </w:r>
      <w:r w:rsidRPr="006736D7">
        <w:rPr>
          <w:rFonts w:eastAsiaTheme="minorEastAsia"/>
        </w:rPr>
        <w:tab/>
      </w:r>
      <w:r>
        <w:rPr>
          <w:rFonts w:eastAsiaTheme="minorEastAsia"/>
        </w:rPr>
        <w:t>L</w:t>
      </w:r>
      <w:r w:rsidRPr="006736D7">
        <w:rPr>
          <w:rFonts w:eastAsiaTheme="minorEastAsia"/>
        </w:rPr>
        <w:t>ag time for the ceiling jet to travel to the detector</w:t>
      </w:r>
    </w:p>
    <w:p w14:paraId="45C3ADA9" w14:textId="2D587AB4" w:rsidR="001B7630" w:rsidRPr="006736D7" w:rsidRDefault="002071A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t</w:t>
      </w:r>
      <w:r w:rsidRPr="006736D7">
        <w:rPr>
          <w:rFonts w:cs="Arial"/>
          <w:vertAlign w:val="subscript"/>
        </w:rPr>
        <w:t>damage</w:t>
      </w:r>
      <w:r w:rsidR="001B7630" w:rsidRPr="006736D7">
        <w:rPr>
          <w:rFonts w:cs="Arial"/>
        </w:rPr>
        <w:tab/>
      </w:r>
      <w:r w:rsidR="000C57A9" w:rsidRPr="006736D7">
        <w:rPr>
          <w:rFonts w:cs="Arial"/>
        </w:rPr>
        <w:tab/>
      </w:r>
      <w:r w:rsidR="001B7630" w:rsidRPr="006736D7">
        <w:rPr>
          <w:rFonts w:cs="Arial"/>
        </w:rPr>
        <w:t>Time to damage</w:t>
      </w:r>
      <w:r w:rsidRPr="006736D7">
        <w:rPr>
          <w:rFonts w:cs="Arial"/>
        </w:rPr>
        <w:t xml:space="preserve"> </w:t>
      </w:r>
    </w:p>
    <w:p w14:paraId="7EE9FE83" w14:textId="76CC7BCB" w:rsidR="001B7630" w:rsidRPr="006736D7" w:rsidRDefault="002071A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t</w:t>
      </w:r>
      <w:r w:rsidRPr="006736D7">
        <w:rPr>
          <w:rFonts w:cs="Arial"/>
          <w:vertAlign w:val="subscript"/>
        </w:rPr>
        <w:t>detection</w:t>
      </w:r>
      <w:r w:rsidR="001B7630" w:rsidRPr="006736D7">
        <w:rPr>
          <w:rFonts w:cs="Arial"/>
        </w:rPr>
        <w:tab/>
      </w:r>
      <w:r w:rsidR="000C57A9" w:rsidRPr="006736D7">
        <w:rPr>
          <w:rFonts w:cs="Arial"/>
        </w:rPr>
        <w:tab/>
      </w:r>
      <w:r w:rsidR="001B7630" w:rsidRPr="006736D7">
        <w:rPr>
          <w:rFonts w:cs="Arial"/>
        </w:rPr>
        <w:t>Time to fire detection</w:t>
      </w:r>
    </w:p>
    <w:p w14:paraId="13081C74" w14:textId="704D4D16" w:rsidR="002A34C7" w:rsidRDefault="002A34C7"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eastAsiaTheme="minorEastAsia"/>
        </w:rPr>
        <w:t>t</w:t>
      </w:r>
      <w:r w:rsidRPr="006736D7">
        <w:rPr>
          <w:rFonts w:eastAsiaTheme="minorEastAsia"/>
          <w:vertAlign w:val="subscript"/>
        </w:rPr>
        <w:t>p</w:t>
      </w:r>
      <w:r w:rsidRPr="006736D7">
        <w:rPr>
          <w:rFonts w:eastAsiaTheme="minorEastAsia"/>
        </w:rPr>
        <w:tab/>
      </w:r>
      <w:r>
        <w:rPr>
          <w:rFonts w:eastAsiaTheme="minorEastAsia"/>
        </w:rPr>
        <w:tab/>
      </w:r>
      <w:r>
        <w:rPr>
          <w:rFonts w:eastAsiaTheme="minorEastAsia"/>
        </w:rPr>
        <w:tab/>
        <w:t>T</w:t>
      </w:r>
      <w:r w:rsidRPr="006736D7">
        <w:rPr>
          <w:rFonts w:eastAsiaTheme="minorEastAsia"/>
        </w:rPr>
        <w:t>hermal penetration time</w:t>
      </w:r>
    </w:p>
    <w:p w14:paraId="7EE8D474" w14:textId="488AE1E0" w:rsidR="002071AF" w:rsidRPr="006736D7" w:rsidRDefault="002071A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t</w:t>
      </w:r>
      <w:r w:rsidRPr="006736D7">
        <w:rPr>
          <w:rFonts w:cs="Arial"/>
          <w:vertAlign w:val="subscript"/>
        </w:rPr>
        <w:t>peak</w:t>
      </w:r>
      <w:r w:rsidRPr="006736D7">
        <w:rPr>
          <w:rFonts w:cs="Arial"/>
        </w:rPr>
        <w:tab/>
      </w:r>
      <w:r w:rsidRPr="006736D7">
        <w:rPr>
          <w:rFonts w:cs="Arial"/>
        </w:rPr>
        <w:tab/>
        <w:t>Time to peak HRR</w:t>
      </w:r>
    </w:p>
    <w:p w14:paraId="7E4862AA" w14:textId="14272180" w:rsidR="00E23611" w:rsidRPr="006736D7" w:rsidRDefault="00E23611"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6736D7">
        <w:rPr>
          <w:rFonts w:eastAsiaTheme="minorEastAsia"/>
        </w:rPr>
        <w:t>t</w:t>
      </w:r>
      <w:r w:rsidRPr="006736D7">
        <w:rPr>
          <w:rFonts w:eastAsiaTheme="minorEastAsia"/>
          <w:vertAlign w:val="subscript"/>
        </w:rPr>
        <w:t>pl</w:t>
      </w:r>
      <w:r w:rsidRPr="006736D7">
        <w:rPr>
          <w:rFonts w:eastAsiaTheme="minorEastAsia"/>
          <w:vertAlign w:val="superscript"/>
        </w:rPr>
        <w:tab/>
      </w:r>
      <w:r w:rsidRPr="006736D7">
        <w:rPr>
          <w:rFonts w:eastAsiaTheme="minorEastAsia"/>
          <w:vertAlign w:val="superscript"/>
        </w:rPr>
        <w:tab/>
      </w:r>
      <w:r w:rsidRPr="006736D7">
        <w:rPr>
          <w:rFonts w:eastAsiaTheme="minorEastAsia"/>
          <w:vertAlign w:val="superscript"/>
        </w:rPr>
        <w:tab/>
      </w:r>
      <w:r>
        <w:rPr>
          <w:rFonts w:eastAsiaTheme="minorEastAsia"/>
        </w:rPr>
        <w:t>L</w:t>
      </w:r>
      <w:r w:rsidRPr="006736D7">
        <w:rPr>
          <w:rFonts w:eastAsiaTheme="minorEastAsia"/>
        </w:rPr>
        <w:t>ag time for the plume to rise to the ceiling</w:t>
      </w:r>
    </w:p>
    <w:p w14:paraId="5184C428" w14:textId="2C0D9600" w:rsidR="00E23611" w:rsidRPr="006736D7" w:rsidRDefault="00E23611"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6736D7">
        <w:rPr>
          <w:rFonts w:eastAsiaTheme="minorEastAsia"/>
        </w:rPr>
        <w:t>t</w:t>
      </w:r>
      <w:r w:rsidRPr="006736D7">
        <w:rPr>
          <w:rFonts w:eastAsiaTheme="minorEastAsia"/>
          <w:vertAlign w:val="subscript"/>
        </w:rPr>
        <w:t>resp</w:t>
      </w:r>
      <w:r w:rsidRPr="006736D7">
        <w:rPr>
          <w:rFonts w:eastAsiaTheme="minorEastAsia"/>
          <w:vertAlign w:val="superscript"/>
        </w:rPr>
        <w:tab/>
      </w:r>
      <w:r w:rsidRPr="006736D7">
        <w:rPr>
          <w:rFonts w:eastAsiaTheme="minorEastAsia"/>
          <w:vertAlign w:val="superscript"/>
        </w:rPr>
        <w:tab/>
      </w:r>
      <w:r>
        <w:rPr>
          <w:rFonts w:eastAsiaTheme="minorEastAsia"/>
        </w:rPr>
        <w:t>Smoke detector response time</w:t>
      </w:r>
    </w:p>
    <w:p w14:paraId="71D5EAC9" w14:textId="2B8A97A8" w:rsidR="001B7630" w:rsidRPr="006736D7" w:rsidRDefault="001B7630"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t</w:t>
      </w:r>
      <w:r w:rsidRPr="006736D7">
        <w:rPr>
          <w:rFonts w:cs="Arial"/>
          <w:vertAlign w:val="subscript"/>
        </w:rPr>
        <w:t>Supp</w:t>
      </w:r>
      <w:r w:rsidR="007E63B3" w:rsidRPr="006736D7">
        <w:rPr>
          <w:rFonts w:cs="Arial"/>
          <w:vertAlign w:val="subscript"/>
        </w:rPr>
        <w:t>ression</w:t>
      </w:r>
      <w:r w:rsidRPr="006736D7">
        <w:rPr>
          <w:rFonts w:cs="Arial"/>
          <w:vertAlign w:val="subscript"/>
        </w:rPr>
        <w:t>.</w:t>
      </w:r>
      <w:r w:rsidRPr="006736D7">
        <w:rPr>
          <w:rFonts w:cs="Arial"/>
        </w:rPr>
        <w:tab/>
        <w:t>Time to fire suppression</w:t>
      </w:r>
    </w:p>
    <w:p w14:paraId="0643CAC8" w14:textId="65BF261B" w:rsidR="00E23611" w:rsidRPr="006736D7" w:rsidRDefault="00E23611"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t</w:t>
      </w:r>
      <w:r w:rsidRPr="006736D7">
        <w:rPr>
          <w:vertAlign w:val="subscript"/>
        </w:rPr>
        <w:sym w:font="Symbol" w:char="F044"/>
      </w:r>
      <w:r w:rsidRPr="006736D7">
        <w:rPr>
          <w:vertAlign w:val="subscript"/>
        </w:rPr>
        <w:t>T=10</w:t>
      </w:r>
      <w:r w:rsidRPr="006736D7">
        <w:rPr>
          <w:vertAlign w:val="subscript"/>
        </w:rPr>
        <w:sym w:font="Symbol" w:char="F0B0"/>
      </w:r>
      <w:r w:rsidRPr="006736D7">
        <w:rPr>
          <w:vertAlign w:val="subscript"/>
        </w:rPr>
        <w:t>C</w:t>
      </w:r>
      <w:r w:rsidRPr="006736D7">
        <w:tab/>
      </w:r>
      <w:r w:rsidRPr="006736D7">
        <w:tab/>
      </w:r>
      <w:r>
        <w:t>T</w:t>
      </w:r>
      <w:r w:rsidRPr="006736D7">
        <w:t>ime for the ceiling jet temperature to reach 10</w:t>
      </w:r>
      <w:r w:rsidRPr="006736D7">
        <w:sym w:font="Symbol" w:char="F0B0"/>
      </w:r>
      <w:r w:rsidRPr="006736D7">
        <w:t>C above ambient</w:t>
      </w:r>
    </w:p>
    <w:p w14:paraId="118C921C" w14:textId="618CAB16" w:rsidR="00FC5276" w:rsidRPr="006736D7" w:rsidRDefault="00FC527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T</w:t>
      </w:r>
      <w:r w:rsidRPr="006736D7">
        <w:rPr>
          <w:vertAlign w:val="subscript"/>
        </w:rPr>
        <w:t>a</w:t>
      </w:r>
      <w:r w:rsidRPr="006736D7">
        <w:tab/>
      </w:r>
      <w:r w:rsidRPr="006736D7">
        <w:tab/>
      </w:r>
      <w:r w:rsidRPr="006736D7">
        <w:tab/>
      </w:r>
      <w:r>
        <w:t>A</w:t>
      </w:r>
      <w:r w:rsidRPr="006736D7">
        <w:t>mbient air temperature</w:t>
      </w:r>
    </w:p>
    <w:p w14:paraId="4EF080C5" w14:textId="3AEB1B16" w:rsidR="00A539B2" w:rsidRDefault="00A539B2"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T</w:t>
      </w:r>
      <w:r w:rsidRPr="006736D7">
        <w:rPr>
          <w:vertAlign w:val="subscript"/>
        </w:rPr>
        <w:t>act</w:t>
      </w:r>
      <w:r w:rsidRPr="006736D7">
        <w:tab/>
      </w:r>
      <w:r w:rsidRPr="006736D7">
        <w:tab/>
      </w:r>
      <w:r>
        <w:t xml:space="preserve">Sprinkler </w:t>
      </w:r>
      <w:r w:rsidRPr="006736D7">
        <w:t>activation temperature</w:t>
      </w:r>
    </w:p>
    <w:p w14:paraId="7CB380C7" w14:textId="2A32A30C" w:rsidR="00E23611" w:rsidRPr="006736D7" w:rsidRDefault="00E23611"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6736D7">
        <w:rPr>
          <w:rFonts w:eastAsiaTheme="minorEastAsia"/>
        </w:rPr>
        <w:t>T</w:t>
      </w:r>
      <w:r w:rsidRPr="006736D7">
        <w:rPr>
          <w:rFonts w:eastAsiaTheme="minorEastAsia"/>
          <w:vertAlign w:val="subscript"/>
        </w:rPr>
        <w:t>cj</w:t>
      </w:r>
      <w:r w:rsidRPr="006736D7">
        <w:rPr>
          <w:rFonts w:eastAsiaTheme="minorEastAsia"/>
          <w:vertAlign w:val="superscript"/>
        </w:rPr>
        <w:tab/>
      </w:r>
      <w:r w:rsidRPr="006736D7">
        <w:rPr>
          <w:rFonts w:eastAsiaTheme="minorEastAsia"/>
          <w:vertAlign w:val="superscript"/>
        </w:rPr>
        <w:tab/>
      </w:r>
      <w:r w:rsidRPr="006736D7">
        <w:rPr>
          <w:rFonts w:eastAsiaTheme="minorEastAsia"/>
          <w:vertAlign w:val="superscript"/>
        </w:rPr>
        <w:tab/>
      </w:r>
      <w:r>
        <w:rPr>
          <w:rFonts w:eastAsiaTheme="minorEastAsia"/>
        </w:rPr>
        <w:t>C</w:t>
      </w:r>
      <w:r w:rsidRPr="006736D7">
        <w:rPr>
          <w:rFonts w:eastAsiaTheme="minorEastAsia"/>
        </w:rPr>
        <w:t>eiling jet temperature</w:t>
      </w:r>
    </w:p>
    <w:p w14:paraId="610C8553" w14:textId="19A472F9" w:rsidR="00E63D96" w:rsidRPr="006736D7" w:rsidRDefault="00E63D9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T</w:t>
      </w:r>
      <w:r w:rsidRPr="006736D7">
        <w:rPr>
          <w:vertAlign w:val="subscript"/>
        </w:rPr>
        <w:t>cr</w:t>
      </w:r>
      <w:r w:rsidRPr="006736D7">
        <w:tab/>
        <w:t xml:space="preserve">    </w:t>
      </w:r>
      <w:r w:rsidRPr="006736D7">
        <w:tab/>
      </w:r>
      <w:r w:rsidRPr="006736D7">
        <w:tab/>
      </w:r>
      <w:r>
        <w:t>D</w:t>
      </w:r>
      <w:r w:rsidRPr="006736D7">
        <w:t>amage or ignition threshold temperature</w:t>
      </w:r>
    </w:p>
    <w:p w14:paraId="5C2D2C22" w14:textId="717CF5D0" w:rsidR="00A539B2" w:rsidRPr="006736D7" w:rsidRDefault="00A539B2"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T</w:t>
      </w:r>
      <w:r w:rsidRPr="006736D7">
        <w:rPr>
          <w:vertAlign w:val="subscript"/>
        </w:rPr>
        <w:t>g</w:t>
      </w:r>
      <w:r w:rsidRPr="006736D7">
        <w:tab/>
      </w:r>
      <w:r w:rsidRPr="006736D7">
        <w:tab/>
      </w:r>
      <w:r w:rsidRPr="006736D7">
        <w:tab/>
        <w:t>HGL temperature</w:t>
      </w:r>
    </w:p>
    <w:p w14:paraId="7F4F934D" w14:textId="2F9E0C7E" w:rsidR="00AF515C" w:rsidRDefault="00AF515C"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T</w:t>
      </w:r>
      <w:r w:rsidRPr="006736D7">
        <w:rPr>
          <w:vertAlign w:val="subscript"/>
        </w:rPr>
        <w:t>ink</w:t>
      </w:r>
      <w:r>
        <w:tab/>
      </w:r>
      <w:r>
        <w:tab/>
        <w:t>S</w:t>
      </w:r>
      <w:r w:rsidRPr="006736D7">
        <w:t>prinkler link or bulb temperature</w:t>
      </w:r>
    </w:p>
    <w:p w14:paraId="4FEC29CA" w14:textId="2AD2F05A" w:rsidR="00FC5276" w:rsidRPr="006736D7" w:rsidRDefault="00FC527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T</w:t>
      </w:r>
      <w:r w:rsidRPr="006736D7">
        <w:rPr>
          <w:vertAlign w:val="subscript"/>
        </w:rPr>
        <w:t>p</w:t>
      </w:r>
      <w:r w:rsidRPr="006736D7">
        <w:tab/>
      </w:r>
      <w:r w:rsidRPr="006736D7">
        <w:tab/>
      </w:r>
      <w:r w:rsidRPr="006736D7">
        <w:tab/>
      </w:r>
      <w:r>
        <w:t>P</w:t>
      </w:r>
      <w:r w:rsidRPr="006736D7">
        <w:t>lume centerline temperature</w:t>
      </w:r>
    </w:p>
    <w:p w14:paraId="20AF760C" w14:textId="39202178" w:rsidR="004C395F" w:rsidRPr="006736D7" w:rsidRDefault="004C395F"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u</w:t>
      </w:r>
      <w:r w:rsidRPr="006736D7">
        <w:rPr>
          <w:vertAlign w:val="subscript"/>
        </w:rPr>
        <w:t>cj</w:t>
      </w:r>
      <w:r w:rsidRPr="006736D7">
        <w:tab/>
      </w:r>
      <w:r w:rsidRPr="006736D7">
        <w:tab/>
      </w:r>
      <w:r w:rsidRPr="006736D7">
        <w:tab/>
      </w:r>
      <w:r>
        <w:t>C</w:t>
      </w:r>
      <w:r w:rsidRPr="006736D7">
        <w:t>eiling jet velocity</w:t>
      </w:r>
    </w:p>
    <w:p w14:paraId="1A90E182" w14:textId="64EA7823" w:rsidR="00E654AD" w:rsidRPr="006736D7" w:rsidRDefault="00E654AD"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V</w:t>
      </w:r>
      <w:r w:rsidRPr="006736D7">
        <w:rPr>
          <w:vertAlign w:val="subscript"/>
        </w:rPr>
        <w:t>f</w:t>
      </w:r>
      <w:r w:rsidRPr="006736D7">
        <w:tab/>
      </w:r>
      <w:r w:rsidRPr="006736D7">
        <w:tab/>
      </w:r>
      <w:r w:rsidRPr="006736D7">
        <w:tab/>
      </w:r>
      <w:r w:rsidR="00A07639">
        <w:t>Liquid f</w:t>
      </w:r>
      <w:r w:rsidRPr="006736D7">
        <w:t>uel volume</w:t>
      </w:r>
    </w:p>
    <w:p w14:paraId="1F509445" w14:textId="726BD52B" w:rsidR="002A34C7" w:rsidRPr="006736D7" w:rsidRDefault="002A34C7"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w:r w:rsidRPr="006736D7">
        <w:rPr>
          <w:rFonts w:ascii="Arial" w:eastAsiaTheme="minorEastAsia" w:hAnsi="Arial" w:cs="Arial"/>
          <w:sz w:val="22"/>
          <w:szCs w:val="22"/>
        </w:rPr>
        <w:t>W</w:t>
      </w:r>
      <w:r w:rsidRPr="006736D7">
        <w:rPr>
          <w:rFonts w:ascii="Arial" w:eastAsiaTheme="minorEastAsia" w:hAnsi="Arial" w:cs="Arial"/>
          <w:sz w:val="22"/>
          <w:szCs w:val="22"/>
        </w:rPr>
        <w:tab/>
      </w:r>
      <w:r w:rsidRPr="006736D7">
        <w:rPr>
          <w:rFonts w:ascii="Arial" w:eastAsiaTheme="minorEastAsia" w:hAnsi="Arial" w:cs="Arial"/>
          <w:sz w:val="22"/>
          <w:szCs w:val="22"/>
        </w:rPr>
        <w:tab/>
      </w:r>
      <w:r w:rsidRPr="006736D7">
        <w:rPr>
          <w:rFonts w:ascii="Arial" w:eastAsiaTheme="minorEastAsia" w:hAnsi="Arial" w:cs="Arial"/>
          <w:sz w:val="22"/>
          <w:szCs w:val="22"/>
        </w:rPr>
        <w:tab/>
        <w:t>Cable tray width</w:t>
      </w:r>
    </w:p>
    <w:p w14:paraId="44BA42FB" w14:textId="1A0B621F" w:rsidR="008522D6" w:rsidRPr="006736D7" w:rsidRDefault="001B7630"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6736D7">
        <w:rPr>
          <w:rFonts w:cs="Arial"/>
        </w:rPr>
        <w:t>WF</w:t>
      </w:r>
      <w:r w:rsidRPr="006736D7">
        <w:rPr>
          <w:rFonts w:cs="Arial"/>
        </w:rPr>
        <w:tab/>
      </w:r>
      <w:r w:rsidR="000C57A9" w:rsidRPr="006736D7">
        <w:rPr>
          <w:rFonts w:cs="Arial"/>
        </w:rPr>
        <w:tab/>
      </w:r>
      <w:r w:rsidRPr="006736D7">
        <w:rPr>
          <w:rFonts w:cs="Arial"/>
        </w:rPr>
        <w:t>Weighting Factor - equivalent to a partitioning factor, assigns a specific fraction of fires to a specific location within a fire area</w:t>
      </w:r>
      <w:r w:rsidR="00B67341">
        <w:rPr>
          <w:rFonts w:cs="Arial"/>
        </w:rPr>
        <w:t>, u</w:t>
      </w:r>
      <w:r w:rsidRPr="006736D7">
        <w:rPr>
          <w:rFonts w:cs="Arial"/>
        </w:rPr>
        <w:t>sed in the analysis of transient fuel fires, hot work fires, and self-ignited cable fires</w:t>
      </w:r>
    </w:p>
    <w:p w14:paraId="211D70FA" w14:textId="230BD945" w:rsidR="002A34C7" w:rsidRPr="006736D7" w:rsidRDefault="00B9252A"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i/>
          <w:sz w:val="22"/>
          <w:szCs w:val="22"/>
        </w:rPr>
      </w:pPr>
      <m:oMath>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Y</m:t>
            </m:r>
          </m:e>
          <m:sub>
            <m:r>
              <m:rPr>
                <m:sty m:val="p"/>
              </m:rPr>
              <w:rPr>
                <w:rFonts w:ascii="Cambria Math" w:eastAsiaTheme="minorEastAsia" w:hAnsi="Cambria Math" w:cs="Arial"/>
                <w:sz w:val="22"/>
                <w:szCs w:val="22"/>
              </w:rPr>
              <m:t>c</m:t>
            </m:r>
          </m:sub>
        </m:sSub>
      </m:oMath>
      <w:r w:rsidR="002A34C7" w:rsidRPr="006736D7">
        <w:rPr>
          <w:rFonts w:ascii="Arial" w:eastAsiaTheme="minorEastAsia" w:hAnsi="Arial" w:cs="Arial"/>
          <w:sz w:val="22"/>
          <w:szCs w:val="22"/>
        </w:rPr>
        <w:tab/>
      </w:r>
      <w:r w:rsidR="002A34C7" w:rsidRPr="006736D7">
        <w:rPr>
          <w:rFonts w:ascii="Arial" w:eastAsiaTheme="minorEastAsia" w:hAnsi="Arial" w:cs="Arial"/>
          <w:sz w:val="22"/>
          <w:szCs w:val="22"/>
        </w:rPr>
        <w:tab/>
      </w:r>
      <w:r w:rsidR="002A34C7" w:rsidRPr="006736D7">
        <w:rPr>
          <w:rFonts w:ascii="Arial" w:eastAsiaTheme="minorEastAsia" w:hAnsi="Arial" w:cs="Arial"/>
          <w:sz w:val="22"/>
          <w:szCs w:val="22"/>
        </w:rPr>
        <w:tab/>
        <w:t>Char yield</w:t>
      </w:r>
    </w:p>
    <w:p w14:paraId="585BFC27" w14:textId="3FAC5615" w:rsidR="002A34C7" w:rsidRPr="006736D7" w:rsidRDefault="00B9252A"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i/>
          <w:sz w:val="22"/>
          <w:szCs w:val="22"/>
        </w:rPr>
      </w:pPr>
      <m:oMath>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Y</m:t>
            </m:r>
          </m:e>
          <m:sub>
            <m:r>
              <m:rPr>
                <m:sty m:val="p"/>
              </m:rPr>
              <w:rPr>
                <w:rFonts w:ascii="Cambria Math" w:eastAsiaTheme="minorEastAsia" w:hAnsi="Cambria Math" w:cs="Arial"/>
                <w:sz w:val="22"/>
                <w:szCs w:val="22"/>
              </w:rPr>
              <m:t>p</m:t>
            </m:r>
          </m:sub>
        </m:sSub>
      </m:oMath>
      <w:r w:rsidR="002A34C7" w:rsidRPr="006736D7">
        <w:rPr>
          <w:rFonts w:ascii="Arial" w:eastAsiaTheme="minorEastAsia" w:hAnsi="Arial" w:cs="Arial"/>
          <w:sz w:val="22"/>
          <w:szCs w:val="22"/>
        </w:rPr>
        <w:tab/>
      </w:r>
      <w:r w:rsidR="002A34C7" w:rsidRPr="006736D7">
        <w:rPr>
          <w:rFonts w:ascii="Arial" w:eastAsiaTheme="minorEastAsia" w:hAnsi="Arial" w:cs="Arial"/>
          <w:sz w:val="22"/>
          <w:szCs w:val="22"/>
        </w:rPr>
        <w:tab/>
      </w:r>
      <w:r w:rsidR="002A34C7" w:rsidRPr="006736D7">
        <w:rPr>
          <w:rFonts w:ascii="Arial" w:eastAsiaTheme="minorEastAsia" w:hAnsi="Arial" w:cs="Arial"/>
          <w:sz w:val="22"/>
          <w:szCs w:val="22"/>
        </w:rPr>
        <w:tab/>
        <w:t>Plastic mass fraction</w:t>
      </w:r>
    </w:p>
    <w:p w14:paraId="3729460D" w14:textId="7C862909" w:rsidR="00BF6D1F" w:rsidRPr="006736D7" w:rsidRDefault="00743A7B"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z</w:t>
      </w:r>
      <w:r w:rsidRPr="006736D7">
        <w:tab/>
      </w:r>
      <w:r w:rsidRPr="006736D7">
        <w:tab/>
      </w:r>
      <w:r w:rsidRPr="006736D7">
        <w:tab/>
      </w:r>
      <w:r w:rsidR="00FC5276">
        <w:t>E</w:t>
      </w:r>
      <w:r w:rsidR="00BF6D1F" w:rsidRPr="006736D7">
        <w:t>levation above the fire base</w:t>
      </w:r>
    </w:p>
    <w:p w14:paraId="7810A16A" w14:textId="74302F3C" w:rsidR="00BF6D1F" w:rsidRPr="006736D7" w:rsidRDefault="00BF6D1F"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6736D7">
        <w:rPr>
          <w:rFonts w:eastAsiaTheme="minorEastAsia"/>
        </w:rPr>
        <w:t>z</w:t>
      </w:r>
      <w:r w:rsidRPr="006736D7">
        <w:rPr>
          <w:rFonts w:eastAsiaTheme="minorEastAsia"/>
          <w:vertAlign w:val="subscript"/>
        </w:rPr>
        <w:t>0</w:t>
      </w:r>
      <w:r w:rsidR="00743A7B" w:rsidRPr="006736D7">
        <w:rPr>
          <w:rFonts w:eastAsiaTheme="minorEastAsia"/>
        </w:rPr>
        <w:tab/>
      </w:r>
      <w:r w:rsidR="00743A7B" w:rsidRPr="006736D7">
        <w:rPr>
          <w:rFonts w:eastAsiaTheme="minorEastAsia"/>
        </w:rPr>
        <w:tab/>
      </w:r>
      <w:r w:rsidR="00743A7B" w:rsidRPr="006736D7">
        <w:rPr>
          <w:rFonts w:eastAsiaTheme="minorEastAsia"/>
        </w:rPr>
        <w:tab/>
      </w:r>
      <w:r w:rsidR="00E63D96">
        <w:rPr>
          <w:rFonts w:eastAsiaTheme="minorEastAsia"/>
        </w:rPr>
        <w:t>E</w:t>
      </w:r>
      <w:r w:rsidRPr="006736D7">
        <w:rPr>
          <w:rFonts w:eastAsiaTheme="minorEastAsia"/>
        </w:rPr>
        <w:t>levation of the virtual orig</w:t>
      </w:r>
      <w:r w:rsidR="00E63D96">
        <w:rPr>
          <w:rFonts w:eastAsiaTheme="minorEastAsia"/>
        </w:rPr>
        <w:t>in of the point source plume</w:t>
      </w:r>
    </w:p>
    <w:p w14:paraId="38F5A1F6" w14:textId="7F5092DC" w:rsidR="00E63D96" w:rsidRPr="006736D7" w:rsidRDefault="00E63D9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ZOI</w:t>
      </w:r>
      <w:r w:rsidRPr="006736D7">
        <w:rPr>
          <w:vertAlign w:val="subscript"/>
        </w:rPr>
        <w:t>rad</w:t>
      </w:r>
      <w:r w:rsidRPr="006736D7">
        <w:tab/>
      </w:r>
      <w:r w:rsidRPr="006736D7">
        <w:tab/>
      </w:r>
      <w:r w:rsidR="00A07639">
        <w:t>R</w:t>
      </w:r>
      <w:r w:rsidRPr="006736D7">
        <w:t>adial ZOI</w:t>
      </w:r>
    </w:p>
    <w:p w14:paraId="1108F0DD" w14:textId="4914CCE8" w:rsidR="00BF6D1F" w:rsidRPr="006736D7" w:rsidRDefault="00BF6D1F"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t>ZOI</w:t>
      </w:r>
      <w:r w:rsidRPr="006736D7">
        <w:rPr>
          <w:vertAlign w:val="subscript"/>
        </w:rPr>
        <w:t>vert</w:t>
      </w:r>
      <w:r w:rsidR="006736D7" w:rsidRPr="006736D7">
        <w:tab/>
      </w:r>
      <w:r w:rsidR="006736D7" w:rsidRPr="006736D7">
        <w:tab/>
      </w:r>
      <w:r w:rsidR="00A07639">
        <w:t>V</w:t>
      </w:r>
      <w:r w:rsidR="006736D7" w:rsidRPr="006736D7">
        <w:t>e</w:t>
      </w:r>
      <w:r w:rsidRPr="006736D7">
        <w:t>rtical ZOI</w:t>
      </w:r>
    </w:p>
    <w:p w14:paraId="09AD82A5" w14:textId="7F9D5315" w:rsidR="00E23611" w:rsidRPr="006736D7" w:rsidRDefault="00E23611"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w:r w:rsidRPr="006736D7">
        <w:rPr>
          <w:rFonts w:ascii="Arial" w:eastAsiaTheme="minorEastAsia" w:hAnsi="Arial" w:cs="Arial"/>
          <w:sz w:val="22"/>
          <w:szCs w:val="22"/>
        </w:rPr>
        <w:sym w:font="Symbol" w:char="F061"/>
      </w:r>
      <w:r w:rsidRPr="006736D7">
        <w:rPr>
          <w:rFonts w:ascii="Arial" w:eastAsiaTheme="minorEastAsia" w:hAnsi="Arial" w:cs="Arial"/>
          <w:sz w:val="22"/>
          <w:szCs w:val="22"/>
        </w:rPr>
        <w:tab/>
      </w:r>
      <w:r w:rsidRPr="006736D7">
        <w:rPr>
          <w:rFonts w:ascii="Arial" w:eastAsiaTheme="minorEastAsia" w:hAnsi="Arial" w:cs="Arial"/>
          <w:sz w:val="22"/>
          <w:szCs w:val="22"/>
        </w:rPr>
        <w:tab/>
      </w:r>
      <w:r w:rsidRPr="006736D7">
        <w:rPr>
          <w:rFonts w:ascii="Arial" w:eastAsiaTheme="minorEastAsia" w:hAnsi="Arial" w:cs="Arial"/>
          <w:sz w:val="22"/>
          <w:szCs w:val="22"/>
        </w:rPr>
        <w:tab/>
      </w:r>
      <w:r>
        <w:rPr>
          <w:rFonts w:ascii="Arial" w:eastAsiaTheme="minorEastAsia" w:hAnsi="Arial" w:cs="Arial"/>
          <w:sz w:val="22"/>
          <w:szCs w:val="22"/>
        </w:rPr>
        <w:t>G</w:t>
      </w:r>
      <w:r w:rsidRPr="006736D7">
        <w:rPr>
          <w:rFonts w:ascii="Arial" w:eastAsiaTheme="minorEastAsia" w:hAnsi="Arial" w:cs="Arial"/>
          <w:sz w:val="22"/>
          <w:szCs w:val="22"/>
        </w:rPr>
        <w:t xml:space="preserve">amma </w:t>
      </w:r>
      <w:r>
        <w:rPr>
          <w:rFonts w:ascii="Arial" w:eastAsiaTheme="minorEastAsia" w:hAnsi="Arial" w:cs="Arial"/>
          <w:sz w:val="22"/>
          <w:szCs w:val="22"/>
        </w:rPr>
        <w:t xml:space="preserve">HRR </w:t>
      </w:r>
      <w:r w:rsidRPr="006736D7">
        <w:rPr>
          <w:rFonts w:ascii="Arial" w:eastAsiaTheme="minorEastAsia" w:hAnsi="Arial" w:cs="Arial"/>
          <w:sz w:val="22"/>
          <w:szCs w:val="22"/>
        </w:rPr>
        <w:t>distribution shape parameter</w:t>
      </w:r>
    </w:p>
    <w:p w14:paraId="6079A997" w14:textId="7D1FFC74" w:rsidR="00E23611" w:rsidRPr="006736D7" w:rsidRDefault="00E23611"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w:r w:rsidRPr="006736D7">
        <w:rPr>
          <w:rFonts w:ascii="Arial" w:eastAsiaTheme="minorEastAsia" w:hAnsi="Arial" w:cs="Arial"/>
          <w:sz w:val="22"/>
          <w:szCs w:val="22"/>
        </w:rPr>
        <w:sym w:font="Symbol" w:char="F062"/>
      </w:r>
      <w:r w:rsidRPr="006736D7">
        <w:rPr>
          <w:rFonts w:ascii="Arial" w:eastAsiaTheme="minorEastAsia" w:hAnsi="Arial" w:cs="Arial"/>
          <w:sz w:val="22"/>
          <w:szCs w:val="22"/>
        </w:rPr>
        <w:tab/>
      </w:r>
      <w:r w:rsidRPr="006736D7">
        <w:rPr>
          <w:rFonts w:ascii="Arial" w:eastAsiaTheme="minorEastAsia" w:hAnsi="Arial" w:cs="Arial"/>
          <w:sz w:val="22"/>
          <w:szCs w:val="22"/>
        </w:rPr>
        <w:tab/>
      </w:r>
      <w:r w:rsidRPr="006736D7">
        <w:rPr>
          <w:rFonts w:ascii="Arial" w:eastAsiaTheme="minorEastAsia" w:hAnsi="Arial" w:cs="Arial"/>
          <w:sz w:val="22"/>
          <w:szCs w:val="22"/>
        </w:rPr>
        <w:tab/>
      </w:r>
      <w:r>
        <w:rPr>
          <w:rFonts w:ascii="Arial" w:eastAsiaTheme="minorEastAsia" w:hAnsi="Arial" w:cs="Arial"/>
          <w:sz w:val="22"/>
          <w:szCs w:val="22"/>
        </w:rPr>
        <w:t>G</w:t>
      </w:r>
      <w:r w:rsidRPr="006736D7">
        <w:rPr>
          <w:rFonts w:ascii="Arial" w:eastAsiaTheme="minorEastAsia" w:hAnsi="Arial" w:cs="Arial"/>
          <w:sz w:val="22"/>
          <w:szCs w:val="22"/>
        </w:rPr>
        <w:t xml:space="preserve">amma </w:t>
      </w:r>
      <w:r>
        <w:rPr>
          <w:rFonts w:ascii="Arial" w:eastAsiaTheme="minorEastAsia" w:hAnsi="Arial" w:cs="Arial"/>
          <w:sz w:val="22"/>
          <w:szCs w:val="22"/>
        </w:rPr>
        <w:t xml:space="preserve">HRR </w:t>
      </w:r>
      <w:r w:rsidRPr="006736D7">
        <w:rPr>
          <w:rFonts w:ascii="Arial" w:eastAsiaTheme="minorEastAsia" w:hAnsi="Arial" w:cs="Arial"/>
          <w:sz w:val="22"/>
          <w:szCs w:val="22"/>
        </w:rPr>
        <w:t>distribution rate (scale) parameter</w:t>
      </w:r>
    </w:p>
    <w:p w14:paraId="06D419EE" w14:textId="000FAEFC" w:rsidR="00AF515C" w:rsidRPr="006736D7" w:rsidRDefault="00FC5276" w:rsidP="009D10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m:oMath>
        <m:r>
          <m:rPr>
            <m:sty m:val="p"/>
          </m:rPr>
          <w:rPr>
            <w:rFonts w:ascii="Cambria Math" w:hAnsi="Cambria Math"/>
          </w:rPr>
          <m:t>δ</m:t>
        </m:r>
      </m:oMath>
      <w:r w:rsidRPr="006736D7">
        <w:tab/>
      </w:r>
      <w:r w:rsidRPr="006736D7">
        <w:tab/>
      </w:r>
      <w:r w:rsidRPr="006736D7">
        <w:tab/>
        <w:t>Fuel spill depth</w:t>
      </w:r>
      <w:r w:rsidR="00AF515C">
        <w:t xml:space="preserve"> (Equation 5)</w:t>
      </w:r>
      <w:r w:rsidR="00A07639">
        <w:t>,</w:t>
      </w:r>
      <w:r w:rsidR="00AF515C">
        <w:t xml:space="preserve"> </w:t>
      </w:r>
      <w:r w:rsidR="00AF515C" w:rsidRPr="006736D7">
        <w:t>thickness of the interior lining (</w:t>
      </w:r>
      <w:r w:rsidR="00AF515C">
        <w:t>Equation 1</w:t>
      </w:r>
      <w:r w:rsidR="007E779C">
        <w:t>4</w:t>
      </w:r>
      <w:r w:rsidR="00AF515C" w:rsidRPr="006736D7">
        <w:t>)</w:t>
      </w:r>
      <w:r w:rsidR="009D10C1">
        <w:t>, or model bias (Section 06.03)</w:t>
      </w:r>
    </w:p>
    <w:p w14:paraId="0FA85F17" w14:textId="64B405C8" w:rsidR="001E3E8F" w:rsidRPr="006736D7" w:rsidRDefault="001E3E8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ΔCDF</w:t>
      </w:r>
      <w:r w:rsidRPr="006736D7">
        <w:rPr>
          <w:rFonts w:cs="Arial"/>
        </w:rPr>
        <w:tab/>
      </w:r>
      <w:r w:rsidRPr="006736D7">
        <w:rPr>
          <w:rFonts w:cs="Arial"/>
        </w:rPr>
        <w:tab/>
        <w:t>Estimated change in CDF (a subscript indicate the specific analysis step during which the CDF change has been calculated and implies the level of detail incorporated into the change estimate)</w:t>
      </w:r>
    </w:p>
    <w:p w14:paraId="4954AD7A" w14:textId="77777777" w:rsidR="001E3E8F" w:rsidRPr="006736D7" w:rsidRDefault="001E3E8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sym w:font="Symbol" w:char="F044"/>
      </w:r>
      <w:r w:rsidRPr="006736D7">
        <w:t>h</w:t>
      </w:r>
      <w:r w:rsidRPr="006736D7">
        <w:rPr>
          <w:vertAlign w:val="subscript"/>
        </w:rPr>
        <w:t>c,eff</w:t>
      </w:r>
      <w:r w:rsidRPr="006736D7">
        <w:tab/>
      </w:r>
      <w:r w:rsidRPr="006736D7">
        <w:tab/>
        <w:t>Effective heat of combustion</w:t>
      </w:r>
    </w:p>
    <w:p w14:paraId="0A21B4C2" w14:textId="614D3AB5" w:rsidR="001E3E8F" w:rsidRPr="006736D7" w:rsidRDefault="001E3E8F" w:rsidP="006E19C1">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eastAsiaTheme="minorEastAsia" w:hAnsi="Arial" w:cs="Arial"/>
          <w:sz w:val="22"/>
          <w:szCs w:val="22"/>
        </w:rPr>
      </w:pPr>
      <m:oMath>
        <m:r>
          <m:rPr>
            <m:sty m:val="p"/>
          </m:rPr>
          <w:rPr>
            <w:rFonts w:ascii="Cambria Math" w:eastAsiaTheme="minorEastAsia" w:hAnsi="Cambria Math" w:cs="Arial"/>
            <w:sz w:val="22"/>
            <w:szCs w:val="22"/>
          </w:rPr>
          <m:t>∆</m:t>
        </m:r>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H</m:t>
            </m:r>
          </m:e>
          <m:sub>
            <m:r>
              <m:rPr>
                <m:sty m:val="p"/>
              </m:rPr>
              <w:rPr>
                <w:rFonts w:ascii="Cambria Math" w:eastAsiaTheme="minorEastAsia" w:hAnsi="Cambria Math" w:cs="Arial"/>
                <w:sz w:val="22"/>
                <w:szCs w:val="22"/>
              </w:rPr>
              <m:t>v</m:t>
            </m:r>
          </m:sub>
        </m:sSub>
      </m:oMath>
      <w:r w:rsidRPr="006736D7">
        <w:rPr>
          <w:rFonts w:ascii="Arial" w:eastAsiaTheme="minorEastAsia" w:hAnsi="Arial" w:cs="Arial"/>
          <w:sz w:val="22"/>
          <w:szCs w:val="22"/>
        </w:rPr>
        <w:tab/>
      </w:r>
      <w:r w:rsidR="00AF515C">
        <w:rPr>
          <w:rFonts w:ascii="Arial" w:eastAsiaTheme="minorEastAsia" w:hAnsi="Arial" w:cs="Arial"/>
          <w:sz w:val="22"/>
          <w:szCs w:val="22"/>
        </w:rPr>
        <w:tab/>
      </w:r>
      <w:r w:rsidRPr="006736D7">
        <w:rPr>
          <w:rFonts w:ascii="Arial" w:eastAsiaTheme="minorEastAsia" w:hAnsi="Arial" w:cs="Arial"/>
          <w:sz w:val="22"/>
          <w:szCs w:val="22"/>
        </w:rPr>
        <w:t>Heat of combustion of the fuel volatiles</w:t>
      </w:r>
    </w:p>
    <w:p w14:paraId="508FFD08" w14:textId="0D636B49" w:rsidR="001E3E8F" w:rsidRPr="006736D7" w:rsidRDefault="001E3E8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Δt</w:t>
      </w:r>
      <w:r w:rsidRPr="006736D7">
        <w:rPr>
          <w:rFonts w:cs="Arial"/>
        </w:rPr>
        <w:tab/>
      </w:r>
      <w:r w:rsidRPr="006736D7">
        <w:rPr>
          <w:rFonts w:cs="Arial"/>
        </w:rPr>
        <w:tab/>
      </w:r>
      <w:r w:rsidRPr="006736D7">
        <w:rPr>
          <w:rFonts w:cs="Arial"/>
        </w:rPr>
        <w:tab/>
        <w:t>Electrical cable burning duration</w:t>
      </w:r>
    </w:p>
    <w:p w14:paraId="58C55C55" w14:textId="77777777" w:rsidR="001E3E8F" w:rsidRPr="006736D7" w:rsidRDefault="001E3E8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Δt</w:t>
      </w:r>
      <w:r w:rsidRPr="006736D7">
        <w:rPr>
          <w:rFonts w:cs="Arial"/>
          <w:vertAlign w:val="subscript"/>
        </w:rPr>
        <w:t>decay</w:t>
      </w:r>
      <w:r w:rsidRPr="006736D7">
        <w:rPr>
          <w:rFonts w:cs="Arial"/>
        </w:rPr>
        <w:tab/>
      </w:r>
      <w:r w:rsidRPr="006736D7">
        <w:rPr>
          <w:rFonts w:cs="Arial"/>
        </w:rPr>
        <w:tab/>
        <w:t>Duration of ignition source HRR decay period</w:t>
      </w:r>
    </w:p>
    <w:p w14:paraId="26740079" w14:textId="77777777" w:rsidR="001E3E8F" w:rsidRPr="006736D7" w:rsidRDefault="001E3E8F" w:rsidP="006E19C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rPr>
      </w:pPr>
      <w:r w:rsidRPr="006736D7">
        <w:rPr>
          <w:rFonts w:cs="Arial"/>
        </w:rPr>
        <w:t>Δt</w:t>
      </w:r>
      <w:r w:rsidRPr="006736D7">
        <w:rPr>
          <w:rFonts w:cs="Arial"/>
          <w:vertAlign w:val="subscript"/>
        </w:rPr>
        <w:t>steady</w:t>
      </w:r>
      <w:r w:rsidRPr="006736D7">
        <w:rPr>
          <w:rFonts w:cs="Arial"/>
        </w:rPr>
        <w:tab/>
      </w:r>
      <w:r w:rsidRPr="006736D7">
        <w:rPr>
          <w:rFonts w:cs="Arial"/>
        </w:rPr>
        <w:tab/>
        <w:t>Duration of ignition source peak burning period</w:t>
      </w:r>
    </w:p>
    <w:p w14:paraId="2B27BC71" w14:textId="16721A88" w:rsidR="00E63D96" w:rsidRPr="006736D7" w:rsidRDefault="00E63D9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sym w:font="Symbol" w:char="F044"/>
      </w:r>
      <w:r w:rsidRPr="006736D7">
        <w:t>T</w:t>
      </w:r>
      <w:r w:rsidRPr="006736D7">
        <w:rPr>
          <w:vertAlign w:val="subscript"/>
        </w:rPr>
        <w:t>g</w:t>
      </w:r>
      <w:r w:rsidRPr="006736D7">
        <w:tab/>
      </w:r>
      <w:r w:rsidRPr="006736D7">
        <w:tab/>
        <w:t>HGL temperature rise above ambient, T</w:t>
      </w:r>
      <w:r w:rsidRPr="006736D7">
        <w:rPr>
          <w:vertAlign w:val="subscript"/>
        </w:rPr>
        <w:t>g</w:t>
      </w:r>
      <w:r w:rsidRPr="006736D7">
        <w:t xml:space="preserve"> - T</w:t>
      </w:r>
      <w:r w:rsidRPr="006736D7">
        <w:rPr>
          <w:vertAlign w:val="subscript"/>
        </w:rPr>
        <w:t>a</w:t>
      </w:r>
    </w:p>
    <w:p w14:paraId="2BB95EF2" w14:textId="597E0C7A" w:rsidR="00A539B2" w:rsidRPr="006736D7" w:rsidRDefault="00A539B2"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sym w:font="Symbol" w:char="F072"/>
      </w:r>
      <w:r w:rsidRPr="006736D7">
        <w:tab/>
      </w:r>
      <w:r w:rsidRPr="006736D7">
        <w:tab/>
      </w:r>
      <w:r w:rsidRPr="006736D7">
        <w:tab/>
      </w:r>
      <w:r>
        <w:t>D</w:t>
      </w:r>
      <w:r w:rsidRPr="006736D7">
        <w:t>ensity of the interior lining</w:t>
      </w:r>
    </w:p>
    <w:p w14:paraId="6EF8F4D6" w14:textId="10B845A0" w:rsidR="00FC5276" w:rsidRPr="006736D7" w:rsidRDefault="00FC5276"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736D7">
        <w:sym w:font="Symbol" w:char="F072"/>
      </w:r>
      <w:r w:rsidRPr="006736D7">
        <w:rPr>
          <w:vertAlign w:val="subscript"/>
        </w:rPr>
        <w:t>a</w:t>
      </w:r>
      <w:r w:rsidRPr="006736D7">
        <w:tab/>
      </w:r>
      <w:r w:rsidRPr="006736D7">
        <w:tab/>
      </w:r>
      <w:r w:rsidRPr="006736D7">
        <w:tab/>
      </w:r>
      <w:r>
        <w:t>D</w:t>
      </w:r>
      <w:r w:rsidRPr="006736D7">
        <w:t>ensity of ambient air at temperature T</w:t>
      </w:r>
      <w:r w:rsidRPr="006736D7">
        <w:rPr>
          <w:vertAlign w:val="subscript"/>
        </w:rPr>
        <w:t>a</w:t>
      </w:r>
    </w:p>
    <w:p w14:paraId="52D1AF1E" w14:textId="7773EEB0" w:rsidR="009D10C1" w:rsidRDefault="009D10C1"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sym w:font="Symbol" w:char="F073"/>
      </w:r>
      <w:r>
        <w:tab/>
      </w:r>
      <w:r>
        <w:tab/>
      </w:r>
      <w:r>
        <w:tab/>
        <w:t>Model uncertainty (one standard deviation)</w:t>
      </w:r>
    </w:p>
    <w:p w14:paraId="57C24F22" w14:textId="77C81B71" w:rsidR="00E63D96" w:rsidRPr="006736D7" w:rsidRDefault="00B9252A" w:rsidP="006E19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m:oMath>
        <m:sSub>
          <m:sSubPr>
            <m:ctrlPr>
              <w:rPr>
                <w:rFonts w:ascii="Cambria Math" w:hAnsi="Cambria Math"/>
              </w:rPr>
            </m:ctrlPr>
          </m:sSubPr>
          <m:e>
            <m:r>
              <m:rPr>
                <m:sty m:val="p"/>
              </m:rPr>
              <w:rPr>
                <w:rFonts w:ascii="Cambria Math" w:hAnsi="Cambria Math"/>
              </w:rPr>
              <m:t>χ</m:t>
            </m:r>
          </m:e>
          <m:sub>
            <m:r>
              <m:rPr>
                <m:sty m:val="p"/>
              </m:rPr>
              <w:rPr>
                <w:rFonts w:ascii="Cambria Math" w:hAnsi="Cambria Math"/>
              </w:rPr>
              <m:t>r</m:t>
            </m:r>
          </m:sub>
        </m:sSub>
      </m:oMath>
      <w:r w:rsidR="00E63D96" w:rsidRPr="006736D7">
        <w:tab/>
      </w:r>
      <w:r w:rsidR="00E63D96" w:rsidRPr="006736D7">
        <w:tab/>
      </w:r>
      <w:r w:rsidR="00E63D96" w:rsidRPr="006736D7">
        <w:tab/>
      </w:r>
      <w:r w:rsidR="00E63D96">
        <w:t>R</w:t>
      </w:r>
      <w:r w:rsidR="00E63D96" w:rsidRPr="006736D7">
        <w:t>adiative fraction</w:t>
      </w:r>
    </w:p>
    <w:p w14:paraId="06F643CE" w14:textId="77777777" w:rsidR="00BF6D1F" w:rsidRDefault="00BF6D1F"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14AD17" w14:textId="556661EC" w:rsidR="00B27F2A" w:rsidRDefault="00B27F2A" w:rsidP="00B43D79">
      <w:pPr>
        <w:pStyle w:val="Heading2"/>
        <w:keepNext/>
        <w:keepLines/>
        <w:ind w:hanging="1166"/>
      </w:pPr>
      <w:bookmarkStart w:id="20" w:name="_Toc481265355"/>
      <w:bookmarkStart w:id="21" w:name="_Toc511060842"/>
      <w:r>
        <w:t>Definitions</w:t>
      </w:r>
      <w:bookmarkEnd w:id="20"/>
      <w:bookmarkEnd w:id="21"/>
    </w:p>
    <w:p w14:paraId="36C642E6" w14:textId="77777777" w:rsidR="00BA3225" w:rsidRDefault="00BA3225" w:rsidP="0034587C">
      <w:pPr>
        <w:keepNext/>
        <w:keepLines/>
      </w:pPr>
    </w:p>
    <w:p w14:paraId="7C92FB8D" w14:textId="17C1617A" w:rsidR="00A608D1" w:rsidRDefault="00A608D1" w:rsidP="0034587C">
      <w:pPr>
        <w:keepNext/>
        <w:keepLines/>
        <w:widowControl/>
        <w:rPr>
          <w:rFonts w:cs="Arial"/>
        </w:rPr>
      </w:pPr>
      <w:r w:rsidRPr="00C70CAC">
        <w:rPr>
          <w:rFonts w:cs="Arial"/>
          <w:u w:val="single"/>
        </w:rPr>
        <w:t>Alternative Shutdown (or Alternate Shutdown)</w:t>
      </w:r>
      <w:r w:rsidRPr="002E5489">
        <w:rPr>
          <w:rFonts w:cs="Arial"/>
        </w:rPr>
        <w:t>:</w:t>
      </w:r>
      <w:r w:rsidRPr="00C70CAC">
        <w:rPr>
          <w:rFonts w:cs="Arial"/>
        </w:rPr>
        <w:t xml:space="preserve">  The capability to safely shut down the reactor in the event of a fire using existing systems that have been rerouted, relocated, or modified.  </w:t>
      </w:r>
      <w:r w:rsidR="00BA3225">
        <w:rPr>
          <w:rFonts w:cs="Arial"/>
        </w:rPr>
        <w:t>A</w:t>
      </w:r>
      <w:r w:rsidR="00BA3225" w:rsidRPr="00BA3225">
        <w:rPr>
          <w:rFonts w:cs="Arial"/>
        </w:rPr>
        <w:t xml:space="preserve"> distinction </w:t>
      </w:r>
      <w:r w:rsidR="00BA3225">
        <w:rPr>
          <w:rFonts w:cs="Arial"/>
        </w:rPr>
        <w:t xml:space="preserve">is made </w:t>
      </w:r>
      <w:r w:rsidR="00BA3225" w:rsidRPr="00BA3225">
        <w:rPr>
          <w:rFonts w:cs="Arial"/>
        </w:rPr>
        <w:t>between shutdown outside the MCR that can be accomplished at a single location via a dedicated shutdown panel v</w:t>
      </w:r>
      <w:r w:rsidR="00BA3225">
        <w:rPr>
          <w:rFonts w:cs="Arial"/>
        </w:rPr>
        <w:t>ersus</w:t>
      </w:r>
      <w:r w:rsidR="00BA3225" w:rsidRPr="00BA3225">
        <w:rPr>
          <w:rFonts w:cs="Arial"/>
        </w:rPr>
        <w:t xml:space="preserve"> the need to travel to various locations around the plant to perform actions at various components themselves</w:t>
      </w:r>
      <w:r w:rsidR="00BA3225">
        <w:rPr>
          <w:rFonts w:cs="Arial"/>
        </w:rPr>
        <w:t>.  T</w:t>
      </w:r>
      <w:r w:rsidR="00BA3225" w:rsidRPr="00BA3225">
        <w:rPr>
          <w:rFonts w:cs="Arial"/>
        </w:rPr>
        <w:t>he former typically gets credit in fire PRAs while the latter, if it does, suffers from higher human error probabilities than under non-fire conditions.</w:t>
      </w:r>
      <w:r w:rsidR="00BA3225">
        <w:rPr>
          <w:rFonts w:cs="Arial"/>
        </w:rPr>
        <w:t xml:space="preserve">  </w:t>
      </w:r>
      <w:r w:rsidRPr="00C70CAC">
        <w:rPr>
          <w:rFonts w:cs="Arial"/>
        </w:rPr>
        <w:t xml:space="preserve">See also: </w:t>
      </w:r>
      <w:r w:rsidRPr="00C70CAC">
        <w:rPr>
          <w:rFonts w:cs="Arial"/>
          <w:i/>
          <w:iCs/>
        </w:rPr>
        <w:t>Remote Shutdown</w:t>
      </w:r>
      <w:r w:rsidRPr="00C70CAC">
        <w:rPr>
          <w:rFonts w:cs="Arial"/>
        </w:rPr>
        <w:t>. (RG 1.189</w:t>
      </w:r>
      <w:r w:rsidR="00EB7048">
        <w:rPr>
          <w:rFonts w:cs="Arial"/>
        </w:rPr>
        <w:t xml:space="preserve"> (Reference 7)</w:t>
      </w:r>
      <w:r w:rsidRPr="00C70CAC">
        <w:rPr>
          <w:rFonts w:cs="Arial"/>
        </w:rPr>
        <w:t>)</w:t>
      </w:r>
    </w:p>
    <w:p w14:paraId="16DA7864" w14:textId="2F5FA44A" w:rsidR="00A608D1" w:rsidRDefault="00A608D1" w:rsidP="00AE10AB">
      <w:pPr>
        <w:widowControl/>
        <w:rPr>
          <w:rFonts w:cs="Arial"/>
        </w:rPr>
      </w:pPr>
    </w:p>
    <w:p w14:paraId="032E85DA" w14:textId="26EE7CAF" w:rsidR="003140EE" w:rsidRDefault="003140EE" w:rsidP="00B34D0E">
      <w:pPr>
        <w:widowControl/>
        <w:rPr>
          <w:rFonts w:cs="Arial"/>
        </w:rPr>
      </w:pPr>
      <w:r w:rsidRPr="00B67341">
        <w:rPr>
          <w:rFonts w:cs="Arial"/>
          <w:u w:val="single"/>
        </w:rPr>
        <w:t>Cable</w:t>
      </w:r>
      <w:r w:rsidRPr="002E5489">
        <w:rPr>
          <w:rFonts w:cs="Arial"/>
        </w:rPr>
        <w:t>:</w:t>
      </w:r>
      <w:r>
        <w:rPr>
          <w:rFonts w:cs="Arial"/>
        </w:rPr>
        <w:t xml:space="preserve"> </w:t>
      </w:r>
      <w:r w:rsidR="00B34D0E" w:rsidRPr="00B34D0E">
        <w:rPr>
          <w:rFonts w:cs="Arial"/>
        </w:rPr>
        <w:t>In the context of Fire PRA, the term cable refers to assemblies designed</w:t>
      </w:r>
      <w:r w:rsidR="00B34D0E">
        <w:rPr>
          <w:rFonts w:cs="Arial"/>
        </w:rPr>
        <w:t xml:space="preserve"> </w:t>
      </w:r>
      <w:r w:rsidR="00B34D0E" w:rsidRPr="00B34D0E">
        <w:rPr>
          <w:rFonts w:cs="Arial"/>
        </w:rPr>
        <w:t>to conduct electrical current. Hence, a cable is an assembly of one</w:t>
      </w:r>
      <w:r w:rsidR="00B34D0E">
        <w:rPr>
          <w:rFonts w:cs="Arial"/>
        </w:rPr>
        <w:t xml:space="preserve"> </w:t>
      </w:r>
      <w:r w:rsidR="00B34D0E" w:rsidRPr="00B34D0E">
        <w:rPr>
          <w:rFonts w:cs="Arial"/>
        </w:rPr>
        <w:t>(single-conductor cable) or more (multi-conductor cable) insulated</w:t>
      </w:r>
      <w:r w:rsidR="00B34D0E">
        <w:rPr>
          <w:rFonts w:cs="Arial"/>
        </w:rPr>
        <w:t xml:space="preserve"> </w:t>
      </w:r>
      <w:r w:rsidR="00B34D0E" w:rsidRPr="00B34D0E">
        <w:rPr>
          <w:rFonts w:cs="Arial"/>
        </w:rPr>
        <w:t>electrical conductors (generally copper or aluminum) that may or may not</w:t>
      </w:r>
      <w:r w:rsidR="00B34D0E">
        <w:rPr>
          <w:rFonts w:cs="Arial"/>
        </w:rPr>
        <w:t xml:space="preserve"> </w:t>
      </w:r>
      <w:r w:rsidR="00B34D0E" w:rsidRPr="00B34D0E">
        <w:rPr>
          <w:rFonts w:cs="Arial"/>
        </w:rPr>
        <w:t>be surrounded by an outer jacket. (This definition excludes fiber-optic type</w:t>
      </w:r>
      <w:r w:rsidR="00B34D0E">
        <w:rPr>
          <w:rFonts w:cs="Arial"/>
        </w:rPr>
        <w:t xml:space="preserve"> </w:t>
      </w:r>
      <w:r w:rsidR="00B34D0E" w:rsidRPr="00B34D0E">
        <w:rPr>
          <w:rFonts w:cs="Arial"/>
        </w:rPr>
        <w:t>cables.)</w:t>
      </w:r>
      <w:r>
        <w:rPr>
          <w:rFonts w:cs="Arial"/>
        </w:rPr>
        <w:t xml:space="preserve"> (NUREG</w:t>
      </w:r>
      <w:r w:rsidR="00B34D0E">
        <w:rPr>
          <w:rFonts w:cs="Arial"/>
        </w:rPr>
        <w:t>/CR</w:t>
      </w:r>
      <w:r>
        <w:rPr>
          <w:rFonts w:cs="Arial"/>
        </w:rPr>
        <w:t>-</w:t>
      </w:r>
      <w:r w:rsidR="00B34D0E">
        <w:rPr>
          <w:rFonts w:cs="Arial"/>
        </w:rPr>
        <w:t>6850, Vol. 2</w:t>
      </w:r>
      <w:r w:rsidR="00A24E94">
        <w:rPr>
          <w:rFonts w:cs="Arial"/>
        </w:rPr>
        <w:t xml:space="preserve"> (Reference 8)</w:t>
      </w:r>
      <w:r>
        <w:rPr>
          <w:rFonts w:cs="Arial"/>
        </w:rPr>
        <w:t>)</w:t>
      </w:r>
    </w:p>
    <w:p w14:paraId="25B644A3" w14:textId="44BCE2EE" w:rsidR="00B34D0E" w:rsidRDefault="00B34D0E" w:rsidP="00B34D0E">
      <w:pPr>
        <w:widowControl/>
        <w:rPr>
          <w:rFonts w:cs="Arial"/>
        </w:rPr>
      </w:pPr>
    </w:p>
    <w:p w14:paraId="1D5A94C9" w14:textId="0031DEFA" w:rsidR="00B34D0E" w:rsidRDefault="00B34D0E" w:rsidP="00B34D0E">
      <w:pPr>
        <w:widowControl/>
        <w:rPr>
          <w:rFonts w:cs="Arial"/>
        </w:rPr>
      </w:pPr>
      <w:r w:rsidRPr="00B67341">
        <w:rPr>
          <w:rFonts w:cs="Arial"/>
          <w:u w:val="single"/>
        </w:rPr>
        <w:t>Cable Failure</w:t>
      </w:r>
      <w:r w:rsidRPr="002E5489">
        <w:rPr>
          <w:rFonts w:cs="Arial"/>
        </w:rPr>
        <w:t>:</w:t>
      </w:r>
      <w:r w:rsidR="002E5489">
        <w:rPr>
          <w:rFonts w:cs="Arial"/>
        </w:rPr>
        <w:t xml:space="preserve"> </w:t>
      </w:r>
      <w:r>
        <w:rPr>
          <w:rFonts w:cs="Arial"/>
        </w:rPr>
        <w:t xml:space="preserve"> </w:t>
      </w:r>
      <w:r w:rsidRPr="00B34D0E">
        <w:rPr>
          <w:rFonts w:cs="Arial"/>
        </w:rPr>
        <w:t>A condition whereby the affected (or failed) cable is no longer able to</w:t>
      </w:r>
      <w:r>
        <w:rPr>
          <w:rFonts w:cs="Arial"/>
        </w:rPr>
        <w:t xml:space="preserve"> </w:t>
      </w:r>
      <w:r w:rsidRPr="00B34D0E">
        <w:rPr>
          <w:rFonts w:cs="Arial"/>
        </w:rPr>
        <w:t>perform its intended function.</w:t>
      </w:r>
      <w:r>
        <w:rPr>
          <w:rFonts w:cs="Arial"/>
        </w:rPr>
        <w:t xml:space="preserve"> (</w:t>
      </w:r>
      <w:r w:rsidR="00A24E94">
        <w:rPr>
          <w:rFonts w:cs="Arial"/>
        </w:rPr>
        <w:t>Reference 8</w:t>
      </w:r>
      <w:r>
        <w:rPr>
          <w:rFonts w:cs="Arial"/>
        </w:rPr>
        <w:t>)</w:t>
      </w:r>
    </w:p>
    <w:p w14:paraId="2BC75E10" w14:textId="7BC336C4" w:rsidR="00B34D0E" w:rsidRDefault="00B34D0E" w:rsidP="00B34D0E">
      <w:pPr>
        <w:widowControl/>
        <w:rPr>
          <w:rFonts w:cs="Arial"/>
        </w:rPr>
      </w:pPr>
    </w:p>
    <w:p w14:paraId="0B18F731" w14:textId="7452E5B5" w:rsidR="00B34D0E" w:rsidRPr="00B67341" w:rsidRDefault="00B34D0E" w:rsidP="00B34D0E">
      <w:pPr>
        <w:widowControl/>
        <w:rPr>
          <w:rFonts w:cs="Arial"/>
        </w:rPr>
      </w:pPr>
      <w:r>
        <w:rPr>
          <w:rFonts w:cs="Arial"/>
          <w:u w:val="single"/>
        </w:rPr>
        <w:t>Cable Failure Mode</w:t>
      </w:r>
      <w:r w:rsidRPr="002E5489">
        <w:rPr>
          <w:rFonts w:cs="Arial"/>
        </w:rPr>
        <w:t>:</w:t>
      </w:r>
      <w:r w:rsidR="002E5489">
        <w:rPr>
          <w:rFonts w:cs="Arial"/>
        </w:rPr>
        <w:t xml:space="preserve"> </w:t>
      </w:r>
      <w:r w:rsidRPr="00B67341">
        <w:rPr>
          <w:rFonts w:cs="Arial"/>
        </w:rPr>
        <w:t xml:space="preserve"> The mode by which a wire or conductor fails. Three principle failure modes are defined: open circuit, ground fault (short-to-ground), and hot short. (</w:t>
      </w:r>
      <w:r w:rsidR="00A24E94">
        <w:rPr>
          <w:rFonts w:cs="Arial"/>
        </w:rPr>
        <w:t>Reference 8</w:t>
      </w:r>
      <w:r w:rsidRPr="00B67341">
        <w:rPr>
          <w:rFonts w:cs="Arial"/>
        </w:rPr>
        <w:t>)</w:t>
      </w:r>
    </w:p>
    <w:p w14:paraId="01C597FF" w14:textId="44FC83D3" w:rsidR="004E2033" w:rsidRDefault="004E2033" w:rsidP="00B34D0E">
      <w:pPr>
        <w:widowControl/>
        <w:rPr>
          <w:rFonts w:cs="Arial"/>
          <w:u w:val="single"/>
        </w:rPr>
      </w:pPr>
    </w:p>
    <w:p w14:paraId="265A0378" w14:textId="55C77F66" w:rsidR="004E2033" w:rsidRPr="00B67341" w:rsidRDefault="004E2033" w:rsidP="004E2033">
      <w:pPr>
        <w:widowControl/>
        <w:rPr>
          <w:rFonts w:cs="Arial"/>
        </w:rPr>
      </w:pPr>
      <w:r w:rsidRPr="00B67341">
        <w:rPr>
          <w:rFonts w:cs="Arial"/>
          <w:u w:val="single"/>
        </w:rPr>
        <w:t>Ceiling Jet</w:t>
      </w:r>
      <w:r w:rsidRPr="002E5489">
        <w:rPr>
          <w:rFonts w:cs="Arial"/>
        </w:rPr>
        <w:t>:</w:t>
      </w:r>
      <w:r w:rsidRPr="00B67341">
        <w:rPr>
          <w:rFonts w:cs="Arial"/>
        </w:rPr>
        <w:t xml:space="preserve"> </w:t>
      </w:r>
      <w:r w:rsidR="002E5489">
        <w:rPr>
          <w:rFonts w:cs="Arial"/>
        </w:rPr>
        <w:t xml:space="preserve"> </w:t>
      </w:r>
      <w:r w:rsidRPr="00B67341">
        <w:rPr>
          <w:rFonts w:cs="Arial"/>
        </w:rPr>
        <w:t>Refers to the relatively rapid gas flow in a shallow layer beneath the ceiling surface that is driven by the buoyancy of hot combustion products. Ceiling jets form when a fire plume impinges under a ceiling and hot gases spread away. (</w:t>
      </w:r>
      <w:r w:rsidR="00A24E94">
        <w:rPr>
          <w:rFonts w:cs="Arial"/>
        </w:rPr>
        <w:t>Reference 8</w:t>
      </w:r>
      <w:r w:rsidRPr="00B67341">
        <w:rPr>
          <w:rFonts w:cs="Arial"/>
        </w:rPr>
        <w:t>)</w:t>
      </w:r>
    </w:p>
    <w:p w14:paraId="1E8613E5" w14:textId="5EE3B44A" w:rsidR="004E2033" w:rsidRDefault="004E2033" w:rsidP="004E2033">
      <w:pPr>
        <w:widowControl/>
        <w:rPr>
          <w:rFonts w:cs="Arial"/>
          <w:u w:val="single"/>
        </w:rPr>
      </w:pPr>
    </w:p>
    <w:p w14:paraId="608860DC" w14:textId="1DE24252" w:rsidR="004E2033" w:rsidRDefault="004E2033" w:rsidP="004E2033">
      <w:pPr>
        <w:widowControl/>
        <w:rPr>
          <w:rFonts w:cs="Arial"/>
          <w:u w:val="single"/>
        </w:rPr>
      </w:pPr>
      <w:r w:rsidRPr="00B67341">
        <w:rPr>
          <w:rFonts w:cs="Arial"/>
          <w:u w:val="single"/>
        </w:rPr>
        <w:t>Circuit Analysis</w:t>
      </w:r>
      <w:r w:rsidRPr="002E5489">
        <w:rPr>
          <w:rFonts w:cs="Arial"/>
        </w:rPr>
        <w:t>:</w:t>
      </w:r>
      <w:r w:rsidRPr="00B67341">
        <w:rPr>
          <w:rFonts w:cs="Arial"/>
        </w:rPr>
        <w:t xml:space="preserve"> </w:t>
      </w:r>
      <w:r w:rsidR="002E5489">
        <w:rPr>
          <w:rFonts w:cs="Arial"/>
        </w:rPr>
        <w:t xml:space="preserve"> </w:t>
      </w:r>
      <w:r w:rsidRPr="00B67341">
        <w:rPr>
          <w:rFonts w:cs="Arial"/>
        </w:rPr>
        <w:t>The process of identifying cables and circuits that, if damaged by fire, could prevent a Fire PRA component from operating correctly. (</w:t>
      </w:r>
      <w:r w:rsidR="00A24E94">
        <w:rPr>
          <w:rFonts w:cs="Arial"/>
        </w:rPr>
        <w:t>Reference 8</w:t>
      </w:r>
      <w:r w:rsidRPr="00B67341">
        <w:rPr>
          <w:rFonts w:cs="Arial"/>
        </w:rPr>
        <w:t>)</w:t>
      </w:r>
    </w:p>
    <w:p w14:paraId="778B1E53" w14:textId="0FAA81A8" w:rsidR="004E2033" w:rsidRDefault="004E2033" w:rsidP="004E2033">
      <w:pPr>
        <w:widowControl/>
        <w:rPr>
          <w:rFonts w:cs="Arial"/>
          <w:u w:val="single"/>
        </w:rPr>
      </w:pPr>
    </w:p>
    <w:p w14:paraId="2B150F63" w14:textId="5EC09121" w:rsidR="004E2033" w:rsidRPr="004E2033" w:rsidRDefault="004E2033" w:rsidP="004E2033">
      <w:pPr>
        <w:widowControl/>
        <w:rPr>
          <w:rFonts w:cs="Arial"/>
        </w:rPr>
      </w:pPr>
      <w:r w:rsidRPr="00B67341">
        <w:rPr>
          <w:rFonts w:cs="Arial"/>
          <w:u w:val="single"/>
        </w:rPr>
        <w:t>Circuit Failure Mode</w:t>
      </w:r>
      <w:r w:rsidRPr="002E5489">
        <w:rPr>
          <w:rFonts w:cs="Arial"/>
        </w:rPr>
        <w:t>:</w:t>
      </w:r>
      <w:r>
        <w:rPr>
          <w:rFonts w:cs="Arial"/>
        </w:rPr>
        <w:t xml:space="preserve"> </w:t>
      </w:r>
      <w:r w:rsidR="002E5489">
        <w:rPr>
          <w:rFonts w:cs="Arial"/>
        </w:rPr>
        <w:t xml:space="preserve"> </w:t>
      </w:r>
      <w:r w:rsidRPr="004E2033">
        <w:rPr>
          <w:rFonts w:cs="Arial"/>
        </w:rPr>
        <w:t>The manner in which a conductor fault is manifested in the circuit. Circuit</w:t>
      </w:r>
    </w:p>
    <w:p w14:paraId="1B3CB0EC" w14:textId="55D7DC2A" w:rsidR="004E2033" w:rsidRPr="004E2033" w:rsidRDefault="004E2033" w:rsidP="004E2033">
      <w:pPr>
        <w:widowControl/>
        <w:rPr>
          <w:rFonts w:cs="Arial"/>
        </w:rPr>
      </w:pPr>
      <w:r w:rsidRPr="004E2033">
        <w:rPr>
          <w:rFonts w:cs="Arial"/>
        </w:rPr>
        <w:t>failure modes include loss of motive power, loss of control, loss of or false</w:t>
      </w:r>
      <w:r>
        <w:rPr>
          <w:rFonts w:cs="Arial"/>
        </w:rPr>
        <w:t xml:space="preserve"> </w:t>
      </w:r>
      <w:r w:rsidRPr="004E2033">
        <w:rPr>
          <w:rFonts w:cs="Arial"/>
        </w:rPr>
        <w:t>indication, open circuit conditions (e.g., a blown fuse or open circuit</w:t>
      </w:r>
      <w:r>
        <w:rPr>
          <w:rFonts w:cs="Arial"/>
        </w:rPr>
        <w:t xml:space="preserve"> </w:t>
      </w:r>
      <w:r w:rsidRPr="004E2033">
        <w:rPr>
          <w:rFonts w:cs="Arial"/>
        </w:rPr>
        <w:t>protective device), and spurious operation.</w:t>
      </w:r>
    </w:p>
    <w:p w14:paraId="5B015FB8" w14:textId="77777777" w:rsidR="003140EE" w:rsidRPr="00C70CAC" w:rsidRDefault="003140EE" w:rsidP="00AE10AB">
      <w:pPr>
        <w:widowControl/>
        <w:rPr>
          <w:rFonts w:cs="Arial"/>
        </w:rPr>
      </w:pPr>
    </w:p>
    <w:p w14:paraId="538F6AFD" w14:textId="014FFFA0"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Compensatory Measure</w:t>
      </w:r>
      <w:r w:rsidRPr="002E5489">
        <w:rPr>
          <w:rFonts w:cs="Arial"/>
        </w:rPr>
        <w:t>:</w:t>
      </w:r>
      <w:r w:rsidRPr="00C70CAC">
        <w:rPr>
          <w:rFonts w:cs="Arial"/>
        </w:rPr>
        <w:t xml:space="preserve">  Actions taken by a licensee to mitigate the potential impact of a known degradation of defense in depth</w:t>
      </w:r>
      <w:r w:rsidR="009A0522">
        <w:rPr>
          <w:rFonts w:cs="Arial"/>
        </w:rPr>
        <w:t xml:space="preserve"> (DID)</w:t>
      </w:r>
      <w:r w:rsidRPr="00C70CAC">
        <w:rPr>
          <w:rFonts w:cs="Arial"/>
        </w:rPr>
        <w:t>, in this case, in some element of the plant fire protection program.</w:t>
      </w:r>
    </w:p>
    <w:p w14:paraId="53A901CC" w14:textId="77777777" w:rsidR="0080158E" w:rsidRPr="00C70CAC" w:rsidRDefault="0080158E" w:rsidP="00AE10AB">
      <w:pPr>
        <w:widowControl/>
        <w:rPr>
          <w:rFonts w:cs="Arial"/>
        </w:rPr>
      </w:pPr>
    </w:p>
    <w:p w14:paraId="15B6D803" w14:textId="7ED1410B" w:rsidR="0080158E" w:rsidRPr="00C70CAC" w:rsidRDefault="0080158E" w:rsidP="00AE10AB">
      <w:pPr>
        <w:widowControl/>
        <w:rPr>
          <w:rFonts w:cs="Arial"/>
        </w:rPr>
      </w:pPr>
      <w:r w:rsidRPr="00C70CAC">
        <w:rPr>
          <w:rFonts w:cs="Arial"/>
          <w:u w:val="single"/>
        </w:rPr>
        <w:t>Compartment</w:t>
      </w:r>
      <w:r w:rsidRPr="002E5489">
        <w:rPr>
          <w:rFonts w:cs="Arial"/>
        </w:rPr>
        <w:t>:</w:t>
      </w:r>
      <w:r w:rsidRPr="00C70CAC">
        <w:rPr>
          <w:rFonts w:cs="Arial"/>
        </w:rPr>
        <w:t xml:space="preserve"> </w:t>
      </w:r>
      <w:r w:rsidR="002E5489">
        <w:rPr>
          <w:rFonts w:cs="Arial"/>
        </w:rPr>
        <w:t xml:space="preserve"> </w:t>
      </w:r>
      <w:r w:rsidRPr="00C70CAC">
        <w:rPr>
          <w:rFonts w:cs="Arial"/>
        </w:rPr>
        <w:t>A fire compartment is a well</w:t>
      </w:r>
      <w:r w:rsidRPr="00C70CAC">
        <w:rPr>
          <w:rFonts w:cs="Arial"/>
        </w:rPr>
        <w:noBreakHyphen/>
        <w:t xml:space="preserve">defined volume within the plant that is not necessarily bounded by rated fire barriers or complete physical barriers but that is expected to substantially contain the adverse effects of fires within the compartment.  </w:t>
      </w:r>
      <w:r w:rsidRPr="00B67341">
        <w:rPr>
          <w:rFonts w:cs="Arial"/>
        </w:rPr>
        <w:t>Fire compartments are defined for the purposes of fire PRA analysis, and generally represent a subset of a plant fire area.</w:t>
      </w:r>
    </w:p>
    <w:p w14:paraId="62061A2D" w14:textId="79806035" w:rsidR="000E670D" w:rsidRDefault="000E670D"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CF7C4B8" w14:textId="6ACAFEA8" w:rsidR="00BD0867" w:rsidRDefault="00BD0867" w:rsidP="004E20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BD0867">
        <w:rPr>
          <w:rFonts w:cs="Arial"/>
          <w:u w:val="single"/>
        </w:rPr>
        <w:t>Conditional Core Damage Probability (CCDP)</w:t>
      </w:r>
      <w:r>
        <w:rPr>
          <w:rFonts w:cs="Arial"/>
        </w:rPr>
        <w:t xml:space="preserve">: </w:t>
      </w:r>
      <w:r w:rsidR="002E5489">
        <w:rPr>
          <w:rFonts w:cs="Arial"/>
        </w:rPr>
        <w:t xml:space="preserve"> </w:t>
      </w:r>
      <w:r w:rsidR="004E2033" w:rsidRPr="004E2033">
        <w:rPr>
          <w:rFonts w:cs="Arial"/>
        </w:rPr>
        <w:t>The conditional core damage probability</w:t>
      </w:r>
      <w:r w:rsidR="004E2033">
        <w:rPr>
          <w:rFonts w:cs="Arial"/>
        </w:rPr>
        <w:t xml:space="preserve"> c</w:t>
      </w:r>
      <w:r w:rsidR="004E2033" w:rsidRPr="004E2033">
        <w:rPr>
          <w:rFonts w:cs="Arial"/>
        </w:rPr>
        <w:t>alculated by the Fire PRA</w:t>
      </w:r>
      <w:r w:rsidR="004E2033">
        <w:rPr>
          <w:rFonts w:cs="Arial"/>
        </w:rPr>
        <w:t xml:space="preserve"> </w:t>
      </w:r>
      <w:r w:rsidR="004E2033" w:rsidRPr="004E2033">
        <w:rPr>
          <w:rFonts w:cs="Arial"/>
        </w:rPr>
        <w:t>Model. This probability is conditional on a specific fire scenario in a fire</w:t>
      </w:r>
      <w:r w:rsidR="004E2033">
        <w:rPr>
          <w:rFonts w:cs="Arial"/>
        </w:rPr>
        <w:t xml:space="preserve"> </w:t>
      </w:r>
      <w:r w:rsidR="004E2033" w:rsidRPr="004E2033">
        <w:rPr>
          <w:rFonts w:cs="Arial"/>
        </w:rPr>
        <w:t>compartment postulated as a fire-induced initiating event and includes the</w:t>
      </w:r>
      <w:r w:rsidR="004E2033">
        <w:rPr>
          <w:rFonts w:cs="Arial"/>
        </w:rPr>
        <w:t xml:space="preserve"> </w:t>
      </w:r>
      <w:r w:rsidR="004E2033" w:rsidRPr="004E2033">
        <w:rPr>
          <w:rFonts w:cs="Arial"/>
        </w:rPr>
        <w:t>likelihoods of the combinations of equipment failures (some may be</w:t>
      </w:r>
      <w:r w:rsidR="004E2033">
        <w:rPr>
          <w:rFonts w:cs="Arial"/>
        </w:rPr>
        <w:t xml:space="preserve"> </w:t>
      </w:r>
      <w:r w:rsidR="004E2033" w:rsidRPr="004E2033">
        <w:rPr>
          <w:rFonts w:cs="Arial"/>
        </w:rPr>
        <w:t>directly induced by the fire itself) and operator failures that result in</w:t>
      </w:r>
      <w:r w:rsidR="004E2033">
        <w:rPr>
          <w:rFonts w:cs="Arial"/>
        </w:rPr>
        <w:t xml:space="preserve"> </w:t>
      </w:r>
      <w:r w:rsidR="004E2033" w:rsidRPr="004E2033">
        <w:rPr>
          <w:rFonts w:cs="Arial"/>
        </w:rPr>
        <w:t xml:space="preserve">core damage. The CCDP for a given fire scenario times the </w:t>
      </w:r>
      <w:r w:rsidR="004E2033" w:rsidRPr="004E2033">
        <w:rPr>
          <w:rFonts w:cs="Arial"/>
        </w:rPr>
        <w:lastRenderedPageBreak/>
        <w:t>frequency</w:t>
      </w:r>
      <w:r w:rsidR="004E2033">
        <w:rPr>
          <w:rFonts w:cs="Arial"/>
        </w:rPr>
        <w:t xml:space="preserve"> </w:t>
      </w:r>
      <w:r w:rsidR="004E2033" w:rsidRPr="004E2033">
        <w:rPr>
          <w:rFonts w:cs="Arial"/>
        </w:rPr>
        <w:t>of the given fire scenario (see fire scenario definition below for the</w:t>
      </w:r>
      <w:r w:rsidR="004E2033">
        <w:rPr>
          <w:rFonts w:cs="Arial"/>
        </w:rPr>
        <w:t xml:space="preserve"> </w:t>
      </w:r>
      <w:r w:rsidR="004E2033" w:rsidRPr="004E2033">
        <w:rPr>
          <w:rFonts w:cs="Arial"/>
        </w:rPr>
        <w:t>considerations that are captured within the context of a fire scenario)</w:t>
      </w:r>
      <w:r w:rsidR="004E2033">
        <w:rPr>
          <w:rFonts w:cs="Arial"/>
        </w:rPr>
        <w:t xml:space="preserve"> </w:t>
      </w:r>
      <w:r w:rsidR="004E2033" w:rsidRPr="004E2033">
        <w:rPr>
          <w:rFonts w:cs="Arial"/>
        </w:rPr>
        <w:t>results in the Core Damage Frequency contribution for the given fire</w:t>
      </w:r>
      <w:r w:rsidR="004E2033">
        <w:rPr>
          <w:rFonts w:cs="Arial"/>
        </w:rPr>
        <w:t xml:space="preserve"> </w:t>
      </w:r>
      <w:r w:rsidR="004E2033" w:rsidRPr="004E2033">
        <w:rPr>
          <w:rFonts w:cs="Arial"/>
        </w:rPr>
        <w:t>scenario.</w:t>
      </w:r>
      <w:r w:rsidR="004E2033">
        <w:rPr>
          <w:rFonts w:cs="Arial"/>
        </w:rPr>
        <w:t xml:space="preserve"> (</w:t>
      </w:r>
      <w:r w:rsidR="00A24E94">
        <w:rPr>
          <w:rFonts w:cs="Arial"/>
        </w:rPr>
        <w:t>Reference 8</w:t>
      </w:r>
      <w:r w:rsidR="004E2033">
        <w:rPr>
          <w:rFonts w:cs="Arial"/>
        </w:rPr>
        <w:t>)</w:t>
      </w:r>
    </w:p>
    <w:p w14:paraId="2B3FCA1D" w14:textId="7B343380" w:rsidR="004E2033" w:rsidRDefault="004E2033" w:rsidP="004E20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CA8BD7F" w14:textId="29767114" w:rsidR="004E2033" w:rsidRDefault="004E2033" w:rsidP="004E20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B67341">
        <w:rPr>
          <w:rFonts w:cs="Arial"/>
          <w:u w:val="single"/>
        </w:rPr>
        <w:t>Core Damage Frequency (</w:t>
      </w:r>
      <w:r w:rsidR="00EB7048">
        <w:rPr>
          <w:rFonts w:cs="Arial"/>
          <w:u w:val="single"/>
        </w:rPr>
        <w:t>C</w:t>
      </w:r>
      <w:r w:rsidRPr="00B67341">
        <w:rPr>
          <w:rFonts w:cs="Arial"/>
          <w:u w:val="single"/>
        </w:rPr>
        <w:t>DF)</w:t>
      </w:r>
      <w:r w:rsidRPr="002E5489">
        <w:rPr>
          <w:rFonts w:cs="Arial"/>
        </w:rPr>
        <w:t>:</w:t>
      </w:r>
      <w:r>
        <w:rPr>
          <w:rFonts w:cs="Arial"/>
        </w:rPr>
        <w:t xml:space="preserve"> </w:t>
      </w:r>
      <w:r w:rsidR="002E5489">
        <w:rPr>
          <w:rFonts w:cs="Arial"/>
        </w:rPr>
        <w:t xml:space="preserve"> </w:t>
      </w:r>
      <w:r w:rsidRPr="004E2033">
        <w:rPr>
          <w:rFonts w:cs="Arial"/>
        </w:rPr>
        <w:t>Expected number of core damage events per unit of time.</w:t>
      </w:r>
    </w:p>
    <w:p w14:paraId="059D4C8D" w14:textId="77777777" w:rsidR="00BD0867" w:rsidRDefault="00BD0867"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F270EFC" w14:textId="243DCFB7" w:rsidR="000E670D" w:rsidRDefault="000E670D"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u w:val="single"/>
        </w:rPr>
        <w:t>Damaging Hot Gas Layer (HGL)</w:t>
      </w:r>
      <w:r w:rsidRPr="002E5489">
        <w:rPr>
          <w:rFonts w:cs="Arial"/>
        </w:rPr>
        <w:t>:</w:t>
      </w:r>
      <w:r w:rsidRPr="00C70CAC">
        <w:rPr>
          <w:rFonts w:cs="Arial"/>
        </w:rPr>
        <w:t xml:space="preserve"> </w:t>
      </w:r>
      <w:r w:rsidR="002E5489">
        <w:rPr>
          <w:rFonts w:cs="Arial"/>
        </w:rPr>
        <w:t xml:space="preserve"> </w:t>
      </w:r>
      <w:r>
        <w:rPr>
          <w:rFonts w:cs="Arial"/>
        </w:rPr>
        <w:t xml:space="preserve">A hot gas layer </w:t>
      </w:r>
      <w:r w:rsidR="00953131">
        <w:rPr>
          <w:rFonts w:cs="Arial"/>
        </w:rPr>
        <w:t xml:space="preserve">(see definition of </w:t>
      </w:r>
      <w:r w:rsidR="00953131" w:rsidRPr="00953131">
        <w:rPr>
          <w:rFonts w:cs="Arial"/>
          <w:i/>
        </w:rPr>
        <w:t>Hot Gas Layer</w:t>
      </w:r>
      <w:r w:rsidR="00953131">
        <w:rPr>
          <w:rFonts w:cs="Arial"/>
        </w:rPr>
        <w:t xml:space="preserve">) </w:t>
      </w:r>
      <w:r>
        <w:rPr>
          <w:rFonts w:cs="Arial"/>
        </w:rPr>
        <w:t xml:space="preserve">that is sufficiently high in temperature to damage fire PRA systems and equipment </w:t>
      </w:r>
      <w:r w:rsidRPr="00C70CAC">
        <w:rPr>
          <w:rFonts w:cs="Arial"/>
        </w:rPr>
        <w:t xml:space="preserve">(see definition of </w:t>
      </w:r>
      <w:r w:rsidRPr="00C70CAC">
        <w:rPr>
          <w:rFonts w:cs="Arial"/>
          <w:i/>
          <w:iCs/>
        </w:rPr>
        <w:t>Fire PRA Systems and Equipment</w:t>
      </w:r>
      <w:r w:rsidRPr="00C70CAC">
        <w:rPr>
          <w:rFonts w:cs="Arial"/>
        </w:rPr>
        <w:t>)</w:t>
      </w:r>
      <w:r>
        <w:rPr>
          <w:rFonts w:cs="Arial"/>
        </w:rPr>
        <w:t xml:space="preserve"> throughout the compartment</w:t>
      </w:r>
      <w:r w:rsidRPr="00C70CAC">
        <w:rPr>
          <w:rFonts w:cs="Arial"/>
        </w:rPr>
        <w:t>.</w:t>
      </w:r>
    </w:p>
    <w:p w14:paraId="217A2A16" w14:textId="77777777" w:rsidR="0080158E" w:rsidRPr="00C70CAC" w:rsidRDefault="0080158E" w:rsidP="00AE10AB">
      <w:pPr>
        <w:widowControl/>
        <w:rPr>
          <w:rFonts w:cs="Arial"/>
        </w:rPr>
      </w:pPr>
    </w:p>
    <w:p w14:paraId="66AD5612" w14:textId="2CB4766C" w:rsidR="0080158E" w:rsidRPr="00C70CAC" w:rsidRDefault="0080158E" w:rsidP="00AE10AB">
      <w:pPr>
        <w:widowControl/>
        <w:rPr>
          <w:rFonts w:cs="Arial"/>
        </w:rPr>
      </w:pPr>
      <w:r w:rsidRPr="00C70CAC">
        <w:rPr>
          <w:rFonts w:cs="Arial"/>
          <w:u w:val="single"/>
        </w:rPr>
        <w:t xml:space="preserve">Exposed </w:t>
      </w:r>
      <w:r w:rsidR="0000068C">
        <w:rPr>
          <w:rFonts w:cs="Arial"/>
          <w:u w:val="single"/>
        </w:rPr>
        <w:t>Compartment</w:t>
      </w:r>
      <w:r w:rsidRPr="002E5489">
        <w:rPr>
          <w:rFonts w:cs="Arial"/>
        </w:rPr>
        <w:t>:</w:t>
      </w:r>
      <w:r w:rsidRPr="00C70CAC">
        <w:rPr>
          <w:rFonts w:cs="Arial"/>
        </w:rPr>
        <w:t xml:space="preserve">  In the context of a multi-compartment, or room-to-room, fire scenario the exposed </w:t>
      </w:r>
      <w:r w:rsidR="0000068C">
        <w:rPr>
          <w:rFonts w:cs="Arial"/>
        </w:rPr>
        <w:t>compartment</w:t>
      </w:r>
      <w:r w:rsidRPr="00C70CAC">
        <w:rPr>
          <w:rFonts w:cs="Arial"/>
        </w:rPr>
        <w:t xml:space="preserve"> is that </w:t>
      </w:r>
      <w:r w:rsidR="0000068C">
        <w:rPr>
          <w:rFonts w:cs="Arial"/>
        </w:rPr>
        <w:t>compartment</w:t>
      </w:r>
      <w:r w:rsidRPr="00C70CAC">
        <w:rPr>
          <w:rFonts w:cs="Arial"/>
        </w:rPr>
        <w:t xml:space="preserve"> to which the fire may spread.  An unsuppressed fire in the exposing </w:t>
      </w:r>
      <w:r w:rsidR="0000068C">
        <w:rPr>
          <w:rFonts w:cs="Arial"/>
        </w:rPr>
        <w:t>compartment</w:t>
      </w:r>
      <w:r w:rsidRPr="00C70CAC">
        <w:rPr>
          <w:rFonts w:cs="Arial"/>
        </w:rPr>
        <w:t xml:space="preserve"> may spread through a fire barrier to the exposed </w:t>
      </w:r>
      <w:r w:rsidR="0000068C">
        <w:rPr>
          <w:rFonts w:cs="Arial"/>
        </w:rPr>
        <w:t>compartment</w:t>
      </w:r>
      <w:r w:rsidRPr="00C70CAC">
        <w:rPr>
          <w:rFonts w:cs="Arial"/>
        </w:rPr>
        <w:t xml:space="preserve">.  (See </w:t>
      </w:r>
      <w:r w:rsidRPr="00C70CAC">
        <w:rPr>
          <w:rFonts w:cs="Arial"/>
          <w:i/>
          <w:iCs/>
        </w:rPr>
        <w:t xml:space="preserve">Exposing </w:t>
      </w:r>
      <w:r w:rsidR="0000068C">
        <w:rPr>
          <w:rFonts w:cs="Arial"/>
          <w:i/>
          <w:iCs/>
        </w:rPr>
        <w:t>Compartment</w:t>
      </w:r>
      <w:r w:rsidRPr="00C70CAC">
        <w:rPr>
          <w:rFonts w:cs="Arial"/>
        </w:rPr>
        <w:t>.)</w:t>
      </w:r>
    </w:p>
    <w:p w14:paraId="22CBE6B4" w14:textId="77777777" w:rsidR="0080158E" w:rsidRPr="00C70CAC" w:rsidRDefault="0080158E" w:rsidP="00AE10AB">
      <w:pPr>
        <w:widowControl/>
        <w:rPr>
          <w:rFonts w:cs="Arial"/>
        </w:rPr>
      </w:pPr>
    </w:p>
    <w:p w14:paraId="035E4C07" w14:textId="61DD6EB8" w:rsidR="0080158E" w:rsidRPr="00C70CAC" w:rsidRDefault="0080158E" w:rsidP="00AE10AB">
      <w:pPr>
        <w:widowControl/>
        <w:rPr>
          <w:rFonts w:cs="Arial"/>
        </w:rPr>
      </w:pPr>
      <w:r w:rsidRPr="00C70CAC">
        <w:rPr>
          <w:rFonts w:cs="Arial"/>
          <w:u w:val="single"/>
        </w:rPr>
        <w:t xml:space="preserve">Exposing </w:t>
      </w:r>
      <w:r w:rsidR="0000068C">
        <w:rPr>
          <w:rFonts w:cs="Arial"/>
          <w:u w:val="single"/>
        </w:rPr>
        <w:t>Compartment</w:t>
      </w:r>
      <w:r w:rsidRPr="002E5489">
        <w:rPr>
          <w:rFonts w:cs="Arial"/>
        </w:rPr>
        <w:t>:</w:t>
      </w:r>
      <w:r w:rsidRPr="00C70CAC">
        <w:rPr>
          <w:rFonts w:cs="Arial"/>
        </w:rPr>
        <w:t xml:space="preserve">  In the context of a multi-compartment, or room-to-room, fire scenario the exposing </w:t>
      </w:r>
      <w:r w:rsidR="0000068C">
        <w:rPr>
          <w:rFonts w:cs="Arial"/>
        </w:rPr>
        <w:t>compartment</w:t>
      </w:r>
      <w:r w:rsidRPr="00C70CAC">
        <w:rPr>
          <w:rFonts w:cs="Arial"/>
        </w:rPr>
        <w:t xml:space="preserve"> is that </w:t>
      </w:r>
      <w:r w:rsidR="0000068C">
        <w:rPr>
          <w:rFonts w:cs="Arial"/>
        </w:rPr>
        <w:t>compartment</w:t>
      </w:r>
      <w:r w:rsidRPr="00C70CAC">
        <w:rPr>
          <w:rFonts w:cs="Arial"/>
        </w:rPr>
        <w:t xml:space="preserve"> where the fire is initiated or ignited.  An unsuppressed fire in the exposing </w:t>
      </w:r>
      <w:r w:rsidR="0000068C">
        <w:rPr>
          <w:rFonts w:cs="Arial"/>
        </w:rPr>
        <w:t>compartment</w:t>
      </w:r>
      <w:r w:rsidRPr="00C70CAC">
        <w:rPr>
          <w:rFonts w:cs="Arial"/>
        </w:rPr>
        <w:t xml:space="preserve"> may spread through a fire barrier to the exposed </w:t>
      </w:r>
      <w:r w:rsidR="0000068C">
        <w:rPr>
          <w:rFonts w:cs="Arial"/>
        </w:rPr>
        <w:t>compartment</w:t>
      </w:r>
      <w:r w:rsidRPr="00C70CAC">
        <w:rPr>
          <w:rFonts w:cs="Arial"/>
        </w:rPr>
        <w:t xml:space="preserve">. (See </w:t>
      </w:r>
      <w:r w:rsidRPr="00C70CAC">
        <w:rPr>
          <w:rFonts w:cs="Arial"/>
          <w:i/>
          <w:iCs/>
        </w:rPr>
        <w:t>Exposed Fire Area</w:t>
      </w:r>
      <w:r w:rsidRPr="00C70CAC">
        <w:rPr>
          <w:rFonts w:cs="Arial"/>
        </w:rPr>
        <w:t>.)</w:t>
      </w:r>
    </w:p>
    <w:p w14:paraId="53976AB4" w14:textId="77777777" w:rsidR="0080158E" w:rsidRPr="00C70CAC" w:rsidRDefault="0080158E" w:rsidP="00AE10AB">
      <w:pPr>
        <w:widowControl/>
        <w:rPr>
          <w:rFonts w:cs="Arial"/>
        </w:rPr>
      </w:pPr>
    </w:p>
    <w:p w14:paraId="72E56423" w14:textId="0DD251F3" w:rsidR="0080158E" w:rsidRPr="00C70CAC" w:rsidRDefault="0080158E" w:rsidP="00AE10AB">
      <w:pPr>
        <w:widowControl/>
        <w:rPr>
          <w:rFonts w:cs="Arial"/>
        </w:rPr>
      </w:pPr>
      <w:r w:rsidRPr="00C70CAC">
        <w:rPr>
          <w:rFonts w:cs="Arial"/>
          <w:u w:val="single"/>
        </w:rPr>
        <w:t>Fire Area</w:t>
      </w:r>
      <w:r w:rsidRPr="002E5489">
        <w:rPr>
          <w:rFonts w:cs="Arial"/>
        </w:rPr>
        <w:t>:</w:t>
      </w:r>
      <w:r w:rsidRPr="00C70CAC">
        <w:rPr>
          <w:rFonts w:cs="Arial"/>
        </w:rPr>
        <w:t xml:space="preserve">  The portion of a building or plant that is separated from other areas by rated fire barriers adequate for the fire hazard. (</w:t>
      </w:r>
      <w:r w:rsidR="00EB7048">
        <w:rPr>
          <w:rFonts w:cs="Arial"/>
        </w:rPr>
        <w:t>Reference 7</w:t>
      </w:r>
      <w:r w:rsidRPr="00C70CAC">
        <w:rPr>
          <w:rFonts w:cs="Arial"/>
        </w:rPr>
        <w:t>)</w:t>
      </w:r>
      <w:r w:rsidR="001A77DD" w:rsidRPr="001A77DD">
        <w:rPr>
          <w:rFonts w:cs="Arial"/>
        </w:rPr>
        <w:t xml:space="preserve"> </w:t>
      </w:r>
      <w:r w:rsidR="001A77DD">
        <w:rPr>
          <w:rFonts w:cs="Arial"/>
        </w:rPr>
        <w:t>The term fire area is used generically in Appendix F and is not intended to exclude application of the guidance to findings pertaining to fire zones or compartments.</w:t>
      </w:r>
    </w:p>
    <w:p w14:paraId="653F905E" w14:textId="77777777" w:rsidR="0080158E" w:rsidRPr="00C70CAC" w:rsidRDefault="0080158E" w:rsidP="00AE10AB">
      <w:pPr>
        <w:widowControl/>
        <w:rPr>
          <w:rFonts w:cs="Arial"/>
        </w:rPr>
      </w:pPr>
    </w:p>
    <w:p w14:paraId="4E9E90DE" w14:textId="5DBB908D"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Barrier</w:t>
      </w:r>
      <w:r w:rsidRPr="002E5489">
        <w:rPr>
          <w:rFonts w:cs="Arial"/>
        </w:rPr>
        <w:t>:</w:t>
      </w:r>
      <w:r w:rsidRPr="00C70CAC">
        <w:rPr>
          <w:rFonts w:cs="Arial"/>
        </w:rPr>
        <w:t xml:space="preserve">  Components of construction (walls, floors, and their supports), including beams, joists, columns, penetration seals or closures, fire doors, and fire dampers that are rated by approving laboratories in hours of resistance to fire, that are used to prevent the spread of fire. (</w:t>
      </w:r>
      <w:r w:rsidR="00EB7048">
        <w:rPr>
          <w:rFonts w:cs="Arial"/>
        </w:rPr>
        <w:t>Reference 7</w:t>
      </w:r>
      <w:r w:rsidRPr="00C70CAC">
        <w:rPr>
          <w:rFonts w:cs="Arial"/>
        </w:rPr>
        <w:t>)</w:t>
      </w:r>
    </w:p>
    <w:p w14:paraId="342879BA"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FD2AFB0" w14:textId="7FA569C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Brigade</w:t>
      </w:r>
      <w:r w:rsidRPr="002E5489">
        <w:rPr>
          <w:rFonts w:cs="Arial"/>
        </w:rPr>
        <w:t>:</w:t>
      </w:r>
      <w:r w:rsidRPr="00C70CAC">
        <w:rPr>
          <w:rFonts w:cs="Arial"/>
        </w:rPr>
        <w:t xml:space="preserve">  A team of on</w:t>
      </w:r>
      <w:r w:rsidRPr="00C70CAC">
        <w:rPr>
          <w:rFonts w:cs="Arial"/>
        </w:rPr>
        <w:noBreakHyphen/>
        <w:t>site plant personnel that have been qualified and equipped to perform manual fire suppression activities. (</w:t>
      </w:r>
      <w:r w:rsidR="00EB7048">
        <w:rPr>
          <w:rFonts w:cs="Arial"/>
        </w:rPr>
        <w:t>Reference 7</w:t>
      </w:r>
      <w:r w:rsidRPr="00C70CAC">
        <w:rPr>
          <w:rFonts w:cs="Arial"/>
        </w:rPr>
        <w:t>)</w:t>
      </w:r>
    </w:p>
    <w:p w14:paraId="1C20FD87" w14:textId="77777777" w:rsidR="000E670D" w:rsidRPr="00C70CAC" w:rsidRDefault="000E670D" w:rsidP="00AE10AB">
      <w:pPr>
        <w:widowControl/>
        <w:rPr>
          <w:rFonts w:cs="Arial"/>
        </w:rPr>
      </w:pPr>
    </w:p>
    <w:p w14:paraId="38AAE562" w14:textId="6F12C282" w:rsidR="000E670D" w:rsidRPr="00C70CAC" w:rsidRDefault="000E670D" w:rsidP="00AE10AB">
      <w:pPr>
        <w:widowControl/>
        <w:rPr>
          <w:rFonts w:cs="Arial"/>
        </w:rPr>
      </w:pPr>
      <w:r w:rsidRPr="00C70CAC">
        <w:rPr>
          <w:rFonts w:cs="Arial"/>
          <w:u w:val="single"/>
        </w:rPr>
        <w:t>Fire Damage (or Fire-Induced Damage)</w:t>
      </w:r>
      <w:r w:rsidRPr="002E5489">
        <w:rPr>
          <w:rFonts w:cs="Arial"/>
        </w:rPr>
        <w:t>:</w:t>
      </w:r>
      <w:r w:rsidRPr="00C70CAC">
        <w:rPr>
          <w:rFonts w:cs="Arial"/>
        </w:rPr>
        <w:t xml:space="preserve"> </w:t>
      </w:r>
      <w:r w:rsidR="002E5489">
        <w:rPr>
          <w:rFonts w:cs="Arial"/>
        </w:rPr>
        <w:t xml:space="preserve"> </w:t>
      </w:r>
      <w:r w:rsidRPr="00C70CAC">
        <w:rPr>
          <w:rFonts w:cs="Arial"/>
        </w:rPr>
        <w:t>A structure, system or component</w:t>
      </w:r>
      <w:r>
        <w:rPr>
          <w:rFonts w:cs="Arial"/>
        </w:rPr>
        <w:t xml:space="preserve"> that</w:t>
      </w:r>
      <w:r w:rsidRPr="00C70CAC">
        <w:rPr>
          <w:rFonts w:cs="Arial"/>
        </w:rPr>
        <w:t xml:space="preserve"> is no longer free of fire damage (see definition of Free of Fire Damage).  That is, the structure, system, or component under consideration is </w:t>
      </w:r>
      <w:r w:rsidRPr="00C70CAC">
        <w:rPr>
          <w:rFonts w:cs="Arial"/>
          <w:u w:val="single"/>
        </w:rPr>
        <w:t>no longer</w:t>
      </w:r>
      <w:r w:rsidRPr="00C70CAC">
        <w:rPr>
          <w:rFonts w:cs="Arial"/>
        </w:rPr>
        <w:t xml:space="preserve"> capable of performing its intended function without repair.</w:t>
      </w:r>
    </w:p>
    <w:p w14:paraId="0F2EA311" w14:textId="77777777" w:rsidR="000E670D" w:rsidRPr="00C70CAC" w:rsidRDefault="000E670D" w:rsidP="00AE10AB">
      <w:pPr>
        <w:widowControl/>
        <w:rPr>
          <w:rFonts w:cs="Arial"/>
        </w:rPr>
      </w:pPr>
    </w:p>
    <w:p w14:paraId="3EA4F99F"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Damage State</w:t>
      </w:r>
      <w:r w:rsidRPr="002E5489">
        <w:rPr>
          <w:rFonts w:cs="Arial"/>
        </w:rPr>
        <w:t>:</w:t>
      </w:r>
      <w:r w:rsidRPr="00C70CAC">
        <w:rPr>
          <w:rFonts w:cs="Arial"/>
        </w:rPr>
        <w:t xml:space="preserve">  A discrete stage of fire growth and damage postulated in the development of Fire Protection SDP fire scenarios.  Four fire damage states are defined as follows:</w:t>
      </w:r>
    </w:p>
    <w:p w14:paraId="1CD4FE9B" w14:textId="77777777" w:rsidR="000E670D" w:rsidRPr="00C70CAC" w:rsidRDefault="000E670D" w:rsidP="00AE10AB">
      <w:pPr>
        <w:widowControl/>
        <w:rPr>
          <w:rFonts w:cs="Arial"/>
        </w:rPr>
      </w:pPr>
    </w:p>
    <w:p w14:paraId="323832D0" w14:textId="35A29F31" w:rsidR="000E670D" w:rsidRDefault="000E670D" w:rsidP="00AE10AB">
      <w:pPr>
        <w:widowControl/>
        <w:ind w:left="806"/>
        <w:rPr>
          <w:rFonts w:cs="Arial"/>
        </w:rPr>
      </w:pPr>
      <w:r w:rsidRPr="00C70CAC">
        <w:rPr>
          <w:rFonts w:cs="Arial"/>
          <w:i/>
          <w:iCs/>
        </w:rPr>
        <w:t>FDS0:</w:t>
      </w:r>
      <w:r w:rsidRPr="00C70CAC">
        <w:rPr>
          <w:rFonts w:cs="Arial"/>
        </w:rPr>
        <w:t xml:space="preserve"> Only the fire ignition source and initiating fuels are damaged by the fire.</w:t>
      </w:r>
      <w:r>
        <w:t xml:space="preserve">  FDS0 is not analyzed in the F</w:t>
      </w:r>
      <w:r w:rsidR="002A3333">
        <w:t xml:space="preserve">ire </w:t>
      </w:r>
      <w:r>
        <w:t>P</w:t>
      </w:r>
      <w:r w:rsidR="002A3333">
        <w:t>rotection</w:t>
      </w:r>
      <w:r>
        <w:t xml:space="preserve"> SDP as a risk contributor even if the ignition source is also a target, such as an electrical enclosure that will yield a non-zero CCDP by itself.</w:t>
      </w:r>
    </w:p>
    <w:p w14:paraId="31021960" w14:textId="77777777" w:rsidR="000E670D" w:rsidRPr="00C70CAC" w:rsidRDefault="000E670D" w:rsidP="00AE10AB">
      <w:pPr>
        <w:widowControl/>
        <w:ind w:left="806"/>
        <w:rPr>
          <w:rFonts w:cs="Arial"/>
        </w:rPr>
      </w:pPr>
    </w:p>
    <w:p w14:paraId="38943A1D" w14:textId="77777777" w:rsidR="000E670D" w:rsidRDefault="000E670D" w:rsidP="00AE10AB">
      <w:pPr>
        <w:widowControl/>
        <w:ind w:left="806"/>
        <w:rPr>
          <w:rFonts w:cs="Arial"/>
        </w:rPr>
      </w:pPr>
      <w:r w:rsidRPr="00C70CAC">
        <w:rPr>
          <w:rFonts w:cs="Arial"/>
          <w:i/>
          <w:iCs/>
        </w:rPr>
        <w:t>FDS1</w:t>
      </w:r>
      <w:r w:rsidRPr="00C70CAC">
        <w:rPr>
          <w:rFonts w:cs="Arial"/>
        </w:rPr>
        <w:t xml:space="preserve">: Fire damage occurs </w:t>
      </w:r>
      <w:r>
        <w:t xml:space="preserve">to components or cables protected by a degraded local fire barrier system (e.g., a degraded cable tray fire barrier wrap), or </w:t>
      </w:r>
      <w:r w:rsidRPr="00C70CAC">
        <w:rPr>
          <w:rFonts w:cs="Arial"/>
        </w:rPr>
        <w:t>to unprotected components or cables located near the fire ignition source.</w:t>
      </w:r>
      <w:r w:rsidRPr="008730D4">
        <w:rPr>
          <w:rFonts w:cs="Arial"/>
        </w:rPr>
        <w:t xml:space="preserve">  This damage state also includes ignition of secondary combustibles (cable trays) near the fire ignition source.</w:t>
      </w:r>
    </w:p>
    <w:p w14:paraId="298633E4" w14:textId="77777777" w:rsidR="000E670D" w:rsidRPr="00C70CAC" w:rsidRDefault="000E670D" w:rsidP="00AE10AB">
      <w:pPr>
        <w:widowControl/>
        <w:ind w:left="806"/>
        <w:rPr>
          <w:rFonts w:cs="Arial"/>
        </w:rPr>
      </w:pPr>
    </w:p>
    <w:p w14:paraId="1C818500" w14:textId="07D80177" w:rsidR="000E670D" w:rsidRDefault="000E670D" w:rsidP="00AE10AB">
      <w:pPr>
        <w:widowControl/>
        <w:ind w:left="806"/>
        <w:rPr>
          <w:rFonts w:cs="Arial"/>
        </w:rPr>
      </w:pPr>
      <w:r w:rsidRPr="00C70CAC">
        <w:rPr>
          <w:rFonts w:cs="Arial"/>
          <w:i/>
          <w:iCs/>
        </w:rPr>
        <w:lastRenderedPageBreak/>
        <w:t>FDS2</w:t>
      </w:r>
      <w:r w:rsidRPr="00C70CAC">
        <w:rPr>
          <w:rFonts w:cs="Arial"/>
        </w:rPr>
        <w:t xml:space="preserve">: Widespread fire damage occurs to unprotected components or cables within the </w:t>
      </w:r>
      <w:r w:rsidR="009240D0">
        <w:rPr>
          <w:rFonts w:cs="Arial"/>
        </w:rPr>
        <w:t>compartment</w:t>
      </w:r>
      <w:r w:rsidRPr="00C70CAC">
        <w:rPr>
          <w:rFonts w:cs="Arial"/>
        </w:rPr>
        <w:t xml:space="preserve"> of fire origin, to components or cables protected by a degraded local fire barrier system (e.g., a degraded cable tray fire barrier wrap), or to components or cables protected by a non-degraded one-hour fire barrier</w:t>
      </w:r>
      <w:r>
        <w:t xml:space="preserve"> due the development of a damaging Hot Gas Layer (HGL)</w:t>
      </w:r>
      <w:r w:rsidRPr="00C70CAC">
        <w:rPr>
          <w:rFonts w:cs="Arial"/>
        </w:rPr>
        <w:t>.</w:t>
      </w:r>
    </w:p>
    <w:p w14:paraId="2FD81C4E" w14:textId="77777777" w:rsidR="000E670D" w:rsidRPr="00C70CAC" w:rsidRDefault="000E670D" w:rsidP="00AE10AB">
      <w:pPr>
        <w:widowControl/>
        <w:ind w:left="806"/>
        <w:rPr>
          <w:rFonts w:cs="Arial"/>
        </w:rPr>
      </w:pPr>
    </w:p>
    <w:p w14:paraId="10C2A4DF" w14:textId="11B12DAD" w:rsidR="000E670D" w:rsidRPr="00C70CAC" w:rsidRDefault="000E670D" w:rsidP="00AE10AB">
      <w:pPr>
        <w:widowControl/>
        <w:ind w:left="806"/>
        <w:rPr>
          <w:rFonts w:cs="Arial"/>
        </w:rPr>
      </w:pPr>
      <w:r w:rsidRPr="00C70CAC">
        <w:rPr>
          <w:rFonts w:cs="Arial"/>
          <w:i/>
          <w:iCs/>
        </w:rPr>
        <w:t>FDS3</w:t>
      </w:r>
      <w:r w:rsidRPr="00C70CAC">
        <w:rPr>
          <w:rFonts w:cs="Arial"/>
        </w:rPr>
        <w:t xml:space="preserve">: Fire damage extends to a </w:t>
      </w:r>
      <w:r w:rsidR="009240D0">
        <w:rPr>
          <w:rFonts w:cs="Arial"/>
        </w:rPr>
        <w:t>compartment</w:t>
      </w:r>
      <w:r w:rsidRPr="00C70CAC">
        <w:rPr>
          <w:rFonts w:cs="Arial"/>
        </w:rPr>
        <w:t xml:space="preserve"> adjacent to the </w:t>
      </w:r>
      <w:r w:rsidR="009240D0">
        <w:rPr>
          <w:rFonts w:cs="Arial"/>
        </w:rPr>
        <w:t>compartment</w:t>
      </w:r>
      <w:r w:rsidRPr="00C70CAC">
        <w:rPr>
          <w:rFonts w:cs="Arial"/>
        </w:rPr>
        <w:t xml:space="preserve"> of fire origin, in general, due to postulated fire spread through a degraded inter-</w:t>
      </w:r>
      <w:r w:rsidR="009240D0">
        <w:rPr>
          <w:rFonts w:cs="Arial"/>
        </w:rPr>
        <w:t>compartment</w:t>
      </w:r>
      <w:r w:rsidR="009240D0" w:rsidRPr="00C70CAC">
        <w:rPr>
          <w:rFonts w:cs="Arial"/>
        </w:rPr>
        <w:t xml:space="preserve"> </w:t>
      </w:r>
      <w:r w:rsidRPr="00C70CAC">
        <w:rPr>
          <w:rFonts w:cs="Arial"/>
        </w:rPr>
        <w:t>fire barrier element (e.g., wall, ceiling, floor, damper, door, penetration seal, etc.)</w:t>
      </w:r>
    </w:p>
    <w:p w14:paraId="163BABE6" w14:textId="77777777" w:rsidR="000E670D" w:rsidRPr="00C70CAC" w:rsidRDefault="000E670D" w:rsidP="00AE10AB">
      <w:pPr>
        <w:widowControl/>
        <w:rPr>
          <w:rFonts w:cs="Arial"/>
        </w:rPr>
      </w:pPr>
    </w:p>
    <w:p w14:paraId="0A3E4277" w14:textId="7C6877D1" w:rsidR="000E670D" w:rsidRPr="00C70CAC" w:rsidRDefault="000E670D" w:rsidP="00AE10AB">
      <w:pPr>
        <w:widowControl/>
        <w:rPr>
          <w:rFonts w:cs="Arial"/>
        </w:rPr>
      </w:pPr>
      <w:r w:rsidRPr="00C70CAC">
        <w:rPr>
          <w:rFonts w:cs="Arial"/>
          <w:u w:val="single"/>
        </w:rPr>
        <w:t>Fire Growth and Damage</w:t>
      </w:r>
      <w:r w:rsidRPr="002E5489">
        <w:rPr>
          <w:rFonts w:cs="Arial"/>
        </w:rPr>
        <w:t>:</w:t>
      </w:r>
      <w:r w:rsidRPr="00C70CAC">
        <w:rPr>
          <w:rFonts w:cs="Arial"/>
        </w:rPr>
        <w:t xml:space="preserve"> </w:t>
      </w:r>
      <w:r w:rsidR="002E5489">
        <w:rPr>
          <w:rFonts w:cs="Arial"/>
        </w:rPr>
        <w:t xml:space="preserve"> </w:t>
      </w:r>
      <w:r w:rsidRPr="00C70CAC">
        <w:rPr>
          <w:rFonts w:cs="Arial"/>
        </w:rPr>
        <w:t>Th</w:t>
      </w:r>
      <w:r w:rsidR="008D7BAE">
        <w:rPr>
          <w:rFonts w:cs="Arial"/>
        </w:rPr>
        <w:t>e</w:t>
      </w:r>
      <w:r w:rsidRPr="00C70CAC">
        <w:rPr>
          <w:rFonts w:cs="Arial"/>
        </w:rPr>
        <w:t xml:space="preserve"> part of a fire scenario (see definition of </w:t>
      </w:r>
      <w:r w:rsidRPr="00C70CAC">
        <w:rPr>
          <w:rFonts w:cs="Arial"/>
          <w:i/>
          <w:iCs/>
        </w:rPr>
        <w:t>Fire Scenario</w:t>
      </w:r>
      <w:r w:rsidRPr="00C70CAC">
        <w:rPr>
          <w:rFonts w:cs="Arial"/>
        </w:rPr>
        <w:t xml:space="preserve">) that characterizes the potential </w:t>
      </w:r>
      <w:r w:rsidR="008D7BAE">
        <w:rPr>
          <w:rFonts w:cs="Arial"/>
        </w:rPr>
        <w:t>for</w:t>
      </w:r>
      <w:r w:rsidR="008D7BAE" w:rsidRPr="00C70CAC">
        <w:rPr>
          <w:rFonts w:cs="Arial"/>
        </w:rPr>
        <w:t xml:space="preserve"> </w:t>
      </w:r>
      <w:r w:rsidRPr="00C70CAC">
        <w:rPr>
          <w:rFonts w:cs="Arial"/>
        </w:rPr>
        <w:t xml:space="preserve">fires involving a particular fire ignition source (see definition of </w:t>
      </w:r>
      <w:r w:rsidRPr="00C70CAC">
        <w:rPr>
          <w:rFonts w:cs="Arial"/>
          <w:i/>
          <w:iCs/>
        </w:rPr>
        <w:t>Fire Ignition Source</w:t>
      </w:r>
      <w:r w:rsidRPr="00C70CAC">
        <w:rPr>
          <w:rFonts w:cs="Arial"/>
        </w:rPr>
        <w:t xml:space="preserve">) </w:t>
      </w:r>
      <w:r w:rsidR="008D7BAE">
        <w:rPr>
          <w:rFonts w:cs="Arial"/>
        </w:rPr>
        <w:t>to</w:t>
      </w:r>
      <w:r w:rsidR="008D7BAE" w:rsidRPr="00C70CAC">
        <w:rPr>
          <w:rFonts w:cs="Arial"/>
        </w:rPr>
        <w:t xml:space="preserve"> </w:t>
      </w:r>
      <w:r w:rsidRPr="00C70CAC">
        <w:rPr>
          <w:rFonts w:cs="Arial"/>
        </w:rPr>
        <w:t xml:space="preserve">ignite secondary combustible fuels, the subsequent spread of fire within and among any secondary combustible fuels, and the potential for fire-induced damage to fire PRA systems and equipment (see definition of </w:t>
      </w:r>
      <w:r w:rsidRPr="00C70CAC">
        <w:rPr>
          <w:rFonts w:cs="Arial"/>
          <w:i/>
          <w:iCs/>
        </w:rPr>
        <w:t>Fire PRA Systems and Equipment</w:t>
      </w:r>
      <w:r w:rsidRPr="00C70CAC">
        <w:rPr>
          <w:rFonts w:cs="Arial"/>
        </w:rPr>
        <w:t>).</w:t>
      </w:r>
    </w:p>
    <w:p w14:paraId="118893A5" w14:textId="77777777" w:rsidR="000E670D" w:rsidRPr="00C70CAC" w:rsidRDefault="000E670D" w:rsidP="00AE10AB">
      <w:pPr>
        <w:widowControl/>
        <w:rPr>
          <w:rFonts w:cs="Arial"/>
        </w:rPr>
      </w:pPr>
    </w:p>
    <w:p w14:paraId="3F94CE33" w14:textId="39AF6278" w:rsidR="000E670D" w:rsidRPr="00C70CAC" w:rsidRDefault="000E670D" w:rsidP="00AE10AB">
      <w:pPr>
        <w:widowControl/>
        <w:rPr>
          <w:rFonts w:cs="Arial"/>
        </w:rPr>
      </w:pPr>
      <w:r w:rsidRPr="00C70CAC">
        <w:rPr>
          <w:rFonts w:cs="Arial"/>
          <w:u w:val="single"/>
        </w:rPr>
        <w:t>Fire Hazard</w:t>
      </w:r>
      <w:r w:rsidRPr="002E5489">
        <w:rPr>
          <w:rFonts w:cs="Arial"/>
        </w:rPr>
        <w:t>:</w:t>
      </w:r>
      <w:r w:rsidRPr="00C70CAC">
        <w:rPr>
          <w:rFonts w:cs="Arial"/>
        </w:rPr>
        <w:t xml:space="preserve">  The existence of conditions that involve the necessary elements to initiate and support combustion, including </w:t>
      </w:r>
      <w:r w:rsidRPr="008538CF">
        <w:rPr>
          <w:rFonts w:cs="Arial"/>
          <w:i/>
        </w:rPr>
        <w:t>in situ</w:t>
      </w:r>
      <w:r w:rsidRPr="00C70CAC">
        <w:rPr>
          <w:rFonts w:cs="Arial"/>
        </w:rPr>
        <w:t xml:space="preserve"> or transient combustible materials, ignition sources (e.g., heat, sparks, open flames), and an oxygen environment. (</w:t>
      </w:r>
      <w:r w:rsidR="00EB7048">
        <w:rPr>
          <w:rFonts w:cs="Arial"/>
        </w:rPr>
        <w:t>Reference 7</w:t>
      </w:r>
      <w:r w:rsidRPr="00C70CAC">
        <w:rPr>
          <w:rFonts w:cs="Arial"/>
        </w:rPr>
        <w:t>)</w:t>
      </w:r>
    </w:p>
    <w:p w14:paraId="4AB74947" w14:textId="77777777" w:rsidR="000E670D" w:rsidRPr="00C70CAC" w:rsidRDefault="000E670D" w:rsidP="00AE10AB">
      <w:pPr>
        <w:widowControl/>
        <w:rPr>
          <w:rFonts w:cs="Arial"/>
        </w:rPr>
      </w:pPr>
    </w:p>
    <w:p w14:paraId="7482FEF5" w14:textId="4EC978BF" w:rsidR="000E670D" w:rsidRPr="00C70CAC" w:rsidRDefault="000E670D" w:rsidP="00AE10AB">
      <w:pPr>
        <w:widowControl/>
        <w:rPr>
          <w:rFonts w:cs="Arial"/>
        </w:rPr>
      </w:pPr>
      <w:r w:rsidRPr="00C70CAC">
        <w:rPr>
          <w:rFonts w:cs="Arial"/>
          <w:u w:val="single"/>
        </w:rPr>
        <w:t>Fire Ignition Source</w:t>
      </w:r>
      <w:r w:rsidRPr="002E5489">
        <w:rPr>
          <w:rFonts w:cs="Arial"/>
        </w:rPr>
        <w:t>:</w:t>
      </w:r>
      <w:r w:rsidRPr="00C70CAC">
        <w:rPr>
          <w:rFonts w:cs="Arial"/>
        </w:rPr>
        <w:t xml:space="preserve"> </w:t>
      </w:r>
      <w:r w:rsidR="002E5489">
        <w:rPr>
          <w:rFonts w:cs="Arial"/>
        </w:rPr>
        <w:t xml:space="preserve"> </w:t>
      </w:r>
      <w:r w:rsidRPr="00C70CAC">
        <w:rPr>
          <w:rFonts w:cs="Arial"/>
        </w:rPr>
        <w:t>Th</w:t>
      </w:r>
      <w:r w:rsidR="008D7BAE">
        <w:rPr>
          <w:rFonts w:cs="Arial"/>
        </w:rPr>
        <w:t>e</w:t>
      </w:r>
      <w:r w:rsidRPr="00C70CAC">
        <w:rPr>
          <w:rFonts w:cs="Arial"/>
        </w:rPr>
        <w:t xml:space="preserve"> part of a fire scenario (see definition of </w:t>
      </w:r>
      <w:r w:rsidRPr="00C70CAC">
        <w:rPr>
          <w:rFonts w:cs="Arial"/>
          <w:i/>
          <w:iCs/>
        </w:rPr>
        <w:t>Fire Scenario</w:t>
      </w:r>
      <w:r w:rsidRPr="00C70CAC">
        <w:rPr>
          <w:rFonts w:cs="Arial"/>
        </w:rPr>
        <w:t>) that defines the early physical characteristics of the fire itself including factors such as the ignition source, the initially ignited combustible material(s), and the characteristics of the fire involving those initial combustible materials (e.g., heat release rate, location, duration).</w:t>
      </w:r>
    </w:p>
    <w:p w14:paraId="607BF8DC" w14:textId="77777777" w:rsidR="000E670D" w:rsidRPr="00C70CAC" w:rsidRDefault="000E670D" w:rsidP="00AE10AB">
      <w:pPr>
        <w:widowControl/>
        <w:rPr>
          <w:rFonts w:cs="Arial"/>
        </w:rPr>
      </w:pPr>
    </w:p>
    <w:p w14:paraId="0F06F381" w14:textId="77777777" w:rsidR="000E670D" w:rsidRPr="00C70CAC" w:rsidRDefault="000E670D" w:rsidP="00AE10AB">
      <w:pPr>
        <w:widowControl/>
        <w:rPr>
          <w:rFonts w:cs="Arial"/>
        </w:rPr>
      </w:pPr>
      <w:r w:rsidRPr="00C70CAC">
        <w:rPr>
          <w:rFonts w:cs="Arial"/>
          <w:u w:val="single"/>
        </w:rPr>
        <w:t>Fire PRA Systems and Equipment</w:t>
      </w:r>
      <w:r w:rsidRPr="002E5489">
        <w:rPr>
          <w:rFonts w:cs="Arial"/>
        </w:rPr>
        <w:t>:</w:t>
      </w:r>
      <w:r w:rsidRPr="00C70CAC">
        <w:rPr>
          <w:rFonts w:cs="Arial"/>
        </w:rPr>
        <w:t xml:space="preserve">  Structures, systems, components, and cables (power, instrumentation and control) credited for plant shutdown in the context of a fire PRA.  The fire PRA systems and equipment will typically include all of the fire SSD systems and equipment, other systems and equipment credited in the internal events PRA, and other systems and equipment subject to unique fire</w:t>
      </w:r>
      <w:r w:rsidRPr="00C70CAC">
        <w:rPr>
          <w:rFonts w:cs="Arial"/>
        </w:rPr>
        <w:noBreakHyphen/>
        <w:t xml:space="preserve">induced failure modes (e.g., components susceptible </w:t>
      </w:r>
      <w:r>
        <w:rPr>
          <w:rFonts w:cs="Arial"/>
        </w:rPr>
        <w:t>to</w:t>
      </w:r>
      <w:r w:rsidRPr="00C70CAC">
        <w:rPr>
          <w:rFonts w:cs="Arial"/>
        </w:rPr>
        <w:t xml:space="preserve"> fire-induced spurious actuation).</w:t>
      </w:r>
    </w:p>
    <w:p w14:paraId="18B85EB4" w14:textId="77777777" w:rsidR="000E670D" w:rsidRPr="00C70CAC" w:rsidRDefault="000E670D" w:rsidP="00AE10AB">
      <w:pPr>
        <w:widowControl/>
        <w:rPr>
          <w:rFonts w:cs="Arial"/>
        </w:rPr>
      </w:pPr>
    </w:p>
    <w:p w14:paraId="5A7A2428" w14:textId="2B3F9979" w:rsidR="00B32282" w:rsidRPr="00C70CAC" w:rsidRDefault="00B32282" w:rsidP="004C04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Protection Defense in Depth</w:t>
      </w:r>
      <w:r w:rsidRPr="002E5489">
        <w:rPr>
          <w:rFonts w:cs="Arial"/>
        </w:rPr>
        <w:t>:</w:t>
      </w:r>
      <w:r w:rsidRPr="00C70CAC">
        <w:rPr>
          <w:rFonts w:cs="Arial"/>
        </w:rPr>
        <w:t xml:space="preserve"> </w:t>
      </w:r>
      <w:r w:rsidR="002E5489">
        <w:rPr>
          <w:rFonts w:cs="Arial"/>
        </w:rPr>
        <w:t xml:space="preserve"> </w:t>
      </w:r>
      <w:r w:rsidRPr="00C70CAC">
        <w:rPr>
          <w:rFonts w:cs="Arial"/>
        </w:rPr>
        <w:t xml:space="preserve">Achieving the required degree of reactor safety using administrative controls, </w:t>
      </w:r>
      <w:r w:rsidR="005F3B2C">
        <w:rPr>
          <w:rFonts w:cs="Arial"/>
        </w:rPr>
        <w:t>FPSs</w:t>
      </w:r>
      <w:r w:rsidRPr="00C70CAC">
        <w:rPr>
          <w:rFonts w:cs="Arial"/>
        </w:rPr>
        <w:t xml:space="preserve"> and features, and </w:t>
      </w:r>
      <w:r w:rsidR="004C0401">
        <w:rPr>
          <w:rFonts w:cs="Arial"/>
        </w:rPr>
        <w:t>SSD</w:t>
      </w:r>
      <w:r w:rsidRPr="00C70CAC">
        <w:rPr>
          <w:rFonts w:cs="Arial"/>
        </w:rPr>
        <w:t xml:space="preserve"> capability</w:t>
      </w:r>
      <w:r w:rsidR="004C0401">
        <w:rPr>
          <w:rFonts w:cs="Arial"/>
        </w:rPr>
        <w:t>.</w:t>
      </w:r>
      <w:r w:rsidR="00E90B12">
        <w:rPr>
          <w:rFonts w:cs="Arial"/>
        </w:rPr>
        <w:t xml:space="preserve">  </w:t>
      </w:r>
      <w:r w:rsidR="004C0401">
        <w:rPr>
          <w:rFonts w:cs="Arial"/>
        </w:rPr>
        <w:t xml:space="preserve">It is </w:t>
      </w:r>
      <w:r w:rsidRPr="00C70CAC">
        <w:rPr>
          <w:rFonts w:cs="Arial"/>
        </w:rPr>
        <w:t>aimed at</w:t>
      </w:r>
      <w:r w:rsidR="004C0401" w:rsidRPr="004C0401">
        <w:t xml:space="preserve"> </w:t>
      </w:r>
      <w:r w:rsidR="004C0401">
        <w:t>p</w:t>
      </w:r>
      <w:r w:rsidR="004C0401">
        <w:rPr>
          <w:rFonts w:cs="Arial"/>
        </w:rPr>
        <w:t>reventing</w:t>
      </w:r>
      <w:r w:rsidR="004C0401" w:rsidRPr="004C0401">
        <w:rPr>
          <w:rFonts w:cs="Arial"/>
        </w:rPr>
        <w:t xml:space="preserve"> fires from starting,</w:t>
      </w:r>
      <w:r w:rsidR="004C0401">
        <w:rPr>
          <w:rFonts w:cs="Arial"/>
        </w:rPr>
        <w:t xml:space="preserve"> r</w:t>
      </w:r>
      <w:r w:rsidR="004C0401" w:rsidRPr="004C0401">
        <w:rPr>
          <w:rFonts w:cs="Arial"/>
        </w:rPr>
        <w:t>apid</w:t>
      </w:r>
      <w:r w:rsidR="004C0401">
        <w:rPr>
          <w:rFonts w:cs="Arial"/>
        </w:rPr>
        <w:t>ly detecting</w:t>
      </w:r>
      <w:r w:rsidR="004C0401" w:rsidRPr="004C0401">
        <w:rPr>
          <w:rFonts w:cs="Arial"/>
        </w:rPr>
        <w:t xml:space="preserve"> and suppressi</w:t>
      </w:r>
      <w:r w:rsidR="004C0401">
        <w:rPr>
          <w:rFonts w:cs="Arial"/>
        </w:rPr>
        <w:t>ng</w:t>
      </w:r>
      <w:r w:rsidR="004C0401" w:rsidRPr="004C0401">
        <w:rPr>
          <w:rFonts w:cs="Arial"/>
        </w:rPr>
        <w:t xml:space="preserve"> fires that occur, and</w:t>
      </w:r>
      <w:r w:rsidR="004C0401">
        <w:rPr>
          <w:rFonts w:cs="Arial"/>
        </w:rPr>
        <w:t xml:space="preserve"> p</w:t>
      </w:r>
      <w:r w:rsidR="004C0401" w:rsidRPr="004C0401">
        <w:rPr>
          <w:rFonts w:cs="Arial"/>
        </w:rPr>
        <w:t>rotecti</w:t>
      </w:r>
      <w:r w:rsidR="004C0401">
        <w:rPr>
          <w:rFonts w:cs="Arial"/>
        </w:rPr>
        <w:t>ng</w:t>
      </w:r>
      <w:r w:rsidR="004C0401" w:rsidRPr="004C0401">
        <w:rPr>
          <w:rFonts w:cs="Arial"/>
        </w:rPr>
        <w:t xml:space="preserve"> of the reactor’s ability to safely shutdown if a fire is not promptly extinguished.</w:t>
      </w:r>
      <w:r w:rsidRPr="00C70CAC">
        <w:rPr>
          <w:rFonts w:cs="Arial"/>
        </w:rPr>
        <w:t xml:space="preserve"> (</w:t>
      </w:r>
      <w:r w:rsidR="00EB7048">
        <w:rPr>
          <w:rFonts w:cs="Arial"/>
        </w:rPr>
        <w:t>Reference 7</w:t>
      </w:r>
      <w:r w:rsidRPr="00C70CAC">
        <w:rPr>
          <w:rFonts w:cs="Arial"/>
        </w:rPr>
        <w:t>)</w:t>
      </w:r>
    </w:p>
    <w:p w14:paraId="1AC9E5DB"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E83B56F" w14:textId="08C69A77" w:rsidR="00B32282"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Protection Feature</w:t>
      </w:r>
      <w:r w:rsidRPr="002E5489">
        <w:rPr>
          <w:rFonts w:cs="Arial"/>
        </w:rPr>
        <w:t>:</w:t>
      </w:r>
      <w:r w:rsidRPr="00C70CAC">
        <w:rPr>
          <w:rFonts w:cs="Arial"/>
        </w:rPr>
        <w:t xml:space="preserve">  Administrative controls, fire barriers, means of egress, industrial fire brigade personnel, and other features provided for fire protection purposes. (</w:t>
      </w:r>
      <w:r w:rsidR="0091683E">
        <w:rPr>
          <w:rFonts w:cs="Arial"/>
        </w:rPr>
        <w:t>Reference 9</w:t>
      </w:r>
      <w:r w:rsidRPr="00C70CAC">
        <w:rPr>
          <w:rFonts w:cs="Arial"/>
        </w:rPr>
        <w:t>)</w:t>
      </w:r>
    </w:p>
    <w:p w14:paraId="2DD449FA" w14:textId="463E5712" w:rsidR="00B32282"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FFF5028" w14:textId="4926D7AA"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Protection Program</w:t>
      </w:r>
      <w:r w:rsidRPr="002E5489">
        <w:rPr>
          <w:rFonts w:cs="Arial"/>
        </w:rPr>
        <w:t>:</w:t>
      </w:r>
      <w:r w:rsidRPr="00C70CAC">
        <w:rPr>
          <w:rFonts w:cs="Arial"/>
        </w:rPr>
        <w:t xml:space="preserve">  The integrated effort involving components, procedures, and personnel utilized in carrying out all activities of fire protection. It includes system and facility design, fire prevention, fire detection, annunciation, confinement, suppression, administrative controls, fire brigade organization, inspection and maintenance, training, quality assurance, and testing. (</w:t>
      </w:r>
      <w:r w:rsidR="00EB7048">
        <w:rPr>
          <w:rFonts w:cs="Arial"/>
        </w:rPr>
        <w:t>Reference 7</w:t>
      </w:r>
      <w:r w:rsidRPr="00C70CAC">
        <w:rPr>
          <w:rFonts w:cs="Arial"/>
        </w:rPr>
        <w:t>)</w:t>
      </w:r>
    </w:p>
    <w:p w14:paraId="20B2D019"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6E60017" w14:textId="6A17C1C3"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Protection Program Element</w:t>
      </w:r>
      <w:r w:rsidRPr="002E5489">
        <w:rPr>
          <w:rFonts w:cs="Arial"/>
        </w:rPr>
        <w:t>:</w:t>
      </w:r>
      <w:r w:rsidRPr="00C70CAC">
        <w:rPr>
          <w:rFonts w:cs="Arial"/>
        </w:rPr>
        <w:t xml:space="preserve"> </w:t>
      </w:r>
      <w:r w:rsidR="0070712E">
        <w:rPr>
          <w:rFonts w:cs="Arial"/>
        </w:rPr>
        <w:t xml:space="preserve"> </w:t>
      </w:r>
      <w:r w:rsidRPr="00C70CAC">
        <w:rPr>
          <w:rFonts w:cs="Arial"/>
        </w:rPr>
        <w:t xml:space="preserve">Any individual system, feature, provision, analysis, procedure, requirement, training program, or plant practice that is a part of the overall fire protection program.  The term </w:t>
      </w:r>
      <w:r>
        <w:rPr>
          <w:rFonts w:cs="Arial"/>
        </w:rPr>
        <w:t>“</w:t>
      </w:r>
      <w:r w:rsidRPr="00C70CAC">
        <w:rPr>
          <w:rFonts w:cs="Arial"/>
        </w:rPr>
        <w:t>fire protection program element</w:t>
      </w:r>
      <w:r>
        <w:rPr>
          <w:rFonts w:cs="Arial"/>
        </w:rPr>
        <w:t>”</w:t>
      </w:r>
      <w:r w:rsidRPr="00C70CAC">
        <w:rPr>
          <w:rFonts w:cs="Arial"/>
        </w:rPr>
        <w:t xml:space="preserve"> is used in this document as the most general reference to individual aspects of the overall fire protection program.</w:t>
      </w:r>
    </w:p>
    <w:p w14:paraId="409E1DE4"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CED7BC3" w14:textId="6DE112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lastRenderedPageBreak/>
        <w:t>Fire Protection System</w:t>
      </w:r>
      <w:r w:rsidR="009502FE">
        <w:rPr>
          <w:rFonts w:cs="Arial"/>
          <w:u w:val="single"/>
        </w:rPr>
        <w:t xml:space="preserve"> (FPS)</w:t>
      </w:r>
      <w:r w:rsidRPr="002E5489">
        <w:rPr>
          <w:rFonts w:cs="Arial"/>
        </w:rPr>
        <w:t>:</w:t>
      </w:r>
      <w:r w:rsidRPr="00C70CAC">
        <w:rPr>
          <w:rFonts w:cs="Arial"/>
        </w:rPr>
        <w:t xml:space="preserve">  Fire detection, notification, and fire suppression systems designed, installed, and maintained in accordance with the applicable </w:t>
      </w:r>
      <w:r w:rsidR="00731DCC">
        <w:rPr>
          <w:rFonts w:cs="Arial"/>
        </w:rPr>
        <w:t>National Fire Protection A</w:t>
      </w:r>
      <w:r w:rsidR="008C70C2">
        <w:rPr>
          <w:rFonts w:cs="Arial"/>
        </w:rPr>
        <w:t>ssociation (</w:t>
      </w:r>
      <w:r w:rsidRPr="00C70CAC">
        <w:rPr>
          <w:rFonts w:cs="Arial"/>
        </w:rPr>
        <w:t>NFPA</w:t>
      </w:r>
      <w:r w:rsidR="008C70C2">
        <w:rPr>
          <w:rFonts w:cs="Arial"/>
        </w:rPr>
        <w:t>)</w:t>
      </w:r>
      <w:r w:rsidRPr="00C70CAC">
        <w:rPr>
          <w:rFonts w:cs="Arial"/>
        </w:rPr>
        <w:t xml:space="preserve"> codes and standards. (</w:t>
      </w:r>
      <w:r w:rsidR="001B63D5">
        <w:rPr>
          <w:rFonts w:cs="Arial"/>
        </w:rPr>
        <w:t>Reference 9</w:t>
      </w:r>
      <w:r w:rsidRPr="00C70CAC">
        <w:rPr>
          <w:rFonts w:cs="Arial"/>
        </w:rPr>
        <w:t>)</w:t>
      </w:r>
    </w:p>
    <w:p w14:paraId="66DC5FA6" w14:textId="77777777" w:rsidR="000E670D" w:rsidRPr="00C70CAC" w:rsidRDefault="000E670D" w:rsidP="00AE10AB">
      <w:pPr>
        <w:widowControl/>
        <w:rPr>
          <w:rFonts w:cs="Arial"/>
        </w:rPr>
      </w:pPr>
    </w:p>
    <w:p w14:paraId="2F4E4670" w14:textId="11B65A77" w:rsidR="000E670D" w:rsidRPr="00C70CAC" w:rsidRDefault="000E670D" w:rsidP="00AE10AB">
      <w:pPr>
        <w:widowControl/>
        <w:rPr>
          <w:rFonts w:cs="Arial"/>
        </w:rPr>
      </w:pPr>
      <w:r w:rsidRPr="00C70CAC">
        <w:rPr>
          <w:rFonts w:cs="Arial"/>
          <w:u w:val="single"/>
        </w:rPr>
        <w:t>Fire Scenario</w:t>
      </w:r>
      <w:r w:rsidRPr="002E5489">
        <w:rPr>
          <w:rFonts w:cs="Arial"/>
        </w:rPr>
        <w:t>:</w:t>
      </w:r>
      <w:r w:rsidRPr="00C70CAC">
        <w:rPr>
          <w:rFonts w:cs="Arial"/>
        </w:rPr>
        <w:t xml:space="preserve"> </w:t>
      </w:r>
      <w:r w:rsidR="0070712E">
        <w:rPr>
          <w:rFonts w:cs="Arial"/>
        </w:rPr>
        <w:t xml:space="preserve"> </w:t>
      </w:r>
      <w:r w:rsidRPr="00C70CAC">
        <w:rPr>
          <w:rFonts w:cs="Arial"/>
        </w:rPr>
        <w:t>A sequence of events that begins with the ignition of a fire that has the potential to upset normal plant oper</w:t>
      </w:r>
      <w:r w:rsidR="00C3196B">
        <w:rPr>
          <w:rFonts w:cs="Arial"/>
        </w:rPr>
        <w:t>ations, and ends when the plant</w:t>
      </w:r>
      <w:r w:rsidRPr="00C70CAC">
        <w:rPr>
          <w:rFonts w:cs="Arial"/>
        </w:rPr>
        <w:t xml:space="preserve"> fails to achieve</w:t>
      </w:r>
      <w:r>
        <w:rPr>
          <w:rFonts w:cs="Arial"/>
        </w:rPr>
        <w:t xml:space="preserve"> </w:t>
      </w:r>
      <w:r w:rsidRPr="00C70CAC">
        <w:rPr>
          <w:rFonts w:cs="Arial"/>
        </w:rPr>
        <w:t xml:space="preserve">a safe and stable mode of plant operation, </w:t>
      </w:r>
      <w:r w:rsidR="00CD0735">
        <w:rPr>
          <w:rFonts w:cs="Arial"/>
        </w:rPr>
        <w:t xml:space="preserve">i.e., </w:t>
      </w:r>
      <w:r w:rsidR="00700DC6">
        <w:rPr>
          <w:rFonts w:cs="Arial"/>
        </w:rPr>
        <w:t>cause core damage</w:t>
      </w:r>
      <w:r w:rsidRPr="00C70CAC">
        <w:rPr>
          <w:rFonts w:cs="Arial"/>
        </w:rPr>
        <w:t xml:space="preserve">.  A fire scenario is made up of a unique combination of </w:t>
      </w:r>
      <w:r>
        <w:rPr>
          <w:rFonts w:cs="Arial"/>
        </w:rPr>
        <w:t>elements:</w:t>
      </w:r>
      <w:r w:rsidRPr="00C70CAC">
        <w:rPr>
          <w:rFonts w:cs="Arial"/>
        </w:rPr>
        <w:t xml:space="preserve"> fire ignition source, fire growth and damage, fire suppression</w:t>
      </w:r>
      <w:r>
        <w:rPr>
          <w:rFonts w:cs="Arial"/>
        </w:rPr>
        <w:t xml:space="preserve"> (assumed unsuccessful and termed “non-suppression”), </w:t>
      </w:r>
      <w:r w:rsidRPr="00C70CAC">
        <w:rPr>
          <w:rFonts w:cs="Arial"/>
        </w:rPr>
        <w:t>a plant damage state, and a plant safe shutdown response</w:t>
      </w:r>
      <w:r>
        <w:rPr>
          <w:rFonts w:cs="Arial"/>
        </w:rPr>
        <w:t>, also assumed to be unsuccessful</w:t>
      </w:r>
      <w:r w:rsidR="00E90B12">
        <w:rPr>
          <w:rFonts w:cs="Arial"/>
        </w:rPr>
        <w:t xml:space="preserve"> </w:t>
      </w:r>
      <w:r w:rsidRPr="00C70CAC">
        <w:rPr>
          <w:rFonts w:cs="Arial"/>
        </w:rPr>
        <w:t xml:space="preserve">(see related definitions).  </w:t>
      </w:r>
      <w:r>
        <w:rPr>
          <w:rFonts w:cs="Arial"/>
        </w:rPr>
        <w:t xml:space="preserve">Occurrence of a plant damage state and failure to achieve safe shutdown, resulting in core damage, comprise the CCDP.  </w:t>
      </w:r>
      <w:r w:rsidRPr="00C70CAC">
        <w:rPr>
          <w:rFonts w:cs="Arial"/>
        </w:rPr>
        <w:t xml:space="preserve">Changes in any one of these five elements implies the introduction or identification of a new fire scenario. </w:t>
      </w:r>
    </w:p>
    <w:p w14:paraId="68F0F613" w14:textId="77777777" w:rsidR="000E670D" w:rsidRPr="00C70CAC" w:rsidRDefault="000E670D" w:rsidP="00AE10AB">
      <w:pPr>
        <w:widowControl/>
        <w:rPr>
          <w:rFonts w:cs="Arial"/>
        </w:rPr>
      </w:pPr>
    </w:p>
    <w:p w14:paraId="24FBB331" w14:textId="6EA12E38"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Suppression</w:t>
      </w:r>
      <w:r w:rsidRPr="002E5489">
        <w:rPr>
          <w:rFonts w:cs="Arial"/>
        </w:rPr>
        <w:t>:</w:t>
      </w:r>
      <w:r w:rsidRPr="00C70CAC">
        <w:rPr>
          <w:rFonts w:cs="Arial"/>
        </w:rPr>
        <w:t xml:space="preserve">  Control and extinguishing of fires (firefighting). Manual fire suppression is the use of hoses, portable extinguishers, or manually actuated fixed systems by plant personnel.  Automatic fire suppression is the use of automatically actuated fixed systems such as water, Halon, or carbon dioxide systems. (</w:t>
      </w:r>
      <w:r w:rsidR="00EB7048">
        <w:rPr>
          <w:rFonts w:cs="Arial"/>
        </w:rPr>
        <w:t>Reference 7</w:t>
      </w:r>
      <w:r w:rsidRPr="00C70CAC">
        <w:rPr>
          <w:rFonts w:cs="Arial"/>
        </w:rPr>
        <w:t>)</w:t>
      </w:r>
    </w:p>
    <w:p w14:paraId="6716198B"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C5272A8" w14:textId="33890B03"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Fire Watch</w:t>
      </w:r>
      <w:r w:rsidRPr="002E5489">
        <w:rPr>
          <w:rFonts w:cs="Arial"/>
        </w:rPr>
        <w:t>:</w:t>
      </w:r>
      <w:r w:rsidRPr="00C70CAC">
        <w:rPr>
          <w:rFonts w:cs="Arial"/>
        </w:rPr>
        <w:t xml:space="preserve">  Individuals responsible for providing additional (e.g., during hot work) or compensatory (e.g., for system impairments) coverage of plant activities or areas for the purposes of detecting fires or for identifying activities and conditions that present a potential fire hazard.  The individuals should be trained in identifying conditions or activities that present potential fire hazards, as well as the use of fire extinguishers and the proper fire notification procedures. (</w:t>
      </w:r>
      <w:r w:rsidR="00EB7048">
        <w:rPr>
          <w:rFonts w:cs="Arial"/>
        </w:rPr>
        <w:t>Reference 7</w:t>
      </w:r>
      <w:r w:rsidRPr="00C70CAC">
        <w:rPr>
          <w:rFonts w:cs="Arial"/>
        </w:rPr>
        <w:t>)</w:t>
      </w:r>
    </w:p>
    <w:p w14:paraId="42056675"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A5D405E" w14:textId="2B783381" w:rsidR="00FF11C3" w:rsidRDefault="00B32282" w:rsidP="00AE10AB">
      <w:pPr>
        <w:widowControl/>
        <w:rPr>
          <w:rFonts w:cs="Arial"/>
        </w:rPr>
      </w:pPr>
      <w:r w:rsidRPr="00C70CAC">
        <w:rPr>
          <w:rFonts w:cs="Arial"/>
          <w:u w:val="single"/>
        </w:rPr>
        <w:t>Free of Fire Damage</w:t>
      </w:r>
      <w:r w:rsidRPr="002E5489">
        <w:rPr>
          <w:rFonts w:cs="Arial"/>
        </w:rPr>
        <w:t>:</w:t>
      </w:r>
      <w:r w:rsidRPr="00C70CAC">
        <w:rPr>
          <w:rFonts w:cs="Arial"/>
        </w:rPr>
        <w:t xml:space="preserve">  The structure, system, or component under consideration is capable of performing its intended function during and after the postulated fire, as needed, without repair. (</w:t>
      </w:r>
      <w:r w:rsidR="00EB7048">
        <w:rPr>
          <w:rFonts w:cs="Arial"/>
        </w:rPr>
        <w:t>Reference 7</w:t>
      </w:r>
      <w:r w:rsidRPr="00C70CAC">
        <w:rPr>
          <w:rFonts w:cs="Arial"/>
        </w:rPr>
        <w:t>)</w:t>
      </w:r>
      <w:r w:rsidR="00FF11C3" w:rsidRPr="00FF11C3">
        <w:rPr>
          <w:rFonts w:cs="Arial"/>
        </w:rPr>
        <w:t xml:space="preserve"> </w:t>
      </w:r>
    </w:p>
    <w:p w14:paraId="167B5801" w14:textId="0870605F" w:rsidR="00FF11C3" w:rsidRDefault="00FF11C3" w:rsidP="00AE10AB">
      <w:pPr>
        <w:widowControl/>
        <w:rPr>
          <w:rFonts w:cs="Arial"/>
        </w:rPr>
      </w:pPr>
    </w:p>
    <w:p w14:paraId="165CBB4A" w14:textId="5AEB55E1" w:rsidR="00B34D0E" w:rsidRDefault="00B34D0E" w:rsidP="00B34D0E">
      <w:pPr>
        <w:widowControl/>
        <w:rPr>
          <w:rFonts w:cs="Arial"/>
        </w:rPr>
      </w:pPr>
      <w:r>
        <w:rPr>
          <w:rFonts w:cs="Arial"/>
          <w:u w:val="single"/>
        </w:rPr>
        <w:t>Heat Release Rate</w:t>
      </w:r>
      <w:r>
        <w:rPr>
          <w:rFonts w:cs="Arial"/>
        </w:rPr>
        <w:t xml:space="preserve">: </w:t>
      </w:r>
      <w:r w:rsidR="0070712E">
        <w:rPr>
          <w:rFonts w:cs="Arial"/>
        </w:rPr>
        <w:t xml:space="preserve"> </w:t>
      </w:r>
      <w:r w:rsidRPr="00B34D0E">
        <w:rPr>
          <w:rFonts w:cs="Arial"/>
        </w:rPr>
        <w:t xml:space="preserve">The amount of heat generated by a burning object per unit time. </w:t>
      </w:r>
      <w:r>
        <w:rPr>
          <w:rFonts w:cs="Arial"/>
        </w:rPr>
        <w:t xml:space="preserve"> </w:t>
      </w:r>
      <w:r w:rsidRPr="00B34D0E">
        <w:rPr>
          <w:rFonts w:cs="Arial"/>
        </w:rPr>
        <w:t>It is</w:t>
      </w:r>
      <w:r>
        <w:rPr>
          <w:rFonts w:cs="Arial"/>
        </w:rPr>
        <w:t xml:space="preserve"> </w:t>
      </w:r>
      <w:r w:rsidRPr="00B34D0E">
        <w:rPr>
          <w:rFonts w:cs="Arial"/>
        </w:rPr>
        <w:t xml:space="preserve">usually expressed in kW. </w:t>
      </w:r>
      <w:r>
        <w:rPr>
          <w:rFonts w:cs="Arial"/>
        </w:rPr>
        <w:t xml:space="preserve"> </w:t>
      </w:r>
      <w:r w:rsidRPr="00B34D0E">
        <w:rPr>
          <w:rFonts w:cs="Arial"/>
        </w:rPr>
        <w:t>A heat release rate profile refers to the behavior</w:t>
      </w:r>
      <w:r>
        <w:rPr>
          <w:rFonts w:cs="Arial"/>
        </w:rPr>
        <w:t xml:space="preserve"> </w:t>
      </w:r>
      <w:r w:rsidRPr="00B34D0E">
        <w:rPr>
          <w:rFonts w:cs="Arial"/>
        </w:rPr>
        <w:t>of the heat release rate as a function of time (an HRR versus time plot).</w:t>
      </w:r>
      <w:r>
        <w:rPr>
          <w:rFonts w:cs="Arial"/>
        </w:rPr>
        <w:t xml:space="preserve">  </w:t>
      </w:r>
      <w:r w:rsidRPr="00B34D0E">
        <w:rPr>
          <w:rFonts w:cs="Arial"/>
        </w:rPr>
        <w:t>For example, a fire with a constant heat release rate has an intensity that</w:t>
      </w:r>
      <w:r>
        <w:rPr>
          <w:rFonts w:cs="Arial"/>
        </w:rPr>
        <w:t xml:space="preserve"> </w:t>
      </w:r>
      <w:r w:rsidRPr="00B34D0E">
        <w:rPr>
          <w:rFonts w:cs="Arial"/>
        </w:rPr>
        <w:t>does not change.</w:t>
      </w:r>
    </w:p>
    <w:p w14:paraId="68CADCF8" w14:textId="77777777" w:rsidR="00B34D0E" w:rsidRDefault="00B34D0E" w:rsidP="00B34D0E">
      <w:pPr>
        <w:widowControl/>
        <w:rPr>
          <w:rFonts w:cs="Arial"/>
        </w:rPr>
      </w:pPr>
    </w:p>
    <w:p w14:paraId="5592457E" w14:textId="046F89ED" w:rsidR="003140EE" w:rsidRPr="003140EE" w:rsidRDefault="003140EE" w:rsidP="003140EE">
      <w:pPr>
        <w:widowControl/>
        <w:rPr>
          <w:rFonts w:cs="Arial"/>
        </w:rPr>
      </w:pPr>
      <w:r w:rsidRPr="003140EE">
        <w:rPr>
          <w:rFonts w:cs="Arial"/>
          <w:u w:val="single"/>
        </w:rPr>
        <w:t>High</w:t>
      </w:r>
      <w:r>
        <w:rPr>
          <w:rFonts w:cs="Arial"/>
          <w:u w:val="single"/>
        </w:rPr>
        <w:t>-</w:t>
      </w:r>
      <w:r w:rsidRPr="003140EE">
        <w:rPr>
          <w:rFonts w:cs="Arial"/>
          <w:u w:val="single"/>
        </w:rPr>
        <w:t>Energy Arcing Fault</w:t>
      </w:r>
      <w:r>
        <w:rPr>
          <w:rFonts w:cs="Arial"/>
        </w:rPr>
        <w:t xml:space="preserve">: </w:t>
      </w:r>
      <w:r w:rsidR="0070712E">
        <w:rPr>
          <w:rFonts w:cs="Arial"/>
        </w:rPr>
        <w:t xml:space="preserve"> </w:t>
      </w:r>
      <w:r w:rsidRPr="003140EE">
        <w:rPr>
          <w:rFonts w:cs="Arial"/>
        </w:rPr>
        <w:t>Switchgear, load centers, and bus bars/ducts (440V and above) are subject to a unique failure</w:t>
      </w:r>
      <w:r>
        <w:rPr>
          <w:rFonts w:cs="Arial"/>
        </w:rPr>
        <w:t xml:space="preserve"> </w:t>
      </w:r>
      <w:r w:rsidRPr="003140EE">
        <w:rPr>
          <w:rFonts w:cs="Arial"/>
        </w:rPr>
        <w:t>mode and, as a result, unique fire characteristics. In particular, these types of high-energy</w:t>
      </w:r>
      <w:r>
        <w:rPr>
          <w:rFonts w:cs="Arial"/>
        </w:rPr>
        <w:t xml:space="preserve"> </w:t>
      </w:r>
      <w:r w:rsidRPr="003140EE">
        <w:rPr>
          <w:rFonts w:cs="Arial"/>
        </w:rPr>
        <w:t>electrical devices are subject to high-energy arcing fault (HEAF). This fault mode leads to</w:t>
      </w:r>
      <w:r>
        <w:rPr>
          <w:rFonts w:cs="Arial"/>
        </w:rPr>
        <w:t xml:space="preserve"> </w:t>
      </w:r>
      <w:r w:rsidRPr="003140EE">
        <w:rPr>
          <w:rFonts w:cs="Arial"/>
        </w:rPr>
        <w:t>the rapid release of electrical energy in the form of heat, vaporized copper, and mechanical</w:t>
      </w:r>
      <w:r>
        <w:rPr>
          <w:rFonts w:cs="Arial"/>
        </w:rPr>
        <w:t xml:space="preserve"> </w:t>
      </w:r>
      <w:r w:rsidRPr="003140EE">
        <w:rPr>
          <w:rFonts w:cs="Arial"/>
        </w:rPr>
        <w:t>force. Faults of this type are also commonly referred to as high energy, energetic, or explosive</w:t>
      </w:r>
      <w:r>
        <w:rPr>
          <w:rFonts w:cs="Arial"/>
        </w:rPr>
        <w:t xml:space="preserve"> </w:t>
      </w:r>
      <w:r w:rsidRPr="003140EE">
        <w:rPr>
          <w:rFonts w:cs="Arial"/>
        </w:rPr>
        <w:t>electrical equipment faults or fires. Similar failure modes can occur in large oil filled</w:t>
      </w:r>
    </w:p>
    <w:p w14:paraId="42CCA120" w14:textId="33BBE209" w:rsidR="003140EE" w:rsidRDefault="003140EE" w:rsidP="003140EE">
      <w:pPr>
        <w:widowControl/>
        <w:rPr>
          <w:rFonts w:cs="Arial"/>
        </w:rPr>
      </w:pPr>
      <w:r w:rsidRPr="003140EE">
        <w:rPr>
          <w:rFonts w:cs="Arial"/>
        </w:rPr>
        <w:t>transformers.</w:t>
      </w:r>
      <w:r>
        <w:rPr>
          <w:rFonts w:cs="Arial"/>
        </w:rPr>
        <w:t xml:space="preserve"> (</w:t>
      </w:r>
      <w:r w:rsidR="00A24E94">
        <w:rPr>
          <w:rFonts w:cs="Arial"/>
        </w:rPr>
        <w:t>Reference 8</w:t>
      </w:r>
      <w:r>
        <w:rPr>
          <w:rFonts w:cs="Arial"/>
        </w:rPr>
        <w:t>)</w:t>
      </w:r>
    </w:p>
    <w:p w14:paraId="0B2DBF4E" w14:textId="4411386A" w:rsidR="003140EE" w:rsidRDefault="003140EE" w:rsidP="00AE10AB">
      <w:pPr>
        <w:widowControl/>
        <w:rPr>
          <w:rFonts w:cs="Arial"/>
          <w:szCs w:val="22"/>
        </w:rPr>
      </w:pPr>
    </w:p>
    <w:p w14:paraId="63AE2055" w14:textId="5180C288" w:rsidR="005A24A2" w:rsidRPr="005A24A2" w:rsidRDefault="005A24A2" w:rsidP="00B34D0E">
      <w:pPr>
        <w:widowControl/>
        <w:rPr>
          <w:rFonts w:cs="Arial"/>
          <w:szCs w:val="22"/>
        </w:rPr>
      </w:pPr>
      <w:r>
        <w:rPr>
          <w:rFonts w:cs="Arial"/>
          <w:szCs w:val="22"/>
          <w:u w:val="single"/>
        </w:rPr>
        <w:t>Hot Gas Layer (HGL)</w:t>
      </w:r>
      <w:r>
        <w:rPr>
          <w:rFonts w:cs="Arial"/>
          <w:szCs w:val="22"/>
        </w:rPr>
        <w:t xml:space="preserve">: </w:t>
      </w:r>
      <w:r w:rsidRPr="005A24A2">
        <w:rPr>
          <w:rFonts w:cs="Arial"/>
          <w:szCs w:val="22"/>
        </w:rPr>
        <w:t>Refers to the volume under the ceiling of a fire enclosure where smoke</w:t>
      </w:r>
      <w:r>
        <w:rPr>
          <w:rFonts w:cs="Arial"/>
          <w:szCs w:val="22"/>
        </w:rPr>
        <w:t xml:space="preserve"> </w:t>
      </w:r>
      <w:r w:rsidRPr="005A24A2">
        <w:rPr>
          <w:rFonts w:cs="Arial"/>
          <w:szCs w:val="22"/>
        </w:rPr>
        <w:t>accumulates and high gas temperatures are observed. It is the upper</w:t>
      </w:r>
      <w:r>
        <w:rPr>
          <w:rFonts w:cs="Arial"/>
          <w:szCs w:val="22"/>
        </w:rPr>
        <w:t xml:space="preserve"> </w:t>
      </w:r>
      <w:r w:rsidRPr="005A24A2">
        <w:rPr>
          <w:rFonts w:cs="Arial"/>
          <w:szCs w:val="22"/>
        </w:rPr>
        <w:t>zone in a two-zone model formulation.</w:t>
      </w:r>
      <w:r w:rsidR="00B34D0E">
        <w:rPr>
          <w:rFonts w:cs="Arial"/>
          <w:szCs w:val="22"/>
        </w:rPr>
        <w:t xml:space="preserve"> </w:t>
      </w:r>
      <w:r w:rsidR="00B34D0E">
        <w:rPr>
          <w:rFonts w:cs="Arial"/>
        </w:rPr>
        <w:t>(</w:t>
      </w:r>
      <w:r w:rsidR="00A24E94">
        <w:rPr>
          <w:rFonts w:cs="Arial"/>
        </w:rPr>
        <w:t>Reference 8</w:t>
      </w:r>
      <w:r w:rsidR="00B34D0E">
        <w:rPr>
          <w:rFonts w:cs="Arial"/>
        </w:rPr>
        <w:t>)</w:t>
      </w:r>
    </w:p>
    <w:p w14:paraId="1A00F5B9" w14:textId="77777777" w:rsidR="005A24A2" w:rsidRPr="005A24A2" w:rsidRDefault="005A24A2" w:rsidP="00AE10AB">
      <w:pPr>
        <w:widowControl/>
        <w:rPr>
          <w:rFonts w:cs="Arial"/>
          <w:szCs w:val="22"/>
        </w:rPr>
      </w:pPr>
    </w:p>
    <w:p w14:paraId="5D4E8B10" w14:textId="3FF3E891" w:rsidR="00CC7CDC" w:rsidRDefault="00CC7CDC" w:rsidP="00AE10AB">
      <w:pPr>
        <w:widowControl/>
        <w:rPr>
          <w:rFonts w:cs="Arial"/>
          <w:szCs w:val="22"/>
          <w:u w:val="single"/>
        </w:rPr>
      </w:pPr>
      <w:r>
        <w:rPr>
          <w:rFonts w:cs="Arial"/>
          <w:szCs w:val="22"/>
          <w:u w:val="single"/>
        </w:rPr>
        <w:t>Important to Safe Shutdown</w:t>
      </w:r>
      <w:r w:rsidRPr="00E2311C">
        <w:rPr>
          <w:rFonts w:cs="Arial"/>
          <w:szCs w:val="22"/>
        </w:rPr>
        <w:t>:</w:t>
      </w:r>
      <w:r w:rsidR="00FE3118">
        <w:rPr>
          <w:rFonts w:cs="Arial"/>
          <w:szCs w:val="22"/>
        </w:rPr>
        <w:t xml:space="preserve">  </w:t>
      </w:r>
      <w:r w:rsidR="00FE3118" w:rsidRPr="00FE3118">
        <w:rPr>
          <w:rFonts w:cs="Arial"/>
          <w:szCs w:val="22"/>
        </w:rPr>
        <w:t xml:space="preserve">Systems, structures, and components (SSCs) that </w:t>
      </w:r>
      <w:r w:rsidR="00FE3118">
        <w:rPr>
          <w:rFonts w:cs="Arial"/>
          <w:szCs w:val="22"/>
        </w:rPr>
        <w:t>support the ability to</w:t>
      </w:r>
      <w:r w:rsidR="00FE3118" w:rsidRPr="00FE3118">
        <w:rPr>
          <w:rFonts w:cs="Arial"/>
          <w:szCs w:val="22"/>
        </w:rPr>
        <w:t xml:space="preserve"> achieve and maintain the credited shutdown reactivity conditions (either hot or cold shutdown depending on the plant).  This includes SSCs that support the </w:t>
      </w:r>
      <w:r w:rsidR="00FE3118">
        <w:rPr>
          <w:rFonts w:cs="Arial"/>
          <w:szCs w:val="22"/>
        </w:rPr>
        <w:t xml:space="preserve">long-term </w:t>
      </w:r>
      <w:r w:rsidR="00FE3118" w:rsidRPr="00FE3118">
        <w:rPr>
          <w:rFonts w:cs="Arial"/>
          <w:szCs w:val="22"/>
        </w:rPr>
        <w:t xml:space="preserve">ability of the safe shutdown equipment to perform its function, such as </w:t>
      </w:r>
      <w:r w:rsidR="00FE3118">
        <w:rPr>
          <w:rFonts w:cs="Arial"/>
          <w:szCs w:val="22"/>
        </w:rPr>
        <w:t>water supply tanks</w:t>
      </w:r>
      <w:r w:rsidR="00213718">
        <w:rPr>
          <w:rFonts w:cs="Arial"/>
          <w:szCs w:val="22"/>
        </w:rPr>
        <w:t xml:space="preserve">, HVAC systems, </w:t>
      </w:r>
      <w:r w:rsidR="00213718">
        <w:rPr>
          <w:rFonts w:cs="Arial"/>
          <w:szCs w:val="22"/>
        </w:rPr>
        <w:lastRenderedPageBreak/>
        <w:t>and small diversion paths</w:t>
      </w:r>
      <w:r w:rsidR="00FE3118" w:rsidRPr="00FE3118">
        <w:rPr>
          <w:rFonts w:cs="Arial"/>
          <w:szCs w:val="22"/>
        </w:rPr>
        <w:t>.</w:t>
      </w:r>
      <w:r w:rsidR="00213718">
        <w:rPr>
          <w:rFonts w:cs="Arial"/>
          <w:szCs w:val="22"/>
        </w:rPr>
        <w:t xml:space="preserve">  </w:t>
      </w:r>
      <w:r w:rsidR="00083418">
        <w:rPr>
          <w:rFonts w:cs="Arial"/>
          <w:szCs w:val="22"/>
        </w:rPr>
        <w:t xml:space="preserve">For the purposes of the this SDP, equipment that is required for safe shutdown is a subset of equipment important to safe shutdown.  Therefore, equipment that is important to safe shutdown is not always required for safe shutdown.  </w:t>
      </w:r>
      <w:r w:rsidR="00213718" w:rsidRPr="00213718">
        <w:rPr>
          <w:rFonts w:cs="Arial"/>
          <w:szCs w:val="22"/>
        </w:rPr>
        <w:t xml:space="preserve">See also: </w:t>
      </w:r>
      <w:r w:rsidR="00213718" w:rsidRPr="00213718">
        <w:rPr>
          <w:rFonts w:cs="Arial"/>
          <w:i/>
          <w:iCs/>
          <w:szCs w:val="22"/>
        </w:rPr>
        <w:t>Safe Shutdown Systems and Equipment</w:t>
      </w:r>
      <w:r w:rsidR="00083418">
        <w:rPr>
          <w:rFonts w:cs="Arial"/>
          <w:i/>
          <w:iCs/>
          <w:szCs w:val="22"/>
        </w:rPr>
        <w:t>, Required for Safe Shutdown</w:t>
      </w:r>
      <w:r w:rsidR="00213718" w:rsidRPr="00213718">
        <w:rPr>
          <w:rFonts w:cs="Arial"/>
          <w:i/>
          <w:iCs/>
          <w:szCs w:val="22"/>
        </w:rPr>
        <w:t xml:space="preserve">. </w:t>
      </w:r>
      <w:r w:rsidR="00213718" w:rsidRPr="00213718">
        <w:rPr>
          <w:rFonts w:cs="Arial"/>
          <w:iCs/>
          <w:szCs w:val="22"/>
        </w:rPr>
        <w:t>(Reference 7)</w:t>
      </w:r>
    </w:p>
    <w:p w14:paraId="2B19B2E3" w14:textId="77777777" w:rsidR="00CC7CDC" w:rsidRDefault="00CC7CDC" w:rsidP="00AE10AB">
      <w:pPr>
        <w:widowControl/>
        <w:rPr>
          <w:rFonts w:cs="Arial"/>
          <w:szCs w:val="22"/>
          <w:u w:val="single"/>
        </w:rPr>
      </w:pPr>
    </w:p>
    <w:p w14:paraId="6189D1BB" w14:textId="2939D7D4" w:rsidR="005A24A2" w:rsidRPr="005A24A2" w:rsidRDefault="005A24A2" w:rsidP="00AE10AB">
      <w:pPr>
        <w:widowControl/>
        <w:rPr>
          <w:rFonts w:cs="Arial"/>
          <w:szCs w:val="22"/>
        </w:rPr>
      </w:pPr>
      <w:r w:rsidRPr="005A24A2">
        <w:rPr>
          <w:rFonts w:cs="Arial"/>
          <w:szCs w:val="22"/>
          <w:u w:val="single"/>
        </w:rPr>
        <w:t>Ignition Source</w:t>
      </w:r>
      <w:r w:rsidRPr="005A24A2">
        <w:rPr>
          <w:rFonts w:cs="Arial"/>
          <w:szCs w:val="22"/>
        </w:rPr>
        <w:t>:</w:t>
      </w:r>
      <w:r>
        <w:rPr>
          <w:rFonts w:cs="Arial"/>
          <w:szCs w:val="22"/>
        </w:rPr>
        <w:t xml:space="preserve"> </w:t>
      </w:r>
      <w:r w:rsidR="0070712E">
        <w:rPr>
          <w:rFonts w:cs="Arial"/>
          <w:szCs w:val="22"/>
        </w:rPr>
        <w:t xml:space="preserve"> </w:t>
      </w:r>
      <w:r w:rsidRPr="005A24A2">
        <w:rPr>
          <w:rFonts w:cs="Arial"/>
          <w:szCs w:val="22"/>
        </w:rPr>
        <w:t>Piece of equipment or activity that causes a fire.</w:t>
      </w:r>
      <w:r>
        <w:rPr>
          <w:rFonts w:cs="Arial"/>
          <w:szCs w:val="22"/>
        </w:rPr>
        <w:t xml:space="preserve"> (</w:t>
      </w:r>
      <w:r w:rsidR="001B63D5">
        <w:rPr>
          <w:rFonts w:cs="Arial"/>
          <w:szCs w:val="22"/>
        </w:rPr>
        <w:t>Reference 8</w:t>
      </w:r>
      <w:r>
        <w:rPr>
          <w:rFonts w:cs="Arial"/>
          <w:szCs w:val="22"/>
        </w:rPr>
        <w:t>)</w:t>
      </w:r>
    </w:p>
    <w:p w14:paraId="124C99EA" w14:textId="5455289C" w:rsidR="005A24A2" w:rsidRPr="005A24A2" w:rsidRDefault="005A24A2" w:rsidP="00AE10AB">
      <w:pPr>
        <w:widowControl/>
        <w:rPr>
          <w:rFonts w:cs="Arial"/>
          <w:szCs w:val="22"/>
        </w:rPr>
      </w:pPr>
    </w:p>
    <w:p w14:paraId="6203C103" w14:textId="3725DCBF" w:rsidR="005A24A2" w:rsidRPr="005A24A2" w:rsidRDefault="005A24A2" w:rsidP="005A24A2">
      <w:pPr>
        <w:widowControl/>
        <w:rPr>
          <w:rFonts w:cs="Arial"/>
          <w:szCs w:val="22"/>
        </w:rPr>
      </w:pPr>
      <w:r w:rsidRPr="005A24A2">
        <w:rPr>
          <w:rFonts w:cs="Arial"/>
          <w:szCs w:val="22"/>
          <w:u w:val="single"/>
        </w:rPr>
        <w:t>Ignition Source Weighting Factor</w:t>
      </w:r>
      <w:r w:rsidRPr="002E5489">
        <w:rPr>
          <w:rFonts w:cs="Arial"/>
          <w:szCs w:val="22"/>
        </w:rPr>
        <w:t>:</w:t>
      </w:r>
      <w:r w:rsidRPr="005A24A2">
        <w:rPr>
          <w:rFonts w:cs="Arial"/>
          <w:szCs w:val="22"/>
        </w:rPr>
        <w:t xml:space="preserve"> </w:t>
      </w:r>
      <w:r w:rsidR="0070712E">
        <w:rPr>
          <w:rFonts w:cs="Arial"/>
          <w:szCs w:val="22"/>
        </w:rPr>
        <w:t xml:space="preserve"> </w:t>
      </w:r>
      <w:r w:rsidRPr="005A24A2">
        <w:rPr>
          <w:rFonts w:cs="Arial"/>
          <w:szCs w:val="22"/>
        </w:rPr>
        <w:t>Fraction used to translate generic fire frequencies for a generic location/ignition source to specific ignition sources within the plant. (</w:t>
      </w:r>
      <w:r w:rsidR="00A24E94">
        <w:rPr>
          <w:rFonts w:cs="Arial"/>
          <w:szCs w:val="22"/>
        </w:rPr>
        <w:t>Reference 8</w:t>
      </w:r>
      <w:r w:rsidRPr="005A24A2">
        <w:rPr>
          <w:rFonts w:cs="Arial"/>
          <w:szCs w:val="22"/>
        </w:rPr>
        <w:t>)</w:t>
      </w:r>
    </w:p>
    <w:p w14:paraId="61769BBA" w14:textId="77777777" w:rsidR="005A24A2" w:rsidRDefault="005A24A2" w:rsidP="00AE10AB">
      <w:pPr>
        <w:widowControl/>
        <w:rPr>
          <w:rFonts w:cs="Arial"/>
        </w:rPr>
      </w:pPr>
    </w:p>
    <w:p w14:paraId="00ED4D3B" w14:textId="7B92750C" w:rsidR="005A24A2" w:rsidRDefault="005A24A2" w:rsidP="005A24A2">
      <w:pPr>
        <w:widowControl/>
        <w:rPr>
          <w:rFonts w:cs="Arial"/>
        </w:rPr>
      </w:pPr>
      <w:r w:rsidRPr="005A24A2">
        <w:rPr>
          <w:rFonts w:cs="Arial"/>
          <w:u w:val="single"/>
        </w:rPr>
        <w:t>Natural Ventilation</w:t>
      </w:r>
      <w:r w:rsidRPr="002E5489">
        <w:rPr>
          <w:rFonts w:cs="Arial"/>
        </w:rPr>
        <w:t>:</w:t>
      </w:r>
      <w:r>
        <w:rPr>
          <w:rFonts w:cs="Arial"/>
        </w:rPr>
        <w:t xml:space="preserve"> </w:t>
      </w:r>
      <w:r w:rsidR="0070712E">
        <w:rPr>
          <w:rFonts w:cs="Arial"/>
        </w:rPr>
        <w:t xml:space="preserve"> </w:t>
      </w:r>
      <w:r w:rsidRPr="005A24A2">
        <w:rPr>
          <w:rFonts w:cs="Arial"/>
        </w:rPr>
        <w:t>Gas flows into or out of the room induced by density differences between</w:t>
      </w:r>
      <w:r>
        <w:rPr>
          <w:rFonts w:cs="Arial"/>
        </w:rPr>
        <w:t xml:space="preserve">     </w:t>
      </w:r>
      <w:r w:rsidRPr="005A24A2">
        <w:rPr>
          <w:rFonts w:cs="Arial"/>
        </w:rPr>
        <w:t>the fluids. In enclosure fires, density differences are observed between</w:t>
      </w:r>
      <w:r>
        <w:rPr>
          <w:rFonts w:cs="Arial"/>
        </w:rPr>
        <w:t xml:space="preserve"> </w:t>
      </w:r>
      <w:r w:rsidRPr="005A24A2">
        <w:rPr>
          <w:rFonts w:cs="Arial"/>
        </w:rPr>
        <w:t>colder fresh air and hot smoke.</w:t>
      </w:r>
      <w:r>
        <w:rPr>
          <w:rFonts w:cs="Arial"/>
        </w:rPr>
        <w:t xml:space="preserve"> (</w:t>
      </w:r>
      <w:r w:rsidR="00A24E94">
        <w:rPr>
          <w:rFonts w:cs="Arial"/>
        </w:rPr>
        <w:t>Reference 8</w:t>
      </w:r>
      <w:r>
        <w:rPr>
          <w:rFonts w:cs="Arial"/>
        </w:rPr>
        <w:t>)</w:t>
      </w:r>
    </w:p>
    <w:p w14:paraId="18F40567" w14:textId="77777777" w:rsidR="005A24A2" w:rsidRDefault="005A24A2" w:rsidP="00AE10AB">
      <w:pPr>
        <w:widowControl/>
        <w:rPr>
          <w:rFonts w:cs="Arial"/>
        </w:rPr>
      </w:pPr>
    </w:p>
    <w:p w14:paraId="11D41BC6" w14:textId="45986313"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Non-Degraded</w:t>
      </w:r>
      <w:r w:rsidRPr="002E5489">
        <w:rPr>
          <w:rFonts w:cs="Arial"/>
        </w:rPr>
        <w:t>:</w:t>
      </w:r>
      <w:r w:rsidRPr="00C70CAC">
        <w:rPr>
          <w:rFonts w:cs="Arial"/>
        </w:rPr>
        <w:t xml:space="preserve"> </w:t>
      </w:r>
      <w:r w:rsidR="0070712E">
        <w:rPr>
          <w:rFonts w:cs="Arial"/>
        </w:rPr>
        <w:t xml:space="preserve"> </w:t>
      </w:r>
      <w:r w:rsidRPr="00C70CAC">
        <w:rPr>
          <w:rFonts w:cs="Arial"/>
        </w:rPr>
        <w:t>A fire protection system o</w:t>
      </w:r>
      <w:r w:rsidR="00B14FBF">
        <w:rPr>
          <w:rFonts w:cs="Arial"/>
        </w:rPr>
        <w:t>r</w:t>
      </w:r>
      <w:r w:rsidRPr="00C70CAC">
        <w:rPr>
          <w:rFonts w:cs="Arial"/>
        </w:rPr>
        <w:t xml:space="preserve"> feature that has no findings of degradation pending against it.  A non-degraded system or feature is considered fully functional.</w:t>
      </w:r>
    </w:p>
    <w:p w14:paraId="0EC939C7" w14:textId="2BB85F75" w:rsidR="00B32282"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B32CF50" w14:textId="3492F0D2" w:rsidR="0051659A" w:rsidRDefault="0051659A" w:rsidP="0070712E">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u w:val="single"/>
        </w:rPr>
        <w:t>P</w:t>
      </w:r>
      <w:r w:rsidRPr="00C70CAC">
        <w:rPr>
          <w:rFonts w:cs="Arial"/>
          <w:u w:val="single"/>
        </w:rPr>
        <w:t>hases of a Significance Determination</w:t>
      </w:r>
      <w:r w:rsidRPr="002E5489">
        <w:rPr>
          <w:rFonts w:cs="Arial"/>
        </w:rPr>
        <w:t>:</w:t>
      </w:r>
    </w:p>
    <w:p w14:paraId="6FB8E28E" w14:textId="2282A800" w:rsidR="00720955" w:rsidRPr="0051659A" w:rsidRDefault="00720955" w:rsidP="009502FE">
      <w:pPr>
        <w:pStyle w:val="ListParagraph"/>
        <w:keepNext/>
        <w:keepLines/>
        <w:widowControl/>
        <w:numPr>
          <w:ilvl w:val="0"/>
          <w:numId w:val="6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274"/>
        <w:rPr>
          <w:rFonts w:cs="Arial"/>
        </w:rPr>
      </w:pPr>
      <w:r w:rsidRPr="0051659A">
        <w:rPr>
          <w:rFonts w:cs="Arial"/>
          <w:i/>
          <w:iCs/>
        </w:rPr>
        <w:t>Phase 1 - Characterization and Initial Screening of Findings:</w:t>
      </w:r>
      <w:r w:rsidRPr="0051659A">
        <w:rPr>
          <w:rFonts w:cs="Arial"/>
        </w:rPr>
        <w:t xml:space="preserve">  Precise characterization of the finding and an initial screening of very low-significance findings for disposition by the licensee’s corrective action program.</w:t>
      </w:r>
    </w:p>
    <w:p w14:paraId="7DF9EBE1" w14:textId="77777777" w:rsidR="00B32282" w:rsidRPr="0051659A" w:rsidRDefault="00B32282" w:rsidP="009502FE">
      <w:pPr>
        <w:pStyle w:val="ListParagraph"/>
        <w:widowControl/>
        <w:numPr>
          <w:ilvl w:val="0"/>
          <w:numId w:val="6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274"/>
        <w:rPr>
          <w:rFonts w:cs="Arial"/>
        </w:rPr>
      </w:pPr>
      <w:r w:rsidRPr="0051659A">
        <w:rPr>
          <w:rFonts w:cs="Arial"/>
          <w:i/>
          <w:iCs/>
        </w:rPr>
        <w:t>Phase 2 - Initial Approximation and Basis of Risk Significance:</w:t>
      </w:r>
      <w:r w:rsidRPr="0051659A">
        <w:rPr>
          <w:rFonts w:cs="Arial"/>
        </w:rPr>
        <w:t xml:space="preserve">  Initial approximation of risk significance of the finding and development of the basis for this determination for those findings that filter through the Phase 1 screening process.</w:t>
      </w:r>
    </w:p>
    <w:p w14:paraId="28C4677A" w14:textId="27EDEFE9" w:rsidR="00B32282" w:rsidRPr="0051659A" w:rsidRDefault="00B32282" w:rsidP="009502FE">
      <w:pPr>
        <w:pStyle w:val="ListParagraph"/>
        <w:widowControl/>
        <w:numPr>
          <w:ilvl w:val="0"/>
          <w:numId w:val="6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274"/>
        <w:rPr>
          <w:rFonts w:cs="Arial"/>
        </w:rPr>
      </w:pPr>
      <w:r w:rsidRPr="0051659A">
        <w:rPr>
          <w:rFonts w:cs="Arial"/>
          <w:i/>
          <w:iCs/>
        </w:rPr>
        <w:t>Phase 3 - Finalized Determination and Basis of Risk Significance:</w:t>
      </w:r>
      <w:r w:rsidRPr="0051659A">
        <w:rPr>
          <w:rFonts w:cs="Arial"/>
        </w:rPr>
        <w:t xml:space="preserve">  Review and perform as-needed refinement of the risk significance estimation results from Phase 2, or perform any risk significance analysis outside of this guidance, by an NRC risk analyst</w:t>
      </w:r>
      <w:r w:rsidR="00B14FBF">
        <w:rPr>
          <w:rFonts w:cs="Arial"/>
        </w:rPr>
        <w:t>.</w:t>
      </w:r>
      <w:r w:rsidRPr="0051659A">
        <w:rPr>
          <w:rFonts w:cs="Arial"/>
        </w:rPr>
        <w:t xml:space="preserve"> </w:t>
      </w:r>
      <w:r w:rsidR="00B14FBF">
        <w:rPr>
          <w:rFonts w:cs="Arial"/>
        </w:rPr>
        <w:t>A</w:t>
      </w:r>
      <w:r w:rsidRPr="0051659A">
        <w:rPr>
          <w:rFonts w:cs="Arial"/>
        </w:rPr>
        <w:t>ny departure from the guidance provided in this document for Phase 1 or Phase 2 analysis constitutes a Phase 3 analysis and must be performed by an NRC risk analyst.</w:t>
      </w:r>
    </w:p>
    <w:p w14:paraId="11C2855F"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005D46E" w14:textId="6E198400" w:rsidR="001D1E81" w:rsidRPr="00C70CAC" w:rsidRDefault="00B32282" w:rsidP="00AE10AB">
      <w:pPr>
        <w:widowControl/>
        <w:rPr>
          <w:rFonts w:cs="Arial"/>
        </w:rPr>
      </w:pPr>
      <w:r w:rsidRPr="00C70CAC">
        <w:rPr>
          <w:rFonts w:cs="Arial"/>
          <w:u w:val="single"/>
        </w:rPr>
        <w:t>Post-Fire Safe Shutdown Response</w:t>
      </w:r>
      <w:r w:rsidRPr="002E5489">
        <w:rPr>
          <w:rFonts w:cs="Arial"/>
        </w:rPr>
        <w:t>:</w:t>
      </w:r>
      <w:r w:rsidRPr="00C70CAC">
        <w:rPr>
          <w:rFonts w:cs="Arial"/>
        </w:rPr>
        <w:t xml:space="preserve"> </w:t>
      </w:r>
      <w:r w:rsidR="0070712E">
        <w:rPr>
          <w:rFonts w:cs="Arial"/>
        </w:rPr>
        <w:t xml:space="preserve"> </w:t>
      </w:r>
      <w:r w:rsidR="00B14FBF" w:rsidRPr="00C70CAC">
        <w:rPr>
          <w:rFonts w:cs="Arial"/>
        </w:rPr>
        <w:t>Th</w:t>
      </w:r>
      <w:r w:rsidR="00B14FBF">
        <w:rPr>
          <w:rFonts w:cs="Arial"/>
        </w:rPr>
        <w:t>e</w:t>
      </w:r>
      <w:r w:rsidR="00B14FBF" w:rsidRPr="00C70CAC">
        <w:rPr>
          <w:rFonts w:cs="Arial"/>
        </w:rPr>
        <w:t xml:space="preserve"> </w:t>
      </w:r>
      <w:r w:rsidRPr="00C70CAC">
        <w:rPr>
          <w:rFonts w:cs="Arial"/>
        </w:rPr>
        <w:t>part of a fire scenario that involves the plant response, including operator actions, to fire-induced damage to a specific and pre-determined set of plant components and systems.  An analysis of the post-fire safe shutdown response scenario typically involves identification of one or more relevant plant accident sequence initiating events, application of plant system modeling event trees and/or fault trees, the assessment of automatic plant responses, the assessment of component and system failure modes and effects (circuit analysis), and the analysis of operator responses and actions, all intended to</w:t>
      </w:r>
      <w:r w:rsidR="001D1E81" w:rsidRPr="00C70CAC">
        <w:rPr>
          <w:rFonts w:cs="Arial"/>
        </w:rPr>
        <w:t xml:space="preserve"> achieve a safe and stable plant shutdown state</w:t>
      </w:r>
      <w:r w:rsidR="007F385D">
        <w:rPr>
          <w:rFonts w:cs="Arial"/>
        </w:rPr>
        <w:t>, i.e., avoid core damage</w:t>
      </w:r>
      <w:r w:rsidR="001D1E81" w:rsidRPr="00C70CAC">
        <w:rPr>
          <w:rFonts w:cs="Arial"/>
        </w:rPr>
        <w:t>.</w:t>
      </w:r>
    </w:p>
    <w:p w14:paraId="7A033E27" w14:textId="77777777" w:rsidR="001D1E81" w:rsidRPr="00C70CAC" w:rsidRDefault="001D1E81" w:rsidP="00AE10AB">
      <w:pPr>
        <w:widowControl/>
        <w:rPr>
          <w:rFonts w:cs="Arial"/>
        </w:rPr>
      </w:pPr>
    </w:p>
    <w:p w14:paraId="6974614A" w14:textId="36A9C462" w:rsidR="001D1E81" w:rsidRPr="00C70CAC" w:rsidRDefault="001D1E81" w:rsidP="00DF5F97">
      <w:pPr>
        <w:widowControl/>
        <w:rPr>
          <w:rFonts w:cs="Arial"/>
        </w:rPr>
      </w:pPr>
      <w:r w:rsidRPr="00C70CAC">
        <w:rPr>
          <w:rFonts w:cs="Arial"/>
          <w:u w:val="single"/>
        </w:rPr>
        <w:t>Qualified Cable</w:t>
      </w:r>
      <w:r w:rsidRPr="002E5489">
        <w:rPr>
          <w:rFonts w:cs="Arial"/>
        </w:rPr>
        <w:t>:</w:t>
      </w:r>
      <w:r w:rsidRPr="00C70CAC">
        <w:rPr>
          <w:rFonts w:cs="Arial"/>
        </w:rPr>
        <w:t xml:space="preserve"> </w:t>
      </w:r>
      <w:r w:rsidR="0070712E">
        <w:rPr>
          <w:rFonts w:cs="Arial"/>
        </w:rPr>
        <w:t xml:space="preserve"> </w:t>
      </w:r>
      <w:r w:rsidRPr="00C70CAC">
        <w:rPr>
          <w:rFonts w:cs="Arial"/>
        </w:rPr>
        <w:t>A cable that is certified for use in severe accident environmental conditions per the full suite of performance tests specified in IEEE-</w:t>
      </w:r>
      <w:r w:rsidR="005C7FE4" w:rsidRPr="00C70CAC">
        <w:rPr>
          <w:rFonts w:cs="Arial"/>
        </w:rPr>
        <w:t>383, which</w:t>
      </w:r>
      <w:r w:rsidRPr="00C70CAC">
        <w:rPr>
          <w:rFonts w:cs="Arial"/>
        </w:rPr>
        <w:t xml:space="preserve"> includes a flame spread test.</w:t>
      </w:r>
      <w:r>
        <w:rPr>
          <w:rFonts w:cs="Arial"/>
        </w:rPr>
        <w:t xml:space="preserve">  </w:t>
      </w:r>
      <w:r w:rsidR="00DF5F97" w:rsidRPr="00DF5F97">
        <w:t xml:space="preserve"> </w:t>
      </w:r>
      <w:r w:rsidR="00DF5F97" w:rsidRPr="00DF5F97">
        <w:rPr>
          <w:rFonts w:cs="Arial"/>
        </w:rPr>
        <w:t>Cables</w:t>
      </w:r>
      <w:r w:rsidR="00DF5F97">
        <w:rPr>
          <w:rFonts w:cs="Arial"/>
        </w:rPr>
        <w:t xml:space="preserve"> </w:t>
      </w:r>
      <w:r w:rsidR="00DF5F97" w:rsidRPr="00DF5F97">
        <w:rPr>
          <w:rFonts w:cs="Arial"/>
        </w:rPr>
        <w:t>using thermoset insulation are usually qualified to IEEE</w:t>
      </w:r>
      <w:r w:rsidR="00DF5F97">
        <w:rPr>
          <w:rFonts w:cs="Arial"/>
        </w:rPr>
        <w:t>-</w:t>
      </w:r>
      <w:r w:rsidR="00DF5F97" w:rsidRPr="00DF5F97">
        <w:rPr>
          <w:rFonts w:cs="Arial"/>
        </w:rPr>
        <w:t xml:space="preserve">383. </w:t>
      </w:r>
      <w:r w:rsidR="00DF5F97">
        <w:rPr>
          <w:rFonts w:cs="Arial"/>
        </w:rPr>
        <w:t xml:space="preserve"> </w:t>
      </w:r>
      <w:r w:rsidR="00DF5F97" w:rsidRPr="00DF5F97">
        <w:rPr>
          <w:rFonts w:cs="Arial"/>
        </w:rPr>
        <w:t>In general, cables that pass</w:t>
      </w:r>
      <w:r w:rsidR="00DF5F97">
        <w:rPr>
          <w:rFonts w:cs="Arial"/>
        </w:rPr>
        <w:t xml:space="preserve"> </w:t>
      </w:r>
      <w:r w:rsidR="00B14FBF" w:rsidRPr="00DF5F97">
        <w:rPr>
          <w:rFonts w:cs="Arial"/>
        </w:rPr>
        <w:t>IEEE</w:t>
      </w:r>
      <w:r w:rsidR="00B14FBF">
        <w:rPr>
          <w:rFonts w:cs="Arial"/>
        </w:rPr>
        <w:t>-</w:t>
      </w:r>
      <w:r w:rsidR="00DF5F97" w:rsidRPr="00DF5F97">
        <w:rPr>
          <w:rFonts w:cs="Arial"/>
        </w:rPr>
        <w:t xml:space="preserve">383 rating (i.e., </w:t>
      </w:r>
      <w:r w:rsidR="00B14FBF" w:rsidRPr="00DF5F97">
        <w:rPr>
          <w:rFonts w:cs="Arial"/>
        </w:rPr>
        <w:t>IEEE</w:t>
      </w:r>
      <w:r w:rsidR="00B14FBF">
        <w:rPr>
          <w:rFonts w:cs="Arial"/>
        </w:rPr>
        <w:t>-</w:t>
      </w:r>
      <w:r w:rsidR="00DF5F97" w:rsidRPr="00DF5F97">
        <w:rPr>
          <w:rFonts w:cs="Arial"/>
        </w:rPr>
        <w:t>383 qualified) are thermoset cables.</w:t>
      </w:r>
      <w:r w:rsidR="00DF5F97">
        <w:rPr>
          <w:rFonts w:cs="Arial"/>
        </w:rPr>
        <w:t xml:space="preserve"> </w:t>
      </w:r>
      <w:r w:rsidR="001B63D5">
        <w:rPr>
          <w:rFonts w:cs="Arial"/>
        </w:rPr>
        <w:t>(Reference 10)</w:t>
      </w:r>
      <w:r w:rsidR="00DF5F97" w:rsidRPr="00DF5F97">
        <w:rPr>
          <w:rStyle w:val="CommentReference"/>
          <w:rFonts w:cs="Arial"/>
        </w:rPr>
        <w:t xml:space="preserve"> </w:t>
      </w:r>
    </w:p>
    <w:p w14:paraId="30C54F4A" w14:textId="77777777" w:rsidR="001D1E81" w:rsidRPr="00C70CAC" w:rsidRDefault="001D1E81" w:rsidP="00AE10AB">
      <w:pPr>
        <w:widowControl/>
        <w:rPr>
          <w:rFonts w:cs="Arial"/>
        </w:rPr>
      </w:pPr>
    </w:p>
    <w:p w14:paraId="0DBBFB96" w14:textId="29DFC649"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Raceway</w:t>
      </w:r>
      <w:r w:rsidRPr="002E5489">
        <w:rPr>
          <w:rFonts w:cs="Arial"/>
        </w:rPr>
        <w:t>:</w:t>
      </w:r>
      <w:r w:rsidRPr="00C70CAC">
        <w:rPr>
          <w:rFonts w:cs="Arial"/>
        </w:rPr>
        <w:t xml:space="preserve">  An enclosed channel of metal or nonmetallic materials designed expressly for holding wires, cables, or </w:t>
      </w:r>
      <w:r w:rsidR="00E17E8E" w:rsidRPr="00C70CAC">
        <w:rPr>
          <w:rFonts w:cs="Arial"/>
        </w:rPr>
        <w:t>bus bars</w:t>
      </w:r>
      <w:r w:rsidRPr="00C70CAC">
        <w:rPr>
          <w:rFonts w:cs="Arial"/>
        </w:rPr>
        <w:t>, with additional functions as permitted by code. Raceways include, but are not limited to, rigid metal conduit, rigid nonmetallic conduit, intermediate metal conduit, liquid</w:t>
      </w:r>
      <w:r w:rsidRPr="00C70CAC">
        <w:rPr>
          <w:rFonts w:cs="Arial"/>
        </w:rPr>
        <w:noBreakHyphen/>
        <w:t xml:space="preserve">tight flexible conduit, flexible metallic tubing, flexible metal conduit, electrical nonmetallic tubing, electrical metallic tubing, underfloor raceways, cellular concrete floor </w:t>
      </w:r>
      <w:r w:rsidRPr="00C70CAC">
        <w:rPr>
          <w:rFonts w:cs="Arial"/>
        </w:rPr>
        <w:lastRenderedPageBreak/>
        <w:t>raceways, cellular metal floor raceways, surface raceways, wireways, and busways. (</w:t>
      </w:r>
      <w:r w:rsidR="004A391D">
        <w:rPr>
          <w:rFonts w:cs="Arial"/>
        </w:rPr>
        <w:t>Reference </w:t>
      </w:r>
      <w:r w:rsidR="00EB7048">
        <w:rPr>
          <w:rFonts w:cs="Arial"/>
        </w:rPr>
        <w:t>7</w:t>
      </w:r>
      <w:r w:rsidRPr="00C70CAC">
        <w:rPr>
          <w:rFonts w:cs="Arial"/>
        </w:rPr>
        <w:t>)</w:t>
      </w:r>
    </w:p>
    <w:p w14:paraId="7FAF6163"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6380024" w14:textId="4B07D4D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Raceway Fire Barrier</w:t>
      </w:r>
      <w:r w:rsidRPr="002E5489">
        <w:rPr>
          <w:rFonts w:cs="Arial"/>
        </w:rPr>
        <w:t>:</w:t>
      </w:r>
      <w:r w:rsidRPr="00C70CAC">
        <w:rPr>
          <w:rFonts w:cs="Arial"/>
        </w:rPr>
        <w:t xml:space="preserve">  Non</w:t>
      </w:r>
      <w:r w:rsidRPr="00C70CAC">
        <w:rPr>
          <w:rFonts w:cs="Arial"/>
        </w:rPr>
        <w:noBreakHyphen/>
        <w:t>load</w:t>
      </w:r>
      <w:r w:rsidRPr="00C70CAC">
        <w:rPr>
          <w:rFonts w:cs="Arial"/>
        </w:rPr>
        <w:noBreakHyphen/>
        <w:t>bearing partition type envelope system installed around electrical components and cabling that are rated by test laboratories in hours of fire resistance and are used to maintain safe shutdown functions free of fire damage. (</w:t>
      </w:r>
      <w:r w:rsidR="00EB7048">
        <w:rPr>
          <w:rFonts w:cs="Arial"/>
        </w:rPr>
        <w:t>Reference 7</w:t>
      </w:r>
      <w:r w:rsidRPr="00C70CAC">
        <w:rPr>
          <w:rFonts w:cs="Arial"/>
        </w:rPr>
        <w:t>)</w:t>
      </w:r>
    </w:p>
    <w:p w14:paraId="2D6A0B38"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83D2847" w14:textId="067D2023"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Radiant Energy (Heat) Shield</w:t>
      </w:r>
      <w:r w:rsidRPr="002E5489">
        <w:rPr>
          <w:rFonts w:cs="Arial"/>
        </w:rPr>
        <w:t>:</w:t>
      </w:r>
      <w:r w:rsidRPr="00C70CAC">
        <w:rPr>
          <w:rFonts w:cs="Arial"/>
        </w:rPr>
        <w:t xml:space="preserve">  A noncombustible or fire resistive barrier installed to provide separation protection of redundant cables, equipment, and associated non</w:t>
      </w:r>
      <w:r w:rsidRPr="00C70CAC">
        <w:rPr>
          <w:rFonts w:cs="Arial"/>
        </w:rPr>
        <w:noBreakHyphen/>
        <w:t>safety circuits within containment. (</w:t>
      </w:r>
      <w:r w:rsidR="00EB7048">
        <w:rPr>
          <w:rFonts w:cs="Arial"/>
        </w:rPr>
        <w:t>Reference 7</w:t>
      </w:r>
      <w:r w:rsidRPr="00C70CAC">
        <w:rPr>
          <w:rFonts w:cs="Arial"/>
        </w:rPr>
        <w:t>)</w:t>
      </w:r>
    </w:p>
    <w:p w14:paraId="3D3F09D4"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59CE89C" w14:textId="01C4561D" w:rsidR="00CC7CDC" w:rsidRDefault="00CC7CDC"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r>
        <w:rPr>
          <w:rFonts w:cs="Arial"/>
          <w:u w:val="single"/>
        </w:rPr>
        <w:t>Required for Safe Shutdown</w:t>
      </w:r>
      <w:r w:rsidRPr="00E2311C">
        <w:rPr>
          <w:rFonts w:cs="Arial"/>
        </w:rPr>
        <w:t>:</w:t>
      </w:r>
      <w:r w:rsidR="00FE3118">
        <w:rPr>
          <w:rFonts w:cs="Arial"/>
        </w:rPr>
        <w:t xml:space="preserve"> Systems, structures, and components (SSCs) that are required to achieve and maintain the credited shutdown reactivity conditions (either hot or cold shutdown depending on the plant).  This includes SSCs that directly support the </w:t>
      </w:r>
      <w:r w:rsidR="00213718">
        <w:rPr>
          <w:rFonts w:cs="Arial"/>
        </w:rPr>
        <w:t xml:space="preserve">short-term </w:t>
      </w:r>
      <w:r w:rsidR="00FE3118">
        <w:rPr>
          <w:rFonts w:cs="Arial"/>
        </w:rPr>
        <w:t>ability of the safe shutdown equipment to perform its f</w:t>
      </w:r>
      <w:r w:rsidR="00213718">
        <w:rPr>
          <w:rFonts w:cs="Arial"/>
        </w:rPr>
        <w:t xml:space="preserve">unction, such as power supplies, </w:t>
      </w:r>
      <w:r w:rsidR="00FE3118">
        <w:rPr>
          <w:rFonts w:cs="Arial"/>
        </w:rPr>
        <w:t>instrumentation</w:t>
      </w:r>
      <w:r w:rsidR="00213718">
        <w:rPr>
          <w:rFonts w:cs="Arial"/>
        </w:rPr>
        <w:t>, and large diversion paths</w:t>
      </w:r>
      <w:r w:rsidR="00FE3118">
        <w:rPr>
          <w:rFonts w:cs="Arial"/>
        </w:rPr>
        <w:t>.</w:t>
      </w:r>
      <w:r w:rsidR="00213718">
        <w:rPr>
          <w:rFonts w:cs="Arial"/>
        </w:rPr>
        <w:t xml:space="preserve">  </w:t>
      </w:r>
      <w:r w:rsidR="00083418">
        <w:rPr>
          <w:rFonts w:cs="Arial"/>
        </w:rPr>
        <w:t xml:space="preserve">For the purposes of this SDP, equipment that is required for safe shutdown is a subset of equipment important to safe shutdown.  Therefore, any equipment that is required for safe shutdown is also considered important to safe shutdown.  </w:t>
      </w:r>
      <w:r w:rsidR="00213718" w:rsidRPr="00213718">
        <w:rPr>
          <w:rFonts w:cs="Arial"/>
        </w:rPr>
        <w:t xml:space="preserve">See also: </w:t>
      </w:r>
      <w:r w:rsidR="00083418">
        <w:rPr>
          <w:rFonts w:cs="Arial"/>
          <w:i/>
          <w:iCs/>
        </w:rPr>
        <w:t>Important to Safe Shutdown,</w:t>
      </w:r>
      <w:r w:rsidR="00083418" w:rsidRPr="00213718">
        <w:rPr>
          <w:rFonts w:cs="Arial"/>
          <w:i/>
          <w:iCs/>
        </w:rPr>
        <w:t xml:space="preserve"> </w:t>
      </w:r>
      <w:r w:rsidR="00213718" w:rsidRPr="00213718">
        <w:rPr>
          <w:rFonts w:cs="Arial"/>
          <w:i/>
          <w:iCs/>
        </w:rPr>
        <w:t>Safe Shutdown</w:t>
      </w:r>
      <w:r w:rsidR="00213718">
        <w:rPr>
          <w:rFonts w:cs="Arial"/>
          <w:i/>
          <w:iCs/>
        </w:rPr>
        <w:t xml:space="preserve"> Systems and Equipment. </w:t>
      </w:r>
      <w:r w:rsidR="00213718" w:rsidRPr="00E2311C">
        <w:rPr>
          <w:rFonts w:cs="Arial"/>
          <w:iCs/>
        </w:rPr>
        <w:t>(Reference 7)</w:t>
      </w:r>
    </w:p>
    <w:p w14:paraId="4DF85D6D" w14:textId="77777777" w:rsidR="00CC7CDC" w:rsidRDefault="00CC7CDC"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3668E248" w14:textId="0F947926"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Remote Shutdown</w:t>
      </w:r>
      <w:r w:rsidRPr="002E5489">
        <w:rPr>
          <w:rFonts w:cs="Arial"/>
        </w:rPr>
        <w:t>:</w:t>
      </w:r>
      <w:r w:rsidRPr="00C70CAC">
        <w:rPr>
          <w:rFonts w:cs="Arial"/>
        </w:rPr>
        <w:t xml:space="preserve">  The capability, including necessary instrumentation and controls, to safely shut down the reactor and maintain shutdown conditions from outside the main control room (see GDC 19).  See also: </w:t>
      </w:r>
      <w:r w:rsidRPr="00C70CAC">
        <w:rPr>
          <w:rFonts w:cs="Arial"/>
          <w:i/>
          <w:iCs/>
        </w:rPr>
        <w:t>Alternative Shutdown</w:t>
      </w:r>
      <w:r w:rsidRPr="00C70CAC">
        <w:rPr>
          <w:rFonts w:cs="Arial"/>
        </w:rPr>
        <w:t>.  (</w:t>
      </w:r>
      <w:r w:rsidR="00EB7048">
        <w:rPr>
          <w:rFonts w:cs="Arial"/>
        </w:rPr>
        <w:t>Reference 7</w:t>
      </w:r>
      <w:r w:rsidRPr="00C70CAC">
        <w:rPr>
          <w:rFonts w:cs="Arial"/>
        </w:rPr>
        <w:t>)</w:t>
      </w:r>
    </w:p>
    <w:p w14:paraId="70BDBCF2"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A06731F" w14:textId="08974B9D"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Safe Shutdown (SSD) Systems and Equipment</w:t>
      </w:r>
      <w:r w:rsidRPr="002E5489">
        <w:rPr>
          <w:rFonts w:cs="Arial"/>
        </w:rPr>
        <w:t>:</w:t>
      </w:r>
      <w:r w:rsidRPr="00C70CAC">
        <w:rPr>
          <w:rFonts w:cs="Arial"/>
        </w:rPr>
        <w:t xml:space="preserve">  Systems and equipment that perform functions needed to achieve and maintain </w:t>
      </w:r>
      <w:r w:rsidR="009502FE">
        <w:rPr>
          <w:rFonts w:cs="Arial"/>
        </w:rPr>
        <w:t>SSD</w:t>
      </w:r>
      <w:r w:rsidRPr="00C70CAC">
        <w:rPr>
          <w:rFonts w:cs="Arial"/>
        </w:rPr>
        <w:t xml:space="preserve"> regardless of whether or not the system or equipment is part of the success path for </w:t>
      </w:r>
      <w:r w:rsidR="009502FE">
        <w:rPr>
          <w:rFonts w:cs="Arial"/>
        </w:rPr>
        <w:t>SSD</w:t>
      </w:r>
      <w:r w:rsidRPr="00C70CAC">
        <w:rPr>
          <w:rFonts w:cs="Arial"/>
        </w:rPr>
        <w:t xml:space="preserve">. </w:t>
      </w:r>
      <w:r w:rsidR="00CC7CDC" w:rsidRPr="00CC7CDC">
        <w:rPr>
          <w:rFonts w:cs="Arial"/>
        </w:rPr>
        <w:t xml:space="preserve">See also: </w:t>
      </w:r>
      <w:r w:rsidR="00CC7CDC">
        <w:rPr>
          <w:rFonts w:cs="Arial"/>
          <w:i/>
          <w:iCs/>
        </w:rPr>
        <w:t>Important to Safe</w:t>
      </w:r>
      <w:r w:rsidR="00CC7CDC" w:rsidRPr="00CC7CDC">
        <w:rPr>
          <w:rFonts w:cs="Arial"/>
          <w:i/>
          <w:iCs/>
        </w:rPr>
        <w:t xml:space="preserve"> Shutdown</w:t>
      </w:r>
      <w:r w:rsidR="00CC7CDC">
        <w:rPr>
          <w:rFonts w:cs="Arial"/>
          <w:i/>
          <w:iCs/>
        </w:rPr>
        <w:t>, Required for Safe Shutdown.</w:t>
      </w:r>
      <w:r w:rsidR="00CC7CDC" w:rsidRPr="00CC7CDC">
        <w:rPr>
          <w:rFonts w:cs="Arial"/>
        </w:rPr>
        <w:t xml:space="preserve"> </w:t>
      </w:r>
      <w:r w:rsidRPr="00C70CAC">
        <w:rPr>
          <w:rFonts w:cs="Arial"/>
        </w:rPr>
        <w:t>(</w:t>
      </w:r>
      <w:r w:rsidR="00EB7048">
        <w:rPr>
          <w:rFonts w:cs="Arial"/>
        </w:rPr>
        <w:t>Reference 7</w:t>
      </w:r>
      <w:r w:rsidRPr="00C70CAC">
        <w:rPr>
          <w:rFonts w:cs="Arial"/>
        </w:rPr>
        <w:t>)</w:t>
      </w:r>
    </w:p>
    <w:p w14:paraId="247B329F"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551C6BE" w14:textId="4F841FA4"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Screen to Green</w:t>
      </w:r>
      <w:r w:rsidRPr="002E5489">
        <w:rPr>
          <w:rFonts w:cs="Arial"/>
        </w:rPr>
        <w:t>:</w:t>
      </w:r>
      <w:r w:rsidRPr="00C70CAC">
        <w:rPr>
          <w:rFonts w:cs="Arial"/>
        </w:rPr>
        <w:t xml:space="preserve"> </w:t>
      </w:r>
      <w:r w:rsidR="0070712E">
        <w:rPr>
          <w:rFonts w:cs="Arial"/>
        </w:rPr>
        <w:t xml:space="preserve"> </w:t>
      </w:r>
      <w:r w:rsidRPr="00C70CAC">
        <w:rPr>
          <w:rFonts w:cs="Arial"/>
        </w:rPr>
        <w:t xml:space="preserve">If a finding satisfies established screening criteria, it is assigned a </w:t>
      </w:r>
      <w:r w:rsidR="00215D26">
        <w:rPr>
          <w:rFonts w:cs="Arial"/>
        </w:rPr>
        <w:t>Green</w:t>
      </w:r>
      <w:r w:rsidRPr="00C70CAC">
        <w:rPr>
          <w:rFonts w:cs="Arial"/>
        </w:rPr>
        <w:t xml:space="preserve"> color rating, and the SDP analysis is complete.  Phases 1 and 2 of the Fire Protection SDP both include various qualitative and quantitative screening checks where a finding may Screen to Green.</w:t>
      </w:r>
    </w:p>
    <w:p w14:paraId="4D423DB7" w14:textId="77777777"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71243FD" w14:textId="22C87C5F"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Secondary Combustible</w:t>
      </w:r>
      <w:r w:rsidRPr="002E5489">
        <w:rPr>
          <w:rFonts w:cs="Arial"/>
        </w:rPr>
        <w:t>:</w:t>
      </w:r>
      <w:r w:rsidRPr="00C70CAC">
        <w:rPr>
          <w:rFonts w:cs="Arial"/>
        </w:rPr>
        <w:t xml:space="preserve"> </w:t>
      </w:r>
      <w:r w:rsidR="0070712E">
        <w:rPr>
          <w:rFonts w:cs="Arial"/>
        </w:rPr>
        <w:t xml:space="preserve"> </w:t>
      </w:r>
      <w:r w:rsidRPr="00C70CAC">
        <w:rPr>
          <w:rFonts w:cs="Arial"/>
        </w:rPr>
        <w:t>Any and all combustible materials that are separate and distinct from the initially ignited combustible material(s) associated with the fire ignition source scenario itself (see definition of Fire Ignition Source Scenario).  Secondary combustibles may become involved in the fire if ignited.  The ignition of secondary fuels implies a spreading fire has developed; i.e., the fire has spread beyond the fuels associated with the fire ignition source scenario.</w:t>
      </w:r>
    </w:p>
    <w:p w14:paraId="62C6FF66" w14:textId="2FBE32F9" w:rsidR="00B32282"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EB6526D" w14:textId="297CD4C3" w:rsidR="00526BF0" w:rsidRDefault="00526BF0" w:rsidP="00526BF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526BF0">
        <w:rPr>
          <w:rFonts w:cs="Arial"/>
          <w:u w:val="single"/>
        </w:rPr>
        <w:t>Severity Factor</w:t>
      </w:r>
      <w:r>
        <w:rPr>
          <w:rFonts w:cs="Arial"/>
        </w:rPr>
        <w:t xml:space="preserve">: </w:t>
      </w:r>
      <w:r w:rsidR="0070712E">
        <w:rPr>
          <w:rFonts w:cs="Arial"/>
        </w:rPr>
        <w:t xml:space="preserve"> </w:t>
      </w:r>
      <w:r w:rsidRPr="00526BF0">
        <w:rPr>
          <w:rFonts w:cs="Arial"/>
        </w:rPr>
        <w:t>Severity factor is the probability that fire ignition would include certain</w:t>
      </w:r>
      <w:r>
        <w:rPr>
          <w:rFonts w:cs="Arial"/>
        </w:rPr>
        <w:t xml:space="preserve"> </w:t>
      </w:r>
      <w:r w:rsidRPr="00526BF0">
        <w:rPr>
          <w:rFonts w:cs="Arial"/>
        </w:rPr>
        <w:t>specific conditions that influence its rate of growth, level of energy</w:t>
      </w:r>
      <w:r>
        <w:rPr>
          <w:rFonts w:cs="Arial"/>
        </w:rPr>
        <w:t xml:space="preserve"> </w:t>
      </w:r>
      <w:r w:rsidRPr="00526BF0">
        <w:rPr>
          <w:rFonts w:cs="Arial"/>
        </w:rPr>
        <w:t xml:space="preserve">emanated and duration (time to </w:t>
      </w:r>
      <w:r w:rsidR="00E17E8E" w:rsidRPr="00526BF0">
        <w:rPr>
          <w:rFonts w:cs="Arial"/>
        </w:rPr>
        <w:t>self-extinguishment</w:t>
      </w:r>
      <w:r w:rsidRPr="00526BF0">
        <w:rPr>
          <w:rFonts w:cs="Arial"/>
        </w:rPr>
        <w:t>) to levels at which</w:t>
      </w:r>
      <w:r>
        <w:rPr>
          <w:rFonts w:cs="Arial"/>
        </w:rPr>
        <w:t xml:space="preserve"> </w:t>
      </w:r>
      <w:r w:rsidRPr="00526BF0">
        <w:rPr>
          <w:rFonts w:cs="Arial"/>
        </w:rPr>
        <w:t>target damage is generated. It can also be defined as the probability</w:t>
      </w:r>
      <w:r>
        <w:rPr>
          <w:rFonts w:cs="Arial"/>
        </w:rPr>
        <w:t xml:space="preserve"> </w:t>
      </w:r>
      <w:r w:rsidRPr="00526BF0">
        <w:rPr>
          <w:rFonts w:cs="Arial"/>
        </w:rPr>
        <w:t>associated with a specific fire intensity.</w:t>
      </w:r>
      <w:r>
        <w:rPr>
          <w:rFonts w:cs="Arial"/>
        </w:rPr>
        <w:t xml:space="preserve"> (</w:t>
      </w:r>
      <w:r w:rsidR="00A24E94">
        <w:rPr>
          <w:rFonts w:cs="Arial"/>
        </w:rPr>
        <w:t>Reference 8</w:t>
      </w:r>
      <w:r>
        <w:rPr>
          <w:rFonts w:cs="Arial"/>
        </w:rPr>
        <w:t>)</w:t>
      </w:r>
    </w:p>
    <w:p w14:paraId="25984E72" w14:textId="77777777" w:rsidR="00526BF0" w:rsidRPr="00C70CAC" w:rsidRDefault="00526BF0"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740E422" w14:textId="2CB6853E" w:rsidR="00B32282" w:rsidRPr="00C70CAC" w:rsidRDefault="00B32282"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Split Fraction</w:t>
      </w:r>
      <w:r w:rsidRPr="002E5489">
        <w:rPr>
          <w:rFonts w:cs="Arial"/>
        </w:rPr>
        <w:t>:</w:t>
      </w:r>
      <w:r w:rsidRPr="00C70CAC">
        <w:rPr>
          <w:rFonts w:cs="Arial"/>
        </w:rPr>
        <w:t xml:space="preserve"> </w:t>
      </w:r>
      <w:r w:rsidR="0070712E">
        <w:rPr>
          <w:rFonts w:cs="Arial"/>
        </w:rPr>
        <w:t xml:space="preserve"> </w:t>
      </w:r>
      <w:r w:rsidRPr="00C70CAC">
        <w:rPr>
          <w:rFonts w:cs="Arial"/>
        </w:rPr>
        <w:t xml:space="preserve">A conditional probability value reflecting the likelihood that one specific outcome from a set of possible outcomes will be observed.  Example: When there are two possible outcomes, a split fraction is used to represent the likelihood that each specific outcome will be observed.  A common example in the fire protection SDP is fire intensity.  Each fire ignition source is characterized by two fire intensity values.  The lower value is assumed to represent 90% of all fires involving that fire ignition source, the higher value represents the remaining 10% </w:t>
      </w:r>
      <w:r w:rsidRPr="00C70CAC">
        <w:rPr>
          <w:rFonts w:cs="Arial"/>
        </w:rPr>
        <w:lastRenderedPageBreak/>
        <w:t>of fires.  This would be a 90/10 (or 0.9/0.1) split fraction between these two outcomes - the smaller fire versus the larger fire.</w:t>
      </w:r>
    </w:p>
    <w:p w14:paraId="1827EB76" w14:textId="33D11C95" w:rsidR="001D1E81" w:rsidRDefault="001D1E81" w:rsidP="00AE10AB">
      <w:pPr>
        <w:widowControl/>
        <w:rPr>
          <w:rFonts w:cs="Arial"/>
        </w:rPr>
      </w:pPr>
    </w:p>
    <w:p w14:paraId="784251F3" w14:textId="5A81F54E" w:rsidR="00526BF0" w:rsidRDefault="00526BF0" w:rsidP="00526BF0">
      <w:pPr>
        <w:widowControl/>
        <w:rPr>
          <w:rFonts w:cs="Arial"/>
        </w:rPr>
      </w:pPr>
      <w:r w:rsidRPr="00526BF0">
        <w:rPr>
          <w:rFonts w:cs="Arial"/>
          <w:u w:val="single"/>
        </w:rPr>
        <w:t>Spurious Operation</w:t>
      </w:r>
      <w:r>
        <w:rPr>
          <w:rFonts w:cs="Arial"/>
        </w:rPr>
        <w:t xml:space="preserve">: </w:t>
      </w:r>
      <w:r w:rsidR="0070712E">
        <w:rPr>
          <w:rFonts w:cs="Arial"/>
        </w:rPr>
        <w:t xml:space="preserve"> </w:t>
      </w:r>
      <w:r w:rsidRPr="00526BF0">
        <w:rPr>
          <w:rFonts w:cs="Arial"/>
        </w:rPr>
        <w:t>A circuit fault mode wherein an operational mode of the circuit is</w:t>
      </w:r>
      <w:r>
        <w:rPr>
          <w:rFonts w:cs="Arial"/>
        </w:rPr>
        <w:t xml:space="preserve"> </w:t>
      </w:r>
      <w:r w:rsidRPr="00526BF0">
        <w:rPr>
          <w:rFonts w:cs="Arial"/>
        </w:rPr>
        <w:t>initiated (in full or in part) due to failure(s) in one or more components</w:t>
      </w:r>
      <w:r>
        <w:rPr>
          <w:rFonts w:cs="Arial"/>
        </w:rPr>
        <w:t xml:space="preserve"> </w:t>
      </w:r>
      <w:r w:rsidRPr="00526BF0">
        <w:rPr>
          <w:rFonts w:cs="Arial"/>
        </w:rPr>
        <w:t>(including cables) of the circuit.</w:t>
      </w:r>
      <w:r>
        <w:rPr>
          <w:rFonts w:cs="Arial"/>
        </w:rPr>
        <w:t xml:space="preserve">  (</w:t>
      </w:r>
      <w:r w:rsidR="00082C33">
        <w:rPr>
          <w:rFonts w:cs="Arial"/>
        </w:rPr>
        <w:t>Reference 8</w:t>
      </w:r>
      <w:r>
        <w:rPr>
          <w:rFonts w:cs="Arial"/>
        </w:rPr>
        <w:t>)</w:t>
      </w:r>
    </w:p>
    <w:p w14:paraId="0F86B5E3" w14:textId="77777777" w:rsidR="00526BF0" w:rsidRDefault="00526BF0" w:rsidP="00AE10AB">
      <w:pPr>
        <w:widowControl/>
        <w:rPr>
          <w:rFonts w:cs="Arial"/>
        </w:rPr>
      </w:pPr>
    </w:p>
    <w:p w14:paraId="4F0722E9" w14:textId="26256536" w:rsidR="00526BF0" w:rsidRPr="00526BF0" w:rsidRDefault="00526BF0" w:rsidP="00526BF0">
      <w:pPr>
        <w:widowControl/>
        <w:rPr>
          <w:rFonts w:cs="Arial"/>
        </w:rPr>
      </w:pPr>
      <w:r>
        <w:rPr>
          <w:rFonts w:cs="Arial"/>
          <w:u w:val="single"/>
        </w:rPr>
        <w:t>Target</w:t>
      </w:r>
      <w:r>
        <w:rPr>
          <w:rFonts w:cs="Arial"/>
        </w:rPr>
        <w:t xml:space="preserve">: </w:t>
      </w:r>
      <w:r w:rsidR="0070712E">
        <w:rPr>
          <w:rFonts w:cs="Arial"/>
        </w:rPr>
        <w:t xml:space="preserve"> </w:t>
      </w:r>
      <w:r w:rsidRPr="00526BF0">
        <w:rPr>
          <w:rFonts w:cs="Arial"/>
        </w:rPr>
        <w:t>May refer to fire damage targets and/or ignition target</w:t>
      </w:r>
      <w:r w:rsidR="0070712E">
        <w:rPr>
          <w:rFonts w:cs="Arial"/>
        </w:rPr>
        <w:t>s</w:t>
      </w:r>
      <w:r w:rsidRPr="00526BF0">
        <w:rPr>
          <w:rFonts w:cs="Arial"/>
        </w:rPr>
        <w:t>. A fire</w:t>
      </w:r>
      <w:r>
        <w:rPr>
          <w:rFonts w:cs="Arial"/>
        </w:rPr>
        <w:t xml:space="preserve"> </w:t>
      </w:r>
      <w:r w:rsidRPr="00526BF0">
        <w:rPr>
          <w:rFonts w:cs="Arial"/>
        </w:rPr>
        <w:t>damage target is any item whose function can be adversely affected by</w:t>
      </w:r>
      <w:r>
        <w:rPr>
          <w:rFonts w:cs="Arial"/>
        </w:rPr>
        <w:t xml:space="preserve"> </w:t>
      </w:r>
      <w:r w:rsidRPr="00526BF0">
        <w:rPr>
          <w:rFonts w:cs="Arial"/>
        </w:rPr>
        <w:t xml:space="preserve">the modeled fire. </w:t>
      </w:r>
      <w:r>
        <w:rPr>
          <w:rFonts w:cs="Arial"/>
        </w:rPr>
        <w:t xml:space="preserve"> </w:t>
      </w:r>
      <w:r w:rsidR="005C7FE4" w:rsidRPr="00526BF0">
        <w:rPr>
          <w:rFonts w:cs="Arial"/>
        </w:rPr>
        <w:t>Typically,</w:t>
      </w:r>
      <w:r w:rsidRPr="00526BF0">
        <w:rPr>
          <w:rFonts w:cs="Arial"/>
        </w:rPr>
        <w:t xml:space="preserve"> a fire damage target is a cable or equipment</w:t>
      </w:r>
      <w:r>
        <w:rPr>
          <w:rFonts w:cs="Arial"/>
        </w:rPr>
        <w:t xml:space="preserve"> </w:t>
      </w:r>
      <w:r w:rsidRPr="00526BF0">
        <w:rPr>
          <w:rFonts w:cs="Arial"/>
        </w:rPr>
        <w:t xml:space="preserve">that belongs to the Fire PRA Component list. </w:t>
      </w:r>
      <w:r>
        <w:rPr>
          <w:rFonts w:cs="Arial"/>
        </w:rPr>
        <w:t xml:space="preserve"> </w:t>
      </w:r>
      <w:r w:rsidRPr="00526BF0">
        <w:rPr>
          <w:rFonts w:cs="Arial"/>
        </w:rPr>
        <w:t xml:space="preserve">An ignition target </w:t>
      </w:r>
      <w:r w:rsidR="0070712E">
        <w:rPr>
          <w:rFonts w:cs="Arial"/>
        </w:rPr>
        <w:t>is</w:t>
      </w:r>
      <w:r w:rsidRPr="00526BF0">
        <w:rPr>
          <w:rFonts w:cs="Arial"/>
        </w:rPr>
        <w:t xml:space="preserve"> any flammable or combustible material to which fire might spread.</w:t>
      </w:r>
      <w:r>
        <w:rPr>
          <w:rFonts w:cs="Arial"/>
        </w:rPr>
        <w:t xml:space="preserve"> (</w:t>
      </w:r>
      <w:r w:rsidR="00A24E94">
        <w:rPr>
          <w:rFonts w:cs="Arial"/>
        </w:rPr>
        <w:t>Reference 8</w:t>
      </w:r>
      <w:r>
        <w:rPr>
          <w:rFonts w:cs="Arial"/>
        </w:rPr>
        <w:t>)</w:t>
      </w:r>
    </w:p>
    <w:p w14:paraId="44F05591" w14:textId="77777777" w:rsidR="00526BF0" w:rsidRDefault="00526BF0" w:rsidP="00AE10AB">
      <w:pPr>
        <w:widowControl/>
        <w:rPr>
          <w:rFonts w:cs="Arial"/>
        </w:rPr>
      </w:pPr>
    </w:p>
    <w:p w14:paraId="5F53743F" w14:textId="15B6EA3F" w:rsidR="003140EE" w:rsidRPr="00154F7F" w:rsidRDefault="003140EE" w:rsidP="00154F7F">
      <w:pPr>
        <w:widowControl/>
        <w:rPr>
          <w:rFonts w:cs="Arial"/>
          <w:szCs w:val="22"/>
        </w:rPr>
      </w:pPr>
      <w:r w:rsidRPr="00154F7F">
        <w:rPr>
          <w:rFonts w:cs="Arial"/>
          <w:szCs w:val="22"/>
          <w:u w:val="single"/>
        </w:rPr>
        <w:t>Thermoplastic</w:t>
      </w:r>
      <w:r w:rsidR="00154F7F" w:rsidRPr="00154F7F">
        <w:rPr>
          <w:rFonts w:cs="Arial"/>
          <w:szCs w:val="22"/>
          <w:u w:val="single"/>
        </w:rPr>
        <w:t xml:space="preserve"> </w:t>
      </w:r>
      <w:r w:rsidR="00154F7F">
        <w:rPr>
          <w:rFonts w:cs="Arial"/>
          <w:szCs w:val="22"/>
          <w:u w:val="single"/>
        </w:rPr>
        <w:t xml:space="preserve">(TP) </w:t>
      </w:r>
      <w:r w:rsidR="00154F7F" w:rsidRPr="00154F7F">
        <w:rPr>
          <w:rFonts w:cs="Arial"/>
          <w:szCs w:val="22"/>
          <w:u w:val="single"/>
        </w:rPr>
        <w:t>versus Thermoset</w:t>
      </w:r>
      <w:r w:rsidR="00154F7F">
        <w:rPr>
          <w:rFonts w:cs="Arial"/>
          <w:szCs w:val="22"/>
          <w:u w:val="single"/>
        </w:rPr>
        <w:t xml:space="preserve"> (TS)</w:t>
      </w:r>
      <w:r w:rsidRPr="00154F7F">
        <w:rPr>
          <w:rFonts w:cs="Arial"/>
          <w:szCs w:val="22"/>
        </w:rPr>
        <w:t>:</w:t>
      </w:r>
      <w:r w:rsidR="00154F7F" w:rsidRPr="00154F7F">
        <w:rPr>
          <w:rFonts w:cs="Arial"/>
          <w:szCs w:val="22"/>
        </w:rPr>
        <w:t xml:space="preserve">  Of the materials available for use as cable insulation and jacketing, the broadest categories are thermoplastic and thermoset. Thermoplastic materials melt when heated and solidify when cooled. Thermoset materials do not melt, but do begin to smolder and burn if sufficiently heated. In general, thermoset materials are more robust, with failure temperatures of approximately 350°C (662°F) or higher. Thermoplastic materials typically have failure temperatures much lower than 218°C (425°F), where failure is typically associated with melting of the material. (</w:t>
      </w:r>
      <w:r w:rsidR="00082C33">
        <w:rPr>
          <w:rFonts w:cs="Arial"/>
          <w:szCs w:val="22"/>
        </w:rPr>
        <w:t>Reference 10</w:t>
      </w:r>
      <w:r w:rsidR="00154F7F" w:rsidRPr="00154F7F">
        <w:rPr>
          <w:rFonts w:cs="Arial"/>
          <w:szCs w:val="22"/>
        </w:rPr>
        <w:t>)</w:t>
      </w:r>
      <w:r w:rsidRPr="00154F7F">
        <w:rPr>
          <w:rFonts w:cs="Arial"/>
          <w:szCs w:val="22"/>
        </w:rPr>
        <w:t xml:space="preserve"> </w:t>
      </w:r>
    </w:p>
    <w:p w14:paraId="3D27B45F" w14:textId="236D65C5" w:rsidR="003140EE" w:rsidRDefault="003140EE" w:rsidP="00AE10AB">
      <w:pPr>
        <w:widowControl/>
        <w:rPr>
          <w:rFonts w:cs="Arial"/>
          <w:szCs w:val="22"/>
        </w:rPr>
      </w:pPr>
    </w:p>
    <w:p w14:paraId="36E5F369" w14:textId="75694F05" w:rsidR="00154F7F" w:rsidRPr="00154F7F" w:rsidRDefault="00154F7F" w:rsidP="00154F7F">
      <w:pPr>
        <w:widowControl/>
        <w:rPr>
          <w:rFonts w:cs="Arial"/>
          <w:szCs w:val="22"/>
        </w:rPr>
      </w:pPr>
      <w:r>
        <w:rPr>
          <w:rFonts w:cs="Arial"/>
          <w:szCs w:val="22"/>
          <w:u w:val="single"/>
        </w:rPr>
        <w:t>Transient Combustibles</w:t>
      </w:r>
      <w:r>
        <w:rPr>
          <w:rFonts w:cs="Arial"/>
          <w:szCs w:val="22"/>
        </w:rPr>
        <w:t xml:space="preserve">: </w:t>
      </w:r>
      <w:r w:rsidR="0070712E">
        <w:rPr>
          <w:rFonts w:cs="Arial"/>
          <w:szCs w:val="22"/>
        </w:rPr>
        <w:t xml:space="preserve"> </w:t>
      </w:r>
      <w:r w:rsidRPr="00154F7F">
        <w:rPr>
          <w:rFonts w:cs="Arial"/>
          <w:szCs w:val="22"/>
        </w:rPr>
        <w:t>Combustible materials temporarily in location</w:t>
      </w:r>
      <w:r w:rsidR="00526BF0">
        <w:rPr>
          <w:rFonts w:cs="Arial"/>
          <w:szCs w:val="22"/>
        </w:rPr>
        <w:t>s</w:t>
      </w:r>
      <w:r w:rsidRPr="00154F7F">
        <w:rPr>
          <w:rFonts w:cs="Arial"/>
          <w:szCs w:val="22"/>
        </w:rPr>
        <w:t xml:space="preserve"> that are usually</w:t>
      </w:r>
      <w:r w:rsidR="00E17E8E">
        <w:rPr>
          <w:rFonts w:cs="Arial"/>
          <w:szCs w:val="22"/>
        </w:rPr>
        <w:t xml:space="preserve"> </w:t>
      </w:r>
      <w:r w:rsidRPr="00154F7F">
        <w:rPr>
          <w:rFonts w:cs="Arial"/>
          <w:szCs w:val="22"/>
        </w:rPr>
        <w:t>associated with (but not limited to) maintenance or modifications involving</w:t>
      </w:r>
      <w:r w:rsidR="00526BF0">
        <w:rPr>
          <w:rFonts w:cs="Arial"/>
          <w:szCs w:val="22"/>
        </w:rPr>
        <w:t xml:space="preserve"> </w:t>
      </w:r>
      <w:r w:rsidRPr="00154F7F">
        <w:rPr>
          <w:rFonts w:cs="Arial"/>
          <w:szCs w:val="22"/>
        </w:rPr>
        <w:t>combustible and flammable liquids, wood and plastic products, waste,</w:t>
      </w:r>
      <w:r w:rsidR="00526BF0">
        <w:rPr>
          <w:rFonts w:cs="Arial"/>
          <w:szCs w:val="22"/>
        </w:rPr>
        <w:t xml:space="preserve"> </w:t>
      </w:r>
      <w:r w:rsidRPr="00154F7F">
        <w:rPr>
          <w:rFonts w:cs="Arial"/>
          <w:szCs w:val="22"/>
        </w:rPr>
        <w:t>scrap, rags, or other combustibles resulting from the work activity.</w:t>
      </w:r>
      <w:r w:rsidR="00526BF0">
        <w:rPr>
          <w:rFonts w:cs="Arial"/>
          <w:szCs w:val="22"/>
        </w:rPr>
        <w:t xml:space="preserve"> (</w:t>
      </w:r>
      <w:r w:rsidR="00082C33">
        <w:rPr>
          <w:rFonts w:cs="Arial"/>
          <w:szCs w:val="22"/>
        </w:rPr>
        <w:t>Reference 8</w:t>
      </w:r>
      <w:r w:rsidR="00526BF0">
        <w:rPr>
          <w:rFonts w:cs="Arial"/>
          <w:szCs w:val="22"/>
        </w:rPr>
        <w:t>)</w:t>
      </w:r>
    </w:p>
    <w:p w14:paraId="4AF683D2" w14:textId="77777777" w:rsidR="00154F7F" w:rsidRPr="00154F7F" w:rsidRDefault="00154F7F" w:rsidP="00AE10AB">
      <w:pPr>
        <w:widowControl/>
        <w:rPr>
          <w:rFonts w:cs="Arial"/>
          <w:szCs w:val="22"/>
        </w:rPr>
      </w:pPr>
    </w:p>
    <w:p w14:paraId="4E80C577" w14:textId="71A9AE35" w:rsidR="001D1E81" w:rsidRDefault="001D1E81" w:rsidP="00DF5F97">
      <w:pPr>
        <w:rPr>
          <w:rFonts w:cs="Arial"/>
        </w:rPr>
      </w:pPr>
      <w:r w:rsidRPr="00C70CAC">
        <w:rPr>
          <w:rFonts w:cs="Arial"/>
          <w:u w:val="single"/>
        </w:rPr>
        <w:t>Unqualified Cable</w:t>
      </w:r>
      <w:r w:rsidRPr="002E5489">
        <w:rPr>
          <w:rFonts w:cs="Arial"/>
        </w:rPr>
        <w:t>:</w:t>
      </w:r>
      <w:r w:rsidRPr="00C70CAC">
        <w:rPr>
          <w:rFonts w:cs="Arial"/>
        </w:rPr>
        <w:t xml:space="preserve"> </w:t>
      </w:r>
      <w:r w:rsidR="0070712E">
        <w:rPr>
          <w:rFonts w:cs="Arial"/>
        </w:rPr>
        <w:t xml:space="preserve"> </w:t>
      </w:r>
      <w:r w:rsidRPr="00C70CAC">
        <w:rPr>
          <w:rFonts w:cs="Arial"/>
        </w:rPr>
        <w:t>A cable that has not been certified for use in severe accident environmental conditions per the full suite of performance tests specified in IEEE-383.</w:t>
      </w:r>
      <w:r w:rsidR="00DF5F97">
        <w:rPr>
          <w:rFonts w:cs="Arial"/>
        </w:rPr>
        <w:t xml:space="preserve">  </w:t>
      </w:r>
      <w:r w:rsidR="00DF5F97" w:rsidRPr="00DF5F97">
        <w:rPr>
          <w:rFonts w:cs="Arial"/>
        </w:rPr>
        <w:t>In general, cables that</w:t>
      </w:r>
      <w:r w:rsidR="00E17E8E">
        <w:rPr>
          <w:rFonts w:cs="Arial"/>
        </w:rPr>
        <w:t xml:space="preserve"> </w:t>
      </w:r>
      <w:r w:rsidR="00DF5F97" w:rsidRPr="00DF5F97">
        <w:rPr>
          <w:rFonts w:cs="Arial"/>
        </w:rPr>
        <w:t>do not pass IEEE 383 rating (i.e., non-IEEE qualified) are thermoplastic.</w:t>
      </w:r>
      <w:r w:rsidR="00DF5F97">
        <w:rPr>
          <w:rFonts w:cs="Arial"/>
        </w:rPr>
        <w:t xml:space="preserve"> (</w:t>
      </w:r>
      <w:r w:rsidR="00082C33">
        <w:rPr>
          <w:rFonts w:cs="Arial"/>
        </w:rPr>
        <w:t>Reference 10</w:t>
      </w:r>
      <w:r w:rsidR="00DF5F97">
        <w:rPr>
          <w:rFonts w:cs="Arial"/>
        </w:rPr>
        <w:t>)</w:t>
      </w:r>
    </w:p>
    <w:p w14:paraId="26AAFD79" w14:textId="0D7A428C" w:rsidR="001D1E81" w:rsidRDefault="001D1E81" w:rsidP="00AE10AB"/>
    <w:p w14:paraId="2657A80A" w14:textId="7FD451D6" w:rsidR="00154F7F" w:rsidRDefault="00154F7F" w:rsidP="0070712E">
      <w:pPr>
        <w:keepNext/>
        <w:keepLines/>
      </w:pPr>
      <w:r w:rsidRPr="00B67341">
        <w:rPr>
          <w:u w:val="single"/>
        </w:rPr>
        <w:t>Zone of Influence (ZOI)</w:t>
      </w:r>
      <w:r w:rsidRPr="002E5489">
        <w:t>:</w:t>
      </w:r>
      <w:r>
        <w:t xml:space="preserve"> </w:t>
      </w:r>
      <w:r w:rsidR="0070712E">
        <w:t xml:space="preserve"> </w:t>
      </w:r>
      <w:r>
        <w:t>A volume surrounding an ignition source where all secondary combustibles and targets may be adversely affected by a fire initiated by the ignition source. (</w:t>
      </w:r>
      <w:r w:rsidR="00082C33">
        <w:t>Reference 8</w:t>
      </w:r>
      <w:r>
        <w:t>).</w:t>
      </w:r>
    </w:p>
    <w:p w14:paraId="60A89905" w14:textId="70CD2377" w:rsidR="00A6171D" w:rsidRDefault="00A6171D" w:rsidP="00AE10AB">
      <w:r>
        <w:br w:type="page"/>
      </w:r>
    </w:p>
    <w:p w14:paraId="6741335B" w14:textId="1FDCB329" w:rsidR="00B27F2A" w:rsidRDefault="00B27F2A" w:rsidP="003163D3">
      <w:pPr>
        <w:pStyle w:val="Heading1"/>
      </w:pPr>
      <w:bookmarkStart w:id="22" w:name="_Toc481265356"/>
      <w:bookmarkStart w:id="23" w:name="_Toc511060843"/>
      <w:r>
        <w:lastRenderedPageBreak/>
        <w:t>GENERAL APPROACH FOR SIGNIFICANCE DETERMINATION</w:t>
      </w:r>
      <w:bookmarkEnd w:id="22"/>
      <w:bookmarkEnd w:id="23"/>
    </w:p>
    <w:p w14:paraId="63AA419A" w14:textId="77777777" w:rsidR="00B42B63" w:rsidRDefault="00B42B63"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5C0865" w14:textId="7375C551" w:rsidR="00B27F2A" w:rsidRDefault="00B27F2A" w:rsidP="00B43D79">
      <w:pPr>
        <w:pStyle w:val="Heading2"/>
        <w:ind w:hanging="1166"/>
      </w:pPr>
      <w:bookmarkStart w:id="24" w:name="_Toc481265357"/>
      <w:bookmarkStart w:id="25" w:name="_Toc511060844"/>
      <w:r>
        <w:t>Road Map</w:t>
      </w:r>
      <w:bookmarkEnd w:id="24"/>
      <w:bookmarkEnd w:id="25"/>
    </w:p>
    <w:p w14:paraId="7E95FD06" w14:textId="11213379" w:rsidR="00B42B63" w:rsidRDefault="00B42B63"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ECE7BC4" w14:textId="2CFA0174" w:rsidR="000F6350" w:rsidRDefault="000F6350"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Fire Protection SDP as documented in Appendix F involves a series of qualitative and quantitative analysis steps for estimating the risk significance of inspection findings related to licensee performance in meeting the objectives of the fire protection defense</w:t>
      </w:r>
      <w:r w:rsidR="009A0522">
        <w:t xml:space="preserve"> </w:t>
      </w:r>
      <w:r>
        <w:t>in</w:t>
      </w:r>
      <w:r w:rsidR="009A0522">
        <w:t xml:space="preserve"> </w:t>
      </w:r>
      <w:r>
        <w:t>depth (DID) elements.  The fire protection DID elements are:</w:t>
      </w:r>
    </w:p>
    <w:p w14:paraId="026EFFB9" w14:textId="77777777" w:rsidR="000F6350" w:rsidRDefault="000F6350"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5516DF" w14:textId="5FFA1D4F" w:rsidR="000F6350" w:rsidRDefault="000F6350" w:rsidP="007D58B8">
      <w:pPr>
        <w:pStyle w:val="ListParagraph"/>
        <w:numPr>
          <w:ilvl w:val="0"/>
          <w:numId w:val="6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Preventing fires from starting</w:t>
      </w:r>
      <w:r w:rsidR="00031659">
        <w:t>;</w:t>
      </w:r>
    </w:p>
    <w:p w14:paraId="165B71D6" w14:textId="479CD677" w:rsidR="000F6350" w:rsidRDefault="000F6350" w:rsidP="007D58B8">
      <w:pPr>
        <w:pStyle w:val="ListParagraph"/>
        <w:numPr>
          <w:ilvl w:val="0"/>
          <w:numId w:val="6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Rapid detection and suppression of fires that occur</w:t>
      </w:r>
      <w:r w:rsidR="00031659">
        <w:t>;</w:t>
      </w:r>
      <w:r>
        <w:t xml:space="preserve"> and</w:t>
      </w:r>
    </w:p>
    <w:p w14:paraId="4D2ADCDB" w14:textId="0E168953" w:rsidR="000F6350" w:rsidRDefault="000F6350" w:rsidP="007D58B8">
      <w:pPr>
        <w:pStyle w:val="ListParagraph"/>
        <w:numPr>
          <w:ilvl w:val="0"/>
          <w:numId w:val="6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 xml:space="preserve">Protection of structures, systems, and components (SSCs) important to safety so that a fire that is not promptly extinguished by fire suppression activities will not prevent the </w:t>
      </w:r>
      <w:r w:rsidR="005E424B">
        <w:t>SSD</w:t>
      </w:r>
      <w:r>
        <w:t xml:space="preserve"> of the plant.</w:t>
      </w:r>
    </w:p>
    <w:p w14:paraId="0067ADA8" w14:textId="77777777" w:rsidR="000F6350" w:rsidRDefault="000F6350"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7DAF52" w14:textId="77777777" w:rsidR="000F6350" w:rsidRDefault="000F6350"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Fire Protection SDP uses simplified fire PRA methods, tools, and approaches.  The general philosophy of the Fire Protection SDP is to minimize the potential for false-negative findings, while avoiding undue conservatism.  The duration (or exposure time) of the degraded conditions is considered at all stages of the analysis.  Compensatory measures (CMs) that might offset (in part or in whole) the observed degradation are considered in Phase 2.</w:t>
      </w:r>
    </w:p>
    <w:p w14:paraId="04BB937E" w14:textId="77777777" w:rsidR="000F6350" w:rsidRDefault="000F6350"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15FB34" w14:textId="77777777" w:rsidR="000F6350" w:rsidRDefault="000F6350"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Phase 1 is a preliminary screening assessment intended to identify findings that can be quickly classified as Green and dispositioned into the licensee’s corrective action program without further analysis.  Findings that do not Screen to Green in Phase 1 pass forward to Phase 2.</w:t>
      </w:r>
    </w:p>
    <w:p w14:paraId="0552B6BC" w14:textId="77777777" w:rsidR="000F6350" w:rsidRDefault="000F6350"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1AA583" w14:textId="548A3550" w:rsidR="008522D6" w:rsidRDefault="000F6350"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Phase 2 of the Fire Protection SDP is quantitative and involves several analysis steps.  Each step introduces greater refinement and detail.  Quantitative screening checks are made each time new or refined analysis detail has been developed.  The various screening steps are summarized in Table 4.1.1.  Section </w:t>
      </w:r>
      <w:r w:rsidR="00CB30FF">
        <w:t>0</w:t>
      </w:r>
      <w:r>
        <w:t>4.</w:t>
      </w:r>
      <w:r w:rsidR="00CB30FF">
        <w:t>0</w:t>
      </w:r>
      <w:r>
        <w:t xml:space="preserve">2 describes these screening steps </w:t>
      </w:r>
      <w:r w:rsidR="00FC72C5">
        <w:t>in more detail</w:t>
      </w:r>
      <w:r>
        <w:t>.</w:t>
      </w:r>
      <w:r w:rsidR="00305393">
        <w:t xml:space="preserve">  Steps 2.1-2.3 are performed in sequence, while the analyst, in an attempt to reduce the level of effort in screening the finding to Green, may decide to perform Steps 2.4-2.7 in </w:t>
      </w:r>
      <w:r w:rsidR="00823218">
        <w:t>any</w:t>
      </w:r>
      <w:r w:rsidR="00305393">
        <w:t xml:space="preserve"> order. </w:t>
      </w:r>
    </w:p>
    <w:p w14:paraId="0C4B58C3" w14:textId="77777777" w:rsidR="00C22A9D" w:rsidRPr="003811DB" w:rsidRDefault="00C22A9D"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945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CellMar>
          <w:left w:w="117" w:type="dxa"/>
          <w:right w:w="117" w:type="dxa"/>
        </w:tblCellMar>
        <w:tblLook w:val="0000" w:firstRow="0" w:lastRow="0" w:firstColumn="0" w:lastColumn="0" w:noHBand="0" w:noVBand="0"/>
      </w:tblPr>
      <w:tblGrid>
        <w:gridCol w:w="720"/>
        <w:gridCol w:w="8730"/>
      </w:tblGrid>
      <w:tr w:rsidR="00C22A9D" w14:paraId="211FCD3D" w14:textId="77777777" w:rsidTr="0034587C">
        <w:trPr>
          <w:trHeight w:val="360"/>
          <w:jc w:val="center"/>
        </w:trPr>
        <w:tc>
          <w:tcPr>
            <w:tcW w:w="9450" w:type="dxa"/>
            <w:gridSpan w:val="2"/>
            <w:shd w:val="pct25" w:color="000000" w:fill="FFFFFF"/>
            <w:vAlign w:val="center"/>
          </w:tcPr>
          <w:p w14:paraId="4198E1EB" w14:textId="32244C1D" w:rsidR="00C22A9D" w:rsidRPr="00106B50" w:rsidRDefault="00C22A9D" w:rsidP="00185B9A">
            <w:pPr>
              <w:pStyle w:val="TableCaption"/>
              <w:rPr>
                <w:b w:val="0"/>
              </w:rPr>
            </w:pPr>
            <w:r w:rsidRPr="00106B50">
              <w:rPr>
                <w:b w:val="0"/>
                <w:lang w:val="en-CA"/>
              </w:rPr>
              <w:fldChar w:fldCharType="begin"/>
            </w:r>
            <w:r w:rsidRPr="00106B50">
              <w:rPr>
                <w:b w:val="0"/>
                <w:lang w:val="en-CA"/>
              </w:rPr>
              <w:instrText xml:space="preserve"> SEQ CHAPTER \h \r 1</w:instrText>
            </w:r>
            <w:r w:rsidRPr="00106B50">
              <w:rPr>
                <w:b w:val="0"/>
                <w:lang w:val="en-CA"/>
              </w:rPr>
              <w:fldChar w:fldCharType="end"/>
            </w:r>
            <w:bookmarkStart w:id="26" w:name="_Toc483393005"/>
            <w:r w:rsidRPr="00106B50">
              <w:rPr>
                <w:b w:val="0"/>
              </w:rPr>
              <w:t>Table 4.1.1 – Summary of Quantification/Screening Steps</w:t>
            </w:r>
            <w:r w:rsidR="006F3010" w:rsidRPr="00106B50">
              <w:rPr>
                <w:b w:val="0"/>
              </w:rPr>
              <w:t>.</w:t>
            </w:r>
            <w:bookmarkEnd w:id="26"/>
          </w:p>
        </w:tc>
      </w:tr>
      <w:tr w:rsidR="00C22A9D" w14:paraId="28886005" w14:textId="77777777" w:rsidTr="0034587C">
        <w:trPr>
          <w:trHeight w:val="360"/>
          <w:jc w:val="center"/>
        </w:trPr>
        <w:tc>
          <w:tcPr>
            <w:tcW w:w="720" w:type="dxa"/>
            <w:tcBorders>
              <w:top w:val="single" w:sz="12" w:space="0" w:color="000000"/>
              <w:bottom w:val="single" w:sz="12" w:space="0" w:color="000000"/>
            </w:tcBorders>
            <w:vAlign w:val="center"/>
          </w:tcPr>
          <w:p w14:paraId="5C1160F8" w14:textId="77777777" w:rsidR="00C22A9D" w:rsidRPr="00106B50"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106B50">
              <w:rPr>
                <w:bCs/>
                <w:szCs w:val="22"/>
              </w:rPr>
              <w:t>Step</w:t>
            </w:r>
          </w:p>
        </w:tc>
        <w:tc>
          <w:tcPr>
            <w:tcW w:w="8730" w:type="dxa"/>
            <w:tcBorders>
              <w:top w:val="single" w:sz="12" w:space="0" w:color="000000"/>
              <w:bottom w:val="single" w:sz="12" w:space="0" w:color="000000"/>
            </w:tcBorders>
            <w:vAlign w:val="center"/>
          </w:tcPr>
          <w:p w14:paraId="21C1F2B2" w14:textId="77777777" w:rsidR="00C22A9D" w:rsidRPr="00106B50"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106B50">
              <w:rPr>
                <w:bCs/>
                <w:szCs w:val="22"/>
              </w:rPr>
              <w:t>Refined or New Information Added</w:t>
            </w:r>
          </w:p>
        </w:tc>
      </w:tr>
      <w:tr w:rsidR="00C22A9D" w14:paraId="297A4983" w14:textId="77777777" w:rsidTr="0034587C">
        <w:trPr>
          <w:trHeight w:val="360"/>
          <w:jc w:val="center"/>
        </w:trPr>
        <w:tc>
          <w:tcPr>
            <w:tcW w:w="720" w:type="dxa"/>
            <w:tcBorders>
              <w:top w:val="single" w:sz="12" w:space="0" w:color="000000"/>
            </w:tcBorders>
            <w:vAlign w:val="center"/>
          </w:tcPr>
          <w:p w14:paraId="12D872FD"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2.1</w:t>
            </w:r>
          </w:p>
        </w:tc>
        <w:tc>
          <w:tcPr>
            <w:tcW w:w="8730" w:type="dxa"/>
            <w:tcBorders>
              <w:top w:val="single" w:sz="12" w:space="0" w:color="000000"/>
            </w:tcBorders>
            <w:vAlign w:val="center"/>
          </w:tcPr>
          <w:p w14:paraId="14C01F37"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First Screen based on final estimate of DF, and bounding (area-wide) estimates of the remaining factors in the six-factor </w:t>
            </w:r>
            <w:r>
              <w:rPr>
                <w:rFonts w:cs="Arial"/>
                <w:szCs w:val="22"/>
              </w:rPr>
              <w:sym w:font="Symbol" w:char="F044"/>
            </w:r>
            <w:r>
              <w:rPr>
                <w:rFonts w:cs="Arial"/>
                <w:szCs w:val="22"/>
              </w:rPr>
              <w:t>CDF formula</w:t>
            </w:r>
          </w:p>
        </w:tc>
      </w:tr>
      <w:tr w:rsidR="00C22A9D" w14:paraId="75BEB2DC" w14:textId="77777777" w:rsidTr="0034587C">
        <w:trPr>
          <w:trHeight w:val="360"/>
          <w:jc w:val="center"/>
        </w:trPr>
        <w:tc>
          <w:tcPr>
            <w:tcW w:w="720" w:type="dxa"/>
            <w:vAlign w:val="center"/>
          </w:tcPr>
          <w:p w14:paraId="5362F9D6"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2.3</w:t>
            </w:r>
          </w:p>
        </w:tc>
        <w:tc>
          <w:tcPr>
            <w:tcW w:w="8730" w:type="dxa"/>
            <w:vAlign w:val="center"/>
          </w:tcPr>
          <w:p w14:paraId="17175904"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Identify challenging fire scenarios and screen finding to Green if none are identified</w:t>
            </w:r>
          </w:p>
        </w:tc>
      </w:tr>
      <w:tr w:rsidR="00C22A9D" w14:paraId="19F12314" w14:textId="77777777" w:rsidTr="0034587C">
        <w:trPr>
          <w:trHeight w:val="360"/>
          <w:jc w:val="center"/>
        </w:trPr>
        <w:tc>
          <w:tcPr>
            <w:tcW w:w="720" w:type="dxa"/>
            <w:vAlign w:val="center"/>
          </w:tcPr>
          <w:p w14:paraId="2FE09BE8"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2.4</w:t>
            </w:r>
          </w:p>
        </w:tc>
        <w:tc>
          <w:tcPr>
            <w:tcW w:w="8730" w:type="dxa"/>
            <w:vAlign w:val="center"/>
          </w:tcPr>
          <w:p w14:paraId="56C9E208"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Obtain final FIF for each fire scenario and update risk quantification</w:t>
            </w:r>
          </w:p>
        </w:tc>
      </w:tr>
      <w:tr w:rsidR="00C22A9D" w14:paraId="7FF9DB64" w14:textId="77777777" w:rsidTr="0034587C">
        <w:trPr>
          <w:trHeight w:val="360"/>
          <w:jc w:val="center"/>
        </w:trPr>
        <w:tc>
          <w:tcPr>
            <w:tcW w:w="720" w:type="dxa"/>
            <w:vAlign w:val="center"/>
          </w:tcPr>
          <w:p w14:paraId="52DB6565"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2.5</w:t>
            </w:r>
          </w:p>
        </w:tc>
        <w:tc>
          <w:tcPr>
            <w:tcW w:w="8730" w:type="dxa"/>
            <w:vAlign w:val="center"/>
          </w:tcPr>
          <w:p w14:paraId="45CDB732"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Obtain final CCDP for each fire scenario and update risk quantification</w:t>
            </w:r>
          </w:p>
        </w:tc>
      </w:tr>
      <w:tr w:rsidR="00C22A9D" w14:paraId="6A22F912" w14:textId="77777777" w:rsidTr="0034587C">
        <w:trPr>
          <w:trHeight w:val="360"/>
          <w:jc w:val="center"/>
        </w:trPr>
        <w:tc>
          <w:tcPr>
            <w:tcW w:w="720" w:type="dxa"/>
            <w:vAlign w:val="center"/>
          </w:tcPr>
          <w:p w14:paraId="2F62908D"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2.6</w:t>
            </w:r>
          </w:p>
        </w:tc>
        <w:tc>
          <w:tcPr>
            <w:tcW w:w="8730" w:type="dxa"/>
            <w:vAlign w:val="center"/>
          </w:tcPr>
          <w:p w14:paraId="7350498F"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Obtain final SF for each fire scenario and update risk quantification</w:t>
            </w:r>
          </w:p>
        </w:tc>
      </w:tr>
      <w:tr w:rsidR="00C22A9D" w:rsidRPr="00CF1786" w14:paraId="55110729" w14:textId="77777777" w:rsidTr="0034587C">
        <w:trPr>
          <w:trHeight w:val="360"/>
          <w:jc w:val="center"/>
        </w:trPr>
        <w:tc>
          <w:tcPr>
            <w:tcW w:w="720" w:type="dxa"/>
            <w:vAlign w:val="center"/>
          </w:tcPr>
          <w:p w14:paraId="5ABA06C6"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2.7</w:t>
            </w:r>
          </w:p>
        </w:tc>
        <w:tc>
          <w:tcPr>
            <w:tcW w:w="8730" w:type="dxa"/>
            <w:vAlign w:val="center"/>
          </w:tcPr>
          <w:p w14:paraId="2DA2AE9A" w14:textId="77777777" w:rsidR="00C22A9D" w:rsidRDefault="00C22A9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Obtain final NSP for each fire scenario and update risk quantification</w:t>
            </w:r>
          </w:p>
        </w:tc>
      </w:tr>
    </w:tbl>
    <w:p w14:paraId="6FF2E962" w14:textId="77777777" w:rsidR="00F16DD9" w:rsidRDefault="00F16DD9"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BAD878" w14:textId="12297586" w:rsidR="00B27F2A" w:rsidRDefault="00B27F2A" w:rsidP="00B43D79">
      <w:pPr>
        <w:pStyle w:val="Heading2"/>
        <w:keepNext/>
        <w:keepLines/>
        <w:ind w:hanging="1166"/>
      </w:pPr>
      <w:bookmarkStart w:id="27" w:name="_Toc481265358"/>
      <w:bookmarkStart w:id="28" w:name="_Toc511060845"/>
      <w:r>
        <w:lastRenderedPageBreak/>
        <w:t>General Approach</w:t>
      </w:r>
      <w:bookmarkEnd w:id="27"/>
      <w:bookmarkEnd w:id="28"/>
    </w:p>
    <w:p w14:paraId="652C03F1" w14:textId="77777777" w:rsidR="00B42B63" w:rsidRDefault="00B42B63" w:rsidP="00B55FBB">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0F3BE7" w14:textId="1B0C363D" w:rsidR="00B27F2A" w:rsidRPr="00E01D83" w:rsidRDefault="00B27F2A" w:rsidP="004D46E2">
      <w:pPr>
        <w:pStyle w:val="Heading3"/>
      </w:pPr>
      <w:bookmarkStart w:id="29" w:name="_Toc481265359"/>
      <w:bookmarkStart w:id="30" w:name="_Toc511060846"/>
      <w:r w:rsidRPr="00E01D83">
        <w:t>Phase 1</w:t>
      </w:r>
      <w:r w:rsidR="0051659A" w:rsidRPr="00E01D83">
        <w:t>:</w:t>
      </w:r>
      <w:r w:rsidRPr="00E01D83">
        <w:t xml:space="preserve"> Qualitative Screening Analysis</w:t>
      </w:r>
      <w:bookmarkEnd w:id="29"/>
      <w:bookmarkEnd w:id="30"/>
    </w:p>
    <w:p w14:paraId="3DE2FC13" w14:textId="2455F072" w:rsidR="002E7A9F" w:rsidRDefault="002E7A9F" w:rsidP="00B55FB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FF61810" w14:textId="29F2A2F9" w:rsidR="00710EE7" w:rsidRDefault="00710EE7" w:rsidP="00B55FBB">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Phase 1 of the Fire Protection SDP is a preliminary screening check intended for use by the Resident or Regional Office inspector(s) to identify fire protection findings of very low risk significance.  If the screening criteria are met, the finding is assigned a preliminary risk significance ranking of Green and no Phase 2 analysis is required.  If the Phase 1 screening criteria are not met, the analysis continues to Phase 2.</w:t>
      </w:r>
    </w:p>
    <w:p w14:paraId="1E48A2AE" w14:textId="77777777" w:rsidR="00710EE7" w:rsidRDefault="00710EE7"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7ED4A21" w14:textId="2800779F" w:rsidR="002E7A9F" w:rsidRDefault="007D58B8"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The Phase 1 analysis procedure is provided in Appendix F.  </w:t>
      </w:r>
      <w:r w:rsidR="002E7A9F">
        <w:rPr>
          <w:rFonts w:cs="Arial"/>
        </w:rPr>
        <w:t xml:space="preserve">Phase 1 involves </w:t>
      </w:r>
      <w:r w:rsidR="005813D3">
        <w:rPr>
          <w:rFonts w:cs="Arial"/>
        </w:rPr>
        <w:t xml:space="preserve">five </w:t>
      </w:r>
      <w:r w:rsidR="002E7A9F">
        <w:rPr>
          <w:rFonts w:cs="Arial"/>
        </w:rPr>
        <w:t>analysis steps.  A flow chart illustrating the Phase 1 process is provided in Appendix F.  The Phase 1 steps are summarized as follows:</w:t>
      </w:r>
    </w:p>
    <w:p w14:paraId="75FDAFF0" w14:textId="77777777" w:rsidR="00C22A9D" w:rsidRDefault="00C22A9D" w:rsidP="0051659A">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20537EB4" w14:textId="2A9E9BF8" w:rsidR="00C22A9D" w:rsidRDefault="00C22A9D" w:rsidP="00C60609">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990"/>
        <w:outlineLvl w:val="9"/>
        <w:rPr>
          <w:rFonts w:cs="Arial"/>
        </w:rPr>
      </w:pPr>
      <w:r>
        <w:rPr>
          <w:rFonts w:cs="Arial"/>
        </w:rPr>
        <w:t xml:space="preserve">Step 1.1: </w:t>
      </w:r>
      <w:r w:rsidR="00C60609">
        <w:rPr>
          <w:rFonts w:cs="Arial"/>
        </w:rPr>
        <w:t xml:space="preserve"> </w:t>
      </w:r>
      <w:r w:rsidRPr="00974503">
        <w:rPr>
          <w:rFonts w:cs="Arial"/>
        </w:rPr>
        <w:t xml:space="preserve">Provide </w:t>
      </w:r>
      <w:r>
        <w:rPr>
          <w:rFonts w:cs="Arial"/>
        </w:rPr>
        <w:t>a s</w:t>
      </w:r>
      <w:r w:rsidRPr="00974503">
        <w:rPr>
          <w:rFonts w:cs="Arial"/>
        </w:rPr>
        <w:t xml:space="preserve">tatement of </w:t>
      </w:r>
      <w:r>
        <w:rPr>
          <w:rFonts w:cs="Arial"/>
        </w:rPr>
        <w:t>the f</w:t>
      </w:r>
      <w:r w:rsidRPr="00974503">
        <w:rPr>
          <w:rFonts w:cs="Arial"/>
        </w:rPr>
        <w:t xml:space="preserve">ire </w:t>
      </w:r>
      <w:r>
        <w:rPr>
          <w:rFonts w:cs="Arial"/>
        </w:rPr>
        <w:t>i</w:t>
      </w:r>
      <w:r w:rsidRPr="00974503">
        <w:rPr>
          <w:rFonts w:cs="Arial"/>
        </w:rPr>
        <w:t xml:space="preserve">nspection </w:t>
      </w:r>
      <w:r>
        <w:rPr>
          <w:rFonts w:cs="Arial"/>
        </w:rPr>
        <w:t>f</w:t>
      </w:r>
      <w:r w:rsidRPr="00974503">
        <w:rPr>
          <w:rFonts w:cs="Arial"/>
        </w:rPr>
        <w:t>inding</w:t>
      </w:r>
      <w:r>
        <w:rPr>
          <w:rFonts w:cs="Arial"/>
        </w:rPr>
        <w:t>.</w:t>
      </w:r>
    </w:p>
    <w:p w14:paraId="664E6251" w14:textId="35B31B54" w:rsidR="00C22A9D" w:rsidRDefault="00C22A9D" w:rsidP="00C60609">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990"/>
        <w:outlineLvl w:val="9"/>
        <w:rPr>
          <w:rFonts w:cs="Arial"/>
        </w:rPr>
      </w:pPr>
      <w:r>
        <w:rPr>
          <w:rFonts w:cs="Arial"/>
        </w:rPr>
        <w:t xml:space="preserve">Step 1.2: </w:t>
      </w:r>
      <w:r w:rsidR="00C60609">
        <w:rPr>
          <w:rFonts w:cs="Arial"/>
        </w:rPr>
        <w:t xml:space="preserve"> </w:t>
      </w:r>
      <w:r w:rsidRPr="00974503">
        <w:rPr>
          <w:rFonts w:cs="Arial"/>
        </w:rPr>
        <w:t xml:space="preserve">Assign </w:t>
      </w:r>
      <w:r>
        <w:rPr>
          <w:rFonts w:cs="Arial"/>
        </w:rPr>
        <w:t>one of the eight</w:t>
      </w:r>
      <w:r w:rsidRPr="00974503">
        <w:rPr>
          <w:rFonts w:cs="Arial"/>
        </w:rPr>
        <w:t xml:space="preserve"> </w:t>
      </w:r>
      <w:r>
        <w:rPr>
          <w:rFonts w:cs="Arial"/>
        </w:rPr>
        <w:t>c</w:t>
      </w:r>
      <w:r w:rsidRPr="00974503">
        <w:rPr>
          <w:rFonts w:cs="Arial"/>
        </w:rPr>
        <w:t>ategor</w:t>
      </w:r>
      <w:r>
        <w:rPr>
          <w:rFonts w:cs="Arial"/>
        </w:rPr>
        <w:t>ies to the fire finding.</w:t>
      </w:r>
    </w:p>
    <w:p w14:paraId="78FF98FA" w14:textId="03467C19" w:rsidR="00C22A9D" w:rsidRDefault="00C22A9D" w:rsidP="00C60609">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990"/>
        <w:outlineLvl w:val="9"/>
        <w:rPr>
          <w:rFonts w:cs="Arial"/>
        </w:rPr>
      </w:pPr>
      <w:r>
        <w:rPr>
          <w:rFonts w:cs="Arial"/>
        </w:rPr>
        <w:t xml:space="preserve">Step 1.3: </w:t>
      </w:r>
      <w:r w:rsidR="00C60609">
        <w:rPr>
          <w:rFonts w:cs="Arial"/>
        </w:rPr>
        <w:t xml:space="preserve"> </w:t>
      </w:r>
      <w:r>
        <w:rPr>
          <w:rFonts w:cs="Arial"/>
        </w:rPr>
        <w:t>Assign a degradation rating based on the potential impact the degraded condition might have on the performance of the degraded fire protection program element.  Screen the finding to Green if the degradation rating is low.</w:t>
      </w:r>
    </w:p>
    <w:p w14:paraId="1221F6E6" w14:textId="2C06873C" w:rsidR="00C22A9D" w:rsidRDefault="00C22A9D" w:rsidP="00C60609">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990"/>
        <w:outlineLvl w:val="9"/>
        <w:rPr>
          <w:rFonts w:cs="Arial"/>
        </w:rPr>
      </w:pPr>
      <w:r>
        <w:rPr>
          <w:rFonts w:cs="Arial"/>
        </w:rPr>
        <w:t xml:space="preserve">Step 1.4: </w:t>
      </w:r>
      <w:r w:rsidR="00C60609">
        <w:rPr>
          <w:rFonts w:cs="Arial"/>
        </w:rPr>
        <w:t xml:space="preserve"> </w:t>
      </w:r>
      <w:r>
        <w:rPr>
          <w:rFonts w:cs="Arial"/>
        </w:rPr>
        <w:t>Answer</w:t>
      </w:r>
      <w:r w:rsidRPr="00917946">
        <w:rPr>
          <w:rFonts w:cs="Arial"/>
        </w:rPr>
        <w:t xml:space="preserve"> the screening questions </w:t>
      </w:r>
      <w:r>
        <w:rPr>
          <w:rFonts w:cs="Arial"/>
        </w:rPr>
        <w:t xml:space="preserve">for the category determined in Step 1.2 </w:t>
      </w:r>
      <w:r w:rsidRPr="00917946">
        <w:rPr>
          <w:rFonts w:cs="Arial"/>
        </w:rPr>
        <w:t>to determine if the finding is very low risk significant (</w:t>
      </w:r>
      <w:r>
        <w:rPr>
          <w:rFonts w:cs="Arial"/>
        </w:rPr>
        <w:t>s</w:t>
      </w:r>
      <w:r w:rsidRPr="00917946">
        <w:rPr>
          <w:rFonts w:cs="Arial"/>
        </w:rPr>
        <w:t>creen to Green).</w:t>
      </w:r>
    </w:p>
    <w:p w14:paraId="5E47C7DA" w14:textId="1054ED31" w:rsidR="005813D3" w:rsidRDefault="005813D3" w:rsidP="00C60609">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990"/>
        <w:outlineLvl w:val="9"/>
        <w:rPr>
          <w:rFonts w:cs="Arial"/>
        </w:rPr>
      </w:pPr>
      <w:r>
        <w:rPr>
          <w:rFonts w:cs="Arial"/>
        </w:rPr>
        <w:t xml:space="preserve">Step 1.5: </w:t>
      </w:r>
      <w:r w:rsidR="00C60609">
        <w:rPr>
          <w:rFonts w:cs="Arial"/>
        </w:rPr>
        <w:t xml:space="preserve"> </w:t>
      </w:r>
      <w:r>
        <w:rPr>
          <w:rFonts w:cs="Arial"/>
        </w:rPr>
        <w:t xml:space="preserve">Screen based on licensee </w:t>
      </w:r>
      <w:r w:rsidR="008D0C8E">
        <w:rPr>
          <w:rFonts w:cs="Arial"/>
        </w:rPr>
        <w:t xml:space="preserve">fire </w:t>
      </w:r>
      <w:r>
        <w:rPr>
          <w:rFonts w:cs="Arial"/>
        </w:rPr>
        <w:t>PRA results</w:t>
      </w:r>
      <w:r w:rsidRPr="00917946">
        <w:rPr>
          <w:rFonts w:cs="Arial"/>
        </w:rPr>
        <w:t>.</w:t>
      </w:r>
    </w:p>
    <w:p w14:paraId="35267C89" w14:textId="77777777" w:rsidR="002E7A9F" w:rsidRDefault="002E7A9F"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679CB41" w14:textId="4149D370" w:rsidR="00B27F2A" w:rsidRDefault="00B27F2A" w:rsidP="004D46E2">
      <w:pPr>
        <w:pStyle w:val="Heading3"/>
      </w:pPr>
      <w:bookmarkStart w:id="31" w:name="_Toc481265360"/>
      <w:bookmarkStart w:id="32" w:name="_Toc511060847"/>
      <w:r>
        <w:t>Phase 2</w:t>
      </w:r>
      <w:r w:rsidR="0051659A">
        <w:t>:</w:t>
      </w:r>
      <w:r>
        <w:t xml:space="preserve"> Quantitative Analysis</w:t>
      </w:r>
      <w:bookmarkEnd w:id="31"/>
      <w:bookmarkEnd w:id="32"/>
    </w:p>
    <w:p w14:paraId="472FDE07" w14:textId="77777777" w:rsidR="008522D6" w:rsidRDefault="008522D6"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117BBB" w14:textId="09C25D11"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A finding that does not meet the Phase 1 screening criteria is processed through Phase 2.  Phase 2 involves a quantitative assessment of CDF increase given a finding.  There are </w:t>
      </w:r>
      <w:r w:rsidR="00A71217">
        <w:rPr>
          <w:rFonts w:cs="Arial"/>
        </w:rPr>
        <w:t>seven</w:t>
      </w:r>
      <w:r w:rsidR="00A71217" w:rsidRPr="00C70CAC">
        <w:rPr>
          <w:rFonts w:cs="Arial"/>
        </w:rPr>
        <w:t xml:space="preserve"> </w:t>
      </w:r>
      <w:r w:rsidRPr="00C70CAC">
        <w:rPr>
          <w:rFonts w:cs="Arial"/>
        </w:rPr>
        <w:t>analysis steps in Phase 2 as discussed further below.  The Phase 2 process is illustrated in a flow chart provided as a part of Appendix F itself.  Each step introduces new detail and/or refines previous analysis assumptions and results.</w:t>
      </w:r>
    </w:p>
    <w:p w14:paraId="3EC497B1" w14:textId="77777777"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6FC2437" w14:textId="5F9D40AB"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quantification process parallels fire PRA practice.  In a fire </w:t>
      </w:r>
      <w:r w:rsidR="005F3F92" w:rsidRPr="00C70CAC">
        <w:rPr>
          <w:rFonts w:cs="Arial"/>
        </w:rPr>
        <w:t>PRA,</w:t>
      </w:r>
      <w:r w:rsidRPr="00C70CAC">
        <w:rPr>
          <w:rFonts w:cs="Arial"/>
        </w:rPr>
        <w:t xml:space="preserve"> the fire-induced CDF is quantified as the product of the following </w:t>
      </w:r>
      <w:r w:rsidR="00A71217">
        <w:rPr>
          <w:rFonts w:cs="Arial"/>
        </w:rPr>
        <w:t>four</w:t>
      </w:r>
      <w:r w:rsidR="00A71217" w:rsidRPr="00C70CAC">
        <w:rPr>
          <w:rFonts w:cs="Arial"/>
        </w:rPr>
        <w:t xml:space="preserve"> </w:t>
      </w:r>
      <w:r w:rsidRPr="00C70CAC">
        <w:rPr>
          <w:rFonts w:cs="Arial"/>
        </w:rPr>
        <w:t>terms:</w:t>
      </w:r>
    </w:p>
    <w:p w14:paraId="62060D52" w14:textId="77777777"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D39FD99" w14:textId="6C215221" w:rsidR="009427F5" w:rsidRPr="001C36DA" w:rsidRDefault="009427F5" w:rsidP="0035366F">
      <w:pPr>
        <w:pStyle w:val="ListParagraph"/>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1C36DA">
        <w:rPr>
          <w:rFonts w:cs="Arial"/>
        </w:rPr>
        <w:t>Fire Frequency</w:t>
      </w:r>
      <w:r w:rsidR="00982AE4" w:rsidRPr="001C36DA">
        <w:rPr>
          <w:rFonts w:cs="Arial"/>
        </w:rPr>
        <w:t xml:space="preserve"> (FIF)</w:t>
      </w:r>
      <w:r w:rsidRPr="001C36DA">
        <w:rPr>
          <w:rFonts w:cs="Arial"/>
        </w:rPr>
        <w:t xml:space="preserve"> - the likelihood that a potentially challenging fire will occur in a specific location during a reactor operating year (ry).</w:t>
      </w:r>
    </w:p>
    <w:p w14:paraId="5DB4B31D" w14:textId="2A04D8EE" w:rsidR="00A71217" w:rsidRPr="001C36DA" w:rsidRDefault="00A71217" w:rsidP="0035366F">
      <w:pPr>
        <w:pStyle w:val="ListParagraph"/>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1C36DA">
        <w:rPr>
          <w:rFonts w:cs="Arial"/>
        </w:rPr>
        <w:t>Severity Factor</w:t>
      </w:r>
      <w:r w:rsidR="00982AE4" w:rsidRPr="001C36DA">
        <w:rPr>
          <w:rFonts w:cs="Arial"/>
        </w:rPr>
        <w:t xml:space="preserve"> (SF)</w:t>
      </w:r>
      <w:r w:rsidRPr="001C36DA">
        <w:rPr>
          <w:rFonts w:cs="Arial"/>
        </w:rPr>
        <w:t xml:space="preserve"> - the likelihood that </w:t>
      </w:r>
      <w:r w:rsidR="00C4372B" w:rsidRPr="001C36DA">
        <w:rPr>
          <w:rFonts w:cs="Arial"/>
        </w:rPr>
        <w:t xml:space="preserve">the </w:t>
      </w:r>
      <w:r w:rsidR="00812921" w:rsidRPr="001C36DA">
        <w:rPr>
          <w:rFonts w:cs="Arial"/>
        </w:rPr>
        <w:t>heat release rate (</w:t>
      </w:r>
      <w:r w:rsidR="00C4372B" w:rsidRPr="001C36DA">
        <w:rPr>
          <w:rFonts w:cs="Arial"/>
        </w:rPr>
        <w:t>HRR</w:t>
      </w:r>
      <w:r w:rsidR="00812921" w:rsidRPr="001C36DA">
        <w:rPr>
          <w:rFonts w:cs="Arial"/>
        </w:rPr>
        <w:t>)</w:t>
      </w:r>
      <w:r w:rsidR="00C4372B" w:rsidRPr="001C36DA">
        <w:rPr>
          <w:rFonts w:cs="Arial"/>
        </w:rPr>
        <w:t xml:space="preserve"> of an ignition source is sufficient to cause damage to a target or cause ignition of a secondary combustible.</w:t>
      </w:r>
    </w:p>
    <w:p w14:paraId="4A4AA42D" w14:textId="631EFF6F" w:rsidR="009427F5" w:rsidRPr="001C36DA" w:rsidRDefault="009427F5" w:rsidP="0035366F">
      <w:pPr>
        <w:pStyle w:val="ListParagraph"/>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1C36DA">
        <w:rPr>
          <w:rFonts w:cs="Arial"/>
        </w:rPr>
        <w:t xml:space="preserve">Fire Damage State </w:t>
      </w:r>
      <w:r w:rsidR="00D11C8E">
        <w:rPr>
          <w:rFonts w:cs="Arial"/>
        </w:rPr>
        <w:t xml:space="preserve">(FDS) </w:t>
      </w:r>
      <w:r w:rsidRPr="001C36DA">
        <w:rPr>
          <w:rFonts w:cs="Arial"/>
        </w:rPr>
        <w:t xml:space="preserve">Non-Suppression Probability </w:t>
      </w:r>
      <w:r w:rsidR="00982AE4" w:rsidRPr="001C36DA">
        <w:rPr>
          <w:rFonts w:cs="Arial"/>
        </w:rPr>
        <w:t xml:space="preserve">(NSP) </w:t>
      </w:r>
      <w:r w:rsidRPr="001C36DA">
        <w:rPr>
          <w:rFonts w:cs="Arial"/>
        </w:rPr>
        <w:t>- the likelihood that fire suppression efforts fail to suppress the fire before a pre-defined set of plant components/</w:t>
      </w:r>
      <w:r w:rsidR="00812921" w:rsidRPr="001C36DA">
        <w:rPr>
          <w:rFonts w:cs="Arial"/>
        </w:rPr>
        <w:t xml:space="preserve">electrical </w:t>
      </w:r>
      <w:r w:rsidRPr="001C36DA">
        <w:rPr>
          <w:rFonts w:cs="Arial"/>
        </w:rPr>
        <w:t>cables are damaged by the fire.</w:t>
      </w:r>
    </w:p>
    <w:p w14:paraId="25685F80" w14:textId="23E615AB" w:rsidR="009427F5" w:rsidRPr="001C36DA" w:rsidRDefault="009427F5" w:rsidP="0035366F">
      <w:pPr>
        <w:pStyle w:val="ListParagraph"/>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1C36DA">
        <w:rPr>
          <w:rFonts w:cs="Arial"/>
        </w:rPr>
        <w:t>Conditional Core Damage Probability (CCDP) - the likelihood that the fire-induced damage to plant components/</w:t>
      </w:r>
      <w:r w:rsidR="00812921" w:rsidRPr="001C36DA">
        <w:rPr>
          <w:rFonts w:cs="Arial"/>
        </w:rPr>
        <w:t xml:space="preserve">electrical </w:t>
      </w:r>
      <w:r w:rsidRPr="001C36DA">
        <w:rPr>
          <w:rFonts w:cs="Arial"/>
        </w:rPr>
        <w:t>cables leads to core damage (post-fire SSD efforts fail to achieve safe and stable hot shutdown conditions).</w:t>
      </w:r>
    </w:p>
    <w:p w14:paraId="05EBCC85" w14:textId="77777777" w:rsidR="00710EE7" w:rsidRDefault="00710EE7"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7362BC7" w14:textId="35FE5FCD"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In addition to these </w:t>
      </w:r>
      <w:r w:rsidR="00C4372B">
        <w:rPr>
          <w:rFonts w:cs="Arial"/>
        </w:rPr>
        <w:t>four</w:t>
      </w:r>
      <w:r w:rsidR="00C4372B" w:rsidRPr="00C70CAC">
        <w:rPr>
          <w:rFonts w:cs="Arial"/>
        </w:rPr>
        <w:t xml:space="preserve"> </w:t>
      </w:r>
      <w:r w:rsidRPr="00C70CAC">
        <w:rPr>
          <w:rFonts w:cs="Arial"/>
        </w:rPr>
        <w:t>fire PRA quantification factors, the SDP also includes the duration factor</w:t>
      </w:r>
      <w:r w:rsidR="00982AE4">
        <w:rPr>
          <w:rFonts w:cs="Arial"/>
        </w:rPr>
        <w:t xml:space="preserve"> (DF)</w:t>
      </w:r>
      <w:r w:rsidRPr="00C70CAC">
        <w:rPr>
          <w:rFonts w:cs="Arial"/>
        </w:rPr>
        <w:t xml:space="preserve"> associated with a finding</w:t>
      </w:r>
      <w:r w:rsidR="00C4372B">
        <w:rPr>
          <w:rFonts w:cs="Arial"/>
        </w:rPr>
        <w:t>, and, if applicable, a</w:t>
      </w:r>
      <w:r w:rsidR="00982AE4">
        <w:rPr>
          <w:rFonts w:cs="Arial"/>
        </w:rPr>
        <w:t>n</w:t>
      </w:r>
      <w:r w:rsidR="00C4372B">
        <w:rPr>
          <w:rFonts w:cs="Arial"/>
        </w:rPr>
        <w:t xml:space="preserve"> </w:t>
      </w:r>
      <w:r w:rsidR="00982AE4">
        <w:rPr>
          <w:rFonts w:cs="Arial"/>
        </w:rPr>
        <w:t>FIF</w:t>
      </w:r>
      <w:r w:rsidR="00C4372B">
        <w:rPr>
          <w:rFonts w:cs="Arial"/>
        </w:rPr>
        <w:t xml:space="preserve"> adjustment factor</w:t>
      </w:r>
      <w:r w:rsidR="00982AE4">
        <w:rPr>
          <w:rFonts w:cs="Arial"/>
        </w:rPr>
        <w:t xml:space="preserve"> (AF)</w:t>
      </w:r>
      <w:r w:rsidRPr="00C70CAC">
        <w:rPr>
          <w:rFonts w:cs="Arial"/>
        </w:rPr>
        <w:t xml:space="preserve">.  The value of the </w:t>
      </w:r>
      <w:r w:rsidR="00982AE4">
        <w:rPr>
          <w:rFonts w:cs="Arial"/>
        </w:rPr>
        <w:t>DF</w:t>
      </w:r>
      <w:r w:rsidRPr="00C70CAC">
        <w:rPr>
          <w:rFonts w:cs="Arial"/>
        </w:rPr>
        <w:t xml:space="preserve"> established in </w:t>
      </w:r>
      <w:r w:rsidR="00C4372B">
        <w:rPr>
          <w:rFonts w:cs="Arial"/>
        </w:rPr>
        <w:t>Step 2.1.1</w:t>
      </w:r>
      <w:r w:rsidRPr="00C70CAC">
        <w:rPr>
          <w:rFonts w:cs="Arial"/>
        </w:rPr>
        <w:t xml:space="preserve"> is used in all Phase 2 quantification steps.</w:t>
      </w:r>
      <w:r w:rsidR="00C4372B">
        <w:rPr>
          <w:rFonts w:cs="Arial"/>
        </w:rPr>
        <w:t xml:space="preserve">  </w:t>
      </w:r>
      <w:r w:rsidR="006F40FF" w:rsidRPr="006F40FF">
        <w:rPr>
          <w:rFonts w:cs="Arial"/>
        </w:rPr>
        <w:t xml:space="preserve">If the finding category assigned in Step 1.2 is “Fire Prevention and Administrative Controls”, an increase of the </w:t>
      </w:r>
      <w:r w:rsidR="00982AE4">
        <w:rPr>
          <w:rFonts w:cs="Arial"/>
        </w:rPr>
        <w:t>FIF</w:t>
      </w:r>
      <w:r w:rsidR="006F40FF" w:rsidRPr="006F40FF">
        <w:rPr>
          <w:rFonts w:cs="Arial"/>
        </w:rPr>
        <w:t xml:space="preserve"> by up to a factor of 10 may be applicable to hot work and transient </w:t>
      </w:r>
      <w:r w:rsidR="006F40FF" w:rsidRPr="006F40FF">
        <w:rPr>
          <w:rFonts w:cs="Arial"/>
        </w:rPr>
        <w:lastRenderedPageBreak/>
        <w:t>combustible fires.  Guidance for determining the applicable adjustments is provided in Steps 2.4.2 and 2.4.3.</w:t>
      </w:r>
    </w:p>
    <w:p w14:paraId="343A54BA" w14:textId="77777777"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CD123EF" w14:textId="30D7203B"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procedure for a Phase 2 analysis is documented in Appendix F.  A Phase 2 analysis involves </w:t>
      </w:r>
      <w:r w:rsidR="00CA65C9">
        <w:rPr>
          <w:rFonts w:cs="Arial"/>
        </w:rPr>
        <w:t>seven</w:t>
      </w:r>
      <w:r w:rsidR="00CA65C9" w:rsidRPr="00C70CAC">
        <w:rPr>
          <w:rFonts w:cs="Arial"/>
        </w:rPr>
        <w:t xml:space="preserve"> </w:t>
      </w:r>
      <w:r w:rsidRPr="00C70CAC">
        <w:rPr>
          <w:rFonts w:cs="Arial"/>
        </w:rPr>
        <w:t xml:space="preserve">steps, each involving specific analysis </w:t>
      </w:r>
      <w:r w:rsidR="00CA65C9">
        <w:rPr>
          <w:rFonts w:cs="Arial"/>
        </w:rPr>
        <w:t>sub-steps</w:t>
      </w:r>
      <w:r w:rsidRPr="00C70CAC">
        <w:rPr>
          <w:rFonts w:cs="Arial"/>
        </w:rPr>
        <w:t>.  The steps are summarized as follows:</w:t>
      </w:r>
    </w:p>
    <w:p w14:paraId="1EEBF9B0" w14:textId="77777777" w:rsidR="007C04B6" w:rsidRDefault="007C04B6" w:rsidP="007C04B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694DCE" w14:textId="321F0F67" w:rsidR="001C7BE1" w:rsidRDefault="007C04B6"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F01CFD">
        <w:rPr>
          <w:rFonts w:cs="Arial"/>
        </w:rPr>
        <w:t>Step 2.1 – Bounding Risk Quantification:</w:t>
      </w:r>
    </w:p>
    <w:p w14:paraId="24B1FDFA" w14:textId="7133AA5C" w:rsidR="00215E70" w:rsidRPr="0031099E" w:rsidRDefault="00215E70" w:rsidP="00F01CFD">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2.1.1: </w:t>
      </w:r>
      <w:r w:rsidR="00F01CFD">
        <w:rPr>
          <w:rFonts w:cs="Arial"/>
        </w:rPr>
        <w:t xml:space="preserve"> </w:t>
      </w:r>
      <w:r w:rsidRPr="0031099E">
        <w:rPr>
          <w:rFonts w:cs="Arial"/>
        </w:rPr>
        <w:t>Estimate the DF to be used in all Phase 2 quantification steps.</w:t>
      </w:r>
    </w:p>
    <w:p w14:paraId="5B691611" w14:textId="683C4AF2" w:rsidR="00215E70" w:rsidRPr="0031099E" w:rsidRDefault="00215E70" w:rsidP="00F01CFD">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2.1.2: </w:t>
      </w:r>
      <w:r w:rsidR="00F01CFD">
        <w:rPr>
          <w:rFonts w:cs="Arial"/>
        </w:rPr>
        <w:t xml:space="preserve"> </w:t>
      </w:r>
      <w:r w:rsidRPr="0031099E">
        <w:rPr>
          <w:rFonts w:cs="Arial"/>
        </w:rPr>
        <w:t>Estimate bounding area-wide value of the FIF.</w:t>
      </w:r>
    </w:p>
    <w:p w14:paraId="6980777E" w14:textId="03D52189" w:rsidR="00215E70" w:rsidRPr="0031099E" w:rsidRDefault="00215E70" w:rsidP="00F01CFD">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2.1.3: </w:t>
      </w:r>
      <w:r w:rsidR="00F01CFD">
        <w:rPr>
          <w:rFonts w:cs="Arial"/>
        </w:rPr>
        <w:t xml:space="preserve"> </w:t>
      </w:r>
      <w:r w:rsidRPr="0031099E">
        <w:rPr>
          <w:rFonts w:cs="Arial"/>
        </w:rPr>
        <w:t>Estimate bounding value of the AF.</w:t>
      </w:r>
    </w:p>
    <w:p w14:paraId="00751D81" w14:textId="3D4EE9DB" w:rsidR="00215E70" w:rsidRPr="0031099E" w:rsidRDefault="00215E70" w:rsidP="00F01CFD">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2.1.4: </w:t>
      </w:r>
      <w:r w:rsidR="00F01CFD">
        <w:rPr>
          <w:rFonts w:cs="Arial"/>
        </w:rPr>
        <w:t xml:space="preserve"> </w:t>
      </w:r>
      <w:r w:rsidRPr="0031099E">
        <w:rPr>
          <w:rFonts w:cs="Arial"/>
        </w:rPr>
        <w:t>Estimate bounding value of the SF.</w:t>
      </w:r>
    </w:p>
    <w:p w14:paraId="27F99397" w14:textId="7429AE63" w:rsidR="00215E70" w:rsidRPr="0031099E" w:rsidRDefault="00215E70" w:rsidP="00F01CFD">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2.1.5: </w:t>
      </w:r>
      <w:r w:rsidR="00F01CFD">
        <w:rPr>
          <w:rFonts w:cs="Arial"/>
        </w:rPr>
        <w:t xml:space="preserve"> </w:t>
      </w:r>
      <w:r w:rsidRPr="0031099E">
        <w:rPr>
          <w:rFonts w:cs="Arial"/>
        </w:rPr>
        <w:t>Estimate bounding value of the NSP.</w:t>
      </w:r>
    </w:p>
    <w:p w14:paraId="2C9FC466" w14:textId="41CC33CE" w:rsidR="00215E70" w:rsidRPr="0031099E" w:rsidRDefault="00215E70" w:rsidP="00F01CFD">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2.1.6: </w:t>
      </w:r>
      <w:r w:rsidR="00F01CFD">
        <w:rPr>
          <w:rFonts w:cs="Arial"/>
        </w:rPr>
        <w:t xml:space="preserve"> </w:t>
      </w:r>
      <w:r w:rsidRPr="0031099E">
        <w:rPr>
          <w:rFonts w:cs="Arial"/>
        </w:rPr>
        <w:t>Estimate bounding value of the CCDP.</w:t>
      </w:r>
    </w:p>
    <w:p w14:paraId="083E5968" w14:textId="7D56498D" w:rsidR="00215E70" w:rsidRPr="0031099E" w:rsidRDefault="00215E70" w:rsidP="00F01CFD">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2.1.7: </w:t>
      </w:r>
      <w:r w:rsidR="00F01CFD">
        <w:rPr>
          <w:rFonts w:cs="Arial"/>
        </w:rPr>
        <w:t xml:space="preserve"> </w:t>
      </w:r>
      <w:r w:rsidRPr="0031099E">
        <w:rPr>
          <w:rFonts w:cs="Arial"/>
        </w:rPr>
        <w:t>Evaluate the effect of the finding category on the bounding risk quantification.</w:t>
      </w:r>
    </w:p>
    <w:p w14:paraId="5AF8AC88" w14:textId="18FAB5AE" w:rsidR="00215E70" w:rsidRPr="0031099E" w:rsidRDefault="00215E70" w:rsidP="00F01CFD">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2.1.8: </w:t>
      </w:r>
      <w:r w:rsidR="00F01CFD">
        <w:rPr>
          <w:rFonts w:cs="Arial"/>
        </w:rPr>
        <w:t xml:space="preserve"> </w:t>
      </w:r>
      <w:r w:rsidRPr="0031099E">
        <w:rPr>
          <w:rFonts w:cs="Arial"/>
        </w:rPr>
        <w:t xml:space="preserve">Estimate bounding value of </w:t>
      </w:r>
      <w:r w:rsidRPr="0031099E">
        <w:sym w:font="Symbol" w:char="F044"/>
      </w:r>
      <w:r w:rsidRPr="0031099E">
        <w:rPr>
          <w:rFonts w:cs="Arial"/>
        </w:rPr>
        <w:t>CDF.</w:t>
      </w:r>
    </w:p>
    <w:p w14:paraId="2916FD6E" w14:textId="77777777" w:rsidR="007C04B6" w:rsidRDefault="007C04B6"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CB6A15" w14:textId="321CED3E" w:rsidR="001C7BE1" w:rsidRDefault="00A015DC"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bookmarkStart w:id="33" w:name="_Toc481265362"/>
      <w:r w:rsidRPr="00F01CFD">
        <w:rPr>
          <w:rFonts w:cs="Arial"/>
        </w:rPr>
        <w:t>Step 2.2 – Identifying Credible Fire Scenarios and Information Gathering:</w:t>
      </w:r>
      <w:bookmarkEnd w:id="33"/>
    </w:p>
    <w:p w14:paraId="155D0174" w14:textId="02D7F0DB" w:rsidR="00215E70" w:rsidRPr="0031099E" w:rsidRDefault="00215E70" w:rsidP="00F01CFD">
      <w:pPr>
        <w:pStyle w:val="Level2"/>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outlineLvl w:val="9"/>
        <w:rPr>
          <w:rFonts w:cs="Arial"/>
        </w:rPr>
      </w:pPr>
      <w:r w:rsidRPr="0031099E">
        <w:rPr>
          <w:rFonts w:cs="Arial"/>
        </w:rPr>
        <w:t xml:space="preserve">Step 2.2.1: </w:t>
      </w:r>
      <w:r w:rsidR="00F01CFD">
        <w:rPr>
          <w:rFonts w:cs="Arial"/>
        </w:rPr>
        <w:t xml:space="preserve"> </w:t>
      </w:r>
      <w:r w:rsidRPr="0031099E">
        <w:rPr>
          <w:rFonts w:cs="Arial"/>
        </w:rPr>
        <w:t>Initial FDS assignment based on the finding category.</w:t>
      </w:r>
    </w:p>
    <w:p w14:paraId="2C0D8952" w14:textId="0E10038B" w:rsidR="00215E70" w:rsidRPr="0031099E" w:rsidRDefault="00215E70" w:rsidP="00F01CFD">
      <w:pPr>
        <w:pStyle w:val="Level2"/>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outlineLvl w:val="9"/>
        <w:rPr>
          <w:rFonts w:cs="Arial"/>
        </w:rPr>
      </w:pPr>
      <w:r w:rsidRPr="0031099E">
        <w:rPr>
          <w:rFonts w:cs="Arial"/>
        </w:rPr>
        <w:t xml:space="preserve">Step 2.2.2: </w:t>
      </w:r>
      <w:r w:rsidR="00F01CFD">
        <w:rPr>
          <w:rFonts w:cs="Arial"/>
        </w:rPr>
        <w:t xml:space="preserve"> </w:t>
      </w:r>
      <w:r w:rsidRPr="0031099E">
        <w:rPr>
          <w:rFonts w:cs="Arial"/>
        </w:rPr>
        <w:t xml:space="preserve">Information gathering for </w:t>
      </w:r>
      <w:r w:rsidR="00AE0E51">
        <w:rPr>
          <w:rFonts w:cs="Arial"/>
        </w:rPr>
        <w:t>the</w:t>
      </w:r>
      <w:r w:rsidRPr="0031099E">
        <w:rPr>
          <w:rFonts w:cs="Arial"/>
        </w:rPr>
        <w:t xml:space="preserve"> </w:t>
      </w:r>
      <w:r w:rsidR="00AE0E51" w:rsidRPr="0031099E">
        <w:rPr>
          <w:rFonts w:cs="Arial"/>
        </w:rPr>
        <w:t>analys</w:t>
      </w:r>
      <w:r w:rsidR="00AE0E51">
        <w:rPr>
          <w:rFonts w:cs="Arial"/>
        </w:rPr>
        <w:t>i</w:t>
      </w:r>
      <w:r w:rsidR="00AE0E51" w:rsidRPr="0031099E">
        <w:rPr>
          <w:rFonts w:cs="Arial"/>
        </w:rPr>
        <w:t>s</w:t>
      </w:r>
      <w:r w:rsidR="00AE0E51">
        <w:rPr>
          <w:rFonts w:cs="Arial"/>
        </w:rPr>
        <w:t xml:space="preserve"> of credible fire scenarios</w:t>
      </w:r>
      <w:r w:rsidRPr="0031099E">
        <w:rPr>
          <w:rFonts w:cs="Arial"/>
        </w:rPr>
        <w:t>.</w:t>
      </w:r>
    </w:p>
    <w:p w14:paraId="5F56C9D5" w14:textId="77777777" w:rsidR="00A015DC" w:rsidRDefault="00A015DC"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94F030" w14:textId="313C3A02" w:rsidR="00A015DC" w:rsidRDefault="00A015DC"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bookmarkStart w:id="34" w:name="_Toc481265363"/>
      <w:r w:rsidRPr="00F01CFD">
        <w:rPr>
          <w:rFonts w:cs="Arial"/>
        </w:rPr>
        <w:t>Step 2.3 - Ignition Source Screening and Fire Scenario Refinement:</w:t>
      </w:r>
      <w:bookmarkEnd w:id="34"/>
    </w:p>
    <w:p w14:paraId="524C6D0D" w14:textId="2BDD82FB" w:rsidR="00547286" w:rsidRDefault="00215E70" w:rsidP="00F01CFD">
      <w:pPr>
        <w:pStyle w:val="Level2"/>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547286">
        <w:rPr>
          <w:rFonts w:cs="Arial"/>
        </w:rPr>
        <w:t xml:space="preserve">Step 2.3.1: </w:t>
      </w:r>
      <w:r w:rsidR="00F01CFD">
        <w:rPr>
          <w:rFonts w:cs="Arial"/>
        </w:rPr>
        <w:t xml:space="preserve"> </w:t>
      </w:r>
      <w:r w:rsidRPr="00547286">
        <w:rPr>
          <w:rFonts w:cs="Arial"/>
        </w:rPr>
        <w:t>Characterize fire ignition sources</w:t>
      </w:r>
      <w:r w:rsidR="000C1E1D" w:rsidRPr="00547286">
        <w:rPr>
          <w:rFonts w:cs="Arial"/>
        </w:rPr>
        <w:t xml:space="preserve"> i</w:t>
      </w:r>
      <w:r w:rsidRPr="00547286">
        <w:rPr>
          <w:rFonts w:cs="Arial"/>
        </w:rPr>
        <w:t>n the fire area under evaluation.</w:t>
      </w:r>
    </w:p>
    <w:p w14:paraId="77D4AB49" w14:textId="09BD64E7" w:rsidR="00547286" w:rsidRPr="00547286" w:rsidRDefault="00215E70" w:rsidP="00F01CFD">
      <w:pPr>
        <w:pStyle w:val="Level2"/>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547286">
        <w:rPr>
          <w:rFonts w:cs="Arial"/>
        </w:rPr>
        <w:t xml:space="preserve">Step 2.3.2: </w:t>
      </w:r>
      <w:r w:rsidR="00F01CFD">
        <w:rPr>
          <w:rFonts w:cs="Arial"/>
        </w:rPr>
        <w:t xml:space="preserve"> </w:t>
      </w:r>
      <w:r w:rsidRPr="00547286">
        <w:rPr>
          <w:rFonts w:cs="Arial"/>
        </w:rPr>
        <w:t>Screen ignition sources that are not capable of causing damage to a target or causing ignition of a secondary combustible (FDS1).</w:t>
      </w:r>
    </w:p>
    <w:p w14:paraId="10AD6554" w14:textId="67B5C08E" w:rsidR="00CC4597" w:rsidRPr="00547286" w:rsidRDefault="00215E70" w:rsidP="00F01CFD">
      <w:pPr>
        <w:pStyle w:val="Level2"/>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547286">
        <w:rPr>
          <w:rFonts w:cs="Arial"/>
        </w:rPr>
        <w:t xml:space="preserve">Step 2.3.3: </w:t>
      </w:r>
      <w:r w:rsidR="00F01CFD">
        <w:rPr>
          <w:rFonts w:cs="Arial"/>
        </w:rPr>
        <w:t xml:space="preserve"> </w:t>
      </w:r>
      <w:r w:rsidRPr="00547286">
        <w:rPr>
          <w:rFonts w:cs="Arial"/>
        </w:rPr>
        <w:t>Screen ignition sources that are not capable of causing a damaging HGL in the fire compartment under evaluation (FDS2).</w:t>
      </w:r>
    </w:p>
    <w:p w14:paraId="7632523C" w14:textId="748EC19A" w:rsidR="00215E70" w:rsidRPr="0031099E" w:rsidRDefault="00215E70" w:rsidP="00F01CFD">
      <w:pPr>
        <w:pStyle w:val="Level2"/>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2.3.4: </w:t>
      </w:r>
      <w:r w:rsidR="00F01CFD">
        <w:rPr>
          <w:rFonts w:cs="Arial"/>
        </w:rPr>
        <w:t xml:space="preserve"> </w:t>
      </w:r>
      <w:r w:rsidRPr="0031099E">
        <w:rPr>
          <w:rFonts w:cs="Arial"/>
        </w:rPr>
        <w:t>Screen fire ignition sources that are not capable of causing a damaging HGL in an adjacent compartment separated by a degraded barrier from the fire compartment under evaluation (FDS3).</w:t>
      </w:r>
    </w:p>
    <w:p w14:paraId="0389BC2A" w14:textId="03BB05B0" w:rsidR="00215E70" w:rsidRPr="0031099E" w:rsidRDefault="00215E70" w:rsidP="00F01CFD">
      <w:pPr>
        <w:pStyle w:val="Level2"/>
        <w:widowControl/>
        <w:numPr>
          <w:ilvl w:val="0"/>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2.3.5: </w:t>
      </w:r>
      <w:r w:rsidR="00F01CFD">
        <w:rPr>
          <w:rFonts w:cs="Arial"/>
        </w:rPr>
        <w:t xml:space="preserve"> </w:t>
      </w:r>
      <w:r w:rsidRPr="0031099E">
        <w:rPr>
          <w:rFonts w:cs="Arial"/>
        </w:rPr>
        <w:t>Screening Check - finding screens to Green if ALL fire ignition sources screened out (no credible fire scenario).</w:t>
      </w:r>
    </w:p>
    <w:p w14:paraId="5314D471" w14:textId="77777777" w:rsidR="00547286" w:rsidRDefault="00547286"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5A863B" w14:textId="5606F048" w:rsidR="00C43D7D" w:rsidRPr="0031099E" w:rsidRDefault="00F01CFD"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Pr>
          <w:rFonts w:cs="Arial"/>
        </w:rPr>
        <w:t>Step 2.4 – Final FIF Estimates f</w:t>
      </w:r>
      <w:r w:rsidR="00547286" w:rsidRPr="00F01CFD">
        <w:rPr>
          <w:rFonts w:cs="Arial"/>
        </w:rPr>
        <w:t>or Unscreened Fire Ignition Sources:</w:t>
      </w:r>
    </w:p>
    <w:p w14:paraId="494B0D74" w14:textId="5EF31FD1" w:rsidR="00215E70" w:rsidRPr="0031099E" w:rsidRDefault="00215E70" w:rsidP="00F01CFD">
      <w:pPr>
        <w:pStyle w:val="Level2"/>
        <w:widowControl/>
        <w:numPr>
          <w:ilvl w:val="0"/>
          <w:numId w:val="0"/>
        </w:numPr>
        <w:tabs>
          <w:tab w:val="left" w:pos="274"/>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Step 2.4.1:</w:t>
      </w:r>
      <w:r w:rsidR="00F01CFD">
        <w:rPr>
          <w:rFonts w:cs="Arial"/>
        </w:rPr>
        <w:t xml:space="preserve"> </w:t>
      </w:r>
      <w:r w:rsidRPr="0031099E">
        <w:rPr>
          <w:rFonts w:cs="Arial"/>
        </w:rPr>
        <w:t xml:space="preserve"> Estimate nominal fire frequencies for each unscreened fire ignition source.</w:t>
      </w:r>
    </w:p>
    <w:p w14:paraId="5F4FFAAC" w14:textId="7089AD8A" w:rsidR="00215E70" w:rsidRPr="0031099E" w:rsidRDefault="00215E70" w:rsidP="00F01CFD">
      <w:pPr>
        <w:pStyle w:val="Level2"/>
        <w:widowControl/>
        <w:numPr>
          <w:ilvl w:val="0"/>
          <w:numId w:val="0"/>
        </w:numPr>
        <w:tabs>
          <w:tab w:val="left" w:pos="274"/>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2.4.2: </w:t>
      </w:r>
      <w:r w:rsidR="00F01CFD">
        <w:rPr>
          <w:rFonts w:cs="Arial"/>
        </w:rPr>
        <w:t xml:space="preserve"> </w:t>
      </w:r>
      <w:r w:rsidRPr="0031099E">
        <w:rPr>
          <w:rFonts w:cs="Arial"/>
        </w:rPr>
        <w:t>Increase hot work and/or transient fire frequencies if finding is against administrative controls.</w:t>
      </w:r>
    </w:p>
    <w:p w14:paraId="1A508907" w14:textId="7B144CFC" w:rsidR="00215E70" w:rsidRPr="0031099E" w:rsidRDefault="00215E70" w:rsidP="00F01CFD">
      <w:pPr>
        <w:pStyle w:val="Level2"/>
        <w:widowControl/>
        <w:numPr>
          <w:ilvl w:val="0"/>
          <w:numId w:val="0"/>
        </w:numPr>
        <w:tabs>
          <w:tab w:val="left" w:pos="274"/>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2.4.3: </w:t>
      </w:r>
      <w:r w:rsidR="00F01CFD">
        <w:rPr>
          <w:rFonts w:cs="Arial"/>
        </w:rPr>
        <w:t xml:space="preserve"> </w:t>
      </w:r>
      <w:r w:rsidRPr="0031099E">
        <w:rPr>
          <w:rFonts w:cs="Arial"/>
        </w:rPr>
        <w:t xml:space="preserve">Reduce hot work and/or transient fire frequencies if </w:t>
      </w:r>
      <w:r w:rsidR="00B24BB1">
        <w:rPr>
          <w:rFonts w:cs="Arial"/>
        </w:rPr>
        <w:t>CMs</w:t>
      </w:r>
      <w:r w:rsidRPr="0031099E">
        <w:rPr>
          <w:rFonts w:cs="Arial"/>
        </w:rPr>
        <w:t xml:space="preserve"> will reduce likelihood of fire occurrence.</w:t>
      </w:r>
    </w:p>
    <w:p w14:paraId="1EA5A4A4" w14:textId="60B53222" w:rsidR="00215E70" w:rsidRPr="0031099E" w:rsidRDefault="00215E70" w:rsidP="00F01CFD">
      <w:pPr>
        <w:pStyle w:val="Level2"/>
        <w:widowControl/>
        <w:numPr>
          <w:ilvl w:val="0"/>
          <w:numId w:val="0"/>
        </w:numPr>
        <w:tabs>
          <w:tab w:val="left" w:pos="274"/>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 xml:space="preserve">Step 2.4.4: </w:t>
      </w:r>
      <w:r w:rsidR="00F01CFD">
        <w:rPr>
          <w:rFonts w:cs="Arial"/>
        </w:rPr>
        <w:t xml:space="preserve"> </w:t>
      </w:r>
      <w:r w:rsidRPr="0031099E">
        <w:rPr>
          <w:rFonts w:cs="Arial"/>
        </w:rPr>
        <w:t>Perform a screening check using updated room fire frequency.</w:t>
      </w:r>
    </w:p>
    <w:p w14:paraId="6A852EDA" w14:textId="77777777" w:rsidR="00547286" w:rsidRDefault="00547286"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1E5FF3" w14:textId="2C70F05E" w:rsidR="00547286" w:rsidRPr="0031099E" w:rsidRDefault="00547286"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bookmarkStart w:id="35" w:name="_Toc481265365"/>
      <w:r w:rsidRPr="00F01CFD">
        <w:rPr>
          <w:rFonts w:cs="Arial"/>
        </w:rPr>
        <w:t>Step 2.5 – Final CCDP Estimates:</w:t>
      </w:r>
      <w:bookmarkEnd w:id="35"/>
    </w:p>
    <w:p w14:paraId="0E3FF245" w14:textId="04E1DB7C" w:rsidR="00215E70" w:rsidRPr="0031099E" w:rsidRDefault="00215E70" w:rsidP="00F01CFD">
      <w:pPr>
        <w:pStyle w:val="Level2"/>
        <w:widowControl/>
        <w:numPr>
          <w:ilvl w:val="0"/>
          <w:numId w:val="0"/>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Step 2.5.1: Determine damaged target set and corresponding CCDP for FDS1 scenarios.</w:t>
      </w:r>
    </w:p>
    <w:p w14:paraId="463DF07F" w14:textId="26FAC93B" w:rsidR="00215E70" w:rsidRPr="0031099E" w:rsidRDefault="00215E70" w:rsidP="00F01CFD">
      <w:pPr>
        <w:pStyle w:val="Level2"/>
        <w:widowControl/>
        <w:numPr>
          <w:ilvl w:val="0"/>
          <w:numId w:val="0"/>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Step 2.5.2: Determine damaged target set and corresponding CCDP for FDS2 scenarios.</w:t>
      </w:r>
    </w:p>
    <w:p w14:paraId="51401127" w14:textId="14B03E18" w:rsidR="00215E70" w:rsidRPr="0031099E" w:rsidRDefault="00215E70" w:rsidP="00F01CFD">
      <w:pPr>
        <w:pStyle w:val="Level2"/>
        <w:widowControl/>
        <w:numPr>
          <w:ilvl w:val="0"/>
          <w:numId w:val="0"/>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Step 2.5.3: Determine damaged target set and corresponding CCDP for FDS3 scenarios.</w:t>
      </w:r>
    </w:p>
    <w:p w14:paraId="21DED6EB" w14:textId="77777777" w:rsidR="00215E70" w:rsidRPr="0031099E" w:rsidRDefault="00215E70" w:rsidP="00F01CFD">
      <w:pPr>
        <w:pStyle w:val="Level2"/>
        <w:widowControl/>
        <w:numPr>
          <w:ilvl w:val="0"/>
          <w:numId w:val="0"/>
        </w:num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1980" w:hanging="1170"/>
        <w:outlineLvl w:val="9"/>
        <w:rPr>
          <w:rFonts w:cs="Arial"/>
        </w:rPr>
      </w:pPr>
      <w:r w:rsidRPr="0031099E">
        <w:rPr>
          <w:rFonts w:cs="Arial"/>
        </w:rPr>
        <w:t>Step 2.5.4: Perform screening using updated CCDPs.</w:t>
      </w:r>
    </w:p>
    <w:p w14:paraId="642DDC44" w14:textId="77777777" w:rsidR="00547286" w:rsidRDefault="00547286"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E53315" w14:textId="7F234D29" w:rsidR="00547286" w:rsidRPr="0031099E" w:rsidRDefault="00547286" w:rsidP="00F01CFD">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bookmarkStart w:id="36" w:name="_Toc481265366"/>
      <w:r w:rsidRPr="00F01CFD">
        <w:rPr>
          <w:rFonts w:cs="Arial"/>
        </w:rPr>
        <w:lastRenderedPageBreak/>
        <w:t>Step 2.6 – Final SF Estimates:</w:t>
      </w:r>
      <w:bookmarkEnd w:id="36"/>
    </w:p>
    <w:p w14:paraId="203550D1" w14:textId="74F0B158" w:rsidR="00215E70" w:rsidRPr="0031099E" w:rsidRDefault="00215E70" w:rsidP="00F01CFD">
      <w:pPr>
        <w:pStyle w:val="Level2"/>
        <w:keepNext/>
        <w:keepLines/>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sidRPr="0031099E">
        <w:rPr>
          <w:rFonts w:cs="Arial"/>
        </w:rPr>
        <w:t xml:space="preserve">Step 2.6.1: </w:t>
      </w:r>
      <w:r w:rsidR="00F01CFD">
        <w:rPr>
          <w:rFonts w:cs="Arial"/>
        </w:rPr>
        <w:t xml:space="preserve"> </w:t>
      </w:r>
      <w:r w:rsidRPr="0031099E">
        <w:rPr>
          <w:rFonts w:cs="Arial"/>
        </w:rPr>
        <w:t>Determine the SF for each unscreened ignition source.</w:t>
      </w:r>
    </w:p>
    <w:p w14:paraId="386A315A" w14:textId="0AFC395A" w:rsidR="00215E70" w:rsidRPr="0031099E" w:rsidRDefault="00215E70" w:rsidP="00F01CFD">
      <w:pPr>
        <w:pStyle w:val="Level2"/>
        <w:keepNext/>
        <w:keepLines/>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sidRPr="0031099E">
        <w:rPr>
          <w:rFonts w:cs="Arial"/>
        </w:rPr>
        <w:t xml:space="preserve">Step 2.6.2: </w:t>
      </w:r>
      <w:r w:rsidR="00F01CFD">
        <w:rPr>
          <w:rFonts w:cs="Arial"/>
        </w:rPr>
        <w:t xml:space="preserve"> </w:t>
      </w:r>
      <w:r w:rsidRPr="0031099E">
        <w:rPr>
          <w:rFonts w:cs="Arial"/>
        </w:rPr>
        <w:t>Perform screening using updated SFs.</w:t>
      </w:r>
    </w:p>
    <w:p w14:paraId="476EC8AF" w14:textId="77777777" w:rsidR="00547286" w:rsidRDefault="00547286"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8D3125" w14:textId="00811CD5" w:rsidR="00547286" w:rsidRPr="0031099E" w:rsidRDefault="00547286" w:rsidP="00F01CF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F01CFD">
        <w:rPr>
          <w:rFonts w:cs="Arial"/>
        </w:rPr>
        <w:t>Step 2.7 - Final NSP Estimates:</w:t>
      </w:r>
    </w:p>
    <w:p w14:paraId="170DFA3F" w14:textId="49963D5C" w:rsidR="00215E70" w:rsidRPr="0031099E" w:rsidRDefault="00215E70" w:rsidP="00F01CFD">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sidRPr="0031099E">
        <w:rPr>
          <w:rFonts w:cs="Arial"/>
        </w:rPr>
        <w:t xml:space="preserve">Step 2.7.1: </w:t>
      </w:r>
      <w:r w:rsidR="00F01CFD">
        <w:rPr>
          <w:rFonts w:cs="Arial"/>
        </w:rPr>
        <w:t xml:space="preserve"> </w:t>
      </w:r>
      <w:r w:rsidRPr="0031099E">
        <w:rPr>
          <w:rFonts w:cs="Arial"/>
        </w:rPr>
        <w:t>Determine damage and ignition times.</w:t>
      </w:r>
    </w:p>
    <w:p w14:paraId="0E46056D" w14:textId="5CB83DF2" w:rsidR="00215E70" w:rsidRPr="0031099E" w:rsidRDefault="00215E70" w:rsidP="00F01CFD">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sidRPr="0031099E">
        <w:rPr>
          <w:rFonts w:cs="Arial"/>
        </w:rPr>
        <w:t xml:space="preserve">Step 2.7.2: </w:t>
      </w:r>
      <w:r w:rsidR="00F01CFD">
        <w:rPr>
          <w:rFonts w:cs="Arial"/>
        </w:rPr>
        <w:t xml:space="preserve"> </w:t>
      </w:r>
      <w:r w:rsidRPr="0031099E">
        <w:rPr>
          <w:rFonts w:cs="Arial"/>
        </w:rPr>
        <w:t>Estimate the time to fire detection.</w:t>
      </w:r>
    </w:p>
    <w:p w14:paraId="2F4AE577" w14:textId="128ADF27" w:rsidR="00215E70" w:rsidRPr="0031099E" w:rsidRDefault="00215E70" w:rsidP="00F01CFD">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sidRPr="0031099E">
        <w:rPr>
          <w:rFonts w:cs="Arial"/>
        </w:rPr>
        <w:t xml:space="preserve">Step 2.7.3: </w:t>
      </w:r>
      <w:r w:rsidR="00F01CFD">
        <w:rPr>
          <w:rFonts w:cs="Arial"/>
        </w:rPr>
        <w:t xml:space="preserve"> </w:t>
      </w:r>
      <w:r w:rsidRPr="0031099E">
        <w:rPr>
          <w:rFonts w:cs="Arial"/>
        </w:rPr>
        <w:t>Estimate performance time for fixed fire suppression systems.</w:t>
      </w:r>
    </w:p>
    <w:p w14:paraId="6751C8EA" w14:textId="6844A4F5" w:rsidR="00215E70" w:rsidRPr="0031099E" w:rsidRDefault="00215E70" w:rsidP="00F01CFD">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sidRPr="0031099E">
        <w:rPr>
          <w:rFonts w:cs="Arial"/>
        </w:rPr>
        <w:t xml:space="preserve">Step 2.7.4: </w:t>
      </w:r>
      <w:r w:rsidR="00F01CFD">
        <w:rPr>
          <w:rFonts w:cs="Arial"/>
        </w:rPr>
        <w:t xml:space="preserve"> </w:t>
      </w:r>
      <w:r w:rsidRPr="0031099E">
        <w:rPr>
          <w:rFonts w:cs="Arial"/>
        </w:rPr>
        <w:t xml:space="preserve">Estimate fire suppression time for manual </w:t>
      </w:r>
      <w:r w:rsidR="005F3F92" w:rsidRPr="0031099E">
        <w:rPr>
          <w:rFonts w:cs="Arial"/>
        </w:rPr>
        <w:t>firefighting</w:t>
      </w:r>
      <w:r w:rsidRPr="0031099E">
        <w:rPr>
          <w:rFonts w:cs="Arial"/>
        </w:rPr>
        <w:t>.</w:t>
      </w:r>
    </w:p>
    <w:p w14:paraId="4795AC2C" w14:textId="07B9491C" w:rsidR="00215E70" w:rsidRPr="0031099E" w:rsidRDefault="00215E70" w:rsidP="00F01CFD">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sidRPr="0031099E">
        <w:rPr>
          <w:rFonts w:cs="Arial"/>
        </w:rPr>
        <w:t xml:space="preserve">Step 2.7.4: </w:t>
      </w:r>
      <w:r w:rsidR="00F01CFD">
        <w:rPr>
          <w:rFonts w:cs="Arial"/>
        </w:rPr>
        <w:t xml:space="preserve"> </w:t>
      </w:r>
      <w:r w:rsidRPr="0031099E">
        <w:rPr>
          <w:rFonts w:cs="Arial"/>
        </w:rPr>
        <w:t>Estimate NSP for each FDS fire scenario.</w:t>
      </w:r>
    </w:p>
    <w:p w14:paraId="53FAF4CA" w14:textId="0DB3517A" w:rsidR="00215E70" w:rsidRPr="0031099E" w:rsidRDefault="00215E70" w:rsidP="00F01CFD">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sidRPr="0031099E">
        <w:rPr>
          <w:rFonts w:cs="Arial"/>
        </w:rPr>
        <w:t xml:space="preserve">Step 2.7.5: </w:t>
      </w:r>
      <w:r w:rsidR="00F01CFD">
        <w:rPr>
          <w:rFonts w:cs="Arial"/>
        </w:rPr>
        <w:t xml:space="preserve"> </w:t>
      </w:r>
      <w:r w:rsidRPr="0031099E">
        <w:rPr>
          <w:rFonts w:cs="Arial"/>
        </w:rPr>
        <w:t>Perform screening check using updated NSPs.</w:t>
      </w:r>
    </w:p>
    <w:p w14:paraId="583BFCCC" w14:textId="77777777"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05DF075" w14:textId="6E8E5C22" w:rsidR="009427F5" w:rsidRPr="00C70CAC"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In order to optimize the efficiency of the analysis, Phase 2 i</w:t>
      </w:r>
      <w:r>
        <w:rPr>
          <w:rFonts w:cs="Arial"/>
        </w:rPr>
        <w:t xml:space="preserve">ncludes </w:t>
      </w:r>
      <w:r w:rsidR="009D4EE3">
        <w:rPr>
          <w:rFonts w:cs="Arial"/>
        </w:rPr>
        <w:t xml:space="preserve">six </w:t>
      </w:r>
      <w:r>
        <w:rPr>
          <w:rFonts w:cs="Arial"/>
        </w:rPr>
        <w:t xml:space="preserve">screening checks. </w:t>
      </w:r>
      <w:r w:rsidRPr="00C70CAC">
        <w:rPr>
          <w:rFonts w:cs="Arial"/>
        </w:rPr>
        <w:t xml:space="preserve">These screening checks ensure that a low significance finding will screen to </w:t>
      </w:r>
      <w:r w:rsidR="009D4EE3">
        <w:rPr>
          <w:rFonts w:cs="Arial"/>
        </w:rPr>
        <w:t>G</w:t>
      </w:r>
      <w:r w:rsidR="009D4EE3" w:rsidRPr="00C70CAC">
        <w:rPr>
          <w:rFonts w:cs="Arial"/>
        </w:rPr>
        <w:t xml:space="preserve">reen </w:t>
      </w:r>
      <w:r w:rsidRPr="00C70CAC">
        <w:rPr>
          <w:rFonts w:cs="Arial"/>
        </w:rPr>
        <w:t xml:space="preserve">as soon as the information developed is sufficient to support such a determination.  A screening check is made each time a refined estimate of any one of the </w:t>
      </w:r>
      <w:r w:rsidR="009C1374">
        <w:rPr>
          <w:rFonts w:cs="Arial"/>
        </w:rPr>
        <w:t>four</w:t>
      </w:r>
      <w:r w:rsidR="009C1374" w:rsidRPr="00C70CAC">
        <w:rPr>
          <w:rFonts w:cs="Arial"/>
        </w:rPr>
        <w:t xml:space="preserve"> </w:t>
      </w:r>
      <w:r w:rsidRPr="00C70CAC">
        <w:rPr>
          <w:rFonts w:cs="Arial"/>
        </w:rPr>
        <w:t>fire risk quantification factors identified above is developed (</w:t>
      </w:r>
      <w:r w:rsidR="00B24BB1">
        <w:rPr>
          <w:rFonts w:cs="Arial"/>
        </w:rPr>
        <w:t>DF</w:t>
      </w:r>
      <w:r w:rsidRPr="00C70CAC">
        <w:rPr>
          <w:rFonts w:cs="Arial"/>
        </w:rPr>
        <w:t xml:space="preserve"> remains constant once set in Phase </w:t>
      </w:r>
      <w:r w:rsidR="006D0933">
        <w:rPr>
          <w:rFonts w:cs="Arial"/>
        </w:rPr>
        <w:t>2</w:t>
      </w:r>
      <w:r w:rsidRPr="00C70CAC">
        <w:rPr>
          <w:rFonts w:cs="Arial"/>
        </w:rPr>
        <w:t xml:space="preserve">).  If at any time, the estimated CDF change meets the screening criteria, the finding is assigned a preliminary significance ranking of </w:t>
      </w:r>
      <w:r w:rsidR="009D4EE3">
        <w:rPr>
          <w:rFonts w:cs="Arial"/>
        </w:rPr>
        <w:t>G</w:t>
      </w:r>
      <w:r w:rsidR="009D4EE3" w:rsidRPr="00C70CAC">
        <w:rPr>
          <w:rFonts w:cs="Arial"/>
        </w:rPr>
        <w:t>reen</w:t>
      </w:r>
      <w:r w:rsidRPr="00C70CAC">
        <w:rPr>
          <w:rFonts w:cs="Arial"/>
        </w:rPr>
        <w:t>, and the analysis is considered complete.  Subsequent steps need not be performed.  The Phase 2 screening checks are summarized as follows:</w:t>
      </w:r>
    </w:p>
    <w:p w14:paraId="7EDE83E1" w14:textId="77777777" w:rsidR="009427F5" w:rsidRDefault="009427F5" w:rsidP="0051659A">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3976449A" w14:textId="764A8B5C" w:rsidR="009427F5" w:rsidRPr="00C70CAC" w:rsidRDefault="009427F5" w:rsidP="0035366F">
      <w:pPr>
        <w:pStyle w:val="Level2"/>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Step 2.1 includes a screening check that </w:t>
      </w:r>
      <w:r w:rsidR="003A3E23">
        <w:rPr>
          <w:rFonts w:cs="Arial"/>
        </w:rPr>
        <w:t xml:space="preserve">is based on a bounding quantification of the </w:t>
      </w:r>
      <w:r w:rsidR="003A3E23">
        <w:rPr>
          <w:rFonts w:cs="Arial"/>
        </w:rPr>
        <w:sym w:font="Symbol" w:char="F044"/>
      </w:r>
      <w:r w:rsidR="003A3E23">
        <w:rPr>
          <w:rFonts w:cs="Arial"/>
        </w:rPr>
        <w:t xml:space="preserve">CDF.  The </w:t>
      </w:r>
      <w:r w:rsidRPr="00C70CAC">
        <w:rPr>
          <w:rFonts w:cs="Arial"/>
        </w:rPr>
        <w:t>screening CDF change is calculated as follows:</w:t>
      </w:r>
    </w:p>
    <w:p w14:paraId="01054AEF" w14:textId="269C7F5B" w:rsidR="003A3E23" w:rsidRDefault="003A3E23" w:rsidP="00C43D7D">
      <w:pPr>
        <w:pStyle w:val="Level4"/>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firstLine="0"/>
        <w:rPr>
          <w:szCs w:val="22"/>
        </w:rPr>
      </w:pPr>
    </w:p>
    <w:tbl>
      <w:tblPr>
        <w:tblW w:w="0" w:type="auto"/>
        <w:tblLook w:val="04A0" w:firstRow="1" w:lastRow="0" w:firstColumn="1" w:lastColumn="0" w:noHBand="0" w:noVBand="1"/>
      </w:tblPr>
      <w:tblGrid>
        <w:gridCol w:w="720"/>
        <w:gridCol w:w="7920"/>
        <w:gridCol w:w="720"/>
      </w:tblGrid>
      <w:tr w:rsidR="003A3E23" w14:paraId="27430EF3" w14:textId="77777777" w:rsidTr="00E461BA">
        <w:tc>
          <w:tcPr>
            <w:tcW w:w="720" w:type="dxa"/>
          </w:tcPr>
          <w:p w14:paraId="431871FD" w14:textId="77777777" w:rsidR="003A3E23" w:rsidRDefault="003A3E23" w:rsidP="0051659A">
            <w:pPr>
              <w:pStyle w:val="Level4"/>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Cs w:val="22"/>
              </w:rPr>
            </w:pPr>
          </w:p>
        </w:tc>
        <w:tc>
          <w:tcPr>
            <w:tcW w:w="7920" w:type="dxa"/>
          </w:tcPr>
          <w:p w14:paraId="1BD9D579" w14:textId="7BBA0D7C" w:rsidR="003A3E23" w:rsidRPr="005E333C" w:rsidRDefault="003A3E23" w:rsidP="0051659A">
            <w:pPr>
              <w:pStyle w:val="Level4"/>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4"/>
              </w:rPr>
            </w:pPr>
            <m:oMathPara>
              <m:oMath>
                <m:r>
                  <m:rPr>
                    <m:sty m:val="p"/>
                  </m:rPr>
                  <w:rPr>
                    <w:rFonts w:ascii="Cambria Math" w:hAnsi="Cambria Math"/>
                    <w:sz w:val="24"/>
                  </w:rPr>
                  <m:t>ΔCDF≈DF × FIF× AF × SF × NSP × CCDP</m:t>
                </m:r>
              </m:oMath>
            </m:oMathPara>
          </w:p>
        </w:tc>
        <w:tc>
          <w:tcPr>
            <w:tcW w:w="720" w:type="dxa"/>
            <w:vAlign w:val="center"/>
          </w:tcPr>
          <w:p w14:paraId="0EDF4ABE" w14:textId="465E8034" w:rsidR="003A3E23" w:rsidRDefault="004A47F1" w:rsidP="001A3178">
            <w:pPr>
              <w:pStyle w:val="Level4"/>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right"/>
              <w:rPr>
                <w:szCs w:val="22"/>
              </w:rPr>
            </w:pPr>
            <w:r>
              <w:rPr>
                <w:szCs w:val="22"/>
              </w:rPr>
              <w:t>[1]</w:t>
            </w:r>
          </w:p>
        </w:tc>
      </w:tr>
    </w:tbl>
    <w:p w14:paraId="52A15565" w14:textId="54552FE9" w:rsidR="003A3E23" w:rsidRDefault="003A3E23" w:rsidP="00C43D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lang w:val="en-CA"/>
        </w:rPr>
      </w:pPr>
    </w:p>
    <w:p w14:paraId="5BD3CE75" w14:textId="7626DE8E" w:rsidR="003A3E23" w:rsidRDefault="003A3E23" w:rsidP="00C43D7D">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outlineLvl w:val="9"/>
        <w:rPr>
          <w:rFonts w:cs="Arial"/>
        </w:rPr>
      </w:pPr>
      <w:r>
        <w:rPr>
          <w:rFonts w:cs="Arial"/>
        </w:rPr>
        <w:t xml:space="preserve">DF is </w:t>
      </w:r>
      <w:r w:rsidR="001747E5">
        <w:rPr>
          <w:rFonts w:cs="Arial"/>
        </w:rPr>
        <w:t>determine</w:t>
      </w:r>
      <w:r w:rsidR="002B0ABB">
        <w:rPr>
          <w:rFonts w:cs="Arial"/>
        </w:rPr>
        <w:t>d</w:t>
      </w:r>
      <w:r w:rsidR="001747E5">
        <w:rPr>
          <w:rFonts w:cs="Arial"/>
        </w:rPr>
        <w:t xml:space="preserve"> as part of this step and</w:t>
      </w:r>
      <w:r w:rsidR="002B0ABB">
        <w:rPr>
          <w:rFonts w:cs="Arial"/>
        </w:rPr>
        <w:t xml:space="preserve"> the resulting value</w:t>
      </w:r>
      <w:r w:rsidR="001747E5">
        <w:rPr>
          <w:rFonts w:cs="Arial"/>
        </w:rPr>
        <w:t xml:space="preserve"> is </w:t>
      </w:r>
      <w:r w:rsidR="002B0ABB">
        <w:rPr>
          <w:rFonts w:cs="Arial"/>
        </w:rPr>
        <w:t xml:space="preserve">also </w:t>
      </w:r>
      <w:r w:rsidR="001747E5">
        <w:rPr>
          <w:rFonts w:cs="Arial"/>
        </w:rPr>
        <w:t xml:space="preserve">used in all </w:t>
      </w:r>
      <w:r w:rsidR="002B0ABB">
        <w:rPr>
          <w:rFonts w:cs="Arial"/>
        </w:rPr>
        <w:t xml:space="preserve">subsequent </w:t>
      </w:r>
      <w:r w:rsidR="001747E5">
        <w:rPr>
          <w:rFonts w:cs="Arial"/>
        </w:rPr>
        <w:t xml:space="preserve">Phase 2 quantification steps.  FIF is a bounding </w:t>
      </w:r>
      <w:r w:rsidR="002B0ABB">
        <w:rPr>
          <w:rFonts w:cs="Arial"/>
        </w:rPr>
        <w:t xml:space="preserve">area-wide </w:t>
      </w:r>
      <w:r w:rsidR="001747E5">
        <w:rPr>
          <w:rFonts w:cs="Arial"/>
        </w:rPr>
        <w:t xml:space="preserve">estimate for the type of </w:t>
      </w:r>
      <w:r w:rsidR="002B0ABB">
        <w:rPr>
          <w:rFonts w:cs="Arial"/>
        </w:rPr>
        <w:t xml:space="preserve">fire </w:t>
      </w:r>
      <w:r w:rsidR="001747E5">
        <w:rPr>
          <w:rFonts w:cs="Arial"/>
        </w:rPr>
        <w:t>area under evaluation and</w:t>
      </w:r>
      <w:r w:rsidR="009C1374">
        <w:rPr>
          <w:rFonts w:cs="Arial"/>
        </w:rPr>
        <w:t>, at this point in the analysis, does not credit any potential</w:t>
      </w:r>
      <w:r w:rsidR="001747E5">
        <w:rPr>
          <w:rFonts w:cs="Arial"/>
        </w:rPr>
        <w:t xml:space="preserve"> adjustments (i.e., AF = 1).  SF</w:t>
      </w:r>
      <w:r w:rsidR="002B0ABB">
        <w:rPr>
          <w:rFonts w:cs="Arial"/>
        </w:rPr>
        <w:t xml:space="preserve"> and</w:t>
      </w:r>
      <w:r w:rsidR="001747E5">
        <w:rPr>
          <w:rFonts w:cs="Arial"/>
        </w:rPr>
        <w:t xml:space="preserve"> NSP</w:t>
      </w:r>
      <w:r w:rsidR="002B0ABB">
        <w:rPr>
          <w:rFonts w:cs="Arial"/>
        </w:rPr>
        <w:t xml:space="preserve"> are also assumed </w:t>
      </w:r>
      <w:r w:rsidR="005F3F92">
        <w:rPr>
          <w:rFonts w:cs="Arial"/>
        </w:rPr>
        <w:t>equal</w:t>
      </w:r>
      <w:r w:rsidR="002B0ABB">
        <w:rPr>
          <w:rFonts w:cs="Arial"/>
        </w:rPr>
        <w:t xml:space="preserve"> to 1 in this step.  </w:t>
      </w:r>
      <w:r w:rsidR="001747E5">
        <w:rPr>
          <w:rFonts w:cs="Arial"/>
        </w:rPr>
        <w:t>CCDP</w:t>
      </w:r>
      <w:r>
        <w:rPr>
          <w:rFonts w:cs="Arial"/>
        </w:rPr>
        <w:t xml:space="preserve"> </w:t>
      </w:r>
      <w:r w:rsidR="002B0ABB">
        <w:rPr>
          <w:rFonts w:cs="Arial"/>
        </w:rPr>
        <w:t xml:space="preserve">is a bounding value that is obtained based on an assessment of the unavailability and independence of the designated </w:t>
      </w:r>
      <w:r w:rsidR="005E424B">
        <w:rPr>
          <w:rFonts w:cs="Arial"/>
        </w:rPr>
        <w:t>SSD</w:t>
      </w:r>
      <w:r w:rsidR="002B0ABB">
        <w:rPr>
          <w:rFonts w:cs="Arial"/>
        </w:rPr>
        <w:t xml:space="preserve"> path for the area under evaluation.  If multiple areas are affected by the finding</w:t>
      </w:r>
      <w:r w:rsidR="009A2A38">
        <w:rPr>
          <w:rFonts w:cs="Arial"/>
        </w:rPr>
        <w:t>, the bounding risk quantification is based on the sum of the changes in CDF for all affected areas.</w:t>
      </w:r>
    </w:p>
    <w:p w14:paraId="02E5EFD0" w14:textId="332397DA" w:rsidR="009427F5" w:rsidRPr="00C70CAC" w:rsidRDefault="001A3178" w:rsidP="001A3178">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Pr>
          <w:rFonts w:cs="Arial"/>
        </w:rPr>
        <w:t>b.</w:t>
      </w:r>
      <w:r>
        <w:rPr>
          <w:rFonts w:cs="Arial"/>
        </w:rPr>
        <w:tab/>
      </w:r>
      <w:r w:rsidR="009427F5" w:rsidRPr="00C70CAC">
        <w:rPr>
          <w:rFonts w:cs="Arial"/>
        </w:rPr>
        <w:t xml:space="preserve">Step 2.3 screens a finding to </w:t>
      </w:r>
      <w:r w:rsidR="009A2A38">
        <w:rPr>
          <w:rFonts w:cs="Arial"/>
        </w:rPr>
        <w:t>Green</w:t>
      </w:r>
      <w:r w:rsidR="009A2A38" w:rsidRPr="00C70CAC">
        <w:rPr>
          <w:rFonts w:cs="Arial"/>
        </w:rPr>
        <w:t xml:space="preserve"> </w:t>
      </w:r>
      <w:r w:rsidR="009427F5" w:rsidRPr="00C70CAC">
        <w:rPr>
          <w:rFonts w:cs="Arial"/>
        </w:rPr>
        <w:t xml:space="preserve">if </w:t>
      </w:r>
      <w:r w:rsidR="009427F5" w:rsidRPr="00C70CAC">
        <w:rPr>
          <w:rFonts w:cs="Arial"/>
          <w:u w:val="single"/>
        </w:rPr>
        <w:t>all</w:t>
      </w:r>
      <w:r w:rsidR="009427F5" w:rsidRPr="00C70CAC">
        <w:rPr>
          <w:rFonts w:cs="Arial"/>
        </w:rPr>
        <w:t xml:space="preserve"> fire ignition sources screen out as non-spreading and non-damaging (no credible fire scenario).</w:t>
      </w:r>
    </w:p>
    <w:p w14:paraId="5536A544" w14:textId="40F61491" w:rsidR="009427F5" w:rsidRDefault="00CC4597" w:rsidP="006537A4">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Pr>
          <w:rFonts w:cs="Arial"/>
        </w:rPr>
        <w:t>c.</w:t>
      </w:r>
      <w:r>
        <w:rPr>
          <w:rFonts w:cs="Arial"/>
        </w:rPr>
        <w:tab/>
      </w:r>
      <w:r w:rsidR="009427F5" w:rsidRPr="00C70CAC">
        <w:rPr>
          <w:rFonts w:cs="Arial"/>
        </w:rPr>
        <w:t>Step</w:t>
      </w:r>
      <w:r w:rsidR="009A2A38">
        <w:rPr>
          <w:rFonts w:cs="Arial"/>
        </w:rPr>
        <w:t>s</w:t>
      </w:r>
      <w:r w:rsidR="009427F5" w:rsidRPr="00C70CAC">
        <w:rPr>
          <w:rFonts w:cs="Arial"/>
        </w:rPr>
        <w:t xml:space="preserve"> 2.4</w:t>
      </w:r>
      <w:r w:rsidR="009A2A38">
        <w:rPr>
          <w:rFonts w:cs="Arial"/>
        </w:rPr>
        <w:t>-2.7 each</w:t>
      </w:r>
      <w:r w:rsidR="009427F5" w:rsidRPr="00C70CAC">
        <w:rPr>
          <w:rFonts w:cs="Arial"/>
        </w:rPr>
        <w:t xml:space="preserve"> include a screening check that </w:t>
      </w:r>
      <w:r w:rsidR="00B76988">
        <w:rPr>
          <w:rFonts w:cs="Arial"/>
        </w:rPr>
        <w:t xml:space="preserve">obtains a refined assessment of the </w:t>
      </w:r>
      <w:r w:rsidR="00B76988">
        <w:rPr>
          <w:rFonts w:cs="Arial"/>
        </w:rPr>
        <w:sym w:font="Symbol" w:char="F044"/>
      </w:r>
      <w:r w:rsidR="00B76988">
        <w:rPr>
          <w:rFonts w:cs="Arial"/>
        </w:rPr>
        <w:t>CDF based on best available estimates of the six terms for each fire scenario that needs to be considered in the evaluation of a given finding.</w:t>
      </w:r>
      <w:r w:rsidR="009427F5" w:rsidRPr="00C70CAC">
        <w:rPr>
          <w:rFonts w:cs="Arial"/>
        </w:rPr>
        <w:t xml:space="preserve">  The refined screening </w:t>
      </w:r>
      <w:r w:rsidR="00B76988">
        <w:rPr>
          <w:rFonts w:cs="Arial"/>
        </w:rPr>
        <w:sym w:font="Symbol" w:char="F044"/>
      </w:r>
      <w:r w:rsidR="009427F5" w:rsidRPr="00C70CAC">
        <w:rPr>
          <w:rFonts w:cs="Arial"/>
        </w:rPr>
        <w:t>CDF is calculated as follows:</w:t>
      </w:r>
    </w:p>
    <w:p w14:paraId="582DDA9A" w14:textId="77777777" w:rsidR="00B76988" w:rsidRDefault="00B76988" w:rsidP="0034587C">
      <w:pPr>
        <w:pStyle w:val="Level4"/>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39" w:hanging="533"/>
        <w:rPr>
          <w:szCs w:val="22"/>
        </w:rPr>
      </w:pPr>
    </w:p>
    <w:tbl>
      <w:tblPr>
        <w:tblW w:w="0" w:type="auto"/>
        <w:tblLook w:val="04A0" w:firstRow="1" w:lastRow="0" w:firstColumn="1" w:lastColumn="0" w:noHBand="0" w:noVBand="1"/>
      </w:tblPr>
      <w:tblGrid>
        <w:gridCol w:w="720"/>
        <w:gridCol w:w="7920"/>
        <w:gridCol w:w="720"/>
      </w:tblGrid>
      <w:tr w:rsidR="00B76988" w14:paraId="05C9CA3C" w14:textId="77777777" w:rsidTr="00E461BA">
        <w:tc>
          <w:tcPr>
            <w:tcW w:w="720" w:type="dxa"/>
          </w:tcPr>
          <w:p w14:paraId="722822A1" w14:textId="77777777" w:rsidR="00B76988" w:rsidRDefault="00B76988" w:rsidP="0034587C">
            <w:pPr>
              <w:pStyle w:val="Level4"/>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firstLine="0"/>
              <w:rPr>
                <w:szCs w:val="22"/>
              </w:rPr>
            </w:pPr>
          </w:p>
        </w:tc>
        <w:tc>
          <w:tcPr>
            <w:tcW w:w="7920" w:type="dxa"/>
          </w:tcPr>
          <w:p w14:paraId="08C56EC8" w14:textId="77777777" w:rsidR="00B76988" w:rsidRPr="005E333C" w:rsidRDefault="00B76988" w:rsidP="0034587C">
            <w:pPr>
              <w:pStyle w:val="Level4"/>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firstLine="0"/>
              <w:rPr>
                <w:sz w:val="24"/>
              </w:rPr>
            </w:pPr>
            <m:oMathPara>
              <m:oMath>
                <m:r>
                  <m:rPr>
                    <m:sty m:val="p"/>
                  </m:rPr>
                  <w:rPr>
                    <w:rFonts w:ascii="Cambria Math" w:hAnsi="Cambria Math"/>
                    <w:sz w:val="24"/>
                  </w:rPr>
                  <m:t xml:space="preserve">ΔCDF≈DF × </m:t>
                </m:r>
                <m:nary>
                  <m:naryPr>
                    <m:chr m:val="∑"/>
                    <m:limLoc m:val="undOvr"/>
                    <m:ctrlPr>
                      <w:rPr>
                        <w:rFonts w:ascii="Cambria Math" w:hAnsi="Cambria Math"/>
                        <w:sz w:val="24"/>
                      </w:rPr>
                    </m:ctrlPr>
                  </m:naryPr>
                  <m:sub>
                    <m:r>
                      <m:rPr>
                        <m:sty m:val="p"/>
                      </m:rPr>
                      <w:rPr>
                        <w:rFonts w:ascii="Cambria Math" w:hAnsi="Cambria Math"/>
                        <w:sz w:val="24"/>
                      </w:rPr>
                      <m:t>i=1</m:t>
                    </m:r>
                  </m:sub>
                  <m:sup>
                    <m:r>
                      <m:rPr>
                        <m:sty m:val="p"/>
                      </m:rPr>
                      <w:rPr>
                        <w:rFonts w:ascii="Cambria Math" w:hAnsi="Cambria Math"/>
                        <w:sz w:val="24"/>
                      </w:rPr>
                      <m:t>N</m:t>
                    </m: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FIF</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d>
                              <m:dPr>
                                <m:ctrlPr>
                                  <w:rPr>
                                    <w:rFonts w:ascii="Cambria Math" w:hAnsi="Cambria Math"/>
                                    <w:sz w:val="24"/>
                                  </w:rPr>
                                </m:ctrlPr>
                              </m:dPr>
                              <m:e>
                                <m:nary>
                                  <m:naryPr>
                                    <m:chr m:val="∏"/>
                                    <m:limLoc m:val="undOvr"/>
                                    <m:subHide m:val="1"/>
                                    <m:supHide m:val="1"/>
                                    <m:ctrlPr>
                                      <w:rPr>
                                        <w:rFonts w:ascii="Cambria Math" w:hAnsi="Cambria Math"/>
                                        <w:sz w:val="24"/>
                                      </w:rPr>
                                    </m:ctrlPr>
                                  </m:naryPr>
                                  <m:sub/>
                                  <m:sup/>
                                  <m:e>
                                    <m:r>
                                      <m:rPr>
                                        <m:sty m:val="p"/>
                                      </m:rPr>
                                      <w:rPr>
                                        <w:rFonts w:ascii="Cambria Math" w:hAnsi="Cambria Math"/>
                                        <w:sz w:val="24"/>
                                      </w:rPr>
                                      <m:t>AF</m:t>
                                    </m:r>
                                  </m:e>
                                </m:nary>
                              </m:e>
                            </m:d>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SF</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CCDP</m:t>
                            </m:r>
                          </m:e>
                          <m:sub>
                            <m:r>
                              <m:rPr>
                                <m:sty m:val="p"/>
                              </m:rPr>
                              <w:rPr>
                                <w:rFonts w:ascii="Cambria Math" w:hAnsi="Cambria Math"/>
                                <w:sz w:val="24"/>
                              </w:rPr>
                              <m:t>i</m:t>
                            </m:r>
                          </m:sub>
                        </m:sSub>
                      </m:e>
                    </m:d>
                  </m:e>
                </m:nary>
              </m:oMath>
            </m:oMathPara>
          </w:p>
        </w:tc>
        <w:tc>
          <w:tcPr>
            <w:tcW w:w="720" w:type="dxa"/>
            <w:vAlign w:val="center"/>
          </w:tcPr>
          <w:p w14:paraId="19379E8A" w14:textId="15F8EEE8" w:rsidR="00B76988" w:rsidRDefault="004A47F1" w:rsidP="0034587C">
            <w:pPr>
              <w:pStyle w:val="Level4"/>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Cs w:val="22"/>
              </w:rPr>
            </w:pPr>
            <w:r>
              <w:rPr>
                <w:szCs w:val="22"/>
              </w:rPr>
              <w:t>[2]</w:t>
            </w:r>
          </w:p>
        </w:tc>
      </w:tr>
    </w:tbl>
    <w:p w14:paraId="296018D2" w14:textId="77777777" w:rsidR="00B76988" w:rsidRDefault="00B76988"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lang w:val="en-CA"/>
        </w:rPr>
      </w:pPr>
    </w:p>
    <w:p w14:paraId="66A4EC88" w14:textId="34B53917" w:rsidR="00B76988" w:rsidRDefault="00D039FF"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t>w</w:t>
      </w:r>
      <w:r w:rsidR="00B76988">
        <w:t>here:</w:t>
      </w:r>
    </w:p>
    <w:p w14:paraId="52DD7AF9" w14:textId="55B69264" w:rsidR="00B76988" w:rsidRDefault="00B76988"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52"/>
      </w:pPr>
      <w:r>
        <w:t>N</w:t>
      </w:r>
      <w:r>
        <w:tab/>
      </w:r>
      <w:r w:rsidR="000C1E1D">
        <w:tab/>
      </w:r>
      <w:r>
        <w:t>=</w:t>
      </w:r>
      <w:r>
        <w:tab/>
        <w:t>Number of fire scenarios evaluated for a given finding;</w:t>
      </w:r>
    </w:p>
    <w:p w14:paraId="15C37628" w14:textId="783CDFC0" w:rsidR="00B76988" w:rsidRDefault="00B76988"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52"/>
      </w:pPr>
      <w:r>
        <w:t>DF</w:t>
      </w:r>
      <w:r>
        <w:tab/>
        <w:t>=</w:t>
      </w:r>
      <w:r>
        <w:tab/>
        <w:t>Duration factor;</w:t>
      </w:r>
    </w:p>
    <w:p w14:paraId="06988BE4" w14:textId="33E17E73" w:rsidR="00B76988" w:rsidRDefault="00B76988"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52"/>
      </w:pPr>
      <w:r>
        <w:t>FIF</w:t>
      </w:r>
      <w:r>
        <w:rPr>
          <w:vertAlign w:val="subscript"/>
        </w:rPr>
        <w:t>i</w:t>
      </w:r>
      <w:r>
        <w:tab/>
        <w:t>=</w:t>
      </w:r>
      <w:r>
        <w:tab/>
        <w:t>Fire frequency for the fire ignition source that started scenario i;</w:t>
      </w:r>
    </w:p>
    <w:p w14:paraId="253B5583" w14:textId="3C6AFA30" w:rsidR="00B76988" w:rsidRDefault="00B76988"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52"/>
      </w:pPr>
      <w:r>
        <w:t>AF</w:t>
      </w:r>
      <w:r>
        <w:tab/>
      </w:r>
      <w:r w:rsidR="000C1E1D">
        <w:tab/>
      </w:r>
      <w:r>
        <w:t>=</w:t>
      </w:r>
      <w:r>
        <w:tab/>
        <w:t>Ignition source specific frequency adjustment factors;</w:t>
      </w:r>
    </w:p>
    <w:p w14:paraId="704C5874" w14:textId="0F46409F" w:rsidR="00B76988" w:rsidRDefault="00B76988"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52"/>
      </w:pPr>
      <w:r>
        <w:t>SF</w:t>
      </w:r>
      <w:r>
        <w:rPr>
          <w:vertAlign w:val="subscript"/>
        </w:rPr>
        <w:t>i</w:t>
      </w:r>
      <w:r>
        <w:tab/>
        <w:t>=</w:t>
      </w:r>
      <w:r>
        <w:tab/>
        <w:t>Severity factor for scenario i;</w:t>
      </w:r>
    </w:p>
    <w:p w14:paraId="3BEA607D" w14:textId="5D162806" w:rsidR="00B76988" w:rsidRDefault="00B76988"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52"/>
      </w:pPr>
      <w:r>
        <w:t>NSP</w:t>
      </w:r>
      <w:r>
        <w:rPr>
          <w:vertAlign w:val="subscript"/>
        </w:rPr>
        <w:t>i</w:t>
      </w:r>
      <w:r>
        <w:tab/>
        <w:t>=</w:t>
      </w:r>
      <w:r>
        <w:tab/>
        <w:t>Non-suppression probability for scenario i;</w:t>
      </w:r>
    </w:p>
    <w:p w14:paraId="2984691D" w14:textId="088EE86D" w:rsidR="00B76988" w:rsidRDefault="00B76988"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52"/>
      </w:pPr>
      <w:r>
        <w:t>CCDP</w:t>
      </w:r>
      <w:r>
        <w:rPr>
          <w:vertAlign w:val="subscript"/>
        </w:rPr>
        <w:t>i</w:t>
      </w:r>
      <w:r w:rsidR="000C1E1D">
        <w:tab/>
        <w:t>=</w:t>
      </w:r>
      <w:r>
        <w:tab/>
        <w:t>Conditional core damage probability for scenario i.</w:t>
      </w:r>
    </w:p>
    <w:p w14:paraId="6160733C" w14:textId="344F24C3" w:rsidR="009427F5" w:rsidRDefault="009427F5"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B42119F" w14:textId="7AFC0960" w:rsidR="00D039FF" w:rsidRDefault="00D039FF" w:rsidP="005165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szCs w:val="22"/>
        </w:rPr>
        <w:t xml:space="preserve">If the refined </w:t>
      </w:r>
      <w:r>
        <w:rPr>
          <w:rFonts w:cs="Arial"/>
          <w:szCs w:val="22"/>
        </w:rPr>
        <w:sym w:font="Symbol" w:char="F044"/>
      </w:r>
      <w:r>
        <w:rPr>
          <w:rFonts w:cs="Arial"/>
          <w:szCs w:val="22"/>
        </w:rPr>
        <w:t xml:space="preserve">CDF is less than 1E-6 at any time in Phase 2 of the SDP, the analysis </w:t>
      </w:r>
      <w:r w:rsidR="00D9694F">
        <w:rPr>
          <w:rFonts w:cs="Arial"/>
          <w:szCs w:val="22"/>
        </w:rPr>
        <w:t xml:space="preserve">is </w:t>
      </w:r>
      <w:r>
        <w:rPr>
          <w:rFonts w:cs="Arial"/>
          <w:szCs w:val="22"/>
        </w:rPr>
        <w:t xml:space="preserve">complete and the finding screens to Green.  When all steps have been completed and the final </w:t>
      </w:r>
      <w:r>
        <w:rPr>
          <w:rFonts w:cs="Arial"/>
          <w:szCs w:val="22"/>
        </w:rPr>
        <w:sym w:font="Symbol" w:char="F044"/>
      </w:r>
      <w:r>
        <w:rPr>
          <w:rFonts w:cs="Arial"/>
          <w:szCs w:val="22"/>
        </w:rPr>
        <w:t>CDF is still 1E-6 or greater, a Phase 3 assessment is required to determine the final risk significance of the finding.</w:t>
      </w:r>
    </w:p>
    <w:p w14:paraId="5DB032CC" w14:textId="77777777" w:rsidR="008522D6" w:rsidRPr="008522D6" w:rsidRDefault="008522D6"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7819D" w14:textId="280234DE" w:rsidR="00B27F2A" w:rsidRDefault="00B27F2A" w:rsidP="00B43D79">
      <w:pPr>
        <w:pStyle w:val="Heading2"/>
        <w:ind w:hanging="1166"/>
      </w:pPr>
      <w:bookmarkStart w:id="37" w:name="_Toc481265368"/>
      <w:bookmarkStart w:id="38" w:name="_Toc511060848"/>
      <w:r>
        <w:t>Analysis Procedures</w:t>
      </w:r>
      <w:bookmarkEnd w:id="37"/>
      <w:bookmarkEnd w:id="38"/>
    </w:p>
    <w:p w14:paraId="662617AE" w14:textId="77777777" w:rsidR="00A70955" w:rsidRDefault="00A70955" w:rsidP="000C1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B04E32" w14:textId="335418CD" w:rsidR="00710EE7" w:rsidRPr="00C70CAC" w:rsidRDefault="00710EE7" w:rsidP="000C1E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procedures for the Fire Protection SDP Phase 1 and Phase 2 analyses are provided in Appendix F</w:t>
      </w:r>
      <w:r w:rsidR="006D0933">
        <w:rPr>
          <w:rFonts w:cs="Arial"/>
        </w:rPr>
        <w:t>,</w:t>
      </w:r>
      <w:r w:rsidRPr="00C70CAC">
        <w:rPr>
          <w:rFonts w:cs="Arial"/>
        </w:rPr>
        <w:t xml:space="preserve"> including its associated attachments.  These procedures are intended to serve as essentially stand-alone working application tools and guidance.  The procedures include an expanded description of each analysis </w:t>
      </w:r>
      <w:r w:rsidR="009D4EE3">
        <w:rPr>
          <w:rFonts w:cs="Arial"/>
        </w:rPr>
        <w:t>step</w:t>
      </w:r>
      <w:r w:rsidR="009D4EE3" w:rsidRPr="00C70CAC">
        <w:rPr>
          <w:rFonts w:cs="Arial"/>
        </w:rPr>
        <w:t xml:space="preserve"> </w:t>
      </w:r>
      <w:r w:rsidRPr="00C70CAC">
        <w:rPr>
          <w:rFonts w:cs="Arial"/>
        </w:rPr>
        <w:t xml:space="preserve">and the supporting information required to complete each </w:t>
      </w:r>
      <w:r w:rsidR="009D4EE3">
        <w:rPr>
          <w:rFonts w:cs="Arial"/>
        </w:rPr>
        <w:t>step</w:t>
      </w:r>
      <w:r w:rsidRPr="00C70CAC">
        <w:rPr>
          <w:rFonts w:cs="Arial"/>
        </w:rPr>
        <w:t xml:space="preserve">.  Attachments to the Appendix F procedures provide additional details and guidance required for completion of specific analysis </w:t>
      </w:r>
      <w:r w:rsidR="009D4EE3">
        <w:rPr>
          <w:rFonts w:cs="Arial"/>
        </w:rPr>
        <w:t>steps</w:t>
      </w:r>
      <w:r w:rsidRPr="00C70CAC">
        <w:rPr>
          <w:rFonts w:cs="Arial"/>
        </w:rPr>
        <w:t>.  Worksheets for managing and documenting the analysis are also provided.</w:t>
      </w:r>
    </w:p>
    <w:p w14:paraId="33B48FCF" w14:textId="77777777" w:rsidR="00710EE7" w:rsidRPr="00C70CAC" w:rsidRDefault="00710EE7" w:rsidP="000C1E1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E6759E2" w14:textId="4A4F8A5F" w:rsidR="00A70955" w:rsidRDefault="00710EE7" w:rsidP="000C1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Th</w:t>
      </w:r>
      <w:r w:rsidR="006D0933">
        <w:rPr>
          <w:rFonts w:cs="Arial"/>
        </w:rPr>
        <w:t>is</w:t>
      </w:r>
      <w:r w:rsidRPr="00C70CAC">
        <w:rPr>
          <w:rFonts w:cs="Arial"/>
        </w:rPr>
        <w:t xml:space="preserve"> document is intended to provide supplemental guidance to support implementation of the Appendix F procedures.  In particular, the information in Chapter 5 provides additional discussion intended to enhance the </w:t>
      </w:r>
      <w:r w:rsidR="009D4EE3">
        <w:rPr>
          <w:rFonts w:cs="Arial"/>
        </w:rPr>
        <w:t>analyst’s</w:t>
      </w:r>
      <w:r w:rsidR="009D4EE3" w:rsidRPr="00C70CAC">
        <w:rPr>
          <w:rFonts w:cs="Arial"/>
        </w:rPr>
        <w:t xml:space="preserve"> </w:t>
      </w:r>
      <w:r w:rsidRPr="00C70CAC">
        <w:rPr>
          <w:rFonts w:cs="Arial"/>
        </w:rPr>
        <w:t xml:space="preserve">understanding of the procedures.  The text focuses on expanded discussions on the intent of each analysis step, and on the relationships between </w:t>
      </w:r>
      <w:r w:rsidR="009D4EE3">
        <w:rPr>
          <w:rFonts w:cs="Arial"/>
        </w:rPr>
        <w:t>steps</w:t>
      </w:r>
      <w:r w:rsidRPr="00C70CAC">
        <w:rPr>
          <w:rFonts w:cs="Arial"/>
        </w:rPr>
        <w:t xml:space="preserve">.  Chapter 6 </w:t>
      </w:r>
      <w:r w:rsidR="006D0933">
        <w:rPr>
          <w:rFonts w:cs="Arial"/>
        </w:rPr>
        <w:t xml:space="preserve">of this document </w:t>
      </w:r>
      <w:r w:rsidRPr="00C70CAC">
        <w:rPr>
          <w:rFonts w:cs="Arial"/>
        </w:rPr>
        <w:t>provides basis discussions supporting each step in the analysis procedure.</w:t>
      </w:r>
    </w:p>
    <w:p w14:paraId="3DF00D9E" w14:textId="77777777" w:rsidR="00A70955" w:rsidRPr="008522D6" w:rsidRDefault="00A70955" w:rsidP="000C1E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B42765" w14:textId="0643DF82" w:rsidR="00B27F2A" w:rsidRPr="0051659A" w:rsidRDefault="00B27F2A" w:rsidP="00B43D79">
      <w:pPr>
        <w:pStyle w:val="Heading2"/>
        <w:ind w:hanging="1166"/>
      </w:pPr>
      <w:bookmarkStart w:id="39" w:name="_Toc481265369"/>
      <w:bookmarkStart w:id="40" w:name="_Toc511060849"/>
      <w:r w:rsidRPr="0051659A">
        <w:t>Flexibility in Exercising the Analysis Procedures</w:t>
      </w:r>
      <w:bookmarkEnd w:id="39"/>
      <w:bookmarkEnd w:id="40"/>
    </w:p>
    <w:p w14:paraId="282FDB7E" w14:textId="77777777" w:rsidR="00710EE7" w:rsidRDefault="00710EE7"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25832D8" w14:textId="24C773DE" w:rsidR="00B27F2A" w:rsidRPr="0051659A" w:rsidRDefault="00B27F2A" w:rsidP="004D46E2">
      <w:pPr>
        <w:pStyle w:val="Heading3"/>
      </w:pPr>
      <w:bookmarkStart w:id="41" w:name="_Toc481265370"/>
      <w:bookmarkStart w:id="42" w:name="_Toc511060850"/>
      <w:r w:rsidRPr="0051659A">
        <w:t xml:space="preserve">Fire Protection </w:t>
      </w:r>
      <w:r w:rsidR="002A3333">
        <w:t>Significance Determination</w:t>
      </w:r>
      <w:r w:rsidRPr="0051659A">
        <w:t xml:space="preserve"> Process Flexibility</w:t>
      </w:r>
      <w:bookmarkEnd w:id="41"/>
      <w:bookmarkEnd w:id="42"/>
    </w:p>
    <w:p w14:paraId="61CCE398" w14:textId="09E07D03" w:rsidR="00A70955" w:rsidRDefault="00A70955" w:rsidP="00AE0E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25275A" w14:textId="426CDFF2"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As discussed in Section </w:t>
      </w:r>
      <w:r w:rsidR="00CB30FF">
        <w:rPr>
          <w:rFonts w:cs="Arial"/>
        </w:rPr>
        <w:t>0</w:t>
      </w:r>
      <w:r w:rsidRPr="00C70CAC">
        <w:rPr>
          <w:rFonts w:cs="Arial"/>
        </w:rPr>
        <w:t>4.</w:t>
      </w:r>
      <w:r w:rsidR="00CB30FF">
        <w:rPr>
          <w:rFonts w:cs="Arial"/>
        </w:rPr>
        <w:t>0</w:t>
      </w:r>
      <w:r w:rsidRPr="00C70CAC">
        <w:rPr>
          <w:rFonts w:cs="Arial"/>
        </w:rPr>
        <w:t>2, the Fire Protection SDP uses simplified versions of fire PRA methods, tools, and approaches.  Fire PRA is, by design, a flexible analysis process.  PRA analysts exercise judgement and tailor their analysis process to suit specific applications.  It is intended that the Fire Protection SDP retain this flexibility.</w:t>
      </w:r>
    </w:p>
    <w:p w14:paraId="3F637B3E"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67BC14D" w14:textId="483CC092"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analysis procedures involve a series of steps.  The order of the steps, as written, should optimize the analysis of most fire protection findings.  However, situations will arise where the as written process flow path may not be the optimum path.  In such cases, the procedures should viewed with flexibility and adjustments to either the order of analysis steps, or to the </w:t>
      </w:r>
      <w:r w:rsidRPr="00C70CAC">
        <w:rPr>
          <w:rFonts w:cs="Arial"/>
        </w:rPr>
        <w:lastRenderedPageBreak/>
        <w:t>analysis depth in a specific step may be considered.</w:t>
      </w:r>
      <w:r w:rsidR="009D4EE3">
        <w:rPr>
          <w:rFonts w:cs="Arial"/>
        </w:rPr>
        <w:t xml:space="preserve">  This is particularly valid for Steps 2.3 through 2.7.</w:t>
      </w:r>
    </w:p>
    <w:p w14:paraId="34B3A7A0"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B327A3E" w14:textId="5DB47A47" w:rsidR="00B65AEF" w:rsidRDefault="00B65AEF" w:rsidP="00AE0E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Chapters 5 and 6 provide additional information about the analysis process, its intent, and the inter-relationships between various steps.  Chapter 5 provides additional explanatory material in the form of supplemental background and supporting information for each analysis task.  Chapter 6 provides information on the underlying basis for the Fire Protection SDP approach.  Reference to this information should support decision making with regard to process flexibility.</w:t>
      </w:r>
    </w:p>
    <w:p w14:paraId="6703E9BC" w14:textId="77777777" w:rsidR="00A70955" w:rsidRPr="008522D6" w:rsidRDefault="00A70955" w:rsidP="00AE0E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A36A8D" w14:textId="18CB2E7A" w:rsidR="00B27F2A" w:rsidRDefault="00B27F2A" w:rsidP="004D46E2">
      <w:pPr>
        <w:pStyle w:val="Heading3"/>
      </w:pPr>
      <w:bookmarkStart w:id="43" w:name="_Toc481265371"/>
      <w:bookmarkStart w:id="44" w:name="_Toc511060851"/>
      <w:r>
        <w:t>Flexibility Examples</w:t>
      </w:r>
      <w:bookmarkEnd w:id="43"/>
      <w:bookmarkEnd w:id="44"/>
    </w:p>
    <w:p w14:paraId="32B3BFC6" w14:textId="77777777" w:rsidR="00A70955" w:rsidRDefault="00A70955" w:rsidP="00AE0E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2EB613" w14:textId="47ECD569"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This section provides examples where some adjustment of the analysis process may be appropriate.  The examples are not exhaustive, but rather, are illustrative of the intent with regard to process flexibility.  In general, flexibility may be exercised in the order of step performance and in the depth of a given step.</w:t>
      </w:r>
    </w:p>
    <w:p w14:paraId="520BAE6C"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52F55EE" w14:textId="6DB94C4E"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Specific </w:t>
      </w:r>
      <w:r w:rsidR="007F4312">
        <w:rPr>
          <w:rFonts w:cs="Arial"/>
        </w:rPr>
        <w:t>step</w:t>
      </w:r>
      <w:r w:rsidR="007F4312" w:rsidRPr="00C70CAC">
        <w:rPr>
          <w:rFonts w:cs="Arial"/>
        </w:rPr>
        <w:t xml:space="preserve"> </w:t>
      </w:r>
      <w:r w:rsidRPr="00C70CAC">
        <w:rPr>
          <w:rFonts w:cs="Arial"/>
        </w:rPr>
        <w:t xml:space="preserve">input assumptions should not be adjusted except as allowed by the as-written guidance.  That is, no adjustments should be made to assigned values for factors such as screening criteria, fire frequency, fire intensity profiles, severity factors, damage criteria, damage times, suppression times, suppression reliability, etc., unless the possibility of an adjustment to suit </w:t>
      </w:r>
      <w:r w:rsidR="007F4312" w:rsidRPr="00C70CAC">
        <w:rPr>
          <w:rFonts w:cs="Arial"/>
        </w:rPr>
        <w:t>case</w:t>
      </w:r>
      <w:r w:rsidR="007F4312">
        <w:rPr>
          <w:rFonts w:cs="Arial"/>
        </w:rPr>
        <w:t>-</w:t>
      </w:r>
      <w:r w:rsidRPr="00C70CAC">
        <w:rPr>
          <w:rFonts w:cs="Arial"/>
        </w:rPr>
        <w:t>specific factors is called out in the procedures.  Supplemental adjustments to input assumptions are deferred to Phase 3.</w:t>
      </w:r>
    </w:p>
    <w:p w14:paraId="24004622"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98F4272" w14:textId="58218B5C" w:rsidR="00B65AEF" w:rsidRPr="00A17B72" w:rsidRDefault="00B65AEF" w:rsidP="004D46E2">
      <w:pPr>
        <w:pStyle w:val="Heading3"/>
      </w:pPr>
      <w:bookmarkStart w:id="45" w:name="_Toc481265372"/>
      <w:bookmarkStart w:id="46" w:name="_Toc511060852"/>
      <w:r w:rsidRPr="00A17B72">
        <w:t>Early Completion of a Later Step</w:t>
      </w:r>
      <w:bookmarkEnd w:id="45"/>
      <w:bookmarkEnd w:id="46"/>
    </w:p>
    <w:p w14:paraId="47F4DCD1"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17C809C2" w14:textId="78B145F1"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order in which analysis steps are performed may be adjusted if early completion of a later step might result in a finding screening to </w:t>
      </w:r>
      <w:r w:rsidR="00215D26">
        <w:rPr>
          <w:rFonts w:cs="Arial"/>
        </w:rPr>
        <w:t>Green</w:t>
      </w:r>
      <w:r w:rsidRPr="00C70CAC">
        <w:rPr>
          <w:rFonts w:cs="Arial"/>
        </w:rPr>
        <w:t xml:space="preserve"> with a reduced level of effort.</w:t>
      </w:r>
    </w:p>
    <w:p w14:paraId="702B040E" w14:textId="77777777" w:rsidR="00B65AEF" w:rsidRDefault="00B65AEF" w:rsidP="00AE0E51">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3D479036" w14:textId="2154AC8E" w:rsidR="00B65AEF" w:rsidRPr="00C70CAC" w:rsidRDefault="00B65AEF" w:rsidP="0035366F">
      <w:pPr>
        <w:pStyle w:val="Level2"/>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Example 1: In Step </w:t>
      </w:r>
      <w:r w:rsidR="005C7FE4" w:rsidRPr="00C70CAC">
        <w:rPr>
          <w:rFonts w:cs="Arial"/>
        </w:rPr>
        <w:t>2.1</w:t>
      </w:r>
      <w:r w:rsidR="005C7FE4">
        <w:rPr>
          <w:rFonts w:cs="Arial"/>
        </w:rPr>
        <w:t>.6,</w:t>
      </w:r>
      <w:r w:rsidRPr="00C70CAC">
        <w:rPr>
          <w:rFonts w:cs="Arial"/>
        </w:rPr>
        <w:t xml:space="preserve"> a designated </w:t>
      </w:r>
      <w:r w:rsidR="005E424B">
        <w:rPr>
          <w:rFonts w:cs="Arial"/>
        </w:rPr>
        <w:t>SSD</w:t>
      </w:r>
      <w:r w:rsidRPr="00C70CAC">
        <w:rPr>
          <w:rFonts w:cs="Arial"/>
        </w:rPr>
        <w:t xml:space="preserve"> path is identified but not credited.  Step 2.4 provides refined fire </w:t>
      </w:r>
      <w:r w:rsidR="007F4312" w:rsidRPr="00C70CAC">
        <w:rPr>
          <w:rFonts w:cs="Arial"/>
        </w:rPr>
        <w:t>frequenc</w:t>
      </w:r>
      <w:r w:rsidR="007F4312">
        <w:rPr>
          <w:rFonts w:cs="Arial"/>
        </w:rPr>
        <w:t>ies</w:t>
      </w:r>
      <w:r w:rsidR="007F4312" w:rsidRPr="00C70CAC">
        <w:rPr>
          <w:rFonts w:cs="Arial"/>
        </w:rPr>
        <w:t xml:space="preserve"> </w:t>
      </w:r>
      <w:r w:rsidRPr="00C70CAC">
        <w:rPr>
          <w:rFonts w:cs="Arial"/>
        </w:rPr>
        <w:t xml:space="preserve">for the </w:t>
      </w:r>
      <w:r w:rsidR="007F4312">
        <w:rPr>
          <w:rFonts w:cs="Arial"/>
        </w:rPr>
        <w:t xml:space="preserve">ignition sources in the </w:t>
      </w:r>
      <w:r w:rsidRPr="00C70CAC">
        <w:rPr>
          <w:rFonts w:cs="Arial"/>
        </w:rPr>
        <w:t>fire area</w:t>
      </w:r>
      <w:r w:rsidR="007F4312">
        <w:rPr>
          <w:rFonts w:cs="Arial"/>
        </w:rPr>
        <w:t xml:space="preserve"> under evaluation</w:t>
      </w:r>
      <w:r w:rsidRPr="00C70CAC">
        <w:rPr>
          <w:rFonts w:cs="Arial"/>
        </w:rPr>
        <w:t xml:space="preserve">, and the screening </w:t>
      </w:r>
      <w:r w:rsidR="007F4312">
        <w:rPr>
          <w:rFonts w:cs="Arial"/>
        </w:rPr>
        <w:sym w:font="Symbol" w:char="F044"/>
      </w:r>
      <w:r w:rsidRPr="00C70CAC">
        <w:rPr>
          <w:rFonts w:cs="Arial"/>
        </w:rPr>
        <w:t>CDF for the finding</w:t>
      </w:r>
      <w:r w:rsidR="007F4312">
        <w:rPr>
          <w:rFonts w:cs="Arial"/>
        </w:rPr>
        <w:t xml:space="preserve"> determined in Step 2.4.4</w:t>
      </w:r>
      <w:r w:rsidRPr="00C70CAC">
        <w:rPr>
          <w:rFonts w:cs="Arial"/>
        </w:rPr>
        <w:t xml:space="preserve"> is already at 9E-6.  Hence, one additional order of magnitude in risk reduction would result in a </w:t>
      </w:r>
      <w:r w:rsidR="007F4312">
        <w:rPr>
          <w:rFonts w:cs="Arial"/>
        </w:rPr>
        <w:t>G</w:t>
      </w:r>
      <w:r w:rsidR="007F4312" w:rsidRPr="00C70CAC">
        <w:rPr>
          <w:rFonts w:cs="Arial"/>
        </w:rPr>
        <w:t xml:space="preserve">reen </w:t>
      </w:r>
      <w:r w:rsidRPr="00C70CAC">
        <w:rPr>
          <w:rFonts w:cs="Arial"/>
        </w:rPr>
        <w:t xml:space="preserve">color assignment.  In this case, it may be more efficient to develop a refined CCDP value prior to the development and analysis of specific fire growth and damage scenarios (e.g., </w:t>
      </w:r>
      <w:r w:rsidR="007F4312">
        <w:rPr>
          <w:rFonts w:cs="Arial"/>
        </w:rPr>
        <w:t>S</w:t>
      </w:r>
      <w:r w:rsidR="007F4312" w:rsidRPr="00C70CAC">
        <w:rPr>
          <w:rFonts w:cs="Arial"/>
        </w:rPr>
        <w:t xml:space="preserve">teps </w:t>
      </w:r>
      <w:r w:rsidRPr="00C70CAC">
        <w:rPr>
          <w:rFonts w:cs="Arial"/>
        </w:rPr>
        <w:t>2.5</w:t>
      </w:r>
      <w:r w:rsidR="007F4312">
        <w:rPr>
          <w:rFonts w:cs="Arial"/>
        </w:rPr>
        <w:t>.1</w:t>
      </w:r>
      <w:r w:rsidRPr="00C70CAC">
        <w:rPr>
          <w:rFonts w:cs="Arial"/>
        </w:rPr>
        <w:t>-2.</w:t>
      </w:r>
      <w:r w:rsidR="007F4312">
        <w:rPr>
          <w:rFonts w:cs="Arial"/>
        </w:rPr>
        <w:t>5.3</w:t>
      </w:r>
      <w:r w:rsidRPr="00C70CAC">
        <w:rPr>
          <w:rFonts w:cs="Arial"/>
        </w:rPr>
        <w:t>).  Note that in this example, Step 2.</w:t>
      </w:r>
      <w:r w:rsidR="007F4312">
        <w:rPr>
          <w:rFonts w:cs="Arial"/>
        </w:rPr>
        <w:t>5</w:t>
      </w:r>
      <w:r w:rsidR="007F4312" w:rsidRPr="00C70CAC">
        <w:rPr>
          <w:rFonts w:cs="Arial"/>
        </w:rPr>
        <w:t xml:space="preserve"> </w:t>
      </w:r>
      <w:r w:rsidRPr="00C70CAC">
        <w:rPr>
          <w:rFonts w:cs="Arial"/>
        </w:rPr>
        <w:t>must be entered assuming fire damage consistent with the limiting, or most severe, unscreened FDS scenario.  Should the analysis fail to demonstrate the anticipated risk reduction, the analysis can return to Step 2.5</w:t>
      </w:r>
      <w:r w:rsidR="007F4312">
        <w:rPr>
          <w:rFonts w:cs="Arial"/>
        </w:rPr>
        <w:t>.1</w:t>
      </w:r>
      <w:r w:rsidRPr="00C70CAC">
        <w:rPr>
          <w:rFonts w:cs="Arial"/>
        </w:rPr>
        <w:t xml:space="preserve"> for completion of the fire growth and damage analysis tasks.</w:t>
      </w:r>
    </w:p>
    <w:p w14:paraId="6F47FF73" w14:textId="2C578107" w:rsidR="00B65AEF" w:rsidRPr="00C70CAC" w:rsidRDefault="00B65AEF" w:rsidP="0035366F">
      <w:pPr>
        <w:pStyle w:val="Level2"/>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Example 2: A finding impacts a fire area with a minimal set of fire ignition sources.  Further, it is expected that the fire ignition sources will likely screen out as non-threatening such that no credible fire scenario will be developed for the fire area.  In this case, it may be appropriate to </w:t>
      </w:r>
      <w:r w:rsidR="007F4312">
        <w:rPr>
          <w:rFonts w:cs="Arial"/>
        </w:rPr>
        <w:t xml:space="preserve">first complete Tables A1.5 and A1.6 as described in Step 2.2.2, and then perform Step 2.3.2 to screen ignition sources that are not capable of causing damage to a target or ignition of a secondary combustible.  If all ignition sources are screened out, the finding screens to Green and the analysis is complete.  If some ignition sources are retained, </w:t>
      </w:r>
      <w:r w:rsidR="005F3F92">
        <w:rPr>
          <w:rFonts w:cs="Arial"/>
        </w:rPr>
        <w:t>perform</w:t>
      </w:r>
      <w:r w:rsidR="008C5BCB">
        <w:rPr>
          <w:rFonts w:cs="Arial"/>
        </w:rPr>
        <w:t xml:space="preserve"> Step 2.4 to determine the FIF for each of the unscreened </w:t>
      </w:r>
      <w:r w:rsidR="005F3F92">
        <w:rPr>
          <w:rFonts w:cs="Arial"/>
        </w:rPr>
        <w:t>ignition sources</w:t>
      </w:r>
      <w:r w:rsidR="008C5BCB">
        <w:rPr>
          <w:rFonts w:cs="Arial"/>
        </w:rPr>
        <w:t xml:space="preserve"> and return to Step 2.1 with the resulting refined area-wide FIF (sum of FIF for all unscreened ignition sources).</w:t>
      </w:r>
    </w:p>
    <w:p w14:paraId="381FD9E3"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8F69DBA" w14:textId="0EDCBFAE" w:rsidR="00B65AEF"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lastRenderedPageBreak/>
        <w:t xml:space="preserve">In performing a later step earlier in the analysis process, the </w:t>
      </w:r>
      <w:r w:rsidR="008C5BCB">
        <w:rPr>
          <w:rFonts w:cs="Arial"/>
        </w:rPr>
        <w:t>analyst</w:t>
      </w:r>
      <w:r w:rsidR="008C5BCB" w:rsidRPr="00C70CAC">
        <w:rPr>
          <w:rFonts w:cs="Arial"/>
        </w:rPr>
        <w:t xml:space="preserve"> </w:t>
      </w:r>
      <w:r w:rsidRPr="00C70CAC">
        <w:rPr>
          <w:rFonts w:cs="Arial"/>
        </w:rPr>
        <w:t xml:space="preserve">is essentially developing a more refined estimate for one of the fire risk quantification factors described in Section </w:t>
      </w:r>
      <w:r w:rsidR="00CB30FF">
        <w:rPr>
          <w:rFonts w:cs="Arial"/>
        </w:rPr>
        <w:t>0</w:t>
      </w:r>
      <w:r w:rsidRPr="00C70CAC">
        <w:rPr>
          <w:rFonts w:cs="Arial"/>
        </w:rPr>
        <w:t>4.</w:t>
      </w:r>
      <w:r w:rsidR="00CB30FF">
        <w:rPr>
          <w:rFonts w:cs="Arial"/>
        </w:rPr>
        <w:t>0</w:t>
      </w:r>
      <w:r w:rsidRPr="00C70CAC">
        <w:rPr>
          <w:rFonts w:cs="Arial"/>
        </w:rPr>
        <w:t>2.</w:t>
      </w:r>
      <w:r w:rsidR="00CB30FF">
        <w:rPr>
          <w:rFonts w:cs="Arial"/>
        </w:rPr>
        <w:t>0</w:t>
      </w:r>
      <w:r w:rsidRPr="00C70CAC">
        <w:rPr>
          <w:rFonts w:cs="Arial"/>
        </w:rPr>
        <w:t xml:space="preserve">2 earlier in the analysis process.  The refined risk quantification factor is then folded into the CDF formulas </w:t>
      </w:r>
      <w:r w:rsidRPr="00C70CAC">
        <w:rPr>
          <w:rFonts w:cs="Arial"/>
          <w:u w:val="single"/>
        </w:rPr>
        <w:t>in place of</w:t>
      </w:r>
      <w:r w:rsidRPr="00C70CAC">
        <w:rPr>
          <w:rFonts w:cs="Arial"/>
        </w:rPr>
        <w:t xml:space="preserve"> the corresponding, and less refined, value that would have been used had the earlier steps been completed in their normal order.</w:t>
      </w:r>
    </w:p>
    <w:p w14:paraId="4C0F496D" w14:textId="77777777" w:rsidR="008C5BCB" w:rsidRPr="00C70CAC" w:rsidRDefault="008C5BCB"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A8371B9"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Care must be exercised to ensure that no </w:t>
      </w:r>
      <w:r>
        <w:rPr>
          <w:rFonts w:cs="Arial"/>
        </w:rPr>
        <w:t>“</w:t>
      </w:r>
      <w:r w:rsidRPr="00C70CAC">
        <w:rPr>
          <w:rFonts w:cs="Arial"/>
        </w:rPr>
        <w:t>double-counting</w:t>
      </w:r>
      <w:r>
        <w:rPr>
          <w:rFonts w:cs="Arial"/>
        </w:rPr>
        <w:t>”</w:t>
      </w:r>
      <w:r w:rsidRPr="00C70CAC">
        <w:rPr>
          <w:rFonts w:cs="Arial"/>
        </w:rPr>
        <w:t xml:space="preserve"> of the same risk quantification factor occurs.  Replacing the nominal value with the refined value ensures that no double counting occurs.</w:t>
      </w:r>
    </w:p>
    <w:p w14:paraId="4FAEC91B"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F65F728" w14:textId="7B4EAF2D"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In many cases, the nominal value for a factor that is being replaced by early completion of a later step may be an implied value of 1.0.  For example, the term </w:t>
      </w:r>
      <w:r w:rsidR="008C5BCB">
        <w:rPr>
          <w:rFonts w:cs="Arial"/>
        </w:rPr>
        <w:t>NSP</w:t>
      </w:r>
      <w:r w:rsidR="008C5BCB" w:rsidRPr="00C70CAC">
        <w:rPr>
          <w:rFonts w:cs="Arial"/>
        </w:rPr>
        <w:t xml:space="preserve"> </w:t>
      </w:r>
      <w:r w:rsidRPr="00C70CAC">
        <w:rPr>
          <w:rFonts w:cs="Arial"/>
        </w:rPr>
        <w:t>does not appear in the risk quantification equations for Steps 2.1 through 2.</w:t>
      </w:r>
      <w:r w:rsidR="008C5BCB">
        <w:rPr>
          <w:rFonts w:cs="Arial"/>
        </w:rPr>
        <w:t>6, assuming these steps are performed in sequence</w:t>
      </w:r>
      <w:r w:rsidRPr="00C70CAC">
        <w:rPr>
          <w:rFonts w:cs="Arial"/>
        </w:rPr>
        <w:t xml:space="preserve">.  Hence, the implied value of </w:t>
      </w:r>
      <w:r w:rsidR="008C5BCB">
        <w:rPr>
          <w:rFonts w:cs="Arial"/>
        </w:rPr>
        <w:t>NSP</w:t>
      </w:r>
      <w:r w:rsidR="008C5BCB" w:rsidRPr="00C70CAC">
        <w:rPr>
          <w:rFonts w:cs="Arial"/>
        </w:rPr>
        <w:t xml:space="preserve"> </w:t>
      </w:r>
      <w:r w:rsidRPr="00C70CAC">
        <w:rPr>
          <w:rFonts w:cs="Arial"/>
        </w:rPr>
        <w:t>is 1.0 for these steps; that is, Steps 2.1 through 2.</w:t>
      </w:r>
      <w:r w:rsidR="008C5BCB">
        <w:rPr>
          <w:rFonts w:cs="Arial"/>
        </w:rPr>
        <w:t>6</w:t>
      </w:r>
      <w:r w:rsidR="008C5BCB" w:rsidRPr="00C70CAC">
        <w:rPr>
          <w:rFonts w:cs="Arial"/>
        </w:rPr>
        <w:t xml:space="preserve"> </w:t>
      </w:r>
      <w:r w:rsidRPr="00C70CAC">
        <w:rPr>
          <w:rFonts w:cs="Arial"/>
        </w:rPr>
        <w:t>assume that suppression efforts will fail to protect exposed components/</w:t>
      </w:r>
      <w:r w:rsidR="009C1374">
        <w:rPr>
          <w:rFonts w:cs="Arial"/>
        </w:rPr>
        <w:t xml:space="preserve">electrical </w:t>
      </w:r>
      <w:r w:rsidRPr="00C70CAC">
        <w:rPr>
          <w:rFonts w:cs="Arial"/>
        </w:rPr>
        <w:t xml:space="preserve">cables in a timely manner with a probability of 1.0.  A specific value of </w:t>
      </w:r>
      <w:r w:rsidR="008C5BCB">
        <w:rPr>
          <w:rFonts w:cs="Arial"/>
        </w:rPr>
        <w:t>NSP</w:t>
      </w:r>
      <w:r w:rsidR="008C5BCB" w:rsidRPr="00C70CAC">
        <w:rPr>
          <w:rFonts w:cs="Arial"/>
        </w:rPr>
        <w:t xml:space="preserve"> </w:t>
      </w:r>
      <w:r w:rsidRPr="00C70CAC">
        <w:rPr>
          <w:rFonts w:cs="Arial"/>
        </w:rPr>
        <w:t>is not calculated until step 2.7.</w:t>
      </w:r>
      <w:r w:rsidR="009C1374">
        <w:rPr>
          <w:rFonts w:cs="Arial"/>
        </w:rPr>
        <w:t xml:space="preserve">  (If the analyst senses that estimation of a lower NSP could be the determining factor in lowering the ΔCDF below the threshold for Green, (s)he should pursue Step 2.7 early in the process.)</w:t>
      </w:r>
    </w:p>
    <w:p w14:paraId="05C7BE62" w14:textId="1F1C53D4"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ADF6B06" w14:textId="77777777" w:rsidR="00B65AEF" w:rsidRPr="00C70CAC" w:rsidRDefault="00B65AEF" w:rsidP="004D46E2">
      <w:pPr>
        <w:pStyle w:val="Heading3"/>
      </w:pPr>
      <w:bookmarkStart w:id="47" w:name="_Toc481265373"/>
      <w:bookmarkStart w:id="48" w:name="_Toc511060853"/>
      <w:r w:rsidRPr="00C70CAC">
        <w:t>Omission of Non-Productive Steps</w:t>
      </w:r>
      <w:bookmarkEnd w:id="47"/>
      <w:bookmarkEnd w:id="48"/>
    </w:p>
    <w:p w14:paraId="4819B293" w14:textId="77777777" w:rsidR="00B65AEF" w:rsidRPr="00C70CAC" w:rsidRDefault="00B65AEF"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CE492BD" w14:textId="67C8C890" w:rsidR="00B65AEF" w:rsidRPr="00C70CAC" w:rsidRDefault="00B65AEF"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Certain steps may not need to be performed if sufficient information has already been gathered to determine that no discernable risk reduction benefit will be gained.</w:t>
      </w:r>
    </w:p>
    <w:p w14:paraId="07DE0E44" w14:textId="77777777" w:rsidR="00B65AEF" w:rsidRDefault="00B65AEF" w:rsidP="0056790B">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6CD6039E" w14:textId="2ED84D47" w:rsidR="00B65AEF" w:rsidRPr="00C70CAC" w:rsidRDefault="00B65AEF" w:rsidP="0034587C">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outlineLvl w:val="9"/>
        <w:rPr>
          <w:rFonts w:cs="Arial"/>
        </w:rPr>
      </w:pPr>
      <w:r w:rsidRPr="00C70CAC">
        <w:rPr>
          <w:rFonts w:cs="Arial"/>
        </w:rPr>
        <w:t>Example: Based on knowledge of the designated SSD path for a given fire area, a decision may be taken to not credit that path in the initial stages of analysis.  In this case, Step 2.1 might not be formally conducted and the analysis might proceed directly to Step 2.2 using a screening CCDP value of 1.0.</w:t>
      </w:r>
    </w:p>
    <w:p w14:paraId="6955B816" w14:textId="77777777" w:rsidR="00B65AEF" w:rsidRPr="00C70CAC" w:rsidRDefault="00B65AEF"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8840F38" w14:textId="77777777" w:rsidR="00B65AEF" w:rsidRPr="00C70CAC" w:rsidRDefault="00B65AEF" w:rsidP="004D46E2">
      <w:pPr>
        <w:pStyle w:val="Heading3"/>
      </w:pPr>
      <w:bookmarkStart w:id="49" w:name="_Toc481265374"/>
      <w:bookmarkStart w:id="50" w:name="_Toc511060854"/>
      <w:r w:rsidRPr="00C70CAC">
        <w:t>Reducing Analysis Depth for a Given Step</w:t>
      </w:r>
      <w:bookmarkEnd w:id="49"/>
      <w:bookmarkEnd w:id="50"/>
    </w:p>
    <w:p w14:paraId="1D48880D"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29810C0" w14:textId="1CC317A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depth of analysis pursued in a given step may be reduced if additional depth is either not needed to conclude that the finding is </w:t>
      </w:r>
      <w:r w:rsidR="008C5BCB">
        <w:rPr>
          <w:rFonts w:cs="Arial"/>
        </w:rPr>
        <w:t>G</w:t>
      </w:r>
      <w:r w:rsidR="008C5BCB" w:rsidRPr="00C70CAC">
        <w:rPr>
          <w:rFonts w:cs="Arial"/>
        </w:rPr>
        <w:t>reen</w:t>
      </w:r>
      <w:r w:rsidRPr="00C70CAC">
        <w:rPr>
          <w:rFonts w:cs="Arial"/>
        </w:rPr>
        <w:t>, or if additional depth will not provide any discernible risk reduction benefit.</w:t>
      </w:r>
    </w:p>
    <w:p w14:paraId="1EC747CE" w14:textId="77777777" w:rsidR="00B65AEF" w:rsidRDefault="00B65AEF" w:rsidP="00AE0E51">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5E1A6A33" w14:textId="4ABC0A4D" w:rsidR="00B65AEF" w:rsidRPr="00C70CAC" w:rsidRDefault="00B65AEF" w:rsidP="0034587C">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outlineLvl w:val="9"/>
        <w:rPr>
          <w:rFonts w:cs="Arial"/>
        </w:rPr>
      </w:pPr>
      <w:r w:rsidRPr="00C70CAC">
        <w:rPr>
          <w:rFonts w:cs="Arial"/>
        </w:rPr>
        <w:t>Example: The fire area impacted by a finding has full coverage sprinkler protection that is not impacted by the finding.  Step 2.</w:t>
      </w:r>
      <w:r w:rsidR="008C5BCB">
        <w:rPr>
          <w:rFonts w:cs="Arial"/>
        </w:rPr>
        <w:t>7.1</w:t>
      </w:r>
      <w:r w:rsidR="008C5BCB" w:rsidRPr="00C70CAC">
        <w:rPr>
          <w:rFonts w:cs="Arial"/>
        </w:rPr>
        <w:t xml:space="preserve"> </w:t>
      </w:r>
      <w:r w:rsidRPr="00C70CAC">
        <w:rPr>
          <w:rFonts w:cs="Arial"/>
        </w:rPr>
        <w:t xml:space="preserve">has been completed, and the actuation time analysis in </w:t>
      </w:r>
      <w:r w:rsidR="008C5BCB">
        <w:rPr>
          <w:rFonts w:cs="Arial"/>
        </w:rPr>
        <w:t>Step</w:t>
      </w:r>
      <w:r w:rsidR="008C5BCB" w:rsidRPr="00C70CAC">
        <w:rPr>
          <w:rFonts w:cs="Arial"/>
        </w:rPr>
        <w:t xml:space="preserve"> </w:t>
      </w:r>
      <w:r w:rsidRPr="00C70CAC">
        <w:rPr>
          <w:rFonts w:cs="Arial"/>
        </w:rPr>
        <w:t>2.7.</w:t>
      </w:r>
      <w:r w:rsidR="008C5BCB">
        <w:rPr>
          <w:rFonts w:cs="Arial"/>
        </w:rPr>
        <w:t>3</w:t>
      </w:r>
      <w:r w:rsidR="008C5BCB" w:rsidRPr="00C70CAC">
        <w:rPr>
          <w:rFonts w:cs="Arial"/>
        </w:rPr>
        <w:t xml:space="preserve"> </w:t>
      </w:r>
      <w:r w:rsidRPr="00C70CAC">
        <w:rPr>
          <w:rFonts w:cs="Arial"/>
        </w:rPr>
        <w:t>reveals that the sprinklers will actuate at least 10 minutes prior to the estimated fire damage time, even for the individual fire scenario with the shortest damage time (from Step 2.</w:t>
      </w:r>
      <w:r w:rsidR="008C5BCB">
        <w:rPr>
          <w:rFonts w:cs="Arial"/>
        </w:rPr>
        <w:t>7.1</w:t>
      </w:r>
      <w:r w:rsidRPr="00C70CAC">
        <w:rPr>
          <w:rFonts w:cs="Arial"/>
        </w:rPr>
        <w:t>).  Hence, the sprinklers will be given maximum credit in all scenarios for suppressing the fire prior to damage (98% based on general system reliability</w:t>
      </w:r>
      <w:r w:rsidR="00C80984">
        <w:rPr>
          <w:rFonts w:cs="Arial"/>
        </w:rPr>
        <w:t>, see Table A7.1 in Attachment 7 to Appendix F</w:t>
      </w:r>
      <w:r w:rsidRPr="00C70CAC">
        <w:rPr>
          <w:rFonts w:cs="Arial"/>
        </w:rPr>
        <w:t>).</w:t>
      </w:r>
    </w:p>
    <w:p w14:paraId="3669187F" w14:textId="77777777" w:rsidR="00B65AEF" w:rsidRPr="00C70CAC" w:rsidRDefault="00B65AEF"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rPr>
      </w:pPr>
    </w:p>
    <w:p w14:paraId="78DD7E2D" w14:textId="672D448F" w:rsidR="00B65AEF" w:rsidRPr="00C70CAC" w:rsidRDefault="00B65AEF" w:rsidP="003458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rPr>
      </w:pPr>
      <w:r w:rsidRPr="00C70CAC">
        <w:rPr>
          <w:rFonts w:cs="Arial"/>
        </w:rPr>
        <w:t xml:space="preserve">This result indicates that, at worst, a 0.02 </w:t>
      </w:r>
      <w:r w:rsidR="008C70C2">
        <w:rPr>
          <w:rFonts w:cs="Arial"/>
        </w:rPr>
        <w:t>NSP</w:t>
      </w:r>
      <w:r w:rsidRPr="00C70CAC">
        <w:rPr>
          <w:rFonts w:cs="Arial"/>
        </w:rPr>
        <w:t xml:space="preserve"> </w:t>
      </w:r>
      <w:r w:rsidR="00C80984">
        <w:rPr>
          <w:rFonts w:cs="Arial"/>
        </w:rPr>
        <w:t xml:space="preserve">(1 – 0.98 = 0.02) </w:t>
      </w:r>
      <w:r w:rsidRPr="00C70CAC">
        <w:rPr>
          <w:rFonts w:cs="Arial"/>
        </w:rPr>
        <w:t>can be applied to all scenarios reflecting credit only for</w:t>
      </w:r>
      <w:r w:rsidR="00C80984">
        <w:rPr>
          <w:rFonts w:cs="Arial"/>
        </w:rPr>
        <w:t xml:space="preserve"> the</w:t>
      </w:r>
      <w:r w:rsidRPr="00C70CAC">
        <w:rPr>
          <w:rFonts w:cs="Arial"/>
        </w:rPr>
        <w:t xml:space="preserve"> fixed suppression system.  The added consideration of manual </w:t>
      </w:r>
      <w:r w:rsidR="005F3F92" w:rsidRPr="00C70CAC">
        <w:rPr>
          <w:rFonts w:cs="Arial"/>
        </w:rPr>
        <w:t>firefighting</w:t>
      </w:r>
      <w:r w:rsidRPr="00C70CAC">
        <w:rPr>
          <w:rFonts w:cs="Arial"/>
        </w:rPr>
        <w:t xml:space="preserve"> can only improve this value (reduce the </w:t>
      </w:r>
      <w:r w:rsidR="008C70C2">
        <w:rPr>
          <w:rFonts w:cs="Arial"/>
        </w:rPr>
        <w:t>NSP</w:t>
      </w:r>
      <w:r w:rsidRPr="00C70CAC">
        <w:rPr>
          <w:rFonts w:cs="Arial"/>
        </w:rPr>
        <w:t>).  Hence, crediting only the fixed suppression system would be conservative.</w:t>
      </w:r>
    </w:p>
    <w:p w14:paraId="643E6D78" w14:textId="77777777" w:rsidR="00B65AEF" w:rsidRPr="00C70CAC" w:rsidRDefault="00B65AEF" w:rsidP="00AE0E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EA991CA" w14:textId="005408D4" w:rsidR="00A70955" w:rsidRDefault="00B65AEF" w:rsidP="00AE0E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When combined with previous factors a </w:t>
      </w:r>
      <w:r w:rsidR="008C70C2">
        <w:rPr>
          <w:rFonts w:cs="Arial"/>
        </w:rPr>
        <w:t>NSP</w:t>
      </w:r>
      <w:r w:rsidRPr="00C70CAC">
        <w:rPr>
          <w:rFonts w:cs="Arial"/>
        </w:rPr>
        <w:t xml:space="preserve"> of 0.02 may be sufficient to conclude the finding is </w:t>
      </w:r>
      <w:r w:rsidR="008C5BCB">
        <w:rPr>
          <w:rFonts w:cs="Arial"/>
        </w:rPr>
        <w:t>G</w:t>
      </w:r>
      <w:r w:rsidR="008C5BCB" w:rsidRPr="00C70CAC">
        <w:rPr>
          <w:rFonts w:cs="Arial"/>
        </w:rPr>
        <w:t>reen</w:t>
      </w:r>
      <w:r w:rsidRPr="00C70CAC">
        <w:rPr>
          <w:rFonts w:cs="Arial"/>
        </w:rPr>
        <w:t xml:space="preserve">.  In this case Step 2.7 can be completed without a formal analysis of sprinkler </w:t>
      </w:r>
      <w:r w:rsidR="008C5BCB">
        <w:rPr>
          <w:rFonts w:cs="Arial"/>
        </w:rPr>
        <w:t>activation</w:t>
      </w:r>
      <w:r w:rsidR="008C5BCB" w:rsidRPr="00C70CAC">
        <w:rPr>
          <w:rFonts w:cs="Arial"/>
        </w:rPr>
        <w:t xml:space="preserve"> </w:t>
      </w:r>
      <w:r w:rsidRPr="00C70CAC">
        <w:rPr>
          <w:rFonts w:cs="Arial"/>
        </w:rPr>
        <w:t xml:space="preserve">time for each individual fire scenario, and without an analysis of manual fire fighting for any fire </w:t>
      </w:r>
      <w:r w:rsidRPr="00C70CAC">
        <w:rPr>
          <w:rFonts w:cs="Arial"/>
        </w:rPr>
        <w:lastRenderedPageBreak/>
        <w:t xml:space="preserve">scenarios (i.e., without completing </w:t>
      </w:r>
      <w:r w:rsidR="007F45F2">
        <w:rPr>
          <w:rFonts w:cs="Arial"/>
        </w:rPr>
        <w:t>Step</w:t>
      </w:r>
      <w:r w:rsidR="007F45F2" w:rsidRPr="00C70CAC">
        <w:rPr>
          <w:rFonts w:cs="Arial"/>
        </w:rPr>
        <w:t xml:space="preserve"> </w:t>
      </w:r>
      <w:r w:rsidRPr="00C70CAC">
        <w:rPr>
          <w:rFonts w:cs="Arial"/>
        </w:rPr>
        <w:t>2.7.</w:t>
      </w:r>
      <w:r w:rsidR="008C5BCB">
        <w:rPr>
          <w:rFonts w:cs="Arial"/>
        </w:rPr>
        <w:t>4</w:t>
      </w:r>
      <w:r w:rsidRPr="00C70CAC">
        <w:rPr>
          <w:rFonts w:cs="Arial"/>
        </w:rPr>
        <w:t xml:space="preserve">).  The finding can be screened to </w:t>
      </w:r>
      <w:r w:rsidR="008C5BCB">
        <w:rPr>
          <w:rFonts w:cs="Arial"/>
        </w:rPr>
        <w:t>G</w:t>
      </w:r>
      <w:r w:rsidR="008C5BCB" w:rsidRPr="00C70CAC">
        <w:rPr>
          <w:rFonts w:cs="Arial"/>
        </w:rPr>
        <w:t xml:space="preserve">reen </w:t>
      </w:r>
      <w:r w:rsidRPr="00C70CAC">
        <w:rPr>
          <w:rFonts w:cs="Arial"/>
        </w:rPr>
        <w:t xml:space="preserve">based on </w:t>
      </w:r>
      <w:r w:rsidR="00196F40">
        <w:rPr>
          <w:rFonts w:cs="Arial"/>
        </w:rPr>
        <w:t>Step</w:t>
      </w:r>
      <w:r w:rsidR="00196F40" w:rsidRPr="00C70CAC">
        <w:rPr>
          <w:rFonts w:cs="Arial"/>
        </w:rPr>
        <w:t xml:space="preserve"> </w:t>
      </w:r>
      <w:r w:rsidRPr="00C70CAC">
        <w:rPr>
          <w:rFonts w:cs="Arial"/>
        </w:rPr>
        <w:t xml:space="preserve">2.7.5 using a bounding </w:t>
      </w:r>
      <w:r w:rsidR="008C70C2">
        <w:rPr>
          <w:rFonts w:cs="Arial"/>
        </w:rPr>
        <w:t>NSP</w:t>
      </w:r>
      <w:r w:rsidRPr="00C70CAC">
        <w:rPr>
          <w:rFonts w:cs="Arial"/>
        </w:rPr>
        <w:t xml:space="preserve"> value of 0.02.</w:t>
      </w:r>
    </w:p>
    <w:p w14:paraId="7321A5E6" w14:textId="77777777" w:rsidR="00B43D79" w:rsidRDefault="00B43D79">
      <w:pPr>
        <w:widowControl/>
        <w:autoSpaceDE/>
        <w:autoSpaceDN/>
        <w:adjustRightInd/>
      </w:pPr>
    </w:p>
    <w:p w14:paraId="6CE64DC8" w14:textId="77777777" w:rsidR="00B43D79" w:rsidRDefault="00B43D79">
      <w:pPr>
        <w:widowControl/>
        <w:autoSpaceDE/>
        <w:autoSpaceDN/>
        <w:adjustRightInd/>
      </w:pPr>
    </w:p>
    <w:p w14:paraId="643B7438" w14:textId="7D5430A1" w:rsidR="00B27F2A" w:rsidRDefault="00B27F2A" w:rsidP="003163D3">
      <w:pPr>
        <w:pStyle w:val="Heading1"/>
      </w:pPr>
      <w:bookmarkStart w:id="51" w:name="_Toc481265375"/>
      <w:bookmarkStart w:id="52" w:name="_Toc511060855"/>
      <w:r>
        <w:t>SUPPORTING GUIDANCE AND EXPLANATORY MATERIAL</w:t>
      </w:r>
      <w:bookmarkEnd w:id="51"/>
      <w:bookmarkEnd w:id="52"/>
    </w:p>
    <w:p w14:paraId="2A4F3C4D" w14:textId="77777777" w:rsidR="008407CC" w:rsidRDefault="008407CC"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281CA7" w14:textId="18242FD8" w:rsidR="008407CC" w:rsidRDefault="00B65AE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sidRPr="00C70CAC">
        <w:rPr>
          <w:rFonts w:cs="Arial"/>
        </w:rPr>
        <w:t xml:space="preserve">This chapter provides supporting guidance and additional explanation of the various steps in the Fire Protection SDP analysis procedure.  The material includes additional discussion of the relationship between steps, PRA methods background information, and historical perspectives relating to the Fire Protection SDP analysis approach.  The information in this section is not required for completion of a SDP Phase 1 or Phase 2 analysis; rather, it is intended to enhance the </w:t>
      </w:r>
      <w:r w:rsidR="008E3574">
        <w:rPr>
          <w:rFonts w:cs="Arial"/>
        </w:rPr>
        <w:t>analyst’s</w:t>
      </w:r>
      <w:r w:rsidR="008E3574" w:rsidRPr="00C70CAC">
        <w:rPr>
          <w:rFonts w:cs="Arial"/>
        </w:rPr>
        <w:t xml:space="preserve"> </w:t>
      </w:r>
      <w:r w:rsidRPr="00C70CAC">
        <w:rPr>
          <w:rFonts w:cs="Arial"/>
        </w:rPr>
        <w:t>understanding of the analysis approach.</w:t>
      </w:r>
    </w:p>
    <w:p w14:paraId="2EE650B1" w14:textId="77777777" w:rsidR="005813D3" w:rsidRPr="008522D6" w:rsidRDefault="005813D3"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E66FBE" w14:textId="560A65F9" w:rsidR="00B27F2A" w:rsidRDefault="00B27F2A" w:rsidP="00B43D79">
      <w:pPr>
        <w:pStyle w:val="Heading2"/>
        <w:ind w:hanging="1166"/>
      </w:pPr>
      <w:bookmarkStart w:id="53" w:name="_Toc481265376"/>
      <w:bookmarkStart w:id="54" w:name="_Toc511060856"/>
      <w:r>
        <w:t>Phase 1 Analysis Supporting Information</w:t>
      </w:r>
      <w:bookmarkEnd w:id="53"/>
      <w:bookmarkEnd w:id="54"/>
    </w:p>
    <w:p w14:paraId="24DEE24E" w14:textId="77777777" w:rsidR="008407CC" w:rsidRDefault="008407CC"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ECE61F" w14:textId="6614CF7B" w:rsidR="00772F4E" w:rsidRDefault="00B27F2A" w:rsidP="004D46E2">
      <w:pPr>
        <w:pStyle w:val="Heading3"/>
      </w:pPr>
      <w:bookmarkStart w:id="55" w:name="_Toc481265377"/>
      <w:bookmarkStart w:id="56" w:name="_Toc511060857"/>
      <w:r>
        <w:t xml:space="preserve">Step 1.1 - </w:t>
      </w:r>
      <w:r w:rsidR="009860DA" w:rsidRPr="009860DA">
        <w:t>Provide Statement of Fire Inspection Finding</w:t>
      </w:r>
      <w:bookmarkEnd w:id="55"/>
      <w:bookmarkEnd w:id="56"/>
    </w:p>
    <w:p w14:paraId="4C3ACA06" w14:textId="77777777" w:rsidR="009860DA" w:rsidRDefault="009860D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45121F" w14:textId="5824B181" w:rsidR="00772F4E" w:rsidRDefault="004A391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Fonts w:cs="Arial"/>
        </w:rPr>
        <w:t>N</w:t>
      </w:r>
      <w:r w:rsidR="008E3574" w:rsidRPr="00C70CAC">
        <w:rPr>
          <w:rFonts w:cs="Arial"/>
        </w:rPr>
        <w:t>o supplemental guidance is provided</w:t>
      </w:r>
      <w:r w:rsidRPr="004A391D">
        <w:rPr>
          <w:rFonts w:cs="Arial"/>
        </w:rPr>
        <w:t xml:space="preserve"> regarding this step</w:t>
      </w:r>
      <w:r w:rsidR="008E3574" w:rsidRPr="00C70CAC">
        <w:rPr>
          <w:rFonts w:cs="Arial"/>
        </w:rPr>
        <w:t>.</w:t>
      </w:r>
    </w:p>
    <w:p w14:paraId="13D50775" w14:textId="77777777" w:rsidR="00772F4E" w:rsidRPr="008522D6" w:rsidRDefault="00772F4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0E34FD" w14:textId="740EC01D" w:rsidR="00B27F2A" w:rsidRDefault="00B27F2A" w:rsidP="004D46E2">
      <w:pPr>
        <w:pStyle w:val="Heading3"/>
      </w:pPr>
      <w:bookmarkStart w:id="57" w:name="_Toc481265378"/>
      <w:bookmarkStart w:id="58" w:name="_Toc511060858"/>
      <w:r>
        <w:t xml:space="preserve">Step 1.2 - Assign a </w:t>
      </w:r>
      <w:r w:rsidR="009860DA">
        <w:t>Fire Finding Category</w:t>
      </w:r>
      <w:bookmarkEnd w:id="57"/>
      <w:bookmarkEnd w:id="58"/>
    </w:p>
    <w:p w14:paraId="10B91374" w14:textId="77777777" w:rsidR="00476841" w:rsidRDefault="0047684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65329C" w14:textId="3411F2C7" w:rsidR="009860DA" w:rsidRPr="00C70CAC" w:rsidRDefault="009860D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categorization of an inspection finding supports several aspects of the Phase 1 and Phase 2 analyses.  The finding categories are defined based primarily on how findings will be handled using the simplified fire PRA approach.  That is, quantification of a finding</w:t>
      </w:r>
      <w:r>
        <w:rPr>
          <w:rFonts w:cs="Arial"/>
        </w:rPr>
        <w:t>’</w:t>
      </w:r>
      <w:r w:rsidRPr="00C70CAC">
        <w:rPr>
          <w:rFonts w:cs="Arial"/>
        </w:rPr>
        <w:t>s risk importance involves modifications to the basic or nominal input values and assumptions used in specific steps of the analysis.  For each finding category, the required modifications will be associated with one or more specific steps as follows:</w:t>
      </w:r>
    </w:p>
    <w:p w14:paraId="529F7914" w14:textId="77777777" w:rsidR="00863585" w:rsidRDefault="00863585" w:rsidP="0086358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p>
    <w:p w14:paraId="062CACCD" w14:textId="15E6CEFD" w:rsidR="009860DA" w:rsidRPr="00863585" w:rsidRDefault="009860DA" w:rsidP="0035366F">
      <w:pPr>
        <w:pStyle w:val="ListParagraph"/>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863585">
        <w:rPr>
          <w:rFonts w:cs="Arial"/>
        </w:rPr>
        <w:t>Findings in the Fire Prevention and Administrative Controls category will require changes in the fire frequency estimates for transients and hot work (Step 2.4).</w:t>
      </w:r>
    </w:p>
    <w:p w14:paraId="7AEDE3E6" w14:textId="11B3CEB7" w:rsidR="009860DA" w:rsidRPr="008E3574" w:rsidRDefault="009860DA" w:rsidP="0035366F">
      <w:pPr>
        <w:pStyle w:val="ListParagraph"/>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8E3574">
        <w:rPr>
          <w:rFonts w:cs="Arial"/>
        </w:rPr>
        <w:t>Findings in the Fixed Fire Protection category will require changes to the detection and suppression analysis (Step 2.7)</w:t>
      </w:r>
      <w:r w:rsidR="0056790B">
        <w:rPr>
          <w:rFonts w:cs="Arial"/>
        </w:rPr>
        <w:t>.</w:t>
      </w:r>
    </w:p>
    <w:p w14:paraId="52A5FFBA" w14:textId="77777777" w:rsidR="00863585" w:rsidRDefault="009860DA" w:rsidP="0035366F">
      <w:pPr>
        <w:pStyle w:val="ListParagraph"/>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8E3574">
        <w:rPr>
          <w:rFonts w:cs="Arial"/>
        </w:rPr>
        <w:t xml:space="preserve">Findings in the fire Confinement category will impact the identification of damage states that need to be considered (Step 2.2), and will impact the fire damage time analysis for FDS3 fire scenarios (Step </w:t>
      </w:r>
      <w:r w:rsidR="008E3574">
        <w:rPr>
          <w:rFonts w:cs="Arial"/>
        </w:rPr>
        <w:t>2.7.1</w:t>
      </w:r>
      <w:r w:rsidRPr="008E3574">
        <w:rPr>
          <w:rFonts w:cs="Arial"/>
        </w:rPr>
        <w:t>).</w:t>
      </w:r>
    </w:p>
    <w:p w14:paraId="0950BB93" w14:textId="6C88AEC7" w:rsidR="009860DA" w:rsidRPr="00863585" w:rsidRDefault="009860DA" w:rsidP="0035366F">
      <w:pPr>
        <w:pStyle w:val="ListParagraph"/>
        <w:numPr>
          <w:ilvl w:val="1"/>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863585">
        <w:rPr>
          <w:rFonts w:cs="Arial"/>
        </w:rPr>
        <w:t xml:space="preserve">Findings in the Localized Cable or Component Fire Barrier category will result in changes to the fire damage time analysis for FDS1 and FDS2 scenarios (Step </w:t>
      </w:r>
      <w:r w:rsidR="008E3574" w:rsidRPr="00863585">
        <w:rPr>
          <w:rFonts w:cs="Arial"/>
        </w:rPr>
        <w:t>2.7</w:t>
      </w:r>
      <w:r w:rsidR="00D9694F" w:rsidRPr="00863585">
        <w:rPr>
          <w:rFonts w:cs="Arial"/>
        </w:rPr>
        <w:t>.</w:t>
      </w:r>
      <w:r w:rsidR="008E3574" w:rsidRPr="00863585">
        <w:rPr>
          <w:rFonts w:cs="Arial"/>
        </w:rPr>
        <w:t>1</w:t>
      </w:r>
      <w:r w:rsidRPr="00863585">
        <w:rPr>
          <w:rFonts w:cs="Arial"/>
        </w:rPr>
        <w:t>)</w:t>
      </w:r>
      <w:r w:rsidR="0056790B" w:rsidRPr="00863585">
        <w:rPr>
          <w:rFonts w:cs="Arial"/>
        </w:rPr>
        <w:t>.</w:t>
      </w:r>
    </w:p>
    <w:p w14:paraId="5EDD1BAE" w14:textId="77777777" w:rsidR="00476841" w:rsidRPr="008522D6" w:rsidRDefault="0047684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139339" w14:textId="6AD5FEE3" w:rsidR="00B27F2A" w:rsidRDefault="00B27F2A" w:rsidP="004D46E2">
      <w:pPr>
        <w:pStyle w:val="Heading3"/>
      </w:pPr>
      <w:bookmarkStart w:id="59" w:name="_Toc481265379"/>
      <w:bookmarkStart w:id="60" w:name="_Toc511060859"/>
      <w:r>
        <w:t xml:space="preserve">Step 1.3 </w:t>
      </w:r>
      <w:r w:rsidR="005E4A0F">
        <w:t>–</w:t>
      </w:r>
      <w:r>
        <w:t xml:space="preserve"> </w:t>
      </w:r>
      <w:r w:rsidR="009860DA">
        <w:t xml:space="preserve">Screen </w:t>
      </w:r>
      <w:r w:rsidR="005E4A0F">
        <w:t>Low Degradation Deficiencies</w:t>
      </w:r>
      <w:bookmarkEnd w:id="59"/>
      <w:bookmarkEnd w:id="60"/>
    </w:p>
    <w:p w14:paraId="3E0610EA" w14:textId="77777777" w:rsidR="00476841" w:rsidRDefault="0047684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45B45D" w14:textId="77777777" w:rsidR="004A391D" w:rsidRPr="004A391D" w:rsidRDefault="004A391D" w:rsidP="004A39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4A391D">
        <w:rPr>
          <w:rFonts w:cs="Arial"/>
        </w:rPr>
        <w:t>No supplemental guidance is provided regarding this step.</w:t>
      </w:r>
    </w:p>
    <w:p w14:paraId="1CA94EF7" w14:textId="77777777" w:rsidR="001039B2" w:rsidRPr="008522D6" w:rsidRDefault="001039B2"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03A5DC" w14:textId="4F016BBE" w:rsidR="00B27F2A" w:rsidRDefault="00B27F2A" w:rsidP="004D46E2">
      <w:pPr>
        <w:pStyle w:val="Heading3"/>
      </w:pPr>
      <w:bookmarkStart w:id="61" w:name="_Toc481265380"/>
      <w:bookmarkStart w:id="62" w:name="_Toc511060860"/>
      <w:r>
        <w:t xml:space="preserve">Step 1.4 - </w:t>
      </w:r>
      <w:r w:rsidR="005E4A0F">
        <w:t>Qualitative Screening Questions</w:t>
      </w:r>
      <w:r w:rsidR="009860DA">
        <w:t xml:space="preserve"> for Eight Individual Categories</w:t>
      </w:r>
      <w:bookmarkEnd w:id="61"/>
      <w:bookmarkEnd w:id="62"/>
    </w:p>
    <w:p w14:paraId="094BCA41" w14:textId="77777777" w:rsidR="000D459A" w:rsidRDefault="000D459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08B810" w14:textId="77777777" w:rsidR="004A391D" w:rsidRPr="004A391D" w:rsidRDefault="004A391D" w:rsidP="004A39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4A391D">
        <w:rPr>
          <w:rFonts w:cs="Arial"/>
        </w:rPr>
        <w:t>No supplemental guidance is provided regarding this step.</w:t>
      </w:r>
    </w:p>
    <w:p w14:paraId="3775521F" w14:textId="77777777" w:rsidR="00331EFF" w:rsidRDefault="00331EF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DC401C" w14:textId="77777777" w:rsidR="00331EFF" w:rsidRDefault="00331EFF" w:rsidP="004D46E2">
      <w:pPr>
        <w:pStyle w:val="Heading3"/>
      </w:pPr>
      <w:bookmarkStart w:id="63" w:name="_Toc481265381"/>
      <w:bookmarkStart w:id="64" w:name="_Toc511060861"/>
      <w:r>
        <w:t>Step 1.5 – Screen Based on Licensee Fire PRA Results</w:t>
      </w:r>
      <w:bookmarkEnd w:id="63"/>
      <w:bookmarkEnd w:id="64"/>
    </w:p>
    <w:p w14:paraId="5E944BA2" w14:textId="77777777" w:rsidR="00331EFF" w:rsidRDefault="00331EF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3EFA74" w14:textId="77777777" w:rsidR="004A391D" w:rsidRPr="004A391D" w:rsidRDefault="004A391D" w:rsidP="004A39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4A391D">
        <w:rPr>
          <w:rFonts w:cs="Arial"/>
        </w:rPr>
        <w:t>No supplemental guidance is provided regarding this step.</w:t>
      </w:r>
    </w:p>
    <w:p w14:paraId="6263E6DE" w14:textId="77777777" w:rsidR="00331EFF" w:rsidRDefault="00331EF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FEAC95" w14:textId="5AD532F6" w:rsidR="00B27F2A" w:rsidRDefault="00B27F2A" w:rsidP="00B43D79">
      <w:pPr>
        <w:pStyle w:val="Heading2"/>
        <w:keepNext/>
        <w:keepLines/>
        <w:ind w:hanging="1166"/>
      </w:pPr>
      <w:bookmarkStart w:id="65" w:name="_Toc481265382"/>
      <w:bookmarkStart w:id="66" w:name="_Toc511060862"/>
      <w:r>
        <w:lastRenderedPageBreak/>
        <w:t xml:space="preserve">Phase 2 </w:t>
      </w:r>
      <w:r w:rsidRPr="00B456BF">
        <w:t>Analysis</w:t>
      </w:r>
      <w:r>
        <w:t xml:space="preserve"> Supporting Information</w:t>
      </w:r>
      <w:bookmarkEnd w:id="65"/>
      <w:bookmarkEnd w:id="66"/>
    </w:p>
    <w:p w14:paraId="296B0072" w14:textId="23DA1D6D" w:rsidR="00326312" w:rsidRDefault="00326312"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2FB872" w14:textId="59093DDE" w:rsidR="00B27F2A" w:rsidRPr="009C52BA" w:rsidRDefault="00B27F2A" w:rsidP="004D46E2">
      <w:pPr>
        <w:pStyle w:val="Heading3"/>
      </w:pPr>
      <w:bookmarkStart w:id="67" w:name="_Toc481265383"/>
      <w:bookmarkStart w:id="68" w:name="_Toc511060863"/>
      <w:r w:rsidRPr="009C52BA">
        <w:t>Step 2.1</w:t>
      </w:r>
      <w:r w:rsidR="0056790B" w:rsidRPr="009C52BA">
        <w:t xml:space="preserve"> -</w:t>
      </w:r>
      <w:r w:rsidRPr="009C52BA">
        <w:t xml:space="preserve"> </w:t>
      </w:r>
      <w:r w:rsidR="00C06341" w:rsidRPr="009C52BA">
        <w:t>Bounding Risk Quantification</w:t>
      </w:r>
      <w:bookmarkEnd w:id="67"/>
      <w:bookmarkEnd w:id="68"/>
    </w:p>
    <w:p w14:paraId="085D50BC" w14:textId="035871BD" w:rsidR="00326312" w:rsidRDefault="00326312"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CFA143" w14:textId="28079745" w:rsidR="002A68AE" w:rsidRDefault="00EB219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Rather than quantifying </w:t>
      </w:r>
      <w:r>
        <w:rPr>
          <w:rFonts w:cs="Arial"/>
        </w:rPr>
        <w:sym w:font="Symbol" w:char="F044"/>
      </w:r>
      <w:r>
        <w:rPr>
          <w:rFonts w:cs="Arial"/>
        </w:rPr>
        <w:t xml:space="preserve">CDF based on the sum of the risk contributions from all credible fire scenarios in the area under evaluation, Step 2.1 obtains a conservative estimate of </w:t>
      </w:r>
      <w:r>
        <w:rPr>
          <w:rFonts w:cs="Arial"/>
        </w:rPr>
        <w:sym w:font="Symbol" w:char="F044"/>
      </w:r>
      <w:r>
        <w:rPr>
          <w:rFonts w:cs="Arial"/>
        </w:rPr>
        <w:t xml:space="preserve">CDF based on bounding area-wide values for the PRA risk quantification terms discussed in Section </w:t>
      </w:r>
      <w:r w:rsidR="00CB30FF">
        <w:rPr>
          <w:rFonts w:cs="Arial"/>
        </w:rPr>
        <w:t>0</w:t>
      </w:r>
      <w:r>
        <w:rPr>
          <w:rFonts w:cs="Arial"/>
        </w:rPr>
        <w:t>4.</w:t>
      </w:r>
      <w:r w:rsidR="00CB30FF">
        <w:rPr>
          <w:rFonts w:cs="Arial"/>
        </w:rPr>
        <w:t>0</w:t>
      </w:r>
      <w:r>
        <w:rPr>
          <w:rFonts w:cs="Arial"/>
        </w:rPr>
        <w:t>2.</w:t>
      </w:r>
      <w:r w:rsidR="00CB30FF">
        <w:rPr>
          <w:rFonts w:cs="Arial"/>
        </w:rPr>
        <w:t>0</w:t>
      </w:r>
      <w:r>
        <w:rPr>
          <w:rFonts w:cs="Arial"/>
        </w:rPr>
        <w:t>2.  In fact, t</w:t>
      </w:r>
      <w:r w:rsidR="007656BC" w:rsidRPr="00C70CAC">
        <w:rPr>
          <w:rFonts w:cs="Arial"/>
        </w:rPr>
        <w:t xml:space="preserve">he screening check in </w:t>
      </w:r>
      <w:r>
        <w:rPr>
          <w:rFonts w:cs="Arial"/>
        </w:rPr>
        <w:t>this step</w:t>
      </w:r>
      <w:r w:rsidR="007656BC" w:rsidRPr="00C70CAC">
        <w:rPr>
          <w:rFonts w:cs="Arial"/>
        </w:rPr>
        <w:t xml:space="preserve"> considers only the </w:t>
      </w:r>
      <w:r w:rsidR="009701AB">
        <w:rPr>
          <w:rFonts w:cs="Arial"/>
        </w:rPr>
        <w:t>DF</w:t>
      </w:r>
      <w:r w:rsidR="007656BC">
        <w:rPr>
          <w:rFonts w:cs="Arial"/>
        </w:rPr>
        <w:t>,</w:t>
      </w:r>
      <w:r w:rsidR="007656BC" w:rsidRPr="00C70CAC">
        <w:rPr>
          <w:rFonts w:cs="Arial"/>
        </w:rPr>
        <w:t xml:space="preserve"> the fire area fire frequency</w:t>
      </w:r>
      <w:r w:rsidR="009701AB">
        <w:rPr>
          <w:rFonts w:cs="Arial"/>
        </w:rPr>
        <w:t xml:space="preserve"> (FIF)</w:t>
      </w:r>
      <w:r w:rsidR="00F417DC">
        <w:rPr>
          <w:rFonts w:cs="Arial"/>
        </w:rPr>
        <w:t>, and the fire-induced CCDP</w:t>
      </w:r>
      <w:r>
        <w:rPr>
          <w:rFonts w:cs="Arial"/>
        </w:rPr>
        <w:t xml:space="preserve">.  </w:t>
      </w:r>
      <w:r w:rsidR="007656BC" w:rsidRPr="00C70CAC">
        <w:rPr>
          <w:rFonts w:cs="Arial"/>
        </w:rPr>
        <w:t xml:space="preserve">In the context of the </w:t>
      </w:r>
      <w:r w:rsidR="007656BC">
        <w:rPr>
          <w:rFonts w:cs="Arial"/>
        </w:rPr>
        <w:t>six</w:t>
      </w:r>
      <w:r w:rsidR="007656BC" w:rsidRPr="00C70CAC">
        <w:rPr>
          <w:rFonts w:cs="Arial"/>
        </w:rPr>
        <w:t xml:space="preserve">-term risk quantification framework </w:t>
      </w:r>
      <w:r w:rsidR="00AE7864">
        <w:rPr>
          <w:rFonts w:cs="Arial"/>
        </w:rPr>
        <w:t>discussed in</w:t>
      </w:r>
      <w:r w:rsidR="007656BC" w:rsidRPr="00C70CAC">
        <w:rPr>
          <w:rFonts w:cs="Arial"/>
        </w:rPr>
        <w:t xml:space="preserve"> Section </w:t>
      </w:r>
      <w:r w:rsidR="00CB30FF">
        <w:rPr>
          <w:rFonts w:cs="Arial"/>
        </w:rPr>
        <w:t>0</w:t>
      </w:r>
      <w:r w:rsidR="007656BC" w:rsidRPr="00C70CAC">
        <w:rPr>
          <w:rFonts w:cs="Arial"/>
        </w:rPr>
        <w:t>4.</w:t>
      </w:r>
      <w:r w:rsidR="00CB30FF">
        <w:rPr>
          <w:rFonts w:cs="Arial"/>
        </w:rPr>
        <w:t>0</w:t>
      </w:r>
      <w:r w:rsidR="007656BC" w:rsidRPr="00C70CAC">
        <w:rPr>
          <w:rFonts w:cs="Arial"/>
        </w:rPr>
        <w:t>2.</w:t>
      </w:r>
      <w:r w:rsidR="00CB30FF">
        <w:rPr>
          <w:rFonts w:cs="Arial"/>
        </w:rPr>
        <w:t>0</w:t>
      </w:r>
      <w:r w:rsidR="007656BC" w:rsidRPr="00C70CAC">
        <w:rPr>
          <w:rFonts w:cs="Arial"/>
        </w:rPr>
        <w:t>2</w:t>
      </w:r>
      <w:r w:rsidR="00AE7864">
        <w:rPr>
          <w:rFonts w:cs="Arial"/>
        </w:rPr>
        <w:t>,</w:t>
      </w:r>
      <w:r w:rsidR="007656BC" w:rsidRPr="00C70CAC">
        <w:rPr>
          <w:rFonts w:cs="Arial"/>
        </w:rPr>
        <w:t xml:space="preserve"> this screening step </w:t>
      </w:r>
      <w:r w:rsidR="006C653F">
        <w:rPr>
          <w:rFonts w:cs="Arial"/>
        </w:rPr>
        <w:t xml:space="preserve">(1) does not account for the fact that </w:t>
      </w:r>
      <w:r w:rsidR="00F417DC">
        <w:rPr>
          <w:rFonts w:cs="Arial"/>
        </w:rPr>
        <w:t>some</w:t>
      </w:r>
      <w:r w:rsidR="006C653F">
        <w:rPr>
          <w:rFonts w:cs="Arial"/>
        </w:rPr>
        <w:t xml:space="preserve"> fire</w:t>
      </w:r>
      <w:r w:rsidR="00F417DC">
        <w:rPr>
          <w:rFonts w:cs="Arial"/>
        </w:rPr>
        <w:t>s</w:t>
      </w:r>
      <w:r w:rsidR="006C653F">
        <w:rPr>
          <w:rFonts w:cs="Arial"/>
        </w:rPr>
        <w:t xml:space="preserve"> in the area under evaluation may not cause damage, and (2) </w:t>
      </w:r>
      <w:r w:rsidR="007656BC" w:rsidRPr="00C70CAC">
        <w:rPr>
          <w:rFonts w:cs="Arial"/>
        </w:rPr>
        <w:t xml:space="preserve">gives no credit to fire suppression.  In mathematical terms, </w:t>
      </w:r>
      <w:r w:rsidR="00F417DC">
        <w:rPr>
          <w:rFonts w:cs="Arial"/>
        </w:rPr>
        <w:t xml:space="preserve">SF </w:t>
      </w:r>
      <w:r w:rsidR="006C653F">
        <w:rPr>
          <w:rFonts w:cs="Arial"/>
        </w:rPr>
        <w:t xml:space="preserve">and </w:t>
      </w:r>
      <w:r w:rsidR="007656BC" w:rsidRPr="00C70CAC">
        <w:rPr>
          <w:rFonts w:cs="Arial"/>
        </w:rPr>
        <w:t>NS</w:t>
      </w:r>
      <w:r w:rsidR="00F417DC">
        <w:rPr>
          <w:rFonts w:cs="Arial"/>
        </w:rPr>
        <w:t>P</w:t>
      </w:r>
      <w:r w:rsidR="007656BC" w:rsidRPr="00C70CAC">
        <w:rPr>
          <w:rFonts w:cs="Arial"/>
        </w:rPr>
        <w:t xml:space="preserve"> are, in effect, both set to 1.0 in this step.  </w:t>
      </w:r>
      <w:r w:rsidR="00F417DC">
        <w:rPr>
          <w:rFonts w:cs="Arial"/>
        </w:rPr>
        <w:t xml:space="preserve">In addition, the fire area fire frequency </w:t>
      </w:r>
      <w:r w:rsidR="00C80984">
        <w:rPr>
          <w:rFonts w:cs="Arial"/>
        </w:rPr>
        <w:t>does not credit potential</w:t>
      </w:r>
      <w:r w:rsidR="00F417DC">
        <w:rPr>
          <w:rFonts w:cs="Arial"/>
        </w:rPr>
        <w:t xml:space="preserve"> adjustments, i.e., AF = 1</w:t>
      </w:r>
      <w:r w:rsidR="005F79D1">
        <w:rPr>
          <w:rFonts w:cs="Arial"/>
        </w:rPr>
        <w:t>.0</w:t>
      </w:r>
      <w:r w:rsidR="00F417DC">
        <w:rPr>
          <w:rFonts w:cs="Arial"/>
        </w:rPr>
        <w:t xml:space="preserve">.  </w:t>
      </w:r>
      <w:r w:rsidR="00425AF1" w:rsidRPr="00C70CAC">
        <w:rPr>
          <w:rFonts w:cs="Arial"/>
        </w:rPr>
        <w:t xml:space="preserve">DF </w:t>
      </w:r>
      <w:r w:rsidR="00425AF1">
        <w:rPr>
          <w:rFonts w:cs="Arial"/>
        </w:rPr>
        <w:t xml:space="preserve">is determined in Step 2.1.1 and </w:t>
      </w:r>
      <w:r w:rsidR="00425AF1" w:rsidRPr="00C70CAC">
        <w:rPr>
          <w:rFonts w:cs="Arial"/>
        </w:rPr>
        <w:t xml:space="preserve">remains at the </w:t>
      </w:r>
      <w:r w:rsidR="00425AF1">
        <w:rPr>
          <w:rFonts w:cs="Arial"/>
        </w:rPr>
        <w:t xml:space="preserve">same </w:t>
      </w:r>
      <w:r w:rsidR="00425AF1" w:rsidRPr="00C70CAC">
        <w:rPr>
          <w:rFonts w:cs="Arial"/>
        </w:rPr>
        <w:t xml:space="preserve">value in all subsequent </w:t>
      </w:r>
      <w:r w:rsidR="00425AF1">
        <w:rPr>
          <w:rFonts w:cs="Arial"/>
        </w:rPr>
        <w:t xml:space="preserve">Phase 2 </w:t>
      </w:r>
      <w:r w:rsidR="00425AF1" w:rsidRPr="00C70CAC">
        <w:rPr>
          <w:rFonts w:cs="Arial"/>
        </w:rPr>
        <w:t>quantification calculations.</w:t>
      </w:r>
      <w:r w:rsidR="00425AF1">
        <w:rPr>
          <w:rFonts w:cs="Arial"/>
        </w:rPr>
        <w:t xml:space="preserve">  </w:t>
      </w:r>
      <w:r w:rsidR="009701AB">
        <w:rPr>
          <w:rFonts w:cs="Arial"/>
        </w:rPr>
        <w:t>A bounding FIF is determined in Step 2.1.2</w:t>
      </w:r>
      <w:r>
        <w:rPr>
          <w:rFonts w:cs="Arial"/>
        </w:rPr>
        <w:t xml:space="preserve"> based on the </w:t>
      </w:r>
      <w:r w:rsidR="00AE7864">
        <w:rPr>
          <w:rFonts w:cs="Arial"/>
        </w:rPr>
        <w:t>functionality of the area under evaluation</w:t>
      </w:r>
      <w:r w:rsidR="009701AB">
        <w:rPr>
          <w:rFonts w:cs="Arial"/>
        </w:rPr>
        <w:t>.  A first-level estimate of t</w:t>
      </w:r>
      <w:r w:rsidR="00425AF1" w:rsidRPr="00C70CAC">
        <w:rPr>
          <w:rFonts w:cs="Arial"/>
        </w:rPr>
        <w:t xml:space="preserve">he fire-induced CCDP </w:t>
      </w:r>
      <w:r w:rsidR="00425AF1">
        <w:rPr>
          <w:rFonts w:cs="Arial"/>
        </w:rPr>
        <w:t>is</w:t>
      </w:r>
      <w:r w:rsidR="00425AF1" w:rsidRPr="00C70CAC">
        <w:rPr>
          <w:rFonts w:cs="Arial"/>
        </w:rPr>
        <w:t xml:space="preserve"> calculated </w:t>
      </w:r>
      <w:r w:rsidR="00425AF1">
        <w:rPr>
          <w:rFonts w:cs="Arial"/>
        </w:rPr>
        <w:t xml:space="preserve">in Step 2.1.6 </w:t>
      </w:r>
      <w:r w:rsidR="00425AF1" w:rsidRPr="00C70CAC">
        <w:rPr>
          <w:rFonts w:cs="Arial"/>
        </w:rPr>
        <w:t>based on the potential to credit the post-fire SSD path.</w:t>
      </w:r>
      <w:r w:rsidR="00425AF1">
        <w:rPr>
          <w:rFonts w:cs="Arial"/>
        </w:rPr>
        <w:t xml:space="preserve">  </w:t>
      </w:r>
      <w:r w:rsidR="007656BC" w:rsidRPr="00C70CAC">
        <w:rPr>
          <w:rFonts w:cs="Arial"/>
        </w:rPr>
        <w:t>All fire PRA risk quantification terms</w:t>
      </w:r>
      <w:r w:rsidR="009701AB">
        <w:rPr>
          <w:rFonts w:cs="Arial"/>
        </w:rPr>
        <w:t>, except DF,</w:t>
      </w:r>
      <w:r w:rsidR="007656BC" w:rsidRPr="00C70CAC">
        <w:rPr>
          <w:rFonts w:cs="Arial"/>
        </w:rPr>
        <w:t xml:space="preserve"> will be refined in </w:t>
      </w:r>
      <w:r w:rsidR="009701AB">
        <w:rPr>
          <w:rFonts w:cs="Arial"/>
        </w:rPr>
        <w:t xml:space="preserve">subsequent steps of the </w:t>
      </w:r>
      <w:r w:rsidR="007656BC" w:rsidRPr="00C70CAC">
        <w:rPr>
          <w:rFonts w:cs="Arial"/>
        </w:rPr>
        <w:t>Phase 2</w:t>
      </w:r>
      <w:r w:rsidR="009701AB">
        <w:rPr>
          <w:rFonts w:cs="Arial"/>
        </w:rPr>
        <w:t xml:space="preserve"> analysis.</w:t>
      </w:r>
    </w:p>
    <w:p w14:paraId="6F44E81E" w14:textId="77777777"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C3DFC1" w14:textId="4642F20E" w:rsidR="00B27F2A" w:rsidRPr="00D46809" w:rsidRDefault="0079404E" w:rsidP="004D46E2">
      <w:pPr>
        <w:pStyle w:val="Heading4"/>
      </w:pPr>
      <w:r w:rsidRPr="00D46809">
        <w:t>Step</w:t>
      </w:r>
      <w:r w:rsidR="00B27F2A" w:rsidRPr="00D46809">
        <w:t xml:space="preserve"> 2.1.1: </w:t>
      </w:r>
      <w:r w:rsidR="00792F17" w:rsidRPr="00D46809">
        <w:t>Estimate the Duration Factor</w:t>
      </w:r>
    </w:p>
    <w:p w14:paraId="0CE86B48" w14:textId="66A924F6"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820858" w14:textId="20B2CDA3" w:rsidR="00326312" w:rsidRDefault="00B33600"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Fonts w:cs="Arial"/>
        </w:rPr>
        <w:t>The DF value determined in this step is final</w:t>
      </w:r>
      <w:r w:rsidR="00AE7864" w:rsidRPr="00C70CAC">
        <w:rPr>
          <w:rFonts w:cs="Arial"/>
        </w:rPr>
        <w:t>.</w:t>
      </w:r>
      <w:r>
        <w:rPr>
          <w:rFonts w:cs="Arial"/>
        </w:rPr>
        <w:t xml:space="preserve">  In other </w:t>
      </w:r>
      <w:r w:rsidR="005F3F92">
        <w:rPr>
          <w:rFonts w:cs="Arial"/>
        </w:rPr>
        <w:t>words,</w:t>
      </w:r>
      <w:r>
        <w:rPr>
          <w:rFonts w:cs="Arial"/>
        </w:rPr>
        <w:t xml:space="preserve"> the same value is used in all Phase 2 risk </w:t>
      </w:r>
      <w:r w:rsidR="005F3F92">
        <w:rPr>
          <w:rFonts w:cs="Arial"/>
        </w:rPr>
        <w:t>quantification</w:t>
      </w:r>
      <w:r>
        <w:rPr>
          <w:rFonts w:cs="Arial"/>
        </w:rPr>
        <w:t xml:space="preserve"> steps.</w:t>
      </w:r>
    </w:p>
    <w:p w14:paraId="20921A46" w14:textId="77777777"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16D5DB" w14:textId="114CE193" w:rsidR="00326312" w:rsidRDefault="0079404E" w:rsidP="004D46E2">
      <w:pPr>
        <w:pStyle w:val="Heading4"/>
      </w:pPr>
      <w:r>
        <w:t>Step</w:t>
      </w:r>
      <w:r w:rsidR="00B27F2A">
        <w:t xml:space="preserve"> 2.1.2: </w:t>
      </w:r>
      <w:r w:rsidR="00792F17">
        <w:t>Estimate Bounding Value of the Fire Ignition Frequency</w:t>
      </w:r>
    </w:p>
    <w:p w14:paraId="20638810" w14:textId="77777777" w:rsidR="00D46809" w:rsidRDefault="00D46809"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C5F189" w14:textId="45386ABC" w:rsidR="00326312" w:rsidRDefault="00EC1A6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FIFs in Table 2.1.3 </w:t>
      </w:r>
      <w:r w:rsidR="00894524">
        <w:t xml:space="preserve">of Appendix F </w:t>
      </w:r>
      <w:r>
        <w:t xml:space="preserve">are used when transient combustibles or hot work fires are the only ignition sources that need to be considered, e.g., for </w:t>
      </w:r>
      <w:r>
        <w:rPr>
          <w:rFonts w:cs="Arial"/>
        </w:rPr>
        <w:t>f</w:t>
      </w:r>
      <w:r w:rsidRPr="008E3574">
        <w:rPr>
          <w:rFonts w:cs="Arial"/>
        </w:rPr>
        <w:t>indings in the Fire Prevention and Administrative Controls category</w:t>
      </w:r>
      <w:r>
        <w:t xml:space="preserve"> or when there are no other types of ignition sources present in fire area under evaluation.</w:t>
      </w:r>
      <w:r w:rsidDel="00AE7864">
        <w:t xml:space="preserve"> </w:t>
      </w:r>
      <w:r w:rsidR="00894524">
        <w:t xml:space="preserve"> The area-wide FIFs in Table 2.1.2 of Appendix F are used if other ignition sources need to be considered.</w:t>
      </w:r>
    </w:p>
    <w:p w14:paraId="6C2FBB46" w14:textId="77777777"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1CFDE5" w14:textId="4D7679C0" w:rsidR="00B27F2A" w:rsidRDefault="0079404E" w:rsidP="004D46E2">
      <w:pPr>
        <w:pStyle w:val="Heading4"/>
      </w:pPr>
      <w:r>
        <w:t>Step</w:t>
      </w:r>
      <w:r w:rsidR="00B27F2A">
        <w:t xml:space="preserve"> 2.1.3: </w:t>
      </w:r>
      <w:r w:rsidR="00792F17">
        <w:t>Estimate Bounding Value of Ignition Frequency Adjustment Factors</w:t>
      </w:r>
    </w:p>
    <w:p w14:paraId="19E844C7" w14:textId="22EAA021"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B5FF4B" w14:textId="7CA710DD" w:rsidR="00326312" w:rsidRPr="004A391D" w:rsidRDefault="004A391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4A391D">
        <w:rPr>
          <w:rFonts w:cs="Arial"/>
        </w:rPr>
        <w:t xml:space="preserve"> No supplemental guidance is provided regarding this step</w:t>
      </w:r>
      <w:r>
        <w:rPr>
          <w:rFonts w:cs="Arial"/>
        </w:rPr>
        <w:t xml:space="preserve"> </w:t>
      </w:r>
      <w:r w:rsidR="00894524">
        <w:rPr>
          <w:rFonts w:cs="Arial"/>
        </w:rPr>
        <w:t>(AF is set to 1.0)</w:t>
      </w:r>
      <w:r w:rsidR="00AE7864" w:rsidRPr="00C70CAC">
        <w:rPr>
          <w:rFonts w:cs="Arial"/>
        </w:rPr>
        <w:t>.</w:t>
      </w:r>
    </w:p>
    <w:p w14:paraId="5E8A3C4A" w14:textId="77777777"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452DF4" w14:textId="5529A12D" w:rsidR="00B27F2A" w:rsidRDefault="0079404E" w:rsidP="004D46E2">
      <w:pPr>
        <w:pStyle w:val="Heading4"/>
      </w:pPr>
      <w:r>
        <w:t>Step</w:t>
      </w:r>
      <w:r w:rsidR="00B27F2A">
        <w:t xml:space="preserve"> 2.1.4: </w:t>
      </w:r>
      <w:r w:rsidR="00792F17">
        <w:t>Estimate Bounding Value of the Severity Factor</w:t>
      </w:r>
    </w:p>
    <w:p w14:paraId="548DA2CC" w14:textId="7589CEFD"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34E973" w14:textId="7BD97FE8" w:rsidR="00326312" w:rsidRPr="004A391D" w:rsidRDefault="004A391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4A391D">
        <w:rPr>
          <w:rFonts w:cs="Arial"/>
        </w:rPr>
        <w:t xml:space="preserve"> No supplemental guidance is provided regarding this step</w:t>
      </w:r>
      <w:r>
        <w:rPr>
          <w:rFonts w:cs="Arial"/>
        </w:rPr>
        <w:t xml:space="preserve"> </w:t>
      </w:r>
      <w:r w:rsidR="00894524">
        <w:rPr>
          <w:rFonts w:cs="Arial"/>
        </w:rPr>
        <w:t>(SF is set to 1.0)</w:t>
      </w:r>
      <w:r w:rsidR="00AE7864" w:rsidRPr="00C70CAC">
        <w:rPr>
          <w:rFonts w:cs="Arial"/>
        </w:rPr>
        <w:t>.</w:t>
      </w:r>
    </w:p>
    <w:p w14:paraId="26AF5BBA" w14:textId="77777777"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90F92A" w14:textId="391920CD" w:rsidR="00792F17" w:rsidRDefault="0079404E" w:rsidP="004D46E2">
      <w:pPr>
        <w:pStyle w:val="Heading4"/>
      </w:pPr>
      <w:r>
        <w:t>Step</w:t>
      </w:r>
      <w:r w:rsidR="00792F17">
        <w:t xml:space="preserve"> 2.1.5: Estimate Bounding Value of the Non-Suppression Probability</w:t>
      </w:r>
    </w:p>
    <w:p w14:paraId="0FD8B766" w14:textId="05CB4489"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E7A800" w14:textId="76A2ACE6" w:rsidR="00326312" w:rsidRPr="004A391D" w:rsidRDefault="004A391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4A391D">
        <w:rPr>
          <w:rFonts w:cs="Arial"/>
        </w:rPr>
        <w:t xml:space="preserve"> No supplemental guidance is provided regarding this step</w:t>
      </w:r>
      <w:r>
        <w:rPr>
          <w:rFonts w:cs="Arial"/>
        </w:rPr>
        <w:t xml:space="preserve"> </w:t>
      </w:r>
      <w:r w:rsidR="00894524">
        <w:rPr>
          <w:rFonts w:cs="Arial"/>
        </w:rPr>
        <w:t>(NSP is set to 1.0)</w:t>
      </w:r>
      <w:r w:rsidR="00AE7864" w:rsidRPr="00C70CAC">
        <w:rPr>
          <w:rFonts w:cs="Arial"/>
        </w:rPr>
        <w:t>.</w:t>
      </w:r>
    </w:p>
    <w:p w14:paraId="5DBD7D7B" w14:textId="77777777"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B35F34" w14:textId="329CBC9E" w:rsidR="00792F17" w:rsidRDefault="0079404E" w:rsidP="004D46E2">
      <w:pPr>
        <w:pStyle w:val="Heading4"/>
      </w:pPr>
      <w:r w:rsidRPr="009C52BA">
        <w:t>Step</w:t>
      </w:r>
      <w:r w:rsidR="00792F17" w:rsidRPr="009C52BA">
        <w:t xml:space="preserve"> 2.1.6: Estimate Bounding Conditional Core Damage Probability</w:t>
      </w:r>
    </w:p>
    <w:p w14:paraId="67CDA5F5" w14:textId="451DC3A4"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5AA415" w14:textId="41FCB4F7" w:rsidR="001039B2" w:rsidRPr="00C70CAC" w:rsidRDefault="001039B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A key aspect of fire PRA analysis approaches is to estimate the conditional probability (or likelihood) that fire-induced damage to plant components/</w:t>
      </w:r>
      <w:r w:rsidR="00CB6DA3">
        <w:rPr>
          <w:rFonts w:cs="Arial"/>
        </w:rPr>
        <w:t xml:space="preserve">electrical </w:t>
      </w:r>
      <w:r w:rsidRPr="00C70CAC">
        <w:rPr>
          <w:rFonts w:cs="Arial"/>
        </w:rPr>
        <w:t>cables will lead to core damage</w:t>
      </w:r>
      <w:r w:rsidR="00CB6DA3">
        <w:rPr>
          <w:rFonts w:cs="Arial"/>
        </w:rPr>
        <w:t>, i.e., the “conditional core damage probability”</w:t>
      </w:r>
      <w:r w:rsidRPr="00C70CAC">
        <w:rPr>
          <w:rFonts w:cs="Arial"/>
        </w:rPr>
        <w:t xml:space="preserve"> (CCDP).  Said another way, the PRA estimates the probability that given fire-induced damage, post-fire </w:t>
      </w:r>
      <w:r w:rsidR="005E424B">
        <w:rPr>
          <w:rFonts w:cs="Arial"/>
        </w:rPr>
        <w:t>SSD</w:t>
      </w:r>
      <w:r w:rsidRPr="00C70CAC">
        <w:rPr>
          <w:rFonts w:cs="Arial"/>
        </w:rPr>
        <w:t xml:space="preserve"> efforts will fail to achieve safe and stable hot shutdown conditions.</w:t>
      </w:r>
    </w:p>
    <w:p w14:paraId="0A55707B" w14:textId="77777777"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AC8D0AA" w14:textId="423A5873"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assessment of CCDP is done at two levels: Step 2.1</w:t>
      </w:r>
      <w:r w:rsidR="00B33600">
        <w:rPr>
          <w:rFonts w:cs="Arial"/>
        </w:rPr>
        <w:t>.6</w:t>
      </w:r>
      <w:r w:rsidRPr="00C70CAC">
        <w:rPr>
          <w:rFonts w:cs="Arial"/>
        </w:rPr>
        <w:t xml:space="preserve"> represents the first level of analysis; Step </w:t>
      </w:r>
      <w:r w:rsidR="00B33600">
        <w:rPr>
          <w:rFonts w:cs="Arial"/>
        </w:rPr>
        <w:t>2.5</w:t>
      </w:r>
      <w:r w:rsidRPr="00C70CAC">
        <w:rPr>
          <w:rFonts w:cs="Arial"/>
        </w:rPr>
        <w:t xml:space="preserve"> represents the second level of analysis.  In the first level of analysis, only the designated post-fire SSD path is credited.  In the second level of analysis, all available means for achieving SSD are credited.</w:t>
      </w:r>
    </w:p>
    <w:p w14:paraId="54F9C327" w14:textId="77777777"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CC08E41" w14:textId="5FD5BF6B"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Step 2.1</w:t>
      </w:r>
      <w:r w:rsidR="00B33600">
        <w:rPr>
          <w:rFonts w:cs="Arial"/>
        </w:rPr>
        <w:t>.6</w:t>
      </w:r>
      <w:r w:rsidRPr="00C70CAC">
        <w:rPr>
          <w:rFonts w:cs="Arial"/>
        </w:rPr>
        <w:t xml:space="preserve"> involves the identification and assessment of the post-fire SSD path for the fire areas examined during an inspection.  If the SSD path is independent of any FDS scenarios that might be developed as a part of the finding assessment, then it will be credited at a nominal level </w:t>
      </w:r>
      <w:r w:rsidR="00B33600">
        <w:rPr>
          <w:rFonts w:cs="Arial"/>
        </w:rPr>
        <w:t>until</w:t>
      </w:r>
      <w:r w:rsidR="00B33600" w:rsidRPr="00C70CAC">
        <w:rPr>
          <w:rFonts w:cs="Arial"/>
        </w:rPr>
        <w:t xml:space="preserve"> </w:t>
      </w:r>
      <w:r w:rsidRPr="00C70CAC">
        <w:rPr>
          <w:rFonts w:cs="Arial"/>
        </w:rPr>
        <w:t xml:space="preserve">Step </w:t>
      </w:r>
      <w:r w:rsidR="00B33600">
        <w:rPr>
          <w:rFonts w:cs="Arial"/>
        </w:rPr>
        <w:t>2.5</w:t>
      </w:r>
      <w:r w:rsidRPr="00C70CAC">
        <w:rPr>
          <w:rFonts w:cs="Arial"/>
        </w:rPr>
        <w:t xml:space="preserve"> </w:t>
      </w:r>
      <w:r w:rsidR="00B33600">
        <w:rPr>
          <w:rFonts w:cs="Arial"/>
        </w:rPr>
        <w:t>is performed</w:t>
      </w:r>
      <w:r w:rsidRPr="00C70CAC">
        <w:rPr>
          <w:rFonts w:cs="Arial"/>
        </w:rPr>
        <w:t xml:space="preserve">.  If the SSD path might be damaged given at least one possible FDS fire scenarios that could be developed in subsequent steps, then credit for the SSD path will be deferred until Step 2.5 when specific fire damage scenarios have been defined.  Credit for the SSD path is re-considered on a </w:t>
      </w:r>
      <w:r w:rsidR="00790031" w:rsidRPr="00C70CAC">
        <w:rPr>
          <w:rFonts w:cs="Arial"/>
        </w:rPr>
        <w:t>scenario</w:t>
      </w:r>
      <w:r w:rsidR="00790031">
        <w:rPr>
          <w:rFonts w:cs="Arial"/>
        </w:rPr>
        <w:t>-</w:t>
      </w:r>
      <w:r w:rsidRPr="00C70CAC">
        <w:rPr>
          <w:rFonts w:cs="Arial"/>
        </w:rPr>
        <w:t>specific basis in Step 2.5.</w:t>
      </w:r>
    </w:p>
    <w:p w14:paraId="521E1A58" w14:textId="77777777"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7E58DCA" w14:textId="261D44F6"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post-fire SSD path is documented in the licensee</w:t>
      </w:r>
      <w:r>
        <w:rPr>
          <w:rFonts w:cs="Arial"/>
        </w:rPr>
        <w:t>’</w:t>
      </w:r>
      <w:r w:rsidRPr="00C70CAC">
        <w:rPr>
          <w:rFonts w:cs="Arial"/>
        </w:rPr>
        <w:t xml:space="preserve">s fire protection program for each fire area in the plant.  </w:t>
      </w:r>
      <w:r w:rsidR="00251F58">
        <w:rPr>
          <w:rFonts w:cs="Arial"/>
        </w:rPr>
        <w:t>Step 2.1.6</w:t>
      </w:r>
      <w:r w:rsidRPr="00C70CAC">
        <w:rPr>
          <w:rFonts w:cs="Arial"/>
        </w:rPr>
        <w:t xml:space="preserve"> can be completed based entirely on plant documentation. </w:t>
      </w:r>
    </w:p>
    <w:p w14:paraId="6C7D66D5" w14:textId="77777777"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1DEDB2A" w14:textId="425B2168"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Once the areas to be examined during the inspection have been identified, the following licensee documents should be requested and reviewed to support this </w:t>
      </w:r>
      <w:r w:rsidR="00251F58">
        <w:rPr>
          <w:rFonts w:cs="Arial"/>
        </w:rPr>
        <w:t>step</w:t>
      </w:r>
      <w:r w:rsidR="00251F58" w:rsidRPr="00C70CAC">
        <w:rPr>
          <w:rFonts w:cs="Arial"/>
        </w:rPr>
        <w:t xml:space="preserve"> </w:t>
      </w:r>
      <w:r w:rsidRPr="00C70CAC">
        <w:rPr>
          <w:rFonts w:cs="Arial"/>
        </w:rPr>
        <w:t>including:</w:t>
      </w:r>
    </w:p>
    <w:p w14:paraId="7D8A8F61" w14:textId="77777777" w:rsidR="001039B2" w:rsidRPr="00C044D1" w:rsidRDefault="001039B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6FBEA1" w14:textId="59CFFC86" w:rsidR="00863585" w:rsidRDefault="001039B2" w:rsidP="0035366F">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B33600">
        <w:rPr>
          <w:rFonts w:cs="Arial"/>
        </w:rPr>
        <w:t xml:space="preserve">The licensee’s fire hazards analysis for the fire areas </w:t>
      </w:r>
      <w:r w:rsidR="00DC5EED">
        <w:rPr>
          <w:rFonts w:cs="Arial"/>
        </w:rPr>
        <w:t>being</w:t>
      </w:r>
      <w:r w:rsidRPr="00B33600">
        <w:rPr>
          <w:rFonts w:cs="Arial"/>
        </w:rPr>
        <w:t xml:space="preserve"> evaluated.</w:t>
      </w:r>
    </w:p>
    <w:p w14:paraId="7493D7DC" w14:textId="1B177C05" w:rsidR="00863585" w:rsidRDefault="001039B2" w:rsidP="0035366F">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863585">
        <w:rPr>
          <w:rFonts w:cs="Arial"/>
        </w:rPr>
        <w:t xml:space="preserve">The post-fire </w:t>
      </w:r>
      <w:r w:rsidR="005E424B">
        <w:rPr>
          <w:rFonts w:cs="Arial"/>
        </w:rPr>
        <w:t>SSD</w:t>
      </w:r>
      <w:r w:rsidRPr="00863585">
        <w:rPr>
          <w:rFonts w:cs="Arial"/>
        </w:rPr>
        <w:t xml:space="preserve"> analysis for the fire areas </w:t>
      </w:r>
      <w:r w:rsidR="00DC5EED">
        <w:rPr>
          <w:rFonts w:cs="Arial"/>
        </w:rPr>
        <w:t>being</w:t>
      </w:r>
      <w:r w:rsidRPr="00863585">
        <w:rPr>
          <w:rFonts w:cs="Arial"/>
        </w:rPr>
        <w:t xml:space="preserve"> evaluated.</w:t>
      </w:r>
    </w:p>
    <w:p w14:paraId="663CA2EF" w14:textId="61938431" w:rsidR="00863585" w:rsidRDefault="001039B2" w:rsidP="0035366F">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863585">
        <w:rPr>
          <w:rFonts w:cs="Arial"/>
        </w:rPr>
        <w:t>The licensee’s lists of required and associated circuits.</w:t>
      </w:r>
    </w:p>
    <w:p w14:paraId="0FABE5A3" w14:textId="6EFD8F66" w:rsidR="00863585" w:rsidRDefault="001039B2" w:rsidP="0035366F">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863585">
        <w:rPr>
          <w:rFonts w:cs="Arial"/>
        </w:rPr>
        <w:t xml:space="preserve">Post-fire operating procedures applicable to the fire areas </w:t>
      </w:r>
      <w:r w:rsidR="00DC5EED">
        <w:rPr>
          <w:rFonts w:cs="Arial"/>
        </w:rPr>
        <w:t>being</w:t>
      </w:r>
      <w:r w:rsidRPr="00863585">
        <w:rPr>
          <w:rFonts w:cs="Arial"/>
        </w:rPr>
        <w:t xml:space="preserve"> assesse</w:t>
      </w:r>
      <w:r w:rsidR="00863585">
        <w:rPr>
          <w:rFonts w:cs="Arial"/>
        </w:rPr>
        <w:t>d.</w:t>
      </w:r>
    </w:p>
    <w:p w14:paraId="07FB02E1" w14:textId="1073361E" w:rsidR="001039B2" w:rsidRPr="00863585" w:rsidRDefault="001039B2" w:rsidP="0035366F">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863585">
        <w:rPr>
          <w:rFonts w:cs="Arial"/>
        </w:rPr>
        <w:t xml:space="preserve">Documentation for any NRC approved deviations or exemptions relevant to the fire areas </w:t>
      </w:r>
      <w:r w:rsidR="00DC5EED">
        <w:rPr>
          <w:rFonts w:cs="Arial"/>
        </w:rPr>
        <w:t>being</w:t>
      </w:r>
      <w:r w:rsidRPr="00863585">
        <w:rPr>
          <w:rFonts w:cs="Arial"/>
        </w:rPr>
        <w:t xml:space="preserve"> assessed.</w:t>
      </w:r>
    </w:p>
    <w:p w14:paraId="061DE0A0" w14:textId="5333EDD5" w:rsidR="001039B2" w:rsidRDefault="001039B2" w:rsidP="009C52BA"/>
    <w:p w14:paraId="0A37F7D9" w14:textId="09726852" w:rsidR="001039B2" w:rsidRPr="009C52BA" w:rsidRDefault="001039B2" w:rsidP="009C52BA">
      <w:pPr>
        <w:rPr>
          <w:u w:val="single"/>
        </w:rPr>
      </w:pPr>
      <w:r w:rsidRPr="009C52BA">
        <w:rPr>
          <w:u w:val="single"/>
        </w:rPr>
        <w:t>Identify the Designated Post-Fire SSD Path</w:t>
      </w:r>
    </w:p>
    <w:p w14:paraId="359AF943" w14:textId="77777777" w:rsidR="001039B2" w:rsidRDefault="001039B2" w:rsidP="009C52BA"/>
    <w:p w14:paraId="35EE749D" w14:textId="67FD71DF"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Fire protection regulations require that licensees identify, analyze, and protect a designated post-fire </w:t>
      </w:r>
      <w:r w:rsidR="005E424B">
        <w:rPr>
          <w:rFonts w:cs="Arial"/>
        </w:rPr>
        <w:t>SSD</w:t>
      </w:r>
      <w:r w:rsidRPr="00C70CAC">
        <w:rPr>
          <w:rFonts w:cs="Arial"/>
        </w:rPr>
        <w:t xml:space="preserve"> path that will remain free of fire damage given a fire impacting any single fire area in the plant.  In </w:t>
      </w:r>
      <w:r w:rsidR="00251F58">
        <w:rPr>
          <w:rFonts w:cs="Arial"/>
        </w:rPr>
        <w:t>Step 2.1.6</w:t>
      </w:r>
      <w:r w:rsidRPr="00C70CAC">
        <w:rPr>
          <w:rFonts w:cs="Arial"/>
        </w:rPr>
        <w:t xml:space="preserve">, the analyst is </w:t>
      </w:r>
      <w:r w:rsidR="00251F58">
        <w:rPr>
          <w:rFonts w:cs="Arial"/>
        </w:rPr>
        <w:t xml:space="preserve">first </w:t>
      </w:r>
      <w:r w:rsidRPr="00C70CAC">
        <w:rPr>
          <w:rFonts w:cs="Arial"/>
        </w:rPr>
        <w:t xml:space="preserve">asked to identify this designated SSD path.  </w:t>
      </w:r>
      <w:r w:rsidR="00251F58">
        <w:rPr>
          <w:rFonts w:cs="Arial"/>
        </w:rPr>
        <w:t>This part of the step</w:t>
      </w:r>
      <w:r w:rsidRPr="00C70CAC">
        <w:rPr>
          <w:rFonts w:cs="Arial"/>
        </w:rPr>
        <w:t xml:space="preserve"> also involves gathering basic information to characterize this SSD path.</w:t>
      </w:r>
    </w:p>
    <w:p w14:paraId="17FC84F4" w14:textId="77777777"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D8536EB" w14:textId="238921B3"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SSD path should be documented in the </w:t>
      </w:r>
      <w:r w:rsidR="005F3F92" w:rsidRPr="00C70CAC">
        <w:rPr>
          <w:rFonts w:cs="Arial"/>
        </w:rPr>
        <w:t>licensee’s</w:t>
      </w:r>
      <w:r w:rsidRPr="00C70CAC">
        <w:rPr>
          <w:rFonts w:cs="Arial"/>
        </w:rPr>
        <w:t xml:space="preserve"> post-fire SSD analysis.  The designated post-fire SSD path may vary by plant location, and should be identified for each fire area to be inspected.</w:t>
      </w:r>
    </w:p>
    <w:p w14:paraId="0A98AAA5" w14:textId="77777777"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DD7242E" w14:textId="01066D6E"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As a part of the SSD path identification effort, the corresponding Appendix R Section III.G.2 compliance strategy should also be determined</w:t>
      </w:r>
      <w:r w:rsidR="00251F58">
        <w:rPr>
          <w:rFonts w:cs="Arial"/>
        </w:rPr>
        <w:t xml:space="preserve"> for plants that did not transition to NFPA 805</w:t>
      </w:r>
      <w:r w:rsidRPr="00C70CAC">
        <w:rPr>
          <w:rFonts w:cs="Arial"/>
        </w:rPr>
        <w:t xml:space="preserve">.  Section III.G.2 requires the separation and protection of the SSD </w:t>
      </w:r>
      <w:r w:rsidR="00790031">
        <w:rPr>
          <w:rFonts w:cs="Arial"/>
        </w:rPr>
        <w:t>pathways</w:t>
      </w:r>
      <w:r w:rsidRPr="00C70CAC">
        <w:rPr>
          <w:rFonts w:cs="Arial"/>
        </w:rPr>
        <w:t xml:space="preserve">.  If an exemption or exception to III.G.2 has been granted by the NRC for the fire area of interest, the exemption should also be carefully reviewed so that the separation </w:t>
      </w:r>
      <w:r w:rsidR="00790031">
        <w:rPr>
          <w:rFonts w:cs="Arial"/>
        </w:rPr>
        <w:t xml:space="preserve">or protection </w:t>
      </w:r>
      <w:r w:rsidRPr="00C70CAC">
        <w:rPr>
          <w:rFonts w:cs="Arial"/>
        </w:rPr>
        <w:t>strategy is clearly understood prior to entry into the fire area.</w:t>
      </w:r>
    </w:p>
    <w:p w14:paraId="6193C0F1" w14:textId="77777777"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C5DBB48" w14:textId="6EA0BA46"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analyst should also obtain and review the corresponding procedures for execution of post-fire SSD.  Particular note should be taken of any credited human </w:t>
      </w:r>
      <w:r w:rsidR="005C7FE4" w:rsidRPr="00DC5993">
        <w:rPr>
          <w:rFonts w:cs="Arial"/>
        </w:rPr>
        <w:t>actions, which</w:t>
      </w:r>
      <w:r w:rsidR="00FA0A7D" w:rsidRPr="00DC5993">
        <w:rPr>
          <w:rFonts w:cs="Arial"/>
        </w:rPr>
        <w:t>, if important to the evaluation, are addressed in Phase 3</w:t>
      </w:r>
      <w:r w:rsidRPr="00C70CAC">
        <w:rPr>
          <w:rFonts w:cs="Arial"/>
        </w:rPr>
        <w:t>.  The location where these actions take place is important to the</w:t>
      </w:r>
      <w:r w:rsidR="000C2EFF">
        <w:rPr>
          <w:rFonts w:cs="Arial"/>
        </w:rPr>
        <w:t xml:space="preserve"> assessment of the independence of the identified SSD path</w:t>
      </w:r>
      <w:r w:rsidRPr="00C70CAC">
        <w:rPr>
          <w:rFonts w:cs="Arial"/>
        </w:rPr>
        <w:t>, especially if the process includes any human actions that require entry into, or passage through, the fire area under analysis.</w:t>
      </w:r>
    </w:p>
    <w:p w14:paraId="32E6C247" w14:textId="77777777" w:rsidR="001039B2" w:rsidRPr="00C70CAC" w:rsidRDefault="001039B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CF8358C" w14:textId="59B7E0DA" w:rsidR="001039B2" w:rsidRDefault="001039B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Finally, the functions and systems that are required to support the SSD path should be identified.  The analyst should also review the corresponding circuit analysis results for the designated SSD path.  This review may include an assessment of the completeness of the SSD required and associated circuit component lists.  Again, this step may be completed prior to entry onto the plant site for the inspection.  Note that findings against the Post-Fire SSD program may arise from these reviews.</w:t>
      </w:r>
    </w:p>
    <w:p w14:paraId="4EEA33B6" w14:textId="77777777" w:rsidR="001039B2" w:rsidRDefault="001039B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CF2221" w14:textId="1740F8A7" w:rsidR="00226592" w:rsidRPr="00226592" w:rsidRDefault="00226592"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t>Assess the Unavailability of the Identified SSD Path</w:t>
      </w:r>
    </w:p>
    <w:p w14:paraId="42FE3FEC" w14:textId="2E364148" w:rsidR="001039B2" w:rsidRDefault="001039B2"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733C32" w14:textId="27D26492" w:rsidR="00226592" w:rsidRDefault="00226592"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 xml:space="preserve">In </w:t>
      </w:r>
      <w:r w:rsidR="00251F58">
        <w:rPr>
          <w:rFonts w:cs="Arial"/>
        </w:rPr>
        <w:t>the second part of Step 2.1.6</w:t>
      </w:r>
      <w:r w:rsidRPr="00C70CAC">
        <w:rPr>
          <w:rFonts w:cs="Arial"/>
        </w:rPr>
        <w:t xml:space="preserve">, a total unavailability factor is assigned to the post-fire SSD path.  The value used is either 1.0 (no credit - assigned when the SSD path fails to meet the independence criteria), 0.1, or 0.01.  The unavailability factors are based on the characteristics of the SSD path.  The assessment criteria are described in </w:t>
      </w:r>
      <w:r w:rsidR="00251F58">
        <w:rPr>
          <w:rFonts w:cs="Arial"/>
        </w:rPr>
        <w:t>Table 2.1.4</w:t>
      </w:r>
      <w:r w:rsidRPr="00C70CAC">
        <w:rPr>
          <w:rFonts w:cs="Arial"/>
        </w:rPr>
        <w:t xml:space="preserve"> in Appendix F.  In </w:t>
      </w:r>
      <w:r w:rsidR="005F3F92" w:rsidRPr="00C70CAC">
        <w:rPr>
          <w:rFonts w:cs="Arial"/>
        </w:rPr>
        <w:t>general,</w:t>
      </w:r>
      <w:r w:rsidRPr="00C70CAC">
        <w:rPr>
          <w:rFonts w:cs="Arial"/>
        </w:rPr>
        <w:t xml:space="preserve"> terms, the unavailability factor is based on the failure probability for the weakest link in the SSD path.</w:t>
      </w:r>
    </w:p>
    <w:p w14:paraId="11C25443" w14:textId="15BD4519"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1097CB" w14:textId="16839721" w:rsidR="00226592" w:rsidRP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226592">
        <w:rPr>
          <w:u w:val="single"/>
        </w:rPr>
        <w:t>Assess the Independence of the Identified SSD Path</w:t>
      </w:r>
    </w:p>
    <w:p w14:paraId="51499AEA" w14:textId="24F42A4E"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E19419" w14:textId="0BB204CB"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intent of </w:t>
      </w:r>
      <w:r w:rsidR="00251F58">
        <w:t>the third part of Step 2.1.6</w:t>
      </w:r>
      <w:r>
        <w:t xml:space="preserve"> is to determine if the designated SSD path is independent of all fire damage scenarios that might be developed in later steps of the analysis.  If the SSD path might be damaged in one or more fire scenarios, then crediting the SSD path at this early stage of analysis could lead to false-negative findings.</w:t>
      </w:r>
    </w:p>
    <w:p w14:paraId="1CFB68E9" w14:textId="77777777"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07C163" w14:textId="4EBE7F9D"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It is, in fact, likely that the SSD path could be credited in some fire scenarios, even if it cannot be credited in all possible scenarios.  However, at this stage of analysis, specific fire damage scenarios have not been defined.  This does not take place until Step 2.4 has been completed</w:t>
      </w:r>
      <w:r w:rsidR="00251F58">
        <w:t>.</w:t>
      </w:r>
      <w:r>
        <w:t xml:space="preserve">  Hence, a conservative assessment of SSD path independence is necessary.  Credit for the SSD path is reassessed in Step 2.5 once the specific fire damage scenarios have been defined.</w:t>
      </w:r>
    </w:p>
    <w:p w14:paraId="6ACEA2B9" w14:textId="77777777"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582868" w14:textId="52C019E3" w:rsidR="00792F17" w:rsidRDefault="0079404E" w:rsidP="004D46E2">
      <w:pPr>
        <w:pStyle w:val="Heading4"/>
      </w:pPr>
      <w:r>
        <w:t>Step</w:t>
      </w:r>
      <w:r w:rsidR="00792F17">
        <w:t xml:space="preserve"> 2.1.7: Effect of Finding Category</w:t>
      </w:r>
    </w:p>
    <w:p w14:paraId="50D19371" w14:textId="77705CCD"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496270" w14:textId="77777777" w:rsidR="004A391D" w:rsidRPr="004A391D" w:rsidRDefault="004A391D" w:rsidP="004A39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4A391D">
        <w:rPr>
          <w:rFonts w:cs="Arial"/>
        </w:rPr>
        <w:t>No supplemental guidance is provided regarding this step.</w:t>
      </w:r>
    </w:p>
    <w:p w14:paraId="3238B447" w14:textId="77777777" w:rsidR="00326312" w:rsidRDefault="0032631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C9E211" w14:textId="30B9990C" w:rsidR="00326312" w:rsidRDefault="0079404E" w:rsidP="004D46E2">
      <w:pPr>
        <w:pStyle w:val="Heading4"/>
      </w:pPr>
      <w:r>
        <w:t>Step</w:t>
      </w:r>
      <w:r w:rsidR="00792F17">
        <w:t xml:space="preserve"> 2.1.8: Estimate Bounding Value of </w:t>
      </w:r>
      <w:r w:rsidR="00792F17">
        <w:sym w:font="Symbol" w:char="F044"/>
      </w:r>
      <w:r w:rsidR="00792F17">
        <w:t>CDF</w:t>
      </w:r>
    </w:p>
    <w:p w14:paraId="5B0219AB" w14:textId="77777777" w:rsidR="009C52BA" w:rsidRDefault="009C52BA"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9B7E2E9" w14:textId="77777777" w:rsidR="004A391D" w:rsidRPr="004A391D" w:rsidRDefault="004A391D" w:rsidP="004A39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4A391D">
        <w:rPr>
          <w:rFonts w:cs="Arial"/>
        </w:rPr>
        <w:t>No supplemental guidance is provided regarding this step.</w:t>
      </w:r>
    </w:p>
    <w:p w14:paraId="4A5DB741" w14:textId="77777777"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00DBE9" w14:textId="673F4633" w:rsidR="00B27F2A" w:rsidRDefault="00B27F2A" w:rsidP="004D46E2">
      <w:pPr>
        <w:pStyle w:val="Heading3"/>
      </w:pPr>
      <w:bookmarkStart w:id="69" w:name="_Toc481265384"/>
      <w:bookmarkStart w:id="70" w:name="_Toc511060864"/>
      <w:r>
        <w:t xml:space="preserve">Step 2.2: </w:t>
      </w:r>
      <w:r w:rsidR="007358B2" w:rsidRPr="007358B2">
        <w:t>Identifying Credible Fire Scenarios and Information Gathering</w:t>
      </w:r>
      <w:bookmarkEnd w:id="69"/>
      <w:bookmarkEnd w:id="70"/>
    </w:p>
    <w:p w14:paraId="0D40CB44"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012D33" w14:textId="2A521502" w:rsidR="00B27F2A" w:rsidRDefault="0079404E" w:rsidP="004D46E2">
      <w:pPr>
        <w:pStyle w:val="Heading4"/>
      </w:pPr>
      <w:r>
        <w:t>Step</w:t>
      </w:r>
      <w:r w:rsidR="00B27F2A">
        <w:t xml:space="preserve"> 2.2.1: Initial FDS Assignment</w:t>
      </w:r>
    </w:p>
    <w:p w14:paraId="71E3C6E8"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8CF601" w14:textId="5D9E3380" w:rsidR="00226592" w:rsidRPr="00C70CAC"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initial assignment of FDS scenarios is intended to focus the analysis on those fire scenarios that may change as a result of a finding.</w:t>
      </w:r>
    </w:p>
    <w:p w14:paraId="52C66B64" w14:textId="77777777" w:rsidR="00226592" w:rsidRPr="00C70CAC" w:rsidRDefault="0022659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112ABE1" w14:textId="215183DE" w:rsidR="00226592" w:rsidRPr="00C70CAC" w:rsidRDefault="00226592" w:rsidP="003458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rPr>
      </w:pPr>
      <w:r w:rsidRPr="00C70CAC">
        <w:rPr>
          <w:rFonts w:cs="Arial"/>
        </w:rPr>
        <w:t xml:space="preserve">Example: If the finding is a degraded fire barrier element separating two fire areas (category: fire confinement) then only fire scenarios leading to the spread of fire between these </w:t>
      </w:r>
      <w:r w:rsidR="005F3F92" w:rsidRPr="00C70CAC">
        <w:rPr>
          <w:rFonts w:cs="Arial"/>
        </w:rPr>
        <w:t>two</w:t>
      </w:r>
      <w:r w:rsidRPr="00C70CAC">
        <w:rPr>
          <w:rFonts w:cs="Arial"/>
        </w:rPr>
        <w:t xml:space="preserve"> fire areas are relevant to the risk </w:t>
      </w:r>
      <w:r w:rsidR="0021449A">
        <w:rPr>
          <w:rFonts w:cs="Arial"/>
        </w:rPr>
        <w:t>increase</w:t>
      </w:r>
      <w:r w:rsidR="0021449A" w:rsidRPr="00C70CAC">
        <w:rPr>
          <w:rFonts w:cs="Arial"/>
        </w:rPr>
        <w:t xml:space="preserve"> </w:t>
      </w:r>
      <w:r w:rsidRPr="00C70CAC">
        <w:rPr>
          <w:rFonts w:cs="Arial"/>
        </w:rPr>
        <w:t>calculation.  Any fire scenario that impacts only one fire area or the other will not change as a result of the observed fire barrier degradation.</w:t>
      </w:r>
    </w:p>
    <w:p w14:paraId="64589454" w14:textId="77777777" w:rsidR="00226592" w:rsidRPr="00C70CAC" w:rsidRDefault="00226592"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8213598" w14:textId="353F4032"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The initial FDS assignment is broadly inclusive of potential fire scenarios.</w:t>
      </w:r>
    </w:p>
    <w:p w14:paraId="7866E05F" w14:textId="77777777" w:rsidR="00226592" w:rsidRDefault="0022659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D6AF1" w14:textId="4F3CA620" w:rsidR="00453A51" w:rsidRDefault="0079404E" w:rsidP="004D46E2">
      <w:pPr>
        <w:pStyle w:val="Heading4"/>
      </w:pPr>
      <w:r>
        <w:t>Step</w:t>
      </w:r>
      <w:r w:rsidR="00B27F2A">
        <w:t xml:space="preserve"> 2.2.2: </w:t>
      </w:r>
      <w:r w:rsidR="007358B2" w:rsidRPr="007358B2">
        <w:t>Information Gathering</w:t>
      </w:r>
      <w:r w:rsidR="0021449A">
        <w:t xml:space="preserve"> for </w:t>
      </w:r>
      <w:r w:rsidR="00AE0E51">
        <w:t xml:space="preserve">the </w:t>
      </w:r>
      <w:r w:rsidR="0021449A">
        <w:t>Analysis of Credible Fire Scenarios</w:t>
      </w:r>
    </w:p>
    <w:p w14:paraId="68F046FE" w14:textId="77777777" w:rsidR="00453A51" w:rsidRDefault="00453A51" w:rsidP="008445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2913FC" w14:textId="28AE6287" w:rsidR="00C55C37" w:rsidRDefault="00C55C37" w:rsidP="008445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5C37">
        <w:t xml:space="preserve">Supplemental guidance supporting </w:t>
      </w:r>
      <w:r w:rsidR="00433468">
        <w:t>Step 2.2.2</w:t>
      </w:r>
      <w:r w:rsidRPr="00C55C37">
        <w:t xml:space="preserve"> </w:t>
      </w:r>
      <w:r w:rsidR="004A391D">
        <w:t>is</w:t>
      </w:r>
      <w:r w:rsidRPr="00C55C37">
        <w:t xml:space="preserve"> included as Attachment 3 to Appendix F</w:t>
      </w:r>
      <w:r w:rsidR="0064392A">
        <w:t>.</w:t>
      </w:r>
    </w:p>
    <w:p w14:paraId="0694A42F" w14:textId="77777777" w:rsidR="00C55C37" w:rsidRDefault="00C55C37" w:rsidP="008445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44B8FA" w14:textId="64BE0898" w:rsidR="00BA689B" w:rsidRPr="00C70CAC" w:rsidRDefault="00BA689B" w:rsidP="008445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identification and counting of fire ignition sources is intended to include only those fire scenarios relevant to the calculation of risk </w:t>
      </w:r>
      <w:r w:rsidR="0021449A">
        <w:rPr>
          <w:rFonts w:cs="Arial"/>
        </w:rPr>
        <w:t>increase</w:t>
      </w:r>
      <w:r w:rsidRPr="00C70CAC">
        <w:rPr>
          <w:rFonts w:cs="Arial"/>
        </w:rPr>
        <w:t>.  That is, if the risk contribution for a fire scenario is the same with or without the observed degradation, then the corresponding fire ignition source should not be counted in this step.  Several specific cases where the scope of the fire ignition source counting exercise is sharply limited are discussed in Appendix F.  Below are additional illustrative examples:</w:t>
      </w:r>
    </w:p>
    <w:p w14:paraId="307929A2" w14:textId="77777777" w:rsidR="00BA689B" w:rsidRDefault="00BA689B" w:rsidP="00844511">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333F0B63" w14:textId="695C896E" w:rsidR="00BA689B" w:rsidRPr="00C70CAC" w:rsidRDefault="00BA689B" w:rsidP="0035366F">
      <w:pPr>
        <w:pStyle w:val="Level2"/>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r w:rsidRPr="00C70CAC">
        <w:rPr>
          <w:rFonts w:cs="Arial"/>
        </w:rPr>
        <w:t xml:space="preserve">Example 1: The finding being evaluated is a partial-coverage sprinkler system installed where a full coverage system is required.  As installed, the system provides adequate fire protection for those fire sources within the coverage zone, but not all of the fire sources in the fire area are within this coverage zone.  Extending the coverage zone to the full fire area would not alter the risk contribution for fire sources already provided with adequate fire protection (i.e., those fire ignition sources within the existing coverage zone).  Hence, the SDP Phase 2 analysis of risk </w:t>
      </w:r>
      <w:r w:rsidR="0021449A">
        <w:rPr>
          <w:rFonts w:cs="Arial"/>
        </w:rPr>
        <w:t>increase</w:t>
      </w:r>
      <w:r w:rsidR="0021449A" w:rsidRPr="00C70CAC">
        <w:rPr>
          <w:rFonts w:cs="Arial"/>
        </w:rPr>
        <w:t xml:space="preserve"> </w:t>
      </w:r>
      <w:r w:rsidRPr="00C70CAC">
        <w:rPr>
          <w:rFonts w:cs="Arial"/>
        </w:rPr>
        <w:t>should focus only on those fire sources outside the system</w:t>
      </w:r>
      <w:r>
        <w:rPr>
          <w:rFonts w:cs="Arial"/>
        </w:rPr>
        <w:t>’</w:t>
      </w:r>
      <w:r w:rsidRPr="00C70CAC">
        <w:rPr>
          <w:rFonts w:cs="Arial"/>
        </w:rPr>
        <w:t>s coverage zone.</w:t>
      </w:r>
    </w:p>
    <w:p w14:paraId="0A7A218A" w14:textId="77777777" w:rsidR="00BA689B" w:rsidRPr="00C70CAC" w:rsidRDefault="00BA689B" w:rsidP="0035366F">
      <w:pPr>
        <w:pStyle w:val="Level2"/>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r w:rsidRPr="00C70CAC">
        <w:rPr>
          <w:rFonts w:cs="Arial"/>
        </w:rPr>
        <w:t>Example 2: The finding being evaluated involves a violation of the combustible controls program.  In this case, only transient fuel fires are relevant, and fixed fire ignition sources need not be evaluated.  (A transient fire may still spread to fixed combustibles, but the only fire ignition source that needs to be considered is a transient fire.)</w:t>
      </w:r>
    </w:p>
    <w:p w14:paraId="70721B3E" w14:textId="357B4A10" w:rsidR="00BA689B" w:rsidRPr="00C70CAC" w:rsidRDefault="00BA689B" w:rsidP="0035366F">
      <w:pPr>
        <w:pStyle w:val="Level2"/>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r w:rsidRPr="00C70CAC">
        <w:rPr>
          <w:rFonts w:cs="Arial"/>
        </w:rPr>
        <w:t xml:space="preserve">Example 3:   The finding being evaluated involves a degraded raceway fire barrier - a small un-patched hole was left in the barrier after maintenance work.  In this case, the SDP Phase 2 analysis only needs to consider those fire ignition sources that have the potential to threaten the cables within the degraded fire barrier.  Because the hole is highly localized, a fire that might threaten the protected cables would generally need to be directly below the point of degradation.  In this case, the Phase 2 analysis would focus primarily on growth and damage scenarios involving those fire ignition sources located directly below the point of degradation.  A bounding assessment of the potential hot gas layer </w:t>
      </w:r>
      <w:r w:rsidR="00944342">
        <w:rPr>
          <w:rFonts w:cs="Arial"/>
        </w:rPr>
        <w:t xml:space="preserve">(HGL) </w:t>
      </w:r>
      <w:r w:rsidRPr="00C70CAC">
        <w:rPr>
          <w:rFonts w:cs="Arial"/>
        </w:rPr>
        <w:t>effects for other fire ignition sources in the fire area would also be needed.</w:t>
      </w:r>
    </w:p>
    <w:p w14:paraId="61EE1F79" w14:textId="4FF246AE" w:rsidR="00BA689B" w:rsidRDefault="00BA689B" w:rsidP="008445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78471B" w14:textId="34C7CE63" w:rsidR="00B27F2A" w:rsidRDefault="00B27F2A" w:rsidP="004D46E2">
      <w:pPr>
        <w:pStyle w:val="Heading3"/>
      </w:pPr>
      <w:bookmarkStart w:id="71" w:name="_Toc481265385"/>
      <w:bookmarkStart w:id="72" w:name="_Toc511060865"/>
      <w:r>
        <w:t xml:space="preserve">Step 2.3: </w:t>
      </w:r>
      <w:r w:rsidR="007358B2" w:rsidRPr="007358B2">
        <w:t>Ignition Source Screening and Fire Scenario Refinement</w:t>
      </w:r>
      <w:bookmarkEnd w:id="71"/>
      <w:bookmarkEnd w:id="72"/>
    </w:p>
    <w:p w14:paraId="7FD4683B"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4CA569" w14:textId="52B3CDA2" w:rsidR="00B27F2A" w:rsidRDefault="0079404E" w:rsidP="004D46E2">
      <w:pPr>
        <w:pStyle w:val="Heading4"/>
      </w:pPr>
      <w:r>
        <w:t>Step</w:t>
      </w:r>
      <w:r w:rsidR="00B27F2A">
        <w:t xml:space="preserve"> 2.3.1: </w:t>
      </w:r>
      <w:r w:rsidR="007358B2" w:rsidRPr="007358B2">
        <w:t>Characterize Fire Ignition Sources</w:t>
      </w:r>
    </w:p>
    <w:p w14:paraId="2338AFCC"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EAF07D" w14:textId="5DD6D660" w:rsidR="00BA689B"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Characterization of a fire ignition source means that the initial </w:t>
      </w:r>
      <w:r w:rsidR="00BA66AE">
        <w:rPr>
          <w:rFonts w:cs="Arial"/>
        </w:rPr>
        <w:t>HRR profile</w:t>
      </w:r>
      <w:r w:rsidRPr="00C70CAC">
        <w:rPr>
          <w:rFonts w:cs="Arial"/>
        </w:rPr>
        <w:t xml:space="preserve"> (before fire spread</w:t>
      </w:r>
      <w:r w:rsidR="00AF51F7">
        <w:rPr>
          <w:rFonts w:cs="Arial"/>
        </w:rPr>
        <w:t xml:space="preserve"> to secondary combustibles</w:t>
      </w:r>
      <w:r w:rsidRPr="00C70CAC">
        <w:rPr>
          <w:rFonts w:cs="Arial"/>
        </w:rPr>
        <w:t xml:space="preserve">) is set, and a specific location is assigned to the fire.  </w:t>
      </w:r>
      <w:r w:rsidR="005F3F92">
        <w:rPr>
          <w:rFonts w:cs="Arial"/>
        </w:rPr>
        <w:t>Additional</w:t>
      </w:r>
      <w:r w:rsidR="00BA66AE">
        <w:rPr>
          <w:rFonts w:cs="Arial"/>
        </w:rPr>
        <w:t xml:space="preserve"> guidance </w:t>
      </w:r>
      <w:r w:rsidR="00B157A5">
        <w:rPr>
          <w:rFonts w:cs="Arial"/>
        </w:rPr>
        <w:t>to address</w:t>
      </w:r>
      <w:r w:rsidR="00BA66AE">
        <w:rPr>
          <w:rFonts w:cs="Arial"/>
        </w:rPr>
        <w:t xml:space="preserve"> these two aspects of ignition source characterization is provided below.</w:t>
      </w:r>
      <w:r w:rsidR="00B157A5">
        <w:rPr>
          <w:rFonts w:cs="Arial"/>
        </w:rPr>
        <w:t xml:space="preserve">  In some </w:t>
      </w:r>
      <w:r w:rsidR="005F3F92">
        <w:rPr>
          <w:rFonts w:cs="Arial"/>
        </w:rPr>
        <w:t>cases,</w:t>
      </w:r>
      <w:r w:rsidR="00B157A5">
        <w:rPr>
          <w:rFonts w:cs="Arial"/>
        </w:rPr>
        <w:t xml:space="preserve"> the Phase 2 analysis can be made more efficient by considering ignition sources of a particular type as a group.</w:t>
      </w:r>
      <w:r w:rsidR="00B10B33">
        <w:rPr>
          <w:rFonts w:cs="Arial"/>
        </w:rPr>
        <w:t xml:space="preserve">  Additional guidance for grouping ignition sources and assigning </w:t>
      </w:r>
      <w:r w:rsidR="00AF51F7">
        <w:rPr>
          <w:rFonts w:cs="Arial"/>
        </w:rPr>
        <w:t xml:space="preserve">their </w:t>
      </w:r>
      <w:r w:rsidR="00B10B33">
        <w:rPr>
          <w:rFonts w:cs="Arial"/>
        </w:rPr>
        <w:t>location is also provided below.</w:t>
      </w:r>
    </w:p>
    <w:p w14:paraId="5618CD31" w14:textId="45204576" w:rsidR="00BA689B"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u w:val="single"/>
        </w:rPr>
      </w:pPr>
    </w:p>
    <w:p w14:paraId="02158E8C" w14:textId="7D08ED5C" w:rsidR="00FF384D" w:rsidRPr="009C52BA" w:rsidRDefault="00FF384D" w:rsidP="009C52BA">
      <w:pPr>
        <w:rPr>
          <w:u w:val="single"/>
        </w:rPr>
      </w:pPr>
      <w:r w:rsidRPr="009C52BA">
        <w:rPr>
          <w:u w:val="single"/>
        </w:rPr>
        <w:t>Assigning HRR Characteristics</w:t>
      </w:r>
      <w:r w:rsidR="004D35E2" w:rsidRPr="009C52BA">
        <w:rPr>
          <w:u w:val="single"/>
        </w:rPr>
        <w:t>:</w:t>
      </w:r>
    </w:p>
    <w:p w14:paraId="1D824BE0" w14:textId="50B143C6" w:rsidR="00FF384D" w:rsidRPr="00FF384D" w:rsidRDefault="00FF384D"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p>
    <w:p w14:paraId="3B81D61A" w14:textId="04352CCE" w:rsidR="00FF384D" w:rsidRPr="00FF384D" w:rsidRDefault="003C448F"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r>
        <w:rPr>
          <w:rFonts w:cs="Arial"/>
          <w:bCs/>
        </w:rPr>
        <w:t>Attachment 5 to Appendix F provides the</w:t>
      </w:r>
      <w:r w:rsidR="00FF384D" w:rsidRPr="00FF384D">
        <w:rPr>
          <w:rFonts w:cs="Arial"/>
          <w:bCs/>
        </w:rPr>
        <w:t xml:space="preserve"> HRR</w:t>
      </w:r>
      <w:r w:rsidR="00FF384D">
        <w:rPr>
          <w:rFonts w:cs="Arial"/>
          <w:bCs/>
        </w:rPr>
        <w:t xml:space="preserve"> </w:t>
      </w:r>
      <w:r>
        <w:rPr>
          <w:rFonts w:cs="Arial"/>
          <w:bCs/>
        </w:rPr>
        <w:t xml:space="preserve">profiles and related </w:t>
      </w:r>
      <w:r w:rsidR="00FF384D">
        <w:rPr>
          <w:rFonts w:cs="Arial"/>
          <w:bCs/>
        </w:rPr>
        <w:t>characteristics</w:t>
      </w:r>
      <w:r>
        <w:rPr>
          <w:rFonts w:cs="Arial"/>
          <w:bCs/>
        </w:rPr>
        <w:t xml:space="preserve"> of the most common ignition sources.  G</w:t>
      </w:r>
      <w:r w:rsidRPr="003C448F">
        <w:rPr>
          <w:rFonts w:cs="Arial"/>
          <w:bCs/>
        </w:rPr>
        <w:t xml:space="preserve">uidance from either Regional or Headquarters fire protection staff should be sought </w:t>
      </w:r>
      <w:r>
        <w:rPr>
          <w:rFonts w:cs="Arial"/>
          <w:bCs/>
        </w:rPr>
        <w:t xml:space="preserve">when determining the HRR characteristics of ignition sources that are not </w:t>
      </w:r>
      <w:r>
        <w:rPr>
          <w:rFonts w:cs="Arial"/>
          <w:bCs/>
        </w:rPr>
        <w:lastRenderedPageBreak/>
        <w:t xml:space="preserve">provided in Attachment 5 to Appendix F, such as </w:t>
      </w:r>
      <w:r w:rsidR="00812FB5">
        <w:rPr>
          <w:rFonts w:cs="Arial"/>
          <w:bCs/>
        </w:rPr>
        <w:t xml:space="preserve">those of </w:t>
      </w:r>
      <w:r>
        <w:rPr>
          <w:rFonts w:cs="Arial"/>
          <w:bCs/>
        </w:rPr>
        <w:t>severe fires involving the turbine main generator set or hydrogen fires</w:t>
      </w:r>
      <w:r w:rsidRPr="003C448F">
        <w:rPr>
          <w:rFonts w:cs="Arial"/>
          <w:bCs/>
        </w:rPr>
        <w:t>.</w:t>
      </w:r>
      <w:r>
        <w:rPr>
          <w:rFonts w:cs="Arial"/>
          <w:bCs/>
        </w:rPr>
        <w:t xml:space="preserve"> </w:t>
      </w:r>
    </w:p>
    <w:p w14:paraId="61335E00" w14:textId="77777777" w:rsidR="00FF384D" w:rsidRPr="00FF384D" w:rsidRDefault="00FF384D"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rPr>
      </w:pPr>
    </w:p>
    <w:p w14:paraId="1084AC37" w14:textId="77777777" w:rsidR="00BA689B" w:rsidRPr="009C52BA" w:rsidRDefault="00BA689B" w:rsidP="009C52BA">
      <w:pPr>
        <w:rPr>
          <w:u w:val="single"/>
        </w:rPr>
      </w:pPr>
      <w:r w:rsidRPr="009C52BA">
        <w:rPr>
          <w:u w:val="single"/>
        </w:rPr>
        <w:t>Grouping of Fire Ignition Sources:</w:t>
      </w:r>
    </w:p>
    <w:p w14:paraId="4CCF8489" w14:textId="77777777" w:rsidR="00BA689B" w:rsidRPr="00C70CAC" w:rsidRDefault="00BA689B" w:rsidP="00AF51F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F30E013" w14:textId="1566BDE7" w:rsidR="00AF51F7" w:rsidRPr="00C70CAC" w:rsidRDefault="00BA689B" w:rsidP="00AF51F7">
      <w:pPr>
        <w:widowControl/>
        <w:rPr>
          <w:rFonts w:cs="Arial"/>
        </w:rPr>
      </w:pPr>
      <w:r w:rsidRPr="00C70CAC">
        <w:rPr>
          <w:rFonts w:cs="Arial"/>
        </w:rPr>
        <w:t xml:space="preserve">In some </w:t>
      </w:r>
      <w:r w:rsidR="005F3F92" w:rsidRPr="00C70CAC">
        <w:rPr>
          <w:rFonts w:cs="Arial"/>
        </w:rPr>
        <w:t>applications,</w:t>
      </w:r>
      <w:r w:rsidRPr="00C70CAC">
        <w:rPr>
          <w:rFonts w:cs="Arial"/>
        </w:rPr>
        <w:t xml:space="preserve"> it is both more efficient and appropriate t</w:t>
      </w:r>
      <w:r>
        <w:rPr>
          <w:rFonts w:cs="Arial"/>
        </w:rPr>
        <w:t xml:space="preserve">o group fire ignition sources. </w:t>
      </w:r>
      <w:r w:rsidRPr="00C70CAC">
        <w:rPr>
          <w:rFonts w:cs="Arial"/>
        </w:rPr>
        <w:t xml:space="preserve">The most common example is electrical panels.  It is quite common to encounter a </w:t>
      </w:r>
      <w:r>
        <w:rPr>
          <w:rFonts w:cs="Arial"/>
        </w:rPr>
        <w:t>“</w:t>
      </w:r>
      <w:r w:rsidRPr="00C70CAC">
        <w:rPr>
          <w:rFonts w:cs="Arial"/>
        </w:rPr>
        <w:t>bank</w:t>
      </w:r>
      <w:r>
        <w:rPr>
          <w:rFonts w:cs="Arial"/>
        </w:rPr>
        <w:t>”</w:t>
      </w:r>
      <w:r w:rsidRPr="00C70CAC">
        <w:rPr>
          <w:rFonts w:cs="Arial"/>
        </w:rPr>
        <w:t xml:space="preserve"> of like electrical panels.  In such a panel bank, each individual panel is essentially identical to its neighbors and will be assigned the same fire characteristics.  In such cases, fires involving each individual panel may be represented by one (or more) fire ignition source scenario(s) that conservatively bound(s) the conditions of the entire panel bank.</w:t>
      </w:r>
      <w:r w:rsidR="00AF51F7" w:rsidRPr="00C70CAC">
        <w:rPr>
          <w:rFonts w:cs="Arial"/>
        </w:rPr>
        <w:t xml:space="preserve">  That is, fires involving all members of the group are treated using one (or more) representative bounding case(s).</w:t>
      </w:r>
      <w:r w:rsidR="00FB2697">
        <w:rPr>
          <w:rFonts w:cs="Arial"/>
        </w:rPr>
        <w:t xml:space="preserve">  The fire frequency for the group is equal to the sum of the fire frequencies for all sources in the group.</w:t>
      </w:r>
    </w:p>
    <w:p w14:paraId="6883450F" w14:textId="4D3B8382" w:rsidR="00BA689B" w:rsidRPr="00C70CAC" w:rsidRDefault="00BA689B" w:rsidP="00AF51F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EFD4557" w14:textId="77777777" w:rsidR="00BA689B" w:rsidRPr="00C70CAC"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A group of like fire ignition sources may be treated, in effect, as a single fire ignition source scenario in subsequent analyses.  Grouping is appropriate when all of the following criterial are met:</w:t>
      </w:r>
    </w:p>
    <w:p w14:paraId="2559DBDF" w14:textId="77777777" w:rsidR="00BA689B" w:rsidRDefault="00BA689B" w:rsidP="0056790B">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0354B582" w14:textId="74AA68D6" w:rsidR="00BA689B" w:rsidRPr="00C70CAC" w:rsidRDefault="00BA689B" w:rsidP="0035366F">
      <w:pPr>
        <w:pStyle w:val="Level2"/>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All of the individual fire ignition sources are of the same type and hence have the same </w:t>
      </w:r>
      <w:r w:rsidR="00FC66A4">
        <w:rPr>
          <w:rFonts w:cs="Arial"/>
        </w:rPr>
        <w:t>HRR</w:t>
      </w:r>
      <w:r w:rsidRPr="00C70CAC">
        <w:rPr>
          <w:rFonts w:cs="Arial"/>
        </w:rPr>
        <w:t xml:space="preserve"> characteristics (e.g., a row of breaker panels).</w:t>
      </w:r>
      <w:r w:rsidR="00AF51F7">
        <w:rPr>
          <w:rFonts w:cs="Arial"/>
        </w:rPr>
        <w:t xml:space="preserve">  </w:t>
      </w:r>
      <w:r w:rsidR="00D477A4">
        <w:rPr>
          <w:rFonts w:cs="Arial"/>
        </w:rPr>
        <w:t>It may be possible to group i</w:t>
      </w:r>
      <w:r w:rsidR="00AF51F7">
        <w:rPr>
          <w:rFonts w:cs="Arial"/>
        </w:rPr>
        <w:t xml:space="preserve">gnition sources of different types provided each </w:t>
      </w:r>
      <w:r w:rsidR="00D477A4">
        <w:rPr>
          <w:rFonts w:cs="Arial"/>
        </w:rPr>
        <w:t xml:space="preserve">ignition </w:t>
      </w:r>
      <w:r w:rsidR="00AF51F7">
        <w:rPr>
          <w:rFonts w:cs="Arial"/>
        </w:rPr>
        <w:t xml:space="preserve">source is </w:t>
      </w:r>
      <w:r w:rsidR="00D477A4">
        <w:rPr>
          <w:rFonts w:cs="Arial"/>
        </w:rPr>
        <w:t>assumed to have the most severe HRR characteristics of all sources in the group.</w:t>
      </w:r>
      <w:r w:rsidR="00AF51F7">
        <w:rPr>
          <w:rFonts w:cs="Arial"/>
        </w:rPr>
        <w:t xml:space="preserve">  </w:t>
      </w:r>
    </w:p>
    <w:p w14:paraId="70174F52" w14:textId="77777777" w:rsidR="00BA689B" w:rsidRPr="00C70CAC" w:rsidRDefault="00BA689B" w:rsidP="0035366F">
      <w:pPr>
        <w:pStyle w:val="Level2"/>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All of the individual fire ignition sources have a similar proximity to the nearest secondary combustible fuels and/or fire damage targets (e.g., a stack of cable trays running directly above a row of electrical panels).  This means that a fire involving any one individual source will behave similarly to the other individual sources in the group with regard to fire growth, spread, and damage.</w:t>
      </w:r>
    </w:p>
    <w:p w14:paraId="590FB9AD" w14:textId="77777777" w:rsidR="00BA689B" w:rsidRPr="00C70CAC" w:rsidRDefault="00BA689B" w:rsidP="0035366F">
      <w:pPr>
        <w:pStyle w:val="Level2"/>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Each of the individual fire ignition sources will represent a roughly equivalent challenge to fire detection and suppression given that a fire does occur (e.g., none of the sources is located in an especially challenging location, or in a location with different levels of fire detection and/or suppression coverage, in comparison to other sources).</w:t>
      </w:r>
    </w:p>
    <w:p w14:paraId="4B5310E4" w14:textId="77777777" w:rsidR="00BA689B" w:rsidRPr="00C70CAC"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CBBDC02" w14:textId="5E33E2E9" w:rsidR="00BA689B"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Grouping of ignition sources may still be appropriate even given some variation in the features noted in the above criteria.  It is appropriate to group individual ignition sources if the group can be conservatively bounded by one or more representative cases.  Again, judgement is required in making such decisions.</w:t>
      </w:r>
    </w:p>
    <w:p w14:paraId="0794F8DD"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425AED0" w14:textId="581C8E85" w:rsidR="00BA689B" w:rsidRPr="009C52BA" w:rsidRDefault="00BA689B" w:rsidP="009C52BA">
      <w:pPr>
        <w:rPr>
          <w:u w:val="single"/>
        </w:rPr>
      </w:pPr>
      <w:r w:rsidRPr="009C52BA">
        <w:rPr>
          <w:u w:val="single"/>
        </w:rPr>
        <w:t>Assigning a Location to Fire Ignition Sources:</w:t>
      </w:r>
    </w:p>
    <w:p w14:paraId="31B1BE69" w14:textId="77777777" w:rsidR="002A68AE" w:rsidRDefault="002A68AE" w:rsidP="0056790B">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024B1FDE" w14:textId="57199016" w:rsidR="00BA689B" w:rsidRDefault="002A68AE" w:rsidP="0056790B">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r>
        <w:rPr>
          <w:rFonts w:cs="Arial"/>
        </w:rPr>
        <w:t>F</w:t>
      </w:r>
      <w:r w:rsidRPr="00C70CAC">
        <w:rPr>
          <w:rFonts w:cs="Arial"/>
        </w:rPr>
        <w:t>ixed fire ignition sources are assigned to their actual physical location:</w:t>
      </w:r>
    </w:p>
    <w:p w14:paraId="0AB98951" w14:textId="77777777" w:rsidR="002A68AE" w:rsidRDefault="002A68AE" w:rsidP="0056790B">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1712374E" w14:textId="12C56E93" w:rsidR="00BA689B" w:rsidRDefault="00287018" w:rsidP="0035366F">
      <w:pPr>
        <w:pStyle w:val="Level2"/>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Pr>
          <w:rFonts w:cs="Arial"/>
        </w:rPr>
        <w:t>In plan view, t</w:t>
      </w:r>
      <w:r w:rsidRPr="00C70CAC">
        <w:rPr>
          <w:rFonts w:cs="Arial"/>
        </w:rPr>
        <w:t xml:space="preserve">he </w:t>
      </w:r>
      <w:r w:rsidR="00BA689B" w:rsidRPr="00C70CAC">
        <w:rPr>
          <w:rFonts w:cs="Arial"/>
        </w:rPr>
        <w:t>fire location for a fixed fire ignition source is the physical center of the fire ignition source itself, unless this choice is in obvious conflict with the likely location of a fire involving the source.</w:t>
      </w:r>
    </w:p>
    <w:p w14:paraId="650041CE" w14:textId="2751A6D4" w:rsidR="00287018" w:rsidRPr="00C70CAC" w:rsidRDefault="00287018" w:rsidP="0035366F">
      <w:pPr>
        <w:pStyle w:val="Level2"/>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Pr>
          <w:rFonts w:cs="Arial"/>
        </w:rPr>
        <w:t>The fire base for electrical enclosures is assumed to be at 1 ft. below the top of the enclosure.  The fire base for transient combustibles, electric motors and electric pumps is assumed to be at the top surface of the ignition source.</w:t>
      </w:r>
    </w:p>
    <w:p w14:paraId="30E072E5" w14:textId="77777777" w:rsidR="00BA689B" w:rsidRPr="00C70CAC"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DA49794" w14:textId="77777777" w:rsidR="00BA689B" w:rsidRPr="00C70CAC"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In other cases, the choice of fire ignition source location is more complex.  For example, choosing one or more representative locations (i.e., one or more representative fire ignition </w:t>
      </w:r>
      <w:r w:rsidRPr="00C70CAC">
        <w:rPr>
          <w:rFonts w:cs="Arial"/>
        </w:rPr>
        <w:lastRenderedPageBreak/>
        <w:t>source scenarios) to represent a grouped set of ignition sources requires the application of judgement.  Examples of these and other similar cases include:</w:t>
      </w:r>
    </w:p>
    <w:p w14:paraId="1E57E12F" w14:textId="77777777" w:rsidR="00BA689B" w:rsidRDefault="00BA689B" w:rsidP="0056790B">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2C668870" w14:textId="17649C66" w:rsidR="00BA689B" w:rsidRDefault="00BA689B" w:rsidP="0035366F">
      <w:pPr>
        <w:pStyle w:val="Level2"/>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Choosing one or more representative locations for a bank of electrical panels of the same general type</w:t>
      </w:r>
      <w:r w:rsidR="00844511">
        <w:rPr>
          <w:rFonts w:cs="Arial"/>
        </w:rPr>
        <w:t>.</w:t>
      </w:r>
    </w:p>
    <w:p w14:paraId="748D0BA6" w14:textId="2793F097" w:rsidR="00BA689B" w:rsidRDefault="00BA689B" w:rsidP="0035366F">
      <w:pPr>
        <w:pStyle w:val="Level2"/>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Choosing the location for a transient fuel fire</w:t>
      </w:r>
      <w:r w:rsidR="00844511">
        <w:rPr>
          <w:rFonts w:cs="Arial"/>
        </w:rPr>
        <w:t>.</w:t>
      </w:r>
    </w:p>
    <w:p w14:paraId="6204CCC6" w14:textId="1D57885F" w:rsidR="00BA689B" w:rsidRPr="00C70CAC" w:rsidRDefault="00BA689B" w:rsidP="0035366F">
      <w:pPr>
        <w:pStyle w:val="Level2"/>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Choosing the location for a self-ignited cable fire</w:t>
      </w:r>
      <w:r w:rsidR="00844511">
        <w:rPr>
          <w:rFonts w:cs="Arial"/>
        </w:rPr>
        <w:t>.</w:t>
      </w:r>
    </w:p>
    <w:p w14:paraId="6D30B04D" w14:textId="69D5E0CF" w:rsidR="00BA689B" w:rsidRPr="00C70CAC" w:rsidRDefault="00BA689B" w:rsidP="0035366F">
      <w:pPr>
        <w:pStyle w:val="Level2"/>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Choosing the location for a transient oil spill fire</w:t>
      </w:r>
      <w:r w:rsidR="00844511">
        <w:rPr>
          <w:rFonts w:cs="Arial"/>
        </w:rPr>
        <w:t>.</w:t>
      </w:r>
    </w:p>
    <w:p w14:paraId="7FE87B25" w14:textId="77777777" w:rsidR="00BA689B" w:rsidRPr="00C70CAC"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4C94057" w14:textId="6DAC7CE2" w:rsidR="00BA689B" w:rsidRPr="00C70CAC" w:rsidRDefault="0044660F"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t xml:space="preserve">In general, the location should be chosen so as to maximize the potential damage to targets when estimating the </w:t>
      </w:r>
      <w:r w:rsidR="00F47076">
        <w:t>zone of influence (</w:t>
      </w:r>
      <w:r>
        <w:t>ZOI</w:t>
      </w:r>
      <w:r w:rsidR="00F47076">
        <w:t>)</w:t>
      </w:r>
      <w:r>
        <w:t xml:space="preserve">.  </w:t>
      </w:r>
      <w:r w:rsidR="00BA689B" w:rsidRPr="00C70CAC">
        <w:rPr>
          <w:rFonts w:cs="Arial"/>
        </w:rPr>
        <w:t>The assignment of source location will drive aspects of the fire ignition source scenario screening process (</w:t>
      </w:r>
      <w:r w:rsidR="00495E99">
        <w:rPr>
          <w:rFonts w:cs="Arial"/>
        </w:rPr>
        <w:t>Steps 2.3.2-2.3.4</w:t>
      </w:r>
      <w:r w:rsidR="00BA689B" w:rsidRPr="00C70CAC">
        <w:rPr>
          <w:rFonts w:cs="Arial"/>
        </w:rPr>
        <w:t xml:space="preserve">) and the fire damage time analysis for unscreened fire ignition source scenarios (Step </w:t>
      </w:r>
      <w:r w:rsidR="00495E99">
        <w:rPr>
          <w:rFonts w:cs="Arial"/>
        </w:rPr>
        <w:t>2.7.1</w:t>
      </w:r>
      <w:r w:rsidR="00BA689B" w:rsidRPr="00C70CAC">
        <w:rPr>
          <w:rFonts w:cs="Arial"/>
        </w:rPr>
        <w:t>).</w:t>
      </w:r>
    </w:p>
    <w:p w14:paraId="07B613DD" w14:textId="77777777" w:rsidR="00BA689B" w:rsidRPr="00C70CAC"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8D0B3EC" w14:textId="77777777" w:rsidR="00AE10AB" w:rsidRDefault="00BA689B"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For a grouped fire ignition source set, and for non-fixed fire ignition sources (transients, hot work, liquid fuel spills), the location chosen should conservatively bound the potential for fire spread and damage.  This often means choosing the specific ignition source or location that is nearest secondary combustibles, or is nearest a thermal damage target.  For radiant heat exposure, nearest means line of </w:t>
      </w:r>
      <w:r w:rsidR="00495E99">
        <w:rPr>
          <w:rFonts w:cs="Arial"/>
        </w:rPr>
        <w:t>sight</w:t>
      </w:r>
      <w:r w:rsidRPr="00C70CAC">
        <w:rPr>
          <w:rFonts w:cs="Arial"/>
        </w:rPr>
        <w:t xml:space="preserve">.  For plume exposure nearest </w:t>
      </w:r>
      <w:r w:rsidR="005F3F92" w:rsidRPr="00C70CAC">
        <w:rPr>
          <w:rFonts w:cs="Arial"/>
        </w:rPr>
        <w:t>means,</w:t>
      </w:r>
      <w:r w:rsidRPr="00C70CAC">
        <w:rPr>
          <w:rFonts w:cs="Arial"/>
        </w:rPr>
        <w:t xml:space="preserve"> the first target directly above the source (directly above the source</w:t>
      </w:r>
      <w:r>
        <w:rPr>
          <w:rFonts w:cs="Arial"/>
        </w:rPr>
        <w:t>’</w:t>
      </w:r>
      <w:r w:rsidRPr="00C70CAC">
        <w:rPr>
          <w:rFonts w:cs="Arial"/>
        </w:rPr>
        <w:t xml:space="preserve">s physical </w:t>
      </w:r>
      <w:r>
        <w:rPr>
          <w:rFonts w:cs="Arial"/>
        </w:rPr>
        <w:t>“</w:t>
      </w:r>
      <w:r w:rsidRPr="00C70CAC">
        <w:rPr>
          <w:rFonts w:cs="Arial"/>
        </w:rPr>
        <w:t>footprint</w:t>
      </w:r>
      <w:r>
        <w:rPr>
          <w:rFonts w:cs="Arial"/>
        </w:rPr>
        <w:t>”</w:t>
      </w:r>
      <w:r w:rsidRPr="00C70CAC">
        <w:rPr>
          <w:rFonts w:cs="Arial"/>
        </w:rPr>
        <w:t>).</w:t>
      </w:r>
    </w:p>
    <w:p w14:paraId="1C2BD8D7" w14:textId="77777777" w:rsidR="00AE10AB" w:rsidRDefault="00AE10AB" w:rsidP="00AE10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2F620BC" w14:textId="070F0C1F" w:rsidR="00AE10AB" w:rsidRPr="00AE10AB" w:rsidRDefault="00AE10AB" w:rsidP="0035366F">
      <w:pPr>
        <w:pStyle w:val="ListParagraph"/>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AE10AB">
        <w:rPr>
          <w:rFonts w:cs="Arial"/>
        </w:rPr>
        <w:t xml:space="preserve">Example 1: </w:t>
      </w:r>
      <w:r w:rsidR="0014643F">
        <w:rPr>
          <w:rFonts w:cs="Arial"/>
        </w:rPr>
        <w:t xml:space="preserve"> </w:t>
      </w:r>
      <w:r w:rsidRPr="00AE10AB">
        <w:rPr>
          <w:rFonts w:cs="Arial"/>
        </w:rPr>
        <w:t>A fire area contains multiple fire ignition sources of a similar type; in this example, two rows of breaker panels located on opposite sides of the room.  Proximity to secondary combustibles (e.g., overhead cables) and fire protection features and coverage are all found to be similar regardless of which individual panel is considered.  Cable locations are not well characterized (e.g., certain cables are known (or assumed) to be in the fire area but their specific locations within the area are not known).  A single bounding location is used to represent all of the individual breaker panels and the fire is located within the individual electrical panel that is closest to secondary combustibles and/or damage targets.</w:t>
      </w:r>
    </w:p>
    <w:p w14:paraId="67B16AC3" w14:textId="26F1DF80" w:rsidR="00BA689B" w:rsidRPr="00AE10AB" w:rsidRDefault="00AE10AB" w:rsidP="0035366F">
      <w:pPr>
        <w:pStyle w:val="ListParagraph"/>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AE10AB">
        <w:rPr>
          <w:rFonts w:cs="Arial"/>
        </w:rPr>
        <w:t>Ex</w:t>
      </w:r>
      <w:r w:rsidR="00BA689B" w:rsidRPr="00AE10AB">
        <w:rPr>
          <w:rFonts w:cs="Arial"/>
        </w:rPr>
        <w:t xml:space="preserve">ample 2: </w:t>
      </w:r>
      <w:r w:rsidR="0014643F">
        <w:rPr>
          <w:rFonts w:cs="Arial"/>
        </w:rPr>
        <w:t xml:space="preserve"> </w:t>
      </w:r>
      <w:r w:rsidR="00BA689B" w:rsidRPr="00AE10AB">
        <w:rPr>
          <w:rFonts w:cs="Arial"/>
        </w:rPr>
        <w:t xml:space="preserve">The physical situation is similar to Example 1, but in this </w:t>
      </w:r>
      <w:r w:rsidR="005F3F92" w:rsidRPr="00AE10AB">
        <w:rPr>
          <w:rFonts w:cs="Arial"/>
        </w:rPr>
        <w:t>case,</w:t>
      </w:r>
      <w:r w:rsidR="00BA689B" w:rsidRPr="00AE10AB">
        <w:rPr>
          <w:rFonts w:cs="Arial"/>
        </w:rPr>
        <w:t xml:space="preserve"> there is detailed information on component and cable locations within the fire area.  Consistent with a</w:t>
      </w:r>
      <w:r w:rsidR="0044660F" w:rsidRPr="00AE10AB">
        <w:rPr>
          <w:rFonts w:cs="Arial"/>
        </w:rPr>
        <w:t>n</w:t>
      </w:r>
      <w:r w:rsidR="00BA689B" w:rsidRPr="00AE10AB">
        <w:rPr>
          <w:rFonts w:cs="Arial"/>
        </w:rPr>
        <w:t xml:space="preserve"> FDS1 type scenario, fires involving one row of the breaker panels may damage a </w:t>
      </w:r>
      <w:r w:rsidR="0014643F" w:rsidRPr="00AE10AB">
        <w:rPr>
          <w:rFonts w:cs="Arial"/>
        </w:rPr>
        <w:t xml:space="preserve">Train </w:t>
      </w:r>
      <w:r w:rsidR="00BA689B" w:rsidRPr="00AE10AB">
        <w:rPr>
          <w:rFonts w:cs="Arial"/>
        </w:rPr>
        <w:t>A function, while fires involving the second row of breaker panels may damage a Train B function.  Consistent with FDS2, fires involving any panel might damage both the Train A and B functions.  In this case, at least three fire scenarios are developed, one representing each row of breaker panels for FDS1, and a third representing any panel fire leading to FDS2 level damage.  Each scenario requires that a representative location be identified.</w:t>
      </w:r>
    </w:p>
    <w:p w14:paraId="1C59B859" w14:textId="77777777" w:rsidR="00BA689B" w:rsidRPr="00C70CAC"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4F8DD34" w14:textId="45069F26" w:rsidR="00BA689B" w:rsidRDefault="00BA689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In the case of transients, the fire</w:t>
      </w:r>
      <w:r w:rsidR="00495E99">
        <w:rPr>
          <w:rFonts w:cs="Arial"/>
        </w:rPr>
        <w:t xml:space="preserve"> base</w:t>
      </w:r>
      <w:r w:rsidRPr="00C70CAC">
        <w:rPr>
          <w:rFonts w:cs="Arial"/>
        </w:rPr>
        <w:t xml:space="preserve"> is always </w:t>
      </w:r>
      <w:r w:rsidR="00495E99">
        <w:rPr>
          <w:rFonts w:cs="Arial"/>
        </w:rPr>
        <w:t>assumed to be 2 ft. above</w:t>
      </w:r>
      <w:r w:rsidRPr="00C70CAC">
        <w:rPr>
          <w:rFonts w:cs="Arial"/>
        </w:rPr>
        <w:t xml:space="preserve"> the floor, unless specific conditions observed during an inspection suggest otherwise.  The exact location of the fire may eventually prove critical to the fire spread and damage potential if, for example, there is a cable pinch point where multiple target cables cross.</w:t>
      </w:r>
      <w:r w:rsidR="00495E99">
        <w:rPr>
          <w:rFonts w:cs="Arial"/>
        </w:rPr>
        <w:t xml:space="preserve">  </w:t>
      </w:r>
      <w:r w:rsidRPr="00C70CAC">
        <w:rPr>
          <w:rFonts w:cs="Arial"/>
        </w:rPr>
        <w:t xml:space="preserve">For the purposes of this screening </w:t>
      </w:r>
      <w:r w:rsidR="007F45F2">
        <w:rPr>
          <w:rFonts w:cs="Arial"/>
        </w:rPr>
        <w:t>step</w:t>
      </w:r>
      <w:r w:rsidRPr="00C70CAC">
        <w:rPr>
          <w:rFonts w:cs="Arial"/>
        </w:rPr>
        <w:t xml:space="preserve">, it is only necessary to determine </w:t>
      </w:r>
      <w:r w:rsidR="00E93748" w:rsidRPr="00C70CAC">
        <w:rPr>
          <w:rFonts w:cs="Arial"/>
        </w:rPr>
        <w:t>whether</w:t>
      </w:r>
      <w:r w:rsidRPr="00C70CAC">
        <w:rPr>
          <w:rFonts w:cs="Arial"/>
        </w:rPr>
        <w:t xml:space="preserve"> a transient fire in </w:t>
      </w:r>
      <w:r w:rsidRPr="00C70CAC">
        <w:rPr>
          <w:rFonts w:cs="Arial"/>
          <w:u w:val="single"/>
        </w:rPr>
        <w:t>some</w:t>
      </w:r>
      <w:r w:rsidRPr="00C70CAC">
        <w:rPr>
          <w:rFonts w:cs="Arial"/>
        </w:rPr>
        <w:t xml:space="preserve"> </w:t>
      </w:r>
      <w:r w:rsidRPr="00C70CAC">
        <w:rPr>
          <w:rFonts w:cs="Arial"/>
          <w:u w:val="single"/>
        </w:rPr>
        <w:t>plausible</w:t>
      </w:r>
      <w:r w:rsidRPr="00C70CAC">
        <w:rPr>
          <w:rFonts w:cs="Arial"/>
        </w:rPr>
        <w:t xml:space="preserve"> location might spread or cause damage.</w:t>
      </w:r>
      <w:r w:rsidR="00495E99">
        <w:rPr>
          <w:rFonts w:cs="Arial"/>
        </w:rPr>
        <w:t xml:space="preserve">  </w:t>
      </w:r>
      <w:r w:rsidRPr="00C70CAC">
        <w:rPr>
          <w:rFonts w:cs="Arial"/>
        </w:rPr>
        <w:t>That is, if all combustible materials or targets are located well above the floor, then any floor level transient fire may not cause damage.  In this case, transients screen out.  However, if there is any location in the fire area where combustible materials or damage targets are low enough to be within the transient fire</w:t>
      </w:r>
      <w:r>
        <w:rPr>
          <w:rFonts w:cs="Arial"/>
        </w:rPr>
        <w:t>’</w:t>
      </w:r>
      <w:r w:rsidRPr="00C70CAC">
        <w:rPr>
          <w:rFonts w:cs="Arial"/>
        </w:rPr>
        <w:t xml:space="preserve">s damage zone, then the transients are retained.  The analyst may use judgement to determine if a transient existing in such a location </w:t>
      </w:r>
      <w:r w:rsidRPr="00C70CAC">
        <w:rPr>
          <w:rFonts w:cs="Arial"/>
        </w:rPr>
        <w:lastRenderedPageBreak/>
        <w:t>is plausible.  If the identified location is not plausible, then the transients could still be screened out.</w:t>
      </w:r>
    </w:p>
    <w:p w14:paraId="568FDBBD" w14:textId="77777777" w:rsidR="00BA689B" w:rsidRDefault="00BA689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5DED43" w14:textId="1D1A0FDB" w:rsidR="00453A51" w:rsidRDefault="0079404E" w:rsidP="004D46E2">
      <w:pPr>
        <w:pStyle w:val="Heading4"/>
      </w:pPr>
      <w:r>
        <w:t>Step</w:t>
      </w:r>
      <w:r w:rsidR="00B27F2A">
        <w:t xml:space="preserve"> 2.3.2: </w:t>
      </w:r>
      <w:r w:rsidR="007358B2" w:rsidRPr="007358B2">
        <w:t>FDS1 Ignition Source Screening</w:t>
      </w:r>
    </w:p>
    <w:p w14:paraId="6ADEADB0"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B21931" w14:textId="26CC07AB" w:rsidR="007A10FD" w:rsidRDefault="00B918B8"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ZOI</w:t>
      </w:r>
      <w:r w:rsidR="00FE797B" w:rsidRPr="00C70CAC">
        <w:rPr>
          <w:rFonts w:cs="Arial"/>
        </w:rPr>
        <w:t xml:space="preserve"> </w:t>
      </w:r>
      <w:r w:rsidR="004D35E2">
        <w:rPr>
          <w:rFonts w:cs="Arial"/>
        </w:rPr>
        <w:t>tables and plots</w:t>
      </w:r>
      <w:r w:rsidR="00FE797B" w:rsidRPr="00C70CAC">
        <w:rPr>
          <w:rFonts w:cs="Arial"/>
        </w:rPr>
        <w:t xml:space="preserve"> have been pre-calculated for </w:t>
      </w:r>
      <w:r w:rsidR="004D35E2">
        <w:rPr>
          <w:rFonts w:cs="Arial"/>
        </w:rPr>
        <w:t xml:space="preserve">fixed and transient ignition sources, and confined and unconfined </w:t>
      </w:r>
      <w:r>
        <w:rPr>
          <w:rFonts w:cs="Arial"/>
        </w:rPr>
        <w:t>oil fires.</w:t>
      </w:r>
      <w:r w:rsidR="00E30D4C">
        <w:rPr>
          <w:rFonts w:cs="Arial"/>
        </w:rPr>
        <w:t xml:space="preserve">  </w:t>
      </w:r>
      <w:r>
        <w:rPr>
          <w:rFonts w:cs="Arial"/>
        </w:rPr>
        <w:t>The results of the</w:t>
      </w:r>
      <w:r w:rsidR="00B62FBC">
        <w:rPr>
          <w:rFonts w:cs="Arial"/>
        </w:rPr>
        <w:t>se</w:t>
      </w:r>
      <w:r>
        <w:rPr>
          <w:rFonts w:cs="Arial"/>
        </w:rPr>
        <w:t xml:space="preserve"> </w:t>
      </w:r>
      <w:r w:rsidR="00E30D4C">
        <w:rPr>
          <w:rFonts w:cs="Arial"/>
        </w:rPr>
        <w:t xml:space="preserve">ZOI </w:t>
      </w:r>
      <w:r>
        <w:rPr>
          <w:rFonts w:cs="Arial"/>
        </w:rPr>
        <w:t xml:space="preserve">calculations are presented in </w:t>
      </w:r>
      <w:r w:rsidR="00905DC7">
        <w:rPr>
          <w:rFonts w:cs="Arial"/>
        </w:rPr>
        <w:t>t</w:t>
      </w:r>
      <w:r>
        <w:rPr>
          <w:rFonts w:cs="Arial"/>
        </w:rPr>
        <w:t>able/</w:t>
      </w:r>
      <w:r w:rsidR="00905DC7">
        <w:rPr>
          <w:rFonts w:cs="Arial"/>
        </w:rPr>
        <w:t>p</w:t>
      </w:r>
      <w:r>
        <w:rPr>
          <w:rFonts w:cs="Arial"/>
        </w:rPr>
        <w:t>lot set A of Attachment 8 to Appendix F.</w:t>
      </w:r>
    </w:p>
    <w:p w14:paraId="690D8541" w14:textId="77777777" w:rsidR="007A10FD" w:rsidRDefault="007A10F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621FDB7" w14:textId="585F1155" w:rsidR="00FE797B" w:rsidRDefault="00E30D4C"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The ZOI for fixed and transient ignition sources can be determined from the tables and plots in Figures A.01 (vertical) and A.02 (radial)</w:t>
      </w:r>
      <w:r w:rsidR="00335275">
        <w:rPr>
          <w:rFonts w:cs="Arial"/>
        </w:rPr>
        <w:t xml:space="preserve"> of Attachment A to Appendix F</w:t>
      </w:r>
      <w:r>
        <w:rPr>
          <w:rFonts w:cs="Arial"/>
        </w:rPr>
        <w:t xml:space="preserve">. </w:t>
      </w:r>
      <w:r w:rsidR="00B918B8">
        <w:rPr>
          <w:rFonts w:cs="Arial"/>
        </w:rPr>
        <w:t xml:space="preserve"> </w:t>
      </w:r>
      <w:r>
        <w:rPr>
          <w:rFonts w:cs="Arial"/>
        </w:rPr>
        <w:t>In these figures</w:t>
      </w:r>
      <w:r w:rsidR="00B62FBC">
        <w:rPr>
          <w:rFonts w:cs="Arial"/>
        </w:rPr>
        <w:t>,</w:t>
      </w:r>
      <w:r>
        <w:rPr>
          <w:rFonts w:cs="Arial"/>
        </w:rPr>
        <w:t xml:space="preserve"> the ZOI is presented as a function of the 98</w:t>
      </w:r>
      <w:r w:rsidRPr="000D6EF2">
        <w:rPr>
          <w:rFonts w:cs="Arial"/>
          <w:vertAlign w:val="superscript"/>
        </w:rPr>
        <w:t>th</w:t>
      </w:r>
      <w:r>
        <w:rPr>
          <w:rFonts w:cs="Arial"/>
        </w:rPr>
        <w:t xml:space="preserve"> percentile</w:t>
      </w:r>
      <w:r w:rsidR="000D4309">
        <w:rPr>
          <w:rFonts w:cs="Arial"/>
        </w:rPr>
        <w:t xml:space="preserve"> </w:t>
      </w:r>
      <w:r w:rsidR="008F62FE">
        <w:rPr>
          <w:rFonts w:cs="Arial"/>
        </w:rPr>
        <w:t xml:space="preserve">of the peak </w:t>
      </w:r>
      <w:r>
        <w:rPr>
          <w:rFonts w:cs="Arial"/>
        </w:rPr>
        <w:t>HRR of the ignition source</w:t>
      </w:r>
      <w:r w:rsidR="000D6EF2">
        <w:rPr>
          <w:rFonts w:cs="Arial"/>
        </w:rPr>
        <w:t xml:space="preserve">, which can be </w:t>
      </w:r>
      <w:r w:rsidR="00B62FBC">
        <w:rPr>
          <w:rFonts w:cs="Arial"/>
        </w:rPr>
        <w:t>obtained</w:t>
      </w:r>
      <w:r w:rsidR="000D6EF2">
        <w:rPr>
          <w:rFonts w:cs="Arial"/>
        </w:rPr>
        <w:t xml:space="preserve"> from Table A5.1 in Attachment 5 to Appendix F.  Figure A.01 provides the vertical ZOI for two configurations; unobstructed open plume</w:t>
      </w:r>
      <w:r w:rsidR="00EF5D8B">
        <w:rPr>
          <w:rFonts w:cs="Arial"/>
        </w:rPr>
        <w:t>,</w:t>
      </w:r>
      <w:r w:rsidR="000D6EF2">
        <w:rPr>
          <w:rFonts w:cs="Arial"/>
        </w:rPr>
        <w:t xml:space="preserve"> </w:t>
      </w:r>
      <w:r w:rsidR="00B62FBC">
        <w:rPr>
          <w:rFonts w:cs="Arial"/>
        </w:rPr>
        <w:t>and</w:t>
      </w:r>
      <w:r w:rsidR="000D6EF2">
        <w:rPr>
          <w:rFonts w:cs="Arial"/>
        </w:rPr>
        <w:t xml:space="preserve"> corner plume.</w:t>
      </w:r>
      <w:r w:rsidR="00F563DB">
        <w:rPr>
          <w:rFonts w:cs="Arial"/>
        </w:rPr>
        <w:t xml:space="preserve">  The latter is applicable for fixed and transient ignition sources with edges that are at a distance of 2 ft. or less from the </w:t>
      </w:r>
      <w:r w:rsidR="00335275">
        <w:rPr>
          <w:rFonts w:cs="Arial"/>
        </w:rPr>
        <w:t xml:space="preserve">two </w:t>
      </w:r>
      <w:r w:rsidR="00F563DB">
        <w:rPr>
          <w:rFonts w:cs="Arial"/>
        </w:rPr>
        <w:t>intersecting walls of a corner.</w:t>
      </w:r>
      <w:r w:rsidR="00335275">
        <w:rPr>
          <w:rFonts w:cs="Arial"/>
        </w:rPr>
        <w:t xml:space="preserve">  The former is applicable for fixed and transient ignition sources with edges that are at a distance of at least 2 ft. from the intersecting walls of a corner.</w:t>
      </w:r>
      <w:r w:rsidR="00F563DB">
        <w:rPr>
          <w:rFonts w:cs="Arial"/>
        </w:rPr>
        <w:t xml:space="preserve">  Fixed and transient ignition sources within 2 ft. of a single wall are generally considered to be in the open, but at the analyst’s discretion may be </w:t>
      </w:r>
      <w:r w:rsidR="007A10FD">
        <w:rPr>
          <w:rFonts w:cs="Arial"/>
        </w:rPr>
        <w:t xml:space="preserve">conservatively </w:t>
      </w:r>
      <w:r w:rsidR="00F563DB">
        <w:rPr>
          <w:rFonts w:cs="Arial"/>
        </w:rPr>
        <w:t>treated as corner fires</w:t>
      </w:r>
      <w:r w:rsidR="007A10FD">
        <w:rPr>
          <w:rFonts w:cs="Arial"/>
        </w:rPr>
        <w:t>.  For example, it would be reasonable to assume the corner configuration for a fixed ignition source that is within 2 ft. of one of the intersecting walls of a corner and close to but not within 2 ft. of the other intersecting wall</w:t>
      </w:r>
      <w:r w:rsidR="00F563DB">
        <w:rPr>
          <w:rFonts w:cs="Arial"/>
        </w:rPr>
        <w:t>.</w:t>
      </w:r>
    </w:p>
    <w:p w14:paraId="4B272582" w14:textId="1ECE8607" w:rsidR="007A10FD" w:rsidRDefault="007A10F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94E5FB9" w14:textId="328440CB" w:rsidR="0023343E" w:rsidRPr="00C70CAC" w:rsidRDefault="007A10F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The </w:t>
      </w:r>
      <w:r w:rsidR="0023343E">
        <w:rPr>
          <w:rFonts w:cs="Arial"/>
        </w:rPr>
        <w:t xml:space="preserve">results of the </w:t>
      </w:r>
      <w:r>
        <w:rPr>
          <w:rFonts w:cs="Arial"/>
        </w:rPr>
        <w:t xml:space="preserve">ZOI </w:t>
      </w:r>
      <w:r w:rsidR="0023343E">
        <w:rPr>
          <w:rFonts w:cs="Arial"/>
        </w:rPr>
        <w:t>calcu</w:t>
      </w:r>
      <w:r w:rsidR="00335275">
        <w:rPr>
          <w:rFonts w:cs="Arial"/>
        </w:rPr>
        <w:t>l</w:t>
      </w:r>
      <w:r w:rsidR="0023343E">
        <w:rPr>
          <w:rFonts w:cs="Arial"/>
        </w:rPr>
        <w:t xml:space="preserve">ations </w:t>
      </w:r>
      <w:r>
        <w:rPr>
          <w:rFonts w:cs="Arial"/>
        </w:rPr>
        <w:t>for confined</w:t>
      </w:r>
      <w:r w:rsidR="003B7417">
        <w:rPr>
          <w:rFonts w:cs="Arial"/>
        </w:rPr>
        <w:t xml:space="preserve"> oil</w:t>
      </w:r>
      <w:r>
        <w:rPr>
          <w:rFonts w:cs="Arial"/>
        </w:rPr>
        <w:t xml:space="preserve"> </w:t>
      </w:r>
      <w:r w:rsidR="0023343E">
        <w:rPr>
          <w:rFonts w:cs="Arial"/>
        </w:rPr>
        <w:t>pool</w:t>
      </w:r>
      <w:r>
        <w:rPr>
          <w:rFonts w:cs="Arial"/>
        </w:rPr>
        <w:t xml:space="preserve"> fires </w:t>
      </w:r>
      <w:r w:rsidR="0023343E">
        <w:rPr>
          <w:rFonts w:cs="Arial"/>
        </w:rPr>
        <w:t>are</w:t>
      </w:r>
      <w:r>
        <w:rPr>
          <w:rFonts w:cs="Arial"/>
        </w:rPr>
        <w:t xml:space="preserve"> presente</w:t>
      </w:r>
      <w:r w:rsidR="0023343E">
        <w:rPr>
          <w:rFonts w:cs="Arial"/>
        </w:rPr>
        <w:t>d as a function of the diameter of the pool and the type of oil</w:t>
      </w:r>
      <w:r w:rsidR="00186AFA">
        <w:rPr>
          <w:rFonts w:cs="Arial"/>
        </w:rPr>
        <w:t xml:space="preserve"> </w:t>
      </w:r>
      <w:r w:rsidR="0023343E">
        <w:rPr>
          <w:rFonts w:cs="Arial"/>
        </w:rPr>
        <w:t>in Figures A.04-A.06 (vertical) and Figures A.07-A.09 (radial) of Attachment A to Appendix F.  The results of the ZOI calcu</w:t>
      </w:r>
      <w:r w:rsidR="00335275">
        <w:rPr>
          <w:rFonts w:cs="Arial"/>
        </w:rPr>
        <w:t>l</w:t>
      </w:r>
      <w:r w:rsidR="0023343E">
        <w:rPr>
          <w:rFonts w:cs="Arial"/>
        </w:rPr>
        <w:t xml:space="preserve">ations for </w:t>
      </w:r>
      <w:r w:rsidR="00186AFA">
        <w:rPr>
          <w:rFonts w:cs="Arial"/>
        </w:rPr>
        <w:t>un</w:t>
      </w:r>
      <w:r w:rsidR="0023343E">
        <w:rPr>
          <w:rFonts w:cs="Arial"/>
        </w:rPr>
        <w:t xml:space="preserve">confined </w:t>
      </w:r>
      <w:r w:rsidR="003B7417">
        <w:rPr>
          <w:rFonts w:cs="Arial"/>
        </w:rPr>
        <w:t xml:space="preserve">oil </w:t>
      </w:r>
      <w:r w:rsidR="00186AFA">
        <w:rPr>
          <w:rFonts w:cs="Arial"/>
        </w:rPr>
        <w:t>spil</w:t>
      </w:r>
      <w:r w:rsidR="00B04C4C">
        <w:rPr>
          <w:rFonts w:cs="Arial"/>
        </w:rPr>
        <w:t>l</w:t>
      </w:r>
      <w:r w:rsidR="0023343E">
        <w:rPr>
          <w:rFonts w:cs="Arial"/>
        </w:rPr>
        <w:t xml:space="preserve"> fires are presented as a function of the </w:t>
      </w:r>
      <w:r w:rsidR="00186AFA">
        <w:rPr>
          <w:rFonts w:cs="Arial"/>
        </w:rPr>
        <w:t>volume</w:t>
      </w:r>
      <w:r w:rsidR="0023343E">
        <w:rPr>
          <w:rFonts w:cs="Arial"/>
        </w:rPr>
        <w:t xml:space="preserve"> of the </w:t>
      </w:r>
      <w:r w:rsidR="00186AFA">
        <w:rPr>
          <w:rFonts w:cs="Arial"/>
        </w:rPr>
        <w:t>spill</w:t>
      </w:r>
      <w:r w:rsidR="0023343E">
        <w:rPr>
          <w:rFonts w:cs="Arial"/>
        </w:rPr>
        <w:t xml:space="preserve"> and the type of oil </w:t>
      </w:r>
      <w:r w:rsidR="00186AFA">
        <w:rPr>
          <w:rFonts w:cs="Arial"/>
        </w:rPr>
        <w:t>i</w:t>
      </w:r>
      <w:r w:rsidR="0023343E">
        <w:rPr>
          <w:rFonts w:cs="Arial"/>
        </w:rPr>
        <w:t>n Figures A.</w:t>
      </w:r>
      <w:r w:rsidR="00186AFA">
        <w:rPr>
          <w:rFonts w:cs="Arial"/>
        </w:rPr>
        <w:t>10</w:t>
      </w:r>
      <w:r w:rsidR="0023343E">
        <w:rPr>
          <w:rFonts w:cs="Arial"/>
        </w:rPr>
        <w:t>-A.</w:t>
      </w:r>
      <w:r w:rsidR="00186AFA">
        <w:rPr>
          <w:rFonts w:cs="Arial"/>
        </w:rPr>
        <w:t>12</w:t>
      </w:r>
      <w:r w:rsidR="0023343E">
        <w:rPr>
          <w:rFonts w:cs="Arial"/>
        </w:rPr>
        <w:t xml:space="preserve"> (vertical) and Figures A.</w:t>
      </w:r>
      <w:r w:rsidR="00186AFA">
        <w:rPr>
          <w:rFonts w:cs="Arial"/>
        </w:rPr>
        <w:t>13</w:t>
      </w:r>
      <w:r w:rsidR="0023343E">
        <w:rPr>
          <w:rFonts w:cs="Arial"/>
        </w:rPr>
        <w:t>-A.</w:t>
      </w:r>
      <w:r w:rsidR="00186AFA">
        <w:rPr>
          <w:rFonts w:cs="Arial"/>
        </w:rPr>
        <w:t>15</w:t>
      </w:r>
      <w:r w:rsidR="0023343E">
        <w:rPr>
          <w:rFonts w:cs="Arial"/>
        </w:rPr>
        <w:t xml:space="preserve"> (radial) of Attachment A to Appendix F.</w:t>
      </w:r>
      <w:r w:rsidR="00186AFA">
        <w:rPr>
          <w:rFonts w:cs="Arial"/>
        </w:rPr>
        <w:t xml:space="preserve">  The table in Figure A.04 is used to determine the minimum spill volume that that is needed to cover a specified containment area.  If the spill volume is less that the tabulated value, the fire is treated as an unconfined spill</w:t>
      </w:r>
      <w:r w:rsidR="00AB34E0">
        <w:rPr>
          <w:rFonts w:cs="Arial"/>
        </w:rPr>
        <w:t xml:space="preserve"> even though a containment of the specified size is present.</w:t>
      </w:r>
    </w:p>
    <w:p w14:paraId="73F87968" w14:textId="3908CF4B" w:rsidR="007A10FD" w:rsidRPr="00C70CAC" w:rsidRDefault="007A10F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4021F14" w14:textId="731D9763" w:rsidR="001327FC" w:rsidRDefault="006010A3"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T</w:t>
      </w:r>
      <w:r w:rsidR="00315214">
        <w:rPr>
          <w:rFonts w:cs="Arial"/>
        </w:rPr>
        <w:t>wo</w:t>
      </w:r>
      <w:r w:rsidR="00315214" w:rsidRPr="00315214">
        <w:rPr>
          <w:rFonts w:cs="Arial"/>
        </w:rPr>
        <w:t xml:space="preserve"> Fire Dynamics Tools (FDTs) from </w:t>
      </w:r>
      <w:r w:rsidR="005D6CD0">
        <w:rPr>
          <w:rFonts w:cs="Arial"/>
        </w:rPr>
        <w:t>NUREG-1805</w:t>
      </w:r>
      <w:r w:rsidR="00E04A9E">
        <w:rPr>
          <w:rFonts w:cs="Arial"/>
        </w:rPr>
        <w:t xml:space="preserve"> Supplement 1</w:t>
      </w:r>
      <w:r w:rsidR="001762A8">
        <w:rPr>
          <w:rFonts w:cs="Arial"/>
        </w:rPr>
        <w:t>, Vol. 2</w:t>
      </w:r>
      <w:r w:rsidR="00315214" w:rsidRPr="00315214">
        <w:rPr>
          <w:rFonts w:cs="Arial"/>
        </w:rPr>
        <w:t xml:space="preserve"> </w:t>
      </w:r>
      <w:r w:rsidR="00F261FC">
        <w:rPr>
          <w:rFonts w:cs="Arial"/>
        </w:rPr>
        <w:t xml:space="preserve">(Reference 11) </w:t>
      </w:r>
      <w:r w:rsidR="00315214" w:rsidRPr="00315214">
        <w:rPr>
          <w:rFonts w:cs="Arial"/>
        </w:rPr>
        <w:t>were used to generate t</w:t>
      </w:r>
      <w:r w:rsidR="00315214">
        <w:rPr>
          <w:rFonts w:cs="Arial"/>
        </w:rPr>
        <w:t>he vertical and radial ZOI values</w:t>
      </w:r>
      <w:r w:rsidR="00315214" w:rsidRPr="00315214">
        <w:rPr>
          <w:rFonts w:cs="Arial"/>
        </w:rPr>
        <w:t xml:space="preserve"> that are presented in </w:t>
      </w:r>
      <w:r w:rsidR="00905DC7">
        <w:rPr>
          <w:rFonts w:cs="Arial"/>
        </w:rPr>
        <w:t>t</w:t>
      </w:r>
      <w:r>
        <w:rPr>
          <w:rFonts w:cs="Arial"/>
        </w:rPr>
        <w:t>able/</w:t>
      </w:r>
      <w:r w:rsidR="00905DC7">
        <w:rPr>
          <w:rFonts w:cs="Arial"/>
        </w:rPr>
        <w:t>p</w:t>
      </w:r>
      <w:r>
        <w:rPr>
          <w:rFonts w:cs="Arial"/>
        </w:rPr>
        <w:t>lot set A of Attachment 8 to Appendix F</w:t>
      </w:r>
      <w:r w:rsidR="00315214">
        <w:rPr>
          <w:rFonts w:cs="Arial"/>
        </w:rPr>
        <w:t>.</w:t>
      </w:r>
      <w:r>
        <w:rPr>
          <w:rFonts w:cs="Arial"/>
        </w:rPr>
        <w:t xml:space="preserve"> </w:t>
      </w:r>
      <w:r w:rsidR="00F31841">
        <w:rPr>
          <w:rFonts w:cs="Arial"/>
        </w:rPr>
        <w:t xml:space="preserve"> </w:t>
      </w:r>
      <w:r w:rsidR="00B62FBC">
        <w:rPr>
          <w:rFonts w:cs="Arial"/>
        </w:rPr>
        <w:t xml:space="preserve">The two FDT are </w:t>
      </w:r>
      <w:r w:rsidR="001327FC">
        <w:rPr>
          <w:rFonts w:cs="Arial"/>
        </w:rPr>
        <w:t>identified</w:t>
      </w:r>
      <w:r w:rsidR="00B62FBC">
        <w:rPr>
          <w:rFonts w:cs="Arial"/>
        </w:rPr>
        <w:t xml:space="preserve"> below.  </w:t>
      </w:r>
      <w:r w:rsidR="00F31841">
        <w:rPr>
          <w:rFonts w:cs="Arial"/>
        </w:rPr>
        <w:t xml:space="preserve">The assumptions that were made in these calculations are discussed in </w:t>
      </w:r>
      <w:r w:rsidR="00F31841" w:rsidRPr="00DC5993">
        <w:rPr>
          <w:rFonts w:cs="Arial"/>
        </w:rPr>
        <w:t>Section</w:t>
      </w:r>
      <w:r w:rsidR="007A73D0">
        <w:rPr>
          <w:rFonts w:cs="Arial"/>
        </w:rPr>
        <w:t xml:space="preserve"> 0</w:t>
      </w:r>
      <w:r w:rsidR="007A73D0" w:rsidRPr="00DC5993">
        <w:rPr>
          <w:rFonts w:cs="Arial"/>
        </w:rPr>
        <w:t>6.</w:t>
      </w:r>
      <w:r w:rsidR="007A73D0">
        <w:rPr>
          <w:rFonts w:cs="Arial"/>
        </w:rPr>
        <w:t>03</w:t>
      </w:r>
      <w:r w:rsidR="007A73D0" w:rsidRPr="00DC5993">
        <w:rPr>
          <w:rFonts w:cs="Arial"/>
        </w:rPr>
        <w:t>.</w:t>
      </w:r>
      <w:r w:rsidR="007A73D0">
        <w:rPr>
          <w:rFonts w:cs="Arial"/>
        </w:rPr>
        <w:t>0</w:t>
      </w:r>
      <w:r w:rsidR="007A73D0" w:rsidRPr="00DC5993">
        <w:rPr>
          <w:rFonts w:cs="Arial"/>
        </w:rPr>
        <w:t>1</w:t>
      </w:r>
      <w:r w:rsidR="00F31841" w:rsidRPr="00DC5993">
        <w:rPr>
          <w:rFonts w:cs="Arial"/>
        </w:rPr>
        <w:t>.</w:t>
      </w:r>
      <w:r w:rsidR="00F31841">
        <w:rPr>
          <w:rFonts w:cs="Arial"/>
        </w:rPr>
        <w:t xml:space="preserve">  </w:t>
      </w:r>
      <w:r w:rsidR="001327FC">
        <w:rPr>
          <w:rFonts w:cs="Arial"/>
        </w:rPr>
        <w:t>To automate the development of the tables and plots in Attachment 8 to Appendix F, the FDT calculations were implemented in a series of spreadsheets.</w:t>
      </w:r>
    </w:p>
    <w:p w14:paraId="0AE4BE29" w14:textId="77777777" w:rsidR="001327FC" w:rsidRDefault="001327FC"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F1B6882" w14:textId="37A07B17" w:rsidR="00FE797B" w:rsidRPr="00C70CAC" w:rsidRDefault="00B62FBC"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B62FBC">
        <w:rPr>
          <w:rFonts w:cs="Arial"/>
        </w:rPr>
        <w:t xml:space="preserve">As an alternative to using the pre-calculated </w:t>
      </w:r>
      <w:r w:rsidR="0079408D">
        <w:rPr>
          <w:rFonts w:cs="Arial"/>
        </w:rPr>
        <w:t xml:space="preserve">ZOI </w:t>
      </w:r>
      <w:r w:rsidRPr="00B62FBC">
        <w:rPr>
          <w:rFonts w:cs="Arial"/>
        </w:rPr>
        <w:t xml:space="preserve">tables and plots, the analyst may choose to use the </w:t>
      </w:r>
      <w:r w:rsidR="00A92E4C">
        <w:rPr>
          <w:rFonts w:cs="Arial"/>
        </w:rPr>
        <w:t xml:space="preserve">aforementioned </w:t>
      </w:r>
      <w:r w:rsidRPr="00B62FBC">
        <w:rPr>
          <w:rFonts w:cs="Arial"/>
        </w:rPr>
        <w:t xml:space="preserve">FDT spreadsheets supplied with </w:t>
      </w:r>
      <w:r w:rsidR="00F261FC">
        <w:rPr>
          <w:rFonts w:cs="Arial"/>
        </w:rPr>
        <w:t>Reference 11</w:t>
      </w:r>
      <w:r w:rsidRPr="00B62FBC">
        <w:rPr>
          <w:rFonts w:cs="Arial"/>
        </w:rPr>
        <w:t xml:space="preserve"> to perform custom calculations.  This approach may also be useful to analyze cases for which the input parameters are outside the range considered in the development of the tables and plots.</w:t>
      </w:r>
      <w:r w:rsidR="00FE797B" w:rsidRPr="00C70CAC">
        <w:rPr>
          <w:rFonts w:cs="Arial"/>
        </w:rPr>
        <w:t xml:space="preserve">  It is recommended that additional guidance be sought from either the Regional or Headquarters staff if </w:t>
      </w:r>
      <w:r w:rsidR="00A06F37">
        <w:rPr>
          <w:rFonts w:cs="Arial"/>
        </w:rPr>
        <w:t>the analyst decides or needs to perform custom FDT calculations</w:t>
      </w:r>
      <w:r w:rsidR="00FE797B" w:rsidRPr="00C70CAC">
        <w:rPr>
          <w:rFonts w:cs="Arial"/>
        </w:rPr>
        <w:t>.</w:t>
      </w:r>
    </w:p>
    <w:p w14:paraId="5AEA6451" w14:textId="5276AE00" w:rsidR="00FE797B" w:rsidRDefault="00FE797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2253A2" w14:textId="1F981678" w:rsidR="00FE797B" w:rsidRPr="009C52BA" w:rsidRDefault="00FE797B" w:rsidP="009C52BA">
      <w:pPr>
        <w:rPr>
          <w:u w:val="single"/>
        </w:rPr>
      </w:pPr>
      <w:r w:rsidRPr="009C52BA">
        <w:rPr>
          <w:u w:val="single"/>
        </w:rPr>
        <w:t xml:space="preserve">Plume </w:t>
      </w:r>
      <w:r w:rsidR="00E76601" w:rsidRPr="009C52BA">
        <w:rPr>
          <w:u w:val="single"/>
        </w:rPr>
        <w:t xml:space="preserve">centerline </w:t>
      </w:r>
      <w:r w:rsidRPr="009C52BA">
        <w:rPr>
          <w:u w:val="single"/>
        </w:rPr>
        <w:t>temperature correlation</w:t>
      </w:r>
    </w:p>
    <w:p w14:paraId="7BEF4D3B"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F0DFFB4" w14:textId="23A22430" w:rsidR="00FE797B"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plume </w:t>
      </w:r>
      <w:r w:rsidR="00E76601">
        <w:rPr>
          <w:rFonts w:cs="Arial"/>
        </w:rPr>
        <w:t xml:space="preserve">centerline </w:t>
      </w:r>
      <w:r w:rsidRPr="00C70CAC">
        <w:rPr>
          <w:rFonts w:cs="Arial"/>
        </w:rPr>
        <w:t xml:space="preserve">temperature correlation described in Chapter 9 of </w:t>
      </w:r>
      <w:r w:rsidR="00F261FC">
        <w:rPr>
          <w:rFonts w:cs="Arial"/>
        </w:rPr>
        <w:t>Reference 1</w:t>
      </w:r>
      <w:r w:rsidR="00EA1844">
        <w:rPr>
          <w:rFonts w:cs="Arial"/>
        </w:rPr>
        <w:t>0</w:t>
      </w:r>
      <w:r w:rsidR="004532A5">
        <w:rPr>
          <w:rFonts w:cs="Arial"/>
        </w:rPr>
        <w:t xml:space="preserve"> was used to develop </w:t>
      </w:r>
      <w:r w:rsidR="00BC22DF">
        <w:rPr>
          <w:rFonts w:cs="Arial"/>
        </w:rPr>
        <w:t>the vertical</w:t>
      </w:r>
      <w:r w:rsidR="004532A5">
        <w:rPr>
          <w:rFonts w:cs="Arial"/>
        </w:rPr>
        <w:t xml:space="preserve"> </w:t>
      </w:r>
      <w:r w:rsidR="00662F09">
        <w:rPr>
          <w:rFonts w:cs="Arial"/>
        </w:rPr>
        <w:t xml:space="preserve">ZOI </w:t>
      </w:r>
      <w:r w:rsidR="00BC22DF">
        <w:rPr>
          <w:rFonts w:cs="Arial"/>
        </w:rPr>
        <w:t xml:space="preserve">tables and plots in </w:t>
      </w:r>
      <w:r w:rsidR="004532A5">
        <w:rPr>
          <w:rFonts w:cs="Arial"/>
        </w:rPr>
        <w:t xml:space="preserve">Attachment 8 </w:t>
      </w:r>
      <w:r w:rsidR="00BC22DF">
        <w:rPr>
          <w:rFonts w:cs="Arial"/>
        </w:rPr>
        <w:t>to</w:t>
      </w:r>
      <w:r w:rsidR="004532A5">
        <w:rPr>
          <w:rFonts w:cs="Arial"/>
        </w:rPr>
        <w:t xml:space="preserve"> Appendix F</w:t>
      </w:r>
      <w:r w:rsidRPr="00C70CAC">
        <w:rPr>
          <w:rFonts w:cs="Arial"/>
        </w:rPr>
        <w:t>.</w:t>
      </w:r>
      <w:r w:rsidR="00F31841">
        <w:rPr>
          <w:rFonts w:cs="Arial"/>
        </w:rPr>
        <w:t xml:space="preserve">  </w:t>
      </w:r>
      <w:r w:rsidRPr="00C70CAC">
        <w:rPr>
          <w:rFonts w:cs="Arial"/>
        </w:rPr>
        <w:t xml:space="preserve">The following </w:t>
      </w:r>
      <w:r w:rsidR="00F261FC">
        <w:rPr>
          <w:rFonts w:cs="Arial"/>
        </w:rPr>
        <w:lastRenderedPageBreak/>
        <w:t>Reference 11</w:t>
      </w:r>
      <w:r w:rsidR="001327FC">
        <w:rPr>
          <w:rFonts w:cs="Arial"/>
        </w:rPr>
        <w:t xml:space="preserve"> </w:t>
      </w:r>
      <w:r w:rsidRPr="00C70CAC">
        <w:rPr>
          <w:rFonts w:cs="Arial"/>
        </w:rPr>
        <w:t xml:space="preserve">spreadsheet </w:t>
      </w:r>
      <w:r w:rsidR="001327FC">
        <w:rPr>
          <w:rFonts w:cs="Arial"/>
        </w:rPr>
        <w:t>can be</w:t>
      </w:r>
      <w:r w:rsidRPr="00C70CAC">
        <w:rPr>
          <w:rFonts w:cs="Arial"/>
        </w:rPr>
        <w:t xml:space="preserve"> used to calculate </w:t>
      </w:r>
      <w:r w:rsidR="0001797E">
        <w:rPr>
          <w:rFonts w:cs="Arial"/>
        </w:rPr>
        <w:t xml:space="preserve">the </w:t>
      </w:r>
      <w:r w:rsidRPr="00C70CAC">
        <w:rPr>
          <w:rFonts w:cs="Arial"/>
        </w:rPr>
        <w:t>centerline temperature of a buoyant fire plume</w:t>
      </w:r>
      <w:r w:rsidR="0001797E">
        <w:rPr>
          <w:rFonts w:cs="Arial"/>
        </w:rPr>
        <w:t xml:space="preserve"> and the vertical ZOI</w:t>
      </w:r>
      <w:r w:rsidRPr="00C70CAC">
        <w:rPr>
          <w:rFonts w:cs="Arial"/>
        </w:rPr>
        <w:t>:</w:t>
      </w:r>
    </w:p>
    <w:p w14:paraId="5B49B722" w14:textId="77777777" w:rsidR="00FE797B"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71762D2" w14:textId="0A579797" w:rsidR="00FE797B" w:rsidRPr="00C70CAC" w:rsidRDefault="002F473D" w:rsidP="0034587C">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outlineLvl w:val="9"/>
        <w:rPr>
          <w:rFonts w:cs="Arial"/>
        </w:rPr>
      </w:pPr>
      <w:r w:rsidRPr="002F473D">
        <w:rPr>
          <w:rFonts w:cs="Arial"/>
        </w:rPr>
        <w:t>09_Plume_Temperature_Calculations_Sup1</w:t>
      </w:r>
      <w:r w:rsidR="00FE797B" w:rsidRPr="00C70CAC">
        <w:rPr>
          <w:rFonts w:cs="Arial"/>
        </w:rPr>
        <w:t>.xls</w:t>
      </w:r>
      <w:r w:rsidR="00031659">
        <w:rPr>
          <w:rFonts w:cs="Arial"/>
        </w:rPr>
        <w:t>.</w:t>
      </w:r>
    </w:p>
    <w:p w14:paraId="5737089A"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551CE97" w14:textId="0B789806" w:rsidR="00FE797B" w:rsidRPr="00C70CAC" w:rsidRDefault="002F473D"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To duplicate the vertical ZOI values in </w:t>
      </w:r>
      <w:r w:rsidR="00905DC7">
        <w:rPr>
          <w:rFonts w:cs="Arial"/>
        </w:rPr>
        <w:t>table/plot</w:t>
      </w:r>
      <w:r w:rsidR="008C39BB">
        <w:rPr>
          <w:rFonts w:cs="Arial"/>
        </w:rPr>
        <w:t xml:space="preserve"> set A</w:t>
      </w:r>
      <w:r>
        <w:rPr>
          <w:rFonts w:cs="Arial"/>
        </w:rPr>
        <w:t xml:space="preserve"> of Attachment 8 </w:t>
      </w:r>
      <w:r w:rsidR="008C39BB">
        <w:rPr>
          <w:rFonts w:cs="Arial"/>
        </w:rPr>
        <w:t>to</w:t>
      </w:r>
      <w:r>
        <w:rPr>
          <w:rFonts w:cs="Arial"/>
        </w:rPr>
        <w:t xml:space="preserve"> Appendix F the analyst should make the same assumptions</w:t>
      </w:r>
      <w:r w:rsidR="007A73D0">
        <w:rPr>
          <w:rFonts w:cs="Arial"/>
        </w:rPr>
        <w:t xml:space="preserve"> (see Section 06.03.01.01)</w:t>
      </w:r>
      <w:r>
        <w:rPr>
          <w:rFonts w:cs="Arial"/>
        </w:rPr>
        <w:t xml:space="preserve">.  </w:t>
      </w:r>
    </w:p>
    <w:p w14:paraId="5E6F5E1B"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3DE1CCD"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plume correlation is dependent on the fire location, and in particular, must be adjusted for fires located adjacent to a wall or corner as follows:</w:t>
      </w:r>
    </w:p>
    <w:p w14:paraId="2B03C74E" w14:textId="77777777" w:rsidR="00FE797B" w:rsidRDefault="00FE797B" w:rsidP="0056790B">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4B01C54A" w14:textId="31E9E17F" w:rsidR="00FE797B" w:rsidRDefault="00FE797B" w:rsidP="0035366F">
      <w:pPr>
        <w:pStyle w:val="Level2"/>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For fires in an open area away from walls or </w:t>
      </w:r>
      <w:r w:rsidR="00E93748" w:rsidRPr="00C70CAC">
        <w:rPr>
          <w:rFonts w:cs="Arial"/>
        </w:rPr>
        <w:t>corners,</w:t>
      </w:r>
      <w:r w:rsidRPr="00C70CAC">
        <w:rPr>
          <w:rFonts w:cs="Arial"/>
        </w:rPr>
        <w:t xml:space="preserve"> the </w:t>
      </w:r>
      <w:r w:rsidR="002F473D">
        <w:rPr>
          <w:rFonts w:cs="Arial"/>
        </w:rPr>
        <w:t>98</w:t>
      </w:r>
      <w:r w:rsidR="002F473D" w:rsidRPr="002F473D">
        <w:rPr>
          <w:rFonts w:cs="Arial"/>
          <w:vertAlign w:val="superscript"/>
        </w:rPr>
        <w:t>th</w:t>
      </w:r>
      <w:r w:rsidR="002F473D">
        <w:rPr>
          <w:rFonts w:cs="Arial"/>
        </w:rPr>
        <w:t xml:space="preserve"> percentile </w:t>
      </w:r>
      <w:r w:rsidRPr="00C70CAC">
        <w:rPr>
          <w:rFonts w:cs="Arial"/>
        </w:rPr>
        <w:t xml:space="preserve">HRR </w:t>
      </w:r>
      <w:r w:rsidR="00EC1A61">
        <w:rPr>
          <w:rFonts w:cs="Arial"/>
        </w:rPr>
        <w:t>and the characteristic dimension (effective diameter) of t</w:t>
      </w:r>
      <w:r w:rsidR="002F473D">
        <w:rPr>
          <w:rFonts w:cs="Arial"/>
        </w:rPr>
        <w:t xml:space="preserve">he ignition source </w:t>
      </w:r>
      <w:r w:rsidR="00E6364C">
        <w:rPr>
          <w:rFonts w:cs="Arial"/>
        </w:rPr>
        <w:t>are</w:t>
      </w:r>
      <w:r w:rsidR="00E6364C" w:rsidRPr="00C70CAC">
        <w:rPr>
          <w:rFonts w:cs="Arial"/>
        </w:rPr>
        <w:t xml:space="preserve"> </w:t>
      </w:r>
      <w:r w:rsidRPr="00C70CAC">
        <w:rPr>
          <w:rFonts w:cs="Arial"/>
        </w:rPr>
        <w:t>used in the plume temperature calculation directly.</w:t>
      </w:r>
    </w:p>
    <w:p w14:paraId="2FEA7563" w14:textId="7B204893" w:rsidR="00FE797B" w:rsidRPr="00C70CAC" w:rsidRDefault="00FE797B" w:rsidP="0035366F">
      <w:pPr>
        <w:pStyle w:val="Level2"/>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9"/>
        <w:rPr>
          <w:rFonts w:cs="Arial"/>
        </w:rPr>
      </w:pPr>
      <w:r w:rsidRPr="00C70CAC">
        <w:rPr>
          <w:rFonts w:cs="Arial"/>
        </w:rPr>
        <w:t xml:space="preserve">For a fire located directly next to a corner, the </w:t>
      </w:r>
      <w:r w:rsidR="00E6364C">
        <w:rPr>
          <w:rFonts w:cs="Arial"/>
        </w:rPr>
        <w:t>98</w:t>
      </w:r>
      <w:r w:rsidR="00E6364C" w:rsidRPr="00E6364C">
        <w:rPr>
          <w:rFonts w:cs="Arial"/>
          <w:vertAlign w:val="superscript"/>
        </w:rPr>
        <w:t>th</w:t>
      </w:r>
      <w:r w:rsidR="00E6364C">
        <w:rPr>
          <w:rFonts w:cs="Arial"/>
        </w:rPr>
        <w:t xml:space="preserve"> percentile </w:t>
      </w:r>
      <w:r w:rsidRPr="00C70CAC">
        <w:rPr>
          <w:rFonts w:cs="Arial"/>
        </w:rPr>
        <w:t>HRR is multiplied by four</w:t>
      </w:r>
      <w:r w:rsidR="00E6364C">
        <w:rPr>
          <w:rFonts w:cs="Arial"/>
        </w:rPr>
        <w:t xml:space="preserve"> and the characteristic dimension is multiplied by two</w:t>
      </w:r>
      <w:r w:rsidRPr="00C70CAC">
        <w:rPr>
          <w:rFonts w:cs="Arial"/>
        </w:rPr>
        <w:t xml:space="preserve"> in the plume temperature calculation.</w:t>
      </w:r>
      <w:r w:rsidR="008D4687">
        <w:rPr>
          <w:rFonts w:cs="Arial"/>
        </w:rPr>
        <w:t xml:space="preserve">  The basis for these adjustments is discussed in </w:t>
      </w:r>
      <w:r w:rsidR="007A73D0">
        <w:rPr>
          <w:rFonts w:cs="Arial"/>
        </w:rPr>
        <w:t>Section 06.03.01.01</w:t>
      </w:r>
      <w:r w:rsidR="008D4687">
        <w:rPr>
          <w:rFonts w:cs="Arial"/>
        </w:rPr>
        <w:t>.</w:t>
      </w:r>
    </w:p>
    <w:p w14:paraId="50A6227E" w14:textId="6B35500F" w:rsidR="00FE797B"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74D3B45" w14:textId="399F0D9D" w:rsidR="00E6364C" w:rsidRDefault="00E6364C"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The 2013 version of Appendix F recommends that for a fire located directly next to a wall, the 98</w:t>
      </w:r>
      <w:r w:rsidRPr="00E6364C">
        <w:rPr>
          <w:rFonts w:cs="Arial"/>
          <w:vertAlign w:val="superscript"/>
        </w:rPr>
        <w:t>th</w:t>
      </w:r>
      <w:r>
        <w:rPr>
          <w:rFonts w:cs="Arial"/>
        </w:rPr>
        <w:t xml:space="preserve"> percentile HRR is multiplied by two.</w:t>
      </w:r>
      <w:r w:rsidR="00BC22DF">
        <w:rPr>
          <w:rFonts w:cs="Arial"/>
        </w:rPr>
        <w:t xml:space="preserve">  Wall fire adjustments are not considered in the present Fire Protection SDP, but the analyst may retain the adjustment if hand calculations are used in lieu of the vertical ZOI tables and plots in Attachment 8 to Appendix F.</w:t>
      </w:r>
      <w:r w:rsidR="008F62FE">
        <w:rPr>
          <w:rFonts w:cs="Arial"/>
        </w:rPr>
        <w:t xml:space="preserve">  In this case the analysist should multiply the HRR by two and the characteristic dimension by the square root of two.</w:t>
      </w:r>
      <w:r w:rsidR="00BC22DF">
        <w:rPr>
          <w:rFonts w:cs="Arial"/>
        </w:rPr>
        <w:t xml:space="preserve"> </w:t>
      </w:r>
    </w:p>
    <w:p w14:paraId="25CFA3C5" w14:textId="77777777" w:rsidR="00E6364C" w:rsidRPr="00C70CAC" w:rsidRDefault="00E6364C"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0861936" w14:textId="00F7CE44"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For the purposes of the </w:t>
      </w:r>
      <w:r w:rsidR="00E6364C">
        <w:rPr>
          <w:rFonts w:cs="Arial"/>
        </w:rPr>
        <w:t>P</w:t>
      </w:r>
      <w:r w:rsidR="00E6364C" w:rsidRPr="00C70CAC">
        <w:rPr>
          <w:rFonts w:cs="Arial"/>
        </w:rPr>
        <w:t xml:space="preserve">hase </w:t>
      </w:r>
      <w:r w:rsidRPr="00C70CAC">
        <w:rPr>
          <w:rFonts w:cs="Arial"/>
        </w:rPr>
        <w:t xml:space="preserve">2 analysis, a fire is considered to be </w:t>
      </w:r>
      <w:r>
        <w:rPr>
          <w:rFonts w:cs="Arial"/>
        </w:rPr>
        <w:t>“</w:t>
      </w:r>
      <w:r w:rsidRPr="00C70CAC">
        <w:rPr>
          <w:rFonts w:cs="Arial"/>
        </w:rPr>
        <w:t>near</w:t>
      </w:r>
      <w:r>
        <w:rPr>
          <w:rFonts w:cs="Arial"/>
        </w:rPr>
        <w:t>”</w:t>
      </w:r>
      <w:r w:rsidRPr="00C70CAC">
        <w:rPr>
          <w:rFonts w:cs="Arial"/>
        </w:rPr>
        <w:t xml:space="preserve"> a wall if its outer edge is within two feet of a wall, or is </w:t>
      </w:r>
      <w:r>
        <w:rPr>
          <w:rFonts w:cs="Arial"/>
        </w:rPr>
        <w:t>“</w:t>
      </w:r>
      <w:r w:rsidRPr="00C70CAC">
        <w:rPr>
          <w:rFonts w:cs="Arial"/>
        </w:rPr>
        <w:t>near</w:t>
      </w:r>
      <w:r>
        <w:rPr>
          <w:rFonts w:cs="Arial"/>
        </w:rPr>
        <w:t>”</w:t>
      </w:r>
      <w:r w:rsidRPr="00C70CAC">
        <w:rPr>
          <w:rFonts w:cs="Arial"/>
        </w:rPr>
        <w:t xml:space="preserve"> a corner if within two feet of each of the two walls making up the corner.</w:t>
      </w:r>
    </w:p>
    <w:p w14:paraId="0381F381"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B6748E6" w14:textId="3DB0B695" w:rsidR="00FE797B" w:rsidRPr="009C52BA" w:rsidRDefault="00FE797B" w:rsidP="009C52BA">
      <w:pPr>
        <w:rPr>
          <w:u w:val="single"/>
        </w:rPr>
      </w:pPr>
      <w:r w:rsidRPr="009C52BA">
        <w:rPr>
          <w:u w:val="single"/>
        </w:rPr>
        <w:t>Radiant heat</w:t>
      </w:r>
      <w:r w:rsidR="008C39BB" w:rsidRPr="009C52BA">
        <w:rPr>
          <w:u w:val="single"/>
        </w:rPr>
        <w:t xml:space="preserve"> flux</w:t>
      </w:r>
      <w:r w:rsidRPr="009C52BA">
        <w:rPr>
          <w:u w:val="single"/>
        </w:rPr>
        <w:t xml:space="preserve"> correlation</w:t>
      </w:r>
    </w:p>
    <w:p w14:paraId="34645966"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8C68097" w14:textId="0371A044"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w:t>
      </w:r>
      <w:r w:rsidR="006E22B8">
        <w:rPr>
          <w:rFonts w:cs="Arial"/>
        </w:rPr>
        <w:t xml:space="preserve">“Point Source” </w:t>
      </w:r>
      <w:r w:rsidRPr="00C70CAC">
        <w:rPr>
          <w:rFonts w:cs="Arial"/>
        </w:rPr>
        <w:t xml:space="preserve">correlation for estimating </w:t>
      </w:r>
      <w:r w:rsidR="00BC22DF">
        <w:rPr>
          <w:rFonts w:cs="Arial"/>
        </w:rPr>
        <w:t>the</w:t>
      </w:r>
      <w:r w:rsidR="00BC22DF" w:rsidRPr="00C70CAC">
        <w:rPr>
          <w:rFonts w:cs="Arial"/>
        </w:rPr>
        <w:t xml:space="preserve"> </w:t>
      </w:r>
      <w:r w:rsidRPr="00C70CAC">
        <w:rPr>
          <w:rFonts w:cs="Arial"/>
        </w:rPr>
        <w:t xml:space="preserve">radiant </w:t>
      </w:r>
      <w:r w:rsidR="00BC22DF">
        <w:rPr>
          <w:rFonts w:cs="Arial"/>
        </w:rPr>
        <w:t>heat flux to a target</w:t>
      </w:r>
      <w:r w:rsidRPr="00C70CAC">
        <w:rPr>
          <w:rFonts w:cs="Arial"/>
        </w:rPr>
        <w:t xml:space="preserve"> described in Chapter 5 of </w:t>
      </w:r>
      <w:r w:rsidR="00AC6D31">
        <w:rPr>
          <w:rFonts w:cs="Arial"/>
        </w:rPr>
        <w:t>Refere</w:t>
      </w:r>
      <w:r w:rsidR="00EA1844">
        <w:rPr>
          <w:rFonts w:cs="Arial"/>
        </w:rPr>
        <w:t>nce 10</w:t>
      </w:r>
      <w:r w:rsidR="00E04A9E">
        <w:rPr>
          <w:rFonts w:cs="Arial"/>
        </w:rPr>
        <w:t xml:space="preserve"> </w:t>
      </w:r>
      <w:r w:rsidR="00662F09">
        <w:rPr>
          <w:rFonts w:cs="Arial"/>
        </w:rPr>
        <w:t>was used to develop the radial ZOI tables and plots in Attachment 8 to Appendix F</w:t>
      </w:r>
      <w:r w:rsidRPr="00C70CAC">
        <w:rPr>
          <w:rFonts w:cs="Arial"/>
        </w:rPr>
        <w:t xml:space="preserve">.  </w:t>
      </w:r>
      <w:r w:rsidR="00662F09" w:rsidRPr="00C70CAC">
        <w:rPr>
          <w:rFonts w:cs="Arial"/>
        </w:rPr>
        <w:t xml:space="preserve">The following </w:t>
      </w:r>
      <w:r w:rsidR="00EA1844">
        <w:rPr>
          <w:rFonts w:cs="Arial"/>
        </w:rPr>
        <w:t>Reference 11</w:t>
      </w:r>
      <w:r w:rsidR="00E04A9E">
        <w:rPr>
          <w:rFonts w:cs="Arial"/>
        </w:rPr>
        <w:t xml:space="preserve"> </w:t>
      </w:r>
      <w:r w:rsidR="00662F09" w:rsidRPr="00C70CAC">
        <w:rPr>
          <w:rFonts w:cs="Arial"/>
        </w:rPr>
        <w:t xml:space="preserve">spreadsheet </w:t>
      </w:r>
      <w:r w:rsidR="00662F09">
        <w:rPr>
          <w:rFonts w:cs="Arial"/>
        </w:rPr>
        <w:t>can be</w:t>
      </w:r>
      <w:r w:rsidR="00662F09" w:rsidRPr="00C70CAC">
        <w:rPr>
          <w:rFonts w:cs="Arial"/>
        </w:rPr>
        <w:t xml:space="preserve"> used to calculate </w:t>
      </w:r>
      <w:r w:rsidR="00662F09">
        <w:rPr>
          <w:rFonts w:cs="Arial"/>
        </w:rPr>
        <w:t>the radiant heat flux</w:t>
      </w:r>
      <w:r w:rsidR="00A471F6">
        <w:rPr>
          <w:rFonts w:cs="Arial"/>
        </w:rPr>
        <w:t xml:space="preserve"> </w:t>
      </w:r>
      <w:r w:rsidR="00662F09">
        <w:rPr>
          <w:rFonts w:cs="Arial"/>
        </w:rPr>
        <w:t>from the fire to a target and the radial ZOI</w:t>
      </w:r>
      <w:r w:rsidR="00662F09" w:rsidRPr="00C70CAC">
        <w:rPr>
          <w:rFonts w:cs="Arial"/>
        </w:rPr>
        <w:t>:</w:t>
      </w:r>
    </w:p>
    <w:p w14:paraId="423FCEDD" w14:textId="77777777" w:rsidR="00FE797B" w:rsidRDefault="00FE797B" w:rsidP="0056790B">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9"/>
        <w:rPr>
          <w:rFonts w:cs="Arial"/>
        </w:rPr>
      </w:pPr>
    </w:p>
    <w:p w14:paraId="7FE4E482" w14:textId="7AFEBBC5" w:rsidR="009B73AF" w:rsidRPr="009B73AF" w:rsidRDefault="009B73AF" w:rsidP="006D6055">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outlineLvl w:val="9"/>
        <w:rPr>
          <w:rFonts w:cs="Arial"/>
        </w:rPr>
      </w:pPr>
      <w:r w:rsidRPr="009B73AF">
        <w:rPr>
          <w:rFonts w:cs="Arial"/>
        </w:rPr>
        <w:t>05.1_Heat_Flux_Calculations_Wind_Free_Su1.xls (Click on Point Source Tab)</w:t>
      </w:r>
      <w:r>
        <w:rPr>
          <w:rFonts w:cs="Arial"/>
        </w:rPr>
        <w:t>.</w:t>
      </w:r>
    </w:p>
    <w:p w14:paraId="0C9AEA76"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3D20945" w14:textId="5F1EDF50" w:rsidR="00FE797B" w:rsidRPr="00C70CAC" w:rsidRDefault="008C39B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 xml:space="preserve">To duplicate the radial ZOI values in </w:t>
      </w:r>
      <w:r w:rsidR="00905DC7">
        <w:rPr>
          <w:rFonts w:cs="Arial"/>
        </w:rPr>
        <w:t>table/plot</w:t>
      </w:r>
      <w:r>
        <w:rPr>
          <w:rFonts w:cs="Arial"/>
        </w:rPr>
        <w:t xml:space="preserve"> set A of Attachment 8 to Appendix F the analyst should make the same assumptions (see</w:t>
      </w:r>
      <w:r w:rsidR="007A73D0">
        <w:rPr>
          <w:rFonts w:cs="Arial"/>
        </w:rPr>
        <w:t xml:space="preserve"> Section 06.03.01.02</w:t>
      </w:r>
      <w:r>
        <w:rPr>
          <w:rFonts w:cs="Arial"/>
        </w:rPr>
        <w:t>).</w:t>
      </w:r>
    </w:p>
    <w:p w14:paraId="5BBA83FE"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80DC19D" w14:textId="69FAE73D" w:rsidR="00B27F2A" w:rsidRDefault="0079404E" w:rsidP="004D46E2">
      <w:pPr>
        <w:pStyle w:val="Heading4"/>
      </w:pPr>
      <w:r>
        <w:t>Step</w:t>
      </w:r>
      <w:r w:rsidR="00B27F2A">
        <w:t xml:space="preserve"> 2.3.3: </w:t>
      </w:r>
      <w:r w:rsidR="007358B2" w:rsidRPr="007358B2">
        <w:t>FDS2 Ignition Source Screening</w:t>
      </w:r>
    </w:p>
    <w:p w14:paraId="4E3E635D"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6D3C07" w14:textId="4D42841D" w:rsidR="00FE797B" w:rsidRDefault="00301363"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Pre-calculated tables and plots</w:t>
      </w:r>
      <w:r w:rsidRPr="00C70CAC">
        <w:rPr>
          <w:rFonts w:cs="Arial"/>
        </w:rPr>
        <w:t xml:space="preserve"> have been </w:t>
      </w:r>
      <w:r>
        <w:rPr>
          <w:rFonts w:cs="Arial"/>
        </w:rPr>
        <w:t xml:space="preserve">developed that present the minimum HRR of a fire in a compartment that is </w:t>
      </w:r>
      <w:r w:rsidR="004235D7">
        <w:rPr>
          <w:rFonts w:cs="Arial"/>
        </w:rPr>
        <w:t>required</w:t>
      </w:r>
      <w:r>
        <w:rPr>
          <w:rFonts w:cs="Arial"/>
        </w:rPr>
        <w:t xml:space="preserve"> to create a damaging HGL as a function of the type of targets in and the physical dimensions </w:t>
      </w:r>
      <w:r w:rsidR="004235D7">
        <w:rPr>
          <w:rFonts w:cs="Arial"/>
        </w:rPr>
        <w:t>(floo</w:t>
      </w:r>
      <w:r>
        <w:rPr>
          <w:rFonts w:cs="Arial"/>
        </w:rPr>
        <w:t xml:space="preserve">r area and ceiling height) of the compartment.  The results of these calculations are presented in </w:t>
      </w:r>
      <w:r w:rsidR="00905DC7">
        <w:rPr>
          <w:rFonts w:cs="Arial"/>
        </w:rPr>
        <w:t>table/plot</w:t>
      </w:r>
      <w:r>
        <w:rPr>
          <w:rFonts w:cs="Arial"/>
        </w:rPr>
        <w:t xml:space="preserve"> set B of Attachment 8 to Appendix F.</w:t>
      </w:r>
      <w:r w:rsidR="004235D7">
        <w:rPr>
          <w:rFonts w:cs="Arial"/>
        </w:rPr>
        <w:t xml:space="preserve">  The tables and plots</w:t>
      </w:r>
      <w:r w:rsidR="00FE797B" w:rsidRPr="00C70CAC">
        <w:rPr>
          <w:rFonts w:cs="Arial"/>
        </w:rPr>
        <w:t xml:space="preserve"> </w:t>
      </w:r>
      <w:r w:rsidR="0079408D">
        <w:rPr>
          <w:rFonts w:cs="Arial"/>
        </w:rPr>
        <w:t xml:space="preserve">in set B are used </w:t>
      </w:r>
      <w:r w:rsidR="00FE797B" w:rsidRPr="00C70CAC">
        <w:rPr>
          <w:rFonts w:cs="Arial"/>
        </w:rPr>
        <w:t>to ensure that general heating of a room by a fire ignition source, in and of itself, cannot lead to component damage.  Few fire sources will be of sufficient intensity, in and of themselves, to cause widespread damage in a room.  Exceptions will be encountered given either a relatively small room and/or particularly challenging fire sources (e.g., oil-filled transformers or the turbine generator set).</w:t>
      </w:r>
    </w:p>
    <w:p w14:paraId="256E9E1A" w14:textId="7F2769B5" w:rsidR="0079408D" w:rsidRDefault="0079408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60F4C60" w14:textId="5192D35D" w:rsidR="0079408D" w:rsidRPr="00C70CAC" w:rsidRDefault="0079408D"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Pr>
          <w:rFonts w:cs="Arial"/>
        </w:rPr>
        <w:t>The FDT</w:t>
      </w:r>
      <w:r w:rsidRPr="00315214">
        <w:rPr>
          <w:rFonts w:cs="Arial"/>
        </w:rPr>
        <w:t xml:space="preserve"> from </w:t>
      </w:r>
      <w:r w:rsidR="00EA1844">
        <w:rPr>
          <w:rFonts w:cs="Arial"/>
        </w:rPr>
        <w:t>Reference 11</w:t>
      </w:r>
      <w:r w:rsidRPr="00315214">
        <w:rPr>
          <w:rFonts w:cs="Arial"/>
        </w:rPr>
        <w:t xml:space="preserve"> </w:t>
      </w:r>
      <w:r>
        <w:rPr>
          <w:rFonts w:cs="Arial"/>
        </w:rPr>
        <w:t>that was</w:t>
      </w:r>
      <w:r w:rsidRPr="00315214">
        <w:rPr>
          <w:rFonts w:cs="Arial"/>
        </w:rPr>
        <w:t xml:space="preserve"> used to generate t</w:t>
      </w:r>
      <w:r>
        <w:rPr>
          <w:rFonts w:cs="Arial"/>
        </w:rPr>
        <w:t xml:space="preserve">he HGL tables and plots in set A of Attachment 8 to Appendix F is </w:t>
      </w:r>
      <w:r w:rsidR="00E93748">
        <w:rPr>
          <w:rFonts w:cs="Arial"/>
        </w:rPr>
        <w:t>described</w:t>
      </w:r>
      <w:r>
        <w:rPr>
          <w:rFonts w:cs="Arial"/>
        </w:rPr>
        <w:t xml:space="preserve"> below.  The assumptions that were made in the HGL calculations are discussed in </w:t>
      </w:r>
      <w:r w:rsidR="007A73D0">
        <w:rPr>
          <w:rFonts w:cs="Arial"/>
        </w:rPr>
        <w:t>Section 06.03.02.</w:t>
      </w:r>
      <w:r>
        <w:rPr>
          <w:rFonts w:cs="Arial"/>
        </w:rPr>
        <w:t xml:space="preserve">  To automate the development of the HGL tables and plots in Attachment 8 to Appendix F, the FDT calculations were implemented in a series of spreadsheets.</w:t>
      </w:r>
    </w:p>
    <w:p w14:paraId="2FF1D3E7" w14:textId="0840475F" w:rsidR="00FE797B" w:rsidRDefault="00FE797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FECCAC" w14:textId="4C010497" w:rsidR="00270129" w:rsidRDefault="00270129"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62FBC">
        <w:rPr>
          <w:rFonts w:cs="Arial"/>
        </w:rPr>
        <w:t xml:space="preserve">As an alternative to using the pre-calculated </w:t>
      </w:r>
      <w:r>
        <w:rPr>
          <w:rFonts w:cs="Arial"/>
        </w:rPr>
        <w:t xml:space="preserve">HGL </w:t>
      </w:r>
      <w:r w:rsidRPr="00B62FBC">
        <w:rPr>
          <w:rFonts w:cs="Arial"/>
        </w:rPr>
        <w:t xml:space="preserve">tables and plots, the analyst may choose to use the </w:t>
      </w:r>
      <w:r w:rsidR="00A92E4C">
        <w:rPr>
          <w:rFonts w:cs="Arial"/>
        </w:rPr>
        <w:t xml:space="preserve">aforementioned </w:t>
      </w:r>
      <w:r w:rsidRPr="00B62FBC">
        <w:rPr>
          <w:rFonts w:cs="Arial"/>
        </w:rPr>
        <w:t xml:space="preserve">FDT spreadsheet supplied with </w:t>
      </w:r>
      <w:r w:rsidR="00EA1844">
        <w:rPr>
          <w:rFonts w:cs="Arial"/>
        </w:rPr>
        <w:t>Reference 11</w:t>
      </w:r>
      <w:r w:rsidRPr="00B62FBC">
        <w:rPr>
          <w:rFonts w:cs="Arial"/>
        </w:rPr>
        <w:t xml:space="preserve"> to perform custom calculations.  This approach may also be useful to analyze cases for which the input parameters are outside the range considered in the development of the tables and plots.</w:t>
      </w:r>
      <w:r w:rsidRPr="00C70CAC">
        <w:rPr>
          <w:rFonts w:cs="Arial"/>
        </w:rPr>
        <w:t xml:space="preserve">  It is recommended that additional guidance be sought from either the Regional or Headquarters staff if </w:t>
      </w:r>
      <w:r>
        <w:rPr>
          <w:rFonts w:cs="Arial"/>
        </w:rPr>
        <w:t>the analyst decides or needs to perform custom FDT calculations</w:t>
      </w:r>
      <w:r w:rsidRPr="00C70CAC">
        <w:rPr>
          <w:rFonts w:cs="Arial"/>
        </w:rPr>
        <w:t>.</w:t>
      </w:r>
    </w:p>
    <w:p w14:paraId="263A7B5C" w14:textId="77777777" w:rsidR="00270129" w:rsidRDefault="00270129"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1222DC" w14:textId="77777777" w:rsidR="00FE797B" w:rsidRPr="009C52BA" w:rsidRDefault="00FE797B" w:rsidP="009C52BA">
      <w:pPr>
        <w:rPr>
          <w:u w:val="single"/>
        </w:rPr>
      </w:pPr>
      <w:r w:rsidRPr="009C52BA">
        <w:rPr>
          <w:u w:val="single"/>
        </w:rPr>
        <w:t>Hot gas layer temperature analysis correlation</w:t>
      </w:r>
    </w:p>
    <w:p w14:paraId="1CD041A4"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C7303BF" w14:textId="7296F37D" w:rsidR="00FE797B" w:rsidRPr="00C70CAC" w:rsidRDefault="00270129"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w:t>
      </w:r>
      <w:r w:rsidR="00A471F6">
        <w:rPr>
          <w:rFonts w:cs="Arial"/>
        </w:rPr>
        <w:t xml:space="preserve">“Temperature-NV” </w:t>
      </w:r>
      <w:r w:rsidRPr="00C70CAC">
        <w:rPr>
          <w:rFonts w:cs="Arial"/>
        </w:rPr>
        <w:t xml:space="preserve">correlation described in Chapter </w:t>
      </w:r>
      <w:r w:rsidR="00A471F6">
        <w:rPr>
          <w:rFonts w:cs="Arial"/>
        </w:rPr>
        <w:t>2</w:t>
      </w:r>
      <w:r w:rsidRPr="00C70CAC">
        <w:rPr>
          <w:rFonts w:cs="Arial"/>
        </w:rPr>
        <w:t xml:space="preserve"> of </w:t>
      </w:r>
      <w:r w:rsidR="00EA1844">
        <w:rPr>
          <w:rFonts w:cs="Arial"/>
        </w:rPr>
        <w:t>Reference 10</w:t>
      </w:r>
      <w:r>
        <w:rPr>
          <w:rFonts w:cs="Arial"/>
        </w:rPr>
        <w:t xml:space="preserve"> was used to develop the </w:t>
      </w:r>
      <w:r w:rsidR="00A471F6">
        <w:rPr>
          <w:rFonts w:cs="Arial"/>
        </w:rPr>
        <w:t>HGL</w:t>
      </w:r>
      <w:r>
        <w:rPr>
          <w:rFonts w:cs="Arial"/>
        </w:rPr>
        <w:t xml:space="preserve"> tables and plots in Attachment 8 to Appendix F</w:t>
      </w:r>
      <w:r w:rsidRPr="00C70CAC">
        <w:rPr>
          <w:rFonts w:cs="Arial"/>
        </w:rPr>
        <w:t xml:space="preserve">.  The following </w:t>
      </w:r>
      <w:r w:rsidR="00EA1844">
        <w:rPr>
          <w:rFonts w:cs="Arial"/>
        </w:rPr>
        <w:t>Reference 11</w:t>
      </w:r>
      <w:r>
        <w:rPr>
          <w:rFonts w:cs="Arial"/>
        </w:rPr>
        <w:t xml:space="preserve"> </w:t>
      </w:r>
      <w:r w:rsidRPr="00C70CAC">
        <w:rPr>
          <w:rFonts w:cs="Arial"/>
        </w:rPr>
        <w:t xml:space="preserve">spreadsheet </w:t>
      </w:r>
      <w:r>
        <w:rPr>
          <w:rFonts w:cs="Arial"/>
        </w:rPr>
        <w:t>can be</w:t>
      </w:r>
      <w:r w:rsidRPr="00C70CAC">
        <w:rPr>
          <w:rFonts w:cs="Arial"/>
        </w:rPr>
        <w:t xml:space="preserve"> used to </w:t>
      </w:r>
      <w:r w:rsidR="00DF40C7">
        <w:rPr>
          <w:rFonts w:cs="Arial"/>
        </w:rPr>
        <w:t>calculate</w:t>
      </w:r>
      <w:r w:rsidR="00A471F6" w:rsidRPr="00C70CAC">
        <w:rPr>
          <w:rFonts w:cs="Arial"/>
        </w:rPr>
        <w:t xml:space="preserve"> </w:t>
      </w:r>
      <w:r w:rsidR="00A471F6">
        <w:rPr>
          <w:rFonts w:cs="Arial"/>
        </w:rPr>
        <w:t>the</w:t>
      </w:r>
      <w:r w:rsidR="00A471F6" w:rsidRPr="00C70CAC">
        <w:rPr>
          <w:rFonts w:cs="Arial"/>
        </w:rPr>
        <w:t xml:space="preserve"> </w:t>
      </w:r>
      <w:r w:rsidR="00A471F6">
        <w:rPr>
          <w:rFonts w:cs="Arial"/>
        </w:rPr>
        <w:t>HGL temperature</w:t>
      </w:r>
      <w:r w:rsidR="00DF40C7">
        <w:rPr>
          <w:rFonts w:cs="Arial"/>
        </w:rPr>
        <w:t xml:space="preserve"> for a fire with a specified HRR</w:t>
      </w:r>
      <w:r w:rsidR="00A471F6">
        <w:rPr>
          <w:rFonts w:cs="Arial"/>
        </w:rPr>
        <w:t xml:space="preserve"> in </w:t>
      </w:r>
      <w:r w:rsidR="00DF40C7">
        <w:rPr>
          <w:rFonts w:cs="Arial"/>
        </w:rPr>
        <w:t xml:space="preserve">a </w:t>
      </w:r>
      <w:r w:rsidR="00A471F6">
        <w:rPr>
          <w:rFonts w:cs="Arial"/>
        </w:rPr>
        <w:t>naturally vented compartment</w:t>
      </w:r>
      <w:r w:rsidRPr="00C70CAC">
        <w:rPr>
          <w:rFonts w:cs="Arial"/>
        </w:rPr>
        <w:t>:</w:t>
      </w:r>
    </w:p>
    <w:p w14:paraId="6363A80D"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132E9B2" w14:textId="42A5CF80" w:rsidR="00FE797B" w:rsidRPr="00C70CAC" w:rsidRDefault="00A471F6" w:rsidP="006D605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outlineLvl w:val="9"/>
        <w:rPr>
          <w:rFonts w:cs="Arial"/>
        </w:rPr>
      </w:pPr>
      <w:r w:rsidRPr="00A471F6">
        <w:rPr>
          <w:rFonts w:cs="Arial"/>
        </w:rPr>
        <w:t>02.1_Temperature_NV_Sup1</w:t>
      </w:r>
      <w:r w:rsidR="00FE797B" w:rsidRPr="00C70CAC">
        <w:rPr>
          <w:rFonts w:cs="Arial"/>
        </w:rPr>
        <w:t>.xls</w:t>
      </w:r>
      <w:r w:rsidR="00031659">
        <w:rPr>
          <w:rFonts w:cs="Arial"/>
        </w:rPr>
        <w:t>.</w:t>
      </w:r>
    </w:p>
    <w:p w14:paraId="2EAC671B"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6FC4719"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In most cases, the thermally thick correlation will apply.  Additional guidance is provided within the electronic spreadsheet.</w:t>
      </w:r>
    </w:p>
    <w:p w14:paraId="37404277"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9C123BE" w14:textId="2407FD5F" w:rsidR="00FE797B" w:rsidRDefault="00FE797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 xml:space="preserve">Using the spreadsheet, the predicted </w:t>
      </w:r>
      <w:r w:rsidR="00944342">
        <w:rPr>
          <w:rFonts w:cs="Arial"/>
        </w:rPr>
        <w:t>HGL</w:t>
      </w:r>
      <w:r w:rsidRPr="00C70CAC">
        <w:rPr>
          <w:rFonts w:cs="Arial"/>
        </w:rPr>
        <w:t xml:space="preserve"> temperature will rise with increasing time.  Screening should consider the temperature at 30 minutes.  By this time, conditions will be approaching steady state, and the likelihood of fire suppression is relatively high for most scenarios.  This is taken as a representative estimate of the </w:t>
      </w:r>
      <w:r w:rsidR="00DF40C7">
        <w:rPr>
          <w:rFonts w:cs="Arial"/>
        </w:rPr>
        <w:t>HGL</w:t>
      </w:r>
      <w:r w:rsidRPr="00C70CAC">
        <w:rPr>
          <w:rFonts w:cs="Arial"/>
        </w:rPr>
        <w:t xml:space="preserve"> temperature likely to be observed during an extended fire involving the fire ignition source.</w:t>
      </w:r>
    </w:p>
    <w:p w14:paraId="2FF514ED" w14:textId="77777777" w:rsidR="00FE797B" w:rsidRDefault="00FE797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93B4E1" w14:textId="5FFB3634" w:rsidR="00453A51" w:rsidRDefault="0079404E" w:rsidP="004D46E2">
      <w:pPr>
        <w:pStyle w:val="Heading4"/>
      </w:pPr>
      <w:r>
        <w:t>Step</w:t>
      </w:r>
      <w:r w:rsidR="00B27F2A">
        <w:t xml:space="preserve"> 2.3.4: </w:t>
      </w:r>
      <w:r w:rsidR="007358B2" w:rsidRPr="007358B2">
        <w:t>FDS3 Ignition Source Screening</w:t>
      </w:r>
    </w:p>
    <w:p w14:paraId="631B8F46"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544D6B" w14:textId="61BC83F3" w:rsidR="00453A51" w:rsidRDefault="00DF40C7"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screening step is only performed for findings in the “Fire Confinement” category.  </w:t>
      </w:r>
      <w:r w:rsidR="00860355">
        <w:t>The approach</w:t>
      </w:r>
      <w:r>
        <w:t xml:space="preserve"> is similar to that in Step 2.3.3, except that the two compartments that are separated by a degraded barrier are combined into </w:t>
      </w:r>
      <w:r w:rsidR="00860355">
        <w:t xml:space="preserve">a </w:t>
      </w:r>
      <w:r w:rsidR="00672EB2">
        <w:t>larger</w:t>
      </w:r>
      <w:r w:rsidR="00860355">
        <w:t xml:space="preserve"> </w:t>
      </w:r>
      <w:r w:rsidR="00672EB2">
        <w:t>virtual compartment</w:t>
      </w:r>
      <w:r>
        <w:t xml:space="preserve">.  The </w:t>
      </w:r>
      <w:r w:rsidR="00860355">
        <w:t xml:space="preserve">floor area of the </w:t>
      </w:r>
      <w:r w:rsidR="00672EB2">
        <w:t>virtual</w:t>
      </w:r>
      <w:r w:rsidR="00860355">
        <w:t xml:space="preserve"> compartment is equal to the sum of the floor areas of the compartments that are combined.  The ceiling height of the new compartment</w:t>
      </w:r>
      <w:r w:rsidR="00E010E4">
        <w:t xml:space="preserve"> </w:t>
      </w:r>
      <w:r w:rsidR="009E0844">
        <w:t>can conservati</w:t>
      </w:r>
      <w:r w:rsidR="004B66BB">
        <w:t>v</w:t>
      </w:r>
      <w:r w:rsidR="009E0844">
        <w:t xml:space="preserve">ely </w:t>
      </w:r>
      <w:r w:rsidR="004B66BB">
        <w:t xml:space="preserve">be </w:t>
      </w:r>
      <w:r w:rsidR="009E0844">
        <w:t xml:space="preserve">assumed </w:t>
      </w:r>
      <w:r w:rsidR="004B66BB">
        <w:t>as</w:t>
      </w:r>
      <w:r w:rsidR="009E0844">
        <w:t xml:space="preserve"> </w:t>
      </w:r>
      <w:r w:rsidR="00A92E4C">
        <w:t>the lower of the ceiling heights</w:t>
      </w:r>
      <w:r w:rsidR="00E010E4">
        <w:t xml:space="preserve"> of the compartments that are combined.</w:t>
      </w:r>
      <w:r w:rsidR="00CC241C">
        <w:t xml:space="preserve">  </w:t>
      </w:r>
      <w:r w:rsidR="009E0844">
        <w:t>The latter may be overly conservative i</w:t>
      </w:r>
      <w:r w:rsidR="00CC241C">
        <w:t>f the exposed compartment is significantly taller than the exposing compartment</w:t>
      </w:r>
      <w:r w:rsidR="009E0844">
        <w:t xml:space="preserve"> and comparable or larger in area.  In this case</w:t>
      </w:r>
      <w:r w:rsidR="000D1E92">
        <w:t>,</w:t>
      </w:r>
      <w:r w:rsidR="009E0844">
        <w:t xml:space="preserve"> </w:t>
      </w:r>
      <w:r w:rsidR="00CC241C">
        <w:t>the analyst may consider determin</w:t>
      </w:r>
      <w:r w:rsidR="009E0844">
        <w:t>ing</w:t>
      </w:r>
      <w:r w:rsidR="00CC241C">
        <w:t xml:space="preserve"> whether </w:t>
      </w:r>
      <w:r w:rsidR="009F79EC">
        <w:t>a</w:t>
      </w:r>
      <w:r w:rsidR="000D1E92">
        <w:t xml:space="preserve">ny of the </w:t>
      </w:r>
      <w:r w:rsidR="005F79D1">
        <w:t xml:space="preserve">ignition source </w:t>
      </w:r>
      <w:r w:rsidR="009F79EC">
        <w:t>fire</w:t>
      </w:r>
      <w:r w:rsidR="000D1E92">
        <w:t>s</w:t>
      </w:r>
      <w:r w:rsidR="009F79EC">
        <w:t xml:space="preserve"> </w:t>
      </w:r>
      <w:r w:rsidR="000D1E92">
        <w:t>postulated in the exposing compartment would be</w:t>
      </w:r>
      <w:r w:rsidR="00CC241C">
        <w:t xml:space="preserve"> capable of generating a damaging HGL</w:t>
      </w:r>
      <w:r w:rsidR="009F79EC">
        <w:t xml:space="preserve"> in the exposed compartment.  </w:t>
      </w:r>
      <w:r w:rsidR="000D1E92">
        <w:t>Ignition sources that only lead to fires with a maximum HRR that is ins</w:t>
      </w:r>
      <w:r w:rsidR="009E0844">
        <w:t xml:space="preserve">ufficient </w:t>
      </w:r>
      <w:r w:rsidR="000D1E92">
        <w:t xml:space="preserve">to cause a </w:t>
      </w:r>
      <w:r w:rsidR="009E0844">
        <w:t>damaging HGL</w:t>
      </w:r>
      <w:r w:rsidR="000D1E92">
        <w:t xml:space="preserve"> can </w:t>
      </w:r>
      <w:r w:rsidR="00C76E18">
        <w:t xml:space="preserve">then </w:t>
      </w:r>
      <w:r w:rsidR="000D1E92">
        <w:t>be screened.</w:t>
      </w:r>
    </w:p>
    <w:p w14:paraId="442AC54E"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7FEBE" w14:textId="43E88937" w:rsidR="00B27F2A" w:rsidRDefault="0079404E" w:rsidP="004D46E2">
      <w:pPr>
        <w:pStyle w:val="Heading4"/>
      </w:pPr>
      <w:r>
        <w:t>Step</w:t>
      </w:r>
      <w:r w:rsidR="00B27F2A">
        <w:t xml:space="preserve"> 2.3.5: Screening Check</w:t>
      </w:r>
    </w:p>
    <w:p w14:paraId="6B436546"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61E56A" w14:textId="77777777" w:rsidR="003121DA" w:rsidRPr="003121DA" w:rsidRDefault="003121DA" w:rsidP="003121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121DA">
        <w:t>No supplemental guidance is provided regarding this step.</w:t>
      </w:r>
    </w:p>
    <w:p w14:paraId="61ECC0AE" w14:textId="2F73ADC0" w:rsidR="00FE797B" w:rsidRDefault="00FE797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449C9C" w14:textId="2BBAEE47" w:rsidR="00B27F2A" w:rsidRDefault="00B27F2A" w:rsidP="004D46E2">
      <w:pPr>
        <w:pStyle w:val="Heading3"/>
      </w:pPr>
      <w:bookmarkStart w:id="73" w:name="_Toc481265386"/>
      <w:bookmarkStart w:id="74" w:name="_Toc511060866"/>
      <w:r>
        <w:lastRenderedPageBreak/>
        <w:t xml:space="preserve">Step 2.4: </w:t>
      </w:r>
      <w:r w:rsidR="00472550" w:rsidRPr="00472550">
        <w:t>Final Fire Ignition Frequency Estimates</w:t>
      </w:r>
      <w:bookmarkEnd w:id="73"/>
      <w:bookmarkEnd w:id="74"/>
    </w:p>
    <w:p w14:paraId="6F15A93C"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38E17D" w14:textId="3F1580CB" w:rsidR="00B27F2A" w:rsidRDefault="0079404E" w:rsidP="004D46E2">
      <w:pPr>
        <w:pStyle w:val="Heading4"/>
      </w:pPr>
      <w:r>
        <w:t>Step</w:t>
      </w:r>
      <w:r w:rsidR="00B27F2A">
        <w:t xml:space="preserve"> 2.4.1: Nominal Fire Frequency Estimation</w:t>
      </w:r>
    </w:p>
    <w:p w14:paraId="043D8EE9"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4CE5BA" w14:textId="172868AA" w:rsidR="00FE797B" w:rsidRPr="00C70CAC" w:rsidRDefault="00D82620"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t xml:space="preserve">FIFs for a range of ignition sources are tabulated in Attachment 4 to Appendix F.  </w:t>
      </w:r>
      <w:r w:rsidR="00FE797B" w:rsidRPr="00C70CAC">
        <w:rPr>
          <w:rFonts w:cs="Arial"/>
        </w:rPr>
        <w:t xml:space="preserve">For most fire ignition sources, the fire frequency is provided on a per component basis.  However, for non-qualified cables, transients, and hot work a relative ranking of fire areas as low, medium, or high is required.  The guidance for assigning these rankings is provided </w:t>
      </w:r>
      <w:r>
        <w:rPr>
          <w:rFonts w:cs="Arial"/>
        </w:rPr>
        <w:t>in Attachment 4 to Appendix F</w:t>
      </w:r>
      <w:r w:rsidR="00FE797B" w:rsidRPr="00C70CAC">
        <w:rPr>
          <w:rFonts w:cs="Arial"/>
        </w:rPr>
        <w:t>.</w:t>
      </w:r>
      <w:r>
        <w:rPr>
          <w:rFonts w:cs="Arial"/>
        </w:rPr>
        <w:t xml:space="preserve">  In addition, Table A4.1 in Attachment 4 to Appendix F gives plant-wide FIFs for segmented bus duct </w:t>
      </w:r>
      <w:r w:rsidR="007F4F20">
        <w:rPr>
          <w:rFonts w:cs="Arial"/>
        </w:rPr>
        <w:t>High Energy Arcing Faults (</w:t>
      </w:r>
      <w:r>
        <w:rPr>
          <w:rFonts w:cs="Arial"/>
        </w:rPr>
        <w:t>HEAFs</w:t>
      </w:r>
      <w:r w:rsidR="007F4F20">
        <w:rPr>
          <w:rFonts w:cs="Arial"/>
        </w:rPr>
        <w:t>)</w:t>
      </w:r>
      <w:r>
        <w:rPr>
          <w:rFonts w:cs="Arial"/>
        </w:rPr>
        <w:t xml:space="preserve">, battery chargers, and junction boxes.  Total plant-wide unit counts need to be obtained to determine the per unit frequencies for these ignition sources. </w:t>
      </w:r>
    </w:p>
    <w:p w14:paraId="298315F2" w14:textId="77777777" w:rsidR="00FE797B" w:rsidRPr="00C70CAC" w:rsidRDefault="00FE797B"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E2F69EE" w14:textId="2EB006B8" w:rsidR="00B27F2A" w:rsidRDefault="0079404E" w:rsidP="004D46E2">
      <w:pPr>
        <w:pStyle w:val="Heading4"/>
      </w:pPr>
      <w:r>
        <w:t>Step</w:t>
      </w:r>
      <w:r w:rsidR="00B27F2A">
        <w:t xml:space="preserve"> 2.4.2: Findings </w:t>
      </w:r>
      <w:r w:rsidR="00472550">
        <w:t>B</w:t>
      </w:r>
      <w:r w:rsidR="00B27F2A">
        <w:t>ased on Increase in Fire Frequency</w:t>
      </w:r>
    </w:p>
    <w:p w14:paraId="11E4384B"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2CDB47" w14:textId="11DED3FD" w:rsidR="00230CEA" w:rsidRPr="0034321D" w:rsidRDefault="00230CEA"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3Char"/>
        </w:rPr>
      </w:pPr>
      <w:bookmarkStart w:id="75" w:name="_Toc481265387"/>
      <w:bookmarkStart w:id="76" w:name="_Toc511060867"/>
      <w:r w:rsidRPr="0034321D">
        <w:rPr>
          <w:rStyle w:val="Heading3Char"/>
        </w:rPr>
        <w:t xml:space="preserve">High Degradation Findings </w:t>
      </w:r>
      <w:r w:rsidR="00852CB7">
        <w:rPr>
          <w:rStyle w:val="Heading3Char"/>
        </w:rPr>
        <w:t>against</w:t>
      </w:r>
      <w:r w:rsidRPr="0034321D">
        <w:rPr>
          <w:rStyle w:val="Heading3Char"/>
        </w:rPr>
        <w:t xml:space="preserve"> the </w:t>
      </w:r>
      <w:r w:rsidR="00B00F43">
        <w:rPr>
          <w:rStyle w:val="Heading3Char"/>
        </w:rPr>
        <w:t>C</w:t>
      </w:r>
      <w:r w:rsidRPr="0034321D">
        <w:rPr>
          <w:rStyle w:val="Heading3Char"/>
        </w:rPr>
        <w:t xml:space="preserve">ombustible </w:t>
      </w:r>
      <w:r w:rsidR="00B00F43">
        <w:rPr>
          <w:rStyle w:val="Heading3Char"/>
        </w:rPr>
        <w:t>C</w:t>
      </w:r>
      <w:r w:rsidRPr="0034321D">
        <w:rPr>
          <w:rStyle w:val="Heading3Char"/>
        </w:rPr>
        <w:t xml:space="preserve">ontrols </w:t>
      </w:r>
      <w:r w:rsidR="00B00F43">
        <w:rPr>
          <w:rStyle w:val="Heading3Char"/>
        </w:rPr>
        <w:t>P</w:t>
      </w:r>
      <w:r w:rsidRPr="0034321D">
        <w:rPr>
          <w:rStyle w:val="Heading3Char"/>
        </w:rPr>
        <w:t>rogram</w:t>
      </w:r>
      <w:bookmarkEnd w:id="75"/>
      <w:bookmarkEnd w:id="76"/>
    </w:p>
    <w:p w14:paraId="7FE4EEE2"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CAD47DF" w14:textId="17D9C524"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Recall that combustible control program findings are ranked as either high or low degradation</w:t>
      </w:r>
      <w:r w:rsidR="004E0B63">
        <w:rPr>
          <w:rFonts w:cs="Arial"/>
        </w:rPr>
        <w:t xml:space="preserve"> (see Attachment 2 to Appendix F)</w:t>
      </w:r>
      <w:r w:rsidRPr="00C70CAC">
        <w:rPr>
          <w:rFonts w:cs="Arial"/>
        </w:rPr>
        <w:t xml:space="preserve">.  Low degradation findings screen to </w:t>
      </w:r>
      <w:r w:rsidR="004E0B63">
        <w:rPr>
          <w:rFonts w:cs="Arial"/>
        </w:rPr>
        <w:t>G</w:t>
      </w:r>
      <w:r w:rsidR="004E0B63" w:rsidRPr="00C70CAC">
        <w:rPr>
          <w:rFonts w:cs="Arial"/>
        </w:rPr>
        <w:t xml:space="preserve">reen </w:t>
      </w:r>
      <w:r w:rsidRPr="00C70CAC">
        <w:rPr>
          <w:rFonts w:cs="Arial"/>
        </w:rPr>
        <w:t>in Phase 1.  Hence, this step only applies to high degradation findings.</w:t>
      </w:r>
    </w:p>
    <w:p w14:paraId="6EAADB8C"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BB58A23" w14:textId="08B2F1F5"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If the finding being evaluated involves a violation of the combustible controls program, then the fire frequency for transient fires may be increased to reflect an increased likelihood that improperly stored or inappropriate transient fuels might be ignited.  Fire areas are ranked using a low/medium/high likelihood ranking scheme for transient fires as described in </w:t>
      </w:r>
      <w:r w:rsidR="004E0B63">
        <w:rPr>
          <w:rFonts w:cs="Arial"/>
        </w:rPr>
        <w:t>Attachment 4 to Appendix F</w:t>
      </w:r>
      <w:r w:rsidRPr="00C70CAC">
        <w:rPr>
          <w:rFonts w:cs="Arial"/>
        </w:rPr>
        <w:t>.</w:t>
      </w:r>
    </w:p>
    <w:p w14:paraId="6E81395A"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E822D53" w14:textId="3BFD925F"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increase in fire frequency for a given fire area is reflected by increasing the likelihood ranking by one level from what would normally be assigned.  Thus, an area that would normally be ranked as low becomes medium, </w:t>
      </w:r>
      <w:r w:rsidR="00EF5D8B">
        <w:rPr>
          <w:rFonts w:cs="Arial"/>
        </w:rPr>
        <w:t xml:space="preserve">and </w:t>
      </w:r>
      <w:r w:rsidRPr="00C70CAC">
        <w:rPr>
          <w:rFonts w:cs="Arial"/>
        </w:rPr>
        <w:t>a medium area becomes high.  For a fire area already ranked as high likelihood for transient fires, the base fire frequency is multiplied by 3.</w:t>
      </w:r>
    </w:p>
    <w:p w14:paraId="1311BE45"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1A67C60" w14:textId="11D23B36" w:rsidR="00230CEA" w:rsidRPr="009C52BA" w:rsidRDefault="00230CEA" w:rsidP="009C52BA">
      <w:pPr>
        <w:rPr>
          <w:u w:val="single"/>
        </w:rPr>
      </w:pPr>
      <w:r w:rsidRPr="009C52BA">
        <w:rPr>
          <w:u w:val="single"/>
        </w:rPr>
        <w:t xml:space="preserve">High Degradation Findings </w:t>
      </w:r>
      <w:r w:rsidR="00852CB7" w:rsidRPr="009C52BA">
        <w:rPr>
          <w:u w:val="single"/>
        </w:rPr>
        <w:t xml:space="preserve">against </w:t>
      </w:r>
      <w:r w:rsidRPr="009C52BA">
        <w:rPr>
          <w:u w:val="single"/>
        </w:rPr>
        <w:t>a Hot Work Fire Watch</w:t>
      </w:r>
    </w:p>
    <w:p w14:paraId="5AFE4E42" w14:textId="77777777" w:rsidR="00230CEA" w:rsidRPr="00C70CAC" w:rsidRDefault="00230CEA" w:rsidP="0034321D"/>
    <w:p w14:paraId="690D1C94" w14:textId="4D4F852E" w:rsidR="00230CEA" w:rsidRPr="00C70CAC" w:rsidRDefault="00230CEA" w:rsidP="0034321D">
      <w:r w:rsidRPr="00C70CAC">
        <w:t xml:space="preserve">If the finding is associated with hot work permitting and/or hot work fire watch provisions of the fire protection program, then </w:t>
      </w:r>
      <w:r w:rsidR="006349F0">
        <w:t>Step</w:t>
      </w:r>
      <w:r w:rsidR="006349F0" w:rsidRPr="00C70CAC">
        <w:t xml:space="preserve"> </w:t>
      </w:r>
      <w:r w:rsidRPr="00C70CAC">
        <w:t xml:space="preserve">2.4.2 will increase the hot work fire frequency.  Hot work findings are ranked as either high or low, and low degradation findings screen to </w:t>
      </w:r>
      <w:r w:rsidR="006349F0">
        <w:t>G</w:t>
      </w:r>
      <w:r w:rsidR="006349F0" w:rsidRPr="00C70CAC">
        <w:t xml:space="preserve">reen </w:t>
      </w:r>
      <w:r w:rsidRPr="00C70CAC">
        <w:t xml:space="preserve">in Phase 1.  Hence, this step </w:t>
      </w:r>
      <w:r w:rsidR="006349F0">
        <w:t xml:space="preserve">is </w:t>
      </w:r>
      <w:r w:rsidRPr="00C70CAC">
        <w:t>only applied to high degradation hot work findings.</w:t>
      </w:r>
    </w:p>
    <w:p w14:paraId="370E5B78"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CD7CE2E"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As with the transient fire case, fire areas are ranked as low/medium/high likelihood for hot work fires.  A violation of hot work requirements in a fire area automatically results in a fire area being ranked as high likelihood for hot work fires.</w:t>
      </w:r>
    </w:p>
    <w:p w14:paraId="3E0D8E68"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91D0180"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However, the base fire frequency values for hot work fires already credit an effective hot work fire watch.  A high degradation means that the fire suppression function of the fire watch is compromised.  The fire event data show that at least 2 out of 3 hot work fires are suppressed promptly by the fire watch.  This has been credited in the base fire frequency estimates.  That is, the base fire frequency reflects only those fires where prompt suppression did not occur.  If the fire watch is not functional for fire suppression purposes, then removal of this credit is appropriate.</w:t>
      </w:r>
    </w:p>
    <w:p w14:paraId="58CF5D8C" w14:textId="77777777" w:rsidR="00230CEA" w:rsidRPr="00C70CAC" w:rsidRDefault="00230CEA"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8C34B6F" w14:textId="4F527520" w:rsidR="00230CEA" w:rsidRDefault="00230CEA"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lastRenderedPageBreak/>
        <w:t>For a high degradation of hot work administrative controls, the base hot work fire frequency for a high likelihood fire area is multiplied by a factor of 3.</w:t>
      </w:r>
    </w:p>
    <w:p w14:paraId="29642C76" w14:textId="77777777" w:rsidR="00230CEA" w:rsidRDefault="00230CEA"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FF8A0E" w14:textId="647AB05F" w:rsidR="00B27F2A" w:rsidRDefault="0079404E" w:rsidP="004D46E2">
      <w:pPr>
        <w:pStyle w:val="Heading4"/>
      </w:pPr>
      <w:r>
        <w:t>Step</w:t>
      </w:r>
      <w:r w:rsidR="00B27F2A">
        <w:t xml:space="preserve"> 2.4.3: Credit for Compensatory Measures</w:t>
      </w:r>
    </w:p>
    <w:p w14:paraId="784754B7"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83EB1F" w14:textId="0464576A" w:rsidR="00471DB0" w:rsidRPr="00C70CAC" w:rsidRDefault="00471DB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base fire frequency estimates include at least a nominal fire frequency for hot work and transient fires in all fire areas.  In </w:t>
      </w:r>
      <w:r w:rsidR="006349F0">
        <w:rPr>
          <w:rFonts w:cs="Arial"/>
        </w:rPr>
        <w:t>Step</w:t>
      </w:r>
      <w:r w:rsidR="006349F0" w:rsidRPr="00C70CAC">
        <w:rPr>
          <w:rFonts w:cs="Arial"/>
        </w:rPr>
        <w:t xml:space="preserve"> </w:t>
      </w:r>
      <w:r w:rsidRPr="00C70CAC">
        <w:rPr>
          <w:rFonts w:cs="Arial"/>
        </w:rPr>
        <w:t xml:space="preserve">2.4.1, the fire area must be ranked at least as low and hence is assigned some fire frequency.  </w:t>
      </w:r>
      <w:r w:rsidR="006349F0">
        <w:rPr>
          <w:rFonts w:cs="Arial"/>
        </w:rPr>
        <w:t>Step</w:t>
      </w:r>
      <w:r w:rsidR="006349F0" w:rsidRPr="00C70CAC">
        <w:rPr>
          <w:rFonts w:cs="Arial"/>
        </w:rPr>
        <w:t xml:space="preserve"> </w:t>
      </w:r>
      <w:r w:rsidRPr="00C70CAC">
        <w:rPr>
          <w:rFonts w:cs="Arial"/>
        </w:rPr>
        <w:t xml:space="preserve">2.4.3 credits administrative </w:t>
      </w:r>
      <w:r w:rsidR="00E93748" w:rsidRPr="00C70CAC">
        <w:rPr>
          <w:rFonts w:cs="Arial"/>
        </w:rPr>
        <w:t>controls, which</w:t>
      </w:r>
      <w:r w:rsidRPr="00C70CAC">
        <w:rPr>
          <w:rFonts w:cs="Arial"/>
        </w:rPr>
        <w:t xml:space="preserve"> prevent the introduction of combustibles or performance of hot work in a fire area during normal plant operations or during the exposure time of the finding if the plant-specific conditions merit this adjustment.  If hot work and/or transient fuels can be shown to never exist in the fire area, either during at power operations in general or during the exposure period associated with the finding, then no further development of the corresponding fire scenarios is required to complete the Phase 2 analysis.</w:t>
      </w:r>
    </w:p>
    <w:p w14:paraId="16DFBEDC" w14:textId="77777777" w:rsidR="00471DB0" w:rsidRPr="00C70CAC" w:rsidRDefault="00471DB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0A9B30C" w14:textId="12B2751A" w:rsidR="00471DB0" w:rsidRPr="00C70CAC" w:rsidRDefault="00471DB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following criteria are used to credit </w:t>
      </w:r>
      <w:r w:rsidR="00E93748" w:rsidRPr="00C70CAC">
        <w:rPr>
          <w:rFonts w:cs="Arial"/>
        </w:rPr>
        <w:t>measures that</w:t>
      </w:r>
      <w:r w:rsidRPr="00C70CAC">
        <w:rPr>
          <w:rFonts w:cs="Arial"/>
        </w:rPr>
        <w:t xml:space="preserve"> may reduce fire frequency:</w:t>
      </w:r>
    </w:p>
    <w:p w14:paraId="2946A4E2" w14:textId="77777777" w:rsidR="00471DB0" w:rsidRPr="009F5913" w:rsidRDefault="00471DB0"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6303D8F" w14:textId="77777777" w:rsidR="00471DB0" w:rsidRPr="0034321D" w:rsidRDefault="00471DB0" w:rsidP="0035366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34321D">
        <w:rPr>
          <w:rFonts w:cs="Arial"/>
        </w:rPr>
        <w:t>The revised transient combustible fire frequency is set to zero, and transient fire scenarios are dropped from further analysis, if there is a combustible control system supported by frequent surveillance patrols (at least once per shift) that would preclude transients from a fire area.   It is expected that a review of surveillance reports would be performed to identify any cases of improperly stored combustibles.  If surveillance reports indicating improperly stored materials during the finding exposure period are found, then the transients are retained.</w:t>
      </w:r>
    </w:p>
    <w:p w14:paraId="12D0AF18" w14:textId="618FDBD5" w:rsidR="00471DB0" w:rsidRPr="0034321D" w:rsidRDefault="00471DB0" w:rsidP="0035366F">
      <w:pPr>
        <w:pStyle w:val="ListParagraph"/>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34321D">
        <w:rPr>
          <w:rFonts w:cs="Arial"/>
        </w:rPr>
        <w:t xml:space="preserve">The revised hot work fire frequency is set to zero if it can be shown that no hot work has been performed in the area during the exposure period associated with the finding.  This could if hot work has been precluded under a </w:t>
      </w:r>
      <w:r w:rsidR="00B24BB1">
        <w:rPr>
          <w:rFonts w:cs="Arial"/>
        </w:rPr>
        <w:t>CM</w:t>
      </w:r>
      <w:r w:rsidRPr="0034321D">
        <w:rPr>
          <w:rFonts w:cs="Arial"/>
        </w:rPr>
        <w:t xml:space="preserve">, or if by normal practice hot work is explicitly prohibited during normal plant operations.  It is expected that hot work permits would be reviewed to confirm that no hot work occurred. </w:t>
      </w:r>
    </w:p>
    <w:p w14:paraId="561C4DD2" w14:textId="0655B4B3" w:rsidR="00230CEA" w:rsidRDefault="00230CEA"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01D826" w14:textId="58861BD5" w:rsidR="007B553B" w:rsidRDefault="007B553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Note that a zero </w:t>
      </w:r>
      <w:r w:rsidR="007E2FF1">
        <w:t>fire</w:t>
      </w:r>
      <w:r>
        <w:t xml:space="preserve"> frequency overall is not permitted for any location.</w:t>
      </w:r>
      <w:r w:rsidR="009A27B5">
        <w:t xml:space="preserve">  </w:t>
      </w:r>
      <w:r w:rsidR="007E2FF1">
        <w:t xml:space="preserve">The minimum fire frequency that can be assumed in a given location is 3.0E-6, which is the lowest per unit fire frequency in Table A4.1 of Attachment 4 to Appendix F.  Consequently, the full credit for </w:t>
      </w:r>
      <w:r w:rsidR="00B24BB1">
        <w:t>CMs</w:t>
      </w:r>
      <w:r w:rsidR="007E2FF1">
        <w:t xml:space="preserve"> cannot be taken in transient-free zones where no other ignition sources are present, for example.</w:t>
      </w:r>
    </w:p>
    <w:p w14:paraId="47C127B9" w14:textId="77777777" w:rsidR="007B553B" w:rsidRDefault="007B553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601693" w14:textId="11DFC1CC" w:rsidR="00B27F2A" w:rsidRDefault="0079404E" w:rsidP="004D46E2">
      <w:pPr>
        <w:pStyle w:val="Heading4"/>
      </w:pPr>
      <w:r>
        <w:t>Step</w:t>
      </w:r>
      <w:r w:rsidR="00B27F2A">
        <w:t xml:space="preserve"> 2.4.4: Screening Check</w:t>
      </w:r>
    </w:p>
    <w:p w14:paraId="5E4449CE"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3BD5C0" w14:textId="46599E4C" w:rsidR="007179D0" w:rsidRDefault="00672EB2"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Recall that at this stage of the analysis, fire frequencies are available to characterize each unscreened fire ignition source scenario.  </w:t>
      </w:r>
      <w:r w:rsidR="008B3E9F">
        <w:t>If at this point</w:t>
      </w:r>
      <w:r w:rsidR="00D806AF">
        <w:t xml:space="preserve"> Steps 2.5-2.7 have </w:t>
      </w:r>
      <w:r w:rsidR="00911026">
        <w:t xml:space="preserve">not </w:t>
      </w:r>
      <w:r w:rsidR="00D806AF">
        <w:t>been performed</w:t>
      </w:r>
      <w:r w:rsidR="00911026">
        <w:t xml:space="preserve"> yet</w:t>
      </w:r>
      <w:r w:rsidR="00D806AF">
        <w:t xml:space="preserve">, the </w:t>
      </w:r>
      <w:r w:rsidR="008B3E9F">
        <w:t xml:space="preserve">present </w:t>
      </w:r>
      <w:r w:rsidR="00D806AF">
        <w:t>screening check</w:t>
      </w:r>
      <w:r w:rsidR="002A68AE">
        <w:t xml:space="preserve"> </w:t>
      </w:r>
      <w:r w:rsidR="00F11CE4">
        <w:t>consists of</w:t>
      </w:r>
      <w:r w:rsidR="002A68AE">
        <w:t xml:space="preserve"> updat</w:t>
      </w:r>
      <w:r w:rsidR="00F11CE4">
        <w:t xml:space="preserve">ing the </w:t>
      </w:r>
      <w:r w:rsidR="00F11CE4">
        <w:sym w:font="Symbol" w:char="F044"/>
      </w:r>
      <w:r w:rsidR="00F11CE4">
        <w:t>CDF calculated in Step 2.</w:t>
      </w:r>
      <w:r w:rsidR="008B3E9F">
        <w:t>1.</w:t>
      </w:r>
      <w:r w:rsidR="00F11CE4">
        <w:t xml:space="preserve">8 with the refined area-wide FIF (sum of FIFs for all unscreened ignition sources).  If any of Steps 2.5-2.7 have been completed, the </w:t>
      </w:r>
      <w:r w:rsidR="008B3E9F">
        <w:t xml:space="preserve">present </w:t>
      </w:r>
      <w:r w:rsidR="00F11CE4">
        <w:t xml:space="preserve">screening check can be based on the updated </w:t>
      </w:r>
      <w:r w:rsidR="00F11CE4">
        <w:sym w:font="Symbol" w:char="F044"/>
      </w:r>
      <w:r w:rsidR="00F11CE4">
        <w:t xml:space="preserve">CDF </w:t>
      </w:r>
      <w:r w:rsidR="001A694D">
        <w:t xml:space="preserve">calculated </w:t>
      </w:r>
      <w:r w:rsidR="00F11CE4">
        <w:t>according to Equation 2, instead of Equation 1.</w:t>
      </w:r>
    </w:p>
    <w:p w14:paraId="41235C64" w14:textId="77777777" w:rsidR="00FD5075" w:rsidRDefault="00FD5075"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4ED6EC" w14:textId="08DF90C4" w:rsidR="00B27F2A" w:rsidRDefault="0079404E" w:rsidP="004D46E2">
      <w:pPr>
        <w:pStyle w:val="Heading3"/>
      </w:pPr>
      <w:bookmarkStart w:id="77" w:name="_Toc481265388"/>
      <w:bookmarkStart w:id="78" w:name="_Toc511060868"/>
      <w:r>
        <w:t>Step</w:t>
      </w:r>
      <w:r w:rsidR="00B27F2A">
        <w:t xml:space="preserve"> 2.5: </w:t>
      </w:r>
      <w:r w:rsidR="00472550" w:rsidRPr="00472550">
        <w:t xml:space="preserve">Final Conditional Core Damage Probability Estimates </w:t>
      </w:r>
      <w:r w:rsidR="00B27F2A">
        <w:t>Determination</w:t>
      </w:r>
      <w:bookmarkEnd w:id="77"/>
      <w:bookmarkEnd w:id="78"/>
    </w:p>
    <w:p w14:paraId="4FD852D0"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8FA6FD" w14:textId="6EFB18D6" w:rsidR="00FA79C0" w:rsidRDefault="00AD202B"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purpose of Step 2.5 is to </w:t>
      </w:r>
      <w:r w:rsidR="00CE4F36">
        <w:t>define</w:t>
      </w:r>
      <w:r>
        <w:t xml:space="preserve"> the target set that </w:t>
      </w:r>
      <w:r w:rsidR="00CE4F36">
        <w:t>will be</w:t>
      </w:r>
      <w:r>
        <w:t xml:space="preserve"> damaged in the </w:t>
      </w:r>
      <w:r w:rsidR="00CE4F36">
        <w:t xml:space="preserve">postulated </w:t>
      </w:r>
      <w:r>
        <w:t xml:space="preserve">FDS1, FDS2, and FDS3 scenarios initiated by the unscreened ignition sources </w:t>
      </w:r>
      <w:r w:rsidR="00CE4F36">
        <w:t xml:space="preserve">as </w:t>
      </w:r>
      <w:r>
        <w:t xml:space="preserve">determined </w:t>
      </w:r>
      <w:r w:rsidR="009C6577">
        <w:t>in</w:t>
      </w:r>
      <w:r>
        <w:t xml:space="preserve"> Step 2.3</w:t>
      </w:r>
      <w:r w:rsidR="00CE4F36">
        <w:t xml:space="preserve"> of the Fire Protection SDP</w:t>
      </w:r>
      <w:r>
        <w:t xml:space="preserve">. </w:t>
      </w:r>
      <w:r w:rsidR="00CE4F36">
        <w:t xml:space="preserve"> Guidance for the identification of targets and their damage and ignition </w:t>
      </w:r>
      <w:r w:rsidR="00E93748">
        <w:t>criteria</w:t>
      </w:r>
      <w:r w:rsidR="00CE4F36">
        <w:t xml:space="preserve"> is provided in Attachment 6 to Appendix F.  </w:t>
      </w:r>
      <w:r w:rsidR="00D653E1">
        <w:t xml:space="preserve">Once the damaged targets sets have </w:t>
      </w:r>
      <w:r w:rsidR="00D653E1">
        <w:lastRenderedPageBreak/>
        <w:t xml:space="preserve">been defined, the SRA can use the SPAR models to </w:t>
      </w:r>
      <w:r w:rsidR="004A47F1">
        <w:t>determine</w:t>
      </w:r>
      <w:r w:rsidR="00D653E1">
        <w:t xml:space="preserve"> the corresponding CCDP for each fire scenario.</w:t>
      </w:r>
      <w:r w:rsidR="005E205B">
        <w:t xml:space="preserve">  </w:t>
      </w:r>
      <w:r w:rsidR="00B64208">
        <w:t xml:space="preserve">At the discretion of the SRA, the CCDP obtained at this stage may account for effects due to human error and/or spurious operation.  </w:t>
      </w:r>
      <w:r w:rsidR="005D5046">
        <w:t>Typically, these effects are not considered in the Fire Protection SDP until Phase 3.  Fire human reliability analysis guidelines are provided in NUREG-1921</w:t>
      </w:r>
      <w:r w:rsidR="00C2145D">
        <w:t xml:space="preserve"> (Reference 12)</w:t>
      </w:r>
      <w:r w:rsidR="005D5046">
        <w:t>.  Spurious operation o</w:t>
      </w:r>
      <w:r w:rsidR="00B64208">
        <w:t>ccurrence and duration exceedance probabi</w:t>
      </w:r>
      <w:r w:rsidR="005D5046">
        <w:t>lities are reported in NUREG/CR-7150, Vol. 2</w:t>
      </w:r>
      <w:r w:rsidR="00C2145D">
        <w:t xml:space="preserve"> (Reference 13)</w:t>
      </w:r>
      <w:r w:rsidR="005D5046">
        <w:t>.</w:t>
      </w:r>
    </w:p>
    <w:p w14:paraId="31F4CE24" w14:textId="77777777" w:rsidR="00953131" w:rsidRDefault="0095313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980D8D" w14:textId="4E021461" w:rsidR="00B27F2A" w:rsidRDefault="0079404E" w:rsidP="004D46E2">
      <w:pPr>
        <w:pStyle w:val="Heading4"/>
      </w:pPr>
      <w:r>
        <w:t>Step</w:t>
      </w:r>
      <w:r w:rsidR="00B27F2A">
        <w:t xml:space="preserve"> 2.5.1: </w:t>
      </w:r>
      <w:r w:rsidR="00472550" w:rsidRPr="00472550">
        <w:t>Determine Damaged Target Set and CCDP for FDS1 Scenarios</w:t>
      </w:r>
    </w:p>
    <w:p w14:paraId="7C581114"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72E79C" w14:textId="715CE0CE" w:rsidR="00A53CC2" w:rsidRDefault="009C6577"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default assumption in the Phase 2 analysis of FDS1 scenarios is that the entire target set within the ZOI of the ignition source is damaged at the time that the nearest and most vulnerable target is damaged.  This may lead to overly conservative </w:t>
      </w:r>
      <w:r>
        <w:sym w:font="Symbol" w:char="F044"/>
      </w:r>
      <w:r>
        <w:t xml:space="preserve">CDF estimates if the CCDP of the </w:t>
      </w:r>
      <w:r w:rsidR="00FC14B3">
        <w:t xml:space="preserve">damaged target set is dominated by a target that is at a much greater distance from the ignition source than the nearest and most vulnerable target.  If this is the case, the analyst may choose to split the </w:t>
      </w:r>
      <w:r w:rsidR="00831F71">
        <w:t xml:space="preserve">damaged </w:t>
      </w:r>
      <w:r w:rsidR="00FC14B3">
        <w:t>target set</w:t>
      </w:r>
      <w:r w:rsidR="00831F71">
        <w:t xml:space="preserve"> for the scenario</w:t>
      </w:r>
      <w:r w:rsidR="00FC14B3">
        <w:t xml:space="preserve"> </w:t>
      </w:r>
      <w:r w:rsidR="00831F71">
        <w:t xml:space="preserve">into two smaller sets.  The first sub-set consists of targets that are </w:t>
      </w:r>
      <w:r w:rsidR="0007587F">
        <w:t xml:space="preserve">relatively </w:t>
      </w:r>
      <w:r w:rsidR="00831F71">
        <w:t xml:space="preserve">close to the ignition source and </w:t>
      </w:r>
      <w:r w:rsidR="00642A51">
        <w:t xml:space="preserve">of low risk significance.  The second sub-set consists of the more distant targets </w:t>
      </w:r>
      <w:r w:rsidR="00B00F43">
        <w:t>within the ZOI</w:t>
      </w:r>
      <w:r w:rsidR="00642A51">
        <w:t xml:space="preserve">, but account for the bulk of the CCDP.  The FDS1 scenario for the ignition source is essentially split into two </w:t>
      </w:r>
      <w:r w:rsidR="00B00F43">
        <w:t xml:space="preserve">FDS1 </w:t>
      </w:r>
      <w:r w:rsidR="00642A51">
        <w:t>scenarios with different target sets.  The first scenario will have a low CCDP, but a relatively high SF and NSP.  The second scenario will have a high CCDP, but a lower SF and NSP.</w:t>
      </w:r>
    </w:p>
    <w:p w14:paraId="3A7E03F4" w14:textId="77777777" w:rsidR="00FA79C0" w:rsidRDefault="00FA79C0"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104392" w14:textId="4AE8AE75" w:rsidR="00453A51" w:rsidRDefault="0079404E" w:rsidP="004D46E2">
      <w:pPr>
        <w:pStyle w:val="Heading4"/>
      </w:pPr>
      <w:r>
        <w:t>Step</w:t>
      </w:r>
      <w:r w:rsidR="00B27F2A">
        <w:t xml:space="preserve"> 2.5.</w:t>
      </w:r>
      <w:r w:rsidR="00472550">
        <w:t>2</w:t>
      </w:r>
      <w:r w:rsidR="00B27F2A">
        <w:t xml:space="preserve">: </w:t>
      </w:r>
      <w:r w:rsidR="00472550" w:rsidRPr="00472550">
        <w:t>Determine Damaged Target Set and CCDP for FDS2 Scenarios</w:t>
      </w:r>
    </w:p>
    <w:p w14:paraId="3361C401"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27F5E" w14:textId="515D083F" w:rsidR="00FA79C0" w:rsidRPr="00C70CAC" w:rsidRDefault="002621C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t>Usually the analyst only needs to consider FDS2 scenarios for a single target type, i.e., either thermoset</w:t>
      </w:r>
      <w:r w:rsidR="00021E23">
        <w:t xml:space="preserve"> (TS)</w:t>
      </w:r>
      <w:r>
        <w:t xml:space="preserve"> cables, thermoplastic </w:t>
      </w:r>
      <w:r w:rsidR="00690A12">
        <w:t xml:space="preserve">(TP) </w:t>
      </w:r>
      <w:r>
        <w:t xml:space="preserve">cables, or exposed temperature-sensitive electronics.  However, in some cases </w:t>
      </w:r>
      <w:r w:rsidR="00911026">
        <w:t xml:space="preserve">the analyst may decide to include FDS2 scenarios for multiple target types in the risk quantification.  This would be the case, for example, if a relatively even mixture of </w:t>
      </w:r>
      <w:r w:rsidR="00021E23">
        <w:t xml:space="preserve">TS </w:t>
      </w:r>
      <w:r w:rsidR="00911026">
        <w:t xml:space="preserve">and </w:t>
      </w:r>
      <w:r w:rsidR="00690A12">
        <w:t xml:space="preserve">TP </w:t>
      </w:r>
      <w:r w:rsidR="00911026">
        <w:t>cables is present in the compartment, and the CCDP associated with the failure of each cable type is comparable.</w:t>
      </w:r>
    </w:p>
    <w:p w14:paraId="4C5FD10B" w14:textId="77777777" w:rsidR="00FA79C0" w:rsidRDefault="00FA79C0"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920890" w14:textId="3C047623" w:rsidR="00453A51" w:rsidRDefault="0079404E" w:rsidP="004D46E2">
      <w:pPr>
        <w:pStyle w:val="Heading4"/>
      </w:pPr>
      <w:r>
        <w:t>Step</w:t>
      </w:r>
      <w:r w:rsidR="00B27F2A">
        <w:t xml:space="preserve"> 2.5.</w:t>
      </w:r>
      <w:r w:rsidR="0034321D">
        <w:t>3</w:t>
      </w:r>
      <w:r w:rsidR="00B27F2A">
        <w:t xml:space="preserve">: </w:t>
      </w:r>
      <w:r w:rsidR="00472550" w:rsidRPr="00472550">
        <w:t>Determine Damaged Target Set and CCDP for FDS3 Scenarios</w:t>
      </w:r>
    </w:p>
    <w:p w14:paraId="390B0344"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44E95F" w14:textId="77777777" w:rsidR="003121DA" w:rsidRPr="003121DA" w:rsidRDefault="003121DA" w:rsidP="003121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3121DA">
        <w:rPr>
          <w:rFonts w:cs="Arial"/>
        </w:rPr>
        <w:t>No supplemental guidance is provided regarding this step.</w:t>
      </w:r>
    </w:p>
    <w:p w14:paraId="03C69CCD" w14:textId="77777777" w:rsidR="00FA79C0" w:rsidRDefault="00FA79C0"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2AC433" w14:textId="1E14F546" w:rsidR="00453A51" w:rsidRDefault="0079404E" w:rsidP="004D46E2">
      <w:pPr>
        <w:pStyle w:val="Heading4"/>
      </w:pPr>
      <w:r>
        <w:t>Step</w:t>
      </w:r>
      <w:r w:rsidR="00B27F2A">
        <w:t xml:space="preserve"> 2.5.</w:t>
      </w:r>
      <w:r w:rsidR="0034321D">
        <w:t>4</w:t>
      </w:r>
      <w:r w:rsidR="00B27F2A">
        <w:t>: Screening Check</w:t>
      </w:r>
    </w:p>
    <w:p w14:paraId="10A9CAF6"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43CFA8" w14:textId="77777777" w:rsidR="003121DA" w:rsidRPr="003121DA" w:rsidRDefault="003121DA" w:rsidP="003121D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3121DA">
        <w:rPr>
          <w:rFonts w:cs="Arial"/>
        </w:rPr>
        <w:t>No supplemental guidance is provided regarding this step.</w:t>
      </w:r>
    </w:p>
    <w:p w14:paraId="7E9847C6" w14:textId="21E87732"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6B76FE" w14:textId="069EF7F6" w:rsidR="00B27F2A" w:rsidRDefault="00B27F2A" w:rsidP="004D46E2">
      <w:pPr>
        <w:pStyle w:val="Heading3"/>
      </w:pPr>
      <w:bookmarkStart w:id="79" w:name="_Toc481265389"/>
      <w:bookmarkStart w:id="80" w:name="_Toc511060869"/>
      <w:r>
        <w:t xml:space="preserve">Step 2.6: </w:t>
      </w:r>
      <w:r w:rsidR="00472550" w:rsidRPr="00472550">
        <w:t>Final Fire Severity Factor Estimates</w:t>
      </w:r>
      <w:bookmarkEnd w:id="79"/>
      <w:bookmarkEnd w:id="80"/>
    </w:p>
    <w:p w14:paraId="5C4220DD"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F39B45" w14:textId="7BA68E9C" w:rsidR="00453A51" w:rsidRDefault="00B27837"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8B3E9F">
        <w:t xml:space="preserve">he 2013 </w:t>
      </w:r>
      <w:r w:rsidR="00341130">
        <w:t>Fire Protection SDP</w:t>
      </w:r>
      <w:r>
        <w:t xml:space="preserve"> assigns an SF to each ignition source</w:t>
      </w:r>
      <w:r w:rsidR="00B73243">
        <w:t xml:space="preserve"> type and intensity (for “simple” ignition sources the SDP considers two HRR levels)</w:t>
      </w:r>
      <w:r>
        <w:t xml:space="preserve">.  </w:t>
      </w:r>
      <w:r w:rsidR="00CB6898">
        <w:t>In t</w:t>
      </w:r>
      <w:r>
        <w:t>he present Fire Protection SDP</w:t>
      </w:r>
      <w:r w:rsidR="00CB6898">
        <w:t>, the SF for fixed and transient ignition sources is determined based on the HRR required to cause damage to the nearest and most vulnerable target.  If th</w:t>
      </w:r>
      <w:r w:rsidR="00B73243">
        <w:t>is target</w:t>
      </w:r>
      <w:r w:rsidR="00CB6898">
        <w:t xml:space="preserve"> is located in the buoyant plume, the SF can be determined</w:t>
      </w:r>
      <w:r w:rsidR="00B06D7D">
        <w:t xml:space="preserve"> from </w:t>
      </w:r>
      <w:r w:rsidR="00905DC7">
        <w:t>table/plot</w:t>
      </w:r>
      <w:r w:rsidR="00B06D7D">
        <w:t xml:space="preserve"> set E in Attachment 8 to Appendix F</w:t>
      </w:r>
      <w:r w:rsidR="00CB6898">
        <w:t xml:space="preserve"> as a function of the elevation of the nearest and most vulnerable target above the ignition source.  </w:t>
      </w:r>
      <w:r w:rsidR="00B06D7D">
        <w:t>An example of using the pre-calculated SF tables and plots</w:t>
      </w:r>
      <w:r w:rsidR="00B73243">
        <w:t xml:space="preserve"> in set D</w:t>
      </w:r>
      <w:r w:rsidR="00B06D7D">
        <w:t xml:space="preserve"> is presented in </w:t>
      </w:r>
      <w:r w:rsidR="00ED3D4D">
        <w:t>Section 05.03.04</w:t>
      </w:r>
      <w:r w:rsidR="00B06D7D">
        <w:t xml:space="preserve">.  If the nearest and most vulnerable target is not in the buoyant plume, but heated by radiation, the SF can be determined </w:t>
      </w:r>
      <w:r w:rsidR="00B73243">
        <w:t xml:space="preserve">from </w:t>
      </w:r>
      <w:r w:rsidR="00905DC7">
        <w:t>table/plot</w:t>
      </w:r>
      <w:r w:rsidR="00B73243">
        <w:t xml:space="preserve"> set E in Attachment 8 to Appendix F</w:t>
      </w:r>
      <w:r w:rsidR="00B06D7D">
        <w:t>.</w:t>
      </w:r>
      <w:r w:rsidR="00B73243">
        <w:t xml:space="preserve">  An example of using the pre-calculated SF tables and plots in set E is presented in </w:t>
      </w:r>
      <w:r w:rsidR="003121DA">
        <w:lastRenderedPageBreak/>
        <w:t>Section </w:t>
      </w:r>
      <w:r w:rsidR="00ED3D4D">
        <w:t>05.03.05</w:t>
      </w:r>
      <w:r w:rsidR="00B73243">
        <w:t>.  HEAFs and liquid fuel spill fires (confined and unconfined) are assigned an SF of 1.0.</w:t>
      </w:r>
      <w:r w:rsidR="00B06D7D">
        <w:t xml:space="preserve"> </w:t>
      </w:r>
    </w:p>
    <w:p w14:paraId="45871836"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1FE9D7" w14:textId="3FAE6D6C" w:rsidR="00B27F2A" w:rsidRDefault="00B27F2A" w:rsidP="004D46E2">
      <w:pPr>
        <w:pStyle w:val="Heading3"/>
      </w:pPr>
      <w:bookmarkStart w:id="81" w:name="_Toc481265390"/>
      <w:bookmarkStart w:id="82" w:name="_Toc511060870"/>
      <w:r>
        <w:t>Step 2.7: Fi</w:t>
      </w:r>
      <w:r w:rsidR="00114074">
        <w:t>nal</w:t>
      </w:r>
      <w:r>
        <w:t xml:space="preserve"> Non-Suppression Probability </w:t>
      </w:r>
      <w:r w:rsidR="00114074">
        <w:t>Estimates</w:t>
      </w:r>
      <w:bookmarkEnd w:id="81"/>
      <w:bookmarkEnd w:id="82"/>
    </w:p>
    <w:p w14:paraId="1F4EB7FD" w14:textId="77777777" w:rsidR="00453A51" w:rsidRDefault="00453A5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379788" w14:textId="5956CFDB" w:rsidR="003B7DD3" w:rsidRDefault="003B7DD3"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8C70C2">
        <w:t>NSP</w:t>
      </w:r>
      <w:r>
        <w:t xml:space="preserve"> for a specified fire scenario is a function of </w:t>
      </w:r>
      <w:r w:rsidR="00D30DD2">
        <w:t>(1) the time available between start of the fire and failure of the critical component associated with the target set (usually cables) as determined by the plant response to the initiated accident scenario, (2) the time to damage of the target set for the scenario and (3)</w:t>
      </w:r>
      <w:r w:rsidR="003A3A26">
        <w:t xml:space="preserve"> </w:t>
      </w:r>
      <w:r>
        <w:t>the time to suppression</w:t>
      </w:r>
      <w:r w:rsidR="008666C3">
        <w:t xml:space="preserve"> of the fire</w:t>
      </w:r>
      <w:r>
        <w:t xml:space="preserve">.  The damage time for FDS1 scenarios is determined from </w:t>
      </w:r>
      <w:r w:rsidR="00905DC7">
        <w:t>table/plot</w:t>
      </w:r>
      <w:r w:rsidR="008666C3">
        <w:t xml:space="preserve"> set F for targets in the buoyant plume and from </w:t>
      </w:r>
      <w:r w:rsidR="00905DC7">
        <w:t>table/plot</w:t>
      </w:r>
      <w:r w:rsidR="008666C3">
        <w:t xml:space="preserve"> set G for targets heated by radiation.  Examples to illustrate the use of these tables and plots are provided in Sections </w:t>
      </w:r>
      <w:r w:rsidR="00CB30FF">
        <w:t>05.03.06</w:t>
      </w:r>
      <w:r w:rsidR="008666C3">
        <w:t xml:space="preserve"> and </w:t>
      </w:r>
      <w:r w:rsidR="00CB30FF">
        <w:t>05.03.07</w:t>
      </w:r>
      <w:r w:rsidR="008666C3">
        <w:t xml:space="preserve"> for set F and G, respectively.  </w:t>
      </w:r>
      <w:r w:rsidR="00685265">
        <w:t>The approach for determining the damage time for FDS2 scenarios involving secondary combustibles is illustrated in</w:t>
      </w:r>
      <w:r w:rsidR="00ED3D4D">
        <w:t xml:space="preserve"> </w:t>
      </w:r>
      <w:r w:rsidR="00C7451F">
        <w:t>Section 05.03.03.02.</w:t>
      </w:r>
      <w:r w:rsidR="00685265">
        <w:t xml:space="preserve"> </w:t>
      </w:r>
      <w:r w:rsidR="008666C3">
        <w:t xml:space="preserve"> </w:t>
      </w:r>
    </w:p>
    <w:p w14:paraId="16A3C18C" w14:textId="77777777" w:rsidR="003B7DD3" w:rsidRDefault="003B7DD3"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6A38BD" w14:textId="432B79CF" w:rsidR="00FA79C0" w:rsidRDefault="00FA79C0"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FA79C0">
        <w:rPr>
          <w:rFonts w:cs="Arial"/>
        </w:rPr>
        <w:t xml:space="preserve">The </w:t>
      </w:r>
      <w:r w:rsidR="008666C3">
        <w:rPr>
          <w:rFonts w:cs="Arial"/>
        </w:rPr>
        <w:t>determination of the</w:t>
      </w:r>
      <w:r w:rsidRPr="00FA79C0">
        <w:rPr>
          <w:rFonts w:cs="Arial"/>
        </w:rPr>
        <w:t xml:space="preserve"> fire suppression </w:t>
      </w:r>
      <w:r w:rsidR="008666C3">
        <w:rPr>
          <w:rFonts w:cs="Arial"/>
        </w:rPr>
        <w:t xml:space="preserve">time </w:t>
      </w:r>
      <w:r w:rsidRPr="00FA79C0">
        <w:rPr>
          <w:rFonts w:cs="Arial"/>
        </w:rPr>
        <w:t xml:space="preserve">also involves the analysis of the fire detection response.  Fire detection is important in the SDP context because it triggers the manual </w:t>
      </w:r>
      <w:r w:rsidR="00D30DD2" w:rsidRPr="00FA79C0">
        <w:rPr>
          <w:rFonts w:cs="Arial"/>
        </w:rPr>
        <w:t>response</w:t>
      </w:r>
      <w:r w:rsidR="00D30DD2">
        <w:rPr>
          <w:rFonts w:cs="Arial"/>
        </w:rPr>
        <w:t>, whether by fire brigade or other personnel</w:t>
      </w:r>
      <w:r w:rsidRPr="00FA79C0">
        <w:rPr>
          <w:rFonts w:cs="Arial"/>
        </w:rPr>
        <w:t xml:space="preserve">.  All of the manual </w:t>
      </w:r>
      <w:r w:rsidR="00E93748" w:rsidRPr="00FA79C0">
        <w:rPr>
          <w:rFonts w:cs="Arial"/>
        </w:rPr>
        <w:t>firefighting</w:t>
      </w:r>
      <w:r w:rsidRPr="00FA79C0">
        <w:rPr>
          <w:rFonts w:cs="Arial"/>
        </w:rPr>
        <w:t xml:space="preserve"> probability curves assume that fire detection has occurred.  Hence, the total fire duration when following a manual suppression path is the sum of the detection time plus the manual suppression time.  It is this total fire duration that is compared to the fire damage time to assess damage likelihood.</w:t>
      </w:r>
      <w:r w:rsidR="000678C4" w:rsidRPr="000678C4">
        <w:t xml:space="preserve"> </w:t>
      </w:r>
      <w:r w:rsidR="000678C4">
        <w:t xml:space="preserve"> Although the manual suppression time curves credit non-brigade response, for certain types or sizes of fires, it is not appropriate to credit suppression by plant personnel other than those specifically trained, i.e., the fire brigade</w:t>
      </w:r>
      <w:r w:rsidR="007B6AAA">
        <w:t>.</w:t>
      </w:r>
    </w:p>
    <w:p w14:paraId="181064AE" w14:textId="77777777" w:rsidR="00FA79C0" w:rsidRDefault="00FA79C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A6251CF" w14:textId="3F9DB90C" w:rsidR="00FA79C0" w:rsidRPr="00C70CAC" w:rsidRDefault="00FA79C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With regard to fire detection, the analysis approach credits the dominant path to fire detection only.  That is, while there are multiple paths to achieving fire detection, only one path needs to succeed.  In practice, only the path that leads to the shortest fire detection time is credited.  If there is a continuous fire watch, the detection time is zero.  In other cases, a fixed fire detection system, if installed, will be assumed to be the predominant means of detection.  Failing these two features, detection by general plant personnel </w:t>
      </w:r>
      <w:r w:rsidR="007B6AAA">
        <w:rPr>
          <w:rFonts w:cs="Arial"/>
        </w:rPr>
        <w:t>is</w:t>
      </w:r>
      <w:r w:rsidR="007B6AAA" w:rsidRPr="00C70CAC">
        <w:rPr>
          <w:rFonts w:cs="Arial"/>
        </w:rPr>
        <w:t xml:space="preserve"> </w:t>
      </w:r>
      <w:r w:rsidRPr="00C70CAC">
        <w:rPr>
          <w:rFonts w:cs="Arial"/>
        </w:rPr>
        <w:t>credited.</w:t>
      </w:r>
    </w:p>
    <w:p w14:paraId="68E9490A" w14:textId="77777777" w:rsidR="00FA79C0" w:rsidRPr="00C70CAC" w:rsidRDefault="00FA79C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8A3F27A" w14:textId="135AAAD2" w:rsidR="00FA79C0" w:rsidRPr="00C70CAC" w:rsidRDefault="00FA79C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With regard to fire suppression, all fire areas are covered by the manual fire brigade, but many plant areas will also have fixed fire suppression systems.  In general, if a fixed fire suppression system is in place and functional, it is presumed to be the first line of defense.  If the fixed system fails on demand, </w:t>
      </w:r>
      <w:r w:rsidRPr="00C7451F">
        <w:rPr>
          <w:rFonts w:cs="Arial"/>
        </w:rPr>
        <w:t xml:space="preserve">then </w:t>
      </w:r>
      <w:r w:rsidR="007B6AAA" w:rsidRPr="00C7451F">
        <w:rPr>
          <w:rFonts w:cs="Arial"/>
        </w:rPr>
        <w:t>manual response, either by plant personnel or the fire brigade</w:t>
      </w:r>
      <w:r w:rsidR="007B6AAA">
        <w:rPr>
          <w:rFonts w:cs="Arial"/>
        </w:rPr>
        <w:t>,</w:t>
      </w:r>
      <w:r w:rsidRPr="00C70CAC">
        <w:rPr>
          <w:rFonts w:cs="Arial"/>
        </w:rPr>
        <w:t xml:space="preserve"> is credited as a back-up means of fire suppression.  If there is no fixed suppression present, or if the fire suppression system is highly degraded, </w:t>
      </w:r>
      <w:r w:rsidR="007B6AAA">
        <w:rPr>
          <w:rFonts w:cs="Arial"/>
        </w:rPr>
        <w:t>manual response</w:t>
      </w:r>
      <w:r w:rsidRPr="00C70CAC">
        <w:rPr>
          <w:rFonts w:cs="Arial"/>
        </w:rPr>
        <w:t xml:space="preserve"> is credited as the primary means of fire suppression.</w:t>
      </w:r>
    </w:p>
    <w:p w14:paraId="249A171A" w14:textId="77777777" w:rsidR="00FA79C0" w:rsidRPr="00C70CAC" w:rsidRDefault="00FA79C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674FFAF" w14:textId="0FDF39A8" w:rsidR="00FA79C0" w:rsidRPr="00C70CAC" w:rsidRDefault="00FA79C0" w:rsidP="0056790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Supplemental guidance supporting the specific tasks under Step</w:t>
      </w:r>
      <w:r w:rsidR="00982E77">
        <w:rPr>
          <w:rFonts w:cs="Arial"/>
        </w:rPr>
        <w:t>s</w:t>
      </w:r>
      <w:r w:rsidRPr="00C70CAC">
        <w:rPr>
          <w:rFonts w:cs="Arial"/>
        </w:rPr>
        <w:t xml:space="preserve"> 2.7</w:t>
      </w:r>
      <w:r w:rsidR="00982E77">
        <w:rPr>
          <w:rFonts w:cs="Arial"/>
        </w:rPr>
        <w:t>.2-2.7.5</w:t>
      </w:r>
      <w:r w:rsidRPr="00C70CAC">
        <w:rPr>
          <w:rFonts w:cs="Arial"/>
        </w:rPr>
        <w:t xml:space="preserve"> is included as Attachment </w:t>
      </w:r>
      <w:r w:rsidR="00982E77">
        <w:rPr>
          <w:rFonts w:cs="Arial"/>
        </w:rPr>
        <w:t>7</w:t>
      </w:r>
      <w:r w:rsidR="00982E77" w:rsidRPr="00C70CAC">
        <w:rPr>
          <w:rFonts w:cs="Arial"/>
        </w:rPr>
        <w:t xml:space="preserve"> </w:t>
      </w:r>
      <w:r w:rsidRPr="00C70CAC">
        <w:rPr>
          <w:rFonts w:cs="Arial"/>
        </w:rPr>
        <w:t>to Appendix F.</w:t>
      </w:r>
    </w:p>
    <w:p w14:paraId="010B1FC6" w14:textId="77777777" w:rsidR="003B7E11" w:rsidRDefault="003B7E11"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1FC4BA" w14:textId="1917431C" w:rsidR="00186A04" w:rsidRDefault="00186A04" w:rsidP="00B43D79">
      <w:pPr>
        <w:pStyle w:val="Heading2"/>
        <w:ind w:hanging="1166"/>
      </w:pPr>
      <w:bookmarkStart w:id="83" w:name="_Toc481265391"/>
      <w:bookmarkStart w:id="84" w:name="_Toc511060871"/>
      <w:r>
        <w:t>Attachment 8: Tables and Plots Supporting the Phase 2 Risk Quantification</w:t>
      </w:r>
      <w:bookmarkEnd w:id="83"/>
      <w:bookmarkEnd w:id="84"/>
    </w:p>
    <w:p w14:paraId="2722FF74" w14:textId="77777777" w:rsidR="00EF76B3" w:rsidRDefault="00EF76B3"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0CAF222" w14:textId="79017F48"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Fonts w:cs="Arial"/>
        </w:rPr>
        <w:t>Attachment 8 to Appendix F consists of a collection of tables and plots that are used in support of a Phase 2 assessment</w:t>
      </w:r>
      <w:r w:rsidRPr="00012918">
        <w:rPr>
          <w:rFonts w:cs="Arial"/>
        </w:rPr>
        <w:t>.</w:t>
      </w:r>
      <w:r>
        <w:rPr>
          <w:rFonts w:cs="Arial"/>
        </w:rPr>
        <w:t xml:space="preserve">  Various </w:t>
      </w:r>
      <w:r w:rsidR="008F2AF4">
        <w:rPr>
          <w:rFonts w:cs="Arial"/>
        </w:rPr>
        <w:t>FDTs</w:t>
      </w:r>
      <w:r>
        <w:rPr>
          <w:rFonts w:cs="Arial"/>
        </w:rPr>
        <w:t xml:space="preserve"> from </w:t>
      </w:r>
      <w:r w:rsidR="00EC1102">
        <w:rPr>
          <w:rFonts w:cs="Arial"/>
        </w:rPr>
        <w:t>Reference 1</w:t>
      </w:r>
      <w:r w:rsidR="00EA1844">
        <w:rPr>
          <w:rFonts w:cs="Arial"/>
        </w:rPr>
        <w:t>1</w:t>
      </w:r>
      <w:r>
        <w:rPr>
          <w:rFonts w:cs="Arial"/>
        </w:rPr>
        <w:t xml:space="preserve"> were used to generate the data that are presented in the tables and plots.  To automate the process the FDT calculations were implemented in a series of spreadsheets.  The assumptions and background for these calculations </w:t>
      </w:r>
      <w:r w:rsidR="00C82ED5">
        <w:rPr>
          <w:rFonts w:cs="Arial"/>
        </w:rPr>
        <w:t xml:space="preserve">are </w:t>
      </w:r>
      <w:r>
        <w:rPr>
          <w:rFonts w:cs="Arial"/>
        </w:rPr>
        <w:t xml:space="preserve">discussed in </w:t>
      </w:r>
      <w:r w:rsidRPr="00C7451F">
        <w:rPr>
          <w:rFonts w:cs="Arial"/>
        </w:rPr>
        <w:t xml:space="preserve">Section </w:t>
      </w:r>
      <w:r w:rsidR="00B00F43" w:rsidRPr="00C7451F">
        <w:rPr>
          <w:rFonts w:cs="Arial"/>
        </w:rPr>
        <w:t>06-0</w:t>
      </w:r>
      <w:r w:rsidR="00C7451F" w:rsidRPr="00C7451F">
        <w:rPr>
          <w:rFonts w:cs="Arial"/>
        </w:rPr>
        <w:t>3</w:t>
      </w:r>
      <w:r w:rsidRPr="00C7451F">
        <w:rPr>
          <w:rFonts w:cs="Arial"/>
        </w:rPr>
        <w:t>.</w:t>
      </w:r>
      <w:r>
        <w:rPr>
          <w:rFonts w:cs="Arial"/>
        </w:rPr>
        <w:t xml:space="preserve">  </w:t>
      </w:r>
      <w:r w:rsidR="008666C3">
        <w:rPr>
          <w:rFonts w:cs="Arial"/>
        </w:rPr>
        <w:t>E</w:t>
      </w:r>
      <w:r>
        <w:rPr>
          <w:rFonts w:cs="Arial"/>
        </w:rPr>
        <w:t xml:space="preserve">ight sets of plots and tables were developed.  </w:t>
      </w:r>
      <w:r w:rsidRPr="00012918">
        <w:rPr>
          <w:rFonts w:cs="Arial"/>
        </w:rPr>
        <w:t xml:space="preserve">The </w:t>
      </w:r>
      <w:r>
        <w:rPr>
          <w:rFonts w:cs="Arial"/>
        </w:rPr>
        <w:t xml:space="preserve">use of each </w:t>
      </w:r>
      <w:r w:rsidRPr="00012918">
        <w:rPr>
          <w:rFonts w:cs="Arial"/>
        </w:rPr>
        <w:t>set</w:t>
      </w:r>
      <w:r>
        <w:rPr>
          <w:rFonts w:cs="Arial"/>
        </w:rPr>
        <w:t xml:space="preserve"> is illustrated</w:t>
      </w:r>
      <w:r w:rsidRPr="00012918">
        <w:rPr>
          <w:rFonts w:cs="Arial"/>
        </w:rPr>
        <w:t xml:space="preserve"> </w:t>
      </w:r>
      <w:r>
        <w:rPr>
          <w:rFonts w:cs="Arial"/>
        </w:rPr>
        <w:t>below by means of examples.</w:t>
      </w:r>
      <w:r w:rsidDel="001D4627">
        <w:t xml:space="preserve"> </w:t>
      </w:r>
    </w:p>
    <w:p w14:paraId="54B7BEAB" w14:textId="77777777"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1A886E" w14:textId="5B35CE6C" w:rsidR="00186A04" w:rsidRDefault="00186A04" w:rsidP="004D46E2">
      <w:pPr>
        <w:pStyle w:val="Heading3"/>
      </w:pPr>
      <w:bookmarkStart w:id="85" w:name="_Toc481265392"/>
      <w:bookmarkStart w:id="86" w:name="_Toc511060872"/>
      <w:r>
        <w:t xml:space="preserve">Table/Plot Set A: Vertical and Radial </w:t>
      </w:r>
      <w:r w:rsidR="00C82ED5">
        <w:t>Zone of Influence</w:t>
      </w:r>
      <w:bookmarkEnd w:id="85"/>
      <w:bookmarkEnd w:id="86"/>
    </w:p>
    <w:p w14:paraId="1CF0A36D" w14:textId="77777777"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BA60AB" w14:textId="0A93E63D"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40C1B">
        <w:rPr>
          <w:rFonts w:cs="Arial"/>
        </w:rPr>
        <w:t>Table/plot set A provides the vertical and radial ZOI for fixed and transient ignition sources, and for confined liquid fuel pool fires and unconfined liquid fuel spill fires.  It is used to screen ignition sources that cannot cause damage to components or cables in the fire area and that are not capable of causing fire to spread to secondary combustibles (</w:t>
      </w:r>
      <w:r>
        <w:rPr>
          <w:rFonts w:cs="Arial"/>
        </w:rPr>
        <w:t>Step</w:t>
      </w:r>
      <w:r w:rsidRPr="00540C1B">
        <w:rPr>
          <w:rFonts w:cs="Arial"/>
        </w:rPr>
        <w:t xml:space="preserve"> 2.</w:t>
      </w:r>
      <w:r>
        <w:rPr>
          <w:rFonts w:cs="Arial"/>
        </w:rPr>
        <w:t>3</w:t>
      </w:r>
      <w:r w:rsidRPr="00540C1B">
        <w:rPr>
          <w:rFonts w:cs="Arial"/>
        </w:rPr>
        <w:t>.</w:t>
      </w:r>
      <w:r>
        <w:rPr>
          <w:rFonts w:cs="Arial"/>
        </w:rPr>
        <w:t>2 in Appendix F</w:t>
      </w:r>
      <w:r w:rsidRPr="00540C1B">
        <w:rPr>
          <w:rFonts w:cs="Arial"/>
        </w:rPr>
        <w:t xml:space="preserve">), and to identify the damaged target set for </w:t>
      </w:r>
      <w:r>
        <w:rPr>
          <w:rFonts w:cs="Arial"/>
        </w:rPr>
        <w:t>a specified</w:t>
      </w:r>
      <w:r w:rsidRPr="00540C1B">
        <w:rPr>
          <w:rFonts w:cs="Arial"/>
        </w:rPr>
        <w:t xml:space="preserve"> </w:t>
      </w:r>
      <w:r>
        <w:rPr>
          <w:rFonts w:cs="Arial"/>
        </w:rPr>
        <w:t xml:space="preserve">FDS1 </w:t>
      </w:r>
      <w:r w:rsidRPr="00540C1B">
        <w:rPr>
          <w:rFonts w:cs="Arial"/>
        </w:rPr>
        <w:t>scenario (</w:t>
      </w:r>
      <w:r>
        <w:rPr>
          <w:rFonts w:cs="Arial"/>
        </w:rPr>
        <w:t>Step</w:t>
      </w:r>
      <w:r w:rsidRPr="00540C1B">
        <w:rPr>
          <w:rFonts w:cs="Arial"/>
        </w:rPr>
        <w:t xml:space="preserve"> 2.5.1</w:t>
      </w:r>
      <w:r>
        <w:rPr>
          <w:rFonts w:cs="Arial"/>
        </w:rPr>
        <w:t xml:space="preserve"> in Appendix F</w:t>
      </w:r>
      <w:r w:rsidRPr="00540C1B">
        <w:rPr>
          <w:rFonts w:cs="Arial"/>
        </w:rPr>
        <w:t>).</w:t>
      </w:r>
    </w:p>
    <w:p w14:paraId="471B5251" w14:textId="77777777"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31D13A" w14:textId="2983A5BA" w:rsidR="00186A04" w:rsidRPr="00186A04" w:rsidRDefault="00186A04" w:rsidP="004D46E2">
      <w:pPr>
        <w:pStyle w:val="Heading4"/>
      </w:pPr>
      <w:r w:rsidRPr="00186A04">
        <w:t>Example 1</w:t>
      </w:r>
    </w:p>
    <w:p w14:paraId="58349C2C" w14:textId="77777777"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 </w:t>
      </w:r>
    </w:p>
    <w:p w14:paraId="755838CB" w14:textId="3A3CEF55"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nearest target to a </w:t>
      </w:r>
      <w:r w:rsidR="00C82ED5">
        <w:t>motor control center (</w:t>
      </w:r>
      <w:r>
        <w:t>MCC</w:t>
      </w:r>
      <w:r w:rsidR="00C82ED5">
        <w:t>)</w:t>
      </w:r>
      <w:r>
        <w:t xml:space="preserve"> is a </w:t>
      </w:r>
      <w:r w:rsidR="00690A12">
        <w:t xml:space="preserve">TP </w:t>
      </w:r>
      <w:r>
        <w:t>cable located 2.7 ft. above the top of the cabinet.  The MCC is at 6 ft. from the nearest corner.  Determine whether the MCC can be screened.</w:t>
      </w:r>
    </w:p>
    <w:p w14:paraId="5487CAC4" w14:textId="77777777"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7AA754" w14:textId="77777777" w:rsidR="00186A04" w:rsidRPr="00DC7300"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14723176" w14:textId="77777777"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E03DBA" w14:textId="3FB9FF0B" w:rsidR="00186A04" w:rsidRDefault="00186A04" w:rsidP="005679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MCC can be screened if the </w:t>
      </w:r>
      <w:r w:rsidR="00690A12">
        <w:t xml:space="preserve">TP </w:t>
      </w:r>
      <w:r>
        <w:t>cable target is outside its vertical ZOI.  The latter depends on the 98</w:t>
      </w:r>
      <w:r w:rsidRPr="00956100">
        <w:rPr>
          <w:vertAlign w:val="superscript"/>
        </w:rPr>
        <w:t>th</w:t>
      </w:r>
      <w:r>
        <w:t xml:space="preserve"> percentile (</w:t>
      </w:r>
      <w:r w:rsidR="00C82ED5">
        <w:t xml:space="preserve">of the </w:t>
      </w:r>
      <w:r>
        <w:t xml:space="preserve">peak) HRR of the MCC, which, according to Table A5.1 in Attachment 5 to Appendix F, is 130 kW.  The vertical ZOI for a fixed ignition source can be determined from Figure A.01 on page A-1 of Attachment 8 to Appendix F, as shown in Figure 5.2.1.  Since the vertical ZOI (6.3 ft.) is greater than the vertical distance between the top of the ignition source and the </w:t>
      </w:r>
      <w:r w:rsidR="00690A12">
        <w:t xml:space="preserve">TP </w:t>
      </w:r>
      <w:r>
        <w:t>cable target (2.7 ft.), the MCC</w:t>
      </w:r>
      <w:r w:rsidR="0035054E">
        <w:t xml:space="preserve"> fire</w:t>
      </w:r>
      <w:r>
        <w:t xml:space="preserve"> is capable of damaging the target and therefore cannot be screened.</w:t>
      </w:r>
    </w:p>
    <w:p w14:paraId="64ACFBCF"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33426">
        <w:rPr>
          <w:noProof/>
        </w:rPr>
        <w:drawing>
          <wp:inline distT="0" distB="0" distL="0" distR="0" wp14:anchorId="5C241324" wp14:editId="6EFF37AC">
            <wp:extent cx="5581650" cy="254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1650" cy="2541270"/>
                    </a:xfrm>
                    <a:prstGeom prst="rect">
                      <a:avLst/>
                    </a:prstGeom>
                    <a:noFill/>
                    <a:ln>
                      <a:noFill/>
                    </a:ln>
                  </pic:spPr>
                </pic:pic>
              </a:graphicData>
            </a:graphic>
          </wp:inline>
        </w:drawing>
      </w:r>
    </w:p>
    <w:p w14:paraId="5B451C20" w14:textId="13FD6AF9" w:rsidR="00186A04" w:rsidRPr="00106B50" w:rsidRDefault="00186A04" w:rsidP="00CC4A33">
      <w:pPr>
        <w:pStyle w:val="Figures"/>
      </w:pPr>
      <w:bookmarkStart w:id="87" w:name="_Toc483393800"/>
      <w:r w:rsidRPr="00106B50">
        <w:t>Figure 5.2.1</w:t>
      </w:r>
      <w:r w:rsidR="00357506" w:rsidRPr="00106B50">
        <w:t xml:space="preserve"> – </w:t>
      </w:r>
      <w:r w:rsidRPr="00106B50">
        <w:t xml:space="preserve">Finding the Vertical ZOI for an MCC and </w:t>
      </w:r>
      <w:r w:rsidR="00021E23" w:rsidRPr="00106B50">
        <w:t xml:space="preserve">TP </w:t>
      </w:r>
      <w:r w:rsidRPr="00106B50">
        <w:t>Cable Target</w:t>
      </w:r>
      <w:r w:rsidR="00357506" w:rsidRPr="00106B50">
        <w:t>.</w:t>
      </w:r>
      <w:bookmarkEnd w:id="87"/>
    </w:p>
    <w:p w14:paraId="0554CEFF"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195B82C" w14:textId="6F672C2E" w:rsidR="00186A04" w:rsidRPr="00186A04" w:rsidRDefault="00186A04" w:rsidP="004D46E2">
      <w:pPr>
        <w:pStyle w:val="Heading4"/>
      </w:pPr>
      <w:r w:rsidRPr="00186A04">
        <w:t>Example 2</w:t>
      </w:r>
    </w:p>
    <w:p w14:paraId="07C737EB"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0B8F43D" w14:textId="7BFDA147" w:rsidR="00186A04" w:rsidRDefault="00186A04" w:rsidP="0034321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whether a transient fire is capable of igniting </w:t>
      </w:r>
      <w:r w:rsidR="00021E23">
        <w:t>TS</w:t>
      </w:r>
      <w:r>
        <w:t xml:space="preserve"> cables in a cable tray that is located </w:t>
      </w:r>
      <w:r w:rsidR="00113C70">
        <w:t xml:space="preserve">10 </w:t>
      </w:r>
      <w:r>
        <w:t>ft. above the top of the transient combustible.</w:t>
      </w:r>
    </w:p>
    <w:p w14:paraId="527E6EAC"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768A443" w14:textId="77777777" w:rsidR="00186A04" w:rsidRPr="00DC730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
        </w:rPr>
      </w:pPr>
      <w:r w:rsidRPr="00DC7300">
        <w:rPr>
          <w:i/>
        </w:rPr>
        <w:t>Solution</w:t>
      </w:r>
    </w:p>
    <w:p w14:paraId="6472733B"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5BB96EC" w14:textId="4C21244B"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transient fire is capable of spreading to the </w:t>
      </w:r>
      <w:r w:rsidR="00021E23">
        <w:t>TS</w:t>
      </w:r>
      <w:r>
        <w:t xml:space="preserve"> cables if the tray is in its vertical ZOI.  The latter depends on the 98</w:t>
      </w:r>
      <w:r w:rsidRPr="00956100">
        <w:rPr>
          <w:vertAlign w:val="superscript"/>
        </w:rPr>
        <w:t>th</w:t>
      </w:r>
      <w:r>
        <w:t xml:space="preserve"> percentile HRR of transient fires, which, according to Table A5.1 in </w:t>
      </w:r>
      <w:r>
        <w:lastRenderedPageBreak/>
        <w:t>Attachment 5 to Appendix F, is 317 kW.  The vertical ZOI for a transient fire can be determined from the tables and plots on page A-1 of Attachment 8 to Appendix F, as shown in Figure 5.2.2.  Since the elevation of the cable tray above the top of the transient combustible (</w:t>
      </w:r>
      <w:r w:rsidR="00113C70">
        <w:t>10</w:t>
      </w:r>
      <w:r>
        <w:noBreakHyphen/>
        <w:t>ft.) exceeds the vertical ZOI (7.8 ft.), a transient fire more than 2 ft. away from a corner would not be capable of spreading to the cable tray.  However, a transient fire within 2 ft. of a corner could ignite the cables because the tray is within its vertical ZOI (13.1 ft., see Figure 5.2.2).</w:t>
      </w:r>
    </w:p>
    <w:p w14:paraId="58999235"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832DFF">
        <w:rPr>
          <w:noProof/>
        </w:rPr>
        <w:drawing>
          <wp:inline distT="0" distB="0" distL="0" distR="0" wp14:anchorId="5007BB64" wp14:editId="53ACD98C">
            <wp:extent cx="5581650" cy="13982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1650" cy="1398270"/>
                    </a:xfrm>
                    <a:prstGeom prst="rect">
                      <a:avLst/>
                    </a:prstGeom>
                    <a:noFill/>
                    <a:ln>
                      <a:noFill/>
                    </a:ln>
                  </pic:spPr>
                </pic:pic>
              </a:graphicData>
            </a:graphic>
          </wp:inline>
        </w:drawing>
      </w:r>
    </w:p>
    <w:p w14:paraId="168AD71E" w14:textId="2E7A22B2" w:rsidR="00186A04" w:rsidRPr="00106B50" w:rsidRDefault="00186A04" w:rsidP="00CC4A33">
      <w:pPr>
        <w:pStyle w:val="Figures"/>
      </w:pPr>
      <w:bookmarkStart w:id="88" w:name="_Toc483393801"/>
      <w:r w:rsidRPr="00106B50">
        <w:t>Figure 5.2.2</w:t>
      </w:r>
      <w:r w:rsidR="00357506" w:rsidRPr="00106B50">
        <w:t xml:space="preserve"> – </w:t>
      </w:r>
      <w:r w:rsidRPr="00106B50">
        <w:t xml:space="preserve">Tabulated Vertical ZOI for a Transient and </w:t>
      </w:r>
      <w:r w:rsidR="00021E23" w:rsidRPr="00106B50">
        <w:t>TS</w:t>
      </w:r>
      <w:r w:rsidRPr="00106B50">
        <w:t xml:space="preserve"> Cable Target</w:t>
      </w:r>
      <w:r w:rsidR="00357506" w:rsidRPr="00106B50">
        <w:t>.</w:t>
      </w:r>
      <w:bookmarkEnd w:id="88"/>
    </w:p>
    <w:p w14:paraId="676B67E6"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A67E5EC" w14:textId="49F82C52" w:rsidR="00935B47" w:rsidRDefault="00186A04" w:rsidP="00935B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06B50">
        <w:t>The vertical ZOI can also be determined from the plots on</w:t>
      </w:r>
      <w:r>
        <w:t xml:space="preserve"> page A-1 of Attachment 8 to Appendix F, as shown in Figure 5.2.3.  Note that for transient fires, the vertical ZOI obtained from the plots must be increased by 1 ft.  </w:t>
      </w:r>
      <w:r w:rsidR="001A70A5" w:rsidRPr="001A70A5">
        <w:t xml:space="preserve"> Note that the exact ZOI values are given in the tables and should be used in lieu of the plots if the ZOI limit and the target distance are relatively close.</w:t>
      </w:r>
    </w:p>
    <w:p w14:paraId="59329A8B"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55FA642"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832DFF">
        <w:rPr>
          <w:noProof/>
        </w:rPr>
        <w:drawing>
          <wp:inline distT="0" distB="0" distL="0" distR="0" wp14:anchorId="2922B11E" wp14:editId="32F19CE6">
            <wp:extent cx="5490210" cy="3608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0210" cy="3608070"/>
                    </a:xfrm>
                    <a:prstGeom prst="rect">
                      <a:avLst/>
                    </a:prstGeom>
                    <a:noFill/>
                    <a:ln>
                      <a:noFill/>
                    </a:ln>
                  </pic:spPr>
                </pic:pic>
              </a:graphicData>
            </a:graphic>
          </wp:inline>
        </w:drawing>
      </w:r>
    </w:p>
    <w:p w14:paraId="4179EAB3" w14:textId="50C91C55" w:rsidR="00186A04" w:rsidRPr="00106B50" w:rsidRDefault="00186A04" w:rsidP="00CC4A33">
      <w:pPr>
        <w:pStyle w:val="Figures"/>
      </w:pPr>
      <w:bookmarkStart w:id="89" w:name="_Toc483393802"/>
      <w:r w:rsidRPr="00106B50">
        <w:t>Figure 5.2.3</w:t>
      </w:r>
      <w:r w:rsidR="00357506" w:rsidRPr="00106B50">
        <w:t xml:space="preserve"> – </w:t>
      </w:r>
      <w:r w:rsidRPr="00106B50">
        <w:t xml:space="preserve">Finding the Vertical ZOI for a Transient and </w:t>
      </w:r>
      <w:r w:rsidR="00021E23" w:rsidRPr="00106B50">
        <w:t>TS</w:t>
      </w:r>
      <w:r w:rsidRPr="00106B50">
        <w:t xml:space="preserve"> Cable Target from Plots</w:t>
      </w:r>
      <w:r w:rsidR="00357506" w:rsidRPr="00106B50">
        <w:t>.</w:t>
      </w:r>
      <w:bookmarkEnd w:id="89"/>
    </w:p>
    <w:p w14:paraId="7D2D9BC2"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9BD4D4C" w14:textId="102912BE" w:rsidR="00186A04" w:rsidRPr="00106B50" w:rsidRDefault="00186A04" w:rsidP="004D46E2">
      <w:pPr>
        <w:pStyle w:val="Heading4"/>
      </w:pPr>
      <w:r w:rsidRPr="00106B50">
        <w:t>Example 3</w:t>
      </w:r>
    </w:p>
    <w:p w14:paraId="4E4B4522"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8A8121A" w14:textId="4E50BADA"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nearest target to a closed large electrical enclosure is a </w:t>
      </w:r>
      <w:r w:rsidR="00690A12">
        <w:t xml:space="preserve">TP </w:t>
      </w:r>
      <w:r>
        <w:t>cable tray located at a radial distance of 1.75 ft. from the edge of the enclosure.  There are no components or cables located directly above the enclosure.  Determine whether the enclosure can be screened.</w:t>
      </w:r>
    </w:p>
    <w:p w14:paraId="22CB46BD"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B658B96" w14:textId="77777777" w:rsidR="00186A04" w:rsidRPr="00DC730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
        </w:rPr>
      </w:pPr>
      <w:r w:rsidRPr="00DC7300">
        <w:rPr>
          <w:i/>
        </w:rPr>
        <w:t>Solution</w:t>
      </w:r>
    </w:p>
    <w:p w14:paraId="31A8EBE9"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86F0B35" w14:textId="15F920C8"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radial ZOI of the enclosure depends on its 98</w:t>
      </w:r>
      <w:r w:rsidRPr="00956100">
        <w:rPr>
          <w:vertAlign w:val="superscript"/>
        </w:rPr>
        <w:t>th</w:t>
      </w:r>
      <w:r>
        <w:t xml:space="preserve"> percentile HRR, which, according to Table A5.1 in Attachment 5 to Appendix F, is 400 kW.  The radial ZOI for a fixed ignition source can be determined from Figure A.02 on page A-2 of Attachment 8 to Appendix F, as shown in Figure 5.2.4.  Since the vertical ZOI (4.2 ft.) is greater than the radial distance of the cable target (1.75 ft.), the enclosure cannot be screened.</w:t>
      </w:r>
      <w:r w:rsidR="00935B47">
        <w:t xml:space="preserve"> </w:t>
      </w:r>
    </w:p>
    <w:p w14:paraId="170DC7A0"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52280">
        <w:rPr>
          <w:noProof/>
        </w:rPr>
        <w:drawing>
          <wp:inline distT="0" distB="0" distL="0" distR="0" wp14:anchorId="7A1CE497" wp14:editId="417A682C">
            <wp:extent cx="5539740" cy="29222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39740" cy="2922270"/>
                    </a:xfrm>
                    <a:prstGeom prst="rect">
                      <a:avLst/>
                    </a:prstGeom>
                    <a:noFill/>
                    <a:ln>
                      <a:noFill/>
                    </a:ln>
                  </pic:spPr>
                </pic:pic>
              </a:graphicData>
            </a:graphic>
          </wp:inline>
        </w:drawing>
      </w:r>
    </w:p>
    <w:p w14:paraId="06AFF0AA" w14:textId="0A1D0C19" w:rsidR="00186A04" w:rsidRPr="00106B50" w:rsidRDefault="00186A04" w:rsidP="00CC4A33">
      <w:pPr>
        <w:pStyle w:val="Figures"/>
      </w:pPr>
      <w:bookmarkStart w:id="90" w:name="_Toc483393803"/>
      <w:r w:rsidRPr="00106B50">
        <w:t>Figure 5.2.4</w:t>
      </w:r>
      <w:r w:rsidR="00357506" w:rsidRPr="00106B50">
        <w:t xml:space="preserve"> – </w:t>
      </w:r>
      <w:r w:rsidRPr="00106B50">
        <w:t xml:space="preserve">Radial ZOI for a Closed Large Enclosure and </w:t>
      </w:r>
      <w:r w:rsidR="00021E23" w:rsidRPr="00106B50">
        <w:t xml:space="preserve">TP </w:t>
      </w:r>
      <w:r w:rsidRPr="00106B50">
        <w:t>Cable Target</w:t>
      </w:r>
      <w:r w:rsidR="00357506" w:rsidRPr="00106B50">
        <w:t>.</w:t>
      </w:r>
      <w:bookmarkEnd w:id="90"/>
    </w:p>
    <w:p w14:paraId="26B04B54"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4469760" w14:textId="5DC7B53B" w:rsidR="00186A04" w:rsidRPr="00106B50" w:rsidRDefault="00186A04" w:rsidP="004D46E2">
      <w:pPr>
        <w:pStyle w:val="Heading4"/>
      </w:pPr>
      <w:r w:rsidRPr="00106B50">
        <w:t>Example 4</w:t>
      </w:r>
    </w:p>
    <w:p w14:paraId="332A311E"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4AB0D4F" w14:textId="1765D8D3"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An oil-filled transformer contains 190 gal of silicone liquid, and is located in a 4.5 × 4.5 ft. containment pan that can hold 10% of the oil.  Determine whether an oil spill fire is capable of damaging a </w:t>
      </w:r>
      <w:r w:rsidR="00021E23">
        <w:t>TS</w:t>
      </w:r>
      <w:r>
        <w:t xml:space="preserve"> cable target that is located above the transformer at 12 ft. above the floor.</w:t>
      </w:r>
    </w:p>
    <w:p w14:paraId="612A7F7E" w14:textId="77777777" w:rsidR="00186A04" w:rsidRPr="00F24F06"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669DEEA" w14:textId="77777777" w:rsidR="00186A04" w:rsidRPr="00DC730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
        </w:rPr>
      </w:pPr>
      <w:r w:rsidRPr="00DC7300">
        <w:rPr>
          <w:i/>
        </w:rPr>
        <w:t>Solution</w:t>
      </w:r>
    </w:p>
    <w:p w14:paraId="16997E31"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98AE6B5" w14:textId="77777777"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Two scenarios need to be considered.  In the first scenario 10% (or 19 gal) of the silicone liquid is assumed to spill.  Since the containment pan is designed to hold this amount of silicone liquid, ignition of the oil will result in a confined pool fire.  The effective diameter of this non-circular pool fire follows from:</w:t>
      </w:r>
    </w:p>
    <w:p w14:paraId="00C17D7B" w14:textId="77777777" w:rsidR="00186A04" w:rsidRPr="00B502BE"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p>
    <w:tbl>
      <w:tblPr>
        <w:tblW w:w="0" w:type="auto"/>
        <w:tblLook w:val="04A0" w:firstRow="1" w:lastRow="0" w:firstColumn="1" w:lastColumn="0" w:noHBand="0" w:noVBand="1"/>
      </w:tblPr>
      <w:tblGrid>
        <w:gridCol w:w="720"/>
        <w:gridCol w:w="7920"/>
        <w:gridCol w:w="720"/>
      </w:tblGrid>
      <w:tr w:rsidR="00186A04" w14:paraId="1DC9D32A" w14:textId="77777777" w:rsidTr="008E3574">
        <w:tc>
          <w:tcPr>
            <w:tcW w:w="720" w:type="dxa"/>
            <w:vAlign w:val="center"/>
          </w:tcPr>
          <w:p w14:paraId="19F7955A"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4A2963FB" w14:textId="77777777" w:rsidR="00186A04" w:rsidRPr="007E5EAE" w:rsidRDefault="00B9252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sSub>
                  <m:sSubPr>
                    <m:ctrlPr>
                      <w:rPr>
                        <w:rFonts w:ascii="Cambria Math" w:hAnsi="Cambria Math"/>
                        <w:sz w:val="24"/>
                      </w:rPr>
                    </m:ctrlPr>
                  </m:sSubPr>
                  <m:e>
                    <m:r>
                      <m:rPr>
                        <m:sty m:val="p"/>
                      </m:rPr>
                      <w:rPr>
                        <w:rFonts w:ascii="Cambria Math" w:hAnsi="Cambria Math"/>
                        <w:sz w:val="24"/>
                      </w:rPr>
                      <m:t>D</m:t>
                    </m:r>
                  </m:e>
                  <m:sub>
                    <m:r>
                      <m:rPr>
                        <m:sty m:val="p"/>
                      </m:rPr>
                      <w:rPr>
                        <w:rFonts w:ascii="Cambria Math" w:hAnsi="Cambria Math"/>
                        <w:sz w:val="24"/>
                      </w:rPr>
                      <m:t>eff</m:t>
                    </m:r>
                  </m:sub>
                </m:sSub>
                <m:r>
                  <m:rPr>
                    <m:sty m:val="p"/>
                  </m:rPr>
                  <w:rPr>
                    <w:rFonts w:ascii="Cambria Math" w:hAnsi="Cambria Math"/>
                    <w:sz w:val="24"/>
                  </w:rPr>
                  <m:t>=</m:t>
                </m:r>
                <m:rad>
                  <m:radPr>
                    <m:degHide m:val="1"/>
                    <m:ctrlPr>
                      <w:rPr>
                        <w:rFonts w:ascii="Cambria Math" w:hAnsi="Cambria Math"/>
                        <w:sz w:val="24"/>
                      </w:rPr>
                    </m:ctrlPr>
                  </m:radPr>
                  <m:deg/>
                  <m:e>
                    <m:f>
                      <m:fPr>
                        <m:ctrlPr>
                          <w:rPr>
                            <w:rFonts w:ascii="Cambria Math" w:hAnsi="Cambria Math"/>
                            <w:sz w:val="24"/>
                          </w:rPr>
                        </m:ctrlPr>
                      </m:fPr>
                      <m:num>
                        <m:r>
                          <m:rPr>
                            <m:sty m:val="p"/>
                          </m:rPr>
                          <w:rPr>
                            <w:rFonts w:ascii="Cambria Math" w:hAnsi="Cambria Math"/>
                            <w:sz w:val="24"/>
                          </w:rPr>
                          <m:t>4A</m:t>
                        </m:r>
                      </m:num>
                      <m:den>
                        <m:r>
                          <m:rPr>
                            <m:sty m:val="p"/>
                          </m:rPr>
                          <w:rPr>
                            <w:rFonts w:ascii="Cambria Math" w:hAnsi="Cambria Math"/>
                            <w:sz w:val="24"/>
                          </w:rPr>
                          <m:t>π</m:t>
                        </m:r>
                      </m:den>
                    </m:f>
                  </m:e>
                </m:rad>
                <m:r>
                  <w:rPr>
                    <w:rFonts w:ascii="Cambria Math" w:hAnsi="Cambria Math"/>
                    <w:sz w:val="24"/>
                  </w:rPr>
                  <m:t>=</m:t>
                </m:r>
                <m:rad>
                  <m:radPr>
                    <m:degHide m:val="1"/>
                    <m:ctrlPr>
                      <w:rPr>
                        <w:rFonts w:ascii="Cambria Math" w:hAnsi="Cambria Math"/>
                        <w:sz w:val="24"/>
                      </w:rPr>
                    </m:ctrlPr>
                  </m:radPr>
                  <m:deg/>
                  <m:e>
                    <m:f>
                      <m:fPr>
                        <m:ctrlPr>
                          <w:rPr>
                            <w:rFonts w:ascii="Cambria Math" w:hAnsi="Cambria Math"/>
                            <w:sz w:val="24"/>
                          </w:rPr>
                        </m:ctrlPr>
                      </m:fPr>
                      <m:num>
                        <m:r>
                          <m:rPr>
                            <m:sty m:val="p"/>
                          </m:rPr>
                          <w:rPr>
                            <w:rFonts w:ascii="Cambria Math" w:hAnsi="Cambria Math"/>
                            <w:sz w:val="24"/>
                          </w:rPr>
                          <m:t>4×4.5×4.5</m:t>
                        </m:r>
                      </m:num>
                      <m:den>
                        <m:r>
                          <m:rPr>
                            <m:sty m:val="p"/>
                          </m:rPr>
                          <w:rPr>
                            <w:rFonts w:ascii="Cambria Math" w:hAnsi="Cambria Math"/>
                            <w:sz w:val="24"/>
                          </w:rPr>
                          <m:t>π</m:t>
                        </m:r>
                      </m:den>
                    </m:f>
                  </m:e>
                </m:rad>
                <m:r>
                  <w:rPr>
                    <w:rFonts w:ascii="Cambria Math" w:eastAsiaTheme="minorEastAsia" w:hAnsi="Cambria Math"/>
                    <w:sz w:val="24"/>
                  </w:rPr>
                  <m:t>=</m:t>
                </m:r>
                <m:r>
                  <m:rPr>
                    <m:sty m:val="p"/>
                  </m:rPr>
                  <w:rPr>
                    <w:rFonts w:ascii="Cambria Math" w:eastAsiaTheme="minorEastAsia" w:hAnsi="Cambria Math"/>
                    <w:sz w:val="24"/>
                  </w:rPr>
                  <m:t>5.08 ft.</m:t>
                </m:r>
              </m:oMath>
            </m:oMathPara>
          </w:p>
        </w:tc>
        <w:tc>
          <w:tcPr>
            <w:tcW w:w="720" w:type="dxa"/>
            <w:vAlign w:val="center"/>
          </w:tcPr>
          <w:p w14:paraId="30ED61B3" w14:textId="74AF39C6" w:rsidR="00186A04" w:rsidRDefault="0072249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t>[3</w:t>
            </w:r>
            <w:r w:rsidR="00A53CC2">
              <w:t>]</w:t>
            </w:r>
          </w:p>
        </w:tc>
      </w:tr>
    </w:tbl>
    <w:p w14:paraId="62B6C281"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850BD4F" w14:textId="5D7A12F3"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Consequently, the vertical ZOI for the first scenario as determined from Figure A.06 on page A</w:t>
      </w:r>
      <w:r>
        <w:noBreakHyphen/>
        <w:t xml:space="preserve">6 of Attachment 8 to Appendix F is between 3.1 and 3.4 ft.  The former corresponds to a pool fire diameter of 5 ft., while the latter is for a 5.5 ft. diameter pool fire (see Figure 5.2.5).  For both </w:t>
      </w:r>
      <w:r w:rsidR="00E93748">
        <w:t>diameters,</w:t>
      </w:r>
      <w:r>
        <w:t xml:space="preserve"> the vertical ZOI is well below 12 ft., and the confined pool fire is therefore not </w:t>
      </w:r>
      <w:r>
        <w:lastRenderedPageBreak/>
        <w:t xml:space="preserve">capable of causing damage to the cable target.  Furthermore, Table A5.2 in Attachment 5 to Appendix F indicates </w:t>
      </w:r>
      <w:r w:rsidR="001473BE">
        <w:t xml:space="preserve">the </w:t>
      </w:r>
      <w:r>
        <w:t>burning rate is between 0</w:t>
      </w:r>
      <w:r w:rsidR="00C264C8">
        <w:t>.</w:t>
      </w:r>
      <w:r>
        <w:t xml:space="preserve">116 and 0.145 gal/min (for D equal to 5.0 and 5.5 ft., respectively) and it will therefore take between 19/0.145 </w:t>
      </w:r>
      <w:r>
        <w:sym w:font="Symbol" w:char="F0BB"/>
      </w:r>
      <w:r>
        <w:t xml:space="preserve"> 131 min and 19/0.116 </w:t>
      </w:r>
      <w:r>
        <w:sym w:font="Symbol" w:char="F0BB"/>
      </w:r>
      <w:r>
        <w:t xml:space="preserve"> 164 min to consume the 19 gal of fuel.</w:t>
      </w:r>
      <w:r w:rsidR="00BF5CCA">
        <w:t xml:space="preserve">  The time to consume the fuel is not important in this example, but it would be relevant if, for example, a target protected with a one-hour rated wrap </w:t>
      </w:r>
      <w:r w:rsidR="00EF5D8B">
        <w:t>were</w:t>
      </w:r>
      <w:r w:rsidR="00BF5CCA">
        <w:t xml:space="preserve"> located within the ZOI.  In this </w:t>
      </w:r>
      <w:r w:rsidR="00EF5D8B">
        <w:t>case,</w:t>
      </w:r>
      <w:r w:rsidR="00BF5CCA">
        <w:t xml:space="preserve"> the </w:t>
      </w:r>
      <w:r w:rsidR="00125A04">
        <w:t>target</w:t>
      </w:r>
      <w:r w:rsidR="00BF5CCA">
        <w:t xml:space="preserve"> would </w:t>
      </w:r>
      <w:r w:rsidR="00125A04">
        <w:t xml:space="preserve">be expected to </w:t>
      </w:r>
      <w:r w:rsidR="00BF5CCA">
        <w:t>fail before the pool fire burns out.</w:t>
      </w:r>
    </w:p>
    <w:p w14:paraId="6C7B4F7F"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E7539">
        <w:rPr>
          <w:noProof/>
        </w:rPr>
        <w:drawing>
          <wp:inline distT="0" distB="0" distL="0" distR="0" wp14:anchorId="0FFB2871" wp14:editId="314B4354">
            <wp:extent cx="3291840" cy="3493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91840" cy="3493770"/>
                    </a:xfrm>
                    <a:prstGeom prst="rect">
                      <a:avLst/>
                    </a:prstGeom>
                    <a:noFill/>
                    <a:ln>
                      <a:noFill/>
                    </a:ln>
                  </pic:spPr>
                </pic:pic>
              </a:graphicData>
            </a:graphic>
          </wp:inline>
        </w:drawing>
      </w:r>
    </w:p>
    <w:p w14:paraId="51A5A622" w14:textId="0C3DE82D" w:rsidR="00186A04" w:rsidRPr="00106B50" w:rsidRDefault="00186A04" w:rsidP="00CC4A33">
      <w:pPr>
        <w:pStyle w:val="Figures"/>
      </w:pPr>
      <w:bookmarkStart w:id="91" w:name="_Toc483393804"/>
      <w:r w:rsidRPr="00106B50">
        <w:t>Figure 5.2.5</w:t>
      </w:r>
      <w:r w:rsidR="00357506" w:rsidRPr="00106B50">
        <w:t xml:space="preserve"> – </w:t>
      </w:r>
      <w:r w:rsidRPr="00106B50">
        <w:t xml:space="preserve">Vertical ZOI for a Confined Silicone Liquid Pool Fire and a </w:t>
      </w:r>
      <w:r w:rsidR="00021E23" w:rsidRPr="00106B50">
        <w:t>TS</w:t>
      </w:r>
      <w:r w:rsidRPr="00106B50">
        <w:t xml:space="preserve"> Target</w:t>
      </w:r>
      <w:r w:rsidR="00357506" w:rsidRPr="00106B50">
        <w:t>.</w:t>
      </w:r>
      <w:bookmarkEnd w:id="91"/>
    </w:p>
    <w:p w14:paraId="5AE34EE0"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D55D020" w14:textId="77777777"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fact that an oil spill is collected in a containment area does not always lead to a confined pool fire.  If the amount of oil that is spilled is insufficient to fill the containment area, an unconfined spill fire will result.  Figure A.03 on page A-3 of Attachment 8 to Appendix F gives the minimum volume of a liquid fuel spill to cover a containment area as a function of the diameter of the area.  This figure indicates that, for this example, between 1 and 1.4 gal are needed to cover the containment area below the transformer.  Since a 19 gal spill is postulated in the first scenario, it is appropriate to assume a confined pool fire.</w:t>
      </w:r>
    </w:p>
    <w:p w14:paraId="401E32EB"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1942C4C" w14:textId="3E00BBFF"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 the second scenario 100% (or 190 gal) of the silicone liquid is assumed to spill.  Since the containment pan can only hold 19 gal, the pan will overflow and following </w:t>
      </w:r>
      <w:r w:rsidR="00E93748">
        <w:t>ignition,</w:t>
      </w:r>
      <w:r>
        <w:t xml:space="preserve"> an unconfined spill fire will result.  The ZOI of unconfined silicone liquid spill fires can be determined from Figure A.03 on page A-3 of Attachment 8 to Appendix F.  The maximum spill volume in this figure is 30 gal, but the table and graph in the figure indicate that the vertical ZOI for a 190 gal spill is well below 12 ft. (see Figure 5.2.6).</w:t>
      </w:r>
      <w:r w:rsidR="00872B6B">
        <w:t xml:space="preserve">  </w:t>
      </w:r>
      <w:r w:rsidR="001473BE">
        <w:t>Table A5.3 in Attachment 5 to Appendix F indicates that it would take 1853 s to consume the total amount of fuel for a 30 gal spill.  This indicates that a target protected by a one-hour rated wrap and located within the vertical ZOI</w:t>
      </w:r>
      <w:r w:rsidR="00125A04">
        <w:t xml:space="preserve"> would survive</w:t>
      </w:r>
      <w:r w:rsidR="001473BE">
        <w:t xml:space="preserve">.  </w:t>
      </w:r>
      <w:r w:rsidR="008D54FD">
        <w:t xml:space="preserve">However, for a 190 gal spill it is likely that it will take longer than 60 minutes to consume the fuel at which time the </w:t>
      </w:r>
      <w:r w:rsidR="008E2005">
        <w:t>12</w:t>
      </w:r>
      <w:r w:rsidR="008D54FD">
        <w:t xml:space="preserve"> ft. target can be assumed to </w:t>
      </w:r>
      <w:r w:rsidR="00125A04">
        <w:t>fail</w:t>
      </w:r>
      <w:r w:rsidR="001473BE">
        <w:t>.</w:t>
      </w:r>
      <w:r w:rsidR="00872B6B">
        <w:t xml:space="preserve"> </w:t>
      </w:r>
    </w:p>
    <w:p w14:paraId="0C745207"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06B50">
        <w:rPr>
          <w:noProof/>
        </w:rPr>
        <w:lastRenderedPageBreak/>
        <w:drawing>
          <wp:inline distT="0" distB="0" distL="0" distR="0" wp14:anchorId="2F62C3E9" wp14:editId="7B0285AD">
            <wp:extent cx="5471160" cy="361569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1160" cy="3615690"/>
                    </a:xfrm>
                    <a:prstGeom prst="rect">
                      <a:avLst/>
                    </a:prstGeom>
                    <a:noFill/>
                    <a:ln>
                      <a:noFill/>
                    </a:ln>
                  </pic:spPr>
                </pic:pic>
              </a:graphicData>
            </a:graphic>
          </wp:inline>
        </w:drawing>
      </w:r>
    </w:p>
    <w:p w14:paraId="657B9807" w14:textId="3D390193" w:rsidR="00186A04" w:rsidRPr="00106B50" w:rsidRDefault="00186A04" w:rsidP="00CC4A33">
      <w:pPr>
        <w:pStyle w:val="Figures"/>
      </w:pPr>
      <w:bookmarkStart w:id="92" w:name="_Toc483393805"/>
      <w:r w:rsidRPr="00106B50">
        <w:t>Figure 5.2.6</w:t>
      </w:r>
      <w:r w:rsidR="00357506" w:rsidRPr="00106B50">
        <w:t xml:space="preserve"> – </w:t>
      </w:r>
      <w:r w:rsidRPr="00106B50">
        <w:t xml:space="preserve">Vertical ZOI for an Unconfined Silicone Liquid Spill Fire and a </w:t>
      </w:r>
      <w:r w:rsidR="00021E23" w:rsidRPr="00106B50">
        <w:t>TS</w:t>
      </w:r>
      <w:r w:rsidRPr="00106B50">
        <w:t xml:space="preserve"> Target</w:t>
      </w:r>
      <w:r w:rsidR="00357506" w:rsidRPr="00106B50">
        <w:t>.</w:t>
      </w:r>
      <w:bookmarkEnd w:id="92"/>
    </w:p>
    <w:p w14:paraId="51843B4E"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E3F55A" w14:textId="77777777" w:rsidR="00186A04" w:rsidRDefault="00186A04" w:rsidP="004D46E2">
      <w:pPr>
        <w:pStyle w:val="Heading3"/>
      </w:pPr>
      <w:bookmarkStart w:id="93" w:name="_Toc481265393"/>
      <w:bookmarkStart w:id="94" w:name="_Toc511060873"/>
      <w:r>
        <w:t>Table/Plot Set B: Minimum HRR to Create a Damaging HGL</w:t>
      </w:r>
      <w:bookmarkEnd w:id="93"/>
      <w:bookmarkEnd w:id="94"/>
    </w:p>
    <w:p w14:paraId="3C486B9E"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5551C8" w14:textId="31F58419"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96795">
        <w:rPr>
          <w:rFonts w:cs="Arial"/>
        </w:rPr>
        <w:t xml:space="preserve">Table/plot set B provides the minimum HRR that is needed to create damaging HGL conditions for a range of compartment sizes and different target types.  It is used to screen </w:t>
      </w:r>
      <w:r>
        <w:rPr>
          <w:rFonts w:cs="Arial"/>
        </w:rPr>
        <w:t>ignition sources that are not capable of generating a damaging HGL</w:t>
      </w:r>
      <w:r w:rsidRPr="00896795">
        <w:rPr>
          <w:rFonts w:cs="Arial"/>
        </w:rPr>
        <w:t xml:space="preserve"> (</w:t>
      </w:r>
      <w:r>
        <w:rPr>
          <w:rFonts w:cs="Arial"/>
        </w:rPr>
        <w:t>Step</w:t>
      </w:r>
      <w:r w:rsidRPr="00896795">
        <w:rPr>
          <w:rFonts w:cs="Arial"/>
        </w:rPr>
        <w:t xml:space="preserve"> 2.</w:t>
      </w:r>
      <w:r>
        <w:rPr>
          <w:rFonts w:cs="Arial"/>
        </w:rPr>
        <w:t>3.3 in Appendix F</w:t>
      </w:r>
      <w:r w:rsidRPr="00896795">
        <w:rPr>
          <w:rFonts w:cs="Arial"/>
        </w:rPr>
        <w:t xml:space="preserve">), and to identify </w:t>
      </w:r>
      <w:r>
        <w:rPr>
          <w:rFonts w:cs="Arial"/>
        </w:rPr>
        <w:t xml:space="preserve">ignition sources and fire </w:t>
      </w:r>
      <w:r w:rsidRPr="00896795">
        <w:rPr>
          <w:rFonts w:cs="Arial"/>
        </w:rPr>
        <w:t xml:space="preserve">scenarios involving secondary combustibles that can cause </w:t>
      </w:r>
      <w:r>
        <w:rPr>
          <w:rFonts w:cs="Arial"/>
        </w:rPr>
        <w:t xml:space="preserve">development of </w:t>
      </w:r>
      <w:r w:rsidRPr="00896795">
        <w:rPr>
          <w:rFonts w:cs="Arial"/>
        </w:rPr>
        <w:t>a damaging HGL in the fire area</w:t>
      </w:r>
      <w:r>
        <w:rPr>
          <w:rFonts w:cs="Arial"/>
        </w:rPr>
        <w:t>(s) under evaluation</w:t>
      </w:r>
      <w:r w:rsidRPr="00896795">
        <w:rPr>
          <w:rFonts w:cs="Arial"/>
        </w:rPr>
        <w:t xml:space="preserve"> (</w:t>
      </w:r>
      <w:r>
        <w:rPr>
          <w:rFonts w:cs="Arial"/>
        </w:rPr>
        <w:t>Steps</w:t>
      </w:r>
      <w:r w:rsidRPr="00896795">
        <w:rPr>
          <w:rFonts w:cs="Arial"/>
        </w:rPr>
        <w:t xml:space="preserve"> 2.5.</w:t>
      </w:r>
      <w:r>
        <w:rPr>
          <w:rFonts w:cs="Arial"/>
        </w:rPr>
        <w:t>2 and 2.5.3 in Appendix F</w:t>
      </w:r>
      <w:r w:rsidRPr="00896795">
        <w:rPr>
          <w:rFonts w:cs="Arial"/>
        </w:rPr>
        <w:t>).</w:t>
      </w:r>
    </w:p>
    <w:p w14:paraId="012F4724"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C8EF9F" w14:textId="142B1E3C" w:rsidR="00186A04" w:rsidRPr="00186A04" w:rsidRDefault="00186A04" w:rsidP="004D46E2">
      <w:pPr>
        <w:pStyle w:val="Heading4"/>
      </w:pPr>
      <w:r w:rsidRPr="00186A04">
        <w:t xml:space="preserve">Example </w:t>
      </w:r>
      <w:r w:rsidR="00F549B3">
        <w:t>1</w:t>
      </w:r>
    </w:p>
    <w:p w14:paraId="709D5B6F"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C9B143" w14:textId="09EBCA9B"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whether the unconfined spill fire scenario in Example </w:t>
      </w:r>
      <w:r w:rsidR="00F549B3">
        <w:t xml:space="preserve">1 in Section </w:t>
      </w:r>
      <w:r w:rsidR="00853142">
        <w:t>05.03.01</w:t>
      </w:r>
      <w:r>
        <w:t xml:space="preserve"> will lead to the development of a HGL that can damage </w:t>
      </w:r>
      <w:r w:rsidR="00021E23">
        <w:t>TS</w:t>
      </w:r>
      <w:r>
        <w:t xml:space="preserve"> cable targets in a compartment with a floor area of 2400 ft</w:t>
      </w:r>
      <w:r>
        <w:rPr>
          <w:vertAlign w:val="superscript"/>
        </w:rPr>
        <w:t>2</w:t>
      </w:r>
      <w:r>
        <w:t xml:space="preserve"> and a ceiling height of 15 ft.</w:t>
      </w:r>
    </w:p>
    <w:p w14:paraId="57A24A34"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059831"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59AC4779"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3EC539" w14:textId="35C84EA9"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minimum HRR required to create a damaging HGL for </w:t>
      </w:r>
      <w:r w:rsidR="00021E23">
        <w:t>TS</w:t>
      </w:r>
      <w:r>
        <w:t xml:space="preserve"> targets in a specified compartment can be determined from Figure B.01 on page B-1 of Attachment 8 in Appendix F.  The minimum HRR </w:t>
      </w:r>
      <w:r w:rsidR="0038069A">
        <w:t xml:space="preserve">required to do so </w:t>
      </w:r>
      <w:r>
        <w:t>for a compartment with floor area of 2400 ft</w:t>
      </w:r>
      <w:r>
        <w:rPr>
          <w:vertAlign w:val="superscript"/>
        </w:rPr>
        <w:t>2</w:t>
      </w:r>
      <w:r>
        <w:t xml:space="preserve"> and ceiling height of 15 </w:t>
      </w:r>
      <w:r w:rsidR="00E93748">
        <w:t>ft.</w:t>
      </w:r>
      <w:r>
        <w:t xml:space="preserve"> is approximately 2670 kW as shown in Figure 5.2.</w:t>
      </w:r>
      <w:r w:rsidR="00685265">
        <w:t>7</w:t>
      </w:r>
      <w:r>
        <w:t>.  Table A5.3 in Attachment 5 to Appendix F indicates that the HRR of a 30 gal unconfined</w:t>
      </w:r>
      <w:r w:rsidRPr="006340C7">
        <w:t xml:space="preserve"> silicone liquid </w:t>
      </w:r>
      <w:r>
        <w:t xml:space="preserve">spill fire is 6370 kW.  It can therefore be concluded that a 190 gal spill fire will indeed lead to the development of a damaging HGL since its HRR is expected to be </w:t>
      </w:r>
      <w:r w:rsidR="0038069A">
        <w:t xml:space="preserve">much </w:t>
      </w:r>
      <w:r>
        <w:t>higher than that of a 30 gal unconfined</w:t>
      </w:r>
      <w:r w:rsidRPr="006340C7">
        <w:t xml:space="preserve"> silicone liquid </w:t>
      </w:r>
      <w:r>
        <w:t>spill fire.</w:t>
      </w:r>
    </w:p>
    <w:p w14:paraId="2020F480"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02884">
        <w:rPr>
          <w:noProof/>
        </w:rPr>
        <w:lastRenderedPageBreak/>
        <w:drawing>
          <wp:inline distT="0" distB="0" distL="0" distR="0" wp14:anchorId="2ACF3B5B" wp14:editId="6B24CF1F">
            <wp:extent cx="5497830" cy="3611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7830" cy="3611880"/>
                    </a:xfrm>
                    <a:prstGeom prst="rect">
                      <a:avLst/>
                    </a:prstGeom>
                    <a:noFill/>
                    <a:ln>
                      <a:noFill/>
                    </a:ln>
                  </pic:spPr>
                </pic:pic>
              </a:graphicData>
            </a:graphic>
          </wp:inline>
        </w:drawing>
      </w:r>
    </w:p>
    <w:p w14:paraId="2B508F58" w14:textId="607E85A1" w:rsidR="00186A04" w:rsidRPr="00106B50" w:rsidRDefault="00186A04" w:rsidP="00CC4A33">
      <w:pPr>
        <w:pStyle w:val="Figures"/>
      </w:pPr>
      <w:bookmarkStart w:id="95" w:name="_Toc483393806"/>
      <w:r w:rsidRPr="00106B50">
        <w:t>Figure 5.2.7</w:t>
      </w:r>
      <w:r w:rsidR="00357506" w:rsidRPr="00106B50">
        <w:t xml:space="preserve"> – </w:t>
      </w:r>
      <w:r w:rsidRPr="00106B50">
        <w:t xml:space="preserve">Minimum HRR Required </w:t>
      </w:r>
      <w:r w:rsidR="00E93748" w:rsidRPr="00106B50">
        <w:t>Creating</w:t>
      </w:r>
      <w:r w:rsidRPr="00106B50">
        <w:t xml:space="preserve"> a Damaging HGL for </w:t>
      </w:r>
      <w:r w:rsidR="00021E23" w:rsidRPr="00106B50">
        <w:t>TS</w:t>
      </w:r>
      <w:r w:rsidRPr="00106B50">
        <w:t xml:space="preserve"> Targets in a Compartment with a Floor Area of 2400 ft</w:t>
      </w:r>
      <w:r w:rsidRPr="00106B50">
        <w:rPr>
          <w:vertAlign w:val="superscript"/>
        </w:rPr>
        <w:t>2</w:t>
      </w:r>
      <w:r w:rsidRPr="00106B50">
        <w:t xml:space="preserve"> and Ceiling Height of 15 ft.</w:t>
      </w:r>
      <w:bookmarkEnd w:id="95"/>
    </w:p>
    <w:p w14:paraId="4C97E953" w14:textId="77777777" w:rsidR="00186A04" w:rsidRPr="00106B5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DF047E" w14:textId="2E09D7AD" w:rsidR="00186A04" w:rsidRPr="00106B50" w:rsidRDefault="00186A04" w:rsidP="004D46E2">
      <w:pPr>
        <w:pStyle w:val="Heading4"/>
      </w:pPr>
      <w:r w:rsidRPr="00106B50">
        <w:t>Ex</w:t>
      </w:r>
      <w:r w:rsidR="00685265" w:rsidRPr="00106B50">
        <w:t xml:space="preserve">ample </w:t>
      </w:r>
      <w:r w:rsidR="00F549B3" w:rsidRPr="00106B50">
        <w:t>2</w:t>
      </w:r>
    </w:p>
    <w:p w14:paraId="58BC52D4" w14:textId="77777777" w:rsidR="00186A04" w:rsidRPr="00106B5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C26F00" w14:textId="5E9E1F7C"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the minimum HRR to create a damaging HGL for </w:t>
      </w:r>
      <w:r w:rsidR="00021E23">
        <w:t>TS</w:t>
      </w:r>
      <w:r>
        <w:t xml:space="preserve"> and </w:t>
      </w:r>
      <w:r w:rsidR="00690A12">
        <w:t xml:space="preserve">TP </w:t>
      </w:r>
      <w:r>
        <w:t>cable targets in a 38 ft. wide and 50 ft. long compartment with a ceiling height of 20 ft.</w:t>
      </w:r>
    </w:p>
    <w:p w14:paraId="7D29209F"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D57ADC"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71D71094"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A3E29E" w14:textId="4808625C"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floor area of the compartment is 38 × 50 = 1900 ft</w:t>
      </w:r>
      <w:r>
        <w:rPr>
          <w:vertAlign w:val="superscript"/>
        </w:rPr>
        <w:t>2</w:t>
      </w:r>
      <w:r>
        <w:t xml:space="preserve">.  The minimum HRR required to create a damaging HGL for </w:t>
      </w:r>
      <w:r w:rsidR="00021E23">
        <w:t>TS</w:t>
      </w:r>
      <w:r>
        <w:t xml:space="preserve"> targets in this compartment is 2599 kW, which can easily be determined from the table in Figure B.01 on page B-1 of Attachment 8 in Appendix F (see Figure 5.2.8).  The minimum HRR for </w:t>
      </w:r>
      <w:r w:rsidR="00690A12">
        <w:t xml:space="preserve">TP </w:t>
      </w:r>
      <w:r>
        <w:t>targets is 1176 kW based on the table in Figure B.02 on page B-2.   The minimum HRRs can also be determined from the graphs, but the tabulated values are more precise in this case.</w:t>
      </w:r>
    </w:p>
    <w:p w14:paraId="4439B41F"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F16B36"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1A60">
        <w:rPr>
          <w:noProof/>
        </w:rPr>
        <w:lastRenderedPageBreak/>
        <w:drawing>
          <wp:inline distT="0" distB="0" distL="0" distR="0" wp14:anchorId="7E2AD9E2" wp14:editId="4CF5BC98">
            <wp:extent cx="5943600" cy="38476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847639"/>
                    </a:xfrm>
                    <a:prstGeom prst="rect">
                      <a:avLst/>
                    </a:prstGeom>
                    <a:noFill/>
                    <a:ln>
                      <a:noFill/>
                    </a:ln>
                  </pic:spPr>
                </pic:pic>
              </a:graphicData>
            </a:graphic>
          </wp:inline>
        </w:drawing>
      </w:r>
    </w:p>
    <w:p w14:paraId="31AAFCF7" w14:textId="04B24A74" w:rsidR="00186A04" w:rsidRPr="00106B50" w:rsidRDefault="00186A04" w:rsidP="00CC4A33">
      <w:pPr>
        <w:pStyle w:val="Figures"/>
      </w:pPr>
      <w:bookmarkStart w:id="96" w:name="_Toc483393807"/>
      <w:r w:rsidRPr="00106B50">
        <w:t>Figure 5.2.8</w:t>
      </w:r>
      <w:r w:rsidR="00357506" w:rsidRPr="00106B50">
        <w:t xml:space="preserve"> – </w:t>
      </w:r>
      <w:r w:rsidRPr="00106B50">
        <w:t xml:space="preserve">Minimum HRR Required </w:t>
      </w:r>
      <w:r w:rsidR="00E93748" w:rsidRPr="00106B50">
        <w:t>Creating</w:t>
      </w:r>
      <w:r w:rsidRPr="00106B50">
        <w:t xml:space="preserve"> a Damaging HGL for </w:t>
      </w:r>
      <w:r w:rsidR="00021E23" w:rsidRPr="00106B50">
        <w:t>TS</w:t>
      </w:r>
      <w:r w:rsidRPr="00106B50">
        <w:t xml:space="preserve"> Targets in a Compartment with a Floor Area of 1900 ft</w:t>
      </w:r>
      <w:r w:rsidRPr="00106B50">
        <w:rPr>
          <w:vertAlign w:val="superscript"/>
        </w:rPr>
        <w:t>2</w:t>
      </w:r>
      <w:r w:rsidRPr="00106B50">
        <w:t xml:space="preserve"> and Ceiling Height of 20 ft.</w:t>
      </w:r>
      <w:bookmarkEnd w:id="96"/>
    </w:p>
    <w:p w14:paraId="07B75D6F"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882CAA" w14:textId="77777777" w:rsidR="00186A04" w:rsidRDefault="00186A04" w:rsidP="004D46E2">
      <w:pPr>
        <w:pStyle w:val="Heading3"/>
      </w:pPr>
      <w:bookmarkStart w:id="97" w:name="_Toc481265394"/>
      <w:bookmarkStart w:id="98" w:name="_Toc511060874"/>
      <w:r>
        <w:t>Table/Plot Set C: HRR Profiles of Fires Involving Cable Trays</w:t>
      </w:r>
      <w:bookmarkEnd w:id="97"/>
      <w:bookmarkEnd w:id="98"/>
    </w:p>
    <w:p w14:paraId="23263839"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479A9B"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96795">
        <w:rPr>
          <w:rFonts w:cs="Arial"/>
        </w:rPr>
        <w:t>Table/plot set C provides the combined HRR of an ignition source and a vertical stack of between one and seven horizontal cable trays as a function of time for various ignition source-cable tray configurations.  This set is used in conjunction with table/plot set B to determine if and when a fire scenario involving secondary combustibles will cause a damaging HGL in the fire area</w:t>
      </w:r>
      <w:r>
        <w:rPr>
          <w:rFonts w:cs="Arial"/>
        </w:rPr>
        <w:t xml:space="preserve"> </w:t>
      </w:r>
      <w:r w:rsidRPr="00896795">
        <w:rPr>
          <w:rFonts w:cs="Arial"/>
        </w:rPr>
        <w:t>(</w:t>
      </w:r>
      <w:r>
        <w:rPr>
          <w:rFonts w:cs="Arial"/>
        </w:rPr>
        <w:t>Steps</w:t>
      </w:r>
      <w:r w:rsidRPr="00896795">
        <w:rPr>
          <w:rFonts w:cs="Arial"/>
        </w:rPr>
        <w:t xml:space="preserve"> 2.5.</w:t>
      </w:r>
      <w:r>
        <w:rPr>
          <w:rFonts w:cs="Arial"/>
        </w:rPr>
        <w:t>2 and 2.5.3 in Appendix F</w:t>
      </w:r>
      <w:r w:rsidRPr="00896795">
        <w:rPr>
          <w:rFonts w:cs="Arial"/>
        </w:rPr>
        <w:t>).</w:t>
      </w:r>
    </w:p>
    <w:p w14:paraId="3202F31E"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359254" w14:textId="233440FA" w:rsidR="00186A04" w:rsidRPr="00186A04" w:rsidRDefault="00186A04" w:rsidP="004D46E2">
      <w:pPr>
        <w:pStyle w:val="Heading4"/>
      </w:pPr>
      <w:r w:rsidRPr="00186A04">
        <w:t xml:space="preserve">Example </w:t>
      </w:r>
      <w:r w:rsidR="00F549B3">
        <w:t>1</w:t>
      </w:r>
    </w:p>
    <w:p w14:paraId="403B5E7B"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A476D7" w14:textId="7166EA3C"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if the HRR of a switchgear fire involving a vertical stack of seven 1.5 ft. wide horizontal trays filled with </w:t>
      </w:r>
      <w:r w:rsidR="00021E23">
        <w:t>TS</w:t>
      </w:r>
      <w:r>
        <w:t xml:space="preserve"> cables is sufficient to create a damaging HGL for </w:t>
      </w:r>
      <w:r w:rsidR="00021E23">
        <w:t>TS</w:t>
      </w:r>
      <w:r>
        <w:t xml:space="preserve"> cable targets in a compartment with a floor area of 1900 ft</w:t>
      </w:r>
      <w:r>
        <w:rPr>
          <w:vertAlign w:val="superscript"/>
        </w:rPr>
        <w:t>2</w:t>
      </w:r>
      <w:r>
        <w:t xml:space="preserve"> and a ceiling height of 20 ft.</w:t>
      </w:r>
    </w:p>
    <w:p w14:paraId="006FEE00"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0A2BF2"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5E44DAB9"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87E186" w14:textId="49148EF9"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From Example </w:t>
      </w:r>
      <w:r w:rsidR="00F549B3">
        <w:t xml:space="preserve">2 </w:t>
      </w:r>
      <w:r w:rsidR="00E93748">
        <w:t>in Section</w:t>
      </w:r>
      <w:r w:rsidR="00F549B3">
        <w:t xml:space="preserve"> </w:t>
      </w:r>
      <w:r w:rsidR="00853142">
        <w:t>05.03.02</w:t>
      </w:r>
      <w:r>
        <w:t xml:space="preserve"> we know that the minimum HRR required to create a damaging HGL for </w:t>
      </w:r>
      <w:r w:rsidR="00021E23">
        <w:t>TS</w:t>
      </w:r>
      <w:r>
        <w:t xml:space="preserve"> targets in the specified compartment is 2599 kW.  Figure C.15.b on page C-30 of Attachment 8 to Appendix F indicates that the HRR of the switchgear/cable tray fire is less than 1300 kW over a </w:t>
      </w:r>
      <w:r w:rsidR="00E93748">
        <w:t>40-minute</w:t>
      </w:r>
      <w:r>
        <w:t xml:space="preserve"> period, and is therefore not capable of creating a damaging HGL for </w:t>
      </w:r>
      <w:r w:rsidR="00021E23">
        <w:t>TS</w:t>
      </w:r>
      <w:r>
        <w:t xml:space="preserve"> targets in the specified compartment. </w:t>
      </w:r>
    </w:p>
    <w:p w14:paraId="01E37DE4"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614DC0" w14:textId="18EF7AA2" w:rsidR="00186A04" w:rsidRPr="00186A04" w:rsidRDefault="00186A04" w:rsidP="004D46E2">
      <w:pPr>
        <w:pStyle w:val="Heading4"/>
      </w:pPr>
      <w:r w:rsidRPr="00186A04">
        <w:lastRenderedPageBreak/>
        <w:t xml:space="preserve">Example </w:t>
      </w:r>
      <w:r w:rsidR="00F549B3">
        <w:t>2</w:t>
      </w:r>
    </w:p>
    <w:p w14:paraId="22F081E4" w14:textId="77777777" w:rsidR="00186A04" w:rsidRDefault="00186A0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B3C8B6" w14:textId="6EFCCFFA" w:rsidR="00186A04" w:rsidRDefault="00186A0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Assume in the previous example that an inspector identified a significant amount of </w:t>
      </w:r>
      <w:r w:rsidR="00690A12">
        <w:t xml:space="preserve">TP </w:t>
      </w:r>
      <w:r>
        <w:t xml:space="preserve">cables in the trays and elsewhere in the compartment.  Determine if the HRR of the switchgear/cable tray fire is sufficient to create a damaging HGL for </w:t>
      </w:r>
      <w:r w:rsidR="00690A12">
        <w:t xml:space="preserve">TP </w:t>
      </w:r>
      <w:r>
        <w:t>cable targets in the specified compartment.  If so, determine the time at which the HGL reaches the damage threshold.</w:t>
      </w:r>
      <w:r w:rsidR="0038069A">
        <w:t xml:space="preserve">  (When there is more than some very minimal amount of </w:t>
      </w:r>
      <w:r w:rsidR="00690A12">
        <w:t>TP</w:t>
      </w:r>
      <w:r w:rsidR="0038069A">
        <w:t xml:space="preserve"> cables present in a tray of mixed cable types, the thresholds for damage of </w:t>
      </w:r>
      <w:r w:rsidR="00690A12">
        <w:t>TP</w:t>
      </w:r>
      <w:r w:rsidR="0038069A">
        <w:t xml:space="preserve"> cables should be assumed.)</w:t>
      </w:r>
      <w:r>
        <w:t xml:space="preserve"> </w:t>
      </w:r>
    </w:p>
    <w:p w14:paraId="2F27F9DC"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A93D9F"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16ADC84B"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E99C52" w14:textId="66E51EB0"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From Example </w:t>
      </w:r>
      <w:r w:rsidR="00F549B3">
        <w:t xml:space="preserve">2 in Section </w:t>
      </w:r>
      <w:r w:rsidR="00CB30FF">
        <w:t>05.03.02</w:t>
      </w:r>
      <w:r>
        <w:t xml:space="preserve"> we know that the minimum HRR required to create a damaging HGL for </w:t>
      </w:r>
      <w:r w:rsidR="00690A12">
        <w:t xml:space="preserve">TP </w:t>
      </w:r>
      <w:r>
        <w:t xml:space="preserve">targets in the specified compartment is 1176 kW.  Since the cable trays contain a significant amount of </w:t>
      </w:r>
      <w:r w:rsidR="00690A12">
        <w:t xml:space="preserve">TP </w:t>
      </w:r>
      <w:r>
        <w:t xml:space="preserve">cables we need to use Figure C.15.c on page C-30 of Attachment 8 to Appendix F to determine the HRR of the switchgear/cable tray fire.  This figure indicates that the HRR of the fire reaches 1176 kW between 13 and 14 minutes, as shown in Figure 5.2.9 below.  In an </w:t>
      </w:r>
      <w:r w:rsidR="00E93748">
        <w:t>analysis,</w:t>
      </w:r>
      <w:r>
        <w:t xml:space="preserve"> one would conservatively assume 13 minutes.  </w:t>
      </w:r>
      <w:r w:rsidR="00E93748">
        <w:t>Alternatively,</w:t>
      </w:r>
      <w:r>
        <w:t xml:space="preserve"> one could determine a more precise value from Figure C.15.a, and use 13.5 minutes based on interpolation between the tabulated HRRs at 13 and 14 minutes (1012 and 1301 kW, respectively).</w:t>
      </w:r>
      <w:r w:rsidR="0038069A">
        <w:t xml:space="preserve">  Either way, there is clearly the potential for generating a damaging HGL in this example.</w:t>
      </w:r>
    </w:p>
    <w:p w14:paraId="541EBCAC"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38E5E1"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27FB1">
        <w:rPr>
          <w:noProof/>
        </w:rPr>
        <w:drawing>
          <wp:inline distT="0" distB="0" distL="0" distR="0" wp14:anchorId="0A50F90D" wp14:editId="5F6F156D">
            <wp:extent cx="5524500" cy="38823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4500" cy="3882390"/>
                    </a:xfrm>
                    <a:prstGeom prst="rect">
                      <a:avLst/>
                    </a:prstGeom>
                    <a:noFill/>
                    <a:ln>
                      <a:noFill/>
                    </a:ln>
                  </pic:spPr>
                </pic:pic>
              </a:graphicData>
            </a:graphic>
          </wp:inline>
        </w:drawing>
      </w:r>
    </w:p>
    <w:p w14:paraId="33D7C8F3" w14:textId="7ED7362D" w:rsidR="00186A04" w:rsidRPr="00106B50" w:rsidRDefault="00186A04" w:rsidP="00CC4A33">
      <w:pPr>
        <w:pStyle w:val="Figures"/>
      </w:pPr>
      <w:bookmarkStart w:id="99" w:name="_Toc483393808"/>
      <w:r w:rsidRPr="00106B50">
        <w:t>Figure 5.2.9</w:t>
      </w:r>
      <w:r w:rsidR="00357506" w:rsidRPr="00106B50">
        <w:t xml:space="preserve"> – </w:t>
      </w:r>
      <w:r w:rsidRPr="00106B50">
        <w:t xml:space="preserve">HRR of a Switchgear Fire Involving a Vertical Stack 1.5 ft. Wide Horizontal Cable Trays Filled with </w:t>
      </w:r>
      <w:r w:rsidR="00021E23" w:rsidRPr="00106B50">
        <w:t xml:space="preserve">TP </w:t>
      </w:r>
      <w:r w:rsidRPr="00106B50">
        <w:t>Cables.</w:t>
      </w:r>
      <w:bookmarkEnd w:id="99"/>
    </w:p>
    <w:p w14:paraId="7844CE71"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B0BFCA" w14:textId="77777777" w:rsidR="00186A04" w:rsidRPr="00106B50" w:rsidRDefault="00186A04" w:rsidP="004D46E2">
      <w:pPr>
        <w:pStyle w:val="Heading3"/>
      </w:pPr>
      <w:bookmarkStart w:id="100" w:name="_Toc481265395"/>
      <w:bookmarkStart w:id="101" w:name="_Toc511060875"/>
      <w:r w:rsidRPr="00106B50">
        <w:lastRenderedPageBreak/>
        <w:t>Table/Plot Set D: Severity Factor vs. Vertical Target Distance</w:t>
      </w:r>
      <w:bookmarkEnd w:id="100"/>
      <w:bookmarkEnd w:id="101"/>
    </w:p>
    <w:p w14:paraId="51BA49E0" w14:textId="77777777" w:rsidR="00186A04" w:rsidRPr="00106B50" w:rsidRDefault="00186A0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B0F7A2" w14:textId="2146604C" w:rsidR="00186A04" w:rsidRDefault="00186A0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06B50">
        <w:rPr>
          <w:rFonts w:cs="Arial"/>
        </w:rPr>
        <w:t>To develop</w:t>
      </w:r>
      <w:r w:rsidRPr="00896795">
        <w:rPr>
          <w:rFonts w:cs="Arial"/>
        </w:rPr>
        <w:t xml:space="preserve"> table/plot set D, calculations were performed to determine the highest elevation at which a target will be damaged or a secondary combustible will ignite when the ignition source reaches the HRR that corresponds to a specified </w:t>
      </w:r>
      <w:r w:rsidR="005E424B">
        <w:rPr>
          <w:rFonts w:cs="Arial"/>
        </w:rPr>
        <w:t>SF</w:t>
      </w:r>
      <w:r w:rsidRPr="00896795">
        <w:rPr>
          <w:rFonts w:cs="Arial"/>
        </w:rPr>
        <w:t>.  Each table and plot provides the elevations corresponding to SFs ranging from 0.02 to 0.95 for one of the</w:t>
      </w:r>
      <w:r>
        <w:rPr>
          <w:rFonts w:cs="Arial"/>
        </w:rPr>
        <w:t xml:space="preserve"> fixed or transient</w:t>
      </w:r>
      <w:r w:rsidRPr="00896795">
        <w:rPr>
          <w:rFonts w:cs="Arial"/>
        </w:rPr>
        <w:t xml:space="preserve"> ignition sources listed in </w:t>
      </w:r>
      <w:r>
        <w:rPr>
          <w:rFonts w:cs="Arial"/>
        </w:rPr>
        <w:t>Attachment</w:t>
      </w:r>
      <w:r w:rsidRPr="00896795">
        <w:rPr>
          <w:rFonts w:cs="Arial"/>
        </w:rPr>
        <w:t xml:space="preserve"> </w:t>
      </w:r>
      <w:r>
        <w:rPr>
          <w:rFonts w:cs="Arial"/>
        </w:rPr>
        <w:t>5, located either in the open</w:t>
      </w:r>
      <w:r w:rsidRPr="00896795">
        <w:rPr>
          <w:rFonts w:cs="Arial"/>
        </w:rPr>
        <w:t xml:space="preserve"> or in a corner.  Table/plot set D is used to conservatively estimate the SF for </w:t>
      </w:r>
      <w:r>
        <w:rPr>
          <w:rFonts w:cs="Arial"/>
        </w:rPr>
        <w:t>a</w:t>
      </w:r>
      <w:r w:rsidRPr="00896795">
        <w:rPr>
          <w:rFonts w:cs="Arial"/>
        </w:rPr>
        <w:t xml:space="preserve"> target or secondary combustible located within the vertical ZOI based on its elevation above the ignition source (</w:t>
      </w:r>
      <w:r>
        <w:rPr>
          <w:rFonts w:cs="Arial"/>
        </w:rPr>
        <w:t>Step</w:t>
      </w:r>
      <w:r w:rsidRPr="00896795">
        <w:rPr>
          <w:rFonts w:cs="Arial"/>
        </w:rPr>
        <w:t xml:space="preserve"> 2.6.1</w:t>
      </w:r>
      <w:r>
        <w:rPr>
          <w:rFonts w:cs="Arial"/>
        </w:rPr>
        <w:t xml:space="preserve"> in Appendix F</w:t>
      </w:r>
      <w:r w:rsidRPr="00896795">
        <w:rPr>
          <w:rFonts w:cs="Arial"/>
        </w:rPr>
        <w:t>).</w:t>
      </w:r>
    </w:p>
    <w:p w14:paraId="0A18E9DB"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D02E87" w14:textId="2038E378" w:rsidR="00186A04" w:rsidRPr="00186A04" w:rsidRDefault="00685265" w:rsidP="004D46E2">
      <w:pPr>
        <w:pStyle w:val="Heading4"/>
      </w:pPr>
      <w:r>
        <w:t xml:space="preserve">Example </w:t>
      </w:r>
      <w:r w:rsidR="00F549B3">
        <w:t>1</w:t>
      </w:r>
    </w:p>
    <w:p w14:paraId="6595E52E"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860488" w14:textId="23E91881"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the SF for the ignition source and nearest target </w:t>
      </w:r>
      <w:r w:rsidR="00F549B3">
        <w:t>of</w:t>
      </w:r>
      <w:r>
        <w:t xml:space="preserve"> Example 1</w:t>
      </w:r>
      <w:r w:rsidR="00F549B3">
        <w:t xml:space="preserve"> in Section </w:t>
      </w:r>
      <w:r w:rsidR="00853142">
        <w:t>05.03.01</w:t>
      </w:r>
      <w:r>
        <w:t>.</w:t>
      </w:r>
    </w:p>
    <w:p w14:paraId="2A68A1AF"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0F8CF8"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6E9FCA20"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1A2B22" w14:textId="36E71862"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ignition source </w:t>
      </w:r>
      <w:r w:rsidR="00F549B3">
        <w:t>of</w:t>
      </w:r>
      <w:r>
        <w:t xml:space="preserve"> Example 1</w:t>
      </w:r>
      <w:r w:rsidR="00F549B3">
        <w:t xml:space="preserve"> in </w:t>
      </w:r>
      <w:r w:rsidR="00853142">
        <w:t>Section 05.03.01</w:t>
      </w:r>
      <w:r>
        <w:t xml:space="preserve"> is an MCC and the nearest target is a </w:t>
      </w:r>
      <w:r w:rsidR="00690A12">
        <w:t xml:space="preserve">TP </w:t>
      </w:r>
      <w:r>
        <w:t>cable located 2.7 ft. above the source.  The MCC is not located in a corner.  The SF in this case is 0.4 as determined from the table in Figure D.07 on page D-7 of Attachment 8 in Appendix F (see Figure 5.2.10 below).</w:t>
      </w:r>
    </w:p>
    <w:p w14:paraId="1DF5746C"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 </w:t>
      </w:r>
    </w:p>
    <w:p w14:paraId="6C800822"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51DE5">
        <w:rPr>
          <w:noProof/>
        </w:rPr>
        <w:drawing>
          <wp:inline distT="0" distB="0" distL="0" distR="0" wp14:anchorId="4395EF28" wp14:editId="6A04B555">
            <wp:extent cx="5581650" cy="4286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81650" cy="4286250"/>
                    </a:xfrm>
                    <a:prstGeom prst="rect">
                      <a:avLst/>
                    </a:prstGeom>
                    <a:noFill/>
                    <a:ln>
                      <a:noFill/>
                    </a:ln>
                  </pic:spPr>
                </pic:pic>
              </a:graphicData>
            </a:graphic>
          </wp:inline>
        </w:drawing>
      </w:r>
    </w:p>
    <w:p w14:paraId="06C4FA57" w14:textId="5A9F2C76" w:rsidR="00186A04" w:rsidRPr="00106B50" w:rsidRDefault="00186A04" w:rsidP="00CC4A33">
      <w:pPr>
        <w:pStyle w:val="Figures"/>
      </w:pPr>
      <w:bookmarkStart w:id="102" w:name="_Toc483393809"/>
      <w:r w:rsidRPr="00106B50">
        <w:t>Figure 5.2.10</w:t>
      </w:r>
      <w:r w:rsidR="00357506" w:rsidRPr="00106B50">
        <w:t xml:space="preserve"> – </w:t>
      </w:r>
      <w:r w:rsidRPr="00106B50">
        <w:t xml:space="preserve">SF for a </w:t>
      </w:r>
      <w:r w:rsidR="00021E23" w:rsidRPr="00106B50">
        <w:t xml:space="preserve">TP </w:t>
      </w:r>
      <w:r w:rsidRPr="00106B50">
        <w:t>Target 2.7 ft. above an MCC.</w:t>
      </w:r>
      <w:bookmarkEnd w:id="102"/>
    </w:p>
    <w:p w14:paraId="4DC483FE" w14:textId="2D5D263D"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087D72" w14:textId="77777777" w:rsidR="00186A04" w:rsidRDefault="00186A04" w:rsidP="004D46E2">
      <w:pPr>
        <w:pStyle w:val="Heading3"/>
      </w:pPr>
      <w:bookmarkStart w:id="103" w:name="_Toc481265396"/>
      <w:bookmarkStart w:id="104" w:name="_Toc511060876"/>
      <w:r w:rsidRPr="00106B50">
        <w:lastRenderedPageBreak/>
        <w:t>Table/</w:t>
      </w:r>
      <w:r>
        <w:t>Plot Set E: Severity Factor vs. Radial Target Distance</w:t>
      </w:r>
      <w:bookmarkEnd w:id="103"/>
      <w:bookmarkEnd w:id="104"/>
    </w:p>
    <w:p w14:paraId="6BC12D8B" w14:textId="77777777" w:rsidR="00186A04" w:rsidRDefault="00186A0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FD1100" w14:textId="77777777" w:rsidR="00186A04" w:rsidRDefault="00186A0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896795">
        <w:rPr>
          <w:rFonts w:cs="Arial"/>
        </w:rPr>
        <w:t xml:space="preserve">To develop table/plot set E, calculations were performed to determine the longest radial distance at which a target will be damaged or a secondary combustible will ignite when the ignition source reaches the HRR that corresponds to a specified SF.  Each table and plot provides the radial distances corresponding to SFs ranging from 0.02 to 0.95 for one of the </w:t>
      </w:r>
      <w:r>
        <w:rPr>
          <w:rFonts w:cs="Arial"/>
        </w:rPr>
        <w:t xml:space="preserve">fixed or transient </w:t>
      </w:r>
      <w:r w:rsidRPr="00896795">
        <w:rPr>
          <w:rFonts w:cs="Arial"/>
        </w:rPr>
        <w:t xml:space="preserve">ignition sources listed in </w:t>
      </w:r>
      <w:r>
        <w:rPr>
          <w:rFonts w:cs="Arial"/>
        </w:rPr>
        <w:t>Attachment</w:t>
      </w:r>
      <w:r w:rsidRPr="00896795">
        <w:rPr>
          <w:rFonts w:cs="Arial"/>
        </w:rPr>
        <w:t xml:space="preserve"> </w:t>
      </w:r>
      <w:r>
        <w:rPr>
          <w:rFonts w:cs="Arial"/>
        </w:rPr>
        <w:t>5 to Appendix F</w:t>
      </w:r>
      <w:r w:rsidRPr="00896795">
        <w:rPr>
          <w:rFonts w:cs="Arial"/>
        </w:rPr>
        <w:t xml:space="preserve">.  Table/plot set E is used to conservatively estimate the SF for </w:t>
      </w:r>
      <w:r>
        <w:rPr>
          <w:rFonts w:cs="Arial"/>
        </w:rPr>
        <w:t>a</w:t>
      </w:r>
      <w:r w:rsidRPr="00896795">
        <w:rPr>
          <w:rFonts w:cs="Arial"/>
        </w:rPr>
        <w:t xml:space="preserve"> target or secondary combustible located within the radial ZOI based on its distance from the ignition source (</w:t>
      </w:r>
      <w:r>
        <w:rPr>
          <w:rFonts w:cs="Arial"/>
        </w:rPr>
        <w:t>Step</w:t>
      </w:r>
      <w:r w:rsidRPr="00896795">
        <w:rPr>
          <w:rFonts w:cs="Arial"/>
        </w:rPr>
        <w:t xml:space="preserve"> 2.6.1</w:t>
      </w:r>
      <w:r>
        <w:rPr>
          <w:rFonts w:cs="Arial"/>
        </w:rPr>
        <w:t xml:space="preserve"> in Appendix F</w:t>
      </w:r>
      <w:r w:rsidRPr="00896795">
        <w:rPr>
          <w:rFonts w:cs="Arial"/>
        </w:rPr>
        <w:t>).</w:t>
      </w:r>
    </w:p>
    <w:p w14:paraId="43820F3B" w14:textId="226DD378"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8F295D" w14:textId="2A3B75C6" w:rsidR="00186A04" w:rsidRPr="00186A04" w:rsidRDefault="00186A04" w:rsidP="004D46E2">
      <w:pPr>
        <w:pStyle w:val="Heading4"/>
      </w:pPr>
      <w:r w:rsidRPr="00186A04">
        <w:t xml:space="preserve">Example </w:t>
      </w:r>
      <w:r w:rsidR="00F549B3">
        <w:t>1</w:t>
      </w:r>
    </w:p>
    <w:p w14:paraId="6232DA4E"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EDD68C" w14:textId="277981F0"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the SF for the ignition source and nearest radial target </w:t>
      </w:r>
      <w:r w:rsidR="00F549B3">
        <w:t>of</w:t>
      </w:r>
      <w:r>
        <w:t xml:space="preserve"> Example 3</w:t>
      </w:r>
      <w:r w:rsidR="00F549B3">
        <w:t xml:space="preserve"> in Section </w:t>
      </w:r>
      <w:r w:rsidR="00853142">
        <w:t>05.03.01</w:t>
      </w:r>
      <w:r>
        <w:t>.</w:t>
      </w:r>
    </w:p>
    <w:p w14:paraId="664CAE7F"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CF1EB9"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72DA57DA"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692C53" w14:textId="27151209"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ignition source in </w:t>
      </w:r>
      <w:r w:rsidR="00F549B3">
        <w:t xml:space="preserve">Example 3 in Section </w:t>
      </w:r>
      <w:r w:rsidR="00853142">
        <w:t>05.03.01</w:t>
      </w:r>
      <w:r>
        <w:t xml:space="preserve"> is a closed large electrical enclosure and the nearest radial target is a </w:t>
      </w:r>
      <w:r w:rsidR="00690A12">
        <w:t xml:space="preserve">TP </w:t>
      </w:r>
      <w:r>
        <w:t xml:space="preserve">cable located at 1.75 ft. from the source.  The SF in this case is 0.35, as determined from the table in Figure E.08 on page E-8 of Attachment 8 to Appendix F (see Figure 5.2.11 below).  Reading the SF from the table is not as straightforward as in the previous example because the exact radial distance (1.75 ft.) is not listed in the table.  In this </w:t>
      </w:r>
      <w:r w:rsidR="00E93748">
        <w:t>case,</w:t>
      </w:r>
      <w:r>
        <w:t xml:space="preserve"> one has to go down the column for the pertinent ignition source and find the longest tabulated distance that is shorter than 1.75 </w:t>
      </w:r>
      <w:r w:rsidR="00E93748">
        <w:t>ft.</w:t>
      </w:r>
      <w:r>
        <w:t>, which in this example is 1.74 ft.  The corresponding SF of 0.35 is a conservative estimate of the actual value (note that a shorter distance corresponds to a higher, and therefore more conservative, SF</w:t>
      </w:r>
      <w:r w:rsidR="00E93748">
        <w:t>).</w:t>
      </w:r>
    </w:p>
    <w:p w14:paraId="06D635D0"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 </w:t>
      </w:r>
    </w:p>
    <w:p w14:paraId="62DB0EE1"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814CA">
        <w:rPr>
          <w:noProof/>
        </w:rPr>
        <w:lastRenderedPageBreak/>
        <w:drawing>
          <wp:inline distT="0" distB="0" distL="0" distR="0" wp14:anchorId="51AD7BFC" wp14:editId="077A40ED">
            <wp:extent cx="5581650" cy="4286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81650" cy="4286250"/>
                    </a:xfrm>
                    <a:prstGeom prst="rect">
                      <a:avLst/>
                    </a:prstGeom>
                    <a:noFill/>
                    <a:ln>
                      <a:noFill/>
                    </a:ln>
                  </pic:spPr>
                </pic:pic>
              </a:graphicData>
            </a:graphic>
          </wp:inline>
        </w:drawing>
      </w:r>
    </w:p>
    <w:p w14:paraId="08D6AEED" w14:textId="6E61A3A1" w:rsidR="00186A04" w:rsidRPr="00106B50" w:rsidRDefault="00186A04" w:rsidP="00CC4A33">
      <w:pPr>
        <w:pStyle w:val="Figures"/>
      </w:pPr>
      <w:bookmarkStart w:id="105" w:name="_Toc483393810"/>
      <w:r w:rsidRPr="00106B50">
        <w:t>Figure 5.2.11</w:t>
      </w:r>
      <w:r w:rsidR="00357506" w:rsidRPr="00106B50">
        <w:t xml:space="preserve"> – </w:t>
      </w:r>
      <w:r w:rsidRPr="00106B50">
        <w:t xml:space="preserve">SF for a </w:t>
      </w:r>
      <w:r w:rsidR="00021E23" w:rsidRPr="00106B50">
        <w:t xml:space="preserve">TP </w:t>
      </w:r>
      <w:r w:rsidRPr="00106B50">
        <w:t>Target at 1.75 ft. from a Closed Large Enclosure.</w:t>
      </w:r>
      <w:bookmarkEnd w:id="105"/>
    </w:p>
    <w:p w14:paraId="2F015DC4" w14:textId="278D31D6"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276ED5C" w14:textId="77777777" w:rsidR="00186A04" w:rsidRDefault="00186A04" w:rsidP="004D46E2">
      <w:pPr>
        <w:pStyle w:val="Heading3"/>
      </w:pPr>
      <w:bookmarkStart w:id="106" w:name="_Toc481265397"/>
      <w:bookmarkStart w:id="107" w:name="_Toc511060877"/>
      <w:r>
        <w:t>Table/Plot Set F: Failure Time vs. Vertical Target Distance</w:t>
      </w:r>
      <w:bookmarkEnd w:id="106"/>
      <w:bookmarkEnd w:id="107"/>
    </w:p>
    <w:p w14:paraId="077CD55E"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121CB0" w14:textId="32CF58D1"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896795">
        <w:rPr>
          <w:rFonts w:cs="Arial"/>
        </w:rPr>
        <w:t xml:space="preserve">Table/plot set F is used to conservatively estimate the damage time of </w:t>
      </w:r>
      <w:r>
        <w:rPr>
          <w:rFonts w:cs="Arial"/>
        </w:rPr>
        <w:t>a</w:t>
      </w:r>
      <w:r w:rsidRPr="00896795">
        <w:rPr>
          <w:rFonts w:cs="Arial"/>
        </w:rPr>
        <w:t xml:space="preserve"> target or the ignition time of </w:t>
      </w:r>
      <w:r>
        <w:rPr>
          <w:rFonts w:cs="Arial"/>
        </w:rPr>
        <w:t>a</w:t>
      </w:r>
      <w:r w:rsidRPr="00896795">
        <w:rPr>
          <w:rFonts w:cs="Arial"/>
        </w:rPr>
        <w:t xml:space="preserve"> secondary combustible located within the vertical ZOI based on its elevation above the ignition source.  This time is used in the calculation of the </w:t>
      </w:r>
      <w:r w:rsidR="008C70C2">
        <w:rPr>
          <w:rFonts w:cs="Arial"/>
        </w:rPr>
        <w:t>NSP</w:t>
      </w:r>
      <w:r w:rsidRPr="00896795">
        <w:rPr>
          <w:rFonts w:cs="Arial"/>
        </w:rPr>
        <w:t xml:space="preserve"> (</w:t>
      </w:r>
      <w:r>
        <w:rPr>
          <w:rFonts w:cs="Arial"/>
        </w:rPr>
        <w:t>Step</w:t>
      </w:r>
      <w:r w:rsidRPr="00896795">
        <w:rPr>
          <w:rFonts w:cs="Arial"/>
        </w:rPr>
        <w:t xml:space="preserve"> 2.7.</w:t>
      </w:r>
      <w:r>
        <w:rPr>
          <w:rFonts w:cs="Arial"/>
        </w:rPr>
        <w:t>1</w:t>
      </w:r>
      <w:r w:rsidRPr="00896795">
        <w:rPr>
          <w:rFonts w:cs="Arial"/>
        </w:rPr>
        <w:t>).</w:t>
      </w:r>
    </w:p>
    <w:p w14:paraId="60E365DA" w14:textId="5ADEA0AE"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C734D7" w14:textId="07824089" w:rsidR="00186A04" w:rsidRDefault="00186A04" w:rsidP="004D46E2">
      <w:pPr>
        <w:pStyle w:val="Heading4"/>
      </w:pPr>
      <w:r>
        <w:t xml:space="preserve">Example </w:t>
      </w:r>
      <w:r w:rsidR="00EF76B3">
        <w:t>1</w:t>
      </w:r>
    </w:p>
    <w:p w14:paraId="0B42CB04"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7300B1" w14:textId="578F112E"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the time to failure of the nearest target above the MCC </w:t>
      </w:r>
      <w:r w:rsidR="00F549B3">
        <w:t>of</w:t>
      </w:r>
      <w:r>
        <w:t xml:space="preserve"> Example 1</w:t>
      </w:r>
      <w:r w:rsidR="00F549B3">
        <w:t xml:space="preserve"> in Section </w:t>
      </w:r>
      <w:r w:rsidR="00853142">
        <w:t>05.03.01</w:t>
      </w:r>
      <w:r>
        <w:t>.</w:t>
      </w:r>
    </w:p>
    <w:p w14:paraId="02EE4E89"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479525"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543168D6"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8FB3A7" w14:textId="71A4C0E1"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ignition source in </w:t>
      </w:r>
      <w:r w:rsidR="00F549B3">
        <w:t xml:space="preserve">Example 1 in Section </w:t>
      </w:r>
      <w:r w:rsidR="00853142">
        <w:t>05.03.01</w:t>
      </w:r>
      <w:r>
        <w:t xml:space="preserve"> is an MCC and the nearest target is a </w:t>
      </w:r>
      <w:r w:rsidR="00690A12">
        <w:t xml:space="preserve">TP </w:t>
      </w:r>
      <w:r>
        <w:t>cable located 2.7 ft. above the source.  The MCC is not located in a corner.  The failure time in this case is 370 seconds as determined from the table in Figure F.07 on page F-7 of Attachment 8 in Appendix F (see Figure 5.2.12 below).</w:t>
      </w:r>
    </w:p>
    <w:p w14:paraId="51EBB0A9"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 </w:t>
      </w:r>
    </w:p>
    <w:p w14:paraId="59E51690"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9076B">
        <w:rPr>
          <w:noProof/>
        </w:rPr>
        <w:lastRenderedPageBreak/>
        <w:drawing>
          <wp:inline distT="0" distB="0" distL="0" distR="0" wp14:anchorId="7819776C" wp14:editId="04075456">
            <wp:extent cx="5943600" cy="419745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4197458"/>
                    </a:xfrm>
                    <a:prstGeom prst="rect">
                      <a:avLst/>
                    </a:prstGeom>
                    <a:noFill/>
                    <a:ln>
                      <a:noFill/>
                    </a:ln>
                  </pic:spPr>
                </pic:pic>
              </a:graphicData>
            </a:graphic>
          </wp:inline>
        </w:drawing>
      </w:r>
    </w:p>
    <w:p w14:paraId="449F83FB" w14:textId="58885C24" w:rsidR="00186A04" w:rsidRPr="00106B50" w:rsidRDefault="00186A04" w:rsidP="00CC4A33">
      <w:pPr>
        <w:pStyle w:val="Figures"/>
      </w:pPr>
      <w:bookmarkStart w:id="108" w:name="_Toc483393811"/>
      <w:r w:rsidRPr="00106B50">
        <w:t>Figure 5.2.12</w:t>
      </w:r>
      <w:r w:rsidR="00357506" w:rsidRPr="00106B50">
        <w:t xml:space="preserve"> – </w:t>
      </w:r>
      <w:r w:rsidRPr="00106B50">
        <w:t xml:space="preserve">Failure Time for a </w:t>
      </w:r>
      <w:r w:rsidR="00021E23" w:rsidRPr="00106B50">
        <w:t xml:space="preserve">TP </w:t>
      </w:r>
      <w:r w:rsidRPr="00106B50">
        <w:t>Target 2.7 ft. above an MCC.</w:t>
      </w:r>
      <w:bookmarkEnd w:id="108"/>
    </w:p>
    <w:p w14:paraId="3696FCB7"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969CBB9" w14:textId="77777777" w:rsidR="00186A04" w:rsidRDefault="00186A04" w:rsidP="004D46E2">
      <w:pPr>
        <w:pStyle w:val="Heading3"/>
      </w:pPr>
      <w:bookmarkStart w:id="109" w:name="_Toc481265398"/>
      <w:bookmarkStart w:id="110" w:name="_Toc511060878"/>
      <w:r>
        <w:t>Table/Plot Set G: Failure Time vs. Radial Target Distance</w:t>
      </w:r>
      <w:bookmarkEnd w:id="109"/>
      <w:bookmarkEnd w:id="110"/>
    </w:p>
    <w:p w14:paraId="4AB970D7"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2AD2E1" w14:textId="0243BA35"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96795">
        <w:rPr>
          <w:rFonts w:cs="Arial"/>
        </w:rPr>
        <w:t xml:space="preserve">Table/plot set G is used to conservatively estimate the damage time of </w:t>
      </w:r>
      <w:r>
        <w:rPr>
          <w:rFonts w:cs="Arial"/>
        </w:rPr>
        <w:t>a</w:t>
      </w:r>
      <w:r w:rsidRPr="00896795">
        <w:rPr>
          <w:rFonts w:cs="Arial"/>
        </w:rPr>
        <w:t xml:space="preserve"> target or the ignition time of </w:t>
      </w:r>
      <w:r>
        <w:rPr>
          <w:rFonts w:cs="Arial"/>
        </w:rPr>
        <w:t>a</w:t>
      </w:r>
      <w:r w:rsidRPr="00896795">
        <w:rPr>
          <w:rFonts w:cs="Arial"/>
        </w:rPr>
        <w:t xml:space="preserve"> secondary combustible located within the radial ZOI based on its radial distance from the ignition source.  This time is used in the calculation of the </w:t>
      </w:r>
      <w:r w:rsidR="008C70C2">
        <w:rPr>
          <w:rFonts w:cs="Arial"/>
        </w:rPr>
        <w:t>NSP</w:t>
      </w:r>
      <w:r w:rsidRPr="00896795">
        <w:rPr>
          <w:rFonts w:cs="Arial"/>
        </w:rPr>
        <w:t xml:space="preserve"> (</w:t>
      </w:r>
      <w:r>
        <w:rPr>
          <w:rFonts w:cs="Arial"/>
        </w:rPr>
        <w:t>Step</w:t>
      </w:r>
      <w:r w:rsidRPr="00896795">
        <w:rPr>
          <w:rFonts w:cs="Arial"/>
        </w:rPr>
        <w:t xml:space="preserve"> 2.7.</w:t>
      </w:r>
      <w:r>
        <w:rPr>
          <w:rFonts w:cs="Arial"/>
        </w:rPr>
        <w:t>1</w:t>
      </w:r>
      <w:r w:rsidRPr="00896795">
        <w:rPr>
          <w:rFonts w:cs="Arial"/>
        </w:rPr>
        <w:t>).</w:t>
      </w:r>
      <w:r w:rsidDel="00AB03E6">
        <w:t xml:space="preserve"> </w:t>
      </w:r>
    </w:p>
    <w:p w14:paraId="50E8D55C"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4DF92D" w14:textId="3D9D56FF" w:rsidR="00186A04" w:rsidRPr="00186A04" w:rsidRDefault="00186A04" w:rsidP="004D46E2">
      <w:pPr>
        <w:pStyle w:val="Heading4"/>
      </w:pPr>
      <w:r w:rsidRPr="00186A04">
        <w:t xml:space="preserve">Example </w:t>
      </w:r>
      <w:r w:rsidR="009441D2">
        <w:t>1</w:t>
      </w:r>
    </w:p>
    <w:p w14:paraId="3D5CE327"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8324AA" w14:textId="7B4B30A8"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the time to failure of the nearest radial target to the ignition source </w:t>
      </w:r>
      <w:r w:rsidR="009441D2">
        <w:t>of</w:t>
      </w:r>
      <w:r>
        <w:t xml:space="preserve"> Example 3</w:t>
      </w:r>
      <w:r w:rsidR="009441D2">
        <w:t xml:space="preserve"> in Section </w:t>
      </w:r>
      <w:r w:rsidR="00853142">
        <w:t>05.03.01</w:t>
      </w:r>
      <w:r>
        <w:t>.</w:t>
      </w:r>
    </w:p>
    <w:p w14:paraId="35C19BBC" w14:textId="77777777" w:rsidR="003B7E11" w:rsidRDefault="003B7E11"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A03BCA"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61226CE1"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B7CBEF" w14:textId="43882A8F"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ignition source in </w:t>
      </w:r>
      <w:r w:rsidR="009441D2">
        <w:t xml:space="preserve">Example 3 in Section </w:t>
      </w:r>
      <w:r w:rsidR="00853142">
        <w:t>05.03.01</w:t>
      </w:r>
      <w:r>
        <w:t xml:space="preserve"> is a closed large electrical enclosure and the nearest radial target is a </w:t>
      </w:r>
      <w:r w:rsidR="00690A12">
        <w:t xml:space="preserve">TP </w:t>
      </w:r>
      <w:r>
        <w:t>cable located at 1.75 ft. from the source.  The failure time in this case is 294 seconds, as determined from the table in Figure G.08 on page G-8 of Attachment 8 in Appendix F (see Figure 5.2.13 below).  It is a slightly conservative estimate since the radial target distance is 1.74 ft. instead of 1.75 ft.</w:t>
      </w:r>
    </w:p>
    <w:p w14:paraId="26173B49"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  </w:t>
      </w:r>
    </w:p>
    <w:p w14:paraId="462F3F8C" w14:textId="77777777" w:rsidR="003121DA" w:rsidRDefault="003121DA"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4A207B"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A0A09">
        <w:rPr>
          <w:noProof/>
        </w:rPr>
        <w:lastRenderedPageBreak/>
        <w:drawing>
          <wp:inline distT="0" distB="0" distL="0" distR="0" wp14:anchorId="283B2283" wp14:editId="7FA7C910">
            <wp:extent cx="5943600" cy="41974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4197458"/>
                    </a:xfrm>
                    <a:prstGeom prst="rect">
                      <a:avLst/>
                    </a:prstGeom>
                    <a:noFill/>
                    <a:ln>
                      <a:noFill/>
                    </a:ln>
                  </pic:spPr>
                </pic:pic>
              </a:graphicData>
            </a:graphic>
          </wp:inline>
        </w:drawing>
      </w:r>
    </w:p>
    <w:p w14:paraId="0ACD0689" w14:textId="59D57D20" w:rsidR="00186A04" w:rsidRPr="00106B50" w:rsidRDefault="00186A04" w:rsidP="00CC4A33">
      <w:pPr>
        <w:pStyle w:val="Figures"/>
      </w:pPr>
      <w:bookmarkStart w:id="111" w:name="_Toc483393812"/>
      <w:r w:rsidRPr="00106B50">
        <w:t>Figure 5.2.13</w:t>
      </w:r>
      <w:r w:rsidR="00357506" w:rsidRPr="00106B50">
        <w:t xml:space="preserve"> – </w:t>
      </w:r>
      <w:r w:rsidRPr="00106B50">
        <w:t xml:space="preserve">Failure Time for a </w:t>
      </w:r>
      <w:r w:rsidR="00021E23" w:rsidRPr="00106B50">
        <w:t xml:space="preserve">TP </w:t>
      </w:r>
      <w:r w:rsidRPr="00106B50">
        <w:t>Target 2.7 ft. above an MCC.</w:t>
      </w:r>
      <w:bookmarkEnd w:id="111"/>
    </w:p>
    <w:p w14:paraId="76806A84"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783455C" w14:textId="638E6A22" w:rsidR="00186A04" w:rsidRDefault="00186A04" w:rsidP="004D46E2">
      <w:pPr>
        <w:pStyle w:val="Heading3"/>
      </w:pPr>
      <w:bookmarkStart w:id="112" w:name="_Toc481265399"/>
      <w:bookmarkStart w:id="113" w:name="_Toc511060879"/>
      <w:r>
        <w:t>Table/Plot Set H: Detector Actuation and Sprinkler Activation Times</w:t>
      </w:r>
      <w:bookmarkEnd w:id="112"/>
      <w:bookmarkEnd w:id="113"/>
    </w:p>
    <w:p w14:paraId="4208BA8E"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E9B525" w14:textId="77777777" w:rsidR="00186A04" w:rsidRPr="00896795"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896795">
        <w:rPr>
          <w:rFonts w:cs="Arial"/>
        </w:rPr>
        <w:t>Table set H consists of three subsets:</w:t>
      </w:r>
    </w:p>
    <w:p w14:paraId="17D74B4C" w14:textId="77777777" w:rsidR="00186A04" w:rsidRPr="00896795"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97069F1" w14:textId="77777777" w:rsidR="00186A04" w:rsidRPr="006B7E4E" w:rsidRDefault="00186A04" w:rsidP="0035366F">
      <w:pPr>
        <w:pStyle w:val="ListParagraph"/>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rFonts w:cs="Arial"/>
        </w:rPr>
      </w:pPr>
      <w:r w:rsidRPr="006B7E4E">
        <w:rPr>
          <w:rFonts w:cs="Arial"/>
        </w:rPr>
        <w:t>Tables to determine smoke detector actuation time as a function of the ceiling height above the fire and the radial distance between the detector and the fire (Step 2.7.2).</w:t>
      </w:r>
    </w:p>
    <w:p w14:paraId="2DE3FF2D" w14:textId="77777777" w:rsidR="00186A04" w:rsidRPr="006B7E4E" w:rsidRDefault="00186A04" w:rsidP="0035366F">
      <w:pPr>
        <w:pStyle w:val="ListParagraph"/>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rFonts w:cs="Arial"/>
        </w:rPr>
      </w:pPr>
      <w:r w:rsidRPr="006B7E4E">
        <w:rPr>
          <w:rFonts w:cs="Arial"/>
        </w:rPr>
        <w:t>Tables to determine sprinkler activation time for fixed and transient ignition source fires as a function of the ceiling height above the fire and the radial distance between the sprinkler head and the fire (Step 2.7.3).</w:t>
      </w:r>
    </w:p>
    <w:p w14:paraId="71EC6171" w14:textId="77777777" w:rsidR="00186A04" w:rsidRPr="006B7E4E" w:rsidRDefault="00186A04" w:rsidP="0035366F">
      <w:pPr>
        <w:pStyle w:val="ListParagraph"/>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rFonts w:cs="Arial"/>
        </w:rPr>
      </w:pPr>
      <w:r w:rsidRPr="006B7E4E">
        <w:rPr>
          <w:rFonts w:cs="Arial"/>
        </w:rPr>
        <w:t xml:space="preserve">Tables to determine sprinkler activation time for fires with </w:t>
      </w:r>
      <w:r w:rsidRPr="006B7E4E">
        <w:rPr>
          <w:rFonts w:cs="Arial"/>
          <w:i/>
        </w:rPr>
        <w:t>a priori</w:t>
      </w:r>
      <w:r w:rsidRPr="006B7E4E">
        <w:rPr>
          <w:rFonts w:cs="Arial"/>
        </w:rPr>
        <w:t xml:space="preserve"> unknown HRR profile as a function of the ceiling height above the fire and the radial distance between the sprinkler head and the fire (Step 2.7.3).  </w:t>
      </w:r>
    </w:p>
    <w:p w14:paraId="14631195"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A63967" w14:textId="2F35D8D5"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Table set H is used to determine the actuation time of a detector and the activation time of a sprinkler system based on the ceiling height above the fire and the radial distance from the detector or sprinkler head to the fire.  These times are used in the fire detection and fixed fire suppression analyses (</w:t>
      </w:r>
      <w:r w:rsidR="00F814C2">
        <w:t xml:space="preserve">Steps </w:t>
      </w:r>
      <w:r>
        <w:t xml:space="preserve">2.7.1 and 2.7.2, respectively). </w:t>
      </w:r>
    </w:p>
    <w:p w14:paraId="7EF4E7B3"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69C294" w14:textId="7238CC48" w:rsidR="00186A04" w:rsidRPr="00186A04" w:rsidRDefault="00186A04" w:rsidP="004D46E2">
      <w:pPr>
        <w:pStyle w:val="Heading4"/>
      </w:pPr>
      <w:r w:rsidRPr="00186A04">
        <w:lastRenderedPageBreak/>
        <w:t xml:space="preserve">Example </w:t>
      </w:r>
      <w:r w:rsidR="009441D2">
        <w:t>1</w:t>
      </w:r>
    </w:p>
    <w:p w14:paraId="385A67AE" w14:textId="77777777" w:rsidR="00186A04" w:rsidRDefault="00186A0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4855B9" w14:textId="6E2E11E9" w:rsidR="00186A04" w:rsidRDefault="00186A04"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Assume the compartment that contains the MCC </w:t>
      </w:r>
      <w:r w:rsidR="009441D2">
        <w:t>of</w:t>
      </w:r>
      <w:r>
        <w:t xml:space="preserve"> Example 1 </w:t>
      </w:r>
      <w:r w:rsidR="009441D2">
        <w:t xml:space="preserve">in Section </w:t>
      </w:r>
      <w:r w:rsidR="00853142">
        <w:t>05.03.01</w:t>
      </w:r>
      <w:r w:rsidR="009441D2">
        <w:t xml:space="preserve"> </w:t>
      </w:r>
      <w:r>
        <w:t>is protected by a halon system.  Determine whether the halon system can extinguish the fire before the nearest target above the ignition source is damaged.  The ceiling height is 8 ft. above the ignition source and the radial distance to the nearest detector is 5 ft.</w:t>
      </w:r>
    </w:p>
    <w:p w14:paraId="150DA068"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CF758C"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1FDD4571"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BDC1C4" w14:textId="102BE554"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ignition source in </w:t>
      </w:r>
      <w:r w:rsidR="009441D2">
        <w:t xml:space="preserve">Example 1 in Section </w:t>
      </w:r>
      <w:r w:rsidR="00853142">
        <w:t>05.03.01</w:t>
      </w:r>
      <w:r>
        <w:t xml:space="preserve"> is an MCC and the nearest target is a </w:t>
      </w:r>
      <w:r w:rsidR="00690A12">
        <w:t xml:space="preserve">TP </w:t>
      </w:r>
      <w:r>
        <w:t xml:space="preserve">cable located 2.7 ft. above the source.  The MCC is not located in a corner.  In </w:t>
      </w:r>
      <w:r w:rsidR="009441D2">
        <w:t xml:space="preserve">the </w:t>
      </w:r>
      <w:r w:rsidR="00E93748">
        <w:t>example,</w:t>
      </w:r>
      <w:r>
        <w:t xml:space="preserve"> it was determined that the </w:t>
      </w:r>
      <w:r w:rsidR="00690A12">
        <w:t xml:space="preserve">TP </w:t>
      </w:r>
      <w:r>
        <w:t>cable target fails in 370 seconds.</w:t>
      </w:r>
    </w:p>
    <w:p w14:paraId="38BF3B25"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4CC419" w14:textId="7CAF792D"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time to extinguishment is equal to the sum of the actuation time of the smoke detector that generates the demand signal for the suppression system, and the halon discharge delay time.  The detector actuation time, in turn, is the sum of the time for the HRR </w:t>
      </w:r>
      <w:r w:rsidR="00F814C2">
        <w:t xml:space="preserve">from </w:t>
      </w:r>
      <w:r>
        <w:t xml:space="preserve">the MCC </w:t>
      </w:r>
      <w:r w:rsidR="00420369">
        <w:t xml:space="preserve">fire </w:t>
      </w:r>
      <w:r>
        <w:t>to reach the minimum HRR required to actuate the detector, and the time for the plume and ceiling jet to travel to the detector.</w:t>
      </w:r>
    </w:p>
    <w:p w14:paraId="6B0BBBC3"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2F0906" w14:textId="15AB674E"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To determine the former we need to first determine the minimum HRR to actuate the detector.  The minimum HRR in this case is 15 kW, as shown in the table in Figure H.02 on page H-2 of Attachment 8 to Appendix F (see Figure </w:t>
      </w:r>
      <w:r w:rsidR="00C3196B">
        <w:t>5.2</w:t>
      </w:r>
      <w:r>
        <w:t xml:space="preserve">.14 below).  The time for the HRR </w:t>
      </w:r>
      <w:r w:rsidR="00420369">
        <w:t xml:space="preserve">from </w:t>
      </w:r>
      <w:r>
        <w:t xml:space="preserve">the MCC </w:t>
      </w:r>
      <w:r w:rsidR="00420369">
        <w:t xml:space="preserve">fire </w:t>
      </w:r>
      <w:r>
        <w:t>to reach 15 kW can then be estimated from Figure H.01 on page H-1 of the same attachment, which provides tabular values of the t</w:t>
      </w:r>
      <w:r>
        <w:rPr>
          <w:vertAlign w:val="superscript"/>
        </w:rPr>
        <w:t>2</w:t>
      </w:r>
      <w:r>
        <w:t xml:space="preserve"> HRR profile of various transient and fixed ignition sources.  This time is between 240 and 270 seconds, as shown in Figure 5.2.15 below.  Based on linear interpolation, 250 seconds appears to be a reasonable estimate.</w:t>
      </w:r>
    </w:p>
    <w:p w14:paraId="7379F548"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C3BDA6" w14:textId="52ECF940"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plume and ceiling jet lag time can be determined from Figure H.04 on page H-4 of Attachment 8 to Appendix F.  The lag time for this example is 7 seconds as shown in Figure 5.2.16 below.  The detector actuation time is therefore estimated at 250 + 7 = 257 seconds.  To </w:t>
      </w:r>
      <w:r w:rsidR="00803E89">
        <w:t>that,</w:t>
      </w:r>
      <w:r>
        <w:t xml:space="preserve"> we need to add the discharge delay time, which is typically between 30 and 120 seconds.  </w:t>
      </w:r>
      <w:r w:rsidR="00E93748">
        <w:t>Hence,</w:t>
      </w:r>
      <w:r>
        <w:t xml:space="preserve"> the time to extinguishment is expected to be between 287 and 377 seconds.  It is therefore very likely that the halon system will extinguish the MCC fire before the target is damaged.  The inspector should determine the discharge delay time to confirm this.  </w:t>
      </w:r>
    </w:p>
    <w:p w14:paraId="784F51C2"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00721F"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 </w:t>
      </w:r>
    </w:p>
    <w:p w14:paraId="2A26BF71"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B48BB">
        <w:rPr>
          <w:noProof/>
        </w:rPr>
        <w:lastRenderedPageBreak/>
        <w:drawing>
          <wp:inline distT="0" distB="0" distL="0" distR="0" wp14:anchorId="62D963F8" wp14:editId="48DD165B">
            <wp:extent cx="5943600" cy="51701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170166"/>
                    </a:xfrm>
                    <a:prstGeom prst="rect">
                      <a:avLst/>
                    </a:prstGeom>
                    <a:noFill/>
                    <a:ln>
                      <a:noFill/>
                    </a:ln>
                  </pic:spPr>
                </pic:pic>
              </a:graphicData>
            </a:graphic>
          </wp:inline>
        </w:drawing>
      </w:r>
    </w:p>
    <w:p w14:paraId="2B8B2406" w14:textId="64C3A620" w:rsidR="00186A04" w:rsidRPr="00106B50" w:rsidRDefault="00186A04" w:rsidP="00CC4A33">
      <w:pPr>
        <w:pStyle w:val="Figures"/>
      </w:pPr>
      <w:bookmarkStart w:id="114" w:name="_Toc483393813"/>
      <w:r w:rsidRPr="00106B50">
        <w:t>Figure 5.2.14</w:t>
      </w:r>
      <w:r w:rsidR="00357506" w:rsidRPr="00106B50">
        <w:t xml:space="preserve"> – </w:t>
      </w:r>
      <w:r w:rsidRPr="00106B50">
        <w:t>Minimum HRR for Detector Actuation.</w:t>
      </w:r>
      <w:bookmarkEnd w:id="114"/>
    </w:p>
    <w:p w14:paraId="3DBBE85F"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CCE51C3"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12C8F">
        <w:rPr>
          <w:noProof/>
        </w:rPr>
        <w:lastRenderedPageBreak/>
        <w:drawing>
          <wp:inline distT="0" distB="0" distL="0" distR="0" wp14:anchorId="64AF8529" wp14:editId="3C946982">
            <wp:extent cx="5943600" cy="670005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6700058"/>
                    </a:xfrm>
                    <a:prstGeom prst="rect">
                      <a:avLst/>
                    </a:prstGeom>
                    <a:noFill/>
                    <a:ln>
                      <a:noFill/>
                    </a:ln>
                  </pic:spPr>
                </pic:pic>
              </a:graphicData>
            </a:graphic>
          </wp:inline>
        </w:drawing>
      </w:r>
    </w:p>
    <w:p w14:paraId="42238A18" w14:textId="38BB5757" w:rsidR="00186A04" w:rsidRPr="00106B50" w:rsidRDefault="00186A04" w:rsidP="00CC4A33">
      <w:pPr>
        <w:pStyle w:val="Figures"/>
      </w:pPr>
      <w:bookmarkStart w:id="115" w:name="_Toc483393814"/>
      <w:r w:rsidRPr="00106B50">
        <w:t>Figure 5.2.15</w:t>
      </w:r>
      <w:r w:rsidR="00357506" w:rsidRPr="00106B50">
        <w:t xml:space="preserve"> – </w:t>
      </w:r>
      <w:r w:rsidRPr="00106B50">
        <w:t>Time for the HRR of an MCC to reach 15 kW.</w:t>
      </w:r>
      <w:bookmarkEnd w:id="115"/>
    </w:p>
    <w:p w14:paraId="6875960E"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06B50">
        <w:br w:type="page"/>
      </w:r>
    </w:p>
    <w:p w14:paraId="020A810A"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80509F6"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804FF5">
        <w:rPr>
          <w:noProof/>
        </w:rPr>
        <w:drawing>
          <wp:inline distT="0" distB="0" distL="0" distR="0" wp14:anchorId="24A0847C" wp14:editId="3D073DDF">
            <wp:extent cx="5943600" cy="5170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5170166"/>
                    </a:xfrm>
                    <a:prstGeom prst="rect">
                      <a:avLst/>
                    </a:prstGeom>
                    <a:noFill/>
                    <a:ln>
                      <a:noFill/>
                    </a:ln>
                  </pic:spPr>
                </pic:pic>
              </a:graphicData>
            </a:graphic>
          </wp:inline>
        </w:drawing>
      </w:r>
    </w:p>
    <w:p w14:paraId="245C1E74" w14:textId="7E1FF666" w:rsidR="00186A04" w:rsidRPr="00106B50" w:rsidRDefault="00186A04" w:rsidP="00CC4A33">
      <w:pPr>
        <w:pStyle w:val="Figures"/>
      </w:pPr>
      <w:bookmarkStart w:id="116" w:name="_Toc483393815"/>
      <w:r w:rsidRPr="00106B50">
        <w:t>Figure 5.2.16</w:t>
      </w:r>
      <w:r w:rsidR="00357506" w:rsidRPr="00106B50">
        <w:t xml:space="preserve"> – </w:t>
      </w:r>
      <w:r w:rsidRPr="00106B50">
        <w:t>Determination of Plume and Ceiling Jet Lag Time.</w:t>
      </w:r>
      <w:bookmarkEnd w:id="116"/>
    </w:p>
    <w:p w14:paraId="7D090AD3" w14:textId="77777777" w:rsidR="00186A04" w:rsidRPr="00106B5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F133D1" w14:textId="56DDDDEC" w:rsidR="00186A04" w:rsidRPr="00186A04" w:rsidRDefault="00186A04" w:rsidP="004D46E2">
      <w:pPr>
        <w:pStyle w:val="Heading4"/>
      </w:pPr>
      <w:r w:rsidRPr="00186A04">
        <w:t xml:space="preserve">Example </w:t>
      </w:r>
      <w:r w:rsidR="009441D2">
        <w:t>2</w:t>
      </w:r>
    </w:p>
    <w:p w14:paraId="665DB9CE"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AE0EB8" w14:textId="55DF3F5D"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Determine whether a loose transient fire is capable of activating a wet pipe sprinkler system.  The distance between the top of the transient and the ceiling is 10 ft. and the nearest sprinkler head is 5 </w:t>
      </w:r>
      <w:r w:rsidR="00E93748">
        <w:t>ft.</w:t>
      </w:r>
      <w:r>
        <w:t xml:space="preserve"> from the fire.</w:t>
      </w:r>
    </w:p>
    <w:p w14:paraId="14777E7D"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3C4C7D" w14:textId="77777777" w:rsidR="00186A04" w:rsidRPr="00DC7300"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rsidRPr="00DC7300">
        <w:rPr>
          <w:i/>
        </w:rPr>
        <w:t>Solution</w:t>
      </w:r>
    </w:p>
    <w:p w14:paraId="6F4F3165"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26F5AA" w14:textId="72C8B92B"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Figure H.09 on page H-9 of Attachment 8 </w:t>
      </w:r>
      <w:r w:rsidR="00F814C2">
        <w:t>t</w:t>
      </w:r>
      <w:r>
        <w:t>o Appendix F indicates that the sprinkler will activate in 508 seconds, as shown in Figure 5.2.17 below.  Figure 5.2.17 also indicates that a transient fire would not be capable of activating a sprinkler if it is at a radial distance of 7 ft. or greater</w:t>
      </w:r>
      <w:r w:rsidR="00420369">
        <w:t>.  Since the nearest head is only 5 ft</w:t>
      </w:r>
      <w:r w:rsidR="006B7E4E">
        <w:t>.</w:t>
      </w:r>
      <w:r w:rsidR="00420369">
        <w:t xml:space="preserve"> from the fire, activation after around 500 seconds should be assumed.</w:t>
      </w:r>
    </w:p>
    <w:p w14:paraId="0DAB4BE9"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8BD241"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9359B">
        <w:rPr>
          <w:noProof/>
        </w:rPr>
        <w:lastRenderedPageBreak/>
        <w:drawing>
          <wp:inline distT="0" distB="0" distL="0" distR="0" wp14:anchorId="59DD7006" wp14:editId="1F1F721E">
            <wp:extent cx="5943600" cy="516411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5164111"/>
                    </a:xfrm>
                    <a:prstGeom prst="rect">
                      <a:avLst/>
                    </a:prstGeom>
                    <a:noFill/>
                    <a:ln>
                      <a:noFill/>
                    </a:ln>
                  </pic:spPr>
                </pic:pic>
              </a:graphicData>
            </a:graphic>
          </wp:inline>
        </w:drawing>
      </w:r>
    </w:p>
    <w:p w14:paraId="320DF2B0" w14:textId="2E7CD7E8" w:rsidR="00186A04" w:rsidRPr="00106B50" w:rsidRDefault="00186A04" w:rsidP="00CC4A33">
      <w:pPr>
        <w:pStyle w:val="Figures"/>
      </w:pPr>
      <w:bookmarkStart w:id="117" w:name="_Toc483393816"/>
      <w:r w:rsidRPr="00106B50">
        <w:t>Figure 5.2.17</w:t>
      </w:r>
      <w:r w:rsidR="00357506" w:rsidRPr="00106B50">
        <w:t xml:space="preserve"> – </w:t>
      </w:r>
      <w:r w:rsidRPr="00106B50">
        <w:t>Sprinkler Activation Time for Contained Transient Fire.</w:t>
      </w:r>
      <w:bookmarkEnd w:id="117"/>
    </w:p>
    <w:p w14:paraId="4B4A4533" w14:textId="3C1DE989" w:rsidR="008F6A10" w:rsidRDefault="008F6A10">
      <w:pPr>
        <w:widowControl/>
        <w:autoSpaceDE/>
        <w:autoSpaceDN/>
        <w:adjustRightInd/>
      </w:pPr>
      <w:r>
        <w:br w:type="page"/>
      </w:r>
    </w:p>
    <w:p w14:paraId="41F2B7DE" w14:textId="381241F3" w:rsidR="00B27F2A" w:rsidRDefault="00B27F2A" w:rsidP="003163D3">
      <w:pPr>
        <w:pStyle w:val="Heading1"/>
      </w:pPr>
      <w:bookmarkStart w:id="118" w:name="_Toc481265400"/>
      <w:bookmarkStart w:id="119" w:name="_Toc511060880"/>
      <w:r>
        <w:lastRenderedPageBreak/>
        <w:t>BASIS</w:t>
      </w:r>
      <w:bookmarkEnd w:id="118"/>
      <w:bookmarkEnd w:id="119"/>
    </w:p>
    <w:p w14:paraId="2EF2E657" w14:textId="77777777" w:rsidR="00453A51" w:rsidRDefault="00453A5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849585" w14:textId="5C3B7D02" w:rsidR="00B27F2A" w:rsidRDefault="00B27F2A" w:rsidP="00B43D79">
      <w:pPr>
        <w:pStyle w:val="Heading2"/>
        <w:ind w:hanging="1166"/>
      </w:pPr>
      <w:bookmarkStart w:id="120" w:name="_Toc481265401"/>
      <w:bookmarkStart w:id="121" w:name="_Toc511060881"/>
      <w:r>
        <w:t>Phase 1 Analysis Basis</w:t>
      </w:r>
      <w:bookmarkEnd w:id="120"/>
      <w:bookmarkEnd w:id="121"/>
    </w:p>
    <w:p w14:paraId="23B72D59"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68C8EF" w14:textId="21A7F737" w:rsidR="00B27F2A" w:rsidRDefault="00B27F2A" w:rsidP="004D46E2">
      <w:pPr>
        <w:pStyle w:val="Heading3"/>
      </w:pPr>
      <w:bookmarkStart w:id="122" w:name="_Toc481265402"/>
      <w:bookmarkStart w:id="123" w:name="_Toc511060882"/>
      <w:r>
        <w:t>Step 1.1</w:t>
      </w:r>
      <w:r w:rsidR="000E0A4F">
        <w:t xml:space="preserve"> –</w:t>
      </w:r>
      <w:r>
        <w:t xml:space="preserve"> </w:t>
      </w:r>
      <w:r w:rsidR="000E0A4F">
        <w:t>Provide Statement of Fire Protection Finding</w:t>
      </w:r>
      <w:bookmarkEnd w:id="122"/>
      <w:bookmarkEnd w:id="123"/>
    </w:p>
    <w:p w14:paraId="0E034E5B"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E1A15F" w14:textId="6822DFDE" w:rsidR="005E4A0F" w:rsidRDefault="00EE2908"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 clear description of the fire finding is necessary to ensure that it is assigned to the appropriate category.</w:t>
      </w:r>
    </w:p>
    <w:p w14:paraId="7DF888B5"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F3DDC6" w14:textId="6E1E6CBF" w:rsidR="00EC2070" w:rsidRDefault="00B27F2A" w:rsidP="004D46E2">
      <w:pPr>
        <w:pStyle w:val="Heading3"/>
      </w:pPr>
      <w:bookmarkStart w:id="124" w:name="_Toc481265403"/>
      <w:bookmarkStart w:id="125" w:name="_Toc511060883"/>
      <w:r>
        <w:t>Step 1.2</w:t>
      </w:r>
      <w:r w:rsidR="000E0A4F">
        <w:t xml:space="preserve"> –</w:t>
      </w:r>
      <w:r>
        <w:t xml:space="preserve"> </w:t>
      </w:r>
      <w:r w:rsidR="000E0A4F">
        <w:t>Assign a Fire Finding Category</w:t>
      </w:r>
      <w:bookmarkEnd w:id="124"/>
      <w:bookmarkEnd w:id="125"/>
    </w:p>
    <w:p w14:paraId="159BE620"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D8101A" w14:textId="281E2B11" w:rsidR="005E4A0F" w:rsidRDefault="00EE2908"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 xml:space="preserve">The finding categories are assigned primarily as a tool for guiding aspects of the analysis.  The finding categories map directly to the fire protection DID elements.  Certain </w:t>
      </w:r>
      <w:r>
        <w:rPr>
          <w:rFonts w:cs="Arial"/>
        </w:rPr>
        <w:t>steps</w:t>
      </w:r>
      <w:r w:rsidRPr="00C70CAC">
        <w:rPr>
          <w:rFonts w:cs="Arial"/>
        </w:rPr>
        <w:t xml:space="preserve"> in the analysis are only relevant to specific types of findings, and other </w:t>
      </w:r>
      <w:r>
        <w:rPr>
          <w:rFonts w:cs="Arial"/>
        </w:rPr>
        <w:t>steps</w:t>
      </w:r>
      <w:r w:rsidRPr="00C70CAC">
        <w:rPr>
          <w:rFonts w:cs="Arial"/>
        </w:rPr>
        <w:t xml:space="preserve"> are skipped for specific types of findings.</w:t>
      </w:r>
    </w:p>
    <w:p w14:paraId="33EE6AF2"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726A9B" w14:textId="29616661" w:rsidR="00B27F2A" w:rsidRDefault="00B27F2A" w:rsidP="004D46E2">
      <w:pPr>
        <w:pStyle w:val="Heading3"/>
      </w:pPr>
      <w:bookmarkStart w:id="126" w:name="_Toc481265404"/>
      <w:bookmarkStart w:id="127" w:name="_Toc511060884"/>
      <w:r>
        <w:t>Step 1.3</w:t>
      </w:r>
      <w:r w:rsidR="000E0A4F">
        <w:t xml:space="preserve"> -</w:t>
      </w:r>
      <w:r>
        <w:t xml:space="preserve"> </w:t>
      </w:r>
      <w:r w:rsidR="005E4A0F">
        <w:t>Low Degradation Deficiencies</w:t>
      </w:r>
      <w:bookmarkEnd w:id="126"/>
      <w:bookmarkEnd w:id="127"/>
    </w:p>
    <w:p w14:paraId="77E3415B"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4F4701" w14:textId="77777777" w:rsidR="00EE2908" w:rsidRPr="00D97706" w:rsidRDefault="00EE2908" w:rsidP="00D97706">
      <w:pPr>
        <w:rPr>
          <w:u w:val="single"/>
        </w:rPr>
      </w:pPr>
      <w:r w:rsidRPr="00D97706">
        <w:rPr>
          <w:u w:val="single"/>
        </w:rPr>
        <w:t>Assignment of a Degradation Rating</w:t>
      </w:r>
    </w:p>
    <w:p w14:paraId="5DF27F6A"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0EE4E4" w14:textId="12FE7B22" w:rsidR="005E4A0F" w:rsidRDefault="00EE2908"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 xml:space="preserve">Degradation ratings are defined in a context explicitly consistent with the fire PRA approach </w:t>
      </w:r>
      <w:r>
        <w:rPr>
          <w:rFonts w:cs="Arial"/>
        </w:rPr>
        <w:t>and</w:t>
      </w:r>
      <w:r w:rsidRPr="00C70CAC">
        <w:rPr>
          <w:rFonts w:cs="Arial"/>
        </w:rPr>
        <w:t xml:space="preserve"> the overall objective of the SDP as a risk-informed analysis tool.  The generic definitions are explicitly tied to the level of credit that will be given to a degraded fire protection program element in the subsequent PRA-base</w:t>
      </w:r>
      <w:r>
        <w:rPr>
          <w:rFonts w:cs="Arial"/>
        </w:rPr>
        <w:t>d</w:t>
      </w:r>
      <w:r w:rsidRPr="00C70CAC">
        <w:rPr>
          <w:rFonts w:cs="Arial"/>
        </w:rPr>
        <w:t xml:space="preserve"> analyses.  All case specific degradation ratings have been established consistent with the generic definitions of High and Low Degradation as discussed in</w:t>
      </w:r>
      <w:r w:rsidRPr="00EE2908">
        <w:rPr>
          <w:rFonts w:cs="Arial"/>
        </w:rPr>
        <w:t xml:space="preserve"> </w:t>
      </w:r>
      <w:r>
        <w:rPr>
          <w:rFonts w:cs="Arial"/>
        </w:rPr>
        <w:t>Attachment 2 to Appendix F</w:t>
      </w:r>
      <w:r w:rsidRPr="00C70CAC">
        <w:rPr>
          <w:rFonts w:cs="Arial"/>
        </w:rPr>
        <w:t xml:space="preserve">.  Specific </w:t>
      </w:r>
      <w:r w:rsidR="00684867" w:rsidRPr="00C70CAC">
        <w:rPr>
          <w:rFonts w:cs="Arial"/>
        </w:rPr>
        <w:t>bas</w:t>
      </w:r>
      <w:r w:rsidR="00684867">
        <w:rPr>
          <w:rFonts w:cs="Arial"/>
        </w:rPr>
        <w:t>e</w:t>
      </w:r>
      <w:r w:rsidR="00684867" w:rsidRPr="00C70CAC">
        <w:rPr>
          <w:rFonts w:cs="Arial"/>
        </w:rPr>
        <w:t xml:space="preserve">s </w:t>
      </w:r>
      <w:r w:rsidRPr="00C70CAC">
        <w:rPr>
          <w:rFonts w:cs="Arial"/>
        </w:rPr>
        <w:t>for the degradation ratings assigned to specific types of findings are discussed in the subsections that follow.</w:t>
      </w:r>
    </w:p>
    <w:p w14:paraId="3212EB96"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E4A420" w14:textId="77777777" w:rsidR="00EE2908" w:rsidRPr="00EF76B3" w:rsidRDefault="00EE2908" w:rsidP="00EF76B3">
      <w:pPr>
        <w:rPr>
          <w:u w:val="single"/>
        </w:rPr>
      </w:pPr>
      <w:r w:rsidRPr="00EF76B3">
        <w:rPr>
          <w:u w:val="single"/>
        </w:rPr>
        <w:t>Fire Prevention and Administrative Controls Programs</w:t>
      </w:r>
    </w:p>
    <w:p w14:paraId="50790FCE"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6023CF" w14:textId="22B395B6"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fire prevention and administrative control</w:t>
      </w:r>
      <w:r w:rsidR="00684867">
        <w:t>s</w:t>
      </w:r>
      <w:r>
        <w:t xml:space="preserve"> program degradations focus on issues related to hot work fire watches and combustible materials controls.</w:t>
      </w:r>
    </w:p>
    <w:p w14:paraId="364A8B1A"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C7222F" w14:textId="6BBFE8E0"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Hot work fire watch degradations rated as high focus on those </w:t>
      </w:r>
      <w:r w:rsidR="00803E89">
        <w:t>issues that</w:t>
      </w:r>
      <w:r>
        <w:t xml:space="preserve"> might render hot work fire watches ineffective at promptly suppressing hot work fires.  The available experience demonstrates that a hot work fire watch is an effective means of mitigating hot work fires.  At least 2 out of 3 hot work fires in the fire event database </w:t>
      </w:r>
      <w:r w:rsidR="003D0493">
        <w:t xml:space="preserve">used to generate </w:t>
      </w:r>
      <w:r>
        <w:t>NSAC-178</w:t>
      </w:r>
      <w:r w:rsidR="003D0493">
        <w:t xml:space="preserve"> </w:t>
      </w:r>
      <w:r w:rsidR="00D45B2D">
        <w:t>(Reference 14)</w:t>
      </w:r>
      <w:r>
        <w:t xml:space="preserve"> were promptly suppressed through actions of the fire watch.  Degradations to the hot work fire watch fire suppression capability will be taken as indicative of a high degradation and the fire frequency will be increased accordingly.</w:t>
      </w:r>
    </w:p>
    <w:p w14:paraId="467758B0"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923C30" w14:textId="07AEA6CD"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items identified as low degradation are primarily related to the hot work fire watch function as a fire detection </w:t>
      </w:r>
      <w:r w:rsidR="003D0493">
        <w:t xml:space="preserve">and suppression </w:t>
      </w:r>
      <w:r>
        <w:t>mechanism, or relate to documentation and training issues associated with the hot work activities.</w:t>
      </w:r>
    </w:p>
    <w:p w14:paraId="641BFEFD"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120C00" w14:textId="3C55BDB4"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 the case of transient fuels control programs, a similar approach is taken.  That is, the focus is placed on degradations that could lead to a substantial increase in fire frequencies.  In this </w:t>
      </w:r>
      <w:r w:rsidR="00803E89">
        <w:t>case,</w:t>
      </w:r>
      <w:r>
        <w:t xml:space="preserve"> there are no industry-wide standards against which to weigh a given situation.  Each licensee sets its own requirements for administrative controls.  Hence, the licensee’s performance must be weighed against their requirements.</w:t>
      </w:r>
    </w:p>
    <w:p w14:paraId="4C63188B"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D6BCC2" w14:textId="77777777" w:rsidR="00106B50" w:rsidRDefault="00106B50" w:rsidP="00EF76B3">
      <w:pPr>
        <w:rPr>
          <w:u w:val="single"/>
        </w:rPr>
      </w:pPr>
    </w:p>
    <w:p w14:paraId="65143936" w14:textId="77777777" w:rsidR="00106B50" w:rsidRDefault="00106B50" w:rsidP="00EF76B3">
      <w:pPr>
        <w:rPr>
          <w:u w:val="single"/>
        </w:rPr>
      </w:pPr>
    </w:p>
    <w:p w14:paraId="10B15D59" w14:textId="77777777" w:rsidR="00EE2908" w:rsidRPr="00EF76B3" w:rsidRDefault="00EE2908" w:rsidP="00EF76B3">
      <w:pPr>
        <w:rPr>
          <w:u w:val="single"/>
        </w:rPr>
      </w:pPr>
      <w:r w:rsidRPr="00EF76B3">
        <w:rPr>
          <w:u w:val="single"/>
        </w:rPr>
        <w:t>Fixed Fire Detection &amp; Suppression Degradation</w:t>
      </w:r>
    </w:p>
    <w:p w14:paraId="7F56D26E"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D3C185" w14:textId="6CF4B792"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degradation ratings for </w:t>
      </w:r>
      <w:r w:rsidR="001406A1">
        <w:t xml:space="preserve">fixed </w:t>
      </w:r>
      <w:r>
        <w:t>fire detection and suppression systems are intended to reflect the general functionality of the system in light of the noted degradation.  Many minor deviations from the code of record are possible that would not substantially degrade the system performance.  These types of degradations are assigned to the low category.</w:t>
      </w:r>
    </w:p>
    <w:p w14:paraId="16B3D307"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B36081"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high degradation category is reserved primarily for those degradations that render the system ineffective.  This implies that the system will not be credited in the risk quantification.</w:t>
      </w:r>
    </w:p>
    <w:p w14:paraId="7B89E7BC"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8C244F" w14:textId="405B849F"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Significant degradations that could either delay the systems actuation, render the system less effective in fighting one or more fire </w:t>
      </w:r>
      <w:r w:rsidR="001406A1">
        <w:t>scenarios</w:t>
      </w:r>
      <w:r>
        <w:t xml:space="preserve"> in the fire area, or adversely impact system reliability are also considered high.  However, the expectation is that even given the degradation, the system should function with some substantial degree of reliability and effectiveness.  The system can therefore be partially credited in the risk quantification.</w:t>
      </w:r>
    </w:p>
    <w:p w14:paraId="3F59E535"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BAFB7E" w14:textId="77777777" w:rsidR="00EE2908" w:rsidRPr="00EF76B3" w:rsidRDefault="00EE2908" w:rsidP="00EF76B3">
      <w:pPr>
        <w:rPr>
          <w:u w:val="single"/>
        </w:rPr>
      </w:pPr>
      <w:r w:rsidRPr="00EF76B3">
        <w:rPr>
          <w:u w:val="single"/>
        </w:rPr>
        <w:t>Fire Barrier Degradation</w:t>
      </w:r>
    </w:p>
    <w:p w14:paraId="7E4EF76C"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76E4BE" w14:textId="2B08D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fire barrier degradation rating is tied to the expected performance time of the degraded barrier in terms of its fire resistance or its ability to prevent failure or ignition of the </w:t>
      </w:r>
      <w:r w:rsidR="003D0493">
        <w:t>SSD-credited equipment p</w:t>
      </w:r>
      <w:r>
        <w:t>rotected by the barrier.  Indeed this is how the degradations are reflected in risk quantification.  The examples are taken from the experience of field inspectors, NRC headquarters staff, research, and the plants themselves.</w:t>
      </w:r>
    </w:p>
    <w:p w14:paraId="0A322644"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F2BEFE" w14:textId="77777777" w:rsidR="00EE2908" w:rsidRPr="00EF76B3" w:rsidRDefault="00EE2908" w:rsidP="00EF76B3">
      <w:pPr>
        <w:rPr>
          <w:u w:val="single"/>
        </w:rPr>
      </w:pPr>
      <w:r w:rsidRPr="00EF76B3">
        <w:rPr>
          <w:u w:val="single"/>
        </w:rPr>
        <w:t>Safe Shutdown Findings</w:t>
      </w:r>
    </w:p>
    <w:p w14:paraId="3B95EA45"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49244C" w14:textId="44233AA2"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0510A">
        <w:t xml:space="preserve">The SSD finding degradation levels are intended to align with the generic definitions.  However, in this context the interpretation focuses somewhat more sharply on ‘reliability’ issues.  For example, a fire suppression system can be compared to a code of record and deviations can be readily identified.  SSD provisions rarely have such a definitive yardstick against which they can be measured.  SSD findings are more likely to hinge on qualitative factors.  For example, issues likely to arise could include the adequacy of post-fire </w:t>
      </w:r>
      <w:r w:rsidR="005E424B">
        <w:t>SSD</w:t>
      </w:r>
      <w:r w:rsidRPr="0040510A">
        <w:t xml:space="preserve"> procedures, the reliability of a proposed </w:t>
      </w:r>
      <w:r w:rsidR="005E424B">
        <w:t>SSD</w:t>
      </w:r>
      <w:r w:rsidRPr="0040510A">
        <w:t xml:space="preserve"> path, unavailability of required functions, likelihood of spurious equipment operations, etc.  The criteria as written reflect the qualitative nature of these findings.  It is expected that considerable judgment on the part of the practitioner will be required to properly assess SSD findings.</w:t>
      </w:r>
    </w:p>
    <w:p w14:paraId="6E02392B" w14:textId="77777777"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89F125" w14:textId="77777777" w:rsidR="00CA6645" w:rsidRPr="00EF76B3" w:rsidRDefault="00CA6645" w:rsidP="00EF76B3">
      <w:pPr>
        <w:rPr>
          <w:u w:val="single"/>
        </w:rPr>
      </w:pPr>
      <w:r w:rsidRPr="00EF76B3">
        <w:rPr>
          <w:u w:val="single"/>
        </w:rPr>
        <w:t>Low Degradation Deficiency Screening Check</w:t>
      </w:r>
    </w:p>
    <w:p w14:paraId="18F5041E"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C8D53C" w14:textId="2F9430BA" w:rsidR="00EE2908" w:rsidRDefault="00EE2908" w:rsidP="00EE29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D023A">
        <w:t xml:space="preserve">The first question in the qualitative screening check asks if a </w:t>
      </w:r>
      <w:r w:rsidR="00CA6645">
        <w:t>l</w:t>
      </w:r>
      <w:r w:rsidR="00CA6645" w:rsidRPr="00CD023A">
        <w:t>ow</w:t>
      </w:r>
      <w:r w:rsidRPr="00CD023A">
        <w:t xml:space="preserve"> degradation rating was assigned to the finding.  By design, the definition of </w:t>
      </w:r>
      <w:r w:rsidR="00CA6645">
        <w:t>l</w:t>
      </w:r>
      <w:r w:rsidR="00CA6645" w:rsidRPr="00CD023A">
        <w:t>ow</w:t>
      </w:r>
      <w:r w:rsidRPr="00CD023A">
        <w:t xml:space="preserve"> degradation implies that the performance and/or reliability of the fire protection feature is </w:t>
      </w:r>
      <w:r w:rsidR="001406A1">
        <w:t>minimally</w:t>
      </w:r>
      <w:r w:rsidRPr="00CD023A">
        <w:t xml:space="preserve"> impacted by the noted degradation finding.  Hence, the feature would be given essentially full credit in the PRA-based analysis.  In this case, the risk change is essentially zero, and the finding should be screened to Green.  Question 1</w:t>
      </w:r>
      <w:r w:rsidR="00CA6645">
        <w:t>.3.1-A</w:t>
      </w:r>
      <w:r w:rsidRPr="00CD023A">
        <w:t xml:space="preserve"> accomplishes this action.</w:t>
      </w:r>
    </w:p>
    <w:p w14:paraId="456FE16F"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0831A5" w14:textId="7223E201" w:rsidR="00EC2070" w:rsidRPr="00D97706" w:rsidRDefault="00B27F2A" w:rsidP="004D46E2">
      <w:pPr>
        <w:pStyle w:val="Heading3"/>
      </w:pPr>
      <w:bookmarkStart w:id="128" w:name="_Toc481265405"/>
      <w:bookmarkStart w:id="129" w:name="_Toc511060885"/>
      <w:r w:rsidRPr="00D97706">
        <w:lastRenderedPageBreak/>
        <w:t>Step 1.4</w:t>
      </w:r>
      <w:r w:rsidR="006275A1" w:rsidRPr="00D97706">
        <w:t xml:space="preserve"> -</w:t>
      </w:r>
      <w:r w:rsidRPr="00D97706">
        <w:t xml:space="preserve"> Qua</w:t>
      </w:r>
      <w:r w:rsidR="005E4A0F" w:rsidRPr="00D97706">
        <w:t>l</w:t>
      </w:r>
      <w:r w:rsidRPr="00D97706">
        <w:t xml:space="preserve">itative Screening </w:t>
      </w:r>
      <w:r w:rsidR="005E4A0F" w:rsidRPr="00D97706">
        <w:t>Questions</w:t>
      </w:r>
      <w:bookmarkEnd w:id="128"/>
      <w:bookmarkEnd w:id="129"/>
    </w:p>
    <w:p w14:paraId="564F7740" w14:textId="77777777" w:rsidR="00CA6645" w:rsidRDefault="00CA6645"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9EC1E5" w14:textId="77777777" w:rsidR="00CA6645" w:rsidRDefault="00CA6645"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Step 1.4 consists of a series questions that are used to determine whether the finding can be screened to Green without the need to perform a quantitative analysis.  The basis for each of the qualitative screening questions, which are specific to the finding category assigned in Step 1.2, is discussed below.</w:t>
      </w:r>
    </w:p>
    <w:p w14:paraId="23791CBF"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2BF044" w14:textId="3FC5B227" w:rsidR="00B27F2A" w:rsidRDefault="0079404E" w:rsidP="004D46E2">
      <w:pPr>
        <w:pStyle w:val="Heading4"/>
      </w:pPr>
      <w:r>
        <w:t>Step</w:t>
      </w:r>
      <w:r w:rsidR="00B27F2A">
        <w:t xml:space="preserve"> 1.4.1: </w:t>
      </w:r>
      <w:r w:rsidRPr="00935BDE">
        <w:t>Fire Prevention and Administrative Controls</w:t>
      </w:r>
    </w:p>
    <w:p w14:paraId="275CC31C"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167042" w14:textId="481AB37D"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1.4.1-A Question</w:t>
      </w:r>
      <w:r>
        <w:t xml:space="preserve">: Fire prevention or administrative controls deficiencies that can result in larger fires than originally postulated </w:t>
      </w:r>
      <w:r w:rsidR="00AC15BC" w:rsidRPr="00AC15BC">
        <w:t xml:space="preserve">(such as transient combustibles found in combustible free areas) </w:t>
      </w:r>
      <w:r>
        <w:t xml:space="preserve">may exacerbate the likelihood or severity of fire scenarios for the area. </w:t>
      </w:r>
      <w:r w:rsidR="00772A9B">
        <w:t xml:space="preserve"> </w:t>
      </w:r>
      <w:r>
        <w:t>Fire watch deficiencies m</w:t>
      </w:r>
      <w:r w:rsidR="001406A1">
        <w:t>a</w:t>
      </w:r>
      <w:r>
        <w:t xml:space="preserve">y result in delays in detecting the fire, affecting the probability of non-suppression for the fire.  If the finding does not create a more likely or severe fire scenario than was already analyzed, or </w:t>
      </w:r>
      <w:r w:rsidR="00772A9B">
        <w:t xml:space="preserve">otherwise </w:t>
      </w:r>
      <w:r>
        <w:t xml:space="preserve">adversely impact the </w:t>
      </w:r>
      <w:r w:rsidR="005E424B">
        <w:t>SSD</w:t>
      </w:r>
      <w:r>
        <w:t xml:space="preserve"> strategy for the area, the finding can be screened to </w:t>
      </w:r>
      <w:r w:rsidR="00EC1C61">
        <w:t>Green</w:t>
      </w:r>
      <w:r>
        <w:t xml:space="preserve"> because the risk impact is low.</w:t>
      </w:r>
    </w:p>
    <w:p w14:paraId="4FDD772E"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B5C544" w14:textId="12CF04DE" w:rsidR="005E4A0F" w:rsidRDefault="00CA6645"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1.4.1-B Question</w:t>
      </w:r>
      <w:r>
        <w:t xml:space="preserve">: Fire prevention or administrative controls deficiencies can </w:t>
      </w:r>
      <w:r w:rsidR="001406A1">
        <w:t>increase</w:t>
      </w:r>
      <w:r>
        <w:t xml:space="preserve"> the </w:t>
      </w:r>
      <w:r w:rsidR="001406A1">
        <w:t xml:space="preserve">adverse </w:t>
      </w:r>
      <w:r>
        <w:t>impact of fire scenarios for an area.  Fully functional fixed fire suppression systems quickly and reliably suppress fires or prevent them from spreading.  If an area is protected by a fixed fire suppression system that is capable of handling the identified deficiency (such as increased transient combustibles), the risk associated with the deficiency is low because the fixed fire suppression system will quickly stop fire progression.</w:t>
      </w:r>
    </w:p>
    <w:p w14:paraId="545D8F1A"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49C0A0" w14:textId="42A720D1" w:rsidR="00EC2070" w:rsidRDefault="0079404E" w:rsidP="004D46E2">
      <w:pPr>
        <w:pStyle w:val="Heading4"/>
      </w:pPr>
      <w:r>
        <w:t>Step</w:t>
      </w:r>
      <w:r w:rsidR="00B27F2A">
        <w:t xml:space="preserve"> 1.4.2: </w:t>
      </w:r>
      <w:r w:rsidRPr="00935BDE">
        <w:t>Fixed Fire Protection Systems</w:t>
      </w:r>
    </w:p>
    <w:p w14:paraId="4B59B3E7"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5781C1" w14:textId="2AFA81A1" w:rsidR="005E4A0F" w:rsidRDefault="00CA6645"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1.4.2-A Question:</w:t>
      </w:r>
      <w:r>
        <w:t xml:space="preserve"> The purpose of this question is to screen findings that do not adversely affect the ability of the fire suppression system to protect the targets.  The inspector should evaluate the location of targets in the area in relation to the degradation in the suppression system, and the location and type of combustibles in the area.  For example, a finding related to a broken or blocked sprinkler head that is on the opposite side of the room from the target can be screened to </w:t>
      </w:r>
      <w:r w:rsidR="000A402B">
        <w:t>G</w:t>
      </w:r>
      <w:r>
        <w:t>reen if the remaining sprinkler heads would be sufficient to protect the target.  However, a large combustible source in the area, such as an oil reservoir, would require additional evaluation in Phase 2.</w:t>
      </w:r>
    </w:p>
    <w:p w14:paraId="7719A4F9"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5B6675" w14:textId="324F07CD" w:rsidR="00EC2070" w:rsidRDefault="0079404E" w:rsidP="004D46E2">
      <w:pPr>
        <w:pStyle w:val="Heading4"/>
      </w:pPr>
      <w:r>
        <w:t>Step</w:t>
      </w:r>
      <w:r w:rsidR="00B27F2A">
        <w:t xml:space="preserve"> 1.4.3: </w:t>
      </w:r>
      <w:r w:rsidRPr="00935BDE">
        <w:t>Fire Water Supply</w:t>
      </w:r>
    </w:p>
    <w:p w14:paraId="2386A842" w14:textId="77777777" w:rsidR="005E4A0F" w:rsidRDefault="005E4A0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F19F00" w14:textId="4C20C529" w:rsidR="005E4A0F" w:rsidRDefault="00CA6645"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1.4.3-A Question:</w:t>
      </w:r>
      <w:r>
        <w:t xml:space="preserve"> Fire water systems are generally designed to provide adequate water supply for fixed sprinkler or large deluge systems protecting equipment that may</w:t>
      </w:r>
      <w:r w:rsidR="00B6363A">
        <w:t xml:space="preserve"> not</w:t>
      </w:r>
      <w:r>
        <w:t xml:space="preserve"> be important to safety or </w:t>
      </w:r>
      <w:r w:rsidR="005E424B">
        <w:t>SSD</w:t>
      </w:r>
      <w:r>
        <w:t xml:space="preserve">. The water supply required to suppress fires in equipment important to </w:t>
      </w:r>
      <w:r w:rsidR="005E424B">
        <w:t>SSD</w:t>
      </w:r>
      <w:r>
        <w:t xml:space="preserve"> prior to adversely affecting this </w:t>
      </w:r>
      <w:r w:rsidR="005E424B">
        <w:t>SSD</w:t>
      </w:r>
      <w:r>
        <w:t xml:space="preserve"> capability may be much less than the full capacity of the system.  The location of equipment important to </w:t>
      </w:r>
      <w:r w:rsidR="005E424B">
        <w:t>SSD</w:t>
      </w:r>
      <w:r>
        <w:t xml:space="preserve"> varies by plant.  The most limiting location onsite that protects equipment important to </w:t>
      </w:r>
      <w:r w:rsidR="005E424B">
        <w:t>SSD</w:t>
      </w:r>
      <w:r>
        <w:t xml:space="preserve"> depends on factors such as the elevation of the equipment, type of combustibles in the area, method of suppression, and the flow required for suppression.  The inspector should consider whether the fire water system degradation would affect the ability to get adequate water supply to protect equipment </w:t>
      </w:r>
      <w:r w:rsidR="00FF4F3C">
        <w:t xml:space="preserve">important to SSD </w:t>
      </w:r>
      <w:r>
        <w:t>in the most limiting location and for the most severe fire.</w:t>
      </w:r>
      <w:r w:rsidR="00FF4F3C">
        <w:t xml:space="preserve">  If a fire water supply finding does not screen to Green in this step, the finding may affect multiple fire areas.  In this case, the evaluation can proceed directly to Phase 3.  If the finding is limited to a few areas, the evaluation can proceed using Phase 2.  </w:t>
      </w:r>
    </w:p>
    <w:p w14:paraId="34BC011A" w14:textId="77777777" w:rsidR="0079404E" w:rsidRDefault="0079404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831E3C" w14:textId="18D057E8" w:rsidR="0079404E" w:rsidRDefault="0079404E" w:rsidP="004D46E2">
      <w:pPr>
        <w:pStyle w:val="Heading4"/>
      </w:pPr>
      <w:r>
        <w:lastRenderedPageBreak/>
        <w:t xml:space="preserve">Step 1.4.4: </w:t>
      </w:r>
      <w:r w:rsidRPr="00935BDE">
        <w:t xml:space="preserve">Fire </w:t>
      </w:r>
      <w:r>
        <w:t>Confinement</w:t>
      </w:r>
    </w:p>
    <w:p w14:paraId="602BAAD4" w14:textId="77777777" w:rsidR="0079404E" w:rsidRDefault="0079404E"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0274B1" w14:textId="58983CA0"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1.4.4-</w:t>
      </w:r>
      <w:r w:rsidR="00AE64B9">
        <w:rPr>
          <w:u w:val="single"/>
        </w:rPr>
        <w:t>A</w:t>
      </w:r>
      <w:r w:rsidRPr="001A0685">
        <w:rPr>
          <w:u w:val="single"/>
        </w:rPr>
        <w:t xml:space="preserve"> Question:</w:t>
      </w:r>
      <w:r>
        <w:t xml:space="preserve"> The purpose of this question is to screen findings that do not affect the ability of the fire barrier system to protect the targets.  The inspector should evaluate the location of targets in the area in relation to the degraded fire barrier system, and the location and type of combustibles in the area.  For example, a finding related to a moderately degraded fire barrier can be screened to </w:t>
      </w:r>
      <w:r w:rsidR="00EC1C61">
        <w:t>Green</w:t>
      </w:r>
      <w:r>
        <w:t xml:space="preserve"> if the combustible loading in the area of concern is consistent with that analyzed in the approved fire protection program</w:t>
      </w:r>
      <w:r w:rsidR="00FA180C">
        <w:t>, including not only amount but also location</w:t>
      </w:r>
      <w:r>
        <w:t>.  However, a large combustible source in the area, such as an oil reservoir, or combustibles or targets adjacent to the degraded barrier would require additional evaluation in Phase 2.</w:t>
      </w:r>
    </w:p>
    <w:p w14:paraId="58439FA3"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501B70" w14:textId="713E0CE4"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1.4.4-</w:t>
      </w:r>
      <w:r w:rsidR="00AE64B9">
        <w:rPr>
          <w:u w:val="single"/>
        </w:rPr>
        <w:t>B</w:t>
      </w:r>
      <w:r w:rsidRPr="001A0685">
        <w:rPr>
          <w:u w:val="single"/>
        </w:rPr>
        <w:t xml:space="preserve"> Question:</w:t>
      </w:r>
      <w:r>
        <w:t xml:space="preserve"> An automatic </w:t>
      </w:r>
      <w:r w:rsidR="003947B0">
        <w:t xml:space="preserve">water-based </w:t>
      </w:r>
      <w:r>
        <w:t>suppression system is designed to suppress a fire in the compartment in which the fire originates.  In addition, the automatic fire suppression system would likely actuate and limit fire damage if the fire were to spread to the compartment from an adjacent compartment due to a fire barrier deficiency.</w:t>
      </w:r>
    </w:p>
    <w:p w14:paraId="5D396EC1"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42FA41" w14:textId="1ED58D86" w:rsidR="00066697" w:rsidRPr="00066697" w:rsidRDefault="00066697" w:rsidP="000666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66697">
        <w:rPr>
          <w:u w:val="single"/>
        </w:rPr>
        <w:t>Basis for 1.4.</w:t>
      </w:r>
      <w:r>
        <w:rPr>
          <w:u w:val="single"/>
        </w:rPr>
        <w:t>4</w:t>
      </w:r>
      <w:r w:rsidRPr="00066697">
        <w:rPr>
          <w:u w:val="single"/>
        </w:rPr>
        <w:t>-C Question</w:t>
      </w:r>
      <w:r w:rsidRPr="00E36D11">
        <w:t>: In most cases these types of findings are considered low degradation and would have been screened to Green in a prior step.  However, if not previously screened, then they are screened here.</w:t>
      </w:r>
    </w:p>
    <w:p w14:paraId="628769AD" w14:textId="77777777" w:rsidR="00066697" w:rsidRPr="00066697" w:rsidRDefault="00066697" w:rsidP="000666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FEDF86C" w14:textId="673C1882" w:rsidR="00066697" w:rsidRPr="00066697" w:rsidRDefault="00066697" w:rsidP="000666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066697">
        <w:rPr>
          <w:u w:val="single"/>
        </w:rPr>
        <w:t>Basis for 1.4.</w:t>
      </w:r>
      <w:r>
        <w:rPr>
          <w:u w:val="single"/>
        </w:rPr>
        <w:t>4</w:t>
      </w:r>
      <w:r w:rsidRPr="00066697">
        <w:rPr>
          <w:u w:val="single"/>
        </w:rPr>
        <w:t>-D Question</w:t>
      </w:r>
      <w:r w:rsidRPr="00E36D11">
        <w:t>: Closed fire doors provide adequate separation for most fire areas.  However, fire doors that enclose fire areas with gaseous suppression systems are credited to ensure the proper concentration of suppression agent is maintained and therefore require additional evaluation in Phase 2.  In addition, areas protected by gaseous suppression are generally risk-significant areas that require additional evaluation in Phase 2.</w:t>
      </w:r>
    </w:p>
    <w:p w14:paraId="44527A79" w14:textId="77777777" w:rsidR="00066697" w:rsidRDefault="00066697"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F5ABE7F" w14:textId="26688001"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1.4.4-</w:t>
      </w:r>
      <w:r w:rsidR="00066697">
        <w:rPr>
          <w:u w:val="single"/>
        </w:rPr>
        <w:t>E</w:t>
      </w:r>
      <w:r w:rsidRPr="001A0685">
        <w:rPr>
          <w:u w:val="single"/>
        </w:rPr>
        <w:t xml:space="preserve"> Question:</w:t>
      </w:r>
      <w:r>
        <w:t xml:space="preserve"> If the exposing and exposed fire </w:t>
      </w:r>
      <w:r w:rsidR="005B74BF">
        <w:t>compartments</w:t>
      </w:r>
      <w:r>
        <w:t xml:space="preserve"> contain the same set of targets, any increase in risk associated with the fire spreading from one zone to the other should be minimal if potential targets in the exposed zone have already been compromised by the exposing fire.  However, if the fire spreading to another fire zone would impact </w:t>
      </w:r>
      <w:r w:rsidR="005E424B">
        <w:t>SSD</w:t>
      </w:r>
      <w:r>
        <w:t xml:space="preserve"> equipment not already compromised, additional evaluation is required in Phase 2.</w:t>
      </w:r>
    </w:p>
    <w:p w14:paraId="574B0CEA"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45685A" w14:textId="7531616F" w:rsidR="0079404E" w:rsidRDefault="00CA6645" w:rsidP="00E36D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1.4.4-</w:t>
      </w:r>
      <w:r w:rsidR="00066697">
        <w:rPr>
          <w:u w:val="single"/>
        </w:rPr>
        <w:t>F</w:t>
      </w:r>
      <w:r w:rsidRPr="001A0685">
        <w:rPr>
          <w:u w:val="single"/>
        </w:rPr>
        <w:t xml:space="preserve"> Question:</w:t>
      </w:r>
      <w:r>
        <w:t xml:space="preserve"> The inspector should consider the location of the degraded fire </w:t>
      </w:r>
      <w:r w:rsidR="00144E55">
        <w:t>confinement element</w:t>
      </w:r>
      <w:r>
        <w:t xml:space="preserve">, the locations of any </w:t>
      </w:r>
      <w:r w:rsidR="00144E55">
        <w:t xml:space="preserve">ignition sources and </w:t>
      </w:r>
      <w:r>
        <w:t xml:space="preserve">targets in the vicinity of the </w:t>
      </w:r>
      <w:r w:rsidR="00144E55">
        <w:t>deficiency</w:t>
      </w:r>
      <w:r>
        <w:t>, the location of combustibles in the affected compartments</w:t>
      </w:r>
      <w:r w:rsidR="00144E55">
        <w:t>, and the ability of the suppression system or fire brigade to extinquish the fire</w:t>
      </w:r>
      <w:r>
        <w:t>.  Cable tray fires through a horizontal barrier progress slowly, such that the fire spread is not expected to impact the adjacent compartment before the fire brigade is able to respond.</w:t>
      </w:r>
      <w:r w:rsidR="00144E55">
        <w:t xml:space="preserve">  However, </w:t>
      </w:r>
      <w:r w:rsidR="00144E55" w:rsidRPr="00144E55">
        <w:t xml:space="preserve">ceiling fire barrier deficiencies would transport flames/hot gases to the compartment </w:t>
      </w:r>
      <w:r w:rsidR="00144E55">
        <w:t xml:space="preserve">above </w:t>
      </w:r>
      <w:r w:rsidR="00144E55" w:rsidRPr="00144E55">
        <w:t>the fire much faster</w:t>
      </w:r>
      <w:r w:rsidR="00144E55">
        <w:t xml:space="preserve"> and should be evaluated further in Phase 2.</w:t>
      </w:r>
    </w:p>
    <w:p w14:paraId="2FC0F64D" w14:textId="77777777" w:rsidR="0079404E" w:rsidRDefault="0079404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B5A4E4" w14:textId="1C99D66A" w:rsidR="0079404E" w:rsidRDefault="0079404E" w:rsidP="004D46E2">
      <w:pPr>
        <w:pStyle w:val="Heading4"/>
      </w:pPr>
      <w:r>
        <w:t xml:space="preserve">Step 1.4.5: </w:t>
      </w:r>
      <w:r w:rsidR="000D459A">
        <w:rPr>
          <w:rFonts w:eastAsia="Calibri"/>
        </w:rPr>
        <w:t>Manual Fire F</w:t>
      </w:r>
      <w:r w:rsidR="000D459A" w:rsidRPr="00935BDE">
        <w:rPr>
          <w:rFonts w:eastAsia="Calibri"/>
        </w:rPr>
        <w:t>ighting</w:t>
      </w:r>
    </w:p>
    <w:p w14:paraId="0B838C28" w14:textId="77777777" w:rsidR="0079404E" w:rsidRDefault="0079404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2CAF53" w14:textId="7F74BE61"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1.4.5-A Question:</w:t>
      </w:r>
      <w:r>
        <w:t xml:space="preserve"> Standard-sized fire extinguishers provide limited suppression value in comparison to fire hoses or fixed fire suppression systems.  Possible exceptions are fire extinguishers used for hot work fire watches for an active ignition source or special large-capacity fire extinguishers for specific fire hazards.  </w:t>
      </w:r>
    </w:p>
    <w:p w14:paraId="2D4EEBC1"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B71FEF" w14:textId="77777777" w:rsidR="00CA6645" w:rsidRDefault="00CA6645" w:rsidP="00E36D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1.4.5-B Question:</w:t>
      </w:r>
      <w:r>
        <w:t xml:space="preserve"> Irregularities in pre-fire plan information should not significantly impact fire brigade performance unless they can adversely impact the brigade’s actions.</w:t>
      </w:r>
    </w:p>
    <w:p w14:paraId="5750DEFA"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86FDC7"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1.4.5-C Question:</w:t>
      </w:r>
      <w:r>
        <w:t xml:space="preserve"> Fixed fire suppression systems are much more likely to quickly suppress a fire than the fire brigade.  Therefore, a manual fire fighting deficiency would not significantly impact risk for a room with a fixed fire suppression system.</w:t>
      </w:r>
    </w:p>
    <w:p w14:paraId="59C296C7"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A49F64" w14:textId="6EAEAD05" w:rsidR="0079404E"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0685">
        <w:rPr>
          <w:u w:val="single"/>
        </w:rPr>
        <w:t>Basis for 1.4.5-D Question:</w:t>
      </w:r>
      <w:r>
        <w:t xml:space="preserve"> Fire areas may have several hose stations nearby that can be used for manual fire fighting.  Some fire brigades carry additional hose</w:t>
      </w:r>
      <w:r w:rsidR="00FA180C">
        <w:t>s</w:t>
      </w:r>
      <w:r>
        <w:t xml:space="preserve"> and equipment with them that can be used in place of the degraded equipment.  Some plants stage additional </w:t>
      </w:r>
      <w:r w:rsidR="00803E89">
        <w:t>firefighting</w:t>
      </w:r>
      <w:r>
        <w:t xml:space="preserve"> equipment around the site for easy access.  If alternative manual </w:t>
      </w:r>
      <w:r w:rsidR="00803E89">
        <w:t>firefighting</w:t>
      </w:r>
      <w:r>
        <w:t xml:space="preserve"> equipment is available to suppress the fire, the impact of the degraded hose station on risk is small.  However, the alternative methods must be readily available and simple to execute such that </w:t>
      </w:r>
      <w:r w:rsidR="005E424B">
        <w:t>SSD</w:t>
      </w:r>
      <w:r>
        <w:t xml:space="preserve"> equipment is not adversely affected.</w:t>
      </w:r>
    </w:p>
    <w:p w14:paraId="56839665" w14:textId="77777777" w:rsidR="0079404E" w:rsidRDefault="0079404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2D7D15" w14:textId="2ECFB6B8" w:rsidR="0079404E" w:rsidRDefault="0079404E" w:rsidP="004D46E2">
      <w:pPr>
        <w:pStyle w:val="Heading4"/>
      </w:pPr>
      <w:r>
        <w:t>Step 1.4.</w:t>
      </w:r>
      <w:r w:rsidR="000D459A">
        <w:t>6</w:t>
      </w:r>
      <w:r>
        <w:t xml:space="preserve">: </w:t>
      </w:r>
      <w:r w:rsidR="000D459A" w:rsidRPr="00935BDE">
        <w:t>Localized Cable or Component Protection</w:t>
      </w:r>
    </w:p>
    <w:p w14:paraId="192440AF" w14:textId="77777777" w:rsidR="0079404E" w:rsidRDefault="0079404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C83795" w14:textId="4BA071AD"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06B50">
        <w:rPr>
          <w:u w:val="single"/>
        </w:rPr>
        <w:t>Basis for 1.4.6-A Question</w:t>
      </w:r>
      <w:r>
        <w:t xml:space="preserve">: Fire wraps extend the amount of time it takes for fire to damage the targets they protect.  Fixed fire suppression systems quickly and reliably suppress fires or prevent them from spreading.  If the target is protected by a fixed fire suppression system, the risk associated with low </w:t>
      </w:r>
      <w:r w:rsidR="0072693E">
        <w:t xml:space="preserve">to moderate </w:t>
      </w:r>
      <w:r>
        <w:t>fire wrap degradations is low because the fixed fire suppression system will quickly stop fire progression.  Highly degraded or non-functional fire wraps should be evaluated in Phase 2.</w:t>
      </w:r>
    </w:p>
    <w:p w14:paraId="3F0940A5"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D239F1" w14:textId="3299D1D1" w:rsidR="0079404E"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06B50">
        <w:rPr>
          <w:u w:val="single"/>
        </w:rPr>
        <w:t>Basis for 1.4.6-B Question</w:t>
      </w:r>
      <w:r>
        <w:t xml:space="preserve">: In contrast to the previous, this question is intended to screen findings associated with degraded fire wraps to </w:t>
      </w:r>
      <w:r w:rsidR="00EC1C61">
        <w:t>Green</w:t>
      </w:r>
      <w:r>
        <w:t xml:space="preserve"> if the degradation is minor enough that the fire brigade, rather than a fixed fire suppression system, could suppress the fire before the target is damaged.  The inspector should consider the extent of the damage to the wrap, location of the degradation, fire brigade response time, and ease of suppression.  For example, a finding related to a </w:t>
      </w:r>
      <w:r w:rsidR="00803E89">
        <w:t>3-hour</w:t>
      </w:r>
      <w:r>
        <w:t xml:space="preserve"> fire wrap that has been degraded to only provide 1 hour of protection can be screened to </w:t>
      </w:r>
      <w:r w:rsidR="00EC1C61">
        <w:t>Green</w:t>
      </w:r>
      <w:r>
        <w:t xml:space="preserve"> if the area has automatic detection, and the fire brigade would be able to </w:t>
      </w:r>
      <w:r w:rsidR="00FA180C">
        <w:t>reach</w:t>
      </w:r>
      <w:r>
        <w:t xml:space="preserve"> and suppress the postulated fire within 1 hour.</w:t>
      </w:r>
    </w:p>
    <w:p w14:paraId="4DB89660" w14:textId="77777777" w:rsidR="000D459A" w:rsidRDefault="000D459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6DBDA3" w14:textId="2D833FB1" w:rsidR="000D459A" w:rsidRDefault="000D459A" w:rsidP="004D46E2">
      <w:pPr>
        <w:pStyle w:val="Heading4"/>
      </w:pPr>
      <w:r>
        <w:t xml:space="preserve">Step 1.4.7: </w:t>
      </w:r>
      <w:r>
        <w:rPr>
          <w:rFonts w:eastAsia="Calibri"/>
        </w:rPr>
        <w:t>Post-Fire Safe Shutdown</w:t>
      </w:r>
    </w:p>
    <w:p w14:paraId="3610EB1C" w14:textId="77777777" w:rsidR="000D459A" w:rsidRDefault="000D459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D193C6" w14:textId="5212FFAA"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202">
        <w:rPr>
          <w:u w:val="single"/>
        </w:rPr>
        <w:t>Basis for 1.4.7-A Question:</w:t>
      </w:r>
      <w:r>
        <w:t xml:space="preserve"> If operators have adequate alternate lighting readily available to perform necessary manual actions, the actions remain feasible and the impact on risk is minimal.  </w:t>
      </w:r>
    </w:p>
    <w:p w14:paraId="561F0C2A"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227D34" w14:textId="0273CFB9" w:rsidR="00CA6645" w:rsidRDefault="00CA6645" w:rsidP="00E36D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B1D49">
        <w:rPr>
          <w:u w:val="single"/>
        </w:rPr>
        <w:t>Basis for 1.4.7-B Question:</w:t>
      </w:r>
      <w:r w:rsidRPr="002B1D49">
        <w:t xml:space="preserve"> In general, the inspector should not have a finding in this category </w:t>
      </w:r>
      <w:r w:rsidR="00691C17">
        <w:t>related to equipment that is not</w:t>
      </w:r>
      <w:r w:rsidRPr="002B1D49">
        <w:t xml:space="preserve"> important to the credited </w:t>
      </w:r>
      <w:r w:rsidR="005E424B" w:rsidRPr="002B1D49">
        <w:t>SSD</w:t>
      </w:r>
      <w:r w:rsidRPr="002B1D49">
        <w:t xml:space="preserve"> path.</w:t>
      </w:r>
      <w:r>
        <w:t xml:space="preserve"> </w:t>
      </w:r>
      <w:r w:rsidR="002B1D49">
        <w:t xml:space="preserve"> </w:t>
      </w:r>
      <w:r w:rsidR="00E77D61">
        <w:t xml:space="preserve">However, the </w:t>
      </w:r>
      <w:r w:rsidR="00691C17">
        <w:t>equipment</w:t>
      </w:r>
      <w:r w:rsidR="00E77D61">
        <w:t xml:space="preserve"> may not be required for safe shutdown.</w:t>
      </w:r>
      <w:r w:rsidR="002B1D49">
        <w:t xml:space="preserve">  Equipment that is important to SSD but not required for SSD affects SSD later in the fire scenario, after</w:t>
      </w:r>
      <w:r w:rsidR="00691C17">
        <w:t xml:space="preserve"> efforts to suppress the fire w</w:t>
      </w:r>
      <w:r w:rsidR="002B1D49">
        <w:t xml:space="preserve">ould have been taken.  Therefore </w:t>
      </w:r>
      <w:r w:rsidR="00691C17">
        <w:t>this</w:t>
      </w:r>
      <w:r w:rsidR="002B1D49">
        <w:t xml:space="preserve"> equipment is less risk significant and </w:t>
      </w:r>
      <w:r w:rsidR="00691C17">
        <w:t xml:space="preserve">the finding </w:t>
      </w:r>
      <w:r w:rsidR="002B1D49">
        <w:t>can be screened to Green.</w:t>
      </w:r>
    </w:p>
    <w:p w14:paraId="4629F47B"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18634B" w14:textId="3AA044CD" w:rsidR="000D459A"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202">
        <w:rPr>
          <w:u w:val="single"/>
        </w:rPr>
        <w:t>Basis for 1.4.7-C Question:</w:t>
      </w:r>
      <w:r>
        <w:t xml:space="preserve"> This question is intended to screen findings to </w:t>
      </w:r>
      <w:r w:rsidR="00584BAB">
        <w:t>G</w:t>
      </w:r>
      <w:r>
        <w:t>reen that are only related to the ability to achieve cold shutdown (for Appendix R plants) or an extended safe and stable condition (for NFPA 805 plants), such that there is no degradation in the ability of the plant to reach hot shutdown/hot standby.</w:t>
      </w:r>
    </w:p>
    <w:p w14:paraId="3CA61115" w14:textId="77777777" w:rsidR="000D459A" w:rsidRDefault="000D459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850C08" w14:textId="77777777" w:rsidR="0016545E" w:rsidRDefault="0016545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EA2E7E" w14:textId="7B8147FD" w:rsidR="000D459A" w:rsidRDefault="000D459A" w:rsidP="004D46E2">
      <w:pPr>
        <w:pStyle w:val="Heading4"/>
      </w:pPr>
      <w:r>
        <w:lastRenderedPageBreak/>
        <w:t xml:space="preserve">Step 1.4.8: </w:t>
      </w:r>
      <w:r w:rsidRPr="00AF74AD">
        <w:t>Main Control Room Fires</w:t>
      </w:r>
    </w:p>
    <w:p w14:paraId="380665C6" w14:textId="77777777" w:rsidR="000D459A" w:rsidRDefault="000D459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7DC5D1" w14:textId="317C3FB8"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This section only applies if there is no equipment greater than or equal to 440V in the MCR.</w:t>
      </w:r>
    </w:p>
    <w:p w14:paraId="1A1AD9D7"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23CAB3" w14:textId="6FD244FE"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202">
        <w:rPr>
          <w:u w:val="single"/>
        </w:rPr>
        <w:t>Basis for 1.4.8-A Question:</w:t>
      </w:r>
      <w:r>
        <w:t xml:space="preserve"> From NUREG-2169 (</w:t>
      </w:r>
      <w:r w:rsidR="008A3764">
        <w:t>Reference 15</w:t>
      </w:r>
      <w:r>
        <w:t>), the fire frequency in the Main Control Board is 0.005/</w:t>
      </w:r>
      <w:r w:rsidR="007D3A4E">
        <w:t>ry</w:t>
      </w:r>
      <w:r>
        <w:t xml:space="preserve">.  From Appendix L of </w:t>
      </w:r>
      <w:r w:rsidR="005065AE" w:rsidRPr="005065AE">
        <w:t xml:space="preserve">NUREG/CR-6850 </w:t>
      </w:r>
      <w:r w:rsidR="005065AE">
        <w:t>(</w:t>
      </w:r>
      <w:r w:rsidR="00082C33">
        <w:t>Reference 8</w:t>
      </w:r>
      <w:r w:rsidR="005065AE">
        <w:t>)</w:t>
      </w:r>
      <w:r>
        <w:t xml:space="preserve">, Figure L-1 indicates that the product of severity factor and </w:t>
      </w:r>
      <w:r w:rsidR="008C70C2">
        <w:t>NSP</w:t>
      </w:r>
      <w:r>
        <w:t xml:space="preserve"> depends solely on the distance between “targets” as located on the Main Control Board.  For a bounding fire scenario where the fire frequency is 0.005/</w:t>
      </w:r>
      <w:r w:rsidR="007D3A4E">
        <w:t>ry</w:t>
      </w:r>
      <w:r>
        <w:t xml:space="preserve"> (which cannot be subdivided among individual panels) and the CCDP = 1, it requires the product of severity factor and </w:t>
      </w:r>
      <w:r w:rsidR="008C70C2">
        <w:t>NSP</w:t>
      </w:r>
      <w:r>
        <w:t xml:space="preserve"> to be &lt; (1.0E-6/r</w:t>
      </w:r>
      <w:r w:rsidR="00F2054D">
        <w:t>y</w:t>
      </w:r>
      <w:r>
        <w:t>)/(0.005/r</w:t>
      </w:r>
      <w:r w:rsidR="00F2054D">
        <w:t>y</w:t>
      </w:r>
      <w:r>
        <w:t xml:space="preserve">) = 2E-4 for screening at this step.  Attaining such a low value (2E-4) is only possible if the cables in the Main Control Board are “qualified” and the targets on the Main Control Board </w:t>
      </w:r>
      <w:r w:rsidR="00762E74">
        <w:t xml:space="preserve">are </w:t>
      </w:r>
      <w:r>
        <w:t>at least 2.5 m apart (see Figure L-1).</w:t>
      </w:r>
    </w:p>
    <w:p w14:paraId="5F23F457"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619A1B" w14:textId="0F7F48C3"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202">
        <w:rPr>
          <w:u w:val="single"/>
        </w:rPr>
        <w:t>Basis for 1.4.8-B Question:</w:t>
      </w:r>
      <w:r>
        <w:t xml:space="preserve"> For electrical enclosure fires, the original F</w:t>
      </w:r>
      <w:r w:rsidR="002A3333">
        <w:t xml:space="preserve">ire </w:t>
      </w:r>
      <w:r>
        <w:t>P</w:t>
      </w:r>
      <w:r w:rsidR="002A3333">
        <w:t>rotection</w:t>
      </w:r>
      <w:r>
        <w:t xml:space="preserve"> SDP assumed a “per-enclosure” fire frequency of 5.5E-5/r</w:t>
      </w:r>
      <w:r w:rsidR="00F2054D">
        <w:t>y</w:t>
      </w:r>
      <w:r>
        <w:t xml:space="preserve"> based on the </w:t>
      </w:r>
      <w:r w:rsidR="005065AE" w:rsidRPr="005065AE">
        <w:t xml:space="preserve">NUREG/CR-6850 </w:t>
      </w:r>
      <w:r w:rsidR="005065AE">
        <w:t>(</w:t>
      </w:r>
      <w:r w:rsidR="00082C33">
        <w:t>Reference 8</w:t>
      </w:r>
      <w:r w:rsidR="005065AE">
        <w:t>)</w:t>
      </w:r>
      <w:r>
        <w:t xml:space="preserve"> plant-wide </w:t>
      </w:r>
      <w:r w:rsidR="00D11C8E">
        <w:t>FIF</w:t>
      </w:r>
      <w:r>
        <w:t xml:space="preserve"> for electrical enclosures of 0.045/</w:t>
      </w:r>
      <w:r w:rsidR="007D3A4E">
        <w:t>ry</w:t>
      </w:r>
      <w:r>
        <w:t>.  This suggests an average of about 800 electrical enclosures per plant ([0.045/r</w:t>
      </w:r>
      <w:r w:rsidR="00F2054D">
        <w:t>y</w:t>
      </w:r>
      <w:r>
        <w:t>]/[5.5E-5/r</w:t>
      </w:r>
      <w:r w:rsidR="00F2054D">
        <w:t>y</w:t>
      </w:r>
      <w:r>
        <w:t xml:space="preserve">] ≈ 800).  </w:t>
      </w:r>
      <w:r w:rsidR="008A3764">
        <w:t>Reference 15</w:t>
      </w:r>
      <w:r>
        <w:t xml:space="preserve"> re-estimated the plan</w:t>
      </w:r>
      <w:r w:rsidR="00762E74">
        <w:t>t</w:t>
      </w:r>
      <w:r>
        <w:t>-wide electrical enclosure fire frequency as 0.030/r</w:t>
      </w:r>
      <w:r w:rsidR="00F2054D">
        <w:t>y</w:t>
      </w:r>
      <w:r>
        <w:t>, a 33% reduction, which would reduce the “per-enclosure” fire frequency to ~ (0.67)(5.5E-5/r</w:t>
      </w:r>
      <w:r w:rsidR="00F2054D">
        <w:t>y</w:t>
      </w:r>
      <w:r>
        <w:t>) ≈ 4E-5/r</w:t>
      </w:r>
      <w:r w:rsidR="00F2054D">
        <w:t>y</w:t>
      </w:r>
      <w:r>
        <w:t xml:space="preserve">.  To </w:t>
      </w:r>
      <w:r w:rsidR="00F2054D">
        <w:t>achieve no greater than a 1E-6/</w:t>
      </w:r>
      <w:r>
        <w:t>r</w:t>
      </w:r>
      <w:r w:rsidR="00F2054D">
        <w:t>y</w:t>
      </w:r>
      <w:r>
        <w:t xml:space="preserve"> CDF with spurious operations in two non-adjacent, non-Main Control Board electrical enclosures, the product of the inter-cable spurious </w:t>
      </w:r>
      <w:r w:rsidR="00F2054D">
        <w:t>operations cannot exceed (1E-6/</w:t>
      </w:r>
      <w:r>
        <w:t>r</w:t>
      </w:r>
      <w:r w:rsidR="00F2054D">
        <w:t>y)/(4E-5/</w:t>
      </w:r>
      <w:r>
        <w:t>r</w:t>
      </w:r>
      <w:r w:rsidR="00F2054D">
        <w:t>y</w:t>
      </w:r>
      <w:r>
        <w:t xml:space="preserve">) = 0.025.  From </w:t>
      </w:r>
      <w:r w:rsidR="007D3A4E">
        <w:t>Reference 13</w:t>
      </w:r>
      <w:r>
        <w:t>, the maximum probability of an inter-cable spurious operation is 0.025 for grounded AC cables</w:t>
      </w:r>
      <w:r w:rsidR="008C1CAB">
        <w:t xml:space="preserve"> with thermoplastic insulation</w:t>
      </w:r>
      <w:r>
        <w:t xml:space="preserve"> (see Table 4-1).  Therefore, the probability of two independent inter-cable spurious operations will be &lt; 0.025, which is the case for two non-adjacent, non-Main Control Board electrical enclosures.</w:t>
      </w:r>
    </w:p>
    <w:p w14:paraId="1861B1E3" w14:textId="77777777" w:rsidR="00CA6645"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7B3A23" w14:textId="4B16108B" w:rsidR="000D459A" w:rsidRDefault="00CA6645" w:rsidP="00CA66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202">
        <w:rPr>
          <w:u w:val="single"/>
        </w:rPr>
        <w:t>Basis for 1.4.8-C Question:</w:t>
      </w:r>
      <w:r>
        <w:t xml:space="preserve"> As discussed in the basis for 1.4.8-A, the Main Control Board fire frequency is 0.005/</w:t>
      </w:r>
      <w:r w:rsidR="007D3A4E">
        <w:t>ry</w:t>
      </w:r>
      <w:r>
        <w:t xml:space="preserve">, which requires a multiplicative factor of 2E-4 or less to </w:t>
      </w:r>
      <w:r w:rsidRPr="00E93D63">
        <w:rPr>
          <w:i/>
        </w:rPr>
        <w:t>a priori</w:t>
      </w:r>
      <w:r>
        <w:t xml:space="preserve"> reduce the potential CDF to &lt; 1E-6/</w:t>
      </w:r>
      <w:r w:rsidR="007D3A4E">
        <w:t>ry</w:t>
      </w:r>
      <w:r>
        <w:t>.  If no credit for suppression is given and a bounding CCDP = 1 is assumed, this CDF will reduce to an annual probability of &lt;1E-6 only if the duration of the deficiency is no more than (1E-6/</w:t>
      </w:r>
      <w:r w:rsidR="007D3A4E">
        <w:t>ry</w:t>
      </w:r>
      <w:r>
        <w:t>)(8760 hr/</w:t>
      </w:r>
      <w:r w:rsidR="007D3A4E">
        <w:t>ry</w:t>
      </w:r>
      <w:r>
        <w:t>)/(0.005/</w:t>
      </w:r>
      <w:r w:rsidR="007D3A4E">
        <w:t>ry</w:t>
      </w:r>
      <w:r>
        <w:t>) = 1.8 hr.  Thus, rounding down to the nearest integer, a duration of 1 hr or less cannot lead to an annual probability of core damage of at least 1E-6.</w:t>
      </w:r>
    </w:p>
    <w:p w14:paraId="64CC9C75" w14:textId="77777777" w:rsidR="0096524B" w:rsidRDefault="0096524B" w:rsidP="009652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9B3156" w14:textId="77777777" w:rsidR="0096524B" w:rsidRDefault="0096524B" w:rsidP="004D46E2">
      <w:pPr>
        <w:pStyle w:val="Heading3"/>
      </w:pPr>
      <w:bookmarkStart w:id="130" w:name="_Toc481265406"/>
      <w:bookmarkStart w:id="131" w:name="_Toc511060886"/>
      <w:r>
        <w:t>Step 1.5 – Screen Based on Licensee Fire PRA Results</w:t>
      </w:r>
      <w:bookmarkEnd w:id="130"/>
      <w:bookmarkEnd w:id="131"/>
    </w:p>
    <w:p w14:paraId="14C07B40" w14:textId="77777777" w:rsidR="0096524B" w:rsidRDefault="0096524B" w:rsidP="009652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ED350D" w14:textId="665D3DE0" w:rsidR="0096524B" w:rsidRDefault="0096524B" w:rsidP="00E36D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Since publication of the previous version of the Fire Protection SDP, many </w:t>
      </w:r>
      <w:r w:rsidR="00731DCC">
        <w:t>NPPs</w:t>
      </w:r>
      <w:r w:rsidR="000E098E">
        <w:t xml:space="preserve"> </w:t>
      </w:r>
      <w:r>
        <w:t xml:space="preserve">in the U.S. have transitioned to a risk-informed performance-based fire protection program in accordance with </w:t>
      </w:r>
      <w:r w:rsidR="001B63D5">
        <w:t>R</w:t>
      </w:r>
      <w:r w:rsidR="000A402B">
        <w:t>efere</w:t>
      </w:r>
      <w:r w:rsidR="00B72231">
        <w:t>n</w:t>
      </w:r>
      <w:r w:rsidR="000A402B">
        <w:t>ce</w:t>
      </w:r>
      <w:r w:rsidR="001B63D5">
        <w:t xml:space="preserve"> 9</w:t>
      </w:r>
      <w:r w:rsidR="000E098E">
        <w:t xml:space="preserve"> via 10CFR50.48(c)</w:t>
      </w:r>
      <w:r>
        <w:t xml:space="preserve">.  </w:t>
      </w:r>
      <w:r w:rsidRPr="00966DCD">
        <w:t xml:space="preserve">For </w:t>
      </w:r>
      <w:r>
        <w:t xml:space="preserve">these and other </w:t>
      </w:r>
      <w:r w:rsidRPr="00966DCD">
        <w:t xml:space="preserve">plants with a fire PRA, the results of the licensee’s PRA-based </w:t>
      </w:r>
      <w:r>
        <w:t xml:space="preserve">risk </w:t>
      </w:r>
      <w:r w:rsidRPr="00966DCD">
        <w:t>evaluation can serve as the basis for screening a finding to Green, provided a</w:t>
      </w:r>
      <w:r>
        <w:t xml:space="preserve"> Senior Reactor Analyst</w:t>
      </w:r>
      <w:r w:rsidRPr="00966DCD">
        <w:t xml:space="preserve"> </w:t>
      </w:r>
      <w:r>
        <w:t>(</w:t>
      </w:r>
      <w:r w:rsidRPr="00966DCD">
        <w:t>SRA</w:t>
      </w:r>
      <w:r>
        <w:t>)</w:t>
      </w:r>
      <w:r w:rsidRPr="00966DCD">
        <w:t xml:space="preserve"> reviews and approves.</w:t>
      </w:r>
    </w:p>
    <w:p w14:paraId="5A724F6B" w14:textId="77777777" w:rsidR="000D459A" w:rsidRDefault="000D459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759572" w14:textId="4DE42209" w:rsidR="00B27F2A" w:rsidRDefault="00B27F2A" w:rsidP="0016545E">
      <w:pPr>
        <w:pStyle w:val="Heading2"/>
        <w:ind w:hanging="1166"/>
      </w:pPr>
      <w:bookmarkStart w:id="132" w:name="_Toc481265407"/>
      <w:bookmarkStart w:id="133" w:name="_Toc511060887"/>
      <w:r>
        <w:t>Phase 2 Analysis Basis</w:t>
      </w:r>
      <w:bookmarkEnd w:id="132"/>
      <w:bookmarkEnd w:id="133"/>
    </w:p>
    <w:p w14:paraId="01C1143E"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8FA6C7" w14:textId="77777777" w:rsidR="00EC2070" w:rsidRDefault="00EC2070" w:rsidP="004D46E2">
      <w:pPr>
        <w:pStyle w:val="Heading3"/>
      </w:pPr>
      <w:bookmarkStart w:id="134" w:name="_Toc481265408"/>
      <w:bookmarkStart w:id="135" w:name="_Toc511060888"/>
      <w:r>
        <w:t>Step 2.1: Bounding Risk Quantification</w:t>
      </w:r>
      <w:bookmarkEnd w:id="134"/>
      <w:bookmarkEnd w:id="135"/>
    </w:p>
    <w:p w14:paraId="01FE05FA" w14:textId="77777777" w:rsidR="00EC2070" w:rsidRDefault="00EC2070"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37E798" w14:textId="419D6A0F" w:rsidR="00EC2070" w:rsidRDefault="00265CD2" w:rsidP="004209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 xml:space="preserve">Entry into Step </w:t>
      </w:r>
      <w:r w:rsidR="000B1385">
        <w:rPr>
          <w:rFonts w:cs="Arial"/>
        </w:rPr>
        <w:t>2.1</w:t>
      </w:r>
      <w:r w:rsidRPr="00C70CAC">
        <w:rPr>
          <w:rFonts w:cs="Arial"/>
        </w:rPr>
        <w:t xml:space="preserve"> implies </w:t>
      </w:r>
      <w:r w:rsidR="004209AC">
        <w:rPr>
          <w:rFonts w:cs="Arial"/>
        </w:rPr>
        <w:t>that the</w:t>
      </w:r>
      <w:r w:rsidRPr="004209AC">
        <w:rPr>
          <w:rFonts w:cs="Arial"/>
        </w:rPr>
        <w:t xml:space="preserve"> finding was assigned a </w:t>
      </w:r>
      <w:r w:rsidR="004209AC">
        <w:rPr>
          <w:rFonts w:cs="Arial"/>
        </w:rPr>
        <w:t>greater than l</w:t>
      </w:r>
      <w:r w:rsidR="000B1385" w:rsidRPr="004209AC">
        <w:rPr>
          <w:rFonts w:cs="Arial"/>
        </w:rPr>
        <w:t>ow</w:t>
      </w:r>
      <w:r w:rsidRPr="004209AC">
        <w:rPr>
          <w:rFonts w:cs="Arial"/>
        </w:rPr>
        <w:t xml:space="preserve"> degradation rating (low degradation findings Screen to Green in Step 1.3).  Hence, one element of the fire protection program will </w:t>
      </w:r>
      <w:r w:rsidR="000E098E" w:rsidRPr="004209AC">
        <w:rPr>
          <w:rFonts w:cs="Arial"/>
        </w:rPr>
        <w:t>receive either no credit or credit that has been</w:t>
      </w:r>
      <w:r w:rsidRPr="004209AC">
        <w:rPr>
          <w:rFonts w:cs="Arial"/>
        </w:rPr>
        <w:t xml:space="preserve"> substantially degraded in </w:t>
      </w:r>
      <w:r w:rsidRPr="004209AC">
        <w:rPr>
          <w:rFonts w:cs="Arial"/>
        </w:rPr>
        <w:lastRenderedPageBreak/>
        <w:t>subsequent analysis steps.</w:t>
      </w:r>
      <w:r w:rsidR="004209AC">
        <w:rPr>
          <w:rFonts w:cs="Arial"/>
        </w:rPr>
        <w:t xml:space="preserve">  </w:t>
      </w:r>
      <w:r w:rsidRPr="00C70CAC">
        <w:rPr>
          <w:rFonts w:cs="Arial"/>
        </w:rPr>
        <w:t xml:space="preserve">On this </w:t>
      </w:r>
      <w:r w:rsidR="008C1CAB" w:rsidRPr="00C70CAC">
        <w:rPr>
          <w:rFonts w:cs="Arial"/>
        </w:rPr>
        <w:t>basis,</w:t>
      </w:r>
      <w:r w:rsidRPr="00C70CAC">
        <w:rPr>
          <w:rFonts w:cs="Arial"/>
        </w:rPr>
        <w:t xml:space="preserve"> a quantitative screening check is performed based on the product of </w:t>
      </w:r>
      <w:r w:rsidR="009A0522">
        <w:rPr>
          <w:rFonts w:cs="Arial"/>
        </w:rPr>
        <w:t>DF</w:t>
      </w:r>
      <w:r w:rsidRPr="00C70CAC">
        <w:rPr>
          <w:rFonts w:cs="Arial"/>
        </w:rPr>
        <w:t xml:space="preserve"> and conservative estimate</w:t>
      </w:r>
      <w:r w:rsidR="000B1385">
        <w:rPr>
          <w:rFonts w:cs="Arial"/>
        </w:rPr>
        <w:t>s</w:t>
      </w:r>
      <w:r w:rsidRPr="00C70CAC">
        <w:rPr>
          <w:rFonts w:cs="Arial"/>
        </w:rPr>
        <w:t xml:space="preserve"> of </w:t>
      </w:r>
      <w:r w:rsidR="007A22A2">
        <w:rPr>
          <w:rFonts w:cs="Arial"/>
        </w:rPr>
        <w:t>area</w:t>
      </w:r>
      <w:r w:rsidR="007A22A2" w:rsidRPr="00C70CAC">
        <w:rPr>
          <w:rFonts w:cs="Arial"/>
        </w:rPr>
        <w:t xml:space="preserve"> </w:t>
      </w:r>
      <w:r w:rsidRPr="00C70CAC">
        <w:rPr>
          <w:rFonts w:cs="Arial"/>
        </w:rPr>
        <w:t>fire frequency</w:t>
      </w:r>
      <w:r w:rsidR="000B1385">
        <w:rPr>
          <w:rFonts w:cs="Arial"/>
        </w:rPr>
        <w:t xml:space="preserve"> </w:t>
      </w:r>
      <w:r w:rsidR="007A22A2">
        <w:rPr>
          <w:rFonts w:cs="Arial"/>
        </w:rPr>
        <w:t>and</w:t>
      </w:r>
      <w:r w:rsidR="000B1385">
        <w:rPr>
          <w:rFonts w:cs="Arial"/>
        </w:rPr>
        <w:t xml:space="preserve"> CCDP</w:t>
      </w:r>
      <w:r w:rsidRPr="00C70CAC">
        <w:rPr>
          <w:rFonts w:cs="Arial"/>
        </w:rPr>
        <w:t>.</w:t>
      </w:r>
    </w:p>
    <w:p w14:paraId="40BC664C" w14:textId="77777777" w:rsidR="00EC2070" w:rsidRDefault="00EC2070"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AD454C" w14:textId="563075B5" w:rsidR="00EC2070" w:rsidRPr="00326312" w:rsidRDefault="0079404E" w:rsidP="004D46E2">
      <w:pPr>
        <w:pStyle w:val="Heading4"/>
      </w:pPr>
      <w:r>
        <w:t>Step</w:t>
      </w:r>
      <w:r w:rsidR="00EC2070" w:rsidRPr="00326312">
        <w:t xml:space="preserve"> 2.1.1: Estimate the Duration Factor</w:t>
      </w:r>
    </w:p>
    <w:p w14:paraId="10483B0C"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0DE4F2" w14:textId="6EEE4676" w:rsidR="00EC2070" w:rsidRDefault="000E098E" w:rsidP="00285D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Fonts w:cs="Arial"/>
        </w:rPr>
        <w:t>The DF converts the actual time over which the performance deficiency existed (up to a maximum of one year) to a fraction of a year (maximum value of 1.0).</w:t>
      </w:r>
      <w:r w:rsidR="00F209C2" w:rsidRPr="00F209C2">
        <w:rPr>
          <w:rFonts w:cs="Arial"/>
        </w:rPr>
        <w:t xml:space="preserve">  Previously, only three DFs were used: 0.01 (for durations of 3 days or less), 0.1 (for durations from 3 to 30 days), and 1 (for durations from one month to the maximum of one year).</w:t>
      </w:r>
    </w:p>
    <w:p w14:paraId="3614EA7C"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747754" w14:textId="318984E4" w:rsidR="00EC2070" w:rsidRDefault="0079404E" w:rsidP="004D46E2">
      <w:pPr>
        <w:pStyle w:val="Heading4"/>
      </w:pPr>
      <w:r>
        <w:t>Step</w:t>
      </w:r>
      <w:r w:rsidR="00EC2070">
        <w:t xml:space="preserve"> 2.1.2: Estimate Bounding Value of the Fire Ignition Frequency</w:t>
      </w:r>
    </w:p>
    <w:p w14:paraId="1E12BB04" w14:textId="77777777" w:rsidR="00EC2070" w:rsidRDefault="00EC2070" w:rsidP="00E16E4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7C29A6" w14:textId="7F0A58B7" w:rsidR="00D130D5" w:rsidRPr="00520B67" w:rsidRDefault="00D130D5" w:rsidP="00E16E4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sidRPr="00520B67">
        <w:rPr>
          <w:rFonts w:cs="Arial"/>
        </w:rPr>
        <w:t xml:space="preserve">The generic fire frequencies used in Step </w:t>
      </w:r>
      <w:r w:rsidR="00B72231">
        <w:rPr>
          <w:rFonts w:cs="Arial"/>
        </w:rPr>
        <w:t>2.1.2</w:t>
      </w:r>
      <w:r w:rsidR="00B72231" w:rsidRPr="00520B67">
        <w:rPr>
          <w:rFonts w:cs="Arial"/>
        </w:rPr>
        <w:t xml:space="preserve"> </w:t>
      </w:r>
      <w:r w:rsidRPr="00520B67">
        <w:rPr>
          <w:rFonts w:cs="Arial"/>
        </w:rPr>
        <w:t>are based on a review of past fire PRA practice and insights gained from evaluations of fire event data.  Generic fire area designations from these studies, and the corresponding fire event frequency estimates</w:t>
      </w:r>
      <w:r w:rsidR="000E098E">
        <w:rPr>
          <w:rFonts w:cs="Arial"/>
        </w:rPr>
        <w:t>,</w:t>
      </w:r>
      <w:r w:rsidRPr="00520B67">
        <w:rPr>
          <w:rFonts w:cs="Arial"/>
        </w:rPr>
        <w:t xml:space="preserve"> were compiled.  The values recommended for use in the Fire Protection SDP were based on a </w:t>
      </w:r>
      <w:r w:rsidR="000E098E">
        <w:rPr>
          <w:rFonts w:cs="Arial"/>
        </w:rPr>
        <w:t xml:space="preserve">primarily </w:t>
      </w:r>
      <w:r w:rsidRPr="00520B67">
        <w:rPr>
          <w:rFonts w:cs="Arial"/>
        </w:rPr>
        <w:t>conservative interpretation of the cited values.  The sources considered are:</w:t>
      </w:r>
    </w:p>
    <w:p w14:paraId="58567063" w14:textId="77777777" w:rsidR="00D130D5" w:rsidRPr="00520B67" w:rsidRDefault="00D130D5" w:rsidP="00D130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p>
    <w:p w14:paraId="072270D1" w14:textId="754E76A7" w:rsidR="00D130D5" w:rsidRDefault="00D130D5" w:rsidP="0035366F">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cs="Arial"/>
        </w:rPr>
      </w:pPr>
      <w:r w:rsidRPr="00D130D5">
        <w:rPr>
          <w:rFonts w:cs="Arial"/>
        </w:rPr>
        <w:t xml:space="preserve">Typical </w:t>
      </w:r>
      <w:r w:rsidR="005F3B2C" w:rsidRPr="00C70CAC">
        <w:rPr>
          <w:rFonts w:cs="Arial"/>
        </w:rPr>
        <w:t>Individual Plant Examination for External Events</w:t>
      </w:r>
      <w:r w:rsidR="005F3B2C" w:rsidRPr="00D130D5">
        <w:rPr>
          <w:rFonts w:cs="Arial"/>
        </w:rPr>
        <w:t xml:space="preserve"> </w:t>
      </w:r>
      <w:r w:rsidR="005F3B2C">
        <w:rPr>
          <w:rFonts w:cs="Arial"/>
        </w:rPr>
        <w:t>(</w:t>
      </w:r>
      <w:r w:rsidRPr="00D130D5">
        <w:rPr>
          <w:rFonts w:cs="Arial"/>
        </w:rPr>
        <w:t>IPEEE</w:t>
      </w:r>
      <w:r w:rsidR="005F3B2C">
        <w:rPr>
          <w:rFonts w:cs="Arial"/>
        </w:rPr>
        <w:t>)</w:t>
      </w:r>
      <w:r w:rsidRPr="00D130D5">
        <w:rPr>
          <w:rFonts w:cs="Arial"/>
        </w:rPr>
        <w:t xml:space="preserve"> practice as documented in the EPRI Fire-Induced Vulnerability Evaluation (FIVE) method (EPRI TR-100370) and the Fire PRA Implementation Guide (EPRI TR</w:t>
      </w:r>
      <w:r w:rsidRPr="00D130D5">
        <w:rPr>
          <w:rFonts w:cs="Arial"/>
        </w:rPr>
        <w:noBreakHyphen/>
        <w:t>105928);</w:t>
      </w:r>
    </w:p>
    <w:p w14:paraId="4F4EB626" w14:textId="36AD8331" w:rsidR="00D130D5" w:rsidRDefault="00D130D5" w:rsidP="0035366F">
      <w:pPr>
        <w:pStyle w:val="Level2"/>
        <w:widowControl/>
        <w:numPr>
          <w:ilvl w:val="0"/>
          <w:numId w:val="2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outlineLvl w:val="9"/>
        <w:rPr>
          <w:rFonts w:cs="Arial"/>
        </w:rPr>
      </w:pPr>
      <w:r w:rsidRPr="00520B67">
        <w:rPr>
          <w:rFonts w:cs="Arial"/>
        </w:rPr>
        <w:t>NRC staff evaluations as documented in RES/OERAB/S02</w:t>
      </w:r>
      <w:r w:rsidRPr="00520B67">
        <w:rPr>
          <w:rFonts w:cs="Arial"/>
        </w:rPr>
        <w:noBreakHyphen/>
        <w:t>01 (Jan. 2002);</w:t>
      </w:r>
    </w:p>
    <w:p w14:paraId="19AEC0CD" w14:textId="26B1356B" w:rsidR="00D130D5" w:rsidRDefault="00D130D5" w:rsidP="0035366F">
      <w:pPr>
        <w:pStyle w:val="Level2"/>
        <w:widowControl/>
        <w:numPr>
          <w:ilvl w:val="0"/>
          <w:numId w:val="2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outlineLvl w:val="9"/>
        <w:rPr>
          <w:rFonts w:cs="Arial"/>
        </w:rPr>
      </w:pPr>
      <w:r w:rsidRPr="00520B67">
        <w:rPr>
          <w:rFonts w:cs="Arial"/>
        </w:rPr>
        <w:t>The reactor safety studies documented in NUREG-1150;</w:t>
      </w:r>
    </w:p>
    <w:p w14:paraId="602728A6" w14:textId="1E9DB6AE" w:rsidR="00D130D5" w:rsidRDefault="00D130D5" w:rsidP="0035366F">
      <w:pPr>
        <w:pStyle w:val="Level2"/>
        <w:widowControl/>
        <w:numPr>
          <w:ilvl w:val="0"/>
          <w:numId w:val="2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outlineLvl w:val="9"/>
        <w:rPr>
          <w:rFonts w:cs="Arial"/>
        </w:rPr>
      </w:pPr>
      <w:r w:rsidRPr="00520B67">
        <w:rPr>
          <w:rFonts w:cs="Arial"/>
        </w:rPr>
        <w:t>The Risk Methodology Integration and Evaluation Program (RMIEP) analysis of the LaSalle Nuclear Power Station (NUREG/CR-4832); and</w:t>
      </w:r>
    </w:p>
    <w:p w14:paraId="594F60A3" w14:textId="77777777" w:rsidR="00D130D5" w:rsidRPr="00520B67" w:rsidRDefault="00D130D5" w:rsidP="0035366F">
      <w:pPr>
        <w:pStyle w:val="Level2"/>
        <w:widowControl/>
        <w:numPr>
          <w:ilvl w:val="0"/>
          <w:numId w:val="2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outlineLvl w:val="9"/>
        <w:rPr>
          <w:rFonts w:cs="Arial"/>
        </w:rPr>
      </w:pPr>
      <w:r w:rsidRPr="00520B67">
        <w:rPr>
          <w:rFonts w:cs="Arial"/>
        </w:rPr>
        <w:t>The Diablo Canyon NPP Fire Risk Analysis.</w:t>
      </w:r>
    </w:p>
    <w:p w14:paraId="553B427A" w14:textId="77777777" w:rsidR="00D130D5" w:rsidRPr="00520B67" w:rsidRDefault="00D130D5" w:rsidP="00D130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p>
    <w:p w14:paraId="5D72266C" w14:textId="36B3E1BE" w:rsidR="00D130D5" w:rsidRPr="00C70CAC" w:rsidRDefault="00D130D5" w:rsidP="00D130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sidRPr="00520B67">
        <w:rPr>
          <w:rFonts w:cs="Arial"/>
        </w:rPr>
        <w:t xml:space="preserve">In general, the sources </w:t>
      </w:r>
      <w:r w:rsidR="000E098E">
        <w:rPr>
          <w:rFonts w:cs="Arial"/>
        </w:rPr>
        <w:t>were consistent at least on</w:t>
      </w:r>
      <w:r w:rsidRPr="00520B67">
        <w:rPr>
          <w:rFonts w:cs="Arial"/>
        </w:rPr>
        <w:t xml:space="preserve"> the approximate order of magnitude associated with fire area-specific fire frequency values.  The variation between one</w:t>
      </w:r>
      <w:r w:rsidRPr="00C70CAC">
        <w:rPr>
          <w:rFonts w:cs="Arial"/>
        </w:rPr>
        <w:t xml:space="preserve"> analysis and another was generally no more than a factor of 4, and was often less.  In the case of the most significant variation, a review revealed that the value reported in one specific analysis included application of a fire severity factor.  The Fire Protection SDP explicitly applies fire severity factors, and so this particular source was discounted.</w:t>
      </w:r>
    </w:p>
    <w:p w14:paraId="7F38F0D8" w14:textId="77777777" w:rsidR="00D130D5" w:rsidRPr="00C70CAC" w:rsidRDefault="00D130D5" w:rsidP="00D130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p>
    <w:p w14:paraId="467C9916" w14:textId="250AF86E" w:rsidR="00D130D5" w:rsidRPr="00C70CAC" w:rsidRDefault="00D130D5" w:rsidP="00D130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sidRPr="00C70CAC">
        <w:rPr>
          <w:rFonts w:cs="Arial"/>
        </w:rPr>
        <w:t xml:space="preserve">Given the general agreement between the studies, the </w:t>
      </w:r>
      <w:r w:rsidR="007A22A2">
        <w:rPr>
          <w:rFonts w:cs="Arial"/>
        </w:rPr>
        <w:t xml:space="preserve">frequencies </w:t>
      </w:r>
      <w:r>
        <w:rPr>
          <w:rFonts w:cs="Arial"/>
        </w:rPr>
        <w:t xml:space="preserve">in Tables 2.1.2 and 2.1.3 </w:t>
      </w:r>
      <w:r w:rsidR="0004398A">
        <w:rPr>
          <w:rFonts w:cs="Arial"/>
        </w:rPr>
        <w:t xml:space="preserve">of Appendix F </w:t>
      </w:r>
      <w:r w:rsidRPr="00C70CAC">
        <w:rPr>
          <w:rFonts w:cs="Arial"/>
        </w:rPr>
        <w:t>represent aggregate</w:t>
      </w:r>
      <w:r w:rsidR="000E098E">
        <w:rPr>
          <w:rFonts w:cs="Arial"/>
        </w:rPr>
        <w:t>, primarily</w:t>
      </w:r>
      <w:r w:rsidRPr="00C70CAC">
        <w:rPr>
          <w:rFonts w:cs="Arial"/>
        </w:rPr>
        <w:t xml:space="preserve"> conservative value</w:t>
      </w:r>
      <w:r w:rsidR="007A22A2">
        <w:rPr>
          <w:rFonts w:cs="Arial"/>
        </w:rPr>
        <w:t>s</w:t>
      </w:r>
      <w:r w:rsidRPr="00C70CAC">
        <w:rPr>
          <w:rFonts w:cs="Arial"/>
        </w:rPr>
        <w:t xml:space="preserve"> based on the specific sources reviewed.</w:t>
      </w:r>
      <w:r w:rsidR="007A22A2">
        <w:rPr>
          <w:rFonts w:cs="Arial"/>
        </w:rPr>
        <w:t xml:space="preserve">  The frequencies in these tables are identical to those in Table 1.4-2 in the 2004 version of Appendix F, except for the frequencies of fires in the MCR and fires due to welding and cutting.  The latter are based on values in the FIVE method.  </w:t>
      </w:r>
    </w:p>
    <w:p w14:paraId="6260B978"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B826C2" w14:textId="30E96782" w:rsidR="00EC2070" w:rsidRDefault="0079404E" w:rsidP="004D46E2">
      <w:pPr>
        <w:pStyle w:val="Heading4"/>
      </w:pPr>
      <w:r w:rsidRPr="006275A1">
        <w:t>Step</w:t>
      </w:r>
      <w:r w:rsidR="00EC2070" w:rsidRPr="006275A1">
        <w:t xml:space="preserve"> 2.1.3: Estimate Bounding Value of Ignition Frequency Adjustment Factors</w:t>
      </w:r>
    </w:p>
    <w:p w14:paraId="3AB3A51D"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D20BB3" w14:textId="0534AE03" w:rsidR="00EC2070" w:rsidRDefault="0004398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bounding ignition frequencies in Tables 2.1.2 account for any applicable adjustments.  Consequently, AF can be set equal to 1.0 in the Step 2.1 risk quantification, </w:t>
      </w:r>
    </w:p>
    <w:p w14:paraId="4D17946A"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A57DCD" w14:textId="51045D04" w:rsidR="00EC2070" w:rsidRDefault="0079404E" w:rsidP="004D46E2">
      <w:pPr>
        <w:pStyle w:val="Heading4"/>
      </w:pPr>
      <w:r>
        <w:t>Step</w:t>
      </w:r>
      <w:r w:rsidR="00EC2070">
        <w:t xml:space="preserve"> 2.1.4: Estimate Bounding Value of the Severity Factor</w:t>
      </w:r>
    </w:p>
    <w:p w14:paraId="13D7EC67"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94F778" w14:textId="256DC311" w:rsidR="00EC2070" w:rsidRDefault="0004398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SF of an ignition source is a function of </w:t>
      </w:r>
      <w:r w:rsidR="00F766EC">
        <w:t xml:space="preserve">(1) </w:t>
      </w:r>
      <w:r>
        <w:t>its HRR characteristics, geometry, and location</w:t>
      </w:r>
      <w:r w:rsidR="00F766EC">
        <w:t xml:space="preserve">, and (2) the distance </w:t>
      </w:r>
      <w:r w:rsidR="000E098E">
        <w:t xml:space="preserve">from the fire source </w:t>
      </w:r>
      <w:r w:rsidR="00F766EC">
        <w:t xml:space="preserve">to the nearest and most vulnerable target and </w:t>
      </w:r>
      <w:r w:rsidR="00BA1773">
        <w:t xml:space="preserve">(3) </w:t>
      </w:r>
      <w:r w:rsidR="00F766EC">
        <w:t xml:space="preserve">the damage </w:t>
      </w:r>
      <w:r w:rsidR="00A70708">
        <w:t>and/</w:t>
      </w:r>
      <w:r w:rsidR="00F766EC">
        <w:t xml:space="preserve">or ignition characteristics of that target. </w:t>
      </w:r>
      <w:r w:rsidR="00A70708">
        <w:t xml:space="preserve"> T</w:t>
      </w:r>
      <w:r w:rsidR="00F766EC">
        <w:t xml:space="preserve">his information is largely unknown </w:t>
      </w:r>
      <w:r w:rsidR="00A70708">
        <w:t xml:space="preserve">at this stage </w:t>
      </w:r>
      <w:r w:rsidR="00F766EC">
        <w:t>and will not be gathered until Phase 2 has progresse</w:t>
      </w:r>
      <w:r w:rsidR="00A70708">
        <w:t>d</w:t>
      </w:r>
      <w:r w:rsidR="00F766EC">
        <w:t xml:space="preserve"> to Step 2.2.2.  Consequently, </w:t>
      </w:r>
      <w:r w:rsidR="00A70708">
        <w:t xml:space="preserve">an </w:t>
      </w:r>
      <w:r w:rsidR="00F766EC">
        <w:lastRenderedPageBreak/>
        <w:t xml:space="preserve">SF </w:t>
      </w:r>
      <w:r w:rsidR="00A70708">
        <w:t>that bounds all fire scenarios in the area(s) under evaluation cannot be determined, and the SF is conservatively</w:t>
      </w:r>
      <w:r w:rsidR="00F766EC">
        <w:t xml:space="preserve"> set equal to 1.0 in the Step 2.1 risk quantification</w:t>
      </w:r>
      <w:r w:rsidR="00A70708">
        <w:t>.</w:t>
      </w:r>
    </w:p>
    <w:p w14:paraId="36E69E72"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594BD0" w14:textId="7EE133A5" w:rsidR="00EC2070" w:rsidRDefault="0079404E" w:rsidP="004D46E2">
      <w:pPr>
        <w:pStyle w:val="Heading4"/>
      </w:pPr>
      <w:r>
        <w:t>Step</w:t>
      </w:r>
      <w:r w:rsidR="00EC2070">
        <w:t xml:space="preserve"> 2.1.5: Estimate Bounding Value of the Non-Suppression Probability</w:t>
      </w:r>
    </w:p>
    <w:p w14:paraId="24BE4095"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C05BB0" w14:textId="62C614FD" w:rsidR="00EC2070" w:rsidRDefault="00A70708"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NSP for a specific fire scenario </w:t>
      </w:r>
      <w:r w:rsidR="001D19DB">
        <w:t xml:space="preserve">is a function of the difference between the time </w:t>
      </w:r>
      <w:r w:rsidR="00BA1773">
        <w:t>until</w:t>
      </w:r>
      <w:r w:rsidR="001D19DB">
        <w:t xml:space="preserve"> damage of the target set for the scenario</w:t>
      </w:r>
      <w:r w:rsidR="00BA1773">
        <w:t>,</w:t>
      </w:r>
      <w:r w:rsidR="001D19DB">
        <w:t xml:space="preserve"> assuming no suppression, </w:t>
      </w:r>
      <w:r w:rsidR="00BA1773">
        <w:t xml:space="preserve">reaches the threshold for which mitigation of core damage cannot be achieved </w:t>
      </w:r>
      <w:r w:rsidR="001D19DB">
        <w:t xml:space="preserve">and the time to suppression of the fire.  </w:t>
      </w:r>
      <w:r>
        <w:t>Th</w:t>
      </w:r>
      <w:r w:rsidR="001D19DB">
        <w:t>e</w:t>
      </w:r>
      <w:r>
        <w:t xml:space="preserve"> information </w:t>
      </w:r>
      <w:r w:rsidR="001D19DB">
        <w:t xml:space="preserve">that is needed to determine these times </w:t>
      </w:r>
      <w:r>
        <w:t xml:space="preserve">is largely unknown at this stage and will not be gathered until Phase 2 has progressed to Step 2.2.2. </w:t>
      </w:r>
      <w:r w:rsidR="001D19DB">
        <w:t xml:space="preserve"> </w:t>
      </w:r>
      <w:r>
        <w:t xml:space="preserve"> </w:t>
      </w:r>
      <w:r w:rsidR="001D19DB">
        <w:t>Consequently, an NSP that bounds all fire scenarios in the area(s) under evaluation cannot be determined</w:t>
      </w:r>
      <w:r w:rsidR="00BA1773">
        <w:t>;</w:t>
      </w:r>
      <w:r w:rsidR="001D19DB">
        <w:t xml:space="preserve"> </w:t>
      </w:r>
      <w:r w:rsidR="00BA1773">
        <w:t xml:space="preserve">therefore, </w:t>
      </w:r>
      <w:r w:rsidR="001D19DB">
        <w:t>the NSP is conservatively set equal to 1.0 in the Step 2.1 risk quantification.</w:t>
      </w:r>
    </w:p>
    <w:p w14:paraId="3B8A3452"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060F45" w14:textId="642028DE" w:rsidR="00EC2070" w:rsidRDefault="0079404E" w:rsidP="004D46E2">
      <w:pPr>
        <w:pStyle w:val="Heading4"/>
      </w:pPr>
      <w:r>
        <w:t>Step</w:t>
      </w:r>
      <w:r w:rsidR="00EC2070">
        <w:t xml:space="preserve"> 2.1.6: Estimate Bounding Conditional Core Damage Probability</w:t>
      </w:r>
    </w:p>
    <w:p w14:paraId="4384AFF8"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5F9821" w14:textId="01D38E45" w:rsidR="00EC2070" w:rsidRDefault="001D19DB"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D19DB">
        <w:rPr>
          <w:u w:val="single"/>
        </w:rPr>
        <w:t>Identify the Designated Post-Fire SSD Path</w:t>
      </w:r>
    </w:p>
    <w:p w14:paraId="725C1E6D" w14:textId="18D0488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7B1F70" w14:textId="6EDE66D0" w:rsidR="001D19DB" w:rsidRDefault="004C1FE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C1FE1">
        <w:t xml:space="preserve">For each fire area in the plant, the licensee is required by the NRC fire protection regulations to establish a post-fire SSD path that will remain free of fire damage given the fire-induced failure of all unprotected cables and components within the fire area.  In </w:t>
      </w:r>
      <w:r>
        <w:t>Step 2.1.6</w:t>
      </w:r>
      <w:r w:rsidRPr="004C1FE1">
        <w:t>, the analyst is simply asked to identify this SSD path for the fire area under analysis.</w:t>
      </w:r>
    </w:p>
    <w:p w14:paraId="005247FE" w14:textId="2B424649" w:rsidR="001D19DB" w:rsidRDefault="001D19DB"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8F35F6" w14:textId="0FF0E756" w:rsidR="004C1FE1" w:rsidRPr="004C1FE1" w:rsidRDefault="004C1FE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C1FE1">
        <w:rPr>
          <w:u w:val="single"/>
        </w:rPr>
        <w:t>Assess the Unavailability of the Identified SSD Path</w:t>
      </w:r>
    </w:p>
    <w:p w14:paraId="27E78F82" w14:textId="579742D0" w:rsidR="004C1FE1" w:rsidRDefault="004C1FE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EAFCDA" w14:textId="7E1BFB35" w:rsidR="004C1FE1" w:rsidRDefault="004C1FE1" w:rsidP="005F5D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5F5D8C">
        <w:t>unavailability factor</w:t>
      </w:r>
      <w:r>
        <w:t xml:space="preserve">s used for the mitigating system failure probabilities in the screening CCDP calculation are consistent with the </w:t>
      </w:r>
      <w:r w:rsidR="00B12B25">
        <w:t xml:space="preserve">SPAR models </w:t>
      </w:r>
      <w:r>
        <w:t>used for determining Phase 2 CCDP values.</w:t>
      </w:r>
    </w:p>
    <w:p w14:paraId="7CDDF96F" w14:textId="478C1122" w:rsidR="004C1FE1" w:rsidRDefault="004C1FE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7A1227" w14:textId="32129939" w:rsidR="004C1FE1" w:rsidRPr="004C1FE1" w:rsidRDefault="004C1FE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C1FE1">
        <w:rPr>
          <w:u w:val="single"/>
        </w:rPr>
        <w:t>Assess the Independence of the Identified SSD Path</w:t>
      </w:r>
    </w:p>
    <w:p w14:paraId="44184659" w14:textId="4CAE4DE5" w:rsidR="004C1FE1" w:rsidRDefault="004C1FE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3F78F2" w14:textId="66FD6253" w:rsidR="004C1FE1" w:rsidRDefault="004C1FE1" w:rsidP="004C1F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independence assessment is based primarily on the Appendix R</w:t>
      </w:r>
      <w:r w:rsidR="00BA1773">
        <w:t>,</w:t>
      </w:r>
      <w:r>
        <w:t xml:space="preserve"> III.G</w:t>
      </w:r>
      <w:r w:rsidR="003E2183">
        <w:t>.1 and III.G</w:t>
      </w:r>
      <w:r>
        <w:t>.2</w:t>
      </w:r>
      <w:r w:rsidR="00BA1773">
        <w:t>,</w:t>
      </w:r>
      <w:r w:rsidR="00106B50">
        <w:t xml:space="preserve"> compliance </w:t>
      </w:r>
      <w:r>
        <w:t>strategy for achieving physical protection of the designated post-fire SSD path.  At this stage of the analysis, specific fire scenarios have not been developed or screened.  Hence, a very stringent basis for independence of the designated post-fire SSD path is established.</w:t>
      </w:r>
    </w:p>
    <w:p w14:paraId="740FB9DF" w14:textId="77777777" w:rsidR="004C1FE1" w:rsidRDefault="004C1FE1" w:rsidP="004C1F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5A97AD" w14:textId="2FF48B01" w:rsidR="004C1FE1" w:rsidRDefault="004C1FE1" w:rsidP="004C1F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SSD path will be credited given one of </w:t>
      </w:r>
      <w:r w:rsidR="00906927">
        <w:t xml:space="preserve">four </w:t>
      </w:r>
      <w:r>
        <w:t>III.G</w:t>
      </w:r>
      <w:r w:rsidR="003E2183" w:rsidRPr="003E2183">
        <w:t>.1 and III.G.2,</w:t>
      </w:r>
      <w:r>
        <w:t xml:space="preserve">.2 compliance strategies as outlined in Table </w:t>
      </w:r>
      <w:r w:rsidR="00B31C2F">
        <w:t>2.1.5 of Appendix F</w:t>
      </w:r>
      <w:r>
        <w:t xml:space="preserve"> (see </w:t>
      </w:r>
      <w:r w:rsidR="00B31C2F">
        <w:t>Step 2.1.6</w:t>
      </w:r>
      <w:r>
        <w:t>).  The credit is based on the following bounding assessments of the likelihood that each of these compliance strategies might fail given a fire in the area:</w:t>
      </w:r>
    </w:p>
    <w:p w14:paraId="20797E79" w14:textId="77777777" w:rsidR="004C1FE1" w:rsidRDefault="004C1FE1" w:rsidP="004C1F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F5AB64" w14:textId="7D64783C" w:rsidR="004C1FE1" w:rsidRDefault="004C1FE1" w:rsidP="00E36D11">
      <w:pPr>
        <w:pStyle w:val="ListParagraph"/>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Separation by fire area: Fire area boundaries as applied in the regulatory complex will generally have a minimum fire </w:t>
      </w:r>
      <w:r w:rsidR="00B31C2F">
        <w:t xml:space="preserve">resistance </w:t>
      </w:r>
      <w:r>
        <w:t>rating of 2 hours,</w:t>
      </w:r>
      <w:r w:rsidR="00F7507F">
        <w:t xml:space="preserve"> and often are rated at 3 hours</w:t>
      </w:r>
      <w:r>
        <w:t xml:space="preserve">.  Other factors to be considered include the actual location of the fire (it would need to occur near, or spread to, the barrier element to be challenged), and the potential for a fire to actually become substantially threatening to the fire barrier (not all fires in the database had the potential to grow to such challenging proportions).  Furthermore, the fire must also fail the redundant train of SSD equipment once the barrier is breached.  Given these factors, a </w:t>
      </w:r>
      <w:r w:rsidR="00BA1773">
        <w:t xml:space="preserve">likely </w:t>
      </w:r>
      <w:r>
        <w:t xml:space="preserve">conservative assessment is that not more than 1 in 1000 fires (0.001) will result in breaching of a fire barrier and failure of redundant SSD equipment in an adjacent fire area.  It is worth noting that in all the years of experience for the U.S. nuclear power industry, only one fire (Brown’s Ferry, </w:t>
      </w:r>
      <w:r>
        <w:lastRenderedPageBreak/>
        <w:t xml:space="preserve">1975) has resulted in breaching of an inter-area fire barrier element, and in that </w:t>
      </w:r>
      <w:r w:rsidR="008C1CAB">
        <w:t>case,</w:t>
      </w:r>
      <w:r>
        <w:t xml:space="preserve"> the barrier element was not complete.  The most optimistic random failure probability estimate allowed in crediting the SSD path in this step is 0.01.</w:t>
      </w:r>
    </w:p>
    <w:p w14:paraId="74D3A4CF" w14:textId="484A6926" w:rsidR="004C1FE1" w:rsidRDefault="004C1FE1" w:rsidP="0035366F">
      <w:pPr>
        <w:pStyle w:val="ListParagraph"/>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Separation by a 3-hour rated localized fire barrier: The argument for this case is similar to that presented above for an inter-area fire barrier.</w:t>
      </w:r>
    </w:p>
    <w:p w14:paraId="2EEACBC9" w14:textId="5CC47540" w:rsidR="00906927" w:rsidRDefault="00906927" w:rsidP="0035366F">
      <w:pPr>
        <w:pStyle w:val="ListParagraph"/>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06927">
        <w:t>Separation of more than 20 ft. plus automatic fire detection and suppres</w:t>
      </w:r>
      <w:r>
        <w:t xml:space="preserve">sion coverage for the fire area: </w:t>
      </w:r>
      <w:r w:rsidR="00EF4A5F">
        <w:t>The argument for this case is similar to that presented below for separation by a 1-hour barrier plus automatic detection and suppression.</w:t>
      </w:r>
      <w:r w:rsidR="003E2183" w:rsidRPr="003E2183">
        <w:t xml:space="preserve">  </w:t>
      </w:r>
    </w:p>
    <w:p w14:paraId="58DB78F4" w14:textId="00989F49" w:rsidR="004C1FE1" w:rsidRDefault="004C1FE1" w:rsidP="0035366F">
      <w:pPr>
        <w:pStyle w:val="ListParagraph"/>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Separation by a 1-hour barrier plus automatic detection and suppression: For this case three features are of particular importance: passive protection by the 1-hour barrier; active protection by the automatic fire suppression system; and active protection by the fire brigade with a high proba</w:t>
      </w:r>
      <w:r w:rsidR="00F209C2">
        <w:t>bility of early fire detection.</w:t>
      </w:r>
      <w:r>
        <w:t xml:space="preserve">  If additional credit is taken for the fixed fire suppression system, in a non-degraded condition, activation of the fire suppression system should achieve fire control and prevent breaching of the localized fire barrier.  Nominal failure probabilities for </w:t>
      </w:r>
      <w:r w:rsidR="00BA1773">
        <w:t xml:space="preserve">water-based </w:t>
      </w:r>
      <w:r>
        <w:t xml:space="preserve">fixed suppression systems are </w:t>
      </w:r>
      <w:r w:rsidR="007D3A4E">
        <w:t>about 0.02</w:t>
      </w:r>
      <w:r w:rsidR="00F209C2">
        <w:t>.</w:t>
      </w:r>
      <w:r>
        <w:t xml:space="preserve">  </w:t>
      </w:r>
      <w:r w:rsidR="00700EB8">
        <w:t>Given</w:t>
      </w:r>
      <w:r>
        <w:t xml:space="preserve"> the </w:t>
      </w:r>
      <w:r w:rsidR="00700EB8">
        <w:t xml:space="preserve">fact that the vast majority of fires are suppressed well within an hour, </w:t>
      </w:r>
      <w:r>
        <w:t xml:space="preserve">the most optimistic assessment allowed </w:t>
      </w:r>
      <w:r w:rsidR="00F209C2">
        <w:t xml:space="preserve">is </w:t>
      </w:r>
      <w:r>
        <w:t>0.01.</w:t>
      </w:r>
    </w:p>
    <w:p w14:paraId="76BC19DB" w14:textId="77777777" w:rsidR="004C1FE1" w:rsidRDefault="004C1FE1" w:rsidP="004C1F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EF1EDC" w14:textId="00E64D52" w:rsidR="004C1FE1" w:rsidRDefault="004C1FE1" w:rsidP="004C1F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Other protection schemes will not be credited at this stage of the analysis.  For example, if the protection scheme involves spatial separation, </w:t>
      </w:r>
      <w:r w:rsidR="00944342">
        <w:t>HGL</w:t>
      </w:r>
      <w:r>
        <w:t xml:space="preserve"> or radiant heating effects might cause failure of the redundant train, </w:t>
      </w:r>
      <w:r w:rsidR="000C7FF2">
        <w:t>i.e.,</w:t>
      </w:r>
      <w:r>
        <w:t xml:space="preserve"> should fire suppression fail or given a high-intensity fire exposure source.  At this stage of the </w:t>
      </w:r>
      <w:r w:rsidR="007D3A4E">
        <w:t>analysis,</w:t>
      </w:r>
      <w:r>
        <w:t xml:space="preserve"> (Step 2.1) fire scenarios have not been developed to a sufficient level of detail to assess the likelihood that such effects will be observed given a fire in the area.  Hence, credit for survival of the SSD path will be deferred pending further refinement of specific fire scenarios.</w:t>
      </w:r>
    </w:p>
    <w:p w14:paraId="1CE7D3DA" w14:textId="77777777" w:rsidR="004C1FE1" w:rsidRDefault="004C1FE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081FC7" w14:textId="6D8FCAE9" w:rsidR="00EC2070" w:rsidRDefault="0079404E" w:rsidP="004D46E2">
      <w:pPr>
        <w:pStyle w:val="Heading4"/>
      </w:pPr>
      <w:r>
        <w:t>Step</w:t>
      </w:r>
      <w:r w:rsidR="00EC2070">
        <w:t xml:space="preserve"> 2.1.7: Effect of Finding Category</w:t>
      </w:r>
    </w:p>
    <w:p w14:paraId="1783B882" w14:textId="77777777" w:rsidR="00EF1713" w:rsidRDefault="00EF1713" w:rsidP="00EF17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83F178" w14:textId="1E310195" w:rsidR="00EF1713" w:rsidRDefault="00D63D22" w:rsidP="00EF17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finding category affects the fire scenarios that need to be considered in the risk quantification.  Since no fire scenarios are defined at this stage, </w:t>
      </w:r>
      <w:r w:rsidR="00EF1713">
        <w:t xml:space="preserve">only two of the eight </w:t>
      </w:r>
      <w:r>
        <w:t>finding categor</w:t>
      </w:r>
      <w:r w:rsidR="00EF1713">
        <w:t>ies</w:t>
      </w:r>
      <w:r>
        <w:t xml:space="preserve"> affect the Step 2.1 bounding risk quantification:</w:t>
      </w:r>
    </w:p>
    <w:p w14:paraId="0D27AF78" w14:textId="77777777" w:rsidR="00EF1713" w:rsidRDefault="00EF1713" w:rsidP="00EF17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83345C" w14:textId="0CA01EF2" w:rsidR="00EF1713" w:rsidRDefault="00EF1713" w:rsidP="0035366F">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For findings in the “Fire Prevention and Administrative Controls” category, the fire frequencies in Table 2.1.3 are used instead of Table 2.1.2.</w:t>
      </w:r>
    </w:p>
    <w:p w14:paraId="327C75E1" w14:textId="1D0A61BC" w:rsidR="00EF1713" w:rsidRDefault="00EF1713" w:rsidP="0035366F">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For findings in the “Fire Confinement” category, all areas separated by the degraded barrier need to be included in the risk quantification. </w:t>
      </w:r>
    </w:p>
    <w:p w14:paraId="66CECCA8"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8E4843" w14:textId="6CADB906" w:rsidR="00EC2070" w:rsidRDefault="0079404E" w:rsidP="004D46E2">
      <w:pPr>
        <w:pStyle w:val="Heading4"/>
      </w:pPr>
      <w:r>
        <w:t>Step</w:t>
      </w:r>
      <w:r w:rsidR="00EC2070">
        <w:t xml:space="preserve"> 2.1.8: Estimate Bounding Value of </w:t>
      </w:r>
      <w:r w:rsidR="00EC2070">
        <w:sym w:font="Symbol" w:char="F044"/>
      </w:r>
      <w:r w:rsidR="00EC2070">
        <w:t>CDF</w:t>
      </w:r>
    </w:p>
    <w:p w14:paraId="3B76F627"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CDF867" w14:textId="4BF8CF36" w:rsidR="00EC2070" w:rsidRDefault="00EF1713"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quantitative screening in this step involves the determination of a bounding estimate</w:t>
      </w:r>
      <w:r w:rsidR="008F3692">
        <w:t xml:space="preserve"> of the </w:t>
      </w:r>
      <w:r w:rsidR="008F3692">
        <w:sym w:font="Symbol" w:char="F044"/>
      </w:r>
      <w:r w:rsidR="008F3692">
        <w:t>CDF for the area(s) under evaluation based on estimates of three factors in the risk quantification, i.e., DF, FIF, and CCDP.  The remaining factors are assumed to equal to 1.0.  It is unlikely that a finding will be screened to Green in this step, but the bounding risk quantification should give the analyst an indication of the likelihood that the finding can be screened to Green in Phase 2</w:t>
      </w:r>
      <w:r w:rsidR="00636201">
        <w:t xml:space="preserve"> and provide guidance on how this can be accomplished most efficiently.</w:t>
      </w:r>
      <w:r>
        <w:t xml:space="preserve"> </w:t>
      </w:r>
    </w:p>
    <w:p w14:paraId="41BF7723"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4A4CE2" w14:textId="77777777" w:rsidR="00EC2070" w:rsidRDefault="00EC2070" w:rsidP="004D46E2">
      <w:pPr>
        <w:pStyle w:val="Heading3"/>
      </w:pPr>
      <w:bookmarkStart w:id="136" w:name="_Toc481265409"/>
      <w:bookmarkStart w:id="137" w:name="_Toc511060889"/>
      <w:r>
        <w:t xml:space="preserve">Step 2.2: </w:t>
      </w:r>
      <w:r w:rsidRPr="007358B2">
        <w:t>Identifying Credible Fire Scenarios and Information Gathering</w:t>
      </w:r>
      <w:bookmarkEnd w:id="136"/>
      <w:bookmarkEnd w:id="137"/>
    </w:p>
    <w:p w14:paraId="62746BC4"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572D19" w14:textId="23323B03" w:rsidR="00EC2070" w:rsidRDefault="0063620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 fire scenario starts with </w:t>
      </w:r>
      <w:r w:rsidR="00896E61">
        <w:t>an</w:t>
      </w:r>
      <w:r>
        <w:t xml:space="preserve"> ignition source and may lead to damage of one or several PRA targets in the area(s) under evaluation.  In this step, information is collected</w:t>
      </w:r>
      <w:r w:rsidR="00854B61">
        <w:t xml:space="preserve"> for the </w:t>
      </w:r>
      <w:r w:rsidR="004A0E40">
        <w:t xml:space="preserve">ignition </w:t>
      </w:r>
      <w:r w:rsidR="004A0E40">
        <w:lastRenderedPageBreak/>
        <w:t xml:space="preserve">sources in the area(s) under evaluation that have the potential of starting a fire that contributes to the </w:t>
      </w:r>
      <w:r w:rsidR="004A0E40">
        <w:sym w:font="Symbol" w:char="F044"/>
      </w:r>
      <w:r w:rsidR="004A0E40">
        <w:t>CDF</w:t>
      </w:r>
      <w:r w:rsidR="00854B61">
        <w:t>, and for the targets that could be damaged in fires that are initiated by th</w:t>
      </w:r>
      <w:r w:rsidR="00896E61">
        <w:t>e</w:t>
      </w:r>
      <w:r w:rsidR="00854B61">
        <w:t xml:space="preserve">se ignition sources.  Some fire scenarios involve secondary combustibles, and information for those is collected in this step as well.  The </w:t>
      </w:r>
      <w:r w:rsidR="00896E61">
        <w:t>ignition source, secondary combustible, and target data collected in this step define the fire scenarios that are considered credible at this stage, and that may need to be included in the final risk quantification for the area(s) under evaluation.  The list of credible fire scenarios is refined in future steps.</w:t>
      </w:r>
    </w:p>
    <w:p w14:paraId="5669EB54"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7E54CC" w14:textId="7364D2B8" w:rsidR="00EC2070" w:rsidRDefault="0079404E" w:rsidP="004D46E2">
      <w:pPr>
        <w:pStyle w:val="Heading4"/>
      </w:pPr>
      <w:r>
        <w:t>Step</w:t>
      </w:r>
      <w:r w:rsidR="00EC2070">
        <w:t xml:space="preserve"> 2.2.1: Initial FDS Assignment</w:t>
      </w:r>
    </w:p>
    <w:p w14:paraId="39DD1377" w14:textId="77777777" w:rsidR="00F46D93" w:rsidRDefault="00F46D93" w:rsidP="00285DF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AD8404" w14:textId="2C6BBEBE" w:rsidR="00FF29B5" w:rsidRDefault="00FF29B5" w:rsidP="00285DF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initial FDS assignment of </w:t>
      </w:r>
      <w:r w:rsidR="007F45F2">
        <w:t xml:space="preserve">Step </w:t>
      </w:r>
      <w:r>
        <w:t xml:space="preserve">2.2.1 is broadly inclusive of potential risk scenarios.  The selection of FDSs applicable to a given finding is limited only by the nature of the finding itself.  That is, an FDS </w:t>
      </w:r>
      <w:r w:rsidR="002800CC">
        <w:t xml:space="preserve">need </w:t>
      </w:r>
      <w:r>
        <w:t>not be considered if and only if the finding itself inherently implies that any scenario corresponding to that particular FDS would be unaffected by the finding.</w:t>
      </w:r>
    </w:p>
    <w:p w14:paraId="1FAE668C" w14:textId="77777777" w:rsidR="00FF29B5" w:rsidRDefault="00FF29B5" w:rsidP="00FF29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A0BB37" w14:textId="3C813B7E" w:rsidR="00FF29B5" w:rsidRDefault="00FF29B5" w:rsidP="00FF29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first exclusion involve</w:t>
      </w:r>
      <w:r w:rsidR="002800CC">
        <w:t>s</w:t>
      </w:r>
      <w:r>
        <w:t xml:space="preserve"> findings against fire confinement.  Fire confinement refers to those fire barrier elements that segregate one fire area from an adjacent fire area.  These inter</w:t>
      </w:r>
      <w:r w:rsidR="002800CC">
        <w:t>-</w:t>
      </w:r>
      <w:r>
        <w:t>compartment fire barriers will only be relevant to the analysis of inter-compartment fire scenarios</w:t>
      </w:r>
      <w:r w:rsidR="002800CC">
        <w:t>.</w:t>
      </w:r>
      <w:r>
        <w:t xml:space="preserve"> i.e., the FDS3 scenarios.  Any fire scenario that remains confined within the fire area of fire origin (i.e., any FDS1 or FDS2 scenario) would be unaffected by a finding associated with fire confinement.  Therefore, the risk change for FDS1 and FDS2 scenarios is by definition zero, and need not be analyzed.  Hence, </w:t>
      </w:r>
      <w:r w:rsidR="007F45F2">
        <w:t>Step</w:t>
      </w:r>
      <w:r>
        <w:t xml:space="preserve"> 2.2.1 requires that only the FDS3 scenarios be considered in the risk quantification.</w:t>
      </w:r>
    </w:p>
    <w:p w14:paraId="313AE2DB" w14:textId="77777777" w:rsidR="00FF29B5" w:rsidRDefault="00FF29B5" w:rsidP="00FF29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87C35E" w14:textId="44D41AA7" w:rsidR="00EC2070" w:rsidRDefault="00FF29B5" w:rsidP="00FF29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only other exclusion from the initial FDS assignment is the exclusion of FDS3 scenarios for findings in categories other than “Fire Confinement</w:t>
      </w:r>
      <w:r w:rsidR="007F45F2">
        <w:t>.</w:t>
      </w:r>
      <w:r>
        <w:t xml:space="preserve">”  This is because the </w:t>
      </w:r>
      <w:r w:rsidR="00435524">
        <w:t>probability of a</w:t>
      </w:r>
      <w:r>
        <w:t xml:space="preserve"> fire </w:t>
      </w:r>
      <w:r w:rsidR="00435524">
        <w:t xml:space="preserve">propagating to an adjacent compartment through an undegraded barrier is very low (between 1.2E-03 and 7.4E-3 depending on the type of barrier, see Table 11-3 in </w:t>
      </w:r>
      <w:r w:rsidR="005065AE" w:rsidRPr="005065AE">
        <w:t xml:space="preserve">NUREG/CR-6850 </w:t>
      </w:r>
      <w:r w:rsidR="005065AE">
        <w:t>[</w:t>
      </w:r>
      <w:r w:rsidR="00082C33">
        <w:t>Reference 8</w:t>
      </w:r>
      <w:r w:rsidR="005065AE">
        <w:t>]</w:t>
      </w:r>
      <w:r w:rsidR="00435524">
        <w:t>).</w:t>
      </w:r>
      <w:r>
        <w:t xml:space="preserve">  </w:t>
      </w:r>
    </w:p>
    <w:p w14:paraId="595EBBE6"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5B3CB9" w14:textId="1C1B63F9" w:rsidR="00EC2070" w:rsidRDefault="0079404E" w:rsidP="004D46E2">
      <w:pPr>
        <w:pStyle w:val="Heading4"/>
      </w:pPr>
      <w:r>
        <w:t>Step</w:t>
      </w:r>
      <w:r w:rsidR="00EC2070">
        <w:t xml:space="preserve"> 2.2.2: </w:t>
      </w:r>
      <w:r w:rsidR="00EC2070" w:rsidRPr="007358B2">
        <w:t>Information Gathering</w:t>
      </w:r>
      <w:r w:rsidR="00435524">
        <w:t xml:space="preserve"> for the Analysis of Credi</w:t>
      </w:r>
      <w:r w:rsidR="006275A1">
        <w:t>ble Fire Scenarios</w:t>
      </w:r>
    </w:p>
    <w:p w14:paraId="21355AB4"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55F3AC" w14:textId="540553C2" w:rsidR="0071110E" w:rsidRDefault="0043552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Step 2.2.2 and several worksheets </w:t>
      </w:r>
      <w:r w:rsidR="00B56CA8">
        <w:t xml:space="preserve">(Tables A1.4, A1.5, A1.6, and A1.7) </w:t>
      </w:r>
      <w:r>
        <w:t>were added to Appendix F to streamline the collection of information needed to perform the Phase 2 analysis.</w:t>
      </w:r>
    </w:p>
    <w:p w14:paraId="69E69FA3" w14:textId="77777777" w:rsidR="0071110E" w:rsidRDefault="0071110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69DD8C" w14:textId="7502DAE4" w:rsidR="0071110E" w:rsidRPr="004A0E40" w:rsidRDefault="0071110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A0E40">
        <w:rPr>
          <w:u w:val="single"/>
        </w:rPr>
        <w:t>Gathering Information for Ignition Sources in the Area</w:t>
      </w:r>
      <w:r w:rsidR="004A0E40">
        <w:rPr>
          <w:u w:val="single"/>
        </w:rPr>
        <w:t>(s)</w:t>
      </w:r>
      <w:r w:rsidRPr="004A0E40">
        <w:rPr>
          <w:u w:val="single"/>
        </w:rPr>
        <w:t xml:space="preserve"> under Evaluation</w:t>
      </w:r>
    </w:p>
    <w:p w14:paraId="1DD352AE" w14:textId="77777777" w:rsidR="0071110E" w:rsidRDefault="0071110E"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CAF682" w14:textId="6B6B1B2E" w:rsidR="00A607AC" w:rsidRDefault="004A0E4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analyst first needs to identify</w:t>
      </w:r>
      <w:r w:rsidR="00496538">
        <w:t xml:space="preserve"> and count</w:t>
      </w:r>
      <w:r>
        <w:t xml:space="preserve"> all ignition sources in the area(s) under evaluation</w:t>
      </w:r>
      <w:r w:rsidR="00496538">
        <w:t xml:space="preserve"> that have the potential of starting a fire that contributes to the </w:t>
      </w:r>
      <w:r w:rsidR="00496538">
        <w:sym w:font="Symbol" w:char="F044"/>
      </w:r>
      <w:r w:rsidR="00496538">
        <w:t>CDF, and assign each ignition source to the appropriate fire ignition source type bin in Table A</w:t>
      </w:r>
      <w:r w:rsidR="00606A80">
        <w:t>4</w:t>
      </w:r>
      <w:r w:rsidR="00496538">
        <w:t>.</w:t>
      </w:r>
      <w:r w:rsidR="00606A80">
        <w:t>1</w:t>
      </w:r>
      <w:r w:rsidR="00496538">
        <w:t xml:space="preserve"> of </w:t>
      </w:r>
      <w:r w:rsidR="00606A80">
        <w:t xml:space="preserve">Attachment 4 to </w:t>
      </w:r>
      <w:r w:rsidR="00496538">
        <w:t xml:space="preserve">Appendix F.  Electrical cabinets </w:t>
      </w:r>
      <w:r w:rsidR="00496538">
        <w:rPr>
          <w:rFonts w:cs="Arial"/>
        </w:rPr>
        <w:t>≥</w:t>
      </w:r>
      <w:r w:rsidR="00496538">
        <w:t xml:space="preserve"> 440 V are assigned to two bins for non-HEAF </w:t>
      </w:r>
      <w:r w:rsidR="00606A80">
        <w:t xml:space="preserve">and HEAF </w:t>
      </w:r>
      <w:r w:rsidR="00496538">
        <w:t>scenarios</w:t>
      </w:r>
      <w:r w:rsidR="00606A80">
        <w:t xml:space="preserve">, respectively.  In addition, each electrical cabinet is further assigned to one of the HRR bins in Table A5.2 in Attachment 5 to Appendix F.  </w:t>
      </w:r>
      <w:r w:rsidR="00A607AC">
        <w:t>Ignition source</w:t>
      </w:r>
      <w:r w:rsidR="00606A80">
        <w:t xml:space="preserve"> counting </w:t>
      </w:r>
      <w:r w:rsidR="00A607AC">
        <w:t>instructions</w:t>
      </w:r>
      <w:r w:rsidR="00606A80">
        <w:t xml:space="preserve"> </w:t>
      </w:r>
      <w:r w:rsidR="00A607AC">
        <w:t xml:space="preserve">are </w:t>
      </w:r>
      <w:r w:rsidR="00606A80">
        <w:t>provided in Attachment 4 to Appendix F</w:t>
      </w:r>
      <w:r w:rsidR="00A607AC">
        <w:t>, and are based on the guidance in the following documents.</w:t>
      </w:r>
    </w:p>
    <w:p w14:paraId="25C609CB" w14:textId="77777777" w:rsidR="00ED2105" w:rsidRDefault="00ED2105" w:rsidP="00ED21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27CE0" w14:textId="67037676" w:rsidR="00ED2105" w:rsidRDefault="00EA37DF" w:rsidP="004D46E2">
      <w:pPr>
        <w:pStyle w:val="ListParagraph"/>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NUREG/CR-6850 (</w:t>
      </w:r>
      <w:r w:rsidR="00A24E94">
        <w:t>Reference 8</w:t>
      </w:r>
      <w:r>
        <w:t>)</w:t>
      </w:r>
      <w:r w:rsidR="00ED2105">
        <w:t xml:space="preserve">, Section 6.5.6: Fixed </w:t>
      </w:r>
      <w:r w:rsidR="002C7157">
        <w:t>Fire I</w:t>
      </w:r>
      <w:r w:rsidR="00ED2105">
        <w:t xml:space="preserve">gnition </w:t>
      </w:r>
      <w:r w:rsidR="002C7157">
        <w:t>S</w:t>
      </w:r>
      <w:r w:rsidR="00ED2105">
        <w:t xml:space="preserve">ource </w:t>
      </w:r>
      <w:r w:rsidR="002C7157">
        <w:t>C</w:t>
      </w:r>
      <w:r w:rsidR="00ED2105">
        <w:t>ounts;</w:t>
      </w:r>
    </w:p>
    <w:p w14:paraId="00A868A9" w14:textId="31280755" w:rsidR="00ED2105" w:rsidRDefault="00ED2105" w:rsidP="004D46E2">
      <w:pPr>
        <w:pStyle w:val="ListParagraph"/>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FAQ 06-0016: </w:t>
      </w:r>
      <w:r w:rsidR="002C7157">
        <w:t xml:space="preserve">Ignition Source </w:t>
      </w:r>
      <w:r>
        <w:t>Counting</w:t>
      </w:r>
      <w:r w:rsidR="002C7157">
        <w:t xml:space="preserve"> for E</w:t>
      </w:r>
      <w:r>
        <w:t xml:space="preserve">lectrical </w:t>
      </w:r>
      <w:r w:rsidR="002C7157">
        <w:t>C</w:t>
      </w:r>
      <w:r>
        <w:t>abinets</w:t>
      </w:r>
      <w:r w:rsidR="000E1D6C">
        <w:t xml:space="preserve"> </w:t>
      </w:r>
      <w:r w:rsidR="00621473">
        <w:t>(Reference 16)</w:t>
      </w:r>
      <w:r>
        <w:t>;</w:t>
      </w:r>
    </w:p>
    <w:p w14:paraId="0D659861" w14:textId="1036D56F" w:rsidR="00ED2105" w:rsidRDefault="00ED2105" w:rsidP="004D46E2">
      <w:pPr>
        <w:pStyle w:val="ListParagraph"/>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FAQ 06-0017: </w:t>
      </w:r>
      <w:r w:rsidR="00DF5417">
        <w:t xml:space="preserve">Ignition Source </w:t>
      </w:r>
      <w:r>
        <w:t xml:space="preserve">Counting </w:t>
      </w:r>
      <w:r w:rsidR="00DF5417">
        <w:t>for</w:t>
      </w:r>
      <w:r>
        <w:t xml:space="preserve"> H</w:t>
      </w:r>
      <w:r w:rsidR="00DF5417">
        <w:t xml:space="preserve">igh </w:t>
      </w:r>
      <w:r>
        <w:t>E</w:t>
      </w:r>
      <w:r w:rsidR="00DF5417">
        <w:t xml:space="preserve">nergy </w:t>
      </w:r>
      <w:r>
        <w:t>A</w:t>
      </w:r>
      <w:r w:rsidR="00DF5417">
        <w:t xml:space="preserve">rcing </w:t>
      </w:r>
      <w:r>
        <w:t>F</w:t>
      </w:r>
      <w:r w:rsidR="00DF5417">
        <w:t>ault</w:t>
      </w:r>
      <w:r>
        <w:t>s</w:t>
      </w:r>
      <w:r w:rsidR="000E1D6C">
        <w:t xml:space="preserve"> (Reference 1</w:t>
      </w:r>
      <w:r w:rsidR="00621473">
        <w:t>7</w:t>
      </w:r>
      <w:r w:rsidR="000E1D6C">
        <w:t>)</w:t>
      </w:r>
      <w:r>
        <w:t>;</w:t>
      </w:r>
    </w:p>
    <w:p w14:paraId="6D05813F" w14:textId="566B99E9" w:rsidR="00ED2105" w:rsidRDefault="00ED2105" w:rsidP="004D46E2">
      <w:pPr>
        <w:pStyle w:val="ListParagraph"/>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FAQ 06-0018: </w:t>
      </w:r>
      <w:r w:rsidR="00DF5417">
        <w:t xml:space="preserve">Ignition Source </w:t>
      </w:r>
      <w:r>
        <w:t>Counting for M</w:t>
      </w:r>
      <w:r w:rsidR="00DF5417">
        <w:t xml:space="preserve">ain </w:t>
      </w:r>
      <w:r>
        <w:t>C</w:t>
      </w:r>
      <w:r w:rsidR="00DF5417">
        <w:t xml:space="preserve">ontrol </w:t>
      </w:r>
      <w:r>
        <w:t>B</w:t>
      </w:r>
      <w:r w:rsidR="00DF5417">
        <w:t>oard</w:t>
      </w:r>
      <w:r w:rsidR="000E1D6C">
        <w:t xml:space="preserve"> (Reference 1</w:t>
      </w:r>
      <w:r w:rsidR="00621473">
        <w:t>8</w:t>
      </w:r>
      <w:r w:rsidR="000E1D6C">
        <w:t>)</w:t>
      </w:r>
      <w:r>
        <w:t>;</w:t>
      </w:r>
    </w:p>
    <w:p w14:paraId="2B28AC98" w14:textId="7688A163" w:rsidR="00ED2105" w:rsidRDefault="00ED2105" w:rsidP="004D46E2">
      <w:pPr>
        <w:pStyle w:val="ListParagraph"/>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FAQ 07-0031: Miscellaneous F</w:t>
      </w:r>
      <w:r w:rsidR="00DF5417">
        <w:t xml:space="preserve">ire </w:t>
      </w:r>
      <w:r>
        <w:t>I</w:t>
      </w:r>
      <w:r w:rsidR="00DF5417">
        <w:t xml:space="preserve">gnition </w:t>
      </w:r>
      <w:r>
        <w:t>F</w:t>
      </w:r>
      <w:r w:rsidR="00DF5417">
        <w:t>requency B</w:t>
      </w:r>
      <w:r>
        <w:t xml:space="preserve">inning </w:t>
      </w:r>
      <w:r w:rsidR="00DF5417">
        <w:t>I</w:t>
      </w:r>
      <w:r>
        <w:t>ssues</w:t>
      </w:r>
      <w:r w:rsidR="000E1D6C">
        <w:t xml:space="preserve"> (Reference 1</w:t>
      </w:r>
      <w:r w:rsidR="00621473">
        <w:t>9</w:t>
      </w:r>
      <w:r w:rsidR="000E1D6C">
        <w:t>)</w:t>
      </w:r>
      <w:r>
        <w:t>;</w:t>
      </w:r>
    </w:p>
    <w:p w14:paraId="350BECAF" w14:textId="63050FC0" w:rsidR="00DF5417" w:rsidRDefault="00ED2105" w:rsidP="004D46E2">
      <w:pPr>
        <w:pStyle w:val="ListParagraph"/>
        <w:keepNext/>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 xml:space="preserve">FAQ 07-0035: Bus </w:t>
      </w:r>
      <w:r w:rsidR="00DF5417">
        <w:t>D</w:t>
      </w:r>
      <w:r>
        <w:t xml:space="preserve">uct </w:t>
      </w:r>
      <w:r w:rsidR="00DF5417">
        <w:t>C</w:t>
      </w:r>
      <w:r>
        <w:t>ounting for H</w:t>
      </w:r>
      <w:r w:rsidR="00DF5417">
        <w:t xml:space="preserve">igh </w:t>
      </w:r>
      <w:r>
        <w:t>E</w:t>
      </w:r>
      <w:r w:rsidR="00DF5417">
        <w:t xml:space="preserve">nergy </w:t>
      </w:r>
      <w:r>
        <w:t>A</w:t>
      </w:r>
      <w:r w:rsidR="00DF5417">
        <w:t xml:space="preserve">rcing </w:t>
      </w:r>
      <w:r>
        <w:t>F</w:t>
      </w:r>
      <w:r w:rsidR="00DF5417">
        <w:t>ault</w:t>
      </w:r>
      <w:r>
        <w:t>s</w:t>
      </w:r>
      <w:r w:rsidR="000E1D6C">
        <w:t xml:space="preserve"> (Reference </w:t>
      </w:r>
      <w:r w:rsidR="00621473">
        <w:t>20</w:t>
      </w:r>
      <w:r w:rsidR="000E1D6C">
        <w:t>)</w:t>
      </w:r>
      <w:r w:rsidR="00DF5417">
        <w:t>;</w:t>
      </w:r>
    </w:p>
    <w:p w14:paraId="7EC33AC4" w14:textId="20C169BB" w:rsidR="00ED2105" w:rsidRPr="00731569" w:rsidRDefault="00DF5417" w:rsidP="004D46E2">
      <w:pPr>
        <w:pStyle w:val="ListParagraph"/>
        <w:keepNext/>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FAQ 12-0064: </w:t>
      </w:r>
      <w:r w:rsidR="00731569" w:rsidRPr="00731569">
        <w:t xml:space="preserve">Hot </w:t>
      </w:r>
      <w:r w:rsidR="00731569">
        <w:t>W</w:t>
      </w:r>
      <w:r w:rsidR="00731569" w:rsidRPr="00731569">
        <w:t>ork/</w:t>
      </w:r>
      <w:r w:rsidR="00731569">
        <w:t>T</w:t>
      </w:r>
      <w:r w:rsidR="00731569" w:rsidRPr="00731569">
        <w:t xml:space="preserve">ransient </w:t>
      </w:r>
      <w:r w:rsidR="00731569">
        <w:t>F</w:t>
      </w:r>
      <w:r w:rsidR="00731569" w:rsidRPr="00731569">
        <w:t xml:space="preserve">ire </w:t>
      </w:r>
      <w:r w:rsidR="00731569">
        <w:t>F</w:t>
      </w:r>
      <w:r w:rsidR="00731569" w:rsidRPr="00731569">
        <w:t xml:space="preserve">requency </w:t>
      </w:r>
      <w:r w:rsidR="00731569">
        <w:t>I</w:t>
      </w:r>
      <w:r w:rsidR="00731569" w:rsidRPr="00731569">
        <w:t xml:space="preserve">nfluence </w:t>
      </w:r>
      <w:r w:rsidR="00731569">
        <w:t>F</w:t>
      </w:r>
      <w:r w:rsidR="00731569" w:rsidRPr="00731569">
        <w:t>actors</w:t>
      </w:r>
      <w:r w:rsidR="000E1D6C">
        <w:t xml:space="preserve"> (Reference 2</w:t>
      </w:r>
      <w:r w:rsidR="00621473">
        <w:t>1</w:t>
      </w:r>
      <w:r w:rsidR="000E1D6C">
        <w:t>)</w:t>
      </w:r>
      <w:r w:rsidR="00ED2105" w:rsidRPr="00731569">
        <w:t>.</w:t>
      </w:r>
    </w:p>
    <w:p w14:paraId="7FFF4F3D" w14:textId="3767BBAD" w:rsidR="00731569" w:rsidRDefault="00731569" w:rsidP="007315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97A714" w14:textId="00943089" w:rsidR="005031DE" w:rsidRDefault="005031DE" w:rsidP="007315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For each ignition source, the analyst also needs to determine whether the ignition source is in an open area away from any wall or corner</w:t>
      </w:r>
      <w:r w:rsidR="00394DF0">
        <w:t xml:space="preserve"> (free-burning)</w:t>
      </w:r>
      <w:r>
        <w:t xml:space="preserve">, near a wall, or near a corner.  </w:t>
      </w:r>
      <w:r w:rsidRPr="005031DE">
        <w:t xml:space="preserve">For the purposes of the </w:t>
      </w:r>
      <w:r>
        <w:t>P</w:t>
      </w:r>
      <w:r w:rsidRPr="005031DE">
        <w:t>hase 2 analysis, a fire is considered to be “near” a wall if its outer edge is within two feet of a wall, or is “near” a corner if within two feet of each of the two walls making up the corner.</w:t>
      </w:r>
      <w:r w:rsidR="00394DF0" w:rsidRPr="00394DF0">
        <w:t xml:space="preserve"> </w:t>
      </w:r>
      <w:r w:rsidR="00394DF0">
        <w:t xml:space="preserve"> </w:t>
      </w:r>
      <w:r w:rsidR="00394DF0" w:rsidRPr="00394DF0">
        <w:t xml:space="preserve">At the discretion of the analyst, a wall fire can be treated either as a corner or as a free-burn fire.  </w:t>
      </w:r>
    </w:p>
    <w:p w14:paraId="547A9C19" w14:textId="77777777" w:rsidR="005031DE" w:rsidRDefault="005031DE" w:rsidP="007315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8FC5C2" w14:textId="68CD2D39" w:rsidR="00731569" w:rsidRPr="004A0E40" w:rsidRDefault="00731569" w:rsidP="00285DFD">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A0E40">
        <w:rPr>
          <w:u w:val="single"/>
        </w:rPr>
        <w:t xml:space="preserve">Gathering Information for </w:t>
      </w:r>
      <w:r w:rsidR="00E822ED">
        <w:rPr>
          <w:u w:val="single"/>
        </w:rPr>
        <w:t>Target</w:t>
      </w:r>
      <w:r w:rsidRPr="004A0E40">
        <w:rPr>
          <w:u w:val="single"/>
        </w:rPr>
        <w:t>s in the Area</w:t>
      </w:r>
      <w:r>
        <w:rPr>
          <w:u w:val="single"/>
        </w:rPr>
        <w:t>(s)</w:t>
      </w:r>
      <w:r w:rsidRPr="004A0E40">
        <w:rPr>
          <w:u w:val="single"/>
        </w:rPr>
        <w:t xml:space="preserve"> under Evaluation</w:t>
      </w:r>
    </w:p>
    <w:p w14:paraId="26A25ADA" w14:textId="4346E013" w:rsidR="00731569" w:rsidRDefault="00731569" w:rsidP="00285DFD">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0B0AC9" w14:textId="2A7D7B61" w:rsidR="00863B40" w:rsidRDefault="00863B40" w:rsidP="00285DFD">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As a minimum, at this stage the analyst is asked to identify the nearest fire ignition and damage targets without regard to the specific importance of these targets in a PRA context.  For example, the nearest damage target may not be a safety-related damage target, and its loss may have no measurable risk impact.  However, by screening fire ignition sources based on the nearest targets in Step 2.3.2, optimistic screening results are precluded.  Additional consideration is given to the identification and behavior of scenario-specific targets to the extent allowed by the available cable and component routing information in later steps of the analysis.</w:t>
      </w:r>
    </w:p>
    <w:p w14:paraId="6AA9911E" w14:textId="77777777" w:rsidR="00863B40" w:rsidRDefault="00863B40" w:rsidP="00863B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310C69" w14:textId="7379F310" w:rsidR="00863B40" w:rsidRDefault="00863B40" w:rsidP="00863B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It is anticipated that the fire and ignition targets will generally be electrical cables.  Electrical cables typically represent the most vulnerable element of major plant components.  For example, </w:t>
      </w:r>
      <w:r w:rsidR="002800CC">
        <w:t xml:space="preserve">the mechanical portions of </w:t>
      </w:r>
      <w:r>
        <w:t xml:space="preserve">a large pump </w:t>
      </w:r>
      <w:r w:rsidR="002800CC">
        <w:t>are</w:t>
      </w:r>
      <w:r>
        <w:t xml:space="preserve"> relatively invulnerable to fire-induced damage due to </w:t>
      </w:r>
      <w:r w:rsidR="007D3A4E">
        <w:t>their</w:t>
      </w:r>
      <w:r w:rsidR="002800CC">
        <w:t xml:space="preserve"> </w:t>
      </w:r>
      <w:r>
        <w:t>shear mass and the lack of specifically vulnerable parts.  However, the power cable that supplies power to the pump motor, and/or the control cables that control operation of the pump are typically exposed, and are known to be vulnerable to fire-induced failure.  Hence, the SDP focus on cables is both appropriate and consistent with common PRA practice.</w:t>
      </w:r>
    </w:p>
    <w:p w14:paraId="22B5C9D3" w14:textId="77777777" w:rsidR="00863B40" w:rsidRDefault="00863B40" w:rsidP="00863B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0EFEF7" w14:textId="286EA958" w:rsidR="00863B40" w:rsidRDefault="00863B40" w:rsidP="00863B4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It is anticipated that some specific applications might involve thermal damage targets that are more fragile </w:t>
      </w:r>
      <w:r w:rsidR="00CE022D">
        <w:t xml:space="preserve">than </w:t>
      </w:r>
      <w:r>
        <w:t xml:space="preserve">the cables.  An example would be </w:t>
      </w:r>
      <w:r w:rsidR="007D3A4E">
        <w:t>solid-state</w:t>
      </w:r>
      <w:r>
        <w:t xml:space="preserve"> signal conditioning or control switching equipment</w:t>
      </w:r>
      <w:r w:rsidR="00474D15">
        <w:t xml:space="preserve"> (temperature-sensitive electronics)</w:t>
      </w:r>
      <w:r>
        <w:t>.  Provisions for such cases have been allowed in the guidance.  However, the guidance also specifies that given a fire in an electrical panel, including a control panel, that all of the components in that panel be assumed to fail.  Hence, it is likely that most SDP analyses will continue to focus on electrical cables as both the ignition and damage targets.</w:t>
      </w:r>
    </w:p>
    <w:p w14:paraId="74130F70" w14:textId="77777777" w:rsidR="00045F9C" w:rsidRPr="0051306B" w:rsidRDefault="00045F9C" w:rsidP="00045F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rPr>
      </w:pPr>
    </w:p>
    <w:p w14:paraId="1A4421E4" w14:textId="77777777" w:rsidR="00045F9C" w:rsidRPr="0051306B" w:rsidRDefault="00045F9C" w:rsidP="00045F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rPr>
      </w:pPr>
      <w:r w:rsidRPr="0051306B">
        <w:rPr>
          <w:rFonts w:cs="Arial"/>
          <w:color w:val="000000" w:themeColor="text1"/>
        </w:rPr>
        <w:t>Additional guidance for the identification of targets and their ignition and damage criteria is provided in Attachment 4 to Appendix F.  The bases for the damage and ignition thresholds in this Appendix are as follows:</w:t>
      </w:r>
    </w:p>
    <w:p w14:paraId="42D4F860" w14:textId="77777777" w:rsidR="00045F9C" w:rsidRPr="0051306B" w:rsidRDefault="00045F9C" w:rsidP="00045F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themeColor="text1"/>
        </w:rPr>
      </w:pPr>
    </w:p>
    <w:p w14:paraId="7F495ED3" w14:textId="2E41B238" w:rsidR="00045F9C" w:rsidRPr="00504D4D" w:rsidRDefault="00021E23" w:rsidP="0035366F">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cs="Arial"/>
        </w:rPr>
      </w:pPr>
      <w:r>
        <w:rPr>
          <w:rFonts w:cs="Arial"/>
        </w:rPr>
        <w:t>TS</w:t>
      </w:r>
      <w:r w:rsidR="00045F9C">
        <w:rPr>
          <w:rFonts w:cs="Arial"/>
        </w:rPr>
        <w:t xml:space="preserve"> and </w:t>
      </w:r>
      <w:r>
        <w:rPr>
          <w:rFonts w:cs="Arial"/>
        </w:rPr>
        <w:t>TP</w:t>
      </w:r>
      <w:r w:rsidR="00045F9C">
        <w:rPr>
          <w:rFonts w:cs="Arial"/>
        </w:rPr>
        <w:t xml:space="preserve"> Cable Targets: </w:t>
      </w:r>
      <w:r w:rsidR="00045F9C" w:rsidRPr="00504D4D">
        <w:rPr>
          <w:rFonts w:cs="Arial"/>
        </w:rPr>
        <w:t xml:space="preserve">Damage and ignition criteria for </w:t>
      </w:r>
      <w:r>
        <w:rPr>
          <w:rFonts w:cs="Arial"/>
        </w:rPr>
        <w:t>TS</w:t>
      </w:r>
      <w:r w:rsidR="00045F9C" w:rsidRPr="00504D4D">
        <w:rPr>
          <w:rFonts w:cs="Arial"/>
        </w:rPr>
        <w:t xml:space="preserve"> and </w:t>
      </w:r>
      <w:r w:rsidR="00690A12">
        <w:rPr>
          <w:rFonts w:cs="Arial"/>
        </w:rPr>
        <w:t>TP</w:t>
      </w:r>
      <w:r w:rsidR="00045F9C" w:rsidRPr="00504D4D">
        <w:rPr>
          <w:rFonts w:cs="Arial"/>
        </w:rPr>
        <w:t xml:space="preserve"> cable targets are given in </w:t>
      </w:r>
      <w:r w:rsidR="00EA37DF" w:rsidRPr="00EA37DF">
        <w:rPr>
          <w:rFonts w:cs="Arial"/>
        </w:rPr>
        <w:t xml:space="preserve">NUREG/CR-6850 </w:t>
      </w:r>
      <w:r w:rsidR="00EA37DF">
        <w:rPr>
          <w:rFonts w:cs="Arial"/>
        </w:rPr>
        <w:t>(</w:t>
      </w:r>
      <w:r w:rsidR="00A24E94">
        <w:rPr>
          <w:rFonts w:cs="Arial"/>
        </w:rPr>
        <w:t>Reference 8</w:t>
      </w:r>
      <w:r w:rsidR="00EA37DF">
        <w:rPr>
          <w:rFonts w:cs="Arial"/>
        </w:rPr>
        <w:t>)</w:t>
      </w:r>
      <w:r w:rsidR="00045F9C" w:rsidRPr="00504D4D">
        <w:rPr>
          <w:rFonts w:cs="Arial"/>
        </w:rPr>
        <w:t>, Appendix H, Table H-1.</w:t>
      </w:r>
    </w:p>
    <w:p w14:paraId="589E02DF" w14:textId="2A25CDD4" w:rsidR="00045F9C" w:rsidRPr="00426C19" w:rsidRDefault="00045F9C" w:rsidP="0035366F">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cs="Arial"/>
        </w:rPr>
      </w:pPr>
      <w:r w:rsidRPr="00426C19">
        <w:rPr>
          <w:rFonts w:cs="Arial"/>
        </w:rPr>
        <w:t>Kerite Cable Targets:</w:t>
      </w:r>
    </w:p>
    <w:p w14:paraId="40E1066B" w14:textId="6B4D519B" w:rsidR="00045F9C" w:rsidRPr="00426C19" w:rsidRDefault="00045F9C" w:rsidP="0035366F">
      <w:pPr>
        <w:pStyle w:val="ListParagraph"/>
        <w:widowControl/>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cs="Arial"/>
        </w:rPr>
      </w:pPr>
      <w:r w:rsidRPr="00426C19">
        <w:rPr>
          <w:rFonts w:cs="Arial"/>
        </w:rPr>
        <w:t>FAQ 08-0053</w:t>
      </w:r>
      <w:r w:rsidRPr="00426C19">
        <w:t xml:space="preserve">, Revision 1 </w:t>
      </w:r>
      <w:r w:rsidR="00440003" w:rsidRPr="00426C19">
        <w:t>(Reference 2</w:t>
      </w:r>
      <w:r w:rsidR="00621473" w:rsidRPr="00426C19">
        <w:t>2</w:t>
      </w:r>
      <w:r w:rsidR="00440003" w:rsidRPr="00426C19">
        <w:t xml:space="preserve">) </w:t>
      </w:r>
      <w:r w:rsidRPr="00426C19">
        <w:t>recommends a damage threshold of 247</w:t>
      </w:r>
      <w:r w:rsidRPr="00426C19">
        <w:sym w:font="Symbol" w:char="F0B0"/>
      </w:r>
      <w:r w:rsidRPr="00426C19">
        <w:t>C (477°F) for Kerite</w:t>
      </w:r>
      <w:r w:rsidRPr="00426C19">
        <w:noBreakHyphen/>
        <w:t xml:space="preserve">FR cable targets.  Consequently, assuming the </w:t>
      </w:r>
      <w:r w:rsidR="00690A12" w:rsidRPr="00426C19">
        <w:t>TP</w:t>
      </w:r>
      <w:r w:rsidRPr="00426C19">
        <w:t xml:space="preserve"> damage thresholds for Kerite-FR cable targets is conservative.</w:t>
      </w:r>
    </w:p>
    <w:p w14:paraId="13C015CF" w14:textId="3D6F0EF8" w:rsidR="00045F9C" w:rsidRPr="00426C19" w:rsidRDefault="00440003" w:rsidP="0035366F">
      <w:pPr>
        <w:pStyle w:val="ListParagraph"/>
        <w:widowControl/>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cs="Arial"/>
        </w:rPr>
      </w:pPr>
      <w:r w:rsidRPr="00426C19">
        <w:rPr>
          <w:rFonts w:cs="Arial"/>
        </w:rPr>
        <w:t>Reference 2</w:t>
      </w:r>
      <w:r w:rsidR="00621473" w:rsidRPr="00426C19">
        <w:rPr>
          <w:rFonts w:cs="Arial"/>
        </w:rPr>
        <w:t>2</w:t>
      </w:r>
      <w:r w:rsidR="00045F9C" w:rsidRPr="00426C19">
        <w:t xml:space="preserve"> further recommends using damage thresholds from</w:t>
      </w:r>
      <w:r w:rsidR="00045F9C" w:rsidRPr="00426C19">
        <w:rPr>
          <w:rFonts w:cs="Arial"/>
        </w:rPr>
        <w:t xml:space="preserve"> NUREG/CR-7102 </w:t>
      </w:r>
      <w:r w:rsidRPr="00426C19">
        <w:rPr>
          <w:rFonts w:cs="Arial"/>
        </w:rPr>
        <w:t>(Reference 2</w:t>
      </w:r>
      <w:r w:rsidR="005F2E7B" w:rsidRPr="00426C19">
        <w:rPr>
          <w:rFonts w:cs="Arial"/>
        </w:rPr>
        <w:t>3</w:t>
      </w:r>
      <w:r w:rsidRPr="00426C19">
        <w:rPr>
          <w:rFonts w:cs="Arial"/>
        </w:rPr>
        <w:t xml:space="preserve">) </w:t>
      </w:r>
      <w:r w:rsidR="00045F9C" w:rsidRPr="00426C19">
        <w:rPr>
          <w:rFonts w:cs="Arial"/>
        </w:rPr>
        <w:t xml:space="preserve">for Kerite FR-II, FR-III, and HT cable targets.  </w:t>
      </w:r>
      <w:r w:rsidR="00045F9C" w:rsidRPr="00426C19">
        <w:t xml:space="preserve">Assuming the </w:t>
      </w:r>
      <w:r w:rsidR="00021E23" w:rsidRPr="00426C19">
        <w:t>TS</w:t>
      </w:r>
      <w:r w:rsidR="00045F9C" w:rsidRPr="00426C19">
        <w:t xml:space="preserve"> damage thresholds for </w:t>
      </w:r>
      <w:r w:rsidR="00045F9C" w:rsidRPr="00426C19">
        <w:rPr>
          <w:rFonts w:cs="Arial"/>
        </w:rPr>
        <w:t>Kerite FR-II, FR-III, and HT</w:t>
      </w:r>
      <w:r w:rsidR="00045F9C" w:rsidRPr="00426C19">
        <w:t xml:space="preserve"> cable targets is also conservative, since the lowest failure temperature reported in Table 8-3 of </w:t>
      </w:r>
      <w:r w:rsidRPr="00426C19">
        <w:rPr>
          <w:rFonts w:cs="Arial"/>
        </w:rPr>
        <w:lastRenderedPageBreak/>
        <w:t>Referenc</w:t>
      </w:r>
      <w:r w:rsidR="00621473" w:rsidRPr="00426C19">
        <w:rPr>
          <w:rFonts w:cs="Arial"/>
        </w:rPr>
        <w:t>e 23</w:t>
      </w:r>
      <w:r w:rsidR="00045F9C" w:rsidRPr="00426C19">
        <w:t xml:space="preserve"> for the Penlight tests performed on these Kerite cable varieties is 367°C (693°F).</w:t>
      </w:r>
    </w:p>
    <w:p w14:paraId="4B115EFF" w14:textId="33DA37BC" w:rsidR="00045F9C" w:rsidRPr="00426C19" w:rsidRDefault="00045F9C" w:rsidP="0035366F">
      <w:pPr>
        <w:pStyle w:val="ListParagraph"/>
        <w:widowControl/>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cs="Arial"/>
        </w:rPr>
      </w:pPr>
      <w:r w:rsidRPr="00426C19">
        <w:rPr>
          <w:rFonts w:cs="Arial"/>
        </w:rPr>
        <w:t xml:space="preserve">The </w:t>
      </w:r>
      <w:r w:rsidR="00021E23" w:rsidRPr="00426C19">
        <w:rPr>
          <w:rFonts w:cs="Arial"/>
        </w:rPr>
        <w:t>TS</w:t>
      </w:r>
      <w:r w:rsidRPr="00426C19">
        <w:rPr>
          <w:rFonts w:cs="Arial"/>
        </w:rPr>
        <w:t xml:space="preserve"> ignition thresholds are assumed for Kerite cable based on the fact that all varieties are IEEE 383 qualified.</w:t>
      </w:r>
    </w:p>
    <w:p w14:paraId="74430CF1" w14:textId="50CB1B7E" w:rsidR="00045F9C" w:rsidRPr="00426C19" w:rsidRDefault="00045F9C" w:rsidP="0035366F">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cs="Arial"/>
        </w:rPr>
      </w:pPr>
      <w:r w:rsidRPr="00426C19">
        <w:rPr>
          <w:rFonts w:cs="Arial"/>
        </w:rPr>
        <w:t xml:space="preserve">Cables in Metal Conduit: The treatment in terms of damage and ignition of cables in metal conduit is based on the guidance in </w:t>
      </w:r>
      <w:r w:rsidR="00EA37DF" w:rsidRPr="00EA37DF">
        <w:rPr>
          <w:rFonts w:cs="Arial"/>
        </w:rPr>
        <w:t xml:space="preserve">NUREG/CR-6850 </w:t>
      </w:r>
      <w:r w:rsidR="00EA37DF">
        <w:rPr>
          <w:rFonts w:cs="Arial"/>
        </w:rPr>
        <w:t>(</w:t>
      </w:r>
      <w:r w:rsidR="00082C33" w:rsidRPr="00426C19">
        <w:rPr>
          <w:rFonts w:cs="Arial"/>
        </w:rPr>
        <w:t>Reference 8</w:t>
      </w:r>
      <w:r w:rsidR="00EA37DF">
        <w:rPr>
          <w:rFonts w:cs="Arial"/>
        </w:rPr>
        <w:t>)</w:t>
      </w:r>
      <w:r w:rsidRPr="00426C19">
        <w:rPr>
          <w:rFonts w:cs="Arial"/>
        </w:rPr>
        <w:t>, Section 8.5.1.2.</w:t>
      </w:r>
    </w:p>
    <w:p w14:paraId="7F4EDB35" w14:textId="324A162E" w:rsidR="00045F9C" w:rsidRDefault="00045F9C" w:rsidP="0035366F">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cs="Arial"/>
        </w:rPr>
      </w:pPr>
      <w:r w:rsidRPr="00426C19">
        <w:rPr>
          <w:rFonts w:cs="Arial"/>
        </w:rPr>
        <w:t>Cables Coated with an FR Coating: The treatment in terms of damage and ignition of cables coated with</w:t>
      </w:r>
      <w:r>
        <w:rPr>
          <w:rFonts w:cs="Arial"/>
        </w:rPr>
        <w:t xml:space="preserve"> an FR coating is based on the guidance in </w:t>
      </w:r>
      <w:r w:rsidR="00EA37DF" w:rsidRPr="00EA37DF">
        <w:rPr>
          <w:rFonts w:cs="Arial"/>
        </w:rPr>
        <w:t xml:space="preserve">NUREG/CR-6850 </w:t>
      </w:r>
      <w:r w:rsidR="00EA37DF">
        <w:rPr>
          <w:rFonts w:cs="Arial"/>
        </w:rPr>
        <w:t>(</w:t>
      </w:r>
      <w:r w:rsidR="00082C33">
        <w:rPr>
          <w:rFonts w:cs="Arial"/>
        </w:rPr>
        <w:t>Reference 8</w:t>
      </w:r>
      <w:r w:rsidR="00EA37DF">
        <w:rPr>
          <w:rFonts w:cs="Arial"/>
        </w:rPr>
        <w:t>)</w:t>
      </w:r>
      <w:r>
        <w:rPr>
          <w:rFonts w:cs="Arial"/>
        </w:rPr>
        <w:t>, Section 8.5.1.2.</w:t>
      </w:r>
    </w:p>
    <w:p w14:paraId="1D4A0F26" w14:textId="405D7146" w:rsidR="00045F9C" w:rsidRDefault="00045F9C" w:rsidP="0035366F">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cs="Arial"/>
        </w:rPr>
      </w:pPr>
      <w:r>
        <w:rPr>
          <w:rFonts w:cs="Arial"/>
        </w:rPr>
        <w:t xml:space="preserve">Cable Trays with Solid Bottoms:  The treatment in terms of damage and ignition of </w:t>
      </w:r>
      <w:r w:rsidR="00021E23">
        <w:rPr>
          <w:rFonts w:cs="Arial"/>
        </w:rPr>
        <w:t>TS</w:t>
      </w:r>
      <w:r>
        <w:rPr>
          <w:rFonts w:cs="Arial"/>
        </w:rPr>
        <w:t xml:space="preserve"> cables in cable trays with solid bottoms is based on the guidance in </w:t>
      </w:r>
      <w:r w:rsidR="005065AE" w:rsidRPr="005065AE">
        <w:rPr>
          <w:rFonts w:cs="Arial"/>
        </w:rPr>
        <w:t xml:space="preserve">NUREG/CR-6850 </w:t>
      </w:r>
      <w:r w:rsidR="005065AE">
        <w:rPr>
          <w:rFonts w:cs="Arial"/>
        </w:rPr>
        <w:t>(</w:t>
      </w:r>
      <w:r w:rsidR="00A24E94">
        <w:rPr>
          <w:rFonts w:cs="Arial"/>
        </w:rPr>
        <w:t>Reference 8</w:t>
      </w:r>
      <w:r w:rsidR="005065AE">
        <w:rPr>
          <w:rFonts w:cs="Arial"/>
        </w:rPr>
        <w:t>)</w:t>
      </w:r>
      <w:r>
        <w:rPr>
          <w:rFonts w:cs="Arial"/>
        </w:rPr>
        <w:t xml:space="preserve">, Appendix Q, Section Q.2.2.  The treatment in terms of damage and ignition of </w:t>
      </w:r>
      <w:r w:rsidR="00690A12">
        <w:rPr>
          <w:rFonts w:cs="Arial"/>
        </w:rPr>
        <w:t>TP</w:t>
      </w:r>
      <w:r>
        <w:rPr>
          <w:rFonts w:cs="Arial"/>
        </w:rPr>
        <w:t xml:space="preserve"> cables in cable trays with solid bottoms is based on test data in Table V of NUREG/CR-0381</w:t>
      </w:r>
      <w:r w:rsidR="000F2FA1">
        <w:rPr>
          <w:rFonts w:cs="Arial"/>
        </w:rPr>
        <w:t xml:space="preserve"> (Reference 2</w:t>
      </w:r>
      <w:r w:rsidR="005F2E7B">
        <w:rPr>
          <w:rFonts w:cs="Arial"/>
        </w:rPr>
        <w:t>4</w:t>
      </w:r>
      <w:r w:rsidR="000F2FA1">
        <w:rPr>
          <w:rFonts w:cs="Arial"/>
        </w:rPr>
        <w:t>)</w:t>
      </w:r>
      <w:r>
        <w:rPr>
          <w:rFonts w:cs="Arial"/>
        </w:rPr>
        <w:t>.  The treatment in terms of ignition and flame spread of cables in fully enclosed cable trays and trays with solid bottoms and ceramic fiber blanket covering the tray contents was used by several licensees that transitioned to NFPA 805 and accepted by NRC staff.</w:t>
      </w:r>
    </w:p>
    <w:p w14:paraId="0CB48906" w14:textId="66A71399" w:rsidR="00045F9C" w:rsidRDefault="00045F9C" w:rsidP="0035366F">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cs="Arial"/>
        </w:rPr>
      </w:pPr>
      <w:r>
        <w:rPr>
          <w:rFonts w:cs="Arial"/>
        </w:rPr>
        <w:t xml:space="preserve">Mixed Cable Insulation/Jacket Type Configurations: Mixed cable insulation/jacket type configurations are treated conservatively, i.e., they are assigned </w:t>
      </w:r>
      <w:r w:rsidR="00690A12">
        <w:rPr>
          <w:rFonts w:cs="Arial"/>
        </w:rPr>
        <w:t>TP</w:t>
      </w:r>
      <w:r>
        <w:rPr>
          <w:rFonts w:cs="Arial"/>
        </w:rPr>
        <w:t xml:space="preserve"> damage and ignition thresholds if either the jacket, the insulation, or both are </w:t>
      </w:r>
      <w:r w:rsidR="00690A12">
        <w:rPr>
          <w:rFonts w:cs="Arial"/>
        </w:rPr>
        <w:t>TP</w:t>
      </w:r>
      <w:r>
        <w:rPr>
          <w:rFonts w:cs="Arial"/>
        </w:rPr>
        <w:t xml:space="preserve">. </w:t>
      </w:r>
    </w:p>
    <w:p w14:paraId="702C681F" w14:textId="77777777" w:rsidR="00045F9C" w:rsidRDefault="00045F9C" w:rsidP="0035366F">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rPr>
          <w:rFonts w:cs="Arial"/>
        </w:rPr>
      </w:pPr>
      <w:r>
        <w:rPr>
          <w:rFonts w:cs="Arial"/>
        </w:rPr>
        <w:t>Temperature Sensitive Electronics:</w:t>
      </w:r>
    </w:p>
    <w:p w14:paraId="72A3509D" w14:textId="350E1A9E" w:rsidR="00045F9C" w:rsidRDefault="00045F9C" w:rsidP="0035366F">
      <w:pPr>
        <w:pStyle w:val="ListParagraph"/>
        <w:widowControl/>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cs="Arial"/>
        </w:rPr>
      </w:pPr>
      <w:r>
        <w:rPr>
          <w:rFonts w:cs="Arial"/>
        </w:rPr>
        <w:t xml:space="preserve">The treatment in terms of damage to exposed sensitive electronics is based on the guidance in </w:t>
      </w:r>
      <w:r w:rsidR="00EA37DF" w:rsidRPr="00EA37DF">
        <w:rPr>
          <w:rFonts w:cs="Arial"/>
        </w:rPr>
        <w:t xml:space="preserve">NUREG/CR-6850 </w:t>
      </w:r>
      <w:r w:rsidR="00EA37DF">
        <w:rPr>
          <w:rFonts w:cs="Arial"/>
        </w:rPr>
        <w:t>(</w:t>
      </w:r>
      <w:r w:rsidR="00A24E94">
        <w:rPr>
          <w:rFonts w:cs="Arial"/>
        </w:rPr>
        <w:t>Reference 8</w:t>
      </w:r>
      <w:r w:rsidR="00EA37DF">
        <w:rPr>
          <w:rFonts w:cs="Arial"/>
        </w:rPr>
        <w:t>)</w:t>
      </w:r>
      <w:r>
        <w:rPr>
          <w:rFonts w:cs="Arial"/>
        </w:rPr>
        <w:t>, Appendix H, Section H.2.</w:t>
      </w:r>
    </w:p>
    <w:p w14:paraId="7E5891D7" w14:textId="138B2D35" w:rsidR="00045F9C" w:rsidRDefault="00045F9C" w:rsidP="0035366F">
      <w:pPr>
        <w:pStyle w:val="ListParagraph"/>
        <w:widowControl/>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rPr>
          <w:rFonts w:cs="Arial"/>
        </w:rPr>
      </w:pPr>
      <w:r>
        <w:rPr>
          <w:rFonts w:cs="Arial"/>
        </w:rPr>
        <w:t>The treatment in terms of damage to temperature-sensitive electronics in an enclosure is based on the guidance in FAQ 13-0004</w:t>
      </w:r>
      <w:r w:rsidR="000F2FA1">
        <w:rPr>
          <w:rFonts w:cs="Arial"/>
        </w:rPr>
        <w:t xml:space="preserve"> (Reference 2</w:t>
      </w:r>
      <w:r w:rsidR="005F2E7B">
        <w:rPr>
          <w:rFonts w:cs="Arial"/>
        </w:rPr>
        <w:t>5</w:t>
      </w:r>
      <w:r w:rsidR="000F2FA1">
        <w:rPr>
          <w:rFonts w:cs="Arial"/>
        </w:rPr>
        <w:t>)</w:t>
      </w:r>
      <w:r>
        <w:rPr>
          <w:rFonts w:cs="Arial"/>
        </w:rPr>
        <w:t xml:space="preserve">, which recommends assuming </w:t>
      </w:r>
      <w:r w:rsidR="00021E23">
        <w:rPr>
          <w:rFonts w:cs="Arial"/>
        </w:rPr>
        <w:t>TS</w:t>
      </w:r>
      <w:r>
        <w:rPr>
          <w:rFonts w:cs="Arial"/>
        </w:rPr>
        <w:t xml:space="preserve"> damage thresholds provided</w:t>
      </w:r>
    </w:p>
    <w:p w14:paraId="26DFDA38" w14:textId="206884B2" w:rsidR="00045F9C" w:rsidRPr="0038143B" w:rsidRDefault="00045F9C" w:rsidP="0035366F">
      <w:pPr>
        <w:pStyle w:val="ListParagraph"/>
        <w:widowControl/>
        <w:numPr>
          <w:ilvl w:val="2"/>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rPr>
          <w:rFonts w:cs="Arial"/>
        </w:rPr>
      </w:pPr>
      <w:r>
        <w:rPr>
          <w:rFonts w:cs="Arial"/>
          <w:szCs w:val="22"/>
        </w:rPr>
        <w:t>T</w:t>
      </w:r>
      <w:r w:rsidRPr="00E8359A">
        <w:rPr>
          <w:rFonts w:cs="Arial"/>
          <w:szCs w:val="22"/>
        </w:rPr>
        <w:t>he component is not mounted on the surface of the cabinet (front or back wall/door) where it would be directly exposed to the convective and/or radiant energy of an exposure fire.</w:t>
      </w:r>
    </w:p>
    <w:p w14:paraId="74C36C95" w14:textId="58FDD41D" w:rsidR="00045F9C" w:rsidRPr="003A26F7" w:rsidRDefault="00045F9C" w:rsidP="0035366F">
      <w:pPr>
        <w:pStyle w:val="ListParagraph"/>
        <w:widowControl/>
        <w:numPr>
          <w:ilvl w:val="2"/>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contextualSpacing/>
        <w:rPr>
          <w:rFonts w:cs="Arial"/>
        </w:rPr>
      </w:pPr>
      <w:r w:rsidRPr="00E8359A">
        <w:rPr>
          <w:rFonts w:cs="Arial"/>
          <w:szCs w:val="22"/>
        </w:rPr>
        <w:t xml:space="preserve">The presence of louvers or other typical ventilation means does not invalidate the guidance provided </w:t>
      </w:r>
      <w:r w:rsidR="004D3DE4">
        <w:rPr>
          <w:rFonts w:cs="Arial"/>
          <w:szCs w:val="22"/>
        </w:rPr>
        <w:t>in the FAQ</w:t>
      </w:r>
      <w:r w:rsidRPr="00E8359A">
        <w:rPr>
          <w:rFonts w:cs="Arial"/>
          <w:szCs w:val="22"/>
        </w:rPr>
        <w:t>.</w:t>
      </w:r>
    </w:p>
    <w:p w14:paraId="3DF77A2D" w14:textId="4ED22103" w:rsidR="00045F9C" w:rsidRDefault="00045F9C" w:rsidP="0034587C">
      <w:pPr>
        <w:pStyle w:val="ListParagraph"/>
        <w:keepNext/>
        <w:keepLines/>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Other Targets: The treatment in terms of damage and ignition of targets other than electrical cables and temperature-sensitive electronics is based on the guidance in </w:t>
      </w:r>
      <w:r w:rsidR="00EA37DF" w:rsidRPr="00EA37DF">
        <w:t xml:space="preserve">NUREG/CR-6850 </w:t>
      </w:r>
      <w:r w:rsidR="00EA37DF">
        <w:t>(</w:t>
      </w:r>
      <w:r w:rsidR="00082C33">
        <w:t>Reference 8</w:t>
      </w:r>
      <w:r w:rsidR="00EA37DF">
        <w:t>)</w:t>
      </w:r>
      <w:r>
        <w:t xml:space="preserve">, Appendix H, Section H.2. </w:t>
      </w:r>
    </w:p>
    <w:p w14:paraId="76E0B1A9" w14:textId="77777777" w:rsidR="00863B40" w:rsidRDefault="00863B40" w:rsidP="004169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134B13" w14:textId="1BFBEF3D" w:rsidR="00EC2070" w:rsidRDefault="00EC2070" w:rsidP="004D46E2">
      <w:pPr>
        <w:pStyle w:val="Heading3"/>
      </w:pPr>
      <w:bookmarkStart w:id="138" w:name="_Toc481265410"/>
      <w:bookmarkStart w:id="139" w:name="_Toc511060890"/>
      <w:r>
        <w:t xml:space="preserve">Step 2.3: </w:t>
      </w:r>
      <w:r w:rsidRPr="007358B2">
        <w:t>Ignition Source Screening and Fire Scenario Refinement</w:t>
      </w:r>
      <w:bookmarkEnd w:id="138"/>
      <w:bookmarkEnd w:id="139"/>
    </w:p>
    <w:p w14:paraId="3D33F03E"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2F496F" w14:textId="69A2438E" w:rsidR="00EC2070" w:rsidRDefault="0079404E" w:rsidP="004D46E2">
      <w:pPr>
        <w:pStyle w:val="Heading4"/>
      </w:pPr>
      <w:r>
        <w:t>Step</w:t>
      </w:r>
      <w:r w:rsidR="00EC2070">
        <w:t xml:space="preserve"> 2.3.1: </w:t>
      </w:r>
      <w:r w:rsidR="00EC2070" w:rsidRPr="007358B2">
        <w:t>Characterize Fire Ignition Sources</w:t>
      </w:r>
    </w:p>
    <w:p w14:paraId="3BB38AFC" w14:textId="77777777" w:rsidR="00F46D93" w:rsidRDefault="00F46D93"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210FC8" w14:textId="1CBF3687" w:rsidR="00EC2070" w:rsidRDefault="0054525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For each ignition source identified in Step 2.2.2, a HRR profile and nominal location are assigned.  The HRR profiles for various ignition sources can be found in Attachment 5 to Appendix F.  The basis for these profiles is discussed below.</w:t>
      </w:r>
    </w:p>
    <w:p w14:paraId="5A8204D7" w14:textId="774E047F" w:rsidR="00FE3609" w:rsidRDefault="00FE3609"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0F7EBE" w14:textId="1546AE6F" w:rsidR="00FE3609" w:rsidRPr="00BC424C" w:rsidRDefault="00FE3609"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C424C">
        <w:rPr>
          <w:u w:val="single"/>
        </w:rPr>
        <w:t>HRR Profile of Fixed Ignition Sources</w:t>
      </w:r>
    </w:p>
    <w:p w14:paraId="3C6717B7" w14:textId="7D8FC74B"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DD7306" w14:textId="1F6CD06F" w:rsidR="00FE3609" w:rsidRDefault="00FE3609"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HRR profile of </w:t>
      </w:r>
      <w:r w:rsidR="00477948">
        <w:t xml:space="preserve">a </w:t>
      </w:r>
      <w:r>
        <w:t xml:space="preserve">fixed ignition source </w:t>
      </w:r>
      <w:r w:rsidR="00477948">
        <w:t xml:space="preserve">consists of three stages and is defined by four parameters as shown in Figure A5.1 of Attachment 5 to Appendix F.  The HRR profile parameters for the fixed ignition sources that are considered in the Fire Protection SDP are given in Table A5.1 of Attachment 5 to Appendix F.  The fixed ignition sources listed in this table consist of a subset of motors, electrical pumps, and </w:t>
      </w:r>
      <w:r w:rsidR="000C4C3E">
        <w:t>selected</w:t>
      </w:r>
      <w:r w:rsidR="00477948">
        <w:t xml:space="preserve"> electrical enclosures defined in </w:t>
      </w:r>
      <w:r w:rsidR="00477948">
        <w:lastRenderedPageBreak/>
        <w:t>NUREG-2178</w:t>
      </w:r>
      <w:r w:rsidR="000C4C3E">
        <w:t>, Vol. 1</w:t>
      </w:r>
      <w:r w:rsidR="00506639">
        <w:t xml:space="preserve"> (Reference 2</w:t>
      </w:r>
      <w:r w:rsidR="005F2E7B">
        <w:t>6</w:t>
      </w:r>
      <w:r w:rsidR="00506639">
        <w:t>)</w:t>
      </w:r>
      <w:r w:rsidR="000C4C3E">
        <w:t xml:space="preserve">.  Table 6.2.1 provides a list of all electrical enclosures for which HRR distributions were developed and reported in </w:t>
      </w:r>
      <w:r w:rsidR="00573187">
        <w:t>Reference 2</w:t>
      </w:r>
      <w:r w:rsidR="005F2E7B">
        <w:t>6</w:t>
      </w:r>
      <w:r w:rsidR="000C4C3E">
        <w:t xml:space="preserve">.  The subset of electrical enclosures </w:t>
      </w:r>
      <w:r w:rsidR="00F34618">
        <w:t>retained</w:t>
      </w:r>
      <w:r w:rsidR="000C4C3E">
        <w:t xml:space="preserve"> in the Fire Protection SDP </w:t>
      </w:r>
      <w:r w:rsidR="00BC424C">
        <w:t xml:space="preserve">(non-shaded cells in Table 6.2.1) </w:t>
      </w:r>
      <w:r w:rsidR="000C4C3E">
        <w:t xml:space="preserve">is based </w:t>
      </w:r>
      <w:r w:rsidR="00B42B10">
        <w:t xml:space="preserve">on the conservative assumption that they have </w:t>
      </w:r>
      <w:r w:rsidR="00690A12">
        <w:t>TP</w:t>
      </w:r>
      <w:r w:rsidR="00B42B10">
        <w:t xml:space="preserve"> cable contents and default fuel loading.  Focusing on this subset of electrical enclosures reduces the number of tables and plots for sets </w:t>
      </w:r>
      <w:r w:rsidR="00767FE2">
        <w:t xml:space="preserve">C through G </w:t>
      </w:r>
      <w:r w:rsidR="00B42B10">
        <w:t>in Attachment 8 to Appendix F</w:t>
      </w:r>
      <w:r w:rsidR="00767FE2">
        <w:t xml:space="preserve"> by about a factor of three.  Th</w:t>
      </w:r>
      <w:r w:rsidR="00D31EFF">
        <w:t>e</w:t>
      </w:r>
      <w:r w:rsidR="00767FE2">
        <w:t xml:space="preserve"> </w:t>
      </w:r>
      <w:r w:rsidR="00D31EFF">
        <w:t xml:space="preserve">reduction </w:t>
      </w:r>
      <w:r w:rsidR="00767FE2">
        <w:t>makes the use of the plots and tables in Attachment 8 to Appendix F much more manage</w:t>
      </w:r>
      <w:r w:rsidR="001934B6">
        <w:t>a</w:t>
      </w:r>
      <w:r w:rsidR="00767FE2">
        <w:t>ble</w:t>
      </w:r>
      <w:r w:rsidR="00D31EFF">
        <w:t>,</w:t>
      </w:r>
      <w:r w:rsidR="00767FE2">
        <w:t xml:space="preserve"> and is further justified by the fact that it is often very difficult to ascertain the fuel type and loading of electrical enclosures, and </w:t>
      </w:r>
      <w:r w:rsidR="00D31EFF">
        <w:t xml:space="preserve">that a </w:t>
      </w:r>
      <w:r w:rsidR="00767FE2">
        <w:t xml:space="preserve">Phase 2 </w:t>
      </w:r>
      <w:r w:rsidR="00D31EFF">
        <w:t>assessment</w:t>
      </w:r>
      <w:r w:rsidR="00767FE2">
        <w:t xml:space="preserve"> is </w:t>
      </w:r>
      <w:r w:rsidR="001934B6">
        <w:t>intended to be</w:t>
      </w:r>
      <w:r w:rsidR="00515D2F">
        <w:t xml:space="preserve"> </w:t>
      </w:r>
      <w:r w:rsidR="00767FE2">
        <w:t>conservative</w:t>
      </w:r>
      <w:r w:rsidR="00D31EFF">
        <w:t>.</w:t>
      </w:r>
    </w:p>
    <w:p w14:paraId="78BE542D" w14:textId="0ACDCAD0" w:rsidR="002C1E87" w:rsidRDefault="002C1E87" w:rsidP="00F346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EA39B3" w14:textId="77777777" w:rsidR="00F96E6C" w:rsidRDefault="00F96E6C" w:rsidP="00F346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8640" w:type="dxa"/>
        <w:jc w:val="center"/>
        <w:tblLook w:val="04A0" w:firstRow="1" w:lastRow="0" w:firstColumn="1" w:lastColumn="0" w:noHBand="0" w:noVBand="1"/>
      </w:tblPr>
      <w:tblGrid>
        <w:gridCol w:w="2156"/>
        <w:gridCol w:w="2257"/>
        <w:gridCol w:w="2212"/>
        <w:gridCol w:w="2015"/>
      </w:tblGrid>
      <w:tr w:rsidR="00F34618" w:rsidRPr="008437DA" w14:paraId="4C6BA7CB" w14:textId="77777777" w:rsidTr="00F7507F">
        <w:trPr>
          <w:cantSplit/>
          <w:trHeight w:val="288"/>
          <w:jc w:val="center"/>
        </w:trPr>
        <w:tc>
          <w:tcPr>
            <w:tcW w:w="8640"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C0A910E" w14:textId="6729D3FF" w:rsidR="00F34618" w:rsidRPr="005065AE" w:rsidRDefault="00F34618" w:rsidP="00F7507F">
            <w:pPr>
              <w:pStyle w:val="TableCaption"/>
              <w:keepNext/>
              <w:keepLines/>
              <w:rPr>
                <w:b w:val="0"/>
              </w:rPr>
            </w:pPr>
            <w:bookmarkStart w:id="140" w:name="_Toc483393006"/>
            <w:r w:rsidRPr="005065AE">
              <w:rPr>
                <w:b w:val="0"/>
              </w:rPr>
              <w:lastRenderedPageBreak/>
              <w:t xml:space="preserve">Table 6.2.1 – Electrical Enclosures from </w:t>
            </w:r>
            <w:r w:rsidR="00573187" w:rsidRPr="005065AE">
              <w:rPr>
                <w:b w:val="0"/>
              </w:rPr>
              <w:t>Reference 2</w:t>
            </w:r>
            <w:r w:rsidR="005F2E7B" w:rsidRPr="005065AE">
              <w:rPr>
                <w:b w:val="0"/>
              </w:rPr>
              <w:t>6</w:t>
            </w:r>
            <w:r w:rsidRPr="005065AE">
              <w:rPr>
                <w:b w:val="0"/>
              </w:rPr>
              <w:t>.</w:t>
            </w:r>
            <w:bookmarkEnd w:id="140"/>
          </w:p>
        </w:tc>
      </w:tr>
      <w:tr w:rsidR="00F34618" w:rsidRPr="008437DA" w14:paraId="1DCA68C5" w14:textId="77777777" w:rsidTr="00F7507F">
        <w:trPr>
          <w:cantSplit/>
          <w:trHeight w:val="288"/>
          <w:jc w:val="center"/>
        </w:trPr>
        <w:tc>
          <w:tcPr>
            <w:tcW w:w="2880" w:type="dxa"/>
            <w:vMerge w:val="restart"/>
            <w:tcBorders>
              <w:top w:val="single" w:sz="12" w:space="0" w:color="auto"/>
              <w:left w:val="single" w:sz="12" w:space="0" w:color="auto"/>
              <w:right w:val="single" w:sz="12" w:space="0" w:color="auto"/>
            </w:tcBorders>
            <w:vAlign w:val="center"/>
          </w:tcPr>
          <w:p w14:paraId="5910EB30" w14:textId="77777777" w:rsidR="00F34618" w:rsidRPr="00F7507F" w:rsidRDefault="00F34618" w:rsidP="00F7507F">
            <w:pPr>
              <w:keepNext/>
              <w:keepLines/>
              <w:jc w:val="center"/>
              <w:rPr>
                <w:szCs w:val="22"/>
              </w:rPr>
            </w:pPr>
            <w:r w:rsidRPr="00F7507F">
              <w:rPr>
                <w:szCs w:val="22"/>
              </w:rPr>
              <w:t>Enclosure</w:t>
            </w:r>
          </w:p>
          <w:p w14:paraId="791B8579" w14:textId="77777777" w:rsidR="00F34618" w:rsidRPr="00F7507F" w:rsidRDefault="00F34618" w:rsidP="00F7507F">
            <w:pPr>
              <w:keepNext/>
              <w:keepLines/>
              <w:jc w:val="center"/>
              <w:rPr>
                <w:szCs w:val="22"/>
              </w:rPr>
            </w:pPr>
            <w:r w:rsidRPr="00F7507F">
              <w:rPr>
                <w:szCs w:val="22"/>
              </w:rPr>
              <w:t>Group</w:t>
            </w:r>
          </w:p>
        </w:tc>
        <w:tc>
          <w:tcPr>
            <w:tcW w:w="2880" w:type="dxa"/>
            <w:vMerge w:val="restart"/>
            <w:tcBorders>
              <w:top w:val="single" w:sz="12" w:space="0" w:color="auto"/>
              <w:left w:val="single" w:sz="12" w:space="0" w:color="auto"/>
              <w:right w:val="single" w:sz="4" w:space="0" w:color="auto"/>
            </w:tcBorders>
            <w:vAlign w:val="center"/>
          </w:tcPr>
          <w:p w14:paraId="2FDC6885" w14:textId="77777777" w:rsidR="00F34618" w:rsidRPr="005065AE" w:rsidRDefault="00F34618" w:rsidP="00F7507F">
            <w:pPr>
              <w:keepNext/>
              <w:keepLines/>
              <w:jc w:val="center"/>
              <w:rPr>
                <w:szCs w:val="22"/>
              </w:rPr>
            </w:pPr>
            <w:r w:rsidRPr="005065AE">
              <w:rPr>
                <w:szCs w:val="22"/>
              </w:rPr>
              <w:t>Configuration</w:t>
            </w:r>
          </w:p>
        </w:tc>
        <w:tc>
          <w:tcPr>
            <w:tcW w:w="2880" w:type="dxa"/>
            <w:vMerge w:val="restart"/>
            <w:tcBorders>
              <w:top w:val="single" w:sz="12" w:space="0" w:color="auto"/>
              <w:left w:val="single" w:sz="4" w:space="0" w:color="auto"/>
              <w:right w:val="single" w:sz="4" w:space="0" w:color="auto"/>
            </w:tcBorders>
            <w:vAlign w:val="center"/>
          </w:tcPr>
          <w:p w14:paraId="35A29002" w14:textId="77777777" w:rsidR="00F34618" w:rsidRPr="00D31EFF" w:rsidRDefault="00F34618" w:rsidP="00F7507F">
            <w:pPr>
              <w:keepNext/>
              <w:keepLines/>
              <w:jc w:val="center"/>
              <w:rPr>
                <w:szCs w:val="22"/>
              </w:rPr>
            </w:pPr>
            <w:r w:rsidRPr="00D31EFF">
              <w:rPr>
                <w:szCs w:val="22"/>
              </w:rPr>
              <w:t>Fuel</w:t>
            </w:r>
          </w:p>
          <w:p w14:paraId="387B6076" w14:textId="3B1B8416" w:rsidR="00F34618" w:rsidRPr="00D31EFF" w:rsidRDefault="00F34618" w:rsidP="00F7507F">
            <w:pPr>
              <w:keepNext/>
              <w:keepLines/>
              <w:jc w:val="center"/>
              <w:rPr>
                <w:szCs w:val="22"/>
              </w:rPr>
            </w:pPr>
            <w:r w:rsidRPr="00D31EFF">
              <w:rPr>
                <w:szCs w:val="22"/>
              </w:rPr>
              <w:t>Type</w:t>
            </w:r>
            <w:r>
              <w:rPr>
                <w:szCs w:val="22"/>
              </w:rPr>
              <w:t>*</w:t>
            </w:r>
          </w:p>
        </w:tc>
        <w:tc>
          <w:tcPr>
            <w:tcW w:w="2880" w:type="dxa"/>
            <w:vMerge w:val="restart"/>
            <w:tcBorders>
              <w:top w:val="single" w:sz="12" w:space="0" w:color="auto"/>
              <w:left w:val="single" w:sz="4" w:space="0" w:color="auto"/>
              <w:right w:val="single" w:sz="12" w:space="0" w:color="auto"/>
            </w:tcBorders>
            <w:vAlign w:val="center"/>
          </w:tcPr>
          <w:p w14:paraId="7030707F" w14:textId="77777777" w:rsidR="00F34618" w:rsidRPr="00D31EFF" w:rsidRDefault="00F34618" w:rsidP="008E14C2">
            <w:pPr>
              <w:jc w:val="center"/>
              <w:rPr>
                <w:szCs w:val="22"/>
              </w:rPr>
            </w:pPr>
            <w:r w:rsidRPr="00D31EFF">
              <w:rPr>
                <w:szCs w:val="22"/>
              </w:rPr>
              <w:t>Fuel</w:t>
            </w:r>
          </w:p>
          <w:p w14:paraId="0D58ABFB" w14:textId="77777777" w:rsidR="00F34618" w:rsidRPr="00D31EFF" w:rsidRDefault="00F34618" w:rsidP="008E14C2">
            <w:pPr>
              <w:jc w:val="center"/>
              <w:rPr>
                <w:szCs w:val="22"/>
              </w:rPr>
            </w:pPr>
            <w:r w:rsidRPr="00D31EFF">
              <w:rPr>
                <w:szCs w:val="22"/>
              </w:rPr>
              <w:t>Loading</w:t>
            </w:r>
          </w:p>
        </w:tc>
      </w:tr>
      <w:tr w:rsidR="00F34618" w:rsidRPr="00D31EFF" w14:paraId="5329CEF5" w14:textId="77777777" w:rsidTr="00F7507F">
        <w:trPr>
          <w:cantSplit/>
          <w:trHeight w:val="288"/>
          <w:jc w:val="center"/>
        </w:trPr>
        <w:tc>
          <w:tcPr>
            <w:tcW w:w="2880" w:type="dxa"/>
            <w:vMerge/>
            <w:tcBorders>
              <w:left w:val="single" w:sz="12" w:space="0" w:color="auto"/>
              <w:right w:val="single" w:sz="12" w:space="0" w:color="auto"/>
            </w:tcBorders>
            <w:vAlign w:val="center"/>
          </w:tcPr>
          <w:p w14:paraId="792203F6" w14:textId="77777777" w:rsidR="00F34618" w:rsidRPr="005E3608" w:rsidRDefault="00F34618" w:rsidP="00F7507F">
            <w:pPr>
              <w:keepNext/>
              <w:keepLines/>
              <w:jc w:val="center"/>
              <w:rPr>
                <w:szCs w:val="22"/>
              </w:rPr>
            </w:pPr>
          </w:p>
        </w:tc>
        <w:tc>
          <w:tcPr>
            <w:tcW w:w="2880" w:type="dxa"/>
            <w:vMerge/>
            <w:tcBorders>
              <w:left w:val="single" w:sz="12" w:space="0" w:color="auto"/>
              <w:right w:val="single" w:sz="4" w:space="0" w:color="auto"/>
            </w:tcBorders>
            <w:vAlign w:val="center"/>
          </w:tcPr>
          <w:p w14:paraId="28FEEFA0" w14:textId="77777777" w:rsidR="00F34618" w:rsidRPr="005065AE" w:rsidRDefault="00F34618" w:rsidP="00F7507F">
            <w:pPr>
              <w:keepNext/>
              <w:keepLines/>
              <w:jc w:val="center"/>
              <w:rPr>
                <w:szCs w:val="22"/>
              </w:rPr>
            </w:pPr>
          </w:p>
        </w:tc>
        <w:tc>
          <w:tcPr>
            <w:tcW w:w="2880" w:type="dxa"/>
            <w:vMerge/>
            <w:tcBorders>
              <w:left w:val="single" w:sz="4" w:space="0" w:color="auto"/>
              <w:right w:val="single" w:sz="4" w:space="0" w:color="auto"/>
            </w:tcBorders>
            <w:vAlign w:val="center"/>
          </w:tcPr>
          <w:p w14:paraId="573B9F52" w14:textId="77777777" w:rsidR="00F34618" w:rsidRPr="005E3608" w:rsidRDefault="00F34618" w:rsidP="00F7507F">
            <w:pPr>
              <w:keepNext/>
              <w:keepLines/>
              <w:jc w:val="center"/>
              <w:rPr>
                <w:szCs w:val="22"/>
              </w:rPr>
            </w:pPr>
          </w:p>
        </w:tc>
        <w:tc>
          <w:tcPr>
            <w:tcW w:w="2880" w:type="dxa"/>
            <w:vMerge/>
            <w:tcBorders>
              <w:left w:val="single" w:sz="4" w:space="0" w:color="auto"/>
              <w:right w:val="single" w:sz="12" w:space="0" w:color="auto"/>
            </w:tcBorders>
            <w:vAlign w:val="center"/>
          </w:tcPr>
          <w:p w14:paraId="255BF098" w14:textId="77777777" w:rsidR="00F34618" w:rsidRPr="005E3608" w:rsidRDefault="00F34618">
            <w:pPr>
              <w:jc w:val="center"/>
              <w:rPr>
                <w:szCs w:val="22"/>
              </w:rPr>
            </w:pPr>
          </w:p>
        </w:tc>
      </w:tr>
      <w:tr w:rsidR="00F34618" w:rsidRPr="00D31EFF" w14:paraId="0C9C3284" w14:textId="77777777" w:rsidTr="00F7507F">
        <w:trPr>
          <w:cantSplit/>
          <w:trHeight w:val="288"/>
          <w:jc w:val="center"/>
        </w:trPr>
        <w:tc>
          <w:tcPr>
            <w:tcW w:w="2880" w:type="dxa"/>
            <w:vMerge/>
            <w:tcBorders>
              <w:left w:val="single" w:sz="12" w:space="0" w:color="auto"/>
              <w:bottom w:val="nil"/>
              <w:right w:val="single" w:sz="12" w:space="0" w:color="auto"/>
            </w:tcBorders>
            <w:vAlign w:val="center"/>
          </w:tcPr>
          <w:p w14:paraId="05F581BF" w14:textId="77777777" w:rsidR="00F34618" w:rsidRPr="005E3608" w:rsidRDefault="00F34618" w:rsidP="00F7507F">
            <w:pPr>
              <w:keepNext/>
              <w:keepLines/>
              <w:jc w:val="center"/>
              <w:rPr>
                <w:szCs w:val="22"/>
              </w:rPr>
            </w:pPr>
          </w:p>
        </w:tc>
        <w:tc>
          <w:tcPr>
            <w:tcW w:w="2880" w:type="dxa"/>
            <w:vMerge/>
            <w:tcBorders>
              <w:left w:val="single" w:sz="12" w:space="0" w:color="auto"/>
              <w:bottom w:val="single" w:sz="6" w:space="0" w:color="auto"/>
              <w:right w:val="single" w:sz="4" w:space="0" w:color="auto"/>
            </w:tcBorders>
            <w:vAlign w:val="center"/>
          </w:tcPr>
          <w:p w14:paraId="367F2FB7" w14:textId="77777777" w:rsidR="00F34618" w:rsidRPr="005065AE" w:rsidRDefault="00F34618" w:rsidP="00F7507F">
            <w:pPr>
              <w:keepNext/>
              <w:keepLines/>
              <w:jc w:val="center"/>
              <w:rPr>
                <w:szCs w:val="22"/>
              </w:rPr>
            </w:pPr>
          </w:p>
        </w:tc>
        <w:tc>
          <w:tcPr>
            <w:tcW w:w="2880" w:type="dxa"/>
            <w:vMerge/>
            <w:tcBorders>
              <w:left w:val="single" w:sz="4" w:space="0" w:color="auto"/>
              <w:bottom w:val="single" w:sz="6" w:space="0" w:color="auto"/>
              <w:right w:val="single" w:sz="4" w:space="0" w:color="auto"/>
            </w:tcBorders>
            <w:vAlign w:val="center"/>
          </w:tcPr>
          <w:p w14:paraId="48564337" w14:textId="77777777" w:rsidR="00F34618" w:rsidRPr="005E3608" w:rsidRDefault="00F34618" w:rsidP="00F7507F">
            <w:pPr>
              <w:keepNext/>
              <w:keepLines/>
              <w:jc w:val="center"/>
              <w:rPr>
                <w:szCs w:val="22"/>
              </w:rPr>
            </w:pPr>
          </w:p>
        </w:tc>
        <w:tc>
          <w:tcPr>
            <w:tcW w:w="2880" w:type="dxa"/>
            <w:vMerge/>
            <w:tcBorders>
              <w:left w:val="single" w:sz="4" w:space="0" w:color="auto"/>
              <w:bottom w:val="single" w:sz="6" w:space="0" w:color="auto"/>
              <w:right w:val="single" w:sz="12" w:space="0" w:color="auto"/>
            </w:tcBorders>
            <w:vAlign w:val="center"/>
          </w:tcPr>
          <w:p w14:paraId="305D769D" w14:textId="77777777" w:rsidR="00F34618" w:rsidRPr="005E3608" w:rsidRDefault="00F34618">
            <w:pPr>
              <w:jc w:val="center"/>
              <w:rPr>
                <w:szCs w:val="22"/>
              </w:rPr>
            </w:pPr>
          </w:p>
        </w:tc>
      </w:tr>
      <w:tr w:rsidR="00F34618" w:rsidRPr="00D31EFF" w14:paraId="3A858AD1" w14:textId="77777777" w:rsidTr="00F7507F">
        <w:trPr>
          <w:cantSplit/>
          <w:trHeight w:val="288"/>
          <w:jc w:val="center"/>
        </w:trPr>
        <w:tc>
          <w:tcPr>
            <w:tcW w:w="2880" w:type="dxa"/>
            <w:tcBorders>
              <w:top w:val="single" w:sz="12" w:space="0" w:color="auto"/>
              <w:left w:val="single" w:sz="12" w:space="0" w:color="auto"/>
              <w:bottom w:val="nil"/>
              <w:right w:val="single" w:sz="12" w:space="0" w:color="auto"/>
            </w:tcBorders>
            <w:vAlign w:val="center"/>
          </w:tcPr>
          <w:p w14:paraId="5F4A9E62" w14:textId="77777777" w:rsidR="00F34618" w:rsidRPr="00D31EFF" w:rsidRDefault="00F34618" w:rsidP="00F7507F">
            <w:pPr>
              <w:keepNext/>
              <w:keepLines/>
              <w:jc w:val="center"/>
              <w:rPr>
                <w:szCs w:val="22"/>
              </w:rPr>
            </w:pPr>
            <w:r w:rsidRPr="00D31EFF">
              <w:rPr>
                <w:szCs w:val="22"/>
              </w:rPr>
              <w:t>Switchgear &amp;</w:t>
            </w:r>
          </w:p>
        </w:tc>
        <w:tc>
          <w:tcPr>
            <w:tcW w:w="2880" w:type="dxa"/>
            <w:tcBorders>
              <w:top w:val="single" w:sz="12" w:space="0" w:color="auto"/>
              <w:left w:val="single" w:sz="12" w:space="0" w:color="auto"/>
              <w:bottom w:val="single" w:sz="6" w:space="0" w:color="auto"/>
              <w:right w:val="single" w:sz="4" w:space="0" w:color="auto"/>
            </w:tcBorders>
            <w:vAlign w:val="center"/>
          </w:tcPr>
          <w:p w14:paraId="4CAB0ACA" w14:textId="77777777" w:rsidR="00F34618" w:rsidRPr="005065AE" w:rsidRDefault="00F34618" w:rsidP="00F7507F">
            <w:pPr>
              <w:keepNext/>
              <w:keepLines/>
              <w:jc w:val="center"/>
              <w:rPr>
                <w:szCs w:val="22"/>
              </w:rPr>
            </w:pPr>
            <w:r w:rsidRPr="005065AE">
              <w:rPr>
                <w:szCs w:val="22"/>
              </w:rPr>
              <w:t>Closed</w:t>
            </w:r>
          </w:p>
        </w:tc>
        <w:tc>
          <w:tcPr>
            <w:tcW w:w="2880" w:type="dxa"/>
            <w:tcBorders>
              <w:top w:val="single" w:sz="12" w:space="0" w:color="auto"/>
              <w:left w:val="single" w:sz="4" w:space="0" w:color="auto"/>
              <w:bottom w:val="single" w:sz="6" w:space="0" w:color="auto"/>
              <w:right w:val="single" w:sz="4" w:space="0" w:color="auto"/>
            </w:tcBorders>
            <w:vAlign w:val="center"/>
          </w:tcPr>
          <w:p w14:paraId="58C9C484" w14:textId="77777777" w:rsidR="00F34618" w:rsidRPr="00D31EFF" w:rsidRDefault="00F34618" w:rsidP="00F7507F">
            <w:pPr>
              <w:keepNext/>
              <w:keepLines/>
              <w:jc w:val="center"/>
              <w:rPr>
                <w:szCs w:val="22"/>
              </w:rPr>
            </w:pPr>
            <w:r w:rsidRPr="00D31EFF">
              <w:rPr>
                <w:szCs w:val="22"/>
              </w:rPr>
              <w:t>TS/QTP/SIS</w:t>
            </w:r>
          </w:p>
        </w:tc>
        <w:tc>
          <w:tcPr>
            <w:tcW w:w="2880" w:type="dxa"/>
            <w:tcBorders>
              <w:top w:val="single" w:sz="12" w:space="0" w:color="auto"/>
              <w:left w:val="single" w:sz="4" w:space="0" w:color="auto"/>
              <w:bottom w:val="single" w:sz="6" w:space="0" w:color="auto"/>
              <w:right w:val="single" w:sz="12" w:space="0" w:color="auto"/>
            </w:tcBorders>
            <w:vAlign w:val="center"/>
          </w:tcPr>
          <w:p w14:paraId="4F84F3B0" w14:textId="77777777" w:rsidR="00F34618" w:rsidRPr="00D31EFF" w:rsidRDefault="00F34618" w:rsidP="008E14C2">
            <w:pPr>
              <w:jc w:val="center"/>
              <w:rPr>
                <w:szCs w:val="22"/>
              </w:rPr>
            </w:pPr>
            <w:r w:rsidRPr="00D31EFF">
              <w:rPr>
                <w:szCs w:val="22"/>
              </w:rPr>
              <w:t>NA</w:t>
            </w:r>
          </w:p>
        </w:tc>
      </w:tr>
      <w:tr w:rsidR="00F34618" w:rsidRPr="00D31EFF" w14:paraId="094F56C7" w14:textId="77777777" w:rsidTr="00F7507F">
        <w:trPr>
          <w:cantSplit/>
          <w:trHeight w:val="288"/>
          <w:jc w:val="center"/>
        </w:trPr>
        <w:tc>
          <w:tcPr>
            <w:tcW w:w="2880" w:type="dxa"/>
            <w:tcBorders>
              <w:top w:val="nil"/>
              <w:left w:val="single" w:sz="12" w:space="0" w:color="auto"/>
              <w:bottom w:val="single" w:sz="12" w:space="0" w:color="auto"/>
              <w:right w:val="single" w:sz="12" w:space="0" w:color="auto"/>
            </w:tcBorders>
            <w:vAlign w:val="center"/>
          </w:tcPr>
          <w:p w14:paraId="302B52A3" w14:textId="77777777" w:rsidR="00F34618" w:rsidRPr="00D31EFF" w:rsidRDefault="00F34618" w:rsidP="00F7507F">
            <w:pPr>
              <w:keepNext/>
              <w:keepLines/>
              <w:jc w:val="center"/>
              <w:rPr>
                <w:szCs w:val="22"/>
              </w:rPr>
            </w:pPr>
            <w:r w:rsidRPr="00D31EFF">
              <w:rPr>
                <w:szCs w:val="22"/>
              </w:rPr>
              <w:t>Load Centers</w:t>
            </w:r>
          </w:p>
        </w:tc>
        <w:tc>
          <w:tcPr>
            <w:tcW w:w="2880" w:type="dxa"/>
            <w:tcBorders>
              <w:top w:val="single" w:sz="6" w:space="0" w:color="auto"/>
              <w:left w:val="single" w:sz="12" w:space="0" w:color="auto"/>
              <w:bottom w:val="single" w:sz="12" w:space="0" w:color="auto"/>
              <w:right w:val="single" w:sz="4" w:space="0" w:color="auto"/>
            </w:tcBorders>
            <w:vAlign w:val="center"/>
          </w:tcPr>
          <w:p w14:paraId="090E0179" w14:textId="77777777" w:rsidR="00F34618" w:rsidRPr="005065AE" w:rsidRDefault="00F34618" w:rsidP="00F7507F">
            <w:pPr>
              <w:keepNext/>
              <w:keepLines/>
              <w:jc w:val="center"/>
              <w:rPr>
                <w:szCs w:val="22"/>
              </w:rPr>
            </w:pPr>
            <w:r w:rsidRPr="005065AE">
              <w:rPr>
                <w:szCs w:val="22"/>
              </w:rPr>
              <w:t>Closed</w:t>
            </w:r>
          </w:p>
        </w:tc>
        <w:tc>
          <w:tcPr>
            <w:tcW w:w="2880" w:type="dxa"/>
            <w:tcBorders>
              <w:top w:val="single" w:sz="6" w:space="0" w:color="auto"/>
              <w:left w:val="single" w:sz="4" w:space="0" w:color="auto"/>
              <w:bottom w:val="single" w:sz="12" w:space="0" w:color="auto"/>
              <w:right w:val="single" w:sz="4" w:space="0" w:color="auto"/>
            </w:tcBorders>
            <w:vAlign w:val="center"/>
          </w:tcPr>
          <w:p w14:paraId="795B32A8" w14:textId="77777777" w:rsidR="00F34618" w:rsidRPr="00D31EFF" w:rsidRDefault="00F34618" w:rsidP="00F7507F">
            <w:pPr>
              <w:keepNext/>
              <w:keepLines/>
              <w:jc w:val="center"/>
              <w:rPr>
                <w:szCs w:val="22"/>
              </w:rPr>
            </w:pPr>
            <w:r w:rsidRPr="00D31EFF">
              <w:rPr>
                <w:szCs w:val="22"/>
              </w:rPr>
              <w:t>TP</w:t>
            </w:r>
          </w:p>
        </w:tc>
        <w:tc>
          <w:tcPr>
            <w:tcW w:w="2880" w:type="dxa"/>
            <w:tcBorders>
              <w:top w:val="single" w:sz="6" w:space="0" w:color="auto"/>
              <w:left w:val="single" w:sz="4" w:space="0" w:color="auto"/>
              <w:bottom w:val="single" w:sz="12" w:space="0" w:color="auto"/>
              <w:right w:val="single" w:sz="12" w:space="0" w:color="auto"/>
            </w:tcBorders>
            <w:vAlign w:val="center"/>
          </w:tcPr>
          <w:p w14:paraId="3AB33D9C" w14:textId="77777777" w:rsidR="00F34618" w:rsidRPr="00D31EFF" w:rsidRDefault="00F34618" w:rsidP="008E14C2">
            <w:pPr>
              <w:jc w:val="center"/>
              <w:rPr>
                <w:szCs w:val="22"/>
              </w:rPr>
            </w:pPr>
            <w:r w:rsidRPr="00D31EFF">
              <w:rPr>
                <w:szCs w:val="22"/>
              </w:rPr>
              <w:t>NA</w:t>
            </w:r>
          </w:p>
        </w:tc>
      </w:tr>
      <w:tr w:rsidR="00F34618" w:rsidRPr="00D31EFF" w14:paraId="1B10DB31" w14:textId="77777777" w:rsidTr="00F7507F">
        <w:trPr>
          <w:cantSplit/>
          <w:trHeight w:val="288"/>
          <w:jc w:val="center"/>
        </w:trPr>
        <w:tc>
          <w:tcPr>
            <w:tcW w:w="2880" w:type="dxa"/>
            <w:tcBorders>
              <w:top w:val="single" w:sz="12" w:space="0" w:color="auto"/>
              <w:left w:val="single" w:sz="12" w:space="0" w:color="auto"/>
              <w:bottom w:val="nil"/>
              <w:right w:val="single" w:sz="12" w:space="0" w:color="auto"/>
            </w:tcBorders>
            <w:vAlign w:val="center"/>
          </w:tcPr>
          <w:p w14:paraId="43C0C03F" w14:textId="77777777" w:rsidR="00F34618" w:rsidRPr="00D31EFF" w:rsidRDefault="00F34618" w:rsidP="00F7507F">
            <w:pPr>
              <w:keepNext/>
              <w:keepLines/>
              <w:jc w:val="center"/>
              <w:rPr>
                <w:szCs w:val="22"/>
              </w:rPr>
            </w:pPr>
            <w:r w:rsidRPr="00D31EFF">
              <w:rPr>
                <w:szCs w:val="22"/>
              </w:rPr>
              <w:t>MCCs &amp;</w:t>
            </w:r>
          </w:p>
        </w:tc>
        <w:tc>
          <w:tcPr>
            <w:tcW w:w="2880" w:type="dxa"/>
            <w:tcBorders>
              <w:top w:val="single" w:sz="12" w:space="0" w:color="auto"/>
              <w:left w:val="single" w:sz="12" w:space="0" w:color="auto"/>
            </w:tcBorders>
            <w:vAlign w:val="center"/>
          </w:tcPr>
          <w:p w14:paraId="549C1451" w14:textId="77777777" w:rsidR="00F34618" w:rsidRPr="005065AE" w:rsidRDefault="00F34618" w:rsidP="00F7507F">
            <w:pPr>
              <w:keepNext/>
              <w:keepLines/>
              <w:jc w:val="center"/>
              <w:rPr>
                <w:szCs w:val="22"/>
              </w:rPr>
            </w:pPr>
            <w:r w:rsidRPr="005065AE">
              <w:rPr>
                <w:color w:val="000000"/>
                <w:szCs w:val="22"/>
              </w:rPr>
              <w:t>Closed</w:t>
            </w:r>
          </w:p>
        </w:tc>
        <w:tc>
          <w:tcPr>
            <w:tcW w:w="2880" w:type="dxa"/>
            <w:tcBorders>
              <w:top w:val="single" w:sz="12" w:space="0" w:color="auto"/>
            </w:tcBorders>
            <w:vAlign w:val="center"/>
          </w:tcPr>
          <w:p w14:paraId="02C442B1" w14:textId="77777777" w:rsidR="00F34618" w:rsidRPr="00D31EFF" w:rsidRDefault="00F34618" w:rsidP="00F7507F">
            <w:pPr>
              <w:keepNext/>
              <w:keepLines/>
              <w:jc w:val="center"/>
              <w:rPr>
                <w:szCs w:val="22"/>
              </w:rPr>
            </w:pPr>
            <w:r w:rsidRPr="00D31EFF">
              <w:rPr>
                <w:color w:val="000000"/>
                <w:szCs w:val="22"/>
              </w:rPr>
              <w:t>TS/QTP/SIS</w:t>
            </w:r>
          </w:p>
        </w:tc>
        <w:tc>
          <w:tcPr>
            <w:tcW w:w="2880" w:type="dxa"/>
            <w:tcBorders>
              <w:top w:val="single" w:sz="12" w:space="0" w:color="auto"/>
              <w:right w:val="single" w:sz="12" w:space="0" w:color="auto"/>
            </w:tcBorders>
            <w:vAlign w:val="center"/>
          </w:tcPr>
          <w:p w14:paraId="3E3F3CEB" w14:textId="77777777" w:rsidR="00F34618" w:rsidRPr="00D31EFF" w:rsidRDefault="00F34618" w:rsidP="008E14C2">
            <w:pPr>
              <w:jc w:val="center"/>
              <w:rPr>
                <w:szCs w:val="22"/>
              </w:rPr>
            </w:pPr>
            <w:r w:rsidRPr="00D31EFF">
              <w:rPr>
                <w:color w:val="000000"/>
                <w:szCs w:val="22"/>
              </w:rPr>
              <w:t>NA</w:t>
            </w:r>
          </w:p>
        </w:tc>
      </w:tr>
      <w:tr w:rsidR="00F34618" w:rsidRPr="00D31EFF" w14:paraId="1D8009B3" w14:textId="77777777" w:rsidTr="00F7507F">
        <w:trPr>
          <w:cantSplit/>
          <w:trHeight w:val="288"/>
          <w:jc w:val="center"/>
        </w:trPr>
        <w:tc>
          <w:tcPr>
            <w:tcW w:w="2880" w:type="dxa"/>
            <w:tcBorders>
              <w:top w:val="nil"/>
              <w:left w:val="single" w:sz="12" w:space="0" w:color="auto"/>
              <w:bottom w:val="single" w:sz="12" w:space="0" w:color="auto"/>
              <w:right w:val="single" w:sz="12" w:space="0" w:color="auto"/>
            </w:tcBorders>
            <w:vAlign w:val="center"/>
          </w:tcPr>
          <w:p w14:paraId="70B5ACC8" w14:textId="77777777" w:rsidR="00F34618" w:rsidRPr="00D31EFF" w:rsidRDefault="00F34618" w:rsidP="00F7507F">
            <w:pPr>
              <w:keepNext/>
              <w:keepLines/>
              <w:jc w:val="center"/>
              <w:rPr>
                <w:szCs w:val="22"/>
              </w:rPr>
            </w:pPr>
            <w:r w:rsidRPr="00D31EFF">
              <w:rPr>
                <w:szCs w:val="22"/>
              </w:rPr>
              <w:t>Battery Chargers</w:t>
            </w:r>
          </w:p>
        </w:tc>
        <w:tc>
          <w:tcPr>
            <w:tcW w:w="2880" w:type="dxa"/>
            <w:tcBorders>
              <w:left w:val="single" w:sz="12" w:space="0" w:color="auto"/>
              <w:bottom w:val="single" w:sz="12" w:space="0" w:color="auto"/>
            </w:tcBorders>
            <w:vAlign w:val="center"/>
          </w:tcPr>
          <w:p w14:paraId="04B26786" w14:textId="77777777" w:rsidR="00F34618" w:rsidRPr="005065AE" w:rsidRDefault="00F34618" w:rsidP="00F7507F">
            <w:pPr>
              <w:keepNext/>
              <w:keepLines/>
              <w:jc w:val="center"/>
              <w:rPr>
                <w:szCs w:val="22"/>
              </w:rPr>
            </w:pPr>
            <w:r w:rsidRPr="005065AE">
              <w:rPr>
                <w:color w:val="000000"/>
                <w:szCs w:val="22"/>
              </w:rPr>
              <w:t>Closed</w:t>
            </w:r>
          </w:p>
        </w:tc>
        <w:tc>
          <w:tcPr>
            <w:tcW w:w="2880" w:type="dxa"/>
            <w:tcBorders>
              <w:bottom w:val="single" w:sz="12" w:space="0" w:color="auto"/>
            </w:tcBorders>
            <w:vAlign w:val="center"/>
          </w:tcPr>
          <w:p w14:paraId="4B3A44B0" w14:textId="77777777" w:rsidR="00F34618" w:rsidRPr="00D31EFF" w:rsidRDefault="00F34618" w:rsidP="00F7507F">
            <w:pPr>
              <w:keepNext/>
              <w:keepLines/>
              <w:jc w:val="center"/>
              <w:rPr>
                <w:szCs w:val="22"/>
              </w:rPr>
            </w:pPr>
            <w:r w:rsidRPr="00D31EFF">
              <w:rPr>
                <w:color w:val="000000"/>
                <w:szCs w:val="22"/>
              </w:rPr>
              <w:t>TP</w:t>
            </w:r>
          </w:p>
        </w:tc>
        <w:tc>
          <w:tcPr>
            <w:tcW w:w="2880" w:type="dxa"/>
            <w:tcBorders>
              <w:bottom w:val="single" w:sz="12" w:space="0" w:color="auto"/>
              <w:right w:val="single" w:sz="12" w:space="0" w:color="auto"/>
            </w:tcBorders>
            <w:vAlign w:val="center"/>
          </w:tcPr>
          <w:p w14:paraId="1569F8F2" w14:textId="77777777" w:rsidR="00F34618" w:rsidRPr="00D31EFF" w:rsidRDefault="00F34618" w:rsidP="008E14C2">
            <w:pPr>
              <w:jc w:val="center"/>
              <w:rPr>
                <w:szCs w:val="22"/>
              </w:rPr>
            </w:pPr>
            <w:r w:rsidRPr="00D31EFF">
              <w:rPr>
                <w:color w:val="000000"/>
                <w:szCs w:val="22"/>
              </w:rPr>
              <w:t>NA</w:t>
            </w:r>
          </w:p>
        </w:tc>
      </w:tr>
      <w:tr w:rsidR="00F34618" w:rsidRPr="00D31EFF" w14:paraId="13D3C7B2" w14:textId="77777777" w:rsidTr="00F7507F">
        <w:trPr>
          <w:cantSplit/>
          <w:trHeight w:val="288"/>
          <w:jc w:val="center"/>
        </w:trPr>
        <w:tc>
          <w:tcPr>
            <w:tcW w:w="2880" w:type="dxa"/>
            <w:tcBorders>
              <w:top w:val="single" w:sz="12" w:space="0" w:color="auto"/>
              <w:left w:val="single" w:sz="12" w:space="0" w:color="auto"/>
              <w:bottom w:val="nil"/>
              <w:right w:val="single" w:sz="12" w:space="0" w:color="auto"/>
            </w:tcBorders>
            <w:vAlign w:val="center"/>
          </w:tcPr>
          <w:p w14:paraId="5400CAD4" w14:textId="77777777" w:rsidR="00F34618" w:rsidRPr="00D31EFF" w:rsidRDefault="00F34618" w:rsidP="00F7507F">
            <w:pPr>
              <w:keepNext/>
              <w:keepLines/>
              <w:jc w:val="center"/>
              <w:rPr>
                <w:szCs w:val="22"/>
              </w:rPr>
            </w:pPr>
            <w:r w:rsidRPr="00D31EFF">
              <w:rPr>
                <w:szCs w:val="22"/>
              </w:rPr>
              <w:t>Power</w:t>
            </w:r>
          </w:p>
        </w:tc>
        <w:tc>
          <w:tcPr>
            <w:tcW w:w="2880" w:type="dxa"/>
            <w:tcBorders>
              <w:top w:val="single" w:sz="12" w:space="0" w:color="auto"/>
              <w:left w:val="single" w:sz="12" w:space="0" w:color="auto"/>
            </w:tcBorders>
            <w:vAlign w:val="center"/>
          </w:tcPr>
          <w:p w14:paraId="3D7206B3" w14:textId="77777777" w:rsidR="00F34618" w:rsidRPr="005065AE" w:rsidRDefault="00F34618" w:rsidP="00F7507F">
            <w:pPr>
              <w:keepNext/>
              <w:keepLines/>
              <w:jc w:val="center"/>
              <w:rPr>
                <w:szCs w:val="22"/>
              </w:rPr>
            </w:pPr>
            <w:r w:rsidRPr="005065AE">
              <w:rPr>
                <w:color w:val="000000"/>
                <w:szCs w:val="22"/>
              </w:rPr>
              <w:t>Closed</w:t>
            </w:r>
          </w:p>
        </w:tc>
        <w:tc>
          <w:tcPr>
            <w:tcW w:w="2880" w:type="dxa"/>
            <w:tcBorders>
              <w:top w:val="single" w:sz="12" w:space="0" w:color="auto"/>
            </w:tcBorders>
            <w:vAlign w:val="center"/>
          </w:tcPr>
          <w:p w14:paraId="5A77D924" w14:textId="77777777" w:rsidR="00F34618" w:rsidRPr="00D31EFF" w:rsidRDefault="00F34618" w:rsidP="00F7507F">
            <w:pPr>
              <w:keepNext/>
              <w:keepLines/>
              <w:jc w:val="center"/>
              <w:rPr>
                <w:szCs w:val="22"/>
              </w:rPr>
            </w:pPr>
            <w:r w:rsidRPr="00D31EFF">
              <w:rPr>
                <w:color w:val="000000"/>
                <w:szCs w:val="22"/>
              </w:rPr>
              <w:t>TS/QTP/SIS</w:t>
            </w:r>
          </w:p>
        </w:tc>
        <w:tc>
          <w:tcPr>
            <w:tcW w:w="2880" w:type="dxa"/>
            <w:tcBorders>
              <w:top w:val="single" w:sz="12" w:space="0" w:color="auto"/>
              <w:right w:val="single" w:sz="12" w:space="0" w:color="auto"/>
            </w:tcBorders>
            <w:vAlign w:val="center"/>
          </w:tcPr>
          <w:p w14:paraId="42D22B4C" w14:textId="77777777" w:rsidR="00F34618" w:rsidRPr="00D31EFF" w:rsidRDefault="00F34618" w:rsidP="008E14C2">
            <w:pPr>
              <w:jc w:val="center"/>
              <w:rPr>
                <w:szCs w:val="22"/>
              </w:rPr>
            </w:pPr>
            <w:r w:rsidRPr="00D31EFF">
              <w:rPr>
                <w:color w:val="000000"/>
                <w:szCs w:val="22"/>
              </w:rPr>
              <w:t>NA</w:t>
            </w:r>
          </w:p>
        </w:tc>
      </w:tr>
      <w:tr w:rsidR="00F34618" w:rsidRPr="00D31EFF" w14:paraId="00E71A64" w14:textId="77777777" w:rsidTr="00F7507F">
        <w:trPr>
          <w:cantSplit/>
          <w:trHeight w:val="288"/>
          <w:jc w:val="center"/>
        </w:trPr>
        <w:tc>
          <w:tcPr>
            <w:tcW w:w="2880" w:type="dxa"/>
            <w:tcBorders>
              <w:top w:val="nil"/>
              <w:left w:val="single" w:sz="12" w:space="0" w:color="auto"/>
              <w:bottom w:val="single" w:sz="12" w:space="0" w:color="auto"/>
              <w:right w:val="single" w:sz="12" w:space="0" w:color="auto"/>
            </w:tcBorders>
            <w:vAlign w:val="center"/>
          </w:tcPr>
          <w:p w14:paraId="3EA0BD46" w14:textId="77777777" w:rsidR="00F34618" w:rsidRPr="00D31EFF" w:rsidRDefault="00F34618" w:rsidP="00F7507F">
            <w:pPr>
              <w:keepNext/>
              <w:keepLines/>
              <w:jc w:val="center"/>
              <w:rPr>
                <w:szCs w:val="22"/>
              </w:rPr>
            </w:pPr>
            <w:r w:rsidRPr="00D31EFF">
              <w:rPr>
                <w:szCs w:val="22"/>
              </w:rPr>
              <w:t>Inverters</w:t>
            </w:r>
          </w:p>
        </w:tc>
        <w:tc>
          <w:tcPr>
            <w:tcW w:w="2880" w:type="dxa"/>
            <w:tcBorders>
              <w:left w:val="single" w:sz="12" w:space="0" w:color="auto"/>
              <w:bottom w:val="single" w:sz="12" w:space="0" w:color="auto"/>
            </w:tcBorders>
            <w:vAlign w:val="center"/>
          </w:tcPr>
          <w:p w14:paraId="3789F674" w14:textId="77777777" w:rsidR="00F34618" w:rsidRPr="00D31EFF" w:rsidRDefault="00F34618" w:rsidP="00F7507F">
            <w:pPr>
              <w:keepNext/>
              <w:keepLines/>
              <w:jc w:val="center"/>
              <w:rPr>
                <w:szCs w:val="22"/>
              </w:rPr>
            </w:pPr>
            <w:r w:rsidRPr="00D31EFF">
              <w:rPr>
                <w:color w:val="000000"/>
                <w:szCs w:val="22"/>
              </w:rPr>
              <w:t>Closed</w:t>
            </w:r>
          </w:p>
        </w:tc>
        <w:tc>
          <w:tcPr>
            <w:tcW w:w="2880" w:type="dxa"/>
            <w:tcBorders>
              <w:bottom w:val="single" w:sz="12" w:space="0" w:color="auto"/>
            </w:tcBorders>
            <w:vAlign w:val="center"/>
          </w:tcPr>
          <w:p w14:paraId="42C099AE" w14:textId="77777777" w:rsidR="00F34618" w:rsidRPr="00D31EFF" w:rsidRDefault="00F34618" w:rsidP="00F7507F">
            <w:pPr>
              <w:keepNext/>
              <w:keepLines/>
              <w:jc w:val="center"/>
              <w:rPr>
                <w:szCs w:val="22"/>
              </w:rPr>
            </w:pPr>
            <w:r w:rsidRPr="00D31EFF">
              <w:rPr>
                <w:color w:val="000000"/>
                <w:szCs w:val="22"/>
              </w:rPr>
              <w:t>TP</w:t>
            </w:r>
          </w:p>
        </w:tc>
        <w:tc>
          <w:tcPr>
            <w:tcW w:w="2880" w:type="dxa"/>
            <w:tcBorders>
              <w:bottom w:val="single" w:sz="12" w:space="0" w:color="auto"/>
              <w:right w:val="single" w:sz="12" w:space="0" w:color="auto"/>
            </w:tcBorders>
            <w:vAlign w:val="center"/>
          </w:tcPr>
          <w:p w14:paraId="71D4845F" w14:textId="77777777" w:rsidR="00F34618" w:rsidRPr="00D31EFF" w:rsidRDefault="00F34618" w:rsidP="008E14C2">
            <w:pPr>
              <w:jc w:val="center"/>
              <w:rPr>
                <w:szCs w:val="22"/>
              </w:rPr>
            </w:pPr>
            <w:r w:rsidRPr="00D31EFF">
              <w:rPr>
                <w:color w:val="000000"/>
                <w:szCs w:val="22"/>
              </w:rPr>
              <w:t>NA</w:t>
            </w:r>
          </w:p>
        </w:tc>
      </w:tr>
      <w:tr w:rsidR="00F34618" w:rsidRPr="00D31EFF" w14:paraId="3EAA717F" w14:textId="77777777" w:rsidTr="00F7507F">
        <w:trPr>
          <w:cantSplit/>
          <w:trHeight w:val="288"/>
          <w:jc w:val="center"/>
        </w:trPr>
        <w:tc>
          <w:tcPr>
            <w:tcW w:w="2880" w:type="dxa"/>
            <w:vMerge w:val="restart"/>
            <w:tcBorders>
              <w:top w:val="single" w:sz="12" w:space="0" w:color="auto"/>
              <w:left w:val="single" w:sz="12" w:space="0" w:color="auto"/>
              <w:right w:val="single" w:sz="12" w:space="0" w:color="auto"/>
            </w:tcBorders>
            <w:vAlign w:val="center"/>
          </w:tcPr>
          <w:p w14:paraId="3CEC14C4" w14:textId="77777777" w:rsidR="00F34618" w:rsidRPr="00D31EFF" w:rsidRDefault="00F34618" w:rsidP="00F7507F">
            <w:pPr>
              <w:keepNext/>
              <w:keepLines/>
              <w:jc w:val="center"/>
              <w:rPr>
                <w:szCs w:val="22"/>
              </w:rPr>
            </w:pPr>
            <w:r w:rsidRPr="00D31EFF">
              <w:rPr>
                <w:szCs w:val="22"/>
              </w:rPr>
              <w:t>Large</w:t>
            </w:r>
          </w:p>
          <w:p w14:paraId="47E58403" w14:textId="77777777" w:rsidR="00F34618" w:rsidRPr="00D31EFF" w:rsidRDefault="00F34618" w:rsidP="00F7507F">
            <w:pPr>
              <w:keepNext/>
              <w:keepLines/>
              <w:jc w:val="center"/>
              <w:rPr>
                <w:szCs w:val="22"/>
              </w:rPr>
            </w:pPr>
          </w:p>
          <w:p w14:paraId="4B06401B" w14:textId="77777777" w:rsidR="00F34618" w:rsidRPr="00D31EFF" w:rsidRDefault="00F34618" w:rsidP="00F7507F">
            <w:pPr>
              <w:keepNext/>
              <w:keepLines/>
              <w:jc w:val="center"/>
              <w:rPr>
                <w:szCs w:val="22"/>
              </w:rPr>
            </w:pPr>
            <w:r w:rsidRPr="00D31EFF">
              <w:rPr>
                <w:szCs w:val="22"/>
              </w:rPr>
              <w:t>Enclosures</w:t>
            </w:r>
          </w:p>
          <w:p w14:paraId="49D61D8E" w14:textId="77777777" w:rsidR="00F34618" w:rsidRPr="00D31EFF" w:rsidRDefault="00F34618" w:rsidP="00F7507F">
            <w:pPr>
              <w:keepNext/>
              <w:keepLines/>
              <w:jc w:val="center"/>
              <w:rPr>
                <w:szCs w:val="22"/>
              </w:rPr>
            </w:pPr>
          </w:p>
          <w:p w14:paraId="3638B0F2" w14:textId="77777777" w:rsidR="00F34618" w:rsidRPr="00D31EFF" w:rsidRDefault="00F34618" w:rsidP="00F7507F">
            <w:pPr>
              <w:keepNext/>
              <w:keepLines/>
              <w:jc w:val="center"/>
              <w:rPr>
                <w:szCs w:val="22"/>
              </w:rPr>
            </w:pPr>
            <w:r w:rsidRPr="00D31EFF">
              <w:rPr>
                <w:szCs w:val="22"/>
              </w:rPr>
              <w:t>V&gt;1.42 m</w:t>
            </w:r>
            <w:r w:rsidRPr="00D31EFF">
              <w:rPr>
                <w:szCs w:val="22"/>
                <w:vertAlign w:val="superscript"/>
              </w:rPr>
              <w:t>3</w:t>
            </w:r>
          </w:p>
          <w:p w14:paraId="37E8FE05" w14:textId="77777777" w:rsidR="00F34618" w:rsidRPr="00D31EFF" w:rsidRDefault="00F34618" w:rsidP="00F7507F">
            <w:pPr>
              <w:keepNext/>
              <w:keepLines/>
              <w:jc w:val="center"/>
              <w:rPr>
                <w:szCs w:val="22"/>
              </w:rPr>
            </w:pPr>
          </w:p>
          <w:p w14:paraId="0065D1F3" w14:textId="77777777" w:rsidR="00F34618" w:rsidRPr="00D31EFF" w:rsidRDefault="00F34618" w:rsidP="00F7507F">
            <w:pPr>
              <w:keepNext/>
              <w:keepLines/>
              <w:jc w:val="center"/>
              <w:rPr>
                <w:szCs w:val="22"/>
              </w:rPr>
            </w:pPr>
            <w:r w:rsidRPr="00D31EFF">
              <w:rPr>
                <w:szCs w:val="22"/>
              </w:rPr>
              <w:t>V&gt;50 ft</w:t>
            </w:r>
            <w:r w:rsidRPr="00D31EFF">
              <w:rPr>
                <w:szCs w:val="22"/>
                <w:vertAlign w:val="superscript"/>
              </w:rPr>
              <w:t>3</w:t>
            </w:r>
          </w:p>
        </w:tc>
        <w:tc>
          <w:tcPr>
            <w:tcW w:w="2880" w:type="dxa"/>
            <w:tcBorders>
              <w:top w:val="single" w:sz="12" w:space="0" w:color="auto"/>
              <w:left w:val="single" w:sz="12" w:space="0" w:color="auto"/>
            </w:tcBorders>
            <w:vAlign w:val="center"/>
          </w:tcPr>
          <w:p w14:paraId="5D33F95E" w14:textId="77777777" w:rsidR="00F34618" w:rsidRPr="00D31EFF" w:rsidRDefault="00F34618" w:rsidP="00F7507F">
            <w:pPr>
              <w:keepNext/>
              <w:keepLines/>
              <w:jc w:val="center"/>
              <w:rPr>
                <w:szCs w:val="22"/>
              </w:rPr>
            </w:pPr>
            <w:r w:rsidRPr="00D31EFF">
              <w:rPr>
                <w:color w:val="000000"/>
                <w:szCs w:val="22"/>
              </w:rPr>
              <w:t>Closed</w:t>
            </w:r>
          </w:p>
        </w:tc>
        <w:tc>
          <w:tcPr>
            <w:tcW w:w="2880" w:type="dxa"/>
            <w:tcBorders>
              <w:top w:val="single" w:sz="12" w:space="0" w:color="auto"/>
            </w:tcBorders>
            <w:vAlign w:val="center"/>
          </w:tcPr>
          <w:p w14:paraId="2DF27DCB" w14:textId="77777777" w:rsidR="00F34618" w:rsidRPr="00D31EFF" w:rsidRDefault="00F34618" w:rsidP="00F7507F">
            <w:pPr>
              <w:keepNext/>
              <w:keepLines/>
              <w:jc w:val="center"/>
              <w:rPr>
                <w:szCs w:val="22"/>
              </w:rPr>
            </w:pPr>
            <w:r w:rsidRPr="00D31EFF">
              <w:rPr>
                <w:color w:val="000000"/>
                <w:szCs w:val="22"/>
              </w:rPr>
              <w:t>TS/QTP/SIS</w:t>
            </w:r>
          </w:p>
        </w:tc>
        <w:tc>
          <w:tcPr>
            <w:tcW w:w="2880" w:type="dxa"/>
            <w:tcBorders>
              <w:top w:val="single" w:sz="12" w:space="0" w:color="auto"/>
              <w:right w:val="single" w:sz="12" w:space="0" w:color="auto"/>
            </w:tcBorders>
            <w:vAlign w:val="center"/>
          </w:tcPr>
          <w:p w14:paraId="4AD09329" w14:textId="77777777" w:rsidR="00F34618" w:rsidRPr="00D31EFF" w:rsidRDefault="00F34618" w:rsidP="00947566">
            <w:pPr>
              <w:jc w:val="center"/>
              <w:rPr>
                <w:szCs w:val="22"/>
              </w:rPr>
            </w:pPr>
            <w:r w:rsidRPr="00D31EFF">
              <w:rPr>
                <w:szCs w:val="22"/>
              </w:rPr>
              <w:t>Default</w:t>
            </w:r>
          </w:p>
        </w:tc>
      </w:tr>
      <w:tr w:rsidR="00F34618" w:rsidRPr="00D31EFF" w14:paraId="4C513C5D" w14:textId="77777777" w:rsidTr="00F7507F">
        <w:trPr>
          <w:cantSplit/>
          <w:trHeight w:val="288"/>
          <w:jc w:val="center"/>
        </w:trPr>
        <w:tc>
          <w:tcPr>
            <w:tcW w:w="2880" w:type="dxa"/>
            <w:vMerge/>
            <w:tcBorders>
              <w:left w:val="single" w:sz="12" w:space="0" w:color="auto"/>
              <w:right w:val="single" w:sz="12" w:space="0" w:color="auto"/>
            </w:tcBorders>
            <w:vAlign w:val="center"/>
          </w:tcPr>
          <w:p w14:paraId="2BD0FAAB" w14:textId="77777777" w:rsidR="00F34618" w:rsidRPr="005E3608" w:rsidRDefault="00F34618" w:rsidP="00F7507F">
            <w:pPr>
              <w:keepNext/>
              <w:keepLines/>
              <w:jc w:val="center"/>
              <w:rPr>
                <w:szCs w:val="22"/>
              </w:rPr>
            </w:pPr>
          </w:p>
        </w:tc>
        <w:tc>
          <w:tcPr>
            <w:tcW w:w="2880" w:type="dxa"/>
            <w:tcBorders>
              <w:left w:val="single" w:sz="12" w:space="0" w:color="auto"/>
            </w:tcBorders>
            <w:vAlign w:val="center"/>
          </w:tcPr>
          <w:p w14:paraId="0B2D2A52" w14:textId="77777777" w:rsidR="00F34618" w:rsidRPr="005E3608" w:rsidRDefault="00F34618" w:rsidP="00F7507F">
            <w:pPr>
              <w:keepNext/>
              <w:keepLines/>
              <w:jc w:val="center"/>
              <w:rPr>
                <w:szCs w:val="22"/>
              </w:rPr>
            </w:pPr>
            <w:r w:rsidRPr="005E3608">
              <w:rPr>
                <w:color w:val="000000"/>
                <w:szCs w:val="22"/>
              </w:rPr>
              <w:t>Closed</w:t>
            </w:r>
          </w:p>
        </w:tc>
        <w:tc>
          <w:tcPr>
            <w:tcW w:w="2880" w:type="dxa"/>
            <w:vAlign w:val="center"/>
          </w:tcPr>
          <w:p w14:paraId="5EBD481B"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vAlign w:val="center"/>
          </w:tcPr>
          <w:p w14:paraId="1E84161E" w14:textId="77777777" w:rsidR="00F34618" w:rsidRPr="005E3608" w:rsidRDefault="00F34618">
            <w:pPr>
              <w:jc w:val="center"/>
              <w:rPr>
                <w:szCs w:val="22"/>
              </w:rPr>
            </w:pPr>
            <w:r w:rsidRPr="005E3608">
              <w:rPr>
                <w:szCs w:val="22"/>
              </w:rPr>
              <w:t>Default</w:t>
            </w:r>
          </w:p>
        </w:tc>
      </w:tr>
      <w:tr w:rsidR="00F34618" w:rsidRPr="00D31EFF" w14:paraId="25360EEA" w14:textId="77777777" w:rsidTr="00F7507F">
        <w:trPr>
          <w:cantSplit/>
          <w:trHeight w:val="288"/>
          <w:jc w:val="center"/>
        </w:trPr>
        <w:tc>
          <w:tcPr>
            <w:tcW w:w="2880" w:type="dxa"/>
            <w:vMerge/>
            <w:tcBorders>
              <w:left w:val="single" w:sz="12" w:space="0" w:color="auto"/>
              <w:right w:val="single" w:sz="12" w:space="0" w:color="auto"/>
            </w:tcBorders>
            <w:vAlign w:val="center"/>
          </w:tcPr>
          <w:p w14:paraId="63858FDA" w14:textId="77777777" w:rsidR="00F34618" w:rsidRPr="005E3608" w:rsidRDefault="00F34618" w:rsidP="00F7507F">
            <w:pPr>
              <w:keepNext/>
              <w:keepLines/>
              <w:jc w:val="center"/>
              <w:rPr>
                <w:szCs w:val="22"/>
              </w:rPr>
            </w:pPr>
          </w:p>
        </w:tc>
        <w:tc>
          <w:tcPr>
            <w:tcW w:w="2880" w:type="dxa"/>
            <w:tcBorders>
              <w:left w:val="single" w:sz="12" w:space="0" w:color="auto"/>
            </w:tcBorders>
            <w:vAlign w:val="center"/>
          </w:tcPr>
          <w:p w14:paraId="15EC96C2" w14:textId="77777777" w:rsidR="00F34618" w:rsidRPr="005E3608" w:rsidRDefault="00F34618" w:rsidP="00F7507F">
            <w:pPr>
              <w:keepNext/>
              <w:keepLines/>
              <w:jc w:val="center"/>
              <w:rPr>
                <w:szCs w:val="22"/>
              </w:rPr>
            </w:pPr>
            <w:r w:rsidRPr="005E3608">
              <w:rPr>
                <w:color w:val="000000"/>
                <w:szCs w:val="22"/>
              </w:rPr>
              <w:t>Open</w:t>
            </w:r>
          </w:p>
        </w:tc>
        <w:tc>
          <w:tcPr>
            <w:tcW w:w="2880" w:type="dxa"/>
            <w:vAlign w:val="center"/>
          </w:tcPr>
          <w:p w14:paraId="30604DEB"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vAlign w:val="center"/>
          </w:tcPr>
          <w:p w14:paraId="799A081C" w14:textId="77777777" w:rsidR="00F34618" w:rsidRPr="005E3608" w:rsidRDefault="00F34618">
            <w:pPr>
              <w:jc w:val="center"/>
              <w:rPr>
                <w:szCs w:val="22"/>
              </w:rPr>
            </w:pPr>
            <w:r w:rsidRPr="005E3608">
              <w:rPr>
                <w:szCs w:val="22"/>
              </w:rPr>
              <w:t>Default</w:t>
            </w:r>
          </w:p>
        </w:tc>
      </w:tr>
      <w:tr w:rsidR="00F34618" w:rsidRPr="00D31EFF" w14:paraId="213491EF" w14:textId="77777777" w:rsidTr="00F7507F">
        <w:trPr>
          <w:cantSplit/>
          <w:trHeight w:val="288"/>
          <w:jc w:val="center"/>
        </w:trPr>
        <w:tc>
          <w:tcPr>
            <w:tcW w:w="2880" w:type="dxa"/>
            <w:vMerge/>
            <w:tcBorders>
              <w:left w:val="single" w:sz="12" w:space="0" w:color="auto"/>
              <w:right w:val="single" w:sz="12" w:space="0" w:color="auto"/>
            </w:tcBorders>
            <w:vAlign w:val="center"/>
          </w:tcPr>
          <w:p w14:paraId="25E6DA7C" w14:textId="77777777" w:rsidR="00F34618" w:rsidRPr="005E3608" w:rsidRDefault="00F34618" w:rsidP="00F7507F">
            <w:pPr>
              <w:keepNext/>
              <w:keepLines/>
              <w:jc w:val="center"/>
              <w:rPr>
                <w:szCs w:val="22"/>
              </w:rPr>
            </w:pPr>
          </w:p>
        </w:tc>
        <w:tc>
          <w:tcPr>
            <w:tcW w:w="2880" w:type="dxa"/>
            <w:tcBorders>
              <w:left w:val="single" w:sz="12" w:space="0" w:color="auto"/>
            </w:tcBorders>
            <w:vAlign w:val="center"/>
          </w:tcPr>
          <w:p w14:paraId="245898B9" w14:textId="77777777" w:rsidR="00F34618" w:rsidRPr="005E3608" w:rsidRDefault="00F34618" w:rsidP="00F7507F">
            <w:pPr>
              <w:keepNext/>
              <w:keepLines/>
              <w:jc w:val="center"/>
              <w:rPr>
                <w:szCs w:val="22"/>
              </w:rPr>
            </w:pPr>
            <w:r w:rsidRPr="005E3608">
              <w:rPr>
                <w:color w:val="000000"/>
                <w:szCs w:val="22"/>
              </w:rPr>
              <w:t>Open</w:t>
            </w:r>
          </w:p>
        </w:tc>
        <w:tc>
          <w:tcPr>
            <w:tcW w:w="2880" w:type="dxa"/>
            <w:vAlign w:val="center"/>
          </w:tcPr>
          <w:p w14:paraId="75E7A43B"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vAlign w:val="center"/>
          </w:tcPr>
          <w:p w14:paraId="52946005" w14:textId="77777777" w:rsidR="00F34618" w:rsidRPr="005E3608" w:rsidRDefault="00F34618">
            <w:pPr>
              <w:jc w:val="center"/>
              <w:rPr>
                <w:szCs w:val="22"/>
              </w:rPr>
            </w:pPr>
            <w:r w:rsidRPr="005E3608">
              <w:rPr>
                <w:szCs w:val="22"/>
              </w:rPr>
              <w:t>Default</w:t>
            </w:r>
          </w:p>
        </w:tc>
      </w:tr>
      <w:tr w:rsidR="00F34618" w:rsidRPr="00D31EFF" w14:paraId="0C2B0D1E" w14:textId="77777777" w:rsidTr="00F7507F">
        <w:trPr>
          <w:cantSplit/>
          <w:trHeight w:val="288"/>
          <w:jc w:val="center"/>
        </w:trPr>
        <w:tc>
          <w:tcPr>
            <w:tcW w:w="2880" w:type="dxa"/>
            <w:vMerge/>
            <w:tcBorders>
              <w:left w:val="single" w:sz="12" w:space="0" w:color="auto"/>
              <w:right w:val="single" w:sz="12" w:space="0" w:color="auto"/>
            </w:tcBorders>
            <w:vAlign w:val="center"/>
          </w:tcPr>
          <w:p w14:paraId="78CF49CC"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434F1E5B" w14:textId="77777777" w:rsidR="00F34618" w:rsidRPr="005E3608" w:rsidRDefault="00F34618" w:rsidP="00F7507F">
            <w:pPr>
              <w:keepNext/>
              <w:keepLines/>
              <w:jc w:val="center"/>
              <w:rPr>
                <w:szCs w:val="22"/>
              </w:rPr>
            </w:pPr>
            <w:r w:rsidRPr="005E3608">
              <w:rPr>
                <w:color w:val="000000"/>
                <w:szCs w:val="22"/>
              </w:rPr>
              <w:t>Closed</w:t>
            </w:r>
          </w:p>
        </w:tc>
        <w:tc>
          <w:tcPr>
            <w:tcW w:w="2880" w:type="dxa"/>
            <w:shd w:val="clear" w:color="auto" w:fill="D9D9D9" w:themeFill="background1" w:themeFillShade="D9"/>
            <w:vAlign w:val="center"/>
          </w:tcPr>
          <w:p w14:paraId="4D4C5DA7"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shd w:val="clear" w:color="auto" w:fill="D9D9D9" w:themeFill="background1" w:themeFillShade="D9"/>
            <w:vAlign w:val="center"/>
          </w:tcPr>
          <w:p w14:paraId="05B1AC49" w14:textId="77777777" w:rsidR="00F34618" w:rsidRPr="005E3608" w:rsidRDefault="00F34618">
            <w:pPr>
              <w:jc w:val="center"/>
              <w:rPr>
                <w:szCs w:val="22"/>
              </w:rPr>
            </w:pPr>
            <w:r w:rsidRPr="005E3608">
              <w:rPr>
                <w:szCs w:val="22"/>
              </w:rPr>
              <w:t>Low</w:t>
            </w:r>
          </w:p>
        </w:tc>
      </w:tr>
      <w:tr w:rsidR="00F34618" w:rsidRPr="00D31EFF" w14:paraId="066FFBA9" w14:textId="77777777" w:rsidTr="00F7507F">
        <w:trPr>
          <w:cantSplit/>
          <w:trHeight w:val="288"/>
          <w:jc w:val="center"/>
        </w:trPr>
        <w:tc>
          <w:tcPr>
            <w:tcW w:w="2880" w:type="dxa"/>
            <w:vMerge/>
            <w:tcBorders>
              <w:left w:val="single" w:sz="12" w:space="0" w:color="auto"/>
              <w:right w:val="single" w:sz="12" w:space="0" w:color="auto"/>
            </w:tcBorders>
            <w:vAlign w:val="center"/>
          </w:tcPr>
          <w:p w14:paraId="6AA2EBE5"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0740B2A5" w14:textId="77777777" w:rsidR="00F34618" w:rsidRPr="005E3608" w:rsidRDefault="00F34618" w:rsidP="00F7507F">
            <w:pPr>
              <w:keepNext/>
              <w:keepLines/>
              <w:jc w:val="center"/>
              <w:rPr>
                <w:szCs w:val="22"/>
              </w:rPr>
            </w:pPr>
            <w:r w:rsidRPr="005E3608">
              <w:rPr>
                <w:color w:val="000000"/>
                <w:szCs w:val="22"/>
              </w:rPr>
              <w:t>Closed</w:t>
            </w:r>
          </w:p>
        </w:tc>
        <w:tc>
          <w:tcPr>
            <w:tcW w:w="2880" w:type="dxa"/>
            <w:shd w:val="clear" w:color="auto" w:fill="D9D9D9" w:themeFill="background1" w:themeFillShade="D9"/>
            <w:vAlign w:val="center"/>
          </w:tcPr>
          <w:p w14:paraId="5812207B"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shd w:val="clear" w:color="auto" w:fill="D9D9D9" w:themeFill="background1" w:themeFillShade="D9"/>
            <w:vAlign w:val="center"/>
          </w:tcPr>
          <w:p w14:paraId="4A7505E5" w14:textId="77777777" w:rsidR="00F34618" w:rsidRPr="005E3608" w:rsidRDefault="00F34618">
            <w:pPr>
              <w:jc w:val="center"/>
              <w:rPr>
                <w:szCs w:val="22"/>
              </w:rPr>
            </w:pPr>
            <w:r w:rsidRPr="005E3608">
              <w:rPr>
                <w:szCs w:val="22"/>
              </w:rPr>
              <w:t>Low</w:t>
            </w:r>
          </w:p>
        </w:tc>
      </w:tr>
      <w:tr w:rsidR="00F34618" w:rsidRPr="00D31EFF" w14:paraId="7B8EDA06" w14:textId="77777777" w:rsidTr="00F7507F">
        <w:trPr>
          <w:cantSplit/>
          <w:trHeight w:val="288"/>
          <w:jc w:val="center"/>
        </w:trPr>
        <w:tc>
          <w:tcPr>
            <w:tcW w:w="2880" w:type="dxa"/>
            <w:vMerge/>
            <w:tcBorders>
              <w:left w:val="single" w:sz="12" w:space="0" w:color="auto"/>
              <w:right w:val="single" w:sz="12" w:space="0" w:color="auto"/>
            </w:tcBorders>
            <w:vAlign w:val="center"/>
          </w:tcPr>
          <w:p w14:paraId="1116313A"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1B6B45B4" w14:textId="77777777" w:rsidR="00F34618" w:rsidRPr="005E3608" w:rsidRDefault="00F34618" w:rsidP="00F7507F">
            <w:pPr>
              <w:keepNext/>
              <w:keepLines/>
              <w:jc w:val="center"/>
              <w:rPr>
                <w:szCs w:val="22"/>
              </w:rPr>
            </w:pPr>
            <w:r w:rsidRPr="005E3608">
              <w:rPr>
                <w:color w:val="000000"/>
                <w:szCs w:val="22"/>
              </w:rPr>
              <w:t>Open</w:t>
            </w:r>
          </w:p>
        </w:tc>
        <w:tc>
          <w:tcPr>
            <w:tcW w:w="2880" w:type="dxa"/>
            <w:shd w:val="clear" w:color="auto" w:fill="D9D9D9" w:themeFill="background1" w:themeFillShade="D9"/>
            <w:vAlign w:val="center"/>
          </w:tcPr>
          <w:p w14:paraId="7D5DD6BD"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shd w:val="clear" w:color="auto" w:fill="D9D9D9" w:themeFill="background1" w:themeFillShade="D9"/>
            <w:vAlign w:val="center"/>
          </w:tcPr>
          <w:p w14:paraId="14041463" w14:textId="77777777" w:rsidR="00F34618" w:rsidRPr="005E3608" w:rsidRDefault="00F34618">
            <w:pPr>
              <w:jc w:val="center"/>
              <w:rPr>
                <w:szCs w:val="22"/>
              </w:rPr>
            </w:pPr>
            <w:r w:rsidRPr="005E3608">
              <w:rPr>
                <w:szCs w:val="22"/>
              </w:rPr>
              <w:t>Low</w:t>
            </w:r>
          </w:p>
        </w:tc>
      </w:tr>
      <w:tr w:rsidR="00F34618" w:rsidRPr="00D31EFF" w14:paraId="7CF1AB4D" w14:textId="77777777" w:rsidTr="00F7507F">
        <w:trPr>
          <w:cantSplit/>
          <w:trHeight w:val="288"/>
          <w:jc w:val="center"/>
        </w:trPr>
        <w:tc>
          <w:tcPr>
            <w:tcW w:w="2880" w:type="dxa"/>
            <w:vMerge/>
            <w:tcBorders>
              <w:left w:val="single" w:sz="12" w:space="0" w:color="auto"/>
              <w:right w:val="single" w:sz="12" w:space="0" w:color="auto"/>
            </w:tcBorders>
            <w:vAlign w:val="center"/>
          </w:tcPr>
          <w:p w14:paraId="324F23FF"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2124C561" w14:textId="77777777" w:rsidR="00F34618" w:rsidRPr="005E3608" w:rsidRDefault="00F34618" w:rsidP="00F7507F">
            <w:pPr>
              <w:keepNext/>
              <w:keepLines/>
              <w:jc w:val="center"/>
              <w:rPr>
                <w:szCs w:val="22"/>
              </w:rPr>
            </w:pPr>
            <w:r w:rsidRPr="005E3608">
              <w:rPr>
                <w:color w:val="000000"/>
                <w:szCs w:val="22"/>
              </w:rPr>
              <w:t>Open</w:t>
            </w:r>
          </w:p>
        </w:tc>
        <w:tc>
          <w:tcPr>
            <w:tcW w:w="2880" w:type="dxa"/>
            <w:shd w:val="clear" w:color="auto" w:fill="D9D9D9" w:themeFill="background1" w:themeFillShade="D9"/>
            <w:vAlign w:val="center"/>
          </w:tcPr>
          <w:p w14:paraId="1AB4E89E"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shd w:val="clear" w:color="auto" w:fill="D9D9D9" w:themeFill="background1" w:themeFillShade="D9"/>
            <w:vAlign w:val="center"/>
          </w:tcPr>
          <w:p w14:paraId="294CA8BA" w14:textId="77777777" w:rsidR="00F34618" w:rsidRPr="005E3608" w:rsidRDefault="00F34618">
            <w:pPr>
              <w:jc w:val="center"/>
              <w:rPr>
                <w:szCs w:val="22"/>
              </w:rPr>
            </w:pPr>
            <w:r w:rsidRPr="005E3608">
              <w:rPr>
                <w:szCs w:val="22"/>
              </w:rPr>
              <w:t>Low</w:t>
            </w:r>
          </w:p>
        </w:tc>
      </w:tr>
      <w:tr w:rsidR="00F34618" w:rsidRPr="00D31EFF" w14:paraId="47085604" w14:textId="77777777" w:rsidTr="00F7507F">
        <w:trPr>
          <w:cantSplit/>
          <w:trHeight w:val="288"/>
          <w:jc w:val="center"/>
        </w:trPr>
        <w:tc>
          <w:tcPr>
            <w:tcW w:w="2880" w:type="dxa"/>
            <w:vMerge/>
            <w:tcBorders>
              <w:left w:val="single" w:sz="12" w:space="0" w:color="auto"/>
              <w:right w:val="single" w:sz="12" w:space="0" w:color="auto"/>
            </w:tcBorders>
            <w:vAlign w:val="center"/>
          </w:tcPr>
          <w:p w14:paraId="5E45B0F7"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32A2E7A5" w14:textId="77777777" w:rsidR="00F34618" w:rsidRPr="005E3608" w:rsidRDefault="00F34618" w:rsidP="00F7507F">
            <w:pPr>
              <w:keepNext/>
              <w:keepLines/>
              <w:jc w:val="center"/>
              <w:rPr>
                <w:szCs w:val="22"/>
              </w:rPr>
            </w:pPr>
            <w:r w:rsidRPr="005E3608">
              <w:rPr>
                <w:color w:val="000000"/>
                <w:szCs w:val="22"/>
              </w:rPr>
              <w:t>Closed</w:t>
            </w:r>
          </w:p>
        </w:tc>
        <w:tc>
          <w:tcPr>
            <w:tcW w:w="2880" w:type="dxa"/>
            <w:shd w:val="clear" w:color="auto" w:fill="D9D9D9" w:themeFill="background1" w:themeFillShade="D9"/>
            <w:vAlign w:val="center"/>
          </w:tcPr>
          <w:p w14:paraId="2E9D7EB5"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shd w:val="clear" w:color="auto" w:fill="D9D9D9" w:themeFill="background1" w:themeFillShade="D9"/>
            <w:vAlign w:val="center"/>
          </w:tcPr>
          <w:p w14:paraId="6B12B075" w14:textId="77777777" w:rsidR="00F34618" w:rsidRPr="005E3608" w:rsidRDefault="00F34618">
            <w:pPr>
              <w:jc w:val="center"/>
              <w:rPr>
                <w:szCs w:val="22"/>
              </w:rPr>
            </w:pPr>
            <w:r w:rsidRPr="005E3608">
              <w:rPr>
                <w:szCs w:val="22"/>
              </w:rPr>
              <w:t>Very Low</w:t>
            </w:r>
          </w:p>
        </w:tc>
      </w:tr>
      <w:tr w:rsidR="00F34618" w:rsidRPr="00D31EFF" w14:paraId="67EBB5E4" w14:textId="77777777" w:rsidTr="00F7507F">
        <w:trPr>
          <w:cantSplit/>
          <w:trHeight w:val="288"/>
          <w:jc w:val="center"/>
        </w:trPr>
        <w:tc>
          <w:tcPr>
            <w:tcW w:w="2880" w:type="dxa"/>
            <w:vMerge/>
            <w:tcBorders>
              <w:left w:val="single" w:sz="12" w:space="0" w:color="auto"/>
              <w:right w:val="single" w:sz="12" w:space="0" w:color="auto"/>
            </w:tcBorders>
            <w:vAlign w:val="center"/>
          </w:tcPr>
          <w:p w14:paraId="25D8A54E"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034A709D" w14:textId="77777777" w:rsidR="00F34618" w:rsidRPr="005E3608" w:rsidRDefault="00F34618" w:rsidP="00F7507F">
            <w:pPr>
              <w:keepNext/>
              <w:keepLines/>
              <w:jc w:val="center"/>
              <w:rPr>
                <w:szCs w:val="22"/>
              </w:rPr>
            </w:pPr>
            <w:r w:rsidRPr="005E3608">
              <w:rPr>
                <w:color w:val="000000"/>
                <w:szCs w:val="22"/>
              </w:rPr>
              <w:t>Closed</w:t>
            </w:r>
          </w:p>
        </w:tc>
        <w:tc>
          <w:tcPr>
            <w:tcW w:w="2880" w:type="dxa"/>
            <w:shd w:val="clear" w:color="auto" w:fill="D9D9D9" w:themeFill="background1" w:themeFillShade="D9"/>
            <w:vAlign w:val="center"/>
          </w:tcPr>
          <w:p w14:paraId="59CEF141"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shd w:val="clear" w:color="auto" w:fill="D9D9D9" w:themeFill="background1" w:themeFillShade="D9"/>
            <w:vAlign w:val="center"/>
          </w:tcPr>
          <w:p w14:paraId="730A299F" w14:textId="77777777" w:rsidR="00F34618" w:rsidRPr="005E3608" w:rsidRDefault="00F34618">
            <w:pPr>
              <w:jc w:val="center"/>
              <w:rPr>
                <w:szCs w:val="22"/>
              </w:rPr>
            </w:pPr>
            <w:r w:rsidRPr="005E3608">
              <w:rPr>
                <w:szCs w:val="22"/>
              </w:rPr>
              <w:t>Very Low</w:t>
            </w:r>
          </w:p>
        </w:tc>
      </w:tr>
      <w:tr w:rsidR="00F34618" w:rsidRPr="00D31EFF" w14:paraId="122E8D40" w14:textId="77777777" w:rsidTr="00F7507F">
        <w:trPr>
          <w:cantSplit/>
          <w:trHeight w:val="288"/>
          <w:jc w:val="center"/>
        </w:trPr>
        <w:tc>
          <w:tcPr>
            <w:tcW w:w="2880" w:type="dxa"/>
            <w:vMerge/>
            <w:tcBorders>
              <w:left w:val="single" w:sz="12" w:space="0" w:color="auto"/>
              <w:right w:val="single" w:sz="12" w:space="0" w:color="auto"/>
            </w:tcBorders>
            <w:vAlign w:val="center"/>
          </w:tcPr>
          <w:p w14:paraId="58ADD2DA"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1F7EEC09" w14:textId="77777777" w:rsidR="00F34618" w:rsidRPr="005E3608" w:rsidRDefault="00F34618" w:rsidP="00F7507F">
            <w:pPr>
              <w:keepNext/>
              <w:keepLines/>
              <w:jc w:val="center"/>
              <w:rPr>
                <w:szCs w:val="22"/>
              </w:rPr>
            </w:pPr>
            <w:r w:rsidRPr="005E3608">
              <w:rPr>
                <w:color w:val="000000"/>
                <w:szCs w:val="22"/>
              </w:rPr>
              <w:t>Open</w:t>
            </w:r>
          </w:p>
        </w:tc>
        <w:tc>
          <w:tcPr>
            <w:tcW w:w="2880" w:type="dxa"/>
            <w:shd w:val="clear" w:color="auto" w:fill="D9D9D9" w:themeFill="background1" w:themeFillShade="D9"/>
            <w:vAlign w:val="center"/>
          </w:tcPr>
          <w:p w14:paraId="6331CBE4"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shd w:val="clear" w:color="auto" w:fill="D9D9D9" w:themeFill="background1" w:themeFillShade="D9"/>
            <w:vAlign w:val="center"/>
          </w:tcPr>
          <w:p w14:paraId="0867D3A1" w14:textId="77777777" w:rsidR="00F34618" w:rsidRPr="005E3608" w:rsidRDefault="00F34618">
            <w:pPr>
              <w:jc w:val="center"/>
              <w:rPr>
                <w:szCs w:val="22"/>
              </w:rPr>
            </w:pPr>
            <w:r w:rsidRPr="005E3608">
              <w:rPr>
                <w:szCs w:val="22"/>
              </w:rPr>
              <w:t>Very Low</w:t>
            </w:r>
          </w:p>
        </w:tc>
      </w:tr>
      <w:tr w:rsidR="00F34618" w:rsidRPr="00D31EFF" w14:paraId="210AF4D9" w14:textId="77777777" w:rsidTr="00F7507F">
        <w:trPr>
          <w:cantSplit/>
          <w:trHeight w:val="288"/>
          <w:jc w:val="center"/>
        </w:trPr>
        <w:tc>
          <w:tcPr>
            <w:tcW w:w="2880" w:type="dxa"/>
            <w:vMerge/>
            <w:tcBorders>
              <w:left w:val="single" w:sz="12" w:space="0" w:color="auto"/>
              <w:bottom w:val="single" w:sz="12" w:space="0" w:color="auto"/>
              <w:right w:val="single" w:sz="12" w:space="0" w:color="auto"/>
            </w:tcBorders>
            <w:vAlign w:val="center"/>
          </w:tcPr>
          <w:p w14:paraId="1EED87D9" w14:textId="77777777" w:rsidR="00F34618" w:rsidRPr="005E3608" w:rsidRDefault="00F34618" w:rsidP="00F7507F">
            <w:pPr>
              <w:keepNext/>
              <w:keepLines/>
              <w:jc w:val="center"/>
              <w:rPr>
                <w:szCs w:val="22"/>
              </w:rPr>
            </w:pPr>
          </w:p>
        </w:tc>
        <w:tc>
          <w:tcPr>
            <w:tcW w:w="2880" w:type="dxa"/>
            <w:tcBorders>
              <w:left w:val="single" w:sz="12" w:space="0" w:color="auto"/>
              <w:bottom w:val="single" w:sz="12" w:space="0" w:color="auto"/>
            </w:tcBorders>
            <w:shd w:val="clear" w:color="auto" w:fill="D9D9D9" w:themeFill="background1" w:themeFillShade="D9"/>
            <w:vAlign w:val="center"/>
          </w:tcPr>
          <w:p w14:paraId="19816122" w14:textId="77777777" w:rsidR="00F34618" w:rsidRPr="005E3608" w:rsidRDefault="00F34618" w:rsidP="00F7507F">
            <w:pPr>
              <w:keepNext/>
              <w:keepLines/>
              <w:jc w:val="center"/>
              <w:rPr>
                <w:szCs w:val="22"/>
              </w:rPr>
            </w:pPr>
            <w:r w:rsidRPr="005E3608">
              <w:rPr>
                <w:color w:val="000000"/>
                <w:szCs w:val="22"/>
              </w:rPr>
              <w:t>Open</w:t>
            </w:r>
          </w:p>
        </w:tc>
        <w:tc>
          <w:tcPr>
            <w:tcW w:w="2880" w:type="dxa"/>
            <w:tcBorders>
              <w:bottom w:val="single" w:sz="12" w:space="0" w:color="auto"/>
            </w:tcBorders>
            <w:shd w:val="clear" w:color="auto" w:fill="D9D9D9" w:themeFill="background1" w:themeFillShade="D9"/>
            <w:vAlign w:val="center"/>
          </w:tcPr>
          <w:p w14:paraId="13780BE7" w14:textId="77777777" w:rsidR="00F34618" w:rsidRPr="005E3608" w:rsidRDefault="00F34618" w:rsidP="00F7507F">
            <w:pPr>
              <w:keepNext/>
              <w:keepLines/>
              <w:jc w:val="center"/>
              <w:rPr>
                <w:szCs w:val="22"/>
              </w:rPr>
            </w:pPr>
            <w:r w:rsidRPr="005E3608">
              <w:rPr>
                <w:color w:val="000000"/>
                <w:szCs w:val="22"/>
              </w:rPr>
              <w:t>TP</w:t>
            </w:r>
          </w:p>
        </w:tc>
        <w:tc>
          <w:tcPr>
            <w:tcW w:w="2880" w:type="dxa"/>
            <w:tcBorders>
              <w:bottom w:val="single" w:sz="12" w:space="0" w:color="auto"/>
              <w:right w:val="single" w:sz="12" w:space="0" w:color="auto"/>
            </w:tcBorders>
            <w:shd w:val="clear" w:color="auto" w:fill="D9D9D9" w:themeFill="background1" w:themeFillShade="D9"/>
            <w:vAlign w:val="center"/>
          </w:tcPr>
          <w:p w14:paraId="7F6D5962" w14:textId="77777777" w:rsidR="00F34618" w:rsidRPr="005E3608" w:rsidRDefault="00F34618">
            <w:pPr>
              <w:jc w:val="center"/>
              <w:rPr>
                <w:szCs w:val="22"/>
              </w:rPr>
            </w:pPr>
            <w:r w:rsidRPr="005E3608">
              <w:rPr>
                <w:szCs w:val="22"/>
              </w:rPr>
              <w:t>Very Low</w:t>
            </w:r>
          </w:p>
        </w:tc>
      </w:tr>
      <w:tr w:rsidR="00F34618" w:rsidRPr="00D31EFF" w14:paraId="69AE472A" w14:textId="77777777" w:rsidTr="00F7507F">
        <w:trPr>
          <w:cantSplit/>
          <w:trHeight w:val="288"/>
          <w:jc w:val="center"/>
        </w:trPr>
        <w:tc>
          <w:tcPr>
            <w:tcW w:w="2880" w:type="dxa"/>
            <w:vMerge w:val="restart"/>
            <w:tcBorders>
              <w:top w:val="single" w:sz="12" w:space="0" w:color="auto"/>
              <w:left w:val="single" w:sz="12" w:space="0" w:color="auto"/>
              <w:right w:val="single" w:sz="12" w:space="0" w:color="auto"/>
            </w:tcBorders>
            <w:vAlign w:val="center"/>
          </w:tcPr>
          <w:p w14:paraId="3C5FE034" w14:textId="77777777" w:rsidR="00F34618" w:rsidRPr="008437DA" w:rsidRDefault="00F34618" w:rsidP="00F7507F">
            <w:pPr>
              <w:keepNext/>
              <w:keepLines/>
              <w:jc w:val="center"/>
              <w:rPr>
                <w:szCs w:val="22"/>
              </w:rPr>
            </w:pPr>
            <w:r w:rsidRPr="008437DA">
              <w:rPr>
                <w:szCs w:val="22"/>
              </w:rPr>
              <w:t>Medium</w:t>
            </w:r>
          </w:p>
          <w:p w14:paraId="45290DA5" w14:textId="77777777" w:rsidR="00F34618" w:rsidRPr="008437DA" w:rsidRDefault="00F34618" w:rsidP="00F7507F">
            <w:pPr>
              <w:keepNext/>
              <w:keepLines/>
              <w:jc w:val="center"/>
              <w:rPr>
                <w:szCs w:val="22"/>
              </w:rPr>
            </w:pPr>
          </w:p>
          <w:p w14:paraId="52FD5C37" w14:textId="77777777" w:rsidR="00F34618" w:rsidRPr="008437DA" w:rsidRDefault="00F34618" w:rsidP="00F7507F">
            <w:pPr>
              <w:keepNext/>
              <w:keepLines/>
              <w:jc w:val="center"/>
              <w:rPr>
                <w:szCs w:val="22"/>
              </w:rPr>
            </w:pPr>
            <w:r w:rsidRPr="008437DA">
              <w:rPr>
                <w:szCs w:val="22"/>
              </w:rPr>
              <w:t>Enclosures</w:t>
            </w:r>
          </w:p>
          <w:p w14:paraId="5CC78BAF" w14:textId="77777777" w:rsidR="00F34618" w:rsidRPr="008437DA" w:rsidRDefault="00F34618" w:rsidP="00F7507F">
            <w:pPr>
              <w:keepNext/>
              <w:keepLines/>
              <w:jc w:val="center"/>
              <w:rPr>
                <w:szCs w:val="22"/>
              </w:rPr>
            </w:pPr>
          </w:p>
          <w:p w14:paraId="6E46B361" w14:textId="77777777" w:rsidR="00F34618" w:rsidRPr="008437DA" w:rsidRDefault="00F34618" w:rsidP="00F7507F">
            <w:pPr>
              <w:keepNext/>
              <w:keepLines/>
              <w:jc w:val="center"/>
              <w:rPr>
                <w:szCs w:val="22"/>
              </w:rPr>
            </w:pPr>
            <w:r w:rsidRPr="008437DA">
              <w:rPr>
                <w:szCs w:val="22"/>
              </w:rPr>
              <w:t>0.34 m</w:t>
            </w:r>
            <w:r w:rsidRPr="008437DA">
              <w:rPr>
                <w:szCs w:val="22"/>
                <w:vertAlign w:val="superscript"/>
              </w:rPr>
              <w:t>3</w:t>
            </w:r>
            <w:r w:rsidRPr="008437DA">
              <w:rPr>
                <w:szCs w:val="22"/>
              </w:rPr>
              <w:t>&lt;V≤1.42 m</w:t>
            </w:r>
            <w:r w:rsidRPr="008437DA">
              <w:rPr>
                <w:szCs w:val="22"/>
                <w:vertAlign w:val="superscript"/>
              </w:rPr>
              <w:t>3</w:t>
            </w:r>
          </w:p>
          <w:p w14:paraId="295C8547" w14:textId="77777777" w:rsidR="00F34618" w:rsidRPr="008437DA" w:rsidRDefault="00F34618" w:rsidP="00F7507F">
            <w:pPr>
              <w:keepNext/>
              <w:keepLines/>
              <w:jc w:val="center"/>
              <w:rPr>
                <w:szCs w:val="22"/>
              </w:rPr>
            </w:pPr>
          </w:p>
          <w:p w14:paraId="5D71C424" w14:textId="77777777" w:rsidR="00F34618" w:rsidRPr="008437DA" w:rsidRDefault="00F34618" w:rsidP="00F7507F">
            <w:pPr>
              <w:keepNext/>
              <w:keepLines/>
              <w:jc w:val="center"/>
              <w:rPr>
                <w:szCs w:val="22"/>
              </w:rPr>
            </w:pPr>
            <w:r w:rsidRPr="008437DA">
              <w:rPr>
                <w:szCs w:val="22"/>
              </w:rPr>
              <w:t>12 ft</w:t>
            </w:r>
            <w:r w:rsidRPr="008437DA">
              <w:rPr>
                <w:szCs w:val="22"/>
                <w:vertAlign w:val="superscript"/>
              </w:rPr>
              <w:t>3</w:t>
            </w:r>
            <w:r w:rsidRPr="008437DA">
              <w:rPr>
                <w:szCs w:val="22"/>
              </w:rPr>
              <w:t>&lt;V≤50 ft</w:t>
            </w:r>
            <w:r w:rsidRPr="008437DA">
              <w:rPr>
                <w:szCs w:val="22"/>
                <w:vertAlign w:val="superscript"/>
              </w:rPr>
              <w:t>3</w:t>
            </w:r>
          </w:p>
        </w:tc>
        <w:tc>
          <w:tcPr>
            <w:tcW w:w="2880" w:type="dxa"/>
            <w:tcBorders>
              <w:top w:val="single" w:sz="12" w:space="0" w:color="auto"/>
              <w:left w:val="single" w:sz="12" w:space="0" w:color="auto"/>
            </w:tcBorders>
            <w:vAlign w:val="center"/>
          </w:tcPr>
          <w:p w14:paraId="707E80A0" w14:textId="77777777" w:rsidR="00F34618" w:rsidRPr="008437DA" w:rsidRDefault="00F34618" w:rsidP="00F7507F">
            <w:pPr>
              <w:keepNext/>
              <w:keepLines/>
              <w:jc w:val="center"/>
              <w:rPr>
                <w:szCs w:val="22"/>
              </w:rPr>
            </w:pPr>
            <w:r w:rsidRPr="008437DA">
              <w:rPr>
                <w:color w:val="000000"/>
                <w:szCs w:val="22"/>
              </w:rPr>
              <w:t>Closed</w:t>
            </w:r>
          </w:p>
        </w:tc>
        <w:tc>
          <w:tcPr>
            <w:tcW w:w="2880" w:type="dxa"/>
            <w:tcBorders>
              <w:top w:val="single" w:sz="12" w:space="0" w:color="auto"/>
            </w:tcBorders>
            <w:vAlign w:val="center"/>
          </w:tcPr>
          <w:p w14:paraId="40197B60" w14:textId="77777777" w:rsidR="00F34618" w:rsidRPr="008437DA" w:rsidRDefault="00F34618" w:rsidP="00F7507F">
            <w:pPr>
              <w:keepNext/>
              <w:keepLines/>
              <w:jc w:val="center"/>
              <w:rPr>
                <w:szCs w:val="22"/>
              </w:rPr>
            </w:pPr>
            <w:r w:rsidRPr="008437DA">
              <w:rPr>
                <w:color w:val="000000"/>
                <w:szCs w:val="22"/>
              </w:rPr>
              <w:t>TS/QTP/SIS</w:t>
            </w:r>
          </w:p>
        </w:tc>
        <w:tc>
          <w:tcPr>
            <w:tcW w:w="2880" w:type="dxa"/>
            <w:tcBorders>
              <w:top w:val="single" w:sz="12" w:space="0" w:color="auto"/>
              <w:right w:val="single" w:sz="12" w:space="0" w:color="auto"/>
            </w:tcBorders>
            <w:vAlign w:val="center"/>
          </w:tcPr>
          <w:p w14:paraId="2C9EF874" w14:textId="77777777" w:rsidR="00F34618" w:rsidRPr="008437DA" w:rsidRDefault="00F34618" w:rsidP="00947566">
            <w:pPr>
              <w:jc w:val="center"/>
              <w:rPr>
                <w:szCs w:val="22"/>
              </w:rPr>
            </w:pPr>
            <w:r w:rsidRPr="008437DA">
              <w:rPr>
                <w:szCs w:val="22"/>
              </w:rPr>
              <w:t>Default</w:t>
            </w:r>
          </w:p>
        </w:tc>
      </w:tr>
      <w:tr w:rsidR="00F34618" w:rsidRPr="00D31EFF" w14:paraId="2CB75760" w14:textId="77777777" w:rsidTr="00F7507F">
        <w:trPr>
          <w:cantSplit/>
          <w:trHeight w:val="288"/>
          <w:jc w:val="center"/>
        </w:trPr>
        <w:tc>
          <w:tcPr>
            <w:tcW w:w="2880" w:type="dxa"/>
            <w:vMerge/>
            <w:tcBorders>
              <w:left w:val="single" w:sz="12" w:space="0" w:color="auto"/>
              <w:right w:val="single" w:sz="12" w:space="0" w:color="auto"/>
            </w:tcBorders>
            <w:vAlign w:val="center"/>
          </w:tcPr>
          <w:p w14:paraId="5DED0BF8" w14:textId="77777777" w:rsidR="00F34618" w:rsidRPr="005E3608" w:rsidRDefault="00F34618" w:rsidP="00F7507F">
            <w:pPr>
              <w:keepNext/>
              <w:keepLines/>
              <w:jc w:val="center"/>
              <w:rPr>
                <w:szCs w:val="22"/>
              </w:rPr>
            </w:pPr>
          </w:p>
        </w:tc>
        <w:tc>
          <w:tcPr>
            <w:tcW w:w="2880" w:type="dxa"/>
            <w:tcBorders>
              <w:left w:val="single" w:sz="12" w:space="0" w:color="auto"/>
            </w:tcBorders>
            <w:vAlign w:val="center"/>
          </w:tcPr>
          <w:p w14:paraId="69F110A4" w14:textId="77777777" w:rsidR="00F34618" w:rsidRPr="005E3608" w:rsidRDefault="00F34618" w:rsidP="00F7507F">
            <w:pPr>
              <w:keepNext/>
              <w:keepLines/>
              <w:jc w:val="center"/>
              <w:rPr>
                <w:szCs w:val="22"/>
              </w:rPr>
            </w:pPr>
            <w:r w:rsidRPr="005E3608">
              <w:rPr>
                <w:color w:val="000000"/>
                <w:szCs w:val="22"/>
              </w:rPr>
              <w:t>Closed</w:t>
            </w:r>
          </w:p>
        </w:tc>
        <w:tc>
          <w:tcPr>
            <w:tcW w:w="2880" w:type="dxa"/>
            <w:vAlign w:val="center"/>
          </w:tcPr>
          <w:p w14:paraId="601864D4"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vAlign w:val="center"/>
          </w:tcPr>
          <w:p w14:paraId="22E0FF85" w14:textId="77777777" w:rsidR="00F34618" w:rsidRPr="005E3608" w:rsidRDefault="00F34618">
            <w:pPr>
              <w:jc w:val="center"/>
              <w:rPr>
                <w:szCs w:val="22"/>
              </w:rPr>
            </w:pPr>
            <w:r w:rsidRPr="005E3608">
              <w:rPr>
                <w:szCs w:val="22"/>
              </w:rPr>
              <w:t>Default</w:t>
            </w:r>
          </w:p>
        </w:tc>
      </w:tr>
      <w:tr w:rsidR="00F34618" w:rsidRPr="00D31EFF" w14:paraId="499689BC" w14:textId="77777777" w:rsidTr="00F7507F">
        <w:trPr>
          <w:cantSplit/>
          <w:trHeight w:val="288"/>
          <w:jc w:val="center"/>
        </w:trPr>
        <w:tc>
          <w:tcPr>
            <w:tcW w:w="2880" w:type="dxa"/>
            <w:vMerge/>
            <w:tcBorders>
              <w:left w:val="single" w:sz="12" w:space="0" w:color="auto"/>
              <w:right w:val="single" w:sz="12" w:space="0" w:color="auto"/>
            </w:tcBorders>
            <w:vAlign w:val="center"/>
          </w:tcPr>
          <w:p w14:paraId="109FD159" w14:textId="77777777" w:rsidR="00F34618" w:rsidRPr="005E3608" w:rsidRDefault="00F34618" w:rsidP="00F7507F">
            <w:pPr>
              <w:keepNext/>
              <w:keepLines/>
              <w:jc w:val="center"/>
              <w:rPr>
                <w:szCs w:val="22"/>
              </w:rPr>
            </w:pPr>
          </w:p>
        </w:tc>
        <w:tc>
          <w:tcPr>
            <w:tcW w:w="2880" w:type="dxa"/>
            <w:tcBorders>
              <w:left w:val="single" w:sz="12" w:space="0" w:color="auto"/>
            </w:tcBorders>
            <w:vAlign w:val="center"/>
          </w:tcPr>
          <w:p w14:paraId="5E2F0425" w14:textId="77777777" w:rsidR="00F34618" w:rsidRPr="005E3608" w:rsidRDefault="00F34618" w:rsidP="00F7507F">
            <w:pPr>
              <w:keepNext/>
              <w:keepLines/>
              <w:jc w:val="center"/>
              <w:rPr>
                <w:szCs w:val="22"/>
              </w:rPr>
            </w:pPr>
            <w:r w:rsidRPr="005E3608">
              <w:rPr>
                <w:color w:val="000000"/>
                <w:szCs w:val="22"/>
              </w:rPr>
              <w:t>Open</w:t>
            </w:r>
          </w:p>
        </w:tc>
        <w:tc>
          <w:tcPr>
            <w:tcW w:w="2880" w:type="dxa"/>
            <w:vAlign w:val="center"/>
          </w:tcPr>
          <w:p w14:paraId="4CBEDDDA"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vAlign w:val="center"/>
          </w:tcPr>
          <w:p w14:paraId="5151C8F0" w14:textId="77777777" w:rsidR="00F34618" w:rsidRPr="005E3608" w:rsidRDefault="00F34618">
            <w:pPr>
              <w:jc w:val="center"/>
              <w:rPr>
                <w:szCs w:val="22"/>
              </w:rPr>
            </w:pPr>
            <w:r w:rsidRPr="005E3608">
              <w:rPr>
                <w:szCs w:val="22"/>
              </w:rPr>
              <w:t>Default</w:t>
            </w:r>
          </w:p>
        </w:tc>
      </w:tr>
      <w:tr w:rsidR="00F34618" w:rsidRPr="00D31EFF" w14:paraId="19616CA0" w14:textId="77777777" w:rsidTr="00F7507F">
        <w:trPr>
          <w:cantSplit/>
          <w:trHeight w:val="288"/>
          <w:jc w:val="center"/>
        </w:trPr>
        <w:tc>
          <w:tcPr>
            <w:tcW w:w="2880" w:type="dxa"/>
            <w:vMerge/>
            <w:tcBorders>
              <w:left w:val="single" w:sz="12" w:space="0" w:color="auto"/>
              <w:right w:val="single" w:sz="12" w:space="0" w:color="auto"/>
            </w:tcBorders>
            <w:vAlign w:val="center"/>
          </w:tcPr>
          <w:p w14:paraId="2F2ED660" w14:textId="77777777" w:rsidR="00F34618" w:rsidRPr="005E3608" w:rsidRDefault="00F34618" w:rsidP="00F7507F">
            <w:pPr>
              <w:keepNext/>
              <w:keepLines/>
              <w:jc w:val="center"/>
              <w:rPr>
                <w:szCs w:val="22"/>
              </w:rPr>
            </w:pPr>
          </w:p>
        </w:tc>
        <w:tc>
          <w:tcPr>
            <w:tcW w:w="2880" w:type="dxa"/>
            <w:tcBorders>
              <w:left w:val="single" w:sz="12" w:space="0" w:color="auto"/>
            </w:tcBorders>
            <w:vAlign w:val="center"/>
          </w:tcPr>
          <w:p w14:paraId="32E2FBFD" w14:textId="77777777" w:rsidR="00F34618" w:rsidRPr="005E3608" w:rsidRDefault="00F34618" w:rsidP="00F7507F">
            <w:pPr>
              <w:keepNext/>
              <w:keepLines/>
              <w:jc w:val="center"/>
              <w:rPr>
                <w:szCs w:val="22"/>
              </w:rPr>
            </w:pPr>
            <w:r w:rsidRPr="005E3608">
              <w:rPr>
                <w:color w:val="000000"/>
                <w:szCs w:val="22"/>
              </w:rPr>
              <w:t>Open</w:t>
            </w:r>
          </w:p>
        </w:tc>
        <w:tc>
          <w:tcPr>
            <w:tcW w:w="2880" w:type="dxa"/>
            <w:vAlign w:val="center"/>
          </w:tcPr>
          <w:p w14:paraId="48E9EDF4"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vAlign w:val="center"/>
          </w:tcPr>
          <w:p w14:paraId="515A89B3" w14:textId="77777777" w:rsidR="00F34618" w:rsidRPr="005E3608" w:rsidRDefault="00F34618">
            <w:pPr>
              <w:jc w:val="center"/>
              <w:rPr>
                <w:szCs w:val="22"/>
              </w:rPr>
            </w:pPr>
            <w:r w:rsidRPr="005E3608">
              <w:rPr>
                <w:szCs w:val="22"/>
              </w:rPr>
              <w:t>Default</w:t>
            </w:r>
          </w:p>
        </w:tc>
      </w:tr>
      <w:tr w:rsidR="00F34618" w:rsidRPr="00D31EFF" w14:paraId="631F1C13" w14:textId="77777777" w:rsidTr="00F7507F">
        <w:trPr>
          <w:cantSplit/>
          <w:trHeight w:val="288"/>
          <w:jc w:val="center"/>
        </w:trPr>
        <w:tc>
          <w:tcPr>
            <w:tcW w:w="2880" w:type="dxa"/>
            <w:vMerge/>
            <w:tcBorders>
              <w:left w:val="single" w:sz="12" w:space="0" w:color="auto"/>
              <w:right w:val="single" w:sz="12" w:space="0" w:color="auto"/>
            </w:tcBorders>
            <w:vAlign w:val="center"/>
          </w:tcPr>
          <w:p w14:paraId="4990EC5F"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57C8E5D5" w14:textId="77777777" w:rsidR="00F34618" w:rsidRPr="005E3608" w:rsidRDefault="00F34618" w:rsidP="00F7507F">
            <w:pPr>
              <w:keepNext/>
              <w:keepLines/>
              <w:jc w:val="center"/>
              <w:rPr>
                <w:szCs w:val="22"/>
              </w:rPr>
            </w:pPr>
            <w:r w:rsidRPr="005E3608">
              <w:rPr>
                <w:color w:val="000000"/>
                <w:szCs w:val="22"/>
              </w:rPr>
              <w:t>Closed</w:t>
            </w:r>
          </w:p>
        </w:tc>
        <w:tc>
          <w:tcPr>
            <w:tcW w:w="2880" w:type="dxa"/>
            <w:shd w:val="clear" w:color="auto" w:fill="D9D9D9" w:themeFill="background1" w:themeFillShade="D9"/>
            <w:vAlign w:val="center"/>
          </w:tcPr>
          <w:p w14:paraId="5125F6BE"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shd w:val="clear" w:color="auto" w:fill="D9D9D9" w:themeFill="background1" w:themeFillShade="D9"/>
            <w:vAlign w:val="center"/>
          </w:tcPr>
          <w:p w14:paraId="3877B31C" w14:textId="77777777" w:rsidR="00F34618" w:rsidRPr="005E3608" w:rsidRDefault="00F34618">
            <w:pPr>
              <w:jc w:val="center"/>
              <w:rPr>
                <w:szCs w:val="22"/>
              </w:rPr>
            </w:pPr>
            <w:r w:rsidRPr="005E3608">
              <w:rPr>
                <w:szCs w:val="22"/>
              </w:rPr>
              <w:t>Low</w:t>
            </w:r>
          </w:p>
        </w:tc>
      </w:tr>
      <w:tr w:rsidR="00F34618" w:rsidRPr="00D31EFF" w14:paraId="5A794268" w14:textId="77777777" w:rsidTr="00F7507F">
        <w:trPr>
          <w:cantSplit/>
          <w:trHeight w:val="288"/>
          <w:jc w:val="center"/>
        </w:trPr>
        <w:tc>
          <w:tcPr>
            <w:tcW w:w="2880" w:type="dxa"/>
            <w:vMerge/>
            <w:tcBorders>
              <w:left w:val="single" w:sz="12" w:space="0" w:color="auto"/>
              <w:right w:val="single" w:sz="12" w:space="0" w:color="auto"/>
            </w:tcBorders>
            <w:vAlign w:val="center"/>
          </w:tcPr>
          <w:p w14:paraId="3B84FC1D"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77C8BDFF" w14:textId="77777777" w:rsidR="00F34618" w:rsidRPr="005E3608" w:rsidRDefault="00F34618" w:rsidP="00F7507F">
            <w:pPr>
              <w:keepNext/>
              <w:keepLines/>
              <w:jc w:val="center"/>
              <w:rPr>
                <w:szCs w:val="22"/>
              </w:rPr>
            </w:pPr>
            <w:r w:rsidRPr="005E3608">
              <w:rPr>
                <w:color w:val="000000"/>
                <w:szCs w:val="22"/>
              </w:rPr>
              <w:t>Closed</w:t>
            </w:r>
          </w:p>
        </w:tc>
        <w:tc>
          <w:tcPr>
            <w:tcW w:w="2880" w:type="dxa"/>
            <w:shd w:val="clear" w:color="auto" w:fill="D9D9D9" w:themeFill="background1" w:themeFillShade="D9"/>
            <w:vAlign w:val="center"/>
          </w:tcPr>
          <w:p w14:paraId="6B2DDB31"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shd w:val="clear" w:color="auto" w:fill="D9D9D9" w:themeFill="background1" w:themeFillShade="D9"/>
            <w:vAlign w:val="center"/>
          </w:tcPr>
          <w:p w14:paraId="593ED4DF" w14:textId="77777777" w:rsidR="00F34618" w:rsidRPr="005E3608" w:rsidRDefault="00F34618">
            <w:pPr>
              <w:jc w:val="center"/>
              <w:rPr>
                <w:szCs w:val="22"/>
              </w:rPr>
            </w:pPr>
            <w:r w:rsidRPr="005E3608">
              <w:rPr>
                <w:szCs w:val="22"/>
              </w:rPr>
              <w:t>Low</w:t>
            </w:r>
          </w:p>
        </w:tc>
      </w:tr>
      <w:tr w:rsidR="00F34618" w:rsidRPr="00D31EFF" w14:paraId="2B3F4EA2" w14:textId="77777777" w:rsidTr="00F7507F">
        <w:trPr>
          <w:cantSplit/>
          <w:trHeight w:val="288"/>
          <w:jc w:val="center"/>
        </w:trPr>
        <w:tc>
          <w:tcPr>
            <w:tcW w:w="2880" w:type="dxa"/>
            <w:vMerge/>
            <w:tcBorders>
              <w:left w:val="single" w:sz="12" w:space="0" w:color="auto"/>
              <w:right w:val="single" w:sz="12" w:space="0" w:color="auto"/>
            </w:tcBorders>
            <w:vAlign w:val="center"/>
          </w:tcPr>
          <w:p w14:paraId="78F56FFC"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7AD61F70" w14:textId="77777777" w:rsidR="00F34618" w:rsidRPr="005E3608" w:rsidRDefault="00F34618" w:rsidP="00F7507F">
            <w:pPr>
              <w:keepNext/>
              <w:keepLines/>
              <w:jc w:val="center"/>
              <w:rPr>
                <w:szCs w:val="22"/>
              </w:rPr>
            </w:pPr>
            <w:r w:rsidRPr="005E3608">
              <w:rPr>
                <w:color w:val="000000"/>
                <w:szCs w:val="22"/>
              </w:rPr>
              <w:t>Open</w:t>
            </w:r>
          </w:p>
        </w:tc>
        <w:tc>
          <w:tcPr>
            <w:tcW w:w="2880" w:type="dxa"/>
            <w:shd w:val="clear" w:color="auto" w:fill="D9D9D9" w:themeFill="background1" w:themeFillShade="D9"/>
            <w:vAlign w:val="center"/>
          </w:tcPr>
          <w:p w14:paraId="03810680"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shd w:val="clear" w:color="auto" w:fill="D9D9D9" w:themeFill="background1" w:themeFillShade="D9"/>
            <w:vAlign w:val="center"/>
          </w:tcPr>
          <w:p w14:paraId="07E304E4" w14:textId="77777777" w:rsidR="00F34618" w:rsidRPr="005E3608" w:rsidRDefault="00F34618">
            <w:pPr>
              <w:jc w:val="center"/>
              <w:rPr>
                <w:szCs w:val="22"/>
              </w:rPr>
            </w:pPr>
            <w:r w:rsidRPr="005E3608">
              <w:rPr>
                <w:szCs w:val="22"/>
              </w:rPr>
              <w:t>Low</w:t>
            </w:r>
          </w:p>
        </w:tc>
      </w:tr>
      <w:tr w:rsidR="00F34618" w:rsidRPr="00D31EFF" w14:paraId="4ADDA0CD" w14:textId="77777777" w:rsidTr="00F7507F">
        <w:trPr>
          <w:cantSplit/>
          <w:trHeight w:val="288"/>
          <w:jc w:val="center"/>
        </w:trPr>
        <w:tc>
          <w:tcPr>
            <w:tcW w:w="2880" w:type="dxa"/>
            <w:vMerge/>
            <w:tcBorders>
              <w:left w:val="single" w:sz="12" w:space="0" w:color="auto"/>
              <w:right w:val="single" w:sz="12" w:space="0" w:color="auto"/>
            </w:tcBorders>
            <w:vAlign w:val="center"/>
          </w:tcPr>
          <w:p w14:paraId="36B87258"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5D077D79" w14:textId="77777777" w:rsidR="00F34618" w:rsidRPr="005E3608" w:rsidRDefault="00F34618" w:rsidP="00F7507F">
            <w:pPr>
              <w:keepNext/>
              <w:keepLines/>
              <w:jc w:val="center"/>
              <w:rPr>
                <w:szCs w:val="22"/>
              </w:rPr>
            </w:pPr>
            <w:r w:rsidRPr="005E3608">
              <w:rPr>
                <w:color w:val="000000"/>
                <w:szCs w:val="22"/>
              </w:rPr>
              <w:t>Open</w:t>
            </w:r>
          </w:p>
        </w:tc>
        <w:tc>
          <w:tcPr>
            <w:tcW w:w="2880" w:type="dxa"/>
            <w:shd w:val="clear" w:color="auto" w:fill="D9D9D9" w:themeFill="background1" w:themeFillShade="D9"/>
            <w:vAlign w:val="center"/>
          </w:tcPr>
          <w:p w14:paraId="03656D31"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shd w:val="clear" w:color="auto" w:fill="D9D9D9" w:themeFill="background1" w:themeFillShade="D9"/>
            <w:vAlign w:val="center"/>
          </w:tcPr>
          <w:p w14:paraId="651AA94B" w14:textId="77777777" w:rsidR="00F34618" w:rsidRPr="005E3608" w:rsidRDefault="00F34618">
            <w:pPr>
              <w:jc w:val="center"/>
              <w:rPr>
                <w:szCs w:val="22"/>
              </w:rPr>
            </w:pPr>
            <w:r w:rsidRPr="005E3608">
              <w:rPr>
                <w:szCs w:val="22"/>
              </w:rPr>
              <w:t>Low</w:t>
            </w:r>
          </w:p>
        </w:tc>
      </w:tr>
      <w:tr w:rsidR="00F34618" w:rsidRPr="00D31EFF" w14:paraId="54380D9A" w14:textId="77777777" w:rsidTr="00F7507F">
        <w:trPr>
          <w:cantSplit/>
          <w:trHeight w:val="288"/>
          <w:jc w:val="center"/>
        </w:trPr>
        <w:tc>
          <w:tcPr>
            <w:tcW w:w="2880" w:type="dxa"/>
            <w:vMerge/>
            <w:tcBorders>
              <w:left w:val="single" w:sz="12" w:space="0" w:color="auto"/>
              <w:right w:val="single" w:sz="12" w:space="0" w:color="auto"/>
            </w:tcBorders>
            <w:vAlign w:val="center"/>
          </w:tcPr>
          <w:p w14:paraId="336EAA4C"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3787E693" w14:textId="77777777" w:rsidR="00F34618" w:rsidRPr="005E3608" w:rsidRDefault="00F34618" w:rsidP="00F7507F">
            <w:pPr>
              <w:keepNext/>
              <w:keepLines/>
              <w:jc w:val="center"/>
              <w:rPr>
                <w:szCs w:val="22"/>
              </w:rPr>
            </w:pPr>
            <w:r w:rsidRPr="005E3608">
              <w:rPr>
                <w:color w:val="000000"/>
                <w:szCs w:val="22"/>
              </w:rPr>
              <w:t>Closed</w:t>
            </w:r>
          </w:p>
        </w:tc>
        <w:tc>
          <w:tcPr>
            <w:tcW w:w="2880" w:type="dxa"/>
            <w:shd w:val="clear" w:color="auto" w:fill="D9D9D9" w:themeFill="background1" w:themeFillShade="D9"/>
            <w:vAlign w:val="center"/>
          </w:tcPr>
          <w:p w14:paraId="73A55B62"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shd w:val="clear" w:color="auto" w:fill="D9D9D9" w:themeFill="background1" w:themeFillShade="D9"/>
            <w:vAlign w:val="center"/>
          </w:tcPr>
          <w:p w14:paraId="29AFB178" w14:textId="77777777" w:rsidR="00F34618" w:rsidRPr="005E3608" w:rsidRDefault="00F34618">
            <w:pPr>
              <w:jc w:val="center"/>
              <w:rPr>
                <w:szCs w:val="22"/>
              </w:rPr>
            </w:pPr>
            <w:r w:rsidRPr="005E3608">
              <w:rPr>
                <w:szCs w:val="22"/>
              </w:rPr>
              <w:t>Very Low</w:t>
            </w:r>
          </w:p>
        </w:tc>
      </w:tr>
      <w:tr w:rsidR="00F34618" w:rsidRPr="00D31EFF" w14:paraId="0602C8C8" w14:textId="77777777" w:rsidTr="00F7507F">
        <w:trPr>
          <w:cantSplit/>
          <w:trHeight w:val="288"/>
          <w:jc w:val="center"/>
        </w:trPr>
        <w:tc>
          <w:tcPr>
            <w:tcW w:w="2880" w:type="dxa"/>
            <w:vMerge/>
            <w:tcBorders>
              <w:left w:val="single" w:sz="12" w:space="0" w:color="auto"/>
              <w:right w:val="single" w:sz="12" w:space="0" w:color="auto"/>
            </w:tcBorders>
            <w:vAlign w:val="center"/>
          </w:tcPr>
          <w:p w14:paraId="056EB1F4"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02AD8B6D" w14:textId="77777777" w:rsidR="00F34618" w:rsidRPr="005E3608" w:rsidRDefault="00F34618" w:rsidP="00F7507F">
            <w:pPr>
              <w:keepNext/>
              <w:keepLines/>
              <w:jc w:val="center"/>
              <w:rPr>
                <w:szCs w:val="22"/>
              </w:rPr>
            </w:pPr>
            <w:r w:rsidRPr="005E3608">
              <w:rPr>
                <w:color w:val="000000"/>
                <w:szCs w:val="22"/>
              </w:rPr>
              <w:t>Closed</w:t>
            </w:r>
          </w:p>
        </w:tc>
        <w:tc>
          <w:tcPr>
            <w:tcW w:w="2880" w:type="dxa"/>
            <w:shd w:val="clear" w:color="auto" w:fill="D9D9D9" w:themeFill="background1" w:themeFillShade="D9"/>
            <w:vAlign w:val="center"/>
          </w:tcPr>
          <w:p w14:paraId="56CA8766" w14:textId="77777777" w:rsidR="00F34618" w:rsidRPr="005E3608" w:rsidRDefault="00F34618" w:rsidP="00F7507F">
            <w:pPr>
              <w:keepNext/>
              <w:keepLines/>
              <w:jc w:val="center"/>
              <w:rPr>
                <w:szCs w:val="22"/>
              </w:rPr>
            </w:pPr>
            <w:r w:rsidRPr="005E3608">
              <w:rPr>
                <w:color w:val="000000"/>
                <w:szCs w:val="22"/>
              </w:rPr>
              <w:t>TP</w:t>
            </w:r>
          </w:p>
        </w:tc>
        <w:tc>
          <w:tcPr>
            <w:tcW w:w="2880" w:type="dxa"/>
            <w:tcBorders>
              <w:right w:val="single" w:sz="12" w:space="0" w:color="auto"/>
            </w:tcBorders>
            <w:shd w:val="clear" w:color="auto" w:fill="D9D9D9" w:themeFill="background1" w:themeFillShade="D9"/>
            <w:vAlign w:val="center"/>
          </w:tcPr>
          <w:p w14:paraId="32B933BE" w14:textId="77777777" w:rsidR="00F34618" w:rsidRPr="005E3608" w:rsidRDefault="00F34618">
            <w:pPr>
              <w:jc w:val="center"/>
              <w:rPr>
                <w:szCs w:val="22"/>
              </w:rPr>
            </w:pPr>
            <w:r w:rsidRPr="005E3608">
              <w:rPr>
                <w:szCs w:val="22"/>
              </w:rPr>
              <w:t>Very Low</w:t>
            </w:r>
          </w:p>
        </w:tc>
      </w:tr>
      <w:tr w:rsidR="00F34618" w:rsidRPr="00D31EFF" w14:paraId="3C205BEF" w14:textId="77777777" w:rsidTr="00F7507F">
        <w:trPr>
          <w:cantSplit/>
          <w:trHeight w:val="288"/>
          <w:jc w:val="center"/>
        </w:trPr>
        <w:tc>
          <w:tcPr>
            <w:tcW w:w="2880" w:type="dxa"/>
            <w:vMerge/>
            <w:tcBorders>
              <w:left w:val="single" w:sz="12" w:space="0" w:color="auto"/>
              <w:right w:val="single" w:sz="12" w:space="0" w:color="auto"/>
            </w:tcBorders>
            <w:vAlign w:val="center"/>
          </w:tcPr>
          <w:p w14:paraId="33DD6272" w14:textId="77777777" w:rsidR="00F34618" w:rsidRPr="005E3608" w:rsidRDefault="00F34618" w:rsidP="00F7507F">
            <w:pPr>
              <w:keepNext/>
              <w:keepLines/>
              <w:jc w:val="center"/>
              <w:rPr>
                <w:szCs w:val="22"/>
              </w:rPr>
            </w:pPr>
          </w:p>
        </w:tc>
        <w:tc>
          <w:tcPr>
            <w:tcW w:w="2880" w:type="dxa"/>
            <w:tcBorders>
              <w:left w:val="single" w:sz="12" w:space="0" w:color="auto"/>
            </w:tcBorders>
            <w:shd w:val="clear" w:color="auto" w:fill="D9D9D9" w:themeFill="background1" w:themeFillShade="D9"/>
            <w:vAlign w:val="center"/>
          </w:tcPr>
          <w:p w14:paraId="4F167552" w14:textId="77777777" w:rsidR="00F34618" w:rsidRPr="005E3608" w:rsidRDefault="00F34618" w:rsidP="00F7507F">
            <w:pPr>
              <w:keepNext/>
              <w:keepLines/>
              <w:jc w:val="center"/>
              <w:rPr>
                <w:szCs w:val="22"/>
              </w:rPr>
            </w:pPr>
            <w:r w:rsidRPr="005E3608">
              <w:rPr>
                <w:color w:val="000000"/>
                <w:szCs w:val="22"/>
              </w:rPr>
              <w:t>Open</w:t>
            </w:r>
          </w:p>
        </w:tc>
        <w:tc>
          <w:tcPr>
            <w:tcW w:w="2880" w:type="dxa"/>
            <w:shd w:val="clear" w:color="auto" w:fill="D9D9D9" w:themeFill="background1" w:themeFillShade="D9"/>
            <w:vAlign w:val="center"/>
          </w:tcPr>
          <w:p w14:paraId="2B9FB6B0" w14:textId="77777777" w:rsidR="00F34618" w:rsidRPr="005E3608" w:rsidRDefault="00F34618" w:rsidP="00F7507F">
            <w:pPr>
              <w:keepNext/>
              <w:keepLines/>
              <w:jc w:val="center"/>
              <w:rPr>
                <w:szCs w:val="22"/>
              </w:rPr>
            </w:pPr>
            <w:r w:rsidRPr="005E3608">
              <w:rPr>
                <w:color w:val="000000"/>
                <w:szCs w:val="22"/>
              </w:rPr>
              <w:t>TS/QTP/SIS</w:t>
            </w:r>
          </w:p>
        </w:tc>
        <w:tc>
          <w:tcPr>
            <w:tcW w:w="2880" w:type="dxa"/>
            <w:tcBorders>
              <w:right w:val="single" w:sz="12" w:space="0" w:color="auto"/>
            </w:tcBorders>
            <w:shd w:val="clear" w:color="auto" w:fill="D9D9D9" w:themeFill="background1" w:themeFillShade="D9"/>
            <w:vAlign w:val="center"/>
          </w:tcPr>
          <w:p w14:paraId="293046FF" w14:textId="77777777" w:rsidR="00F34618" w:rsidRPr="005E3608" w:rsidRDefault="00F34618">
            <w:pPr>
              <w:jc w:val="center"/>
              <w:rPr>
                <w:szCs w:val="22"/>
              </w:rPr>
            </w:pPr>
            <w:r w:rsidRPr="005E3608">
              <w:rPr>
                <w:szCs w:val="22"/>
              </w:rPr>
              <w:t>Very Low</w:t>
            </w:r>
          </w:p>
        </w:tc>
      </w:tr>
      <w:tr w:rsidR="00F34618" w:rsidRPr="00D31EFF" w14:paraId="7518283A" w14:textId="77777777" w:rsidTr="00F7507F">
        <w:trPr>
          <w:cantSplit/>
          <w:trHeight w:val="288"/>
          <w:jc w:val="center"/>
        </w:trPr>
        <w:tc>
          <w:tcPr>
            <w:tcW w:w="2880" w:type="dxa"/>
            <w:vMerge/>
            <w:tcBorders>
              <w:left w:val="single" w:sz="12" w:space="0" w:color="auto"/>
              <w:bottom w:val="single" w:sz="12" w:space="0" w:color="auto"/>
              <w:right w:val="single" w:sz="12" w:space="0" w:color="auto"/>
            </w:tcBorders>
            <w:vAlign w:val="center"/>
          </w:tcPr>
          <w:p w14:paraId="4073BB9D" w14:textId="77777777" w:rsidR="00F34618" w:rsidRPr="005E3608" w:rsidRDefault="00F34618" w:rsidP="00F7507F">
            <w:pPr>
              <w:keepNext/>
              <w:keepLines/>
              <w:jc w:val="center"/>
              <w:rPr>
                <w:szCs w:val="22"/>
              </w:rPr>
            </w:pPr>
          </w:p>
        </w:tc>
        <w:tc>
          <w:tcPr>
            <w:tcW w:w="2880" w:type="dxa"/>
            <w:tcBorders>
              <w:left w:val="single" w:sz="12" w:space="0" w:color="auto"/>
              <w:bottom w:val="single" w:sz="12" w:space="0" w:color="auto"/>
            </w:tcBorders>
            <w:shd w:val="clear" w:color="auto" w:fill="D9D9D9" w:themeFill="background1" w:themeFillShade="D9"/>
            <w:vAlign w:val="center"/>
          </w:tcPr>
          <w:p w14:paraId="32F13D11" w14:textId="77777777" w:rsidR="00F34618" w:rsidRPr="005E3608" w:rsidRDefault="00F34618" w:rsidP="00F7507F">
            <w:pPr>
              <w:keepNext/>
              <w:keepLines/>
              <w:jc w:val="center"/>
              <w:rPr>
                <w:szCs w:val="22"/>
              </w:rPr>
            </w:pPr>
            <w:r w:rsidRPr="005E3608">
              <w:rPr>
                <w:color w:val="000000"/>
                <w:szCs w:val="22"/>
              </w:rPr>
              <w:t>Open</w:t>
            </w:r>
          </w:p>
        </w:tc>
        <w:tc>
          <w:tcPr>
            <w:tcW w:w="2880" w:type="dxa"/>
            <w:tcBorders>
              <w:bottom w:val="single" w:sz="12" w:space="0" w:color="auto"/>
            </w:tcBorders>
            <w:shd w:val="clear" w:color="auto" w:fill="D9D9D9" w:themeFill="background1" w:themeFillShade="D9"/>
            <w:vAlign w:val="center"/>
          </w:tcPr>
          <w:p w14:paraId="6BC09681" w14:textId="77777777" w:rsidR="00F34618" w:rsidRPr="005E3608" w:rsidRDefault="00F34618" w:rsidP="00F7507F">
            <w:pPr>
              <w:keepNext/>
              <w:keepLines/>
              <w:jc w:val="center"/>
              <w:rPr>
                <w:szCs w:val="22"/>
              </w:rPr>
            </w:pPr>
            <w:r w:rsidRPr="005E3608">
              <w:rPr>
                <w:color w:val="000000"/>
                <w:szCs w:val="22"/>
              </w:rPr>
              <w:t>TP</w:t>
            </w:r>
          </w:p>
        </w:tc>
        <w:tc>
          <w:tcPr>
            <w:tcW w:w="2880" w:type="dxa"/>
            <w:tcBorders>
              <w:bottom w:val="single" w:sz="12" w:space="0" w:color="auto"/>
              <w:right w:val="single" w:sz="12" w:space="0" w:color="auto"/>
            </w:tcBorders>
            <w:shd w:val="clear" w:color="auto" w:fill="D9D9D9" w:themeFill="background1" w:themeFillShade="D9"/>
            <w:vAlign w:val="center"/>
          </w:tcPr>
          <w:p w14:paraId="565AD131" w14:textId="77777777" w:rsidR="00F34618" w:rsidRPr="005E3608" w:rsidRDefault="00F34618">
            <w:pPr>
              <w:jc w:val="center"/>
              <w:rPr>
                <w:szCs w:val="22"/>
              </w:rPr>
            </w:pPr>
            <w:r w:rsidRPr="005E3608">
              <w:rPr>
                <w:szCs w:val="22"/>
              </w:rPr>
              <w:t>Very Low</w:t>
            </w:r>
          </w:p>
        </w:tc>
      </w:tr>
      <w:tr w:rsidR="00F34618" w:rsidRPr="00D31EFF" w14:paraId="2C62D744" w14:textId="77777777" w:rsidTr="00F7507F">
        <w:trPr>
          <w:cantSplit/>
          <w:trHeight w:val="288"/>
          <w:jc w:val="center"/>
        </w:trPr>
        <w:tc>
          <w:tcPr>
            <w:tcW w:w="2880" w:type="dxa"/>
            <w:tcBorders>
              <w:top w:val="single" w:sz="12" w:space="0" w:color="auto"/>
              <w:left w:val="single" w:sz="12" w:space="0" w:color="auto"/>
              <w:bottom w:val="single" w:sz="12" w:space="0" w:color="auto"/>
              <w:right w:val="single" w:sz="12" w:space="0" w:color="auto"/>
            </w:tcBorders>
            <w:vAlign w:val="center"/>
          </w:tcPr>
          <w:p w14:paraId="3ACC3AB2" w14:textId="77777777" w:rsidR="00F34618" w:rsidRPr="008437DA" w:rsidRDefault="00F34618" w:rsidP="00F7507F">
            <w:pPr>
              <w:keepNext/>
              <w:keepLines/>
              <w:jc w:val="center"/>
              <w:rPr>
                <w:szCs w:val="22"/>
              </w:rPr>
            </w:pPr>
            <w:r w:rsidRPr="008437DA">
              <w:rPr>
                <w:szCs w:val="22"/>
              </w:rPr>
              <w:t>Small Enclosures</w:t>
            </w:r>
          </w:p>
        </w:tc>
        <w:tc>
          <w:tcPr>
            <w:tcW w:w="2880" w:type="dxa"/>
            <w:tcBorders>
              <w:top w:val="single" w:sz="12" w:space="0" w:color="auto"/>
              <w:left w:val="single" w:sz="12" w:space="0" w:color="auto"/>
              <w:bottom w:val="single" w:sz="12" w:space="0" w:color="auto"/>
            </w:tcBorders>
            <w:vAlign w:val="center"/>
          </w:tcPr>
          <w:p w14:paraId="47F4A1CB" w14:textId="77777777" w:rsidR="00F34618" w:rsidRPr="008437DA" w:rsidRDefault="00F34618" w:rsidP="00F7507F">
            <w:pPr>
              <w:keepNext/>
              <w:keepLines/>
              <w:jc w:val="center"/>
              <w:rPr>
                <w:szCs w:val="22"/>
              </w:rPr>
            </w:pPr>
            <w:r w:rsidRPr="008437DA">
              <w:rPr>
                <w:szCs w:val="22"/>
              </w:rPr>
              <w:t>NA</w:t>
            </w:r>
          </w:p>
        </w:tc>
        <w:tc>
          <w:tcPr>
            <w:tcW w:w="2880" w:type="dxa"/>
            <w:tcBorders>
              <w:top w:val="single" w:sz="12" w:space="0" w:color="auto"/>
              <w:bottom w:val="single" w:sz="12" w:space="0" w:color="auto"/>
            </w:tcBorders>
            <w:vAlign w:val="center"/>
          </w:tcPr>
          <w:p w14:paraId="0EEFCE81" w14:textId="77777777" w:rsidR="00F34618" w:rsidRPr="008437DA" w:rsidRDefault="00F34618" w:rsidP="00F7507F">
            <w:pPr>
              <w:keepNext/>
              <w:keepLines/>
              <w:jc w:val="center"/>
              <w:rPr>
                <w:szCs w:val="22"/>
              </w:rPr>
            </w:pPr>
            <w:r w:rsidRPr="008437DA">
              <w:rPr>
                <w:szCs w:val="22"/>
              </w:rPr>
              <w:t>All</w:t>
            </w:r>
          </w:p>
        </w:tc>
        <w:tc>
          <w:tcPr>
            <w:tcW w:w="2880" w:type="dxa"/>
            <w:tcBorders>
              <w:top w:val="single" w:sz="12" w:space="0" w:color="auto"/>
              <w:bottom w:val="single" w:sz="12" w:space="0" w:color="auto"/>
              <w:right w:val="single" w:sz="12" w:space="0" w:color="auto"/>
            </w:tcBorders>
            <w:vAlign w:val="center"/>
          </w:tcPr>
          <w:p w14:paraId="20D1D19A" w14:textId="77777777" w:rsidR="00F34618" w:rsidRPr="008437DA" w:rsidRDefault="00F34618" w:rsidP="008E14C2">
            <w:pPr>
              <w:jc w:val="center"/>
              <w:rPr>
                <w:szCs w:val="22"/>
              </w:rPr>
            </w:pPr>
            <w:r w:rsidRPr="008437DA">
              <w:rPr>
                <w:szCs w:val="22"/>
              </w:rPr>
              <w:t>Default</w:t>
            </w:r>
          </w:p>
        </w:tc>
      </w:tr>
      <w:tr w:rsidR="00F34618" w:rsidRPr="00D31EFF" w14:paraId="1BB3BBBA" w14:textId="77777777" w:rsidTr="00F7507F">
        <w:trPr>
          <w:cantSplit/>
          <w:trHeight w:val="288"/>
          <w:jc w:val="center"/>
        </w:trPr>
        <w:tc>
          <w:tcPr>
            <w:tcW w:w="8640" w:type="dxa"/>
            <w:gridSpan w:val="4"/>
            <w:tcBorders>
              <w:top w:val="single" w:sz="12" w:space="0" w:color="auto"/>
              <w:left w:val="nil"/>
              <w:bottom w:val="nil"/>
              <w:right w:val="nil"/>
            </w:tcBorders>
            <w:vAlign w:val="center"/>
          </w:tcPr>
          <w:p w14:paraId="3FF7ACFA" w14:textId="6C357A17" w:rsidR="00F34618" w:rsidRPr="008437DA" w:rsidRDefault="00F34618" w:rsidP="00F7507F">
            <w:pPr>
              <w:keepNext/>
              <w:keepLines/>
              <w:rPr>
                <w:szCs w:val="22"/>
              </w:rPr>
            </w:pPr>
            <w:r>
              <w:rPr>
                <w:szCs w:val="22"/>
              </w:rPr>
              <w:t>* TS=</w:t>
            </w:r>
            <w:r w:rsidR="006846E5">
              <w:rPr>
                <w:szCs w:val="22"/>
              </w:rPr>
              <w:t>T</w:t>
            </w:r>
            <w:r>
              <w:rPr>
                <w:szCs w:val="22"/>
              </w:rPr>
              <w:t>hermoset, QTP=</w:t>
            </w:r>
            <w:r w:rsidR="006846E5">
              <w:rPr>
                <w:szCs w:val="22"/>
              </w:rPr>
              <w:t>Q</w:t>
            </w:r>
            <w:r>
              <w:rPr>
                <w:szCs w:val="22"/>
              </w:rPr>
              <w:t>ualified</w:t>
            </w:r>
            <w:r w:rsidR="006846E5">
              <w:rPr>
                <w:szCs w:val="22"/>
              </w:rPr>
              <w:t xml:space="preserve"> TP</w:t>
            </w:r>
            <w:r w:rsidR="00947566">
              <w:rPr>
                <w:szCs w:val="22"/>
              </w:rPr>
              <w:t>, SIS=</w:t>
            </w:r>
            <w:r w:rsidR="006846E5">
              <w:rPr>
                <w:szCs w:val="22"/>
              </w:rPr>
              <w:t>S</w:t>
            </w:r>
            <w:r w:rsidR="00947566">
              <w:rPr>
                <w:szCs w:val="22"/>
              </w:rPr>
              <w:t xml:space="preserve">witchboard </w:t>
            </w:r>
            <w:r w:rsidR="006846E5">
              <w:rPr>
                <w:szCs w:val="22"/>
              </w:rPr>
              <w:t>W</w:t>
            </w:r>
            <w:r w:rsidR="00947566">
              <w:rPr>
                <w:szCs w:val="22"/>
              </w:rPr>
              <w:t>ire, TP=</w:t>
            </w:r>
            <w:r w:rsidR="006846E5">
              <w:rPr>
                <w:szCs w:val="22"/>
              </w:rPr>
              <w:t>T</w:t>
            </w:r>
            <w:r w:rsidR="00947566">
              <w:rPr>
                <w:szCs w:val="22"/>
              </w:rPr>
              <w:t>hermoplastic</w:t>
            </w:r>
            <w:r>
              <w:rPr>
                <w:szCs w:val="22"/>
              </w:rPr>
              <w:t xml:space="preserve"> </w:t>
            </w:r>
          </w:p>
        </w:tc>
      </w:tr>
    </w:tbl>
    <w:p w14:paraId="66E908C5" w14:textId="647123C8" w:rsidR="00F34618" w:rsidRDefault="00F34618" w:rsidP="00F346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7A92BE" w14:textId="213430D2" w:rsidR="00947566" w:rsidRDefault="00F34618" w:rsidP="009475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basis for the HRR parameters</w:t>
      </w:r>
      <w:r w:rsidR="00947566">
        <w:t xml:space="preserve"> of electrical enclosures</w:t>
      </w:r>
      <w:r w:rsidR="001379D6">
        <w:t xml:space="preserve"> in Table A5.1 of Attachment 5 to Appendix F</w:t>
      </w:r>
      <w:r w:rsidR="00947566">
        <w:t xml:space="preserve"> is provided below:</w:t>
      </w:r>
    </w:p>
    <w:p w14:paraId="2CF6548C" w14:textId="77777777" w:rsidR="00072BC0" w:rsidRDefault="00072BC0" w:rsidP="00072B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165076" w14:textId="22DD0992" w:rsidR="00072BC0" w:rsidRPr="00426C19" w:rsidRDefault="00072BC0" w:rsidP="004D46E2">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HRR</w:t>
      </w:r>
      <w:r w:rsidRPr="00072BC0">
        <w:rPr>
          <w:vertAlign w:val="subscript"/>
        </w:rPr>
        <w:t>peak</w:t>
      </w:r>
      <w:r>
        <w:t xml:space="preserve"> for a fixed ignition source is the 98</w:t>
      </w:r>
      <w:r w:rsidRPr="00072BC0">
        <w:rPr>
          <w:vertAlign w:val="superscript"/>
        </w:rPr>
        <w:t>th</w:t>
      </w:r>
      <w:r>
        <w:t xml:space="preserve"> percentile HRR from the gamma distribution of the peak HRR of the source.  HRR</w:t>
      </w:r>
      <w:r w:rsidRPr="00072BC0">
        <w:rPr>
          <w:vertAlign w:val="subscript"/>
        </w:rPr>
        <w:t>peak</w:t>
      </w:r>
      <w:r>
        <w:t xml:space="preserve"> for motors and pumps is based on the 98</w:t>
      </w:r>
      <w:r w:rsidRPr="00072BC0">
        <w:rPr>
          <w:vertAlign w:val="superscript"/>
        </w:rPr>
        <w:t>th</w:t>
      </w:r>
      <w:r>
        <w:t xml:space="preserve"> percentile </w:t>
      </w:r>
      <w:r w:rsidR="001934B6">
        <w:t xml:space="preserve">of the peak </w:t>
      </w:r>
      <w:r>
        <w:t xml:space="preserve">HRR values in </w:t>
      </w:r>
      <w:r w:rsidR="005065AE" w:rsidRPr="005065AE">
        <w:t xml:space="preserve">NUREG/CR-6850 </w:t>
      </w:r>
      <w:r w:rsidR="005065AE">
        <w:t>(</w:t>
      </w:r>
      <w:r w:rsidR="00A24E94">
        <w:t>Reference 8</w:t>
      </w:r>
      <w:r w:rsidR="005065AE">
        <w:t>)</w:t>
      </w:r>
      <w:r>
        <w:t xml:space="preserve">, Appendix G, Table G-1.  </w:t>
      </w:r>
      <w:r w:rsidRPr="00426C19">
        <w:t>HRR</w:t>
      </w:r>
      <w:r w:rsidRPr="00426C19">
        <w:rPr>
          <w:vertAlign w:val="subscript"/>
        </w:rPr>
        <w:t>peak</w:t>
      </w:r>
      <w:r w:rsidRPr="00426C19">
        <w:t xml:space="preserve"> for the electrical enclosures in Table A5.1 of </w:t>
      </w:r>
      <w:r w:rsidRPr="00426C19">
        <w:lastRenderedPageBreak/>
        <w:t>Attachment 5 to Appendix F is based on the 98</w:t>
      </w:r>
      <w:r w:rsidRPr="00426C19">
        <w:rPr>
          <w:vertAlign w:val="superscript"/>
        </w:rPr>
        <w:t>th</w:t>
      </w:r>
      <w:r w:rsidRPr="00426C19">
        <w:t xml:space="preserve"> percentile </w:t>
      </w:r>
      <w:r w:rsidR="001934B6" w:rsidRPr="00426C19">
        <w:t xml:space="preserve">of the peak </w:t>
      </w:r>
      <w:r w:rsidRPr="00426C19">
        <w:t xml:space="preserve">HRR values in </w:t>
      </w:r>
      <w:r w:rsidR="0037440C">
        <w:t>NUREG-2178 (</w:t>
      </w:r>
      <w:r w:rsidR="00573187" w:rsidRPr="00426C19">
        <w:t>Reference 2</w:t>
      </w:r>
      <w:r w:rsidR="005F2E7B" w:rsidRPr="00426C19">
        <w:t>6</w:t>
      </w:r>
      <w:r w:rsidR="0037440C">
        <w:t>)</w:t>
      </w:r>
      <w:r w:rsidRPr="00426C19">
        <w:t>, Table 7-1.</w:t>
      </w:r>
    </w:p>
    <w:p w14:paraId="7A27D871" w14:textId="6A3FF893" w:rsidR="00072BC0" w:rsidRPr="00426C19" w:rsidRDefault="00072BC0" w:rsidP="0034587C">
      <w:pPr>
        <w:pStyle w:val="ListParagraph"/>
        <w:keepNext/>
        <w:keepLines/>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26C19">
        <w:t>The time to peak HRR, t</w:t>
      </w:r>
      <w:r w:rsidRPr="00426C19">
        <w:rPr>
          <w:vertAlign w:val="subscript"/>
        </w:rPr>
        <w:t>peak</w:t>
      </w:r>
      <w:r w:rsidRPr="00426C19">
        <w:t xml:space="preserve">, for motors, pumps, and electrical enclosures of 12 min is based on the guidance in </w:t>
      </w:r>
      <w:r w:rsidR="0037440C" w:rsidRPr="0037440C">
        <w:t xml:space="preserve">NUREG/CR-6850 </w:t>
      </w:r>
      <w:r w:rsidR="0037440C">
        <w:t>(</w:t>
      </w:r>
      <w:r w:rsidR="00A24E94" w:rsidRPr="00426C19">
        <w:t>Reference 8</w:t>
      </w:r>
      <w:r w:rsidR="0037440C">
        <w:t>)</w:t>
      </w:r>
      <w:r w:rsidRPr="00426C19">
        <w:t>, Section G.3.1.</w:t>
      </w:r>
    </w:p>
    <w:p w14:paraId="61BDFF88" w14:textId="75FB7238" w:rsidR="00072BC0" w:rsidRPr="00426C19" w:rsidRDefault="00072BC0" w:rsidP="0035366F">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26C19">
        <w:t xml:space="preserve">The duration of peak burning, </w:t>
      </w:r>
      <w:r w:rsidRPr="00426C19">
        <w:sym w:font="Symbol" w:char="F044"/>
      </w:r>
      <w:r w:rsidRPr="00426C19">
        <w:t>t</w:t>
      </w:r>
      <w:r w:rsidRPr="00426C19">
        <w:rPr>
          <w:vertAlign w:val="subscript"/>
        </w:rPr>
        <w:t>steady</w:t>
      </w:r>
      <w:r w:rsidRPr="00426C19">
        <w:t xml:space="preserve">, for motors, pumps, and electrical enclosures of 8 min is also based on the guidance in </w:t>
      </w:r>
      <w:r w:rsidR="0037440C" w:rsidRPr="0037440C">
        <w:t xml:space="preserve">NUREG/CR-6850 </w:t>
      </w:r>
      <w:r w:rsidR="0037440C">
        <w:t>(</w:t>
      </w:r>
      <w:r w:rsidR="00A24E94" w:rsidRPr="00426C19">
        <w:t>Reference 8</w:t>
      </w:r>
      <w:r w:rsidR="0037440C">
        <w:t>)</w:t>
      </w:r>
      <w:r w:rsidRPr="00426C19">
        <w:t>, Section G.3.1.</w:t>
      </w:r>
    </w:p>
    <w:p w14:paraId="2C09E9A7" w14:textId="1093064A" w:rsidR="00072BC0" w:rsidRPr="00426C19" w:rsidRDefault="00072BC0" w:rsidP="0035366F">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26C19">
        <w:t xml:space="preserve">In the absence of guidance in </w:t>
      </w:r>
      <w:r w:rsidR="0037440C" w:rsidRPr="0037440C">
        <w:t xml:space="preserve">NUREG/CR-6850 </w:t>
      </w:r>
      <w:r w:rsidR="0037440C">
        <w:t>(</w:t>
      </w:r>
      <w:r w:rsidR="00A24E94" w:rsidRPr="00426C19">
        <w:t>Reference 8</w:t>
      </w:r>
      <w:r w:rsidR="0037440C">
        <w:t>)</w:t>
      </w:r>
      <w:r w:rsidRPr="00426C19">
        <w:t xml:space="preserve">, the duration of the HRR decay period, </w:t>
      </w:r>
      <w:r w:rsidRPr="00426C19">
        <w:sym w:font="Symbol" w:char="F044"/>
      </w:r>
      <w:r w:rsidRPr="00426C19">
        <w:t>t</w:t>
      </w:r>
      <w:r w:rsidRPr="00426C19">
        <w:rPr>
          <w:vertAlign w:val="subscript"/>
        </w:rPr>
        <w:t>steady</w:t>
      </w:r>
      <w:r w:rsidRPr="00426C19">
        <w:t>, is set equal to t</w:t>
      </w:r>
      <w:r w:rsidRPr="00426C19">
        <w:rPr>
          <w:vertAlign w:val="subscript"/>
        </w:rPr>
        <w:t>peak</w:t>
      </w:r>
      <w:r w:rsidRPr="00426C19">
        <w:t xml:space="preserve"> + </w:t>
      </w:r>
      <w:r w:rsidRPr="00426C19">
        <w:sym w:font="Symbol" w:char="F044"/>
      </w:r>
      <w:r w:rsidRPr="00426C19">
        <w:t>t</w:t>
      </w:r>
      <w:r w:rsidRPr="00426C19">
        <w:rPr>
          <w:vertAlign w:val="subscript"/>
        </w:rPr>
        <w:t>steady</w:t>
      </w:r>
      <w:r w:rsidRPr="00426C19">
        <w:t xml:space="preserve"> = 20 min. </w:t>
      </w:r>
    </w:p>
    <w:p w14:paraId="13556B36" w14:textId="77777777" w:rsidR="00072BC0" w:rsidRPr="00426C19" w:rsidRDefault="00072BC0" w:rsidP="00072B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BAF762" w14:textId="521E953E" w:rsidR="00E47226" w:rsidRPr="00426C19"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26C19">
        <w:rPr>
          <w:u w:val="single"/>
        </w:rPr>
        <w:t>HRR Profile of HEAFs in Electrical Cabinets</w:t>
      </w:r>
    </w:p>
    <w:p w14:paraId="41B113E3" w14:textId="782378C6" w:rsidR="00E47226" w:rsidRPr="00426C19"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758221" w14:textId="275CEAF3" w:rsidR="00E47226" w:rsidRPr="00426C19"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26C19">
        <w:t>The HRR profile of HEAFs in electrical cabinets is identical to that for non-HEAF fires, except that t</w:t>
      </w:r>
      <w:r w:rsidRPr="00426C19">
        <w:rPr>
          <w:vertAlign w:val="subscript"/>
        </w:rPr>
        <w:t>peak</w:t>
      </w:r>
      <w:r w:rsidRPr="00426C19">
        <w:t xml:space="preserve"> = 0 min and </w:t>
      </w:r>
      <w:r w:rsidRPr="00426C19">
        <w:sym w:font="Symbol" w:char="F044"/>
      </w:r>
      <w:r w:rsidRPr="00426C19">
        <w:t>t</w:t>
      </w:r>
      <w:r w:rsidRPr="00426C19">
        <w:rPr>
          <w:vertAlign w:val="subscript"/>
        </w:rPr>
        <w:t>steady</w:t>
      </w:r>
      <w:r w:rsidRPr="00426C19">
        <w:t xml:space="preserve"> = 20 min.  This is based on the guidance in </w:t>
      </w:r>
      <w:r w:rsidR="0037440C" w:rsidRPr="0037440C">
        <w:t xml:space="preserve">NUREG/CR-6850 </w:t>
      </w:r>
      <w:r w:rsidR="0037440C">
        <w:t>(</w:t>
      </w:r>
      <w:r w:rsidR="00082C33" w:rsidRPr="00426C19">
        <w:t>Reference 8</w:t>
      </w:r>
      <w:r w:rsidR="0037440C">
        <w:t>)</w:t>
      </w:r>
      <w:r w:rsidRPr="00426C19">
        <w:t>, Appendix M, Section M.6.1.</w:t>
      </w:r>
    </w:p>
    <w:p w14:paraId="154353DD" w14:textId="77777777" w:rsidR="00E47226" w:rsidRPr="00426C19"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F4F17E" w14:textId="41A2A2F3" w:rsidR="00E47226" w:rsidRPr="00426C19"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26C19">
        <w:rPr>
          <w:u w:val="single"/>
        </w:rPr>
        <w:t>HRR Profile for Propagating Electrical Cabinet Fires</w:t>
      </w:r>
    </w:p>
    <w:p w14:paraId="19E15A8F" w14:textId="77777777" w:rsidR="00E47226" w:rsidRPr="00426C19"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5BF1C5" w14:textId="25678827" w:rsidR="00E47226"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26C19">
        <w:t>The time for an electrical cabinet fire to propagate</w:t>
      </w:r>
      <w:r>
        <w:t xml:space="preserve"> to adjacent cabinet(s) is based on the guidance in </w:t>
      </w:r>
      <w:r w:rsidR="0037440C" w:rsidRPr="0037440C">
        <w:t xml:space="preserve">NUREG/CR-6850 </w:t>
      </w:r>
      <w:r w:rsidR="0037440C">
        <w:t>(</w:t>
      </w:r>
      <w:r w:rsidR="00A24E94">
        <w:t>Reference 8</w:t>
      </w:r>
      <w:r w:rsidR="0037440C">
        <w:t>)</w:t>
      </w:r>
      <w:r>
        <w:t>, Appendix S, Section S.1.</w:t>
      </w:r>
    </w:p>
    <w:p w14:paraId="77ED1FB2" w14:textId="77777777" w:rsidR="00E47226"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E5DE68" w14:textId="3990989D" w:rsidR="00E47226" w:rsidRPr="00BC424C" w:rsidRDefault="00E47226" w:rsidP="00E472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C424C">
        <w:rPr>
          <w:u w:val="single"/>
        </w:rPr>
        <w:t xml:space="preserve">HRR Profile </w:t>
      </w:r>
      <w:r w:rsidR="001379D6" w:rsidRPr="00BC424C">
        <w:rPr>
          <w:u w:val="single"/>
        </w:rPr>
        <w:t>of</w:t>
      </w:r>
      <w:r w:rsidRPr="00BC424C">
        <w:rPr>
          <w:u w:val="single"/>
        </w:rPr>
        <w:t xml:space="preserve"> </w:t>
      </w:r>
      <w:r w:rsidR="001379D6" w:rsidRPr="00BC424C">
        <w:rPr>
          <w:u w:val="single"/>
        </w:rPr>
        <w:t>Transient</w:t>
      </w:r>
      <w:r w:rsidRPr="00BC424C">
        <w:rPr>
          <w:u w:val="single"/>
        </w:rPr>
        <w:t xml:space="preserve"> C</w:t>
      </w:r>
      <w:r w:rsidR="001379D6" w:rsidRPr="00BC424C">
        <w:rPr>
          <w:u w:val="single"/>
        </w:rPr>
        <w:t>ombustible</w:t>
      </w:r>
      <w:r w:rsidRPr="00BC424C">
        <w:rPr>
          <w:u w:val="single"/>
        </w:rPr>
        <w:t xml:space="preserve"> Fires</w:t>
      </w:r>
    </w:p>
    <w:p w14:paraId="1A5228E7" w14:textId="77777777" w:rsidR="001379D6" w:rsidRDefault="001379D6" w:rsidP="00137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F7EF45" w14:textId="008BC3F4" w:rsidR="001379D6" w:rsidRDefault="001379D6" w:rsidP="00137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basis for the HRR parameters of transient combustible fires in Table A5.1 of Attachment 5 to Appendix F is provided below:</w:t>
      </w:r>
    </w:p>
    <w:p w14:paraId="2EA3239A" w14:textId="77777777" w:rsidR="001379D6" w:rsidRDefault="001379D6" w:rsidP="00137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999640" w14:textId="596517A3" w:rsidR="001379D6" w:rsidRDefault="001379D6" w:rsidP="0035366F">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HRR</w:t>
      </w:r>
      <w:r w:rsidRPr="00072BC0">
        <w:rPr>
          <w:vertAlign w:val="subscript"/>
        </w:rPr>
        <w:t>peak</w:t>
      </w:r>
      <w:r>
        <w:t xml:space="preserve"> for transient combustible fires is based on the 98</w:t>
      </w:r>
      <w:r w:rsidRPr="00072BC0">
        <w:rPr>
          <w:vertAlign w:val="superscript"/>
        </w:rPr>
        <w:t>th</w:t>
      </w:r>
      <w:r>
        <w:t xml:space="preserve"> percentile </w:t>
      </w:r>
      <w:r w:rsidR="00515D2F">
        <w:t xml:space="preserve">peak </w:t>
      </w:r>
      <w:r>
        <w:t xml:space="preserve">HRR value in </w:t>
      </w:r>
      <w:r w:rsidR="0037440C" w:rsidRPr="0037440C">
        <w:t xml:space="preserve">NUREG/CR-6850 </w:t>
      </w:r>
      <w:r w:rsidR="0037440C">
        <w:t>(</w:t>
      </w:r>
      <w:r w:rsidR="00A24E94">
        <w:t>Reference 8</w:t>
      </w:r>
      <w:r w:rsidR="0037440C">
        <w:t>)</w:t>
      </w:r>
      <w:r>
        <w:t>, Appendix G, Table G-1.</w:t>
      </w:r>
    </w:p>
    <w:p w14:paraId="25BA14E7" w14:textId="1015E1DF" w:rsidR="001379D6" w:rsidRDefault="001379D6" w:rsidP="0035366F">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The time to peak HRR, t</w:t>
      </w:r>
      <w:r w:rsidRPr="00072BC0">
        <w:rPr>
          <w:vertAlign w:val="subscript"/>
        </w:rPr>
        <w:t>peak</w:t>
      </w:r>
      <w:r>
        <w:t xml:space="preserve">, for transient combustible fires of 2 or 8 min for loose and contained transients, respectively, is based on the guidance in </w:t>
      </w:r>
      <w:r w:rsidR="009D38C0">
        <w:t>FAQ 08-0052</w:t>
      </w:r>
      <w:r w:rsidR="006E16C2">
        <w:t xml:space="preserve"> (Reference 2</w:t>
      </w:r>
      <w:r w:rsidR="005F2E7B">
        <w:t>7</w:t>
      </w:r>
      <w:r w:rsidR="006E16C2">
        <w:t>)</w:t>
      </w:r>
      <w:r w:rsidR="009D38C0">
        <w:t>, Transient Fire Growth Rates and Control Room Non-Suppression</w:t>
      </w:r>
      <w:r>
        <w:t>.</w:t>
      </w:r>
    </w:p>
    <w:p w14:paraId="21BCE1EE" w14:textId="0CA3E014" w:rsidR="001379D6" w:rsidRPr="00072BC0" w:rsidRDefault="001379D6" w:rsidP="0035366F">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The duration of peak burning, </w:t>
      </w:r>
      <w:r>
        <w:sym w:font="Symbol" w:char="F044"/>
      </w:r>
      <w:r>
        <w:t>t</w:t>
      </w:r>
      <w:r w:rsidRPr="00072BC0">
        <w:rPr>
          <w:vertAlign w:val="subscript"/>
        </w:rPr>
        <w:t>steady</w:t>
      </w:r>
      <w:r>
        <w:t xml:space="preserve">, </w:t>
      </w:r>
      <w:r w:rsidR="009D38C0">
        <w:t xml:space="preserve">and </w:t>
      </w:r>
      <w:r>
        <w:t xml:space="preserve">the duration of the HRR decay period, </w:t>
      </w:r>
      <w:r>
        <w:sym w:font="Symbol" w:char="F044"/>
      </w:r>
      <w:r>
        <w:t>t</w:t>
      </w:r>
      <w:r w:rsidRPr="00072BC0">
        <w:rPr>
          <w:vertAlign w:val="subscript"/>
        </w:rPr>
        <w:t>steady</w:t>
      </w:r>
      <w:r>
        <w:t>,</w:t>
      </w:r>
      <w:r w:rsidR="009D38C0">
        <w:t xml:space="preserve"> are consistent with the highest total heat release values measured in the tests described in </w:t>
      </w:r>
      <w:r w:rsidR="0037440C" w:rsidRPr="0037440C">
        <w:t xml:space="preserve">NUREG/CR-6850 </w:t>
      </w:r>
      <w:r w:rsidR="0037440C">
        <w:t>(</w:t>
      </w:r>
      <w:r w:rsidR="00082C33">
        <w:t>Reference 8</w:t>
      </w:r>
      <w:r w:rsidR="0037440C">
        <w:t>)</w:t>
      </w:r>
      <w:r w:rsidR="009D38C0">
        <w:t>, Appendix G, Table G-5</w:t>
      </w:r>
      <w:r>
        <w:t xml:space="preserve">. </w:t>
      </w:r>
    </w:p>
    <w:p w14:paraId="663438D5" w14:textId="77777777" w:rsidR="001379D6" w:rsidRDefault="001379D6" w:rsidP="001379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593970" w14:textId="71348841" w:rsidR="00475D34" w:rsidRPr="00BC424C" w:rsidRDefault="00475D34" w:rsidP="00475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C424C">
        <w:rPr>
          <w:u w:val="single"/>
        </w:rPr>
        <w:t xml:space="preserve">HRR Profile of </w:t>
      </w:r>
      <w:r w:rsidR="00BC424C">
        <w:rPr>
          <w:u w:val="single"/>
        </w:rPr>
        <w:t>Oil</w:t>
      </w:r>
      <w:r w:rsidRPr="00BC424C">
        <w:rPr>
          <w:u w:val="single"/>
        </w:rPr>
        <w:t xml:space="preserve"> Fires</w:t>
      </w:r>
    </w:p>
    <w:p w14:paraId="0DFD52BC" w14:textId="2986A23D" w:rsidR="00475D34" w:rsidRDefault="00475D34" w:rsidP="00475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E9C8E0" w14:textId="60BE69E8" w:rsidR="0095645B" w:rsidRPr="00426C19" w:rsidRDefault="0095645B" w:rsidP="00475D34">
      <w:pPr>
        <w:jc w:val="both"/>
      </w:pPr>
      <w:r>
        <w:t>The HRR of oil fires is assumed to reach peak HRR immediately following ignition, and is considered to burn at peak rate until all fuel is consumed.  The HRR of oil fires depends on w</w:t>
      </w:r>
      <w:r w:rsidRPr="00426C19">
        <w:t>hether the spill is confined (i.e., captured in a pan or diked area) or unconfined.</w:t>
      </w:r>
    </w:p>
    <w:p w14:paraId="153C1247" w14:textId="77777777" w:rsidR="0095645B" w:rsidRPr="00426C19" w:rsidRDefault="0095645B" w:rsidP="009564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95E6E4" w14:textId="7DF69C5F" w:rsidR="0095645B" w:rsidRPr="00426C19" w:rsidRDefault="0095645B" w:rsidP="009564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26C19">
        <w:rPr>
          <w:u w:val="single"/>
        </w:rPr>
        <w:t>HRR of Confined Liquid Fuel Pool Fires</w:t>
      </w:r>
    </w:p>
    <w:p w14:paraId="5DC77C0A" w14:textId="77777777" w:rsidR="0095645B" w:rsidRPr="00426C19" w:rsidRDefault="0095645B" w:rsidP="009564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2B47EF" w14:textId="5E3695A9" w:rsidR="00475D34" w:rsidRPr="00426C19" w:rsidRDefault="00475D34" w:rsidP="00475D34">
      <w:pPr>
        <w:jc w:val="both"/>
      </w:pPr>
      <w:r w:rsidRPr="00426C19">
        <w:t xml:space="preserve">For confined liquid fuel pool fires the area is </w:t>
      </w:r>
      <w:r w:rsidR="00862A04" w:rsidRPr="00426C19">
        <w:t>known</w:t>
      </w:r>
      <w:r w:rsidRPr="00426C19">
        <w:t xml:space="preserve"> and the HRR can be estimated from Babrauskas’ correlation for the burning rate of pool fires as a function of the size of the pool and properties of the fuel (Equation 3-8 in </w:t>
      </w:r>
      <w:r w:rsidR="00EC1102" w:rsidRPr="00426C19">
        <w:t>Reference 10</w:t>
      </w:r>
      <w:r w:rsidRPr="00426C19">
        <w:t>)</w:t>
      </w:r>
      <w:r w:rsidR="0095645B" w:rsidRPr="00426C19">
        <w:t>:</w:t>
      </w:r>
    </w:p>
    <w:p w14:paraId="08F8ACD9" w14:textId="77777777" w:rsidR="00475D34" w:rsidRPr="00426C19" w:rsidRDefault="00475D34" w:rsidP="00F7507F">
      <w:pPr>
        <w:keepNext/>
        <w:keepLines/>
        <w:jc w:val="both"/>
      </w:pPr>
    </w:p>
    <w:tbl>
      <w:tblPr>
        <w:tblW w:w="0" w:type="auto"/>
        <w:tblLook w:val="04A0" w:firstRow="1" w:lastRow="0" w:firstColumn="1" w:lastColumn="0" w:noHBand="0" w:noVBand="1"/>
      </w:tblPr>
      <w:tblGrid>
        <w:gridCol w:w="720"/>
        <w:gridCol w:w="7920"/>
        <w:gridCol w:w="720"/>
      </w:tblGrid>
      <w:tr w:rsidR="00475D34" w:rsidRPr="00426C19" w14:paraId="7D52CD51" w14:textId="77777777" w:rsidTr="00E72DC3">
        <w:tc>
          <w:tcPr>
            <w:tcW w:w="720" w:type="dxa"/>
            <w:vAlign w:val="center"/>
          </w:tcPr>
          <w:p w14:paraId="0B736003" w14:textId="77777777" w:rsidR="00475D34" w:rsidRPr="00426C19" w:rsidRDefault="00475D34" w:rsidP="00F7507F">
            <w:pPr>
              <w:keepNext/>
              <w:keepLines/>
              <w:spacing w:before="120" w:after="120" w:line="276" w:lineRule="auto"/>
            </w:pPr>
          </w:p>
        </w:tc>
        <w:tc>
          <w:tcPr>
            <w:tcW w:w="7920" w:type="dxa"/>
            <w:vAlign w:val="center"/>
          </w:tcPr>
          <w:p w14:paraId="643711CE" w14:textId="77777777" w:rsidR="00475D34" w:rsidRPr="00426C19" w:rsidRDefault="00B9252A" w:rsidP="00F7507F">
            <w:pPr>
              <w:keepNext/>
              <w:keepLines/>
              <w:spacing w:before="240" w:after="240" w:line="276" w:lineRule="auto"/>
            </w:pPr>
            <m:oMathPara>
              <m:oMathParaPr>
                <m:jc m:val="left"/>
              </m:oMathParaPr>
              <m:oMath>
                <m:acc>
                  <m:accPr>
                    <m:chr m:val="̇"/>
                    <m:ctrlPr>
                      <w:rPr>
                        <w:rFonts w:ascii="Cambria Math" w:hAnsi="Cambria Math"/>
                      </w:rPr>
                    </m:ctrlPr>
                  </m:accPr>
                  <m:e>
                    <m:r>
                      <m:rPr>
                        <m:sty m:val="p"/>
                      </m:rPr>
                      <w:rPr>
                        <w:rFonts w:ascii="Cambria Math" w:hAnsi="Cambria Math"/>
                      </w:rPr>
                      <m:t>Q</m:t>
                    </m:r>
                  </m:e>
                </m:acc>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max</m:t>
                    </m:r>
                  </m:sub>
                  <m:sup>
                    <m:r>
                      <m:rPr>
                        <m:sty m:val="p"/>
                      </m:rPr>
                      <w:rPr>
                        <w:rFonts w:ascii="Cambria Math" w:hAnsi="Cambria Math"/>
                      </w:rPr>
                      <m:t>"</m:t>
                    </m:r>
                  </m:sup>
                </m:sSubSup>
                <m:sSub>
                  <m:sSubPr>
                    <m:ctrlPr>
                      <w:rPr>
                        <w:rFonts w:ascii="Cambria Math" w:hAnsi="Cambria Math"/>
                      </w:rPr>
                    </m:ctrlPr>
                  </m:sSubPr>
                  <m:e>
                    <m:r>
                      <m:rPr>
                        <m:sty m:val="p"/>
                      </m:rPr>
                      <w:rPr>
                        <w:rFonts w:ascii="Cambria Math" w:hAnsi="Cambria Math"/>
                      </w:rPr>
                      <m:t>∆h</m:t>
                    </m:r>
                  </m:e>
                  <m:sub>
                    <m:r>
                      <m:rPr>
                        <m:sty m:val="p"/>
                      </m:rPr>
                      <w:rPr>
                        <w:rFonts w:ascii="Cambria Math" w:hAnsi="Cambria Math"/>
                      </w:rPr>
                      <m:t>c,eff</m:t>
                    </m:r>
                  </m:sub>
                </m:sSub>
                <m:sSub>
                  <m:sSubPr>
                    <m:ctrlPr>
                      <w:rPr>
                        <w:rFonts w:ascii="Cambria Math" w:hAnsi="Cambria Math"/>
                      </w:rPr>
                    </m:ctrlPr>
                  </m:sSubPr>
                  <m:e>
                    <m:r>
                      <m:rPr>
                        <m:sty m:val="p"/>
                      </m:rPr>
                      <w:rPr>
                        <w:rFonts w:ascii="Cambria Math" w:hAnsi="Cambria Math"/>
                      </w:rPr>
                      <m:t>A</m:t>
                    </m:r>
                  </m:e>
                  <m:sub>
                    <m:r>
                      <m:rPr>
                        <m:sty m:val="p"/>
                      </m:rPr>
                      <w:rPr>
                        <w:rFonts w:ascii="Cambria Math" w:hAnsi="Cambria Math"/>
                      </w:rPr>
                      <m:t>f</m:t>
                    </m:r>
                  </m:sub>
                </m:sSub>
                <m:d>
                  <m:dPr>
                    <m:ctrlPr>
                      <w:rPr>
                        <w:rFonts w:ascii="Cambria Math" w:hAnsi="Cambria Math"/>
                      </w:rPr>
                    </m:ctrlPr>
                  </m:dPr>
                  <m:e>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-kβD</m:t>
                        </m:r>
                      </m:sup>
                    </m:sSup>
                  </m:e>
                </m:d>
              </m:oMath>
            </m:oMathPara>
          </w:p>
        </w:tc>
        <w:tc>
          <w:tcPr>
            <w:tcW w:w="720" w:type="dxa"/>
            <w:vAlign w:val="center"/>
          </w:tcPr>
          <w:p w14:paraId="2FB2E6F3" w14:textId="7BBA7EA4" w:rsidR="00475D34" w:rsidRPr="00426C19" w:rsidRDefault="00475D34" w:rsidP="00F7507F">
            <w:pPr>
              <w:keepNext/>
              <w:keepLines/>
              <w:spacing w:before="120" w:after="120" w:line="276" w:lineRule="auto"/>
              <w:jc w:val="right"/>
            </w:pPr>
            <w:r w:rsidRPr="00426C19">
              <w:t>(</w:t>
            </w:r>
            <w:r w:rsidR="00722491" w:rsidRPr="00426C19">
              <w:t>4</w:t>
            </w:r>
            <w:r w:rsidRPr="00426C19">
              <w:t>)</w:t>
            </w:r>
          </w:p>
        </w:tc>
      </w:tr>
    </w:tbl>
    <w:p w14:paraId="5595AFBC" w14:textId="77777777" w:rsidR="00475D34" w:rsidRPr="00426C19" w:rsidRDefault="00475D34" w:rsidP="00F7507F">
      <w:pPr>
        <w:keepNext/>
        <w:keepLines/>
        <w:jc w:val="both"/>
      </w:pPr>
    </w:p>
    <w:p w14:paraId="6C9BA2D8" w14:textId="0CB9F917" w:rsidR="00475D34" w:rsidRPr="00426C19" w:rsidRDefault="00475D34" w:rsidP="00F7507F">
      <w:pPr>
        <w:keepNext/>
        <w:keepLines/>
        <w:jc w:val="both"/>
      </w:pPr>
      <w:r w:rsidRPr="00426C19">
        <w:t>where</w:t>
      </w:r>
    </w:p>
    <w:p w14:paraId="69AE33D1" w14:textId="5F80DDFF" w:rsidR="002071AF" w:rsidRPr="00426C19" w:rsidRDefault="00475D34" w:rsidP="00F7507F">
      <w:pPr>
        <w:keepNext/>
        <w:keepLines/>
        <w:tabs>
          <w:tab w:val="left" w:pos="720"/>
          <w:tab w:val="left" w:pos="1440"/>
          <w:tab w:val="left" w:pos="1800"/>
        </w:tabs>
        <w:jc w:val="both"/>
      </w:pPr>
      <w:r w:rsidRPr="00426C19">
        <w:tab/>
      </w:r>
      <m:oMath>
        <m:acc>
          <m:accPr>
            <m:chr m:val="̇"/>
            <m:ctrlPr>
              <w:rPr>
                <w:rFonts w:ascii="Cambria Math" w:hAnsi="Cambria Math"/>
              </w:rPr>
            </m:ctrlPr>
          </m:accPr>
          <m:e>
            <m:r>
              <m:rPr>
                <m:sty m:val="p"/>
              </m:rPr>
              <w:rPr>
                <w:rFonts w:ascii="Cambria Math" w:hAnsi="Cambria Math"/>
              </w:rPr>
              <m:t>Q</m:t>
            </m:r>
          </m:e>
        </m:acc>
      </m:oMath>
      <w:r w:rsidR="002071AF" w:rsidRPr="00426C19">
        <w:tab/>
        <w:t>=</w:t>
      </w:r>
      <w:r w:rsidR="002071AF" w:rsidRPr="00426C19">
        <w:tab/>
      </w:r>
      <w:r w:rsidR="0083007B" w:rsidRPr="00426C19">
        <w:t>HRR</w:t>
      </w:r>
      <w:r w:rsidR="002071AF" w:rsidRPr="00426C19">
        <w:t xml:space="preserve"> (kW)</w:t>
      </w:r>
    </w:p>
    <w:p w14:paraId="29C33394" w14:textId="613857B7" w:rsidR="00475D34" w:rsidRPr="00426C19" w:rsidRDefault="002071AF" w:rsidP="00F7507F">
      <w:pPr>
        <w:keepNext/>
        <w:keepLines/>
        <w:tabs>
          <w:tab w:val="left" w:pos="720"/>
          <w:tab w:val="left" w:pos="1440"/>
          <w:tab w:val="left" w:pos="1800"/>
        </w:tabs>
        <w:jc w:val="both"/>
      </w:pPr>
      <w:r w:rsidRPr="00426C19">
        <w:tab/>
      </w: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max</m:t>
            </m:r>
          </m:sub>
          <m:sup>
            <m:r>
              <m:rPr>
                <m:sty m:val="p"/>
              </m:rPr>
              <w:rPr>
                <w:rFonts w:ascii="Cambria Math" w:hAnsi="Cambria Math"/>
              </w:rPr>
              <m:t>"</m:t>
            </m:r>
          </m:sup>
        </m:sSubSup>
      </m:oMath>
      <w:r w:rsidR="00475D34" w:rsidRPr="00426C19">
        <w:tab/>
        <w:t>=</w:t>
      </w:r>
      <w:r w:rsidR="00475D34" w:rsidRPr="00426C19">
        <w:tab/>
        <w:t>maximum mass loss rate per unit area (g/m</w:t>
      </w:r>
      <w:r w:rsidR="00475D34" w:rsidRPr="00426C19">
        <w:rPr>
          <w:vertAlign w:val="superscript"/>
        </w:rPr>
        <w:t>2</w:t>
      </w:r>
      <w:r w:rsidR="00475D34" w:rsidRPr="00426C19">
        <w:sym w:font="Symbol" w:char="F0D7"/>
      </w:r>
      <w:r w:rsidR="00475D34" w:rsidRPr="00426C19">
        <w:t>s)</w:t>
      </w:r>
    </w:p>
    <w:p w14:paraId="409E7907" w14:textId="77777777" w:rsidR="00475D34" w:rsidRPr="00426C19" w:rsidRDefault="00475D34" w:rsidP="00F7507F">
      <w:pPr>
        <w:keepNext/>
        <w:keepLines/>
        <w:tabs>
          <w:tab w:val="left" w:pos="720"/>
          <w:tab w:val="left" w:pos="1440"/>
          <w:tab w:val="left" w:pos="1800"/>
        </w:tabs>
        <w:jc w:val="both"/>
      </w:pPr>
      <w:r w:rsidRPr="00426C19">
        <w:tab/>
      </w:r>
      <w:r w:rsidRPr="00426C19">
        <w:sym w:font="Symbol" w:char="F044"/>
      </w:r>
      <w:r w:rsidRPr="00426C19">
        <w:t>h</w:t>
      </w:r>
      <w:r w:rsidRPr="00426C19">
        <w:rPr>
          <w:vertAlign w:val="subscript"/>
        </w:rPr>
        <w:t>c,eff</w:t>
      </w:r>
      <w:r w:rsidRPr="00426C19">
        <w:tab/>
        <w:t>=</w:t>
      </w:r>
      <w:r w:rsidRPr="00426C19">
        <w:tab/>
        <w:t>effective heat of combustion (kJ/g)</w:t>
      </w:r>
    </w:p>
    <w:p w14:paraId="1A95C73B" w14:textId="427F9D93" w:rsidR="00475D34" w:rsidRPr="00426C19" w:rsidRDefault="002071AF" w:rsidP="00F7507F">
      <w:pPr>
        <w:keepNext/>
        <w:keepLines/>
        <w:tabs>
          <w:tab w:val="left" w:pos="720"/>
          <w:tab w:val="left" w:pos="1440"/>
          <w:tab w:val="left" w:pos="1800"/>
        </w:tabs>
        <w:jc w:val="both"/>
      </w:pPr>
      <w:r w:rsidRPr="00426C19">
        <w:tab/>
      </w:r>
      <w:r w:rsidR="00475D34" w:rsidRPr="00426C19">
        <w:t>A</w:t>
      </w:r>
      <w:r w:rsidR="00475D34" w:rsidRPr="00426C19">
        <w:rPr>
          <w:vertAlign w:val="subscript"/>
        </w:rPr>
        <w:t>f</w:t>
      </w:r>
      <w:r w:rsidR="00475D34" w:rsidRPr="00426C19">
        <w:tab/>
        <w:t>=</w:t>
      </w:r>
      <w:r w:rsidR="00475D34" w:rsidRPr="00426C19">
        <w:tab/>
        <w:t>area of the pool fire (m</w:t>
      </w:r>
      <w:r w:rsidR="00475D34" w:rsidRPr="00426C19">
        <w:rPr>
          <w:vertAlign w:val="superscript"/>
        </w:rPr>
        <w:t>2</w:t>
      </w:r>
      <w:r w:rsidR="00475D34" w:rsidRPr="00426C19">
        <w:t>)</w:t>
      </w:r>
    </w:p>
    <w:p w14:paraId="7F08D30F" w14:textId="77777777" w:rsidR="00475D34" w:rsidRPr="00426C19" w:rsidRDefault="00475D34" w:rsidP="00F7507F">
      <w:pPr>
        <w:keepNext/>
        <w:keepLines/>
        <w:tabs>
          <w:tab w:val="left" w:pos="720"/>
          <w:tab w:val="left" w:pos="1440"/>
          <w:tab w:val="left" w:pos="1800"/>
        </w:tabs>
        <w:jc w:val="both"/>
      </w:pPr>
      <w:r w:rsidRPr="00426C19">
        <w:tab/>
        <w:t>k</w:t>
      </w:r>
      <w:r w:rsidRPr="00426C19">
        <w:sym w:font="Symbol" w:char="F062"/>
      </w:r>
      <w:r w:rsidRPr="00426C19">
        <w:tab/>
        <w:t>=</w:t>
      </w:r>
      <w:r w:rsidRPr="00426C19">
        <w:tab/>
        <w:t>absorption coefficient (m</w:t>
      </w:r>
      <w:r w:rsidRPr="00426C19">
        <w:rPr>
          <w:vertAlign w:val="superscript"/>
        </w:rPr>
        <w:t>-1</w:t>
      </w:r>
      <w:r w:rsidRPr="00426C19">
        <w:t>)</w:t>
      </w:r>
    </w:p>
    <w:p w14:paraId="1095E23C" w14:textId="77777777" w:rsidR="00475D34" w:rsidRPr="00426C19" w:rsidRDefault="00475D34" w:rsidP="00F7507F">
      <w:pPr>
        <w:keepNext/>
        <w:keepLines/>
        <w:tabs>
          <w:tab w:val="left" w:pos="720"/>
          <w:tab w:val="left" w:pos="1440"/>
          <w:tab w:val="left" w:pos="1800"/>
        </w:tabs>
        <w:jc w:val="both"/>
      </w:pPr>
      <w:r w:rsidRPr="00426C19">
        <w:tab/>
        <w:t>D</w:t>
      </w:r>
      <w:r w:rsidRPr="00426C19">
        <w:tab/>
        <w:t>=</w:t>
      </w:r>
      <w:r w:rsidRPr="00426C19">
        <w:tab/>
        <w:t>diameter of the pool fire (m)</w:t>
      </w:r>
    </w:p>
    <w:p w14:paraId="6114CDF8" w14:textId="77777777" w:rsidR="00475D34" w:rsidRPr="00426C19" w:rsidRDefault="00475D34" w:rsidP="00B956B5">
      <w:pPr>
        <w:tabs>
          <w:tab w:val="left" w:pos="274"/>
          <w:tab w:val="left" w:pos="806"/>
        </w:tabs>
        <w:jc w:val="both"/>
      </w:pPr>
    </w:p>
    <w:p w14:paraId="7838152A" w14:textId="18D7C33F" w:rsidR="00475D34" w:rsidRPr="00426C19" w:rsidRDefault="00475D34" w:rsidP="00B956B5">
      <w:pPr>
        <w:tabs>
          <w:tab w:val="left" w:pos="274"/>
          <w:tab w:val="left" w:pos="806"/>
        </w:tabs>
        <w:jc w:val="both"/>
      </w:pPr>
      <w:r w:rsidRPr="00426C19">
        <w:t xml:space="preserve">Table </w:t>
      </w:r>
      <w:r w:rsidR="003A55C0" w:rsidRPr="00426C19">
        <w:t>6.2.2</w:t>
      </w:r>
      <w:r w:rsidRPr="00426C19">
        <w:t xml:space="preserve"> gives the properties for liquid fuels commonly used in NPPs.  Only those fuels are explicitly considered in Phase 2 of the F</w:t>
      </w:r>
      <w:r w:rsidR="002A3333" w:rsidRPr="00426C19">
        <w:t xml:space="preserve">ire </w:t>
      </w:r>
      <w:r w:rsidRPr="00426C19">
        <w:t>P</w:t>
      </w:r>
      <w:r w:rsidR="002A3333" w:rsidRPr="00426C19">
        <w:t>rotection</w:t>
      </w:r>
      <w:r w:rsidRPr="00426C19">
        <w:t xml:space="preserve"> SDP update.</w:t>
      </w:r>
    </w:p>
    <w:p w14:paraId="762E8971" w14:textId="20C31CE4" w:rsidR="00475D34" w:rsidRPr="00426C19" w:rsidRDefault="00475D34" w:rsidP="00B956B5">
      <w:pPr>
        <w:tabs>
          <w:tab w:val="left" w:pos="274"/>
          <w:tab w:val="left" w:pos="806"/>
        </w:tabs>
        <w:jc w:val="both"/>
      </w:pPr>
      <w:r w:rsidRPr="00426C19">
        <w:t xml:space="preserve">  </w:t>
      </w:r>
    </w:p>
    <w:tbl>
      <w:tblPr>
        <w:tblW w:w="5995" w:type="dxa"/>
        <w:jc w:val="center"/>
        <w:tblLayout w:type="fixed"/>
        <w:tblLook w:val="04A0" w:firstRow="1" w:lastRow="0" w:firstColumn="1" w:lastColumn="0" w:noHBand="0" w:noVBand="1"/>
      </w:tblPr>
      <w:tblGrid>
        <w:gridCol w:w="1843"/>
        <w:gridCol w:w="1048"/>
        <w:gridCol w:w="1034"/>
        <w:gridCol w:w="1035"/>
        <w:gridCol w:w="1035"/>
      </w:tblGrid>
      <w:tr w:rsidR="00D81BA8" w:rsidRPr="00426C19" w14:paraId="30E7C35A" w14:textId="77777777" w:rsidTr="00BC424C">
        <w:trPr>
          <w:trHeight w:val="288"/>
          <w:jc w:val="center"/>
        </w:trPr>
        <w:tc>
          <w:tcPr>
            <w:tcW w:w="599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36A1BE" w14:textId="5CF8F0A2" w:rsidR="00D81BA8" w:rsidRPr="00F7507F" w:rsidRDefault="00D81BA8" w:rsidP="00A75ED5">
            <w:pPr>
              <w:pStyle w:val="TableCaption"/>
              <w:rPr>
                <w:b w:val="0"/>
              </w:rPr>
            </w:pPr>
            <w:bookmarkStart w:id="141" w:name="_Toc483393007"/>
            <w:r w:rsidRPr="00F7507F">
              <w:rPr>
                <w:b w:val="0"/>
              </w:rPr>
              <w:t>Table 6.2</w:t>
            </w:r>
            <w:r w:rsidR="00BC424C" w:rsidRPr="00F7507F">
              <w:rPr>
                <w:b w:val="0"/>
              </w:rPr>
              <w:t>.</w:t>
            </w:r>
            <w:r w:rsidRPr="00F7507F">
              <w:rPr>
                <w:b w:val="0"/>
              </w:rPr>
              <w:t>2</w:t>
            </w:r>
            <w:r w:rsidR="00BC424C" w:rsidRPr="00F7507F">
              <w:rPr>
                <w:b w:val="0"/>
              </w:rPr>
              <w:t xml:space="preserve"> – </w:t>
            </w:r>
            <w:r w:rsidRPr="00F7507F">
              <w:rPr>
                <w:b w:val="0"/>
              </w:rPr>
              <w:t xml:space="preserve">Liquid Fuel Properties for Equation </w:t>
            </w:r>
            <w:r w:rsidR="00722491" w:rsidRPr="00F7507F">
              <w:rPr>
                <w:b w:val="0"/>
              </w:rPr>
              <w:t>4</w:t>
            </w:r>
            <w:r w:rsidR="00A75ED5" w:rsidRPr="00F7507F">
              <w:rPr>
                <w:b w:val="0"/>
              </w:rPr>
              <w:t>.</w:t>
            </w:r>
            <w:bookmarkEnd w:id="141"/>
          </w:p>
        </w:tc>
      </w:tr>
      <w:tr w:rsidR="00475D34" w:rsidRPr="00426C19" w14:paraId="089A443B" w14:textId="77777777" w:rsidTr="00BC424C">
        <w:trPr>
          <w:trHeight w:val="288"/>
          <w:jc w:val="center"/>
        </w:trPr>
        <w:tc>
          <w:tcPr>
            <w:tcW w:w="1843" w:type="dxa"/>
            <w:tcBorders>
              <w:top w:val="single" w:sz="12" w:space="0" w:color="auto"/>
              <w:left w:val="single" w:sz="12" w:space="0" w:color="auto"/>
              <w:bottom w:val="single" w:sz="12" w:space="0" w:color="auto"/>
              <w:right w:val="single" w:sz="12" w:space="0" w:color="auto"/>
            </w:tcBorders>
            <w:vAlign w:val="center"/>
          </w:tcPr>
          <w:p w14:paraId="43D12B58" w14:textId="77777777" w:rsidR="00475D34" w:rsidRPr="00F7507F" w:rsidRDefault="00475D34" w:rsidP="00B956B5">
            <w:pPr>
              <w:tabs>
                <w:tab w:val="left" w:pos="274"/>
                <w:tab w:val="left" w:pos="806"/>
                <w:tab w:val="left" w:pos="6070"/>
              </w:tabs>
              <w:rPr>
                <w:color w:val="000000"/>
              </w:rPr>
            </w:pPr>
            <w:r w:rsidRPr="00F7507F">
              <w:rPr>
                <w:color w:val="000000"/>
              </w:rPr>
              <w:t>Fuel</w:t>
            </w:r>
          </w:p>
        </w:tc>
        <w:tc>
          <w:tcPr>
            <w:tcW w:w="1048" w:type="dxa"/>
            <w:tcBorders>
              <w:top w:val="single" w:sz="12" w:space="0" w:color="auto"/>
              <w:left w:val="single" w:sz="12" w:space="0" w:color="auto"/>
              <w:bottom w:val="single" w:sz="12" w:space="0" w:color="auto"/>
              <w:right w:val="single" w:sz="4" w:space="0" w:color="auto"/>
            </w:tcBorders>
            <w:vAlign w:val="center"/>
          </w:tcPr>
          <w:p w14:paraId="4A789613" w14:textId="77777777" w:rsidR="00475D34" w:rsidRPr="00426C19" w:rsidRDefault="00475D34" w:rsidP="00B956B5">
            <w:pPr>
              <w:tabs>
                <w:tab w:val="left" w:pos="274"/>
                <w:tab w:val="left" w:pos="806"/>
                <w:tab w:val="left" w:pos="6070"/>
              </w:tabs>
              <w:jc w:val="center"/>
              <w:rPr>
                <w:color w:val="000000"/>
              </w:rPr>
            </w:pPr>
            <w:r w:rsidRPr="00426C19">
              <w:rPr>
                <w:color w:val="000000"/>
              </w:rPr>
              <w:t>Density</w:t>
            </w:r>
          </w:p>
          <w:p w14:paraId="0F223F35" w14:textId="77777777" w:rsidR="00475D34" w:rsidRPr="00426C19" w:rsidRDefault="00475D34" w:rsidP="00B956B5">
            <w:pPr>
              <w:tabs>
                <w:tab w:val="left" w:pos="274"/>
                <w:tab w:val="left" w:pos="806"/>
                <w:tab w:val="left" w:pos="6070"/>
              </w:tabs>
              <w:jc w:val="center"/>
            </w:pPr>
            <w:r w:rsidRPr="00426C19">
              <w:rPr>
                <w:color w:val="000000"/>
              </w:rPr>
              <w:t>(kg/m</w:t>
            </w:r>
            <w:r w:rsidRPr="00426C19">
              <w:rPr>
                <w:color w:val="000000"/>
                <w:vertAlign w:val="superscript"/>
              </w:rPr>
              <w:t>3</w:t>
            </w:r>
            <w:r w:rsidRPr="00426C19">
              <w:rPr>
                <w:color w:val="000000"/>
              </w:rPr>
              <w:t>)</w:t>
            </w:r>
          </w:p>
        </w:tc>
        <w:tc>
          <w:tcPr>
            <w:tcW w:w="1034" w:type="dxa"/>
            <w:tcBorders>
              <w:top w:val="single" w:sz="12" w:space="0" w:color="auto"/>
              <w:left w:val="single" w:sz="4" w:space="0" w:color="auto"/>
              <w:bottom w:val="single" w:sz="12" w:space="0" w:color="auto"/>
              <w:right w:val="single" w:sz="4" w:space="0" w:color="auto"/>
            </w:tcBorders>
          </w:tcPr>
          <w:p w14:paraId="2FDF81BD" w14:textId="198E07A5" w:rsidR="00475D34" w:rsidRPr="00426C19" w:rsidRDefault="00B9252A" w:rsidP="00B956B5">
            <w:pPr>
              <w:tabs>
                <w:tab w:val="left" w:pos="274"/>
                <w:tab w:val="left" w:pos="806"/>
                <w:tab w:val="left" w:pos="6070"/>
              </w:tabs>
              <w:jc w:val="center"/>
              <w:rPr>
                <w:rFonts w:ascii="Calibri" w:eastAsiaTheme="minorEastAsia" w:hAnsi="Calibri"/>
              </w:rPr>
            </w:pPr>
            <m:oMathPara>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max</m:t>
                    </m:r>
                  </m:sub>
                  <m:sup>
                    <m:r>
                      <m:rPr>
                        <m:sty m:val="p"/>
                      </m:rPr>
                      <w:rPr>
                        <w:rFonts w:ascii="Cambria Math" w:hAnsi="Cambria Math"/>
                      </w:rPr>
                      <m:t>"</m:t>
                    </m:r>
                  </m:sup>
                </m:sSubSup>
              </m:oMath>
            </m:oMathPara>
          </w:p>
          <w:p w14:paraId="2C80ECF4" w14:textId="77777777" w:rsidR="00475D34" w:rsidRPr="00426C19" w:rsidRDefault="00475D34" w:rsidP="00B956B5">
            <w:pPr>
              <w:tabs>
                <w:tab w:val="left" w:pos="274"/>
                <w:tab w:val="left" w:pos="806"/>
                <w:tab w:val="left" w:pos="6070"/>
              </w:tabs>
              <w:jc w:val="center"/>
              <w:rPr>
                <w:rFonts w:ascii="Calibri" w:hAnsi="Calibri"/>
                <w:color w:val="000000"/>
              </w:rPr>
            </w:pPr>
            <w:r w:rsidRPr="00426C19">
              <w:t>(g/m</w:t>
            </w:r>
            <w:r w:rsidRPr="00426C19">
              <w:rPr>
                <w:vertAlign w:val="superscript"/>
              </w:rPr>
              <w:t>2</w:t>
            </w:r>
            <w:r w:rsidRPr="00426C19">
              <w:sym w:font="Symbol" w:char="F0D7"/>
            </w:r>
            <w:r w:rsidRPr="00426C19">
              <w:t>s)</w:t>
            </w:r>
          </w:p>
        </w:tc>
        <w:tc>
          <w:tcPr>
            <w:tcW w:w="1035" w:type="dxa"/>
            <w:tcBorders>
              <w:top w:val="single" w:sz="12" w:space="0" w:color="auto"/>
              <w:left w:val="single" w:sz="4" w:space="0" w:color="auto"/>
              <w:bottom w:val="single" w:sz="12" w:space="0" w:color="auto"/>
              <w:right w:val="single" w:sz="4" w:space="0" w:color="auto"/>
            </w:tcBorders>
          </w:tcPr>
          <w:p w14:paraId="690F1671" w14:textId="77777777" w:rsidR="00475D34" w:rsidRPr="00426C19" w:rsidRDefault="00475D34" w:rsidP="00B956B5">
            <w:pPr>
              <w:tabs>
                <w:tab w:val="left" w:pos="274"/>
                <w:tab w:val="left" w:pos="806"/>
                <w:tab w:val="left" w:pos="6070"/>
              </w:tabs>
              <w:jc w:val="center"/>
              <w:rPr>
                <w:vertAlign w:val="subscript"/>
              </w:rPr>
            </w:pPr>
            <w:r w:rsidRPr="00426C19">
              <w:sym w:font="Symbol" w:char="F044"/>
            </w:r>
            <w:r w:rsidRPr="00426C19">
              <w:t>h</w:t>
            </w:r>
            <w:r w:rsidRPr="00426C19">
              <w:rPr>
                <w:vertAlign w:val="subscript"/>
              </w:rPr>
              <w:t>c,eff</w:t>
            </w:r>
          </w:p>
          <w:p w14:paraId="02DCEA09" w14:textId="77777777" w:rsidR="00475D34" w:rsidRPr="00426C19" w:rsidRDefault="00475D34" w:rsidP="00B956B5">
            <w:pPr>
              <w:tabs>
                <w:tab w:val="left" w:pos="274"/>
                <w:tab w:val="left" w:pos="806"/>
                <w:tab w:val="left" w:pos="6070"/>
              </w:tabs>
              <w:jc w:val="center"/>
              <w:rPr>
                <w:rFonts w:ascii="Calibri" w:hAnsi="Calibri"/>
                <w:color w:val="000000"/>
              </w:rPr>
            </w:pPr>
            <w:r w:rsidRPr="00426C19">
              <w:t>(kJ/g)</w:t>
            </w:r>
          </w:p>
        </w:tc>
        <w:tc>
          <w:tcPr>
            <w:tcW w:w="1035" w:type="dxa"/>
            <w:tcBorders>
              <w:top w:val="single" w:sz="12" w:space="0" w:color="auto"/>
              <w:left w:val="single" w:sz="4" w:space="0" w:color="auto"/>
              <w:bottom w:val="single" w:sz="12" w:space="0" w:color="auto"/>
              <w:right w:val="single" w:sz="12" w:space="0" w:color="auto"/>
            </w:tcBorders>
          </w:tcPr>
          <w:p w14:paraId="700B0DD8" w14:textId="77777777" w:rsidR="00475D34" w:rsidRPr="00426C19" w:rsidRDefault="00475D34" w:rsidP="00B956B5">
            <w:pPr>
              <w:tabs>
                <w:tab w:val="left" w:pos="274"/>
                <w:tab w:val="left" w:pos="806"/>
                <w:tab w:val="left" w:pos="6070"/>
              </w:tabs>
              <w:jc w:val="center"/>
            </w:pPr>
            <w:r w:rsidRPr="00426C19">
              <w:t>k</w:t>
            </w:r>
            <w:r w:rsidRPr="00426C19">
              <w:sym w:font="Symbol" w:char="F062"/>
            </w:r>
          </w:p>
          <w:p w14:paraId="731F089C" w14:textId="77777777" w:rsidR="00475D34" w:rsidRPr="00426C19" w:rsidRDefault="00475D34" w:rsidP="00B956B5">
            <w:pPr>
              <w:tabs>
                <w:tab w:val="left" w:pos="274"/>
                <w:tab w:val="left" w:pos="806"/>
                <w:tab w:val="left" w:pos="6070"/>
              </w:tabs>
              <w:jc w:val="center"/>
              <w:rPr>
                <w:rFonts w:ascii="Calibri" w:hAnsi="Calibri"/>
                <w:color w:val="000000"/>
              </w:rPr>
            </w:pPr>
            <w:r w:rsidRPr="00426C19">
              <w:t>(m</w:t>
            </w:r>
            <w:r w:rsidRPr="00426C19">
              <w:rPr>
                <w:vertAlign w:val="superscript"/>
              </w:rPr>
              <w:t>-1</w:t>
            </w:r>
            <w:r w:rsidRPr="00426C19">
              <w:t>)</w:t>
            </w:r>
          </w:p>
        </w:tc>
      </w:tr>
      <w:tr w:rsidR="00475D34" w:rsidRPr="00426C19" w14:paraId="33D9DF74" w14:textId="77777777" w:rsidTr="00BC424C">
        <w:trPr>
          <w:trHeight w:val="288"/>
          <w:jc w:val="center"/>
        </w:trPr>
        <w:tc>
          <w:tcPr>
            <w:tcW w:w="1843" w:type="dxa"/>
            <w:tcBorders>
              <w:top w:val="single" w:sz="12" w:space="0" w:color="auto"/>
              <w:left w:val="single" w:sz="12" w:space="0" w:color="auto"/>
              <w:right w:val="single" w:sz="12" w:space="0" w:color="auto"/>
            </w:tcBorders>
            <w:shd w:val="clear" w:color="auto" w:fill="auto"/>
          </w:tcPr>
          <w:p w14:paraId="21385324" w14:textId="77777777" w:rsidR="00475D34" w:rsidRPr="00426C19" w:rsidRDefault="00475D34" w:rsidP="00B956B5">
            <w:pPr>
              <w:tabs>
                <w:tab w:val="left" w:pos="274"/>
                <w:tab w:val="left" w:pos="806"/>
                <w:tab w:val="left" w:pos="6070"/>
              </w:tabs>
              <w:rPr>
                <w:color w:val="000000"/>
              </w:rPr>
            </w:pPr>
            <w:r w:rsidRPr="00426C19">
              <w:rPr>
                <w:color w:val="000000"/>
              </w:rPr>
              <w:t>Diesel Fuel</w:t>
            </w:r>
          </w:p>
        </w:tc>
        <w:tc>
          <w:tcPr>
            <w:tcW w:w="1048" w:type="dxa"/>
            <w:tcBorders>
              <w:top w:val="single" w:sz="12" w:space="0" w:color="auto"/>
              <w:left w:val="single" w:sz="12" w:space="0" w:color="auto"/>
              <w:right w:val="single" w:sz="4" w:space="0" w:color="auto"/>
            </w:tcBorders>
            <w:shd w:val="clear" w:color="auto" w:fill="auto"/>
            <w:vAlign w:val="bottom"/>
          </w:tcPr>
          <w:p w14:paraId="08DA5F67" w14:textId="77777777" w:rsidR="00475D34" w:rsidRPr="00426C19" w:rsidRDefault="00475D34" w:rsidP="00B956B5">
            <w:pPr>
              <w:tabs>
                <w:tab w:val="left" w:pos="274"/>
                <w:tab w:val="left" w:pos="806"/>
                <w:tab w:val="left" w:pos="6070"/>
              </w:tabs>
              <w:jc w:val="center"/>
            </w:pPr>
            <w:r w:rsidRPr="00426C19">
              <w:t>970</w:t>
            </w:r>
          </w:p>
        </w:tc>
        <w:tc>
          <w:tcPr>
            <w:tcW w:w="1034" w:type="dxa"/>
            <w:tcBorders>
              <w:top w:val="single" w:sz="12" w:space="0" w:color="auto"/>
              <w:left w:val="single" w:sz="4" w:space="0" w:color="auto"/>
              <w:right w:val="single" w:sz="4" w:space="0" w:color="auto"/>
            </w:tcBorders>
            <w:shd w:val="clear" w:color="auto" w:fill="auto"/>
            <w:vAlign w:val="bottom"/>
          </w:tcPr>
          <w:p w14:paraId="3C8AA54B" w14:textId="77777777" w:rsidR="00475D34" w:rsidRPr="00426C19" w:rsidRDefault="00475D34" w:rsidP="00B956B5">
            <w:pPr>
              <w:tabs>
                <w:tab w:val="left" w:pos="274"/>
                <w:tab w:val="left" w:pos="806"/>
                <w:tab w:val="left" w:pos="6070"/>
              </w:tabs>
              <w:jc w:val="center"/>
            </w:pPr>
            <w:r w:rsidRPr="00426C19">
              <w:t>35</w:t>
            </w:r>
          </w:p>
        </w:tc>
        <w:tc>
          <w:tcPr>
            <w:tcW w:w="1035" w:type="dxa"/>
            <w:tcBorders>
              <w:top w:val="single" w:sz="12" w:space="0" w:color="auto"/>
              <w:left w:val="single" w:sz="4" w:space="0" w:color="auto"/>
              <w:right w:val="single" w:sz="4" w:space="0" w:color="auto"/>
            </w:tcBorders>
            <w:shd w:val="clear" w:color="auto" w:fill="auto"/>
            <w:vAlign w:val="bottom"/>
          </w:tcPr>
          <w:p w14:paraId="2DF414E6" w14:textId="77777777" w:rsidR="00475D34" w:rsidRPr="00426C19" w:rsidRDefault="00475D34" w:rsidP="00B956B5">
            <w:pPr>
              <w:tabs>
                <w:tab w:val="left" w:pos="274"/>
                <w:tab w:val="left" w:pos="806"/>
                <w:tab w:val="left" w:pos="6070"/>
              </w:tabs>
              <w:jc w:val="center"/>
            </w:pPr>
            <w:r w:rsidRPr="00426C19">
              <w:t>39.7</w:t>
            </w:r>
          </w:p>
        </w:tc>
        <w:tc>
          <w:tcPr>
            <w:tcW w:w="1035" w:type="dxa"/>
            <w:tcBorders>
              <w:top w:val="single" w:sz="12" w:space="0" w:color="auto"/>
              <w:left w:val="single" w:sz="4" w:space="0" w:color="auto"/>
              <w:bottom w:val="single" w:sz="4" w:space="0" w:color="auto"/>
              <w:right w:val="single" w:sz="12" w:space="0" w:color="auto"/>
            </w:tcBorders>
            <w:shd w:val="clear" w:color="auto" w:fill="auto"/>
            <w:vAlign w:val="bottom"/>
          </w:tcPr>
          <w:p w14:paraId="07D28F8E" w14:textId="77777777" w:rsidR="00475D34" w:rsidRPr="00426C19" w:rsidRDefault="00475D34" w:rsidP="00B956B5">
            <w:pPr>
              <w:tabs>
                <w:tab w:val="left" w:pos="274"/>
                <w:tab w:val="left" w:pos="806"/>
                <w:tab w:val="left" w:pos="6070"/>
              </w:tabs>
              <w:jc w:val="center"/>
            </w:pPr>
            <w:r w:rsidRPr="00426C19">
              <w:t>1.7</w:t>
            </w:r>
          </w:p>
        </w:tc>
      </w:tr>
      <w:tr w:rsidR="00475D34" w:rsidRPr="00426C19" w14:paraId="7B09E9B0" w14:textId="77777777" w:rsidTr="00BC424C">
        <w:trPr>
          <w:trHeight w:val="288"/>
          <w:jc w:val="center"/>
        </w:trPr>
        <w:tc>
          <w:tcPr>
            <w:tcW w:w="1843" w:type="dxa"/>
            <w:tcBorders>
              <w:left w:val="single" w:sz="12" w:space="0" w:color="auto"/>
              <w:bottom w:val="single" w:sz="12" w:space="0" w:color="auto"/>
              <w:right w:val="single" w:sz="12" w:space="0" w:color="auto"/>
            </w:tcBorders>
            <w:shd w:val="clear" w:color="auto" w:fill="auto"/>
          </w:tcPr>
          <w:p w14:paraId="485E26B4" w14:textId="77777777" w:rsidR="00475D34" w:rsidRPr="00426C19" w:rsidRDefault="00475D34" w:rsidP="00B956B5">
            <w:pPr>
              <w:tabs>
                <w:tab w:val="left" w:pos="274"/>
                <w:tab w:val="left" w:pos="806"/>
                <w:tab w:val="left" w:pos="6070"/>
              </w:tabs>
              <w:rPr>
                <w:color w:val="000000"/>
              </w:rPr>
            </w:pPr>
            <w:r w:rsidRPr="00426C19">
              <w:rPr>
                <w:color w:val="000000"/>
              </w:rPr>
              <w:t>Fuel Oil, Heavy</w:t>
            </w:r>
          </w:p>
        </w:tc>
        <w:tc>
          <w:tcPr>
            <w:tcW w:w="1048" w:type="dxa"/>
            <w:tcBorders>
              <w:left w:val="single" w:sz="12" w:space="0" w:color="auto"/>
              <w:bottom w:val="single" w:sz="12" w:space="0" w:color="auto"/>
              <w:right w:val="single" w:sz="4" w:space="0" w:color="auto"/>
            </w:tcBorders>
            <w:shd w:val="clear" w:color="auto" w:fill="auto"/>
            <w:vAlign w:val="bottom"/>
          </w:tcPr>
          <w:p w14:paraId="5EFF9EC1" w14:textId="77777777" w:rsidR="00475D34" w:rsidRPr="00426C19" w:rsidRDefault="00475D34" w:rsidP="00B956B5">
            <w:pPr>
              <w:tabs>
                <w:tab w:val="left" w:pos="274"/>
                <w:tab w:val="left" w:pos="806"/>
                <w:tab w:val="left" w:pos="6070"/>
              </w:tabs>
              <w:jc w:val="center"/>
            </w:pPr>
            <w:r w:rsidRPr="00426C19">
              <w:t>970</w:t>
            </w:r>
          </w:p>
        </w:tc>
        <w:tc>
          <w:tcPr>
            <w:tcW w:w="1034" w:type="dxa"/>
            <w:tcBorders>
              <w:left w:val="single" w:sz="4" w:space="0" w:color="auto"/>
              <w:bottom w:val="single" w:sz="12" w:space="0" w:color="auto"/>
              <w:right w:val="single" w:sz="4" w:space="0" w:color="auto"/>
            </w:tcBorders>
            <w:shd w:val="clear" w:color="auto" w:fill="auto"/>
            <w:vAlign w:val="bottom"/>
          </w:tcPr>
          <w:p w14:paraId="0F7A4A60" w14:textId="77777777" w:rsidR="00475D34" w:rsidRPr="00426C19" w:rsidRDefault="00475D34" w:rsidP="00B956B5">
            <w:pPr>
              <w:tabs>
                <w:tab w:val="left" w:pos="274"/>
                <w:tab w:val="left" w:pos="806"/>
                <w:tab w:val="left" w:pos="6070"/>
              </w:tabs>
              <w:jc w:val="center"/>
            </w:pPr>
            <w:r w:rsidRPr="00426C19">
              <w:t>35</w:t>
            </w:r>
          </w:p>
        </w:tc>
        <w:tc>
          <w:tcPr>
            <w:tcW w:w="1035" w:type="dxa"/>
            <w:tcBorders>
              <w:left w:val="single" w:sz="4" w:space="0" w:color="auto"/>
              <w:bottom w:val="single" w:sz="12" w:space="0" w:color="auto"/>
              <w:right w:val="single" w:sz="4" w:space="0" w:color="auto"/>
            </w:tcBorders>
            <w:shd w:val="clear" w:color="auto" w:fill="auto"/>
            <w:vAlign w:val="bottom"/>
          </w:tcPr>
          <w:p w14:paraId="61840CCE" w14:textId="77777777" w:rsidR="00475D34" w:rsidRPr="00426C19" w:rsidRDefault="00475D34" w:rsidP="00B956B5">
            <w:pPr>
              <w:tabs>
                <w:tab w:val="left" w:pos="274"/>
                <w:tab w:val="left" w:pos="806"/>
                <w:tab w:val="left" w:pos="6070"/>
              </w:tabs>
              <w:jc w:val="center"/>
            </w:pPr>
            <w:r w:rsidRPr="00426C19">
              <w:t>39.7</w:t>
            </w:r>
          </w:p>
        </w:tc>
        <w:tc>
          <w:tcPr>
            <w:tcW w:w="1035" w:type="dxa"/>
            <w:tcBorders>
              <w:left w:val="single" w:sz="4" w:space="0" w:color="auto"/>
              <w:bottom w:val="single" w:sz="12" w:space="0" w:color="auto"/>
              <w:right w:val="single" w:sz="12" w:space="0" w:color="auto"/>
            </w:tcBorders>
            <w:shd w:val="clear" w:color="auto" w:fill="auto"/>
            <w:vAlign w:val="bottom"/>
          </w:tcPr>
          <w:p w14:paraId="21EC2310" w14:textId="77777777" w:rsidR="00475D34" w:rsidRPr="00426C19" w:rsidRDefault="00475D34" w:rsidP="00B956B5">
            <w:pPr>
              <w:tabs>
                <w:tab w:val="left" w:pos="274"/>
                <w:tab w:val="left" w:pos="806"/>
                <w:tab w:val="left" w:pos="6070"/>
              </w:tabs>
              <w:jc w:val="center"/>
            </w:pPr>
            <w:r w:rsidRPr="00426C19">
              <w:t>1.7</w:t>
            </w:r>
          </w:p>
        </w:tc>
      </w:tr>
      <w:tr w:rsidR="00475D34" w:rsidRPr="00426C19" w14:paraId="5A94AB12" w14:textId="77777777" w:rsidTr="00BC424C">
        <w:trPr>
          <w:trHeight w:val="288"/>
          <w:jc w:val="center"/>
        </w:trPr>
        <w:tc>
          <w:tcPr>
            <w:tcW w:w="1843" w:type="dxa"/>
            <w:tcBorders>
              <w:top w:val="single" w:sz="12" w:space="0" w:color="auto"/>
              <w:left w:val="single" w:sz="12" w:space="0" w:color="auto"/>
              <w:right w:val="single" w:sz="12" w:space="0" w:color="auto"/>
            </w:tcBorders>
            <w:shd w:val="clear" w:color="auto" w:fill="auto"/>
          </w:tcPr>
          <w:p w14:paraId="4656ECB7" w14:textId="77777777" w:rsidR="00475D34" w:rsidRPr="00426C19" w:rsidRDefault="00475D34" w:rsidP="00B956B5">
            <w:pPr>
              <w:tabs>
                <w:tab w:val="left" w:pos="274"/>
                <w:tab w:val="left" w:pos="806"/>
                <w:tab w:val="left" w:pos="6070"/>
              </w:tabs>
              <w:rPr>
                <w:color w:val="000000"/>
              </w:rPr>
            </w:pPr>
            <w:r w:rsidRPr="00426C19">
              <w:rPr>
                <w:color w:val="000000"/>
              </w:rPr>
              <w:t>Lube Oil</w:t>
            </w:r>
          </w:p>
        </w:tc>
        <w:tc>
          <w:tcPr>
            <w:tcW w:w="1048" w:type="dxa"/>
            <w:tcBorders>
              <w:top w:val="single" w:sz="12" w:space="0" w:color="auto"/>
              <w:left w:val="single" w:sz="12" w:space="0" w:color="auto"/>
              <w:right w:val="single" w:sz="4" w:space="0" w:color="auto"/>
            </w:tcBorders>
            <w:shd w:val="clear" w:color="auto" w:fill="auto"/>
            <w:vAlign w:val="bottom"/>
          </w:tcPr>
          <w:p w14:paraId="0FC3F1FD" w14:textId="77777777" w:rsidR="00475D34" w:rsidRPr="00426C19" w:rsidRDefault="00475D34" w:rsidP="00B956B5">
            <w:pPr>
              <w:tabs>
                <w:tab w:val="left" w:pos="274"/>
                <w:tab w:val="left" w:pos="806"/>
                <w:tab w:val="left" w:pos="6070"/>
              </w:tabs>
              <w:jc w:val="center"/>
            </w:pPr>
            <w:r w:rsidRPr="00426C19">
              <w:t>760</w:t>
            </w:r>
          </w:p>
        </w:tc>
        <w:tc>
          <w:tcPr>
            <w:tcW w:w="1034" w:type="dxa"/>
            <w:tcBorders>
              <w:top w:val="single" w:sz="12" w:space="0" w:color="auto"/>
              <w:left w:val="single" w:sz="4" w:space="0" w:color="auto"/>
              <w:right w:val="single" w:sz="4" w:space="0" w:color="auto"/>
            </w:tcBorders>
            <w:shd w:val="clear" w:color="auto" w:fill="auto"/>
            <w:vAlign w:val="bottom"/>
          </w:tcPr>
          <w:p w14:paraId="6B2731A7" w14:textId="77777777" w:rsidR="00475D34" w:rsidRPr="00426C19" w:rsidRDefault="00475D34" w:rsidP="00B956B5">
            <w:pPr>
              <w:tabs>
                <w:tab w:val="left" w:pos="274"/>
                <w:tab w:val="left" w:pos="806"/>
                <w:tab w:val="left" w:pos="6070"/>
              </w:tabs>
              <w:jc w:val="center"/>
            </w:pPr>
            <w:r w:rsidRPr="00426C19">
              <w:t>39</w:t>
            </w:r>
          </w:p>
        </w:tc>
        <w:tc>
          <w:tcPr>
            <w:tcW w:w="1035" w:type="dxa"/>
            <w:tcBorders>
              <w:top w:val="single" w:sz="12" w:space="0" w:color="auto"/>
              <w:left w:val="single" w:sz="4" w:space="0" w:color="auto"/>
              <w:right w:val="single" w:sz="4" w:space="0" w:color="auto"/>
            </w:tcBorders>
            <w:shd w:val="clear" w:color="auto" w:fill="auto"/>
            <w:vAlign w:val="bottom"/>
          </w:tcPr>
          <w:p w14:paraId="59A8BD17" w14:textId="77777777" w:rsidR="00475D34" w:rsidRPr="00426C19" w:rsidRDefault="00475D34" w:rsidP="00B956B5">
            <w:pPr>
              <w:tabs>
                <w:tab w:val="left" w:pos="274"/>
                <w:tab w:val="left" w:pos="806"/>
                <w:tab w:val="left" w:pos="6070"/>
              </w:tabs>
              <w:jc w:val="center"/>
            </w:pPr>
            <w:r w:rsidRPr="00426C19">
              <w:t>46.4</w:t>
            </w:r>
          </w:p>
        </w:tc>
        <w:tc>
          <w:tcPr>
            <w:tcW w:w="1035" w:type="dxa"/>
            <w:tcBorders>
              <w:top w:val="single" w:sz="12" w:space="0" w:color="auto"/>
              <w:left w:val="single" w:sz="4" w:space="0" w:color="auto"/>
              <w:right w:val="single" w:sz="12" w:space="0" w:color="auto"/>
            </w:tcBorders>
            <w:shd w:val="clear" w:color="auto" w:fill="auto"/>
            <w:vAlign w:val="bottom"/>
          </w:tcPr>
          <w:p w14:paraId="396B0B13" w14:textId="77777777" w:rsidR="00475D34" w:rsidRPr="00426C19" w:rsidRDefault="00475D34" w:rsidP="00B956B5">
            <w:pPr>
              <w:tabs>
                <w:tab w:val="left" w:pos="274"/>
                <w:tab w:val="left" w:pos="806"/>
                <w:tab w:val="left" w:pos="6070"/>
              </w:tabs>
              <w:jc w:val="center"/>
            </w:pPr>
            <w:r w:rsidRPr="00426C19">
              <w:t>0.7</w:t>
            </w:r>
          </w:p>
        </w:tc>
      </w:tr>
      <w:tr w:rsidR="00475D34" w:rsidRPr="00426C19" w14:paraId="4A41F60E" w14:textId="77777777" w:rsidTr="00BC424C">
        <w:trPr>
          <w:trHeight w:val="288"/>
          <w:jc w:val="center"/>
        </w:trPr>
        <w:tc>
          <w:tcPr>
            <w:tcW w:w="1843" w:type="dxa"/>
            <w:tcBorders>
              <w:left w:val="single" w:sz="12" w:space="0" w:color="auto"/>
              <w:bottom w:val="single" w:sz="12" w:space="0" w:color="auto"/>
              <w:right w:val="single" w:sz="12" w:space="0" w:color="auto"/>
            </w:tcBorders>
            <w:shd w:val="clear" w:color="auto" w:fill="auto"/>
          </w:tcPr>
          <w:p w14:paraId="1473C335" w14:textId="77777777" w:rsidR="00475D34" w:rsidRPr="00426C19" w:rsidRDefault="00475D34" w:rsidP="00B956B5">
            <w:pPr>
              <w:tabs>
                <w:tab w:val="left" w:pos="274"/>
                <w:tab w:val="left" w:pos="806"/>
                <w:tab w:val="left" w:pos="6070"/>
              </w:tabs>
              <w:rPr>
                <w:color w:val="000000"/>
              </w:rPr>
            </w:pPr>
            <w:r w:rsidRPr="00426C19">
              <w:rPr>
                <w:color w:val="000000"/>
              </w:rPr>
              <w:t>Mineral Oil</w:t>
            </w:r>
          </w:p>
        </w:tc>
        <w:tc>
          <w:tcPr>
            <w:tcW w:w="1048" w:type="dxa"/>
            <w:tcBorders>
              <w:left w:val="single" w:sz="12" w:space="0" w:color="auto"/>
              <w:bottom w:val="single" w:sz="12" w:space="0" w:color="auto"/>
              <w:right w:val="single" w:sz="4" w:space="0" w:color="auto"/>
            </w:tcBorders>
            <w:shd w:val="clear" w:color="auto" w:fill="auto"/>
            <w:vAlign w:val="bottom"/>
          </w:tcPr>
          <w:p w14:paraId="381490C9" w14:textId="77777777" w:rsidR="00475D34" w:rsidRPr="00426C19" w:rsidRDefault="00475D34" w:rsidP="00B956B5">
            <w:pPr>
              <w:tabs>
                <w:tab w:val="left" w:pos="274"/>
                <w:tab w:val="left" w:pos="806"/>
                <w:tab w:val="left" w:pos="6070"/>
              </w:tabs>
              <w:jc w:val="center"/>
            </w:pPr>
            <w:r w:rsidRPr="00426C19">
              <w:t>760</w:t>
            </w:r>
          </w:p>
        </w:tc>
        <w:tc>
          <w:tcPr>
            <w:tcW w:w="1034" w:type="dxa"/>
            <w:tcBorders>
              <w:left w:val="single" w:sz="4" w:space="0" w:color="auto"/>
              <w:bottom w:val="single" w:sz="12" w:space="0" w:color="auto"/>
              <w:right w:val="single" w:sz="4" w:space="0" w:color="auto"/>
            </w:tcBorders>
            <w:shd w:val="clear" w:color="auto" w:fill="auto"/>
            <w:vAlign w:val="bottom"/>
          </w:tcPr>
          <w:p w14:paraId="08034245" w14:textId="77777777" w:rsidR="00475D34" w:rsidRPr="00426C19" w:rsidRDefault="00475D34" w:rsidP="00B956B5">
            <w:pPr>
              <w:tabs>
                <w:tab w:val="left" w:pos="274"/>
                <w:tab w:val="left" w:pos="806"/>
                <w:tab w:val="left" w:pos="6070"/>
              </w:tabs>
              <w:jc w:val="center"/>
            </w:pPr>
            <w:r w:rsidRPr="00426C19">
              <w:t>39</w:t>
            </w:r>
          </w:p>
        </w:tc>
        <w:tc>
          <w:tcPr>
            <w:tcW w:w="1035" w:type="dxa"/>
            <w:tcBorders>
              <w:left w:val="single" w:sz="4" w:space="0" w:color="auto"/>
              <w:bottom w:val="single" w:sz="12" w:space="0" w:color="auto"/>
              <w:right w:val="single" w:sz="4" w:space="0" w:color="auto"/>
            </w:tcBorders>
            <w:shd w:val="clear" w:color="auto" w:fill="auto"/>
            <w:vAlign w:val="bottom"/>
          </w:tcPr>
          <w:p w14:paraId="0011FCFB" w14:textId="77777777" w:rsidR="00475D34" w:rsidRPr="00426C19" w:rsidRDefault="00475D34" w:rsidP="00B956B5">
            <w:pPr>
              <w:tabs>
                <w:tab w:val="left" w:pos="274"/>
                <w:tab w:val="left" w:pos="806"/>
                <w:tab w:val="left" w:pos="6070"/>
              </w:tabs>
              <w:jc w:val="center"/>
            </w:pPr>
            <w:r w:rsidRPr="00426C19">
              <w:t>46.4</w:t>
            </w:r>
          </w:p>
        </w:tc>
        <w:tc>
          <w:tcPr>
            <w:tcW w:w="1035" w:type="dxa"/>
            <w:tcBorders>
              <w:left w:val="single" w:sz="4" w:space="0" w:color="auto"/>
              <w:bottom w:val="single" w:sz="12" w:space="0" w:color="auto"/>
              <w:right w:val="single" w:sz="12" w:space="0" w:color="auto"/>
            </w:tcBorders>
            <w:shd w:val="clear" w:color="auto" w:fill="auto"/>
            <w:vAlign w:val="bottom"/>
          </w:tcPr>
          <w:p w14:paraId="4D22C73B" w14:textId="77777777" w:rsidR="00475D34" w:rsidRPr="00426C19" w:rsidRDefault="00475D34" w:rsidP="00B956B5">
            <w:pPr>
              <w:tabs>
                <w:tab w:val="left" w:pos="274"/>
                <w:tab w:val="left" w:pos="806"/>
                <w:tab w:val="left" w:pos="6070"/>
              </w:tabs>
              <w:jc w:val="center"/>
            </w:pPr>
            <w:r w:rsidRPr="00426C19">
              <w:t>0.7</w:t>
            </w:r>
          </w:p>
        </w:tc>
      </w:tr>
      <w:tr w:rsidR="00475D34" w:rsidRPr="00426C19" w14:paraId="7294CF3B" w14:textId="77777777" w:rsidTr="00BC424C">
        <w:trPr>
          <w:trHeight w:val="288"/>
          <w:jc w:val="center"/>
        </w:trPr>
        <w:tc>
          <w:tcPr>
            <w:tcW w:w="1843" w:type="dxa"/>
            <w:tcBorders>
              <w:top w:val="single" w:sz="12" w:space="0" w:color="auto"/>
              <w:left w:val="single" w:sz="12" w:space="0" w:color="auto"/>
              <w:bottom w:val="single" w:sz="12" w:space="0" w:color="auto"/>
              <w:right w:val="single" w:sz="12" w:space="0" w:color="auto"/>
            </w:tcBorders>
            <w:shd w:val="clear" w:color="auto" w:fill="auto"/>
          </w:tcPr>
          <w:p w14:paraId="5F895379" w14:textId="77777777" w:rsidR="00475D34" w:rsidRPr="00426C19" w:rsidRDefault="00475D34" w:rsidP="00B956B5">
            <w:pPr>
              <w:tabs>
                <w:tab w:val="left" w:pos="274"/>
                <w:tab w:val="left" w:pos="806"/>
                <w:tab w:val="left" w:pos="6070"/>
              </w:tabs>
              <w:rPr>
                <w:color w:val="000000"/>
              </w:rPr>
            </w:pPr>
            <w:r w:rsidRPr="00426C19">
              <w:rPr>
                <w:color w:val="000000"/>
              </w:rPr>
              <w:t>Silicone Fluid</w:t>
            </w:r>
          </w:p>
        </w:tc>
        <w:tc>
          <w:tcPr>
            <w:tcW w:w="1048" w:type="dxa"/>
            <w:tcBorders>
              <w:top w:val="single" w:sz="12" w:space="0" w:color="auto"/>
              <w:left w:val="single" w:sz="12" w:space="0" w:color="auto"/>
              <w:bottom w:val="single" w:sz="12" w:space="0" w:color="auto"/>
              <w:right w:val="single" w:sz="4" w:space="0" w:color="auto"/>
            </w:tcBorders>
            <w:shd w:val="clear" w:color="auto" w:fill="auto"/>
            <w:vAlign w:val="bottom"/>
          </w:tcPr>
          <w:p w14:paraId="32542160" w14:textId="77777777" w:rsidR="00475D34" w:rsidRPr="00426C19" w:rsidRDefault="00475D34" w:rsidP="00B956B5">
            <w:pPr>
              <w:tabs>
                <w:tab w:val="left" w:pos="274"/>
                <w:tab w:val="left" w:pos="806"/>
                <w:tab w:val="left" w:pos="6070"/>
              </w:tabs>
              <w:jc w:val="center"/>
            </w:pPr>
            <w:r w:rsidRPr="00426C19">
              <w:t>980</w:t>
            </w:r>
          </w:p>
        </w:tc>
        <w:tc>
          <w:tcPr>
            <w:tcW w:w="1034" w:type="dxa"/>
            <w:tcBorders>
              <w:top w:val="single" w:sz="12" w:space="0" w:color="auto"/>
              <w:left w:val="single" w:sz="4" w:space="0" w:color="auto"/>
              <w:bottom w:val="single" w:sz="12" w:space="0" w:color="auto"/>
              <w:right w:val="single" w:sz="4" w:space="0" w:color="auto"/>
            </w:tcBorders>
            <w:shd w:val="clear" w:color="auto" w:fill="auto"/>
            <w:vAlign w:val="bottom"/>
          </w:tcPr>
          <w:p w14:paraId="6091203D" w14:textId="77777777" w:rsidR="00475D34" w:rsidRPr="00426C19" w:rsidRDefault="00475D34" w:rsidP="00B956B5">
            <w:pPr>
              <w:tabs>
                <w:tab w:val="left" w:pos="274"/>
                <w:tab w:val="left" w:pos="806"/>
                <w:tab w:val="left" w:pos="6070"/>
              </w:tabs>
              <w:jc w:val="center"/>
            </w:pPr>
            <w:r w:rsidRPr="00426C19">
              <w:t>5</w:t>
            </w:r>
          </w:p>
        </w:tc>
        <w:tc>
          <w:tcPr>
            <w:tcW w:w="1035" w:type="dxa"/>
            <w:tcBorders>
              <w:top w:val="single" w:sz="12" w:space="0" w:color="auto"/>
              <w:left w:val="single" w:sz="4" w:space="0" w:color="auto"/>
              <w:bottom w:val="single" w:sz="12" w:space="0" w:color="auto"/>
              <w:right w:val="single" w:sz="4" w:space="0" w:color="auto"/>
            </w:tcBorders>
            <w:shd w:val="clear" w:color="auto" w:fill="auto"/>
            <w:vAlign w:val="bottom"/>
          </w:tcPr>
          <w:p w14:paraId="3A8E9F20" w14:textId="77777777" w:rsidR="00475D34" w:rsidRPr="00426C19" w:rsidRDefault="00475D34" w:rsidP="00B956B5">
            <w:pPr>
              <w:tabs>
                <w:tab w:val="left" w:pos="274"/>
                <w:tab w:val="left" w:pos="806"/>
                <w:tab w:val="left" w:pos="6070"/>
              </w:tabs>
              <w:jc w:val="center"/>
            </w:pPr>
            <w:r w:rsidRPr="00426C19">
              <w:t>28.1</w:t>
            </w:r>
          </w:p>
        </w:tc>
        <w:tc>
          <w:tcPr>
            <w:tcW w:w="1035" w:type="dxa"/>
            <w:tcBorders>
              <w:top w:val="single" w:sz="12" w:space="0" w:color="auto"/>
              <w:left w:val="single" w:sz="4" w:space="0" w:color="auto"/>
              <w:bottom w:val="single" w:sz="12" w:space="0" w:color="auto"/>
              <w:right w:val="single" w:sz="12" w:space="0" w:color="auto"/>
            </w:tcBorders>
            <w:shd w:val="clear" w:color="auto" w:fill="auto"/>
            <w:vAlign w:val="bottom"/>
          </w:tcPr>
          <w:p w14:paraId="0C7B55BC" w14:textId="77777777" w:rsidR="00475D34" w:rsidRPr="00426C19" w:rsidRDefault="00475D34" w:rsidP="00B956B5">
            <w:pPr>
              <w:tabs>
                <w:tab w:val="left" w:pos="274"/>
                <w:tab w:val="left" w:pos="806"/>
                <w:tab w:val="left" w:pos="6070"/>
              </w:tabs>
              <w:jc w:val="center"/>
            </w:pPr>
            <w:r w:rsidRPr="00426C19">
              <w:t>1.0</w:t>
            </w:r>
          </w:p>
        </w:tc>
      </w:tr>
    </w:tbl>
    <w:p w14:paraId="51DF04A4" w14:textId="77777777" w:rsidR="00475D34" w:rsidRPr="00426C19" w:rsidRDefault="00475D34" w:rsidP="00B956B5">
      <w:pPr>
        <w:tabs>
          <w:tab w:val="left" w:pos="274"/>
          <w:tab w:val="left" w:pos="806"/>
          <w:tab w:val="left" w:pos="6070"/>
        </w:tabs>
        <w:jc w:val="both"/>
      </w:pPr>
    </w:p>
    <w:p w14:paraId="73C1EB4E" w14:textId="3BCB7A69" w:rsidR="00475D34" w:rsidRPr="00426C19" w:rsidRDefault="00475D34" w:rsidP="00B956B5">
      <w:pPr>
        <w:tabs>
          <w:tab w:val="left" w:pos="274"/>
          <w:tab w:val="left" w:pos="806"/>
          <w:tab w:val="left" w:pos="6070"/>
        </w:tabs>
        <w:jc w:val="both"/>
      </w:pPr>
      <w:r w:rsidRPr="00426C19">
        <w:t xml:space="preserve">The properties for heavy fuel oil, mineral oil, and silicone fluid are taken from Table 3-2 in </w:t>
      </w:r>
      <w:r w:rsidR="0037440C">
        <w:t>NUREG-1805 (</w:t>
      </w:r>
      <w:r w:rsidR="00EC1102" w:rsidRPr="00426C19">
        <w:t>Reference 10</w:t>
      </w:r>
      <w:r w:rsidR="0037440C">
        <w:t>)</w:t>
      </w:r>
      <w:r w:rsidRPr="00426C19">
        <w:t>.  Based on generic physical properties and flammability data in the literature, diesel fuel and lube oil are conservatively assumed to have the same properties as heavy fuel oil and mineral oil, respectively.</w:t>
      </w:r>
    </w:p>
    <w:p w14:paraId="716D0678" w14:textId="77777777" w:rsidR="00475D34" w:rsidRPr="00426C19" w:rsidRDefault="00475D34" w:rsidP="00B956B5">
      <w:pPr>
        <w:tabs>
          <w:tab w:val="left" w:pos="274"/>
          <w:tab w:val="left" w:pos="806"/>
        </w:tabs>
      </w:pPr>
    </w:p>
    <w:p w14:paraId="11BF0F7C" w14:textId="77777777" w:rsidR="00A505C8" w:rsidRPr="00426C19"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426C19">
        <w:rPr>
          <w:u w:val="single"/>
        </w:rPr>
        <w:t>HRR of Unconfined Liquid Fuel Spill Fires</w:t>
      </w:r>
    </w:p>
    <w:p w14:paraId="69C1B3CE" w14:textId="77777777" w:rsidR="00A505C8" w:rsidRPr="00426C19"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1BC2AC" w14:textId="0D4E689B" w:rsidR="00A505C8" w:rsidRPr="00426C19"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pPr>
      <w:r w:rsidRPr="00426C19">
        <w:t xml:space="preserve">The maximum area of an unconfined liquid fuel spill can be estimated with the method recommended in </w:t>
      </w:r>
      <w:r w:rsidR="0037440C" w:rsidRPr="0037440C">
        <w:t xml:space="preserve">NUREG/CR-6850 </w:t>
      </w:r>
      <w:r w:rsidR="0037440C">
        <w:t>(</w:t>
      </w:r>
      <w:r w:rsidR="00A24E94" w:rsidRPr="00426C19">
        <w:t>Reference 8</w:t>
      </w:r>
      <w:r w:rsidR="0037440C">
        <w:t>)</w:t>
      </w:r>
      <w:r w:rsidRPr="00426C19">
        <w:t xml:space="preserve">, Appendix G, Section G.4.  This method was originally developed by Gottuk and White as described in the SFPE Handbook </w:t>
      </w:r>
      <w:r w:rsidR="006E16C2" w:rsidRPr="00426C19">
        <w:t>(Reference 2</w:t>
      </w:r>
      <w:r w:rsidR="005F2E7B" w:rsidRPr="00426C19">
        <w:t>8</w:t>
      </w:r>
      <w:r w:rsidR="006E16C2" w:rsidRPr="00426C19">
        <w:t>)</w:t>
      </w:r>
      <w:r w:rsidRPr="00426C19">
        <w:t>.  The method assumes that the maximum area of an unconfined spill is equal to 1.4 m</w:t>
      </w:r>
      <w:r w:rsidRPr="00426C19">
        <w:rPr>
          <w:vertAlign w:val="superscript"/>
        </w:rPr>
        <w:t>2</w:t>
      </w:r>
      <w:r w:rsidRPr="00426C19">
        <w:t>/ℓ (57 ft</w:t>
      </w:r>
      <w:r w:rsidRPr="00426C19">
        <w:rPr>
          <w:vertAlign w:val="superscript"/>
        </w:rPr>
        <w:t>2</w:t>
      </w:r>
      <w:r w:rsidRPr="00426C19">
        <w:t>/gal) if the total volume of fuel spilled is 95 ℓ (25 gal) or less, and equal to 0.36 m</w:t>
      </w:r>
      <w:r w:rsidRPr="00426C19">
        <w:rPr>
          <w:vertAlign w:val="superscript"/>
        </w:rPr>
        <w:t>2</w:t>
      </w:r>
      <w:r w:rsidRPr="00426C19">
        <w:t>/ℓ (15 ft</w:t>
      </w:r>
      <w:r w:rsidRPr="00426C19">
        <w:rPr>
          <w:vertAlign w:val="superscript"/>
        </w:rPr>
        <w:t>2</w:t>
      </w:r>
      <w:r w:rsidRPr="00426C19">
        <w:t xml:space="preserve">/gal) if the total volume of fuel spilled is greater than 95 ℓ (25 gal).  Note that the spill areas per unit volume in </w:t>
      </w:r>
      <w:r w:rsidR="00082C33" w:rsidRPr="00426C19">
        <w:t>Reference 8</w:t>
      </w:r>
      <w:r w:rsidRPr="00426C19">
        <w:t xml:space="preserve"> are actually incorrect.  The correct values are given on the NUREG/CR-6850 errata sheet </w:t>
      </w:r>
      <w:r w:rsidR="006E16C2" w:rsidRPr="00426C19">
        <w:t>(Reference 2</w:t>
      </w:r>
      <w:r w:rsidR="005F2E7B" w:rsidRPr="00426C19">
        <w:t>9</w:t>
      </w:r>
      <w:r w:rsidR="006E16C2" w:rsidRPr="00426C19">
        <w:t>)</w:t>
      </w:r>
      <w:r w:rsidRPr="00426C19">
        <w:t>.</w:t>
      </w:r>
    </w:p>
    <w:p w14:paraId="0F081C5A" w14:textId="77777777" w:rsidR="00A505C8" w:rsidRPr="00426C19"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pPr>
    </w:p>
    <w:p w14:paraId="45345055" w14:textId="321AD8D7" w:rsidR="00A505C8" w:rsidRPr="00426C19"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rPr>
          <w:rFonts w:eastAsiaTheme="minorEastAsia"/>
        </w:rPr>
      </w:pPr>
      <w:r w:rsidRPr="00426C19">
        <w:t>The maximum spill area estimate can be use</w:t>
      </w:r>
      <w:r w:rsidR="00722491" w:rsidRPr="00426C19">
        <w:t>d in conjunction with Equation 4</w:t>
      </w:r>
      <w:r w:rsidRPr="00426C19">
        <w:t xml:space="preserve"> to obtain a conservative value of the HRR of an unconfined liquid fuel spill fire.  </w:t>
      </w:r>
      <w:r w:rsidRPr="00426C19">
        <w:rPr>
          <w:rFonts w:eastAsiaTheme="minorEastAsia"/>
        </w:rPr>
        <w:t xml:space="preserve">However, the discontinuity in the maximum spill area estimates at 95 </w:t>
      </w:r>
      <w:r w:rsidRPr="00426C19">
        <w:t>ℓ</w:t>
      </w:r>
      <w:r w:rsidRPr="00426C19">
        <w:rPr>
          <w:rFonts w:eastAsiaTheme="minorEastAsia"/>
        </w:rPr>
        <w:t xml:space="preserve"> (25 gal) leads to inconsistencies in the calculated HRRs.  For example, the HRR for a spill of 76 </w:t>
      </w:r>
      <w:r w:rsidRPr="00426C19">
        <w:t>ℓ</w:t>
      </w:r>
      <w:r w:rsidRPr="00426C19">
        <w:rPr>
          <w:rFonts w:eastAsiaTheme="minorEastAsia"/>
        </w:rPr>
        <w:t xml:space="preserve"> (20 gal) diesel fuel is approximately 2.6 times the HRR for a 113 </w:t>
      </w:r>
      <w:r w:rsidRPr="00426C19">
        <w:t>ℓ</w:t>
      </w:r>
      <w:r w:rsidRPr="00426C19">
        <w:rPr>
          <w:rFonts w:eastAsiaTheme="minorEastAsia"/>
        </w:rPr>
        <w:t xml:space="preserve"> (30 gal) spill.  To address this problem, the fuel spill depth is calculated from the spill volume according to the following equation:</w:t>
      </w:r>
    </w:p>
    <w:p w14:paraId="02FAAA18" w14:textId="77777777" w:rsidR="00A505C8" w:rsidRPr="00426C19" w:rsidRDefault="00A505C8"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426C19">
        <w:rPr>
          <w:rFonts w:eastAsiaTheme="minorEastAsia"/>
        </w:rPr>
        <w:lastRenderedPageBreak/>
        <w:t xml:space="preserve"> </w:t>
      </w:r>
    </w:p>
    <w:tbl>
      <w:tblPr>
        <w:tblW w:w="0" w:type="auto"/>
        <w:tblLook w:val="04A0" w:firstRow="1" w:lastRow="0" w:firstColumn="1" w:lastColumn="0" w:noHBand="0" w:noVBand="1"/>
      </w:tblPr>
      <w:tblGrid>
        <w:gridCol w:w="720"/>
        <w:gridCol w:w="7920"/>
        <w:gridCol w:w="720"/>
      </w:tblGrid>
      <w:tr w:rsidR="00A505C8" w:rsidRPr="00426C19" w14:paraId="08C2C6D2" w14:textId="77777777" w:rsidTr="000019EB">
        <w:tc>
          <w:tcPr>
            <w:tcW w:w="720" w:type="dxa"/>
            <w:vAlign w:val="center"/>
          </w:tcPr>
          <w:p w14:paraId="655C0CB2" w14:textId="77777777" w:rsidR="00A505C8" w:rsidRPr="00426C19" w:rsidRDefault="00A505C8"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175FE86D" w14:textId="77777777" w:rsidR="00A505C8" w:rsidRPr="00426C19" w:rsidRDefault="00A505C8"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r>
                  <m:rPr>
                    <m:sty m:val="p"/>
                  </m:rPr>
                  <w:rPr>
                    <w:rFonts w:ascii="Cambria Math" w:hAnsi="Cambria Math"/>
                  </w:rPr>
                  <m:t>δ=0.52 ln</m:t>
                </m:r>
                <m:d>
                  <m:dPr>
                    <m:ctrlPr>
                      <w:rPr>
                        <w:rFonts w:ascii="Cambria Math" w:hAnsi="Cambria Math"/>
                      </w:rPr>
                    </m:ctrlPr>
                  </m:d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f</m:t>
                        </m:r>
                      </m:sub>
                    </m:sSub>
                  </m:e>
                </m:d>
                <m:r>
                  <m:rPr>
                    <m:sty m:val="p"/>
                  </m:rPr>
                  <w:rPr>
                    <w:rFonts w:ascii="Cambria Math" w:hAnsi="Cambria Math"/>
                  </w:rPr>
                  <m:t>+0.04</m:t>
                </m:r>
              </m:oMath>
            </m:oMathPara>
          </w:p>
        </w:tc>
        <w:tc>
          <w:tcPr>
            <w:tcW w:w="720" w:type="dxa"/>
            <w:vAlign w:val="center"/>
          </w:tcPr>
          <w:p w14:paraId="55646D52" w14:textId="7C4EC668" w:rsidR="00A505C8" w:rsidRPr="00426C19" w:rsidRDefault="00A505C8"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r w:rsidRPr="00426C19">
              <w:t>(</w:t>
            </w:r>
            <w:r w:rsidR="00722491" w:rsidRPr="00426C19">
              <w:t>5</w:t>
            </w:r>
            <w:r w:rsidRPr="00426C19">
              <w:t>)</w:t>
            </w:r>
          </w:p>
        </w:tc>
      </w:tr>
    </w:tbl>
    <w:p w14:paraId="33522C93" w14:textId="77777777" w:rsidR="00A505C8" w:rsidRPr="00426C19" w:rsidRDefault="00A505C8"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84C569" w14:textId="77777777" w:rsidR="00A505C8" w:rsidRPr="00426C19" w:rsidRDefault="00A505C8"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26C19">
        <w:t>where,</w:t>
      </w:r>
    </w:p>
    <w:p w14:paraId="6A964E52" w14:textId="77777777" w:rsidR="00A505C8" w:rsidRPr="00426C19" w:rsidRDefault="00A505C8" w:rsidP="00F7507F">
      <w:pPr>
        <w:keepNext/>
        <w:keepLines/>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26C19">
        <w:tab/>
      </w:r>
      <m:oMath>
        <m:r>
          <m:rPr>
            <m:sty m:val="p"/>
          </m:rPr>
          <w:rPr>
            <w:rFonts w:ascii="Cambria Math" w:hAnsi="Cambria Math"/>
          </w:rPr>
          <m:t>δ</m:t>
        </m:r>
      </m:oMath>
      <w:r w:rsidRPr="00426C19">
        <w:tab/>
        <w:t>=</w:t>
      </w:r>
      <w:r w:rsidRPr="00426C19">
        <w:tab/>
        <w:t>fuel spill depth (mm)</w:t>
      </w:r>
    </w:p>
    <w:p w14:paraId="23477F53" w14:textId="77777777" w:rsidR="00A505C8" w:rsidRPr="00426C19" w:rsidRDefault="00A505C8" w:rsidP="00F7507F">
      <w:pPr>
        <w:keepNext/>
        <w:keepLines/>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26C19">
        <w:tab/>
        <w:t>V</w:t>
      </w:r>
      <w:r w:rsidRPr="00426C19">
        <w:rPr>
          <w:vertAlign w:val="subscript"/>
        </w:rPr>
        <w:t>f</w:t>
      </w:r>
      <w:r w:rsidRPr="00426C19">
        <w:tab/>
        <w:t>=</w:t>
      </w:r>
      <w:r w:rsidRPr="00426C19">
        <w:tab/>
        <w:t>fuel volume (ℓ)</w:t>
      </w:r>
    </w:p>
    <w:p w14:paraId="08EC5D56" w14:textId="77777777" w:rsidR="00A505C8" w:rsidRPr="00426C19"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C558F9" w14:textId="225A3AB8" w:rsidR="00A505C8" w:rsidRPr="00426C19"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pPr>
      <w:r w:rsidRPr="00426C19">
        <w:t xml:space="preserve">The relationship between </w:t>
      </w:r>
      <w:r w:rsidRPr="00426C19">
        <w:sym w:font="Symbol" w:char="F064"/>
      </w:r>
      <w:r w:rsidRPr="00426C19">
        <w:t xml:space="preserve"> and V</w:t>
      </w:r>
      <w:r w:rsidRPr="00426C19">
        <w:rPr>
          <w:vertAlign w:val="subscript"/>
        </w:rPr>
        <w:t>f</w:t>
      </w:r>
      <w:r w:rsidR="00722491" w:rsidRPr="00426C19">
        <w:t xml:space="preserve"> in Equation 5</w:t>
      </w:r>
      <w:r w:rsidRPr="00426C19">
        <w:t xml:space="preserve"> is based on the curve for JP-4 fuel in Figure 2</w:t>
      </w:r>
      <w:r w:rsidRPr="00426C19">
        <w:noBreakHyphen/>
        <w:t xml:space="preserve">15.1 of Reference </w:t>
      </w:r>
      <w:r w:rsidR="006E16C2" w:rsidRPr="00426C19">
        <w:t>2</w:t>
      </w:r>
      <w:r w:rsidR="005F2E7B" w:rsidRPr="00426C19">
        <w:t>8</w:t>
      </w:r>
      <w:r w:rsidR="001675E3" w:rsidRPr="00426C19">
        <w:t xml:space="preserve"> (duplicated in Figure </w:t>
      </w:r>
      <w:r w:rsidRPr="00426C19">
        <w:t>6.</w:t>
      </w:r>
      <w:r w:rsidR="001675E3" w:rsidRPr="00426C19">
        <w:t>2.</w:t>
      </w:r>
      <w:r w:rsidRPr="00426C19">
        <w:t>1 below).  Based on the data collected</w:t>
      </w:r>
      <w:r w:rsidR="00722491" w:rsidRPr="00426C19">
        <w:t xml:space="preserve"> by Gottuk and White, Equation 5</w:t>
      </w:r>
      <w:r w:rsidRPr="00426C19">
        <w:t xml:space="preserve"> appears to provide conservative estimates of </w:t>
      </w:r>
      <w:r w:rsidRPr="00426C19">
        <w:sym w:font="Symbol" w:char="F064"/>
      </w:r>
      <w:r w:rsidRPr="00426C19">
        <w:t xml:space="preserve"> (small fuel depth) and A</w:t>
      </w:r>
      <w:r w:rsidRPr="00426C19">
        <w:rPr>
          <w:vertAlign w:val="subscript"/>
        </w:rPr>
        <w:t>f</w:t>
      </w:r>
      <w:r w:rsidRPr="00426C19">
        <w:t xml:space="preserve"> (large spill area) for unconfined liquid hydrocarbon fuel spills.</w:t>
      </w:r>
    </w:p>
    <w:p w14:paraId="23F33328" w14:textId="77777777" w:rsidR="00A505C8" w:rsidRPr="00426C19"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rPr>
          <w:szCs w:val="22"/>
        </w:rPr>
      </w:pPr>
    </w:p>
    <w:p w14:paraId="43FE522F" w14:textId="20B66189" w:rsidR="00A505C8" w:rsidRPr="006E16C2" w:rsidRDefault="00A505C8" w:rsidP="006E16C2">
      <w:pPr>
        <w:pStyle w:val="CommentText"/>
        <w:rPr>
          <w:rFonts w:eastAsiaTheme="minorEastAsia"/>
          <w:sz w:val="22"/>
          <w:szCs w:val="22"/>
        </w:rPr>
      </w:pPr>
      <w:r w:rsidRPr="00426C19">
        <w:rPr>
          <w:sz w:val="22"/>
          <w:szCs w:val="22"/>
        </w:rPr>
        <w:t xml:space="preserve">In addition, literature data for decane (a hydrocarbon fuel) cited in Reference </w:t>
      </w:r>
      <w:r w:rsidR="006E16C2" w:rsidRPr="00426C19">
        <w:rPr>
          <w:sz w:val="22"/>
          <w:szCs w:val="22"/>
        </w:rPr>
        <w:t>2</w:t>
      </w:r>
      <w:r w:rsidR="005F2E7B" w:rsidRPr="00426C19">
        <w:rPr>
          <w:sz w:val="22"/>
          <w:szCs w:val="22"/>
        </w:rPr>
        <w:t>8</w:t>
      </w:r>
      <w:r w:rsidRPr="00426C19">
        <w:rPr>
          <w:sz w:val="22"/>
          <w:szCs w:val="22"/>
        </w:rPr>
        <w:t xml:space="preserve"> indicate that flames do not spread away from the ignition source in liquid pools that are 2 mm or less deep, as shown in Figure 6.</w:t>
      </w:r>
      <w:r w:rsidR="001675E3" w:rsidRPr="00426C19">
        <w:rPr>
          <w:sz w:val="22"/>
          <w:szCs w:val="22"/>
        </w:rPr>
        <w:t>2.</w:t>
      </w:r>
      <w:r w:rsidRPr="00426C19">
        <w:rPr>
          <w:sz w:val="22"/>
          <w:szCs w:val="22"/>
        </w:rPr>
        <w:t>2 below.  Consequently, in the development of the ZOI tables and plots for unconfined pool fires in Attachment 8 to Appendix F,</w:t>
      </w:r>
      <w:r w:rsidR="006E16C2" w:rsidRPr="00426C19">
        <w:t xml:space="preserve"> </w:t>
      </w:r>
      <w:r w:rsidR="006E16C2" w:rsidRPr="00426C19">
        <w:sym w:font="Symbol" w:char="F064"/>
      </w:r>
      <w:r w:rsidRPr="00426C19">
        <w:rPr>
          <w:sz w:val="22"/>
          <w:szCs w:val="22"/>
        </w:rPr>
        <w:t xml:space="preserve"> = 2 mm was assumed for spill volumes of 43 ℓ</w:t>
      </w:r>
      <w:r w:rsidRPr="00426C19">
        <w:rPr>
          <w:rFonts w:eastAsiaTheme="minorEastAsia"/>
          <w:sz w:val="22"/>
          <w:szCs w:val="22"/>
        </w:rPr>
        <w:t xml:space="preserve"> (11.5 gal) or less.  Applying the 2 mm limit to the fuels listed in Table 6.2.2 can be justified on the basis that the flash point of decane (46°C or 115 °F, determined according to the test method in Reference </w:t>
      </w:r>
      <w:r w:rsidR="005F2E7B" w:rsidRPr="00426C19">
        <w:rPr>
          <w:rFonts w:eastAsiaTheme="minorEastAsia"/>
          <w:sz w:val="22"/>
          <w:szCs w:val="22"/>
        </w:rPr>
        <w:t>30</w:t>
      </w:r>
      <w:r w:rsidRPr="00426C19">
        <w:rPr>
          <w:rFonts w:eastAsiaTheme="minorEastAsia"/>
          <w:sz w:val="22"/>
          <w:szCs w:val="22"/>
        </w:rPr>
        <w:t xml:space="preserve"> is lower than the lowest flash point for the liquid fuels listed in the table (52°C or  126°F for diesel fuel), which implies that flames spread more easily over the surface of a decane fuel spill than over the surface of a spill of any of the fuels for which ZOI tables were developed.</w:t>
      </w:r>
    </w:p>
    <w:p w14:paraId="0EA3A7F3" w14:textId="77777777" w:rsidR="00A505C8" w:rsidRPr="006E16C2"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both"/>
        <w:rPr>
          <w:rFonts w:eastAsiaTheme="minorEastAsia"/>
          <w:szCs w:val="22"/>
        </w:rPr>
      </w:pPr>
    </w:p>
    <w:p w14:paraId="376EC4B5" w14:textId="77777777" w:rsidR="00A505C8"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62C34">
        <w:rPr>
          <w:noProof/>
        </w:rPr>
        <w:drawing>
          <wp:inline distT="0" distB="0" distL="0" distR="0" wp14:anchorId="1732BE89" wp14:editId="10C45ACD">
            <wp:extent cx="4939030" cy="3286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39030" cy="3286125"/>
                    </a:xfrm>
                    <a:prstGeom prst="rect">
                      <a:avLst/>
                    </a:prstGeom>
                    <a:noFill/>
                    <a:ln>
                      <a:noFill/>
                    </a:ln>
                  </pic:spPr>
                </pic:pic>
              </a:graphicData>
            </a:graphic>
          </wp:inline>
        </w:drawing>
      </w:r>
    </w:p>
    <w:p w14:paraId="2F7D2CC5" w14:textId="29014327" w:rsidR="00A505C8" w:rsidRPr="00F7507F" w:rsidRDefault="00A505C8" w:rsidP="00CC4A33">
      <w:pPr>
        <w:pStyle w:val="Figures"/>
      </w:pPr>
      <w:bookmarkStart w:id="142" w:name="_Toc483393817"/>
      <w:r w:rsidRPr="00F7507F">
        <w:t>Figure 6.</w:t>
      </w:r>
      <w:r w:rsidR="001675E3" w:rsidRPr="00F7507F">
        <w:t>2.</w:t>
      </w:r>
      <w:r w:rsidRPr="00F7507F">
        <w:t>1 – Spill Depth as a Function of Fuel Volume for Unconfined JP-4 Spills.</w:t>
      </w:r>
      <w:bookmarkEnd w:id="142"/>
    </w:p>
    <w:p w14:paraId="702B5350" w14:textId="4F89F796" w:rsidR="00A505C8" w:rsidRPr="00F7507F" w:rsidRDefault="00A505C8" w:rsidP="00CC4A33">
      <w:pPr>
        <w:pStyle w:val="Figures"/>
      </w:pPr>
      <w:bookmarkStart w:id="143" w:name="_Toc483393818"/>
      <w:r w:rsidRPr="00F7507F">
        <w:t xml:space="preserve">(Source: Figure 2-15.1 in Reference </w:t>
      </w:r>
      <w:r w:rsidR="00EC3F7C" w:rsidRPr="00F7507F">
        <w:t>2</w:t>
      </w:r>
      <w:r w:rsidR="005F2E7B" w:rsidRPr="00F7507F">
        <w:t>8</w:t>
      </w:r>
      <w:r w:rsidRPr="00F7507F">
        <w:t>)</w:t>
      </w:r>
      <w:bookmarkEnd w:id="143"/>
    </w:p>
    <w:p w14:paraId="4928046C" w14:textId="77777777" w:rsidR="00A505C8"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43A4F">
        <w:rPr>
          <w:noProof/>
        </w:rPr>
        <w:lastRenderedPageBreak/>
        <w:drawing>
          <wp:inline distT="0" distB="0" distL="0" distR="0" wp14:anchorId="57DC1375" wp14:editId="30E3570E">
            <wp:extent cx="4939030" cy="3286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39030" cy="3286125"/>
                    </a:xfrm>
                    <a:prstGeom prst="rect">
                      <a:avLst/>
                    </a:prstGeom>
                    <a:noFill/>
                    <a:ln>
                      <a:noFill/>
                    </a:ln>
                  </pic:spPr>
                </pic:pic>
              </a:graphicData>
            </a:graphic>
          </wp:inline>
        </w:drawing>
      </w:r>
    </w:p>
    <w:p w14:paraId="1F3E6D7E" w14:textId="77295D84" w:rsidR="00A505C8" w:rsidRPr="00F7507F" w:rsidRDefault="00A505C8" w:rsidP="00CC4A33">
      <w:pPr>
        <w:pStyle w:val="Figures"/>
      </w:pPr>
      <w:bookmarkStart w:id="144" w:name="_Toc483393819"/>
      <w:r w:rsidRPr="00F7507F">
        <w:t>Figure 6.</w:t>
      </w:r>
      <w:r w:rsidR="001675E3" w:rsidRPr="00F7507F">
        <w:t>2.</w:t>
      </w:r>
      <w:r w:rsidRPr="00F7507F">
        <w:t>2 – Flame Spread Rate versus Spill Depth for an Unconfined Decane Spill.</w:t>
      </w:r>
      <w:bookmarkEnd w:id="144"/>
    </w:p>
    <w:p w14:paraId="38FB2E7A" w14:textId="2C2D0670" w:rsidR="00A505C8" w:rsidRPr="00F7507F" w:rsidRDefault="00A505C8" w:rsidP="009177DD">
      <w:pPr>
        <w:tabs>
          <w:tab w:val="left" w:pos="274"/>
          <w:tab w:val="left" w:pos="495"/>
          <w:tab w:val="left" w:pos="806"/>
          <w:tab w:val="left" w:pos="1440"/>
          <w:tab w:val="left" w:pos="2074"/>
          <w:tab w:val="left" w:pos="2707"/>
          <w:tab w:val="left" w:pos="3240"/>
          <w:tab w:val="left" w:pos="3874"/>
          <w:tab w:val="left" w:pos="4507"/>
          <w:tab w:val="center" w:pos="4680"/>
          <w:tab w:val="left" w:pos="5040"/>
          <w:tab w:val="left" w:pos="5674"/>
          <w:tab w:val="left" w:pos="6070"/>
          <w:tab w:val="left" w:pos="6307"/>
          <w:tab w:val="left" w:pos="7474"/>
          <w:tab w:val="left" w:pos="8107"/>
          <w:tab w:val="left" w:pos="8726"/>
        </w:tabs>
        <w:jc w:val="center"/>
      </w:pPr>
      <w:r w:rsidRPr="00F7507F">
        <w:t xml:space="preserve">(Source: Figure 2-15.7 in Reference </w:t>
      </w:r>
      <w:r w:rsidR="00EC3F7C" w:rsidRPr="00F7507F">
        <w:t>2</w:t>
      </w:r>
      <w:r w:rsidR="005F2E7B" w:rsidRPr="00F7507F">
        <w:t>8</w:t>
      </w:r>
      <w:r w:rsidRPr="00F7507F">
        <w:t>)</w:t>
      </w:r>
    </w:p>
    <w:p w14:paraId="42259FEE" w14:textId="526C9241" w:rsidR="004E1261" w:rsidRDefault="004E1261"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33B0BD" w14:textId="7FC72A4F" w:rsidR="00A505C8" w:rsidRPr="002C1E87" w:rsidRDefault="000019EB"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2C1E87">
        <w:rPr>
          <w:u w:val="single"/>
        </w:rPr>
        <w:t xml:space="preserve">HRR of </w:t>
      </w:r>
      <w:r w:rsidR="00A505C8" w:rsidRPr="002C1E87">
        <w:rPr>
          <w:u w:val="single"/>
        </w:rPr>
        <w:t>Horizontal Cable Tray Fires</w:t>
      </w:r>
    </w:p>
    <w:p w14:paraId="52EBE4AB" w14:textId="696A566C" w:rsidR="00A505C8"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826B6A" w14:textId="14A0864C" w:rsidR="00A505C8" w:rsidRDefault="00A505C8"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HRR profile</w:t>
      </w:r>
      <w:r w:rsidR="001B5028">
        <w:t>s</w:t>
      </w:r>
      <w:r>
        <w:t xml:space="preserve"> of vertical stacks of horizontal cable trays </w:t>
      </w:r>
      <w:r w:rsidR="001B5028">
        <w:t xml:space="preserve">in </w:t>
      </w:r>
      <w:r w:rsidR="00905DC7">
        <w:t>table/plot</w:t>
      </w:r>
      <w:r w:rsidR="001B5028">
        <w:t xml:space="preserve"> set C of Attachment 8 to Appendix F were</w:t>
      </w:r>
      <w:r>
        <w:t xml:space="preserve"> calculated </w:t>
      </w:r>
      <w:r w:rsidR="001B5028">
        <w:t>based on</w:t>
      </w:r>
      <w:r>
        <w:t xml:space="preserve"> the FLASH-CAT </w:t>
      </w:r>
      <w:r w:rsidR="005A6F83">
        <w:t>(</w:t>
      </w:r>
      <w:r w:rsidR="005A6F83" w:rsidRPr="00420210">
        <w:rPr>
          <w:u w:val="single"/>
          <w:lang w:eastAsia="en-GB"/>
        </w:rPr>
        <w:t>Fla</w:t>
      </w:r>
      <w:r w:rsidR="005A6F83" w:rsidRPr="00420210">
        <w:rPr>
          <w:lang w:eastAsia="en-GB"/>
        </w:rPr>
        <w:t xml:space="preserve">me </w:t>
      </w:r>
      <w:r w:rsidR="005A6F83" w:rsidRPr="00420210">
        <w:rPr>
          <w:u w:val="single"/>
          <w:lang w:eastAsia="en-GB"/>
        </w:rPr>
        <w:t>S</w:t>
      </w:r>
      <w:r w:rsidR="005A6F83" w:rsidRPr="00420210">
        <w:rPr>
          <w:lang w:eastAsia="en-GB"/>
        </w:rPr>
        <w:t xml:space="preserve">pread over </w:t>
      </w:r>
      <w:r w:rsidR="005A6F83" w:rsidRPr="00420210">
        <w:rPr>
          <w:u w:val="single"/>
          <w:lang w:eastAsia="en-GB"/>
        </w:rPr>
        <w:t>H</w:t>
      </w:r>
      <w:r w:rsidR="005A6F83" w:rsidRPr="00420210">
        <w:rPr>
          <w:lang w:eastAsia="en-GB"/>
        </w:rPr>
        <w:t xml:space="preserve">orizontal </w:t>
      </w:r>
      <w:r w:rsidR="005A6F83" w:rsidRPr="00420210">
        <w:rPr>
          <w:u w:val="single"/>
          <w:lang w:eastAsia="en-GB"/>
        </w:rPr>
        <w:t>Ca</w:t>
      </w:r>
      <w:r w:rsidR="005A6F83" w:rsidRPr="00420210">
        <w:rPr>
          <w:lang w:eastAsia="en-GB"/>
        </w:rPr>
        <w:t xml:space="preserve">ble </w:t>
      </w:r>
      <w:r w:rsidR="005A6F83" w:rsidRPr="00420210">
        <w:rPr>
          <w:u w:val="single"/>
          <w:lang w:eastAsia="en-GB"/>
        </w:rPr>
        <w:t>T</w:t>
      </w:r>
      <w:r w:rsidR="005A6F83" w:rsidRPr="00420210">
        <w:rPr>
          <w:lang w:eastAsia="en-GB"/>
        </w:rPr>
        <w:t>rays</w:t>
      </w:r>
      <w:r w:rsidR="005A6F83">
        <w:rPr>
          <w:lang w:eastAsia="en-GB"/>
        </w:rPr>
        <w:t xml:space="preserve">) </w:t>
      </w:r>
      <w:r>
        <w:t>model described in NUREG/CR-7010</w:t>
      </w:r>
      <w:r w:rsidR="00EC3F7C">
        <w:t>, Vol. 1 (Reference 3</w:t>
      </w:r>
      <w:r w:rsidR="005F2E7B">
        <w:t>1</w:t>
      </w:r>
      <w:r w:rsidR="00EC3F7C">
        <w:t>)</w:t>
      </w:r>
      <w:r>
        <w:t>, Chapter 9.</w:t>
      </w:r>
      <w:r w:rsidR="001B5028">
        <w:t xml:space="preserve">  The assumptions that were made in </w:t>
      </w:r>
      <w:r w:rsidR="000019EB">
        <w:t>these calcu</w:t>
      </w:r>
      <w:r w:rsidR="00515D2F">
        <w:t>l</w:t>
      </w:r>
      <w:r w:rsidR="000019EB">
        <w:t xml:space="preserve">ations are discussed in </w:t>
      </w:r>
      <w:r w:rsidR="001B5028">
        <w:t>the section that describes the basis for Plot/Table set C in Attachment 8 to</w:t>
      </w:r>
      <w:r w:rsidR="000019EB">
        <w:t xml:space="preserve"> Appendix F.</w:t>
      </w:r>
      <w:r w:rsidR="001B5028">
        <w:t xml:space="preserve">  </w:t>
      </w:r>
      <w:r>
        <w:t xml:space="preserve"> </w:t>
      </w:r>
    </w:p>
    <w:p w14:paraId="58D0DD28" w14:textId="77777777" w:rsidR="000019EB" w:rsidRDefault="000019EB"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C12869" w14:textId="6558509E" w:rsidR="000019EB" w:rsidRPr="002C1E87" w:rsidRDefault="000019EB"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2C1E87">
        <w:rPr>
          <w:u w:val="single"/>
        </w:rPr>
        <w:t>HRR of Vertical Cable Tray Fires</w:t>
      </w:r>
    </w:p>
    <w:p w14:paraId="10383F08" w14:textId="77777777" w:rsidR="000019EB" w:rsidRDefault="000019EB"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E84DBB" w14:textId="4703FB6D" w:rsidR="00A505C8" w:rsidRDefault="000019EB"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HRR of a vertical cable tray is equal to the exposed area of the tray times the HRR per unit area (HRRPUA) of the cables in the tray.  The latter is the default HRRPUA value for the appropriate cable type (</w:t>
      </w:r>
      <w:r w:rsidR="00021E23">
        <w:t>TS</w:t>
      </w:r>
      <w:r>
        <w:t xml:space="preserve"> or </w:t>
      </w:r>
      <w:r w:rsidR="00690A12">
        <w:t>TP</w:t>
      </w:r>
      <w:r>
        <w:t xml:space="preserve"> </w:t>
      </w:r>
      <w:r w:rsidR="00E24331">
        <w:t xml:space="preserve">as </w:t>
      </w:r>
      <w:r>
        <w:t>recommended in</w:t>
      </w:r>
      <w:r w:rsidR="00EC3F7C">
        <w:t xml:space="preserve"> Reference 30</w:t>
      </w:r>
      <w:r>
        <w:t>, Chapter 9</w:t>
      </w:r>
      <w:r w:rsidR="00E24331">
        <w:t>)</w:t>
      </w:r>
      <w:r>
        <w:t>.</w:t>
      </w:r>
    </w:p>
    <w:p w14:paraId="241D8CC8" w14:textId="77777777" w:rsidR="000019EB" w:rsidRDefault="000019EB"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599D3" w14:textId="2E5E4C55" w:rsidR="00EC2070" w:rsidRDefault="0079404E" w:rsidP="004D46E2">
      <w:pPr>
        <w:pStyle w:val="Heading4"/>
      </w:pPr>
      <w:r>
        <w:t>Step</w:t>
      </w:r>
      <w:r w:rsidR="00EC2070">
        <w:t xml:space="preserve"> 2.3.2: </w:t>
      </w:r>
      <w:r w:rsidR="00EC2070" w:rsidRPr="007358B2">
        <w:t>FDS1 Ignition Source Screening</w:t>
      </w:r>
    </w:p>
    <w:p w14:paraId="23EB2565"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5F11C8" w14:textId="2C84FD7B" w:rsidR="00AA5751" w:rsidRPr="00C70CAC" w:rsidRDefault="00AA5751" w:rsidP="003458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approach defined for the screening of fire ignition sources is based on practices that </w:t>
      </w:r>
      <w:r>
        <w:rPr>
          <w:rFonts w:cs="Arial"/>
        </w:rPr>
        <w:t xml:space="preserve">are recommended in </w:t>
      </w:r>
      <w:r w:rsidR="00E24331" w:rsidRPr="00E24331">
        <w:rPr>
          <w:rFonts w:cs="Arial"/>
        </w:rPr>
        <w:t xml:space="preserve">NUREG/CR-6850 </w:t>
      </w:r>
      <w:r w:rsidR="00E24331">
        <w:rPr>
          <w:rFonts w:cs="Arial"/>
        </w:rPr>
        <w:t>(</w:t>
      </w:r>
      <w:r w:rsidR="00082C33">
        <w:rPr>
          <w:rFonts w:cs="Arial"/>
        </w:rPr>
        <w:t>Reference 8</w:t>
      </w:r>
      <w:r w:rsidR="00E24331">
        <w:rPr>
          <w:rFonts w:cs="Arial"/>
        </w:rPr>
        <w:t>)</w:t>
      </w:r>
      <w:r w:rsidRPr="00C70CAC">
        <w:rPr>
          <w:rFonts w:cs="Arial"/>
        </w:rPr>
        <w:t xml:space="preserve">.  The </w:t>
      </w:r>
      <w:r w:rsidR="00AC774C">
        <w:rPr>
          <w:rFonts w:cs="Arial"/>
        </w:rPr>
        <w:t xml:space="preserve">ZOI </w:t>
      </w:r>
      <w:r>
        <w:rPr>
          <w:rFonts w:cs="Arial"/>
        </w:rPr>
        <w:t>tables and plots in Attachment 8 to Appendix F</w:t>
      </w:r>
      <w:r w:rsidR="00AC774C">
        <w:rPr>
          <w:rFonts w:cs="Arial"/>
        </w:rPr>
        <w:t xml:space="preserve"> (</w:t>
      </w:r>
      <w:r w:rsidR="00905DC7">
        <w:rPr>
          <w:rFonts w:cs="Arial"/>
        </w:rPr>
        <w:t>table/plot</w:t>
      </w:r>
      <w:r w:rsidR="00AC774C">
        <w:rPr>
          <w:rFonts w:cs="Arial"/>
        </w:rPr>
        <w:t xml:space="preserve"> set A)</w:t>
      </w:r>
      <w:r w:rsidRPr="00C70CAC">
        <w:rPr>
          <w:rFonts w:cs="Arial"/>
        </w:rPr>
        <w:t xml:space="preserve"> cover the </w:t>
      </w:r>
      <w:r>
        <w:rPr>
          <w:rFonts w:cs="Arial"/>
        </w:rPr>
        <w:t>two</w:t>
      </w:r>
      <w:r w:rsidRPr="00C70CAC">
        <w:rPr>
          <w:rFonts w:cs="Arial"/>
        </w:rPr>
        <w:t xml:space="preserve"> modes of fire damage that are considered in fire modeling</w:t>
      </w:r>
      <w:r>
        <w:rPr>
          <w:rFonts w:cs="Arial"/>
        </w:rPr>
        <w:t xml:space="preserve"> of FDS1 scenarios</w:t>
      </w:r>
      <w:r w:rsidRPr="00C70CAC">
        <w:rPr>
          <w:rFonts w:cs="Arial"/>
        </w:rPr>
        <w:t xml:space="preserve">.  The correlations used </w:t>
      </w:r>
      <w:r>
        <w:rPr>
          <w:rFonts w:cs="Arial"/>
        </w:rPr>
        <w:t xml:space="preserve">in development of the ZOI tables and plots </w:t>
      </w:r>
      <w:r w:rsidRPr="00C70CAC">
        <w:rPr>
          <w:rFonts w:cs="Arial"/>
        </w:rPr>
        <w:t>to estimate fire plume temperatures</w:t>
      </w:r>
      <w:r>
        <w:rPr>
          <w:rFonts w:cs="Arial"/>
        </w:rPr>
        <w:t xml:space="preserve"> and</w:t>
      </w:r>
      <w:r w:rsidRPr="00C70CAC">
        <w:rPr>
          <w:rFonts w:cs="Arial"/>
        </w:rPr>
        <w:t xml:space="preserve"> radiant heating effects are well-established handbook correlations.</w:t>
      </w:r>
    </w:p>
    <w:p w14:paraId="093A30BA" w14:textId="77777777" w:rsidR="00AA5751" w:rsidRPr="00C70CAC" w:rsidRDefault="00AA5751" w:rsidP="003458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86C07D8" w14:textId="618F698F" w:rsidR="00AA5751" w:rsidRPr="00C70CAC" w:rsidRDefault="00AA5751" w:rsidP="003458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The damage/ignition threshold values used to establish cable damage and ignition temperatures are bounding values representative of the weakest members of the two major cable groups.  The values used (400</w:t>
      </w:r>
      <w:r>
        <w:rPr>
          <w:rFonts w:cs="Arial"/>
        </w:rPr>
        <w:t>°</w:t>
      </w:r>
      <w:r w:rsidRPr="00C70CAC">
        <w:rPr>
          <w:rFonts w:cs="Arial"/>
        </w:rPr>
        <w:t>F and 625</w:t>
      </w:r>
      <w:r>
        <w:rPr>
          <w:rFonts w:cs="Arial"/>
        </w:rPr>
        <w:t>°</w:t>
      </w:r>
      <w:r w:rsidRPr="00C70CAC">
        <w:rPr>
          <w:rFonts w:cs="Arial"/>
        </w:rPr>
        <w:t xml:space="preserve">F) reflect commonly applied screening values for the damage </w:t>
      </w:r>
      <w:r w:rsidRPr="00C70CAC">
        <w:rPr>
          <w:rFonts w:cs="Arial"/>
        </w:rPr>
        <w:lastRenderedPageBreak/>
        <w:t>thresholds for minimum damage/ignition thresholds for thermoplastic and thermoset cables respectively.</w:t>
      </w:r>
    </w:p>
    <w:p w14:paraId="0375ACC2" w14:textId="77777777" w:rsidR="00AA5751" w:rsidRPr="00C70CAC" w:rsidRDefault="00AA5751" w:rsidP="003458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F066332" w14:textId="102008F5" w:rsidR="00EC2070" w:rsidRDefault="00AA5751" w:rsidP="00E243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 xml:space="preserve">The ignition temperatures </w:t>
      </w:r>
      <w:r w:rsidR="006051C7">
        <w:rPr>
          <w:rFonts w:cs="Arial"/>
        </w:rPr>
        <w:t xml:space="preserve">of </w:t>
      </w:r>
      <w:r w:rsidR="00021E23">
        <w:rPr>
          <w:rFonts w:cs="Arial"/>
        </w:rPr>
        <w:t>TS</w:t>
      </w:r>
      <w:r w:rsidR="006051C7">
        <w:rPr>
          <w:rFonts w:cs="Arial"/>
        </w:rPr>
        <w:t xml:space="preserve"> and </w:t>
      </w:r>
      <w:r w:rsidR="00690A12">
        <w:rPr>
          <w:rFonts w:cs="Arial"/>
        </w:rPr>
        <w:t>TP</w:t>
      </w:r>
      <w:r w:rsidR="006051C7">
        <w:rPr>
          <w:rFonts w:cs="Arial"/>
        </w:rPr>
        <w:t xml:space="preserve"> cable targets </w:t>
      </w:r>
      <w:r w:rsidRPr="00C70CAC">
        <w:rPr>
          <w:rFonts w:cs="Arial"/>
        </w:rPr>
        <w:t>have been assumed equal to the damage temperature based on NRC-sponsored testing from the late 1980's (NUREG/CR-5546</w:t>
      </w:r>
      <w:r w:rsidR="00EC3F7C">
        <w:rPr>
          <w:rFonts w:cs="Arial"/>
        </w:rPr>
        <w:t xml:space="preserve"> (Reference 3</w:t>
      </w:r>
      <w:r w:rsidR="005F2E7B">
        <w:rPr>
          <w:rFonts w:cs="Arial"/>
        </w:rPr>
        <w:t>2</w:t>
      </w:r>
      <w:r w:rsidR="00EC3F7C">
        <w:rPr>
          <w:rFonts w:cs="Arial"/>
        </w:rPr>
        <w:t>)</w:t>
      </w:r>
      <w:r w:rsidRPr="00C70CAC">
        <w:rPr>
          <w:rFonts w:cs="Arial"/>
        </w:rPr>
        <w:t xml:space="preserve">) which showed piloted ignition concurrent with failure of an energized electrical cable.  </w:t>
      </w:r>
      <w:r w:rsidR="006051C7">
        <w:rPr>
          <w:rFonts w:cs="Arial"/>
        </w:rPr>
        <w:t>Kertite-FR cable target</w:t>
      </w:r>
      <w:r w:rsidR="00FF7161">
        <w:rPr>
          <w:rFonts w:cs="Arial"/>
        </w:rPr>
        <w:t>s</w:t>
      </w:r>
      <w:r w:rsidR="006051C7">
        <w:rPr>
          <w:rFonts w:cs="Arial"/>
        </w:rPr>
        <w:t xml:space="preserve"> are </w:t>
      </w:r>
      <w:r w:rsidR="003A2D3F">
        <w:rPr>
          <w:rFonts w:cs="Arial"/>
        </w:rPr>
        <w:t xml:space="preserve">conservatively </w:t>
      </w:r>
      <w:r w:rsidR="006051C7">
        <w:rPr>
          <w:rFonts w:cs="Arial"/>
        </w:rPr>
        <w:t xml:space="preserve">assumed to have the same damage threshold as </w:t>
      </w:r>
      <w:r w:rsidR="00690A12">
        <w:rPr>
          <w:rFonts w:cs="Arial"/>
        </w:rPr>
        <w:t>TP</w:t>
      </w:r>
      <w:r w:rsidR="006051C7">
        <w:rPr>
          <w:rFonts w:cs="Arial"/>
        </w:rPr>
        <w:t xml:space="preserve"> cables</w:t>
      </w:r>
      <w:r w:rsidR="00C8785E">
        <w:rPr>
          <w:rFonts w:cs="Arial"/>
        </w:rPr>
        <w:t xml:space="preserve">, while other </w:t>
      </w:r>
      <w:r w:rsidR="003A2D3F">
        <w:rPr>
          <w:rFonts w:cs="Arial"/>
        </w:rPr>
        <w:t xml:space="preserve">types of </w:t>
      </w:r>
      <w:r w:rsidR="00C8785E">
        <w:rPr>
          <w:rFonts w:cs="Arial"/>
        </w:rPr>
        <w:t xml:space="preserve">Kerite cable </w:t>
      </w:r>
      <w:r w:rsidR="003A2D3F">
        <w:rPr>
          <w:rFonts w:cs="Arial"/>
        </w:rPr>
        <w:t>targets</w:t>
      </w:r>
      <w:r w:rsidR="00C8785E">
        <w:rPr>
          <w:rFonts w:cs="Arial"/>
        </w:rPr>
        <w:t xml:space="preserve"> are assigned thermoset d</w:t>
      </w:r>
      <w:r w:rsidR="003A2D3F">
        <w:rPr>
          <w:rFonts w:cs="Arial"/>
        </w:rPr>
        <w:t>am</w:t>
      </w:r>
      <w:r w:rsidR="00C8785E">
        <w:rPr>
          <w:rFonts w:cs="Arial"/>
        </w:rPr>
        <w:t>age thresholds.  This is</w:t>
      </w:r>
      <w:r w:rsidR="006051C7">
        <w:rPr>
          <w:rFonts w:cs="Arial"/>
        </w:rPr>
        <w:t xml:space="preserve"> </w:t>
      </w:r>
      <w:r w:rsidR="00C8785E">
        <w:rPr>
          <w:rFonts w:cs="Arial"/>
        </w:rPr>
        <w:t xml:space="preserve">based on test data reported in </w:t>
      </w:r>
      <w:r w:rsidR="00E24331">
        <w:rPr>
          <w:rFonts w:cs="Arial"/>
        </w:rPr>
        <w:t>NUREG/CR-7102 (</w:t>
      </w:r>
      <w:r w:rsidR="008A3764">
        <w:rPr>
          <w:rFonts w:cs="Arial"/>
        </w:rPr>
        <w:t>Reference 2</w:t>
      </w:r>
      <w:r w:rsidR="00621473">
        <w:rPr>
          <w:rFonts w:cs="Arial"/>
        </w:rPr>
        <w:t>3</w:t>
      </w:r>
      <w:r w:rsidR="00E24331">
        <w:rPr>
          <w:rFonts w:cs="Arial"/>
        </w:rPr>
        <w:t>)</w:t>
      </w:r>
      <w:r w:rsidR="00C8785E">
        <w:rPr>
          <w:rFonts w:cs="Arial"/>
        </w:rPr>
        <w:t xml:space="preserve">.  </w:t>
      </w:r>
      <w:r w:rsidR="003A2D3F">
        <w:rPr>
          <w:rFonts w:cs="Arial"/>
        </w:rPr>
        <w:t xml:space="preserve">All Kerite cable varieties are IEEE 383-qualified, and are therefore assumed to have the same ignition temperature as </w:t>
      </w:r>
      <w:r w:rsidR="00021E23">
        <w:rPr>
          <w:rFonts w:cs="Arial"/>
        </w:rPr>
        <w:t>TS</w:t>
      </w:r>
      <w:r w:rsidR="003A2D3F">
        <w:rPr>
          <w:rFonts w:cs="Arial"/>
        </w:rPr>
        <w:t xml:space="preserve"> cable targets.  </w:t>
      </w:r>
      <w:r w:rsidRPr="00C70CAC">
        <w:rPr>
          <w:rFonts w:cs="Arial"/>
        </w:rPr>
        <w:t>For the SDP, piloted ignition conditions are assumed without explicit analysis of the flame zone location or extent in order to simplify the analysis modestly.  This may be a source of some modest conservatism for some cases.</w:t>
      </w:r>
    </w:p>
    <w:p w14:paraId="03181DEE"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40DFBE" w14:textId="55750AB8" w:rsidR="00EC2070" w:rsidRDefault="0079404E" w:rsidP="004D46E2">
      <w:pPr>
        <w:pStyle w:val="Heading4"/>
      </w:pPr>
      <w:r>
        <w:t>Step</w:t>
      </w:r>
      <w:r w:rsidR="00EC2070">
        <w:t xml:space="preserve"> 2.3.3: </w:t>
      </w:r>
      <w:r w:rsidR="00EC2070" w:rsidRPr="007358B2">
        <w:t>FDS2 Ignition Source Screening</w:t>
      </w:r>
    </w:p>
    <w:p w14:paraId="06D46348"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F170D0" w14:textId="3D68A9AD" w:rsidR="00EC2070" w:rsidRDefault="003A2D3F"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step screens ignition sources that do not release heat at a sufficient rate to cause the development of a damaging HGL in the compartment under evaluation.  The minimum HRR required </w:t>
      </w:r>
      <w:r w:rsidR="00BF4650">
        <w:t>to cause</w:t>
      </w:r>
      <w:r w:rsidR="00D400D3">
        <w:t xml:space="preserve"> </w:t>
      </w:r>
      <w:r w:rsidR="00BF4650">
        <w:t xml:space="preserve">damage to all targets of a specific type (FDS2) in a compartment of a specified size can be determined from </w:t>
      </w:r>
      <w:r w:rsidR="00905DC7">
        <w:t>table/plot</w:t>
      </w:r>
      <w:r w:rsidR="00BF4650">
        <w:t xml:space="preserve"> set </w:t>
      </w:r>
      <w:r w:rsidR="00AC774C">
        <w:t>B</w:t>
      </w:r>
      <w:r w:rsidR="00BF4650">
        <w:t xml:space="preserve"> in Attachment 8 to Appendix F.  The tables and plots in this set were developed using a well-established handbook correlation</w:t>
      </w:r>
      <w:r w:rsidR="00F96E6C">
        <w:t xml:space="preserve"> (see Chapter 2 in Reference 10)</w:t>
      </w:r>
      <w:r w:rsidR="00BF4650">
        <w:t>.</w:t>
      </w:r>
    </w:p>
    <w:p w14:paraId="7581A31E"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5BA1A6" w14:textId="1DA504B8" w:rsidR="00EC2070" w:rsidRDefault="0079404E" w:rsidP="004D46E2">
      <w:pPr>
        <w:pStyle w:val="Heading4"/>
      </w:pPr>
      <w:r>
        <w:t>Step</w:t>
      </w:r>
      <w:r w:rsidR="00EC2070">
        <w:t xml:space="preserve"> 2.3.4: </w:t>
      </w:r>
      <w:r w:rsidR="00EC2070" w:rsidRPr="007358B2">
        <w:t>FDS3 Ignition Source Screening</w:t>
      </w:r>
    </w:p>
    <w:p w14:paraId="1B551893"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9C8CE1" w14:textId="7342355A" w:rsidR="00EC2070" w:rsidRDefault="00BF465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This step is only performed for findings in the “Fire Confinement” category.</w:t>
      </w:r>
      <w:r w:rsidR="00AC774C">
        <w:t xml:space="preserve">  It is similar to the previous step, and screens ignition sources in each of the compartments separated by the degraded barrier that do not release heat at a sufficient rate to cause the development of a damaging HGL in the adjacent compartment.</w:t>
      </w:r>
    </w:p>
    <w:p w14:paraId="52D56689"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CB6498" w14:textId="01E1882F" w:rsidR="00EC2070" w:rsidRDefault="0079404E" w:rsidP="004D46E2">
      <w:pPr>
        <w:pStyle w:val="Heading4"/>
      </w:pPr>
      <w:r>
        <w:t>Step</w:t>
      </w:r>
      <w:r w:rsidR="00EC2070">
        <w:t xml:space="preserve"> 2.3.5: Screening Check</w:t>
      </w:r>
    </w:p>
    <w:p w14:paraId="18DEF85B"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EA8C6E" w14:textId="04FD1248" w:rsidR="00EC2070" w:rsidRDefault="002137BA"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 xml:space="preserve">The screening check in Step 2.3 only screens a finding </w:t>
      </w:r>
      <w:r>
        <w:rPr>
          <w:rFonts w:cs="Arial"/>
        </w:rPr>
        <w:t xml:space="preserve">in a category other than “Fire Confinement” </w:t>
      </w:r>
      <w:r w:rsidRPr="00C70CAC">
        <w:rPr>
          <w:rFonts w:cs="Arial"/>
        </w:rPr>
        <w:t xml:space="preserve">to </w:t>
      </w:r>
      <w:r>
        <w:rPr>
          <w:rFonts w:cs="Arial"/>
        </w:rPr>
        <w:t>Green</w:t>
      </w:r>
      <w:r w:rsidRPr="00C70CAC">
        <w:rPr>
          <w:rFonts w:cs="Arial"/>
        </w:rPr>
        <w:t xml:space="preserve"> if the analyst </w:t>
      </w:r>
      <w:r>
        <w:rPr>
          <w:rFonts w:cs="Arial"/>
        </w:rPr>
        <w:t>is</w:t>
      </w:r>
      <w:r w:rsidRPr="00C70CAC">
        <w:rPr>
          <w:rFonts w:cs="Arial"/>
        </w:rPr>
        <w:t xml:space="preserve"> unable to identify a fire ignition source with a potential to ignite the nearest secondary combustible material or damage the single most vulnerable thermal damage target.  This indicates that there are no fire ignition sources in the fire area, including hot work and transient fires, capable of creating a credible fire scenario.  This is taken as a very strong indication of low fire risk based on a demonstrated lack of fire hazards.</w:t>
      </w:r>
      <w:r>
        <w:rPr>
          <w:rFonts w:cs="Arial"/>
        </w:rPr>
        <w:t xml:space="preserve">  In addition, a finding in the “Fire Confinement” category is screened to Green </w:t>
      </w:r>
      <w:r w:rsidR="00EA7DFF">
        <w:rPr>
          <w:rFonts w:cs="Arial"/>
        </w:rPr>
        <w:t xml:space="preserve">if none of the ignition sources in the separated compartments </w:t>
      </w:r>
      <w:r w:rsidR="00697502">
        <w:rPr>
          <w:rFonts w:cs="Arial"/>
        </w:rPr>
        <w:t>is</w:t>
      </w:r>
      <w:r w:rsidR="00940FBE">
        <w:rPr>
          <w:rFonts w:cs="Arial"/>
        </w:rPr>
        <w:t xml:space="preserve"> capable of </w:t>
      </w:r>
      <w:r w:rsidR="00F5781A">
        <w:rPr>
          <w:rFonts w:cs="Arial"/>
        </w:rPr>
        <w:t>igniting</w:t>
      </w:r>
      <w:r w:rsidR="00940FBE">
        <w:rPr>
          <w:rFonts w:cs="Arial"/>
        </w:rPr>
        <w:t xml:space="preserve"> a secondary combustible and all </w:t>
      </w:r>
      <w:r w:rsidR="00EA7DFF">
        <w:rPr>
          <w:rFonts w:cs="Arial"/>
        </w:rPr>
        <w:t>screen out in Step 2.3.</w:t>
      </w:r>
      <w:r w:rsidR="00F5781A">
        <w:rPr>
          <w:rFonts w:cs="Arial"/>
        </w:rPr>
        <w:t>4</w:t>
      </w:r>
      <w:r w:rsidR="00EA7DFF">
        <w:rPr>
          <w:rFonts w:cs="Arial"/>
        </w:rPr>
        <w:t>.</w:t>
      </w:r>
    </w:p>
    <w:p w14:paraId="0D1A3BD8"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7685D1" w14:textId="77777777" w:rsidR="00EC2070" w:rsidRDefault="00EC2070" w:rsidP="004D46E2">
      <w:pPr>
        <w:pStyle w:val="Heading3"/>
      </w:pPr>
      <w:bookmarkStart w:id="145" w:name="_Toc481265411"/>
      <w:bookmarkStart w:id="146" w:name="_Toc511060891"/>
      <w:r>
        <w:t xml:space="preserve">Step 2.4: </w:t>
      </w:r>
      <w:r w:rsidRPr="00472550">
        <w:t>Final Fire Ignition Frequency Estimates</w:t>
      </w:r>
      <w:bookmarkEnd w:id="145"/>
      <w:bookmarkEnd w:id="146"/>
    </w:p>
    <w:p w14:paraId="708157C6" w14:textId="0A27AE14"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0BA155" w14:textId="01509F81" w:rsidR="00EC2070" w:rsidRDefault="0079404E" w:rsidP="004D46E2">
      <w:pPr>
        <w:pStyle w:val="Heading4"/>
      </w:pPr>
      <w:r>
        <w:t>Step</w:t>
      </w:r>
      <w:r w:rsidR="00EC2070">
        <w:t xml:space="preserve"> 2.4.1: Nominal Fire Frequency Estimation</w:t>
      </w:r>
    </w:p>
    <w:p w14:paraId="6438E9D5" w14:textId="77777777" w:rsidR="00EC2070" w:rsidRDefault="00EC2070" w:rsidP="00B956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69B31B" w14:textId="5E7045CE" w:rsidR="004437F7" w:rsidRDefault="00E92AB0"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sidRPr="00C70CAC">
        <w:rPr>
          <w:rFonts w:cs="Arial"/>
        </w:rPr>
        <w:t xml:space="preserve">In many ways the fire frequency is estimated in exactly the same manner used in most current fire PRAs.  The most significant extension applied in the SDP is the use of component or fire ignition source specific fire frequencies for </w:t>
      </w:r>
      <w:r>
        <w:rPr>
          <w:rFonts w:cs="Arial"/>
        </w:rPr>
        <w:t xml:space="preserve">nearly </w:t>
      </w:r>
      <w:r w:rsidRPr="00C70CAC">
        <w:rPr>
          <w:rFonts w:cs="Arial"/>
        </w:rPr>
        <w:t>all sources</w:t>
      </w:r>
      <w:r>
        <w:rPr>
          <w:rFonts w:cs="Arial"/>
        </w:rPr>
        <w:t xml:space="preserve"> (a few sources </w:t>
      </w:r>
      <w:r w:rsidR="0065637E">
        <w:rPr>
          <w:rFonts w:cs="Arial"/>
        </w:rPr>
        <w:t>require the analyst to estimate the total plant-wide unit count)</w:t>
      </w:r>
      <w:r w:rsidRPr="00C70CAC">
        <w:rPr>
          <w:rFonts w:cs="Arial"/>
        </w:rPr>
        <w:t>.</w:t>
      </w:r>
      <w:r w:rsidR="00090A52">
        <w:rPr>
          <w:rFonts w:cs="Arial"/>
        </w:rPr>
        <w:t xml:space="preserve">  </w:t>
      </w:r>
      <w:r w:rsidR="004437F7" w:rsidRPr="00C70CAC">
        <w:rPr>
          <w:rFonts w:cs="Arial"/>
        </w:rPr>
        <w:t xml:space="preserve">Implementation of this approach did require significant simplification to the application process.  The major difference for the Fire Protection SDP is that </w:t>
      </w:r>
      <w:r w:rsidR="004437F7" w:rsidRPr="00C70CAC">
        <w:rPr>
          <w:rFonts w:cs="Arial"/>
        </w:rPr>
        <w:lastRenderedPageBreak/>
        <w:t xml:space="preserve">the analyst is not asked to count fire sources throughout the plant, only those in the fire area under analysis.  In other PRA analysis methods, it is assumed that the analyst will have a complete count of fire ignition sources throughout the plant.  Hence, the generic plant-wide fire frequency is partitioned to individual components based on the plant-specific total component count.  In </w:t>
      </w:r>
      <w:r w:rsidR="00862A04">
        <w:rPr>
          <w:rFonts w:cs="Arial"/>
        </w:rPr>
        <w:t xml:space="preserve">the </w:t>
      </w:r>
      <w:r w:rsidR="004437F7" w:rsidRPr="00C70CAC">
        <w:rPr>
          <w:rFonts w:cs="Arial"/>
        </w:rPr>
        <w:t>SDP</w:t>
      </w:r>
      <w:r w:rsidR="00862A04">
        <w:rPr>
          <w:rFonts w:cs="Arial"/>
        </w:rPr>
        <w:t>,</w:t>
      </w:r>
      <w:r w:rsidR="004437F7" w:rsidRPr="00C70CAC">
        <w:rPr>
          <w:rFonts w:cs="Arial"/>
        </w:rPr>
        <w:t xml:space="preserve"> generic or representative component counts are applied, and the generic plant-wide fire frequency is partitioned to individual components based on these generic component count values.</w:t>
      </w:r>
    </w:p>
    <w:p w14:paraId="3FF17948" w14:textId="77777777" w:rsidR="004437F7" w:rsidRDefault="004437F7"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p>
    <w:p w14:paraId="337D16A8" w14:textId="77777777" w:rsidR="0062717F" w:rsidRDefault="00090A52"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Pr>
          <w:rFonts w:cs="Arial"/>
        </w:rPr>
        <w:t>The</w:t>
      </w:r>
      <w:r w:rsidR="004437F7">
        <w:rPr>
          <w:rFonts w:cs="Arial"/>
        </w:rPr>
        <w:t xml:space="preserve"> resulting</w:t>
      </w:r>
      <w:r>
        <w:rPr>
          <w:rFonts w:cs="Arial"/>
        </w:rPr>
        <w:t xml:space="preserve"> component-specific fire frequencies are provided in Table A4.1 of Attachment 4 to Appendix F.  Table 6.2.3 illustrates the process for obtaining these frequencies</w:t>
      </w:r>
      <w:r w:rsidR="009E2294">
        <w:rPr>
          <w:rFonts w:cs="Arial"/>
        </w:rPr>
        <w:t>.</w:t>
      </w:r>
      <w:r w:rsidR="00094856">
        <w:rPr>
          <w:rFonts w:cs="Arial"/>
        </w:rPr>
        <w:t xml:space="preserve">  A description of the columns in this table follows.</w:t>
      </w:r>
    </w:p>
    <w:p w14:paraId="7670F4A8" w14:textId="55EE5699" w:rsidR="009E2294" w:rsidRDefault="00094856"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Pr>
          <w:rFonts w:cs="Arial"/>
        </w:rPr>
        <w:t xml:space="preserve"> </w:t>
      </w:r>
    </w:p>
    <w:p w14:paraId="6711F038" w14:textId="2467CBC0" w:rsidR="000C0A4F" w:rsidRDefault="000C0A4F"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sectPr w:rsidR="000C0A4F" w:rsidSect="0091683E">
          <w:headerReference w:type="default" r:id="rId33"/>
          <w:footerReference w:type="even" r:id="rId34"/>
          <w:footerReference w:type="default" r:id="rId35"/>
          <w:pgSz w:w="12240" w:h="15840"/>
          <w:pgMar w:top="1440" w:right="1440" w:bottom="1440" w:left="1440" w:header="720" w:footer="720" w:gutter="0"/>
          <w:pgNumType w:start="1"/>
          <w:cols w:space="720"/>
          <w:noEndnote/>
          <w:docGrid w:linePitch="299"/>
        </w:sectPr>
      </w:pPr>
    </w:p>
    <w:p w14:paraId="772C843F" w14:textId="77777777" w:rsidR="006A0D5E" w:rsidRPr="00C70CAC"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p>
    <w:tbl>
      <w:tblPr>
        <w:tblW w:w="139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07"/>
        <w:gridCol w:w="1193"/>
        <w:gridCol w:w="1260"/>
        <w:gridCol w:w="1170"/>
        <w:gridCol w:w="3330"/>
        <w:gridCol w:w="1260"/>
        <w:gridCol w:w="1260"/>
        <w:gridCol w:w="1309"/>
      </w:tblGrid>
      <w:tr w:rsidR="006A0D5E" w14:paraId="3292F309" w14:textId="77777777" w:rsidTr="00094856">
        <w:tc>
          <w:tcPr>
            <w:tcW w:w="13989" w:type="dxa"/>
            <w:gridSpan w:val="8"/>
            <w:tcBorders>
              <w:bottom w:val="nil"/>
            </w:tcBorders>
            <w:shd w:val="clear" w:color="auto" w:fill="D9D9D9" w:themeFill="background1" w:themeFillShade="D9"/>
            <w:vAlign w:val="center"/>
          </w:tcPr>
          <w:p w14:paraId="01DA664B" w14:textId="56D34129" w:rsidR="006A0D5E" w:rsidRPr="00F7507F" w:rsidRDefault="006A0D5E" w:rsidP="005721EF">
            <w:pPr>
              <w:pStyle w:val="TableCaption"/>
              <w:rPr>
                <w:b w:val="0"/>
              </w:rPr>
            </w:pPr>
            <w:bookmarkStart w:id="147" w:name="RANGE!B2"/>
            <w:bookmarkStart w:id="148" w:name="_Toc483393008"/>
            <w:r w:rsidRPr="00F7507F">
              <w:rPr>
                <w:b w:val="0"/>
              </w:rPr>
              <w:t>Table 6.2.3</w:t>
            </w:r>
            <w:r w:rsidR="00046D7B" w:rsidRPr="00F7507F">
              <w:rPr>
                <w:b w:val="0"/>
              </w:rPr>
              <w:t xml:space="preserve"> – </w:t>
            </w:r>
            <w:r w:rsidRPr="00F7507F">
              <w:rPr>
                <w:b w:val="0"/>
              </w:rPr>
              <w:t>Calculation of Component Specific Fire Ignition Frequencies</w:t>
            </w:r>
            <w:bookmarkEnd w:id="147"/>
            <w:bookmarkEnd w:id="148"/>
          </w:p>
        </w:tc>
      </w:tr>
      <w:tr w:rsidR="006A0D5E" w14:paraId="076BB131" w14:textId="77777777" w:rsidTr="00094856">
        <w:tc>
          <w:tcPr>
            <w:tcW w:w="13989" w:type="dxa"/>
            <w:gridSpan w:val="8"/>
            <w:tcBorders>
              <w:top w:val="nil"/>
            </w:tcBorders>
            <w:shd w:val="clear" w:color="auto" w:fill="D9D9D9" w:themeFill="background1" w:themeFillShade="D9"/>
            <w:vAlign w:val="center"/>
          </w:tcPr>
          <w:p w14:paraId="4A82650E" w14:textId="77298E99"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F7507F">
              <w:rPr>
                <w:bCs/>
                <w:color w:val="000000"/>
                <w:szCs w:val="22"/>
              </w:rPr>
              <w:t>Based on Plant Wide Fire Frequency and Generic Component Counts</w:t>
            </w:r>
            <w:r w:rsidR="00973734" w:rsidRPr="00F7507F">
              <w:rPr>
                <w:bCs/>
                <w:color w:val="000000"/>
                <w:szCs w:val="22"/>
              </w:rPr>
              <w:t>.</w:t>
            </w:r>
          </w:p>
        </w:tc>
      </w:tr>
      <w:tr w:rsidR="006A0D5E" w14:paraId="20792B46" w14:textId="77777777" w:rsidTr="00094856">
        <w:tc>
          <w:tcPr>
            <w:tcW w:w="3207" w:type="dxa"/>
            <w:vAlign w:val="center"/>
          </w:tcPr>
          <w:p w14:paraId="497955E1" w14:textId="7339EA8E" w:rsidR="006A0D5E" w:rsidRPr="00F7507F" w:rsidRDefault="00E033A7"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 xml:space="preserve">Generic </w:t>
            </w:r>
            <w:r w:rsidR="006A0D5E" w:rsidRPr="00F7507F">
              <w:rPr>
                <w:bCs/>
                <w:color w:val="000000"/>
                <w:sz w:val="20"/>
                <w:szCs w:val="20"/>
              </w:rPr>
              <w:t>Ignition Source</w:t>
            </w:r>
          </w:p>
        </w:tc>
        <w:tc>
          <w:tcPr>
            <w:tcW w:w="1193" w:type="dxa"/>
            <w:vAlign w:val="center"/>
          </w:tcPr>
          <w:p w14:paraId="4EE0719A" w14:textId="0F2BE291"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NUREG</w:t>
            </w:r>
            <w:r w:rsidR="00BE123E" w:rsidRPr="00F7507F">
              <w:rPr>
                <w:bCs/>
                <w:color w:val="000000"/>
                <w:sz w:val="20"/>
                <w:szCs w:val="20"/>
              </w:rPr>
              <w:t>-</w:t>
            </w:r>
            <w:r w:rsidRPr="00F7507F">
              <w:rPr>
                <w:bCs/>
                <w:color w:val="000000"/>
                <w:sz w:val="20"/>
                <w:szCs w:val="20"/>
              </w:rPr>
              <w:t xml:space="preserve"> 2169 Bin(s)</w:t>
            </w:r>
          </w:p>
        </w:tc>
        <w:tc>
          <w:tcPr>
            <w:tcW w:w="1260" w:type="dxa"/>
            <w:vAlign w:val="center"/>
          </w:tcPr>
          <w:p w14:paraId="13730B1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Plant-wide Fire Frequency (/ry)</w:t>
            </w:r>
          </w:p>
        </w:tc>
        <w:tc>
          <w:tcPr>
            <w:tcW w:w="1170" w:type="dxa"/>
            <w:vAlign w:val="center"/>
          </w:tcPr>
          <w:p w14:paraId="3F7E66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Plant-wide Count (average)</w:t>
            </w:r>
          </w:p>
        </w:tc>
        <w:tc>
          <w:tcPr>
            <w:tcW w:w="3330" w:type="dxa"/>
            <w:vAlign w:val="center"/>
          </w:tcPr>
          <w:p w14:paraId="6F2F05D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Counting Unit</w:t>
            </w:r>
          </w:p>
        </w:tc>
        <w:tc>
          <w:tcPr>
            <w:tcW w:w="1260" w:type="dxa"/>
            <w:vAlign w:val="center"/>
          </w:tcPr>
          <w:p w14:paraId="7A0075B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Fire Type</w:t>
            </w:r>
          </w:p>
        </w:tc>
        <w:tc>
          <w:tcPr>
            <w:tcW w:w="1260" w:type="dxa"/>
            <w:vAlign w:val="center"/>
          </w:tcPr>
          <w:p w14:paraId="7EB1526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Weighting Factor</w:t>
            </w:r>
          </w:p>
        </w:tc>
        <w:tc>
          <w:tcPr>
            <w:tcW w:w="1309" w:type="dxa"/>
            <w:vAlign w:val="center"/>
          </w:tcPr>
          <w:p w14:paraId="73B2768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Fire Frequency per Counting Unit (/ry)</w:t>
            </w:r>
          </w:p>
        </w:tc>
      </w:tr>
      <w:tr w:rsidR="006A0D5E" w14:paraId="71C80D76" w14:textId="77777777" w:rsidTr="00094856">
        <w:tc>
          <w:tcPr>
            <w:tcW w:w="13989" w:type="dxa"/>
            <w:gridSpan w:val="8"/>
          </w:tcPr>
          <w:p w14:paraId="637DF25F" w14:textId="77777777" w:rsidR="006A0D5E" w:rsidRPr="00F7507F" w:rsidRDefault="006A0D5E" w:rsidP="00B956B5">
            <w:pPr>
              <w:widowControl/>
              <w:tabs>
                <w:tab w:val="left" w:pos="274"/>
                <w:tab w:val="left" w:pos="806"/>
              </w:tabs>
              <w:autoSpaceDE/>
              <w:autoSpaceDN/>
              <w:adjustRightInd/>
              <w:jc w:val="both"/>
              <w:rPr>
                <w:sz w:val="20"/>
                <w:szCs w:val="20"/>
              </w:rPr>
            </w:pPr>
            <w:r w:rsidRPr="00F7507F">
              <w:rPr>
                <w:bCs/>
                <w:color w:val="000000"/>
                <w:sz w:val="20"/>
                <w:szCs w:val="20"/>
              </w:rPr>
              <w:t>Self-Ignited Cables – Thermoplastic:</w:t>
            </w:r>
          </w:p>
        </w:tc>
      </w:tr>
      <w:tr w:rsidR="006A0D5E" w14:paraId="64FEC3CC" w14:textId="77777777" w:rsidTr="00094856">
        <w:tc>
          <w:tcPr>
            <w:tcW w:w="3207" w:type="dxa"/>
            <w:vAlign w:val="center"/>
          </w:tcPr>
          <w:p w14:paraId="22B957B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Cables – Low Loading</w:t>
            </w:r>
          </w:p>
        </w:tc>
        <w:tc>
          <w:tcPr>
            <w:tcW w:w="1193" w:type="dxa"/>
            <w:vMerge w:val="restart"/>
            <w:vAlign w:val="center"/>
          </w:tcPr>
          <w:p w14:paraId="3B67A87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12</w:t>
            </w:r>
          </w:p>
        </w:tc>
        <w:tc>
          <w:tcPr>
            <w:tcW w:w="1260" w:type="dxa"/>
            <w:vMerge w:val="restart"/>
            <w:vAlign w:val="center"/>
          </w:tcPr>
          <w:p w14:paraId="12B740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7.0E-04</w:t>
            </w:r>
          </w:p>
        </w:tc>
        <w:tc>
          <w:tcPr>
            <w:tcW w:w="4500" w:type="dxa"/>
            <w:gridSpan w:val="2"/>
            <w:vAlign w:val="center"/>
          </w:tcPr>
          <w:p w14:paraId="1B3A71A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~1% of total fire frequency</w:t>
            </w:r>
          </w:p>
        </w:tc>
        <w:tc>
          <w:tcPr>
            <w:tcW w:w="1260" w:type="dxa"/>
            <w:vMerge w:val="restart"/>
            <w:vAlign w:val="center"/>
          </w:tcPr>
          <w:p w14:paraId="2C266D2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Cable</w:t>
            </w:r>
          </w:p>
        </w:tc>
        <w:tc>
          <w:tcPr>
            <w:tcW w:w="1260" w:type="dxa"/>
            <w:vAlign w:val="center"/>
          </w:tcPr>
          <w:p w14:paraId="5936636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0.01</w:t>
            </w:r>
          </w:p>
        </w:tc>
        <w:tc>
          <w:tcPr>
            <w:tcW w:w="1309" w:type="dxa"/>
            <w:vAlign w:val="center"/>
          </w:tcPr>
          <w:p w14:paraId="1691733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7.0E-06</w:t>
            </w:r>
          </w:p>
        </w:tc>
      </w:tr>
      <w:tr w:rsidR="006A0D5E" w14:paraId="1E1F4918" w14:textId="77777777" w:rsidTr="00094856">
        <w:tc>
          <w:tcPr>
            <w:tcW w:w="3207" w:type="dxa"/>
            <w:vAlign w:val="center"/>
          </w:tcPr>
          <w:p w14:paraId="1CAA64B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Cables – Medium Loading</w:t>
            </w:r>
          </w:p>
        </w:tc>
        <w:tc>
          <w:tcPr>
            <w:tcW w:w="1193" w:type="dxa"/>
            <w:vMerge/>
            <w:vAlign w:val="center"/>
          </w:tcPr>
          <w:p w14:paraId="4FE79B9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p>
        </w:tc>
        <w:tc>
          <w:tcPr>
            <w:tcW w:w="1260" w:type="dxa"/>
            <w:vMerge/>
            <w:vAlign w:val="center"/>
          </w:tcPr>
          <w:p w14:paraId="034A115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p>
        </w:tc>
        <w:tc>
          <w:tcPr>
            <w:tcW w:w="4500" w:type="dxa"/>
            <w:gridSpan w:val="2"/>
            <w:vAlign w:val="center"/>
          </w:tcPr>
          <w:p w14:paraId="4B88ADC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~25% of total fire frequency</w:t>
            </w:r>
          </w:p>
        </w:tc>
        <w:tc>
          <w:tcPr>
            <w:tcW w:w="1260" w:type="dxa"/>
            <w:vMerge/>
            <w:vAlign w:val="center"/>
          </w:tcPr>
          <w:p w14:paraId="5580278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p>
        </w:tc>
        <w:tc>
          <w:tcPr>
            <w:tcW w:w="1260" w:type="dxa"/>
            <w:vAlign w:val="center"/>
          </w:tcPr>
          <w:p w14:paraId="307859C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0.25</w:t>
            </w:r>
          </w:p>
        </w:tc>
        <w:tc>
          <w:tcPr>
            <w:tcW w:w="1309" w:type="dxa"/>
            <w:vAlign w:val="center"/>
          </w:tcPr>
          <w:p w14:paraId="1418FFF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1.8E-04</w:t>
            </w:r>
          </w:p>
        </w:tc>
      </w:tr>
      <w:tr w:rsidR="006A0D5E" w14:paraId="11394AAD" w14:textId="77777777" w:rsidTr="00094856">
        <w:tc>
          <w:tcPr>
            <w:tcW w:w="3207" w:type="dxa"/>
            <w:tcBorders>
              <w:bottom w:val="single" w:sz="8" w:space="0" w:color="auto"/>
            </w:tcBorders>
            <w:vAlign w:val="center"/>
          </w:tcPr>
          <w:p w14:paraId="3143EC5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Cables – High Loading</w:t>
            </w:r>
          </w:p>
        </w:tc>
        <w:tc>
          <w:tcPr>
            <w:tcW w:w="1193" w:type="dxa"/>
            <w:vMerge/>
            <w:tcBorders>
              <w:bottom w:val="single" w:sz="8" w:space="0" w:color="auto"/>
            </w:tcBorders>
            <w:vAlign w:val="center"/>
          </w:tcPr>
          <w:p w14:paraId="15CDCE0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p>
        </w:tc>
        <w:tc>
          <w:tcPr>
            <w:tcW w:w="1260" w:type="dxa"/>
            <w:vMerge/>
            <w:tcBorders>
              <w:bottom w:val="single" w:sz="8" w:space="0" w:color="auto"/>
            </w:tcBorders>
            <w:vAlign w:val="center"/>
          </w:tcPr>
          <w:p w14:paraId="1365738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p>
        </w:tc>
        <w:tc>
          <w:tcPr>
            <w:tcW w:w="4500" w:type="dxa"/>
            <w:gridSpan w:val="2"/>
            <w:tcBorders>
              <w:bottom w:val="single" w:sz="8" w:space="0" w:color="auto"/>
            </w:tcBorders>
            <w:vAlign w:val="center"/>
          </w:tcPr>
          <w:p w14:paraId="360ECAF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~74% of total fire frequency</w:t>
            </w:r>
          </w:p>
        </w:tc>
        <w:tc>
          <w:tcPr>
            <w:tcW w:w="1260" w:type="dxa"/>
            <w:vMerge/>
            <w:tcBorders>
              <w:bottom w:val="single" w:sz="8" w:space="0" w:color="auto"/>
            </w:tcBorders>
            <w:vAlign w:val="center"/>
          </w:tcPr>
          <w:p w14:paraId="708DC21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p>
        </w:tc>
        <w:tc>
          <w:tcPr>
            <w:tcW w:w="1260" w:type="dxa"/>
            <w:tcBorders>
              <w:bottom w:val="single" w:sz="8" w:space="0" w:color="auto"/>
            </w:tcBorders>
            <w:vAlign w:val="center"/>
          </w:tcPr>
          <w:p w14:paraId="095BF46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0.74</w:t>
            </w:r>
          </w:p>
        </w:tc>
        <w:tc>
          <w:tcPr>
            <w:tcW w:w="1309" w:type="dxa"/>
            <w:tcBorders>
              <w:bottom w:val="single" w:sz="8" w:space="0" w:color="auto"/>
            </w:tcBorders>
            <w:vAlign w:val="center"/>
          </w:tcPr>
          <w:p w14:paraId="27BCCE0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5.2E-04</w:t>
            </w:r>
          </w:p>
        </w:tc>
      </w:tr>
      <w:tr w:rsidR="006A0D5E" w14:paraId="39E64E30" w14:textId="77777777" w:rsidTr="00094856">
        <w:tc>
          <w:tcPr>
            <w:tcW w:w="13989" w:type="dxa"/>
            <w:gridSpan w:val="8"/>
          </w:tcPr>
          <w:p w14:paraId="5DF277AF" w14:textId="77777777" w:rsidR="006A0D5E" w:rsidRPr="00F7507F" w:rsidRDefault="006A0D5E" w:rsidP="00B956B5">
            <w:pPr>
              <w:widowControl/>
              <w:tabs>
                <w:tab w:val="left" w:pos="274"/>
                <w:tab w:val="left" w:pos="806"/>
              </w:tabs>
              <w:autoSpaceDE/>
              <w:autoSpaceDN/>
              <w:adjustRightInd/>
              <w:jc w:val="both"/>
              <w:rPr>
                <w:sz w:val="20"/>
                <w:szCs w:val="20"/>
              </w:rPr>
            </w:pPr>
            <w:r w:rsidRPr="00F7507F">
              <w:rPr>
                <w:bCs/>
                <w:color w:val="000000"/>
                <w:sz w:val="20"/>
                <w:szCs w:val="20"/>
              </w:rPr>
              <w:t xml:space="preserve">Electrical Cabinets (non-HEAF): </w:t>
            </w:r>
          </w:p>
        </w:tc>
      </w:tr>
      <w:tr w:rsidR="006A0D5E" w14:paraId="002EE341" w14:textId="77777777" w:rsidTr="00094856">
        <w:tc>
          <w:tcPr>
            <w:tcW w:w="3207" w:type="dxa"/>
            <w:vAlign w:val="center"/>
          </w:tcPr>
          <w:p w14:paraId="53526A9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Electrical Cabinets</w:t>
            </w:r>
          </w:p>
        </w:tc>
        <w:tc>
          <w:tcPr>
            <w:tcW w:w="1193" w:type="dxa"/>
            <w:vAlign w:val="center"/>
          </w:tcPr>
          <w:p w14:paraId="1BCF226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15</w:t>
            </w:r>
          </w:p>
        </w:tc>
        <w:tc>
          <w:tcPr>
            <w:tcW w:w="1260" w:type="dxa"/>
            <w:vAlign w:val="center"/>
          </w:tcPr>
          <w:p w14:paraId="7468A30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3.0E-02</w:t>
            </w:r>
          </w:p>
        </w:tc>
        <w:tc>
          <w:tcPr>
            <w:tcW w:w="1170" w:type="dxa"/>
            <w:vAlign w:val="center"/>
          </w:tcPr>
          <w:p w14:paraId="6D44732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750</w:t>
            </w:r>
          </w:p>
        </w:tc>
        <w:tc>
          <w:tcPr>
            <w:tcW w:w="3330" w:type="dxa"/>
            <w:vAlign w:val="center"/>
          </w:tcPr>
          <w:p w14:paraId="76019C6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 distinct vertical sections</w:t>
            </w:r>
          </w:p>
        </w:tc>
        <w:tc>
          <w:tcPr>
            <w:tcW w:w="1260" w:type="dxa"/>
            <w:vAlign w:val="center"/>
          </w:tcPr>
          <w:p w14:paraId="36DA903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Electrical</w:t>
            </w:r>
          </w:p>
        </w:tc>
        <w:tc>
          <w:tcPr>
            <w:tcW w:w="1260" w:type="dxa"/>
            <w:vAlign w:val="center"/>
          </w:tcPr>
          <w:p w14:paraId="79DB2B4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1.00</w:t>
            </w:r>
          </w:p>
        </w:tc>
        <w:tc>
          <w:tcPr>
            <w:tcW w:w="1309" w:type="dxa"/>
            <w:vAlign w:val="center"/>
          </w:tcPr>
          <w:p w14:paraId="68181D7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4.0E-05</w:t>
            </w:r>
          </w:p>
        </w:tc>
      </w:tr>
      <w:tr w:rsidR="006A0D5E" w14:paraId="74A7C2D8" w14:textId="77777777" w:rsidTr="00094856">
        <w:tc>
          <w:tcPr>
            <w:tcW w:w="3207" w:type="dxa"/>
            <w:vAlign w:val="center"/>
          </w:tcPr>
          <w:p w14:paraId="21D0EE9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Main Control Board</w:t>
            </w:r>
          </w:p>
        </w:tc>
        <w:tc>
          <w:tcPr>
            <w:tcW w:w="1193" w:type="dxa"/>
            <w:vAlign w:val="center"/>
          </w:tcPr>
          <w:p w14:paraId="675EA0C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4</w:t>
            </w:r>
          </w:p>
        </w:tc>
        <w:tc>
          <w:tcPr>
            <w:tcW w:w="1260" w:type="dxa"/>
            <w:vAlign w:val="center"/>
          </w:tcPr>
          <w:p w14:paraId="344ACCC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4.9E-03</w:t>
            </w:r>
          </w:p>
        </w:tc>
        <w:tc>
          <w:tcPr>
            <w:tcW w:w="1170" w:type="dxa"/>
            <w:vAlign w:val="center"/>
          </w:tcPr>
          <w:p w14:paraId="349FE4D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w:t>
            </w:r>
          </w:p>
        </w:tc>
        <w:tc>
          <w:tcPr>
            <w:tcW w:w="3330" w:type="dxa"/>
            <w:vAlign w:val="center"/>
          </w:tcPr>
          <w:p w14:paraId="751BA69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 control rooms per unit</w:t>
            </w:r>
          </w:p>
        </w:tc>
        <w:tc>
          <w:tcPr>
            <w:tcW w:w="1260" w:type="dxa"/>
            <w:vAlign w:val="center"/>
          </w:tcPr>
          <w:p w14:paraId="40D29A1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Electrical</w:t>
            </w:r>
          </w:p>
        </w:tc>
        <w:tc>
          <w:tcPr>
            <w:tcW w:w="1260" w:type="dxa"/>
            <w:vAlign w:val="center"/>
          </w:tcPr>
          <w:p w14:paraId="6A6E36D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1.00</w:t>
            </w:r>
          </w:p>
        </w:tc>
        <w:tc>
          <w:tcPr>
            <w:tcW w:w="1309" w:type="dxa"/>
            <w:vAlign w:val="center"/>
          </w:tcPr>
          <w:p w14:paraId="213B228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4.9E-03</w:t>
            </w:r>
          </w:p>
        </w:tc>
      </w:tr>
      <w:tr w:rsidR="006A0D5E" w14:paraId="6508C181" w14:textId="77777777" w:rsidTr="00094856">
        <w:tc>
          <w:tcPr>
            <w:tcW w:w="13989" w:type="dxa"/>
            <w:gridSpan w:val="8"/>
            <w:vAlign w:val="center"/>
          </w:tcPr>
          <w:p w14:paraId="62EACEB4" w14:textId="77777777" w:rsidR="006A0D5E" w:rsidRPr="00F7507F" w:rsidRDefault="006A0D5E" w:rsidP="00B956B5">
            <w:pPr>
              <w:widowControl/>
              <w:tabs>
                <w:tab w:val="left" w:pos="274"/>
                <w:tab w:val="left" w:pos="806"/>
              </w:tabs>
              <w:autoSpaceDE/>
              <w:autoSpaceDN/>
              <w:adjustRightInd/>
              <w:jc w:val="both"/>
              <w:rPr>
                <w:color w:val="000000"/>
                <w:sz w:val="20"/>
                <w:szCs w:val="20"/>
              </w:rPr>
            </w:pPr>
            <w:r w:rsidRPr="00F7507F">
              <w:rPr>
                <w:bCs/>
                <w:color w:val="000000"/>
                <w:sz w:val="20"/>
                <w:szCs w:val="20"/>
              </w:rPr>
              <w:t>Electric Motors:</w:t>
            </w:r>
          </w:p>
        </w:tc>
      </w:tr>
      <w:tr w:rsidR="006A0D5E" w14:paraId="656C9FE2" w14:textId="77777777" w:rsidTr="00094856">
        <w:tc>
          <w:tcPr>
            <w:tcW w:w="3207" w:type="dxa"/>
            <w:vAlign w:val="center"/>
          </w:tcPr>
          <w:p w14:paraId="1BF4643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Electric Motors</w:t>
            </w:r>
          </w:p>
        </w:tc>
        <w:tc>
          <w:tcPr>
            <w:tcW w:w="1193" w:type="dxa"/>
            <w:vAlign w:val="center"/>
          </w:tcPr>
          <w:p w14:paraId="09B4FFC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14</w:t>
            </w:r>
          </w:p>
        </w:tc>
        <w:tc>
          <w:tcPr>
            <w:tcW w:w="1260" w:type="dxa"/>
            <w:vAlign w:val="center"/>
          </w:tcPr>
          <w:p w14:paraId="7FC5237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5.4E-03</w:t>
            </w:r>
          </w:p>
        </w:tc>
        <w:tc>
          <w:tcPr>
            <w:tcW w:w="1170" w:type="dxa"/>
            <w:vAlign w:val="center"/>
          </w:tcPr>
          <w:p w14:paraId="48EDC86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4</w:t>
            </w:r>
          </w:p>
        </w:tc>
        <w:tc>
          <w:tcPr>
            <w:tcW w:w="3330" w:type="dxa"/>
            <w:vAlign w:val="center"/>
          </w:tcPr>
          <w:p w14:paraId="652EA26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motors</w:t>
            </w:r>
          </w:p>
        </w:tc>
        <w:tc>
          <w:tcPr>
            <w:tcW w:w="1260" w:type="dxa"/>
            <w:vAlign w:val="center"/>
          </w:tcPr>
          <w:p w14:paraId="491890E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Electrical</w:t>
            </w:r>
          </w:p>
        </w:tc>
        <w:tc>
          <w:tcPr>
            <w:tcW w:w="1260" w:type="dxa"/>
            <w:vAlign w:val="center"/>
          </w:tcPr>
          <w:p w14:paraId="4E7C893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1AA9213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1.4E-03</w:t>
            </w:r>
          </w:p>
        </w:tc>
      </w:tr>
      <w:tr w:rsidR="006A0D5E" w14:paraId="643DA4D3" w14:textId="77777777" w:rsidTr="00094856">
        <w:tc>
          <w:tcPr>
            <w:tcW w:w="13989" w:type="dxa"/>
            <w:gridSpan w:val="8"/>
            <w:vAlign w:val="center"/>
          </w:tcPr>
          <w:p w14:paraId="133E9DEF" w14:textId="7521E666" w:rsidR="006A0D5E" w:rsidRPr="00F7507F" w:rsidRDefault="00E01E7A" w:rsidP="00B956B5">
            <w:pPr>
              <w:widowControl/>
              <w:tabs>
                <w:tab w:val="left" w:pos="274"/>
                <w:tab w:val="left" w:pos="806"/>
              </w:tabs>
              <w:autoSpaceDE/>
              <w:autoSpaceDN/>
              <w:adjustRightInd/>
              <w:jc w:val="both"/>
              <w:rPr>
                <w:bCs/>
                <w:color w:val="000000"/>
                <w:sz w:val="20"/>
                <w:szCs w:val="20"/>
              </w:rPr>
            </w:pPr>
            <w:r>
              <w:rPr>
                <w:bCs/>
                <w:color w:val="000000"/>
                <w:sz w:val="20"/>
                <w:szCs w:val="20"/>
              </w:rPr>
              <w:t>Generators</w:t>
            </w:r>
            <w:r w:rsidR="006A0D5E" w:rsidRPr="00F7507F">
              <w:rPr>
                <w:bCs/>
                <w:color w:val="000000"/>
                <w:sz w:val="20"/>
                <w:szCs w:val="20"/>
              </w:rPr>
              <w:t>:</w:t>
            </w:r>
          </w:p>
        </w:tc>
      </w:tr>
      <w:tr w:rsidR="006A0D5E" w14:paraId="5F5AAFEB" w14:textId="77777777" w:rsidTr="00094856">
        <w:tc>
          <w:tcPr>
            <w:tcW w:w="3207" w:type="dxa"/>
            <w:vMerge w:val="restart"/>
            <w:vAlign w:val="center"/>
          </w:tcPr>
          <w:p w14:paraId="2BE92C0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Diesel Generators</w:t>
            </w:r>
          </w:p>
        </w:tc>
        <w:tc>
          <w:tcPr>
            <w:tcW w:w="1193" w:type="dxa"/>
            <w:vMerge w:val="restart"/>
            <w:vAlign w:val="center"/>
          </w:tcPr>
          <w:p w14:paraId="2B4B390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8</w:t>
            </w:r>
          </w:p>
        </w:tc>
        <w:tc>
          <w:tcPr>
            <w:tcW w:w="1260" w:type="dxa"/>
            <w:vMerge w:val="restart"/>
            <w:vAlign w:val="center"/>
          </w:tcPr>
          <w:p w14:paraId="7FD685C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7.8E-03</w:t>
            </w:r>
          </w:p>
        </w:tc>
        <w:tc>
          <w:tcPr>
            <w:tcW w:w="1170" w:type="dxa"/>
            <w:vMerge w:val="restart"/>
            <w:vAlign w:val="center"/>
          </w:tcPr>
          <w:p w14:paraId="63D6CF6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w:t>
            </w:r>
          </w:p>
        </w:tc>
        <w:tc>
          <w:tcPr>
            <w:tcW w:w="3330" w:type="dxa"/>
            <w:vMerge w:val="restart"/>
            <w:vAlign w:val="center"/>
          </w:tcPr>
          <w:p w14:paraId="42E061F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diesel generators</w:t>
            </w:r>
          </w:p>
        </w:tc>
        <w:tc>
          <w:tcPr>
            <w:tcW w:w="1260" w:type="dxa"/>
            <w:vAlign w:val="center"/>
          </w:tcPr>
          <w:p w14:paraId="351BF52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Electrical</w:t>
            </w:r>
          </w:p>
        </w:tc>
        <w:tc>
          <w:tcPr>
            <w:tcW w:w="1260" w:type="dxa"/>
            <w:vAlign w:val="center"/>
          </w:tcPr>
          <w:p w14:paraId="0C980B7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0.16</w:t>
            </w:r>
          </w:p>
        </w:tc>
        <w:tc>
          <w:tcPr>
            <w:tcW w:w="1309" w:type="dxa"/>
            <w:vAlign w:val="center"/>
          </w:tcPr>
          <w:p w14:paraId="3FFCC69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6.2E-04</w:t>
            </w:r>
          </w:p>
        </w:tc>
      </w:tr>
      <w:tr w:rsidR="006A0D5E" w14:paraId="46694E99" w14:textId="77777777" w:rsidTr="00094856">
        <w:tc>
          <w:tcPr>
            <w:tcW w:w="3207" w:type="dxa"/>
            <w:vMerge/>
            <w:vAlign w:val="center"/>
          </w:tcPr>
          <w:p w14:paraId="351BC54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p>
        </w:tc>
        <w:tc>
          <w:tcPr>
            <w:tcW w:w="1193" w:type="dxa"/>
            <w:vMerge/>
            <w:vAlign w:val="center"/>
          </w:tcPr>
          <w:p w14:paraId="056B244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Merge/>
            <w:vAlign w:val="center"/>
          </w:tcPr>
          <w:p w14:paraId="7A5AC30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170" w:type="dxa"/>
            <w:vMerge/>
            <w:vAlign w:val="center"/>
          </w:tcPr>
          <w:p w14:paraId="06F9CA1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3330" w:type="dxa"/>
            <w:vMerge/>
            <w:vAlign w:val="center"/>
          </w:tcPr>
          <w:p w14:paraId="37CA1A9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p>
        </w:tc>
        <w:tc>
          <w:tcPr>
            <w:tcW w:w="1260" w:type="dxa"/>
            <w:vAlign w:val="center"/>
          </w:tcPr>
          <w:p w14:paraId="5F6AC49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Oil</w:t>
            </w:r>
          </w:p>
        </w:tc>
        <w:tc>
          <w:tcPr>
            <w:tcW w:w="1260" w:type="dxa"/>
            <w:vAlign w:val="center"/>
          </w:tcPr>
          <w:p w14:paraId="1E055F8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0.84</w:t>
            </w:r>
          </w:p>
        </w:tc>
        <w:tc>
          <w:tcPr>
            <w:tcW w:w="1309" w:type="dxa"/>
            <w:vAlign w:val="center"/>
          </w:tcPr>
          <w:p w14:paraId="4F2E832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3.3E-03</w:t>
            </w:r>
          </w:p>
        </w:tc>
      </w:tr>
      <w:tr w:rsidR="006A0D5E" w14:paraId="79F93679" w14:textId="77777777" w:rsidTr="00094856">
        <w:tc>
          <w:tcPr>
            <w:tcW w:w="3207" w:type="dxa"/>
            <w:vMerge/>
            <w:vAlign w:val="center"/>
          </w:tcPr>
          <w:p w14:paraId="50F9139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p>
        </w:tc>
        <w:tc>
          <w:tcPr>
            <w:tcW w:w="1193" w:type="dxa"/>
            <w:vMerge/>
            <w:vAlign w:val="center"/>
          </w:tcPr>
          <w:p w14:paraId="7E71FAD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Merge/>
            <w:vAlign w:val="center"/>
          </w:tcPr>
          <w:p w14:paraId="75B132F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170" w:type="dxa"/>
            <w:vMerge/>
            <w:vAlign w:val="center"/>
          </w:tcPr>
          <w:p w14:paraId="29FE244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3330" w:type="dxa"/>
            <w:vMerge/>
            <w:vAlign w:val="center"/>
          </w:tcPr>
          <w:p w14:paraId="15C3525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p>
        </w:tc>
        <w:tc>
          <w:tcPr>
            <w:tcW w:w="1260" w:type="dxa"/>
            <w:vAlign w:val="center"/>
          </w:tcPr>
          <w:p w14:paraId="013AF8E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Total</w:t>
            </w:r>
          </w:p>
        </w:tc>
        <w:tc>
          <w:tcPr>
            <w:tcW w:w="1260" w:type="dxa"/>
            <w:vAlign w:val="center"/>
          </w:tcPr>
          <w:p w14:paraId="4E6B5DD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w:t>
            </w:r>
          </w:p>
        </w:tc>
        <w:tc>
          <w:tcPr>
            <w:tcW w:w="1309" w:type="dxa"/>
            <w:vAlign w:val="center"/>
          </w:tcPr>
          <w:p w14:paraId="07FC6D4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3.9E-03</w:t>
            </w:r>
          </w:p>
        </w:tc>
      </w:tr>
      <w:tr w:rsidR="006A0D5E" w14:paraId="67E11EA3" w14:textId="77777777" w:rsidTr="00094856">
        <w:tc>
          <w:tcPr>
            <w:tcW w:w="3207" w:type="dxa"/>
            <w:vAlign w:val="center"/>
          </w:tcPr>
          <w:p w14:paraId="68ABBF8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Gas Turbine Generators</w:t>
            </w:r>
          </w:p>
        </w:tc>
        <w:tc>
          <w:tcPr>
            <w:tcW w:w="1193" w:type="dxa"/>
            <w:vAlign w:val="center"/>
          </w:tcPr>
          <w:p w14:paraId="1FE0B7A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Align w:val="center"/>
          </w:tcPr>
          <w:p w14:paraId="0AF342D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3.1E-02</w:t>
            </w:r>
          </w:p>
        </w:tc>
        <w:tc>
          <w:tcPr>
            <w:tcW w:w="1170" w:type="dxa"/>
            <w:vAlign w:val="center"/>
          </w:tcPr>
          <w:p w14:paraId="3156EC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w:t>
            </w:r>
          </w:p>
        </w:tc>
        <w:tc>
          <w:tcPr>
            <w:tcW w:w="3330" w:type="dxa"/>
            <w:vAlign w:val="center"/>
          </w:tcPr>
          <w:p w14:paraId="6EC2446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gas turbine generator sets</w:t>
            </w:r>
          </w:p>
        </w:tc>
        <w:tc>
          <w:tcPr>
            <w:tcW w:w="1260" w:type="dxa"/>
            <w:vAlign w:val="center"/>
          </w:tcPr>
          <w:p w14:paraId="2DC7B71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Oil</w:t>
            </w:r>
          </w:p>
        </w:tc>
        <w:tc>
          <w:tcPr>
            <w:tcW w:w="1260" w:type="dxa"/>
            <w:vAlign w:val="center"/>
          </w:tcPr>
          <w:p w14:paraId="61C75DF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386DD06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1.6E-02</w:t>
            </w:r>
          </w:p>
        </w:tc>
      </w:tr>
      <w:tr w:rsidR="006A0D5E" w14:paraId="0491A42D" w14:textId="77777777" w:rsidTr="00094856">
        <w:tc>
          <w:tcPr>
            <w:tcW w:w="3207" w:type="dxa"/>
            <w:vAlign w:val="center"/>
          </w:tcPr>
          <w:p w14:paraId="426152E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RPS MG Sets</w:t>
            </w:r>
          </w:p>
        </w:tc>
        <w:tc>
          <w:tcPr>
            <w:tcW w:w="1193" w:type="dxa"/>
            <w:vAlign w:val="center"/>
          </w:tcPr>
          <w:p w14:paraId="2AB5E27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22</w:t>
            </w:r>
          </w:p>
        </w:tc>
        <w:tc>
          <w:tcPr>
            <w:tcW w:w="1260" w:type="dxa"/>
            <w:vAlign w:val="center"/>
          </w:tcPr>
          <w:p w14:paraId="1EBD25A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2.3E-03</w:t>
            </w:r>
          </w:p>
        </w:tc>
        <w:tc>
          <w:tcPr>
            <w:tcW w:w="1170" w:type="dxa"/>
            <w:vAlign w:val="center"/>
          </w:tcPr>
          <w:p w14:paraId="595A434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w:t>
            </w:r>
          </w:p>
        </w:tc>
        <w:tc>
          <w:tcPr>
            <w:tcW w:w="3330" w:type="dxa"/>
            <w:vAlign w:val="center"/>
          </w:tcPr>
          <w:p w14:paraId="76D3927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RPS MG sets</w:t>
            </w:r>
          </w:p>
        </w:tc>
        <w:tc>
          <w:tcPr>
            <w:tcW w:w="1260" w:type="dxa"/>
            <w:vAlign w:val="center"/>
          </w:tcPr>
          <w:p w14:paraId="2DA6EEB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Electrical</w:t>
            </w:r>
          </w:p>
        </w:tc>
        <w:tc>
          <w:tcPr>
            <w:tcW w:w="1260" w:type="dxa"/>
            <w:vAlign w:val="center"/>
          </w:tcPr>
          <w:p w14:paraId="7820DCA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1FBF2F9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7.7E-04</w:t>
            </w:r>
          </w:p>
        </w:tc>
      </w:tr>
      <w:tr w:rsidR="006A0D5E" w14:paraId="4E0B4ED4" w14:textId="77777777" w:rsidTr="00094856">
        <w:tc>
          <w:tcPr>
            <w:tcW w:w="13989" w:type="dxa"/>
            <w:gridSpan w:val="8"/>
            <w:vAlign w:val="center"/>
          </w:tcPr>
          <w:p w14:paraId="62541089" w14:textId="77777777" w:rsidR="006A0D5E" w:rsidRPr="00F7507F" w:rsidRDefault="006A0D5E" w:rsidP="00B956B5">
            <w:pPr>
              <w:widowControl/>
              <w:tabs>
                <w:tab w:val="left" w:pos="274"/>
                <w:tab w:val="left" w:pos="806"/>
              </w:tabs>
              <w:autoSpaceDE/>
              <w:autoSpaceDN/>
              <w:adjustRightInd/>
              <w:jc w:val="both"/>
              <w:rPr>
                <w:bCs/>
                <w:color w:val="000000"/>
                <w:sz w:val="20"/>
                <w:szCs w:val="20"/>
              </w:rPr>
            </w:pPr>
            <w:r w:rsidRPr="00F7507F">
              <w:rPr>
                <w:bCs/>
                <w:color w:val="000000"/>
                <w:sz w:val="20"/>
                <w:szCs w:val="20"/>
              </w:rPr>
              <w:t>High Energy Arcing Faults:</w:t>
            </w:r>
          </w:p>
        </w:tc>
      </w:tr>
      <w:tr w:rsidR="006A0D5E" w14:paraId="21AA9EF7" w14:textId="77777777" w:rsidTr="00094856">
        <w:tc>
          <w:tcPr>
            <w:tcW w:w="3207" w:type="dxa"/>
            <w:vAlign w:val="center"/>
          </w:tcPr>
          <w:p w14:paraId="22DC0CE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Electrical Cabinets (480-1000 V)</w:t>
            </w:r>
          </w:p>
        </w:tc>
        <w:tc>
          <w:tcPr>
            <w:tcW w:w="1193" w:type="dxa"/>
            <w:vAlign w:val="center"/>
          </w:tcPr>
          <w:p w14:paraId="6EE7FD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16.a</w:t>
            </w:r>
          </w:p>
        </w:tc>
        <w:tc>
          <w:tcPr>
            <w:tcW w:w="1260" w:type="dxa"/>
            <w:vAlign w:val="center"/>
          </w:tcPr>
          <w:p w14:paraId="54FD42B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1.5E-04</w:t>
            </w:r>
          </w:p>
        </w:tc>
        <w:tc>
          <w:tcPr>
            <w:tcW w:w="1170" w:type="dxa"/>
            <w:vAlign w:val="center"/>
          </w:tcPr>
          <w:p w14:paraId="12F5AD1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50</w:t>
            </w:r>
          </w:p>
        </w:tc>
        <w:tc>
          <w:tcPr>
            <w:tcW w:w="3330" w:type="dxa"/>
            <w:vAlign w:val="center"/>
          </w:tcPr>
          <w:p w14:paraId="75FF1FA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vertical sections</w:t>
            </w:r>
          </w:p>
        </w:tc>
        <w:tc>
          <w:tcPr>
            <w:tcW w:w="1260" w:type="dxa"/>
            <w:vAlign w:val="center"/>
          </w:tcPr>
          <w:p w14:paraId="576F30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HEAF</w:t>
            </w:r>
          </w:p>
        </w:tc>
        <w:tc>
          <w:tcPr>
            <w:tcW w:w="1260" w:type="dxa"/>
            <w:vAlign w:val="center"/>
          </w:tcPr>
          <w:p w14:paraId="5FA473B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42F73B4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3.0E-06</w:t>
            </w:r>
          </w:p>
        </w:tc>
      </w:tr>
      <w:tr w:rsidR="006A0D5E" w14:paraId="187E0B42" w14:textId="77777777" w:rsidTr="00094856">
        <w:tc>
          <w:tcPr>
            <w:tcW w:w="3207" w:type="dxa"/>
            <w:vAlign w:val="center"/>
          </w:tcPr>
          <w:p w14:paraId="29A120B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Electrical Cabinets (&gt;1000 V)</w:t>
            </w:r>
          </w:p>
        </w:tc>
        <w:tc>
          <w:tcPr>
            <w:tcW w:w="1193" w:type="dxa"/>
            <w:vAlign w:val="center"/>
          </w:tcPr>
          <w:p w14:paraId="257165D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16.b</w:t>
            </w:r>
          </w:p>
        </w:tc>
        <w:tc>
          <w:tcPr>
            <w:tcW w:w="1260" w:type="dxa"/>
            <w:vAlign w:val="center"/>
          </w:tcPr>
          <w:p w14:paraId="0A5D0D5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2.1E-03</w:t>
            </w:r>
          </w:p>
        </w:tc>
        <w:tc>
          <w:tcPr>
            <w:tcW w:w="1170" w:type="dxa"/>
            <w:vAlign w:val="center"/>
          </w:tcPr>
          <w:p w14:paraId="2ED5EF2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75</w:t>
            </w:r>
          </w:p>
        </w:tc>
        <w:tc>
          <w:tcPr>
            <w:tcW w:w="3330" w:type="dxa"/>
            <w:vAlign w:val="center"/>
          </w:tcPr>
          <w:p w14:paraId="6045044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vertical sections</w:t>
            </w:r>
          </w:p>
        </w:tc>
        <w:tc>
          <w:tcPr>
            <w:tcW w:w="1260" w:type="dxa"/>
            <w:vAlign w:val="center"/>
          </w:tcPr>
          <w:p w14:paraId="52C333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HEAF</w:t>
            </w:r>
          </w:p>
        </w:tc>
        <w:tc>
          <w:tcPr>
            <w:tcW w:w="1260" w:type="dxa"/>
            <w:vAlign w:val="center"/>
          </w:tcPr>
          <w:p w14:paraId="25A239A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5B8BAD2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2.8E-05</w:t>
            </w:r>
          </w:p>
        </w:tc>
      </w:tr>
      <w:tr w:rsidR="006A0D5E" w14:paraId="236EDE48" w14:textId="77777777" w:rsidTr="00094856">
        <w:tc>
          <w:tcPr>
            <w:tcW w:w="3207" w:type="dxa"/>
            <w:vAlign w:val="center"/>
          </w:tcPr>
          <w:p w14:paraId="368299E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Segmented Bus Ducts</w:t>
            </w:r>
          </w:p>
        </w:tc>
        <w:tc>
          <w:tcPr>
            <w:tcW w:w="1193" w:type="dxa"/>
            <w:vAlign w:val="center"/>
          </w:tcPr>
          <w:p w14:paraId="4B56EBD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16.1</w:t>
            </w:r>
          </w:p>
        </w:tc>
        <w:tc>
          <w:tcPr>
            <w:tcW w:w="1260" w:type="dxa"/>
            <w:vAlign w:val="center"/>
          </w:tcPr>
          <w:p w14:paraId="60A358E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1.1E-03</w:t>
            </w:r>
          </w:p>
        </w:tc>
        <w:tc>
          <w:tcPr>
            <w:tcW w:w="1170" w:type="dxa"/>
            <w:vAlign w:val="center"/>
          </w:tcPr>
          <w:p w14:paraId="7597353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TBD</w:t>
            </w:r>
          </w:p>
        </w:tc>
        <w:tc>
          <w:tcPr>
            <w:tcW w:w="3330" w:type="dxa"/>
            <w:vAlign w:val="center"/>
          </w:tcPr>
          <w:p w14:paraId="44E0826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segmented bus transitions</w:t>
            </w:r>
          </w:p>
        </w:tc>
        <w:tc>
          <w:tcPr>
            <w:tcW w:w="1260" w:type="dxa"/>
            <w:vAlign w:val="center"/>
          </w:tcPr>
          <w:p w14:paraId="73F6742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HEAF</w:t>
            </w:r>
          </w:p>
        </w:tc>
        <w:tc>
          <w:tcPr>
            <w:tcW w:w="1260" w:type="dxa"/>
            <w:vAlign w:val="center"/>
          </w:tcPr>
          <w:p w14:paraId="50D3608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582BCD4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TBD</w:t>
            </w:r>
          </w:p>
        </w:tc>
      </w:tr>
      <w:tr w:rsidR="006A0D5E" w14:paraId="7F9AD3A3" w14:textId="77777777" w:rsidTr="00094856">
        <w:tc>
          <w:tcPr>
            <w:tcW w:w="3207" w:type="dxa"/>
            <w:vAlign w:val="center"/>
          </w:tcPr>
          <w:p w14:paraId="6F52408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Iso-Phase Bus Ducts</w:t>
            </w:r>
          </w:p>
        </w:tc>
        <w:tc>
          <w:tcPr>
            <w:tcW w:w="1193" w:type="dxa"/>
            <w:vAlign w:val="center"/>
          </w:tcPr>
          <w:p w14:paraId="41835D9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16.2</w:t>
            </w:r>
          </w:p>
        </w:tc>
        <w:tc>
          <w:tcPr>
            <w:tcW w:w="1260" w:type="dxa"/>
            <w:vAlign w:val="center"/>
          </w:tcPr>
          <w:p w14:paraId="67AACAD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5.9E-04</w:t>
            </w:r>
          </w:p>
        </w:tc>
        <w:tc>
          <w:tcPr>
            <w:tcW w:w="1170" w:type="dxa"/>
            <w:vAlign w:val="center"/>
          </w:tcPr>
          <w:p w14:paraId="1E356C0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w:t>
            </w:r>
          </w:p>
        </w:tc>
        <w:tc>
          <w:tcPr>
            <w:tcW w:w="3330" w:type="dxa"/>
            <w:vAlign w:val="center"/>
          </w:tcPr>
          <w:p w14:paraId="027E506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iso-phase bus duct ends</w:t>
            </w:r>
          </w:p>
        </w:tc>
        <w:tc>
          <w:tcPr>
            <w:tcW w:w="1260" w:type="dxa"/>
            <w:vAlign w:val="center"/>
          </w:tcPr>
          <w:p w14:paraId="42DECBD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HEAF</w:t>
            </w:r>
          </w:p>
        </w:tc>
        <w:tc>
          <w:tcPr>
            <w:tcW w:w="1260" w:type="dxa"/>
            <w:vAlign w:val="center"/>
          </w:tcPr>
          <w:p w14:paraId="783FDEB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454EEB0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3.0E-04</w:t>
            </w:r>
          </w:p>
        </w:tc>
      </w:tr>
      <w:tr w:rsidR="006A0D5E" w14:paraId="718D7ACA" w14:textId="77777777" w:rsidTr="00094856">
        <w:tc>
          <w:tcPr>
            <w:tcW w:w="13989" w:type="dxa"/>
            <w:gridSpan w:val="8"/>
            <w:vAlign w:val="center"/>
          </w:tcPr>
          <w:p w14:paraId="71B61696" w14:textId="77777777" w:rsidR="006A0D5E" w:rsidRPr="00F7507F" w:rsidRDefault="006A0D5E" w:rsidP="00B956B5">
            <w:pPr>
              <w:widowControl/>
              <w:tabs>
                <w:tab w:val="left" w:pos="274"/>
                <w:tab w:val="left" w:pos="806"/>
              </w:tabs>
              <w:autoSpaceDE/>
              <w:autoSpaceDN/>
              <w:adjustRightInd/>
              <w:jc w:val="both"/>
              <w:rPr>
                <w:bCs/>
                <w:color w:val="000000"/>
                <w:sz w:val="20"/>
                <w:szCs w:val="20"/>
              </w:rPr>
            </w:pPr>
            <w:r w:rsidRPr="00F7507F">
              <w:rPr>
                <w:bCs/>
                <w:color w:val="000000"/>
                <w:sz w:val="20"/>
                <w:szCs w:val="20"/>
              </w:rPr>
              <w:t>Hot Work Transient Fires:</w:t>
            </w:r>
          </w:p>
        </w:tc>
      </w:tr>
      <w:tr w:rsidR="006A0D5E" w14:paraId="26C1304B" w14:textId="77777777" w:rsidTr="00094856">
        <w:tc>
          <w:tcPr>
            <w:tcW w:w="3207" w:type="dxa"/>
            <w:vAlign w:val="center"/>
          </w:tcPr>
          <w:p w14:paraId="5BAC92C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Hot Work – Low</w:t>
            </w:r>
          </w:p>
        </w:tc>
        <w:tc>
          <w:tcPr>
            <w:tcW w:w="1193" w:type="dxa"/>
            <w:vMerge w:val="restart"/>
            <w:vAlign w:val="center"/>
          </w:tcPr>
          <w:p w14:paraId="06882F8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3, 6,</w:t>
            </w:r>
          </w:p>
          <w:p w14:paraId="3193B68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24, 36</w:t>
            </w:r>
          </w:p>
        </w:tc>
        <w:tc>
          <w:tcPr>
            <w:tcW w:w="1260" w:type="dxa"/>
            <w:vMerge w:val="restart"/>
            <w:vAlign w:val="center"/>
          </w:tcPr>
          <w:p w14:paraId="0ACDBE7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1.4E-02</w:t>
            </w:r>
          </w:p>
        </w:tc>
        <w:tc>
          <w:tcPr>
            <w:tcW w:w="1170" w:type="dxa"/>
            <w:vAlign w:val="center"/>
          </w:tcPr>
          <w:p w14:paraId="120FE2C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w:t>
            </w:r>
          </w:p>
        </w:tc>
        <w:tc>
          <w:tcPr>
            <w:tcW w:w="3330" w:type="dxa"/>
            <w:vAlign w:val="center"/>
          </w:tcPr>
          <w:p w14:paraId="067A903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low fire areas</w:t>
            </w:r>
          </w:p>
        </w:tc>
        <w:tc>
          <w:tcPr>
            <w:tcW w:w="1260" w:type="dxa"/>
            <w:vAlign w:val="center"/>
          </w:tcPr>
          <w:p w14:paraId="26FBEEE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Transient</w:t>
            </w:r>
          </w:p>
        </w:tc>
        <w:tc>
          <w:tcPr>
            <w:tcW w:w="1260" w:type="dxa"/>
            <w:vAlign w:val="center"/>
          </w:tcPr>
          <w:p w14:paraId="2A096BC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0.025</w:t>
            </w:r>
          </w:p>
        </w:tc>
        <w:tc>
          <w:tcPr>
            <w:tcW w:w="1309" w:type="dxa"/>
            <w:vAlign w:val="center"/>
          </w:tcPr>
          <w:p w14:paraId="4678E39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3.5E-05</w:t>
            </w:r>
          </w:p>
        </w:tc>
      </w:tr>
      <w:tr w:rsidR="006A0D5E" w14:paraId="72373E08" w14:textId="77777777" w:rsidTr="00094856">
        <w:tc>
          <w:tcPr>
            <w:tcW w:w="3207" w:type="dxa"/>
            <w:vAlign w:val="center"/>
          </w:tcPr>
          <w:p w14:paraId="5C66657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Hot Work – Medium</w:t>
            </w:r>
          </w:p>
        </w:tc>
        <w:tc>
          <w:tcPr>
            <w:tcW w:w="1193" w:type="dxa"/>
            <w:vMerge/>
            <w:vAlign w:val="center"/>
          </w:tcPr>
          <w:p w14:paraId="5F4E82B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Merge/>
            <w:vAlign w:val="center"/>
          </w:tcPr>
          <w:p w14:paraId="61FA223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170" w:type="dxa"/>
            <w:vAlign w:val="center"/>
          </w:tcPr>
          <w:p w14:paraId="540063F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30</w:t>
            </w:r>
          </w:p>
        </w:tc>
        <w:tc>
          <w:tcPr>
            <w:tcW w:w="3330" w:type="dxa"/>
            <w:vAlign w:val="center"/>
          </w:tcPr>
          <w:p w14:paraId="2E08B4F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moderate fire areas</w:t>
            </w:r>
          </w:p>
        </w:tc>
        <w:tc>
          <w:tcPr>
            <w:tcW w:w="1260" w:type="dxa"/>
            <w:vAlign w:val="center"/>
          </w:tcPr>
          <w:p w14:paraId="1F13D36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Transient</w:t>
            </w:r>
          </w:p>
        </w:tc>
        <w:tc>
          <w:tcPr>
            <w:tcW w:w="1260" w:type="dxa"/>
            <w:vAlign w:val="center"/>
          </w:tcPr>
          <w:p w14:paraId="56A1140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0.225</w:t>
            </w:r>
          </w:p>
        </w:tc>
        <w:tc>
          <w:tcPr>
            <w:tcW w:w="1309" w:type="dxa"/>
            <w:vAlign w:val="center"/>
          </w:tcPr>
          <w:p w14:paraId="7C8AC1B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1.1E-04</w:t>
            </w:r>
          </w:p>
        </w:tc>
      </w:tr>
      <w:tr w:rsidR="006A0D5E" w14:paraId="0AF6C5B9" w14:textId="77777777" w:rsidTr="00094856">
        <w:tc>
          <w:tcPr>
            <w:tcW w:w="3207" w:type="dxa"/>
            <w:vAlign w:val="center"/>
          </w:tcPr>
          <w:p w14:paraId="4C53B91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Hot Work – High</w:t>
            </w:r>
          </w:p>
        </w:tc>
        <w:tc>
          <w:tcPr>
            <w:tcW w:w="1193" w:type="dxa"/>
            <w:vMerge/>
            <w:vAlign w:val="center"/>
          </w:tcPr>
          <w:p w14:paraId="42F138E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Merge/>
            <w:vAlign w:val="center"/>
          </w:tcPr>
          <w:p w14:paraId="3B216FB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170" w:type="dxa"/>
            <w:vAlign w:val="center"/>
          </w:tcPr>
          <w:p w14:paraId="0CC8230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w:t>
            </w:r>
          </w:p>
        </w:tc>
        <w:tc>
          <w:tcPr>
            <w:tcW w:w="3330" w:type="dxa"/>
            <w:vAlign w:val="center"/>
          </w:tcPr>
          <w:p w14:paraId="74F502C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high fire areas</w:t>
            </w:r>
          </w:p>
        </w:tc>
        <w:tc>
          <w:tcPr>
            <w:tcW w:w="1260" w:type="dxa"/>
            <w:vAlign w:val="center"/>
          </w:tcPr>
          <w:p w14:paraId="7677BB4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Transient</w:t>
            </w:r>
          </w:p>
        </w:tc>
        <w:tc>
          <w:tcPr>
            <w:tcW w:w="1260" w:type="dxa"/>
            <w:vAlign w:val="center"/>
          </w:tcPr>
          <w:p w14:paraId="6A591EF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0.750</w:t>
            </w:r>
          </w:p>
        </w:tc>
        <w:tc>
          <w:tcPr>
            <w:tcW w:w="1309" w:type="dxa"/>
            <w:vAlign w:val="center"/>
          </w:tcPr>
          <w:p w14:paraId="7805A0C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1.1E-03</w:t>
            </w:r>
          </w:p>
        </w:tc>
      </w:tr>
      <w:tr w:rsidR="006A0D5E" w14:paraId="3E1E7F1C" w14:textId="77777777" w:rsidTr="00094856">
        <w:tc>
          <w:tcPr>
            <w:tcW w:w="13989" w:type="dxa"/>
            <w:gridSpan w:val="8"/>
            <w:vAlign w:val="center"/>
          </w:tcPr>
          <w:p w14:paraId="380BF764" w14:textId="77777777" w:rsidR="006A0D5E" w:rsidRPr="00F7507F" w:rsidRDefault="006A0D5E" w:rsidP="00B956B5">
            <w:pPr>
              <w:widowControl/>
              <w:tabs>
                <w:tab w:val="left" w:pos="274"/>
                <w:tab w:val="left" w:pos="806"/>
              </w:tabs>
              <w:autoSpaceDE/>
              <w:autoSpaceDN/>
              <w:adjustRightInd/>
              <w:jc w:val="both"/>
              <w:rPr>
                <w:bCs/>
                <w:color w:val="000000"/>
                <w:sz w:val="20"/>
                <w:szCs w:val="20"/>
              </w:rPr>
            </w:pPr>
            <w:r w:rsidRPr="00F7507F">
              <w:rPr>
                <w:bCs/>
                <w:color w:val="000000"/>
                <w:sz w:val="20"/>
                <w:szCs w:val="20"/>
              </w:rPr>
              <w:t>Hydrogen Sources:</w:t>
            </w:r>
          </w:p>
        </w:tc>
      </w:tr>
      <w:tr w:rsidR="006A0D5E" w14:paraId="10ED5DC0" w14:textId="77777777" w:rsidTr="00094856">
        <w:tc>
          <w:tcPr>
            <w:tcW w:w="3207" w:type="dxa"/>
            <w:vAlign w:val="center"/>
          </w:tcPr>
          <w:p w14:paraId="32FF2F7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w:t>
            </w:r>
            <w:r w:rsidRPr="00F7507F">
              <w:rPr>
                <w:color w:val="000000"/>
                <w:sz w:val="20"/>
                <w:szCs w:val="20"/>
                <w:vertAlign w:val="subscript"/>
              </w:rPr>
              <w:t>2</w:t>
            </w:r>
            <w:r w:rsidRPr="00F7507F">
              <w:rPr>
                <w:color w:val="000000"/>
                <w:sz w:val="20"/>
                <w:szCs w:val="20"/>
              </w:rPr>
              <w:t xml:space="preserve"> Recombiner (BWR)</w:t>
            </w:r>
          </w:p>
        </w:tc>
        <w:tc>
          <w:tcPr>
            <w:tcW w:w="1193" w:type="dxa"/>
            <w:vAlign w:val="center"/>
          </w:tcPr>
          <w:p w14:paraId="02CC96F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20</w:t>
            </w:r>
          </w:p>
        </w:tc>
        <w:tc>
          <w:tcPr>
            <w:tcW w:w="1260" w:type="dxa"/>
            <w:vAlign w:val="center"/>
          </w:tcPr>
          <w:p w14:paraId="7DC9289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5.8E-03</w:t>
            </w:r>
          </w:p>
        </w:tc>
        <w:tc>
          <w:tcPr>
            <w:tcW w:w="1170" w:type="dxa"/>
            <w:vAlign w:val="center"/>
          </w:tcPr>
          <w:p w14:paraId="29265FE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w:t>
            </w:r>
          </w:p>
        </w:tc>
        <w:tc>
          <w:tcPr>
            <w:tcW w:w="3330" w:type="dxa"/>
            <w:vAlign w:val="center"/>
          </w:tcPr>
          <w:p w14:paraId="4039087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H</w:t>
            </w:r>
            <w:r w:rsidRPr="00F7507F">
              <w:rPr>
                <w:color w:val="000000"/>
                <w:sz w:val="20"/>
                <w:szCs w:val="20"/>
                <w:vertAlign w:val="subscript"/>
              </w:rPr>
              <w:t>2</w:t>
            </w:r>
            <w:r w:rsidRPr="00F7507F">
              <w:rPr>
                <w:color w:val="000000"/>
                <w:sz w:val="20"/>
                <w:szCs w:val="20"/>
              </w:rPr>
              <w:t xml:space="preserve"> recombiners</w:t>
            </w:r>
          </w:p>
        </w:tc>
        <w:tc>
          <w:tcPr>
            <w:tcW w:w="1260" w:type="dxa"/>
            <w:vAlign w:val="center"/>
          </w:tcPr>
          <w:p w14:paraId="6705986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Hydrogen</w:t>
            </w:r>
          </w:p>
        </w:tc>
        <w:tc>
          <w:tcPr>
            <w:tcW w:w="1260" w:type="dxa"/>
            <w:vAlign w:val="center"/>
          </w:tcPr>
          <w:p w14:paraId="5CB3F6C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7F0F81A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1.9E-03</w:t>
            </w:r>
          </w:p>
        </w:tc>
      </w:tr>
      <w:tr w:rsidR="006A0D5E" w14:paraId="67E52B86" w14:textId="77777777" w:rsidTr="00094856">
        <w:tc>
          <w:tcPr>
            <w:tcW w:w="3207" w:type="dxa"/>
            <w:vAlign w:val="center"/>
          </w:tcPr>
          <w:p w14:paraId="7D325B4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w:t>
            </w:r>
            <w:r w:rsidRPr="00F7507F">
              <w:rPr>
                <w:color w:val="000000"/>
                <w:sz w:val="20"/>
                <w:szCs w:val="20"/>
                <w:vertAlign w:val="subscript"/>
              </w:rPr>
              <w:t>2</w:t>
            </w:r>
            <w:r w:rsidRPr="00F7507F">
              <w:rPr>
                <w:color w:val="000000"/>
                <w:sz w:val="20"/>
                <w:szCs w:val="20"/>
              </w:rPr>
              <w:t xml:space="preserve"> Storage Tanks</w:t>
            </w:r>
          </w:p>
        </w:tc>
        <w:tc>
          <w:tcPr>
            <w:tcW w:w="1193" w:type="dxa"/>
            <w:vAlign w:val="center"/>
          </w:tcPr>
          <w:p w14:paraId="0FE3918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17</w:t>
            </w:r>
          </w:p>
        </w:tc>
        <w:tc>
          <w:tcPr>
            <w:tcW w:w="1260" w:type="dxa"/>
            <w:vAlign w:val="center"/>
          </w:tcPr>
          <w:p w14:paraId="285385E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4.9E-03</w:t>
            </w:r>
          </w:p>
        </w:tc>
        <w:tc>
          <w:tcPr>
            <w:tcW w:w="1170" w:type="dxa"/>
            <w:vAlign w:val="center"/>
          </w:tcPr>
          <w:p w14:paraId="27447A7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w:t>
            </w:r>
          </w:p>
        </w:tc>
        <w:tc>
          <w:tcPr>
            <w:tcW w:w="3330" w:type="dxa"/>
            <w:vAlign w:val="center"/>
          </w:tcPr>
          <w:p w14:paraId="091AB34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H</w:t>
            </w:r>
            <w:r w:rsidRPr="00F7507F">
              <w:rPr>
                <w:color w:val="000000"/>
                <w:sz w:val="20"/>
                <w:szCs w:val="20"/>
                <w:vertAlign w:val="subscript"/>
              </w:rPr>
              <w:t>2</w:t>
            </w:r>
            <w:r w:rsidRPr="00F7507F">
              <w:rPr>
                <w:color w:val="000000"/>
                <w:sz w:val="20"/>
                <w:szCs w:val="20"/>
              </w:rPr>
              <w:t xml:space="preserve"> tanks</w:t>
            </w:r>
          </w:p>
        </w:tc>
        <w:tc>
          <w:tcPr>
            <w:tcW w:w="1260" w:type="dxa"/>
            <w:vAlign w:val="center"/>
          </w:tcPr>
          <w:p w14:paraId="605D277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Hydrogen</w:t>
            </w:r>
          </w:p>
        </w:tc>
        <w:tc>
          <w:tcPr>
            <w:tcW w:w="1260" w:type="dxa"/>
            <w:vAlign w:val="center"/>
          </w:tcPr>
          <w:p w14:paraId="70BF537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76F31E7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4.9E-03</w:t>
            </w:r>
          </w:p>
        </w:tc>
      </w:tr>
      <w:tr w:rsidR="006A0D5E" w14:paraId="34EC8EE3" w14:textId="77777777" w:rsidTr="00094856">
        <w:tc>
          <w:tcPr>
            <w:tcW w:w="3207" w:type="dxa"/>
            <w:vAlign w:val="center"/>
          </w:tcPr>
          <w:p w14:paraId="5DC3A19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Misc. Hydrogen Fires</w:t>
            </w:r>
          </w:p>
        </w:tc>
        <w:tc>
          <w:tcPr>
            <w:tcW w:w="1193" w:type="dxa"/>
            <w:vAlign w:val="center"/>
          </w:tcPr>
          <w:p w14:paraId="351B565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19</w:t>
            </w:r>
          </w:p>
        </w:tc>
        <w:tc>
          <w:tcPr>
            <w:tcW w:w="1260" w:type="dxa"/>
            <w:vAlign w:val="center"/>
          </w:tcPr>
          <w:p w14:paraId="74CBB5F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4.8E-03</w:t>
            </w:r>
          </w:p>
        </w:tc>
        <w:tc>
          <w:tcPr>
            <w:tcW w:w="1170" w:type="dxa"/>
            <w:vAlign w:val="center"/>
          </w:tcPr>
          <w:p w14:paraId="4611DD8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w:t>
            </w:r>
          </w:p>
        </w:tc>
        <w:tc>
          <w:tcPr>
            <w:tcW w:w="3330" w:type="dxa"/>
            <w:vAlign w:val="center"/>
          </w:tcPr>
          <w:p w14:paraId="366CD22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fire areas with charged piping</w:t>
            </w:r>
          </w:p>
        </w:tc>
        <w:tc>
          <w:tcPr>
            <w:tcW w:w="1260" w:type="dxa"/>
            <w:vAlign w:val="center"/>
          </w:tcPr>
          <w:p w14:paraId="07C7B01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Hydrogen</w:t>
            </w:r>
          </w:p>
        </w:tc>
        <w:tc>
          <w:tcPr>
            <w:tcW w:w="1260" w:type="dxa"/>
            <w:vAlign w:val="center"/>
          </w:tcPr>
          <w:p w14:paraId="12BA13A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078FDBB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1.6E-03</w:t>
            </w:r>
          </w:p>
        </w:tc>
      </w:tr>
    </w:tbl>
    <w:p w14:paraId="72327606" w14:textId="77777777" w:rsidR="006A0D5E" w:rsidRDefault="006A0D5E" w:rsidP="00B956B5">
      <w:pPr>
        <w:tabs>
          <w:tab w:val="left" w:pos="274"/>
          <w:tab w:val="left" w:pos="806"/>
        </w:tabs>
      </w:pPr>
    </w:p>
    <w:tbl>
      <w:tblPr>
        <w:tblW w:w="139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07"/>
        <w:gridCol w:w="1193"/>
        <w:gridCol w:w="1260"/>
        <w:gridCol w:w="1170"/>
        <w:gridCol w:w="3330"/>
        <w:gridCol w:w="1260"/>
        <w:gridCol w:w="1260"/>
        <w:gridCol w:w="1309"/>
      </w:tblGrid>
      <w:tr w:rsidR="006A0D5E" w14:paraId="73D4F7AC" w14:textId="77777777" w:rsidTr="00E01E7A">
        <w:tc>
          <w:tcPr>
            <w:tcW w:w="13989" w:type="dxa"/>
            <w:gridSpan w:val="8"/>
            <w:shd w:val="clear" w:color="auto" w:fill="D9D9D9" w:themeFill="background1" w:themeFillShade="D9"/>
            <w:vAlign w:val="center"/>
          </w:tcPr>
          <w:p w14:paraId="14E6C309" w14:textId="5992F8F3"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Cs w:val="22"/>
              </w:rPr>
            </w:pPr>
            <w:r w:rsidRPr="00F7507F">
              <w:rPr>
                <w:rFonts w:cs="Arial"/>
                <w:bCs/>
                <w:color w:val="000000"/>
                <w:szCs w:val="22"/>
              </w:rPr>
              <w:lastRenderedPageBreak/>
              <w:t>Table 6.2.3 (Continued)</w:t>
            </w:r>
            <w:r w:rsidR="00046D7B" w:rsidRPr="00F7507F">
              <w:rPr>
                <w:rFonts w:cs="Arial"/>
              </w:rPr>
              <w:t xml:space="preserve"> – </w:t>
            </w:r>
            <w:r w:rsidRPr="00F7507F">
              <w:rPr>
                <w:rFonts w:cs="Arial"/>
                <w:bCs/>
                <w:color w:val="000000"/>
                <w:szCs w:val="22"/>
              </w:rPr>
              <w:t>Calculation of Component Specific Fire Ignition Frequencies</w:t>
            </w:r>
          </w:p>
        </w:tc>
      </w:tr>
      <w:tr w:rsidR="006A0D5E" w14:paraId="2FCA67C2" w14:textId="77777777" w:rsidTr="00E01E7A">
        <w:tc>
          <w:tcPr>
            <w:tcW w:w="13989" w:type="dxa"/>
            <w:gridSpan w:val="8"/>
            <w:shd w:val="clear" w:color="auto" w:fill="D9D9D9" w:themeFill="background1" w:themeFillShade="D9"/>
            <w:vAlign w:val="center"/>
          </w:tcPr>
          <w:p w14:paraId="4C2E85A8" w14:textId="1E64DBBD"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Cs w:val="22"/>
              </w:rPr>
            </w:pPr>
            <w:r w:rsidRPr="00F7507F">
              <w:rPr>
                <w:rFonts w:cs="Arial"/>
                <w:bCs/>
                <w:color w:val="000000"/>
                <w:szCs w:val="22"/>
              </w:rPr>
              <w:t>Based on Plant Wide Fire Frequency and Generic Component Counts</w:t>
            </w:r>
            <w:r w:rsidR="00973734" w:rsidRPr="00F7507F">
              <w:rPr>
                <w:rFonts w:cs="Arial"/>
                <w:bCs/>
                <w:color w:val="000000"/>
                <w:szCs w:val="22"/>
              </w:rPr>
              <w:t>.</w:t>
            </w:r>
          </w:p>
        </w:tc>
      </w:tr>
      <w:tr w:rsidR="006A0D5E" w14:paraId="509B4FE7" w14:textId="77777777" w:rsidTr="00094856">
        <w:tc>
          <w:tcPr>
            <w:tcW w:w="3207" w:type="dxa"/>
            <w:vAlign w:val="center"/>
          </w:tcPr>
          <w:p w14:paraId="02FB3C45" w14:textId="54E00159" w:rsidR="006A0D5E" w:rsidRPr="00F7507F" w:rsidRDefault="00BE123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bCs/>
                <w:color w:val="000000"/>
                <w:sz w:val="20"/>
                <w:szCs w:val="20"/>
              </w:rPr>
              <w:t xml:space="preserve">Generic </w:t>
            </w:r>
            <w:r w:rsidR="006A0D5E" w:rsidRPr="00F7507F">
              <w:rPr>
                <w:rFonts w:cs="Arial"/>
                <w:bCs/>
                <w:color w:val="000000"/>
                <w:sz w:val="20"/>
                <w:szCs w:val="20"/>
              </w:rPr>
              <w:t>Ignition Source</w:t>
            </w:r>
          </w:p>
        </w:tc>
        <w:tc>
          <w:tcPr>
            <w:tcW w:w="1193" w:type="dxa"/>
            <w:vAlign w:val="center"/>
          </w:tcPr>
          <w:p w14:paraId="7B43DEC8" w14:textId="253C1D4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bCs/>
                <w:color w:val="000000"/>
                <w:sz w:val="20"/>
                <w:szCs w:val="20"/>
              </w:rPr>
              <w:t>NUREG</w:t>
            </w:r>
            <w:r w:rsidR="00BE123E" w:rsidRPr="00F7507F">
              <w:rPr>
                <w:rFonts w:cs="Arial"/>
                <w:bCs/>
                <w:color w:val="000000"/>
                <w:sz w:val="20"/>
                <w:szCs w:val="20"/>
              </w:rPr>
              <w:t>-</w:t>
            </w:r>
            <w:r w:rsidRPr="00F7507F">
              <w:rPr>
                <w:rFonts w:cs="Arial"/>
                <w:bCs/>
                <w:color w:val="000000"/>
                <w:sz w:val="20"/>
                <w:szCs w:val="20"/>
              </w:rPr>
              <w:t xml:space="preserve"> 2169 Bin(s)</w:t>
            </w:r>
          </w:p>
        </w:tc>
        <w:tc>
          <w:tcPr>
            <w:tcW w:w="1260" w:type="dxa"/>
            <w:vAlign w:val="center"/>
          </w:tcPr>
          <w:p w14:paraId="75C695F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bCs/>
                <w:color w:val="000000"/>
                <w:sz w:val="20"/>
                <w:szCs w:val="20"/>
              </w:rPr>
              <w:t>Plant-wide Fire Frequency (/ry)</w:t>
            </w:r>
          </w:p>
        </w:tc>
        <w:tc>
          <w:tcPr>
            <w:tcW w:w="1170" w:type="dxa"/>
            <w:vAlign w:val="center"/>
          </w:tcPr>
          <w:p w14:paraId="5E73360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bCs/>
                <w:color w:val="000000"/>
                <w:sz w:val="20"/>
                <w:szCs w:val="20"/>
              </w:rPr>
              <w:t>Plant-wide Count (average)</w:t>
            </w:r>
          </w:p>
        </w:tc>
        <w:tc>
          <w:tcPr>
            <w:tcW w:w="3330" w:type="dxa"/>
            <w:vAlign w:val="center"/>
          </w:tcPr>
          <w:p w14:paraId="04EDD2D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bCs/>
                <w:color w:val="000000"/>
                <w:sz w:val="20"/>
                <w:szCs w:val="20"/>
              </w:rPr>
              <w:t>Counting Unit</w:t>
            </w:r>
          </w:p>
        </w:tc>
        <w:tc>
          <w:tcPr>
            <w:tcW w:w="1260" w:type="dxa"/>
            <w:vAlign w:val="center"/>
          </w:tcPr>
          <w:p w14:paraId="32BF33F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bCs/>
                <w:color w:val="000000"/>
                <w:sz w:val="20"/>
                <w:szCs w:val="20"/>
              </w:rPr>
              <w:t>Fire Type</w:t>
            </w:r>
          </w:p>
        </w:tc>
        <w:tc>
          <w:tcPr>
            <w:tcW w:w="1260" w:type="dxa"/>
            <w:vAlign w:val="center"/>
          </w:tcPr>
          <w:p w14:paraId="6C394FB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bCs/>
                <w:color w:val="000000"/>
                <w:sz w:val="20"/>
                <w:szCs w:val="20"/>
              </w:rPr>
              <w:t>Weighting Factor</w:t>
            </w:r>
          </w:p>
        </w:tc>
        <w:tc>
          <w:tcPr>
            <w:tcW w:w="1309" w:type="dxa"/>
            <w:vAlign w:val="center"/>
          </w:tcPr>
          <w:p w14:paraId="6DB4EAA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bCs/>
                <w:color w:val="000000"/>
                <w:sz w:val="20"/>
                <w:szCs w:val="20"/>
              </w:rPr>
              <w:t>Fire Frequency per Counting Unit (/ry)</w:t>
            </w:r>
          </w:p>
        </w:tc>
      </w:tr>
      <w:tr w:rsidR="006A0D5E" w14:paraId="6B3F272E" w14:textId="77777777" w:rsidTr="00094856">
        <w:tc>
          <w:tcPr>
            <w:tcW w:w="13989" w:type="dxa"/>
            <w:gridSpan w:val="8"/>
            <w:vAlign w:val="center"/>
          </w:tcPr>
          <w:p w14:paraId="71552A28" w14:textId="77777777" w:rsidR="006A0D5E" w:rsidRPr="00F7507F" w:rsidRDefault="006A0D5E" w:rsidP="00B956B5">
            <w:pPr>
              <w:widowControl/>
              <w:tabs>
                <w:tab w:val="left" w:pos="274"/>
                <w:tab w:val="left" w:pos="806"/>
              </w:tabs>
              <w:autoSpaceDE/>
              <w:autoSpaceDN/>
              <w:adjustRightInd/>
              <w:jc w:val="both"/>
              <w:rPr>
                <w:rFonts w:cs="Arial"/>
                <w:color w:val="000000"/>
                <w:sz w:val="20"/>
                <w:szCs w:val="20"/>
              </w:rPr>
            </w:pPr>
            <w:r w:rsidRPr="00F7507F">
              <w:rPr>
                <w:rFonts w:cs="Arial"/>
                <w:bCs/>
                <w:color w:val="000000"/>
                <w:sz w:val="20"/>
                <w:szCs w:val="20"/>
              </w:rPr>
              <w:t xml:space="preserve">Main Turbine-Generator Set: </w:t>
            </w:r>
          </w:p>
        </w:tc>
      </w:tr>
      <w:tr w:rsidR="006A0D5E" w14:paraId="0BDD19C6" w14:textId="77777777" w:rsidTr="00094856">
        <w:tc>
          <w:tcPr>
            <w:tcW w:w="3207" w:type="dxa"/>
            <w:vAlign w:val="center"/>
          </w:tcPr>
          <w:p w14:paraId="70CF0A3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T/G Exciter Fire</w:t>
            </w:r>
          </w:p>
        </w:tc>
        <w:tc>
          <w:tcPr>
            <w:tcW w:w="1193" w:type="dxa"/>
            <w:vAlign w:val="center"/>
          </w:tcPr>
          <w:p w14:paraId="51C7DF9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33</w:t>
            </w:r>
          </w:p>
        </w:tc>
        <w:tc>
          <w:tcPr>
            <w:tcW w:w="1260" w:type="dxa"/>
            <w:vAlign w:val="center"/>
          </w:tcPr>
          <w:p w14:paraId="7BD93DD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8.4E-04</w:t>
            </w:r>
          </w:p>
        </w:tc>
        <w:tc>
          <w:tcPr>
            <w:tcW w:w="1170" w:type="dxa"/>
            <w:vAlign w:val="center"/>
          </w:tcPr>
          <w:p w14:paraId="5826D58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w:t>
            </w:r>
          </w:p>
        </w:tc>
        <w:tc>
          <w:tcPr>
            <w:tcW w:w="3330" w:type="dxa"/>
            <w:vAlign w:val="center"/>
          </w:tcPr>
          <w:p w14:paraId="64DA3CE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exciters</w:t>
            </w:r>
          </w:p>
        </w:tc>
        <w:tc>
          <w:tcPr>
            <w:tcW w:w="1260" w:type="dxa"/>
            <w:vAlign w:val="center"/>
          </w:tcPr>
          <w:p w14:paraId="2360931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4AF6986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7141FEE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4.2E-04</w:t>
            </w:r>
          </w:p>
        </w:tc>
      </w:tr>
      <w:tr w:rsidR="006A0D5E" w14:paraId="193ED912" w14:textId="77777777" w:rsidTr="00094856">
        <w:tc>
          <w:tcPr>
            <w:tcW w:w="3207" w:type="dxa"/>
            <w:vAlign w:val="center"/>
          </w:tcPr>
          <w:p w14:paraId="3C326E6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T/G Oil Fires</w:t>
            </w:r>
          </w:p>
        </w:tc>
        <w:tc>
          <w:tcPr>
            <w:tcW w:w="1193" w:type="dxa"/>
            <w:vAlign w:val="center"/>
          </w:tcPr>
          <w:p w14:paraId="75C295C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35</w:t>
            </w:r>
          </w:p>
        </w:tc>
        <w:tc>
          <w:tcPr>
            <w:tcW w:w="1260" w:type="dxa"/>
            <w:vAlign w:val="center"/>
          </w:tcPr>
          <w:p w14:paraId="44F9A34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5.5E-03</w:t>
            </w:r>
          </w:p>
        </w:tc>
        <w:tc>
          <w:tcPr>
            <w:tcW w:w="1170" w:type="dxa"/>
            <w:vAlign w:val="center"/>
          </w:tcPr>
          <w:p w14:paraId="37F9B17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5</w:t>
            </w:r>
          </w:p>
        </w:tc>
        <w:tc>
          <w:tcPr>
            <w:tcW w:w="3330" w:type="dxa"/>
            <w:vAlign w:val="center"/>
          </w:tcPr>
          <w:p w14:paraId="011AC1F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lube oil systems</w:t>
            </w:r>
          </w:p>
        </w:tc>
        <w:tc>
          <w:tcPr>
            <w:tcW w:w="1260" w:type="dxa"/>
            <w:vAlign w:val="center"/>
          </w:tcPr>
          <w:p w14:paraId="7A8F9AA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722D2A3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49BAAAF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1.1E-03</w:t>
            </w:r>
          </w:p>
        </w:tc>
      </w:tr>
      <w:tr w:rsidR="006A0D5E" w14:paraId="330FD415" w14:textId="77777777" w:rsidTr="00094856">
        <w:tc>
          <w:tcPr>
            <w:tcW w:w="3207" w:type="dxa"/>
            <w:vAlign w:val="center"/>
          </w:tcPr>
          <w:p w14:paraId="1B1A589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T/G Hydrogen Fires</w:t>
            </w:r>
          </w:p>
        </w:tc>
        <w:tc>
          <w:tcPr>
            <w:tcW w:w="1193" w:type="dxa"/>
            <w:vAlign w:val="center"/>
          </w:tcPr>
          <w:p w14:paraId="5CC6470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34</w:t>
            </w:r>
          </w:p>
        </w:tc>
        <w:tc>
          <w:tcPr>
            <w:tcW w:w="1260" w:type="dxa"/>
            <w:vAlign w:val="center"/>
          </w:tcPr>
          <w:p w14:paraId="3DA039D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4.1E-03</w:t>
            </w:r>
          </w:p>
        </w:tc>
        <w:tc>
          <w:tcPr>
            <w:tcW w:w="1170" w:type="dxa"/>
            <w:vAlign w:val="center"/>
          </w:tcPr>
          <w:p w14:paraId="46D742C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w:t>
            </w:r>
          </w:p>
        </w:tc>
        <w:tc>
          <w:tcPr>
            <w:tcW w:w="3330" w:type="dxa"/>
            <w:vAlign w:val="center"/>
          </w:tcPr>
          <w:p w14:paraId="4B2967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H2 systems</w:t>
            </w:r>
          </w:p>
        </w:tc>
        <w:tc>
          <w:tcPr>
            <w:tcW w:w="1260" w:type="dxa"/>
            <w:vAlign w:val="center"/>
          </w:tcPr>
          <w:p w14:paraId="0E7CC3C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Hydrogen</w:t>
            </w:r>
          </w:p>
        </w:tc>
        <w:tc>
          <w:tcPr>
            <w:tcW w:w="1260" w:type="dxa"/>
            <w:vAlign w:val="center"/>
          </w:tcPr>
          <w:p w14:paraId="636E88A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227D115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1.4E-03</w:t>
            </w:r>
          </w:p>
        </w:tc>
      </w:tr>
      <w:tr w:rsidR="006A0D5E" w14:paraId="4304A0E7" w14:textId="77777777" w:rsidTr="00E01E7A">
        <w:tc>
          <w:tcPr>
            <w:tcW w:w="13989" w:type="dxa"/>
            <w:gridSpan w:val="8"/>
            <w:vAlign w:val="center"/>
          </w:tcPr>
          <w:p w14:paraId="0148056C" w14:textId="77777777" w:rsidR="006A0D5E" w:rsidRPr="00E01E7A" w:rsidRDefault="006A0D5E" w:rsidP="00B956B5">
            <w:pPr>
              <w:widowControl/>
              <w:tabs>
                <w:tab w:val="left" w:pos="274"/>
                <w:tab w:val="left" w:pos="806"/>
              </w:tabs>
              <w:autoSpaceDE/>
              <w:autoSpaceDN/>
              <w:adjustRightInd/>
              <w:jc w:val="both"/>
              <w:rPr>
                <w:rFonts w:cs="Arial"/>
                <w:bCs/>
                <w:color w:val="000000"/>
                <w:sz w:val="20"/>
                <w:szCs w:val="20"/>
              </w:rPr>
            </w:pPr>
            <w:r w:rsidRPr="00E01E7A">
              <w:rPr>
                <w:rFonts w:cs="Arial"/>
                <w:bCs/>
                <w:color w:val="000000"/>
                <w:sz w:val="20"/>
                <w:szCs w:val="20"/>
              </w:rPr>
              <w:t xml:space="preserve">Miscellaneous Components: </w:t>
            </w:r>
          </w:p>
        </w:tc>
      </w:tr>
      <w:tr w:rsidR="006A0D5E" w14:paraId="7E198843" w14:textId="77777777" w:rsidTr="00E01E7A">
        <w:tc>
          <w:tcPr>
            <w:tcW w:w="3207" w:type="dxa"/>
            <w:vMerge w:val="restart"/>
            <w:vAlign w:val="center"/>
          </w:tcPr>
          <w:p w14:paraId="239D9F41" w14:textId="77777777" w:rsidR="006A0D5E" w:rsidRPr="00F7507F" w:rsidRDefault="006A0D5E" w:rsidP="00E01E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Air Compressors</w:t>
            </w:r>
          </w:p>
        </w:tc>
        <w:tc>
          <w:tcPr>
            <w:tcW w:w="1193" w:type="dxa"/>
            <w:vMerge w:val="restart"/>
            <w:vAlign w:val="center"/>
          </w:tcPr>
          <w:p w14:paraId="70F33DA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9</w:t>
            </w:r>
          </w:p>
        </w:tc>
        <w:tc>
          <w:tcPr>
            <w:tcW w:w="1260" w:type="dxa"/>
            <w:vMerge w:val="restart"/>
            <w:vAlign w:val="center"/>
          </w:tcPr>
          <w:p w14:paraId="3E92177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4.7E-03</w:t>
            </w:r>
          </w:p>
        </w:tc>
        <w:tc>
          <w:tcPr>
            <w:tcW w:w="1170" w:type="dxa"/>
            <w:vMerge w:val="restart"/>
            <w:vAlign w:val="center"/>
          </w:tcPr>
          <w:p w14:paraId="059B601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w:t>
            </w:r>
          </w:p>
        </w:tc>
        <w:tc>
          <w:tcPr>
            <w:tcW w:w="3330" w:type="dxa"/>
            <w:vMerge w:val="restart"/>
            <w:vAlign w:val="center"/>
          </w:tcPr>
          <w:p w14:paraId="34C211B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air compressors</w:t>
            </w:r>
          </w:p>
        </w:tc>
        <w:tc>
          <w:tcPr>
            <w:tcW w:w="1260" w:type="dxa"/>
            <w:vAlign w:val="center"/>
          </w:tcPr>
          <w:p w14:paraId="142F997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012026B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0.62</w:t>
            </w:r>
          </w:p>
        </w:tc>
        <w:tc>
          <w:tcPr>
            <w:tcW w:w="1309" w:type="dxa"/>
            <w:vAlign w:val="center"/>
          </w:tcPr>
          <w:p w14:paraId="497A910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2.9E-04</w:t>
            </w:r>
          </w:p>
        </w:tc>
      </w:tr>
      <w:tr w:rsidR="006A0D5E" w14:paraId="715D1B7E" w14:textId="77777777" w:rsidTr="00E01E7A">
        <w:tc>
          <w:tcPr>
            <w:tcW w:w="3207" w:type="dxa"/>
            <w:vMerge/>
            <w:vAlign w:val="center"/>
          </w:tcPr>
          <w:p w14:paraId="348D60C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193" w:type="dxa"/>
            <w:vMerge/>
            <w:vAlign w:val="center"/>
          </w:tcPr>
          <w:p w14:paraId="2EC6CEF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1BFED2A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Merge/>
            <w:vAlign w:val="center"/>
          </w:tcPr>
          <w:p w14:paraId="19E4A40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3330" w:type="dxa"/>
            <w:vMerge/>
            <w:vAlign w:val="center"/>
          </w:tcPr>
          <w:p w14:paraId="7375FD2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Align w:val="center"/>
          </w:tcPr>
          <w:p w14:paraId="107CD19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1F81C91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0.38</w:t>
            </w:r>
          </w:p>
        </w:tc>
        <w:tc>
          <w:tcPr>
            <w:tcW w:w="1309" w:type="dxa"/>
            <w:vAlign w:val="center"/>
          </w:tcPr>
          <w:p w14:paraId="510CC13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1.8E-04</w:t>
            </w:r>
          </w:p>
        </w:tc>
      </w:tr>
      <w:tr w:rsidR="006A0D5E" w14:paraId="2C4FD687" w14:textId="77777777" w:rsidTr="00E01E7A">
        <w:tc>
          <w:tcPr>
            <w:tcW w:w="3207" w:type="dxa"/>
            <w:vAlign w:val="center"/>
          </w:tcPr>
          <w:p w14:paraId="1BF499A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Battery Banks</w:t>
            </w:r>
          </w:p>
        </w:tc>
        <w:tc>
          <w:tcPr>
            <w:tcW w:w="1193" w:type="dxa"/>
            <w:vAlign w:val="center"/>
          </w:tcPr>
          <w:p w14:paraId="11B840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w:t>
            </w:r>
          </w:p>
        </w:tc>
        <w:tc>
          <w:tcPr>
            <w:tcW w:w="1260" w:type="dxa"/>
            <w:vAlign w:val="center"/>
          </w:tcPr>
          <w:p w14:paraId="64976F2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3.9E-04</w:t>
            </w:r>
          </w:p>
        </w:tc>
        <w:tc>
          <w:tcPr>
            <w:tcW w:w="1170" w:type="dxa"/>
            <w:vAlign w:val="center"/>
          </w:tcPr>
          <w:p w14:paraId="2090916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w:t>
            </w:r>
          </w:p>
        </w:tc>
        <w:tc>
          <w:tcPr>
            <w:tcW w:w="3330" w:type="dxa"/>
            <w:vAlign w:val="center"/>
          </w:tcPr>
          <w:p w14:paraId="6527BD0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interconnected battery sets</w:t>
            </w:r>
          </w:p>
        </w:tc>
        <w:tc>
          <w:tcPr>
            <w:tcW w:w="1260" w:type="dxa"/>
            <w:vAlign w:val="center"/>
          </w:tcPr>
          <w:p w14:paraId="408C1C8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5A30009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7E94C4D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9.8E-05</w:t>
            </w:r>
          </w:p>
        </w:tc>
      </w:tr>
      <w:tr w:rsidR="006A0D5E" w14:paraId="72207DFD" w14:textId="77777777" w:rsidTr="00E01E7A">
        <w:tc>
          <w:tcPr>
            <w:tcW w:w="3207" w:type="dxa"/>
            <w:vAlign w:val="center"/>
          </w:tcPr>
          <w:p w14:paraId="0DE5C6E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Boiler Heating Units</w:t>
            </w:r>
          </w:p>
        </w:tc>
        <w:tc>
          <w:tcPr>
            <w:tcW w:w="1193" w:type="dxa"/>
            <w:vAlign w:val="center"/>
          </w:tcPr>
          <w:p w14:paraId="430C0E7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30</w:t>
            </w:r>
          </w:p>
        </w:tc>
        <w:tc>
          <w:tcPr>
            <w:tcW w:w="1260" w:type="dxa"/>
            <w:vAlign w:val="center"/>
          </w:tcPr>
          <w:p w14:paraId="4093CBD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1.1E-03</w:t>
            </w:r>
          </w:p>
        </w:tc>
        <w:tc>
          <w:tcPr>
            <w:tcW w:w="1170" w:type="dxa"/>
            <w:vAlign w:val="center"/>
          </w:tcPr>
          <w:p w14:paraId="00FEC99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w:t>
            </w:r>
          </w:p>
        </w:tc>
        <w:tc>
          <w:tcPr>
            <w:tcW w:w="3330" w:type="dxa"/>
            <w:vAlign w:val="center"/>
          </w:tcPr>
          <w:p w14:paraId="4987CC2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boilers</w:t>
            </w:r>
          </w:p>
        </w:tc>
        <w:tc>
          <w:tcPr>
            <w:tcW w:w="1260" w:type="dxa"/>
            <w:vAlign w:val="center"/>
          </w:tcPr>
          <w:p w14:paraId="79B0573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7D0E331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24C9F09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1.1E-03</w:t>
            </w:r>
          </w:p>
        </w:tc>
      </w:tr>
      <w:tr w:rsidR="006A0D5E" w14:paraId="4971E3D6" w14:textId="77777777" w:rsidTr="00E01E7A">
        <w:tc>
          <w:tcPr>
            <w:tcW w:w="3207" w:type="dxa"/>
            <w:vAlign w:val="center"/>
          </w:tcPr>
          <w:p w14:paraId="638E53A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Electric Dryers</w:t>
            </w:r>
          </w:p>
        </w:tc>
        <w:tc>
          <w:tcPr>
            <w:tcW w:w="1193" w:type="dxa"/>
            <w:vAlign w:val="center"/>
          </w:tcPr>
          <w:p w14:paraId="662B707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13</w:t>
            </w:r>
          </w:p>
        </w:tc>
        <w:tc>
          <w:tcPr>
            <w:tcW w:w="1260" w:type="dxa"/>
            <w:vAlign w:val="center"/>
          </w:tcPr>
          <w:p w14:paraId="2B85DC9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3.7E-03</w:t>
            </w:r>
          </w:p>
        </w:tc>
        <w:tc>
          <w:tcPr>
            <w:tcW w:w="1170" w:type="dxa"/>
            <w:vAlign w:val="center"/>
          </w:tcPr>
          <w:p w14:paraId="496D885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w:t>
            </w:r>
          </w:p>
        </w:tc>
        <w:tc>
          <w:tcPr>
            <w:tcW w:w="3330" w:type="dxa"/>
            <w:vAlign w:val="center"/>
          </w:tcPr>
          <w:p w14:paraId="0A15585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dryers</w:t>
            </w:r>
          </w:p>
        </w:tc>
        <w:tc>
          <w:tcPr>
            <w:tcW w:w="1260" w:type="dxa"/>
            <w:vAlign w:val="center"/>
          </w:tcPr>
          <w:p w14:paraId="6FEBB5E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40AF7CF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275A2CB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1.2E-03</w:t>
            </w:r>
          </w:p>
        </w:tc>
      </w:tr>
      <w:tr w:rsidR="006A0D5E" w14:paraId="19A1333A" w14:textId="77777777" w:rsidTr="00E01E7A">
        <w:tc>
          <w:tcPr>
            <w:tcW w:w="3207" w:type="dxa"/>
            <w:vAlign w:val="center"/>
          </w:tcPr>
          <w:p w14:paraId="313E588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Ventilation Subsystems</w:t>
            </w:r>
          </w:p>
        </w:tc>
        <w:tc>
          <w:tcPr>
            <w:tcW w:w="1193" w:type="dxa"/>
            <w:vAlign w:val="center"/>
          </w:tcPr>
          <w:p w14:paraId="3FD7912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26</w:t>
            </w:r>
          </w:p>
        </w:tc>
        <w:tc>
          <w:tcPr>
            <w:tcW w:w="1260" w:type="dxa"/>
            <w:vAlign w:val="center"/>
          </w:tcPr>
          <w:p w14:paraId="4BE7878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1.6E-02</w:t>
            </w:r>
          </w:p>
        </w:tc>
        <w:tc>
          <w:tcPr>
            <w:tcW w:w="1170" w:type="dxa"/>
            <w:vAlign w:val="center"/>
          </w:tcPr>
          <w:p w14:paraId="0C46955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150</w:t>
            </w:r>
          </w:p>
        </w:tc>
        <w:tc>
          <w:tcPr>
            <w:tcW w:w="3330" w:type="dxa"/>
            <w:vAlign w:val="center"/>
          </w:tcPr>
          <w:p w14:paraId="0ADC01E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major ventilation systems</w:t>
            </w:r>
          </w:p>
        </w:tc>
        <w:tc>
          <w:tcPr>
            <w:tcW w:w="1260" w:type="dxa"/>
            <w:vAlign w:val="center"/>
          </w:tcPr>
          <w:p w14:paraId="35419F7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 or Oil</w:t>
            </w:r>
          </w:p>
        </w:tc>
        <w:tc>
          <w:tcPr>
            <w:tcW w:w="1260" w:type="dxa"/>
            <w:vAlign w:val="center"/>
          </w:tcPr>
          <w:p w14:paraId="3190241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01C5BAF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1.1E-04</w:t>
            </w:r>
          </w:p>
        </w:tc>
      </w:tr>
      <w:tr w:rsidR="006A0D5E" w14:paraId="4D64A921" w14:textId="77777777" w:rsidTr="00E01E7A">
        <w:tc>
          <w:tcPr>
            <w:tcW w:w="13989" w:type="dxa"/>
            <w:gridSpan w:val="8"/>
            <w:vAlign w:val="center"/>
          </w:tcPr>
          <w:p w14:paraId="5836E7BA" w14:textId="77777777" w:rsidR="006A0D5E" w:rsidRPr="00F7507F" w:rsidRDefault="006A0D5E" w:rsidP="00B956B5">
            <w:pPr>
              <w:widowControl/>
              <w:tabs>
                <w:tab w:val="left" w:pos="274"/>
                <w:tab w:val="left" w:pos="806"/>
              </w:tabs>
              <w:autoSpaceDE/>
              <w:autoSpaceDN/>
              <w:adjustRightInd/>
              <w:jc w:val="both"/>
              <w:rPr>
                <w:rFonts w:cs="Arial"/>
                <w:color w:val="000000"/>
                <w:sz w:val="20"/>
                <w:szCs w:val="20"/>
              </w:rPr>
            </w:pPr>
            <w:r w:rsidRPr="00F7507F">
              <w:rPr>
                <w:rFonts w:cs="Arial"/>
                <w:bCs/>
                <w:color w:val="000000"/>
                <w:sz w:val="20"/>
                <w:szCs w:val="20"/>
              </w:rPr>
              <w:t>Pumps:</w:t>
            </w:r>
          </w:p>
        </w:tc>
      </w:tr>
      <w:tr w:rsidR="006A0D5E" w14:paraId="4D3B45E5" w14:textId="77777777" w:rsidTr="00E01E7A">
        <w:tc>
          <w:tcPr>
            <w:tcW w:w="3207" w:type="dxa"/>
            <w:vAlign w:val="center"/>
          </w:tcPr>
          <w:p w14:paraId="29B939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 xml:space="preserve">Reactor Coolant Pump (PWR) </w:t>
            </w:r>
          </w:p>
        </w:tc>
        <w:tc>
          <w:tcPr>
            <w:tcW w:w="1193" w:type="dxa"/>
            <w:vMerge w:val="restart"/>
            <w:vAlign w:val="center"/>
          </w:tcPr>
          <w:p w14:paraId="41E6376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w:t>
            </w:r>
          </w:p>
        </w:tc>
        <w:tc>
          <w:tcPr>
            <w:tcW w:w="1260" w:type="dxa"/>
            <w:vMerge w:val="restart"/>
            <w:vAlign w:val="center"/>
          </w:tcPr>
          <w:p w14:paraId="37E9366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N/A</w:t>
            </w:r>
          </w:p>
        </w:tc>
        <w:tc>
          <w:tcPr>
            <w:tcW w:w="1170" w:type="dxa"/>
            <w:vMerge w:val="restart"/>
            <w:vAlign w:val="center"/>
          </w:tcPr>
          <w:p w14:paraId="08D9C7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N/A</w:t>
            </w:r>
          </w:p>
        </w:tc>
        <w:tc>
          <w:tcPr>
            <w:tcW w:w="3330" w:type="dxa"/>
            <w:vMerge w:val="restart"/>
            <w:vAlign w:val="center"/>
          </w:tcPr>
          <w:p w14:paraId="25CDBD5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reactor coolant pumps</w:t>
            </w:r>
          </w:p>
        </w:tc>
        <w:tc>
          <w:tcPr>
            <w:tcW w:w="1260" w:type="dxa"/>
            <w:vAlign w:val="center"/>
          </w:tcPr>
          <w:p w14:paraId="60E4B03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40499F2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0.14</w:t>
            </w:r>
          </w:p>
        </w:tc>
        <w:tc>
          <w:tcPr>
            <w:tcW w:w="1309" w:type="dxa"/>
            <w:vAlign w:val="center"/>
          </w:tcPr>
          <w:p w14:paraId="636C4FB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1.9E-04</w:t>
            </w:r>
          </w:p>
        </w:tc>
      </w:tr>
      <w:tr w:rsidR="006A0D5E" w14:paraId="0DC97E7B" w14:textId="77777777" w:rsidTr="00E01E7A">
        <w:tc>
          <w:tcPr>
            <w:tcW w:w="3207" w:type="dxa"/>
            <w:vAlign w:val="center"/>
          </w:tcPr>
          <w:p w14:paraId="75F54C4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Reactor Feed Pump (BWR)</w:t>
            </w:r>
          </w:p>
        </w:tc>
        <w:tc>
          <w:tcPr>
            <w:tcW w:w="1193" w:type="dxa"/>
            <w:vMerge/>
            <w:vAlign w:val="center"/>
          </w:tcPr>
          <w:p w14:paraId="5E7C948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6C5A59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Merge/>
            <w:vAlign w:val="center"/>
          </w:tcPr>
          <w:p w14:paraId="612883A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3330" w:type="dxa"/>
            <w:vMerge/>
            <w:vAlign w:val="center"/>
          </w:tcPr>
          <w:p w14:paraId="6A4E825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Align w:val="center"/>
          </w:tcPr>
          <w:p w14:paraId="60EB2F0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3978F1B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0.86</w:t>
            </w:r>
          </w:p>
        </w:tc>
        <w:tc>
          <w:tcPr>
            <w:tcW w:w="1309" w:type="dxa"/>
            <w:vAlign w:val="center"/>
          </w:tcPr>
          <w:p w14:paraId="6FDD09A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1.2E-03</w:t>
            </w:r>
          </w:p>
        </w:tc>
      </w:tr>
      <w:tr w:rsidR="006A0D5E" w14:paraId="6C8217BD" w14:textId="77777777" w:rsidTr="00094856">
        <w:tc>
          <w:tcPr>
            <w:tcW w:w="3207" w:type="dxa"/>
            <w:vMerge w:val="restart"/>
            <w:vAlign w:val="center"/>
          </w:tcPr>
          <w:p w14:paraId="0605EA9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Main Feedwater Pumps</w:t>
            </w:r>
          </w:p>
        </w:tc>
        <w:tc>
          <w:tcPr>
            <w:tcW w:w="1193" w:type="dxa"/>
            <w:vMerge w:val="restart"/>
            <w:vAlign w:val="center"/>
          </w:tcPr>
          <w:p w14:paraId="2C043A6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32</w:t>
            </w:r>
          </w:p>
        </w:tc>
        <w:tc>
          <w:tcPr>
            <w:tcW w:w="1260" w:type="dxa"/>
            <w:vMerge w:val="restart"/>
            <w:vAlign w:val="center"/>
          </w:tcPr>
          <w:p w14:paraId="3942569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N/A</w:t>
            </w:r>
          </w:p>
        </w:tc>
        <w:tc>
          <w:tcPr>
            <w:tcW w:w="1170" w:type="dxa"/>
            <w:vMerge w:val="restart"/>
            <w:vAlign w:val="center"/>
          </w:tcPr>
          <w:p w14:paraId="40FFD2E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N/A</w:t>
            </w:r>
          </w:p>
        </w:tc>
        <w:tc>
          <w:tcPr>
            <w:tcW w:w="3330" w:type="dxa"/>
            <w:vMerge w:val="restart"/>
            <w:vAlign w:val="center"/>
          </w:tcPr>
          <w:p w14:paraId="314A42F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main feedwater pumps</w:t>
            </w:r>
          </w:p>
        </w:tc>
        <w:tc>
          <w:tcPr>
            <w:tcW w:w="1260" w:type="dxa"/>
            <w:vAlign w:val="center"/>
          </w:tcPr>
          <w:p w14:paraId="08F85BF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3AED093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0.11</w:t>
            </w:r>
          </w:p>
        </w:tc>
        <w:tc>
          <w:tcPr>
            <w:tcW w:w="1309" w:type="dxa"/>
            <w:vAlign w:val="center"/>
          </w:tcPr>
          <w:p w14:paraId="32867D4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4.8E-04</w:t>
            </w:r>
          </w:p>
        </w:tc>
      </w:tr>
      <w:tr w:rsidR="006A0D5E" w14:paraId="1BD3DB33" w14:textId="77777777" w:rsidTr="00094856">
        <w:tc>
          <w:tcPr>
            <w:tcW w:w="3207" w:type="dxa"/>
            <w:vMerge/>
            <w:vAlign w:val="center"/>
          </w:tcPr>
          <w:p w14:paraId="55D597E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p>
        </w:tc>
        <w:tc>
          <w:tcPr>
            <w:tcW w:w="1193" w:type="dxa"/>
            <w:vMerge/>
            <w:vAlign w:val="center"/>
          </w:tcPr>
          <w:p w14:paraId="7E318EF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4E47C62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Merge/>
            <w:vAlign w:val="center"/>
          </w:tcPr>
          <w:p w14:paraId="328A517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3330" w:type="dxa"/>
            <w:vMerge/>
            <w:vAlign w:val="center"/>
          </w:tcPr>
          <w:p w14:paraId="7F630C2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Align w:val="center"/>
          </w:tcPr>
          <w:p w14:paraId="15D6258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536ACBD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0.89</w:t>
            </w:r>
          </w:p>
        </w:tc>
        <w:tc>
          <w:tcPr>
            <w:tcW w:w="1309" w:type="dxa"/>
            <w:vAlign w:val="center"/>
          </w:tcPr>
          <w:p w14:paraId="431BC7F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3.9E-03</w:t>
            </w:r>
          </w:p>
        </w:tc>
      </w:tr>
      <w:tr w:rsidR="006A0D5E" w14:paraId="40F6016B" w14:textId="77777777" w:rsidTr="00094856">
        <w:tc>
          <w:tcPr>
            <w:tcW w:w="3207" w:type="dxa"/>
            <w:vMerge w:val="restart"/>
            <w:vAlign w:val="center"/>
          </w:tcPr>
          <w:p w14:paraId="298D066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Other Pumps</w:t>
            </w:r>
          </w:p>
        </w:tc>
        <w:tc>
          <w:tcPr>
            <w:tcW w:w="1193" w:type="dxa"/>
            <w:vMerge w:val="restart"/>
            <w:vAlign w:val="center"/>
          </w:tcPr>
          <w:p w14:paraId="223B4CD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21</w:t>
            </w:r>
          </w:p>
        </w:tc>
        <w:tc>
          <w:tcPr>
            <w:tcW w:w="1260" w:type="dxa"/>
            <w:vMerge w:val="restart"/>
            <w:vAlign w:val="center"/>
          </w:tcPr>
          <w:p w14:paraId="57FFF9D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2.7E-02</w:t>
            </w:r>
          </w:p>
        </w:tc>
        <w:tc>
          <w:tcPr>
            <w:tcW w:w="1170" w:type="dxa"/>
            <w:vMerge w:val="restart"/>
            <w:vAlign w:val="center"/>
          </w:tcPr>
          <w:p w14:paraId="1220CB9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90</w:t>
            </w:r>
          </w:p>
        </w:tc>
        <w:tc>
          <w:tcPr>
            <w:tcW w:w="3330" w:type="dxa"/>
            <w:vMerge w:val="restart"/>
            <w:vAlign w:val="center"/>
          </w:tcPr>
          <w:p w14:paraId="0F2ECD2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other pumps</w:t>
            </w:r>
          </w:p>
        </w:tc>
        <w:tc>
          <w:tcPr>
            <w:tcW w:w="1260" w:type="dxa"/>
            <w:vAlign w:val="center"/>
          </w:tcPr>
          <w:p w14:paraId="11800EB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78C1E80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0.54</w:t>
            </w:r>
          </w:p>
        </w:tc>
        <w:tc>
          <w:tcPr>
            <w:tcW w:w="1309" w:type="dxa"/>
            <w:vAlign w:val="center"/>
          </w:tcPr>
          <w:p w14:paraId="41F0764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1.6E-04</w:t>
            </w:r>
          </w:p>
        </w:tc>
      </w:tr>
      <w:tr w:rsidR="006A0D5E" w14:paraId="42899675" w14:textId="77777777" w:rsidTr="00094856">
        <w:tc>
          <w:tcPr>
            <w:tcW w:w="3207" w:type="dxa"/>
            <w:vMerge/>
            <w:vAlign w:val="center"/>
          </w:tcPr>
          <w:p w14:paraId="38A1433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193" w:type="dxa"/>
            <w:vMerge/>
            <w:vAlign w:val="center"/>
          </w:tcPr>
          <w:p w14:paraId="1D9D14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2E3061A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Merge/>
            <w:vAlign w:val="center"/>
          </w:tcPr>
          <w:p w14:paraId="111E63B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3330" w:type="dxa"/>
            <w:vMerge/>
            <w:vAlign w:val="center"/>
          </w:tcPr>
          <w:p w14:paraId="55E316A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Align w:val="center"/>
          </w:tcPr>
          <w:p w14:paraId="03E7E11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71B3684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0.46</w:t>
            </w:r>
          </w:p>
        </w:tc>
        <w:tc>
          <w:tcPr>
            <w:tcW w:w="1309" w:type="dxa"/>
            <w:vAlign w:val="center"/>
          </w:tcPr>
          <w:p w14:paraId="0AB450B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1.4E-04</w:t>
            </w:r>
          </w:p>
        </w:tc>
      </w:tr>
      <w:tr w:rsidR="006A0D5E" w14:paraId="3503EFAA" w14:textId="77777777" w:rsidTr="00094856">
        <w:tc>
          <w:tcPr>
            <w:tcW w:w="13989" w:type="dxa"/>
            <w:gridSpan w:val="8"/>
            <w:vAlign w:val="center"/>
          </w:tcPr>
          <w:p w14:paraId="335DEAC2" w14:textId="77777777" w:rsidR="006A0D5E" w:rsidRPr="00F7507F" w:rsidRDefault="006A0D5E" w:rsidP="00B956B5">
            <w:pPr>
              <w:widowControl/>
              <w:tabs>
                <w:tab w:val="left" w:pos="274"/>
                <w:tab w:val="left" w:pos="806"/>
              </w:tabs>
              <w:autoSpaceDE/>
              <w:autoSpaceDN/>
              <w:adjustRightInd/>
              <w:jc w:val="both"/>
              <w:rPr>
                <w:rFonts w:cs="Arial"/>
                <w:bCs/>
                <w:color w:val="000000"/>
                <w:sz w:val="20"/>
                <w:szCs w:val="20"/>
              </w:rPr>
            </w:pPr>
            <w:r w:rsidRPr="00F7507F">
              <w:rPr>
                <w:rFonts w:cs="Arial"/>
                <w:bCs/>
                <w:color w:val="000000"/>
                <w:sz w:val="20"/>
                <w:szCs w:val="20"/>
              </w:rPr>
              <w:t>Transformers:</w:t>
            </w:r>
          </w:p>
        </w:tc>
      </w:tr>
      <w:tr w:rsidR="006A0D5E" w14:paraId="670742CC" w14:textId="77777777" w:rsidTr="00094856">
        <w:tc>
          <w:tcPr>
            <w:tcW w:w="3207" w:type="dxa"/>
            <w:vAlign w:val="center"/>
          </w:tcPr>
          <w:p w14:paraId="730E28C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Outdoor/Yard</w:t>
            </w:r>
          </w:p>
        </w:tc>
        <w:tc>
          <w:tcPr>
            <w:tcW w:w="1193" w:type="dxa"/>
            <w:vAlign w:val="center"/>
          </w:tcPr>
          <w:p w14:paraId="013EE98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27, 28, 29</w:t>
            </w:r>
          </w:p>
        </w:tc>
        <w:tc>
          <w:tcPr>
            <w:tcW w:w="1260" w:type="dxa"/>
            <w:vAlign w:val="center"/>
          </w:tcPr>
          <w:p w14:paraId="6590CEE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1.7E-02</w:t>
            </w:r>
          </w:p>
        </w:tc>
        <w:tc>
          <w:tcPr>
            <w:tcW w:w="1170" w:type="dxa"/>
            <w:vAlign w:val="center"/>
          </w:tcPr>
          <w:p w14:paraId="7F5E7A5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6</w:t>
            </w:r>
          </w:p>
        </w:tc>
        <w:tc>
          <w:tcPr>
            <w:tcW w:w="3330" w:type="dxa"/>
            <w:vAlign w:val="center"/>
          </w:tcPr>
          <w:p w14:paraId="66883BA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outdoor transformers</w:t>
            </w:r>
          </w:p>
        </w:tc>
        <w:tc>
          <w:tcPr>
            <w:tcW w:w="1260" w:type="dxa"/>
            <w:vAlign w:val="center"/>
          </w:tcPr>
          <w:p w14:paraId="1365BD8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El./Oil</w:t>
            </w:r>
          </w:p>
        </w:tc>
        <w:tc>
          <w:tcPr>
            <w:tcW w:w="1260" w:type="dxa"/>
            <w:vAlign w:val="center"/>
          </w:tcPr>
          <w:p w14:paraId="4123C20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13D82B7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2.8E-03</w:t>
            </w:r>
          </w:p>
        </w:tc>
      </w:tr>
      <w:tr w:rsidR="006A0D5E" w14:paraId="7A9D52A7" w14:textId="77777777" w:rsidTr="00094856">
        <w:tc>
          <w:tcPr>
            <w:tcW w:w="3207" w:type="dxa"/>
            <w:vMerge w:val="restart"/>
            <w:vAlign w:val="center"/>
          </w:tcPr>
          <w:p w14:paraId="1C9A878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Indoor Dry and Oil-Filled</w:t>
            </w:r>
          </w:p>
        </w:tc>
        <w:tc>
          <w:tcPr>
            <w:tcW w:w="1193" w:type="dxa"/>
            <w:vMerge w:val="restart"/>
            <w:vAlign w:val="center"/>
          </w:tcPr>
          <w:p w14:paraId="6F4DB30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23</w:t>
            </w:r>
          </w:p>
        </w:tc>
        <w:tc>
          <w:tcPr>
            <w:tcW w:w="1260" w:type="dxa"/>
            <w:vMerge w:val="restart"/>
            <w:vAlign w:val="center"/>
          </w:tcPr>
          <w:p w14:paraId="12D94EB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9.6E-03</w:t>
            </w:r>
          </w:p>
        </w:tc>
        <w:tc>
          <w:tcPr>
            <w:tcW w:w="1170" w:type="dxa"/>
            <w:vMerge w:val="restart"/>
            <w:vAlign w:val="center"/>
          </w:tcPr>
          <w:p w14:paraId="35AC6C4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60</w:t>
            </w:r>
          </w:p>
        </w:tc>
        <w:tc>
          <w:tcPr>
            <w:tcW w:w="3330" w:type="dxa"/>
            <w:vAlign w:val="center"/>
          </w:tcPr>
          <w:p w14:paraId="32C2144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indoor dry transformers</w:t>
            </w:r>
          </w:p>
        </w:tc>
        <w:tc>
          <w:tcPr>
            <w:tcW w:w="1260" w:type="dxa"/>
            <w:vAlign w:val="center"/>
          </w:tcPr>
          <w:p w14:paraId="5A904AF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6C98026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1E9FFC4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1.6E-04</w:t>
            </w:r>
          </w:p>
        </w:tc>
      </w:tr>
      <w:tr w:rsidR="006A0D5E" w14:paraId="50A64077" w14:textId="77777777" w:rsidTr="00094856">
        <w:tc>
          <w:tcPr>
            <w:tcW w:w="3207" w:type="dxa"/>
            <w:vMerge/>
            <w:vAlign w:val="center"/>
          </w:tcPr>
          <w:p w14:paraId="0078D95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193" w:type="dxa"/>
            <w:vMerge/>
            <w:vAlign w:val="center"/>
          </w:tcPr>
          <w:p w14:paraId="37369E1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Merge/>
            <w:vAlign w:val="center"/>
          </w:tcPr>
          <w:p w14:paraId="455AEC9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170" w:type="dxa"/>
            <w:vMerge/>
            <w:vAlign w:val="center"/>
          </w:tcPr>
          <w:p w14:paraId="4C33FA5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3330" w:type="dxa"/>
            <w:vAlign w:val="center"/>
          </w:tcPr>
          <w:p w14:paraId="01176A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indoor oil-filled transformers</w:t>
            </w:r>
          </w:p>
        </w:tc>
        <w:tc>
          <w:tcPr>
            <w:tcW w:w="1260" w:type="dxa"/>
            <w:vAlign w:val="center"/>
          </w:tcPr>
          <w:p w14:paraId="7A63E92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65F45E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6ADA381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1.6E-04</w:t>
            </w:r>
          </w:p>
        </w:tc>
      </w:tr>
      <w:tr w:rsidR="006A0D5E" w14:paraId="5319D5A8" w14:textId="77777777" w:rsidTr="00094856">
        <w:tc>
          <w:tcPr>
            <w:tcW w:w="13989" w:type="dxa"/>
            <w:gridSpan w:val="8"/>
            <w:vAlign w:val="center"/>
          </w:tcPr>
          <w:p w14:paraId="1503EFF9" w14:textId="77777777" w:rsidR="006A0D5E" w:rsidRPr="00F7507F" w:rsidRDefault="006A0D5E" w:rsidP="00B956B5">
            <w:pPr>
              <w:widowControl/>
              <w:tabs>
                <w:tab w:val="left" w:pos="274"/>
                <w:tab w:val="left" w:pos="806"/>
              </w:tabs>
              <w:autoSpaceDE/>
              <w:autoSpaceDN/>
              <w:adjustRightInd/>
              <w:jc w:val="both"/>
              <w:rPr>
                <w:rFonts w:cs="Arial"/>
                <w:bCs/>
                <w:color w:val="000000"/>
                <w:sz w:val="20"/>
                <w:szCs w:val="20"/>
              </w:rPr>
            </w:pPr>
            <w:r w:rsidRPr="00F7507F">
              <w:rPr>
                <w:rFonts w:cs="Arial"/>
                <w:bCs/>
                <w:color w:val="000000"/>
                <w:sz w:val="20"/>
                <w:szCs w:val="20"/>
              </w:rPr>
              <w:t>Transient Fuels:</w:t>
            </w:r>
          </w:p>
        </w:tc>
      </w:tr>
      <w:tr w:rsidR="006A0D5E" w14:paraId="55C066C2" w14:textId="77777777" w:rsidTr="00094856">
        <w:tc>
          <w:tcPr>
            <w:tcW w:w="3207" w:type="dxa"/>
            <w:vAlign w:val="center"/>
          </w:tcPr>
          <w:p w14:paraId="212682B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Transients – Low</w:t>
            </w:r>
          </w:p>
        </w:tc>
        <w:tc>
          <w:tcPr>
            <w:tcW w:w="1193" w:type="dxa"/>
            <w:vMerge w:val="restart"/>
            <w:vAlign w:val="center"/>
          </w:tcPr>
          <w:p w14:paraId="5D70B96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3, 7,</w:t>
            </w:r>
          </w:p>
          <w:p w14:paraId="4884D2D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25, 37</w:t>
            </w:r>
          </w:p>
        </w:tc>
        <w:tc>
          <w:tcPr>
            <w:tcW w:w="1260" w:type="dxa"/>
            <w:vMerge w:val="restart"/>
            <w:vAlign w:val="center"/>
          </w:tcPr>
          <w:p w14:paraId="2A98A38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1.9E-02</w:t>
            </w:r>
          </w:p>
        </w:tc>
        <w:tc>
          <w:tcPr>
            <w:tcW w:w="1170" w:type="dxa"/>
            <w:vAlign w:val="center"/>
          </w:tcPr>
          <w:p w14:paraId="3CC702D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w:t>
            </w:r>
          </w:p>
        </w:tc>
        <w:tc>
          <w:tcPr>
            <w:tcW w:w="3330" w:type="dxa"/>
            <w:vAlign w:val="center"/>
          </w:tcPr>
          <w:p w14:paraId="39C572F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low fire areas</w:t>
            </w:r>
          </w:p>
        </w:tc>
        <w:tc>
          <w:tcPr>
            <w:tcW w:w="1260" w:type="dxa"/>
            <w:vAlign w:val="center"/>
          </w:tcPr>
          <w:p w14:paraId="66D8145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0A90562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0.025</w:t>
            </w:r>
          </w:p>
        </w:tc>
        <w:tc>
          <w:tcPr>
            <w:tcW w:w="1309" w:type="dxa"/>
            <w:vAlign w:val="center"/>
          </w:tcPr>
          <w:p w14:paraId="5E469B4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4.7E-05</w:t>
            </w:r>
          </w:p>
        </w:tc>
      </w:tr>
      <w:tr w:rsidR="006A0D5E" w14:paraId="65D96DB2" w14:textId="77777777" w:rsidTr="00094856">
        <w:tc>
          <w:tcPr>
            <w:tcW w:w="3207" w:type="dxa"/>
            <w:vAlign w:val="center"/>
          </w:tcPr>
          <w:p w14:paraId="51330A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Transients – Medium</w:t>
            </w:r>
          </w:p>
        </w:tc>
        <w:tc>
          <w:tcPr>
            <w:tcW w:w="1193" w:type="dxa"/>
            <w:vMerge/>
            <w:vAlign w:val="center"/>
          </w:tcPr>
          <w:p w14:paraId="2E26AB2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1C813BD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Align w:val="center"/>
          </w:tcPr>
          <w:p w14:paraId="24E212F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30</w:t>
            </w:r>
          </w:p>
        </w:tc>
        <w:tc>
          <w:tcPr>
            <w:tcW w:w="3330" w:type="dxa"/>
            <w:vAlign w:val="center"/>
          </w:tcPr>
          <w:p w14:paraId="0FFEF98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moderate fire areas</w:t>
            </w:r>
          </w:p>
        </w:tc>
        <w:tc>
          <w:tcPr>
            <w:tcW w:w="1260" w:type="dxa"/>
            <w:vAlign w:val="center"/>
          </w:tcPr>
          <w:p w14:paraId="43B7A1C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76C66B8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0.225</w:t>
            </w:r>
          </w:p>
        </w:tc>
        <w:tc>
          <w:tcPr>
            <w:tcW w:w="1309" w:type="dxa"/>
            <w:vAlign w:val="center"/>
          </w:tcPr>
          <w:p w14:paraId="35179C7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1.4E-04</w:t>
            </w:r>
          </w:p>
        </w:tc>
      </w:tr>
      <w:tr w:rsidR="006A0D5E" w14:paraId="7D97489C" w14:textId="77777777" w:rsidTr="00094856">
        <w:tc>
          <w:tcPr>
            <w:tcW w:w="3207" w:type="dxa"/>
            <w:vAlign w:val="center"/>
          </w:tcPr>
          <w:p w14:paraId="61522CE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Transients – High</w:t>
            </w:r>
          </w:p>
        </w:tc>
        <w:tc>
          <w:tcPr>
            <w:tcW w:w="1193" w:type="dxa"/>
            <w:vMerge/>
            <w:vAlign w:val="center"/>
          </w:tcPr>
          <w:p w14:paraId="2891F26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020C909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Align w:val="center"/>
          </w:tcPr>
          <w:p w14:paraId="3713B56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w:t>
            </w:r>
          </w:p>
        </w:tc>
        <w:tc>
          <w:tcPr>
            <w:tcW w:w="3330" w:type="dxa"/>
            <w:vAlign w:val="center"/>
          </w:tcPr>
          <w:p w14:paraId="0A23851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high fire areas</w:t>
            </w:r>
          </w:p>
        </w:tc>
        <w:tc>
          <w:tcPr>
            <w:tcW w:w="1260" w:type="dxa"/>
            <w:vAlign w:val="center"/>
          </w:tcPr>
          <w:p w14:paraId="0FB4BAB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236ABFC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0.750</w:t>
            </w:r>
          </w:p>
        </w:tc>
        <w:tc>
          <w:tcPr>
            <w:tcW w:w="1309" w:type="dxa"/>
            <w:vAlign w:val="center"/>
          </w:tcPr>
          <w:p w14:paraId="514C77A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1.4E-03</w:t>
            </w:r>
          </w:p>
        </w:tc>
      </w:tr>
      <w:tr w:rsidR="006A0D5E" w14:paraId="625B221F" w14:textId="77777777" w:rsidTr="00094856">
        <w:tc>
          <w:tcPr>
            <w:tcW w:w="13989" w:type="dxa"/>
            <w:gridSpan w:val="8"/>
            <w:vAlign w:val="center"/>
          </w:tcPr>
          <w:p w14:paraId="2FC98E0C" w14:textId="77777777" w:rsidR="006A0D5E" w:rsidRPr="00F7507F" w:rsidRDefault="006A0D5E" w:rsidP="00B956B5">
            <w:pPr>
              <w:widowControl/>
              <w:tabs>
                <w:tab w:val="left" w:pos="274"/>
                <w:tab w:val="left" w:pos="806"/>
              </w:tabs>
              <w:autoSpaceDE/>
              <w:autoSpaceDN/>
              <w:adjustRightInd/>
              <w:jc w:val="both"/>
              <w:rPr>
                <w:rFonts w:cs="Arial"/>
                <w:bCs/>
                <w:color w:val="000000"/>
                <w:sz w:val="20"/>
                <w:szCs w:val="20"/>
              </w:rPr>
            </w:pPr>
            <w:r w:rsidRPr="00F7507F">
              <w:rPr>
                <w:rFonts w:cs="Arial"/>
                <w:bCs/>
                <w:color w:val="000000"/>
                <w:sz w:val="20"/>
                <w:szCs w:val="20"/>
              </w:rPr>
              <w:t>Ignition Sources Requiring Total Plant Unit Count Estimates:</w:t>
            </w:r>
          </w:p>
        </w:tc>
      </w:tr>
      <w:tr w:rsidR="006A0D5E" w14:paraId="39102324" w14:textId="77777777" w:rsidTr="00E01E7A">
        <w:tc>
          <w:tcPr>
            <w:tcW w:w="3207" w:type="dxa"/>
            <w:tcBorders>
              <w:bottom w:val="single" w:sz="8" w:space="0" w:color="auto"/>
            </w:tcBorders>
            <w:vAlign w:val="center"/>
          </w:tcPr>
          <w:p w14:paraId="5D38EF3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Battery Chargers</w:t>
            </w:r>
          </w:p>
        </w:tc>
        <w:tc>
          <w:tcPr>
            <w:tcW w:w="1193" w:type="dxa"/>
            <w:vAlign w:val="center"/>
          </w:tcPr>
          <w:p w14:paraId="6C3D85F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w:t>
            </w:r>
          </w:p>
        </w:tc>
        <w:tc>
          <w:tcPr>
            <w:tcW w:w="1260" w:type="dxa"/>
            <w:vAlign w:val="center"/>
          </w:tcPr>
          <w:p w14:paraId="0F493A0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1.1E-03</w:t>
            </w:r>
          </w:p>
        </w:tc>
        <w:tc>
          <w:tcPr>
            <w:tcW w:w="1170" w:type="dxa"/>
            <w:vAlign w:val="center"/>
          </w:tcPr>
          <w:p w14:paraId="074434E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c>
          <w:tcPr>
            <w:tcW w:w="3330" w:type="dxa"/>
            <w:vAlign w:val="center"/>
          </w:tcPr>
          <w:p w14:paraId="5EAF30C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battery chargers</w:t>
            </w:r>
          </w:p>
        </w:tc>
        <w:tc>
          <w:tcPr>
            <w:tcW w:w="1260" w:type="dxa"/>
            <w:vAlign w:val="center"/>
          </w:tcPr>
          <w:p w14:paraId="01EF237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4E30C95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40A946D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r>
      <w:tr w:rsidR="006A0D5E" w14:paraId="328F388F" w14:textId="77777777" w:rsidTr="00E01E7A">
        <w:tc>
          <w:tcPr>
            <w:tcW w:w="3207" w:type="dxa"/>
            <w:tcBorders>
              <w:top w:val="single" w:sz="8" w:space="0" w:color="auto"/>
              <w:left w:val="single" w:sz="8" w:space="0" w:color="auto"/>
              <w:bottom w:val="single" w:sz="8" w:space="0" w:color="auto"/>
              <w:right w:val="single" w:sz="8" w:space="0" w:color="auto"/>
            </w:tcBorders>
            <w:vAlign w:val="center"/>
          </w:tcPr>
          <w:p w14:paraId="3B20DEE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Hot Work Cable Fires</w:t>
            </w:r>
          </w:p>
        </w:tc>
        <w:tc>
          <w:tcPr>
            <w:tcW w:w="1193" w:type="dxa"/>
            <w:tcBorders>
              <w:left w:val="single" w:sz="8" w:space="0" w:color="auto"/>
            </w:tcBorders>
            <w:vAlign w:val="center"/>
          </w:tcPr>
          <w:p w14:paraId="771491B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5, 11, 33</w:t>
            </w:r>
          </w:p>
        </w:tc>
        <w:tc>
          <w:tcPr>
            <w:tcW w:w="1260" w:type="dxa"/>
            <w:vAlign w:val="center"/>
          </w:tcPr>
          <w:p w14:paraId="6B2824F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1.4E-03</w:t>
            </w:r>
          </w:p>
        </w:tc>
        <w:tc>
          <w:tcPr>
            <w:tcW w:w="1170" w:type="dxa"/>
            <w:vAlign w:val="center"/>
          </w:tcPr>
          <w:p w14:paraId="7E1E731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c>
          <w:tcPr>
            <w:tcW w:w="3330" w:type="dxa"/>
            <w:vAlign w:val="center"/>
          </w:tcPr>
          <w:p w14:paraId="71321A1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Consult with regional/HQ staff</w:t>
            </w:r>
          </w:p>
        </w:tc>
        <w:tc>
          <w:tcPr>
            <w:tcW w:w="1260" w:type="dxa"/>
            <w:vAlign w:val="center"/>
          </w:tcPr>
          <w:p w14:paraId="2A1FAB0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1BF0770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c>
          <w:tcPr>
            <w:tcW w:w="1309" w:type="dxa"/>
            <w:vAlign w:val="center"/>
          </w:tcPr>
          <w:p w14:paraId="7312C7F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r>
      <w:tr w:rsidR="006A0D5E" w14:paraId="026F1F82" w14:textId="77777777" w:rsidTr="00E01E7A">
        <w:tc>
          <w:tcPr>
            <w:tcW w:w="3207" w:type="dxa"/>
            <w:tcBorders>
              <w:top w:val="single" w:sz="8" w:space="0" w:color="auto"/>
              <w:left w:val="single" w:sz="8" w:space="0" w:color="auto"/>
              <w:bottom w:val="single" w:sz="8" w:space="0" w:color="auto"/>
              <w:right w:val="single" w:sz="8" w:space="0" w:color="auto"/>
            </w:tcBorders>
            <w:vAlign w:val="center"/>
          </w:tcPr>
          <w:p w14:paraId="3B79A55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Junction Boxes</w:t>
            </w:r>
          </w:p>
        </w:tc>
        <w:tc>
          <w:tcPr>
            <w:tcW w:w="1193" w:type="dxa"/>
            <w:tcBorders>
              <w:left w:val="single" w:sz="8" w:space="0" w:color="auto"/>
            </w:tcBorders>
            <w:vAlign w:val="center"/>
          </w:tcPr>
          <w:p w14:paraId="44C8907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18</w:t>
            </w:r>
          </w:p>
        </w:tc>
        <w:tc>
          <w:tcPr>
            <w:tcW w:w="1260" w:type="dxa"/>
            <w:vAlign w:val="center"/>
          </w:tcPr>
          <w:p w14:paraId="5D5BC06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3.6E-03</w:t>
            </w:r>
          </w:p>
        </w:tc>
        <w:tc>
          <w:tcPr>
            <w:tcW w:w="1170" w:type="dxa"/>
            <w:vAlign w:val="center"/>
          </w:tcPr>
          <w:p w14:paraId="23F0598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c>
          <w:tcPr>
            <w:tcW w:w="3330" w:type="dxa"/>
            <w:vAlign w:val="center"/>
          </w:tcPr>
          <w:p w14:paraId="56A849E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junction boxes</w:t>
            </w:r>
          </w:p>
        </w:tc>
        <w:tc>
          <w:tcPr>
            <w:tcW w:w="1260" w:type="dxa"/>
            <w:vAlign w:val="center"/>
          </w:tcPr>
          <w:p w14:paraId="1128921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5C794E6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34C19B4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r>
    </w:tbl>
    <w:p w14:paraId="10FEFD61" w14:textId="77777777" w:rsidR="000C0A4F" w:rsidRDefault="000C0A4F"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sectPr w:rsidR="000C0A4F" w:rsidSect="009B3736">
          <w:footerReference w:type="default" r:id="rId36"/>
          <w:pgSz w:w="15840" w:h="12240" w:orient="landscape"/>
          <w:pgMar w:top="1440" w:right="720" w:bottom="1440" w:left="720" w:header="720" w:footer="720" w:gutter="0"/>
          <w:cols w:space="720"/>
          <w:noEndnote/>
          <w:docGrid w:linePitch="299"/>
        </w:sectPr>
      </w:pPr>
    </w:p>
    <w:p w14:paraId="5162E3D5" w14:textId="7BB30947" w:rsidR="00CC6DDE" w:rsidRDefault="00CC6DDE" w:rsidP="003026BC">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Pr>
          <w:rFonts w:cs="Arial"/>
          <w:i/>
        </w:rPr>
        <w:lastRenderedPageBreak/>
        <w:t xml:space="preserve">Generic </w:t>
      </w:r>
      <w:r w:rsidRPr="007060EC">
        <w:rPr>
          <w:rFonts w:cs="Arial"/>
          <w:i/>
        </w:rPr>
        <w:t>Ignition Source</w:t>
      </w:r>
      <w:r w:rsidR="00C725F8">
        <w:rPr>
          <w:rFonts w:cs="Arial"/>
        </w:rPr>
        <w:t xml:space="preserve"> - </w:t>
      </w:r>
      <w:r>
        <w:rPr>
          <w:rFonts w:cs="Arial"/>
        </w:rPr>
        <w:t>Each ignition source in the plant is mapped to a generic ignition source.  The first column in Table 6.2.3 lists all generic ignition sources that may need to be considered in a Phase 2 Fire Protection SDP assessment.</w:t>
      </w:r>
    </w:p>
    <w:p w14:paraId="64310942" w14:textId="77F33EA9" w:rsidR="00CC6DDE" w:rsidRDefault="00CC6DDE" w:rsidP="003026BC">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Pr>
          <w:rFonts w:cs="Arial"/>
          <w:i/>
        </w:rPr>
        <w:t>NUREG-2169 Bin(s</w:t>
      </w:r>
      <w:r w:rsidR="00C725F8">
        <w:rPr>
          <w:rFonts w:cs="Arial"/>
          <w:i/>
        </w:rPr>
        <w:t>)</w:t>
      </w:r>
      <w:r w:rsidR="00C725F8">
        <w:rPr>
          <w:rFonts w:cs="Arial"/>
        </w:rPr>
        <w:t xml:space="preserve"> - </w:t>
      </w:r>
      <w:r w:rsidRPr="007060EC">
        <w:rPr>
          <w:rFonts w:cs="Arial"/>
        </w:rPr>
        <w:t xml:space="preserve">The fire ignition sources used in </w:t>
      </w:r>
      <w:r>
        <w:rPr>
          <w:rFonts w:cs="Arial"/>
        </w:rPr>
        <w:t xml:space="preserve">fire </w:t>
      </w:r>
      <w:r w:rsidRPr="007060EC">
        <w:rPr>
          <w:rFonts w:cs="Arial"/>
        </w:rPr>
        <w:t xml:space="preserve">PRAs are divided into groups called bins that represent location, causal, and mechanistic factors deemed important to depict frequencies of initiating fire scenarios at different plants. The generic bin definitions, plant operating mode applicability, and associated frequencies used in </w:t>
      </w:r>
      <w:r>
        <w:rPr>
          <w:rFonts w:cs="Arial"/>
        </w:rPr>
        <w:t xml:space="preserve">fire </w:t>
      </w:r>
      <w:r w:rsidRPr="007060EC">
        <w:rPr>
          <w:rFonts w:cs="Arial"/>
        </w:rPr>
        <w:t xml:space="preserve">PRAs were originally developed and provided in </w:t>
      </w:r>
      <w:r w:rsidR="00C725F8" w:rsidRPr="00C725F8">
        <w:rPr>
          <w:rFonts w:cs="Arial"/>
        </w:rPr>
        <w:t xml:space="preserve">NUREG/CR-6850 </w:t>
      </w:r>
      <w:r w:rsidR="00C725F8">
        <w:rPr>
          <w:rFonts w:cs="Arial"/>
        </w:rPr>
        <w:t>(</w:t>
      </w:r>
      <w:r w:rsidR="00A24E94">
        <w:rPr>
          <w:rFonts w:cs="Arial"/>
        </w:rPr>
        <w:t>Reference 8</w:t>
      </w:r>
      <w:r w:rsidR="00C725F8">
        <w:rPr>
          <w:rFonts w:cs="Arial"/>
        </w:rPr>
        <w:t>)</w:t>
      </w:r>
      <w:r w:rsidRPr="007060EC">
        <w:rPr>
          <w:rFonts w:cs="Arial"/>
        </w:rPr>
        <w:t>.</w:t>
      </w:r>
      <w:r>
        <w:rPr>
          <w:rFonts w:cs="Arial"/>
        </w:rPr>
        <w:t xml:space="preserve">  Most generic ignition sources are in a single bin, but some are assigned to multiple bins.  The second column in Table 6.2.3 lists the applicable bin(s) for the corresponding generic ignition source in the first column.</w:t>
      </w:r>
    </w:p>
    <w:p w14:paraId="67A79D56" w14:textId="49B7D63A" w:rsidR="00CC6DDE" w:rsidRPr="007060EC" w:rsidRDefault="00CC6DDE" w:rsidP="003026BC">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0B16E6">
        <w:rPr>
          <w:rFonts w:cs="Arial"/>
          <w:i/>
        </w:rPr>
        <w:t>Plant-wide Frequency</w:t>
      </w:r>
      <w:r w:rsidR="00C725F8">
        <w:rPr>
          <w:rFonts w:cs="Arial"/>
        </w:rPr>
        <w:t xml:space="preserve"> - </w:t>
      </w:r>
      <w:r>
        <w:rPr>
          <w:rFonts w:cs="Arial"/>
        </w:rPr>
        <w:t xml:space="preserve">To obtain the total plant-wide fire frequency for a generic ignition source, the fire ignition frequencies are summed for all bins </w:t>
      </w:r>
      <w:r w:rsidR="004F4B01">
        <w:rPr>
          <w:rFonts w:cs="Arial"/>
        </w:rPr>
        <w:t xml:space="preserve">to which </w:t>
      </w:r>
      <w:r>
        <w:rPr>
          <w:rFonts w:cs="Arial"/>
        </w:rPr>
        <w:t xml:space="preserve">the ignition source is assigned.  Note that 56% of the frequency for bin 3 contributes to the plant-wide frequency for transient fires caused by hot work, while the remaining 44% contributes to the plant-wide frequency </w:t>
      </w:r>
      <w:r w:rsidR="00862A04">
        <w:rPr>
          <w:rFonts w:cs="Arial"/>
        </w:rPr>
        <w:t>of transient fires.  The 0.44/0.</w:t>
      </w:r>
      <w:r>
        <w:rPr>
          <w:rFonts w:cs="Arial"/>
        </w:rPr>
        <w:t xml:space="preserve">56 split fractions are specified in </w:t>
      </w:r>
      <w:r w:rsidR="00C725F8" w:rsidRPr="00C725F8">
        <w:rPr>
          <w:rFonts w:cs="Arial"/>
        </w:rPr>
        <w:t xml:space="preserve">NUREG/CR-6850 </w:t>
      </w:r>
      <w:r w:rsidR="00C725F8">
        <w:rPr>
          <w:rFonts w:cs="Arial"/>
        </w:rPr>
        <w:t>(</w:t>
      </w:r>
      <w:r w:rsidR="00A24E94">
        <w:rPr>
          <w:rFonts w:cs="Arial"/>
        </w:rPr>
        <w:t>Reference 8</w:t>
      </w:r>
      <w:r w:rsidR="00C725F8">
        <w:rPr>
          <w:rFonts w:cs="Arial"/>
        </w:rPr>
        <w:t>)</w:t>
      </w:r>
      <w:r>
        <w:rPr>
          <w:rFonts w:cs="Arial"/>
        </w:rPr>
        <w:t xml:space="preserve">, Section 6.3.1, Table 6-1.  The fire frequencies for each bin are taken from </w:t>
      </w:r>
      <w:r w:rsidR="004155E6">
        <w:rPr>
          <w:rFonts w:cs="Arial"/>
        </w:rPr>
        <w:t>NUREG-2169 (</w:t>
      </w:r>
      <w:r w:rsidR="008A3764">
        <w:rPr>
          <w:rFonts w:cs="Arial"/>
        </w:rPr>
        <w:t>Reference 15</w:t>
      </w:r>
      <w:r w:rsidR="004155E6">
        <w:rPr>
          <w:rFonts w:cs="Arial"/>
        </w:rPr>
        <w:t>)</w:t>
      </w:r>
      <w:r>
        <w:rPr>
          <w:rFonts w:cs="Arial"/>
        </w:rPr>
        <w:t xml:space="preserve">, Section 4.2, Table 4-6, which is based on the U.S. NPP fire event experience through 2009. </w:t>
      </w:r>
    </w:p>
    <w:p w14:paraId="0E6D3217" w14:textId="2CA23A3A" w:rsidR="00CC6DDE" w:rsidRDefault="00CC6DDE" w:rsidP="003026BC">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0B16E6">
        <w:rPr>
          <w:rFonts w:cs="Arial"/>
          <w:i/>
        </w:rPr>
        <w:t xml:space="preserve">Plant-wide </w:t>
      </w:r>
      <w:r>
        <w:rPr>
          <w:rFonts w:cs="Arial"/>
          <w:i/>
        </w:rPr>
        <w:t>Count</w:t>
      </w:r>
      <w:r w:rsidR="00C725F8">
        <w:rPr>
          <w:rFonts w:cs="Arial"/>
        </w:rPr>
        <w:t xml:space="preserve"> - </w:t>
      </w:r>
      <w:r>
        <w:rPr>
          <w:rFonts w:cs="Arial"/>
        </w:rPr>
        <w:t xml:space="preserve">This column lists </w:t>
      </w:r>
      <w:r w:rsidRPr="00C70CAC">
        <w:rPr>
          <w:rFonts w:cs="Arial"/>
        </w:rPr>
        <w:t xml:space="preserve">the assumed generic component counts for a </w:t>
      </w:r>
      <w:r>
        <w:rPr>
          <w:rFonts w:cs="Arial"/>
        </w:rPr>
        <w:t>“</w:t>
      </w:r>
      <w:r w:rsidRPr="00C70CAC">
        <w:rPr>
          <w:rFonts w:cs="Arial"/>
        </w:rPr>
        <w:t>typical</w:t>
      </w:r>
      <w:r>
        <w:rPr>
          <w:rFonts w:cs="Arial"/>
        </w:rPr>
        <w:t>”</w:t>
      </w:r>
      <w:r w:rsidRPr="00C70CAC">
        <w:rPr>
          <w:rFonts w:cs="Arial"/>
        </w:rPr>
        <w:t xml:space="preserve"> plant</w:t>
      </w:r>
      <w:r>
        <w:rPr>
          <w:rFonts w:cs="Arial"/>
        </w:rPr>
        <w:t>.  The basis for these estimates is as follows:</w:t>
      </w:r>
    </w:p>
    <w:p w14:paraId="0E276111" w14:textId="77777777" w:rsidR="00CC6DDE" w:rsidRDefault="00CC6DDE" w:rsidP="003026BC">
      <w:pPr>
        <w:pStyle w:val="ListParagraph"/>
        <w:widowControl/>
        <w:numPr>
          <w:ilvl w:val="6"/>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rPr>
      </w:pPr>
      <w:r>
        <w:rPr>
          <w:rFonts w:cs="Arial"/>
        </w:rPr>
        <w:t>The average count of electrical cabinets that are subjected to HEAFs is based on experience from the NFPA 805 transition process.</w:t>
      </w:r>
    </w:p>
    <w:p w14:paraId="17C3924F" w14:textId="58C35651" w:rsidR="00CC6DDE" w:rsidRDefault="00CC6DDE" w:rsidP="003026BC">
      <w:pPr>
        <w:pStyle w:val="ListParagraph"/>
        <w:widowControl/>
        <w:numPr>
          <w:ilvl w:val="6"/>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rPr>
      </w:pPr>
      <w:r>
        <w:rPr>
          <w:rFonts w:cs="Arial"/>
        </w:rPr>
        <w:t>According to Section 7.2.1.2 of</w:t>
      </w:r>
      <w:r w:rsidR="003104FF">
        <w:rPr>
          <w:rFonts w:cs="Arial"/>
        </w:rPr>
        <w:t xml:space="preserve"> Reference 20</w:t>
      </w:r>
      <w:r>
        <w:rPr>
          <w:rFonts w:cs="Arial"/>
        </w:rPr>
        <w:t>, there is a maximum of one iso-phase bus duct per unit.  Consequently, there are only two locations (the ends) where a HEAF can occur.</w:t>
      </w:r>
    </w:p>
    <w:p w14:paraId="44D09EF7" w14:textId="42A1D23D" w:rsidR="00CC6DDE" w:rsidRDefault="00CC6DDE" w:rsidP="003026BC">
      <w:pPr>
        <w:pStyle w:val="ListParagraph"/>
        <w:widowControl/>
        <w:numPr>
          <w:ilvl w:val="6"/>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rPr>
      </w:pPr>
      <w:r>
        <w:rPr>
          <w:rFonts w:cs="Arial"/>
        </w:rPr>
        <w:t>The 2013 Fire Protection SDP specifies an average plant-wide count of six battery banks.  However, several plants have two battery rooms with two battery banks each.  Hence, the plant-wide battery bank count was changed to four, which increase</w:t>
      </w:r>
      <w:r w:rsidR="004F4B01">
        <w:rPr>
          <w:rFonts w:cs="Arial"/>
        </w:rPr>
        <w:t>s</w:t>
      </w:r>
      <w:r>
        <w:rPr>
          <w:rFonts w:cs="Arial"/>
        </w:rPr>
        <w:t xml:space="preserve"> the per component frequency and is therefore more conservative.</w:t>
      </w:r>
    </w:p>
    <w:p w14:paraId="126F4166" w14:textId="03CCFD83" w:rsidR="00CC6DDE" w:rsidRDefault="00CC6DDE" w:rsidP="003026BC">
      <w:pPr>
        <w:pStyle w:val="ListParagraph"/>
        <w:widowControl/>
        <w:numPr>
          <w:ilvl w:val="6"/>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rPr>
      </w:pPr>
      <w:r>
        <w:rPr>
          <w:rFonts w:cs="Arial"/>
        </w:rPr>
        <w:t xml:space="preserve">The frequency for PWR reactor coolant pumps is specified per pump with a 0.14/0.86 electrical/oil fire split fraction per Table 6-1 in </w:t>
      </w:r>
      <w:r w:rsidR="004155E6" w:rsidRPr="004155E6">
        <w:rPr>
          <w:rFonts w:cs="Arial"/>
        </w:rPr>
        <w:t xml:space="preserve">NUREG/CR-6850 </w:t>
      </w:r>
      <w:r w:rsidR="004155E6">
        <w:rPr>
          <w:rFonts w:cs="Arial"/>
        </w:rPr>
        <w:t>(</w:t>
      </w:r>
      <w:r w:rsidR="00A24E94">
        <w:rPr>
          <w:rFonts w:cs="Arial"/>
        </w:rPr>
        <w:t>Reference 8</w:t>
      </w:r>
      <w:r w:rsidR="004155E6">
        <w:rPr>
          <w:rFonts w:cs="Arial"/>
        </w:rPr>
        <w:t>)</w:t>
      </w:r>
      <w:r>
        <w:rPr>
          <w:rFonts w:cs="Arial"/>
        </w:rPr>
        <w:t xml:space="preserve">, Section 6.3.1.  There is no bin specifically for BWR reactor feed pumps, </w:t>
      </w:r>
      <w:r w:rsidR="004F4B01">
        <w:rPr>
          <w:rFonts w:cs="Arial"/>
        </w:rPr>
        <w:t>but</w:t>
      </w:r>
      <w:r>
        <w:rPr>
          <w:rFonts w:cs="Arial"/>
        </w:rPr>
        <w:t xml:space="preserve"> these pumps are of a similar nature and therefore combined with PWR reactor coolant pumps for the purpose of estimating fire frequency.  The weighting factors for main feedwater pumps and other pumps are also based on split fractions in </w:t>
      </w:r>
      <w:r w:rsidR="004155E6" w:rsidRPr="004155E6">
        <w:rPr>
          <w:rFonts w:cs="Arial"/>
        </w:rPr>
        <w:t xml:space="preserve">NUREG/CR-6850 </w:t>
      </w:r>
      <w:r w:rsidR="004155E6">
        <w:rPr>
          <w:rFonts w:cs="Arial"/>
        </w:rPr>
        <w:t>(</w:t>
      </w:r>
      <w:r w:rsidR="00A24E94">
        <w:rPr>
          <w:rFonts w:cs="Arial"/>
        </w:rPr>
        <w:t>Reference 8</w:t>
      </w:r>
      <w:r w:rsidR="004155E6">
        <w:rPr>
          <w:rFonts w:cs="Arial"/>
        </w:rPr>
        <w:t>)</w:t>
      </w:r>
      <w:r>
        <w:rPr>
          <w:rFonts w:cs="Arial"/>
        </w:rPr>
        <w:t xml:space="preserve">, Section 6.3.1, Table 6-1.  The frequency for main feedwater pumps is also specified per unit.  The plant-wide count for other pumps is the same as in the 2013 Fire Protection SDP.  </w:t>
      </w:r>
    </w:p>
    <w:p w14:paraId="512CAD76" w14:textId="77777777" w:rsidR="00CC6DDE" w:rsidRDefault="00CC6DDE" w:rsidP="003026BC">
      <w:pPr>
        <w:pStyle w:val="ListParagraph"/>
        <w:widowControl/>
        <w:numPr>
          <w:ilvl w:val="6"/>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rPr>
      </w:pPr>
      <w:r>
        <w:rPr>
          <w:rFonts w:cs="Arial"/>
        </w:rPr>
        <w:t>Plant-wide unit counts need to be estimated for segmented bust duct HEAFs, battery chargers, hot work cable fires, and junction boxes.</w:t>
      </w:r>
    </w:p>
    <w:p w14:paraId="3A0765AE" w14:textId="2981FEA7" w:rsidR="00CC6DDE" w:rsidRPr="009727DC" w:rsidRDefault="00CC6DDE" w:rsidP="003026BC">
      <w:pPr>
        <w:pStyle w:val="ListParagraph"/>
        <w:widowControl/>
        <w:numPr>
          <w:ilvl w:val="6"/>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rPr>
      </w:pPr>
      <w:r>
        <w:rPr>
          <w:rFonts w:cs="Arial"/>
        </w:rPr>
        <w:t xml:space="preserve">The plant-wide unit counts for the remaining generic ignition sources are based on the plant-wide unit counts specified in the 2013 Fire Protection SDP.  </w:t>
      </w:r>
      <w:r w:rsidRPr="00C70CAC">
        <w:rPr>
          <w:rFonts w:cs="Arial"/>
        </w:rPr>
        <w:t>The</w:t>
      </w:r>
      <w:r>
        <w:rPr>
          <w:rFonts w:cs="Arial"/>
        </w:rPr>
        <w:t>se</w:t>
      </w:r>
      <w:r w:rsidRPr="00C70CAC">
        <w:rPr>
          <w:rFonts w:cs="Arial"/>
        </w:rPr>
        <w:t xml:space="preserve"> generic component counts were generated using information for several plants.  The EPRI </w:t>
      </w:r>
      <w:r w:rsidRPr="00C70CAC">
        <w:rPr>
          <w:rFonts w:cs="Arial"/>
          <w:i/>
          <w:iCs/>
        </w:rPr>
        <w:t>Fire PRA Implementation Guide</w:t>
      </w:r>
      <w:r w:rsidRPr="00C70CAC">
        <w:rPr>
          <w:rFonts w:cs="Arial"/>
        </w:rPr>
        <w:t xml:space="preserve"> provided counts for seven plants based on work performed during the IPEEE analyses.  </w:t>
      </w:r>
      <w:r w:rsidR="00AB1F81">
        <w:rPr>
          <w:rFonts w:cs="Arial"/>
        </w:rPr>
        <w:t>The Nuclear Energy Institute (</w:t>
      </w:r>
      <w:r w:rsidRPr="00C70CAC">
        <w:rPr>
          <w:rFonts w:cs="Arial"/>
        </w:rPr>
        <w:t>NEI</w:t>
      </w:r>
      <w:r w:rsidR="00AB1F81">
        <w:rPr>
          <w:rFonts w:cs="Arial"/>
        </w:rPr>
        <w:t>)</w:t>
      </w:r>
      <w:r w:rsidRPr="00C70CAC">
        <w:rPr>
          <w:rFonts w:cs="Arial"/>
        </w:rPr>
        <w:t xml:space="preserve"> provided counting information for four additional plants as a part of their efforts to support and comment on this revision of the process guidance.  These results contained substantial plant</w:t>
      </w:r>
      <w:r>
        <w:rPr>
          <w:rFonts w:cs="Arial"/>
        </w:rPr>
        <w:t>-</w:t>
      </w:r>
      <w:r w:rsidRPr="00C70CAC">
        <w:rPr>
          <w:rFonts w:cs="Arial"/>
        </w:rPr>
        <w:t>to</w:t>
      </w:r>
      <w:r>
        <w:rPr>
          <w:rFonts w:cs="Arial"/>
        </w:rPr>
        <w:t>-</w:t>
      </w:r>
      <w:r w:rsidRPr="00C70CAC">
        <w:rPr>
          <w:rFonts w:cs="Arial"/>
        </w:rPr>
        <w:t xml:space="preserve">plant variability in some categories.  Discussions with individuals knowledgeable of the counting process revealed that </w:t>
      </w:r>
      <w:r w:rsidRPr="00C70CAC">
        <w:rPr>
          <w:rFonts w:cs="Arial"/>
        </w:rPr>
        <w:lastRenderedPageBreak/>
        <w:t>much of the variability was due to differences of interpretation of the EPRI IPEEE guidance.  A</w:t>
      </w:r>
      <w:r>
        <w:rPr>
          <w:rFonts w:cs="Arial"/>
        </w:rPr>
        <w:t>n</w:t>
      </w:r>
      <w:r w:rsidRPr="00C70CAC">
        <w:rPr>
          <w:rFonts w:cs="Arial"/>
        </w:rPr>
        <w:t xml:space="preserve"> individual plant volunteered to provide component counts using the SDP guidance directly.  These counts were relied upon heavily in establishing the final generic count values.</w:t>
      </w:r>
    </w:p>
    <w:p w14:paraId="1C61D132" w14:textId="66A07DAA" w:rsidR="00CC6DDE" w:rsidRPr="007060EC" w:rsidRDefault="00CC6DDE" w:rsidP="003026BC">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Pr>
          <w:rFonts w:cs="Arial"/>
          <w:i/>
        </w:rPr>
        <w:t>Counting Unit</w:t>
      </w:r>
      <w:r w:rsidR="00C725F8">
        <w:rPr>
          <w:rFonts w:cs="Arial"/>
        </w:rPr>
        <w:t xml:space="preserve"> - </w:t>
      </w:r>
      <w:r>
        <w:rPr>
          <w:rFonts w:cs="Arial"/>
        </w:rPr>
        <w:t>B</w:t>
      </w:r>
      <w:r w:rsidRPr="00C70CAC">
        <w:rPr>
          <w:rFonts w:cs="Arial"/>
        </w:rPr>
        <w:t>rief</w:t>
      </w:r>
      <w:r>
        <w:rPr>
          <w:rFonts w:cs="Arial"/>
        </w:rPr>
        <w:t>ly</w:t>
      </w:r>
      <w:r w:rsidRPr="00C70CAC">
        <w:rPr>
          <w:rFonts w:cs="Arial"/>
        </w:rPr>
        <w:t xml:space="preserve"> descri</w:t>
      </w:r>
      <w:r>
        <w:rPr>
          <w:rFonts w:cs="Arial"/>
        </w:rPr>
        <w:t>bes</w:t>
      </w:r>
      <w:r w:rsidRPr="00C70CAC">
        <w:rPr>
          <w:rFonts w:cs="Arial"/>
        </w:rPr>
        <w:t xml:space="preserve"> how the counting units </w:t>
      </w:r>
      <w:r>
        <w:rPr>
          <w:rFonts w:cs="Arial"/>
        </w:rPr>
        <w:t>a</w:t>
      </w:r>
      <w:r w:rsidRPr="00C70CAC">
        <w:rPr>
          <w:rFonts w:cs="Arial"/>
        </w:rPr>
        <w:t>re defined</w:t>
      </w:r>
      <w:r>
        <w:rPr>
          <w:rFonts w:cs="Arial"/>
        </w:rPr>
        <w:t xml:space="preserve">. </w:t>
      </w:r>
    </w:p>
    <w:p w14:paraId="61177D06" w14:textId="3601BE3F" w:rsidR="00CC6DDE" w:rsidRPr="007060EC" w:rsidRDefault="00CC6DDE" w:rsidP="003026BC">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Pr>
          <w:rFonts w:cs="Arial"/>
          <w:i/>
        </w:rPr>
        <w:t>Fire Type</w:t>
      </w:r>
      <w:r w:rsidR="00C725F8">
        <w:rPr>
          <w:rFonts w:cs="Arial"/>
        </w:rPr>
        <w:t xml:space="preserve"> - </w:t>
      </w:r>
      <w:r>
        <w:rPr>
          <w:rFonts w:cs="Arial"/>
        </w:rPr>
        <w:t xml:space="preserve">Identifies the fire type(s) each ignition source can generate. </w:t>
      </w:r>
    </w:p>
    <w:p w14:paraId="50436B1B" w14:textId="7BEC4868" w:rsidR="00CC6DDE" w:rsidRPr="007060EC" w:rsidRDefault="00CC6DDE" w:rsidP="003026BC">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Pr>
          <w:rFonts w:cs="Arial"/>
          <w:i/>
        </w:rPr>
        <w:t>Weighting Factor</w:t>
      </w:r>
      <w:r w:rsidR="00C725F8">
        <w:rPr>
          <w:rFonts w:cs="Arial"/>
        </w:rPr>
        <w:t xml:space="preserve"> - </w:t>
      </w:r>
      <w:r>
        <w:rPr>
          <w:rFonts w:cs="Arial"/>
        </w:rPr>
        <w:t xml:space="preserve">The weighting factors for self-ignited cable fires are self-explanatory.  The weighting factors for hot work transient fires and transient fires are discussed in a separate sub-section below.  Air compressors and pumps can lead to electrical or oil fires depending on what drives the device, and the weighting factors for the two types of fires are based on the corresponding split fractions in </w:t>
      </w:r>
      <w:r w:rsidR="00B83F5E" w:rsidRPr="00B83F5E">
        <w:rPr>
          <w:rFonts w:cs="Arial"/>
        </w:rPr>
        <w:t xml:space="preserve">NUREG/CR-6850 </w:t>
      </w:r>
      <w:r w:rsidR="00B83F5E">
        <w:rPr>
          <w:rFonts w:cs="Arial"/>
        </w:rPr>
        <w:t>(</w:t>
      </w:r>
      <w:r w:rsidR="00A24E94">
        <w:rPr>
          <w:rFonts w:cs="Arial"/>
        </w:rPr>
        <w:t>Reference 8</w:t>
      </w:r>
      <w:r w:rsidR="00B83F5E">
        <w:rPr>
          <w:rFonts w:cs="Arial"/>
        </w:rPr>
        <w:t>)</w:t>
      </w:r>
      <w:r>
        <w:rPr>
          <w:rFonts w:cs="Arial"/>
        </w:rPr>
        <w:t>, Section 6.3.1, Table 6-1.  All diesel generators can initiate both electrical and oil fires.  A weighting factor of 1.0 is used if the fire type is unknown.</w:t>
      </w:r>
    </w:p>
    <w:p w14:paraId="1548828B" w14:textId="32A2AF99" w:rsidR="00CC6DDE" w:rsidRPr="007060EC" w:rsidRDefault="00CC6DDE" w:rsidP="003026BC">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Pr>
          <w:rFonts w:cs="Arial"/>
          <w:i/>
        </w:rPr>
        <w:t>Fire Frequency per Counting Unit</w:t>
      </w:r>
      <w:r w:rsidR="00C725F8">
        <w:rPr>
          <w:rFonts w:cs="Arial"/>
        </w:rPr>
        <w:t xml:space="preserve"> - </w:t>
      </w:r>
      <w:r>
        <w:rPr>
          <w:rFonts w:cs="Arial"/>
        </w:rPr>
        <w:t xml:space="preserve">For most ignition sources the frequency per </w:t>
      </w:r>
      <w:r w:rsidR="004437F7">
        <w:rPr>
          <w:rFonts w:cs="Arial"/>
        </w:rPr>
        <w:t>counting unit</w:t>
      </w:r>
      <w:r>
        <w:rPr>
          <w:rFonts w:cs="Arial"/>
        </w:rPr>
        <w:t xml:space="preserve"> for each fire type is equal to the plant-wide frequency divided by the plant-wide unit count and multiplied by the weighting factor.  Exceptions are self-ignited cables, for which the total unit count is incorporated into the weighting factors, and specific types of pumps, for which per component frequencies are specified.</w:t>
      </w:r>
    </w:p>
    <w:p w14:paraId="54B4B11E" w14:textId="36776F5A" w:rsidR="003356D2" w:rsidRDefault="003356D2"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EF7A69D" w14:textId="5FAEACCE" w:rsidR="00BC7508" w:rsidRPr="00BC7508" w:rsidRDefault="00BC7508"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r w:rsidRPr="00BC7508">
        <w:rPr>
          <w:rFonts w:cs="Arial"/>
          <w:u w:val="single"/>
        </w:rPr>
        <w:t>Weighting Factors for Transient Fires</w:t>
      </w:r>
    </w:p>
    <w:p w14:paraId="0253C511" w14:textId="480E46B5" w:rsidR="00BC7508" w:rsidRDefault="00BC7508"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8BAA5C5" w14:textId="70843150" w:rsidR="00B956B5" w:rsidRPr="00C70CAC" w:rsidRDefault="00B956B5"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Estimating the frequency of transient fires for a given fire area involves the process of fire frequency partitioning</w:t>
      </w:r>
      <w:r>
        <w:rPr>
          <w:rFonts w:cs="Arial"/>
        </w:rPr>
        <w:t>, i.e.</w:t>
      </w:r>
      <w:r w:rsidR="004F4B01">
        <w:rPr>
          <w:rFonts w:cs="Arial"/>
        </w:rPr>
        <w:t>,</w:t>
      </w:r>
      <w:r>
        <w:rPr>
          <w:rFonts w:cs="Arial"/>
        </w:rPr>
        <w:t xml:space="preserve"> the process of </w:t>
      </w:r>
      <w:r w:rsidRPr="00B956B5">
        <w:rPr>
          <w:rFonts w:cs="Arial"/>
        </w:rPr>
        <w:t>apportioning the plant-wide fire frequency to individual fire areas or fire scenarios</w:t>
      </w:r>
      <w:r>
        <w:rPr>
          <w:rFonts w:cs="Arial"/>
        </w:rPr>
        <w:t>.</w:t>
      </w:r>
      <w:r w:rsidRPr="00C70CAC">
        <w:rPr>
          <w:rFonts w:cs="Arial"/>
        </w:rPr>
        <w:t xml:space="preserve">  For fires involving transient fuels (e.g., trash, general materials storage of solids or liquids, maintenance materials, materials staged in anticipation of maintenance activities) the partitioning process is based on four assumptions.</w:t>
      </w:r>
    </w:p>
    <w:p w14:paraId="4B7635A8" w14:textId="77777777" w:rsidR="00B956B5" w:rsidRPr="00C70CAC" w:rsidRDefault="00B956B5"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0F545A0" w14:textId="34163899" w:rsidR="00B956B5" w:rsidRPr="00257229" w:rsidRDefault="00B956B5" w:rsidP="0035366F">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257229">
        <w:rPr>
          <w:rFonts w:cs="Arial"/>
        </w:rPr>
        <w:t>Assumption 1: The plant wide fire frequency for transient fires is approximately 1.9E</w:t>
      </w:r>
      <w:r w:rsidR="00B83F5E">
        <w:rPr>
          <w:rFonts w:cs="Arial"/>
        </w:rPr>
        <w:noBreakHyphen/>
      </w:r>
      <w:r w:rsidRPr="00257229">
        <w:rPr>
          <w:rFonts w:cs="Arial"/>
        </w:rPr>
        <w:t>2/ry.  This value is derived from analysis of the fire event database</w:t>
      </w:r>
      <w:r w:rsidR="008756D4">
        <w:rPr>
          <w:rFonts w:cs="Arial"/>
        </w:rPr>
        <w:t xml:space="preserve"> updated </w:t>
      </w:r>
      <w:r w:rsidR="009B3736">
        <w:rPr>
          <w:rFonts w:cs="Arial"/>
        </w:rPr>
        <w:t>in </w:t>
      </w:r>
      <w:r w:rsidR="008756D4">
        <w:rPr>
          <w:rFonts w:cs="Arial"/>
        </w:rPr>
        <w:t>2009</w:t>
      </w:r>
      <w:r w:rsidR="003104FF">
        <w:rPr>
          <w:rFonts w:cs="Arial"/>
        </w:rPr>
        <w:t xml:space="preserve"> (Reference 15)</w:t>
      </w:r>
      <w:r w:rsidRPr="00257229">
        <w:rPr>
          <w:rFonts w:cs="Arial"/>
        </w:rPr>
        <w:t>.</w:t>
      </w:r>
    </w:p>
    <w:p w14:paraId="4A9A353E" w14:textId="77777777" w:rsidR="00B956B5" w:rsidRPr="00257229" w:rsidRDefault="00B956B5" w:rsidP="0035366F">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257229">
        <w:rPr>
          <w:rFonts w:cs="Arial"/>
        </w:rPr>
        <w:t>Assumption 2: Each fire area will be assigned a relative transient fire likelihood rating.  Three likelihood ratings will be used (Low, Medium, and High).  Guidance for assigning a likelihood rating to a given fire area is provided below.</w:t>
      </w:r>
    </w:p>
    <w:p w14:paraId="350577B0" w14:textId="5386147B" w:rsidR="00B956B5" w:rsidRPr="00257229" w:rsidRDefault="00B956B5" w:rsidP="0034587C">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7" w:hanging="533"/>
        <w:rPr>
          <w:rFonts w:cs="Arial"/>
        </w:rPr>
      </w:pPr>
      <w:r w:rsidRPr="00257229">
        <w:rPr>
          <w:rFonts w:cs="Arial"/>
        </w:rPr>
        <w:t>Assumption 3: On a fire area by fire area basis, the relative likelihood of a transient fire occurring in a “medium” fire area is three times the likelihood of a fire occurring in a “low” fire area (f</w:t>
      </w:r>
      <w:r w:rsidRPr="00257229">
        <w:rPr>
          <w:rFonts w:cs="Arial"/>
          <w:vertAlign w:val="subscript"/>
        </w:rPr>
        <w:t>med</w:t>
      </w:r>
      <w:r w:rsidRPr="00257229">
        <w:rPr>
          <w:rFonts w:cs="Arial"/>
        </w:rPr>
        <w:t xml:space="preserve"> = 3</w:t>
      </w:r>
      <w:r w:rsidR="00D10AFD" w:rsidRPr="00257229">
        <w:rPr>
          <w:rFonts w:cs="Arial"/>
        </w:rPr>
        <w:t xml:space="preserve"> </w:t>
      </w:r>
      <w:r w:rsidRPr="00257229">
        <w:rPr>
          <w:rFonts w:ascii="Symbol" w:hAnsi="Symbol" w:cs="Arial"/>
        </w:rPr>
        <w:t></w:t>
      </w:r>
      <w:r w:rsidR="00D10AFD" w:rsidRPr="00257229">
        <w:rPr>
          <w:rFonts w:ascii="Symbol" w:hAnsi="Symbol" w:cs="Arial"/>
        </w:rPr>
        <w:t></w:t>
      </w:r>
      <w:r w:rsidRPr="00257229">
        <w:rPr>
          <w:rFonts w:cs="Arial"/>
        </w:rPr>
        <w:t>f</w:t>
      </w:r>
      <w:r w:rsidRPr="00257229">
        <w:rPr>
          <w:rFonts w:cs="Arial"/>
          <w:vertAlign w:val="subscript"/>
        </w:rPr>
        <w:t>low</w:t>
      </w:r>
      <w:r w:rsidRPr="00257229">
        <w:rPr>
          <w:rFonts w:cs="Arial"/>
        </w:rPr>
        <w:t>).  In the same manner, the likelihood of a transient fire in a “high” fire area is ten times the likelihood of a fire occurring in a “medium” fire area (f</w:t>
      </w:r>
      <w:r w:rsidRPr="00257229">
        <w:rPr>
          <w:rFonts w:cs="Arial"/>
          <w:vertAlign w:val="subscript"/>
        </w:rPr>
        <w:t>high</w:t>
      </w:r>
      <w:r w:rsidR="009B3736">
        <w:rPr>
          <w:rFonts w:cs="Arial"/>
          <w:vertAlign w:val="subscript"/>
        </w:rPr>
        <w:t> </w:t>
      </w:r>
      <w:r w:rsidRPr="00257229">
        <w:rPr>
          <w:rFonts w:cs="Arial"/>
        </w:rPr>
        <w:t>= 10</w:t>
      </w:r>
      <w:r w:rsidR="00D10AFD" w:rsidRPr="00257229">
        <w:rPr>
          <w:rFonts w:cs="Arial"/>
        </w:rPr>
        <w:t xml:space="preserve"> </w:t>
      </w:r>
      <w:r w:rsidRPr="00257229">
        <w:rPr>
          <w:rFonts w:ascii="Symbol" w:hAnsi="Symbol" w:cs="Arial"/>
        </w:rPr>
        <w:t></w:t>
      </w:r>
      <w:r w:rsidR="00D10AFD" w:rsidRPr="00257229">
        <w:rPr>
          <w:rFonts w:ascii="Symbol" w:hAnsi="Symbol" w:cs="Arial"/>
        </w:rPr>
        <w:t></w:t>
      </w:r>
      <w:r w:rsidRPr="00257229">
        <w:rPr>
          <w:rFonts w:cs="Arial"/>
        </w:rPr>
        <w:t>f</w:t>
      </w:r>
      <w:r w:rsidRPr="00257229">
        <w:rPr>
          <w:rFonts w:cs="Arial"/>
          <w:vertAlign w:val="subscript"/>
        </w:rPr>
        <w:t>med</w:t>
      </w:r>
      <w:r w:rsidRPr="00257229">
        <w:rPr>
          <w:rFonts w:cs="Arial"/>
        </w:rPr>
        <w:t xml:space="preserve"> = 30</w:t>
      </w:r>
      <w:r w:rsidR="00D10AFD" w:rsidRPr="00257229">
        <w:rPr>
          <w:rFonts w:cs="Arial"/>
        </w:rPr>
        <w:t xml:space="preserve"> </w:t>
      </w:r>
      <w:r w:rsidRPr="00257229">
        <w:rPr>
          <w:rFonts w:ascii="Symbol" w:hAnsi="Symbol" w:cs="Arial"/>
        </w:rPr>
        <w:t></w:t>
      </w:r>
      <w:r w:rsidR="00D10AFD" w:rsidRPr="00257229">
        <w:rPr>
          <w:rFonts w:ascii="Symbol" w:hAnsi="Symbol" w:cs="Arial"/>
        </w:rPr>
        <w:t></w:t>
      </w:r>
      <w:r w:rsidRPr="00257229">
        <w:rPr>
          <w:rFonts w:cs="Arial"/>
        </w:rPr>
        <w:t>f</w:t>
      </w:r>
      <w:r w:rsidRPr="00257229">
        <w:rPr>
          <w:rFonts w:cs="Arial"/>
          <w:vertAlign w:val="subscript"/>
        </w:rPr>
        <w:t xml:space="preserve">low </w:t>
      </w:r>
      <w:r w:rsidRPr="00257229">
        <w:rPr>
          <w:rFonts w:cs="Arial"/>
        </w:rPr>
        <w:t>).</w:t>
      </w:r>
    </w:p>
    <w:p w14:paraId="3C98B864" w14:textId="77777777" w:rsidR="00B956B5" w:rsidRPr="00257229" w:rsidRDefault="00B956B5" w:rsidP="0035366F">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257229">
        <w:rPr>
          <w:rFonts w:cs="Arial"/>
        </w:rPr>
        <w:t>Assumption 4: A typical plant would have a total of approximately 10 fire areas that would be designated “low”, 30 fire areas designated “medium”, and 10 fire areas designated “high”.</w:t>
      </w:r>
    </w:p>
    <w:p w14:paraId="49E6A001" w14:textId="77777777" w:rsidR="00B956B5" w:rsidRPr="00C70CAC" w:rsidRDefault="00B956B5"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F9531BD" w14:textId="46DFD8C5" w:rsidR="00B956B5" w:rsidRDefault="00B956B5"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Using these assumptions, the fire frequency for any given fire area can be established based on the assignment of a </w:t>
      </w:r>
      <w:r>
        <w:rPr>
          <w:rFonts w:cs="Arial"/>
        </w:rPr>
        <w:t>“</w:t>
      </w:r>
      <w:r w:rsidRPr="00C70CAC">
        <w:rPr>
          <w:rFonts w:cs="Arial"/>
        </w:rPr>
        <w:t>low</w:t>
      </w:r>
      <w:r>
        <w:rPr>
          <w:rFonts w:cs="Arial"/>
        </w:rPr>
        <w:t>”</w:t>
      </w:r>
      <w:r w:rsidRPr="00C70CAC">
        <w:rPr>
          <w:rFonts w:cs="Arial"/>
        </w:rPr>
        <w:t xml:space="preserve">, </w:t>
      </w:r>
      <w:r>
        <w:rPr>
          <w:rFonts w:cs="Arial"/>
        </w:rPr>
        <w:t>“</w:t>
      </w:r>
      <w:r w:rsidRPr="00C70CAC">
        <w:rPr>
          <w:rFonts w:cs="Arial"/>
        </w:rPr>
        <w:t>medium</w:t>
      </w:r>
      <w:r>
        <w:rPr>
          <w:rFonts w:cs="Arial"/>
        </w:rPr>
        <w:t>”</w:t>
      </w:r>
      <w:r w:rsidRPr="00C70CAC">
        <w:rPr>
          <w:rFonts w:cs="Arial"/>
        </w:rPr>
        <w:t xml:space="preserve">, or </w:t>
      </w:r>
      <w:r>
        <w:rPr>
          <w:rFonts w:cs="Arial"/>
        </w:rPr>
        <w:t>“</w:t>
      </w:r>
      <w:r w:rsidRPr="00C70CAC">
        <w:rPr>
          <w:rFonts w:cs="Arial"/>
        </w:rPr>
        <w:t>high</w:t>
      </w:r>
      <w:r>
        <w:rPr>
          <w:rFonts w:cs="Arial"/>
        </w:rPr>
        <w:t>”</w:t>
      </w:r>
      <w:r w:rsidRPr="00C70CAC">
        <w:rPr>
          <w:rFonts w:cs="Arial"/>
        </w:rPr>
        <w:t xml:space="preserve"> rating.  Using the relative fire frequency ratios, and the assumed number of fire areas in each category, the plant wide fire frequency is reconstructed based on the following simple equation:</w:t>
      </w:r>
    </w:p>
    <w:p w14:paraId="6FC0109D" w14:textId="77777777" w:rsidR="002D5FD1" w:rsidRDefault="002D5FD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tbl>
      <w:tblPr>
        <w:tblW w:w="0" w:type="auto"/>
        <w:tblLook w:val="04A0" w:firstRow="1" w:lastRow="0" w:firstColumn="1" w:lastColumn="0" w:noHBand="0" w:noVBand="1"/>
      </w:tblPr>
      <w:tblGrid>
        <w:gridCol w:w="720"/>
        <w:gridCol w:w="7920"/>
        <w:gridCol w:w="720"/>
      </w:tblGrid>
      <w:tr w:rsidR="002D5FD1" w:rsidRPr="00C545FD" w14:paraId="07DA0007" w14:textId="77777777" w:rsidTr="001C36DA">
        <w:tc>
          <w:tcPr>
            <w:tcW w:w="720" w:type="dxa"/>
            <w:vAlign w:val="center"/>
          </w:tcPr>
          <w:p w14:paraId="364A4ACD" w14:textId="77777777" w:rsidR="002D5FD1" w:rsidRPr="00C545FD" w:rsidRDefault="002D5FD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5B246660" w14:textId="77777777" w:rsidR="002D5FD1" w:rsidRPr="00257229" w:rsidRDefault="00B9252A"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rPr>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plant-wide</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m:t>
                    </m:r>
                  </m:e>
                  <m:sub>
                    <m:r>
                      <m:rPr>
                        <m:sty m:val="p"/>
                      </m:rPr>
                      <w:rPr>
                        <w:rFonts w:ascii="Cambria Math" w:hAnsi="Cambria Math"/>
                        <w:sz w:val="24"/>
                      </w:rPr>
                      <m:t>low</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m:t>
                    </m:r>
                  </m:e>
                  <m:sub>
                    <m:r>
                      <m:rPr>
                        <m:sty m:val="p"/>
                      </m:rPr>
                      <w:rPr>
                        <w:rFonts w:ascii="Cambria Math" w:hAnsi="Cambria Math"/>
                        <w:sz w:val="24"/>
                      </w:rPr>
                      <m:t>med</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med</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m:t>
                    </m:r>
                  </m:e>
                  <m:sub>
                    <m:r>
                      <m:rPr>
                        <m:sty m:val="p"/>
                      </m:rPr>
                      <w:rPr>
                        <w:rFonts w:ascii="Cambria Math" w:hAnsi="Cambria Math"/>
                        <w:sz w:val="24"/>
                      </w:rPr>
                      <m:t>high</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high</m:t>
                    </m:r>
                  </m:sub>
                </m:sSub>
              </m:oMath>
            </m:oMathPara>
          </w:p>
        </w:tc>
        <w:tc>
          <w:tcPr>
            <w:tcW w:w="720" w:type="dxa"/>
            <w:vAlign w:val="center"/>
          </w:tcPr>
          <w:p w14:paraId="1E784ACB" w14:textId="5B16D167" w:rsidR="002D5FD1" w:rsidRPr="00C545FD" w:rsidRDefault="0072249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r>
              <w:t>(6</w:t>
            </w:r>
            <w:r w:rsidR="002D5FD1">
              <w:t>a)</w:t>
            </w:r>
          </w:p>
        </w:tc>
      </w:tr>
    </w:tbl>
    <w:p w14:paraId="513FBB73" w14:textId="77777777" w:rsidR="002D5FD1" w:rsidRDefault="002D5FD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p w14:paraId="1506F961" w14:textId="77777777" w:rsidR="002D5FD1" w:rsidRDefault="002D5FD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Pr>
          <w:rFonts w:eastAsiaTheme="minorEastAsia"/>
        </w:rPr>
        <w:lastRenderedPageBreak/>
        <w:t>or</w:t>
      </w:r>
    </w:p>
    <w:p w14:paraId="4799C678" w14:textId="77777777" w:rsidR="002D5FD1" w:rsidRDefault="002D5FD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tbl>
      <w:tblPr>
        <w:tblW w:w="0" w:type="auto"/>
        <w:tblLook w:val="04A0" w:firstRow="1" w:lastRow="0" w:firstColumn="1" w:lastColumn="0" w:noHBand="0" w:noVBand="1"/>
      </w:tblPr>
      <w:tblGrid>
        <w:gridCol w:w="720"/>
        <w:gridCol w:w="7920"/>
        <w:gridCol w:w="720"/>
      </w:tblGrid>
      <w:tr w:rsidR="002D5FD1" w:rsidRPr="00C545FD" w14:paraId="51BDCF0E" w14:textId="77777777" w:rsidTr="001C36DA">
        <w:tc>
          <w:tcPr>
            <w:tcW w:w="720" w:type="dxa"/>
            <w:vAlign w:val="center"/>
          </w:tcPr>
          <w:p w14:paraId="715FC754" w14:textId="77777777" w:rsidR="002D5FD1" w:rsidRPr="00C545FD" w:rsidRDefault="002D5FD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026EC446" w14:textId="77777777" w:rsidR="002D5FD1" w:rsidRPr="00257229" w:rsidRDefault="00B9252A"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rPr>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plant-wide</m:t>
                    </m:r>
                  </m:sub>
                </m:sSub>
                <m:r>
                  <m:rPr>
                    <m:sty m:val="p"/>
                  </m:rPr>
                  <w:rPr>
                    <w:rFonts w:ascii="Cambria Math" w:hAnsi="Cambria Math"/>
                    <w:sz w:val="24"/>
                  </w:rPr>
                  <m:t>=</m:t>
                </m:r>
                <m:r>
                  <w:rPr>
                    <w:rFonts w:ascii="Cambria Math" w:hAnsi="Cambria Math"/>
                    <w:sz w:val="24"/>
                  </w:rPr>
                  <m:t>10</m:t>
                </m:r>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r>
                  <m:rPr>
                    <m:sty m:val="p"/>
                  </m:rPr>
                  <w:rPr>
                    <w:rFonts w:ascii="Cambria Math" w:hAnsi="Cambria Math"/>
                    <w:sz w:val="24"/>
                  </w:rPr>
                  <m:t>+30×3×</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r>
                  <m:rPr>
                    <m:sty m:val="p"/>
                  </m:rPr>
                  <w:rPr>
                    <w:rFonts w:ascii="Cambria Math" w:hAnsi="Cambria Math"/>
                    <w:sz w:val="24"/>
                  </w:rPr>
                  <m:t xml:space="preserve">+10×30×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r>
                  <m:rPr>
                    <m:sty m:val="p"/>
                  </m:rPr>
                  <w:rPr>
                    <w:rFonts w:ascii="Cambria Math" w:hAnsi="Cambria Math"/>
                    <w:sz w:val="24"/>
                  </w:rPr>
                  <m:t>=300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oMath>
            </m:oMathPara>
          </w:p>
        </w:tc>
        <w:tc>
          <w:tcPr>
            <w:tcW w:w="720" w:type="dxa"/>
            <w:vAlign w:val="center"/>
          </w:tcPr>
          <w:p w14:paraId="6E6C747D" w14:textId="123A01F6" w:rsidR="002D5FD1" w:rsidRPr="00C545FD" w:rsidRDefault="0072249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r>
              <w:t>(6</w:t>
            </w:r>
            <w:r w:rsidR="002D5FD1">
              <w:t>b)</w:t>
            </w:r>
          </w:p>
        </w:tc>
      </w:tr>
    </w:tbl>
    <w:p w14:paraId="79BD2F5D" w14:textId="77777777" w:rsidR="002D5FD1" w:rsidRDefault="002D5FD1"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9CEF679" w14:textId="59CC96C9" w:rsidR="002D5FD1" w:rsidRPr="00C70CAC" w:rsidRDefault="002D5FD1"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where f</w:t>
      </w:r>
      <w:r>
        <w:rPr>
          <w:rFonts w:cs="Arial"/>
          <w:vertAlign w:val="subscript"/>
        </w:rPr>
        <w:t>plant-wide</w:t>
      </w:r>
      <w:r w:rsidRPr="00C70CAC">
        <w:rPr>
          <w:rFonts w:cs="Arial"/>
        </w:rPr>
        <w:t> = </w:t>
      </w:r>
      <w:r>
        <w:rPr>
          <w:rFonts w:cs="Arial"/>
        </w:rPr>
        <w:t>1.9</w:t>
      </w:r>
      <w:r w:rsidRPr="00C70CAC">
        <w:rPr>
          <w:rFonts w:cs="Arial"/>
        </w:rPr>
        <w:t>E-2/ry (per assumption 1)</w:t>
      </w:r>
      <w:r>
        <w:rPr>
          <w:rFonts w:cs="Arial"/>
        </w:rPr>
        <w:t>;</w:t>
      </w:r>
      <w:r w:rsidRPr="00C70CAC">
        <w:rPr>
          <w:rFonts w:cs="Arial"/>
        </w:rPr>
        <w:t xml:space="preserve">  f</w:t>
      </w:r>
      <w:r w:rsidRPr="00C70CAC">
        <w:rPr>
          <w:rFonts w:cs="Arial"/>
          <w:vertAlign w:val="subscript"/>
        </w:rPr>
        <w:t>low</w:t>
      </w:r>
      <w:r w:rsidRPr="00C70CAC">
        <w:rPr>
          <w:rFonts w:cs="Arial"/>
        </w:rPr>
        <w:t xml:space="preserve"> </w:t>
      </w:r>
      <w:r>
        <w:rPr>
          <w:rFonts w:cs="Arial"/>
        </w:rPr>
        <w:t xml:space="preserve">, </w:t>
      </w:r>
      <w:r w:rsidRPr="00C70CAC">
        <w:rPr>
          <w:rFonts w:cs="Arial"/>
        </w:rPr>
        <w:t>f</w:t>
      </w:r>
      <w:r>
        <w:rPr>
          <w:rFonts w:cs="Arial"/>
          <w:vertAlign w:val="subscript"/>
        </w:rPr>
        <w:t>medium</w:t>
      </w:r>
      <w:r>
        <w:rPr>
          <w:rFonts w:cs="Arial"/>
        </w:rPr>
        <w:t xml:space="preserve">, and </w:t>
      </w:r>
      <w:r w:rsidRPr="00C70CAC">
        <w:rPr>
          <w:rFonts w:cs="Arial"/>
        </w:rPr>
        <w:t>f</w:t>
      </w:r>
      <w:r>
        <w:rPr>
          <w:rFonts w:cs="Arial"/>
          <w:vertAlign w:val="subscript"/>
        </w:rPr>
        <w:t>high</w:t>
      </w:r>
      <w:r w:rsidRPr="00C70CAC">
        <w:rPr>
          <w:rFonts w:cs="Arial"/>
        </w:rPr>
        <w:t xml:space="preserve"> </w:t>
      </w:r>
      <w:r>
        <w:rPr>
          <w:rFonts w:cs="Arial"/>
        </w:rPr>
        <w:t>are</w:t>
      </w:r>
      <w:r w:rsidRPr="00C70CAC">
        <w:rPr>
          <w:rFonts w:cs="Arial"/>
        </w:rPr>
        <w:t xml:space="preserve"> the fire frequenc</w:t>
      </w:r>
      <w:r>
        <w:rPr>
          <w:rFonts w:cs="Arial"/>
        </w:rPr>
        <w:t>ies</w:t>
      </w:r>
      <w:r w:rsidRPr="00C70CAC">
        <w:rPr>
          <w:rFonts w:cs="Arial"/>
        </w:rPr>
        <w:t xml:space="preserve"> for a fire area rated as low</w:t>
      </w:r>
      <w:r>
        <w:rPr>
          <w:rFonts w:cs="Arial"/>
        </w:rPr>
        <w:t>, medium, and high, respectively</w:t>
      </w:r>
      <w:r w:rsidRPr="00C70CAC">
        <w:rPr>
          <w:rFonts w:cs="Arial"/>
        </w:rPr>
        <w:t xml:space="preserve"> (unknown), and </w:t>
      </w:r>
      <w:r>
        <w:rPr>
          <w:rFonts w:cs="Arial"/>
        </w:rPr>
        <w:t>‘</w:t>
      </w:r>
      <w:r w:rsidRPr="00C70CAC">
        <w:rPr>
          <w:rFonts w:cs="Arial"/>
        </w:rPr>
        <w:t>n</w:t>
      </w:r>
      <w:r>
        <w:rPr>
          <w:rFonts w:cs="Arial"/>
        </w:rPr>
        <w:t>’</w:t>
      </w:r>
      <w:r w:rsidRPr="00C70CAC">
        <w:rPr>
          <w:rFonts w:cs="Arial"/>
        </w:rPr>
        <w:t xml:space="preserve"> represents the number of fire areas in each likelihood category (n</w:t>
      </w:r>
      <w:r w:rsidRPr="00C70CAC">
        <w:rPr>
          <w:rFonts w:cs="Arial"/>
          <w:vertAlign w:val="subscript"/>
        </w:rPr>
        <w:t>low</w:t>
      </w:r>
      <w:r>
        <w:rPr>
          <w:rFonts w:cs="Arial"/>
        </w:rPr>
        <w:t xml:space="preserve"> = </w:t>
      </w:r>
      <w:r w:rsidRPr="00C70CAC">
        <w:rPr>
          <w:rFonts w:cs="Arial"/>
        </w:rPr>
        <w:t>10, n</w:t>
      </w:r>
      <w:r w:rsidRPr="00C70CAC">
        <w:rPr>
          <w:rFonts w:cs="Arial"/>
          <w:vertAlign w:val="subscript"/>
        </w:rPr>
        <w:t>med</w:t>
      </w:r>
      <w:r>
        <w:rPr>
          <w:rFonts w:cs="Arial"/>
        </w:rPr>
        <w:t xml:space="preserve"> = </w:t>
      </w:r>
      <w:r w:rsidRPr="00C70CAC">
        <w:rPr>
          <w:rFonts w:cs="Arial"/>
        </w:rPr>
        <w:t>30, and n</w:t>
      </w:r>
      <w:r w:rsidRPr="00C70CAC">
        <w:rPr>
          <w:rFonts w:cs="Arial"/>
          <w:vertAlign w:val="subscript"/>
        </w:rPr>
        <w:t>high</w:t>
      </w:r>
      <w:r>
        <w:rPr>
          <w:rFonts w:cs="Arial"/>
        </w:rPr>
        <w:t xml:space="preserve"> = </w:t>
      </w:r>
      <w:r w:rsidRPr="00C70CAC">
        <w:rPr>
          <w:rFonts w:cs="Arial"/>
        </w:rPr>
        <w:t xml:space="preserve">10 per assumption 4).  Solving this equation </w:t>
      </w:r>
      <w:r>
        <w:rPr>
          <w:rFonts w:cs="Arial"/>
        </w:rPr>
        <w:t xml:space="preserve">for </w:t>
      </w:r>
      <w:r w:rsidRPr="00C70CAC">
        <w:rPr>
          <w:rFonts w:cs="Arial"/>
        </w:rPr>
        <w:t>f</w:t>
      </w:r>
      <w:r w:rsidRPr="00C70CAC">
        <w:rPr>
          <w:rFonts w:cs="Arial"/>
          <w:vertAlign w:val="subscript"/>
        </w:rPr>
        <w:t>low</w:t>
      </w:r>
      <w:r>
        <w:rPr>
          <w:rFonts w:cs="Arial"/>
        </w:rPr>
        <w:t xml:space="preserve"> and recognizing assumption 3 </w:t>
      </w:r>
      <w:r w:rsidRPr="00C70CAC">
        <w:rPr>
          <w:rFonts w:cs="Arial"/>
        </w:rPr>
        <w:t xml:space="preserve">yields the following (rounding to </w:t>
      </w:r>
      <w:r w:rsidR="004F238B">
        <w:rPr>
          <w:rFonts w:cs="Arial"/>
        </w:rPr>
        <w:t>two</w:t>
      </w:r>
      <w:r w:rsidRPr="00C70CAC">
        <w:rPr>
          <w:rFonts w:cs="Arial"/>
        </w:rPr>
        <w:t xml:space="preserve"> significant figure</w:t>
      </w:r>
      <w:r w:rsidR="004F238B">
        <w:rPr>
          <w:rFonts w:cs="Arial"/>
        </w:rPr>
        <w:t>s</w:t>
      </w:r>
      <w:r w:rsidRPr="00C70CAC">
        <w:rPr>
          <w:rFonts w:cs="Arial"/>
        </w:rPr>
        <w:t>):</w:t>
      </w:r>
    </w:p>
    <w:p w14:paraId="70FDF1D1" w14:textId="77777777" w:rsidR="00B956B5" w:rsidRPr="00C70CAC" w:rsidRDefault="00B956B5"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250"/>
      </w:tblGrid>
      <w:tr w:rsidR="00B956B5" w:rsidRPr="00C70CAC" w14:paraId="16A354AF" w14:textId="77777777" w:rsidTr="00CC6DDE">
        <w:trPr>
          <w:jc w:val="center"/>
        </w:trPr>
        <w:tc>
          <w:tcPr>
            <w:tcW w:w="2340" w:type="dxa"/>
            <w:gridSpan w:val="2"/>
            <w:tcBorders>
              <w:top w:val="single" w:sz="7" w:space="0" w:color="000000"/>
              <w:left w:val="single" w:sz="7" w:space="0" w:color="000000"/>
              <w:bottom w:val="single" w:sz="7" w:space="0" w:color="000000"/>
              <w:right w:val="single" w:sz="7" w:space="0" w:color="000000"/>
            </w:tcBorders>
            <w:shd w:val="solid" w:color="C0C0C0" w:fill="FFFFFF"/>
          </w:tcPr>
          <w:p w14:paraId="0E2E379B" w14:textId="7C32046A" w:rsidR="00B956B5" w:rsidRPr="00E01E7A" w:rsidRDefault="00B956B5" w:rsidP="005721EF">
            <w:pPr>
              <w:pStyle w:val="TableCaption"/>
              <w:rPr>
                <w:b w:val="0"/>
              </w:rPr>
            </w:pPr>
            <w:bookmarkStart w:id="149" w:name="_Toc483393009"/>
            <w:bookmarkStart w:id="150" w:name="Table_A9_4"/>
            <w:r w:rsidRPr="00E01E7A">
              <w:rPr>
                <w:b w:val="0"/>
              </w:rPr>
              <w:t xml:space="preserve">Table </w:t>
            </w:r>
            <w:r w:rsidR="00CC6DDE" w:rsidRPr="00E01E7A">
              <w:rPr>
                <w:b w:val="0"/>
              </w:rPr>
              <w:t>6.2</w:t>
            </w:r>
            <w:r w:rsidRPr="00E01E7A">
              <w:rPr>
                <w:b w:val="0"/>
              </w:rPr>
              <w:t>.4</w:t>
            </w:r>
            <w:r w:rsidR="00046D7B" w:rsidRPr="00E01E7A">
              <w:rPr>
                <w:b w:val="0"/>
              </w:rPr>
              <w:t xml:space="preserve"> – </w:t>
            </w:r>
            <w:r w:rsidRPr="00E01E7A">
              <w:rPr>
                <w:b w:val="0"/>
              </w:rPr>
              <w:t>Transient Fire Frequency</w:t>
            </w:r>
            <w:r w:rsidR="00973734" w:rsidRPr="00E01E7A">
              <w:rPr>
                <w:b w:val="0"/>
              </w:rPr>
              <w:t>.</w:t>
            </w:r>
            <w:bookmarkEnd w:id="149"/>
          </w:p>
          <w:p w14:paraId="1E17EB1C" w14:textId="77777777" w:rsidR="00B956B5" w:rsidRPr="00E01E7A" w:rsidRDefault="00B956B5"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E01E7A">
              <w:rPr>
                <w:rFonts w:cs="Arial"/>
                <w:bCs/>
                <w:szCs w:val="22"/>
              </w:rPr>
              <w:t>(per Fire Area)</w:t>
            </w:r>
            <w:bookmarkEnd w:id="150"/>
          </w:p>
        </w:tc>
      </w:tr>
      <w:tr w:rsidR="00B956B5" w:rsidRPr="00C70CAC" w14:paraId="0D3C58BE" w14:textId="77777777" w:rsidTr="00CC6DDE">
        <w:trPr>
          <w:jc w:val="center"/>
        </w:trPr>
        <w:tc>
          <w:tcPr>
            <w:tcW w:w="2340" w:type="dxa"/>
            <w:tcBorders>
              <w:top w:val="single" w:sz="7" w:space="0" w:color="000000"/>
              <w:left w:val="single" w:sz="7" w:space="0" w:color="000000"/>
              <w:bottom w:val="single" w:sz="7" w:space="0" w:color="000000"/>
              <w:right w:val="single" w:sz="7" w:space="0" w:color="000000"/>
            </w:tcBorders>
          </w:tcPr>
          <w:p w14:paraId="12F48A4E" w14:textId="77777777" w:rsidR="00B956B5" w:rsidRPr="00E01E7A" w:rsidRDefault="00B956B5"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szCs w:val="22"/>
              </w:rPr>
            </w:pPr>
          </w:p>
          <w:p w14:paraId="4A6A85D0" w14:textId="77777777" w:rsidR="00B956B5" w:rsidRPr="00E01E7A" w:rsidRDefault="00B956B5"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E01E7A">
              <w:rPr>
                <w:rFonts w:cs="Arial"/>
                <w:bCs/>
                <w:szCs w:val="22"/>
              </w:rPr>
              <w:t>Low</w:t>
            </w:r>
          </w:p>
        </w:tc>
        <w:tc>
          <w:tcPr>
            <w:tcW w:w="2250" w:type="dxa"/>
            <w:tcBorders>
              <w:top w:val="single" w:sz="7" w:space="0" w:color="000000"/>
              <w:left w:val="single" w:sz="7" w:space="0" w:color="000000"/>
              <w:bottom w:val="single" w:sz="7" w:space="0" w:color="000000"/>
              <w:right w:val="single" w:sz="7" w:space="0" w:color="000000"/>
            </w:tcBorders>
          </w:tcPr>
          <w:p w14:paraId="739C4E3B" w14:textId="77777777" w:rsidR="00B956B5" w:rsidRPr="00E01E7A" w:rsidRDefault="00B956B5"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bCs/>
                <w:szCs w:val="22"/>
              </w:rPr>
            </w:pPr>
          </w:p>
          <w:p w14:paraId="4E722D30" w14:textId="0BE297BA" w:rsidR="00B956B5" w:rsidRPr="00E01E7A" w:rsidRDefault="00B956B5"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E01E7A">
              <w:rPr>
                <w:rFonts w:cs="Arial"/>
                <w:szCs w:val="22"/>
              </w:rPr>
              <w:t>f</w:t>
            </w:r>
            <w:r w:rsidRPr="00E01E7A">
              <w:rPr>
                <w:rFonts w:cs="Arial"/>
                <w:szCs w:val="22"/>
                <w:vertAlign w:val="subscript"/>
              </w:rPr>
              <w:t>low</w:t>
            </w:r>
            <w:r w:rsidRPr="00E01E7A">
              <w:rPr>
                <w:rFonts w:cs="Arial"/>
                <w:szCs w:val="22"/>
              </w:rPr>
              <w:t xml:space="preserve"> = </w:t>
            </w:r>
            <w:r w:rsidR="00540B82" w:rsidRPr="00E01E7A">
              <w:rPr>
                <w:rFonts w:cs="Arial"/>
                <w:szCs w:val="22"/>
              </w:rPr>
              <w:t>4.7</w:t>
            </w:r>
            <w:r w:rsidRPr="00E01E7A">
              <w:rPr>
                <w:rFonts w:cs="Arial"/>
                <w:szCs w:val="22"/>
              </w:rPr>
              <w:t xml:space="preserve"> E-5 /ry</w:t>
            </w:r>
          </w:p>
        </w:tc>
      </w:tr>
      <w:tr w:rsidR="00B956B5" w:rsidRPr="00C70CAC" w14:paraId="19A6AF25" w14:textId="77777777" w:rsidTr="00CC6DDE">
        <w:trPr>
          <w:jc w:val="center"/>
        </w:trPr>
        <w:tc>
          <w:tcPr>
            <w:tcW w:w="2340" w:type="dxa"/>
            <w:tcBorders>
              <w:top w:val="single" w:sz="7" w:space="0" w:color="000000"/>
              <w:left w:val="single" w:sz="7" w:space="0" w:color="000000"/>
              <w:bottom w:val="single" w:sz="7" w:space="0" w:color="000000"/>
              <w:right w:val="single" w:sz="7" w:space="0" w:color="000000"/>
            </w:tcBorders>
          </w:tcPr>
          <w:p w14:paraId="5F251D61" w14:textId="77777777" w:rsidR="00B956B5" w:rsidRPr="00E01E7A" w:rsidRDefault="00B956B5"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szCs w:val="22"/>
              </w:rPr>
            </w:pPr>
          </w:p>
          <w:p w14:paraId="2DE50076" w14:textId="77777777" w:rsidR="00B956B5" w:rsidRPr="00E01E7A" w:rsidRDefault="00B956B5"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E01E7A">
              <w:rPr>
                <w:rFonts w:cs="Arial"/>
                <w:bCs/>
                <w:szCs w:val="22"/>
              </w:rPr>
              <w:t>Medium</w:t>
            </w:r>
          </w:p>
        </w:tc>
        <w:tc>
          <w:tcPr>
            <w:tcW w:w="2250" w:type="dxa"/>
            <w:tcBorders>
              <w:top w:val="single" w:sz="7" w:space="0" w:color="000000"/>
              <w:left w:val="single" w:sz="7" w:space="0" w:color="000000"/>
              <w:bottom w:val="single" w:sz="7" w:space="0" w:color="000000"/>
              <w:right w:val="single" w:sz="7" w:space="0" w:color="000000"/>
            </w:tcBorders>
          </w:tcPr>
          <w:p w14:paraId="454F69C3" w14:textId="77777777" w:rsidR="00B956B5" w:rsidRPr="00E01E7A" w:rsidRDefault="00B956B5"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bCs/>
                <w:szCs w:val="22"/>
              </w:rPr>
            </w:pPr>
          </w:p>
          <w:p w14:paraId="12992ED7" w14:textId="0EE38354" w:rsidR="00B956B5" w:rsidRPr="00E01E7A" w:rsidRDefault="00B956B5"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E01E7A">
              <w:rPr>
                <w:rFonts w:cs="Arial"/>
                <w:szCs w:val="22"/>
              </w:rPr>
              <w:t>f</w:t>
            </w:r>
            <w:r w:rsidRPr="00E01E7A">
              <w:rPr>
                <w:rFonts w:cs="Arial"/>
                <w:szCs w:val="22"/>
                <w:vertAlign w:val="subscript"/>
              </w:rPr>
              <w:t>med</w:t>
            </w:r>
            <w:r w:rsidRPr="00E01E7A">
              <w:rPr>
                <w:rFonts w:cs="Arial"/>
                <w:szCs w:val="22"/>
              </w:rPr>
              <w:t xml:space="preserve"> = </w:t>
            </w:r>
            <w:r w:rsidR="00540B82" w:rsidRPr="00E01E7A">
              <w:rPr>
                <w:rFonts w:cs="Arial"/>
                <w:szCs w:val="22"/>
              </w:rPr>
              <w:t>1.4</w:t>
            </w:r>
            <w:r w:rsidRPr="00E01E7A">
              <w:rPr>
                <w:rFonts w:cs="Arial"/>
                <w:szCs w:val="22"/>
              </w:rPr>
              <w:t xml:space="preserve"> E-4 /ry</w:t>
            </w:r>
          </w:p>
        </w:tc>
      </w:tr>
      <w:tr w:rsidR="00B956B5" w:rsidRPr="00C70CAC" w14:paraId="53DF25E2" w14:textId="77777777" w:rsidTr="00CC6DDE">
        <w:trPr>
          <w:jc w:val="center"/>
        </w:trPr>
        <w:tc>
          <w:tcPr>
            <w:tcW w:w="2340" w:type="dxa"/>
            <w:tcBorders>
              <w:top w:val="single" w:sz="7" w:space="0" w:color="000000"/>
              <w:left w:val="single" w:sz="7" w:space="0" w:color="000000"/>
              <w:bottom w:val="single" w:sz="7" w:space="0" w:color="000000"/>
              <w:right w:val="single" w:sz="7" w:space="0" w:color="000000"/>
            </w:tcBorders>
          </w:tcPr>
          <w:p w14:paraId="2A99EB65" w14:textId="77777777" w:rsidR="00B956B5" w:rsidRPr="00E01E7A" w:rsidRDefault="00B956B5"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szCs w:val="22"/>
              </w:rPr>
            </w:pPr>
          </w:p>
          <w:p w14:paraId="6DE84A12" w14:textId="77777777" w:rsidR="00B956B5" w:rsidRPr="00E01E7A" w:rsidRDefault="00B956B5"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E01E7A">
              <w:rPr>
                <w:rFonts w:cs="Arial"/>
                <w:bCs/>
                <w:szCs w:val="22"/>
              </w:rPr>
              <w:t>High</w:t>
            </w:r>
          </w:p>
        </w:tc>
        <w:tc>
          <w:tcPr>
            <w:tcW w:w="2250" w:type="dxa"/>
            <w:tcBorders>
              <w:top w:val="single" w:sz="7" w:space="0" w:color="000000"/>
              <w:left w:val="single" w:sz="7" w:space="0" w:color="000000"/>
              <w:bottom w:val="single" w:sz="7" w:space="0" w:color="000000"/>
              <w:right w:val="single" w:sz="7" w:space="0" w:color="000000"/>
            </w:tcBorders>
          </w:tcPr>
          <w:p w14:paraId="036E8037" w14:textId="77777777" w:rsidR="00B956B5" w:rsidRPr="00E01E7A" w:rsidRDefault="00B956B5"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bCs/>
                <w:szCs w:val="22"/>
              </w:rPr>
            </w:pPr>
          </w:p>
          <w:p w14:paraId="41397235" w14:textId="4931EF4D" w:rsidR="00B956B5" w:rsidRPr="00E01E7A" w:rsidRDefault="00B956B5"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E01E7A">
              <w:rPr>
                <w:rFonts w:cs="Arial"/>
                <w:szCs w:val="22"/>
              </w:rPr>
              <w:t>f</w:t>
            </w:r>
            <w:r w:rsidRPr="00E01E7A">
              <w:rPr>
                <w:rFonts w:cs="Arial"/>
                <w:szCs w:val="22"/>
                <w:vertAlign w:val="subscript"/>
              </w:rPr>
              <w:t>high</w:t>
            </w:r>
            <w:r w:rsidRPr="00E01E7A">
              <w:rPr>
                <w:rFonts w:cs="Arial"/>
                <w:szCs w:val="22"/>
              </w:rPr>
              <w:t xml:space="preserve"> = </w:t>
            </w:r>
            <w:r w:rsidR="00540B82" w:rsidRPr="00E01E7A">
              <w:rPr>
                <w:rFonts w:cs="Arial"/>
                <w:szCs w:val="22"/>
              </w:rPr>
              <w:t>1.4</w:t>
            </w:r>
            <w:r w:rsidRPr="00E01E7A">
              <w:rPr>
                <w:rFonts w:cs="Arial"/>
                <w:szCs w:val="22"/>
              </w:rPr>
              <w:t xml:space="preserve"> E-3 /ry</w:t>
            </w:r>
          </w:p>
        </w:tc>
      </w:tr>
    </w:tbl>
    <w:p w14:paraId="2FE2AC8D" w14:textId="77777777" w:rsidR="002D5FD1" w:rsidRDefault="002D5FD1"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6026A2D" w14:textId="75B428C3" w:rsidR="002D5FD1" w:rsidRPr="00BC7508" w:rsidRDefault="002D5FD1"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r w:rsidRPr="00BC7508">
        <w:rPr>
          <w:rFonts w:cs="Arial"/>
          <w:u w:val="single"/>
        </w:rPr>
        <w:t xml:space="preserve">Weighting Factors for </w:t>
      </w:r>
      <w:r w:rsidR="00CC2954">
        <w:rPr>
          <w:rFonts w:cs="Arial"/>
          <w:u w:val="single"/>
        </w:rPr>
        <w:t xml:space="preserve">Hot Work </w:t>
      </w:r>
      <w:r w:rsidRPr="00BC7508">
        <w:rPr>
          <w:rFonts w:cs="Arial"/>
          <w:u w:val="single"/>
        </w:rPr>
        <w:t>Transient Fires</w:t>
      </w:r>
    </w:p>
    <w:p w14:paraId="45B008BA" w14:textId="77777777" w:rsidR="002D5FD1" w:rsidRDefault="002D5FD1"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267C53E" w14:textId="3B24BB6C" w:rsidR="00CC2954" w:rsidRPr="00C70CAC" w:rsidRDefault="00CC2954"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estimation of hot work </w:t>
      </w:r>
      <w:r>
        <w:rPr>
          <w:rFonts w:cs="Arial"/>
        </w:rPr>
        <w:t xml:space="preserve">transient </w:t>
      </w:r>
      <w:r w:rsidRPr="00C70CAC">
        <w:rPr>
          <w:rFonts w:cs="Arial"/>
        </w:rPr>
        <w:t xml:space="preserve">fire frequency parallels the treatment of transients as described above.  Using the same approach as documented above, the plant wide fire frequency is partitioned (assigned) to specific fire areas.  The nominal plant-wide fire frequency for hot work fires is estimated at </w:t>
      </w:r>
      <w:r w:rsidR="00540B82">
        <w:rPr>
          <w:rFonts w:cs="Arial"/>
        </w:rPr>
        <w:t>1.4</w:t>
      </w:r>
      <w:r w:rsidR="00540B82" w:rsidRPr="00C70CAC">
        <w:rPr>
          <w:rFonts w:cs="Arial"/>
        </w:rPr>
        <w:t>E</w:t>
      </w:r>
      <w:r w:rsidRPr="00C70CAC">
        <w:rPr>
          <w:rFonts w:cs="Arial"/>
        </w:rPr>
        <w:t>-</w:t>
      </w:r>
      <w:r w:rsidR="00540B82">
        <w:rPr>
          <w:rFonts w:cs="Arial"/>
        </w:rPr>
        <w:t>2</w:t>
      </w:r>
      <w:r w:rsidRPr="00C70CAC">
        <w:rPr>
          <w:rFonts w:cs="Arial"/>
        </w:rPr>
        <w:t>/ry</w:t>
      </w:r>
      <w:r w:rsidR="008756D4">
        <w:rPr>
          <w:rFonts w:cs="Arial"/>
        </w:rPr>
        <w:t xml:space="preserve"> </w:t>
      </w:r>
      <w:r w:rsidR="003104FF">
        <w:rPr>
          <w:rFonts w:cs="Arial"/>
        </w:rPr>
        <w:t>(Reference 15)</w:t>
      </w:r>
      <w:r w:rsidRPr="00C70CAC">
        <w:rPr>
          <w:rFonts w:cs="Arial"/>
        </w:rPr>
        <w:t>.  The fire area specific fire frequency is based on the hot work fire likelihood rating based on the following table.</w:t>
      </w:r>
    </w:p>
    <w:p w14:paraId="5206A63A" w14:textId="77777777" w:rsidR="00CC2954" w:rsidRPr="00C70CAC" w:rsidRDefault="00CC2954"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2340"/>
        <w:gridCol w:w="2250"/>
      </w:tblGrid>
      <w:tr w:rsidR="00CC2954" w:rsidRPr="00C70CAC" w14:paraId="21FCDA17" w14:textId="77777777" w:rsidTr="001C36DA">
        <w:trPr>
          <w:jc w:val="center"/>
        </w:trPr>
        <w:tc>
          <w:tcPr>
            <w:tcW w:w="2340" w:type="dxa"/>
            <w:gridSpan w:val="2"/>
            <w:tcBorders>
              <w:top w:val="single" w:sz="7" w:space="0" w:color="000000"/>
              <w:left w:val="single" w:sz="7" w:space="0" w:color="000000"/>
              <w:bottom w:val="single" w:sz="7" w:space="0" w:color="000000"/>
              <w:right w:val="single" w:sz="7" w:space="0" w:color="000000"/>
            </w:tcBorders>
            <w:shd w:val="solid" w:color="C0C0C0" w:fill="FFFFFF"/>
          </w:tcPr>
          <w:p w14:paraId="4ED20DFB" w14:textId="25F65715" w:rsidR="00CC2954" w:rsidRPr="00E01E7A" w:rsidRDefault="00CC2954" w:rsidP="005721EF">
            <w:pPr>
              <w:pStyle w:val="TableCaption"/>
              <w:rPr>
                <w:b w:val="0"/>
              </w:rPr>
            </w:pPr>
            <w:bookmarkStart w:id="151" w:name="_Toc483393010"/>
            <w:bookmarkStart w:id="152" w:name="Table_A9_5"/>
            <w:r w:rsidRPr="00E01E7A">
              <w:rPr>
                <w:b w:val="0"/>
              </w:rPr>
              <w:t xml:space="preserve">Table </w:t>
            </w:r>
            <w:r w:rsidR="00540B82" w:rsidRPr="00E01E7A">
              <w:rPr>
                <w:b w:val="0"/>
              </w:rPr>
              <w:t>6.2</w:t>
            </w:r>
            <w:r w:rsidRPr="00E01E7A">
              <w:rPr>
                <w:b w:val="0"/>
              </w:rPr>
              <w:t>.5</w:t>
            </w:r>
            <w:r w:rsidR="00046D7B" w:rsidRPr="00E01E7A">
              <w:rPr>
                <w:b w:val="0"/>
              </w:rPr>
              <w:t xml:space="preserve"> – </w:t>
            </w:r>
            <w:r w:rsidRPr="00E01E7A">
              <w:rPr>
                <w:b w:val="0"/>
              </w:rPr>
              <w:t>Hot Work Fire Frequency</w:t>
            </w:r>
            <w:r w:rsidR="00973734" w:rsidRPr="00E01E7A">
              <w:rPr>
                <w:b w:val="0"/>
              </w:rPr>
              <w:t>.</w:t>
            </w:r>
            <w:bookmarkEnd w:id="151"/>
          </w:p>
          <w:p w14:paraId="6B6F2575" w14:textId="77777777" w:rsidR="00CC2954" w:rsidRPr="00E01E7A" w:rsidRDefault="00CC2954"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E01E7A">
              <w:rPr>
                <w:rFonts w:cs="Arial"/>
                <w:bCs/>
                <w:szCs w:val="22"/>
              </w:rPr>
              <w:t>(per Fire Area)</w:t>
            </w:r>
            <w:bookmarkEnd w:id="152"/>
          </w:p>
        </w:tc>
      </w:tr>
      <w:tr w:rsidR="00CC2954" w:rsidRPr="00C70CAC" w14:paraId="78049A92" w14:textId="77777777" w:rsidTr="001C36DA">
        <w:trPr>
          <w:jc w:val="center"/>
        </w:trPr>
        <w:tc>
          <w:tcPr>
            <w:tcW w:w="2340" w:type="dxa"/>
            <w:tcBorders>
              <w:top w:val="single" w:sz="7" w:space="0" w:color="000000"/>
              <w:left w:val="single" w:sz="7" w:space="0" w:color="000000"/>
              <w:bottom w:val="single" w:sz="7" w:space="0" w:color="000000"/>
              <w:right w:val="single" w:sz="7" w:space="0" w:color="000000"/>
            </w:tcBorders>
          </w:tcPr>
          <w:p w14:paraId="7C475D13" w14:textId="77777777" w:rsidR="00CC2954" w:rsidRPr="00E01E7A" w:rsidRDefault="00CC2954"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szCs w:val="22"/>
              </w:rPr>
            </w:pPr>
          </w:p>
          <w:p w14:paraId="58CA8EFF" w14:textId="77777777" w:rsidR="00CC2954" w:rsidRPr="00E01E7A" w:rsidRDefault="00CC2954"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E01E7A">
              <w:rPr>
                <w:rFonts w:cs="Arial"/>
                <w:bCs/>
                <w:szCs w:val="22"/>
              </w:rPr>
              <w:t>Low</w:t>
            </w:r>
          </w:p>
        </w:tc>
        <w:tc>
          <w:tcPr>
            <w:tcW w:w="2250" w:type="dxa"/>
            <w:tcBorders>
              <w:top w:val="single" w:sz="7" w:space="0" w:color="000000"/>
              <w:left w:val="single" w:sz="7" w:space="0" w:color="000000"/>
              <w:bottom w:val="single" w:sz="7" w:space="0" w:color="000000"/>
              <w:right w:val="single" w:sz="7" w:space="0" w:color="000000"/>
            </w:tcBorders>
          </w:tcPr>
          <w:p w14:paraId="6DDCB875" w14:textId="77777777" w:rsidR="00CC2954" w:rsidRPr="00E01E7A" w:rsidRDefault="00CC2954"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bCs/>
                <w:szCs w:val="22"/>
              </w:rPr>
            </w:pPr>
          </w:p>
          <w:p w14:paraId="479D48F4" w14:textId="0B36E74B" w:rsidR="00CC2954" w:rsidRPr="00E01E7A" w:rsidRDefault="00CC2954"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E01E7A">
              <w:rPr>
                <w:rFonts w:cs="Arial"/>
                <w:szCs w:val="22"/>
              </w:rPr>
              <w:t>f</w:t>
            </w:r>
            <w:r w:rsidRPr="00E01E7A">
              <w:rPr>
                <w:rFonts w:cs="Arial"/>
                <w:szCs w:val="22"/>
                <w:vertAlign w:val="subscript"/>
              </w:rPr>
              <w:t>low</w:t>
            </w:r>
            <w:r w:rsidRPr="00E01E7A">
              <w:rPr>
                <w:rFonts w:cs="Arial"/>
                <w:szCs w:val="22"/>
              </w:rPr>
              <w:t xml:space="preserve"> = </w:t>
            </w:r>
            <w:r w:rsidR="00540B82" w:rsidRPr="00E01E7A">
              <w:rPr>
                <w:rFonts w:cs="Arial"/>
                <w:szCs w:val="22"/>
              </w:rPr>
              <w:t>3.5</w:t>
            </w:r>
            <w:r w:rsidRPr="00E01E7A">
              <w:rPr>
                <w:rFonts w:cs="Arial"/>
                <w:szCs w:val="22"/>
              </w:rPr>
              <w:t xml:space="preserve"> E-5 /ry</w:t>
            </w:r>
          </w:p>
        </w:tc>
      </w:tr>
      <w:tr w:rsidR="00CC2954" w:rsidRPr="00C70CAC" w14:paraId="3180BF2E" w14:textId="77777777" w:rsidTr="001C36DA">
        <w:trPr>
          <w:jc w:val="center"/>
        </w:trPr>
        <w:tc>
          <w:tcPr>
            <w:tcW w:w="2340" w:type="dxa"/>
            <w:tcBorders>
              <w:top w:val="single" w:sz="7" w:space="0" w:color="000000"/>
              <w:left w:val="single" w:sz="7" w:space="0" w:color="000000"/>
              <w:bottom w:val="single" w:sz="7" w:space="0" w:color="000000"/>
              <w:right w:val="single" w:sz="7" w:space="0" w:color="000000"/>
            </w:tcBorders>
          </w:tcPr>
          <w:p w14:paraId="63AABC63" w14:textId="77777777" w:rsidR="00CC2954" w:rsidRPr="00E01E7A" w:rsidRDefault="00CC2954"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szCs w:val="22"/>
              </w:rPr>
            </w:pPr>
          </w:p>
          <w:p w14:paraId="280A0ACB" w14:textId="77777777" w:rsidR="00CC2954" w:rsidRPr="00E01E7A" w:rsidRDefault="00CC2954"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E01E7A">
              <w:rPr>
                <w:rFonts w:cs="Arial"/>
                <w:bCs/>
                <w:szCs w:val="22"/>
              </w:rPr>
              <w:t>Medium</w:t>
            </w:r>
          </w:p>
        </w:tc>
        <w:tc>
          <w:tcPr>
            <w:tcW w:w="2250" w:type="dxa"/>
            <w:tcBorders>
              <w:top w:val="single" w:sz="7" w:space="0" w:color="000000"/>
              <w:left w:val="single" w:sz="7" w:space="0" w:color="000000"/>
              <w:bottom w:val="single" w:sz="7" w:space="0" w:color="000000"/>
              <w:right w:val="single" w:sz="7" w:space="0" w:color="000000"/>
            </w:tcBorders>
          </w:tcPr>
          <w:p w14:paraId="244CC5A5" w14:textId="77777777" w:rsidR="00CC2954" w:rsidRPr="00E01E7A" w:rsidRDefault="00CC2954"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bCs/>
                <w:szCs w:val="22"/>
              </w:rPr>
            </w:pPr>
          </w:p>
          <w:p w14:paraId="304711C0" w14:textId="30B3B349" w:rsidR="00CC2954" w:rsidRPr="00E01E7A" w:rsidRDefault="00CC2954"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E01E7A">
              <w:rPr>
                <w:rFonts w:cs="Arial"/>
                <w:szCs w:val="22"/>
              </w:rPr>
              <w:t>f</w:t>
            </w:r>
            <w:r w:rsidRPr="00E01E7A">
              <w:rPr>
                <w:rFonts w:cs="Arial"/>
                <w:szCs w:val="22"/>
                <w:vertAlign w:val="subscript"/>
              </w:rPr>
              <w:t>med</w:t>
            </w:r>
            <w:r w:rsidRPr="00E01E7A">
              <w:rPr>
                <w:rFonts w:cs="Arial"/>
                <w:szCs w:val="22"/>
              </w:rPr>
              <w:t xml:space="preserve"> = </w:t>
            </w:r>
            <w:r w:rsidR="00540B82" w:rsidRPr="00E01E7A">
              <w:rPr>
                <w:rFonts w:cs="Arial"/>
                <w:szCs w:val="22"/>
              </w:rPr>
              <w:t>1.1</w:t>
            </w:r>
            <w:r w:rsidRPr="00E01E7A">
              <w:rPr>
                <w:rFonts w:cs="Arial"/>
                <w:szCs w:val="22"/>
              </w:rPr>
              <w:t xml:space="preserve"> E-</w:t>
            </w:r>
            <w:r w:rsidR="00540B82" w:rsidRPr="00E01E7A">
              <w:rPr>
                <w:rFonts w:cs="Arial"/>
                <w:szCs w:val="22"/>
              </w:rPr>
              <w:t xml:space="preserve">4 </w:t>
            </w:r>
            <w:r w:rsidRPr="00E01E7A">
              <w:rPr>
                <w:rFonts w:cs="Arial"/>
                <w:szCs w:val="22"/>
              </w:rPr>
              <w:t>/ry</w:t>
            </w:r>
          </w:p>
        </w:tc>
      </w:tr>
      <w:tr w:rsidR="00CC2954" w:rsidRPr="00C70CAC" w14:paraId="0DF9788C" w14:textId="77777777" w:rsidTr="001C36DA">
        <w:trPr>
          <w:jc w:val="center"/>
        </w:trPr>
        <w:tc>
          <w:tcPr>
            <w:tcW w:w="2340" w:type="dxa"/>
            <w:tcBorders>
              <w:top w:val="single" w:sz="7" w:space="0" w:color="000000"/>
              <w:left w:val="single" w:sz="7" w:space="0" w:color="000000"/>
              <w:bottom w:val="single" w:sz="7" w:space="0" w:color="000000"/>
              <w:right w:val="single" w:sz="7" w:space="0" w:color="000000"/>
            </w:tcBorders>
          </w:tcPr>
          <w:p w14:paraId="333305AE" w14:textId="77777777" w:rsidR="00CC2954" w:rsidRPr="00E01E7A" w:rsidRDefault="00CC2954"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szCs w:val="22"/>
              </w:rPr>
            </w:pPr>
          </w:p>
          <w:p w14:paraId="476DA001" w14:textId="77777777" w:rsidR="00CC2954" w:rsidRPr="00E01E7A" w:rsidRDefault="00CC2954"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bCs/>
                <w:szCs w:val="22"/>
              </w:rPr>
            </w:pPr>
            <w:r w:rsidRPr="00E01E7A">
              <w:rPr>
                <w:rFonts w:cs="Arial"/>
                <w:bCs/>
                <w:szCs w:val="22"/>
              </w:rPr>
              <w:t>High</w:t>
            </w:r>
          </w:p>
        </w:tc>
        <w:tc>
          <w:tcPr>
            <w:tcW w:w="2250" w:type="dxa"/>
            <w:tcBorders>
              <w:top w:val="single" w:sz="7" w:space="0" w:color="000000"/>
              <w:left w:val="single" w:sz="7" w:space="0" w:color="000000"/>
              <w:bottom w:val="single" w:sz="7" w:space="0" w:color="000000"/>
              <w:right w:val="single" w:sz="7" w:space="0" w:color="000000"/>
            </w:tcBorders>
          </w:tcPr>
          <w:p w14:paraId="53A01E41" w14:textId="77777777" w:rsidR="00CC2954" w:rsidRPr="00E01E7A" w:rsidRDefault="00CC2954" w:rsidP="00540B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rPr>
                <w:rFonts w:cs="Arial"/>
                <w:bCs/>
                <w:szCs w:val="22"/>
              </w:rPr>
            </w:pPr>
          </w:p>
          <w:p w14:paraId="40B57FED" w14:textId="6D28088D" w:rsidR="00CC2954" w:rsidRPr="00E01E7A" w:rsidRDefault="00CC2954" w:rsidP="00540B8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rPr>
                <w:rFonts w:cs="Arial"/>
                <w:szCs w:val="22"/>
              </w:rPr>
            </w:pPr>
            <w:r w:rsidRPr="00E01E7A">
              <w:rPr>
                <w:rFonts w:cs="Arial"/>
                <w:szCs w:val="22"/>
              </w:rPr>
              <w:t>f</w:t>
            </w:r>
            <w:r w:rsidRPr="00E01E7A">
              <w:rPr>
                <w:rFonts w:cs="Arial"/>
                <w:szCs w:val="22"/>
                <w:vertAlign w:val="subscript"/>
              </w:rPr>
              <w:t>high</w:t>
            </w:r>
            <w:r w:rsidRPr="00E01E7A">
              <w:rPr>
                <w:rFonts w:cs="Arial"/>
                <w:szCs w:val="22"/>
              </w:rPr>
              <w:t xml:space="preserve"> = </w:t>
            </w:r>
            <w:r w:rsidR="00540B82" w:rsidRPr="00E01E7A">
              <w:rPr>
                <w:rFonts w:cs="Arial"/>
                <w:szCs w:val="22"/>
              </w:rPr>
              <w:t>1.1</w:t>
            </w:r>
            <w:r w:rsidRPr="00E01E7A">
              <w:rPr>
                <w:rFonts w:cs="Arial"/>
                <w:szCs w:val="22"/>
              </w:rPr>
              <w:t xml:space="preserve"> E-</w:t>
            </w:r>
            <w:r w:rsidR="00540B82" w:rsidRPr="00E01E7A">
              <w:rPr>
                <w:rFonts w:cs="Arial"/>
                <w:szCs w:val="22"/>
              </w:rPr>
              <w:t xml:space="preserve">3 </w:t>
            </w:r>
            <w:r w:rsidRPr="00E01E7A">
              <w:rPr>
                <w:rFonts w:cs="Arial"/>
                <w:szCs w:val="22"/>
              </w:rPr>
              <w:t>/ry</w:t>
            </w:r>
          </w:p>
        </w:tc>
      </w:tr>
    </w:tbl>
    <w:p w14:paraId="36925758" w14:textId="77777777" w:rsidR="00CC2954" w:rsidRPr="00C70CAC" w:rsidRDefault="00CC2954"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6BB72AE" w14:textId="469D03AD" w:rsidR="00BC7508" w:rsidRDefault="00540B82"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A520C3">
        <w:rPr>
          <w:rFonts w:cs="Arial"/>
          <w:szCs w:val="22"/>
        </w:rPr>
        <w:t xml:space="preserve">Note that the hot work fire frequencies cited here </w:t>
      </w:r>
      <w:r w:rsidRPr="00A520C3">
        <w:rPr>
          <w:rFonts w:cs="Arial"/>
          <w:szCs w:val="22"/>
          <w:u w:val="single"/>
        </w:rPr>
        <w:t>exclude</w:t>
      </w:r>
      <w:r w:rsidRPr="00A520C3">
        <w:rPr>
          <w:rFonts w:cs="Arial"/>
          <w:szCs w:val="22"/>
        </w:rPr>
        <w:t xml:space="preserve"> fires promptly suppressed by a hot work fire watch.  That is, these frequency values </w:t>
      </w:r>
      <w:r w:rsidRPr="00A520C3">
        <w:rPr>
          <w:rFonts w:cs="Arial"/>
          <w:szCs w:val="22"/>
          <w:u w:val="single"/>
        </w:rPr>
        <w:t>include</w:t>
      </w:r>
      <w:r w:rsidRPr="00A520C3">
        <w:rPr>
          <w:rFonts w:cs="Arial"/>
          <w:szCs w:val="22"/>
        </w:rPr>
        <w:t xml:space="preserve"> full credit for prompt suppression by an effective hot work fire watch.</w:t>
      </w:r>
    </w:p>
    <w:p w14:paraId="2B9FBA95" w14:textId="77777777" w:rsidR="00E92AB0" w:rsidRPr="00C70CAC" w:rsidRDefault="00E92AB0"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FB73D00" w14:textId="344B6099" w:rsidR="00EC2070" w:rsidRDefault="0079404E" w:rsidP="004D46E2">
      <w:pPr>
        <w:pStyle w:val="Heading4"/>
      </w:pPr>
      <w:r>
        <w:t>Step</w:t>
      </w:r>
      <w:r w:rsidR="00EC2070">
        <w:t xml:space="preserve"> 2.4.2: Findings Based on Increase in Fire Frequency</w:t>
      </w:r>
    </w:p>
    <w:p w14:paraId="03ABE865"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BAFFAF" w14:textId="19028AFA" w:rsidR="008419E6" w:rsidRPr="00D858C0"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rPr>
        <w:t>Certain types of findings are quantified, in whole or in part, based on an increase in fire frequency.  In particular, this approach is applied to findings related to hot work permitting and fire watch programs, and to findings against the plant fire prevention programs and the transient combustible controls programs in particular.</w:t>
      </w:r>
    </w:p>
    <w:p w14:paraId="23EFD656" w14:textId="77777777" w:rsidR="008419E6" w:rsidRPr="00D858C0"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2FE5B16" w14:textId="77777777" w:rsidR="008419E6" w:rsidRPr="00D858C0" w:rsidRDefault="008419E6" w:rsidP="00E01E7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r w:rsidRPr="00D858C0">
        <w:rPr>
          <w:rFonts w:cs="Arial"/>
          <w:u w:val="single"/>
        </w:rPr>
        <w:lastRenderedPageBreak/>
        <w:t>Hot Work Fire Frequency</w:t>
      </w:r>
    </w:p>
    <w:p w14:paraId="32F93D86" w14:textId="77777777" w:rsidR="008419E6" w:rsidRPr="00D858C0" w:rsidRDefault="008419E6" w:rsidP="00E01E7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EBA120D" w14:textId="18C190A3" w:rsidR="008419E6" w:rsidRPr="00D858C0" w:rsidRDefault="008419E6" w:rsidP="00E01E7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rPr>
        <w:t xml:space="preserve">The factors affecting hot work were primarily based on the requirements of NFPA 51B “Fire Prevention During Welding, Cutting, and Other Hot Work,” </w:t>
      </w:r>
      <w:r w:rsidR="00B96EF9" w:rsidRPr="00D858C0">
        <w:rPr>
          <w:rFonts w:cs="Arial"/>
        </w:rPr>
        <w:t>2014</w:t>
      </w:r>
      <w:r w:rsidR="004F238B" w:rsidRPr="00D858C0">
        <w:rPr>
          <w:rFonts w:cs="Arial"/>
        </w:rPr>
        <w:t>,</w:t>
      </w:r>
      <w:r w:rsidR="00B96EF9" w:rsidRPr="00D858C0">
        <w:rPr>
          <w:rFonts w:cs="Arial"/>
        </w:rPr>
        <w:t xml:space="preserve"> </w:t>
      </w:r>
      <w:r w:rsidRPr="00D858C0">
        <w:rPr>
          <w:rFonts w:cs="Arial"/>
        </w:rPr>
        <w:t>and the description of events as provided in Appendix B to the code “Significant Hot Work Incidents.”  Most of the degradations had to do with fire watch deficiencies based on the fact that the fire watch provides both early detection and early suppression of the incipient fire.</w:t>
      </w:r>
    </w:p>
    <w:p w14:paraId="6353446D" w14:textId="77777777" w:rsidR="008419E6" w:rsidRPr="00D858C0"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C750349" w14:textId="54D67B1B" w:rsidR="008419E6" w:rsidRPr="00D858C0"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rPr>
        <w:t>Deficiencies such as failure to implement a fire watch in positions to observe all areas of vulnerability, failure to implement a fire watch at all, or not having a proper or functional fire extinguisher were considered high degradations.  A method of recovery from not having a functional fire extinguisher is to be within 30 ft</w:t>
      </w:r>
      <w:r w:rsidR="003B7E11" w:rsidRPr="00D858C0">
        <w:rPr>
          <w:rFonts w:cs="Arial"/>
        </w:rPr>
        <w:t>.</w:t>
      </w:r>
      <w:r w:rsidRPr="00D858C0">
        <w:rPr>
          <w:rFonts w:cs="Arial"/>
        </w:rPr>
        <w:t xml:space="preserve"> of a properly identified functional fire extinguisher of the proper type and size for the potential fire.  If such conditions </w:t>
      </w:r>
      <w:r w:rsidR="00315D6F" w:rsidRPr="00D858C0">
        <w:rPr>
          <w:rFonts w:cs="Arial"/>
        </w:rPr>
        <w:t>exist,</w:t>
      </w:r>
      <w:r w:rsidRPr="00D858C0">
        <w:rPr>
          <w:rFonts w:cs="Arial"/>
        </w:rPr>
        <w:t xml:space="preserve"> the deficiency may be considered a low degradation.  The 30 ft</w:t>
      </w:r>
      <w:r w:rsidR="003B7E11" w:rsidRPr="00D858C0">
        <w:rPr>
          <w:rFonts w:cs="Arial"/>
        </w:rPr>
        <w:t>.</w:t>
      </w:r>
      <w:r w:rsidRPr="00D858C0">
        <w:rPr>
          <w:rFonts w:cs="Arial"/>
        </w:rPr>
        <w:t xml:space="preserve"> criteri</w:t>
      </w:r>
      <w:r w:rsidR="004F238B" w:rsidRPr="00D858C0">
        <w:rPr>
          <w:rFonts w:cs="Arial"/>
        </w:rPr>
        <w:t>on</w:t>
      </w:r>
      <w:r w:rsidRPr="00D858C0">
        <w:rPr>
          <w:rFonts w:cs="Arial"/>
        </w:rPr>
        <w:t xml:space="preserve"> is the maximum allowable distance to a small extinguisher for Class B fire Hazards from NFPA 10 “Portable Fire Extinguishers.”  A wet standpipe and hose station was considered as being equivalent to the fire extinguisher during an iteration of  this document, however, because the operation of the hose can be more complex and time consuming than operation of a portable extinguisher and requires special training, the wet standpipe and hose station was excluded as a method of recovery.  Another </w:t>
      </w:r>
      <w:r w:rsidR="00315D6F" w:rsidRPr="00D858C0">
        <w:rPr>
          <w:rFonts w:cs="Arial"/>
        </w:rPr>
        <w:t>deficiency that should be considered a high degradation</w:t>
      </w:r>
      <w:r w:rsidRPr="00D858C0">
        <w:rPr>
          <w:rFonts w:cs="Arial"/>
        </w:rPr>
        <w:t xml:space="preserve"> is failure by the licensee or fire watch to maintain </w:t>
      </w:r>
      <w:r w:rsidR="004F238B" w:rsidRPr="00D858C0">
        <w:rPr>
          <w:rFonts w:cs="Arial"/>
        </w:rPr>
        <w:t xml:space="preserve">personnel </w:t>
      </w:r>
      <w:r w:rsidRPr="00D858C0">
        <w:rPr>
          <w:rFonts w:cs="Arial"/>
        </w:rPr>
        <w:t>safe</w:t>
      </w:r>
      <w:r w:rsidR="004F238B" w:rsidRPr="00D858C0">
        <w:rPr>
          <w:rFonts w:cs="Arial"/>
        </w:rPr>
        <w:t>ty</w:t>
      </w:r>
      <w:r w:rsidRPr="00D858C0">
        <w:rPr>
          <w:rFonts w:cs="Arial"/>
        </w:rPr>
        <w:t xml:space="preserve"> conditions during hot work operations.  Although such failures do not remove the fire watch as a means of detection and suppression, the probability of a fast growing fire which could challenge the effectiveness of the fire extinguisher increases.  Low degradation </w:t>
      </w:r>
      <w:r w:rsidR="000F119F">
        <w:rPr>
          <w:rFonts w:cs="Arial"/>
        </w:rPr>
        <w:t xml:space="preserve">deficiencies </w:t>
      </w:r>
      <w:r w:rsidRPr="00D858C0">
        <w:rPr>
          <w:rFonts w:cs="Arial"/>
        </w:rPr>
        <w:t>were considered to be deficiencies observed by reviews of training records or interviews of fire watches.  These are considered low because in an actual situation, it is likely that other members of the hot work crew would have the knowledge to compensate.  The nominal hot work fire frequency values reported in the SDP frequency analysis tables excluded fire events that were promptly suppressed by the fire watch.  A high degradation will be factored into the risk analysis by “removing” this prompt suppression credit.  This is reflected by multiplying to nominal fire frequency by a factor of 3.  The multiplication factor</w:t>
      </w:r>
      <w:r w:rsidR="006214ED" w:rsidRPr="00D858C0">
        <w:rPr>
          <w:rFonts w:cs="Arial"/>
        </w:rPr>
        <w:t xml:space="preserve"> is based on the ratio of the 95</w:t>
      </w:r>
      <w:r w:rsidR="006214ED" w:rsidRPr="00D858C0">
        <w:rPr>
          <w:rFonts w:cs="Arial"/>
          <w:vertAlign w:val="superscript"/>
        </w:rPr>
        <w:t>th</w:t>
      </w:r>
      <w:r w:rsidR="006214ED" w:rsidRPr="00D858C0">
        <w:rPr>
          <w:rFonts w:cs="Arial"/>
        </w:rPr>
        <w:t xml:space="preserve"> percentile to the mean of the </w:t>
      </w:r>
      <w:r w:rsidR="003B243E" w:rsidRPr="00D858C0">
        <w:rPr>
          <w:rFonts w:cs="Arial"/>
        </w:rPr>
        <w:t xml:space="preserve">ignition </w:t>
      </w:r>
      <w:r w:rsidR="006214ED" w:rsidRPr="00D858C0">
        <w:rPr>
          <w:rFonts w:cs="Arial"/>
        </w:rPr>
        <w:t xml:space="preserve">frequency distribution for all hot work transient fire bins </w:t>
      </w:r>
      <w:r w:rsidR="007C3368" w:rsidRPr="00D858C0">
        <w:rPr>
          <w:rFonts w:cs="Arial"/>
        </w:rPr>
        <w:t xml:space="preserve">(3, 6, 24, and 36) </w:t>
      </w:r>
      <w:r w:rsidR="006214ED" w:rsidRPr="00D858C0">
        <w:rPr>
          <w:rFonts w:cs="Arial"/>
        </w:rPr>
        <w:t xml:space="preserve">reported in </w:t>
      </w:r>
      <w:r w:rsidR="008A3764" w:rsidRPr="00D858C0">
        <w:rPr>
          <w:rFonts w:cs="Arial"/>
        </w:rPr>
        <w:t>Reference 15</w:t>
      </w:r>
      <w:r w:rsidR="007C3368" w:rsidRPr="00D858C0">
        <w:rPr>
          <w:rFonts w:cs="Arial"/>
        </w:rPr>
        <w:t>, Section 4-2, Table 4-1</w:t>
      </w:r>
      <w:r w:rsidR="000F119F">
        <w:rPr>
          <w:rFonts w:cs="Arial"/>
        </w:rPr>
        <w:t>.</w:t>
      </w:r>
      <w:r w:rsidR="006214ED" w:rsidRPr="00D858C0">
        <w:rPr>
          <w:rFonts w:cs="Arial"/>
        </w:rPr>
        <w:t xml:space="preserve"> </w:t>
      </w:r>
      <w:r w:rsidR="00E12F74" w:rsidRPr="00D858C0">
        <w:rPr>
          <w:rFonts w:cs="Arial"/>
        </w:rPr>
        <w:t xml:space="preserve">Note that only 56% of the bin 3 fires are hot work transient fires in PWR containment.  The remaining 44% are transient fires.  </w:t>
      </w:r>
      <w:r w:rsidR="003B243E" w:rsidRPr="00D858C0">
        <w:rPr>
          <w:rFonts w:cs="Arial"/>
        </w:rPr>
        <w:t xml:space="preserve">The overall ratio is equal to </w:t>
      </w:r>
      <w:r w:rsidR="00366CF9" w:rsidRPr="00D858C0">
        <w:rPr>
          <w:rFonts w:cs="Arial"/>
        </w:rPr>
        <w:t>3.07</w:t>
      </w:r>
      <w:r w:rsidR="003B243E" w:rsidRPr="00D858C0">
        <w:rPr>
          <w:rFonts w:cs="Arial"/>
        </w:rPr>
        <w:t xml:space="preserve">, as shown in </w:t>
      </w:r>
      <w:r w:rsidR="006214ED" w:rsidRPr="00D858C0">
        <w:rPr>
          <w:rFonts w:cs="Arial"/>
        </w:rPr>
        <w:t>Table 6.2.6</w:t>
      </w:r>
      <w:r w:rsidR="000F119F">
        <w:rPr>
          <w:rFonts w:cs="Arial"/>
        </w:rPr>
        <w:t xml:space="preserve"> below</w:t>
      </w:r>
      <w:r w:rsidR="003B243E" w:rsidRPr="00D858C0">
        <w:rPr>
          <w:rFonts w:cs="Arial"/>
        </w:rPr>
        <w:t xml:space="preserve">, and is rounded to a factor </w:t>
      </w:r>
      <w:r w:rsidR="00366CF9" w:rsidRPr="00D858C0">
        <w:rPr>
          <w:rFonts w:cs="Arial"/>
        </w:rPr>
        <w:t xml:space="preserve">of </w:t>
      </w:r>
      <w:r w:rsidR="003B243E" w:rsidRPr="00D858C0">
        <w:rPr>
          <w:rFonts w:cs="Arial"/>
        </w:rPr>
        <w:t>3</w:t>
      </w:r>
      <w:r w:rsidRPr="00D858C0">
        <w:rPr>
          <w:rFonts w:cs="Arial"/>
        </w:rPr>
        <w:t>.</w:t>
      </w:r>
    </w:p>
    <w:p w14:paraId="51B13552" w14:textId="4386BDFA" w:rsidR="003B243E" w:rsidRPr="00D858C0" w:rsidRDefault="003B243E"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734"/>
        <w:gridCol w:w="1877"/>
        <w:gridCol w:w="1877"/>
        <w:gridCol w:w="1712"/>
      </w:tblGrid>
      <w:tr w:rsidR="002573BC" w:rsidRPr="00E01E7A" w14:paraId="32340C5C" w14:textId="77777777" w:rsidTr="00E12F74">
        <w:trPr>
          <w:jc w:val="center"/>
        </w:trPr>
        <w:tc>
          <w:tcPr>
            <w:tcW w:w="7200" w:type="dxa"/>
            <w:gridSpan w:val="4"/>
            <w:tcBorders>
              <w:bottom w:val="single" w:sz="8" w:space="0" w:color="auto"/>
            </w:tcBorders>
            <w:shd w:val="clear" w:color="auto" w:fill="D9D9D9" w:themeFill="background1" w:themeFillShade="D9"/>
          </w:tcPr>
          <w:p w14:paraId="29B8D0EE" w14:textId="7F8EF3E0" w:rsidR="002573BC" w:rsidRPr="00E01E7A" w:rsidRDefault="002573BC" w:rsidP="005721EF">
            <w:pPr>
              <w:pStyle w:val="TableCaption"/>
              <w:rPr>
                <w:b w:val="0"/>
              </w:rPr>
            </w:pPr>
            <w:bookmarkStart w:id="153" w:name="_Toc483393011"/>
            <w:r w:rsidRPr="00E01E7A">
              <w:rPr>
                <w:b w:val="0"/>
              </w:rPr>
              <w:t>Table 6.2.6 – Multiplication Factor for Hot Work Transient Fires</w:t>
            </w:r>
            <w:r w:rsidR="00C90CC8" w:rsidRPr="00E01E7A">
              <w:rPr>
                <w:b w:val="0"/>
              </w:rPr>
              <w:t>.</w:t>
            </w:r>
            <w:bookmarkEnd w:id="153"/>
          </w:p>
        </w:tc>
      </w:tr>
      <w:tr w:rsidR="00366CF9" w:rsidRPr="00E01E7A" w14:paraId="75799847" w14:textId="77777777" w:rsidTr="00E12F74">
        <w:trPr>
          <w:jc w:val="center"/>
        </w:trPr>
        <w:tc>
          <w:tcPr>
            <w:tcW w:w="2160" w:type="dxa"/>
            <w:tcBorders>
              <w:right w:val="single" w:sz="8" w:space="0" w:color="auto"/>
            </w:tcBorders>
            <w:vAlign w:val="center"/>
          </w:tcPr>
          <w:p w14:paraId="11CAED5B" w14:textId="72151BBA" w:rsidR="002573BC" w:rsidRPr="00E01E7A" w:rsidRDefault="002573BC"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Bin</w:t>
            </w:r>
          </w:p>
        </w:tc>
        <w:tc>
          <w:tcPr>
            <w:tcW w:w="2160" w:type="dxa"/>
            <w:tcBorders>
              <w:left w:val="single" w:sz="8" w:space="0" w:color="auto"/>
              <w:right w:val="single" w:sz="8" w:space="0" w:color="auto"/>
            </w:tcBorders>
            <w:vAlign w:val="center"/>
          </w:tcPr>
          <w:p w14:paraId="5C04F178" w14:textId="77777777" w:rsidR="002573BC" w:rsidRPr="00E01E7A" w:rsidRDefault="002573BC"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Mean</w:t>
            </w:r>
          </w:p>
          <w:p w14:paraId="31007DEC" w14:textId="7DCDD22D" w:rsidR="002573BC" w:rsidRPr="00E01E7A" w:rsidRDefault="002573BC"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Frequency</w:t>
            </w:r>
          </w:p>
        </w:tc>
        <w:tc>
          <w:tcPr>
            <w:tcW w:w="2160" w:type="dxa"/>
            <w:tcBorders>
              <w:left w:val="single" w:sz="8" w:space="0" w:color="auto"/>
              <w:right w:val="single" w:sz="8" w:space="0" w:color="auto"/>
            </w:tcBorders>
            <w:vAlign w:val="center"/>
          </w:tcPr>
          <w:p w14:paraId="4947C163" w14:textId="77777777" w:rsidR="002573BC" w:rsidRPr="00E01E7A" w:rsidRDefault="002573BC"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95</w:t>
            </w:r>
            <w:r w:rsidRPr="00E01E7A">
              <w:rPr>
                <w:vertAlign w:val="superscript"/>
              </w:rPr>
              <w:t>th</w:t>
            </w:r>
            <w:r w:rsidRPr="00E01E7A">
              <w:t xml:space="preserve"> Percentile</w:t>
            </w:r>
          </w:p>
          <w:p w14:paraId="7AEB939C" w14:textId="7C5116BF" w:rsidR="002573BC" w:rsidRPr="00E01E7A" w:rsidRDefault="002573BC"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Frequency</w:t>
            </w:r>
          </w:p>
        </w:tc>
        <w:tc>
          <w:tcPr>
            <w:tcW w:w="2160" w:type="dxa"/>
            <w:tcBorders>
              <w:left w:val="single" w:sz="8" w:space="0" w:color="auto"/>
            </w:tcBorders>
            <w:vAlign w:val="center"/>
          </w:tcPr>
          <w:p w14:paraId="3A8AAF73" w14:textId="6633BC51" w:rsidR="002573BC" w:rsidRPr="00E01E7A" w:rsidRDefault="002573BC"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Ratio</w:t>
            </w:r>
          </w:p>
        </w:tc>
      </w:tr>
      <w:tr w:rsidR="00366CF9" w:rsidRPr="00E01E7A" w14:paraId="09201DAD" w14:textId="77777777" w:rsidTr="00E12F74">
        <w:trPr>
          <w:jc w:val="center"/>
        </w:trPr>
        <w:tc>
          <w:tcPr>
            <w:tcW w:w="2160" w:type="dxa"/>
            <w:tcBorders>
              <w:right w:val="single" w:sz="8" w:space="0" w:color="auto"/>
            </w:tcBorders>
          </w:tcPr>
          <w:p w14:paraId="54D3E343" w14:textId="63EAE3AB"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3 (56%)</w:t>
            </w:r>
          </w:p>
        </w:tc>
        <w:tc>
          <w:tcPr>
            <w:tcW w:w="2160" w:type="dxa"/>
            <w:tcBorders>
              <w:left w:val="single" w:sz="8" w:space="0" w:color="auto"/>
              <w:right w:val="single" w:sz="8" w:space="0" w:color="auto"/>
            </w:tcBorders>
            <w:vAlign w:val="bottom"/>
          </w:tcPr>
          <w:p w14:paraId="5FC26AC3" w14:textId="52EB8AE8"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2.36E-4</w:t>
            </w:r>
          </w:p>
        </w:tc>
        <w:tc>
          <w:tcPr>
            <w:tcW w:w="2160" w:type="dxa"/>
            <w:tcBorders>
              <w:left w:val="single" w:sz="8" w:space="0" w:color="auto"/>
              <w:right w:val="single" w:sz="8" w:space="0" w:color="auto"/>
            </w:tcBorders>
            <w:vAlign w:val="bottom"/>
          </w:tcPr>
          <w:p w14:paraId="4086AA7C" w14:textId="1B511F65"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8.90E-4</w:t>
            </w:r>
          </w:p>
        </w:tc>
        <w:tc>
          <w:tcPr>
            <w:tcW w:w="2160" w:type="dxa"/>
            <w:tcBorders>
              <w:left w:val="single" w:sz="8" w:space="0" w:color="auto"/>
            </w:tcBorders>
            <w:vAlign w:val="bottom"/>
          </w:tcPr>
          <w:p w14:paraId="09472341" w14:textId="24E1E980"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3.78</w:t>
            </w:r>
          </w:p>
        </w:tc>
      </w:tr>
      <w:tr w:rsidR="00366CF9" w:rsidRPr="00E01E7A" w14:paraId="34ADA24E" w14:textId="77777777" w:rsidTr="00E12F74">
        <w:trPr>
          <w:jc w:val="center"/>
        </w:trPr>
        <w:tc>
          <w:tcPr>
            <w:tcW w:w="1713" w:type="dxa"/>
            <w:tcBorders>
              <w:right w:val="single" w:sz="8" w:space="0" w:color="auto"/>
            </w:tcBorders>
          </w:tcPr>
          <w:p w14:paraId="301F3E01" w14:textId="2BA97E90"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6</w:t>
            </w:r>
          </w:p>
        </w:tc>
        <w:tc>
          <w:tcPr>
            <w:tcW w:w="1883" w:type="dxa"/>
            <w:tcBorders>
              <w:left w:val="single" w:sz="8" w:space="0" w:color="auto"/>
              <w:right w:val="single" w:sz="8" w:space="0" w:color="auto"/>
            </w:tcBorders>
            <w:vAlign w:val="bottom"/>
          </w:tcPr>
          <w:p w14:paraId="399A8322" w14:textId="7159E13F"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4.44E-3</w:t>
            </w:r>
          </w:p>
        </w:tc>
        <w:tc>
          <w:tcPr>
            <w:tcW w:w="1883" w:type="dxa"/>
            <w:tcBorders>
              <w:left w:val="single" w:sz="8" w:space="0" w:color="auto"/>
              <w:right w:val="single" w:sz="8" w:space="0" w:color="auto"/>
            </w:tcBorders>
            <w:vAlign w:val="bottom"/>
          </w:tcPr>
          <w:p w14:paraId="77A56FDD" w14:textId="5DD0581A"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1.51E-2</w:t>
            </w:r>
          </w:p>
        </w:tc>
        <w:tc>
          <w:tcPr>
            <w:tcW w:w="1721" w:type="dxa"/>
            <w:tcBorders>
              <w:left w:val="single" w:sz="8" w:space="0" w:color="auto"/>
            </w:tcBorders>
            <w:vAlign w:val="bottom"/>
          </w:tcPr>
          <w:p w14:paraId="20C15A30" w14:textId="69F56BB1"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3.40</w:t>
            </w:r>
          </w:p>
        </w:tc>
      </w:tr>
      <w:tr w:rsidR="00366CF9" w:rsidRPr="00E01E7A" w14:paraId="16A83D6B" w14:textId="77777777" w:rsidTr="00E12F74">
        <w:trPr>
          <w:jc w:val="center"/>
        </w:trPr>
        <w:tc>
          <w:tcPr>
            <w:tcW w:w="1713" w:type="dxa"/>
            <w:tcBorders>
              <w:right w:val="single" w:sz="8" w:space="0" w:color="auto"/>
            </w:tcBorders>
          </w:tcPr>
          <w:p w14:paraId="04384D07" w14:textId="56B76785"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24</w:t>
            </w:r>
          </w:p>
        </w:tc>
        <w:tc>
          <w:tcPr>
            <w:tcW w:w="1883" w:type="dxa"/>
            <w:tcBorders>
              <w:left w:val="single" w:sz="8" w:space="0" w:color="auto"/>
              <w:right w:val="single" w:sz="8" w:space="0" w:color="auto"/>
            </w:tcBorders>
            <w:vAlign w:val="bottom"/>
          </w:tcPr>
          <w:p w14:paraId="7EEFABFA" w14:textId="0EB12D2E"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4.79E-3</w:t>
            </w:r>
          </w:p>
        </w:tc>
        <w:tc>
          <w:tcPr>
            <w:tcW w:w="1883" w:type="dxa"/>
            <w:tcBorders>
              <w:left w:val="single" w:sz="8" w:space="0" w:color="auto"/>
              <w:right w:val="single" w:sz="8" w:space="0" w:color="auto"/>
            </w:tcBorders>
            <w:vAlign w:val="bottom"/>
          </w:tcPr>
          <w:p w14:paraId="4BA59CFE" w14:textId="61A634AA"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1.36E-2</w:t>
            </w:r>
          </w:p>
        </w:tc>
        <w:tc>
          <w:tcPr>
            <w:tcW w:w="1721" w:type="dxa"/>
            <w:tcBorders>
              <w:left w:val="single" w:sz="8" w:space="0" w:color="auto"/>
            </w:tcBorders>
            <w:vAlign w:val="bottom"/>
          </w:tcPr>
          <w:p w14:paraId="2B8489D3" w14:textId="4253DBAD"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2.84</w:t>
            </w:r>
          </w:p>
        </w:tc>
      </w:tr>
      <w:tr w:rsidR="00366CF9" w:rsidRPr="00E01E7A" w14:paraId="658327BF" w14:textId="77777777" w:rsidTr="00E12F74">
        <w:trPr>
          <w:jc w:val="center"/>
        </w:trPr>
        <w:tc>
          <w:tcPr>
            <w:tcW w:w="1713" w:type="dxa"/>
            <w:tcBorders>
              <w:right w:val="single" w:sz="8" w:space="0" w:color="auto"/>
            </w:tcBorders>
          </w:tcPr>
          <w:p w14:paraId="4F48FC93" w14:textId="0C709515"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36</w:t>
            </w:r>
          </w:p>
        </w:tc>
        <w:tc>
          <w:tcPr>
            <w:tcW w:w="1883" w:type="dxa"/>
            <w:tcBorders>
              <w:left w:val="single" w:sz="8" w:space="0" w:color="auto"/>
              <w:right w:val="single" w:sz="8" w:space="0" w:color="auto"/>
            </w:tcBorders>
            <w:vAlign w:val="bottom"/>
          </w:tcPr>
          <w:p w14:paraId="3E0E70EA" w14:textId="2E00647D"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4.67E-3</w:t>
            </w:r>
          </w:p>
        </w:tc>
        <w:tc>
          <w:tcPr>
            <w:tcW w:w="1883" w:type="dxa"/>
            <w:tcBorders>
              <w:left w:val="single" w:sz="8" w:space="0" w:color="auto"/>
              <w:right w:val="single" w:sz="8" w:space="0" w:color="auto"/>
            </w:tcBorders>
            <w:vAlign w:val="bottom"/>
          </w:tcPr>
          <w:p w14:paraId="4B0E8EDC" w14:textId="5684A08A"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1.38E-2</w:t>
            </w:r>
          </w:p>
        </w:tc>
        <w:tc>
          <w:tcPr>
            <w:tcW w:w="1721" w:type="dxa"/>
            <w:tcBorders>
              <w:left w:val="single" w:sz="8" w:space="0" w:color="auto"/>
            </w:tcBorders>
            <w:vAlign w:val="bottom"/>
          </w:tcPr>
          <w:p w14:paraId="088B5D33" w14:textId="7C53A4AA"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2.96</w:t>
            </w:r>
          </w:p>
        </w:tc>
      </w:tr>
      <w:tr w:rsidR="00366CF9" w:rsidRPr="00E01E7A" w14:paraId="1D8A605A" w14:textId="77777777" w:rsidTr="00E12F74">
        <w:trPr>
          <w:jc w:val="center"/>
        </w:trPr>
        <w:tc>
          <w:tcPr>
            <w:tcW w:w="1713" w:type="dxa"/>
            <w:tcBorders>
              <w:right w:val="single" w:sz="8" w:space="0" w:color="auto"/>
            </w:tcBorders>
          </w:tcPr>
          <w:p w14:paraId="4AD2DBF4" w14:textId="17B7DACF"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Total</w:t>
            </w:r>
          </w:p>
        </w:tc>
        <w:tc>
          <w:tcPr>
            <w:tcW w:w="1883" w:type="dxa"/>
            <w:tcBorders>
              <w:left w:val="single" w:sz="8" w:space="0" w:color="auto"/>
              <w:right w:val="single" w:sz="8" w:space="0" w:color="auto"/>
            </w:tcBorders>
            <w:vAlign w:val="bottom"/>
          </w:tcPr>
          <w:p w14:paraId="164CF297" w14:textId="3A815E58"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1.41E-2</w:t>
            </w:r>
          </w:p>
        </w:tc>
        <w:tc>
          <w:tcPr>
            <w:tcW w:w="1883" w:type="dxa"/>
            <w:tcBorders>
              <w:left w:val="single" w:sz="8" w:space="0" w:color="auto"/>
              <w:right w:val="single" w:sz="8" w:space="0" w:color="auto"/>
            </w:tcBorders>
            <w:vAlign w:val="bottom"/>
          </w:tcPr>
          <w:p w14:paraId="21034141" w14:textId="344F87FE"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4.34E-2</w:t>
            </w:r>
          </w:p>
        </w:tc>
        <w:tc>
          <w:tcPr>
            <w:tcW w:w="1721" w:type="dxa"/>
            <w:tcBorders>
              <w:left w:val="single" w:sz="8" w:space="0" w:color="auto"/>
            </w:tcBorders>
            <w:vAlign w:val="bottom"/>
          </w:tcPr>
          <w:p w14:paraId="14EB2F83" w14:textId="2A2F0EE4" w:rsidR="00366CF9" w:rsidRPr="00E01E7A" w:rsidRDefault="00366CF9" w:rsidP="00366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3.07</w:t>
            </w:r>
          </w:p>
        </w:tc>
      </w:tr>
    </w:tbl>
    <w:p w14:paraId="74D62C9F" w14:textId="77777777" w:rsidR="0062717F" w:rsidRDefault="0062717F"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5CFA9B57" w14:textId="1190A352" w:rsidR="008419E6" w:rsidRPr="00D858C0"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u w:val="single"/>
        </w:rPr>
        <w:t>Transient Combustible Fire Frequency</w:t>
      </w:r>
    </w:p>
    <w:p w14:paraId="152652F8" w14:textId="77777777" w:rsidR="008419E6" w:rsidRPr="00D858C0"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A49A698" w14:textId="2CB033A6" w:rsidR="008419E6" w:rsidRPr="00C70CAC"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rPr>
        <w:t xml:space="preserve">Findings for which degradations may </w:t>
      </w:r>
      <w:r w:rsidR="000F119F">
        <w:rPr>
          <w:rFonts w:cs="Arial"/>
        </w:rPr>
        <w:t>impact the</w:t>
      </w:r>
      <w:r w:rsidRPr="00D858C0">
        <w:rPr>
          <w:rFonts w:cs="Arial"/>
        </w:rPr>
        <w:t xml:space="preserve"> transient combustible fire frequency will be based on the requirements in the plant’s written policies regarding transient combustible storage.  Items of interest in regard to transient combustible fire frequency are considered to be </w:t>
      </w:r>
      <w:r w:rsidRPr="00D858C0">
        <w:rPr>
          <w:rFonts w:cs="Arial"/>
        </w:rPr>
        <w:lastRenderedPageBreak/>
        <w:t xml:space="preserve">relatively low flashpoint flammable and combustible liquids, </w:t>
      </w:r>
      <w:r w:rsidR="00315D6F" w:rsidRPr="00D858C0">
        <w:rPr>
          <w:rFonts w:cs="Arial"/>
        </w:rPr>
        <w:t>self-igniting</w:t>
      </w:r>
      <w:r w:rsidRPr="00D858C0">
        <w:rPr>
          <w:rFonts w:cs="Arial"/>
        </w:rPr>
        <w:t xml:space="preserve"> combustibles, evidence of smoking in a non-smoking area, and unapproved heaters or heat sources.  The relatively low flashpoint flammable and combustible liquids are those liquids with flashpoints below 200°F and include class I liquids (flashpoint 73°F - 100°F</w:t>
      </w:r>
      <w:r w:rsidR="004F238B" w:rsidRPr="00D858C0">
        <w:rPr>
          <w:rFonts w:cs="Arial"/>
        </w:rPr>
        <w:t>)</w:t>
      </w:r>
      <w:r w:rsidRPr="00D858C0">
        <w:rPr>
          <w:rFonts w:cs="Arial"/>
        </w:rPr>
        <w:t xml:space="preserve">, class II liquids (flashpoint 100°F - 140°F), and class IIIA liquids (140°F - 200°F).  The selection of 200°F was based on limiting flammable/combustible liquids to those </w:t>
      </w:r>
      <w:r w:rsidR="00315D6F" w:rsidRPr="00D858C0">
        <w:rPr>
          <w:rFonts w:cs="Arial"/>
        </w:rPr>
        <w:t>liquids that</w:t>
      </w:r>
      <w:r w:rsidRPr="00D858C0">
        <w:rPr>
          <w:rFonts w:cs="Arial"/>
        </w:rPr>
        <w:t xml:space="preserve"> could result in a flash fire because of their proximity to a heat or ignition source.  Combustible liquids with flashpoints over 200°F are more likely to require actual contact or close proximity to an ignition source similar to ordinary solid combustibles.  In addition, the “low flashpoint” liquids have to be in unapproved containers and unattended to qualify as a high degradation. </w:t>
      </w:r>
      <w:r w:rsidR="00B96EF9" w:rsidRPr="00D858C0">
        <w:rPr>
          <w:rFonts w:cs="Arial"/>
        </w:rPr>
        <w:t xml:space="preserve"> </w:t>
      </w:r>
      <w:r w:rsidRPr="00D858C0">
        <w:rPr>
          <w:rFonts w:cs="Arial"/>
        </w:rPr>
        <w:t>Low flashpoint liquids above the amount specified in the plant’s storage policies but in approved containers will be considered a low degradation and will not affect the transient combustible fire frequency.  However, such a finding may increase combustible loading assumptions for fire modeling.</w:t>
      </w:r>
    </w:p>
    <w:p w14:paraId="7688FF64" w14:textId="77777777" w:rsidR="008419E6" w:rsidRPr="00C70CAC"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86CBFB4" w14:textId="5C0778A8" w:rsidR="00366CF9"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Other </w:t>
      </w:r>
      <w:r w:rsidR="00315D6F" w:rsidRPr="00C70CAC">
        <w:rPr>
          <w:rFonts w:cs="Arial"/>
        </w:rPr>
        <w:t>findings that would result in high degradations</w:t>
      </w:r>
      <w:r w:rsidRPr="00C70CAC">
        <w:rPr>
          <w:rFonts w:cs="Arial"/>
        </w:rPr>
        <w:t xml:space="preserve"> are self-igniting combustibles in unapproved </w:t>
      </w:r>
      <w:r w:rsidR="00315D6F" w:rsidRPr="00C70CAC">
        <w:rPr>
          <w:rFonts w:cs="Arial"/>
        </w:rPr>
        <w:t>containers that</w:t>
      </w:r>
      <w:r w:rsidRPr="00C70CAC">
        <w:rPr>
          <w:rFonts w:cs="Arial"/>
        </w:rPr>
        <w:t xml:space="preserve"> are not being attended; evidence of smoking materials in a non-smoking area; and unapproved heaters and heat sources.  All high degradations findings will increase the transient </w:t>
      </w:r>
      <w:r w:rsidR="00D11C8E">
        <w:rPr>
          <w:rFonts w:cs="Arial"/>
        </w:rPr>
        <w:t>FIF</w:t>
      </w:r>
      <w:r w:rsidRPr="00C70CAC">
        <w:rPr>
          <w:rFonts w:cs="Arial"/>
        </w:rPr>
        <w:t xml:space="preserve"> for the fire area in which they are found by a factor of 3.</w:t>
      </w:r>
      <w:r w:rsidR="00366CF9">
        <w:rPr>
          <w:rFonts w:cs="Arial"/>
        </w:rPr>
        <w:t xml:space="preserve">  </w:t>
      </w:r>
      <w:r w:rsidR="00366CF9" w:rsidRPr="00C70CAC">
        <w:rPr>
          <w:rFonts w:cs="Arial"/>
        </w:rPr>
        <w:t>The multiplication factor</w:t>
      </w:r>
      <w:r w:rsidR="00366CF9">
        <w:rPr>
          <w:rFonts w:cs="Arial"/>
        </w:rPr>
        <w:t xml:space="preserve"> is based on the ratio of the 95</w:t>
      </w:r>
      <w:r w:rsidR="00366CF9" w:rsidRPr="006214ED">
        <w:rPr>
          <w:rFonts w:cs="Arial"/>
          <w:vertAlign w:val="superscript"/>
        </w:rPr>
        <w:t>th</w:t>
      </w:r>
      <w:r w:rsidR="00366CF9">
        <w:rPr>
          <w:rFonts w:cs="Arial"/>
        </w:rPr>
        <w:t xml:space="preserve"> percentile to the mean of the ignition frequency distribution for all transient fire bins (3, 7, 25, and 37) reported in </w:t>
      </w:r>
      <w:r w:rsidR="008A3764">
        <w:rPr>
          <w:rFonts w:cs="Arial"/>
        </w:rPr>
        <w:t>Reference 15</w:t>
      </w:r>
      <w:r w:rsidR="00366CF9">
        <w:rPr>
          <w:rFonts w:cs="Arial"/>
        </w:rPr>
        <w:t>, Section 4-2, Table 4-1, The overall ratio is equal to 2.63, as shown in Table 6.2.7</w:t>
      </w:r>
      <w:r w:rsidR="000F119F">
        <w:rPr>
          <w:rFonts w:cs="Arial"/>
        </w:rPr>
        <w:t xml:space="preserve"> below</w:t>
      </w:r>
      <w:r w:rsidR="00366CF9">
        <w:rPr>
          <w:rFonts w:cs="Arial"/>
        </w:rPr>
        <w:t>, and is rounded to a factor of 3</w:t>
      </w:r>
      <w:r w:rsidR="00366CF9" w:rsidRPr="00C70CAC">
        <w:rPr>
          <w:rFonts w:cs="Arial"/>
        </w:rPr>
        <w:t>.</w:t>
      </w:r>
    </w:p>
    <w:p w14:paraId="3F031B41" w14:textId="77777777" w:rsidR="00366CF9" w:rsidRDefault="00366CF9"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734"/>
        <w:gridCol w:w="1877"/>
        <w:gridCol w:w="1877"/>
        <w:gridCol w:w="1712"/>
      </w:tblGrid>
      <w:tr w:rsidR="00366CF9" w:rsidRPr="00E01E7A" w14:paraId="3863C78F" w14:textId="77777777" w:rsidTr="001C36DA">
        <w:trPr>
          <w:jc w:val="center"/>
        </w:trPr>
        <w:tc>
          <w:tcPr>
            <w:tcW w:w="7200" w:type="dxa"/>
            <w:gridSpan w:val="4"/>
            <w:tcBorders>
              <w:bottom w:val="single" w:sz="8" w:space="0" w:color="auto"/>
            </w:tcBorders>
            <w:shd w:val="clear" w:color="auto" w:fill="D9D9D9" w:themeFill="background1" w:themeFillShade="D9"/>
          </w:tcPr>
          <w:p w14:paraId="753975A9" w14:textId="371A3CD4" w:rsidR="00366CF9" w:rsidRPr="00E01E7A" w:rsidRDefault="00366CF9" w:rsidP="005721EF">
            <w:pPr>
              <w:pStyle w:val="TableCaption"/>
              <w:rPr>
                <w:b w:val="0"/>
              </w:rPr>
            </w:pPr>
            <w:bookmarkStart w:id="154" w:name="_Toc483393012"/>
            <w:r w:rsidRPr="00E01E7A">
              <w:rPr>
                <w:b w:val="0"/>
              </w:rPr>
              <w:t>Table 6.2.7 – Multiplication Factor for Transient Fires</w:t>
            </w:r>
            <w:r w:rsidR="00C90CC8" w:rsidRPr="00E01E7A">
              <w:rPr>
                <w:b w:val="0"/>
              </w:rPr>
              <w:t>.</w:t>
            </w:r>
            <w:bookmarkEnd w:id="154"/>
          </w:p>
        </w:tc>
      </w:tr>
      <w:tr w:rsidR="00366CF9" w:rsidRPr="00E01E7A" w14:paraId="0FF55CB2" w14:textId="77777777" w:rsidTr="00E12F74">
        <w:trPr>
          <w:jc w:val="center"/>
        </w:trPr>
        <w:tc>
          <w:tcPr>
            <w:tcW w:w="1717" w:type="dxa"/>
            <w:tcBorders>
              <w:right w:val="single" w:sz="8" w:space="0" w:color="auto"/>
            </w:tcBorders>
            <w:vAlign w:val="center"/>
          </w:tcPr>
          <w:p w14:paraId="66EB99D4" w14:textId="77777777" w:rsidR="00366CF9" w:rsidRPr="00E01E7A" w:rsidRDefault="00366CF9" w:rsidP="001C36D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Bin</w:t>
            </w:r>
          </w:p>
        </w:tc>
        <w:tc>
          <w:tcPr>
            <w:tcW w:w="1889" w:type="dxa"/>
            <w:tcBorders>
              <w:left w:val="single" w:sz="8" w:space="0" w:color="auto"/>
              <w:right w:val="single" w:sz="8" w:space="0" w:color="auto"/>
            </w:tcBorders>
            <w:vAlign w:val="center"/>
          </w:tcPr>
          <w:p w14:paraId="777954E5" w14:textId="77777777" w:rsidR="00366CF9" w:rsidRPr="00E01E7A" w:rsidRDefault="00366CF9" w:rsidP="001C36D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Mean</w:t>
            </w:r>
          </w:p>
          <w:p w14:paraId="04BAD134" w14:textId="77777777" w:rsidR="00366CF9" w:rsidRPr="00E01E7A" w:rsidRDefault="00366CF9" w:rsidP="001C36D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Frequency</w:t>
            </w:r>
          </w:p>
        </w:tc>
        <w:tc>
          <w:tcPr>
            <w:tcW w:w="1889" w:type="dxa"/>
            <w:tcBorders>
              <w:left w:val="single" w:sz="8" w:space="0" w:color="auto"/>
              <w:right w:val="single" w:sz="8" w:space="0" w:color="auto"/>
            </w:tcBorders>
            <w:vAlign w:val="center"/>
          </w:tcPr>
          <w:p w14:paraId="0DF85CAF" w14:textId="77777777" w:rsidR="00366CF9" w:rsidRPr="00E01E7A" w:rsidRDefault="00366CF9" w:rsidP="001C36D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95</w:t>
            </w:r>
            <w:r w:rsidRPr="00E01E7A">
              <w:rPr>
                <w:vertAlign w:val="superscript"/>
              </w:rPr>
              <w:t>th</w:t>
            </w:r>
            <w:r w:rsidRPr="00E01E7A">
              <w:t xml:space="preserve"> Percentile</w:t>
            </w:r>
          </w:p>
          <w:p w14:paraId="0C08602C" w14:textId="77777777" w:rsidR="00366CF9" w:rsidRPr="00E01E7A" w:rsidRDefault="00366CF9" w:rsidP="001C36D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Frequency</w:t>
            </w:r>
          </w:p>
        </w:tc>
        <w:tc>
          <w:tcPr>
            <w:tcW w:w="1705" w:type="dxa"/>
            <w:tcBorders>
              <w:left w:val="single" w:sz="8" w:space="0" w:color="auto"/>
            </w:tcBorders>
            <w:vAlign w:val="center"/>
          </w:tcPr>
          <w:p w14:paraId="385E2D1C" w14:textId="77777777" w:rsidR="00366CF9" w:rsidRPr="00E01E7A" w:rsidRDefault="00366CF9" w:rsidP="001C36D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Ratio</w:t>
            </w:r>
          </w:p>
        </w:tc>
      </w:tr>
      <w:tr w:rsidR="00E12F74" w:rsidRPr="00E01E7A" w14:paraId="606BAA2A" w14:textId="77777777" w:rsidTr="001C36DA">
        <w:trPr>
          <w:jc w:val="center"/>
        </w:trPr>
        <w:tc>
          <w:tcPr>
            <w:tcW w:w="2160" w:type="dxa"/>
            <w:tcBorders>
              <w:right w:val="single" w:sz="8" w:space="0" w:color="auto"/>
            </w:tcBorders>
          </w:tcPr>
          <w:p w14:paraId="52F1E41E" w14:textId="51FF5E65"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3 (44%)</w:t>
            </w:r>
          </w:p>
        </w:tc>
        <w:tc>
          <w:tcPr>
            <w:tcW w:w="2160" w:type="dxa"/>
            <w:tcBorders>
              <w:left w:val="single" w:sz="8" w:space="0" w:color="auto"/>
              <w:right w:val="single" w:sz="8" w:space="0" w:color="auto"/>
            </w:tcBorders>
            <w:vAlign w:val="bottom"/>
          </w:tcPr>
          <w:p w14:paraId="24C9295E" w14:textId="3EEF2216"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1.85E-04</w:t>
            </w:r>
          </w:p>
        </w:tc>
        <w:tc>
          <w:tcPr>
            <w:tcW w:w="2160" w:type="dxa"/>
            <w:tcBorders>
              <w:left w:val="single" w:sz="8" w:space="0" w:color="auto"/>
              <w:right w:val="single" w:sz="8" w:space="0" w:color="auto"/>
            </w:tcBorders>
            <w:vAlign w:val="bottom"/>
          </w:tcPr>
          <w:p w14:paraId="5444C627" w14:textId="63B877CC"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7.00E-04</w:t>
            </w:r>
          </w:p>
        </w:tc>
        <w:tc>
          <w:tcPr>
            <w:tcW w:w="2160" w:type="dxa"/>
            <w:tcBorders>
              <w:left w:val="single" w:sz="8" w:space="0" w:color="auto"/>
            </w:tcBorders>
            <w:vAlign w:val="bottom"/>
          </w:tcPr>
          <w:p w14:paraId="6D729930" w14:textId="352CB48A"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3.78</w:t>
            </w:r>
          </w:p>
        </w:tc>
      </w:tr>
      <w:tr w:rsidR="00E12F74" w:rsidRPr="00E01E7A" w14:paraId="7D50D1C0" w14:textId="77777777" w:rsidTr="00E12F74">
        <w:trPr>
          <w:jc w:val="center"/>
        </w:trPr>
        <w:tc>
          <w:tcPr>
            <w:tcW w:w="1717" w:type="dxa"/>
            <w:tcBorders>
              <w:right w:val="single" w:sz="8" w:space="0" w:color="auto"/>
            </w:tcBorders>
          </w:tcPr>
          <w:p w14:paraId="1D6C0479" w14:textId="4095F4B4"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7</w:t>
            </w:r>
          </w:p>
        </w:tc>
        <w:tc>
          <w:tcPr>
            <w:tcW w:w="1889" w:type="dxa"/>
            <w:tcBorders>
              <w:left w:val="single" w:sz="8" w:space="0" w:color="auto"/>
              <w:right w:val="single" w:sz="8" w:space="0" w:color="auto"/>
            </w:tcBorders>
            <w:vAlign w:val="bottom"/>
          </w:tcPr>
          <w:p w14:paraId="53F4490F" w14:textId="63BBD37A"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3.33E-03</w:t>
            </w:r>
          </w:p>
        </w:tc>
        <w:tc>
          <w:tcPr>
            <w:tcW w:w="1889" w:type="dxa"/>
            <w:tcBorders>
              <w:left w:val="single" w:sz="8" w:space="0" w:color="auto"/>
              <w:right w:val="single" w:sz="8" w:space="0" w:color="auto"/>
            </w:tcBorders>
            <w:vAlign w:val="bottom"/>
          </w:tcPr>
          <w:p w14:paraId="5DA399A4" w14:textId="3204D595"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9.63E-03</w:t>
            </w:r>
          </w:p>
        </w:tc>
        <w:tc>
          <w:tcPr>
            <w:tcW w:w="1705" w:type="dxa"/>
            <w:tcBorders>
              <w:left w:val="single" w:sz="8" w:space="0" w:color="auto"/>
            </w:tcBorders>
            <w:vAlign w:val="bottom"/>
          </w:tcPr>
          <w:p w14:paraId="684A1692" w14:textId="7054E18A"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2.89</w:t>
            </w:r>
          </w:p>
        </w:tc>
      </w:tr>
      <w:tr w:rsidR="00E12F74" w:rsidRPr="00E01E7A" w14:paraId="5E01BEA6" w14:textId="77777777" w:rsidTr="00E12F74">
        <w:trPr>
          <w:jc w:val="center"/>
        </w:trPr>
        <w:tc>
          <w:tcPr>
            <w:tcW w:w="1717" w:type="dxa"/>
            <w:tcBorders>
              <w:right w:val="single" w:sz="8" w:space="0" w:color="auto"/>
            </w:tcBorders>
          </w:tcPr>
          <w:p w14:paraId="208BB67A" w14:textId="52868FD1"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25</w:t>
            </w:r>
          </w:p>
        </w:tc>
        <w:tc>
          <w:tcPr>
            <w:tcW w:w="1889" w:type="dxa"/>
            <w:tcBorders>
              <w:left w:val="single" w:sz="8" w:space="0" w:color="auto"/>
              <w:right w:val="single" w:sz="8" w:space="0" w:color="auto"/>
            </w:tcBorders>
            <w:vAlign w:val="bottom"/>
          </w:tcPr>
          <w:p w14:paraId="2AE42663" w14:textId="6F52F7E7"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8.54E-03</w:t>
            </w:r>
          </w:p>
        </w:tc>
        <w:tc>
          <w:tcPr>
            <w:tcW w:w="1889" w:type="dxa"/>
            <w:tcBorders>
              <w:left w:val="single" w:sz="8" w:space="0" w:color="auto"/>
              <w:right w:val="single" w:sz="8" w:space="0" w:color="auto"/>
            </w:tcBorders>
            <w:vAlign w:val="bottom"/>
          </w:tcPr>
          <w:p w14:paraId="0DA1630F" w14:textId="0F20ADF8"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2.07E-02</w:t>
            </w:r>
          </w:p>
        </w:tc>
        <w:tc>
          <w:tcPr>
            <w:tcW w:w="1705" w:type="dxa"/>
            <w:tcBorders>
              <w:left w:val="single" w:sz="8" w:space="0" w:color="auto"/>
            </w:tcBorders>
            <w:vAlign w:val="bottom"/>
          </w:tcPr>
          <w:p w14:paraId="0361E7AE" w14:textId="75C25878"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2.42</w:t>
            </w:r>
          </w:p>
        </w:tc>
      </w:tr>
      <w:tr w:rsidR="00E12F74" w:rsidRPr="00E01E7A" w14:paraId="0628CBB5" w14:textId="77777777" w:rsidTr="00E12F74">
        <w:trPr>
          <w:jc w:val="center"/>
        </w:trPr>
        <w:tc>
          <w:tcPr>
            <w:tcW w:w="1717" w:type="dxa"/>
            <w:tcBorders>
              <w:right w:val="single" w:sz="8" w:space="0" w:color="auto"/>
            </w:tcBorders>
          </w:tcPr>
          <w:p w14:paraId="03FBC83D" w14:textId="5190E225"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37</w:t>
            </w:r>
          </w:p>
        </w:tc>
        <w:tc>
          <w:tcPr>
            <w:tcW w:w="1889" w:type="dxa"/>
            <w:tcBorders>
              <w:left w:val="single" w:sz="8" w:space="0" w:color="auto"/>
              <w:right w:val="single" w:sz="8" w:space="0" w:color="auto"/>
            </w:tcBorders>
            <w:vAlign w:val="bottom"/>
          </w:tcPr>
          <w:p w14:paraId="6D3D8F25" w14:textId="74995367"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6.71E-03</w:t>
            </w:r>
          </w:p>
        </w:tc>
        <w:tc>
          <w:tcPr>
            <w:tcW w:w="1889" w:type="dxa"/>
            <w:tcBorders>
              <w:left w:val="single" w:sz="8" w:space="0" w:color="auto"/>
              <w:right w:val="single" w:sz="8" w:space="0" w:color="auto"/>
            </w:tcBorders>
            <w:vAlign w:val="bottom"/>
          </w:tcPr>
          <w:p w14:paraId="6DA9671D" w14:textId="5DAFEB0C"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1.83E-02</w:t>
            </w:r>
          </w:p>
        </w:tc>
        <w:tc>
          <w:tcPr>
            <w:tcW w:w="1705" w:type="dxa"/>
            <w:tcBorders>
              <w:left w:val="single" w:sz="8" w:space="0" w:color="auto"/>
            </w:tcBorders>
            <w:vAlign w:val="bottom"/>
          </w:tcPr>
          <w:p w14:paraId="16E5BA4D" w14:textId="6366A7A4"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2.73</w:t>
            </w:r>
          </w:p>
        </w:tc>
      </w:tr>
      <w:tr w:rsidR="00E12F74" w:rsidRPr="00E01E7A" w14:paraId="18AD6526" w14:textId="77777777" w:rsidTr="00E12F74">
        <w:trPr>
          <w:jc w:val="center"/>
        </w:trPr>
        <w:tc>
          <w:tcPr>
            <w:tcW w:w="1717" w:type="dxa"/>
            <w:tcBorders>
              <w:right w:val="single" w:sz="8" w:space="0" w:color="auto"/>
            </w:tcBorders>
          </w:tcPr>
          <w:p w14:paraId="661B86EA" w14:textId="77777777"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t>Total</w:t>
            </w:r>
          </w:p>
        </w:tc>
        <w:tc>
          <w:tcPr>
            <w:tcW w:w="1889" w:type="dxa"/>
            <w:tcBorders>
              <w:left w:val="single" w:sz="8" w:space="0" w:color="auto"/>
              <w:right w:val="single" w:sz="8" w:space="0" w:color="auto"/>
            </w:tcBorders>
            <w:vAlign w:val="bottom"/>
          </w:tcPr>
          <w:p w14:paraId="4913A6A2" w14:textId="3BC6585F"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1.88E-02</w:t>
            </w:r>
          </w:p>
        </w:tc>
        <w:tc>
          <w:tcPr>
            <w:tcW w:w="1889" w:type="dxa"/>
            <w:tcBorders>
              <w:left w:val="single" w:sz="8" w:space="0" w:color="auto"/>
              <w:right w:val="single" w:sz="8" w:space="0" w:color="auto"/>
            </w:tcBorders>
            <w:vAlign w:val="bottom"/>
          </w:tcPr>
          <w:p w14:paraId="11EC76B6" w14:textId="620F92B7"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4.93E-02</w:t>
            </w:r>
          </w:p>
        </w:tc>
        <w:tc>
          <w:tcPr>
            <w:tcW w:w="1705" w:type="dxa"/>
            <w:tcBorders>
              <w:left w:val="single" w:sz="8" w:space="0" w:color="auto"/>
            </w:tcBorders>
            <w:vAlign w:val="bottom"/>
          </w:tcPr>
          <w:p w14:paraId="3792E023" w14:textId="61BFC1D1" w:rsidR="00E12F74" w:rsidRPr="00E01E7A" w:rsidRDefault="00E12F74" w:rsidP="00E12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01E7A">
              <w:rPr>
                <w:color w:val="000000"/>
                <w:szCs w:val="22"/>
              </w:rPr>
              <w:t>2.63</w:t>
            </w:r>
          </w:p>
        </w:tc>
      </w:tr>
    </w:tbl>
    <w:p w14:paraId="4F0E32C1" w14:textId="77777777" w:rsidR="00366CF9" w:rsidRPr="00C70CAC" w:rsidRDefault="00366CF9"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C4034DC" w14:textId="6AA53D51" w:rsidR="008419E6" w:rsidRPr="00C70CAC"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Another type of finding that may be associated with transient combustibles is </w:t>
      </w:r>
      <w:r w:rsidR="0044391B">
        <w:rPr>
          <w:rFonts w:cs="Arial"/>
        </w:rPr>
        <w:t>discover</w:t>
      </w:r>
      <w:r w:rsidR="0044391B" w:rsidRPr="00C70CAC">
        <w:rPr>
          <w:rFonts w:cs="Arial"/>
        </w:rPr>
        <w:t xml:space="preserve">ing </w:t>
      </w:r>
      <w:r w:rsidRPr="00C70CAC">
        <w:rPr>
          <w:rFonts w:cs="Arial"/>
        </w:rPr>
        <w:t>combustibles outside of approved locations or inside unapproved locations.  However, if such findings do not involve combustible liquids with flashpoints under 200</w:t>
      </w:r>
      <w:r>
        <w:rPr>
          <w:rFonts w:cs="Arial"/>
        </w:rPr>
        <w:t>°</w:t>
      </w:r>
      <w:r w:rsidRPr="00C70CAC">
        <w:rPr>
          <w:rFonts w:cs="Arial"/>
        </w:rPr>
        <w:t xml:space="preserve">F, they should be treated under combustible loading considerations and/or </w:t>
      </w:r>
      <w:r w:rsidR="0044391B">
        <w:rPr>
          <w:rFonts w:cs="Arial"/>
        </w:rPr>
        <w:t xml:space="preserve">by </w:t>
      </w:r>
      <w:r w:rsidRPr="00C70CAC">
        <w:rPr>
          <w:rFonts w:cs="Arial"/>
        </w:rPr>
        <w:t>adding to the continuity of combustibles.</w:t>
      </w:r>
    </w:p>
    <w:p w14:paraId="6638AEFA" w14:textId="77777777" w:rsidR="008419E6" w:rsidRPr="00C70CAC"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4FF116D" w14:textId="7EBA433D" w:rsidR="00EC2070" w:rsidRDefault="008419E6"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All of the possible degradations discussed above will have a dependence on the plant</w:t>
      </w:r>
      <w:r>
        <w:rPr>
          <w:rFonts w:cs="Arial"/>
        </w:rPr>
        <w:t>’</w:t>
      </w:r>
      <w:r w:rsidRPr="00C70CAC">
        <w:rPr>
          <w:rFonts w:cs="Arial"/>
        </w:rPr>
        <w:t>s combustible control procedures.  In that these procedures vary from plant to plant, it must be assumed that the level of safety provided by adherence to the procedures also varies.  This will require the consideration of the plant</w:t>
      </w:r>
      <w:r>
        <w:rPr>
          <w:rFonts w:cs="Arial"/>
        </w:rPr>
        <w:t>’</w:t>
      </w:r>
      <w:r w:rsidRPr="00C70CAC">
        <w:rPr>
          <w:rFonts w:cs="Arial"/>
        </w:rPr>
        <w:t xml:space="preserve">s combustible control program and potential </w:t>
      </w:r>
      <w:r w:rsidR="00A80EC3">
        <w:rPr>
          <w:rFonts w:cs="Arial"/>
        </w:rPr>
        <w:t xml:space="preserve">CMs </w:t>
      </w:r>
      <w:r w:rsidRPr="00C70CAC">
        <w:rPr>
          <w:rFonts w:cs="Arial"/>
        </w:rPr>
        <w:t xml:space="preserve">in the determination of the baseline transient combustible </w:t>
      </w:r>
      <w:r w:rsidR="00D11C8E">
        <w:rPr>
          <w:rFonts w:cs="Arial"/>
        </w:rPr>
        <w:t>FIF</w:t>
      </w:r>
      <w:r w:rsidRPr="00C70CAC">
        <w:rPr>
          <w:rFonts w:cs="Arial"/>
        </w:rPr>
        <w:t xml:space="preserve"> for different areas of the plant.</w:t>
      </w:r>
    </w:p>
    <w:p w14:paraId="784C7F46"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BBAA39" w14:textId="13A91981" w:rsidR="00EC2070" w:rsidRDefault="0079404E" w:rsidP="004D46E2">
      <w:pPr>
        <w:pStyle w:val="Heading4"/>
      </w:pPr>
      <w:r>
        <w:t>Step</w:t>
      </w:r>
      <w:r w:rsidR="00EC2070">
        <w:t xml:space="preserve"> 2.4.3: Credit for Compensatory Measures</w:t>
      </w:r>
    </w:p>
    <w:p w14:paraId="1F7E280C"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0C7327" w14:textId="3DB75CBC" w:rsidR="008419E6" w:rsidRPr="00C70CAC"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purpose of </w:t>
      </w:r>
      <w:r>
        <w:rPr>
          <w:rFonts w:cs="Arial"/>
        </w:rPr>
        <w:t>Step 2.4.3</w:t>
      </w:r>
      <w:r w:rsidRPr="00C70CAC">
        <w:rPr>
          <w:rFonts w:cs="Arial"/>
        </w:rPr>
        <w:t xml:space="preserve"> is to account for certain types of </w:t>
      </w:r>
      <w:r w:rsidR="00B24BB1">
        <w:rPr>
          <w:rFonts w:cs="Arial"/>
        </w:rPr>
        <w:t>CMs</w:t>
      </w:r>
      <w:r w:rsidRPr="00C70CAC">
        <w:rPr>
          <w:rFonts w:cs="Arial"/>
        </w:rPr>
        <w:t xml:space="preserve"> that will act to reduce fire frequency.  In most cases, </w:t>
      </w:r>
      <w:r w:rsidR="00B24BB1">
        <w:rPr>
          <w:rFonts w:cs="Arial"/>
        </w:rPr>
        <w:t>CMs</w:t>
      </w:r>
      <w:r w:rsidRPr="00C70CAC">
        <w:rPr>
          <w:rFonts w:cs="Arial"/>
        </w:rPr>
        <w:t xml:space="preserve"> are credited with reducing the frequency of transient fuel fires in particular.  The only example of </w:t>
      </w:r>
      <w:r w:rsidR="00B24BB1">
        <w:rPr>
          <w:rFonts w:cs="Arial"/>
        </w:rPr>
        <w:t>CMs</w:t>
      </w:r>
      <w:r w:rsidRPr="00C70CAC">
        <w:rPr>
          <w:rFonts w:cs="Arial"/>
        </w:rPr>
        <w:t xml:space="preserve"> </w:t>
      </w:r>
      <w:r w:rsidR="00315D6F">
        <w:rPr>
          <w:rFonts w:cs="Arial"/>
        </w:rPr>
        <w:t>that</w:t>
      </w:r>
      <w:r w:rsidR="00315D6F" w:rsidRPr="00C70CAC">
        <w:rPr>
          <w:rFonts w:cs="Arial"/>
        </w:rPr>
        <w:t xml:space="preserve"> </w:t>
      </w:r>
      <w:r w:rsidRPr="00C70CAC">
        <w:rPr>
          <w:rFonts w:cs="Arial"/>
        </w:rPr>
        <w:t xml:space="preserve">reduce the </w:t>
      </w:r>
      <w:r w:rsidR="00D11C8E">
        <w:rPr>
          <w:rFonts w:cs="Arial"/>
        </w:rPr>
        <w:t>FIF</w:t>
      </w:r>
      <w:r w:rsidRPr="00C70CAC">
        <w:rPr>
          <w:rFonts w:cs="Arial"/>
        </w:rPr>
        <w:t xml:space="preserve"> are administrative </w:t>
      </w:r>
      <w:r w:rsidR="00315D6F" w:rsidRPr="00C70CAC">
        <w:rPr>
          <w:rFonts w:cs="Arial"/>
        </w:rPr>
        <w:t>controls that</w:t>
      </w:r>
      <w:r w:rsidRPr="00C70CAC">
        <w:rPr>
          <w:rFonts w:cs="Arial"/>
        </w:rPr>
        <w:t xml:space="preserve"> prevent combustibles or hot work.</w:t>
      </w:r>
    </w:p>
    <w:p w14:paraId="24AA66BA" w14:textId="77777777" w:rsidR="008419E6" w:rsidRPr="00C70CAC"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833B2F4" w14:textId="3E6D5F67" w:rsidR="008419E6" w:rsidRPr="00C70CAC"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lastRenderedPageBreak/>
        <w:t xml:space="preserve">Under these circumstances, the </w:t>
      </w:r>
      <w:r w:rsidR="00315D6F" w:rsidRPr="00C70CAC">
        <w:rPr>
          <w:rFonts w:cs="Arial"/>
        </w:rPr>
        <w:t>frequency that</w:t>
      </w:r>
      <w:r w:rsidRPr="00C70CAC">
        <w:rPr>
          <w:rFonts w:cs="Arial"/>
        </w:rPr>
        <w:t xml:space="preserve"> accounts for transient combustibles or hot work is removed from the analysis for the fire area under consideration, and corresponding fire scenarios are not developed.  It is expected that the practitioner will ensure that, during the exposure time of the finding, transient combustibles were not present in order to remove the transient combustible frequency, and hot work was not performed in order to remove the hot work fire frequency.</w:t>
      </w:r>
    </w:p>
    <w:p w14:paraId="32651C20" w14:textId="77777777" w:rsidR="008419E6" w:rsidRPr="00C70CAC" w:rsidRDefault="008419E6"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5D317F2" w14:textId="04F1DAB9" w:rsidR="00EC2070" w:rsidRDefault="008419E6"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 xml:space="preserve">Note that hot work fire prevention measures are not treated as </w:t>
      </w:r>
      <w:r w:rsidR="00B24BB1">
        <w:rPr>
          <w:rFonts w:cs="Arial"/>
        </w:rPr>
        <w:t>CMs</w:t>
      </w:r>
      <w:r w:rsidRPr="00C70CAC">
        <w:rPr>
          <w:rFonts w:cs="Arial"/>
        </w:rPr>
        <w:t>.  Rather, these measures are assumed to be required.  The base fire frequency for hot work fires has already credited prompt suppression by the hot work fire watch.  Hence, no further reductions in hot work fire frequency are warranted.</w:t>
      </w:r>
    </w:p>
    <w:p w14:paraId="4E4A729C"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1BA064" w14:textId="4FBF0A61" w:rsidR="00EC2070" w:rsidRDefault="0079404E" w:rsidP="004D46E2">
      <w:pPr>
        <w:pStyle w:val="Heading4"/>
      </w:pPr>
      <w:r>
        <w:t>Step</w:t>
      </w:r>
      <w:r w:rsidR="00EC2070">
        <w:t xml:space="preserve"> 2.4.4: Screening Check</w:t>
      </w:r>
    </w:p>
    <w:p w14:paraId="53E4EE60"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85F94F" w14:textId="4B6CFCCC" w:rsidR="004437F7" w:rsidRPr="00C70CAC" w:rsidRDefault="004437F7" w:rsidP="005061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 xml:space="preserve">The SDP approach assigns a fire frequency to each individual fire ignition source.  The total fire frequency for a fire area is the sum of the frequencies for the individual sources in the area.  This approach makes it quite simple for the analyst to </w:t>
      </w:r>
      <w:r>
        <w:rPr>
          <w:rFonts w:cs="Arial"/>
        </w:rPr>
        <w:t xml:space="preserve">obtain a refined </w:t>
      </w:r>
      <w:r w:rsidRPr="00C70CAC">
        <w:rPr>
          <w:rFonts w:cs="Arial"/>
        </w:rPr>
        <w:t xml:space="preserve">estimate </w:t>
      </w:r>
      <w:r>
        <w:rPr>
          <w:rFonts w:cs="Arial"/>
        </w:rPr>
        <w:t xml:space="preserve">of </w:t>
      </w:r>
      <w:r w:rsidRPr="00C70CAC">
        <w:rPr>
          <w:rFonts w:cs="Arial"/>
        </w:rPr>
        <w:t>the room fire frequency, or the frequency of a specific fire ignition source scenario.  This approach is broadly consistent with the approaches being applied in fire PRAs.</w:t>
      </w:r>
    </w:p>
    <w:p w14:paraId="1099AEBF" w14:textId="66583D5D"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36FA44" w14:textId="58B8069E" w:rsidR="008419E6" w:rsidRDefault="00CC027A"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Fonts w:cs="Arial"/>
        </w:rPr>
        <w:t>If none of the Steps 2.5-2.7 ha</w:t>
      </w:r>
      <w:r w:rsidR="0044391B">
        <w:rPr>
          <w:rFonts w:cs="Arial"/>
        </w:rPr>
        <w:t>s</w:t>
      </w:r>
      <w:r>
        <w:rPr>
          <w:rFonts w:cs="Arial"/>
        </w:rPr>
        <w:t xml:space="preserve"> been performed at this stage, t</w:t>
      </w:r>
      <w:r w:rsidRPr="00C70CAC">
        <w:rPr>
          <w:rFonts w:cs="Arial"/>
        </w:rPr>
        <w:t xml:space="preserve">he </w:t>
      </w:r>
      <w:r w:rsidR="008419E6" w:rsidRPr="00C70CAC">
        <w:rPr>
          <w:rFonts w:cs="Arial"/>
        </w:rPr>
        <w:t xml:space="preserve">general approach to the screening check in Step 2.4 is the same as that applied in Step </w:t>
      </w:r>
      <w:r>
        <w:rPr>
          <w:rFonts w:cs="Arial"/>
        </w:rPr>
        <w:t>2.1.8</w:t>
      </w:r>
      <w:r w:rsidR="008419E6" w:rsidRPr="00C70CAC">
        <w:rPr>
          <w:rFonts w:cs="Arial"/>
        </w:rPr>
        <w:t xml:space="preserve"> as discussed </w:t>
      </w:r>
      <w:r>
        <w:rPr>
          <w:rFonts w:cs="Arial"/>
        </w:rPr>
        <w:t>earlier</w:t>
      </w:r>
      <w:r w:rsidR="008419E6" w:rsidRPr="00C70CAC">
        <w:rPr>
          <w:rFonts w:cs="Arial"/>
        </w:rPr>
        <w:t xml:space="preserve">.  In </w:t>
      </w:r>
      <w:r>
        <w:rPr>
          <w:rFonts w:cs="Arial"/>
        </w:rPr>
        <w:t>Step 2.1.8</w:t>
      </w:r>
      <w:r w:rsidR="008419E6" w:rsidRPr="00C70CAC">
        <w:rPr>
          <w:rFonts w:cs="Arial"/>
        </w:rPr>
        <w:t xml:space="preserve">, the fire frequency applied was the full fire area fire frequency as conservatively determined in Step </w:t>
      </w:r>
      <w:r>
        <w:rPr>
          <w:rFonts w:cs="Arial"/>
        </w:rPr>
        <w:t>2.1</w:t>
      </w:r>
      <w:r w:rsidR="00B96EF9">
        <w:rPr>
          <w:rFonts w:cs="Arial"/>
        </w:rPr>
        <w:t>.2</w:t>
      </w:r>
      <w:r w:rsidR="008419E6" w:rsidRPr="00C70CAC">
        <w:rPr>
          <w:rFonts w:cs="Arial"/>
        </w:rPr>
        <w:t xml:space="preserve">.  The refinement of </w:t>
      </w:r>
      <w:r w:rsidR="00B96EF9">
        <w:rPr>
          <w:rFonts w:cs="Arial"/>
        </w:rPr>
        <w:t>this</w:t>
      </w:r>
      <w:r w:rsidR="00B96EF9" w:rsidRPr="00C70CAC">
        <w:rPr>
          <w:rFonts w:cs="Arial"/>
        </w:rPr>
        <w:t xml:space="preserve"> frequenc</w:t>
      </w:r>
      <w:r w:rsidR="00B96EF9">
        <w:rPr>
          <w:rFonts w:cs="Arial"/>
        </w:rPr>
        <w:t>y</w:t>
      </w:r>
      <w:r w:rsidR="00B96EF9" w:rsidRPr="00C70CAC">
        <w:rPr>
          <w:rFonts w:cs="Arial"/>
        </w:rPr>
        <w:t xml:space="preserve"> </w:t>
      </w:r>
      <w:r w:rsidR="008419E6" w:rsidRPr="00C70CAC">
        <w:rPr>
          <w:rFonts w:cs="Arial"/>
        </w:rPr>
        <w:t xml:space="preserve">in Step 2.4 means that one aspect of potential risk reduction </w:t>
      </w:r>
      <w:r w:rsidR="008419E6" w:rsidRPr="00C70CAC">
        <w:rPr>
          <w:rFonts w:cs="Arial"/>
        </w:rPr>
        <w:noBreakHyphen/>
        <w:t xml:space="preserve"> the observation that not all fires are potentially challenging to nuclear safety </w:t>
      </w:r>
      <w:r w:rsidR="008419E6" w:rsidRPr="00C70CAC">
        <w:rPr>
          <w:rFonts w:cs="Arial"/>
        </w:rPr>
        <w:noBreakHyphen/>
        <w:t xml:space="preserve"> has been explicitly credited.</w:t>
      </w:r>
    </w:p>
    <w:p w14:paraId="72D18F01"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680D5A" w14:textId="1372D5F7" w:rsidR="00EC2070" w:rsidRDefault="0079404E" w:rsidP="004D46E2">
      <w:pPr>
        <w:pStyle w:val="Heading3"/>
      </w:pPr>
      <w:bookmarkStart w:id="155" w:name="_Toc481265412"/>
      <w:bookmarkStart w:id="156" w:name="_Toc511060892"/>
      <w:r>
        <w:t>Step</w:t>
      </w:r>
      <w:r w:rsidR="00EC2070">
        <w:t xml:space="preserve"> 2.5: </w:t>
      </w:r>
      <w:r w:rsidR="00EC2070" w:rsidRPr="00472550">
        <w:t xml:space="preserve">Final Conditional Core Damage Probability Estimates </w:t>
      </w:r>
      <w:r w:rsidR="00EC2070">
        <w:t>Determination</w:t>
      </w:r>
      <w:bookmarkEnd w:id="155"/>
      <w:bookmarkEnd w:id="156"/>
    </w:p>
    <w:p w14:paraId="7FCA409D" w14:textId="26E2C3C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1AADC4" w14:textId="3B88B189" w:rsidR="00EC2070" w:rsidRDefault="0079404E" w:rsidP="004D46E2">
      <w:pPr>
        <w:pStyle w:val="Heading4"/>
      </w:pPr>
      <w:r>
        <w:t>Step</w:t>
      </w:r>
      <w:r w:rsidR="00EC2070">
        <w:t xml:space="preserve"> 2.5.1: </w:t>
      </w:r>
      <w:r w:rsidR="00EC2070" w:rsidRPr="00472550">
        <w:t>Determine Damaged Target Set and CCDP for FDS1 Scenarios</w:t>
      </w:r>
    </w:p>
    <w:p w14:paraId="36891C75"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158FB1" w14:textId="647D5DBE" w:rsidR="00EC2070" w:rsidRDefault="00216238"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 Step </w:t>
      </w:r>
      <w:r w:rsidR="00315D6F">
        <w:t>2.2.2,</w:t>
      </w:r>
      <w:r>
        <w:t xml:space="preserve"> the analyst identified all ignition sources in the area under evaluation, and for each of these sources determined the targets that could potentially be damaged and secondary combustibles that could potentially be ign</w:t>
      </w:r>
      <w:r w:rsidR="0044391B">
        <w:t>i</w:t>
      </w:r>
      <w:r>
        <w:t xml:space="preserve">ted.  The location of these damage and ignition targets was recorded on form A1.5 (for fixed ignition sources and oil fires) and A1.6 (for transient combustibles).  This information was then used in Step 2.3.2 to screen ignition sources that are not capable of initiating an FDS1 scenario.  </w:t>
      </w:r>
      <w:r w:rsidR="00427799">
        <w:t>In Step 2.5.1 the information recorded on forms A1.5 and A.1.6 is further used to determine the damaged target set for each of the unscreened ignition sources in Step 2.3.2.  The damaged target set consists of the collection of targets that are located within the ZOI of the ignition source.</w:t>
      </w:r>
      <w:r>
        <w:t xml:space="preserve">  </w:t>
      </w:r>
    </w:p>
    <w:p w14:paraId="67365550"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73BA00" w14:textId="55A8B86E" w:rsidR="00EC2070" w:rsidRDefault="0079404E" w:rsidP="004D46E2">
      <w:pPr>
        <w:pStyle w:val="Heading4"/>
      </w:pPr>
      <w:r>
        <w:t>Step</w:t>
      </w:r>
      <w:r w:rsidR="00EC2070">
        <w:t xml:space="preserve"> 2.5.2: </w:t>
      </w:r>
      <w:r w:rsidR="00EC2070" w:rsidRPr="00472550">
        <w:t>Determine Damaged Target Set and CCDP for FDS2 Scenarios</w:t>
      </w:r>
    </w:p>
    <w:p w14:paraId="34B366F8" w14:textId="77777777" w:rsidR="00EC2070" w:rsidRDefault="00EC2070"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FCC7BC" w14:textId="3882218F" w:rsidR="00722BBD" w:rsidRDefault="00710481"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damaged target set for FDS2 scenarios consists of all targets of a specific type in the area under evaluation.  </w:t>
      </w:r>
      <w:r w:rsidR="00722BBD">
        <w:t>A fire growth scenario may lead to FDS2 if</w:t>
      </w:r>
      <w:r w:rsidR="00DF0C78">
        <w:t>, and only if,</w:t>
      </w:r>
      <w:r w:rsidR="00722BBD">
        <w:t xml:space="preserve"> at least one of the following conditions is true:</w:t>
      </w:r>
    </w:p>
    <w:p w14:paraId="0BBEC673" w14:textId="77777777" w:rsidR="00722BBD" w:rsidRDefault="00722BBD"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4A91C2" w14:textId="46C6F423" w:rsidR="00722BBD" w:rsidRPr="004209AC" w:rsidRDefault="00722BBD" w:rsidP="0035366F">
      <w:pPr>
        <w:pStyle w:val="ListParagraph"/>
        <w:widowControl/>
        <w:numPr>
          <w:ilvl w:val="4"/>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Pr>
          <w:rFonts w:cs="Arial"/>
        </w:rPr>
        <w:t xml:space="preserve">The ignition source that started the fire releases heat at a sufficient rate to cause the development of a damaging </w:t>
      </w:r>
      <w:r w:rsidRPr="004209AC">
        <w:rPr>
          <w:rFonts w:cs="Arial"/>
        </w:rPr>
        <w:t>HGL in the area under evaluation.</w:t>
      </w:r>
    </w:p>
    <w:p w14:paraId="76500393" w14:textId="537C310E" w:rsidR="00722BBD" w:rsidRDefault="00722BBD" w:rsidP="005061EE">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4209AC">
        <w:rPr>
          <w:rFonts w:cs="Arial"/>
        </w:rPr>
        <w:lastRenderedPageBreak/>
        <w:t>The ignition source that started the fire is capable of igniting a secondary combustible that</w:t>
      </w:r>
      <w:r w:rsidR="00F20432" w:rsidRPr="004209AC">
        <w:rPr>
          <w:rFonts w:cs="Arial"/>
        </w:rPr>
        <w:t>, in combination with the HRR of the ignition source,</w:t>
      </w:r>
      <w:r w:rsidRPr="004209AC">
        <w:rPr>
          <w:rFonts w:cs="Arial"/>
        </w:rPr>
        <w:t xml:space="preserve"> releases </w:t>
      </w:r>
      <w:r w:rsidR="00DF0C78" w:rsidRPr="004209AC">
        <w:rPr>
          <w:rFonts w:cs="Arial"/>
        </w:rPr>
        <w:t>heat at a sufficient rate to cause the development of a damaging HGL</w:t>
      </w:r>
      <w:r w:rsidR="00F20432" w:rsidRPr="004209AC">
        <w:rPr>
          <w:rFonts w:cs="Arial"/>
        </w:rPr>
        <w:t xml:space="preserve"> in the area under evaluation</w:t>
      </w:r>
      <w:r>
        <w:rPr>
          <w:rFonts w:cs="Arial"/>
        </w:rPr>
        <w:t>.</w:t>
      </w:r>
    </w:p>
    <w:p w14:paraId="76A62785" w14:textId="77777777" w:rsidR="00722BBD" w:rsidRPr="00CF79E0" w:rsidRDefault="00722BBD" w:rsidP="00722B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rPr>
      </w:pPr>
    </w:p>
    <w:p w14:paraId="68DA7DF2" w14:textId="77777777" w:rsidR="009A3EC9" w:rsidRDefault="00DF0C78"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Any ignition sources that are not screened in Step 2.3.3 meet the first condition.  </w:t>
      </w:r>
      <w:r w:rsidR="00FB3EDE">
        <w:t>Typically, the only ignition sources that are not screened in Step 2.3.3 are oil fires.  For those, an additional analysis to determine whether the fire may involve secondary combustibles is not necessary.</w:t>
      </w:r>
    </w:p>
    <w:p w14:paraId="3D5EDD6C" w14:textId="77777777" w:rsidR="009A3EC9" w:rsidRDefault="009A3EC9"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CACB4D" w14:textId="1A590616" w:rsidR="00FD0431" w:rsidRDefault="00DF0C78"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If all ignition sources </w:t>
      </w:r>
      <w:r w:rsidR="009A3EC9">
        <w:t>are screened out in Step 2.3.3, the analyst first needs to determine for each ignition source whether i</w:t>
      </w:r>
      <w:r w:rsidR="00F27C66">
        <w:t>t</w:t>
      </w:r>
      <w:r w:rsidR="009A3EC9">
        <w:t xml:space="preserve"> is capable of igniting a secondary combustible.  </w:t>
      </w:r>
      <w:r w:rsidR="00F20432">
        <w:t>This can easily be done based on the information recorded on form A1.5 (for fixed ignition source</w:t>
      </w:r>
      <w:r w:rsidR="0044391B">
        <w:t>s</w:t>
      </w:r>
      <w:r w:rsidR="00F20432">
        <w:t xml:space="preserve"> </w:t>
      </w:r>
      <w:r w:rsidR="00810C96">
        <w:t>and</w:t>
      </w:r>
      <w:r w:rsidR="00F20432">
        <w:t xml:space="preserve"> oil fires) </w:t>
      </w:r>
      <w:r w:rsidR="00810C96">
        <w:t>and</w:t>
      </w:r>
      <w:r w:rsidR="00F20432">
        <w:t xml:space="preserve"> form A1.</w:t>
      </w:r>
      <w:r w:rsidR="00810C96">
        <w:t>6</w:t>
      </w:r>
      <w:r w:rsidR="00F20432">
        <w:t xml:space="preserve"> (for transient combustibles).  </w:t>
      </w:r>
      <w:r w:rsidR="009A3EC9">
        <w:t xml:space="preserve">If the </w:t>
      </w:r>
      <w:r w:rsidR="00810C96">
        <w:t>ignition source is capable of igniting a secondary combustible</w:t>
      </w:r>
      <w:r w:rsidR="009A3EC9">
        <w:t xml:space="preserve">, the analyst </w:t>
      </w:r>
      <w:r w:rsidR="00F27C66">
        <w:t xml:space="preserve">further </w:t>
      </w:r>
      <w:r w:rsidR="009A3EC9">
        <w:t>needs to determine whether the HRR of the ignition source in combination with</w:t>
      </w:r>
      <w:r w:rsidR="00F27C66">
        <w:t xml:space="preserve"> the HRR of the secondary combustible can at one time be sufficient to cause the development of a damaging HGL.  </w:t>
      </w:r>
      <w:r w:rsidR="00810C96">
        <w:t xml:space="preserve">Form A1.9 is used for this purpose.  </w:t>
      </w:r>
      <w:r w:rsidR="00F27C66">
        <w:t>The minimum HRR required for the development of a damaging HGL in the area under evaluation was determined in Step 2.3.3.  The most common secondary combustible is a vertical stack of horizontal cable trays.  The HRR profiles of various ignition source-cable tray configurations are provided in Attachment 8 to Appendix F (</w:t>
      </w:r>
      <w:r w:rsidR="00905DC7">
        <w:t>table/plot</w:t>
      </w:r>
      <w:r w:rsidR="00F27C66">
        <w:t xml:space="preserve"> set C).  The use </w:t>
      </w:r>
      <w:r w:rsidR="00FD0431">
        <w:t>of the table</w:t>
      </w:r>
      <w:r w:rsidR="0044391B">
        <w:t>s</w:t>
      </w:r>
      <w:r w:rsidR="00FD0431">
        <w:t xml:space="preserve"> and plots in this set is illustrated by example in Section </w:t>
      </w:r>
      <w:r w:rsidR="00F96E6C" w:rsidRPr="00F96E6C">
        <w:t>05.03.02</w:t>
      </w:r>
      <w:r w:rsidR="00FD0431" w:rsidRPr="00F96E6C">
        <w:t>.</w:t>
      </w:r>
    </w:p>
    <w:p w14:paraId="55DA10CA"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BC2B3E" w14:textId="709DC397" w:rsidR="00EC2070" w:rsidRDefault="0079404E" w:rsidP="004D46E2">
      <w:pPr>
        <w:pStyle w:val="Heading4"/>
      </w:pPr>
      <w:r>
        <w:t>Step</w:t>
      </w:r>
      <w:r w:rsidR="00EC2070">
        <w:t xml:space="preserve"> 2.5.</w:t>
      </w:r>
      <w:r w:rsidR="00810C96">
        <w:t>3</w:t>
      </w:r>
      <w:r w:rsidR="00EC2070">
        <w:t xml:space="preserve">: </w:t>
      </w:r>
      <w:r w:rsidR="00EC2070" w:rsidRPr="00472550">
        <w:t>Determine Damaged Target Set and CCDP for FDS3 Scenarios</w:t>
      </w:r>
    </w:p>
    <w:p w14:paraId="158A8FAE" w14:textId="77777777" w:rsidR="00192323" w:rsidRDefault="00192323" w:rsidP="00FD04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991FD0" w14:textId="644B3E66" w:rsidR="00FD0431" w:rsidRDefault="00FD0431" w:rsidP="00FD04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analysis in this step is similar to that in the previous step.  </w:t>
      </w:r>
      <w:r w:rsidR="00F20432">
        <w:t>The damaged target set for FDS3 scenarios consists of all targets of a specific type in the adjacent (or exposed) area</w:t>
      </w:r>
      <w:r w:rsidR="00F20432">
        <w:rPr>
          <w:rFonts w:cs="Arial"/>
        </w:rPr>
        <w:t>, i.e., the area that is separated from the fire area (or exposing area) by the degraded barrier</w:t>
      </w:r>
      <w:r w:rsidR="00F20432">
        <w:t xml:space="preserve">.  </w:t>
      </w:r>
      <w:r>
        <w:t>A fire growth scenario may lead to FDS3 if, and only if, at least one of the following conditions is true:</w:t>
      </w:r>
    </w:p>
    <w:p w14:paraId="66664434" w14:textId="77777777" w:rsidR="00FD0431" w:rsidRDefault="00FD0431" w:rsidP="00FD04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537054" w14:textId="2F1674CA" w:rsidR="00FD0431" w:rsidRPr="004209AC" w:rsidRDefault="00FD0431" w:rsidP="0035366F">
      <w:pPr>
        <w:pStyle w:val="ListParagraph"/>
        <w:widowControl/>
        <w:numPr>
          <w:ilvl w:val="4"/>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Pr>
          <w:rFonts w:cs="Arial"/>
        </w:rPr>
        <w:t xml:space="preserve">The ignition source that started the fire releases heat at a sufficient rate to cause the development of a damaging </w:t>
      </w:r>
      <w:r w:rsidRPr="004209AC">
        <w:rPr>
          <w:rFonts w:cs="Arial"/>
        </w:rPr>
        <w:t>HGL in the exposed area.</w:t>
      </w:r>
    </w:p>
    <w:p w14:paraId="06F09256" w14:textId="412D5D3A" w:rsidR="00FD0431" w:rsidRPr="004209AC" w:rsidRDefault="00FD0431" w:rsidP="005061EE">
      <w:pPr>
        <w:pStyle w:val="ListParagraph"/>
        <w:widowControl/>
        <w:numPr>
          <w:ilvl w:val="4"/>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rPr>
      </w:pPr>
      <w:r w:rsidRPr="004209AC">
        <w:rPr>
          <w:rFonts w:cs="Arial"/>
        </w:rPr>
        <w:t>The ignition source that started the fire is capable of igniting a secondary combustible that, in combination with the HRR of the ignition source, releases heat at a sufficient rate to cause the development of a damaging HGL in the exposed area.</w:t>
      </w:r>
    </w:p>
    <w:p w14:paraId="562A9EFE" w14:textId="77777777" w:rsidR="00FD0431" w:rsidRPr="00CF79E0" w:rsidRDefault="00FD0431" w:rsidP="00FD043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rPr>
      </w:pPr>
    </w:p>
    <w:p w14:paraId="3C22677E" w14:textId="5A405A46" w:rsidR="00FD0431" w:rsidRDefault="00C41C75" w:rsidP="00FD04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w:t>
      </w:r>
      <w:r w:rsidR="00FD0431">
        <w:t>gnition sources that are not screened in Step 2.3.</w:t>
      </w:r>
      <w:r>
        <w:t>4</w:t>
      </w:r>
      <w:r w:rsidR="00FD0431">
        <w:t xml:space="preserve"> meet the first condition.  Typically, the only ignition sources that are not screened in Step 2.3.</w:t>
      </w:r>
      <w:r>
        <w:t>4</w:t>
      </w:r>
      <w:r w:rsidR="00FD0431">
        <w:t xml:space="preserve"> are oil fires.  For those, an additional analysis to determine whether the fire may involve secondary combustibles is not necessary.</w:t>
      </w:r>
    </w:p>
    <w:p w14:paraId="0EE911DC" w14:textId="77777777" w:rsidR="00FD0431" w:rsidRDefault="00FD0431" w:rsidP="00FD04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5EEA88" w14:textId="0A71ACC6" w:rsidR="00FD0431" w:rsidRDefault="00FD0431" w:rsidP="00FD04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If all ignition sources are screened out in Step 2.3.</w:t>
      </w:r>
      <w:r w:rsidR="00C41C75">
        <w:t>4</w:t>
      </w:r>
      <w:r>
        <w:t>, the analyst first needs to determine for each ignition source whether it is capable of igniting a secondary combustible.</w:t>
      </w:r>
      <w:r w:rsidR="00810C96">
        <w:t xml:space="preserve">  This can easily be done based on the information recorded on form A1.5 (for fixed ignition source</w:t>
      </w:r>
      <w:r w:rsidR="0044391B">
        <w:t>s</w:t>
      </w:r>
      <w:r w:rsidR="00810C96">
        <w:t xml:space="preserve"> and oil fires) and form A1.6 (for transient combustibles).</w:t>
      </w:r>
      <w:r>
        <w:t xml:space="preserve"> </w:t>
      </w:r>
      <w:r w:rsidR="0044391B">
        <w:t>T</w:t>
      </w:r>
      <w:r>
        <w:t>he analyst further needs to determine whether the HRR of the ignition source in combination with the HRR of the secondary combustible can at one time be sufficient to cause the development of a damaging HGL</w:t>
      </w:r>
      <w:r w:rsidR="00F20432">
        <w:t xml:space="preserve"> in the exposed area</w:t>
      </w:r>
      <w:r>
        <w:t xml:space="preserve">.  </w:t>
      </w:r>
      <w:r w:rsidR="00810C96">
        <w:t xml:space="preserve">  Form A1.9 is used for this purpose.  </w:t>
      </w:r>
      <w:r>
        <w:t>The HRR profiles in Attachment 8 to Appendix F (</w:t>
      </w:r>
      <w:r w:rsidR="00905DC7">
        <w:t>table/plot</w:t>
      </w:r>
      <w:r>
        <w:t xml:space="preserve"> set C)</w:t>
      </w:r>
      <w:r w:rsidR="00C41C75">
        <w:t xml:space="preserve"> can be used to determine whether a specified combination of an ignition source and vertical stack of horizontal cable trays is capable of reaching the minimum HRR required for the development of a damaging HGL in the exposed area determined in Step 2.3.4</w:t>
      </w:r>
      <w:r>
        <w:t>.</w:t>
      </w:r>
    </w:p>
    <w:p w14:paraId="33657634"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74770A" w14:textId="6CCC29B6" w:rsidR="00EC2070" w:rsidRDefault="0079404E" w:rsidP="004D46E2">
      <w:pPr>
        <w:pStyle w:val="Heading4"/>
      </w:pPr>
      <w:r>
        <w:lastRenderedPageBreak/>
        <w:t>Step</w:t>
      </w:r>
      <w:r w:rsidR="00EC2070">
        <w:t xml:space="preserve"> 2.5.</w:t>
      </w:r>
      <w:r w:rsidR="00810C96">
        <w:t>4</w:t>
      </w:r>
      <w:r w:rsidR="00EC2070">
        <w:t>: Screening Check</w:t>
      </w:r>
    </w:p>
    <w:p w14:paraId="4D07A5C8" w14:textId="77777777" w:rsidR="00EC2070" w:rsidRDefault="00EC2070" w:rsidP="00285DFD">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6FB9C1" w14:textId="45FDD70F" w:rsidR="00EC2070" w:rsidRDefault="00833E5D" w:rsidP="00285DFD">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final result of Steps 2.5.1 through 2.5.3 is a list of fire scenarios and corresponding damaged target sets that need to be included in the risk quantification.  Based on the damaged target set information, the SRA can determine the CCDP for each scenario.  The analyst then uses these CCDPs together with the most recent estimates of the other factors in Equation 1 to o</w:t>
      </w:r>
      <w:r w:rsidR="00E2288A">
        <w:t xml:space="preserve">btain an updated value for the </w:t>
      </w:r>
      <w:r w:rsidR="00E2288A">
        <w:sym w:font="Symbol" w:char="F044"/>
      </w:r>
      <w:r w:rsidR="00E2288A">
        <w:t>CDF.  If this updated value is less than 1E-6, the finding screens to Green.</w:t>
      </w:r>
      <w:r>
        <w:t xml:space="preserve">    </w:t>
      </w:r>
    </w:p>
    <w:p w14:paraId="0E3601A0"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E908CD" w14:textId="77777777" w:rsidR="00EC2070" w:rsidRDefault="00EC2070" w:rsidP="004D46E2">
      <w:pPr>
        <w:pStyle w:val="Heading3"/>
      </w:pPr>
      <w:bookmarkStart w:id="157" w:name="_Toc481265413"/>
      <w:bookmarkStart w:id="158" w:name="_Toc511060893"/>
      <w:r>
        <w:t xml:space="preserve">Step 2.6: </w:t>
      </w:r>
      <w:r w:rsidRPr="00472550">
        <w:t>Final Fire Severity Factor Estimates</w:t>
      </w:r>
      <w:bookmarkEnd w:id="157"/>
      <w:bookmarkEnd w:id="158"/>
    </w:p>
    <w:p w14:paraId="35EDA46A" w14:textId="36303DF4" w:rsidR="00EC2070" w:rsidRDefault="00F85EA9"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 </w:t>
      </w:r>
    </w:p>
    <w:p w14:paraId="5B05BB91" w14:textId="62C666A9" w:rsidR="00EC2070" w:rsidRDefault="0079404E" w:rsidP="004D46E2">
      <w:pPr>
        <w:pStyle w:val="Heading4"/>
      </w:pPr>
      <w:r>
        <w:t>Step</w:t>
      </w:r>
      <w:r w:rsidR="00EC2070">
        <w:t xml:space="preserve"> 2.6.1: </w:t>
      </w:r>
      <w:r w:rsidR="00EC2070" w:rsidRPr="00114074">
        <w:t>Determine Severity Factors</w:t>
      </w:r>
    </w:p>
    <w:p w14:paraId="05F997E6"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AB6974" w14:textId="4AB2767E" w:rsidR="004E5297" w:rsidRDefault="00440F21" w:rsidP="00440F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Phase 2 of the 2013 Fire Protection SDP does not involve a step to determine the SF for each scenario, because it specifies the SF for the ignition source types and HRRs that may need to be considered in a Phase 2 analysis.  This is still the case in the present </w:t>
      </w:r>
      <w:r w:rsidR="004E5297">
        <w:t xml:space="preserve">Fire Protection </w:t>
      </w:r>
      <w:r>
        <w:t xml:space="preserve">SDP for HEAFs and oil fires.  The SF for HEAFs is equal to 1.0.  For oil </w:t>
      </w:r>
      <w:r w:rsidR="00315D6F">
        <w:t>fires,</w:t>
      </w:r>
      <w:r>
        <w:t xml:space="preserve"> two scenarios may need to be considered.  The first scenario assumes that 100% of the available amount of oil has spilled.</w:t>
      </w:r>
      <w:r w:rsidR="004E5297">
        <w:t xml:space="preserve">  The SF for this scenario is 0.02.  The SF for the second scenario, which assumes a 10% spill, is 0.98</w:t>
      </w:r>
      <w:r w:rsidR="002508B9">
        <w:t xml:space="preserve"> </w:t>
      </w:r>
      <w:r w:rsidR="003104FF">
        <w:t>(Reference 8)</w:t>
      </w:r>
      <w:r w:rsidR="004E5297">
        <w:t xml:space="preserve">.  For confined oil </w:t>
      </w:r>
      <w:r w:rsidR="00315D6F">
        <w:t>fires,</w:t>
      </w:r>
      <w:r w:rsidR="004E5297">
        <w:t xml:space="preserve"> it is not necessary to evaluate the two scenarios if the containment volume is large enough to hold 100% of the oil that can be spilled.</w:t>
      </w:r>
      <w:r>
        <w:t xml:space="preserve">  </w:t>
      </w:r>
      <w:r w:rsidR="004E5297">
        <w:t xml:space="preserve">Consequently, Step 2.6.1 in Appendix </w:t>
      </w:r>
      <w:r w:rsidR="00D435D9">
        <w:t xml:space="preserve">F </w:t>
      </w:r>
      <w:r w:rsidR="004E5297">
        <w:t>only determines the SF for scenarios initiated by fixed or transient ignition sources.</w:t>
      </w:r>
    </w:p>
    <w:p w14:paraId="49F84440" w14:textId="45646562" w:rsidR="00440F21" w:rsidRDefault="00440F21" w:rsidP="00440F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B24C87" w14:textId="7EF998DE" w:rsidR="00AE38E5" w:rsidRDefault="00A80398" w:rsidP="00440F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SF for an FDS1 scenario is defined in </w:t>
      </w:r>
      <w:r w:rsidR="00A24E94">
        <w:t>Reference 8</w:t>
      </w:r>
      <w:r>
        <w:t>, Appendix E as the probability that the HRR of the ignition source that started the fire is sufficient to cause damage to the nearest and most vulnerable target i</w:t>
      </w:r>
      <w:r w:rsidR="001B3342">
        <w:t xml:space="preserve">n the damaged target set for the FDS1 scenario under consideration.  It is determined from the </w:t>
      </w:r>
      <w:r w:rsidR="00435FDE">
        <w:t>HRR distribution for the ignition source as illustrated in Figure 6.2.3.  The area under the HRR distribution curve is equal to 1.  The SF is the area under curve to the right of HRR</w:t>
      </w:r>
      <w:r w:rsidR="00435FDE">
        <w:rPr>
          <w:vertAlign w:val="subscript"/>
        </w:rPr>
        <w:t>min</w:t>
      </w:r>
      <w:r w:rsidR="00435FDE">
        <w:t xml:space="preserve">.  The latter, in this case, is equal to the minimum HRR to cause damage to the nearest and most vulnerable target.  </w:t>
      </w:r>
      <w:r w:rsidR="00905DC7">
        <w:t>Table/plot</w:t>
      </w:r>
      <w:r w:rsidR="00AE38E5">
        <w:t xml:space="preserve"> se</w:t>
      </w:r>
      <w:r w:rsidR="00435FDE">
        <w:t>t</w:t>
      </w:r>
      <w:r w:rsidR="00AE38E5">
        <w:t>s</w:t>
      </w:r>
      <w:r w:rsidR="00435FDE">
        <w:t xml:space="preserve"> D</w:t>
      </w:r>
      <w:r w:rsidR="00AE38E5">
        <w:t xml:space="preserve"> and E</w:t>
      </w:r>
      <w:r w:rsidR="00435FDE">
        <w:t xml:space="preserve"> </w:t>
      </w:r>
      <w:r w:rsidR="00AE38E5">
        <w:t>in Attachment 8 to Appendix F can be used to determine the SF as a function of vertical or radial distance from the ignition source to the ne</w:t>
      </w:r>
      <w:r w:rsidR="00AE38E5" w:rsidRPr="00944055">
        <w:t>arest and most vulnerable target, respectively.  Examples in Section</w:t>
      </w:r>
      <w:r w:rsidR="00F96E6C" w:rsidRPr="00944055">
        <w:t>s</w:t>
      </w:r>
      <w:r w:rsidR="00AE38E5" w:rsidRPr="00944055">
        <w:t xml:space="preserve"> </w:t>
      </w:r>
      <w:r w:rsidR="00F96E6C" w:rsidRPr="00944055">
        <w:t>05.03.0</w:t>
      </w:r>
      <w:r w:rsidR="00944055" w:rsidRPr="00944055">
        <w:t>4 and 05.03.05</w:t>
      </w:r>
      <w:r w:rsidR="00AE38E5">
        <w:t xml:space="preserve"> illustrate how these tables and plots can be used.</w:t>
      </w:r>
    </w:p>
    <w:p w14:paraId="31ECED83" w14:textId="0ED51610" w:rsidR="00AE38E5" w:rsidRDefault="00AE38E5" w:rsidP="00440F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BC1CFC" w14:textId="6EE0B3E2" w:rsidR="009177DD" w:rsidRDefault="009177DD" w:rsidP="009177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177DD">
        <w:rPr>
          <w:noProof/>
        </w:rPr>
        <w:lastRenderedPageBreak/>
        <w:drawing>
          <wp:inline distT="0" distB="0" distL="0" distR="0" wp14:anchorId="74943161" wp14:editId="0ADD8269">
            <wp:extent cx="5135245" cy="3076575"/>
            <wp:effectExtent l="0" t="0" r="825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35245" cy="3076575"/>
                    </a:xfrm>
                    <a:prstGeom prst="rect">
                      <a:avLst/>
                    </a:prstGeom>
                    <a:noFill/>
                    <a:ln>
                      <a:noFill/>
                    </a:ln>
                  </pic:spPr>
                </pic:pic>
              </a:graphicData>
            </a:graphic>
          </wp:inline>
        </w:drawing>
      </w:r>
    </w:p>
    <w:p w14:paraId="76C83173" w14:textId="0ABE179B" w:rsidR="009177DD" w:rsidRPr="00E01E7A" w:rsidRDefault="009177DD" w:rsidP="00CC4A33">
      <w:pPr>
        <w:pStyle w:val="Figures"/>
      </w:pPr>
      <w:bookmarkStart w:id="159" w:name="_Toc483393820"/>
      <w:r w:rsidRPr="00E01E7A">
        <w:t>Figure 6.</w:t>
      </w:r>
      <w:r w:rsidR="001675E3" w:rsidRPr="00E01E7A">
        <w:t>2.</w:t>
      </w:r>
      <w:r w:rsidRPr="00E01E7A">
        <w:t xml:space="preserve">3 – </w:t>
      </w:r>
      <w:r w:rsidR="00192323" w:rsidRPr="00E01E7A">
        <w:t>Determination of the Severity Factor</w:t>
      </w:r>
      <w:r w:rsidRPr="00E01E7A">
        <w:t>.</w:t>
      </w:r>
      <w:bookmarkEnd w:id="159"/>
    </w:p>
    <w:p w14:paraId="375EC00D" w14:textId="77777777" w:rsidR="009177DD" w:rsidRPr="00E01E7A" w:rsidRDefault="009177DD" w:rsidP="00440F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6179B6" w14:textId="7B1EBDEA" w:rsidR="000C2F7C" w:rsidRDefault="00AE38E5" w:rsidP="00440F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For FDS2 and FDS3 </w:t>
      </w:r>
      <w:r w:rsidR="0031032A">
        <w:t>scenarios,</w:t>
      </w:r>
      <w:r>
        <w:t xml:space="preserve"> there are two possibilities</w:t>
      </w:r>
      <w:r w:rsidR="000C2F7C">
        <w:t>:</w:t>
      </w:r>
    </w:p>
    <w:p w14:paraId="1FE70EB9" w14:textId="77777777" w:rsidR="00BF6B2F" w:rsidRDefault="00BF6B2F" w:rsidP="00BF6B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2C99FB" w14:textId="7E8227E6" w:rsidR="00BF6B2F" w:rsidRDefault="00BF6B2F" w:rsidP="005061EE">
      <w:pPr>
        <w:pStyle w:val="ListParagraph"/>
        <w:numPr>
          <w:ilvl w:val="7"/>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For FDS2 and FDS3 scenarios that do not involve secondary combustibles, at some time during the growth phase the ignition source must release heat at a sufficient rate to cause the development of a damaging HGL.  In this case, the SF is still determined as illustrated in Figure 6.</w:t>
      </w:r>
      <w:r w:rsidR="001675E3">
        <w:t>2.</w:t>
      </w:r>
      <w:r w:rsidR="00BC5185">
        <w:t>3</w:t>
      </w:r>
      <w:r>
        <w:t>, except that  HRR</w:t>
      </w:r>
      <w:r w:rsidRPr="00BF6B2F">
        <w:rPr>
          <w:vertAlign w:val="subscript"/>
        </w:rPr>
        <w:t>min</w:t>
      </w:r>
      <w:r>
        <w:t xml:space="preserve"> is now equal to the minimum HRR needed to cause the development of a HGL in the compartment of fire origin (for FDS2 scenarios) or in the exposed compartment (for FDS3 scenarios.  Typically, only severe oil fires are capable of ge</w:t>
      </w:r>
      <w:r w:rsidR="00BC5185">
        <w:t>ne</w:t>
      </w:r>
      <w:r>
        <w:t>rating a damaging HGL, and the SF for oil fire scenarios is specified as discussed above.</w:t>
      </w:r>
    </w:p>
    <w:p w14:paraId="265DFF59" w14:textId="624191D2" w:rsidR="00BF6B2F" w:rsidRDefault="00BF6B2F" w:rsidP="005061EE">
      <w:pPr>
        <w:pStyle w:val="ListParagraph"/>
        <w:numPr>
          <w:ilvl w:val="7"/>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For FDS2 and FDS3 scenarios that involve secondary combustibles, the SF is the probability that the HRR of the ignition source is sufficient to ignite the secondary combustible.  Consequently, the SF for these scenarios is determined using the same approach as for FDS1 scenarios</w:t>
      </w:r>
      <w:r w:rsidR="00BC5185">
        <w:t>.</w:t>
      </w:r>
      <w:r>
        <w:t xml:space="preserve">  HRR</w:t>
      </w:r>
      <w:r w:rsidRPr="00BF6B2F">
        <w:rPr>
          <w:vertAlign w:val="subscript"/>
        </w:rPr>
        <w:t>min</w:t>
      </w:r>
      <w:r>
        <w:t>, in this case, is equal to the minimum HRR to cause ignition of the nearest and most vulnerable target.</w:t>
      </w:r>
    </w:p>
    <w:p w14:paraId="1B21C5C7"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AD2454" w14:textId="19D109D5" w:rsidR="00EC2070" w:rsidRDefault="0079404E" w:rsidP="004D46E2">
      <w:pPr>
        <w:pStyle w:val="Heading4"/>
      </w:pPr>
      <w:r>
        <w:t>Step</w:t>
      </w:r>
      <w:r w:rsidR="00EC2070">
        <w:t xml:space="preserve"> 2.6.2: Screening Check</w:t>
      </w:r>
    </w:p>
    <w:p w14:paraId="02579DD6"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4EBCD5" w14:textId="08841B74" w:rsidR="00EC2070" w:rsidRDefault="00BF6B2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w:t>
      </w:r>
      <w:r w:rsidR="00AA256A">
        <w:t>SF</w:t>
      </w:r>
      <w:r>
        <w:t xml:space="preserve">s </w:t>
      </w:r>
      <w:r w:rsidR="001F711F">
        <w:t>determined in</w:t>
      </w:r>
      <w:r w:rsidR="00AA256A">
        <w:t xml:space="preserve"> Step 2.6.1 </w:t>
      </w:r>
      <w:r>
        <w:t xml:space="preserve">together with the most recent estimates of the other factors in Equation 1 </w:t>
      </w:r>
      <w:r w:rsidR="001F711F">
        <w:t xml:space="preserve">are used </w:t>
      </w:r>
      <w:r>
        <w:t xml:space="preserve">to obtain an updated value for the </w:t>
      </w:r>
      <w:r>
        <w:sym w:font="Symbol" w:char="F044"/>
      </w:r>
      <w:r>
        <w:t>CDF.  If this updated value is less than 1E-6, the finding screens to Green.</w:t>
      </w:r>
    </w:p>
    <w:p w14:paraId="45AF2A06"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EBEF49" w14:textId="77777777" w:rsidR="00EC2070" w:rsidRDefault="00EC2070" w:rsidP="004D46E2">
      <w:pPr>
        <w:pStyle w:val="Heading3"/>
      </w:pPr>
      <w:bookmarkStart w:id="160" w:name="_Toc481265414"/>
      <w:bookmarkStart w:id="161" w:name="_Toc511060894"/>
      <w:r>
        <w:t>Step 2.7: Final Non-Suppression Probability Estimates</w:t>
      </w:r>
      <w:bookmarkEnd w:id="160"/>
      <w:bookmarkEnd w:id="161"/>
    </w:p>
    <w:p w14:paraId="3C7F3750" w14:textId="77777777" w:rsidR="00521293" w:rsidRDefault="00521293" w:rsidP="004209AC"/>
    <w:p w14:paraId="75EF425D" w14:textId="3F92132C" w:rsidR="00521293" w:rsidRPr="00521293" w:rsidRDefault="00521293" w:rsidP="004209AC">
      <w:r w:rsidRPr="00521293">
        <w:t xml:space="preserve">Additional guidance for the fire NSP analysis performed in this step is provided in Attachment 7 to Appendix F. </w:t>
      </w:r>
    </w:p>
    <w:p w14:paraId="5547ABD2"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DFA587" w14:textId="4BDDC305" w:rsidR="00EC2070" w:rsidRDefault="0079404E" w:rsidP="004D46E2">
      <w:pPr>
        <w:pStyle w:val="Heading4"/>
      </w:pPr>
      <w:r>
        <w:lastRenderedPageBreak/>
        <w:t>Step</w:t>
      </w:r>
      <w:r w:rsidR="00EC2070">
        <w:t xml:space="preserve"> 2.7.1: </w:t>
      </w:r>
      <w:r w:rsidR="00EC2070" w:rsidRPr="00114074">
        <w:t xml:space="preserve">Determine </w:t>
      </w:r>
      <w:r w:rsidR="00EC2070">
        <w:t>Damage and Ignition Times</w:t>
      </w:r>
    </w:p>
    <w:p w14:paraId="08DE2907" w14:textId="77777777" w:rsidR="00EC2070" w:rsidRDefault="00EC2070" w:rsidP="00285DFD">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D8AFA8" w14:textId="05DBE120" w:rsidR="00EC2070" w:rsidRDefault="003C3E24" w:rsidP="00285DFD">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For FDS1 scenarios damage occurs when the HRR of the ignition source is sufficient to cause damage to the nearest and most vulnerable target.  The time when this occurs is determined from the HRR profile of ignition source, as illustrated in Figure 6.</w:t>
      </w:r>
      <w:r w:rsidR="001675E3">
        <w:t>2.</w:t>
      </w:r>
      <w:r>
        <w:t>4.  HRR</w:t>
      </w:r>
      <w:r>
        <w:rPr>
          <w:vertAlign w:val="subscript"/>
        </w:rPr>
        <w:t>min</w:t>
      </w:r>
      <w:r>
        <w:t xml:space="preserve"> in this figure is the minimum HRR to cause damage to the nearest and most vulnerable target.  </w:t>
      </w:r>
      <w:r w:rsidR="00905DC7">
        <w:t>Table/plot</w:t>
      </w:r>
      <w:r>
        <w:t xml:space="preserve"> sets F and G in Attachment 8 to Appendix F can be used to determine the damage time for FDS1 scenarios as a function of vertical or radial distance from the ignition source to the nearest and most vulnerable target, respectively.  Examples in Section</w:t>
      </w:r>
      <w:r w:rsidR="00944055">
        <w:t>s</w:t>
      </w:r>
      <w:r>
        <w:t xml:space="preserve"> </w:t>
      </w:r>
      <w:r w:rsidR="00944055">
        <w:t>05.03.06 and 05.03.07</w:t>
      </w:r>
      <w:r>
        <w:t xml:space="preserve"> illustrate how these tables and plots can be used.</w:t>
      </w:r>
    </w:p>
    <w:p w14:paraId="7041118C" w14:textId="77777777" w:rsidR="00EB3F85" w:rsidRDefault="00EB3F85" w:rsidP="00EB3F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4B28F7" w14:textId="0B38563F" w:rsidR="00EB3F85" w:rsidRDefault="00850797" w:rsidP="00EB3F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850797">
        <w:rPr>
          <w:noProof/>
        </w:rPr>
        <w:drawing>
          <wp:inline distT="0" distB="0" distL="0" distR="0" wp14:anchorId="4B61DBF7" wp14:editId="0CEA151B">
            <wp:extent cx="4935220" cy="328803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35220" cy="3288030"/>
                    </a:xfrm>
                    <a:prstGeom prst="rect">
                      <a:avLst/>
                    </a:prstGeom>
                    <a:noFill/>
                    <a:ln>
                      <a:noFill/>
                    </a:ln>
                  </pic:spPr>
                </pic:pic>
              </a:graphicData>
            </a:graphic>
          </wp:inline>
        </w:drawing>
      </w:r>
    </w:p>
    <w:p w14:paraId="5D6F3E02" w14:textId="1743BC8E" w:rsidR="00EB3F85" w:rsidRPr="00E01E7A" w:rsidRDefault="001675E3" w:rsidP="00CC4A33">
      <w:pPr>
        <w:pStyle w:val="Figures"/>
      </w:pPr>
      <w:bookmarkStart w:id="162" w:name="_Toc483393821"/>
      <w:r w:rsidRPr="00E01E7A">
        <w:t xml:space="preserve">Figure </w:t>
      </w:r>
      <w:r w:rsidR="00EB3F85" w:rsidRPr="00E01E7A">
        <w:t>6.</w:t>
      </w:r>
      <w:r w:rsidRPr="00E01E7A">
        <w:t>2.</w:t>
      </w:r>
      <w:r w:rsidR="00EB3F85" w:rsidRPr="00E01E7A">
        <w:t>4 – Damage Time Determination for FDS1 Scenarios.</w:t>
      </w:r>
      <w:bookmarkEnd w:id="162"/>
    </w:p>
    <w:p w14:paraId="0FAAA800" w14:textId="77777777" w:rsidR="00EB3F85" w:rsidRPr="00E01E7A" w:rsidRDefault="00EB3F85" w:rsidP="00EB3F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1EAA5A" w14:textId="16998286" w:rsidR="000906A4" w:rsidRDefault="003C3E2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For FDS2 and FDS3 scenarios, damage occurs when the </w:t>
      </w:r>
      <w:r w:rsidR="001A01DC">
        <w:t>HGL temperature reaches the damage threshold for the targets in the compartment.  If an ignition source releases heat at a sufficient rate to create a damaging HGL in the compartment, the time to damage is determined as show</w:t>
      </w:r>
      <w:r w:rsidR="001675E3">
        <w:t xml:space="preserve">n in Figure </w:t>
      </w:r>
      <w:r w:rsidR="001A01DC">
        <w:t>6.</w:t>
      </w:r>
      <w:r w:rsidR="001675E3">
        <w:t>2.</w:t>
      </w:r>
      <w:r w:rsidR="00885CCE">
        <w:t>4</w:t>
      </w:r>
      <w:r w:rsidR="00EB3F85">
        <w:t xml:space="preserve">.  In this case, </w:t>
      </w:r>
      <w:r w:rsidR="001A01DC">
        <w:t>HRR</w:t>
      </w:r>
      <w:r w:rsidR="001A01DC">
        <w:rPr>
          <w:vertAlign w:val="subscript"/>
        </w:rPr>
        <w:t>min</w:t>
      </w:r>
      <w:r w:rsidR="001A01DC">
        <w:t xml:space="preserve"> </w:t>
      </w:r>
      <w:r w:rsidR="00EB3F85">
        <w:t xml:space="preserve">is </w:t>
      </w:r>
      <w:r w:rsidR="001A01DC">
        <w:t xml:space="preserve">equal to the minimum HRR to create a damaging HGL in the compartment.  As mentioned before, in a typical compartment only severe oil fires are capable of releasing heat at a sufficient rate to cause damage to all targets in the compartment without the involvement of secondary combustibles.  For </w:t>
      </w:r>
      <w:r w:rsidR="000906A4">
        <w:t xml:space="preserve">these </w:t>
      </w:r>
      <w:r w:rsidR="0031032A">
        <w:t>fires,</w:t>
      </w:r>
      <w:r w:rsidR="001A01DC">
        <w:t xml:space="preserve"> it is assumed that </w:t>
      </w:r>
      <w:r w:rsidR="00EB3F85">
        <w:t>the</w:t>
      </w:r>
      <w:r w:rsidR="001A01DC">
        <w:t xml:space="preserve"> targets</w:t>
      </w:r>
      <w:r w:rsidR="000906A4">
        <w:t xml:space="preserve"> </w:t>
      </w:r>
      <w:r w:rsidR="00EB3F85">
        <w:t xml:space="preserve">are </w:t>
      </w:r>
      <w:r w:rsidR="000906A4">
        <w:t>damaged in one minute.</w:t>
      </w:r>
    </w:p>
    <w:p w14:paraId="1056D52C" w14:textId="77777777" w:rsidR="000906A4" w:rsidRDefault="000906A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3FFF4F" w14:textId="1A310BAD" w:rsidR="003C3E24" w:rsidRPr="003C3E24" w:rsidRDefault="000906A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FDS2 and FDS3 scenarios typically involve secondary combustibles.  The most common secondary combustible is a vertical stack of horizontal cable trays.  The HRR profiles of various ignition source-cable tray configurations are provided in Attachment 8 to Appendix F (</w:t>
      </w:r>
      <w:r w:rsidR="00905DC7">
        <w:t>table/plot</w:t>
      </w:r>
      <w:r>
        <w:t xml:space="preserve"> set C).  The tables and plots in this set can be used to determine when the combined HRR of the ignition source and secondary combustible exceeds the minimum HRR to create a damaging HGL determined in Step 2.3.3 (for FDS2 scenarios) or in Step 2.3.4 (for FDS3 scenarios).  This process is illustrated by example in Section </w:t>
      </w:r>
      <w:r w:rsidR="00944055">
        <w:t>05.03.03</w:t>
      </w:r>
      <w:r>
        <w:t>.</w:t>
      </w:r>
    </w:p>
    <w:p w14:paraId="0CD7B021" w14:textId="77777777" w:rsidR="00EC207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8C8B46" w14:textId="1D4DBAC8" w:rsidR="00EC2070" w:rsidRDefault="0079404E" w:rsidP="004D46E2">
      <w:pPr>
        <w:pStyle w:val="Heading4"/>
      </w:pPr>
      <w:r>
        <w:lastRenderedPageBreak/>
        <w:t>Step</w:t>
      </w:r>
      <w:r w:rsidR="00EC2070">
        <w:t xml:space="preserve"> 2.7.2: Fire Detection</w:t>
      </w:r>
    </w:p>
    <w:p w14:paraId="2FC7D97E" w14:textId="77777777" w:rsidR="00EC2070" w:rsidRDefault="00EC2070" w:rsidP="004209A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DC72D7" w14:textId="669999C7" w:rsidR="004A5DE9" w:rsidRPr="00C70CAC" w:rsidRDefault="004A5DE9" w:rsidP="004209A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It is important to note that fire detection time plays only one role in the Fire Protection SDP analysis; namely, it is a benchmark time from the point of fire ignition to triggering of the human response to the fire event.  In this context, fire detection by any one of several paths is possible.  The SDP approach is to credit just one of the available paths - that which is most likely to succeed first.  In most cases, this will be detection by a fixed detection system (if available).  The other paths are considered should there be no fixed detection system or the fixed detection system is found to be highly degraded (i.e., essentially non-functional).</w:t>
      </w:r>
    </w:p>
    <w:p w14:paraId="742E62B1" w14:textId="77777777" w:rsidR="004A5DE9" w:rsidRPr="00C70CAC"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28D102B" w14:textId="77777777" w:rsidR="004A5DE9" w:rsidRPr="00C70CAC"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Detection by a Continuous Fire Watch</w:t>
      </w:r>
    </w:p>
    <w:p w14:paraId="68B222CD" w14:textId="77777777" w:rsidR="004A5DE9" w:rsidRPr="00C70CAC"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4EE02DE" w14:textId="77777777" w:rsidR="004A5DE9" w:rsidRPr="00C70CAC"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A continuous fire watch is given substantial credit for prompt detection unless conditions specific to the fire watch warrant otherwise.  It is well established in the literature that humans are highly effective as fire detectors (based primarily on the human sense of smell).</w:t>
      </w:r>
    </w:p>
    <w:p w14:paraId="09F0C3D0" w14:textId="1D30F5F0" w:rsidR="004A5DE9"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21145996" w14:textId="77777777" w:rsidR="00AF1A35" w:rsidRPr="00C70CAC" w:rsidRDefault="00AF1A35" w:rsidP="00AF1A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Detection by a Roving Fire Watch</w:t>
      </w:r>
    </w:p>
    <w:p w14:paraId="24BD8CC9" w14:textId="77777777" w:rsidR="00AF1A35" w:rsidRPr="00C70CAC" w:rsidRDefault="00AF1A35" w:rsidP="00AF1A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561A946" w14:textId="7163CD92" w:rsidR="00AF1A35" w:rsidRPr="00C70CAC" w:rsidRDefault="00AF1A35" w:rsidP="00AF1A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rPr>
        <w:t>A roving fire watch is expected to detect a fire if one is in existence at the time they enter the fire area.  The mean time to response is used, which corresponds to one-half the period between patrols.</w:t>
      </w:r>
    </w:p>
    <w:p w14:paraId="7A57B9AC" w14:textId="77777777" w:rsidR="00AF1A35" w:rsidRDefault="00AF1A35"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7494A8C6" w14:textId="77777777" w:rsidR="004A5DE9" w:rsidRPr="00D858C0"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C70CAC">
        <w:rPr>
          <w:rFonts w:cs="Arial"/>
          <w:u w:val="single"/>
        </w:rPr>
        <w:t>Detection b</w:t>
      </w:r>
      <w:r w:rsidRPr="00D858C0">
        <w:rPr>
          <w:rFonts w:cs="Arial"/>
          <w:u w:val="single"/>
        </w:rPr>
        <w:t>y a Fixed Detection System</w:t>
      </w:r>
    </w:p>
    <w:p w14:paraId="061BA633" w14:textId="77777777" w:rsidR="004A5DE9" w:rsidRPr="00D858C0"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DC3A627" w14:textId="158F620C" w:rsidR="004A5DE9" w:rsidRPr="00D858C0"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rPr>
        <w:t xml:space="preserve">The correlation applied in the </w:t>
      </w:r>
      <w:r w:rsidR="001F711F" w:rsidRPr="00D858C0">
        <w:rPr>
          <w:rFonts w:cs="Arial"/>
        </w:rPr>
        <w:t xml:space="preserve">development of the tables in Attachment 8 to Appendix F that </w:t>
      </w:r>
      <w:r w:rsidR="00D60FC1">
        <w:rPr>
          <w:rFonts w:cs="Arial"/>
        </w:rPr>
        <w:t>is</w:t>
      </w:r>
      <w:r w:rsidR="00D60FC1" w:rsidRPr="00D858C0">
        <w:rPr>
          <w:rFonts w:cs="Arial"/>
        </w:rPr>
        <w:t xml:space="preserve"> </w:t>
      </w:r>
      <w:r w:rsidR="001F711F" w:rsidRPr="00D858C0">
        <w:rPr>
          <w:rFonts w:cs="Arial"/>
        </w:rPr>
        <w:t xml:space="preserve">used in the </w:t>
      </w:r>
      <w:r w:rsidRPr="00D858C0">
        <w:rPr>
          <w:rFonts w:cs="Arial"/>
        </w:rPr>
        <w:t>detection time analysis is a well-established handbook correlation</w:t>
      </w:r>
      <w:r w:rsidR="002508B9" w:rsidRPr="00D858C0">
        <w:rPr>
          <w:rFonts w:cs="Arial"/>
        </w:rPr>
        <w:t xml:space="preserve"> </w:t>
      </w:r>
      <w:r w:rsidR="00EC1102" w:rsidRPr="00D858C0">
        <w:rPr>
          <w:rFonts w:cs="Arial"/>
        </w:rPr>
        <w:t>(Chapter 11 in Reference 10)</w:t>
      </w:r>
      <w:r w:rsidRPr="00D858C0">
        <w:rPr>
          <w:rFonts w:cs="Arial"/>
        </w:rPr>
        <w:t>.  For further information</w:t>
      </w:r>
      <w:r w:rsidR="00AF1A35" w:rsidRPr="00D858C0">
        <w:rPr>
          <w:rFonts w:cs="Arial"/>
        </w:rPr>
        <w:t>,</w:t>
      </w:r>
      <w:r w:rsidRPr="00D858C0">
        <w:rPr>
          <w:rFonts w:cs="Arial"/>
        </w:rPr>
        <w:t xml:space="preserve"> </w:t>
      </w:r>
      <w:r w:rsidR="001F711F" w:rsidRPr="00D858C0">
        <w:rPr>
          <w:rFonts w:cs="Arial"/>
        </w:rPr>
        <w:t xml:space="preserve">the </w:t>
      </w:r>
      <w:r w:rsidR="00AF1A35" w:rsidRPr="00D858C0">
        <w:rPr>
          <w:rFonts w:cs="Arial"/>
        </w:rPr>
        <w:t xml:space="preserve">reader is referred to pertinent parts of the next sub-section, which </w:t>
      </w:r>
      <w:r w:rsidR="001F711F" w:rsidRPr="00D858C0">
        <w:rPr>
          <w:rFonts w:cs="Arial"/>
        </w:rPr>
        <w:t>discuss</w:t>
      </w:r>
      <w:r w:rsidR="00AF1A35" w:rsidRPr="00D858C0">
        <w:rPr>
          <w:rFonts w:cs="Arial"/>
        </w:rPr>
        <w:t>es</w:t>
      </w:r>
      <w:r w:rsidR="001F711F" w:rsidRPr="00D858C0">
        <w:rPr>
          <w:rFonts w:cs="Arial"/>
        </w:rPr>
        <w:t xml:space="preserve"> the basis for the tables </w:t>
      </w:r>
      <w:r w:rsidR="00AF1A35" w:rsidRPr="00D858C0">
        <w:rPr>
          <w:rFonts w:cs="Arial"/>
        </w:rPr>
        <w:t>and plots in Attachment 8 to Appendix F</w:t>
      </w:r>
      <w:r w:rsidRPr="00D858C0">
        <w:rPr>
          <w:rFonts w:cs="Arial"/>
        </w:rPr>
        <w:t>.</w:t>
      </w:r>
    </w:p>
    <w:p w14:paraId="05CA05C8" w14:textId="77777777" w:rsidR="004A5DE9" w:rsidRPr="00D858C0"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B7D8EA7" w14:textId="77777777" w:rsidR="004A5DE9" w:rsidRPr="00D858C0"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u w:val="single"/>
        </w:rPr>
        <w:t>Detection by General Plant Personnel</w:t>
      </w:r>
    </w:p>
    <w:p w14:paraId="7AD67455" w14:textId="77777777" w:rsidR="004A5DE9" w:rsidRPr="00D858C0" w:rsidRDefault="004A5DE9" w:rsidP="004A5D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0EF812E" w14:textId="6C001778" w:rsidR="00EC2070" w:rsidRPr="00D858C0" w:rsidRDefault="00AF1A35" w:rsidP="00484F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rFonts w:cs="Arial"/>
        </w:rPr>
        <w:t xml:space="preserve">The time to detection </w:t>
      </w:r>
      <w:r w:rsidR="004A5DE9" w:rsidRPr="00D858C0">
        <w:rPr>
          <w:rFonts w:cs="Arial"/>
        </w:rPr>
        <w:t xml:space="preserve">by plant personnel </w:t>
      </w:r>
      <w:r w:rsidR="00F270B4" w:rsidRPr="00D858C0">
        <w:rPr>
          <w:rFonts w:cs="Arial"/>
        </w:rPr>
        <w:t xml:space="preserve">depends on the circumstances and </w:t>
      </w:r>
      <w:r w:rsidRPr="00D858C0">
        <w:rPr>
          <w:rFonts w:cs="Arial"/>
        </w:rPr>
        <w:t xml:space="preserve">is estimated by the analyst except if the area is continuously manned, in which case the </w:t>
      </w:r>
      <w:r w:rsidR="00F270B4" w:rsidRPr="00D858C0">
        <w:rPr>
          <w:rFonts w:cs="Arial"/>
        </w:rPr>
        <w:t>fire is assumed to be detected in 5 minutes.</w:t>
      </w:r>
    </w:p>
    <w:p w14:paraId="1F3B835A" w14:textId="77777777" w:rsidR="00EC2070" w:rsidRPr="00D858C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2ACBAB" w14:textId="2B778885" w:rsidR="00EC2070" w:rsidRPr="00D858C0" w:rsidRDefault="0079404E" w:rsidP="004D46E2">
      <w:pPr>
        <w:pStyle w:val="Heading4"/>
      </w:pPr>
      <w:r w:rsidRPr="00D858C0">
        <w:t>Step</w:t>
      </w:r>
      <w:r w:rsidR="00EC2070" w:rsidRPr="00D858C0">
        <w:t xml:space="preserve"> 2.7.3: Fixed Fire Suppression Analysis</w:t>
      </w:r>
    </w:p>
    <w:p w14:paraId="09D42CE6" w14:textId="77777777" w:rsidR="00EC2070" w:rsidRPr="00D858C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CB3BDD" w14:textId="7F556019" w:rsidR="00EC2070" w:rsidRPr="00D858C0" w:rsidRDefault="004A5DE9"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The correlation applied in the </w:t>
      </w:r>
      <w:r w:rsidR="00F270B4" w:rsidRPr="00D858C0">
        <w:rPr>
          <w:rFonts w:cs="Arial"/>
        </w:rPr>
        <w:t xml:space="preserve">development of the tables in Attachment 8 to Appendix F that </w:t>
      </w:r>
      <w:r w:rsidR="00D60FC1">
        <w:rPr>
          <w:rFonts w:cs="Arial"/>
        </w:rPr>
        <w:t>is</w:t>
      </w:r>
      <w:r w:rsidR="00D60FC1" w:rsidRPr="00D858C0">
        <w:rPr>
          <w:rFonts w:cs="Arial"/>
        </w:rPr>
        <w:t xml:space="preserve"> </w:t>
      </w:r>
      <w:r w:rsidR="00F270B4" w:rsidRPr="00D858C0">
        <w:rPr>
          <w:rFonts w:cs="Arial"/>
        </w:rPr>
        <w:t>used in the</w:t>
      </w:r>
      <w:r w:rsidR="00F270B4" w:rsidRPr="00D858C0">
        <w:t xml:space="preserve"> activation </w:t>
      </w:r>
      <w:r w:rsidRPr="00D858C0">
        <w:t>time analysis for fixed fire suppression systems is a well-established handbook correlation</w:t>
      </w:r>
      <w:r w:rsidR="002508B9" w:rsidRPr="00D858C0">
        <w:t xml:space="preserve"> </w:t>
      </w:r>
      <w:r w:rsidR="003104FF" w:rsidRPr="00D858C0">
        <w:t xml:space="preserve">(Chapter </w:t>
      </w:r>
      <w:r w:rsidR="00AD6207" w:rsidRPr="00D858C0">
        <w:t>10 in Reference 10)</w:t>
      </w:r>
      <w:r w:rsidRPr="00D858C0">
        <w:t>.  For further information</w:t>
      </w:r>
      <w:r w:rsidR="00F270B4" w:rsidRPr="00D858C0">
        <w:t>,</w:t>
      </w:r>
      <w:r w:rsidRPr="00D858C0">
        <w:t xml:space="preserve"> </w:t>
      </w:r>
      <w:r w:rsidR="00F270B4" w:rsidRPr="00D858C0">
        <w:rPr>
          <w:rFonts w:cs="Arial"/>
        </w:rPr>
        <w:t>the reader is referred to pertinent parts of the next sub-section, which discusses the basis for the tables and plots in Attachment 8 to Appendix F</w:t>
      </w:r>
      <w:r w:rsidRPr="00D858C0">
        <w:t>.</w:t>
      </w:r>
    </w:p>
    <w:p w14:paraId="2EC44BA0" w14:textId="77777777" w:rsidR="00EC2070" w:rsidRPr="00D858C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9617C3" w14:textId="2C2F6673" w:rsidR="00EC2070" w:rsidRPr="00D858C0" w:rsidRDefault="0079404E" w:rsidP="004D46E2">
      <w:pPr>
        <w:pStyle w:val="Heading4"/>
      </w:pPr>
      <w:r w:rsidRPr="00D858C0">
        <w:t>Step</w:t>
      </w:r>
      <w:r w:rsidR="00EC2070" w:rsidRPr="00D858C0">
        <w:t xml:space="preserve"> 2.7.4: Plant Personnel and Manual Fire Brigade</w:t>
      </w:r>
    </w:p>
    <w:p w14:paraId="081A5721" w14:textId="77777777" w:rsidR="00EC2070" w:rsidRPr="00D858C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B2B3ED" w14:textId="09549758" w:rsidR="00AA256A" w:rsidRPr="00D858C0" w:rsidRDefault="00F270B4"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r w:rsidRPr="00D858C0">
        <w:t xml:space="preserve">The manual </w:t>
      </w:r>
      <w:r w:rsidR="008C70C2" w:rsidRPr="00D858C0">
        <w:t>NSP</w:t>
      </w:r>
      <w:r w:rsidR="00484F43" w:rsidRPr="00D858C0">
        <w:t xml:space="preserve"> </w:t>
      </w:r>
      <w:r w:rsidRPr="00D858C0">
        <w:t xml:space="preserve">curves used </w:t>
      </w:r>
      <w:r w:rsidR="00484F43" w:rsidRPr="00D858C0">
        <w:t xml:space="preserve">in Step 2.7.4 </w:t>
      </w:r>
      <w:r w:rsidRPr="00D858C0">
        <w:t>to determine NSP</w:t>
      </w:r>
      <w:r w:rsidRPr="00D858C0">
        <w:rPr>
          <w:vertAlign w:val="subscript"/>
        </w:rPr>
        <w:t>manual</w:t>
      </w:r>
      <w:r w:rsidRPr="00D858C0">
        <w:t xml:space="preserve"> are </w:t>
      </w:r>
      <w:r w:rsidR="00484F43" w:rsidRPr="00D858C0">
        <w:t xml:space="preserve">those recommended in </w:t>
      </w:r>
      <w:r w:rsidR="008A3764" w:rsidRPr="00D858C0">
        <w:t>Reference 15</w:t>
      </w:r>
      <w:r w:rsidR="00484F43" w:rsidRPr="00D858C0">
        <w:t xml:space="preserve">. </w:t>
      </w:r>
      <w:r w:rsidR="00AA256A" w:rsidRPr="00D858C0">
        <w:rPr>
          <w:rFonts w:cs="Arial"/>
        </w:rPr>
        <w:t xml:space="preserve"> The approach applied in the analysis of manual fire fighting response, using historical evidence, is a </w:t>
      </w:r>
      <w:r w:rsidR="00D60FC1" w:rsidRPr="00D858C0">
        <w:rPr>
          <w:rFonts w:cs="Arial"/>
        </w:rPr>
        <w:t>well</w:t>
      </w:r>
      <w:r w:rsidR="00D60FC1">
        <w:rPr>
          <w:rFonts w:cs="Arial"/>
        </w:rPr>
        <w:t>-</w:t>
      </w:r>
      <w:r w:rsidR="0031032A" w:rsidRPr="00D858C0">
        <w:rPr>
          <w:rFonts w:cs="Arial"/>
        </w:rPr>
        <w:t>established</w:t>
      </w:r>
      <w:r w:rsidR="00AA256A" w:rsidRPr="00D858C0">
        <w:rPr>
          <w:rFonts w:cs="Arial"/>
        </w:rPr>
        <w:t xml:space="preserve"> and accepted approach in general fire PRA practice.  Specific considerations relevant to this particular approach are the following:</w:t>
      </w:r>
    </w:p>
    <w:p w14:paraId="12AD74F9" w14:textId="77777777" w:rsidR="00AA256A" w:rsidRPr="00D858C0" w:rsidRDefault="00AA256A" w:rsidP="00AA256A">
      <w:pPr>
        <w:jc w:val="both"/>
        <w:rPr>
          <w:rFonts w:cs="Arial"/>
        </w:rPr>
      </w:pPr>
    </w:p>
    <w:p w14:paraId="236D4143" w14:textId="22420C01" w:rsidR="00AA256A" w:rsidRPr="00D858C0" w:rsidRDefault="00AA256A" w:rsidP="0034587C">
      <w:pPr>
        <w:pStyle w:val="ListParagraph"/>
        <w:keepNext/>
        <w:keepLines/>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cs="Arial"/>
        </w:rPr>
      </w:pPr>
      <w:r w:rsidRPr="00D858C0">
        <w:rPr>
          <w:rFonts w:cs="Arial"/>
        </w:rPr>
        <w:lastRenderedPageBreak/>
        <w:t>Fire suppression by a hot work fire watch is a unique case.  Historical evidence shows that hot work</w:t>
      </w:r>
      <w:r w:rsidR="00885CCE" w:rsidRPr="00D858C0">
        <w:rPr>
          <w:rFonts w:cs="Arial"/>
        </w:rPr>
        <w:t xml:space="preserve"> fire watches</w:t>
      </w:r>
      <w:r w:rsidRPr="00D858C0">
        <w:rPr>
          <w:rFonts w:cs="Arial"/>
        </w:rPr>
        <w:t xml:space="preserve"> are effective at providing prompt suppression of most fires.  This observation has been credited in the fire frequency statistics - fires suppressed promptly by a hot work fire watch have not been included in the base fire frequency.  Hence, no additional credit for hot work fire watches is given in this step.  (Note that a degraded hot work fire watch finding is reflected by an increase in fire frequency for the same reason.)</w:t>
      </w:r>
    </w:p>
    <w:p w14:paraId="4C4D2992" w14:textId="278DA77F" w:rsidR="00AA256A" w:rsidRPr="00D858C0" w:rsidRDefault="00AA256A" w:rsidP="0035366F">
      <w:pPr>
        <w:pStyle w:val="ListParagraph"/>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cs="Arial"/>
        </w:rPr>
      </w:pPr>
      <w:r w:rsidRPr="00D858C0">
        <w:rPr>
          <w:rFonts w:cs="Arial"/>
        </w:rPr>
        <w:t xml:space="preserve">Roving fire watches are not credited for fire suppression in the Phase 2 analysis.  Roving fire watches are credited for effecting fire detection (see </w:t>
      </w:r>
      <w:r w:rsidR="007F45F2">
        <w:rPr>
          <w:rFonts w:cs="Arial"/>
        </w:rPr>
        <w:t>Step</w:t>
      </w:r>
      <w:r w:rsidRPr="00D858C0">
        <w:rPr>
          <w:rFonts w:cs="Arial"/>
        </w:rPr>
        <w:t xml:space="preserve"> </w:t>
      </w:r>
      <w:r w:rsidR="00F270B4" w:rsidRPr="00D858C0">
        <w:rPr>
          <w:rFonts w:cs="Arial"/>
        </w:rPr>
        <w:t>2.7.2</w:t>
      </w:r>
      <w:r w:rsidRPr="00D858C0">
        <w:rPr>
          <w:rFonts w:cs="Arial"/>
        </w:rPr>
        <w:t>).</w:t>
      </w:r>
    </w:p>
    <w:p w14:paraId="067ED2CC" w14:textId="74EB78FE" w:rsidR="00AA256A" w:rsidRPr="00D858C0" w:rsidRDefault="00AA256A" w:rsidP="0035366F">
      <w:pPr>
        <w:pStyle w:val="ListParagraph"/>
        <w:widowControl/>
        <w:numPr>
          <w:ilvl w:val="0"/>
          <w:numId w:val="5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cs="Arial"/>
        </w:rPr>
      </w:pPr>
      <w:r w:rsidRPr="00D858C0">
        <w:rPr>
          <w:rFonts w:cs="Arial"/>
        </w:rPr>
        <w:t>The final line of defense for fire suppression of any fire is the plant fire brigade.  The fire brigade response is assessed based on historical evidence from past fires.</w:t>
      </w:r>
    </w:p>
    <w:p w14:paraId="088D9872" w14:textId="351224DF" w:rsidR="00AA256A" w:rsidRPr="00D858C0" w:rsidRDefault="00AA256A"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p>
    <w:p w14:paraId="758D44CF" w14:textId="4A698505" w:rsidR="00EC2070" w:rsidRPr="00D858C0" w:rsidRDefault="00AA256A" w:rsidP="00AA2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rFonts w:cs="Arial"/>
        </w:rPr>
        <w:t>Historically, most fires have been suppressed by plant personnel including especially the plant fire brigade.  Hence, a large base of historical data exists upon which this analysis is based.  In practice, this historical evidence also includes fires suppressed by other members of the plant staff (e.g., security or maintenance personnel who happen upon a fire and effect successful suppression).  The approach to analysis is well documented in the literature.</w:t>
      </w:r>
    </w:p>
    <w:p w14:paraId="47959F67" w14:textId="77777777" w:rsidR="00EC2070" w:rsidRPr="00D858C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1102F7" w14:textId="6A5F9050" w:rsidR="00EC2070" w:rsidRPr="00D858C0" w:rsidRDefault="0079404E" w:rsidP="004D46E2">
      <w:pPr>
        <w:pStyle w:val="Heading4"/>
      </w:pPr>
      <w:r w:rsidRPr="00D858C0">
        <w:t>Step</w:t>
      </w:r>
      <w:r w:rsidR="00EC2070" w:rsidRPr="00D858C0">
        <w:t xml:space="preserve"> 2.7.5: Determine Non-Suppression Probabilities</w:t>
      </w:r>
    </w:p>
    <w:p w14:paraId="71ABA1AF" w14:textId="77777777" w:rsidR="00EC2070" w:rsidRPr="00D858C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66F5D" w14:textId="07B6A709" w:rsidR="00AA256A" w:rsidRPr="00D858C0" w:rsidRDefault="004E040B" w:rsidP="00AA256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u w:val="single"/>
        </w:rPr>
        <w:t>NSP</w:t>
      </w:r>
      <w:r w:rsidRPr="00D858C0">
        <w:rPr>
          <w:rFonts w:cs="Arial"/>
          <w:vertAlign w:val="subscript"/>
        </w:rPr>
        <w:t>Fixed</w:t>
      </w:r>
    </w:p>
    <w:p w14:paraId="0F9B2552" w14:textId="77777777" w:rsidR="00AA256A" w:rsidRPr="00D858C0" w:rsidRDefault="00AA256A" w:rsidP="00AA256A">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DF368CB" w14:textId="6954AB29" w:rsidR="00AA256A" w:rsidRPr="00D858C0" w:rsidRDefault="00AA256A" w:rsidP="00AA256A">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rPr>
        <w:t xml:space="preserve">For cases where the predicted time to fire suppression (fixed suppression system </w:t>
      </w:r>
      <w:r w:rsidR="00484F43" w:rsidRPr="00D858C0">
        <w:rPr>
          <w:rFonts w:cs="Arial"/>
        </w:rPr>
        <w:t>activation</w:t>
      </w:r>
      <w:r w:rsidRPr="00D858C0">
        <w:rPr>
          <w:rFonts w:cs="Arial"/>
        </w:rPr>
        <w:t xml:space="preserve">) </w:t>
      </w:r>
      <w:r w:rsidR="00E07FBA" w:rsidRPr="00D858C0">
        <w:rPr>
          <w:rFonts w:cs="Arial"/>
        </w:rPr>
        <w:t>is</w:t>
      </w:r>
      <w:r w:rsidRPr="00D858C0">
        <w:rPr>
          <w:rFonts w:cs="Arial"/>
        </w:rPr>
        <w:t xml:space="preserve"> close</w:t>
      </w:r>
      <w:r w:rsidR="00E07FBA" w:rsidRPr="00D858C0">
        <w:rPr>
          <w:rFonts w:cs="Arial"/>
        </w:rPr>
        <w:t xml:space="preserve"> to </w:t>
      </w:r>
      <w:r w:rsidR="00E07FBA" w:rsidRPr="00D858C0">
        <w:t>the threshold when mitigation of core damage cannot be achieved</w:t>
      </w:r>
      <w:r w:rsidRPr="00D858C0">
        <w:rPr>
          <w:rFonts w:cs="Arial"/>
        </w:rPr>
        <w:t xml:space="preserve">, we assume that damage will occur. Due to uncertainty in the </w:t>
      </w:r>
      <w:r w:rsidR="008F2AF4" w:rsidRPr="00D858C0">
        <w:rPr>
          <w:rFonts w:cs="Arial"/>
        </w:rPr>
        <w:t>FDTs</w:t>
      </w:r>
      <w:r w:rsidR="00484F43" w:rsidRPr="00D858C0">
        <w:rPr>
          <w:rFonts w:cs="Arial"/>
        </w:rPr>
        <w:t xml:space="preserve"> that were used to develop the tables and plots in Attachment 8 to Appendix F</w:t>
      </w:r>
      <w:r w:rsidRPr="00D858C0">
        <w:rPr>
          <w:rFonts w:cs="Arial"/>
        </w:rPr>
        <w:t>, meaningful credit is not given for the fire suppression system until the delta between suppression and damage time is significant.</w:t>
      </w:r>
    </w:p>
    <w:p w14:paraId="0E0821D2" w14:textId="77777777" w:rsidR="00AA256A" w:rsidRPr="00D858C0" w:rsidRDefault="00AA256A"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906223E" w14:textId="3A41A636" w:rsidR="00AA256A" w:rsidRPr="00D858C0" w:rsidRDefault="00AA256A"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rPr>
        <w:t xml:space="preserve">Note that in practice, the </w:t>
      </w:r>
      <w:r w:rsidR="0031032A" w:rsidRPr="00D858C0">
        <w:rPr>
          <w:rFonts w:cs="Arial"/>
        </w:rPr>
        <w:t>equation that combines the fixed and manual fire suppression credits</w:t>
      </w:r>
      <w:r w:rsidRPr="00D858C0">
        <w:rPr>
          <w:rFonts w:cs="Arial"/>
        </w:rPr>
        <w:t xml:space="preserve"> ensures that the maximum credit for wet pipe water systems is 0.98</w:t>
      </w:r>
      <w:r w:rsidR="00E07FBA" w:rsidRPr="00D858C0">
        <w:rPr>
          <w:rFonts w:cs="Arial"/>
        </w:rPr>
        <w:t>,</w:t>
      </w:r>
      <w:r w:rsidRPr="00D858C0">
        <w:rPr>
          <w:rFonts w:cs="Arial"/>
        </w:rPr>
        <w:t xml:space="preserve"> reflecting the general reliability of such systems.  For </w:t>
      </w:r>
      <w:r w:rsidR="00484F43" w:rsidRPr="00D858C0">
        <w:rPr>
          <w:rFonts w:cs="Arial"/>
        </w:rPr>
        <w:t>CO</w:t>
      </w:r>
      <w:r w:rsidR="00484F43" w:rsidRPr="00D858C0">
        <w:rPr>
          <w:rFonts w:cs="Arial"/>
          <w:vertAlign w:val="subscript"/>
        </w:rPr>
        <w:t>2</w:t>
      </w:r>
      <w:r w:rsidR="00484F43" w:rsidRPr="00D858C0">
        <w:rPr>
          <w:rFonts w:cs="Arial"/>
        </w:rPr>
        <w:t xml:space="preserve"> systems and for </w:t>
      </w:r>
      <w:r w:rsidRPr="00D858C0">
        <w:rPr>
          <w:rFonts w:cs="Arial"/>
        </w:rPr>
        <w:t xml:space="preserve">other types of fixed fire suppression, the maximum credit applied is </w:t>
      </w:r>
      <w:r w:rsidR="00484F43" w:rsidRPr="00D858C0">
        <w:rPr>
          <w:rFonts w:cs="Arial"/>
        </w:rPr>
        <w:t xml:space="preserve">0.96 and </w:t>
      </w:r>
      <w:r w:rsidRPr="00D858C0">
        <w:rPr>
          <w:rFonts w:cs="Arial"/>
        </w:rPr>
        <w:t>0.95</w:t>
      </w:r>
      <w:r w:rsidR="00484F43" w:rsidRPr="00D858C0">
        <w:rPr>
          <w:rFonts w:cs="Arial"/>
        </w:rPr>
        <w:t>, respectively</w:t>
      </w:r>
      <w:r w:rsidRPr="00D858C0">
        <w:rPr>
          <w:rFonts w:cs="Arial"/>
        </w:rPr>
        <w:t>.  These types of systems require an electrical actuation circuit that has a probability of failure in addition to the failure of the mechanical system</w:t>
      </w:r>
      <w:r w:rsidR="007345B9" w:rsidRPr="00D858C0">
        <w:rPr>
          <w:rFonts w:cs="Arial"/>
        </w:rPr>
        <w:t xml:space="preserve"> </w:t>
      </w:r>
      <w:r w:rsidR="00AD6207" w:rsidRPr="00D858C0">
        <w:rPr>
          <w:rFonts w:cs="Arial"/>
        </w:rPr>
        <w:t>(Reference 33)</w:t>
      </w:r>
      <w:r w:rsidRPr="00D858C0">
        <w:rPr>
          <w:rFonts w:cs="Arial"/>
        </w:rPr>
        <w:t xml:space="preserve">. </w:t>
      </w:r>
    </w:p>
    <w:p w14:paraId="2B5CA421" w14:textId="77777777" w:rsidR="00AA256A" w:rsidRPr="00D858C0" w:rsidRDefault="00AA256A"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C114647" w14:textId="1A041AEC" w:rsidR="00AA256A" w:rsidRPr="00D858C0" w:rsidRDefault="004E040B"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u w:val="single"/>
        </w:rPr>
        <w:t>NSP</w:t>
      </w:r>
      <w:r w:rsidRPr="00D858C0">
        <w:rPr>
          <w:rFonts w:cs="Arial"/>
          <w:vertAlign w:val="subscript"/>
        </w:rPr>
        <w:t>Manual</w:t>
      </w:r>
    </w:p>
    <w:p w14:paraId="5DC1E5C9" w14:textId="77777777" w:rsidR="00AA256A" w:rsidRPr="00D858C0" w:rsidRDefault="00AA256A"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299419C" w14:textId="2A899DE3" w:rsidR="00AA256A" w:rsidRPr="00D858C0" w:rsidRDefault="00AA256A"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rPr>
        <w:t xml:space="preserve">See </w:t>
      </w:r>
      <w:r w:rsidR="007345B9" w:rsidRPr="00D858C0">
        <w:rPr>
          <w:rFonts w:cs="Arial"/>
        </w:rPr>
        <w:t>basis discussion for Step 2.7.4</w:t>
      </w:r>
      <w:r w:rsidRPr="00D858C0">
        <w:rPr>
          <w:rFonts w:cs="Arial"/>
        </w:rPr>
        <w:t xml:space="preserve"> above.</w:t>
      </w:r>
    </w:p>
    <w:p w14:paraId="7C76E598" w14:textId="77777777" w:rsidR="00AA256A" w:rsidRPr="00D858C0" w:rsidRDefault="00AA256A"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852F605" w14:textId="0EE0B15A" w:rsidR="00AA256A" w:rsidRPr="00D858C0" w:rsidRDefault="004E040B"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D858C0">
        <w:rPr>
          <w:rFonts w:cs="Arial"/>
          <w:u w:val="single"/>
        </w:rPr>
        <w:t>NSP</w:t>
      </w:r>
      <w:r w:rsidRPr="00D858C0">
        <w:rPr>
          <w:rFonts w:cs="Arial"/>
          <w:vertAlign w:val="subscript"/>
        </w:rPr>
        <w:t>Scenario</w:t>
      </w:r>
    </w:p>
    <w:p w14:paraId="21B51D1F" w14:textId="77777777" w:rsidR="00AA256A" w:rsidRPr="00D858C0" w:rsidRDefault="00AA256A" w:rsidP="00AA25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0669C40" w14:textId="52A7364D" w:rsidR="00EC2070" w:rsidRPr="00D858C0" w:rsidRDefault="00AA256A" w:rsidP="00AA2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rFonts w:cs="Arial"/>
        </w:rPr>
        <w:t>The roll-up of manual and fixed suppression credits is based on a direct application of event tree - fault tree analysis approaches.  The failure probability values assumed for fixed fire suppression systems (0.02</w:t>
      </w:r>
      <w:r w:rsidR="007345B9" w:rsidRPr="00D858C0">
        <w:rPr>
          <w:rFonts w:cs="Arial"/>
        </w:rPr>
        <w:t>, 0.04</w:t>
      </w:r>
      <w:r w:rsidRPr="00D858C0">
        <w:rPr>
          <w:rFonts w:cs="Arial"/>
        </w:rPr>
        <w:t xml:space="preserve"> or 0.05 per demand) is</w:t>
      </w:r>
      <w:r w:rsidR="00233398" w:rsidRPr="00D858C0">
        <w:rPr>
          <w:rFonts w:cs="Arial"/>
        </w:rPr>
        <w:t xml:space="preserve"> based on the guidance in </w:t>
      </w:r>
      <w:r w:rsidR="008C5576">
        <w:rPr>
          <w:rFonts w:cs="Arial"/>
        </w:rPr>
        <w:t>NUREG/CR</w:t>
      </w:r>
      <w:r w:rsidR="008C5576">
        <w:rPr>
          <w:rFonts w:cs="Arial"/>
        </w:rPr>
        <w:noBreakHyphen/>
        <w:t>6850 (</w:t>
      </w:r>
      <w:r w:rsidR="00082C33" w:rsidRPr="00D858C0">
        <w:rPr>
          <w:rFonts w:cs="Arial"/>
        </w:rPr>
        <w:t>Reference 8</w:t>
      </w:r>
      <w:r w:rsidR="008C5576">
        <w:rPr>
          <w:rFonts w:cs="Arial"/>
        </w:rPr>
        <w:t>),</w:t>
      </w:r>
      <w:r w:rsidR="00233398" w:rsidRPr="00D858C0">
        <w:rPr>
          <w:rFonts w:cs="Arial"/>
        </w:rPr>
        <w:t xml:space="preserve"> Appendix P, Section P.1.3</w:t>
      </w:r>
      <w:r w:rsidRPr="00D858C0">
        <w:rPr>
          <w:rFonts w:cs="Arial"/>
        </w:rPr>
        <w:t>.</w:t>
      </w:r>
    </w:p>
    <w:p w14:paraId="5B852FD2" w14:textId="77777777" w:rsidR="00EC2070" w:rsidRPr="00D858C0" w:rsidRDefault="00EC2070" w:rsidP="00AA2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886CB3" w14:textId="0F0DDC41" w:rsidR="00EC2070" w:rsidRPr="00D858C0" w:rsidRDefault="0079404E" w:rsidP="004D46E2">
      <w:pPr>
        <w:pStyle w:val="Heading4"/>
      </w:pPr>
      <w:r w:rsidRPr="00D858C0">
        <w:t>Step</w:t>
      </w:r>
      <w:r w:rsidR="00EC2070" w:rsidRPr="00D858C0">
        <w:t xml:space="preserve"> 2.7.6: Screening Check</w:t>
      </w:r>
    </w:p>
    <w:p w14:paraId="4FBEC799" w14:textId="77777777" w:rsidR="00EC2070" w:rsidRPr="00D858C0" w:rsidRDefault="00EC2070"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FC17BD" w14:textId="77D18704" w:rsidR="00EC2070" w:rsidRPr="00D858C0" w:rsidRDefault="00AA256A"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The NSPs </w:t>
      </w:r>
      <w:r w:rsidR="001F711F" w:rsidRPr="00D858C0">
        <w:t>determined in</w:t>
      </w:r>
      <w:r w:rsidRPr="00D858C0">
        <w:t xml:space="preserve"> Step 2.7.5 together with the most recent estimates of the other factors in Equation 1 </w:t>
      </w:r>
      <w:r w:rsidR="001F711F" w:rsidRPr="00D858C0">
        <w:t xml:space="preserve">are used </w:t>
      </w:r>
      <w:r w:rsidRPr="00D858C0">
        <w:t xml:space="preserve">to obtain an updated value for the </w:t>
      </w:r>
      <w:r w:rsidRPr="00D858C0">
        <w:sym w:font="Symbol" w:char="F044"/>
      </w:r>
      <w:r w:rsidRPr="00D858C0">
        <w:t>CDF.  If this updated value is less than 1E-6, the finding screens to Green.</w:t>
      </w:r>
    </w:p>
    <w:p w14:paraId="26239F5B" w14:textId="77777777" w:rsidR="00B456BF" w:rsidRPr="00D858C0" w:rsidRDefault="00B456BF"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EC4DC4" w14:textId="069D5D2B" w:rsidR="0072653B" w:rsidRPr="00D858C0" w:rsidRDefault="0072653B" w:rsidP="000702DC">
      <w:pPr>
        <w:pStyle w:val="Heading2"/>
        <w:ind w:hanging="1166"/>
      </w:pPr>
      <w:bookmarkStart w:id="163" w:name="_Toc481265415"/>
      <w:bookmarkStart w:id="164" w:name="_Toc511060895"/>
      <w:r w:rsidRPr="00D858C0">
        <w:t>Attachment 8: Tables and Plots Supporting the Phase 2 Risk Quantification</w:t>
      </w:r>
      <w:bookmarkEnd w:id="163"/>
      <w:bookmarkEnd w:id="164"/>
    </w:p>
    <w:p w14:paraId="2D703531" w14:textId="77777777" w:rsidR="0072653B" w:rsidRPr="00D858C0" w:rsidRDefault="0072653B"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4EFFED" w14:textId="3C358A95" w:rsidR="008F42A1" w:rsidRPr="00D858C0" w:rsidRDefault="008F42A1"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This section provides the basis and assumptions for the tables and plots that support the risk quantification in Phase 2 of the Fire Protection SDP.  The tables and plots are compiled in Attachment 8 to Appendix F.  The following table/plot sets have been developed:</w:t>
      </w:r>
    </w:p>
    <w:p w14:paraId="22BD0463" w14:textId="77777777" w:rsidR="008F42A1" w:rsidRPr="00D858C0" w:rsidRDefault="008F42A1"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5E02E9" w14:textId="4E65DBE5" w:rsidR="008F42A1" w:rsidRPr="00D858C0" w:rsidRDefault="008F42A1" w:rsidP="0035366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Set A: Vertical and Radial ZOI;</w:t>
      </w:r>
    </w:p>
    <w:p w14:paraId="4A20299D" w14:textId="6F11656F" w:rsidR="008F42A1" w:rsidRPr="00D858C0" w:rsidRDefault="008F42A1" w:rsidP="0035366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Set B: Minimum HRR to Create a Damaging </w:t>
      </w:r>
      <w:r w:rsidR="00944342" w:rsidRPr="00D858C0">
        <w:t>HGL</w:t>
      </w:r>
      <w:r w:rsidRPr="00D858C0">
        <w:t>;</w:t>
      </w:r>
    </w:p>
    <w:p w14:paraId="688618E3" w14:textId="12982CF6" w:rsidR="008F42A1" w:rsidRPr="00D858C0" w:rsidRDefault="008F42A1" w:rsidP="0035366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Set C: HRR Profiles of Fires Involving Cable Trays for Different Ignition Sources;</w:t>
      </w:r>
    </w:p>
    <w:p w14:paraId="6B8C638E" w14:textId="23529C91" w:rsidR="008F42A1" w:rsidRPr="00D858C0" w:rsidRDefault="008F42A1" w:rsidP="0035366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Set D: Severity Factor versus Vertical Target Distance;</w:t>
      </w:r>
    </w:p>
    <w:p w14:paraId="7CCAC78C" w14:textId="67357312" w:rsidR="008F42A1" w:rsidRPr="00D858C0" w:rsidRDefault="008F42A1" w:rsidP="0035366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Set E: Severity Factor versus Radial Target Distance;</w:t>
      </w:r>
    </w:p>
    <w:p w14:paraId="275DED15" w14:textId="4B9D8755" w:rsidR="008F42A1" w:rsidRPr="00D858C0" w:rsidRDefault="008F42A1" w:rsidP="0035366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Set F: Failure Time versus Vertical Target Distance;</w:t>
      </w:r>
    </w:p>
    <w:p w14:paraId="5E6A5FD9" w14:textId="6F6F6ECA" w:rsidR="008F42A1" w:rsidRPr="00D858C0" w:rsidRDefault="008F42A1" w:rsidP="0035366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Set G: Failure Time versus Radial Target Distance; and</w:t>
      </w:r>
    </w:p>
    <w:p w14:paraId="44FA8A17" w14:textId="47525E52" w:rsidR="008F42A1" w:rsidRPr="00D858C0" w:rsidRDefault="008F42A1" w:rsidP="0035366F">
      <w:pPr>
        <w:pStyle w:val="ListParagraph"/>
        <w:widowControl/>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Set H: Detector Actuation and Sprinkler Activation Times.</w:t>
      </w:r>
    </w:p>
    <w:p w14:paraId="5A907683" w14:textId="77777777" w:rsidR="008F42A1" w:rsidRPr="00D858C0" w:rsidRDefault="008F42A1"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7EA70F" w14:textId="6190E7DA" w:rsidR="008F42A1" w:rsidRPr="00D858C0" w:rsidRDefault="008F42A1"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Subsequent sub-sections describe the basis and assumptions for the calculations that were performed to generate each table/plot set.</w:t>
      </w:r>
    </w:p>
    <w:p w14:paraId="7CA055EA" w14:textId="77777777" w:rsidR="0072653B" w:rsidRPr="00D858C0" w:rsidRDefault="0072653B"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0CF655" w14:textId="77777777" w:rsidR="0072653B" w:rsidRPr="00D858C0" w:rsidRDefault="0072653B" w:rsidP="004D46E2">
      <w:pPr>
        <w:pStyle w:val="Heading3"/>
      </w:pPr>
      <w:bookmarkStart w:id="165" w:name="_Toc481265416"/>
      <w:bookmarkStart w:id="166" w:name="_Toc511060896"/>
      <w:r w:rsidRPr="00D858C0">
        <w:t>Table/Plot Set A: Vertical and Radial ZOI</w:t>
      </w:r>
      <w:bookmarkEnd w:id="165"/>
      <w:bookmarkEnd w:id="166"/>
    </w:p>
    <w:p w14:paraId="4252EC53" w14:textId="77777777" w:rsidR="0072653B" w:rsidRPr="00D858C0" w:rsidRDefault="0072653B"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B14816" w14:textId="70D1FDA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Table/plot set A provides the vertical and radial ZOI for fixed and transient ignition sources, confined liquid fuel pool fires and unconfined liquid fuel spill fires.  It is used in the F</w:t>
      </w:r>
      <w:r w:rsidR="002A3333" w:rsidRPr="00D858C0">
        <w:t xml:space="preserve">ire </w:t>
      </w:r>
      <w:r w:rsidRPr="00D858C0">
        <w:t>P</w:t>
      </w:r>
      <w:r w:rsidR="002A3333" w:rsidRPr="00D858C0">
        <w:t>rotection</w:t>
      </w:r>
      <w:r w:rsidRPr="00D858C0">
        <w:t xml:space="preserve"> SDP to screen ignition sources that cannot cause damage to components or cables in the fire area</w:t>
      </w:r>
      <w:r w:rsidR="00E53C87">
        <w:t>,</w:t>
      </w:r>
      <w:r w:rsidRPr="00D858C0">
        <w:t xml:space="preserve"> that are not capable of causing fire to spread to secondary combustibles (Step 2.3.2), and to identify the potentially damaged target set for given FDS1 scenarios (Step 2.5.1).</w:t>
      </w:r>
    </w:p>
    <w:p w14:paraId="44275A58"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C1C09B" w14:textId="77777777" w:rsidR="00DE6D46" w:rsidRPr="00D858C0" w:rsidRDefault="00DE6D46" w:rsidP="004D46E2">
      <w:pPr>
        <w:pStyle w:val="Heading4"/>
      </w:pPr>
      <w:r w:rsidRPr="00D858C0">
        <w:t>Vertical ZOI</w:t>
      </w:r>
    </w:p>
    <w:p w14:paraId="0806BD99"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A44E68"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Heskestad’s Plume Centerline Temperature Correlation</w:t>
      </w:r>
    </w:p>
    <w:p w14:paraId="0B60ABA0"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A4C350" w14:textId="2051BE5F"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Heskestad’s plume centerline temperature correlation is described in Chapter 9 of </w:t>
      </w:r>
      <w:r w:rsidR="00EC1102" w:rsidRPr="00D858C0">
        <w:t>Reference 10</w:t>
      </w:r>
      <w:r w:rsidRPr="00D858C0">
        <w:t xml:space="preserve"> and is used to determine the vertical ZOI of an ignition source, i.e., the maximum distance above the ignition source within which a secondary combustible can be ignited or a target can be damaged.  The correlation is based on temperature data from liquid pool fire experiments, but can also be applied to solid combustible fires (or gaseous fuel fires for that matter).  A schematic is shown in Figure 6.2.5.  This figure also defines the radial ZOI, which will be discussed in a later section. </w:t>
      </w:r>
    </w:p>
    <w:p w14:paraId="49E591A7" w14:textId="77777777" w:rsidR="00DE6D46" w:rsidRPr="00D858C0" w:rsidRDefault="00DE6D46" w:rsidP="00DE6D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jc w:val="center"/>
      </w:pPr>
      <w:r w:rsidRPr="00D858C0">
        <w:rPr>
          <w:noProof/>
        </w:rPr>
        <w:lastRenderedPageBreak/>
        <w:drawing>
          <wp:inline distT="0" distB="0" distL="0" distR="0" wp14:anchorId="5CFE9E4A" wp14:editId="2F0B6F3A">
            <wp:extent cx="3608832" cy="3383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3608832" cy="3383280"/>
                    </a:xfrm>
                    <a:prstGeom prst="rect">
                      <a:avLst/>
                    </a:prstGeom>
                  </pic:spPr>
                </pic:pic>
              </a:graphicData>
            </a:graphic>
          </wp:inline>
        </w:drawing>
      </w:r>
    </w:p>
    <w:p w14:paraId="07119959" w14:textId="77777777" w:rsidR="00DE6D46" w:rsidRPr="00E01E7A" w:rsidRDefault="00DE6D46" w:rsidP="00CC4A33">
      <w:pPr>
        <w:pStyle w:val="Figures"/>
      </w:pPr>
      <w:bookmarkStart w:id="167" w:name="_Toc483393822"/>
      <w:r w:rsidRPr="00E01E7A">
        <w:t>Figure 6.2.5 – Schematic of the Vertical and Radial ZOI.</w:t>
      </w:r>
      <w:bookmarkEnd w:id="167"/>
    </w:p>
    <w:p w14:paraId="4934B177" w14:textId="77777777" w:rsidR="00DE6D46" w:rsidRPr="00E01E7A"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AA5BE6" w14:textId="77777777" w:rsidR="00AD6207" w:rsidRPr="00D858C0" w:rsidRDefault="00DE6D46" w:rsidP="00AD62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Heskestad’s correlation is based on the assumption that the plume originates at a virtual point source, which may be located above or below the actual fire base depending on the HRR,</w:t>
      </w:r>
      <w:r w:rsidR="00AD6207" w:rsidRPr="00D858C0">
        <w:t xml:space="preserve"> </w:t>
      </w:r>
      <m:oMath>
        <m:acc>
          <m:accPr>
            <m:chr m:val="̇"/>
            <m:ctrlPr>
              <w:rPr>
                <w:rFonts w:ascii="Cambria Math" w:hAnsi="Cambria Math"/>
              </w:rPr>
            </m:ctrlPr>
          </m:accPr>
          <m:e>
            <m:r>
              <m:rPr>
                <m:sty m:val="p"/>
              </m:rPr>
              <w:rPr>
                <w:rFonts w:ascii="Cambria Math" w:hAnsi="Cambria Math"/>
              </w:rPr>
              <m:t>Q</m:t>
            </m:r>
          </m:e>
        </m:acc>
      </m:oMath>
      <w:r w:rsidR="00AD6207" w:rsidRPr="00D858C0">
        <w:t>, and the physical size of the fire.  The equations are as follows:</w:t>
      </w:r>
    </w:p>
    <w:p w14:paraId="2E9489FB" w14:textId="77777777" w:rsidR="00AD6207" w:rsidRPr="00D858C0" w:rsidRDefault="00AD6207" w:rsidP="00AD62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0" w:type="auto"/>
        <w:tblLook w:val="04A0" w:firstRow="1" w:lastRow="0" w:firstColumn="1" w:lastColumn="0" w:noHBand="0" w:noVBand="1"/>
      </w:tblPr>
      <w:tblGrid>
        <w:gridCol w:w="720"/>
        <w:gridCol w:w="7920"/>
        <w:gridCol w:w="720"/>
      </w:tblGrid>
      <w:tr w:rsidR="00AD6207" w:rsidRPr="00D858C0" w14:paraId="76AB2E5A" w14:textId="77777777" w:rsidTr="00101696">
        <w:tc>
          <w:tcPr>
            <w:tcW w:w="720" w:type="dxa"/>
            <w:vAlign w:val="center"/>
          </w:tcPr>
          <w:p w14:paraId="137E2CBE" w14:textId="77777777" w:rsidR="00AD6207" w:rsidRPr="00D858C0" w:rsidRDefault="00AD6207" w:rsidP="001016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w:p>
        </w:tc>
        <w:tc>
          <w:tcPr>
            <w:tcW w:w="7920" w:type="dxa"/>
            <w:vAlign w:val="center"/>
          </w:tcPr>
          <w:p w14:paraId="6A871E3B" w14:textId="77777777" w:rsidR="00AD6207" w:rsidRPr="00D858C0" w:rsidRDefault="00B9252A" w:rsidP="001016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m:oMathPara>
              <m:oMathParaPr>
                <m:jc m:val="left"/>
              </m:oMathPara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m:t>
                    </m:r>
                  </m:sub>
                </m:sSub>
                <m:d>
                  <m:dPr>
                    <m:ctrlPr>
                      <w:rPr>
                        <w:rFonts w:ascii="Cambria Math" w:hAnsi="Cambria Math"/>
                      </w:rPr>
                    </m:ctrlPr>
                  </m:dPr>
                  <m:e>
                    <m:r>
                      <m:rPr>
                        <m:sty m:val="p"/>
                      </m:rPr>
                      <w:rPr>
                        <w:rFonts w:ascii="Cambria Math" w:hAnsi="Cambria Math"/>
                      </w:rPr>
                      <m:t>z</m:t>
                    </m: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+C</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273.15+</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num>
                          <m:den>
                            <m:r>
                              <m:rPr>
                                <m:sty m:val="p"/>
                              </m:rPr>
                              <w:rPr>
                                <w:rFonts w:ascii="Cambria Math" w:hAnsi="Cambria Math"/>
                              </w:rPr>
                              <m:t>g</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m:t>
                                </m:r>
                              </m:sub>
                              <m:sup>
                                <m:r>
                                  <m:rPr>
                                    <m:sty m:val="p"/>
                                  </m:rPr>
                                  <w:rPr>
                                    <w:rFonts w:ascii="Cambria Math" w:hAnsi="Cambria Math"/>
                                  </w:rPr>
                                  <m:t>2</m:t>
                                </m:r>
                              </m:sup>
                            </m:sSubSup>
                            <m:sSubSup>
                              <m:sSubSupPr>
                                <m:ctrlPr>
                                  <w:rPr>
                                    <w:rFonts w:ascii="Cambria Math" w:hAnsi="Cambria Math"/>
                                  </w:rPr>
                                </m:ctrlPr>
                              </m:sSubSupPr>
                              <m:e>
                                <m:r>
                                  <m:rPr>
                                    <m:sty m:val="p"/>
                                  </m:rPr>
                                  <w:rPr>
                                    <w:rFonts w:ascii="Cambria Math" w:hAnsi="Cambria Math"/>
                                  </w:rPr>
                                  <m:t>ρ</m:t>
                                </m:r>
                              </m:e>
                              <m:sub>
                                <m:r>
                                  <m:rPr>
                                    <m:sty m:val="p"/>
                                  </m:rPr>
                                  <w:rPr>
                                    <w:rFonts w:ascii="Cambria Math" w:hAnsi="Cambria Math"/>
                                  </w:rPr>
                                  <m:t>a</m:t>
                                </m:r>
                              </m:sub>
                              <m:sup>
                                <m:r>
                                  <m:rPr>
                                    <m:sty m:val="p"/>
                                  </m:rPr>
                                  <w:rPr>
                                    <w:rFonts w:ascii="Cambria Math" w:hAnsi="Cambria Math"/>
                                  </w:rPr>
                                  <m:t>2</m:t>
                                </m:r>
                              </m:sup>
                            </m:sSubSup>
                          </m:den>
                        </m:f>
                      </m:e>
                    </m:d>
                  </m:e>
                  <m:sup>
                    <m:r>
                      <m:rPr>
                        <m:sty m:val="p"/>
                      </m:rPr>
                      <w:rPr>
                        <w:rFonts w:ascii="Cambria Math" w:hAnsi="Cambria Math"/>
                      </w:rPr>
                      <m:t>1/3</m:t>
                    </m:r>
                  </m:sup>
                </m:sSup>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up>
                    <m:r>
                      <m:rPr>
                        <m:sty m:val="p"/>
                      </m:rPr>
                      <w:rPr>
                        <w:rFonts w:ascii="Cambria Math" w:hAnsi="Cambria Math"/>
                      </w:rPr>
                      <m:t>2/3</m:t>
                    </m:r>
                  </m:sup>
                </m:sSubSup>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z-</m:t>
                        </m:r>
                        <m:sSub>
                          <m:sSubPr>
                            <m:ctrlPr>
                              <w:rPr>
                                <w:rFonts w:ascii="Cambria Math" w:eastAsiaTheme="minorEastAsia" w:hAnsi="Cambria Math"/>
                              </w:rPr>
                            </m:ctrlPr>
                          </m:sSubPr>
                          <m:e>
                            <m:r>
                              <m:rPr>
                                <m:sty m:val="p"/>
                              </m:rPr>
                              <w:rPr>
                                <w:rFonts w:ascii="Cambria Math" w:eastAsiaTheme="minorEastAsia" w:hAnsi="Cambria Math"/>
                              </w:rPr>
                              <m:t>z</m:t>
                            </m:r>
                          </m:e>
                          <m:sub>
                            <m:r>
                              <m:rPr>
                                <m:sty m:val="p"/>
                              </m:rPr>
                              <w:rPr>
                                <w:rFonts w:ascii="Cambria Math" w:eastAsiaTheme="minorEastAsia" w:hAnsi="Cambria Math"/>
                              </w:rPr>
                              <m:t>0</m:t>
                            </m:r>
                          </m:sub>
                        </m:sSub>
                      </m:e>
                    </m:d>
                  </m:e>
                  <m:sup>
                    <m:r>
                      <m:rPr>
                        <m:sty m:val="p"/>
                      </m:rPr>
                      <w:rPr>
                        <w:rFonts w:ascii="Cambria Math" w:eastAsiaTheme="minorEastAsia" w:hAnsi="Cambria Math"/>
                      </w:rPr>
                      <m:t>-5/3</m:t>
                    </m:r>
                  </m:sup>
                </m:sSup>
              </m:oMath>
            </m:oMathPara>
          </w:p>
        </w:tc>
        <w:tc>
          <w:tcPr>
            <w:tcW w:w="720" w:type="dxa"/>
            <w:vAlign w:val="center"/>
          </w:tcPr>
          <w:p w14:paraId="5C9FB9E3" w14:textId="77777777" w:rsidR="00AD6207" w:rsidRPr="00D858C0" w:rsidRDefault="00AD6207" w:rsidP="001016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r w:rsidRPr="00D858C0">
              <w:t>(7)</w:t>
            </w:r>
          </w:p>
        </w:tc>
      </w:tr>
    </w:tbl>
    <w:p w14:paraId="2C4E9771" w14:textId="4EB30A84" w:rsidR="00DE6D46" w:rsidRPr="00D858C0" w:rsidRDefault="00AD6207" w:rsidP="00AD62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 </w:t>
      </w:r>
    </w:p>
    <w:p w14:paraId="5E14A7A2"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858C0">
        <w:t>with</w:t>
      </w:r>
    </w:p>
    <w:p w14:paraId="596FED08"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0" w:type="auto"/>
        <w:tblLook w:val="04A0" w:firstRow="1" w:lastRow="0" w:firstColumn="1" w:lastColumn="0" w:noHBand="0" w:noVBand="1"/>
      </w:tblPr>
      <w:tblGrid>
        <w:gridCol w:w="720"/>
        <w:gridCol w:w="7920"/>
        <w:gridCol w:w="720"/>
      </w:tblGrid>
      <w:tr w:rsidR="00DE6D46" w:rsidRPr="00D858C0" w14:paraId="0BC43069" w14:textId="77777777" w:rsidTr="00EA6963">
        <w:tc>
          <w:tcPr>
            <w:tcW w:w="720" w:type="dxa"/>
            <w:vAlign w:val="center"/>
          </w:tcPr>
          <w:p w14:paraId="35E53D6C" w14:textId="77777777" w:rsidR="00DE6D46" w:rsidRPr="00D858C0" w:rsidRDefault="00DE6D46" w:rsidP="00EA69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w:p>
        </w:tc>
        <w:tc>
          <w:tcPr>
            <w:tcW w:w="7920" w:type="dxa"/>
            <w:vAlign w:val="center"/>
          </w:tcPr>
          <w:p w14:paraId="36723931" w14:textId="77777777" w:rsidR="00DE6D46" w:rsidRPr="00D858C0" w:rsidRDefault="00B9252A" w:rsidP="00EA69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m:oMathPara>
              <m:oMathParaPr>
                <m:jc m:val="left"/>
              </m:oMathParaP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0</m:t>
                    </m:r>
                  </m:sub>
                </m:sSub>
                <m:r>
                  <m:rPr>
                    <m:sty m:val="p"/>
                  </m:rPr>
                  <w:rPr>
                    <w:rFonts w:ascii="Cambria Math" w:hAnsi="Cambria Math"/>
                  </w:rPr>
                  <m:t>=0.083</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m:rPr>
                        <m:sty m:val="p"/>
                      </m:rPr>
                      <w:rPr>
                        <w:rFonts w:ascii="Cambria Math" w:hAnsi="Cambria Math"/>
                      </w:rPr>
                      <m:t>2/5</m:t>
                    </m:r>
                  </m:sup>
                </m:sSup>
                <m:r>
                  <m:rPr>
                    <m:sty m:val="p"/>
                  </m:rPr>
                  <w:rPr>
                    <w:rFonts w:ascii="Cambria Math" w:hAnsi="Cambria Math"/>
                  </w:rPr>
                  <m:t>-1.02 D</m:t>
                </m:r>
              </m:oMath>
            </m:oMathPara>
          </w:p>
        </w:tc>
        <w:tc>
          <w:tcPr>
            <w:tcW w:w="720" w:type="dxa"/>
            <w:vAlign w:val="center"/>
          </w:tcPr>
          <w:p w14:paraId="5708E84A" w14:textId="77777777" w:rsidR="00DE6D46" w:rsidRPr="00D858C0" w:rsidRDefault="00DE6D46" w:rsidP="00EA69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r w:rsidRPr="00D858C0">
              <w:t>(8)</w:t>
            </w:r>
          </w:p>
        </w:tc>
      </w:tr>
    </w:tbl>
    <w:p w14:paraId="0081D13D"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44C144" w14:textId="2BD288C5" w:rsidR="00DE6D46" w:rsidRPr="00D858C0" w:rsidRDefault="00AF2379"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w:t>
      </w:r>
      <w:r w:rsidR="00DE6D46" w:rsidRPr="00D858C0">
        <w:t>here</w:t>
      </w:r>
    </w:p>
    <w:p w14:paraId="5BB718B5"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rPr>
          <w:vertAlign w:val="subscript"/>
        </w:rPr>
        <w:t>p</w:t>
      </w:r>
      <w:r w:rsidRPr="00D858C0">
        <w:tab/>
        <w:t>=</w:t>
      </w:r>
      <w:r w:rsidRPr="00D858C0">
        <w:tab/>
        <w:t>plume centerline temperature (°C)</w:t>
      </w:r>
    </w:p>
    <w:p w14:paraId="1A3BB647"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z</w:t>
      </w:r>
      <w:r w:rsidRPr="00D858C0">
        <w:tab/>
        <w:t>=</w:t>
      </w:r>
      <w:r w:rsidRPr="00D858C0">
        <w:tab/>
        <w:t>elevation above the fire base (m)</w:t>
      </w:r>
    </w:p>
    <w:p w14:paraId="7FCC8DC4"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rPr>
          <w:vertAlign w:val="subscript"/>
        </w:rPr>
        <w:t>a</w:t>
      </w:r>
      <w:r w:rsidRPr="00D858C0">
        <w:tab/>
        <w:t>=</w:t>
      </w:r>
      <w:r w:rsidRPr="00D858C0">
        <w:tab/>
        <w:t>ambient air temperature (°C)</w:t>
      </w:r>
    </w:p>
    <w:p w14:paraId="65679F72"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C</w:t>
      </w:r>
      <w:r w:rsidRPr="00D858C0">
        <w:tab/>
        <w:t>=</w:t>
      </w:r>
      <w:r w:rsidRPr="00D858C0">
        <w:tab/>
        <w:t>constant</w:t>
      </w:r>
    </w:p>
    <w:p w14:paraId="535CD35F"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g</w:t>
      </w:r>
      <w:r w:rsidRPr="00D858C0">
        <w:tab/>
        <w:t>=</w:t>
      </w:r>
      <w:r w:rsidRPr="00D858C0">
        <w:tab/>
        <w:t>acceleration of gravity (9.81 m</w:t>
      </w:r>
      <w:r w:rsidRPr="00D858C0">
        <w:rPr>
          <w:vertAlign w:val="superscript"/>
        </w:rPr>
        <w:t>2</w:t>
      </w:r>
      <w:r w:rsidRPr="00D858C0">
        <w:t>/s)</w:t>
      </w:r>
    </w:p>
    <w:p w14:paraId="2B25C020"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c</w:t>
      </w:r>
      <w:r w:rsidRPr="00D858C0">
        <w:rPr>
          <w:vertAlign w:val="subscript"/>
        </w:rPr>
        <w:t>p</w:t>
      </w:r>
      <w:r w:rsidRPr="00D858C0">
        <w:tab/>
        <w:t>=</w:t>
      </w:r>
      <w:r w:rsidRPr="00D858C0">
        <w:tab/>
        <w:t>specific heat capacity of ambient air (kJ/kg</w:t>
      </w:r>
      <w:r w:rsidRPr="00D858C0">
        <w:sym w:font="Symbol" w:char="F0D7"/>
      </w:r>
      <w:r w:rsidRPr="00D858C0">
        <w:t>°C)</w:t>
      </w:r>
    </w:p>
    <w:p w14:paraId="62485295"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r>
      <w:r w:rsidRPr="00D858C0">
        <w:sym w:font="Symbol" w:char="F072"/>
      </w:r>
      <w:r w:rsidRPr="00D858C0">
        <w:rPr>
          <w:vertAlign w:val="subscript"/>
        </w:rPr>
        <w:t>a</w:t>
      </w:r>
      <w:r w:rsidRPr="00D858C0">
        <w:tab/>
        <w:t>=</w:t>
      </w:r>
      <w:r w:rsidRPr="00D858C0">
        <w:tab/>
        <w:t>density of ambient air at temperature T</w:t>
      </w:r>
      <w:r w:rsidRPr="00D858C0">
        <w:rPr>
          <w:vertAlign w:val="subscript"/>
        </w:rPr>
        <w:t>a</w:t>
      </w:r>
      <w:r w:rsidRPr="00D858C0">
        <w:t xml:space="preserve"> (kg/m</w:t>
      </w:r>
      <w:r w:rsidRPr="00D858C0">
        <w:rPr>
          <w:vertAlign w:val="superscript"/>
        </w:rPr>
        <w:t>3</w:t>
      </w:r>
      <w:r w:rsidRPr="00D858C0">
        <w:t>)</w:t>
      </w:r>
    </w:p>
    <w:p w14:paraId="0B94F87F"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tab/>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Sub>
      </m:oMath>
      <w:r w:rsidRPr="00D858C0">
        <w:rPr>
          <w:rFonts w:eastAsiaTheme="minorEastAsia"/>
        </w:rPr>
        <w:tab/>
        <w:t>=</w:t>
      </w:r>
      <w:r w:rsidRPr="00D858C0">
        <w:rPr>
          <w:rFonts w:eastAsiaTheme="minorEastAsia"/>
        </w:rPr>
        <w:tab/>
        <w:t>convective part of the HRR of the fire (kW)</w:t>
      </w:r>
    </w:p>
    <w:p w14:paraId="6D0DD5DC"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ab/>
        <w:t>z</w:t>
      </w:r>
      <w:r w:rsidRPr="00D858C0">
        <w:rPr>
          <w:rFonts w:eastAsiaTheme="minorEastAsia"/>
          <w:vertAlign w:val="subscript"/>
        </w:rPr>
        <w:t>0</w:t>
      </w:r>
      <w:r w:rsidRPr="00D858C0">
        <w:rPr>
          <w:rFonts w:eastAsiaTheme="minorEastAsia"/>
        </w:rPr>
        <w:tab/>
        <w:t>=</w:t>
      </w:r>
      <w:r w:rsidRPr="00D858C0">
        <w:rPr>
          <w:rFonts w:eastAsiaTheme="minorEastAsia"/>
        </w:rPr>
        <w:tab/>
        <w:t>elevation of the virtual origin of the point source plume (m)</w:t>
      </w:r>
    </w:p>
    <w:p w14:paraId="46D23BD4"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ab/>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ab/>
        <w:t>=</w:t>
      </w:r>
      <w:r w:rsidRPr="00D858C0">
        <w:rPr>
          <w:rFonts w:eastAsiaTheme="minorEastAsia"/>
        </w:rPr>
        <w:tab/>
        <w:t>HRR of the fire (kW)</w:t>
      </w:r>
    </w:p>
    <w:p w14:paraId="0A4E04DE"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ab/>
        <w:t>D</w:t>
      </w:r>
      <w:r w:rsidRPr="00D858C0">
        <w:rPr>
          <w:rFonts w:eastAsiaTheme="minorEastAsia"/>
        </w:rPr>
        <w:tab/>
        <w:t>=</w:t>
      </w:r>
      <w:r w:rsidRPr="00D858C0">
        <w:rPr>
          <w:rFonts w:eastAsiaTheme="minorEastAsia"/>
        </w:rPr>
        <w:tab/>
        <w:t>fire diameter (m)</w:t>
      </w:r>
    </w:p>
    <w:p w14:paraId="6E1D6BBF"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p w14:paraId="79BB79F1"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lastRenderedPageBreak/>
        <w:t>The constant, C, is dimensionless and equal to 9.1 for an unobstructed plume.  The vertical ZOI can be determined by rearranging Equation 7 as follows:</w:t>
      </w:r>
    </w:p>
    <w:p w14:paraId="2842009F"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0" w:type="auto"/>
        <w:tblLook w:val="04A0" w:firstRow="1" w:lastRow="0" w:firstColumn="1" w:lastColumn="0" w:noHBand="0" w:noVBand="1"/>
      </w:tblPr>
      <w:tblGrid>
        <w:gridCol w:w="720"/>
        <w:gridCol w:w="7920"/>
        <w:gridCol w:w="720"/>
      </w:tblGrid>
      <w:tr w:rsidR="00DE6D46" w:rsidRPr="00D858C0" w14:paraId="23B1FE2C" w14:textId="77777777" w:rsidTr="00EA6963">
        <w:tc>
          <w:tcPr>
            <w:tcW w:w="720" w:type="dxa"/>
            <w:vAlign w:val="center"/>
          </w:tcPr>
          <w:p w14:paraId="071EA729" w14:textId="77777777" w:rsidR="00DE6D46" w:rsidRPr="00D858C0" w:rsidRDefault="00DE6D46" w:rsidP="00EA69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w:p>
        </w:tc>
        <w:tc>
          <w:tcPr>
            <w:tcW w:w="7920" w:type="dxa"/>
            <w:vAlign w:val="center"/>
          </w:tcPr>
          <w:p w14:paraId="3DFF89BD" w14:textId="77777777" w:rsidR="00DE6D46" w:rsidRPr="00D858C0" w:rsidRDefault="00B9252A" w:rsidP="00EA69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m:oMathPara>
              <m:oMathParaPr>
                <m:jc m:val="left"/>
              </m:oMathParaPr>
              <m:oMath>
                <m:sSub>
                  <m:sSubPr>
                    <m:ctrlPr>
                      <w:rPr>
                        <w:rFonts w:ascii="Cambria Math" w:hAnsi="Cambria Math"/>
                      </w:rPr>
                    </m:ctrlPr>
                  </m:sSubPr>
                  <m:e>
                    <m:r>
                      <m:rPr>
                        <m:sty m:val="p"/>
                      </m:rPr>
                      <w:rPr>
                        <w:rFonts w:ascii="Cambria Math" w:hAnsi="Cambria Math"/>
                      </w:rPr>
                      <m:t>ZOI</m:t>
                    </m:r>
                  </m:e>
                  <m:sub>
                    <m:r>
                      <m:rPr>
                        <m:sty m:val="p"/>
                      </m:rPr>
                      <w:rPr>
                        <w:rFonts w:ascii="Cambria Math" w:hAnsi="Cambria Math"/>
                      </w:rPr>
                      <m:t>vert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w:rPr>
                        <w:rFonts w:ascii="Cambria Math" w:hAnsi="Cambria Math"/>
                      </w:rPr>
                      <m:t>0</m:t>
                    </m:r>
                  </m:sub>
                </m:sSub>
                <m:r>
                  <m:rPr>
                    <m:sty m:val="p"/>
                  </m:rP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p"/>
                              </m:rPr>
                              <w:rPr>
                                <w:rFonts w:ascii="Cambria Math" w:hAnsi="Cambria Math"/>
                              </w:rPr>
                              <m:t>C</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cr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den>
                        </m:f>
                      </m:e>
                    </m:d>
                  </m:e>
                  <m:sup>
                    <m:r>
                      <w:rPr>
                        <w:rFonts w:ascii="Cambria Math" w:hAnsi="Cambria Math"/>
                      </w:rPr>
                      <m:t>3/5</m:t>
                    </m:r>
                  </m:sup>
                </m:sSup>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273.15+</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num>
                          <m:den>
                            <m:r>
                              <m:rPr>
                                <m:sty m:val="p"/>
                              </m:rPr>
                              <w:rPr>
                                <w:rFonts w:ascii="Cambria Math" w:hAnsi="Cambria Math"/>
                              </w:rPr>
                              <m:t>g</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m:t>
                                </m:r>
                              </m:sub>
                              <m:sup>
                                <m:r>
                                  <m:rPr>
                                    <m:sty m:val="p"/>
                                  </m:rPr>
                                  <w:rPr>
                                    <w:rFonts w:ascii="Cambria Math" w:hAnsi="Cambria Math"/>
                                  </w:rPr>
                                  <m:t>2</m:t>
                                </m:r>
                              </m:sup>
                            </m:sSubSup>
                            <m:sSubSup>
                              <m:sSubSupPr>
                                <m:ctrlPr>
                                  <w:rPr>
                                    <w:rFonts w:ascii="Cambria Math" w:hAnsi="Cambria Math"/>
                                  </w:rPr>
                                </m:ctrlPr>
                              </m:sSubSupPr>
                              <m:e>
                                <m:r>
                                  <m:rPr>
                                    <m:sty m:val="p"/>
                                  </m:rPr>
                                  <w:rPr>
                                    <w:rFonts w:ascii="Cambria Math" w:hAnsi="Cambria Math"/>
                                  </w:rPr>
                                  <m:t>ρ</m:t>
                                </m:r>
                              </m:e>
                              <m:sub>
                                <m:r>
                                  <m:rPr>
                                    <m:sty m:val="p"/>
                                  </m:rPr>
                                  <w:rPr>
                                    <w:rFonts w:ascii="Cambria Math" w:hAnsi="Cambria Math"/>
                                  </w:rPr>
                                  <m:t>a</m:t>
                                </m:r>
                              </m:sub>
                              <m:sup>
                                <m:r>
                                  <m:rPr>
                                    <m:sty m:val="p"/>
                                  </m:rPr>
                                  <w:rPr>
                                    <w:rFonts w:ascii="Cambria Math" w:hAnsi="Cambria Math"/>
                                  </w:rPr>
                                  <m:t>2</m:t>
                                </m:r>
                              </m:sup>
                            </m:sSubSup>
                          </m:den>
                        </m:f>
                      </m:e>
                    </m:d>
                  </m:e>
                  <m:sup>
                    <m:r>
                      <m:rPr>
                        <m:sty m:val="p"/>
                      </m:rPr>
                      <w:rPr>
                        <w:rFonts w:ascii="Cambria Math" w:hAnsi="Cambria Math"/>
                      </w:rPr>
                      <m:t>1/5</m:t>
                    </m:r>
                  </m:sup>
                </m:sSup>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up>
                    <m:r>
                      <m:rPr>
                        <m:sty m:val="p"/>
                      </m:rPr>
                      <w:rPr>
                        <w:rFonts w:ascii="Cambria Math" w:hAnsi="Cambria Math"/>
                      </w:rPr>
                      <m:t>2/5</m:t>
                    </m:r>
                  </m:sup>
                </m:sSubSup>
              </m:oMath>
            </m:oMathPara>
          </w:p>
        </w:tc>
        <w:tc>
          <w:tcPr>
            <w:tcW w:w="720" w:type="dxa"/>
            <w:vAlign w:val="center"/>
          </w:tcPr>
          <w:p w14:paraId="0F53FA32" w14:textId="77777777" w:rsidR="00DE6D46" w:rsidRPr="00D858C0" w:rsidRDefault="00DE6D46" w:rsidP="00EA69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r w:rsidRPr="00D858C0">
              <w:t>(9)</w:t>
            </w:r>
          </w:p>
        </w:tc>
      </w:tr>
    </w:tbl>
    <w:p w14:paraId="7E70A5B0"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914A9F" w14:textId="1B0C4954" w:rsidR="00DE6D46" w:rsidRPr="00D858C0" w:rsidRDefault="00233A30"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w:t>
      </w:r>
      <w:r w:rsidR="00DE6D46" w:rsidRPr="00D858C0">
        <w:t>here</w:t>
      </w:r>
    </w:p>
    <w:p w14:paraId="5AE88F00" w14:textId="2C0E0F85" w:rsidR="00DE6D46" w:rsidRPr="00D858C0" w:rsidRDefault="00DE6D46" w:rsidP="007B1452">
      <w:pPr>
        <w:tabs>
          <w:tab w:val="left" w:pos="274"/>
          <w:tab w:val="left" w:pos="720"/>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ZOI</w:t>
      </w:r>
      <w:r w:rsidRPr="00D858C0">
        <w:rPr>
          <w:vertAlign w:val="subscript"/>
        </w:rPr>
        <w:t>vert</w:t>
      </w:r>
      <w:r w:rsidR="00E4305E" w:rsidRPr="00D858C0">
        <w:t xml:space="preserve"> </w:t>
      </w:r>
      <w:r w:rsidR="006F207A" w:rsidRPr="00D858C0">
        <w:t xml:space="preserve"> </w:t>
      </w:r>
      <w:r w:rsidRPr="00D858C0">
        <w:t>=</w:t>
      </w:r>
      <w:r w:rsidRPr="00D858C0">
        <w:tab/>
        <w:t>vertical ZOI (m)</w:t>
      </w:r>
    </w:p>
    <w:p w14:paraId="26C2D9A7" w14:textId="064B0615" w:rsidR="00DE6D46" w:rsidRPr="00D858C0" w:rsidRDefault="00DE6D46" w:rsidP="007B1452">
      <w:pPr>
        <w:tabs>
          <w:tab w:val="left" w:pos="274"/>
          <w:tab w:val="left" w:pos="720"/>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rPr>
          <w:vertAlign w:val="subscript"/>
        </w:rPr>
        <w:t>cr</w:t>
      </w:r>
      <w:r w:rsidRPr="00D858C0">
        <w:tab/>
      </w:r>
      <w:r w:rsidR="00E4305E" w:rsidRPr="00D858C0">
        <w:t xml:space="preserve">    </w:t>
      </w:r>
      <w:r w:rsidRPr="00D858C0">
        <w:t>=</w:t>
      </w:r>
      <w:r w:rsidRPr="00D858C0">
        <w:tab/>
        <w:t>damage or ignition threshold temperature, see Table 8 below (°C)</w:t>
      </w:r>
    </w:p>
    <w:p w14:paraId="1C24AFAA"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p w14:paraId="4673D7FC" w14:textId="2A5BCD3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 xml:space="preserve">Equation 9 is not valid at elevations below the flame tip.  Based on a comparison between Equation 9 and Equation 3-6 in </w:t>
      </w:r>
      <w:r w:rsidR="00EC1102" w:rsidRPr="00D858C0">
        <w:rPr>
          <w:rFonts w:eastAsiaTheme="minorEastAsia"/>
        </w:rPr>
        <w:t>Reference 10</w:t>
      </w:r>
      <w:r w:rsidRPr="00D858C0">
        <w:rPr>
          <w:rFonts w:eastAsiaTheme="minorEastAsia"/>
        </w:rPr>
        <w:t xml:space="preserve">, which expresses the flame height as a function of HRR and fire diameter, it can be shown that </w:t>
      </w:r>
      <w:r w:rsidRPr="00D858C0">
        <w:t>ZOI</w:t>
      </w:r>
      <w:r w:rsidRPr="00D858C0">
        <w:rPr>
          <w:vertAlign w:val="subscript"/>
        </w:rPr>
        <w:t>vert</w:t>
      </w:r>
      <w:r w:rsidRPr="00D858C0">
        <w:rPr>
          <w:rFonts w:eastAsiaTheme="minorEastAsia"/>
        </w:rPr>
        <w:t xml:space="preserve"> is always larger than the flame height.</w:t>
      </w:r>
    </w:p>
    <w:p w14:paraId="6531C678"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p w14:paraId="4197E753" w14:textId="0E02B26A"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 xml:space="preserve">The convective part of the HRR can also be written as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c</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c</m:t>
            </m:r>
          </m:sub>
        </m:sSub>
        <m:acc>
          <m:accPr>
            <m:chr m:val="̇"/>
            <m:ctrlPr>
              <w:rPr>
                <w:rFonts w:ascii="Cambria Math" w:eastAsiaTheme="minorEastAsia" w:hAnsi="Cambria Math"/>
              </w:rPr>
            </m:ctrlPr>
          </m:accPr>
          <m:e>
            <m:r>
              <m:rPr>
                <m:sty m:val="p"/>
              </m:rPr>
              <w:rPr>
                <w:rFonts w:ascii="Cambria Math" w:eastAsiaTheme="minorEastAsia" w:hAnsi="Cambria Math"/>
              </w:rPr>
              <m:t>Q</m:t>
            </m:r>
          </m:e>
        </m:acc>
        <m:r>
          <m:rPr>
            <m:sty m:val="p"/>
          </m:rPr>
          <w:rPr>
            <w:rFonts w:ascii="Cambria Math" w:hAnsi="Cambria Math" w:cs="Arial"/>
          </w:rPr>
          <m:t xml:space="preserve"> </m:t>
        </m:r>
      </m:oMath>
      <w:r w:rsidR="0031032A" w:rsidRPr="00D858C0">
        <w:rPr>
          <w:rFonts w:eastAsiaTheme="minorEastAsia"/>
        </w:rPr>
        <w:t xml:space="preserve">, where </w:t>
      </w:r>
      <m:oMath>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c</m:t>
            </m:r>
          </m:sub>
        </m:sSub>
      </m:oMath>
      <w:r w:rsidRPr="00D858C0">
        <w:rPr>
          <w:rFonts w:eastAsiaTheme="minorEastAsia"/>
        </w:rPr>
        <w:t xml:space="preserve"> is the convective fraction of the fire HRR, which is typically of the order of 0.70.  For non-circular fires with an area A</w:t>
      </w:r>
      <w:r w:rsidRPr="00D858C0">
        <w:rPr>
          <w:rFonts w:eastAsiaTheme="minorEastAsia"/>
          <w:vertAlign w:val="subscript"/>
        </w:rPr>
        <w:t>f</w:t>
      </w:r>
      <w:r w:rsidRPr="00D858C0">
        <w:rPr>
          <w:rFonts w:eastAsiaTheme="minorEastAsia"/>
        </w:rPr>
        <w:t>, an equivalent effective diameter is used, which is calculated as shown in Equation 3.</w:t>
      </w:r>
    </w:p>
    <w:p w14:paraId="7B922D0C"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rFonts w:eastAsiaTheme="minorEastAsia"/>
        </w:rPr>
        <w:t xml:space="preserve"> </w:t>
      </w:r>
    </w:p>
    <w:p w14:paraId="31D713A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Damage Thresholds</w:t>
      </w:r>
    </w:p>
    <w:p w14:paraId="2319D5E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2F7F12"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vertical ZOI is determined as the height above the fire base where the plume centerline temperature is equal to the damage threshold temperature of a target.  Damage thresholds for cable targets and sensitive electronics and ignition thresholds for cable targets are given in Attachment 6 to Appendix F.</w:t>
      </w:r>
    </w:p>
    <w:p w14:paraId="062A96F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EDD812"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Assumptions for the Development of the Vertical ZOI Tables and Plots</w:t>
      </w:r>
    </w:p>
    <w:p w14:paraId="018704A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CB4E6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This subsection provides a detailed discussion of the assumptions that were made and the input parameter values and ranges that were used in the development of the vertical ZOI tables and plots.</w:t>
      </w:r>
    </w:p>
    <w:p w14:paraId="198B419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6065D0" w14:textId="77777777" w:rsidR="00DE6D46" w:rsidRPr="00D858C0" w:rsidRDefault="00DE6D46" w:rsidP="0035366F">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Ambient air properties: It is assumed that T</w:t>
      </w:r>
      <w:r w:rsidRPr="00D858C0">
        <w:rPr>
          <w:vertAlign w:val="subscript"/>
        </w:rPr>
        <w:t>a</w:t>
      </w:r>
      <w:r w:rsidRPr="00D858C0">
        <w:t xml:space="preserve"> = 25°C (77°F).  This is the default value in FDT 9.  The corresponding air properties are c</w:t>
      </w:r>
      <w:r w:rsidRPr="00D858C0">
        <w:rPr>
          <w:vertAlign w:val="subscript"/>
        </w:rPr>
        <w:t>p</w:t>
      </w:r>
      <w:r w:rsidRPr="00D858C0">
        <w:t xml:space="preserve"> = 1.005 kJ/kg</w:t>
      </w:r>
      <w:r w:rsidRPr="00D858C0">
        <w:sym w:font="Symbol" w:char="F0D7"/>
      </w:r>
      <w:r w:rsidRPr="00D858C0">
        <w:t xml:space="preserve">K and </w:t>
      </w:r>
      <w:r w:rsidRPr="00D858C0">
        <w:sym w:font="Symbol" w:char="F072"/>
      </w:r>
      <w:r w:rsidRPr="00D858C0">
        <w:rPr>
          <w:vertAlign w:val="subscript"/>
        </w:rPr>
        <w:t>a</w:t>
      </w:r>
      <w:r w:rsidRPr="00D858C0">
        <w:t xml:space="preserve"> = 1.18 kg/m</w:t>
      </w:r>
      <w:r w:rsidRPr="00D858C0">
        <w:rPr>
          <w:vertAlign w:val="superscript"/>
        </w:rPr>
        <w:t>3</w:t>
      </w:r>
      <w:r w:rsidRPr="00D858C0">
        <w:t>.</w:t>
      </w:r>
    </w:p>
    <w:p w14:paraId="4A51C8A6" w14:textId="7B7FBBDB" w:rsidR="00DE6D46" w:rsidRPr="00D858C0" w:rsidRDefault="00DE6D46" w:rsidP="0035366F">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Convective part of</w:t>
      </w:r>
      <w:r w:rsidR="003B7E11" w:rsidRPr="00D858C0">
        <w:t xml:space="preserve"> the HRR</w:t>
      </w:r>
      <w:r w:rsidR="0031032A" w:rsidRPr="00D858C0">
        <w:t>,</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Sub>
      </m:oMath>
      <w:r w:rsidR="003B7E11" w:rsidRPr="00D858C0">
        <w:t>:</w:t>
      </w:r>
      <w:r w:rsidRPr="00D858C0">
        <w:rPr>
          <w:rFonts w:eastAsiaTheme="minorEastAsia"/>
        </w:rPr>
        <w:t xml:space="preserve"> The convective part of the HRR is equal to </w:t>
      </w:r>
      <m:oMath>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c</m:t>
            </m:r>
          </m:sub>
        </m:sSub>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 xml:space="preserve">, where </w:t>
      </w:r>
      <m:oMath>
        <m:sSub>
          <m:sSubPr>
            <m:ctrlPr>
              <w:rPr>
                <w:rFonts w:ascii="Cambria Math" w:eastAsiaTheme="minorEastAsia" w:hAnsi="Cambria Math"/>
              </w:rPr>
            </m:ctrlPr>
          </m:sSubPr>
          <m:e>
            <m:r>
              <m:rPr>
                <m:sty m:val="p"/>
              </m:rPr>
              <w:rPr>
                <w:rFonts w:ascii="Cambria Math" w:eastAsiaTheme="minorEastAsia" w:hAnsi="Cambria Math"/>
              </w:rPr>
              <m:t>χ</m:t>
            </m:r>
          </m:e>
          <m:sub>
            <m:r>
              <w:rPr>
                <w:rFonts w:ascii="Cambria Math" w:eastAsiaTheme="minorEastAsia" w:hAnsi="Cambria Math"/>
              </w:rPr>
              <m:t>c</m:t>
            </m:r>
          </m:sub>
        </m:sSub>
      </m:oMath>
      <w:r w:rsidRPr="00D858C0">
        <w:rPr>
          <w:rFonts w:eastAsiaTheme="minorEastAsia"/>
        </w:rPr>
        <w:t xml:space="preserve"> is the convective fraction, and </w:t>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 xml:space="preserve"> is the HRR.  A convective fraction of 0.70 is assumed, which is representative of transient fires and conservative for cable fires.  This is the default value in FDT 9.</w:t>
      </w:r>
    </w:p>
    <w:p w14:paraId="038D4F3D" w14:textId="2D40DE2B" w:rsidR="00DE6D46" w:rsidRPr="00D858C0" w:rsidRDefault="00DE6D46" w:rsidP="0035366F">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HRR, </w:t>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t>: Ignition source screening for electrical enclosures, motors, pumps and transients is based on the 98</w:t>
      </w:r>
      <w:r w:rsidRPr="00D858C0">
        <w:rPr>
          <w:vertAlign w:val="superscript"/>
        </w:rPr>
        <w:t>th</w:t>
      </w:r>
      <w:r w:rsidRPr="00D858C0">
        <w:t xml:space="preserve"> percentile </w:t>
      </w:r>
      <w:r w:rsidR="00CA7539" w:rsidRPr="00D858C0">
        <w:t xml:space="preserve">of the peak </w:t>
      </w:r>
      <w:r w:rsidRPr="00D858C0">
        <w:t xml:space="preserve">HRR, as recommended in </w:t>
      </w:r>
      <w:r w:rsidR="00E53C87">
        <w:t>NUREG/CR-6850 (</w:t>
      </w:r>
      <w:r w:rsidR="00A24E94" w:rsidRPr="00D858C0">
        <w:t>Reference 8</w:t>
      </w:r>
      <w:r w:rsidR="00E53C87">
        <w:t>)</w:t>
      </w:r>
      <w:r w:rsidRPr="00D858C0">
        <w:t>.  The HRRs that were used in the vertical ZOI calculations are the 98</w:t>
      </w:r>
      <w:r w:rsidRPr="00D858C0">
        <w:rPr>
          <w:vertAlign w:val="superscript"/>
        </w:rPr>
        <w:t>th</w:t>
      </w:r>
      <w:r w:rsidRPr="00D858C0">
        <w:t xml:space="preserve"> percentile </w:t>
      </w:r>
      <w:r w:rsidR="00CA7539" w:rsidRPr="00D858C0">
        <w:t xml:space="preserve">peak </w:t>
      </w:r>
      <w:r w:rsidRPr="00D858C0">
        <w:t>HRRs given in Table A5.1 in Attachment 5 to Appendix F, combined with the 75</w:t>
      </w:r>
      <w:r w:rsidRPr="00D858C0">
        <w:rPr>
          <w:vertAlign w:val="superscript"/>
        </w:rPr>
        <w:t>th</w:t>
      </w:r>
      <w:r w:rsidRPr="00D858C0">
        <w:t xml:space="preserve"> percentile HRR of small electrical enclosures (15 kW from </w:t>
      </w:r>
      <w:r w:rsidR="00573187" w:rsidRPr="00D858C0">
        <w:t>Reference 2</w:t>
      </w:r>
      <w:r w:rsidR="005F2E7B" w:rsidRPr="00D858C0">
        <w:t>6</w:t>
      </w:r>
      <w:r w:rsidRPr="00D858C0">
        <w:t>, Table 7-1):</w:t>
      </w:r>
    </w:p>
    <w:p w14:paraId="3D13AE99" w14:textId="77777777" w:rsidR="00DE6D46" w:rsidRPr="00D858C0" w:rsidRDefault="00DE6D46" w:rsidP="0035366F">
      <w:pPr>
        <w:pStyle w:val="ListParagraph"/>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contextualSpacing/>
      </w:pPr>
      <w:r w:rsidRPr="00D858C0">
        <w:t>Electrical Enclosures: 15, 45, 130, 170, 200, 325, 400, 700, and 1000 kW.</w:t>
      </w:r>
    </w:p>
    <w:p w14:paraId="10F8134B" w14:textId="77777777" w:rsidR="00DE6D46" w:rsidRPr="00D858C0" w:rsidRDefault="00DE6D46" w:rsidP="0035366F">
      <w:pPr>
        <w:pStyle w:val="ListParagraph"/>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contextualSpacing/>
      </w:pPr>
      <w:r w:rsidRPr="00D858C0">
        <w:t>Motors: 69 kW</w:t>
      </w:r>
    </w:p>
    <w:p w14:paraId="285F4DD3" w14:textId="77777777" w:rsidR="00DE6D46" w:rsidRPr="00D858C0" w:rsidRDefault="00DE6D46" w:rsidP="0035366F">
      <w:pPr>
        <w:pStyle w:val="ListParagraph"/>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contextualSpacing/>
      </w:pPr>
      <w:r w:rsidRPr="00D858C0">
        <w:t>Pumps (Electrical Fires): 211 kW</w:t>
      </w:r>
    </w:p>
    <w:p w14:paraId="15CF3FEE" w14:textId="77777777" w:rsidR="00DE6D46" w:rsidRPr="00D858C0" w:rsidRDefault="00DE6D46" w:rsidP="0035366F">
      <w:pPr>
        <w:pStyle w:val="ListParagraph"/>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contextualSpacing/>
      </w:pPr>
      <w:r w:rsidRPr="00D858C0">
        <w:t>Transients: 317 kW</w:t>
      </w:r>
    </w:p>
    <w:p w14:paraId="4AD45684" w14:textId="77777777" w:rsidR="00DE6D46" w:rsidRPr="00D858C0" w:rsidRDefault="00DE6D46" w:rsidP="00E430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B83AB0" w14:textId="1324D408" w:rsidR="00DE6D46" w:rsidRPr="00D858C0" w:rsidRDefault="00DE6D46" w:rsidP="00285DF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D858C0">
        <w:lastRenderedPageBreak/>
        <w:t>Tables and plots were created that provide the vertical ZOI for the 12 HRRs.  In addition, vertical ZOI vs. HRR plots were developed that cover the entire range of HRRs.</w:t>
      </w:r>
      <w:r w:rsidR="00E53C87">
        <w:t xml:space="preserve">  </w:t>
      </w:r>
      <w:r w:rsidRPr="00D858C0">
        <w:t xml:space="preserve">Tables and plots were also developed that show the vertical ZOI as a function of fire diameter for confined pool fires involving the liquid fuels in Table 6.2.2 above.  Similar tables and plots were developed for unconfined spill fires that show the vertical ZOI as a function of the volume of the fuel spill.  The HRRs of pool fires and unconfined oil spill fires were calculated from Equation 4. </w:t>
      </w:r>
    </w:p>
    <w:p w14:paraId="09B79840" w14:textId="5FF40F45" w:rsidR="00DE6D46" w:rsidRPr="00D858C0" w:rsidRDefault="00DE6D46" w:rsidP="0035366F">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Fire diameter, D: </w:t>
      </w:r>
      <w:r w:rsidR="00573187" w:rsidRPr="00D858C0">
        <w:t>Reference 2</w:t>
      </w:r>
      <w:r w:rsidR="005F2E7B" w:rsidRPr="00D858C0">
        <w:t>6</w:t>
      </w:r>
      <w:r w:rsidRPr="00D858C0">
        <w:t xml:space="preserve"> recommends using the area of the top surface of an electrical enclosure to determine the fire diameter, except if that leads to a Froude number (Fr) that is outside the validated range in </w:t>
      </w:r>
      <w:r w:rsidR="00101696" w:rsidRPr="00D858C0">
        <w:t>NUREG-1824, Supplement 1 (Reference 34)</w:t>
      </w:r>
      <w:r w:rsidRPr="00D858C0">
        <w:t>.  The Froude number is a measure of the relative importance of inertial to buoyancy forces and is defined as follows:</w:t>
      </w:r>
    </w:p>
    <w:p w14:paraId="63588C2A" w14:textId="77777777" w:rsidR="00DE6D46" w:rsidRPr="00D858C0" w:rsidRDefault="00DE6D46" w:rsidP="00E430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0" w:type="auto"/>
        <w:tblLayout w:type="fixed"/>
        <w:tblLook w:val="04A0" w:firstRow="1" w:lastRow="0" w:firstColumn="1" w:lastColumn="0" w:noHBand="0" w:noVBand="1"/>
      </w:tblPr>
      <w:tblGrid>
        <w:gridCol w:w="1440"/>
        <w:gridCol w:w="7200"/>
        <w:gridCol w:w="720"/>
      </w:tblGrid>
      <w:tr w:rsidR="00DE6D46" w:rsidRPr="00D858C0" w14:paraId="3F99DF0B" w14:textId="77777777" w:rsidTr="00EA6963">
        <w:tc>
          <w:tcPr>
            <w:tcW w:w="1440" w:type="dxa"/>
            <w:vAlign w:val="center"/>
          </w:tcPr>
          <w:p w14:paraId="57061AF2"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w:p>
        </w:tc>
        <w:tc>
          <w:tcPr>
            <w:tcW w:w="7200" w:type="dxa"/>
            <w:vAlign w:val="center"/>
          </w:tcPr>
          <w:p w14:paraId="2044A12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240"/>
              <w:jc w:val="center"/>
            </w:pPr>
            <m:oMathPara>
              <m:oMathParaPr>
                <m:jc m:val="left"/>
              </m:oMathParaPr>
              <m:oMath>
                <m:r>
                  <m:rPr>
                    <m:sty m:val="p"/>
                  </m:rPr>
                  <w:rPr>
                    <w:rFonts w:ascii="Cambria Math" w:hAnsi="Cambria Math"/>
                  </w:rPr>
                  <m:t xml:space="preserve">Fr </m:t>
                </m:r>
                <m:r>
                  <m:rPr>
                    <m:sty m:val="p"/>
                  </m:rPr>
                  <w:rPr>
                    <w:rFonts w:ascii="Cambria Math" w:hAnsi="Cambria Math"/>
                  </w:rPr>
                  <w:sym w:font="Symbol" w:char="F0BA"/>
                </m:r>
                <m:r>
                  <m:rPr>
                    <m:sty m:val="p"/>
                  </m:rPr>
                  <w:rPr>
                    <w:rFonts w:ascii="Cambria Math" w:hAnsi="Cambria Math"/>
                  </w:rPr>
                  <m:t xml:space="preserve"> </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Q</m:t>
                        </m:r>
                      </m:e>
                    </m:acc>
                  </m:num>
                  <m:den>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sSub>
                      <m:sSubPr>
                        <m:ctrlPr>
                          <w:rPr>
                            <w:rFonts w:ascii="Cambria Math" w:hAnsi="Cambria Math"/>
                          </w:rPr>
                        </m:ctrlPr>
                      </m:sSubPr>
                      <m:e>
                        <m:r>
                          <m:rPr>
                            <m:sty m:val="p"/>
                          </m:rPr>
                          <w:rPr>
                            <w:rFonts w:ascii="Cambria Math" w:hAnsi="Cambria Math"/>
                          </w:rPr>
                          <m:t>ρ</m:t>
                        </m:r>
                      </m:e>
                      <m:sub>
                        <m:r>
                          <m:rPr>
                            <m:sty m:val="p"/>
                          </m:rPr>
                          <w:rPr>
                            <w:rFonts w:ascii="Cambria Math" w:hAnsi="Cambria Math"/>
                          </w:rPr>
                          <m:t>a</m:t>
                        </m:r>
                      </m:sub>
                    </m:sSub>
                    <m:d>
                      <m:dPr>
                        <m:ctrlPr>
                          <w:rPr>
                            <w:rFonts w:ascii="Cambria Math" w:hAnsi="Cambria Math"/>
                          </w:rPr>
                        </m:ctrlPr>
                      </m:dPr>
                      <m:e>
                        <m:r>
                          <m:rPr>
                            <m:sty m:val="p"/>
                          </m:rPr>
                          <w:rPr>
                            <w:rFonts w:ascii="Cambria Math" w:hAnsi="Cambria Math"/>
                          </w:rPr>
                          <m:t>273.15+</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e>
                    </m:d>
                    <m:rad>
                      <m:radPr>
                        <m:degHide m:val="1"/>
                        <m:ctrlPr>
                          <w:rPr>
                            <w:rFonts w:ascii="Cambria Math" w:hAnsi="Cambria Math"/>
                          </w:rPr>
                        </m:ctrlPr>
                      </m:radPr>
                      <m:deg/>
                      <m:e>
                        <m:r>
                          <m:rPr>
                            <m:sty m:val="p"/>
                          </m:rPr>
                          <w:rPr>
                            <w:rFonts w:ascii="Cambria Math" w:hAnsi="Cambria Math"/>
                          </w:rPr>
                          <m:t>g</m:t>
                        </m:r>
                      </m:e>
                    </m:rad>
                    <m:sSup>
                      <m:sSupPr>
                        <m:ctrlPr>
                          <w:rPr>
                            <w:rFonts w:ascii="Cambria Math" w:hAnsi="Cambria Math"/>
                          </w:rPr>
                        </m:ctrlPr>
                      </m:sSupPr>
                      <m:e>
                        <m:r>
                          <m:rPr>
                            <m:sty m:val="p"/>
                          </m:rPr>
                          <w:rPr>
                            <w:rFonts w:ascii="Cambria Math" w:hAnsi="Cambria Math"/>
                          </w:rPr>
                          <m:t>D</m:t>
                        </m:r>
                      </m:e>
                      <m:sup>
                        <m:r>
                          <m:rPr>
                            <m:sty m:val="p"/>
                          </m:rPr>
                          <w:rPr>
                            <w:rFonts w:ascii="Cambria Math" w:hAnsi="Cambria Math"/>
                          </w:rPr>
                          <m:t>5/2</m:t>
                        </m:r>
                      </m:sup>
                    </m:sSup>
                  </m:den>
                </m:f>
              </m:oMath>
            </m:oMathPara>
          </w:p>
        </w:tc>
        <w:tc>
          <w:tcPr>
            <w:tcW w:w="720" w:type="dxa"/>
            <w:vAlign w:val="center"/>
          </w:tcPr>
          <w:p w14:paraId="03E692C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r w:rsidRPr="00D858C0">
              <w:t>(10)</w:t>
            </w:r>
          </w:p>
        </w:tc>
      </w:tr>
    </w:tbl>
    <w:p w14:paraId="0D0E816A" w14:textId="77777777" w:rsidR="00DE6D46" w:rsidRPr="00D858C0" w:rsidRDefault="00DE6D46" w:rsidP="00E430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00877FE0" w14:textId="38F84694" w:rsidR="00DE6D46" w:rsidRPr="00D858C0" w:rsidRDefault="00DE6D46" w:rsidP="00E430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Froude number of solid combustible and liquid pool fires is typically of the order of one.  The validated Fr</w:t>
      </w:r>
      <w:r w:rsidRPr="00D858C0" w:rsidDel="00A608DD">
        <w:t xml:space="preserve"> </w:t>
      </w:r>
      <w:r w:rsidRPr="00D858C0">
        <w:t xml:space="preserve">range for Heskestad’s plume centerline temperature correlation reported in </w:t>
      </w:r>
      <w:r w:rsidR="00101696" w:rsidRPr="00D858C0">
        <w:t>Reference 34</w:t>
      </w:r>
      <w:r w:rsidRPr="00D858C0">
        <w:t xml:space="preserve"> is 0.2 ≤ Fr ≤ 9.1.  Table 6.2.8 gives the calculated minimum and maximum fire diameters (D</w:t>
      </w:r>
      <w:r w:rsidRPr="00D858C0">
        <w:rPr>
          <w:vertAlign w:val="subscript"/>
        </w:rPr>
        <w:t>min</w:t>
      </w:r>
      <w:r w:rsidRPr="00D858C0">
        <w:t xml:space="preserve"> and D</w:t>
      </w:r>
      <w:r w:rsidRPr="00D858C0">
        <w:rPr>
          <w:vertAlign w:val="subscript"/>
        </w:rPr>
        <w:t>max</w:t>
      </w:r>
      <w:r w:rsidRPr="00D858C0">
        <w:t>) corresponding to the upper and lower limit, respectively, of the validated range for the 12 aforementioned HRRs of fixed and transient ignition sources.  Table 6.2.8 also provides the diameter for Fr = 1 (D</w:t>
      </w:r>
      <w:r w:rsidRPr="00D858C0">
        <w:rPr>
          <w:vertAlign w:val="subscript"/>
        </w:rPr>
        <w:t>Fr=1</w:t>
      </w:r>
      <w:r w:rsidRPr="00D858C0">
        <w:t>).</w:t>
      </w:r>
    </w:p>
    <w:p w14:paraId="694168F9" w14:textId="77777777" w:rsidR="00DE6D46" w:rsidRPr="00D858C0" w:rsidRDefault="00DE6D46" w:rsidP="00E430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6505EF" w14:textId="5BA7BED9" w:rsidR="00DE6D46" w:rsidRPr="00D858C0" w:rsidRDefault="00DE6D46" w:rsidP="00E430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The recommendation in </w:t>
      </w:r>
      <w:r w:rsidR="00573187" w:rsidRPr="00D858C0">
        <w:t>Reference 2</w:t>
      </w:r>
      <w:r w:rsidR="005F2E7B" w:rsidRPr="00D858C0">
        <w:t>6</w:t>
      </w:r>
      <w:r w:rsidRPr="00D858C0">
        <w:t xml:space="preserve"> to determine the fire diameter based on the area of the top surface of electrical enclosures complicates the development of generic vertical ZOI tables and plots, since it adds another independent variable.  Some licensees transitioning to NFPA 805 </w:t>
      </w:r>
      <w:r w:rsidR="00CA7539" w:rsidRPr="00D858C0">
        <w:t>via</w:t>
      </w:r>
      <w:r w:rsidRPr="00D858C0">
        <w:t xml:space="preserve"> 10 CFR 50.48(c) addressed this problem by assuming a fixed Froude number of one.  The same assumption was made in the development of pertinent ZOI tables and plots for the F</w:t>
      </w:r>
      <w:r w:rsidR="002A3333" w:rsidRPr="00D858C0">
        <w:t xml:space="preserve">ire </w:t>
      </w:r>
      <w:r w:rsidRPr="00D858C0">
        <w:t>P</w:t>
      </w:r>
      <w:r w:rsidR="002A3333" w:rsidRPr="00D858C0">
        <w:t>rotection</w:t>
      </w:r>
      <w:r w:rsidRPr="00D858C0">
        <w:t xml:space="preserve"> SDP update, since it leads to reasonably conservative (i.e., small) fire diameters, as shown in Table 6.2.8.</w:t>
      </w:r>
    </w:p>
    <w:p w14:paraId="50BFE04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p>
    <w:tbl>
      <w:tblPr>
        <w:tblW w:w="8460" w:type="dxa"/>
        <w:tblInd w:w="705" w:type="dxa"/>
        <w:tblLayout w:type="fixed"/>
        <w:tblLook w:val="04A0" w:firstRow="1" w:lastRow="0" w:firstColumn="1" w:lastColumn="0" w:noHBand="0" w:noVBand="1"/>
      </w:tblPr>
      <w:tblGrid>
        <w:gridCol w:w="1269"/>
        <w:gridCol w:w="729"/>
        <w:gridCol w:w="1062"/>
        <w:gridCol w:w="990"/>
        <w:gridCol w:w="1080"/>
        <w:gridCol w:w="1275"/>
        <w:gridCol w:w="990"/>
        <w:gridCol w:w="1065"/>
      </w:tblGrid>
      <w:tr w:rsidR="001A2328" w:rsidRPr="00D858C0" w14:paraId="0344B57C" w14:textId="77777777" w:rsidTr="0034587C">
        <w:tc>
          <w:tcPr>
            <w:tcW w:w="8460" w:type="dxa"/>
            <w:gridSpan w:val="8"/>
            <w:tcBorders>
              <w:top w:val="single" w:sz="12" w:space="0" w:color="auto"/>
              <w:left w:val="single" w:sz="12" w:space="0" w:color="auto"/>
              <w:bottom w:val="nil"/>
              <w:right w:val="single" w:sz="12" w:space="0" w:color="auto"/>
            </w:tcBorders>
            <w:shd w:val="clear" w:color="auto" w:fill="D9D9D9" w:themeFill="background1" w:themeFillShade="D9"/>
          </w:tcPr>
          <w:p w14:paraId="0175121E" w14:textId="77777777" w:rsidR="00DE6D46" w:rsidRPr="00E01E7A" w:rsidRDefault="00DE6D46" w:rsidP="005721EF">
            <w:pPr>
              <w:pStyle w:val="TableCaption"/>
              <w:rPr>
                <w:b w:val="0"/>
                <w:color w:val="000000"/>
                <w:sz w:val="20"/>
                <w:szCs w:val="20"/>
              </w:rPr>
            </w:pPr>
            <w:bookmarkStart w:id="168" w:name="_Toc483393013"/>
            <w:r w:rsidRPr="00E01E7A">
              <w:rPr>
                <w:b w:val="0"/>
              </w:rPr>
              <w:t>Table 6.2.8 – Fire Diameter as a Function of HRR for Selected Fr Numbers.</w:t>
            </w:r>
            <w:bookmarkEnd w:id="168"/>
          </w:p>
        </w:tc>
      </w:tr>
      <w:tr w:rsidR="001A2328" w:rsidRPr="00D858C0" w14:paraId="681EB02C" w14:textId="77777777" w:rsidTr="0034587C">
        <w:tc>
          <w:tcPr>
            <w:tcW w:w="1269" w:type="dxa"/>
            <w:tcBorders>
              <w:top w:val="single" w:sz="12" w:space="0" w:color="auto"/>
              <w:left w:val="single" w:sz="12" w:space="0" w:color="auto"/>
              <w:bottom w:val="nil"/>
              <w:right w:val="single" w:sz="12" w:space="0" w:color="auto"/>
            </w:tcBorders>
          </w:tcPr>
          <w:p w14:paraId="7DF30C71" w14:textId="77777777" w:rsidR="00DE6D46" w:rsidRPr="00E01E7A"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E01E7A">
              <w:rPr>
                <w:color w:val="000000"/>
              </w:rPr>
              <w:t>Type of</w:t>
            </w:r>
          </w:p>
        </w:tc>
        <w:tc>
          <w:tcPr>
            <w:tcW w:w="729" w:type="dxa"/>
            <w:vMerge w:val="restart"/>
            <w:tcBorders>
              <w:top w:val="single" w:sz="12" w:space="0" w:color="auto"/>
              <w:left w:val="single" w:sz="12" w:space="0" w:color="auto"/>
              <w:right w:val="single" w:sz="12" w:space="0" w:color="auto"/>
            </w:tcBorders>
            <w:vAlign w:val="center"/>
          </w:tcPr>
          <w:p w14:paraId="703151C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HRR</w:t>
            </w:r>
          </w:p>
          <w:p w14:paraId="2F1C3C0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(kW)</w:t>
            </w:r>
          </w:p>
        </w:tc>
        <w:tc>
          <w:tcPr>
            <w:tcW w:w="2052" w:type="dxa"/>
            <w:gridSpan w:val="2"/>
            <w:tcBorders>
              <w:top w:val="single" w:sz="12" w:space="0" w:color="auto"/>
              <w:left w:val="single" w:sz="12" w:space="0" w:color="auto"/>
              <w:right w:val="single" w:sz="12" w:space="0" w:color="auto"/>
            </w:tcBorders>
            <w:vAlign w:val="bottom"/>
          </w:tcPr>
          <w:p w14:paraId="6936C90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sz w:val="20"/>
                <w:szCs w:val="20"/>
              </w:rPr>
            </w:pPr>
            <w:r w:rsidRPr="00D858C0">
              <w:rPr>
                <w:color w:val="000000"/>
                <w:sz w:val="20"/>
                <w:szCs w:val="20"/>
              </w:rPr>
              <w:t>Fr = 9.1</w:t>
            </w:r>
          </w:p>
        </w:tc>
        <w:tc>
          <w:tcPr>
            <w:tcW w:w="2355" w:type="dxa"/>
            <w:gridSpan w:val="2"/>
            <w:tcBorders>
              <w:top w:val="single" w:sz="12" w:space="0" w:color="auto"/>
              <w:left w:val="single" w:sz="12" w:space="0" w:color="auto"/>
              <w:bottom w:val="single" w:sz="4" w:space="0" w:color="auto"/>
              <w:right w:val="single" w:sz="12" w:space="0" w:color="auto"/>
            </w:tcBorders>
            <w:vAlign w:val="bottom"/>
          </w:tcPr>
          <w:p w14:paraId="75CBFDF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sz w:val="20"/>
                <w:szCs w:val="20"/>
              </w:rPr>
            </w:pPr>
            <w:r w:rsidRPr="00D858C0">
              <w:rPr>
                <w:color w:val="000000"/>
                <w:sz w:val="20"/>
                <w:szCs w:val="20"/>
              </w:rPr>
              <w:t>Fr = 0.2</w:t>
            </w:r>
          </w:p>
        </w:tc>
        <w:tc>
          <w:tcPr>
            <w:tcW w:w="2055" w:type="dxa"/>
            <w:gridSpan w:val="2"/>
            <w:tcBorders>
              <w:top w:val="single" w:sz="12" w:space="0" w:color="auto"/>
              <w:left w:val="single" w:sz="12" w:space="0" w:color="auto"/>
              <w:right w:val="single" w:sz="12" w:space="0" w:color="auto"/>
            </w:tcBorders>
            <w:vAlign w:val="bottom"/>
          </w:tcPr>
          <w:p w14:paraId="2DDBE64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sz w:val="20"/>
                <w:szCs w:val="20"/>
              </w:rPr>
            </w:pPr>
            <w:r w:rsidRPr="00D858C0">
              <w:rPr>
                <w:color w:val="000000"/>
                <w:sz w:val="20"/>
                <w:szCs w:val="20"/>
              </w:rPr>
              <w:t>Fr =1.0</w:t>
            </w:r>
          </w:p>
        </w:tc>
      </w:tr>
      <w:tr w:rsidR="001A2328" w:rsidRPr="00D858C0" w14:paraId="3BB2F6EF" w14:textId="77777777" w:rsidTr="0034587C">
        <w:tc>
          <w:tcPr>
            <w:tcW w:w="1269" w:type="dxa"/>
            <w:tcBorders>
              <w:top w:val="nil"/>
              <w:left w:val="single" w:sz="12" w:space="0" w:color="auto"/>
              <w:bottom w:val="nil"/>
              <w:right w:val="single" w:sz="12" w:space="0" w:color="auto"/>
            </w:tcBorders>
          </w:tcPr>
          <w:p w14:paraId="7C597B8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Ignition</w:t>
            </w:r>
          </w:p>
        </w:tc>
        <w:tc>
          <w:tcPr>
            <w:tcW w:w="729" w:type="dxa"/>
            <w:vMerge/>
            <w:tcBorders>
              <w:left w:val="single" w:sz="12" w:space="0" w:color="auto"/>
              <w:right w:val="single" w:sz="12" w:space="0" w:color="auto"/>
            </w:tcBorders>
            <w:vAlign w:val="bottom"/>
          </w:tcPr>
          <w:p w14:paraId="0FE4A0F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p>
        </w:tc>
        <w:tc>
          <w:tcPr>
            <w:tcW w:w="1062" w:type="dxa"/>
            <w:tcBorders>
              <w:left w:val="single" w:sz="12" w:space="0" w:color="auto"/>
              <w:bottom w:val="nil"/>
            </w:tcBorders>
            <w:vAlign w:val="bottom"/>
          </w:tcPr>
          <w:p w14:paraId="5100031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D</w:t>
            </w:r>
            <w:r w:rsidRPr="00D858C0">
              <w:rPr>
                <w:color w:val="000000"/>
                <w:vertAlign w:val="subscript"/>
              </w:rPr>
              <w:t>min</w:t>
            </w:r>
          </w:p>
        </w:tc>
        <w:tc>
          <w:tcPr>
            <w:tcW w:w="990" w:type="dxa"/>
            <w:tcBorders>
              <w:bottom w:val="nil"/>
              <w:right w:val="single" w:sz="12" w:space="0" w:color="auto"/>
            </w:tcBorders>
            <w:vAlign w:val="bottom"/>
          </w:tcPr>
          <w:p w14:paraId="0884522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D</w:t>
            </w:r>
            <w:r w:rsidRPr="00D858C0">
              <w:rPr>
                <w:color w:val="000000"/>
                <w:vertAlign w:val="subscript"/>
              </w:rPr>
              <w:t>min</w:t>
            </w:r>
          </w:p>
        </w:tc>
        <w:tc>
          <w:tcPr>
            <w:tcW w:w="1080" w:type="dxa"/>
            <w:tcBorders>
              <w:left w:val="single" w:sz="12" w:space="0" w:color="auto"/>
              <w:bottom w:val="nil"/>
              <w:right w:val="single" w:sz="4" w:space="0" w:color="auto"/>
            </w:tcBorders>
            <w:vAlign w:val="bottom"/>
          </w:tcPr>
          <w:p w14:paraId="57500A6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D</w:t>
            </w:r>
            <w:r w:rsidRPr="00D858C0">
              <w:rPr>
                <w:color w:val="000000"/>
                <w:vertAlign w:val="subscript"/>
              </w:rPr>
              <w:t>max</w:t>
            </w:r>
          </w:p>
        </w:tc>
        <w:tc>
          <w:tcPr>
            <w:tcW w:w="1275" w:type="dxa"/>
            <w:tcBorders>
              <w:left w:val="single" w:sz="4" w:space="0" w:color="auto"/>
              <w:bottom w:val="nil"/>
              <w:right w:val="single" w:sz="12" w:space="0" w:color="auto"/>
            </w:tcBorders>
            <w:vAlign w:val="bottom"/>
          </w:tcPr>
          <w:p w14:paraId="34AC6E7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D</w:t>
            </w:r>
            <w:r w:rsidRPr="00D858C0">
              <w:rPr>
                <w:color w:val="000000"/>
                <w:vertAlign w:val="subscript"/>
              </w:rPr>
              <w:t>max</w:t>
            </w:r>
          </w:p>
        </w:tc>
        <w:tc>
          <w:tcPr>
            <w:tcW w:w="990" w:type="dxa"/>
            <w:tcBorders>
              <w:left w:val="single" w:sz="12" w:space="0" w:color="auto"/>
              <w:bottom w:val="nil"/>
            </w:tcBorders>
            <w:vAlign w:val="bottom"/>
          </w:tcPr>
          <w:p w14:paraId="5616523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D</w:t>
            </w:r>
            <w:r w:rsidRPr="00D858C0">
              <w:rPr>
                <w:color w:val="000000"/>
                <w:vertAlign w:val="subscript"/>
              </w:rPr>
              <w:t>Fr=1</w:t>
            </w:r>
          </w:p>
        </w:tc>
        <w:tc>
          <w:tcPr>
            <w:tcW w:w="1065" w:type="dxa"/>
            <w:tcBorders>
              <w:bottom w:val="nil"/>
              <w:right w:val="single" w:sz="12" w:space="0" w:color="auto"/>
            </w:tcBorders>
            <w:vAlign w:val="bottom"/>
          </w:tcPr>
          <w:p w14:paraId="315C443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D</w:t>
            </w:r>
            <w:r w:rsidRPr="00D858C0">
              <w:rPr>
                <w:color w:val="000000"/>
                <w:vertAlign w:val="subscript"/>
              </w:rPr>
              <w:t>Fr=1</w:t>
            </w:r>
          </w:p>
        </w:tc>
      </w:tr>
      <w:tr w:rsidR="001A2328" w:rsidRPr="00D858C0" w14:paraId="71F6140D" w14:textId="77777777" w:rsidTr="0034587C">
        <w:tc>
          <w:tcPr>
            <w:tcW w:w="1269" w:type="dxa"/>
            <w:tcBorders>
              <w:top w:val="nil"/>
              <w:left w:val="single" w:sz="12" w:space="0" w:color="auto"/>
              <w:bottom w:val="single" w:sz="12" w:space="0" w:color="auto"/>
              <w:right w:val="single" w:sz="12" w:space="0" w:color="auto"/>
            </w:tcBorders>
          </w:tcPr>
          <w:p w14:paraId="5BB804B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t>Source</w:t>
            </w:r>
          </w:p>
        </w:tc>
        <w:tc>
          <w:tcPr>
            <w:tcW w:w="729" w:type="dxa"/>
            <w:vMerge/>
            <w:tcBorders>
              <w:left w:val="single" w:sz="12" w:space="0" w:color="auto"/>
              <w:bottom w:val="single" w:sz="12" w:space="0" w:color="auto"/>
              <w:right w:val="single" w:sz="12" w:space="0" w:color="auto"/>
            </w:tcBorders>
            <w:vAlign w:val="bottom"/>
          </w:tcPr>
          <w:p w14:paraId="3D98DA4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p>
        </w:tc>
        <w:tc>
          <w:tcPr>
            <w:tcW w:w="1062" w:type="dxa"/>
            <w:tcBorders>
              <w:top w:val="nil"/>
              <w:left w:val="single" w:sz="12" w:space="0" w:color="auto"/>
              <w:bottom w:val="single" w:sz="12" w:space="0" w:color="auto"/>
            </w:tcBorders>
            <w:vAlign w:val="bottom"/>
          </w:tcPr>
          <w:p w14:paraId="2BFAF02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(m)</w:t>
            </w:r>
          </w:p>
        </w:tc>
        <w:tc>
          <w:tcPr>
            <w:tcW w:w="990" w:type="dxa"/>
            <w:tcBorders>
              <w:top w:val="nil"/>
              <w:bottom w:val="single" w:sz="12" w:space="0" w:color="auto"/>
              <w:right w:val="single" w:sz="12" w:space="0" w:color="auto"/>
            </w:tcBorders>
            <w:vAlign w:val="bottom"/>
          </w:tcPr>
          <w:p w14:paraId="54DB9C2C" w14:textId="3BFA2FC2"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w:t>
            </w:r>
            <w:r w:rsidR="009D10C1" w:rsidRPr="00D858C0">
              <w:rPr>
                <w:color w:val="000000"/>
              </w:rPr>
              <w:t>ft.</w:t>
            </w:r>
            <w:r w:rsidRPr="00D858C0">
              <w:rPr>
                <w:color w:val="000000"/>
              </w:rPr>
              <w:t>)</w:t>
            </w:r>
          </w:p>
        </w:tc>
        <w:tc>
          <w:tcPr>
            <w:tcW w:w="1080" w:type="dxa"/>
            <w:tcBorders>
              <w:top w:val="nil"/>
              <w:left w:val="single" w:sz="12" w:space="0" w:color="auto"/>
              <w:bottom w:val="single" w:sz="12" w:space="0" w:color="auto"/>
              <w:right w:val="single" w:sz="4" w:space="0" w:color="auto"/>
            </w:tcBorders>
            <w:vAlign w:val="bottom"/>
          </w:tcPr>
          <w:p w14:paraId="080330E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(m)</w:t>
            </w:r>
          </w:p>
        </w:tc>
        <w:tc>
          <w:tcPr>
            <w:tcW w:w="1275" w:type="dxa"/>
            <w:tcBorders>
              <w:top w:val="nil"/>
              <w:left w:val="single" w:sz="4" w:space="0" w:color="auto"/>
              <w:bottom w:val="single" w:sz="12" w:space="0" w:color="auto"/>
              <w:right w:val="single" w:sz="12" w:space="0" w:color="auto"/>
            </w:tcBorders>
            <w:vAlign w:val="bottom"/>
          </w:tcPr>
          <w:p w14:paraId="7D78F858" w14:textId="3FD7172F"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w:t>
            </w:r>
            <w:r w:rsidR="009D10C1" w:rsidRPr="00D858C0">
              <w:rPr>
                <w:color w:val="000000"/>
              </w:rPr>
              <w:t>ft.</w:t>
            </w:r>
            <w:r w:rsidRPr="00D858C0">
              <w:rPr>
                <w:color w:val="000000"/>
              </w:rPr>
              <w:t>)</w:t>
            </w:r>
          </w:p>
        </w:tc>
        <w:tc>
          <w:tcPr>
            <w:tcW w:w="990" w:type="dxa"/>
            <w:tcBorders>
              <w:top w:val="nil"/>
              <w:left w:val="single" w:sz="12" w:space="0" w:color="auto"/>
              <w:bottom w:val="single" w:sz="12" w:space="0" w:color="auto"/>
            </w:tcBorders>
            <w:vAlign w:val="bottom"/>
          </w:tcPr>
          <w:p w14:paraId="24DC38A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(m)</w:t>
            </w:r>
          </w:p>
        </w:tc>
        <w:tc>
          <w:tcPr>
            <w:tcW w:w="1065" w:type="dxa"/>
            <w:tcBorders>
              <w:top w:val="nil"/>
              <w:bottom w:val="single" w:sz="12" w:space="0" w:color="auto"/>
              <w:right w:val="single" w:sz="12" w:space="0" w:color="auto"/>
            </w:tcBorders>
            <w:vAlign w:val="bottom"/>
          </w:tcPr>
          <w:p w14:paraId="2F768C6E" w14:textId="2BF72FA9"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w:t>
            </w:r>
            <w:r w:rsidR="009D10C1" w:rsidRPr="00D858C0">
              <w:rPr>
                <w:color w:val="000000"/>
              </w:rPr>
              <w:t>ft.</w:t>
            </w:r>
            <w:r w:rsidRPr="00D858C0">
              <w:rPr>
                <w:color w:val="000000"/>
              </w:rPr>
              <w:t>)</w:t>
            </w:r>
          </w:p>
        </w:tc>
      </w:tr>
      <w:tr w:rsidR="001A2328" w:rsidRPr="00D858C0" w14:paraId="5949C954" w14:textId="77777777" w:rsidTr="0034587C">
        <w:tc>
          <w:tcPr>
            <w:tcW w:w="1269" w:type="dxa"/>
            <w:vMerge w:val="restart"/>
            <w:tcBorders>
              <w:top w:val="single" w:sz="12" w:space="0" w:color="auto"/>
              <w:left w:val="single" w:sz="12" w:space="0" w:color="auto"/>
              <w:right w:val="single" w:sz="12" w:space="0" w:color="auto"/>
            </w:tcBorders>
            <w:textDirection w:val="btLr"/>
            <w:vAlign w:val="center"/>
          </w:tcPr>
          <w:p w14:paraId="086C2A7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ind w:left="113" w:right="113"/>
              <w:jc w:val="center"/>
              <w:rPr>
                <w:color w:val="000000"/>
              </w:rPr>
            </w:pPr>
            <w:r w:rsidRPr="00D858C0">
              <w:rPr>
                <w:color w:val="000000"/>
              </w:rPr>
              <w:t>Electrical Enclosures</w:t>
            </w:r>
          </w:p>
        </w:tc>
        <w:tc>
          <w:tcPr>
            <w:tcW w:w="729" w:type="dxa"/>
            <w:tcBorders>
              <w:top w:val="single" w:sz="12" w:space="0" w:color="auto"/>
              <w:left w:val="single" w:sz="12" w:space="0" w:color="auto"/>
              <w:right w:val="single" w:sz="12" w:space="0" w:color="auto"/>
            </w:tcBorders>
            <w:vAlign w:val="bottom"/>
          </w:tcPr>
          <w:p w14:paraId="38A6C95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15</w:t>
            </w:r>
          </w:p>
        </w:tc>
        <w:tc>
          <w:tcPr>
            <w:tcW w:w="1062" w:type="dxa"/>
            <w:tcBorders>
              <w:top w:val="single" w:sz="12" w:space="0" w:color="auto"/>
              <w:left w:val="single" w:sz="12" w:space="0" w:color="auto"/>
            </w:tcBorders>
            <w:vAlign w:val="bottom"/>
          </w:tcPr>
          <w:p w14:paraId="7185DBF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0.07</w:t>
            </w:r>
          </w:p>
        </w:tc>
        <w:tc>
          <w:tcPr>
            <w:tcW w:w="990" w:type="dxa"/>
            <w:tcBorders>
              <w:top w:val="single" w:sz="12" w:space="0" w:color="auto"/>
              <w:right w:val="single" w:sz="12" w:space="0" w:color="auto"/>
            </w:tcBorders>
            <w:vAlign w:val="bottom"/>
          </w:tcPr>
          <w:p w14:paraId="3754DE7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0.24</w:t>
            </w:r>
          </w:p>
        </w:tc>
        <w:tc>
          <w:tcPr>
            <w:tcW w:w="1080" w:type="dxa"/>
            <w:tcBorders>
              <w:top w:val="single" w:sz="12" w:space="0" w:color="auto"/>
              <w:left w:val="single" w:sz="12" w:space="0" w:color="auto"/>
              <w:right w:val="single" w:sz="4" w:space="0" w:color="auto"/>
            </w:tcBorders>
            <w:vAlign w:val="bottom"/>
          </w:tcPr>
          <w:p w14:paraId="4DE72A3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0.34</w:t>
            </w:r>
          </w:p>
        </w:tc>
        <w:tc>
          <w:tcPr>
            <w:tcW w:w="1275" w:type="dxa"/>
            <w:tcBorders>
              <w:top w:val="single" w:sz="12" w:space="0" w:color="auto"/>
              <w:left w:val="single" w:sz="4" w:space="0" w:color="auto"/>
              <w:right w:val="single" w:sz="12" w:space="0" w:color="auto"/>
            </w:tcBorders>
            <w:vAlign w:val="bottom"/>
          </w:tcPr>
          <w:p w14:paraId="384B2F3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1.11</w:t>
            </w:r>
          </w:p>
        </w:tc>
        <w:tc>
          <w:tcPr>
            <w:tcW w:w="990" w:type="dxa"/>
            <w:tcBorders>
              <w:top w:val="single" w:sz="12" w:space="0" w:color="auto"/>
              <w:left w:val="single" w:sz="12" w:space="0" w:color="auto"/>
            </w:tcBorders>
            <w:vAlign w:val="bottom"/>
          </w:tcPr>
          <w:p w14:paraId="375E088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0.18</w:t>
            </w:r>
          </w:p>
        </w:tc>
        <w:tc>
          <w:tcPr>
            <w:tcW w:w="1065" w:type="dxa"/>
            <w:tcBorders>
              <w:top w:val="single" w:sz="12" w:space="0" w:color="auto"/>
              <w:right w:val="single" w:sz="12" w:space="0" w:color="auto"/>
            </w:tcBorders>
            <w:vAlign w:val="bottom"/>
          </w:tcPr>
          <w:p w14:paraId="2D7AC0F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0.59</w:t>
            </w:r>
          </w:p>
        </w:tc>
      </w:tr>
      <w:tr w:rsidR="001A2328" w:rsidRPr="00D858C0" w14:paraId="3D307AF6" w14:textId="77777777" w:rsidTr="0034587C">
        <w:tc>
          <w:tcPr>
            <w:tcW w:w="1269" w:type="dxa"/>
            <w:vMerge/>
            <w:tcBorders>
              <w:left w:val="single" w:sz="12" w:space="0" w:color="auto"/>
              <w:right w:val="single" w:sz="12" w:space="0" w:color="auto"/>
            </w:tcBorders>
          </w:tcPr>
          <w:p w14:paraId="7EBD702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729" w:type="dxa"/>
            <w:tcBorders>
              <w:left w:val="single" w:sz="12" w:space="0" w:color="auto"/>
              <w:right w:val="single" w:sz="12" w:space="0" w:color="auto"/>
            </w:tcBorders>
            <w:vAlign w:val="bottom"/>
          </w:tcPr>
          <w:p w14:paraId="44859EA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45</w:t>
            </w:r>
          </w:p>
        </w:tc>
        <w:tc>
          <w:tcPr>
            <w:tcW w:w="1062" w:type="dxa"/>
            <w:tcBorders>
              <w:left w:val="single" w:sz="12" w:space="0" w:color="auto"/>
            </w:tcBorders>
            <w:vAlign w:val="bottom"/>
          </w:tcPr>
          <w:p w14:paraId="552455F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0.11</w:t>
            </w:r>
          </w:p>
        </w:tc>
        <w:tc>
          <w:tcPr>
            <w:tcW w:w="990" w:type="dxa"/>
            <w:tcBorders>
              <w:right w:val="single" w:sz="12" w:space="0" w:color="auto"/>
            </w:tcBorders>
            <w:vAlign w:val="bottom"/>
          </w:tcPr>
          <w:p w14:paraId="6E01E04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0.38</w:t>
            </w:r>
          </w:p>
        </w:tc>
        <w:tc>
          <w:tcPr>
            <w:tcW w:w="1080" w:type="dxa"/>
            <w:tcBorders>
              <w:left w:val="single" w:sz="12" w:space="0" w:color="auto"/>
              <w:right w:val="single" w:sz="4" w:space="0" w:color="auto"/>
            </w:tcBorders>
            <w:vAlign w:val="bottom"/>
          </w:tcPr>
          <w:p w14:paraId="5905186B"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0.53</w:t>
            </w:r>
          </w:p>
        </w:tc>
        <w:tc>
          <w:tcPr>
            <w:tcW w:w="1275" w:type="dxa"/>
            <w:tcBorders>
              <w:left w:val="single" w:sz="4" w:space="0" w:color="auto"/>
              <w:right w:val="single" w:sz="12" w:space="0" w:color="auto"/>
            </w:tcBorders>
            <w:vAlign w:val="bottom"/>
          </w:tcPr>
          <w:p w14:paraId="3386B5F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1.73</w:t>
            </w:r>
          </w:p>
        </w:tc>
        <w:tc>
          <w:tcPr>
            <w:tcW w:w="990" w:type="dxa"/>
            <w:tcBorders>
              <w:left w:val="single" w:sz="12" w:space="0" w:color="auto"/>
            </w:tcBorders>
            <w:vAlign w:val="bottom"/>
          </w:tcPr>
          <w:p w14:paraId="52005AB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0.28</w:t>
            </w:r>
          </w:p>
        </w:tc>
        <w:tc>
          <w:tcPr>
            <w:tcW w:w="1065" w:type="dxa"/>
            <w:tcBorders>
              <w:right w:val="single" w:sz="12" w:space="0" w:color="auto"/>
            </w:tcBorders>
            <w:vAlign w:val="bottom"/>
          </w:tcPr>
          <w:p w14:paraId="72A4F3F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0.91</w:t>
            </w:r>
          </w:p>
        </w:tc>
      </w:tr>
      <w:tr w:rsidR="001A2328" w:rsidRPr="00D858C0" w14:paraId="2713B010" w14:textId="77777777" w:rsidTr="0034587C">
        <w:tc>
          <w:tcPr>
            <w:tcW w:w="1269" w:type="dxa"/>
            <w:vMerge/>
            <w:tcBorders>
              <w:left w:val="single" w:sz="12" w:space="0" w:color="auto"/>
              <w:right w:val="single" w:sz="12" w:space="0" w:color="auto"/>
            </w:tcBorders>
          </w:tcPr>
          <w:p w14:paraId="07EA119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729" w:type="dxa"/>
            <w:tcBorders>
              <w:left w:val="single" w:sz="12" w:space="0" w:color="auto"/>
              <w:right w:val="single" w:sz="12" w:space="0" w:color="auto"/>
            </w:tcBorders>
            <w:vAlign w:val="bottom"/>
          </w:tcPr>
          <w:p w14:paraId="39B1F97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130</w:t>
            </w:r>
          </w:p>
        </w:tc>
        <w:tc>
          <w:tcPr>
            <w:tcW w:w="1062" w:type="dxa"/>
            <w:tcBorders>
              <w:left w:val="single" w:sz="12" w:space="0" w:color="auto"/>
            </w:tcBorders>
            <w:vAlign w:val="bottom"/>
          </w:tcPr>
          <w:p w14:paraId="7BBB3C3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0.18</w:t>
            </w:r>
          </w:p>
        </w:tc>
        <w:tc>
          <w:tcPr>
            <w:tcW w:w="990" w:type="dxa"/>
            <w:tcBorders>
              <w:right w:val="single" w:sz="12" w:space="0" w:color="auto"/>
            </w:tcBorders>
            <w:vAlign w:val="bottom"/>
          </w:tcPr>
          <w:p w14:paraId="5902E85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0.57</w:t>
            </w:r>
          </w:p>
        </w:tc>
        <w:tc>
          <w:tcPr>
            <w:tcW w:w="1080" w:type="dxa"/>
            <w:tcBorders>
              <w:left w:val="single" w:sz="12" w:space="0" w:color="auto"/>
              <w:right w:val="single" w:sz="4" w:space="0" w:color="auto"/>
            </w:tcBorders>
            <w:vAlign w:val="bottom"/>
          </w:tcPr>
          <w:p w14:paraId="5F985F4B"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0.81</w:t>
            </w:r>
          </w:p>
        </w:tc>
        <w:tc>
          <w:tcPr>
            <w:tcW w:w="1275" w:type="dxa"/>
            <w:tcBorders>
              <w:left w:val="single" w:sz="4" w:space="0" w:color="auto"/>
              <w:right w:val="single" w:sz="12" w:space="0" w:color="auto"/>
            </w:tcBorders>
            <w:vAlign w:val="bottom"/>
          </w:tcPr>
          <w:p w14:paraId="738CAC9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2.64</w:t>
            </w:r>
          </w:p>
        </w:tc>
        <w:tc>
          <w:tcPr>
            <w:tcW w:w="990" w:type="dxa"/>
            <w:tcBorders>
              <w:left w:val="single" w:sz="12" w:space="0" w:color="auto"/>
            </w:tcBorders>
            <w:vAlign w:val="bottom"/>
          </w:tcPr>
          <w:p w14:paraId="76C60FB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0.42</w:t>
            </w:r>
          </w:p>
        </w:tc>
        <w:tc>
          <w:tcPr>
            <w:tcW w:w="1065" w:type="dxa"/>
            <w:tcBorders>
              <w:right w:val="single" w:sz="12" w:space="0" w:color="auto"/>
            </w:tcBorders>
            <w:vAlign w:val="bottom"/>
          </w:tcPr>
          <w:p w14:paraId="2755F13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1.39</w:t>
            </w:r>
          </w:p>
        </w:tc>
      </w:tr>
      <w:tr w:rsidR="001A2328" w:rsidRPr="00D858C0" w14:paraId="63E24E86" w14:textId="77777777" w:rsidTr="0034587C">
        <w:tc>
          <w:tcPr>
            <w:tcW w:w="1269" w:type="dxa"/>
            <w:vMerge/>
            <w:tcBorders>
              <w:left w:val="single" w:sz="12" w:space="0" w:color="auto"/>
              <w:right w:val="single" w:sz="12" w:space="0" w:color="auto"/>
            </w:tcBorders>
          </w:tcPr>
          <w:p w14:paraId="39560A9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729" w:type="dxa"/>
            <w:tcBorders>
              <w:left w:val="single" w:sz="12" w:space="0" w:color="auto"/>
              <w:right w:val="single" w:sz="12" w:space="0" w:color="auto"/>
            </w:tcBorders>
            <w:vAlign w:val="bottom"/>
          </w:tcPr>
          <w:p w14:paraId="34E00B5B"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170</w:t>
            </w:r>
          </w:p>
        </w:tc>
        <w:tc>
          <w:tcPr>
            <w:tcW w:w="1062" w:type="dxa"/>
            <w:tcBorders>
              <w:left w:val="single" w:sz="12" w:space="0" w:color="auto"/>
            </w:tcBorders>
            <w:vAlign w:val="bottom"/>
          </w:tcPr>
          <w:p w14:paraId="1220821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0.19</w:t>
            </w:r>
          </w:p>
        </w:tc>
        <w:tc>
          <w:tcPr>
            <w:tcW w:w="990" w:type="dxa"/>
            <w:tcBorders>
              <w:right w:val="single" w:sz="12" w:space="0" w:color="auto"/>
            </w:tcBorders>
            <w:vAlign w:val="bottom"/>
          </w:tcPr>
          <w:p w14:paraId="042C8D7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0.64</w:t>
            </w:r>
          </w:p>
        </w:tc>
        <w:tc>
          <w:tcPr>
            <w:tcW w:w="1080" w:type="dxa"/>
            <w:tcBorders>
              <w:left w:val="single" w:sz="12" w:space="0" w:color="auto"/>
              <w:right w:val="single" w:sz="4" w:space="0" w:color="auto"/>
            </w:tcBorders>
            <w:vAlign w:val="bottom"/>
          </w:tcPr>
          <w:p w14:paraId="3C3CF76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0.90</w:t>
            </w:r>
          </w:p>
        </w:tc>
        <w:tc>
          <w:tcPr>
            <w:tcW w:w="1275" w:type="dxa"/>
            <w:tcBorders>
              <w:left w:val="single" w:sz="4" w:space="0" w:color="auto"/>
              <w:right w:val="single" w:sz="12" w:space="0" w:color="auto"/>
            </w:tcBorders>
            <w:vAlign w:val="bottom"/>
          </w:tcPr>
          <w:p w14:paraId="09EB57E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2.94</w:t>
            </w:r>
          </w:p>
        </w:tc>
        <w:tc>
          <w:tcPr>
            <w:tcW w:w="990" w:type="dxa"/>
            <w:tcBorders>
              <w:left w:val="single" w:sz="12" w:space="0" w:color="auto"/>
            </w:tcBorders>
            <w:vAlign w:val="bottom"/>
          </w:tcPr>
          <w:p w14:paraId="2498D31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0.47</w:t>
            </w:r>
          </w:p>
        </w:tc>
        <w:tc>
          <w:tcPr>
            <w:tcW w:w="1065" w:type="dxa"/>
            <w:tcBorders>
              <w:right w:val="single" w:sz="12" w:space="0" w:color="auto"/>
            </w:tcBorders>
            <w:vAlign w:val="bottom"/>
          </w:tcPr>
          <w:p w14:paraId="15E7422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1.55</w:t>
            </w:r>
          </w:p>
        </w:tc>
      </w:tr>
      <w:tr w:rsidR="001A2328" w:rsidRPr="00D858C0" w14:paraId="10777521" w14:textId="77777777" w:rsidTr="0034587C">
        <w:tc>
          <w:tcPr>
            <w:tcW w:w="1269" w:type="dxa"/>
            <w:vMerge/>
            <w:tcBorders>
              <w:left w:val="single" w:sz="12" w:space="0" w:color="auto"/>
              <w:right w:val="single" w:sz="12" w:space="0" w:color="auto"/>
            </w:tcBorders>
          </w:tcPr>
          <w:p w14:paraId="7BEB61E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729" w:type="dxa"/>
            <w:tcBorders>
              <w:left w:val="single" w:sz="12" w:space="0" w:color="auto"/>
              <w:right w:val="single" w:sz="12" w:space="0" w:color="auto"/>
            </w:tcBorders>
            <w:vAlign w:val="bottom"/>
          </w:tcPr>
          <w:p w14:paraId="1017414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200</w:t>
            </w:r>
          </w:p>
        </w:tc>
        <w:tc>
          <w:tcPr>
            <w:tcW w:w="1062" w:type="dxa"/>
            <w:tcBorders>
              <w:left w:val="single" w:sz="12" w:space="0" w:color="auto"/>
            </w:tcBorders>
            <w:vAlign w:val="bottom"/>
          </w:tcPr>
          <w:p w14:paraId="6730AF9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0.21</w:t>
            </w:r>
          </w:p>
        </w:tc>
        <w:tc>
          <w:tcPr>
            <w:tcW w:w="990" w:type="dxa"/>
            <w:tcBorders>
              <w:right w:val="single" w:sz="12" w:space="0" w:color="auto"/>
            </w:tcBorders>
            <w:vAlign w:val="bottom"/>
          </w:tcPr>
          <w:p w14:paraId="51CD096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0.68</w:t>
            </w:r>
          </w:p>
        </w:tc>
        <w:tc>
          <w:tcPr>
            <w:tcW w:w="1080" w:type="dxa"/>
            <w:tcBorders>
              <w:left w:val="single" w:sz="12" w:space="0" w:color="auto"/>
              <w:right w:val="single" w:sz="4" w:space="0" w:color="auto"/>
            </w:tcBorders>
            <w:vAlign w:val="bottom"/>
          </w:tcPr>
          <w:p w14:paraId="41EF5EB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0.96</w:t>
            </w:r>
          </w:p>
        </w:tc>
        <w:tc>
          <w:tcPr>
            <w:tcW w:w="1275" w:type="dxa"/>
            <w:tcBorders>
              <w:left w:val="single" w:sz="4" w:space="0" w:color="auto"/>
              <w:right w:val="single" w:sz="12" w:space="0" w:color="auto"/>
            </w:tcBorders>
            <w:vAlign w:val="bottom"/>
          </w:tcPr>
          <w:p w14:paraId="171123D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3.14</w:t>
            </w:r>
          </w:p>
        </w:tc>
        <w:tc>
          <w:tcPr>
            <w:tcW w:w="990" w:type="dxa"/>
            <w:tcBorders>
              <w:left w:val="single" w:sz="12" w:space="0" w:color="auto"/>
            </w:tcBorders>
            <w:vAlign w:val="bottom"/>
          </w:tcPr>
          <w:p w14:paraId="0799B48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0.50</w:t>
            </w:r>
          </w:p>
        </w:tc>
        <w:tc>
          <w:tcPr>
            <w:tcW w:w="1065" w:type="dxa"/>
            <w:tcBorders>
              <w:right w:val="single" w:sz="12" w:space="0" w:color="auto"/>
            </w:tcBorders>
            <w:vAlign w:val="bottom"/>
          </w:tcPr>
          <w:p w14:paraId="2EAF26F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1.65</w:t>
            </w:r>
          </w:p>
        </w:tc>
      </w:tr>
      <w:tr w:rsidR="001A2328" w:rsidRPr="00D858C0" w14:paraId="191BE7A2" w14:textId="77777777" w:rsidTr="0034587C">
        <w:tc>
          <w:tcPr>
            <w:tcW w:w="1269" w:type="dxa"/>
            <w:vMerge/>
            <w:tcBorders>
              <w:left w:val="single" w:sz="12" w:space="0" w:color="auto"/>
              <w:right w:val="single" w:sz="12" w:space="0" w:color="auto"/>
            </w:tcBorders>
          </w:tcPr>
          <w:p w14:paraId="51D535D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729" w:type="dxa"/>
            <w:tcBorders>
              <w:left w:val="single" w:sz="12" w:space="0" w:color="auto"/>
              <w:right w:val="single" w:sz="12" w:space="0" w:color="auto"/>
            </w:tcBorders>
            <w:vAlign w:val="bottom"/>
          </w:tcPr>
          <w:p w14:paraId="7B7EBA6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325</w:t>
            </w:r>
          </w:p>
        </w:tc>
        <w:tc>
          <w:tcPr>
            <w:tcW w:w="1062" w:type="dxa"/>
            <w:tcBorders>
              <w:left w:val="single" w:sz="12" w:space="0" w:color="auto"/>
            </w:tcBorders>
            <w:vAlign w:val="bottom"/>
          </w:tcPr>
          <w:p w14:paraId="47C166E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0.25</w:t>
            </w:r>
          </w:p>
        </w:tc>
        <w:tc>
          <w:tcPr>
            <w:tcW w:w="990" w:type="dxa"/>
            <w:tcBorders>
              <w:right w:val="single" w:sz="12" w:space="0" w:color="auto"/>
            </w:tcBorders>
            <w:vAlign w:val="bottom"/>
          </w:tcPr>
          <w:p w14:paraId="61952DA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0.83</w:t>
            </w:r>
          </w:p>
        </w:tc>
        <w:tc>
          <w:tcPr>
            <w:tcW w:w="1080" w:type="dxa"/>
            <w:tcBorders>
              <w:left w:val="single" w:sz="12" w:space="0" w:color="auto"/>
              <w:right w:val="single" w:sz="4" w:space="0" w:color="auto"/>
            </w:tcBorders>
            <w:vAlign w:val="bottom"/>
          </w:tcPr>
          <w:p w14:paraId="3304CD3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1.16</w:t>
            </w:r>
          </w:p>
        </w:tc>
        <w:tc>
          <w:tcPr>
            <w:tcW w:w="1275" w:type="dxa"/>
            <w:tcBorders>
              <w:left w:val="single" w:sz="4" w:space="0" w:color="auto"/>
              <w:right w:val="single" w:sz="12" w:space="0" w:color="auto"/>
            </w:tcBorders>
            <w:vAlign w:val="bottom"/>
          </w:tcPr>
          <w:p w14:paraId="5A425CC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3.82</w:t>
            </w:r>
          </w:p>
        </w:tc>
        <w:tc>
          <w:tcPr>
            <w:tcW w:w="990" w:type="dxa"/>
            <w:tcBorders>
              <w:left w:val="single" w:sz="12" w:space="0" w:color="auto"/>
            </w:tcBorders>
            <w:vAlign w:val="bottom"/>
          </w:tcPr>
          <w:p w14:paraId="3EEDF9F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0.61</w:t>
            </w:r>
          </w:p>
        </w:tc>
        <w:tc>
          <w:tcPr>
            <w:tcW w:w="1065" w:type="dxa"/>
            <w:tcBorders>
              <w:right w:val="single" w:sz="12" w:space="0" w:color="auto"/>
            </w:tcBorders>
            <w:vAlign w:val="bottom"/>
          </w:tcPr>
          <w:p w14:paraId="4A9A362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2.00</w:t>
            </w:r>
          </w:p>
        </w:tc>
      </w:tr>
      <w:tr w:rsidR="001A2328" w:rsidRPr="00D858C0" w14:paraId="0504F369" w14:textId="77777777" w:rsidTr="0034587C">
        <w:tc>
          <w:tcPr>
            <w:tcW w:w="1269" w:type="dxa"/>
            <w:vMerge/>
            <w:tcBorders>
              <w:left w:val="single" w:sz="12" w:space="0" w:color="auto"/>
              <w:right w:val="single" w:sz="12" w:space="0" w:color="auto"/>
            </w:tcBorders>
          </w:tcPr>
          <w:p w14:paraId="5E92028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729" w:type="dxa"/>
            <w:tcBorders>
              <w:left w:val="single" w:sz="12" w:space="0" w:color="auto"/>
              <w:right w:val="single" w:sz="12" w:space="0" w:color="auto"/>
            </w:tcBorders>
            <w:vAlign w:val="bottom"/>
          </w:tcPr>
          <w:p w14:paraId="2278A6C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400</w:t>
            </w:r>
          </w:p>
        </w:tc>
        <w:tc>
          <w:tcPr>
            <w:tcW w:w="1062" w:type="dxa"/>
            <w:tcBorders>
              <w:left w:val="single" w:sz="12" w:space="0" w:color="auto"/>
            </w:tcBorders>
            <w:vAlign w:val="bottom"/>
          </w:tcPr>
          <w:p w14:paraId="09A1F13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0.27</w:t>
            </w:r>
          </w:p>
        </w:tc>
        <w:tc>
          <w:tcPr>
            <w:tcW w:w="990" w:type="dxa"/>
            <w:tcBorders>
              <w:right w:val="single" w:sz="12" w:space="0" w:color="auto"/>
            </w:tcBorders>
            <w:vAlign w:val="bottom"/>
          </w:tcPr>
          <w:p w14:paraId="24AE8552"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0.90</w:t>
            </w:r>
          </w:p>
        </w:tc>
        <w:tc>
          <w:tcPr>
            <w:tcW w:w="1080" w:type="dxa"/>
            <w:tcBorders>
              <w:left w:val="single" w:sz="12" w:space="0" w:color="auto"/>
              <w:right w:val="single" w:sz="4" w:space="0" w:color="auto"/>
            </w:tcBorders>
            <w:vAlign w:val="bottom"/>
          </w:tcPr>
          <w:p w14:paraId="563D6E2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1.26</w:t>
            </w:r>
          </w:p>
        </w:tc>
        <w:tc>
          <w:tcPr>
            <w:tcW w:w="1275" w:type="dxa"/>
            <w:tcBorders>
              <w:left w:val="single" w:sz="4" w:space="0" w:color="auto"/>
              <w:right w:val="single" w:sz="12" w:space="0" w:color="auto"/>
            </w:tcBorders>
            <w:vAlign w:val="bottom"/>
          </w:tcPr>
          <w:p w14:paraId="0DB8E14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4.15</w:t>
            </w:r>
          </w:p>
        </w:tc>
        <w:tc>
          <w:tcPr>
            <w:tcW w:w="990" w:type="dxa"/>
            <w:tcBorders>
              <w:left w:val="single" w:sz="12" w:space="0" w:color="auto"/>
            </w:tcBorders>
            <w:vAlign w:val="bottom"/>
          </w:tcPr>
          <w:p w14:paraId="08A769B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0.66</w:t>
            </w:r>
          </w:p>
        </w:tc>
        <w:tc>
          <w:tcPr>
            <w:tcW w:w="1065" w:type="dxa"/>
            <w:tcBorders>
              <w:right w:val="single" w:sz="12" w:space="0" w:color="auto"/>
            </w:tcBorders>
            <w:vAlign w:val="bottom"/>
          </w:tcPr>
          <w:p w14:paraId="198E594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2.18</w:t>
            </w:r>
          </w:p>
        </w:tc>
      </w:tr>
      <w:tr w:rsidR="001A2328" w:rsidRPr="00D858C0" w14:paraId="5582AE02" w14:textId="77777777" w:rsidTr="0034587C">
        <w:tc>
          <w:tcPr>
            <w:tcW w:w="1269" w:type="dxa"/>
            <w:vMerge/>
            <w:tcBorders>
              <w:left w:val="single" w:sz="12" w:space="0" w:color="auto"/>
              <w:right w:val="single" w:sz="12" w:space="0" w:color="auto"/>
            </w:tcBorders>
          </w:tcPr>
          <w:p w14:paraId="29FAB01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729" w:type="dxa"/>
            <w:tcBorders>
              <w:left w:val="single" w:sz="12" w:space="0" w:color="auto"/>
              <w:right w:val="single" w:sz="12" w:space="0" w:color="auto"/>
            </w:tcBorders>
            <w:vAlign w:val="bottom"/>
          </w:tcPr>
          <w:p w14:paraId="1142AEB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700</w:t>
            </w:r>
          </w:p>
        </w:tc>
        <w:tc>
          <w:tcPr>
            <w:tcW w:w="1062" w:type="dxa"/>
            <w:tcBorders>
              <w:left w:val="single" w:sz="12" w:space="0" w:color="auto"/>
            </w:tcBorders>
            <w:vAlign w:val="bottom"/>
          </w:tcPr>
          <w:p w14:paraId="4634563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0.34</w:t>
            </w:r>
          </w:p>
        </w:tc>
        <w:tc>
          <w:tcPr>
            <w:tcW w:w="990" w:type="dxa"/>
            <w:tcBorders>
              <w:right w:val="single" w:sz="12" w:space="0" w:color="auto"/>
            </w:tcBorders>
            <w:vAlign w:val="bottom"/>
          </w:tcPr>
          <w:p w14:paraId="60DCC31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1.13</w:t>
            </w:r>
          </w:p>
        </w:tc>
        <w:tc>
          <w:tcPr>
            <w:tcW w:w="1080" w:type="dxa"/>
            <w:tcBorders>
              <w:left w:val="single" w:sz="12" w:space="0" w:color="auto"/>
              <w:right w:val="single" w:sz="4" w:space="0" w:color="auto"/>
            </w:tcBorders>
            <w:vAlign w:val="bottom"/>
          </w:tcPr>
          <w:p w14:paraId="10342E6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1.58</w:t>
            </w:r>
          </w:p>
        </w:tc>
        <w:tc>
          <w:tcPr>
            <w:tcW w:w="1275" w:type="dxa"/>
            <w:tcBorders>
              <w:left w:val="single" w:sz="4" w:space="0" w:color="auto"/>
              <w:right w:val="single" w:sz="12" w:space="0" w:color="auto"/>
            </w:tcBorders>
            <w:vAlign w:val="bottom"/>
          </w:tcPr>
          <w:p w14:paraId="3CE50D5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5.19</w:t>
            </w:r>
          </w:p>
        </w:tc>
        <w:tc>
          <w:tcPr>
            <w:tcW w:w="990" w:type="dxa"/>
            <w:tcBorders>
              <w:left w:val="single" w:sz="12" w:space="0" w:color="auto"/>
            </w:tcBorders>
            <w:vAlign w:val="bottom"/>
          </w:tcPr>
          <w:p w14:paraId="3A3DC05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0.83</w:t>
            </w:r>
          </w:p>
        </w:tc>
        <w:tc>
          <w:tcPr>
            <w:tcW w:w="1065" w:type="dxa"/>
            <w:tcBorders>
              <w:right w:val="single" w:sz="12" w:space="0" w:color="auto"/>
            </w:tcBorders>
            <w:vAlign w:val="bottom"/>
          </w:tcPr>
          <w:p w14:paraId="6E08752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2.72</w:t>
            </w:r>
          </w:p>
        </w:tc>
      </w:tr>
      <w:tr w:rsidR="001A2328" w:rsidRPr="00D858C0" w14:paraId="190EACCD" w14:textId="77777777" w:rsidTr="0034587C">
        <w:tc>
          <w:tcPr>
            <w:tcW w:w="1269" w:type="dxa"/>
            <w:vMerge/>
            <w:tcBorders>
              <w:left w:val="single" w:sz="12" w:space="0" w:color="auto"/>
              <w:bottom w:val="single" w:sz="12" w:space="0" w:color="auto"/>
              <w:right w:val="single" w:sz="12" w:space="0" w:color="auto"/>
            </w:tcBorders>
          </w:tcPr>
          <w:p w14:paraId="115A6AF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729" w:type="dxa"/>
            <w:tcBorders>
              <w:left w:val="single" w:sz="12" w:space="0" w:color="auto"/>
              <w:bottom w:val="single" w:sz="12" w:space="0" w:color="auto"/>
              <w:right w:val="single" w:sz="12" w:space="0" w:color="auto"/>
            </w:tcBorders>
            <w:vAlign w:val="bottom"/>
          </w:tcPr>
          <w:p w14:paraId="54C5DF8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1000</w:t>
            </w:r>
          </w:p>
        </w:tc>
        <w:tc>
          <w:tcPr>
            <w:tcW w:w="1062" w:type="dxa"/>
            <w:tcBorders>
              <w:left w:val="single" w:sz="12" w:space="0" w:color="auto"/>
              <w:bottom w:val="single" w:sz="12" w:space="0" w:color="auto"/>
            </w:tcBorders>
            <w:vAlign w:val="bottom"/>
          </w:tcPr>
          <w:p w14:paraId="461CB2BB"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0.40</w:t>
            </w:r>
          </w:p>
        </w:tc>
        <w:tc>
          <w:tcPr>
            <w:tcW w:w="990" w:type="dxa"/>
            <w:tcBorders>
              <w:bottom w:val="single" w:sz="12" w:space="0" w:color="auto"/>
              <w:right w:val="single" w:sz="12" w:space="0" w:color="auto"/>
            </w:tcBorders>
            <w:vAlign w:val="bottom"/>
          </w:tcPr>
          <w:p w14:paraId="5601795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1.30</w:t>
            </w:r>
          </w:p>
        </w:tc>
        <w:tc>
          <w:tcPr>
            <w:tcW w:w="1080" w:type="dxa"/>
            <w:tcBorders>
              <w:left w:val="single" w:sz="12" w:space="0" w:color="auto"/>
              <w:bottom w:val="single" w:sz="12" w:space="0" w:color="auto"/>
              <w:right w:val="single" w:sz="4" w:space="0" w:color="auto"/>
            </w:tcBorders>
            <w:vAlign w:val="bottom"/>
          </w:tcPr>
          <w:p w14:paraId="1199BEE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1.82</w:t>
            </w:r>
          </w:p>
        </w:tc>
        <w:tc>
          <w:tcPr>
            <w:tcW w:w="1275" w:type="dxa"/>
            <w:tcBorders>
              <w:left w:val="single" w:sz="4" w:space="0" w:color="auto"/>
              <w:bottom w:val="single" w:sz="12" w:space="0" w:color="auto"/>
              <w:right w:val="single" w:sz="12" w:space="0" w:color="auto"/>
            </w:tcBorders>
            <w:vAlign w:val="bottom"/>
          </w:tcPr>
          <w:p w14:paraId="523E514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5.98</w:t>
            </w:r>
          </w:p>
        </w:tc>
        <w:tc>
          <w:tcPr>
            <w:tcW w:w="990" w:type="dxa"/>
            <w:tcBorders>
              <w:left w:val="single" w:sz="12" w:space="0" w:color="auto"/>
              <w:bottom w:val="single" w:sz="12" w:space="0" w:color="auto"/>
            </w:tcBorders>
            <w:vAlign w:val="bottom"/>
          </w:tcPr>
          <w:p w14:paraId="3BC1001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0.96</w:t>
            </w:r>
          </w:p>
        </w:tc>
        <w:tc>
          <w:tcPr>
            <w:tcW w:w="1065" w:type="dxa"/>
            <w:tcBorders>
              <w:bottom w:val="single" w:sz="12" w:space="0" w:color="auto"/>
              <w:right w:val="single" w:sz="12" w:space="0" w:color="auto"/>
            </w:tcBorders>
            <w:vAlign w:val="bottom"/>
          </w:tcPr>
          <w:p w14:paraId="762C358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3.14</w:t>
            </w:r>
          </w:p>
        </w:tc>
      </w:tr>
      <w:tr w:rsidR="001A2328" w:rsidRPr="00D858C0" w14:paraId="4A3594F4" w14:textId="77777777" w:rsidTr="0034587C">
        <w:tc>
          <w:tcPr>
            <w:tcW w:w="1269" w:type="dxa"/>
            <w:tcBorders>
              <w:top w:val="single" w:sz="12" w:space="0" w:color="auto"/>
              <w:left w:val="single" w:sz="12" w:space="0" w:color="auto"/>
              <w:right w:val="single" w:sz="12" w:space="0" w:color="auto"/>
            </w:tcBorders>
          </w:tcPr>
          <w:p w14:paraId="6307FAD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Motors</w:t>
            </w:r>
          </w:p>
        </w:tc>
        <w:tc>
          <w:tcPr>
            <w:tcW w:w="729" w:type="dxa"/>
            <w:tcBorders>
              <w:top w:val="single" w:sz="12" w:space="0" w:color="auto"/>
              <w:left w:val="single" w:sz="12" w:space="0" w:color="auto"/>
              <w:right w:val="single" w:sz="12" w:space="0" w:color="auto"/>
            </w:tcBorders>
            <w:vAlign w:val="bottom"/>
          </w:tcPr>
          <w:p w14:paraId="442E865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69</w:t>
            </w:r>
          </w:p>
        </w:tc>
        <w:tc>
          <w:tcPr>
            <w:tcW w:w="1062" w:type="dxa"/>
            <w:tcBorders>
              <w:top w:val="single" w:sz="12" w:space="0" w:color="auto"/>
              <w:left w:val="single" w:sz="12" w:space="0" w:color="auto"/>
            </w:tcBorders>
            <w:vAlign w:val="bottom"/>
          </w:tcPr>
          <w:p w14:paraId="47E54E1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0.14</w:t>
            </w:r>
          </w:p>
        </w:tc>
        <w:tc>
          <w:tcPr>
            <w:tcW w:w="990" w:type="dxa"/>
            <w:tcBorders>
              <w:top w:val="single" w:sz="12" w:space="0" w:color="auto"/>
              <w:right w:val="single" w:sz="12" w:space="0" w:color="auto"/>
            </w:tcBorders>
            <w:vAlign w:val="bottom"/>
          </w:tcPr>
          <w:p w14:paraId="42F28E72"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0.45</w:t>
            </w:r>
          </w:p>
        </w:tc>
        <w:tc>
          <w:tcPr>
            <w:tcW w:w="1080" w:type="dxa"/>
            <w:tcBorders>
              <w:top w:val="single" w:sz="12" w:space="0" w:color="auto"/>
              <w:left w:val="single" w:sz="12" w:space="0" w:color="auto"/>
              <w:right w:val="single" w:sz="4" w:space="0" w:color="auto"/>
            </w:tcBorders>
            <w:vAlign w:val="bottom"/>
          </w:tcPr>
          <w:p w14:paraId="6E4F7212"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0.63</w:t>
            </w:r>
          </w:p>
        </w:tc>
        <w:tc>
          <w:tcPr>
            <w:tcW w:w="1275" w:type="dxa"/>
            <w:tcBorders>
              <w:top w:val="single" w:sz="12" w:space="0" w:color="auto"/>
              <w:left w:val="single" w:sz="4" w:space="0" w:color="auto"/>
              <w:right w:val="single" w:sz="12" w:space="0" w:color="auto"/>
            </w:tcBorders>
            <w:vAlign w:val="bottom"/>
          </w:tcPr>
          <w:p w14:paraId="78D8016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2.05</w:t>
            </w:r>
          </w:p>
        </w:tc>
        <w:tc>
          <w:tcPr>
            <w:tcW w:w="990" w:type="dxa"/>
            <w:tcBorders>
              <w:top w:val="single" w:sz="12" w:space="0" w:color="auto"/>
              <w:left w:val="single" w:sz="12" w:space="0" w:color="auto"/>
            </w:tcBorders>
            <w:vAlign w:val="bottom"/>
          </w:tcPr>
          <w:p w14:paraId="11BA460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0.33</w:t>
            </w:r>
          </w:p>
        </w:tc>
        <w:tc>
          <w:tcPr>
            <w:tcW w:w="1065" w:type="dxa"/>
            <w:tcBorders>
              <w:top w:val="single" w:sz="12" w:space="0" w:color="auto"/>
              <w:right w:val="single" w:sz="12" w:space="0" w:color="auto"/>
            </w:tcBorders>
            <w:vAlign w:val="bottom"/>
          </w:tcPr>
          <w:p w14:paraId="321E29C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1.08</w:t>
            </w:r>
          </w:p>
        </w:tc>
      </w:tr>
      <w:tr w:rsidR="001A2328" w:rsidRPr="00D858C0" w14:paraId="79BC0C96" w14:textId="77777777" w:rsidTr="0034587C">
        <w:tc>
          <w:tcPr>
            <w:tcW w:w="1269" w:type="dxa"/>
            <w:tcBorders>
              <w:left w:val="single" w:sz="12" w:space="0" w:color="auto"/>
              <w:right w:val="single" w:sz="12" w:space="0" w:color="auto"/>
            </w:tcBorders>
          </w:tcPr>
          <w:p w14:paraId="04A0306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Pumps</w:t>
            </w:r>
          </w:p>
        </w:tc>
        <w:tc>
          <w:tcPr>
            <w:tcW w:w="729" w:type="dxa"/>
            <w:tcBorders>
              <w:left w:val="single" w:sz="12" w:space="0" w:color="auto"/>
              <w:right w:val="single" w:sz="12" w:space="0" w:color="auto"/>
            </w:tcBorders>
            <w:vAlign w:val="bottom"/>
          </w:tcPr>
          <w:p w14:paraId="106EB2F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211</w:t>
            </w:r>
          </w:p>
        </w:tc>
        <w:tc>
          <w:tcPr>
            <w:tcW w:w="1062" w:type="dxa"/>
            <w:tcBorders>
              <w:left w:val="single" w:sz="12" w:space="0" w:color="auto"/>
            </w:tcBorders>
            <w:vAlign w:val="bottom"/>
          </w:tcPr>
          <w:p w14:paraId="01D59B9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0.21</w:t>
            </w:r>
          </w:p>
        </w:tc>
        <w:tc>
          <w:tcPr>
            <w:tcW w:w="990" w:type="dxa"/>
            <w:tcBorders>
              <w:right w:val="single" w:sz="12" w:space="0" w:color="auto"/>
            </w:tcBorders>
            <w:vAlign w:val="bottom"/>
          </w:tcPr>
          <w:p w14:paraId="7ABF614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0.70</w:t>
            </w:r>
          </w:p>
        </w:tc>
        <w:tc>
          <w:tcPr>
            <w:tcW w:w="1080" w:type="dxa"/>
            <w:tcBorders>
              <w:left w:val="single" w:sz="12" w:space="0" w:color="auto"/>
              <w:right w:val="single" w:sz="4" w:space="0" w:color="auto"/>
            </w:tcBorders>
            <w:vAlign w:val="bottom"/>
          </w:tcPr>
          <w:p w14:paraId="1B039DB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0.98</w:t>
            </w:r>
          </w:p>
        </w:tc>
        <w:tc>
          <w:tcPr>
            <w:tcW w:w="1275" w:type="dxa"/>
            <w:tcBorders>
              <w:left w:val="single" w:sz="4" w:space="0" w:color="auto"/>
              <w:right w:val="single" w:sz="12" w:space="0" w:color="auto"/>
            </w:tcBorders>
            <w:vAlign w:val="bottom"/>
          </w:tcPr>
          <w:p w14:paraId="74C6337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3.21</w:t>
            </w:r>
          </w:p>
        </w:tc>
        <w:tc>
          <w:tcPr>
            <w:tcW w:w="990" w:type="dxa"/>
            <w:tcBorders>
              <w:left w:val="single" w:sz="12" w:space="0" w:color="auto"/>
            </w:tcBorders>
            <w:vAlign w:val="bottom"/>
          </w:tcPr>
          <w:p w14:paraId="72B07E9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0.51</w:t>
            </w:r>
          </w:p>
        </w:tc>
        <w:tc>
          <w:tcPr>
            <w:tcW w:w="1065" w:type="dxa"/>
            <w:tcBorders>
              <w:right w:val="single" w:sz="12" w:space="0" w:color="auto"/>
            </w:tcBorders>
            <w:vAlign w:val="bottom"/>
          </w:tcPr>
          <w:p w14:paraId="77F47F1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1.69</w:t>
            </w:r>
          </w:p>
        </w:tc>
      </w:tr>
      <w:tr w:rsidR="001A2328" w:rsidRPr="00D858C0" w14:paraId="5D51C13E" w14:textId="77777777" w:rsidTr="0034587C">
        <w:tc>
          <w:tcPr>
            <w:tcW w:w="1269" w:type="dxa"/>
            <w:tcBorders>
              <w:left w:val="single" w:sz="12" w:space="0" w:color="auto"/>
              <w:bottom w:val="single" w:sz="12" w:space="0" w:color="auto"/>
              <w:right w:val="single" w:sz="12" w:space="0" w:color="auto"/>
            </w:tcBorders>
          </w:tcPr>
          <w:p w14:paraId="3E3BCD1B"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Transients</w:t>
            </w:r>
          </w:p>
        </w:tc>
        <w:tc>
          <w:tcPr>
            <w:tcW w:w="729" w:type="dxa"/>
            <w:tcBorders>
              <w:left w:val="single" w:sz="12" w:space="0" w:color="auto"/>
              <w:bottom w:val="single" w:sz="12" w:space="0" w:color="auto"/>
              <w:right w:val="single" w:sz="12" w:space="0" w:color="auto"/>
            </w:tcBorders>
            <w:vAlign w:val="bottom"/>
          </w:tcPr>
          <w:p w14:paraId="17384CF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317</w:t>
            </w:r>
          </w:p>
        </w:tc>
        <w:tc>
          <w:tcPr>
            <w:tcW w:w="1062" w:type="dxa"/>
            <w:tcBorders>
              <w:left w:val="single" w:sz="12" w:space="0" w:color="auto"/>
              <w:bottom w:val="single" w:sz="12" w:space="0" w:color="auto"/>
            </w:tcBorders>
            <w:vAlign w:val="bottom"/>
          </w:tcPr>
          <w:p w14:paraId="65ED767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0.25</w:t>
            </w:r>
          </w:p>
        </w:tc>
        <w:tc>
          <w:tcPr>
            <w:tcW w:w="990" w:type="dxa"/>
            <w:tcBorders>
              <w:bottom w:val="single" w:sz="12" w:space="0" w:color="auto"/>
              <w:right w:val="single" w:sz="12" w:space="0" w:color="auto"/>
            </w:tcBorders>
            <w:vAlign w:val="bottom"/>
          </w:tcPr>
          <w:p w14:paraId="61E7CD0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0.82</w:t>
            </w:r>
          </w:p>
        </w:tc>
        <w:tc>
          <w:tcPr>
            <w:tcW w:w="1080" w:type="dxa"/>
            <w:tcBorders>
              <w:left w:val="single" w:sz="12" w:space="0" w:color="auto"/>
              <w:bottom w:val="single" w:sz="12" w:space="0" w:color="auto"/>
              <w:right w:val="single" w:sz="4" w:space="0" w:color="auto"/>
            </w:tcBorders>
            <w:vAlign w:val="bottom"/>
          </w:tcPr>
          <w:p w14:paraId="14B0D4F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1.15</w:t>
            </w:r>
          </w:p>
        </w:tc>
        <w:tc>
          <w:tcPr>
            <w:tcW w:w="1275" w:type="dxa"/>
            <w:tcBorders>
              <w:left w:val="single" w:sz="4" w:space="0" w:color="auto"/>
              <w:bottom w:val="single" w:sz="12" w:space="0" w:color="auto"/>
              <w:right w:val="single" w:sz="12" w:space="0" w:color="auto"/>
            </w:tcBorders>
            <w:vAlign w:val="bottom"/>
          </w:tcPr>
          <w:p w14:paraId="5EE7D32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3.78</w:t>
            </w:r>
          </w:p>
        </w:tc>
        <w:tc>
          <w:tcPr>
            <w:tcW w:w="990" w:type="dxa"/>
            <w:tcBorders>
              <w:left w:val="single" w:sz="12" w:space="0" w:color="auto"/>
              <w:bottom w:val="single" w:sz="12" w:space="0" w:color="auto"/>
            </w:tcBorders>
            <w:vAlign w:val="bottom"/>
          </w:tcPr>
          <w:p w14:paraId="7E9BCEC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0.60</w:t>
            </w:r>
          </w:p>
        </w:tc>
        <w:tc>
          <w:tcPr>
            <w:tcW w:w="1065" w:type="dxa"/>
            <w:tcBorders>
              <w:bottom w:val="single" w:sz="12" w:space="0" w:color="auto"/>
              <w:right w:val="single" w:sz="12" w:space="0" w:color="auto"/>
            </w:tcBorders>
            <w:vAlign w:val="bottom"/>
          </w:tcPr>
          <w:p w14:paraId="3A58020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1.98</w:t>
            </w:r>
          </w:p>
        </w:tc>
      </w:tr>
    </w:tbl>
    <w:p w14:paraId="246F6268" w14:textId="77777777" w:rsidR="00DE6D46" w:rsidRPr="00D858C0" w:rsidRDefault="00DE6D46" w:rsidP="00E430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601F056C" w14:textId="77777777" w:rsidR="00DE6D46" w:rsidRPr="00D858C0" w:rsidRDefault="00DE6D46" w:rsidP="0035366F">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lastRenderedPageBreak/>
        <w:t>Fire elevation (z = 0): Heskestad’s correlation (Equation 7) is used to estimate the plume centerline temperature at a specified location above the fire base.  To apply the vertical ZOI tables and plots that will be generated using this equation, the analyst will need to decide on the elevation of the fire base.  The present F</w:t>
      </w:r>
      <w:r w:rsidR="002A3333" w:rsidRPr="00D858C0">
        <w:t xml:space="preserve">ire </w:t>
      </w:r>
      <w:r w:rsidRPr="00D858C0">
        <w:t>P</w:t>
      </w:r>
      <w:r w:rsidR="002A3333" w:rsidRPr="00D858C0">
        <w:t>rotection</w:t>
      </w:r>
      <w:r w:rsidRPr="00D858C0">
        <w:t xml:space="preserve"> SDP retains the following guidance from the 2013 F</w:t>
      </w:r>
      <w:r w:rsidR="002A3333" w:rsidRPr="00D858C0">
        <w:t xml:space="preserve">ire </w:t>
      </w:r>
      <w:r w:rsidRPr="00D858C0">
        <w:t>P</w:t>
      </w:r>
      <w:r w:rsidR="002A3333" w:rsidRPr="00D858C0">
        <w:t>rotection</w:t>
      </w:r>
      <w:r w:rsidRPr="00D858C0">
        <w:t xml:space="preserve"> SDP:</w:t>
      </w:r>
    </w:p>
    <w:p w14:paraId="618753D6" w14:textId="77777777" w:rsidR="00DE6D46" w:rsidRPr="00D858C0" w:rsidRDefault="00DE6D46" w:rsidP="0035366F">
      <w:pPr>
        <w:pStyle w:val="ListParagraph"/>
        <w:widowControl/>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contextualSpacing/>
      </w:pPr>
      <w:r w:rsidRPr="00D858C0">
        <w:t>For electrical enclosures, the fire base is placed at 1 ft. below the top of the enclosure as determined from a walkdown.</w:t>
      </w:r>
    </w:p>
    <w:p w14:paraId="1FA8185A" w14:textId="77777777" w:rsidR="00DE6D46" w:rsidRPr="00D858C0" w:rsidRDefault="00DE6D46" w:rsidP="0035366F">
      <w:pPr>
        <w:pStyle w:val="ListParagraph"/>
        <w:widowControl/>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contextualSpacing/>
      </w:pPr>
      <w:r w:rsidRPr="00D858C0">
        <w:t>For motors and pumps it is recommended to place the fire base at the top of the ignition source as determined from a walkdown.</w:t>
      </w:r>
    </w:p>
    <w:p w14:paraId="0EBB05D9" w14:textId="77777777" w:rsidR="00DE6D46" w:rsidRPr="00D858C0" w:rsidRDefault="00DE6D46" w:rsidP="0035366F">
      <w:pPr>
        <w:pStyle w:val="ListParagraph"/>
        <w:widowControl/>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contextualSpacing/>
      </w:pPr>
      <w:r w:rsidRPr="00D858C0">
        <w:t>For transients a height 2 ft. is recommended.</w:t>
      </w:r>
    </w:p>
    <w:p w14:paraId="37DBFE72" w14:textId="77777777" w:rsidR="00DE6D46" w:rsidRPr="00D858C0" w:rsidRDefault="00DE6D46" w:rsidP="0035366F">
      <w:pPr>
        <w:pStyle w:val="ListParagraph"/>
        <w:widowControl/>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contextualSpacing/>
      </w:pPr>
      <w:r w:rsidRPr="00D858C0">
        <w:t>Confined liquid pool fires and unconfined liquid spill fires are placed on the floor.</w:t>
      </w:r>
    </w:p>
    <w:p w14:paraId="0DBD202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2B8634C2" w14:textId="1B8C4843"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D858C0">
        <w:t>The vertical ZOI tables and plots in Attachment 8 to Appendix F for electrical enclosures are based on the distance between the top of the enclosure and the target.</w:t>
      </w:r>
    </w:p>
    <w:p w14:paraId="56A2B4B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FCB4B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Fire Location Effects</w:t>
      </w:r>
    </w:p>
    <w:p w14:paraId="0BACB1B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2A4A90" w14:textId="4D516366"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A fire located against a wall or in a corner entrains less air than the same fire (same HRR, same fire diameter, etc.) in the open.  As a </w:t>
      </w:r>
      <w:r w:rsidR="009D10C1" w:rsidRPr="00D858C0">
        <w:t>result,</w:t>
      </w:r>
      <w:r w:rsidRPr="00D858C0">
        <w:t xml:space="preserve"> the plume centerline temperature at a specified elevation above the </w:t>
      </w:r>
      <w:r w:rsidR="009D10C1" w:rsidRPr="00D858C0">
        <w:t>fire base</w:t>
      </w:r>
      <w:r w:rsidRPr="00D858C0">
        <w:t xml:space="preserve"> is expected to be higher for the wall location than for the open location, and even higher for the corner location.  The 2013 F</w:t>
      </w:r>
      <w:r w:rsidR="002A3333" w:rsidRPr="00D858C0">
        <w:t xml:space="preserve">ire </w:t>
      </w:r>
      <w:r w:rsidRPr="00D858C0">
        <w:t>P</w:t>
      </w:r>
      <w:r w:rsidR="002A3333" w:rsidRPr="00D858C0">
        <w:t>rotection</w:t>
      </w:r>
      <w:r w:rsidRPr="00D858C0">
        <w:t xml:space="preserve"> SDP accounts for fire location effects on the vertical ZOI by doubling or quadrupling the HRR and the fire area for wall and corner fires, respectively.  Doubling or quadrupling the fire area is accomplished by replacing D </w:t>
      </w:r>
      <w:r w:rsidRPr="00D858C0">
        <w:rPr>
          <w:rFonts w:eastAsiaTheme="minorEastAsia"/>
        </w:rPr>
        <w:t>in Equation 8</w:t>
      </w:r>
      <w:r w:rsidRPr="00D858C0">
        <w:t xml:space="preserve"> with </w:t>
      </w:r>
      <m:oMath>
        <m:rad>
          <m:radPr>
            <m:degHide m:val="1"/>
            <m:ctrlPr>
              <w:rPr>
                <w:rFonts w:ascii="Cambria Math" w:hAnsi="Cambria Math"/>
              </w:rPr>
            </m:ctrlPr>
          </m:radPr>
          <m:deg/>
          <m:e>
            <m:r>
              <m:rPr>
                <m:sty m:val="p"/>
              </m:rPr>
              <w:rPr>
                <w:rFonts w:ascii="Cambria Math" w:hAnsi="Cambria Math"/>
              </w:rPr>
              <m:t>2</m:t>
            </m:r>
          </m:e>
        </m:rad>
      </m:oMath>
      <w:r w:rsidRPr="00D858C0">
        <w:rPr>
          <w:rFonts w:eastAsiaTheme="minorEastAsia"/>
        </w:rPr>
        <w:t>D or</w:t>
      </w:r>
      <w:r w:rsidRPr="00D858C0">
        <w:t xml:space="preserve"> 2D</w:t>
      </w:r>
      <w:r w:rsidRPr="00D858C0">
        <w:rPr>
          <w:rFonts w:eastAsiaTheme="minorEastAsia"/>
        </w:rPr>
        <w:t xml:space="preserve">, respectively.  </w:t>
      </w:r>
      <w:r w:rsidRPr="00D858C0">
        <w:t>This adjustment is based on the “image” method, which is illustrated in Figure 6.2.6.  The method essentially determines the vertical ZOI based on the plume centerline temperature for an axisymmetric fire that has the same ratio of plume circumference (or area for air entrainment) to HRR as the wall or corner fire.  However, the “image” method is conservative because it neglects the heat losses from the flame and plume to the wall(s).  This is (partly) offset by heat losses to the wall(s), which cools the plume down.  In addition, the 2013 F</w:t>
      </w:r>
      <w:r w:rsidR="002A3333" w:rsidRPr="00D858C0">
        <w:t xml:space="preserve">ire </w:t>
      </w:r>
      <w:r w:rsidRPr="00D858C0">
        <w:t>P</w:t>
      </w:r>
      <w:r w:rsidR="002A3333" w:rsidRPr="00D858C0">
        <w:t>rotection</w:t>
      </w:r>
      <w:r w:rsidRPr="00D858C0">
        <w:t xml:space="preserve"> SDP applies a location factor if the fire is within 2 ft. of a wall or corner.  The present </w:t>
      </w:r>
      <w:r w:rsidR="002A3333" w:rsidRPr="00D858C0">
        <w:t xml:space="preserve">Fire Protection </w:t>
      </w:r>
      <w:r w:rsidRPr="00D858C0">
        <w:t xml:space="preserve">SDP update uses the same approach to account for location effects on the vertical ZOI as the 2013 </w:t>
      </w:r>
      <w:r w:rsidR="002A3333" w:rsidRPr="00D858C0">
        <w:t xml:space="preserve">Fire Protection </w:t>
      </w:r>
      <w:r w:rsidRPr="00D858C0">
        <w:t>SDP.  However, at the discretion of the analys</w:t>
      </w:r>
      <w:r w:rsidR="005913D1" w:rsidRPr="00D858C0">
        <w:t>t</w:t>
      </w:r>
      <w:r w:rsidRPr="00D858C0">
        <w:t xml:space="preserve">, wall fires are </w:t>
      </w:r>
      <w:r w:rsidR="009D10C1" w:rsidRPr="00D858C0">
        <w:t>treated in a Phase 2 analysis either</w:t>
      </w:r>
      <w:r w:rsidRPr="00D858C0">
        <w:t xml:space="preserve"> as corner fires or as fires in the open.</w:t>
      </w:r>
    </w:p>
    <w:p w14:paraId="207B600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rPr>
          <w:noProof/>
        </w:rPr>
        <w:lastRenderedPageBreak/>
        <w:drawing>
          <wp:inline distT="0" distB="0" distL="0" distR="0" wp14:anchorId="64B6BE96" wp14:editId="51BA7B60">
            <wp:extent cx="5530446" cy="3017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530446" cy="3017520"/>
                    </a:xfrm>
                    <a:prstGeom prst="rect">
                      <a:avLst/>
                    </a:prstGeom>
                  </pic:spPr>
                </pic:pic>
              </a:graphicData>
            </a:graphic>
          </wp:inline>
        </w:drawing>
      </w:r>
    </w:p>
    <w:p w14:paraId="38201E80" w14:textId="24BB252B" w:rsidR="00DE6D46" w:rsidRPr="00A6171D" w:rsidRDefault="00DE6D46" w:rsidP="00CC4A33">
      <w:pPr>
        <w:pStyle w:val="Figures"/>
      </w:pPr>
      <w:bookmarkStart w:id="169" w:name="_Toc483393823"/>
      <w:r w:rsidRPr="00A6171D">
        <w:t>Figure 6.</w:t>
      </w:r>
      <w:r w:rsidR="001675E3" w:rsidRPr="00A6171D">
        <w:t>2.</w:t>
      </w:r>
      <w:r w:rsidRPr="00A6171D">
        <w:t>6.  Schematic of the “Image” Method for Wall and Corner Fires.</w:t>
      </w:r>
      <w:bookmarkEnd w:id="169"/>
    </w:p>
    <w:p w14:paraId="433ED730" w14:textId="77777777" w:rsidR="00DE6D46" w:rsidRPr="00A6171D"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D2193D" w14:textId="77777777" w:rsidR="00DE6D46" w:rsidRPr="00D858C0" w:rsidRDefault="00DE6D46" w:rsidP="00A6171D">
      <w:pPr>
        <w:keepNext/>
        <w:rPr>
          <w:u w:val="single"/>
        </w:rPr>
      </w:pPr>
      <w:r w:rsidRPr="00D858C0">
        <w:rPr>
          <w:u w:val="single"/>
        </w:rPr>
        <w:t>Obstructed Electrical Enclosure Fire Plumes</w:t>
      </w:r>
    </w:p>
    <w:p w14:paraId="031F19F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340CA5" w14:textId="4F3B5919"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In addition to the development of new HRR distributions for electrical enclosures, </w:t>
      </w:r>
      <w:r w:rsidR="00573187" w:rsidRPr="00D858C0">
        <w:t>Reference 2</w:t>
      </w:r>
      <w:r w:rsidR="005F2E7B" w:rsidRPr="00D858C0">
        <w:t>6</w:t>
      </w:r>
      <w:r w:rsidRPr="00D858C0">
        <w:t xml:space="preserve"> also describes the results of a NIST Fire Dynamics Simulator</w:t>
      </w:r>
      <w:r w:rsidRPr="00D858C0" w:rsidDel="00DF1D84">
        <w:t xml:space="preserve"> </w:t>
      </w:r>
      <w:r w:rsidRPr="00D858C0">
        <w:t xml:space="preserve">study to assess the effect of an obstruction above an electronic enclosure on the plume temperature.  The study suggests that obstructions reduce the plume temperature rise by 38%, provided the enclosure top plate is in the upper half of the compartment and the total area of all openings in the top plate does not exceed 5% of the area of the plate.  The effect of an obstructed plume can be accounted for in the vertical ZOI calculations by reducing C in Equation 7 by 38%, i.e., by changing C from 9.1 to 5.64.  The obstructed plume temperature correction is not considered in Phase 2 of the present </w:t>
      </w:r>
      <w:r w:rsidR="002A3333" w:rsidRPr="00D858C0">
        <w:t xml:space="preserve">Fire Protection </w:t>
      </w:r>
      <w:r w:rsidRPr="00D858C0">
        <w:t xml:space="preserve">SDP. </w:t>
      </w:r>
    </w:p>
    <w:p w14:paraId="76D5EFB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59D47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Plume-HGL Interaction</w:t>
      </w:r>
    </w:p>
    <w:p w14:paraId="7938874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ABD6B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 plume that penetrates into the HGL will entrain gases at a temperature higher than T</w:t>
      </w:r>
      <w:r w:rsidRPr="00D858C0">
        <w:rPr>
          <w:vertAlign w:val="subscript"/>
        </w:rPr>
        <w:t>a</w:t>
      </w:r>
      <w:r w:rsidRPr="00D858C0">
        <w:t>.  Heskestad’s plume centerline temperature correlation is still valid, but at heights above the HGL interface the HGL temperature, T</w:t>
      </w:r>
      <w:r w:rsidRPr="00D858C0">
        <w:rPr>
          <w:vertAlign w:val="subscript"/>
        </w:rPr>
        <w:t>HGL</w:t>
      </w:r>
      <w:r w:rsidRPr="00D858C0">
        <w:t>, must be used instead of T</w:t>
      </w:r>
      <w:r w:rsidRPr="00D858C0">
        <w:rPr>
          <w:vertAlign w:val="subscript"/>
        </w:rPr>
        <w:t>a</w:t>
      </w:r>
      <w:r w:rsidRPr="00D858C0">
        <w:t>.  This expands the vertical ZOI if it is located above the HGL interface.  Although the effect is likely to be offset by the assumption that a target fails the moment the surroundings gas temperature reaches its damage threshold, the analyst may choose to account for the effect by extending the vertical ZOI to the ceiling if it is within a third of the compartment height from the ceiling.</w:t>
      </w:r>
    </w:p>
    <w:p w14:paraId="4359E002"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39446" w14:textId="77777777" w:rsidR="00DE6D46" w:rsidRPr="00D858C0" w:rsidRDefault="00DE6D46" w:rsidP="00192323">
      <w:pPr>
        <w:rPr>
          <w:u w:val="single"/>
        </w:rPr>
      </w:pPr>
      <w:r w:rsidRPr="00D858C0">
        <w:rPr>
          <w:u w:val="single"/>
        </w:rPr>
        <w:t>Bias Adjustment</w:t>
      </w:r>
    </w:p>
    <w:p w14:paraId="408C42A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E6F3B6" w14:textId="0D228B52" w:rsidR="00DE6D46" w:rsidRPr="00D858C0" w:rsidRDefault="0010169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Reference 34</w:t>
      </w:r>
      <w:r w:rsidR="00DE6D46" w:rsidRPr="00D858C0">
        <w:t xml:space="preserve"> indicates that Heskestad’s plume centerline temperature correlation (Equation 7) has a bias (</w:t>
      </w:r>
      <w:r w:rsidR="00DE6D46" w:rsidRPr="00D858C0">
        <w:rPr>
          <w:rFonts w:ascii="Symbol" w:hAnsi="Symbol"/>
        </w:rPr>
        <w:t></w:t>
      </w:r>
      <w:r w:rsidR="00DE6D46" w:rsidRPr="00D858C0">
        <w:t>) and standard deviation (</w:t>
      </w:r>
      <w:r w:rsidR="00DE6D46" w:rsidRPr="00D858C0">
        <w:rPr>
          <w:rFonts w:ascii="Symbol" w:hAnsi="Symbol" w:cs="Cambria"/>
        </w:rPr>
        <w:t></w:t>
      </w:r>
      <w:r w:rsidR="00DE6D46" w:rsidRPr="00D858C0">
        <w:rPr>
          <w:rFonts w:ascii="Cambria" w:hAnsi="Cambria" w:cs="Cambria"/>
        </w:rPr>
        <w:t>)</w:t>
      </w:r>
      <w:r w:rsidR="00DE6D46" w:rsidRPr="00D858C0">
        <w:t xml:space="preserve"> of 0.84 and 0.33, respectively.  This means that, on average, the correlation underestimates the plume centerline temperature rise above ambient by 16%.  For the vertical ZOI calculations the calculated plume temperature rise above ambient was therefore multiplied by 1/0.84 = 1.19 to account for the bias.  This was implemented by using C = 10.8 instead of C = 9.1 in Equation 7.  The standard deviation was not explicitly </w:t>
      </w:r>
      <w:r w:rsidR="00DE6D46" w:rsidRPr="00D858C0">
        <w:lastRenderedPageBreak/>
        <w:t xml:space="preserve">accounted for as it is assumed that </w:t>
      </w:r>
      <w:r w:rsidR="005913D1" w:rsidRPr="00D858C0">
        <w:t>any</w:t>
      </w:r>
      <w:r w:rsidR="00DE6D46" w:rsidRPr="00D858C0">
        <w:t xml:space="preserve"> non-conservatism of ignoring the standard deviation is offset by the assumption that targets fail when the surrounding plume temperature reaches the damage threshold.  In </w:t>
      </w:r>
      <w:r w:rsidR="009D10C1" w:rsidRPr="00D858C0">
        <w:t>reality,</w:t>
      </w:r>
      <w:r w:rsidR="00DE6D46" w:rsidRPr="00D858C0">
        <w:t xml:space="preserve"> failure is delayed due to the thermal inertia of the cable target.  For example, Table H-6 in </w:t>
      </w:r>
      <w:r w:rsidR="005217E3">
        <w:t>NUREG/CR-6850 (</w:t>
      </w:r>
      <w:r w:rsidR="00082C33" w:rsidRPr="00D858C0">
        <w:t>Reference 8</w:t>
      </w:r>
      <w:r w:rsidR="005217E3">
        <w:t>)</w:t>
      </w:r>
      <w:r w:rsidR="00DE6D46" w:rsidRPr="00D858C0">
        <w:t xml:space="preserve">, Appendix H indicates that it takes 30 min to damage a </w:t>
      </w:r>
      <w:r w:rsidR="00690A12" w:rsidRPr="00D858C0">
        <w:t>TP</w:t>
      </w:r>
      <w:r w:rsidR="00DE6D46" w:rsidRPr="00D858C0">
        <w:t xml:space="preserve"> cable target that is exposed in a plume to a temperature equal to the damage threshold of 205°C.</w:t>
      </w:r>
    </w:p>
    <w:p w14:paraId="3A20798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E3769B"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Verification and Validation</w:t>
      </w:r>
    </w:p>
    <w:p w14:paraId="5349D91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i/>
        </w:rPr>
        <w:t xml:space="preserve"> </w:t>
      </w:r>
    </w:p>
    <w:p w14:paraId="531B58AC" w14:textId="60D825E4"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pPr>
      <w:r w:rsidRPr="00D858C0">
        <w:t xml:space="preserve">The Excel workbooks that were developed were verified by comparing the tabulated ZOI values for selected cases with the results of manual and/or FDT calculations.  Validation involved demonstrating that Heskestad’s plume centerline temperature correlation was used with normalized parameter values within the validated range reported in </w:t>
      </w:r>
      <w:r w:rsidR="00AD6207" w:rsidRPr="00D858C0">
        <w:t>Reference 34</w:t>
      </w:r>
      <w:r w:rsidRPr="00D858C0">
        <w:t>, or justifying the use of the correlation with normalized parameters outside the validated range.</w:t>
      </w:r>
    </w:p>
    <w:p w14:paraId="5B25933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8E029E" w14:textId="77777777" w:rsidR="00DE6D46" w:rsidRPr="00D858C0" w:rsidRDefault="00DE6D46" w:rsidP="004D46E2">
      <w:pPr>
        <w:pStyle w:val="Heading4"/>
      </w:pPr>
      <w:r w:rsidRPr="00D858C0">
        <w:t>Radial ZOI</w:t>
      </w:r>
    </w:p>
    <w:p w14:paraId="22074C7B"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0DBF7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Point Source Radiation Model</w:t>
      </w:r>
    </w:p>
    <w:p w14:paraId="6375DA5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47283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radial ZOI for a specific type of target is determined as the horizontal distance from the center of the ignition source within which the incident heat flux threshold for a target of the specified type is reached or exceeded.  Heat flux damage thresholds for different types of targets (cables and sensitive electronics) are given in Attachment 6 to Appendix F.  The following equation is used to calculate the heat flux as a function of distance from the ignition source:</w:t>
      </w:r>
    </w:p>
    <w:p w14:paraId="33DE4DD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0" w:type="auto"/>
        <w:tblLook w:val="04A0" w:firstRow="1" w:lastRow="0" w:firstColumn="1" w:lastColumn="0" w:noHBand="0" w:noVBand="1"/>
      </w:tblPr>
      <w:tblGrid>
        <w:gridCol w:w="720"/>
        <w:gridCol w:w="7920"/>
        <w:gridCol w:w="720"/>
      </w:tblGrid>
      <w:tr w:rsidR="00DE6D46" w:rsidRPr="00D858C0" w14:paraId="4B4CC956" w14:textId="77777777" w:rsidTr="00EA6963">
        <w:tc>
          <w:tcPr>
            <w:tcW w:w="720" w:type="dxa"/>
            <w:vAlign w:val="center"/>
          </w:tcPr>
          <w:p w14:paraId="725D5A7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w:p>
        </w:tc>
        <w:tc>
          <w:tcPr>
            <w:tcW w:w="7920" w:type="dxa"/>
            <w:vAlign w:val="center"/>
          </w:tcPr>
          <w:p w14:paraId="02638E60" w14:textId="77777777" w:rsidR="00DE6D46" w:rsidRPr="00D858C0" w:rsidRDefault="00B9252A"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m:oMathPara>
              <m:oMathParaPr>
                <m:jc m:val="left"/>
              </m:oMathParaPr>
              <m:oMath>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w:rPr>
                        <w:rFonts w:ascii="Cambria Math" w:hAnsi="Cambria Math"/>
                      </w:rPr>
                      <m:t>"</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χ</m:t>
                        </m:r>
                      </m:e>
                      <m:sub>
                        <m:r>
                          <m:rPr>
                            <m:sty m:val="p"/>
                          </m:rPr>
                          <w:rPr>
                            <w:rFonts w:ascii="Cambria Math" w:hAnsi="Cambria Math"/>
                          </w:rPr>
                          <m:t>r</m:t>
                        </m:r>
                      </m:sub>
                    </m:sSub>
                    <m:acc>
                      <m:accPr>
                        <m:chr m:val="̇"/>
                        <m:ctrlPr>
                          <w:rPr>
                            <w:rFonts w:ascii="Cambria Math" w:hAnsi="Cambria Math"/>
                          </w:rPr>
                        </m:ctrlPr>
                      </m:accPr>
                      <m:e>
                        <m:r>
                          <m:rPr>
                            <m:sty m:val="p"/>
                          </m:rPr>
                          <w:rPr>
                            <w:rFonts w:ascii="Cambria Math" w:hAnsi="Cambria Math"/>
                          </w:rPr>
                          <m:t>Q</m:t>
                        </m:r>
                      </m:e>
                    </m:acc>
                  </m:num>
                  <m:den>
                    <m:r>
                      <m:rPr>
                        <m:sty m:val="p"/>
                      </m:rPr>
                      <w:rPr>
                        <w:rFonts w:ascii="Cambria Math" w:hAnsi="Cambria Math"/>
                      </w:rPr>
                      <m:t>4π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m:oMathPara>
          </w:p>
        </w:tc>
        <w:tc>
          <w:tcPr>
            <w:tcW w:w="720" w:type="dxa"/>
            <w:vAlign w:val="center"/>
          </w:tcPr>
          <w:p w14:paraId="4059ACF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r w:rsidRPr="00D858C0">
              <w:t>(11)</w:t>
            </w:r>
          </w:p>
        </w:tc>
      </w:tr>
    </w:tbl>
    <w:p w14:paraId="195A0849" w14:textId="77777777" w:rsidR="00AF2379" w:rsidRPr="00D858C0" w:rsidRDefault="00AF2379"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D4B7AA" w14:textId="110574AF"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where</w:t>
      </w:r>
    </w:p>
    <w:p w14:paraId="0A96E348" w14:textId="3222F44F" w:rsidR="00DE6D46" w:rsidRPr="00D858C0" w:rsidRDefault="00DE6D46" w:rsidP="00E4305E">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r>
      <m:oMath>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w:rPr>
                <w:rFonts w:ascii="Cambria Math" w:hAnsi="Cambria Math"/>
              </w:rPr>
              <m:t>"</m:t>
            </m:r>
          </m:sup>
        </m:sSup>
      </m:oMath>
      <w:r w:rsidRPr="00D858C0">
        <w:tab/>
        <w:t>=</w:t>
      </w:r>
      <w:r w:rsidRPr="00D858C0">
        <w:tab/>
        <w:t>incident heat flux at the target (kW/m</w:t>
      </w:r>
      <w:r w:rsidRPr="00D858C0">
        <w:rPr>
          <w:vertAlign w:val="superscript"/>
        </w:rPr>
        <w:t>2</w:t>
      </w:r>
      <w:r w:rsidRPr="00D858C0">
        <w:t>)</w:t>
      </w:r>
    </w:p>
    <w:p w14:paraId="5999F18F" w14:textId="77777777" w:rsidR="00DE6D46" w:rsidRPr="00D858C0" w:rsidRDefault="00DE6D46" w:rsidP="00E4305E">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r>
      <m:oMath>
        <m:sSub>
          <m:sSubPr>
            <m:ctrlPr>
              <w:rPr>
                <w:rFonts w:ascii="Cambria Math" w:hAnsi="Cambria Math"/>
              </w:rPr>
            </m:ctrlPr>
          </m:sSubPr>
          <m:e>
            <m:r>
              <m:rPr>
                <m:sty m:val="p"/>
              </m:rPr>
              <w:rPr>
                <w:rFonts w:ascii="Cambria Math" w:hAnsi="Cambria Math"/>
              </w:rPr>
              <m:t>χ</m:t>
            </m:r>
          </m:e>
          <m:sub>
            <m:r>
              <m:rPr>
                <m:sty m:val="p"/>
              </m:rPr>
              <w:rPr>
                <w:rFonts w:ascii="Cambria Math" w:hAnsi="Cambria Math"/>
              </w:rPr>
              <m:t>r</m:t>
            </m:r>
          </m:sub>
        </m:sSub>
      </m:oMath>
      <w:r w:rsidRPr="00D858C0">
        <w:tab/>
        <w:t>=</w:t>
      </w:r>
      <w:r w:rsidRPr="00D858C0">
        <w:tab/>
        <w:t>radiative fraction</w:t>
      </w:r>
    </w:p>
    <w:p w14:paraId="01D4E1D4" w14:textId="77777777" w:rsidR="00DE6D46" w:rsidRPr="00D858C0" w:rsidRDefault="00DE6D46" w:rsidP="00E4305E">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R</w:t>
      </w:r>
      <w:r w:rsidRPr="00D858C0">
        <w:tab/>
        <w:t>=</w:t>
      </w:r>
      <w:r w:rsidRPr="00D858C0">
        <w:tab/>
        <w:t>radial distance between the target and the center of the ignition source (m)</w:t>
      </w:r>
    </w:p>
    <w:p w14:paraId="5EE8448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9ABA75" w14:textId="7104D5EA"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Equation 11 is referred to as the Point Source Model (PSM), which is discussed in detail in Chapter 5 of </w:t>
      </w:r>
      <w:r w:rsidR="00EC1102" w:rsidRPr="00D858C0">
        <w:t>Reference 10</w:t>
      </w:r>
      <w:r w:rsidRPr="00D858C0">
        <w:t>.  To determine the radial ZOI, the equation is rearranged as follows:</w:t>
      </w:r>
    </w:p>
    <w:p w14:paraId="3DEFCDD5"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0" w:type="auto"/>
        <w:tblLook w:val="04A0" w:firstRow="1" w:lastRow="0" w:firstColumn="1" w:lastColumn="0" w:noHBand="0" w:noVBand="1"/>
      </w:tblPr>
      <w:tblGrid>
        <w:gridCol w:w="720"/>
        <w:gridCol w:w="7920"/>
        <w:gridCol w:w="720"/>
      </w:tblGrid>
      <w:tr w:rsidR="00DE6D46" w:rsidRPr="00D858C0" w14:paraId="6499C6E0" w14:textId="77777777" w:rsidTr="00EA6963">
        <w:tc>
          <w:tcPr>
            <w:tcW w:w="720" w:type="dxa"/>
            <w:vAlign w:val="center"/>
          </w:tcPr>
          <w:p w14:paraId="33B8281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w:p>
        </w:tc>
        <w:tc>
          <w:tcPr>
            <w:tcW w:w="7920" w:type="dxa"/>
            <w:vAlign w:val="center"/>
          </w:tcPr>
          <w:p w14:paraId="3AE7C22B" w14:textId="77777777" w:rsidR="00DE6D46" w:rsidRPr="00D858C0" w:rsidRDefault="00B9252A"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m:oMathPara>
              <m:oMathParaPr>
                <m:jc m:val="left"/>
              </m:oMathParaPr>
              <m:oMath>
                <m:sSub>
                  <m:sSubPr>
                    <m:ctrlPr>
                      <w:rPr>
                        <w:rFonts w:ascii="Cambria Math" w:hAnsi="Cambria Math"/>
                      </w:rPr>
                    </m:ctrlPr>
                  </m:sSubPr>
                  <m:e>
                    <m:r>
                      <m:rPr>
                        <m:sty m:val="p"/>
                      </m:rPr>
                      <w:rPr>
                        <w:rFonts w:ascii="Cambria Math" w:hAnsi="Cambria Math"/>
                      </w:rPr>
                      <m:t>ZOI</m:t>
                    </m:r>
                  </m:e>
                  <m:sub>
                    <m:r>
                      <m:rPr>
                        <m:sty m:val="p"/>
                      </m:rPr>
                      <w:rPr>
                        <w:rFonts w:ascii="Cambria Math" w:hAnsi="Cambria Math"/>
                      </w:rPr>
                      <m:t>rad</m:t>
                    </m:r>
                  </m:sub>
                </m:sSub>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m:rPr>
                                <m:sty m:val="p"/>
                              </m:rPr>
                              <w:rPr>
                                <w:rFonts w:ascii="Cambria Math" w:hAnsi="Cambria Math"/>
                              </w:rPr>
                              <m:t>χ</m:t>
                            </m:r>
                          </m:e>
                          <m:sub>
                            <m:r>
                              <m:rPr>
                                <m:sty m:val="p"/>
                              </m:rPr>
                              <w:rPr>
                                <w:rFonts w:ascii="Cambria Math" w:hAnsi="Cambria Math"/>
                              </w:rPr>
                              <m:t>r</m:t>
                            </m:r>
                          </m:sub>
                        </m:sSub>
                        <m:acc>
                          <m:accPr>
                            <m:chr m:val="̇"/>
                            <m:ctrlPr>
                              <w:rPr>
                                <w:rFonts w:ascii="Cambria Math" w:hAnsi="Cambria Math"/>
                              </w:rPr>
                            </m:ctrlPr>
                          </m:accPr>
                          <m:e>
                            <m:r>
                              <m:rPr>
                                <m:sty m:val="p"/>
                              </m:rPr>
                              <w:rPr>
                                <w:rFonts w:ascii="Cambria Math" w:hAnsi="Cambria Math"/>
                              </w:rPr>
                              <m:t>Q</m:t>
                            </m:r>
                          </m:e>
                        </m:acc>
                      </m:num>
                      <m:den>
                        <m:r>
                          <m:rPr>
                            <m:sty m:val="p"/>
                          </m:rPr>
                          <w:rPr>
                            <w:rFonts w:ascii="Cambria Math" w:hAnsi="Cambria Math"/>
                          </w:rPr>
                          <m:t>4π</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cr</m:t>
                            </m:r>
                          </m:sub>
                          <m:sup>
                            <m:r>
                              <m:rPr>
                                <m:sty m:val="p"/>
                              </m:rPr>
                              <w:rPr>
                                <w:rFonts w:ascii="Cambria Math" w:hAnsi="Cambria Math"/>
                              </w:rPr>
                              <m:t>"</m:t>
                            </m:r>
                          </m:sup>
                        </m:sSubSup>
                      </m:den>
                    </m:f>
                  </m:e>
                </m:rad>
              </m:oMath>
            </m:oMathPara>
          </w:p>
        </w:tc>
        <w:tc>
          <w:tcPr>
            <w:tcW w:w="720" w:type="dxa"/>
            <w:vAlign w:val="center"/>
          </w:tcPr>
          <w:p w14:paraId="6810B91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r w:rsidRPr="00D858C0">
              <w:t>(12)</w:t>
            </w:r>
          </w:p>
        </w:tc>
      </w:tr>
    </w:tbl>
    <w:p w14:paraId="7A6F748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D7957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where</w:t>
      </w:r>
    </w:p>
    <w:p w14:paraId="098D2E3A" w14:textId="652E5483"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ZOI</w:t>
      </w:r>
      <w:r w:rsidRPr="00D858C0">
        <w:rPr>
          <w:vertAlign w:val="subscript"/>
        </w:rPr>
        <w:t>rad</w:t>
      </w:r>
      <w:r w:rsidRPr="00D858C0">
        <w:tab/>
        <w:t>=</w:t>
      </w:r>
      <w:r w:rsidRPr="00D858C0">
        <w:tab/>
        <w:t>radial ZOI (m)</w:t>
      </w:r>
    </w:p>
    <w:p w14:paraId="08332B8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cr</m:t>
            </m:r>
          </m:sub>
          <m:sup>
            <m:r>
              <m:rPr>
                <m:sty m:val="p"/>
              </m:rPr>
              <w:rPr>
                <w:rFonts w:ascii="Cambria Math" w:hAnsi="Cambria Math"/>
              </w:rPr>
              <m:t>"</m:t>
            </m:r>
          </m:sup>
        </m:sSubSup>
      </m:oMath>
      <w:r w:rsidRPr="00D858C0">
        <w:tab/>
      </w:r>
      <w:r w:rsidRPr="00D858C0">
        <w:tab/>
        <w:t>=</w:t>
      </w:r>
      <w:r w:rsidRPr="00D858C0">
        <w:tab/>
        <w:t>damage or ignition threshold heat flux of the target (kW/m</w:t>
      </w:r>
      <w:r w:rsidRPr="00D858C0">
        <w:rPr>
          <w:vertAlign w:val="superscript"/>
        </w:rPr>
        <w:t>2</w:t>
      </w:r>
      <w:r w:rsidRPr="00D858C0">
        <w:t>)</w:t>
      </w:r>
    </w:p>
    <w:p w14:paraId="2E1AC12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71A5FA" w14:textId="4C25E3B0"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fire is assumed to be a point source of thermal radiation.  Equation 12 would therefore imply that ZOI</w:t>
      </w:r>
      <w:r w:rsidRPr="00D858C0">
        <w:rPr>
          <w:vertAlign w:val="subscript"/>
        </w:rPr>
        <w:t>rad</w:t>
      </w:r>
      <w:r w:rsidRPr="00D858C0">
        <w:t xml:space="preserve"> is the radius of a sphere.  In </w:t>
      </w:r>
      <w:r w:rsidR="009D10C1" w:rsidRPr="00D858C0">
        <w:t>practice,</w:t>
      </w:r>
      <w:r w:rsidRPr="00D858C0">
        <w:t xml:space="preserve"> the ZOI is assumed to be a rectangular cylinder with a height of ZOI</w:t>
      </w:r>
      <w:r w:rsidRPr="00D858C0">
        <w:rPr>
          <w:vertAlign w:val="subscript"/>
        </w:rPr>
        <w:t>vert</w:t>
      </w:r>
      <w:r w:rsidRPr="00D858C0">
        <w:t xml:space="preserve"> and a width and depth of ZOI</w:t>
      </w:r>
      <w:r w:rsidRPr="00D858C0">
        <w:rPr>
          <w:vertAlign w:val="subscript"/>
        </w:rPr>
        <w:t>rad</w:t>
      </w:r>
      <w:r w:rsidRPr="00D858C0">
        <w:t xml:space="preserve">, as shown </w:t>
      </w:r>
      <w:r w:rsidR="001675E3" w:rsidRPr="00D858C0">
        <w:t xml:space="preserve">in Figure </w:t>
      </w:r>
      <w:r w:rsidRPr="00D858C0">
        <w:t>6</w:t>
      </w:r>
      <w:r w:rsidR="009D10C1" w:rsidRPr="00D858C0">
        <w:t>.</w:t>
      </w:r>
      <w:r w:rsidR="001675E3" w:rsidRPr="00D858C0">
        <w:t>2.</w:t>
      </w:r>
      <w:r w:rsidRPr="00D858C0">
        <w:t>5.</w:t>
      </w:r>
    </w:p>
    <w:p w14:paraId="49F93E5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DA47C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Assumptions for the Development of the Radial ZOI Tables and Plots</w:t>
      </w:r>
    </w:p>
    <w:p w14:paraId="45FFAC60"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84C30D"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This subsection provides a discussion of the assumptions that were made and the input parameter values and ranges that were used in the development of the radial ZOI tables and plots.</w:t>
      </w:r>
    </w:p>
    <w:p w14:paraId="0C3BC44F" w14:textId="77777777" w:rsidR="00DE6D46" w:rsidRPr="00D858C0" w:rsidRDefault="00DE6D46" w:rsidP="00E4305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E6C477" w14:textId="77777777" w:rsidR="00DE6D46" w:rsidRPr="00D858C0" w:rsidRDefault="00DE6D46" w:rsidP="0035366F">
      <w:pPr>
        <w:pStyle w:val="ListParagraph"/>
        <w:widowControl/>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Radiative part of the HRR,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r</m:t>
            </m:r>
          </m:sub>
        </m:sSub>
      </m:oMath>
      <w:r w:rsidRPr="00D858C0">
        <w:rPr>
          <w:rFonts w:eastAsiaTheme="minorEastAsia"/>
        </w:rPr>
        <w:t xml:space="preserve">: The radiative part of the HRR is equal to </w:t>
      </w:r>
      <m:oMath>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r</m:t>
            </m:r>
          </m:sub>
        </m:sSub>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 xml:space="preserve">, where </w:t>
      </w:r>
      <m:oMath>
        <m:sSub>
          <m:sSubPr>
            <m:ctrlPr>
              <w:rPr>
                <w:rFonts w:ascii="Cambria Math" w:eastAsiaTheme="minorEastAsia" w:hAnsi="Cambria Math"/>
              </w:rPr>
            </m:ctrlPr>
          </m:sSubPr>
          <m:e>
            <m:r>
              <m:rPr>
                <m:sty m:val="p"/>
              </m:rPr>
              <w:rPr>
                <w:rFonts w:ascii="Cambria Math" w:eastAsiaTheme="minorEastAsia" w:hAnsi="Cambria Math"/>
              </w:rPr>
              <m:t>χ</m:t>
            </m:r>
          </m:e>
          <m:sub>
            <m:r>
              <w:rPr>
                <w:rFonts w:ascii="Cambria Math" w:eastAsiaTheme="minorEastAsia" w:hAnsi="Cambria Math"/>
              </w:rPr>
              <m:t>r</m:t>
            </m:r>
          </m:sub>
        </m:sSub>
      </m:oMath>
      <w:r w:rsidRPr="00D858C0">
        <w:rPr>
          <w:rFonts w:eastAsiaTheme="minorEastAsia"/>
        </w:rPr>
        <w:t xml:space="preserve"> is the radiative fraction, and </w:t>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 xml:space="preserve"> is the HRR.  </w:t>
      </w:r>
      <w:r w:rsidRPr="00D858C0">
        <w:t xml:space="preserve">Theoretically the sum of the convective and radiative fractions is equal to one, implying that </w:t>
      </w:r>
      <m:oMath>
        <m:sSub>
          <m:sSubPr>
            <m:ctrlPr>
              <w:rPr>
                <w:rFonts w:ascii="Cambria Math" w:hAnsi="Cambria Math"/>
              </w:rPr>
            </m:ctrlPr>
          </m:sSubPr>
          <m:e>
            <m:r>
              <m:rPr>
                <m:sty m:val="p"/>
              </m:rPr>
              <w:rPr>
                <w:rFonts w:ascii="Cambria Math" w:hAnsi="Cambria Math"/>
              </w:rPr>
              <m:t>χ</m:t>
            </m:r>
          </m:e>
          <m:sub>
            <m:r>
              <m:rPr>
                <m:sty m:val="p"/>
              </m:rPr>
              <w:rPr>
                <w:rFonts w:ascii="Cambria Math" w:hAnsi="Cambria Math"/>
              </w:rPr>
              <m:t>r</m:t>
            </m:r>
          </m:sub>
        </m:sSub>
      </m:oMath>
      <w:r w:rsidRPr="00D858C0">
        <w:rPr>
          <w:rFonts w:eastAsiaTheme="minorEastAsia"/>
        </w:rPr>
        <w:t xml:space="preserve"> should be equal to 0.3 since </w:t>
      </w:r>
      <m:oMath>
        <m:sSub>
          <m:sSubPr>
            <m:ctrlPr>
              <w:rPr>
                <w:rFonts w:ascii="Cambria Math" w:hAnsi="Cambria Math"/>
              </w:rPr>
            </m:ctrlPr>
          </m:sSubPr>
          <m:e>
            <m:r>
              <m:rPr>
                <m:sty m:val="p"/>
              </m:rPr>
              <w:rPr>
                <w:rFonts w:ascii="Cambria Math" w:hAnsi="Cambria Math"/>
              </w:rPr>
              <m:t>χ</m:t>
            </m:r>
          </m:e>
          <m:sub>
            <m:r>
              <m:rPr>
                <m:sty m:val="p"/>
              </m:rPr>
              <w:rPr>
                <w:rFonts w:ascii="Cambria Math" w:hAnsi="Cambria Math"/>
              </w:rPr>
              <m:t>c</m:t>
            </m:r>
          </m:sub>
        </m:sSub>
      </m:oMath>
      <w:r w:rsidRPr="00D858C0">
        <w:rPr>
          <w:rFonts w:eastAsiaTheme="minorEastAsia"/>
        </w:rPr>
        <w:t xml:space="preserve"> = 0.7</w:t>
      </w:r>
      <w:r w:rsidRPr="00D858C0">
        <w:t>.</w:t>
      </w:r>
    </w:p>
    <w:p w14:paraId="5C14D62C" w14:textId="77777777" w:rsidR="00DE6D46" w:rsidRPr="00D858C0" w:rsidRDefault="00DE6D46" w:rsidP="0035366F">
      <w:pPr>
        <w:pStyle w:val="ListParagraph"/>
        <w:widowControl/>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HRR, </w:t>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t>:  The radial ZOI was calculated for the same HRRs as used in the development of the vertical ZOI tables and plots.</w:t>
      </w:r>
    </w:p>
    <w:p w14:paraId="26692B41"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AD2B3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Fire Location Effects</w:t>
      </w:r>
    </w:p>
    <w:p w14:paraId="2D5FA536" w14:textId="09188831"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51E65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Since the HRR is specified, the PSM calculations are not affected by the location of the fire, and radial ZOI tables and plots for wall and corner fires were therefore not developed.</w:t>
      </w:r>
    </w:p>
    <w:p w14:paraId="65FEED73"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E83E0C"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Ceiling Jet Temperature</w:t>
      </w:r>
    </w:p>
    <w:p w14:paraId="0BA15A6F"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170268" w14:textId="3207AC23"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pPr>
      <w:r w:rsidRPr="00D858C0">
        <w:t xml:space="preserve">When a thermal plume reaches the </w:t>
      </w:r>
      <w:r w:rsidR="009D10C1" w:rsidRPr="00D858C0">
        <w:t>ceiling,</w:t>
      </w:r>
      <w:r w:rsidRPr="00D858C0">
        <w:t xml:space="preserve"> it turns into a ceiling jet.  </w:t>
      </w:r>
      <w:r w:rsidR="009D10C1" w:rsidRPr="00D858C0">
        <w:t>Theoretically,</w:t>
      </w:r>
      <w:r w:rsidRPr="00D858C0">
        <w:t xml:space="preserve"> it is possible that the damage threshold will be reached in the ceiling jet at a distance beyond ZOI</w:t>
      </w:r>
      <w:r w:rsidRPr="00D858C0">
        <w:rPr>
          <w:vertAlign w:val="subscript"/>
        </w:rPr>
        <w:t>rad</w:t>
      </w:r>
      <w:r w:rsidRPr="00D858C0">
        <w:t xml:space="preserve"> based on radiation.  From our experience with the NFPA 805 transition process we know that this is very unlikely because (1) the ceiling jet temperature can only exceed the damage threshold if the plume centerline temperature at the ceiling is substantially above the threshold, and (2) only targets close to the ceiling (within 10% of the distance between the floor and ceiling according to Appendix F in </w:t>
      </w:r>
      <w:r w:rsidR="00A24E94" w:rsidRPr="00D858C0">
        <w:t>Reference 8</w:t>
      </w:r>
      <w:r w:rsidRPr="00D858C0">
        <w:t>) are potentially affected.  Table 6.2.9 shows the maximum ceiling height above the ignition source below which the ceiling jet ZOI</w:t>
      </w:r>
      <w:r w:rsidRPr="00D858C0">
        <w:rPr>
          <w:vertAlign w:val="subscript"/>
        </w:rPr>
        <w:t>rad</w:t>
      </w:r>
      <w:r w:rsidRPr="00D858C0">
        <w:t xml:space="preserve"> exceeds that calculated from the PSM.  The former was determined from Alpert’s ceiling jet temperature correlation, which is discussed in detail in Chapter 10 of </w:t>
      </w:r>
      <w:r w:rsidR="00EC1102" w:rsidRPr="00D858C0">
        <w:t>Reference 10</w:t>
      </w:r>
      <w:r w:rsidRPr="00D858C0">
        <w:t>.  Based on Table 6.2.9 it can be concluded that it is very unlikely that the ceiling jet ZOI</w:t>
      </w:r>
      <w:r w:rsidRPr="00D858C0">
        <w:rPr>
          <w:vertAlign w:val="subscript"/>
        </w:rPr>
        <w:t>rad</w:t>
      </w:r>
      <w:r w:rsidRPr="00D858C0">
        <w:t xml:space="preserve"> will be the larger for </w:t>
      </w:r>
      <w:r w:rsidR="00021E23" w:rsidRPr="00D858C0">
        <w:t>TS</w:t>
      </w:r>
      <w:r w:rsidRPr="00D858C0">
        <w:t xml:space="preserve"> and </w:t>
      </w:r>
      <w:r w:rsidR="00690A12" w:rsidRPr="00D858C0">
        <w:t>TP</w:t>
      </w:r>
      <w:r w:rsidRPr="00D858C0">
        <w:t xml:space="preserve"> cable targets.  For example, the ceiling jet for a 317 kW transient will not damage any </w:t>
      </w:r>
      <w:r w:rsidR="00021E23" w:rsidRPr="00D858C0">
        <w:t>TS</w:t>
      </w:r>
      <w:r w:rsidRPr="00D858C0">
        <w:t xml:space="preserve"> cable targets beyond the ZOI</w:t>
      </w:r>
      <w:r w:rsidRPr="00D858C0">
        <w:rPr>
          <w:vertAlign w:val="subscript"/>
        </w:rPr>
        <w:t>rad</w:t>
      </w:r>
      <w:r w:rsidRPr="00D858C0">
        <w:t xml:space="preserve"> based on radiation if the ceiling is at least 0.9 m (3.1 ft.) above the top surface of the transient, which is very likely.  The ceiling jet ZOI</w:t>
      </w:r>
      <w:r w:rsidRPr="00D858C0">
        <w:rPr>
          <w:vertAlign w:val="subscript"/>
        </w:rPr>
        <w:t>rad</w:t>
      </w:r>
      <w:r w:rsidRPr="00D858C0">
        <w:t xml:space="preserve"> is much more likely to dominate for sensitive electronics, but those are usually not located close to the ceiling.</w:t>
      </w:r>
    </w:p>
    <w:p w14:paraId="5F29ABF7"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0" w:type="auto"/>
        <w:jc w:val="center"/>
        <w:tblLayout w:type="fixed"/>
        <w:tblLook w:val="04A0" w:firstRow="1" w:lastRow="0" w:firstColumn="1" w:lastColumn="0" w:noHBand="0" w:noVBand="1"/>
      </w:tblPr>
      <w:tblGrid>
        <w:gridCol w:w="1269"/>
        <w:gridCol w:w="1152"/>
        <w:gridCol w:w="1080"/>
        <w:gridCol w:w="1080"/>
        <w:gridCol w:w="1080"/>
        <w:gridCol w:w="1080"/>
        <w:gridCol w:w="1080"/>
        <w:gridCol w:w="1089"/>
      </w:tblGrid>
      <w:tr w:rsidR="00DE6D46" w:rsidRPr="00D858C0" w14:paraId="7A28957D" w14:textId="77777777" w:rsidTr="00426C19">
        <w:trPr>
          <w:jc w:val="center"/>
        </w:trPr>
        <w:tc>
          <w:tcPr>
            <w:tcW w:w="8478" w:type="dxa"/>
            <w:gridSpan w:val="8"/>
            <w:tcBorders>
              <w:top w:val="single" w:sz="12" w:space="0" w:color="auto"/>
              <w:left w:val="single" w:sz="12" w:space="0" w:color="auto"/>
              <w:bottom w:val="nil"/>
              <w:right w:val="single" w:sz="12" w:space="0" w:color="auto"/>
            </w:tcBorders>
            <w:shd w:val="clear" w:color="auto" w:fill="D9D9D9" w:themeFill="background1" w:themeFillShade="D9"/>
          </w:tcPr>
          <w:p w14:paraId="5938FC01" w14:textId="2440A5A0" w:rsidR="00DE6D46" w:rsidRPr="00A6171D" w:rsidRDefault="00DE6D46" w:rsidP="0034587C">
            <w:pPr>
              <w:pStyle w:val="TableCaption"/>
              <w:keepNext/>
              <w:keepLines/>
              <w:rPr>
                <w:b w:val="0"/>
                <w:color w:val="000000"/>
                <w:sz w:val="20"/>
                <w:szCs w:val="20"/>
              </w:rPr>
            </w:pPr>
            <w:bookmarkStart w:id="170" w:name="_Toc483393014"/>
            <w:r w:rsidRPr="00A6171D">
              <w:rPr>
                <w:b w:val="0"/>
              </w:rPr>
              <w:lastRenderedPageBreak/>
              <w:t xml:space="preserve">Table 6.2.9 – Maximum Ceiling </w:t>
            </w:r>
            <w:r w:rsidR="00F209C2" w:rsidRPr="00A6171D">
              <w:rPr>
                <w:b w:val="0"/>
              </w:rPr>
              <w:t>Height b</w:t>
            </w:r>
            <w:r w:rsidRPr="00A6171D">
              <w:rPr>
                <w:b w:val="0"/>
              </w:rPr>
              <w:t>elow which Ceiling Jet ZOI</w:t>
            </w:r>
            <w:r w:rsidRPr="00A6171D">
              <w:rPr>
                <w:b w:val="0"/>
                <w:vertAlign w:val="subscript"/>
              </w:rPr>
              <w:t>rad</w:t>
            </w:r>
            <w:r w:rsidRPr="00A6171D">
              <w:rPr>
                <w:b w:val="0"/>
              </w:rPr>
              <w:t xml:space="preserve"> &gt; PSM ZOI</w:t>
            </w:r>
            <w:r w:rsidRPr="00A6171D">
              <w:rPr>
                <w:b w:val="0"/>
                <w:vertAlign w:val="subscript"/>
              </w:rPr>
              <w:t>rad</w:t>
            </w:r>
            <w:r w:rsidRPr="00A6171D">
              <w:rPr>
                <w:b w:val="0"/>
              </w:rPr>
              <w:t>.</w:t>
            </w:r>
            <w:bookmarkEnd w:id="170"/>
          </w:p>
        </w:tc>
      </w:tr>
      <w:tr w:rsidR="00DE6D46" w:rsidRPr="00D858C0" w14:paraId="31703033" w14:textId="77777777" w:rsidTr="00EA6963">
        <w:trPr>
          <w:jc w:val="center"/>
        </w:trPr>
        <w:tc>
          <w:tcPr>
            <w:tcW w:w="1269" w:type="dxa"/>
            <w:tcBorders>
              <w:top w:val="single" w:sz="12" w:space="0" w:color="auto"/>
              <w:left w:val="single" w:sz="12" w:space="0" w:color="auto"/>
              <w:bottom w:val="nil"/>
              <w:right w:val="single" w:sz="12" w:space="0" w:color="auto"/>
            </w:tcBorders>
          </w:tcPr>
          <w:p w14:paraId="01FBE888" w14:textId="77777777" w:rsidR="00DE6D46" w:rsidRPr="00A6171D"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A6171D">
              <w:rPr>
                <w:color w:val="000000"/>
              </w:rPr>
              <w:t>Type of</w:t>
            </w:r>
          </w:p>
        </w:tc>
        <w:tc>
          <w:tcPr>
            <w:tcW w:w="1152" w:type="dxa"/>
            <w:vMerge w:val="restart"/>
            <w:tcBorders>
              <w:top w:val="single" w:sz="12" w:space="0" w:color="auto"/>
              <w:left w:val="single" w:sz="12" w:space="0" w:color="auto"/>
              <w:right w:val="single" w:sz="12" w:space="0" w:color="auto"/>
            </w:tcBorders>
            <w:vAlign w:val="center"/>
          </w:tcPr>
          <w:p w14:paraId="3814504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HRR</w:t>
            </w:r>
          </w:p>
          <w:p w14:paraId="7E59318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(kW)</w:t>
            </w:r>
          </w:p>
        </w:tc>
        <w:tc>
          <w:tcPr>
            <w:tcW w:w="2160" w:type="dxa"/>
            <w:gridSpan w:val="2"/>
            <w:tcBorders>
              <w:top w:val="single" w:sz="12" w:space="0" w:color="auto"/>
              <w:left w:val="single" w:sz="12" w:space="0" w:color="auto"/>
              <w:bottom w:val="single" w:sz="4" w:space="0" w:color="auto"/>
              <w:right w:val="single" w:sz="12" w:space="0" w:color="auto"/>
            </w:tcBorders>
            <w:vAlign w:val="bottom"/>
          </w:tcPr>
          <w:p w14:paraId="3ECCEDB1" w14:textId="33831D14" w:rsidR="00DE6D46" w:rsidRPr="00D858C0" w:rsidRDefault="00021E23"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sz w:val="20"/>
                <w:szCs w:val="20"/>
              </w:rPr>
            </w:pPr>
            <w:r w:rsidRPr="00D858C0">
              <w:rPr>
                <w:color w:val="000000"/>
                <w:sz w:val="20"/>
                <w:szCs w:val="20"/>
              </w:rPr>
              <w:t xml:space="preserve">TS </w:t>
            </w:r>
            <w:r w:rsidR="00DE6D46" w:rsidRPr="00D858C0">
              <w:rPr>
                <w:color w:val="000000"/>
                <w:sz w:val="20"/>
                <w:szCs w:val="20"/>
              </w:rPr>
              <w:t>Cable</w:t>
            </w:r>
          </w:p>
        </w:tc>
        <w:tc>
          <w:tcPr>
            <w:tcW w:w="2160" w:type="dxa"/>
            <w:gridSpan w:val="2"/>
            <w:tcBorders>
              <w:top w:val="single" w:sz="12" w:space="0" w:color="auto"/>
              <w:left w:val="single" w:sz="12" w:space="0" w:color="auto"/>
              <w:bottom w:val="single" w:sz="4" w:space="0" w:color="auto"/>
              <w:right w:val="single" w:sz="12" w:space="0" w:color="auto"/>
            </w:tcBorders>
            <w:vAlign w:val="bottom"/>
          </w:tcPr>
          <w:p w14:paraId="56C7723F" w14:textId="6E0EDF98" w:rsidR="00DE6D46" w:rsidRPr="00D858C0" w:rsidRDefault="00021E23"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sz w:val="20"/>
                <w:szCs w:val="20"/>
              </w:rPr>
            </w:pPr>
            <w:r w:rsidRPr="00D858C0">
              <w:rPr>
                <w:color w:val="000000"/>
                <w:sz w:val="20"/>
                <w:szCs w:val="20"/>
              </w:rPr>
              <w:t>TP</w:t>
            </w:r>
            <w:r w:rsidR="00DE6D46" w:rsidRPr="00D858C0">
              <w:rPr>
                <w:color w:val="000000"/>
                <w:sz w:val="20"/>
                <w:szCs w:val="20"/>
              </w:rPr>
              <w:t xml:space="preserve"> Cable</w:t>
            </w:r>
          </w:p>
        </w:tc>
        <w:tc>
          <w:tcPr>
            <w:tcW w:w="2169" w:type="dxa"/>
            <w:gridSpan w:val="2"/>
            <w:tcBorders>
              <w:top w:val="single" w:sz="12" w:space="0" w:color="auto"/>
              <w:left w:val="single" w:sz="12" w:space="0" w:color="auto"/>
              <w:bottom w:val="single" w:sz="4" w:space="0" w:color="auto"/>
              <w:right w:val="single" w:sz="12" w:space="0" w:color="auto"/>
            </w:tcBorders>
            <w:vAlign w:val="bottom"/>
          </w:tcPr>
          <w:p w14:paraId="3C76B7A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sz w:val="20"/>
                <w:szCs w:val="20"/>
              </w:rPr>
            </w:pPr>
            <w:r w:rsidRPr="00D858C0">
              <w:rPr>
                <w:color w:val="000000"/>
                <w:sz w:val="20"/>
                <w:szCs w:val="20"/>
              </w:rPr>
              <w:t>Sensitive Electronics</w:t>
            </w:r>
          </w:p>
        </w:tc>
      </w:tr>
      <w:tr w:rsidR="00DE6D46" w:rsidRPr="00D858C0" w14:paraId="24EF0E2E" w14:textId="77777777" w:rsidTr="00EA6963">
        <w:trPr>
          <w:jc w:val="center"/>
        </w:trPr>
        <w:tc>
          <w:tcPr>
            <w:tcW w:w="1269" w:type="dxa"/>
            <w:tcBorders>
              <w:top w:val="nil"/>
              <w:left w:val="single" w:sz="12" w:space="0" w:color="auto"/>
              <w:bottom w:val="nil"/>
              <w:right w:val="single" w:sz="12" w:space="0" w:color="auto"/>
            </w:tcBorders>
          </w:tcPr>
          <w:p w14:paraId="37F5E6A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Ignition</w:t>
            </w:r>
          </w:p>
        </w:tc>
        <w:tc>
          <w:tcPr>
            <w:tcW w:w="1152" w:type="dxa"/>
            <w:vMerge/>
            <w:tcBorders>
              <w:left w:val="single" w:sz="12" w:space="0" w:color="auto"/>
              <w:right w:val="single" w:sz="12" w:space="0" w:color="auto"/>
            </w:tcBorders>
            <w:vAlign w:val="bottom"/>
          </w:tcPr>
          <w:p w14:paraId="6F9E4B23"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p>
        </w:tc>
        <w:tc>
          <w:tcPr>
            <w:tcW w:w="1080" w:type="dxa"/>
            <w:tcBorders>
              <w:left w:val="single" w:sz="12" w:space="0" w:color="auto"/>
              <w:bottom w:val="nil"/>
            </w:tcBorders>
            <w:vAlign w:val="bottom"/>
          </w:tcPr>
          <w:p w14:paraId="26B57FF1"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H</w:t>
            </w:r>
            <w:r w:rsidRPr="00D858C0">
              <w:rPr>
                <w:color w:val="000000"/>
                <w:vertAlign w:val="subscript"/>
              </w:rPr>
              <w:t>max</w:t>
            </w:r>
          </w:p>
        </w:tc>
        <w:tc>
          <w:tcPr>
            <w:tcW w:w="1080" w:type="dxa"/>
            <w:tcBorders>
              <w:bottom w:val="nil"/>
              <w:right w:val="single" w:sz="12" w:space="0" w:color="auto"/>
            </w:tcBorders>
            <w:vAlign w:val="bottom"/>
          </w:tcPr>
          <w:p w14:paraId="1BFA0EB4"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H</w:t>
            </w:r>
            <w:r w:rsidRPr="00D858C0">
              <w:rPr>
                <w:color w:val="000000"/>
                <w:vertAlign w:val="subscript"/>
              </w:rPr>
              <w:t>max</w:t>
            </w:r>
          </w:p>
        </w:tc>
        <w:tc>
          <w:tcPr>
            <w:tcW w:w="1080" w:type="dxa"/>
            <w:tcBorders>
              <w:left w:val="single" w:sz="12" w:space="0" w:color="auto"/>
              <w:bottom w:val="nil"/>
              <w:right w:val="single" w:sz="4" w:space="0" w:color="auto"/>
            </w:tcBorders>
            <w:vAlign w:val="bottom"/>
          </w:tcPr>
          <w:p w14:paraId="6312D42C"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H</w:t>
            </w:r>
            <w:r w:rsidRPr="00D858C0">
              <w:rPr>
                <w:color w:val="000000"/>
                <w:vertAlign w:val="subscript"/>
              </w:rPr>
              <w:t>max</w:t>
            </w:r>
          </w:p>
        </w:tc>
        <w:tc>
          <w:tcPr>
            <w:tcW w:w="1080" w:type="dxa"/>
            <w:tcBorders>
              <w:left w:val="single" w:sz="4" w:space="0" w:color="auto"/>
              <w:bottom w:val="nil"/>
              <w:right w:val="single" w:sz="12" w:space="0" w:color="auto"/>
            </w:tcBorders>
            <w:vAlign w:val="bottom"/>
          </w:tcPr>
          <w:p w14:paraId="6462927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H</w:t>
            </w:r>
            <w:r w:rsidRPr="00D858C0">
              <w:rPr>
                <w:color w:val="000000"/>
                <w:vertAlign w:val="subscript"/>
              </w:rPr>
              <w:t>max</w:t>
            </w:r>
          </w:p>
        </w:tc>
        <w:tc>
          <w:tcPr>
            <w:tcW w:w="1080" w:type="dxa"/>
            <w:tcBorders>
              <w:left w:val="single" w:sz="12" w:space="0" w:color="auto"/>
              <w:bottom w:val="nil"/>
            </w:tcBorders>
            <w:vAlign w:val="bottom"/>
          </w:tcPr>
          <w:p w14:paraId="3498FFEC"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H</w:t>
            </w:r>
            <w:r w:rsidRPr="00D858C0">
              <w:rPr>
                <w:color w:val="000000"/>
                <w:vertAlign w:val="subscript"/>
              </w:rPr>
              <w:t>max</w:t>
            </w:r>
          </w:p>
        </w:tc>
        <w:tc>
          <w:tcPr>
            <w:tcW w:w="1089" w:type="dxa"/>
            <w:tcBorders>
              <w:bottom w:val="nil"/>
              <w:right w:val="single" w:sz="12" w:space="0" w:color="auto"/>
            </w:tcBorders>
            <w:vAlign w:val="bottom"/>
          </w:tcPr>
          <w:p w14:paraId="6C9ED8C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H</w:t>
            </w:r>
            <w:r w:rsidRPr="00D858C0">
              <w:rPr>
                <w:color w:val="000000"/>
                <w:vertAlign w:val="subscript"/>
              </w:rPr>
              <w:t>max</w:t>
            </w:r>
          </w:p>
        </w:tc>
      </w:tr>
      <w:tr w:rsidR="00DE6D46" w:rsidRPr="00D858C0" w14:paraId="661829DA" w14:textId="77777777" w:rsidTr="00EA6963">
        <w:trPr>
          <w:jc w:val="center"/>
        </w:trPr>
        <w:tc>
          <w:tcPr>
            <w:tcW w:w="1269" w:type="dxa"/>
            <w:tcBorders>
              <w:top w:val="nil"/>
              <w:left w:val="single" w:sz="12" w:space="0" w:color="auto"/>
              <w:bottom w:val="single" w:sz="12" w:space="0" w:color="auto"/>
              <w:right w:val="single" w:sz="12" w:space="0" w:color="auto"/>
            </w:tcBorders>
          </w:tcPr>
          <w:p w14:paraId="01FFC41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t>Source</w:t>
            </w:r>
          </w:p>
        </w:tc>
        <w:tc>
          <w:tcPr>
            <w:tcW w:w="1152" w:type="dxa"/>
            <w:vMerge/>
            <w:tcBorders>
              <w:left w:val="single" w:sz="12" w:space="0" w:color="auto"/>
              <w:bottom w:val="single" w:sz="12" w:space="0" w:color="auto"/>
              <w:right w:val="single" w:sz="12" w:space="0" w:color="auto"/>
            </w:tcBorders>
            <w:vAlign w:val="bottom"/>
          </w:tcPr>
          <w:p w14:paraId="4C119359"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p>
        </w:tc>
        <w:tc>
          <w:tcPr>
            <w:tcW w:w="1080" w:type="dxa"/>
            <w:tcBorders>
              <w:top w:val="nil"/>
              <w:left w:val="single" w:sz="12" w:space="0" w:color="auto"/>
              <w:bottom w:val="single" w:sz="12" w:space="0" w:color="auto"/>
            </w:tcBorders>
            <w:vAlign w:val="bottom"/>
          </w:tcPr>
          <w:p w14:paraId="594E88A3"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(m)</w:t>
            </w:r>
          </w:p>
        </w:tc>
        <w:tc>
          <w:tcPr>
            <w:tcW w:w="1080" w:type="dxa"/>
            <w:tcBorders>
              <w:top w:val="nil"/>
              <w:bottom w:val="single" w:sz="12" w:space="0" w:color="auto"/>
              <w:right w:val="single" w:sz="12" w:space="0" w:color="auto"/>
            </w:tcBorders>
            <w:vAlign w:val="bottom"/>
          </w:tcPr>
          <w:p w14:paraId="34DCB4C0" w14:textId="730B5D3F"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w:t>
            </w:r>
            <w:r w:rsidR="009D10C1" w:rsidRPr="00D858C0">
              <w:rPr>
                <w:color w:val="000000"/>
              </w:rPr>
              <w:t>ft.</w:t>
            </w:r>
            <w:r w:rsidRPr="00D858C0">
              <w:rPr>
                <w:color w:val="000000"/>
              </w:rPr>
              <w:t>)</w:t>
            </w:r>
          </w:p>
        </w:tc>
        <w:tc>
          <w:tcPr>
            <w:tcW w:w="1080" w:type="dxa"/>
            <w:tcBorders>
              <w:top w:val="nil"/>
              <w:left w:val="single" w:sz="12" w:space="0" w:color="auto"/>
              <w:bottom w:val="single" w:sz="12" w:space="0" w:color="auto"/>
              <w:right w:val="single" w:sz="4" w:space="0" w:color="auto"/>
            </w:tcBorders>
            <w:vAlign w:val="bottom"/>
          </w:tcPr>
          <w:p w14:paraId="120EF3EF"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(m)</w:t>
            </w:r>
          </w:p>
        </w:tc>
        <w:tc>
          <w:tcPr>
            <w:tcW w:w="1080" w:type="dxa"/>
            <w:tcBorders>
              <w:top w:val="nil"/>
              <w:left w:val="single" w:sz="4" w:space="0" w:color="auto"/>
              <w:bottom w:val="single" w:sz="12" w:space="0" w:color="auto"/>
              <w:right w:val="single" w:sz="12" w:space="0" w:color="auto"/>
            </w:tcBorders>
            <w:vAlign w:val="bottom"/>
          </w:tcPr>
          <w:p w14:paraId="62B0C48E" w14:textId="08A4956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w:t>
            </w:r>
            <w:r w:rsidR="009D10C1" w:rsidRPr="00D858C0">
              <w:rPr>
                <w:color w:val="000000"/>
              </w:rPr>
              <w:t>ft.</w:t>
            </w:r>
            <w:r w:rsidRPr="00D858C0">
              <w:rPr>
                <w:color w:val="000000"/>
              </w:rPr>
              <w:t>)</w:t>
            </w:r>
          </w:p>
        </w:tc>
        <w:tc>
          <w:tcPr>
            <w:tcW w:w="1080" w:type="dxa"/>
            <w:tcBorders>
              <w:top w:val="nil"/>
              <w:left w:val="single" w:sz="12" w:space="0" w:color="auto"/>
              <w:bottom w:val="single" w:sz="12" w:space="0" w:color="auto"/>
            </w:tcBorders>
            <w:vAlign w:val="bottom"/>
          </w:tcPr>
          <w:p w14:paraId="32716649"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(m)</w:t>
            </w:r>
          </w:p>
        </w:tc>
        <w:tc>
          <w:tcPr>
            <w:tcW w:w="1089" w:type="dxa"/>
            <w:tcBorders>
              <w:top w:val="nil"/>
              <w:bottom w:val="single" w:sz="12" w:space="0" w:color="auto"/>
              <w:right w:val="single" w:sz="12" w:space="0" w:color="auto"/>
            </w:tcBorders>
            <w:vAlign w:val="bottom"/>
          </w:tcPr>
          <w:p w14:paraId="436DCB2C" w14:textId="3F520F91"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w:t>
            </w:r>
            <w:r w:rsidR="009D10C1" w:rsidRPr="00D858C0">
              <w:rPr>
                <w:color w:val="000000"/>
              </w:rPr>
              <w:t>ft.</w:t>
            </w:r>
            <w:r w:rsidRPr="00D858C0">
              <w:rPr>
                <w:color w:val="000000"/>
              </w:rPr>
              <w:t>)</w:t>
            </w:r>
          </w:p>
        </w:tc>
      </w:tr>
      <w:tr w:rsidR="00DE6D46" w:rsidRPr="00D858C0" w14:paraId="10632B7E" w14:textId="77777777" w:rsidTr="00EA6963">
        <w:trPr>
          <w:jc w:val="center"/>
        </w:trPr>
        <w:tc>
          <w:tcPr>
            <w:tcW w:w="1269" w:type="dxa"/>
            <w:vMerge w:val="restart"/>
            <w:tcBorders>
              <w:top w:val="single" w:sz="12" w:space="0" w:color="auto"/>
              <w:left w:val="single" w:sz="12" w:space="0" w:color="auto"/>
              <w:right w:val="single" w:sz="12" w:space="0" w:color="auto"/>
            </w:tcBorders>
            <w:textDirection w:val="btLr"/>
            <w:vAlign w:val="center"/>
          </w:tcPr>
          <w:p w14:paraId="480A8C5A"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ind w:left="113" w:right="113"/>
              <w:jc w:val="center"/>
              <w:rPr>
                <w:color w:val="000000"/>
              </w:rPr>
            </w:pPr>
            <w:r w:rsidRPr="00D858C0">
              <w:rPr>
                <w:color w:val="000000"/>
              </w:rPr>
              <w:t>Electrical Enclosures</w:t>
            </w:r>
          </w:p>
        </w:tc>
        <w:tc>
          <w:tcPr>
            <w:tcW w:w="1152" w:type="dxa"/>
            <w:tcBorders>
              <w:top w:val="single" w:sz="12" w:space="0" w:color="auto"/>
              <w:left w:val="single" w:sz="12" w:space="0" w:color="auto"/>
              <w:right w:val="single" w:sz="12" w:space="0" w:color="auto"/>
            </w:tcBorders>
            <w:vAlign w:val="bottom"/>
          </w:tcPr>
          <w:p w14:paraId="57B731B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15</w:t>
            </w:r>
          </w:p>
        </w:tc>
        <w:tc>
          <w:tcPr>
            <w:tcW w:w="1080" w:type="dxa"/>
            <w:tcBorders>
              <w:top w:val="single" w:sz="12" w:space="0" w:color="auto"/>
              <w:left w:val="single" w:sz="12" w:space="0" w:color="auto"/>
            </w:tcBorders>
            <w:vAlign w:val="bottom"/>
          </w:tcPr>
          <w:p w14:paraId="29FAE4DE"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0.3</w:t>
            </w:r>
          </w:p>
        </w:tc>
        <w:tc>
          <w:tcPr>
            <w:tcW w:w="1080" w:type="dxa"/>
            <w:tcBorders>
              <w:top w:val="single" w:sz="12" w:space="0" w:color="auto"/>
              <w:right w:val="single" w:sz="12" w:space="0" w:color="auto"/>
            </w:tcBorders>
            <w:vAlign w:val="bottom"/>
          </w:tcPr>
          <w:p w14:paraId="192AD2A5"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1.1</w:t>
            </w:r>
          </w:p>
        </w:tc>
        <w:tc>
          <w:tcPr>
            <w:tcW w:w="1080" w:type="dxa"/>
            <w:tcBorders>
              <w:top w:val="single" w:sz="12" w:space="0" w:color="auto"/>
              <w:left w:val="single" w:sz="12" w:space="0" w:color="auto"/>
              <w:right w:val="single" w:sz="4" w:space="0" w:color="auto"/>
            </w:tcBorders>
            <w:vAlign w:val="bottom"/>
          </w:tcPr>
          <w:p w14:paraId="1ADFCE0C"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0.5</w:t>
            </w:r>
          </w:p>
        </w:tc>
        <w:tc>
          <w:tcPr>
            <w:tcW w:w="1080" w:type="dxa"/>
            <w:tcBorders>
              <w:top w:val="single" w:sz="12" w:space="0" w:color="auto"/>
              <w:left w:val="single" w:sz="4" w:space="0" w:color="auto"/>
              <w:right w:val="single" w:sz="12" w:space="0" w:color="auto"/>
            </w:tcBorders>
            <w:vAlign w:val="bottom"/>
          </w:tcPr>
          <w:p w14:paraId="16F06E7D"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1.5</w:t>
            </w:r>
          </w:p>
        </w:tc>
        <w:tc>
          <w:tcPr>
            <w:tcW w:w="1080" w:type="dxa"/>
            <w:tcBorders>
              <w:top w:val="single" w:sz="12" w:space="0" w:color="auto"/>
              <w:left w:val="single" w:sz="12" w:space="0" w:color="auto"/>
            </w:tcBorders>
            <w:vAlign w:val="bottom"/>
          </w:tcPr>
          <w:p w14:paraId="20CB79DE"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1.6</w:t>
            </w:r>
          </w:p>
        </w:tc>
        <w:tc>
          <w:tcPr>
            <w:tcW w:w="1089" w:type="dxa"/>
            <w:tcBorders>
              <w:top w:val="single" w:sz="12" w:space="0" w:color="auto"/>
              <w:right w:val="single" w:sz="12" w:space="0" w:color="auto"/>
            </w:tcBorders>
            <w:vAlign w:val="bottom"/>
          </w:tcPr>
          <w:p w14:paraId="390F05ED"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5.3</w:t>
            </w:r>
          </w:p>
        </w:tc>
      </w:tr>
      <w:tr w:rsidR="00DE6D46" w:rsidRPr="00D858C0" w14:paraId="4FDCD95D" w14:textId="77777777" w:rsidTr="00EA6963">
        <w:trPr>
          <w:jc w:val="center"/>
        </w:trPr>
        <w:tc>
          <w:tcPr>
            <w:tcW w:w="1269" w:type="dxa"/>
            <w:vMerge/>
            <w:tcBorders>
              <w:left w:val="single" w:sz="12" w:space="0" w:color="auto"/>
              <w:right w:val="single" w:sz="12" w:space="0" w:color="auto"/>
            </w:tcBorders>
          </w:tcPr>
          <w:p w14:paraId="478844CF"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1152" w:type="dxa"/>
            <w:tcBorders>
              <w:left w:val="single" w:sz="12" w:space="0" w:color="auto"/>
              <w:right w:val="single" w:sz="12" w:space="0" w:color="auto"/>
            </w:tcBorders>
            <w:vAlign w:val="bottom"/>
          </w:tcPr>
          <w:p w14:paraId="51C49057"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45</w:t>
            </w:r>
          </w:p>
        </w:tc>
        <w:tc>
          <w:tcPr>
            <w:tcW w:w="1080" w:type="dxa"/>
            <w:tcBorders>
              <w:left w:val="single" w:sz="12" w:space="0" w:color="auto"/>
            </w:tcBorders>
            <w:vAlign w:val="bottom"/>
          </w:tcPr>
          <w:p w14:paraId="7CE23CF5"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0.5</w:t>
            </w:r>
          </w:p>
        </w:tc>
        <w:tc>
          <w:tcPr>
            <w:tcW w:w="1080" w:type="dxa"/>
            <w:tcBorders>
              <w:right w:val="single" w:sz="12" w:space="0" w:color="auto"/>
            </w:tcBorders>
            <w:vAlign w:val="bottom"/>
          </w:tcPr>
          <w:p w14:paraId="0E497DAA"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1.6</w:t>
            </w:r>
          </w:p>
        </w:tc>
        <w:tc>
          <w:tcPr>
            <w:tcW w:w="1080" w:type="dxa"/>
            <w:tcBorders>
              <w:left w:val="single" w:sz="12" w:space="0" w:color="auto"/>
              <w:right w:val="single" w:sz="4" w:space="0" w:color="auto"/>
            </w:tcBorders>
            <w:vAlign w:val="bottom"/>
          </w:tcPr>
          <w:p w14:paraId="3466A39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0.7</w:t>
            </w:r>
          </w:p>
        </w:tc>
        <w:tc>
          <w:tcPr>
            <w:tcW w:w="1080" w:type="dxa"/>
            <w:tcBorders>
              <w:left w:val="single" w:sz="4" w:space="0" w:color="auto"/>
              <w:right w:val="single" w:sz="12" w:space="0" w:color="auto"/>
            </w:tcBorders>
            <w:vAlign w:val="bottom"/>
          </w:tcPr>
          <w:p w14:paraId="609DF67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2.2</w:t>
            </w:r>
          </w:p>
        </w:tc>
        <w:tc>
          <w:tcPr>
            <w:tcW w:w="1080" w:type="dxa"/>
            <w:tcBorders>
              <w:left w:val="single" w:sz="12" w:space="0" w:color="auto"/>
            </w:tcBorders>
            <w:vAlign w:val="bottom"/>
          </w:tcPr>
          <w:p w14:paraId="27046E8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2.3</w:t>
            </w:r>
          </w:p>
        </w:tc>
        <w:tc>
          <w:tcPr>
            <w:tcW w:w="1089" w:type="dxa"/>
            <w:tcBorders>
              <w:right w:val="single" w:sz="12" w:space="0" w:color="auto"/>
            </w:tcBorders>
            <w:vAlign w:val="bottom"/>
          </w:tcPr>
          <w:p w14:paraId="7010CEDD"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7.6</w:t>
            </w:r>
          </w:p>
        </w:tc>
      </w:tr>
      <w:tr w:rsidR="00DE6D46" w:rsidRPr="00D858C0" w14:paraId="75D8AF68" w14:textId="77777777" w:rsidTr="00EA6963">
        <w:trPr>
          <w:jc w:val="center"/>
        </w:trPr>
        <w:tc>
          <w:tcPr>
            <w:tcW w:w="1269" w:type="dxa"/>
            <w:vMerge/>
            <w:tcBorders>
              <w:left w:val="single" w:sz="12" w:space="0" w:color="auto"/>
              <w:right w:val="single" w:sz="12" w:space="0" w:color="auto"/>
            </w:tcBorders>
          </w:tcPr>
          <w:p w14:paraId="668B9FF9"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1152" w:type="dxa"/>
            <w:tcBorders>
              <w:left w:val="single" w:sz="12" w:space="0" w:color="auto"/>
              <w:right w:val="single" w:sz="12" w:space="0" w:color="auto"/>
            </w:tcBorders>
            <w:vAlign w:val="bottom"/>
          </w:tcPr>
          <w:p w14:paraId="1584EF79"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130</w:t>
            </w:r>
          </w:p>
        </w:tc>
        <w:tc>
          <w:tcPr>
            <w:tcW w:w="1080" w:type="dxa"/>
            <w:tcBorders>
              <w:left w:val="single" w:sz="12" w:space="0" w:color="auto"/>
            </w:tcBorders>
            <w:vAlign w:val="bottom"/>
          </w:tcPr>
          <w:p w14:paraId="27E3AA8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0.7</w:t>
            </w:r>
          </w:p>
        </w:tc>
        <w:tc>
          <w:tcPr>
            <w:tcW w:w="1080" w:type="dxa"/>
            <w:tcBorders>
              <w:right w:val="single" w:sz="12" w:space="0" w:color="auto"/>
            </w:tcBorders>
            <w:vAlign w:val="bottom"/>
          </w:tcPr>
          <w:p w14:paraId="6411F86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2.3</w:t>
            </w:r>
          </w:p>
        </w:tc>
        <w:tc>
          <w:tcPr>
            <w:tcW w:w="1080" w:type="dxa"/>
            <w:tcBorders>
              <w:left w:val="single" w:sz="12" w:space="0" w:color="auto"/>
              <w:right w:val="single" w:sz="4" w:space="0" w:color="auto"/>
            </w:tcBorders>
            <w:vAlign w:val="bottom"/>
          </w:tcPr>
          <w:p w14:paraId="207253F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w:t>
            </w:r>
          </w:p>
        </w:tc>
        <w:tc>
          <w:tcPr>
            <w:tcW w:w="1080" w:type="dxa"/>
            <w:tcBorders>
              <w:left w:val="single" w:sz="4" w:space="0" w:color="auto"/>
              <w:right w:val="single" w:sz="12" w:space="0" w:color="auto"/>
            </w:tcBorders>
            <w:vAlign w:val="bottom"/>
          </w:tcPr>
          <w:p w14:paraId="5D0C037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3.1</w:t>
            </w:r>
          </w:p>
        </w:tc>
        <w:tc>
          <w:tcPr>
            <w:tcW w:w="1080" w:type="dxa"/>
            <w:tcBorders>
              <w:left w:val="single" w:sz="12" w:space="0" w:color="auto"/>
            </w:tcBorders>
            <w:vAlign w:val="bottom"/>
          </w:tcPr>
          <w:p w14:paraId="30ED08A7"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3.3</w:t>
            </w:r>
          </w:p>
        </w:tc>
        <w:tc>
          <w:tcPr>
            <w:tcW w:w="1089" w:type="dxa"/>
            <w:tcBorders>
              <w:right w:val="single" w:sz="12" w:space="0" w:color="auto"/>
            </w:tcBorders>
            <w:vAlign w:val="bottom"/>
          </w:tcPr>
          <w:p w14:paraId="1071B92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10.8</w:t>
            </w:r>
          </w:p>
        </w:tc>
      </w:tr>
      <w:tr w:rsidR="00DE6D46" w:rsidRPr="00D858C0" w14:paraId="21FA11CA" w14:textId="77777777" w:rsidTr="00EA6963">
        <w:trPr>
          <w:jc w:val="center"/>
        </w:trPr>
        <w:tc>
          <w:tcPr>
            <w:tcW w:w="1269" w:type="dxa"/>
            <w:vMerge/>
            <w:tcBorders>
              <w:left w:val="single" w:sz="12" w:space="0" w:color="auto"/>
              <w:right w:val="single" w:sz="12" w:space="0" w:color="auto"/>
            </w:tcBorders>
          </w:tcPr>
          <w:p w14:paraId="14CE295C"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1152" w:type="dxa"/>
            <w:tcBorders>
              <w:left w:val="single" w:sz="12" w:space="0" w:color="auto"/>
              <w:right w:val="single" w:sz="12" w:space="0" w:color="auto"/>
            </w:tcBorders>
            <w:vAlign w:val="bottom"/>
          </w:tcPr>
          <w:p w14:paraId="44157C9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170</w:t>
            </w:r>
          </w:p>
        </w:tc>
        <w:tc>
          <w:tcPr>
            <w:tcW w:w="1080" w:type="dxa"/>
            <w:tcBorders>
              <w:left w:val="single" w:sz="12" w:space="0" w:color="auto"/>
            </w:tcBorders>
            <w:vAlign w:val="bottom"/>
          </w:tcPr>
          <w:p w14:paraId="0758D831"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0.8</w:t>
            </w:r>
          </w:p>
        </w:tc>
        <w:tc>
          <w:tcPr>
            <w:tcW w:w="1080" w:type="dxa"/>
            <w:tcBorders>
              <w:right w:val="single" w:sz="12" w:space="0" w:color="auto"/>
            </w:tcBorders>
            <w:vAlign w:val="bottom"/>
          </w:tcPr>
          <w:p w14:paraId="766A798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2.5</w:t>
            </w:r>
          </w:p>
        </w:tc>
        <w:tc>
          <w:tcPr>
            <w:tcW w:w="1080" w:type="dxa"/>
            <w:tcBorders>
              <w:left w:val="single" w:sz="12" w:space="0" w:color="auto"/>
              <w:right w:val="single" w:sz="4" w:space="0" w:color="auto"/>
            </w:tcBorders>
            <w:vAlign w:val="bottom"/>
          </w:tcPr>
          <w:p w14:paraId="6DC55D4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1.0</w:t>
            </w:r>
          </w:p>
        </w:tc>
        <w:tc>
          <w:tcPr>
            <w:tcW w:w="1080" w:type="dxa"/>
            <w:tcBorders>
              <w:left w:val="single" w:sz="4" w:space="0" w:color="auto"/>
              <w:right w:val="single" w:sz="12" w:space="0" w:color="auto"/>
            </w:tcBorders>
            <w:vAlign w:val="bottom"/>
          </w:tcPr>
          <w:p w14:paraId="479844D5"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3.4</w:t>
            </w:r>
          </w:p>
        </w:tc>
        <w:tc>
          <w:tcPr>
            <w:tcW w:w="1080" w:type="dxa"/>
            <w:tcBorders>
              <w:left w:val="single" w:sz="12" w:space="0" w:color="auto"/>
            </w:tcBorders>
            <w:vAlign w:val="bottom"/>
          </w:tcPr>
          <w:p w14:paraId="379589B4"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3.6</w:t>
            </w:r>
          </w:p>
        </w:tc>
        <w:tc>
          <w:tcPr>
            <w:tcW w:w="1089" w:type="dxa"/>
            <w:tcBorders>
              <w:right w:val="single" w:sz="12" w:space="0" w:color="auto"/>
            </w:tcBorders>
            <w:vAlign w:val="bottom"/>
          </w:tcPr>
          <w:p w14:paraId="7ED08E8F"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11.8</w:t>
            </w:r>
          </w:p>
        </w:tc>
      </w:tr>
      <w:tr w:rsidR="00DE6D46" w:rsidRPr="00D858C0" w14:paraId="4B831852" w14:textId="77777777" w:rsidTr="00EA6963">
        <w:trPr>
          <w:jc w:val="center"/>
        </w:trPr>
        <w:tc>
          <w:tcPr>
            <w:tcW w:w="1269" w:type="dxa"/>
            <w:vMerge/>
            <w:tcBorders>
              <w:left w:val="single" w:sz="12" w:space="0" w:color="auto"/>
              <w:right w:val="single" w:sz="12" w:space="0" w:color="auto"/>
            </w:tcBorders>
          </w:tcPr>
          <w:p w14:paraId="11894661"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1152" w:type="dxa"/>
            <w:tcBorders>
              <w:left w:val="single" w:sz="12" w:space="0" w:color="auto"/>
              <w:right w:val="single" w:sz="12" w:space="0" w:color="auto"/>
            </w:tcBorders>
            <w:vAlign w:val="bottom"/>
          </w:tcPr>
          <w:p w14:paraId="5A5DC277"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200</w:t>
            </w:r>
          </w:p>
        </w:tc>
        <w:tc>
          <w:tcPr>
            <w:tcW w:w="1080" w:type="dxa"/>
            <w:tcBorders>
              <w:left w:val="single" w:sz="12" w:space="0" w:color="auto"/>
            </w:tcBorders>
            <w:vAlign w:val="bottom"/>
          </w:tcPr>
          <w:p w14:paraId="59FA372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0.8</w:t>
            </w:r>
          </w:p>
        </w:tc>
        <w:tc>
          <w:tcPr>
            <w:tcW w:w="1080" w:type="dxa"/>
            <w:tcBorders>
              <w:right w:val="single" w:sz="12" w:space="0" w:color="auto"/>
            </w:tcBorders>
            <w:vAlign w:val="bottom"/>
          </w:tcPr>
          <w:p w14:paraId="6F22D0E5"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2.7</w:t>
            </w:r>
          </w:p>
        </w:tc>
        <w:tc>
          <w:tcPr>
            <w:tcW w:w="1080" w:type="dxa"/>
            <w:tcBorders>
              <w:left w:val="single" w:sz="12" w:space="0" w:color="auto"/>
              <w:right w:val="single" w:sz="4" w:space="0" w:color="auto"/>
            </w:tcBorders>
            <w:vAlign w:val="bottom"/>
          </w:tcPr>
          <w:p w14:paraId="25B4D974"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1.1</w:t>
            </w:r>
          </w:p>
        </w:tc>
        <w:tc>
          <w:tcPr>
            <w:tcW w:w="1080" w:type="dxa"/>
            <w:tcBorders>
              <w:left w:val="single" w:sz="4" w:space="0" w:color="auto"/>
              <w:right w:val="single" w:sz="12" w:space="0" w:color="auto"/>
            </w:tcBorders>
            <w:vAlign w:val="bottom"/>
          </w:tcPr>
          <w:p w14:paraId="2606FF2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3.6</w:t>
            </w:r>
          </w:p>
        </w:tc>
        <w:tc>
          <w:tcPr>
            <w:tcW w:w="1080" w:type="dxa"/>
            <w:tcBorders>
              <w:left w:val="single" w:sz="12" w:space="0" w:color="auto"/>
            </w:tcBorders>
            <w:vAlign w:val="bottom"/>
          </w:tcPr>
          <w:p w14:paraId="75771DA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3.8</w:t>
            </w:r>
          </w:p>
        </w:tc>
        <w:tc>
          <w:tcPr>
            <w:tcW w:w="1089" w:type="dxa"/>
            <w:tcBorders>
              <w:right w:val="single" w:sz="12" w:space="0" w:color="auto"/>
            </w:tcBorders>
            <w:vAlign w:val="bottom"/>
          </w:tcPr>
          <w:p w14:paraId="75B8BEF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12.5</w:t>
            </w:r>
          </w:p>
        </w:tc>
      </w:tr>
      <w:tr w:rsidR="00DE6D46" w:rsidRPr="00D858C0" w14:paraId="7326867F" w14:textId="77777777" w:rsidTr="00EA6963">
        <w:trPr>
          <w:jc w:val="center"/>
        </w:trPr>
        <w:tc>
          <w:tcPr>
            <w:tcW w:w="1269" w:type="dxa"/>
            <w:vMerge/>
            <w:tcBorders>
              <w:left w:val="single" w:sz="12" w:space="0" w:color="auto"/>
              <w:right w:val="single" w:sz="12" w:space="0" w:color="auto"/>
            </w:tcBorders>
          </w:tcPr>
          <w:p w14:paraId="7F48CEBD"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1152" w:type="dxa"/>
            <w:tcBorders>
              <w:left w:val="single" w:sz="12" w:space="0" w:color="auto"/>
              <w:right w:val="single" w:sz="12" w:space="0" w:color="auto"/>
            </w:tcBorders>
            <w:vAlign w:val="bottom"/>
          </w:tcPr>
          <w:p w14:paraId="2730176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325</w:t>
            </w:r>
          </w:p>
        </w:tc>
        <w:tc>
          <w:tcPr>
            <w:tcW w:w="1080" w:type="dxa"/>
            <w:tcBorders>
              <w:left w:val="single" w:sz="12" w:space="0" w:color="auto"/>
            </w:tcBorders>
            <w:vAlign w:val="bottom"/>
          </w:tcPr>
          <w:p w14:paraId="7AFEB63D"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w:t>
            </w:r>
          </w:p>
        </w:tc>
        <w:tc>
          <w:tcPr>
            <w:tcW w:w="1080" w:type="dxa"/>
            <w:tcBorders>
              <w:right w:val="single" w:sz="12" w:space="0" w:color="auto"/>
            </w:tcBorders>
            <w:vAlign w:val="bottom"/>
          </w:tcPr>
          <w:p w14:paraId="18A22A9D"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3.1</w:t>
            </w:r>
          </w:p>
        </w:tc>
        <w:tc>
          <w:tcPr>
            <w:tcW w:w="1080" w:type="dxa"/>
            <w:tcBorders>
              <w:left w:val="single" w:sz="12" w:space="0" w:color="auto"/>
              <w:right w:val="single" w:sz="4" w:space="0" w:color="auto"/>
            </w:tcBorders>
            <w:vAlign w:val="bottom"/>
          </w:tcPr>
          <w:p w14:paraId="2049849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1.3</w:t>
            </w:r>
          </w:p>
        </w:tc>
        <w:tc>
          <w:tcPr>
            <w:tcW w:w="1080" w:type="dxa"/>
            <w:tcBorders>
              <w:left w:val="single" w:sz="4" w:space="0" w:color="auto"/>
              <w:right w:val="single" w:sz="12" w:space="0" w:color="auto"/>
            </w:tcBorders>
            <w:vAlign w:val="bottom"/>
          </w:tcPr>
          <w:p w14:paraId="3F70F14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4.2</w:t>
            </w:r>
          </w:p>
        </w:tc>
        <w:tc>
          <w:tcPr>
            <w:tcW w:w="1080" w:type="dxa"/>
            <w:tcBorders>
              <w:left w:val="single" w:sz="12" w:space="0" w:color="auto"/>
            </w:tcBorders>
            <w:vAlign w:val="bottom"/>
          </w:tcPr>
          <w:p w14:paraId="6AE5B2E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4.5</w:t>
            </w:r>
          </w:p>
        </w:tc>
        <w:tc>
          <w:tcPr>
            <w:tcW w:w="1089" w:type="dxa"/>
            <w:tcBorders>
              <w:right w:val="single" w:sz="12" w:space="0" w:color="auto"/>
            </w:tcBorders>
            <w:vAlign w:val="bottom"/>
          </w:tcPr>
          <w:p w14:paraId="090DD81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14.6</w:t>
            </w:r>
          </w:p>
        </w:tc>
      </w:tr>
      <w:tr w:rsidR="00DE6D46" w:rsidRPr="00D858C0" w14:paraId="68618B32" w14:textId="77777777" w:rsidTr="00EA6963">
        <w:trPr>
          <w:jc w:val="center"/>
        </w:trPr>
        <w:tc>
          <w:tcPr>
            <w:tcW w:w="1269" w:type="dxa"/>
            <w:vMerge/>
            <w:tcBorders>
              <w:left w:val="single" w:sz="12" w:space="0" w:color="auto"/>
              <w:right w:val="single" w:sz="12" w:space="0" w:color="auto"/>
            </w:tcBorders>
          </w:tcPr>
          <w:p w14:paraId="2802A82E"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1152" w:type="dxa"/>
            <w:tcBorders>
              <w:left w:val="single" w:sz="12" w:space="0" w:color="auto"/>
              <w:right w:val="single" w:sz="12" w:space="0" w:color="auto"/>
            </w:tcBorders>
            <w:vAlign w:val="bottom"/>
          </w:tcPr>
          <w:p w14:paraId="08FAB1E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400</w:t>
            </w:r>
          </w:p>
        </w:tc>
        <w:tc>
          <w:tcPr>
            <w:tcW w:w="1080" w:type="dxa"/>
            <w:tcBorders>
              <w:left w:val="single" w:sz="12" w:space="0" w:color="auto"/>
            </w:tcBorders>
            <w:vAlign w:val="bottom"/>
          </w:tcPr>
          <w:p w14:paraId="14868497"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1.0</w:t>
            </w:r>
          </w:p>
        </w:tc>
        <w:tc>
          <w:tcPr>
            <w:tcW w:w="1080" w:type="dxa"/>
            <w:tcBorders>
              <w:right w:val="single" w:sz="12" w:space="0" w:color="auto"/>
            </w:tcBorders>
            <w:vAlign w:val="bottom"/>
          </w:tcPr>
          <w:p w14:paraId="079960C3"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3.3</w:t>
            </w:r>
          </w:p>
        </w:tc>
        <w:tc>
          <w:tcPr>
            <w:tcW w:w="1080" w:type="dxa"/>
            <w:tcBorders>
              <w:left w:val="single" w:sz="12" w:space="0" w:color="auto"/>
              <w:right w:val="single" w:sz="4" w:space="0" w:color="auto"/>
            </w:tcBorders>
            <w:vAlign w:val="bottom"/>
          </w:tcPr>
          <w:p w14:paraId="2221CC65"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1.4</w:t>
            </w:r>
          </w:p>
        </w:tc>
        <w:tc>
          <w:tcPr>
            <w:tcW w:w="1080" w:type="dxa"/>
            <w:tcBorders>
              <w:left w:val="single" w:sz="4" w:space="0" w:color="auto"/>
              <w:right w:val="single" w:sz="12" w:space="0" w:color="auto"/>
            </w:tcBorders>
            <w:vAlign w:val="bottom"/>
          </w:tcPr>
          <w:p w14:paraId="05AAF0F9"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4.5</w:t>
            </w:r>
          </w:p>
        </w:tc>
        <w:tc>
          <w:tcPr>
            <w:tcW w:w="1080" w:type="dxa"/>
            <w:tcBorders>
              <w:left w:val="single" w:sz="12" w:space="0" w:color="auto"/>
            </w:tcBorders>
            <w:vAlign w:val="bottom"/>
          </w:tcPr>
          <w:p w14:paraId="09EB2F5E"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4.8</w:t>
            </w:r>
          </w:p>
        </w:tc>
        <w:tc>
          <w:tcPr>
            <w:tcW w:w="1089" w:type="dxa"/>
            <w:tcBorders>
              <w:right w:val="single" w:sz="12" w:space="0" w:color="auto"/>
            </w:tcBorders>
            <w:vAlign w:val="bottom"/>
          </w:tcPr>
          <w:p w14:paraId="1E84D163"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15.7</w:t>
            </w:r>
          </w:p>
        </w:tc>
      </w:tr>
      <w:tr w:rsidR="00DE6D46" w:rsidRPr="00D858C0" w14:paraId="090AB6CF" w14:textId="77777777" w:rsidTr="00EA6963">
        <w:trPr>
          <w:jc w:val="center"/>
        </w:trPr>
        <w:tc>
          <w:tcPr>
            <w:tcW w:w="1269" w:type="dxa"/>
            <w:vMerge/>
            <w:tcBorders>
              <w:left w:val="single" w:sz="12" w:space="0" w:color="auto"/>
              <w:right w:val="single" w:sz="12" w:space="0" w:color="auto"/>
            </w:tcBorders>
          </w:tcPr>
          <w:p w14:paraId="0125DAE7"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1152" w:type="dxa"/>
            <w:tcBorders>
              <w:left w:val="single" w:sz="12" w:space="0" w:color="auto"/>
              <w:right w:val="single" w:sz="12" w:space="0" w:color="auto"/>
            </w:tcBorders>
            <w:vAlign w:val="bottom"/>
          </w:tcPr>
          <w:p w14:paraId="244B8C5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700</w:t>
            </w:r>
          </w:p>
        </w:tc>
        <w:tc>
          <w:tcPr>
            <w:tcW w:w="1080" w:type="dxa"/>
            <w:tcBorders>
              <w:left w:val="single" w:sz="12" w:space="0" w:color="auto"/>
            </w:tcBorders>
            <w:vAlign w:val="bottom"/>
          </w:tcPr>
          <w:p w14:paraId="01529BF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1.2</w:t>
            </w:r>
          </w:p>
        </w:tc>
        <w:tc>
          <w:tcPr>
            <w:tcW w:w="1080" w:type="dxa"/>
            <w:tcBorders>
              <w:right w:val="single" w:sz="12" w:space="0" w:color="auto"/>
            </w:tcBorders>
            <w:vAlign w:val="bottom"/>
          </w:tcPr>
          <w:p w14:paraId="59368CAA"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4.0</w:t>
            </w:r>
          </w:p>
        </w:tc>
        <w:tc>
          <w:tcPr>
            <w:tcW w:w="1080" w:type="dxa"/>
            <w:tcBorders>
              <w:left w:val="single" w:sz="12" w:space="0" w:color="auto"/>
              <w:right w:val="single" w:sz="4" w:space="0" w:color="auto"/>
            </w:tcBorders>
            <w:vAlign w:val="bottom"/>
          </w:tcPr>
          <w:p w14:paraId="1CBF38D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1.7</w:t>
            </w:r>
          </w:p>
        </w:tc>
        <w:tc>
          <w:tcPr>
            <w:tcW w:w="1080" w:type="dxa"/>
            <w:tcBorders>
              <w:left w:val="single" w:sz="4" w:space="0" w:color="auto"/>
              <w:right w:val="single" w:sz="12" w:space="0" w:color="auto"/>
            </w:tcBorders>
            <w:vAlign w:val="bottom"/>
          </w:tcPr>
          <w:p w14:paraId="6EF4DDC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5.4</w:t>
            </w:r>
          </w:p>
        </w:tc>
        <w:tc>
          <w:tcPr>
            <w:tcW w:w="1080" w:type="dxa"/>
            <w:tcBorders>
              <w:left w:val="single" w:sz="12" w:space="0" w:color="auto"/>
            </w:tcBorders>
            <w:vAlign w:val="bottom"/>
          </w:tcPr>
          <w:p w14:paraId="42ED32A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5.8</w:t>
            </w:r>
          </w:p>
        </w:tc>
        <w:tc>
          <w:tcPr>
            <w:tcW w:w="1089" w:type="dxa"/>
            <w:tcBorders>
              <w:right w:val="single" w:sz="12" w:space="0" w:color="auto"/>
            </w:tcBorders>
            <w:vAlign w:val="bottom"/>
          </w:tcPr>
          <w:p w14:paraId="20BCE0D9"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18.9</w:t>
            </w:r>
          </w:p>
        </w:tc>
      </w:tr>
      <w:tr w:rsidR="00DE6D46" w:rsidRPr="00D858C0" w14:paraId="42D3909D" w14:textId="77777777" w:rsidTr="00AF2379">
        <w:trPr>
          <w:jc w:val="center"/>
        </w:trPr>
        <w:tc>
          <w:tcPr>
            <w:tcW w:w="1269" w:type="dxa"/>
            <w:vMerge/>
            <w:tcBorders>
              <w:left w:val="single" w:sz="12" w:space="0" w:color="auto"/>
              <w:bottom w:val="single" w:sz="12" w:space="0" w:color="auto"/>
              <w:right w:val="single" w:sz="12" w:space="0" w:color="auto"/>
            </w:tcBorders>
          </w:tcPr>
          <w:p w14:paraId="7B13CBB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p>
        </w:tc>
        <w:tc>
          <w:tcPr>
            <w:tcW w:w="1152" w:type="dxa"/>
            <w:tcBorders>
              <w:left w:val="single" w:sz="12" w:space="0" w:color="auto"/>
              <w:bottom w:val="single" w:sz="12" w:space="0" w:color="auto"/>
              <w:right w:val="single" w:sz="12" w:space="0" w:color="auto"/>
            </w:tcBorders>
            <w:vAlign w:val="bottom"/>
          </w:tcPr>
          <w:p w14:paraId="417BCF67"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1000</w:t>
            </w:r>
          </w:p>
        </w:tc>
        <w:tc>
          <w:tcPr>
            <w:tcW w:w="1080" w:type="dxa"/>
            <w:tcBorders>
              <w:left w:val="single" w:sz="12" w:space="0" w:color="auto"/>
              <w:bottom w:val="single" w:sz="12" w:space="0" w:color="auto"/>
            </w:tcBorders>
            <w:vAlign w:val="bottom"/>
          </w:tcPr>
          <w:p w14:paraId="45D06FA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1.4</w:t>
            </w:r>
          </w:p>
        </w:tc>
        <w:tc>
          <w:tcPr>
            <w:tcW w:w="1080" w:type="dxa"/>
            <w:tcBorders>
              <w:bottom w:val="single" w:sz="12" w:space="0" w:color="auto"/>
              <w:right w:val="single" w:sz="12" w:space="0" w:color="auto"/>
            </w:tcBorders>
            <w:vAlign w:val="bottom"/>
          </w:tcPr>
          <w:p w14:paraId="6858D75F"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4.5</w:t>
            </w:r>
          </w:p>
        </w:tc>
        <w:tc>
          <w:tcPr>
            <w:tcW w:w="1080" w:type="dxa"/>
            <w:tcBorders>
              <w:left w:val="single" w:sz="12" w:space="0" w:color="auto"/>
              <w:bottom w:val="single" w:sz="12" w:space="0" w:color="auto"/>
              <w:right w:val="single" w:sz="4" w:space="0" w:color="auto"/>
            </w:tcBorders>
            <w:vAlign w:val="bottom"/>
          </w:tcPr>
          <w:p w14:paraId="334B591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1.9</w:t>
            </w:r>
          </w:p>
        </w:tc>
        <w:tc>
          <w:tcPr>
            <w:tcW w:w="1080" w:type="dxa"/>
            <w:tcBorders>
              <w:left w:val="single" w:sz="4" w:space="0" w:color="auto"/>
              <w:bottom w:val="single" w:sz="12" w:space="0" w:color="auto"/>
              <w:right w:val="single" w:sz="12" w:space="0" w:color="auto"/>
            </w:tcBorders>
            <w:vAlign w:val="bottom"/>
          </w:tcPr>
          <w:p w14:paraId="6CA496D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6.1</w:t>
            </w:r>
          </w:p>
        </w:tc>
        <w:tc>
          <w:tcPr>
            <w:tcW w:w="1080" w:type="dxa"/>
            <w:tcBorders>
              <w:left w:val="single" w:sz="12" w:space="0" w:color="auto"/>
              <w:bottom w:val="single" w:sz="12" w:space="0" w:color="auto"/>
            </w:tcBorders>
            <w:vAlign w:val="bottom"/>
          </w:tcPr>
          <w:p w14:paraId="013AF89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6.5</w:t>
            </w:r>
          </w:p>
        </w:tc>
        <w:tc>
          <w:tcPr>
            <w:tcW w:w="1089" w:type="dxa"/>
            <w:tcBorders>
              <w:bottom w:val="single" w:sz="12" w:space="0" w:color="auto"/>
              <w:right w:val="single" w:sz="12" w:space="0" w:color="auto"/>
            </w:tcBorders>
            <w:vAlign w:val="bottom"/>
          </w:tcPr>
          <w:p w14:paraId="4E5F8DE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21.3</w:t>
            </w:r>
          </w:p>
        </w:tc>
      </w:tr>
      <w:tr w:rsidR="00DE6D46" w:rsidRPr="00D858C0" w14:paraId="54748285" w14:textId="77777777" w:rsidTr="00AF2379">
        <w:trPr>
          <w:jc w:val="center"/>
        </w:trPr>
        <w:tc>
          <w:tcPr>
            <w:tcW w:w="1269" w:type="dxa"/>
            <w:tcBorders>
              <w:top w:val="single" w:sz="12" w:space="0" w:color="auto"/>
              <w:left w:val="single" w:sz="12" w:space="0" w:color="auto"/>
              <w:right w:val="single" w:sz="12" w:space="0" w:color="auto"/>
            </w:tcBorders>
          </w:tcPr>
          <w:p w14:paraId="495FB718"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Motors</w:t>
            </w:r>
          </w:p>
        </w:tc>
        <w:tc>
          <w:tcPr>
            <w:tcW w:w="1152" w:type="dxa"/>
            <w:tcBorders>
              <w:top w:val="single" w:sz="12" w:space="0" w:color="auto"/>
              <w:left w:val="single" w:sz="12" w:space="0" w:color="auto"/>
              <w:right w:val="single" w:sz="12" w:space="0" w:color="auto"/>
            </w:tcBorders>
            <w:vAlign w:val="bottom"/>
          </w:tcPr>
          <w:p w14:paraId="77FFE84F"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69</w:t>
            </w:r>
          </w:p>
        </w:tc>
        <w:tc>
          <w:tcPr>
            <w:tcW w:w="1080" w:type="dxa"/>
            <w:tcBorders>
              <w:top w:val="single" w:sz="12" w:space="0" w:color="auto"/>
              <w:left w:val="single" w:sz="12" w:space="0" w:color="auto"/>
            </w:tcBorders>
            <w:vAlign w:val="bottom"/>
          </w:tcPr>
          <w:p w14:paraId="2F8021AD"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0.6</w:t>
            </w:r>
          </w:p>
        </w:tc>
        <w:tc>
          <w:tcPr>
            <w:tcW w:w="1080" w:type="dxa"/>
            <w:tcBorders>
              <w:top w:val="single" w:sz="12" w:space="0" w:color="auto"/>
              <w:right w:val="single" w:sz="12" w:space="0" w:color="auto"/>
            </w:tcBorders>
            <w:vAlign w:val="bottom"/>
          </w:tcPr>
          <w:p w14:paraId="6198B0CE"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1.9</w:t>
            </w:r>
          </w:p>
        </w:tc>
        <w:tc>
          <w:tcPr>
            <w:tcW w:w="1080" w:type="dxa"/>
            <w:tcBorders>
              <w:top w:val="single" w:sz="12" w:space="0" w:color="auto"/>
              <w:left w:val="single" w:sz="12" w:space="0" w:color="auto"/>
              <w:right w:val="single" w:sz="4" w:space="0" w:color="auto"/>
            </w:tcBorders>
            <w:vAlign w:val="bottom"/>
          </w:tcPr>
          <w:p w14:paraId="39C3A933"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0.8</w:t>
            </w:r>
          </w:p>
        </w:tc>
        <w:tc>
          <w:tcPr>
            <w:tcW w:w="1080" w:type="dxa"/>
            <w:tcBorders>
              <w:top w:val="single" w:sz="12" w:space="0" w:color="auto"/>
              <w:left w:val="single" w:sz="4" w:space="0" w:color="auto"/>
              <w:right w:val="single" w:sz="12" w:space="0" w:color="auto"/>
            </w:tcBorders>
            <w:vAlign w:val="bottom"/>
          </w:tcPr>
          <w:p w14:paraId="223EE59E"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2.5</w:t>
            </w:r>
          </w:p>
        </w:tc>
        <w:tc>
          <w:tcPr>
            <w:tcW w:w="1080" w:type="dxa"/>
            <w:tcBorders>
              <w:top w:val="single" w:sz="12" w:space="0" w:color="auto"/>
              <w:left w:val="single" w:sz="12" w:space="0" w:color="auto"/>
            </w:tcBorders>
            <w:vAlign w:val="bottom"/>
          </w:tcPr>
          <w:p w14:paraId="61FB9AF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2.7</w:t>
            </w:r>
          </w:p>
        </w:tc>
        <w:tc>
          <w:tcPr>
            <w:tcW w:w="1089" w:type="dxa"/>
            <w:tcBorders>
              <w:top w:val="single" w:sz="12" w:space="0" w:color="auto"/>
              <w:right w:val="single" w:sz="12" w:space="0" w:color="auto"/>
            </w:tcBorders>
            <w:vAlign w:val="bottom"/>
          </w:tcPr>
          <w:p w14:paraId="0C73E067"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8.7</w:t>
            </w:r>
          </w:p>
        </w:tc>
      </w:tr>
      <w:tr w:rsidR="00DE6D46" w:rsidRPr="00D858C0" w14:paraId="2E06381E" w14:textId="77777777" w:rsidTr="00EA6963">
        <w:trPr>
          <w:jc w:val="center"/>
        </w:trPr>
        <w:tc>
          <w:tcPr>
            <w:tcW w:w="1269" w:type="dxa"/>
            <w:tcBorders>
              <w:left w:val="single" w:sz="12" w:space="0" w:color="auto"/>
              <w:right w:val="single" w:sz="12" w:space="0" w:color="auto"/>
            </w:tcBorders>
          </w:tcPr>
          <w:p w14:paraId="14BFFD83"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Pumps</w:t>
            </w:r>
          </w:p>
        </w:tc>
        <w:tc>
          <w:tcPr>
            <w:tcW w:w="1152" w:type="dxa"/>
            <w:tcBorders>
              <w:left w:val="single" w:sz="12" w:space="0" w:color="auto"/>
              <w:right w:val="single" w:sz="12" w:space="0" w:color="auto"/>
            </w:tcBorders>
            <w:vAlign w:val="bottom"/>
          </w:tcPr>
          <w:p w14:paraId="246D5239"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211</w:t>
            </w:r>
          </w:p>
        </w:tc>
        <w:tc>
          <w:tcPr>
            <w:tcW w:w="1080" w:type="dxa"/>
            <w:tcBorders>
              <w:left w:val="single" w:sz="12" w:space="0" w:color="auto"/>
            </w:tcBorders>
            <w:vAlign w:val="bottom"/>
          </w:tcPr>
          <w:p w14:paraId="10F8211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0.8</w:t>
            </w:r>
          </w:p>
        </w:tc>
        <w:tc>
          <w:tcPr>
            <w:tcW w:w="1080" w:type="dxa"/>
            <w:tcBorders>
              <w:right w:val="single" w:sz="12" w:space="0" w:color="auto"/>
            </w:tcBorders>
            <w:vAlign w:val="bottom"/>
          </w:tcPr>
          <w:p w14:paraId="1A1919D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2.7</w:t>
            </w:r>
          </w:p>
        </w:tc>
        <w:tc>
          <w:tcPr>
            <w:tcW w:w="1080" w:type="dxa"/>
            <w:tcBorders>
              <w:left w:val="single" w:sz="12" w:space="0" w:color="auto"/>
              <w:right w:val="single" w:sz="4" w:space="0" w:color="auto"/>
            </w:tcBorders>
            <w:vAlign w:val="bottom"/>
          </w:tcPr>
          <w:p w14:paraId="5000007A"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1.1</w:t>
            </w:r>
          </w:p>
        </w:tc>
        <w:tc>
          <w:tcPr>
            <w:tcW w:w="1080" w:type="dxa"/>
            <w:tcBorders>
              <w:left w:val="single" w:sz="4" w:space="0" w:color="auto"/>
              <w:right w:val="single" w:sz="12" w:space="0" w:color="auto"/>
            </w:tcBorders>
            <w:vAlign w:val="bottom"/>
          </w:tcPr>
          <w:p w14:paraId="2B1F1FD7"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3.6</w:t>
            </w:r>
          </w:p>
        </w:tc>
        <w:tc>
          <w:tcPr>
            <w:tcW w:w="1080" w:type="dxa"/>
            <w:tcBorders>
              <w:left w:val="single" w:sz="12" w:space="0" w:color="auto"/>
            </w:tcBorders>
            <w:vAlign w:val="bottom"/>
          </w:tcPr>
          <w:p w14:paraId="64153493"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3.9</w:t>
            </w:r>
          </w:p>
        </w:tc>
        <w:tc>
          <w:tcPr>
            <w:tcW w:w="1089" w:type="dxa"/>
            <w:tcBorders>
              <w:right w:val="single" w:sz="12" w:space="0" w:color="auto"/>
            </w:tcBorders>
            <w:vAlign w:val="bottom"/>
          </w:tcPr>
          <w:p w14:paraId="1C8ED175"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12.7</w:t>
            </w:r>
          </w:p>
        </w:tc>
      </w:tr>
      <w:tr w:rsidR="00DE6D46" w:rsidRPr="00D858C0" w14:paraId="6FCFFD8C" w14:textId="77777777" w:rsidTr="00EA6963">
        <w:trPr>
          <w:jc w:val="center"/>
        </w:trPr>
        <w:tc>
          <w:tcPr>
            <w:tcW w:w="1269" w:type="dxa"/>
            <w:tcBorders>
              <w:left w:val="single" w:sz="12" w:space="0" w:color="auto"/>
              <w:bottom w:val="single" w:sz="12" w:space="0" w:color="auto"/>
              <w:right w:val="single" w:sz="12" w:space="0" w:color="auto"/>
            </w:tcBorders>
          </w:tcPr>
          <w:p w14:paraId="3FA39CB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rPr>
                <w:color w:val="000000"/>
              </w:rPr>
            </w:pPr>
            <w:r w:rsidRPr="00D858C0">
              <w:rPr>
                <w:color w:val="000000"/>
              </w:rPr>
              <w:t>Transients</w:t>
            </w:r>
          </w:p>
        </w:tc>
        <w:tc>
          <w:tcPr>
            <w:tcW w:w="1152" w:type="dxa"/>
            <w:tcBorders>
              <w:left w:val="single" w:sz="12" w:space="0" w:color="auto"/>
              <w:bottom w:val="single" w:sz="12" w:space="0" w:color="auto"/>
              <w:right w:val="single" w:sz="12" w:space="0" w:color="auto"/>
            </w:tcBorders>
            <w:vAlign w:val="bottom"/>
          </w:tcPr>
          <w:p w14:paraId="02C096DE"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317</w:t>
            </w:r>
          </w:p>
        </w:tc>
        <w:tc>
          <w:tcPr>
            <w:tcW w:w="1080" w:type="dxa"/>
            <w:tcBorders>
              <w:left w:val="single" w:sz="12" w:space="0" w:color="auto"/>
              <w:bottom w:val="single" w:sz="12" w:space="0" w:color="auto"/>
            </w:tcBorders>
            <w:vAlign w:val="bottom"/>
          </w:tcPr>
          <w:p w14:paraId="3168697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0.9</w:t>
            </w:r>
          </w:p>
        </w:tc>
        <w:tc>
          <w:tcPr>
            <w:tcW w:w="1080" w:type="dxa"/>
            <w:tcBorders>
              <w:bottom w:val="single" w:sz="12" w:space="0" w:color="auto"/>
              <w:right w:val="single" w:sz="12" w:space="0" w:color="auto"/>
            </w:tcBorders>
            <w:vAlign w:val="bottom"/>
          </w:tcPr>
          <w:p w14:paraId="0DA2B129"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3.1</w:t>
            </w:r>
          </w:p>
        </w:tc>
        <w:tc>
          <w:tcPr>
            <w:tcW w:w="1080" w:type="dxa"/>
            <w:tcBorders>
              <w:left w:val="single" w:sz="12" w:space="0" w:color="auto"/>
              <w:bottom w:val="single" w:sz="12" w:space="0" w:color="auto"/>
              <w:right w:val="single" w:sz="4" w:space="0" w:color="auto"/>
            </w:tcBorders>
            <w:vAlign w:val="bottom"/>
          </w:tcPr>
          <w:p w14:paraId="35731B7B"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1.3</w:t>
            </w:r>
          </w:p>
        </w:tc>
        <w:tc>
          <w:tcPr>
            <w:tcW w:w="1080" w:type="dxa"/>
            <w:tcBorders>
              <w:left w:val="single" w:sz="4" w:space="0" w:color="auto"/>
              <w:bottom w:val="single" w:sz="12" w:space="0" w:color="auto"/>
              <w:right w:val="single" w:sz="12" w:space="0" w:color="auto"/>
            </w:tcBorders>
            <w:vAlign w:val="bottom"/>
          </w:tcPr>
          <w:p w14:paraId="1BF21042"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4.2</w:t>
            </w:r>
          </w:p>
        </w:tc>
        <w:tc>
          <w:tcPr>
            <w:tcW w:w="1080" w:type="dxa"/>
            <w:tcBorders>
              <w:left w:val="single" w:sz="12" w:space="0" w:color="auto"/>
              <w:bottom w:val="single" w:sz="12" w:space="0" w:color="auto"/>
            </w:tcBorders>
            <w:vAlign w:val="bottom"/>
          </w:tcPr>
          <w:p w14:paraId="30666DE6"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4.4</w:t>
            </w:r>
          </w:p>
        </w:tc>
        <w:tc>
          <w:tcPr>
            <w:tcW w:w="1089" w:type="dxa"/>
            <w:tcBorders>
              <w:bottom w:val="single" w:sz="12" w:space="0" w:color="auto"/>
              <w:right w:val="single" w:sz="12" w:space="0" w:color="auto"/>
            </w:tcBorders>
            <w:vAlign w:val="bottom"/>
          </w:tcPr>
          <w:p w14:paraId="6492D3B0" w14:textId="77777777" w:rsidR="00DE6D46" w:rsidRPr="00D858C0" w:rsidRDefault="00DE6D4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jc w:val="center"/>
            </w:pPr>
            <w:r w:rsidRPr="00D858C0">
              <w:rPr>
                <w:color w:val="000000"/>
              </w:rPr>
              <w:t>14.5</w:t>
            </w:r>
          </w:p>
        </w:tc>
      </w:tr>
    </w:tbl>
    <w:p w14:paraId="193ED24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16CA4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Bias Adjustment</w:t>
      </w:r>
    </w:p>
    <w:p w14:paraId="775B251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AAC3A3" w14:textId="57512329" w:rsidR="00DE6D46" w:rsidRPr="00D858C0" w:rsidRDefault="00AD6207"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Reference 34</w:t>
      </w:r>
      <w:r w:rsidR="00DE6D46" w:rsidRPr="00D858C0">
        <w:t xml:space="preserve"> indicates that the PSM (Equation 11) has a </w:t>
      </w:r>
      <w:r w:rsidR="00DE6D46" w:rsidRPr="00D858C0">
        <w:rPr>
          <w:rFonts w:ascii="Symbol" w:hAnsi="Symbol"/>
        </w:rPr>
        <w:t></w:t>
      </w:r>
      <w:r w:rsidR="00DE6D46" w:rsidRPr="00D858C0">
        <w:t xml:space="preserve"> and </w:t>
      </w:r>
      <w:r w:rsidR="00DE6D46" w:rsidRPr="00D858C0">
        <w:rPr>
          <w:rFonts w:ascii="Symbol" w:hAnsi="Symbol"/>
        </w:rPr>
        <w:t></w:t>
      </w:r>
      <w:r w:rsidR="00DE6D46" w:rsidRPr="00D858C0">
        <w:t xml:space="preserve"> of 1.44 and 0.47, respectively.  This means that, on average, the model overestimates the incident heat flux by 44%.  Assuming a normal distribution, the </w:t>
      </w:r>
      <w:r w:rsidR="00DE6D46" w:rsidRPr="00D858C0">
        <w:rPr>
          <w:rFonts w:ascii="Symbol" w:hAnsi="Symbol"/>
        </w:rPr>
        <w:t></w:t>
      </w:r>
      <w:r w:rsidR="00DE6D46" w:rsidRPr="00D858C0">
        <w:rPr>
          <w:rFonts w:ascii="Symbol" w:hAnsi="Symbol"/>
        </w:rPr>
        <w:t></w:t>
      </w:r>
      <w:r w:rsidR="00DE6D46" w:rsidRPr="00D858C0">
        <w:t xml:space="preserve"> and </w:t>
      </w:r>
      <w:r w:rsidR="00DE6D46" w:rsidRPr="00D858C0">
        <w:rPr>
          <w:rFonts w:ascii="Symbol" w:hAnsi="Symbol"/>
        </w:rPr>
        <w:t></w:t>
      </w:r>
      <w:r w:rsidR="00DE6D46" w:rsidRPr="00D858C0">
        <w:t xml:space="preserve"> also imply that the probability of overestimating the heat flux is approximately 0.83.  In other words, there is a 17% chance that the model will underestimate the actual heat flux.  </w:t>
      </w:r>
      <w:r w:rsidR="00F9545A" w:rsidRPr="00D858C0">
        <w:t>Consequently,</w:t>
      </w:r>
      <w:r w:rsidR="00DE6D46" w:rsidRPr="00D858C0">
        <w:t xml:space="preserve"> the PSM calculations to determine the radial ZOI were not adjusted for model</w:t>
      </w:r>
      <w:r w:rsidR="00F9545A" w:rsidRPr="00D858C0">
        <w:t xml:space="preserve"> bias,</w:t>
      </w:r>
      <w:r w:rsidR="00DE6D46" w:rsidRPr="00D858C0">
        <w:t xml:space="preserve"> </w:t>
      </w:r>
      <w:r w:rsidR="00DE6D46" w:rsidRPr="00D858C0">
        <w:rPr>
          <w:rFonts w:ascii="Symbol" w:hAnsi="Symbol"/>
        </w:rPr>
        <w:t></w:t>
      </w:r>
      <w:r w:rsidR="00DE6D46" w:rsidRPr="00D858C0">
        <w:t>.</w:t>
      </w:r>
    </w:p>
    <w:p w14:paraId="78202DC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8975AE"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Verification and Validation</w:t>
      </w:r>
      <w:r w:rsidRPr="00D858C0" w:rsidDel="00AB0B37">
        <w:rPr>
          <w:u w:val="single"/>
        </w:rPr>
        <w:t xml:space="preserve"> </w:t>
      </w:r>
    </w:p>
    <w:p w14:paraId="057438DB"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B5D637" w14:textId="1AAA3D79"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pPr>
      <w:r w:rsidRPr="00D858C0">
        <w:t xml:space="preserve">The Excel workbooks that were developed were verified by comparing the tabulated ZOI values for selected cases with the results of manual and/or FDT calculations.  Validation involved demonstrating that the PSM was used with normalized parameter values within the validated range in </w:t>
      </w:r>
      <w:r w:rsidR="00AD6207" w:rsidRPr="00D858C0">
        <w:t>Reference 34</w:t>
      </w:r>
      <w:r w:rsidRPr="00D858C0">
        <w:t>, or justifying the use of the PSM with normalized parameters outside the validated range.</w:t>
      </w:r>
    </w:p>
    <w:p w14:paraId="18E7DFB6"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7E19E5" w14:textId="77777777" w:rsidR="00DE6D46" w:rsidRPr="00D858C0" w:rsidRDefault="00DE6D46" w:rsidP="004D46E2">
      <w:pPr>
        <w:pStyle w:val="Heading4"/>
      </w:pPr>
      <w:r w:rsidRPr="00D858C0">
        <w:t xml:space="preserve">High Energy Arcing Faults </w:t>
      </w:r>
    </w:p>
    <w:p w14:paraId="0AB41254"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2FD378"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High energy arcing faults (HEAFs) can be generated in 440 V and above switchgear cabinets, load centers and bus bars or ducts.  No ZOI tables or plots have been developed for HEAFs.  The NRC guidance for determining the ZOI of HEAFs is summarized below.</w:t>
      </w:r>
    </w:p>
    <w:p w14:paraId="7AD069D9"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7065E1" w14:textId="291E125A" w:rsidR="006F4917" w:rsidRPr="0010706A"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According to Appendix M in </w:t>
      </w:r>
      <w:r w:rsidR="006D5DC0">
        <w:t>NUREG/CR-6850 (</w:t>
      </w:r>
      <w:r w:rsidR="00A24E94" w:rsidRPr="00D858C0">
        <w:t>Reference 8</w:t>
      </w:r>
      <w:r w:rsidR="006D5DC0">
        <w:t>)</w:t>
      </w:r>
      <w:r w:rsidRPr="00D858C0">
        <w:t xml:space="preserve">, the HRR of an electrical cabinet </w:t>
      </w:r>
      <w:r w:rsidR="006F4917">
        <w:t xml:space="preserve">HEAF </w:t>
      </w:r>
      <w:r w:rsidRPr="00D858C0">
        <w:t>reaches the peak HRR without delay</w:t>
      </w:r>
      <w:r w:rsidR="00F9545A" w:rsidRPr="00D858C0">
        <w:t>, i.e.,</w:t>
      </w:r>
      <w:r w:rsidRPr="00D858C0">
        <w:t xml:space="preserve"> immediately following </w:t>
      </w:r>
      <w:r w:rsidR="00F9545A" w:rsidRPr="00D858C0">
        <w:t>the</w:t>
      </w:r>
      <w:r w:rsidRPr="00D858C0">
        <w:t xml:space="preserve"> HEAF.  The ZOI associated with a HEAF event in an electrical enclosure are 1.5 m (5 ft.) and 0.9 m (3 </w:t>
      </w:r>
      <w:r w:rsidR="00F9545A" w:rsidRPr="00D858C0">
        <w:t>ft.</w:t>
      </w:r>
      <w:r w:rsidRPr="00D858C0">
        <w:t xml:space="preserve">) in the vertical and </w:t>
      </w:r>
      <w:r w:rsidR="006F4917">
        <w:t>horizontal</w:t>
      </w:r>
      <w:r w:rsidR="006F4917" w:rsidRPr="00D858C0">
        <w:t xml:space="preserve"> </w:t>
      </w:r>
      <w:r w:rsidRPr="00D858C0">
        <w:t xml:space="preserve">direction, respectively.  </w:t>
      </w:r>
      <w:r w:rsidR="006F4917" w:rsidRPr="006F4917">
        <w:t xml:space="preserve">All unprotected targets within this region are assumed to be damaged instantaneously when the HEAF occurs and all unprotected secondary combustibles within the region are assumed to ignite instantaneously.  </w:t>
      </w:r>
      <w:r w:rsidR="006F4917">
        <w:t>As an</w:t>
      </w:r>
      <w:r w:rsidR="006F4917" w:rsidRPr="0010706A">
        <w:t xml:space="preserve"> example, c</w:t>
      </w:r>
      <w:r w:rsidR="006F4917" w:rsidRPr="00E36D11">
        <w:rPr>
          <w:iCs/>
        </w:rPr>
        <w:t>onsider a HEAF scenario consisting of a switchgear cabinet affecting two targets. A stack of three cable trays is above the cabinet. The first tray in the stack is 3 ft. above the cabinet. It has been determined that one of the targets is in the first tray. The other target is in the third tray, which is 5 ft. above the cabinet.</w:t>
      </w:r>
      <w:r w:rsidR="006F4917">
        <w:rPr>
          <w:iCs/>
        </w:rPr>
        <w:t xml:space="preserve">  </w:t>
      </w:r>
      <w:r w:rsidR="006F4917" w:rsidRPr="00E36D11">
        <w:rPr>
          <w:iCs/>
        </w:rPr>
        <w:t>Since the first target is within the 5 ft. ver</w:t>
      </w:r>
      <w:r w:rsidR="006F4917" w:rsidRPr="0010706A">
        <w:rPr>
          <w:iCs/>
        </w:rPr>
        <w:t xml:space="preserve">tical ZOI, it is assumed </w:t>
      </w:r>
      <w:r w:rsidR="006F4917">
        <w:rPr>
          <w:iCs/>
        </w:rPr>
        <w:t xml:space="preserve">to </w:t>
      </w:r>
      <w:r w:rsidR="006F4917" w:rsidRPr="0010706A">
        <w:rPr>
          <w:iCs/>
        </w:rPr>
        <w:lastRenderedPageBreak/>
        <w:t>ignite</w:t>
      </w:r>
      <w:r w:rsidR="006F4917" w:rsidRPr="00E36D11">
        <w:rPr>
          <w:iCs/>
        </w:rPr>
        <w:t xml:space="preserve"> at the time of the HEAF. The second target is protected by the lower trays, and </w:t>
      </w:r>
      <w:r w:rsidR="006F4917">
        <w:rPr>
          <w:iCs/>
        </w:rPr>
        <w:t xml:space="preserve">therefore </w:t>
      </w:r>
      <w:r w:rsidR="006F4917" w:rsidRPr="00E36D11">
        <w:rPr>
          <w:iCs/>
        </w:rPr>
        <w:t>it is not damaged at the time of the HEAF even though it is within the vertical ZOI.  The second target will be damaged at time 7 minutes.  The latter is based on the vertical tray-to-tray fire propagation timing in Section R.4.2.2 of NUREG/CR-6850, Vol. 2 and Chapter 9 of NUREG/CR-7010, Vol. 1 (FLASH-CAT model), i.e., 4 minutes for fire propagation from the first to the second tray, and 3 minutes for fire propagation from the second to the third tray.</w:t>
      </w:r>
    </w:p>
    <w:p w14:paraId="0B98BC2C" w14:textId="77777777" w:rsidR="006F4917" w:rsidRDefault="006F4917"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79A012" w14:textId="7E011BE9"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Guidance for determining the ZOI from a bus bar HEAF is provided in Section 7.2.1.5 of FAQ 07-0035 (included in</w:t>
      </w:r>
      <w:r w:rsidR="007D4A3C" w:rsidRPr="00D858C0">
        <w:t xml:space="preserve"> Reference 20</w:t>
      </w:r>
      <w:r w:rsidRPr="00D858C0">
        <w:t>.  For segmented (non-iso-phase) bus duct fires the ZOI is determined based on the following assumptions: (1) molten metal is ejected from the bottom below the fault point and spreads downward as a right circular cone with an angle of 15 degrees until it has progressed 20 ft., at which point the metal drops vertically as a cylinder (zero degree angle); and (2) molten metal is also ejected outward as a 1.5-ft. radius sphere from the fault point (centered at cross-sectional center of bus duct).  For iso-phase bus duct fires, the recommended ZOI assumes damage to any component or cable that would normally be considered vulnerable to fire damage located within a sphere centered at the fault point and measuring 5 ft. in radius.</w:t>
      </w:r>
    </w:p>
    <w:p w14:paraId="161C3597"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40AC7C" w14:textId="77777777" w:rsidR="0072653B" w:rsidRPr="00D858C0" w:rsidRDefault="0072653B" w:rsidP="004D46E2">
      <w:pPr>
        <w:pStyle w:val="Heading3"/>
      </w:pPr>
      <w:bookmarkStart w:id="171" w:name="_Toc481265417"/>
      <w:bookmarkStart w:id="172" w:name="_Toc511060897"/>
      <w:r w:rsidRPr="00D858C0">
        <w:t>Table/Plot Set B: Minimum HRR to Create a Damaging HGL</w:t>
      </w:r>
      <w:bookmarkEnd w:id="171"/>
      <w:bookmarkEnd w:id="172"/>
    </w:p>
    <w:p w14:paraId="7325FE97"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4D52E7" w14:textId="0F41BBE4"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Table/plot set B provides the minimum HRR that is needed to create damaging HGL conditions for a range of compartment sizes and different target types.  It is used in Appendix F to screen specific liquid pool and spill fire scenarios (Steps 2.3.3 and 2.3.4), and to identify scenarios involving secondary combustibles that can cause a damaging HGL in the fire area (step 2.5.2).</w:t>
      </w:r>
    </w:p>
    <w:p w14:paraId="5C72207D" w14:textId="4CAD84D5"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553A92"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Method of McCaffrey, Quintiere and Harkleroad for Estimating HGL Temperature</w:t>
      </w:r>
    </w:p>
    <w:p w14:paraId="5DB4C0BD"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52FA5C" w14:textId="47605F92"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The method of McCaffrey, Quintiere, and Harkleroad (MQH) was developed to estimate the HGL in a naturally vented compartment.  The model is described in detail in Chapter 2 of </w:t>
      </w:r>
      <w:r w:rsidR="00EC1102" w:rsidRPr="00D858C0">
        <w:t>Reference 10</w:t>
      </w:r>
      <w:r w:rsidRPr="00D858C0">
        <w:t xml:space="preserve"> and consists of the following equations:</w:t>
      </w:r>
    </w:p>
    <w:p w14:paraId="5C5B843F"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037181" w:rsidRPr="00D858C0" w14:paraId="16019167" w14:textId="77777777" w:rsidTr="00B348F6">
        <w:tc>
          <w:tcPr>
            <w:tcW w:w="720" w:type="dxa"/>
            <w:vAlign w:val="center"/>
          </w:tcPr>
          <w:p w14:paraId="3DED4339"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5238AF7B"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g</m:t>
                    </m:r>
                  </m:sub>
                </m:sSub>
                <m:d>
                  <m:dPr>
                    <m:ctrlPr>
                      <w:rPr>
                        <w:rFonts w:ascii="Cambria Math" w:hAnsi="Cambria Math"/>
                        <w:i/>
                      </w:rPr>
                    </m:ctrlPr>
                  </m:dPr>
                  <m:e>
                    <m:r>
                      <m:rPr>
                        <m:sty m:val="p"/>
                      </m:rPr>
                      <w:rPr>
                        <w:rFonts w:ascii="Cambria Math" w:hAnsi="Cambria Math"/>
                      </w:rPr>
                      <m:t>t</m:t>
                    </m:r>
                  </m:e>
                </m:d>
                <m:r>
                  <m:rPr>
                    <m:sty m:val="p"/>
                  </m:rPr>
                  <w:rPr>
                    <w:rFonts w:ascii="Cambria Math" w:hAnsi="Cambria Math"/>
                  </w:rPr>
                  <m:t>=</m:t>
                </m:r>
                <m:sSup>
                  <m:sSupPr>
                    <m:ctrlPr>
                      <w:rPr>
                        <w:rFonts w:ascii="Cambria Math" w:hAnsi="Cambria Math"/>
                      </w:rPr>
                    </m:ctrlPr>
                  </m:sSupPr>
                  <m:e>
                    <m:r>
                      <m:rPr>
                        <m:sty m:val="p"/>
                      </m:rPr>
                      <w:rPr>
                        <w:rFonts w:ascii="Cambria Math" w:hAnsi="Cambria Math"/>
                      </w:rPr>
                      <m:t>6.85</m:t>
                    </m:r>
                    <m:d>
                      <m:dPr>
                        <m:begChr m:val="["/>
                        <m:endChr m:val="]"/>
                        <m:ctrlPr>
                          <w:rPr>
                            <w:rFonts w:ascii="Cambria Math" w:hAnsi="Cambria Math"/>
                            <w:i/>
                          </w:rPr>
                        </m:ctrlPr>
                      </m:dPr>
                      <m:e>
                        <m:f>
                          <m:fPr>
                            <m:ctrlPr>
                              <w:rPr>
                                <w:rFonts w:ascii="Cambria Math" w:hAnsi="Cambria Math"/>
                              </w:rPr>
                            </m:ctrlPr>
                          </m:fPr>
                          <m:num>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d>
                                  <m:dPr>
                                    <m:ctrlPr>
                                      <w:rPr>
                                        <w:rFonts w:ascii="Cambria Math" w:hAnsi="Cambria Math"/>
                                      </w:rPr>
                                    </m:ctrlPr>
                                  </m:dPr>
                                  <m:e>
                                    <m:r>
                                      <m:rPr>
                                        <m:sty m:val="p"/>
                                      </m:rPr>
                                      <w:rPr>
                                        <w:rFonts w:ascii="Cambria Math" w:hAnsi="Cambria Math"/>
                                      </w:rPr>
                                      <m:t>t</m:t>
                                    </m:r>
                                  </m:e>
                                </m:d>
                              </m:e>
                              <m:sup>
                                <m:r>
                                  <w:rPr>
                                    <w:rFonts w:ascii="Cambria Math" w:hAnsi="Cambria Math"/>
                                  </w:rPr>
                                  <m:t>2</m:t>
                                </m:r>
                              </m:sup>
                            </m:sSup>
                          </m:num>
                          <m:den>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v</m:t>
                                    </m:r>
                                  </m:sub>
                                </m:sSub>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v</m:t>
                                        </m:r>
                                      </m:sub>
                                    </m:sSub>
                                  </m:e>
                                </m:rad>
                              </m:e>
                            </m:d>
                            <m:d>
                              <m:dPr>
                                <m:ctrlPr>
                                  <w:rPr>
                                    <w:rFonts w:ascii="Cambria Math" w:hAnsi="Cambria Math"/>
                                    <w:i/>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T</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d>
                                  <m:dPr>
                                    <m:ctrlPr>
                                      <w:rPr>
                                        <w:rFonts w:ascii="Cambria Math" w:hAnsi="Cambria Math"/>
                                        <w:i/>
                                      </w:rPr>
                                    </m:ctrlPr>
                                  </m:dPr>
                                  <m:e>
                                    <m:r>
                                      <m:rPr>
                                        <m:sty m:val="p"/>
                                      </m:rPr>
                                      <w:rPr>
                                        <w:rFonts w:ascii="Cambria Math" w:hAnsi="Cambria Math"/>
                                      </w:rPr>
                                      <m:t>t</m:t>
                                    </m:r>
                                  </m:e>
                                </m:d>
                              </m:e>
                            </m:d>
                          </m:den>
                        </m:f>
                      </m:e>
                    </m:d>
                  </m:e>
                  <m:sup>
                    <m:r>
                      <m:rPr>
                        <m:sty m:val="p"/>
                      </m:rPr>
                      <w:rPr>
                        <w:rFonts w:ascii="Cambria Math" w:hAnsi="Cambria Math"/>
                      </w:rPr>
                      <m:t>1/3</m:t>
                    </m:r>
                  </m:sup>
                </m:sSup>
              </m:oMath>
            </m:oMathPara>
          </w:p>
        </w:tc>
        <w:tc>
          <w:tcPr>
            <w:tcW w:w="720" w:type="dxa"/>
            <w:vAlign w:val="center"/>
          </w:tcPr>
          <w:p w14:paraId="63B0F05A" w14:textId="7ACA0199" w:rsidR="00037181" w:rsidRPr="00D858C0" w:rsidRDefault="00037181" w:rsidP="00C028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(1</w:t>
            </w:r>
            <w:r w:rsidR="00C02824" w:rsidRPr="00D858C0">
              <w:t>3</w:t>
            </w:r>
            <w:r w:rsidRPr="00D858C0">
              <w:t>)</w:t>
            </w:r>
          </w:p>
        </w:tc>
      </w:tr>
    </w:tbl>
    <w:p w14:paraId="5533D4B0"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734D96"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with</w:t>
      </w:r>
    </w:p>
    <w:p w14:paraId="227451AE"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037181" w:rsidRPr="00D858C0" w14:paraId="59F56F7E" w14:textId="77777777" w:rsidTr="00B348F6">
        <w:tc>
          <w:tcPr>
            <w:tcW w:w="720" w:type="dxa"/>
            <w:vAlign w:val="center"/>
          </w:tcPr>
          <w:p w14:paraId="636E400C"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179C0346" w14:textId="79BD5861" w:rsidR="00037181" w:rsidRPr="00D858C0" w:rsidRDefault="00B9252A"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kρ</m:t>
                                </m:r>
                                <m:sSub>
                                  <m:sSubPr>
                                    <m:ctrlPr>
                                      <w:rPr>
                                        <w:rFonts w:ascii="Cambria Math" w:hAnsi="Cambria Math"/>
                                      </w:rPr>
                                    </m:ctrlPr>
                                  </m:sSubPr>
                                  <m:e>
                                    <m:r>
                                      <m:rPr>
                                        <m:sty m:val="p"/>
                                      </m:rPr>
                                      <w:rPr>
                                        <w:rFonts w:ascii="Cambria Math" w:hAnsi="Cambria Math"/>
                                      </w:rPr>
                                      <m:t>c</m:t>
                                    </m:r>
                                  </m:e>
                                  <m:sub>
                                    <m:r>
                                      <w:rPr>
                                        <w:rFonts w:ascii="Cambria Math" w:hAnsi="Cambria Math"/>
                                      </w:rPr>
                                      <m:t>p</m:t>
                                    </m:r>
                                  </m:sub>
                                </m:sSub>
                              </m:num>
                              <m:den>
                                <m:r>
                                  <m:rPr>
                                    <m:sty m:val="p"/>
                                  </m:rPr>
                                  <w:rPr>
                                    <w:rFonts w:ascii="Cambria Math" w:hAnsi="Cambria Math"/>
                                  </w:rPr>
                                  <m:t>t</m:t>
                                </m:r>
                              </m:den>
                            </m:f>
                          </m:e>
                        </m:rad>
                        <m:r>
                          <m:rPr>
                            <m:sty m:val="p"/>
                          </m:rPr>
                          <w:rPr>
                            <w:rFonts w:ascii="Cambria Math" w:hAnsi="Cambria Math"/>
                          </w:rPr>
                          <m:t xml:space="preserve">    for t&lt;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m:t>
                            </m:r>
                          </m:sub>
                        </m:sSub>
                      </m:e>
                      <m:e>
                        <m:r>
                          <w:rPr>
                            <w:rFonts w:ascii="Cambria Math" w:hAnsi="Cambria Math"/>
                          </w:rPr>
                          <m:t xml:space="preserve">    </m:t>
                        </m:r>
                        <m:f>
                          <m:fPr>
                            <m:ctrlPr>
                              <w:rPr>
                                <w:rFonts w:ascii="Cambria Math" w:hAnsi="Cambria Math"/>
                              </w:rPr>
                            </m:ctrlPr>
                          </m:fPr>
                          <m:num>
                            <m:r>
                              <m:rPr>
                                <m:sty m:val="p"/>
                              </m:rPr>
                              <w:rPr>
                                <w:rFonts w:ascii="Cambria Math" w:hAnsi="Cambria Math"/>
                              </w:rPr>
                              <m:t>k</m:t>
                            </m:r>
                          </m:num>
                          <m:den>
                            <m:r>
                              <m:rPr>
                                <m:sty m:val="p"/>
                              </m:rPr>
                              <w:rPr>
                                <w:rFonts w:ascii="Cambria Math" w:hAnsi="Cambria Math"/>
                              </w:rPr>
                              <m:t>δ</m:t>
                            </m:r>
                          </m:den>
                        </m:f>
                        <m:r>
                          <m:rPr>
                            <m:sty m:val="p"/>
                          </m:rPr>
                          <w:rPr>
                            <w:rFonts w:ascii="Cambria Math" w:hAnsi="Cambria Math"/>
                          </w:rPr>
                          <m:t xml:space="preserve">       for 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m:t>
                            </m:r>
                          </m:sub>
                        </m:sSub>
                      </m:e>
                    </m:eqArr>
                  </m:e>
                </m:d>
                <m:r>
                  <m:rPr>
                    <m:sty m:val="p"/>
                  </m:rPr>
                  <w:rPr>
                    <w:rFonts w:ascii="Cambria Math" w:eastAsiaTheme="minorEastAsia" w:hAnsi="Cambria Math"/>
                  </w:rPr>
                  <m:t xml:space="preserve">   and   </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p</m:t>
                    </m:r>
                  </m:sub>
                </m:sSub>
                <m:r>
                  <m:rPr>
                    <m:sty m:val="p"/>
                  </m:rPr>
                  <w:rPr>
                    <w:rFonts w:ascii="Cambria Math" w:eastAsiaTheme="minorEastAsia" w:hAnsi="Cambria Math"/>
                  </w:rPr>
                  <m:t>≡</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ρ</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num>
                      <m:den>
                        <m:r>
                          <m:rPr>
                            <m:sty m:val="p"/>
                          </m:rPr>
                          <w:rPr>
                            <w:rFonts w:ascii="Cambria Math" w:eastAsiaTheme="minorEastAsia" w:hAnsi="Cambria Math"/>
                          </w:rPr>
                          <m:t>k</m:t>
                        </m:r>
                      </m:den>
                    </m:f>
                  </m:e>
                </m:d>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rPr>
                              <m:t>δ</m:t>
                            </m:r>
                          </m:num>
                          <m:den>
                            <m:r>
                              <m:rPr>
                                <m:sty m:val="p"/>
                              </m:rPr>
                              <w:rPr>
                                <w:rFonts w:ascii="Cambria Math" w:eastAsiaTheme="minorEastAsia" w:hAnsi="Cambria Math"/>
                              </w:rPr>
                              <m:t>2</m:t>
                            </m:r>
                          </m:den>
                        </m:f>
                      </m:e>
                    </m:d>
                  </m:e>
                  <m:sup>
                    <m:r>
                      <m:rPr>
                        <m:sty m:val="p"/>
                      </m:rPr>
                      <w:rPr>
                        <w:rFonts w:ascii="Cambria Math" w:eastAsiaTheme="minorEastAsia" w:hAnsi="Cambria Math"/>
                      </w:rPr>
                      <m:t>2</m:t>
                    </m:r>
                  </m:sup>
                </m:sSup>
              </m:oMath>
            </m:oMathPara>
          </w:p>
        </w:tc>
        <w:tc>
          <w:tcPr>
            <w:tcW w:w="720" w:type="dxa"/>
            <w:vAlign w:val="center"/>
          </w:tcPr>
          <w:p w14:paraId="57365205" w14:textId="44A34100" w:rsidR="00037181" w:rsidRPr="00D858C0" w:rsidRDefault="00037181" w:rsidP="00C028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(1</w:t>
            </w:r>
            <w:r w:rsidR="00C02824" w:rsidRPr="00D858C0">
              <w:t>4</w:t>
            </w:r>
            <w:r w:rsidRPr="00D858C0">
              <w:t>)</w:t>
            </w:r>
          </w:p>
        </w:tc>
      </w:tr>
    </w:tbl>
    <w:p w14:paraId="37C32145"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E02E81"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where</w:t>
      </w:r>
    </w:p>
    <w:p w14:paraId="5A64EDEB" w14:textId="154CD601"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r>
      <w:r w:rsidRPr="00D858C0">
        <w:sym w:font="Symbol" w:char="F044"/>
      </w:r>
      <w:r w:rsidRPr="00D858C0">
        <w:t>T</w:t>
      </w:r>
      <w:r w:rsidRPr="00D858C0">
        <w:rPr>
          <w:vertAlign w:val="subscript"/>
        </w:rPr>
        <w:t>g</w:t>
      </w:r>
      <w:r w:rsidRPr="00D858C0">
        <w:tab/>
        <w:t>=</w:t>
      </w:r>
      <w:r w:rsidRPr="00D858C0">
        <w:tab/>
        <w:t>HGL temperature rise above ambient, T</w:t>
      </w:r>
      <w:r w:rsidRPr="00D858C0">
        <w:rPr>
          <w:vertAlign w:val="subscript"/>
        </w:rPr>
        <w:t>g</w:t>
      </w:r>
      <w:r w:rsidRPr="00D858C0">
        <w:t xml:space="preserve"> - T</w:t>
      </w:r>
      <w:r w:rsidRPr="00D858C0">
        <w:rPr>
          <w:vertAlign w:val="subscript"/>
        </w:rPr>
        <w:t>a</w:t>
      </w:r>
      <w:r w:rsidRPr="00D858C0">
        <w:t xml:space="preserve"> (°C)</w:t>
      </w:r>
    </w:p>
    <w:p w14:paraId="6D082F27"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rPr>
          <w:vertAlign w:val="subscript"/>
        </w:rPr>
        <w:t>g</w:t>
      </w:r>
      <w:r w:rsidRPr="00D858C0">
        <w:tab/>
        <w:t>=</w:t>
      </w:r>
      <w:r w:rsidRPr="00D858C0">
        <w:tab/>
        <w:t>HGL temperature (°C)</w:t>
      </w:r>
    </w:p>
    <w:p w14:paraId="6E05E2C0"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rPr>
          <w:vertAlign w:val="subscript"/>
        </w:rPr>
        <w:t>a</w:t>
      </w:r>
      <w:r w:rsidRPr="00D858C0">
        <w:tab/>
        <w:t>=</w:t>
      </w:r>
      <w:r w:rsidRPr="00D858C0">
        <w:tab/>
        <w:t>ambient temperature (°C)</w:t>
      </w:r>
    </w:p>
    <w:p w14:paraId="72D8DC0E"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tab/>
        <w:t>=</w:t>
      </w:r>
      <w:r w:rsidRPr="00D858C0">
        <w:tab/>
        <w:t>time (s)</w:t>
      </w:r>
    </w:p>
    <w:p w14:paraId="047EEC1E"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lastRenderedPageBreak/>
        <w:tab/>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ab/>
        <w:t>=</w:t>
      </w:r>
      <w:r w:rsidRPr="00D858C0">
        <w:rPr>
          <w:rFonts w:eastAsiaTheme="minorEastAsia"/>
        </w:rPr>
        <w:tab/>
        <w:t>HRR of the fire (kW)</w:t>
      </w:r>
    </w:p>
    <w:p w14:paraId="1434E516"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ab/>
        <w:t>A</w:t>
      </w:r>
      <w:r w:rsidRPr="00D858C0">
        <w:rPr>
          <w:rFonts w:eastAsiaTheme="minorEastAsia"/>
          <w:vertAlign w:val="subscript"/>
        </w:rPr>
        <w:t>v</w:t>
      </w:r>
      <w:r w:rsidRPr="00D858C0">
        <w:rPr>
          <w:rFonts w:eastAsiaTheme="minorEastAsia"/>
        </w:rPr>
        <w:tab/>
        <w:t>=</w:t>
      </w:r>
      <w:r w:rsidRPr="00D858C0">
        <w:rPr>
          <w:rFonts w:eastAsiaTheme="minorEastAsia"/>
        </w:rPr>
        <w:tab/>
        <w:t>area of the ventilation opening (m</w:t>
      </w:r>
      <w:r w:rsidRPr="00D858C0">
        <w:rPr>
          <w:rFonts w:eastAsiaTheme="minorEastAsia"/>
          <w:vertAlign w:val="superscript"/>
        </w:rPr>
        <w:t>2</w:t>
      </w:r>
      <w:r w:rsidRPr="00D858C0">
        <w:rPr>
          <w:rFonts w:eastAsiaTheme="minorEastAsia"/>
        </w:rPr>
        <w:t>)</w:t>
      </w:r>
    </w:p>
    <w:p w14:paraId="4C453A95"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H</w:t>
      </w:r>
      <w:r w:rsidRPr="00D858C0">
        <w:rPr>
          <w:vertAlign w:val="subscript"/>
        </w:rPr>
        <w:t>v</w:t>
      </w:r>
      <w:r w:rsidRPr="00D858C0">
        <w:tab/>
        <w:t>=</w:t>
      </w:r>
      <w:r w:rsidRPr="00D858C0">
        <w:tab/>
        <w:t>height of the ventilation opening (m)</w:t>
      </w:r>
    </w:p>
    <w:p w14:paraId="16E54BCF"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rFonts w:eastAsiaTheme="minorEastAsia"/>
        </w:rPr>
        <w:tab/>
        <w:t>A</w:t>
      </w:r>
      <w:r w:rsidRPr="00D858C0">
        <w:rPr>
          <w:rFonts w:eastAsiaTheme="minorEastAsia"/>
          <w:vertAlign w:val="subscript"/>
        </w:rPr>
        <w:t>T</w:t>
      </w:r>
      <w:r w:rsidRPr="00D858C0">
        <w:rPr>
          <w:rFonts w:eastAsiaTheme="minorEastAsia"/>
        </w:rPr>
        <w:tab/>
        <w:t>=</w:t>
      </w:r>
      <w:r w:rsidRPr="00D858C0">
        <w:rPr>
          <w:rFonts w:eastAsiaTheme="minorEastAsia"/>
        </w:rPr>
        <w:tab/>
        <w:t>total area of the compartment enclosing surfaces minus A</w:t>
      </w:r>
      <w:r w:rsidRPr="00D858C0">
        <w:rPr>
          <w:rFonts w:eastAsiaTheme="minorEastAsia"/>
          <w:vertAlign w:val="subscript"/>
        </w:rPr>
        <w:t>v</w:t>
      </w:r>
      <w:r w:rsidRPr="00D858C0">
        <w:rPr>
          <w:rFonts w:eastAsiaTheme="minorEastAsia"/>
        </w:rPr>
        <w:t xml:space="preserve"> (m</w:t>
      </w:r>
      <w:r w:rsidRPr="00D858C0">
        <w:rPr>
          <w:rFonts w:eastAsiaTheme="minorEastAsia"/>
          <w:vertAlign w:val="superscript"/>
        </w:rPr>
        <w:t>2</w:t>
      </w:r>
      <w:r w:rsidRPr="00D858C0">
        <w:rPr>
          <w:rFonts w:eastAsiaTheme="minorEastAsia"/>
        </w:rPr>
        <w:t>)</w:t>
      </w:r>
      <w:r w:rsidRPr="00D858C0">
        <w:tab/>
      </w:r>
    </w:p>
    <w:p w14:paraId="759A0A54"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h</w:t>
      </w:r>
      <w:r w:rsidRPr="00D858C0">
        <w:rPr>
          <w:vertAlign w:val="subscript"/>
        </w:rPr>
        <w:t>T</w:t>
      </w:r>
      <w:r w:rsidRPr="00D858C0">
        <w:tab/>
        <w:t>=</w:t>
      </w:r>
      <w:r w:rsidRPr="00D858C0">
        <w:tab/>
        <w:t>heat transfer coefficient (kW/m</w:t>
      </w:r>
      <w:r w:rsidRPr="00D858C0">
        <w:rPr>
          <w:vertAlign w:val="superscript"/>
        </w:rPr>
        <w:t>2</w:t>
      </w:r>
      <w:r w:rsidRPr="00D858C0">
        <w:t>)</w:t>
      </w:r>
    </w:p>
    <w:p w14:paraId="318B3952"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k</w:t>
      </w:r>
      <w:r w:rsidRPr="00D858C0">
        <w:tab/>
        <w:t>=</w:t>
      </w:r>
      <w:r w:rsidRPr="00D858C0">
        <w:tab/>
        <w:t>thermal conductivity of the interior lining (kW/m</w:t>
      </w:r>
      <w:r w:rsidRPr="00D858C0">
        <w:sym w:font="Symbol" w:char="F0D7"/>
      </w:r>
      <w:r w:rsidRPr="00D858C0">
        <w:sym w:font="Symbol" w:char="F0B0"/>
      </w:r>
      <w:r w:rsidRPr="00D858C0">
        <w:t>C)</w:t>
      </w:r>
    </w:p>
    <w:p w14:paraId="4522BB8E"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r>
      <w:r w:rsidRPr="00D858C0">
        <w:sym w:font="Symbol" w:char="F072"/>
      </w:r>
      <w:r w:rsidRPr="00D858C0">
        <w:tab/>
        <w:t>=</w:t>
      </w:r>
      <w:r w:rsidRPr="00D858C0">
        <w:tab/>
        <w:t>density of the interior lining (kg/m</w:t>
      </w:r>
      <w:r w:rsidRPr="00D858C0">
        <w:rPr>
          <w:vertAlign w:val="superscript"/>
        </w:rPr>
        <w:t>3</w:t>
      </w:r>
      <w:r w:rsidRPr="00D858C0">
        <w:t>)</w:t>
      </w:r>
    </w:p>
    <w:p w14:paraId="60821C56"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c</w:t>
      </w:r>
      <w:r w:rsidRPr="00D858C0">
        <w:rPr>
          <w:vertAlign w:val="subscript"/>
        </w:rPr>
        <w:t>p</w:t>
      </w:r>
      <w:r w:rsidRPr="00D858C0">
        <w:tab/>
        <w:t>=</w:t>
      </w:r>
      <w:r w:rsidRPr="00D858C0">
        <w:tab/>
        <w:t>specific heat capacity of the interior lining (kJ/kg</w:t>
      </w:r>
      <w:r w:rsidRPr="00D858C0">
        <w:sym w:font="Symbol" w:char="F0D7"/>
      </w:r>
      <w:r w:rsidRPr="00D858C0">
        <w:t>°C)</w:t>
      </w:r>
    </w:p>
    <w:p w14:paraId="7A8602B4"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r>
      <w:r w:rsidRPr="00D858C0">
        <w:sym w:font="Symbol" w:char="F064"/>
      </w:r>
      <w:r w:rsidRPr="00D858C0">
        <w:tab/>
        <w:t>=</w:t>
      </w:r>
      <w:r w:rsidRPr="00D858C0">
        <w:tab/>
        <w:t>thickness of the interior lining (m)</w:t>
      </w:r>
    </w:p>
    <w:p w14:paraId="0222B013"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ab/>
        <w:t>t</w:t>
      </w:r>
      <w:r w:rsidRPr="00D858C0">
        <w:rPr>
          <w:rFonts w:eastAsiaTheme="minorEastAsia"/>
          <w:vertAlign w:val="subscript"/>
        </w:rPr>
        <w:t>p</w:t>
      </w:r>
      <w:r w:rsidRPr="00D858C0">
        <w:rPr>
          <w:rFonts w:eastAsiaTheme="minorEastAsia"/>
        </w:rPr>
        <w:tab/>
        <w:t>=</w:t>
      </w:r>
      <w:r w:rsidRPr="00D858C0">
        <w:rPr>
          <w:rFonts w:eastAsiaTheme="minorEastAsia"/>
        </w:rPr>
        <w:tab/>
        <w:t>thermal penetration time (s)</w:t>
      </w:r>
    </w:p>
    <w:p w14:paraId="07C985F9"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p w14:paraId="5925565C" w14:textId="5C8A50D8"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The minimum HRR to create a HGL can be calculated for targets with a damage threshold temperature T</w:t>
      </w:r>
      <w:r w:rsidRPr="00D858C0">
        <w:rPr>
          <w:rFonts w:eastAsiaTheme="minorEastAsia"/>
          <w:vertAlign w:val="subscript"/>
        </w:rPr>
        <w:t>cr</w:t>
      </w:r>
      <w:r w:rsidRPr="00D858C0">
        <w:rPr>
          <w:rFonts w:eastAsiaTheme="minorEastAsia"/>
        </w:rPr>
        <w:t xml:space="preserve"> by setting </w:t>
      </w:r>
      <w:r w:rsidRPr="00D858C0">
        <w:rPr>
          <w:rFonts w:eastAsiaTheme="minorEastAsia"/>
        </w:rPr>
        <w:sym w:font="Symbol" w:char="F044"/>
      </w:r>
      <w:r w:rsidRPr="00D858C0">
        <w:rPr>
          <w:rFonts w:eastAsiaTheme="minorEastAsia"/>
        </w:rPr>
        <w:t>T</w:t>
      </w:r>
      <w:r w:rsidRPr="00D858C0">
        <w:rPr>
          <w:rFonts w:eastAsiaTheme="minorEastAsia"/>
          <w:vertAlign w:val="subscript"/>
        </w:rPr>
        <w:t>g</w:t>
      </w:r>
      <w:r w:rsidRPr="00D858C0">
        <w:rPr>
          <w:rFonts w:eastAsiaTheme="minorEastAsia"/>
        </w:rPr>
        <w:t xml:space="preserve"> equal to T</w:t>
      </w:r>
      <w:r w:rsidRPr="00D858C0">
        <w:rPr>
          <w:rFonts w:eastAsiaTheme="minorEastAsia"/>
          <w:vertAlign w:val="subscript"/>
        </w:rPr>
        <w:t>cr</w:t>
      </w:r>
      <w:r w:rsidRPr="00D858C0">
        <w:rPr>
          <w:rFonts w:eastAsiaTheme="minorEastAsia"/>
        </w:rPr>
        <w:t xml:space="preserve"> – T</w:t>
      </w:r>
      <w:r w:rsidRPr="00D858C0">
        <w:rPr>
          <w:rFonts w:eastAsiaTheme="minorEastAsia"/>
          <w:vertAlign w:val="subscript"/>
        </w:rPr>
        <w:t>a</w:t>
      </w:r>
      <w:r w:rsidRPr="00D858C0">
        <w:rPr>
          <w:rFonts w:eastAsiaTheme="minorEastAsia"/>
        </w:rPr>
        <w:t>, and rearranging Equation 1</w:t>
      </w:r>
      <w:r w:rsidR="00C02824" w:rsidRPr="00D858C0">
        <w:rPr>
          <w:rFonts w:eastAsiaTheme="minorEastAsia"/>
        </w:rPr>
        <w:t>3</w:t>
      </w:r>
      <w:r w:rsidRPr="00D858C0">
        <w:rPr>
          <w:rFonts w:eastAsiaTheme="minorEastAsia"/>
        </w:rPr>
        <w:t xml:space="preserve"> as follows: </w:t>
      </w:r>
    </w:p>
    <w:p w14:paraId="086EDB09"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037181" w:rsidRPr="00D858C0" w14:paraId="39259EC6" w14:textId="77777777" w:rsidTr="00B348F6">
        <w:tc>
          <w:tcPr>
            <w:tcW w:w="720" w:type="dxa"/>
            <w:vAlign w:val="center"/>
          </w:tcPr>
          <w:p w14:paraId="1FD5A7BC"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6290AB5D" w14:textId="77777777" w:rsidR="00037181" w:rsidRPr="00D858C0" w:rsidRDefault="00B9252A"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min</m:t>
                    </m:r>
                  </m:sub>
                </m:sSub>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begChr m:val="["/>
                            <m:endChr m:val="]"/>
                            <m:ctrlPr>
                              <w:rPr>
                                <w:rFonts w:ascii="Cambria Math" w:hAnsi="Cambria Math"/>
                                <w:i/>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num>
                              <m:den>
                                <m:r>
                                  <m:rPr>
                                    <m:sty m:val="p"/>
                                  </m:rPr>
                                  <w:rPr>
                                    <w:rFonts w:ascii="Cambria Math" w:hAnsi="Cambria Math"/>
                                  </w:rPr>
                                  <m:t>6.85</m:t>
                                </m:r>
                              </m:den>
                            </m:f>
                          </m:e>
                        </m:d>
                      </m:e>
                      <m:sup>
                        <m:r>
                          <m:rPr>
                            <m:sty m:val="p"/>
                          </m:rPr>
                          <w:rPr>
                            <w:rFonts w:ascii="Cambria Math" w:hAnsi="Cambria Math"/>
                          </w:rPr>
                          <m:t>3</m:t>
                        </m:r>
                      </m:sup>
                    </m:sSup>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v</m:t>
                            </m:r>
                          </m:sub>
                        </m:sSub>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v</m:t>
                                </m:r>
                              </m:sub>
                            </m:sSub>
                          </m:e>
                        </m:rad>
                      </m:e>
                    </m:d>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T</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e>
                    </m:d>
                  </m:e>
                </m:rad>
              </m:oMath>
            </m:oMathPara>
          </w:p>
        </w:tc>
        <w:tc>
          <w:tcPr>
            <w:tcW w:w="720" w:type="dxa"/>
            <w:vAlign w:val="center"/>
          </w:tcPr>
          <w:p w14:paraId="630B0758" w14:textId="614C5B01" w:rsidR="00037181" w:rsidRPr="00D858C0" w:rsidRDefault="00037181" w:rsidP="00C028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(1</w:t>
            </w:r>
            <w:r w:rsidR="00C02824" w:rsidRPr="00D858C0">
              <w:t>5</w:t>
            </w:r>
            <w:r w:rsidRPr="00D858C0">
              <w:t>)</w:t>
            </w:r>
          </w:p>
        </w:tc>
      </w:tr>
    </w:tbl>
    <w:p w14:paraId="7348E9AB"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3939DC"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where</w:t>
      </w:r>
    </w:p>
    <w:p w14:paraId="616D86C2" w14:textId="4E0D2E11"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ab/>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min</m:t>
            </m:r>
          </m:sub>
        </m:sSub>
      </m:oMath>
      <w:r w:rsidRPr="00D858C0">
        <w:rPr>
          <w:rFonts w:eastAsiaTheme="minorEastAsia"/>
        </w:rPr>
        <w:tab/>
        <w:t>=</w:t>
      </w:r>
      <w:r w:rsidRPr="00D858C0">
        <w:rPr>
          <w:rFonts w:eastAsiaTheme="minorEastAsia"/>
        </w:rPr>
        <w:tab/>
        <w:t>minimum HRR to create a damaging HGL (kW)</w:t>
      </w:r>
    </w:p>
    <w:p w14:paraId="41D7B883" w14:textId="77777777" w:rsidR="00037181" w:rsidRPr="00D858C0" w:rsidRDefault="00037181" w:rsidP="00037181">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rPr>
          <w:vertAlign w:val="subscript"/>
        </w:rPr>
        <w:t>cr</w:t>
      </w:r>
      <w:r w:rsidRPr="00D858C0">
        <w:tab/>
        <w:t>=</w:t>
      </w:r>
      <w:r w:rsidRPr="00D858C0">
        <w:tab/>
        <w:t>damage threshold temperature from Table 8 (°C)</w:t>
      </w:r>
    </w:p>
    <w:p w14:paraId="0BCE52FC"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52356A" w14:textId="0110592E"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Equation 1</w:t>
      </w:r>
      <w:r w:rsidR="00493B85" w:rsidRPr="00D858C0">
        <w:t>5</w:t>
      </w:r>
      <w:r w:rsidRPr="00D858C0">
        <w:t xml:space="preserve"> was used to develop the tables and plots that show the minimum HRR to create a damaging HGL for </w:t>
      </w:r>
      <w:r w:rsidR="00021E23" w:rsidRPr="00D858C0">
        <w:t>TS</w:t>
      </w:r>
      <w:r w:rsidRPr="00D858C0">
        <w:t xml:space="preserve"> and </w:t>
      </w:r>
      <w:r w:rsidR="00690A12" w:rsidRPr="00D858C0">
        <w:t>TP</w:t>
      </w:r>
      <w:r w:rsidRPr="00D858C0">
        <w:t xml:space="preserve"> cable targets and for sensitive electronics as a function of the floor area and ceiling height of the compartment.</w:t>
      </w:r>
    </w:p>
    <w:p w14:paraId="3DD7C8E6"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42EB89"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Assumptions for the Development of the HGL Tables and Plots</w:t>
      </w:r>
    </w:p>
    <w:p w14:paraId="1452A14B"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026867"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This subsection provides a discussion of the assumptions that were made and the input parameter values and ranges that were used in the development of the HGL tables and plots.</w:t>
      </w:r>
    </w:p>
    <w:p w14:paraId="146C0D10" w14:textId="77777777" w:rsidR="00037181" w:rsidRPr="00D858C0" w:rsidRDefault="00037181" w:rsidP="00B348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3DE9E5" w14:textId="743EA038" w:rsidR="00037181" w:rsidRPr="00D858C0" w:rsidRDefault="00037181" w:rsidP="0035366F">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An important assumption is that the compartment has openings that are large enough to allow sufficient ventilation to support the fire, which justifies the use of the MQH method over the other methods that are described in Chapter 2 of </w:t>
      </w:r>
      <w:r w:rsidR="00EC1102" w:rsidRPr="00D858C0">
        <w:t>Reference 10</w:t>
      </w:r>
      <w:r w:rsidRPr="00D858C0">
        <w:t xml:space="preserve">.  In addition, the opening is assumed to </w:t>
      </w:r>
      <w:r w:rsidR="005764A0" w:rsidRPr="00D858C0">
        <w:t xml:space="preserve">be </w:t>
      </w:r>
      <w:r w:rsidRPr="00D858C0">
        <w:t>a standard 0.9 m (3 ft.) wide, 2.1 m (7 ft.) high open doorway.  Several plants transitioning to NFPA 805 made the same assumptions, and the NRC review of the LAR submitted by these plants concluded that these assumptions and the exclusive use of the MQH method are acceptable.</w:t>
      </w:r>
    </w:p>
    <w:p w14:paraId="42799689" w14:textId="77777777" w:rsidR="00037181" w:rsidRPr="00D858C0" w:rsidRDefault="00037181" w:rsidP="0035366F">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The ambient air temperature, T</w:t>
      </w:r>
      <w:r w:rsidRPr="00D858C0">
        <w:rPr>
          <w:vertAlign w:val="subscript"/>
        </w:rPr>
        <w:t>a</w:t>
      </w:r>
      <w:r w:rsidRPr="00D858C0">
        <w:t>, is assumed to be 25°C (77°F).</w:t>
      </w:r>
    </w:p>
    <w:p w14:paraId="4891C458" w14:textId="5095D89C" w:rsidR="00037181" w:rsidRPr="00D858C0" w:rsidRDefault="00037181" w:rsidP="0035366F">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The minimum HRR to create damaging HGL conditions was calculated for floor areas ranging from 9 to 455 m</w:t>
      </w:r>
      <w:r w:rsidRPr="00D858C0">
        <w:rPr>
          <w:vertAlign w:val="superscript"/>
        </w:rPr>
        <w:t>2</w:t>
      </w:r>
      <w:r w:rsidRPr="00D858C0">
        <w:t xml:space="preserve"> (100 to 4900 ft</w:t>
      </w:r>
      <w:r w:rsidRPr="00D858C0">
        <w:rPr>
          <w:vertAlign w:val="superscript"/>
        </w:rPr>
        <w:t>2</w:t>
      </w:r>
      <w:r w:rsidRPr="00D858C0">
        <w:t>), and ceiling heights be</w:t>
      </w:r>
      <w:r w:rsidR="00493B85" w:rsidRPr="00D858C0">
        <w:t>tween 3 and 9 m (10 and 30 ft.)</w:t>
      </w:r>
      <w:r w:rsidRPr="00D858C0">
        <w:t xml:space="preserve">  It is unlikely that a HGL can develop in a compartment with a floor area and ceiling height outside those ranges.  </w:t>
      </w:r>
    </w:p>
    <w:p w14:paraId="27B32221" w14:textId="50D9C001" w:rsidR="00037181" w:rsidRPr="00D858C0" w:rsidRDefault="00037181" w:rsidP="0035366F">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The compartment boundaries (floor, walls, and ceiling) are assumed to be constructed of concrete with thermal properties taken from Table 2-3 in </w:t>
      </w:r>
      <w:r w:rsidR="00EC1102" w:rsidRPr="00D858C0">
        <w:t>Reference 10</w:t>
      </w:r>
      <w:r w:rsidRPr="00D858C0">
        <w:t xml:space="preserve"> (k = 0.0016 kW/m</w:t>
      </w:r>
      <w:r w:rsidRPr="00D858C0">
        <w:sym w:font="Symbol" w:char="F0D7"/>
      </w:r>
      <w:r w:rsidRPr="00D858C0">
        <w:sym w:font="Symbol" w:char="F0B0"/>
      </w:r>
      <w:r w:rsidRPr="00D858C0">
        <w:t xml:space="preserve">C, </w:t>
      </w:r>
      <w:r w:rsidRPr="00D858C0">
        <w:sym w:font="Symbol" w:char="F072"/>
      </w:r>
      <w:r w:rsidRPr="00D858C0">
        <w:t xml:space="preserve"> = 2400 kg/m</w:t>
      </w:r>
      <w:r w:rsidRPr="00D858C0">
        <w:rPr>
          <w:vertAlign w:val="superscript"/>
        </w:rPr>
        <w:t>3</w:t>
      </w:r>
      <w:r w:rsidRPr="00D858C0">
        <w:t>, and c</w:t>
      </w:r>
      <w:r w:rsidRPr="00D858C0">
        <w:rPr>
          <w:vertAlign w:val="subscript"/>
        </w:rPr>
        <w:t>p</w:t>
      </w:r>
      <w:r w:rsidRPr="00D858C0">
        <w:t xml:space="preserve"> = 0.75 kJ/kg</w:t>
      </w:r>
      <w:r w:rsidRPr="00D858C0">
        <w:sym w:font="Symbol" w:char="F0D7"/>
      </w:r>
      <w:r w:rsidRPr="00D858C0">
        <w:sym w:font="Symbol" w:char="F0B0"/>
      </w:r>
      <w:r w:rsidRPr="00D858C0">
        <w:t>C), and a thickness of 0.3 m (1 ft.).</w:t>
      </w:r>
    </w:p>
    <w:p w14:paraId="5A633747" w14:textId="440ADF01" w:rsidR="00037181" w:rsidRPr="00D858C0" w:rsidRDefault="00037181" w:rsidP="0035366F">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The heat transfer coefficient, h</w:t>
      </w:r>
      <w:r w:rsidRPr="00D858C0">
        <w:rPr>
          <w:vertAlign w:val="subscript"/>
        </w:rPr>
        <w:t>T</w:t>
      </w:r>
      <w:r w:rsidRPr="00D858C0">
        <w:t>, in Equation 1</w:t>
      </w:r>
      <w:r w:rsidR="00493B85" w:rsidRPr="00D858C0">
        <w:t>5</w:t>
      </w:r>
      <w:r w:rsidRPr="00D858C0">
        <w:t xml:space="preserve"> is determined from Equation 1</w:t>
      </w:r>
      <w:r w:rsidR="00493B85" w:rsidRPr="00D858C0">
        <w:t>4</w:t>
      </w:r>
      <w:r w:rsidRPr="00D858C0">
        <w:t xml:space="preserve"> for t = 1800 s.  This is conservative because h</w:t>
      </w:r>
      <w:r w:rsidRPr="00D858C0">
        <w:rPr>
          <w:vertAlign w:val="subscript"/>
        </w:rPr>
        <w:t>T</w:t>
      </w:r>
      <w:r w:rsidRPr="00D858C0">
        <w:t xml:space="preserve"> decreases as a function of t when t &lt; t</w:t>
      </w:r>
      <w:r w:rsidRPr="00D858C0">
        <w:rPr>
          <w:vertAlign w:val="subscript"/>
        </w:rPr>
        <w:t>p</w:t>
      </w:r>
      <w:r w:rsidRPr="00D858C0">
        <w:t xml:space="preserve">, and </w:t>
      </w:r>
      <w:r w:rsidRPr="00D858C0">
        <w:lastRenderedPageBreak/>
        <w:t>the minimum HRR to cause a damaging HGL is usually reached before 30 minutes have elapsed.</w:t>
      </w:r>
    </w:p>
    <w:p w14:paraId="2B4C8C91"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B94E20"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Fire Location Effects</w:t>
      </w:r>
    </w:p>
    <w:p w14:paraId="09F6E4FD" w14:textId="4FFB3434"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BB7CB3" w14:textId="3E6E030C"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HGL temperature calculated according to Equations 1</w:t>
      </w:r>
      <w:r w:rsidR="00493B85" w:rsidRPr="00D858C0">
        <w:t>3</w:t>
      </w:r>
      <w:r w:rsidRPr="00D858C0">
        <w:t xml:space="preserve"> and 1</w:t>
      </w:r>
      <w:r w:rsidR="00493B85" w:rsidRPr="00D858C0">
        <w:t>4</w:t>
      </w:r>
      <w:r w:rsidRPr="00D858C0">
        <w:t xml:space="preserve"> is not affected by the location of the fire.  For example, using the “image” method to calculate the HGL temperature in a corner fire, one would increase the HRR and area of the fire, the total area of the compartment enclosing surfaces, and the width of the ventilation opening by a factor of four.  That would increase the numerator and the denominator of the term in brackets in Equation 1</w:t>
      </w:r>
      <w:r w:rsidR="00493B85" w:rsidRPr="00D858C0">
        <w:t>3</w:t>
      </w:r>
      <w:r w:rsidRPr="00D858C0">
        <w:t xml:space="preserve"> by the same amount.  Consequently, there was no need to develop HGL tables and plots specifically for wall and corner fires.</w:t>
      </w:r>
    </w:p>
    <w:p w14:paraId="36ABC11C"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1C2017" w14:textId="77777777" w:rsidR="00037181" w:rsidRPr="00D858C0" w:rsidRDefault="00037181"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Bias Adjustment</w:t>
      </w:r>
    </w:p>
    <w:p w14:paraId="30081927" w14:textId="77777777" w:rsidR="00037181" w:rsidRPr="00D858C0" w:rsidRDefault="00037181"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B9BE51" w14:textId="40834429" w:rsidR="00037181" w:rsidRPr="00D858C0" w:rsidRDefault="00101696"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Reference 34</w:t>
      </w:r>
      <w:r w:rsidR="00037181" w:rsidRPr="00D858C0">
        <w:t xml:space="preserve"> indicates that the MQH method (Equations 1</w:t>
      </w:r>
      <w:r w:rsidR="00493B85" w:rsidRPr="00D858C0">
        <w:t>3</w:t>
      </w:r>
      <w:r w:rsidR="00037181" w:rsidRPr="00D858C0">
        <w:t xml:space="preserve"> and 1</w:t>
      </w:r>
      <w:r w:rsidR="00493B85" w:rsidRPr="00D858C0">
        <w:t>4</w:t>
      </w:r>
      <w:r w:rsidR="00037181" w:rsidRPr="00D858C0">
        <w:t xml:space="preserve">) has a </w:t>
      </w:r>
      <w:r w:rsidR="00037181" w:rsidRPr="00D858C0">
        <w:rPr>
          <w:rFonts w:ascii="Symbol" w:hAnsi="Symbol"/>
        </w:rPr>
        <w:t></w:t>
      </w:r>
      <w:r w:rsidR="00037181" w:rsidRPr="00D858C0">
        <w:t xml:space="preserve"> and </w:t>
      </w:r>
      <w:r w:rsidR="00037181" w:rsidRPr="00D858C0">
        <w:rPr>
          <w:rFonts w:ascii="Symbol" w:hAnsi="Symbol"/>
        </w:rPr>
        <w:t></w:t>
      </w:r>
      <w:r w:rsidR="00037181" w:rsidRPr="00D858C0">
        <w:t xml:space="preserve"> of 1.17 and 0.15, respectively.  This means that, on average, the model overestimates the HGL temperature by 17%.  Assuming a normal distribution, the </w:t>
      </w:r>
      <w:r w:rsidR="00037181" w:rsidRPr="00D858C0">
        <w:rPr>
          <w:rFonts w:ascii="Symbol" w:hAnsi="Symbol"/>
        </w:rPr>
        <w:t></w:t>
      </w:r>
      <w:r w:rsidR="00037181" w:rsidRPr="00D858C0">
        <w:rPr>
          <w:rFonts w:ascii="Symbol" w:hAnsi="Symbol"/>
        </w:rPr>
        <w:t></w:t>
      </w:r>
      <w:r w:rsidR="00037181" w:rsidRPr="00D858C0">
        <w:t xml:space="preserve"> and </w:t>
      </w:r>
      <w:r w:rsidR="00037181" w:rsidRPr="00D858C0">
        <w:rPr>
          <w:rFonts w:ascii="Symbol" w:hAnsi="Symbol"/>
        </w:rPr>
        <w:t></w:t>
      </w:r>
      <w:r w:rsidR="00037181" w:rsidRPr="00D858C0">
        <w:t xml:space="preserve"> also imply that the probability of overestimating the HGL temperature is approximately 0.84.  In other words, there is a 16% chance that the MQH correlation will underestimate the actual temperature.  </w:t>
      </w:r>
      <w:r w:rsidR="00F9545A" w:rsidRPr="00D858C0">
        <w:t>Consequently,</w:t>
      </w:r>
      <w:r w:rsidR="00037181" w:rsidRPr="00D858C0">
        <w:t xml:space="preserve"> the calculations to determine the minimum HRR to create a HGL were not adjusted for model </w:t>
      </w:r>
      <w:r w:rsidR="00037181" w:rsidRPr="00D858C0">
        <w:rPr>
          <w:rFonts w:ascii="Symbol" w:hAnsi="Symbol"/>
        </w:rPr>
        <w:t></w:t>
      </w:r>
      <w:r w:rsidR="00037181" w:rsidRPr="00D858C0">
        <w:t>.</w:t>
      </w:r>
    </w:p>
    <w:p w14:paraId="0DC6F867"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344C21"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Verification and Validation</w:t>
      </w:r>
      <w:r w:rsidRPr="00D858C0" w:rsidDel="00AB0B37">
        <w:rPr>
          <w:u w:val="single"/>
        </w:rPr>
        <w:t xml:space="preserve"> </w:t>
      </w:r>
    </w:p>
    <w:p w14:paraId="6259571E"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14BDFF" w14:textId="16E9B34A" w:rsidR="00EA6963"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070"/>
          <w:tab w:val="left" w:pos="6307"/>
          <w:tab w:val="left" w:pos="7474"/>
          <w:tab w:val="left" w:pos="8107"/>
          <w:tab w:val="left" w:pos="8726"/>
        </w:tabs>
      </w:pPr>
      <w:r w:rsidRPr="00D858C0">
        <w:t xml:space="preserve">The Excel workbooks that were developed were verified by comparing the tabulated HRR values for selected cases with the results of manual and/or FDT calculations.  Validation involved demonstrating that the MQH correlation was used with normalized parameter values within the validated range in </w:t>
      </w:r>
      <w:r w:rsidR="00101696" w:rsidRPr="00D858C0">
        <w:t>Reference 34</w:t>
      </w:r>
      <w:r w:rsidRPr="00D858C0">
        <w:t>, or justifying the use of the MQH correlation with normalized parameters outside the validated range.</w:t>
      </w:r>
    </w:p>
    <w:p w14:paraId="35B7596D" w14:textId="77777777" w:rsidR="0072653B" w:rsidRPr="00D858C0" w:rsidRDefault="0072653B"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EE6F3B" w14:textId="77777777" w:rsidR="0072653B" w:rsidRPr="00D858C0" w:rsidRDefault="0072653B" w:rsidP="004D46E2">
      <w:pPr>
        <w:pStyle w:val="Heading3"/>
      </w:pPr>
      <w:bookmarkStart w:id="173" w:name="_Toc481265418"/>
      <w:bookmarkStart w:id="174" w:name="_Toc511060898"/>
      <w:r w:rsidRPr="00D858C0">
        <w:t>Table/Plot Set C: HRR Profiles of Fires Involving Cable Trays</w:t>
      </w:r>
      <w:bookmarkEnd w:id="173"/>
      <w:bookmarkEnd w:id="174"/>
    </w:p>
    <w:p w14:paraId="372E12F6" w14:textId="77777777" w:rsidR="0072653B" w:rsidRPr="00D858C0" w:rsidRDefault="0072653B"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75DE22" w14:textId="67D1C955"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r w:rsidRPr="00D858C0">
        <w:rPr>
          <w:lang w:val="en-GB"/>
        </w:rPr>
        <w:t>Table/plot set C provides the combined HRR of an ignition source and a vertical stack of between one and seven horizontal cable trays as a function of time for various ignition source-cable tray configurations.  This set is used in conjunction with table/plot set B to determine in Steps 2.5.2, 2.5.3 and 2.7.1 if and when a fire scenario involving secondary combustibles will cause a damaging HGL in the fire area.</w:t>
      </w:r>
    </w:p>
    <w:p w14:paraId="16D7C53A"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B5F3BF"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Model to Estimate Fire Propagation in a Vertical Stack of Horizontal Cable Trays</w:t>
      </w:r>
    </w:p>
    <w:p w14:paraId="5554D0A2"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p w14:paraId="31D4C692" w14:textId="68950CA3"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r w:rsidRPr="00D858C0">
        <w:rPr>
          <w:lang w:val="en-GB"/>
        </w:rPr>
        <w:t xml:space="preserve">A relatively simple model was used to estimate the growth and spread of a fire within a vertical stack of horizontal cable trays located above an ignition source.  The method is consistent with the model described in Appendix R of </w:t>
      </w:r>
      <w:r w:rsidR="003E2661">
        <w:rPr>
          <w:lang w:val="en-GB"/>
        </w:rPr>
        <w:t>NUREG/CR-6850 (</w:t>
      </w:r>
      <w:r w:rsidR="00A24E94" w:rsidRPr="00D858C0">
        <w:rPr>
          <w:lang w:val="en-GB"/>
        </w:rPr>
        <w:t>Reference 8</w:t>
      </w:r>
      <w:r w:rsidR="003E2661">
        <w:rPr>
          <w:lang w:val="en-GB"/>
        </w:rPr>
        <w:t>)</w:t>
      </w:r>
      <w:r w:rsidRPr="00D858C0">
        <w:rPr>
          <w:lang w:val="en-GB"/>
        </w:rPr>
        <w:t>, and similar to the FLASH-CAT</w:t>
      </w:r>
      <w:r w:rsidRPr="00D858C0">
        <w:rPr>
          <w:lang w:eastAsia="en-GB"/>
        </w:rPr>
        <w:t xml:space="preserve"> </w:t>
      </w:r>
      <w:r w:rsidRPr="00D858C0">
        <w:rPr>
          <w:lang w:val="en-GB"/>
        </w:rPr>
        <w:t xml:space="preserve">model described in Chapter 9 of </w:t>
      </w:r>
      <w:r w:rsidR="007D4A3C" w:rsidRPr="00D858C0">
        <w:rPr>
          <w:lang w:val="en-GB"/>
        </w:rPr>
        <w:t>Reference 31</w:t>
      </w:r>
      <w:r w:rsidRPr="00D858C0">
        <w:rPr>
          <w:lang w:val="en-GB"/>
        </w:rPr>
        <w:t>.  A schematic of the ignition source-cable tray configuration is shown in Figure 6.2.7, below.  The main features and assumptions of the model are as follows:</w:t>
      </w:r>
    </w:p>
    <w:p w14:paraId="4AD2A236"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p w14:paraId="0DA5BCEC" w14:textId="06672365" w:rsidR="009B421E" w:rsidRPr="00D858C0" w:rsidRDefault="009B421E" w:rsidP="0035366F">
      <w:pPr>
        <w:pStyle w:val="ListParagraph"/>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lang w:val="en-GB"/>
        </w:rPr>
      </w:pPr>
      <w:r w:rsidRPr="00D858C0">
        <w:rPr>
          <w:lang w:val="en-GB"/>
        </w:rPr>
        <w:t xml:space="preserve">The lowest tray in the stack is conservatively assumed to ignite in one minute, which is consistent with the approach of several plants transitioning to NFPA 805.  The model in Appendix R of </w:t>
      </w:r>
      <w:r w:rsidR="003E2661" w:rsidRPr="003E2661">
        <w:rPr>
          <w:lang w:val="en-GB"/>
        </w:rPr>
        <w:t>NUREG/CR-6850 (</w:t>
      </w:r>
      <w:r w:rsidR="00A24E94" w:rsidRPr="00D858C0">
        <w:rPr>
          <w:lang w:val="en-GB"/>
        </w:rPr>
        <w:t>Reference 8</w:t>
      </w:r>
      <w:r w:rsidR="003E2661">
        <w:rPr>
          <w:lang w:val="en-GB"/>
        </w:rPr>
        <w:t>)</w:t>
      </w:r>
      <w:r w:rsidRPr="00D858C0">
        <w:rPr>
          <w:lang w:val="en-GB"/>
        </w:rPr>
        <w:t xml:space="preserve"> assumes that the bottom tray ignites when the plume temperature at the tray reaches the ignition threshold of the cables in </w:t>
      </w:r>
      <w:r w:rsidRPr="00D858C0">
        <w:rPr>
          <w:lang w:val="en-GB"/>
        </w:rPr>
        <w:lastRenderedPageBreak/>
        <w:t xml:space="preserve">the tray.  This approach is not suitable for the development of generic tables and plots because the ignition time (i.e., the time when the cable trays start contributing to the HRR of the fire) would be a function of the distance between the fire base and the lowest tray, which depends on the actual configuration in the plant.  The FLASH-CAT model assumes a fixed ignition time of five minutes, which may be non-conservative if the tray is very close to the ignition source. </w:t>
      </w:r>
      <w:r w:rsidR="005764A0" w:rsidRPr="00D858C0">
        <w:rPr>
          <w:lang w:val="en-GB"/>
        </w:rPr>
        <w:t xml:space="preserve"> </w:t>
      </w:r>
      <w:r w:rsidR="00FA5EDF" w:rsidRPr="00D858C0">
        <w:rPr>
          <w:lang w:val="en-GB"/>
        </w:rPr>
        <w:t>Therefore, this</w:t>
      </w:r>
      <w:r w:rsidR="005764A0" w:rsidRPr="00D858C0">
        <w:rPr>
          <w:lang w:val="en-GB"/>
        </w:rPr>
        <w:t xml:space="preserve"> assumption has </w:t>
      </w:r>
      <w:r w:rsidR="00FA5EDF" w:rsidRPr="00D858C0">
        <w:rPr>
          <w:lang w:val="en-GB"/>
        </w:rPr>
        <w:t xml:space="preserve">not </w:t>
      </w:r>
      <w:r w:rsidR="005764A0" w:rsidRPr="00D858C0">
        <w:rPr>
          <w:lang w:val="en-GB"/>
        </w:rPr>
        <w:t>been retained.</w:t>
      </w:r>
    </w:p>
    <w:p w14:paraId="2A4D7244" w14:textId="57809809"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rPr>
      </w:pPr>
      <w:r w:rsidRPr="00D858C0">
        <w:rPr>
          <w:noProof/>
        </w:rPr>
        <w:drawing>
          <wp:inline distT="0" distB="0" distL="0" distR="0" wp14:anchorId="5697A994" wp14:editId="13517107">
            <wp:extent cx="3931920" cy="28407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931920" cy="2840702"/>
                    </a:xfrm>
                    <a:prstGeom prst="rect">
                      <a:avLst/>
                    </a:prstGeom>
                  </pic:spPr>
                </pic:pic>
              </a:graphicData>
            </a:graphic>
          </wp:inline>
        </w:drawing>
      </w:r>
    </w:p>
    <w:p w14:paraId="78256DF2" w14:textId="2F49C96C" w:rsidR="009B421E" w:rsidRPr="00A6171D" w:rsidRDefault="009B421E" w:rsidP="00EB361B">
      <w:pPr>
        <w:pStyle w:val="Figures"/>
      </w:pPr>
      <w:bookmarkStart w:id="175" w:name="_Toc483393824"/>
      <w:r w:rsidRPr="00A6171D">
        <w:t xml:space="preserve">Figure </w:t>
      </w:r>
      <w:r w:rsidR="001A51C5" w:rsidRPr="00A6171D">
        <w:t>6</w:t>
      </w:r>
      <w:r w:rsidRPr="00A6171D">
        <w:t>.</w:t>
      </w:r>
      <w:r w:rsidR="001A51C5" w:rsidRPr="00A6171D">
        <w:t>2</w:t>
      </w:r>
      <w:r w:rsidRPr="00A6171D">
        <w:t xml:space="preserve">.7.  </w:t>
      </w:r>
      <w:r w:rsidRPr="00A6171D">
        <w:rPr>
          <w:lang w:val="en-GB"/>
        </w:rPr>
        <w:t>Configuration for Modeling of Fire Propagation in a Stack of Cable Trays</w:t>
      </w:r>
      <w:r w:rsidRPr="00A6171D">
        <w:t>.</w:t>
      </w:r>
      <w:bookmarkEnd w:id="175"/>
    </w:p>
    <w:p w14:paraId="4EF7D58C" w14:textId="77777777" w:rsidR="009B421E" w:rsidRPr="00A6171D" w:rsidRDefault="009B421E" w:rsidP="009B421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rPr>
          <w:lang w:val="en-GB"/>
        </w:rPr>
      </w:pPr>
    </w:p>
    <w:p w14:paraId="14C846C9" w14:textId="238578A4" w:rsidR="009B421E" w:rsidRPr="00D858C0" w:rsidRDefault="009B421E" w:rsidP="0035366F">
      <w:pPr>
        <w:pStyle w:val="ListParagraph"/>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lang w:val="en-GB"/>
        </w:rPr>
      </w:pPr>
      <w:r w:rsidRPr="00D858C0">
        <w:rPr>
          <w:lang w:val="en-GB"/>
        </w:rPr>
        <w:t>Following ignition, a HRRPUA of 150 kW/m</w:t>
      </w:r>
      <w:r w:rsidRPr="00D858C0">
        <w:rPr>
          <w:vertAlign w:val="superscript"/>
          <w:lang w:val="en-GB"/>
        </w:rPr>
        <w:t>2</w:t>
      </w:r>
      <w:r w:rsidRPr="00D858C0">
        <w:rPr>
          <w:lang w:val="en-GB"/>
        </w:rPr>
        <w:t xml:space="preserve"> is assumed if the bottom tray contains </w:t>
      </w:r>
      <w:r w:rsidR="00021E23" w:rsidRPr="00D858C0">
        <w:rPr>
          <w:lang w:val="en-GB"/>
        </w:rPr>
        <w:t>TS</w:t>
      </w:r>
      <w:r w:rsidRPr="00D858C0">
        <w:rPr>
          <w:lang w:val="en-GB"/>
        </w:rPr>
        <w:t xml:space="preserve"> (or Kerite) cables.  If the cables in the lowest tray are </w:t>
      </w:r>
      <w:r w:rsidR="00690A12" w:rsidRPr="00D858C0">
        <w:rPr>
          <w:lang w:val="en-GB"/>
        </w:rPr>
        <w:t>TP</w:t>
      </w:r>
      <w:r w:rsidRPr="00D858C0">
        <w:rPr>
          <w:lang w:val="en-GB"/>
        </w:rPr>
        <w:t>, a HRRPUA of 250 kW/m</w:t>
      </w:r>
      <w:r w:rsidRPr="00D858C0">
        <w:rPr>
          <w:vertAlign w:val="superscript"/>
          <w:lang w:val="en-GB"/>
        </w:rPr>
        <w:t>2</w:t>
      </w:r>
      <w:r w:rsidRPr="00D858C0">
        <w:rPr>
          <w:lang w:val="en-GB"/>
        </w:rPr>
        <w:t xml:space="preserve"> is used.  The assumed HRRPUA values are the generic values for </w:t>
      </w:r>
      <w:r w:rsidR="00021E23" w:rsidRPr="00D858C0">
        <w:rPr>
          <w:lang w:val="en-GB"/>
        </w:rPr>
        <w:t>TS</w:t>
      </w:r>
      <w:r w:rsidRPr="00D858C0">
        <w:rPr>
          <w:lang w:val="en-GB"/>
        </w:rPr>
        <w:t xml:space="preserve"> and </w:t>
      </w:r>
      <w:r w:rsidR="00690A12" w:rsidRPr="00D858C0">
        <w:rPr>
          <w:lang w:val="en-GB"/>
        </w:rPr>
        <w:t>TP</w:t>
      </w:r>
      <w:r w:rsidRPr="00D858C0">
        <w:rPr>
          <w:lang w:val="en-GB"/>
        </w:rPr>
        <w:t xml:space="preserve"> cables recommended in Chapter 9 of </w:t>
      </w:r>
      <w:r w:rsidR="007D4A3C" w:rsidRPr="00D858C0">
        <w:rPr>
          <w:lang w:val="en-GB"/>
        </w:rPr>
        <w:t>Reference 3</w:t>
      </w:r>
      <w:r w:rsidRPr="00D858C0">
        <w:rPr>
          <w:lang w:val="en-GB"/>
        </w:rPr>
        <w:t xml:space="preserve">1. </w:t>
      </w:r>
    </w:p>
    <w:p w14:paraId="3CEF2C7D" w14:textId="5EBEB7AE" w:rsidR="009B421E" w:rsidRPr="00D858C0" w:rsidRDefault="009B421E" w:rsidP="0035366F">
      <w:pPr>
        <w:pStyle w:val="ListParagraph"/>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lang w:val="en-GB"/>
        </w:rPr>
      </w:pPr>
      <w:r w:rsidRPr="00D858C0">
        <w:rPr>
          <w:lang w:val="en-GB"/>
        </w:rPr>
        <w:t>For fixed and transient ignition sources, the lateral extent of burning cable in the lowest tray before the onset of lateral spread (L</w:t>
      </w:r>
      <w:r w:rsidRPr="00D858C0">
        <w:rPr>
          <w:vertAlign w:val="subscript"/>
          <w:lang w:val="en-GB"/>
        </w:rPr>
        <w:t>1</w:t>
      </w:r>
      <w:r w:rsidRPr="00D858C0">
        <w:rPr>
          <w:lang w:val="en-GB"/>
        </w:rPr>
        <w:t>) is equal to the diameter of the 98</w:t>
      </w:r>
      <w:r w:rsidRPr="00D858C0">
        <w:rPr>
          <w:vertAlign w:val="superscript"/>
          <w:lang w:val="en-GB"/>
        </w:rPr>
        <w:t>th</w:t>
      </w:r>
      <w:r w:rsidRPr="00D858C0">
        <w:rPr>
          <w:lang w:val="en-GB"/>
        </w:rPr>
        <w:t xml:space="preserve"> percentile ignition source fire (D</w:t>
      </w:r>
      <w:r w:rsidRPr="00D858C0">
        <w:rPr>
          <w:vertAlign w:val="subscript"/>
          <w:lang w:val="en-GB"/>
        </w:rPr>
        <w:t>Fr=1</w:t>
      </w:r>
      <w:r w:rsidRPr="00D858C0">
        <w:rPr>
          <w:lang w:val="en-GB"/>
        </w:rPr>
        <w:t xml:space="preserve"> in Table 6.2.8).  </w:t>
      </w:r>
      <w:r w:rsidR="005764A0" w:rsidRPr="00D858C0">
        <w:rPr>
          <w:lang w:val="en-GB"/>
        </w:rPr>
        <w:t xml:space="preserve">For example, if the ignition source was a </w:t>
      </w:r>
      <w:r w:rsidR="00F9545A" w:rsidRPr="00D858C0">
        <w:rPr>
          <w:lang w:val="en-GB"/>
        </w:rPr>
        <w:t>transient</w:t>
      </w:r>
      <w:r w:rsidR="005764A0" w:rsidRPr="00D858C0">
        <w:rPr>
          <w:lang w:val="en-GB"/>
        </w:rPr>
        <w:t xml:space="preserve"> fire, for which the 98</w:t>
      </w:r>
      <w:r w:rsidR="005764A0" w:rsidRPr="00D858C0">
        <w:rPr>
          <w:vertAlign w:val="superscript"/>
          <w:lang w:val="en-GB"/>
        </w:rPr>
        <w:t>th</w:t>
      </w:r>
      <w:r w:rsidR="005764A0" w:rsidRPr="00D858C0">
        <w:rPr>
          <w:lang w:val="en-GB"/>
        </w:rPr>
        <w:t xml:space="preserve"> </w:t>
      </w:r>
      <w:r w:rsidR="003E2661">
        <w:rPr>
          <w:lang w:val="en-GB"/>
        </w:rPr>
        <w:t>percent</w:t>
      </w:r>
      <w:r w:rsidR="005764A0" w:rsidRPr="00D858C0">
        <w:rPr>
          <w:lang w:val="en-GB"/>
        </w:rPr>
        <w:t xml:space="preserve">ile of the peak HRR is 317 kW, the assumed diameter would be 0.60 m (1.98 </w:t>
      </w:r>
      <w:r w:rsidR="00F9545A" w:rsidRPr="00D858C0">
        <w:rPr>
          <w:lang w:val="en-GB"/>
        </w:rPr>
        <w:t>ft.</w:t>
      </w:r>
      <w:r w:rsidR="005764A0" w:rsidRPr="00D858C0">
        <w:rPr>
          <w:lang w:val="en-GB"/>
        </w:rPr>
        <w:t xml:space="preserve">) for Fr = 1.  </w:t>
      </w:r>
      <w:r w:rsidRPr="00D858C0">
        <w:rPr>
          <w:lang w:val="en-GB"/>
        </w:rPr>
        <w:t>L</w:t>
      </w:r>
      <w:r w:rsidRPr="00D858C0">
        <w:rPr>
          <w:vertAlign w:val="subscript"/>
          <w:lang w:val="en-GB"/>
        </w:rPr>
        <w:t>1</w:t>
      </w:r>
      <w:r w:rsidRPr="00D858C0">
        <w:rPr>
          <w:lang w:val="en-GB"/>
        </w:rPr>
        <w:t xml:space="preserve"> is assumed to be equal to 0.5 m (1.65 ft.) when the ignition source is a confined liquid pool fire or an unconfined liquid spill fire.</w:t>
      </w:r>
    </w:p>
    <w:p w14:paraId="6482FAF7" w14:textId="2918A45F" w:rsidR="009B421E" w:rsidRPr="00D858C0" w:rsidRDefault="009B421E" w:rsidP="0035366F">
      <w:pPr>
        <w:pStyle w:val="ListParagraph"/>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lang w:val="en-GB"/>
        </w:rPr>
      </w:pPr>
      <w:r w:rsidRPr="00D858C0">
        <w:rPr>
          <w:lang w:val="en-GB"/>
        </w:rPr>
        <w:t xml:space="preserve">Following ignition, the fire in the first tray spreads laterally at a rate of 0.3 mm/s for </w:t>
      </w:r>
      <w:r w:rsidR="00021E23" w:rsidRPr="00D858C0">
        <w:rPr>
          <w:lang w:val="en-GB"/>
        </w:rPr>
        <w:t>TS</w:t>
      </w:r>
      <w:r w:rsidRPr="00D858C0">
        <w:rPr>
          <w:lang w:val="en-GB"/>
        </w:rPr>
        <w:t xml:space="preserve"> (or Kerite) cable and 0.9 mm/s for </w:t>
      </w:r>
      <w:r w:rsidR="00690A12" w:rsidRPr="00D858C0">
        <w:rPr>
          <w:lang w:val="en-GB"/>
        </w:rPr>
        <w:t>TP</w:t>
      </w:r>
      <w:r w:rsidRPr="00D858C0">
        <w:rPr>
          <w:lang w:val="en-GB"/>
        </w:rPr>
        <w:t xml:space="preserve"> cable.  This is consistent with the flame spread rates for </w:t>
      </w:r>
      <w:r w:rsidR="00021E23" w:rsidRPr="00D858C0">
        <w:rPr>
          <w:lang w:val="en-GB"/>
        </w:rPr>
        <w:t>TS</w:t>
      </w:r>
      <w:r w:rsidRPr="00D858C0">
        <w:rPr>
          <w:lang w:val="en-GB"/>
        </w:rPr>
        <w:t xml:space="preserve"> and </w:t>
      </w:r>
      <w:r w:rsidR="00021E23" w:rsidRPr="00D858C0">
        <w:rPr>
          <w:lang w:val="en-GB"/>
        </w:rPr>
        <w:t>TS</w:t>
      </w:r>
      <w:r w:rsidRPr="00D858C0">
        <w:rPr>
          <w:lang w:val="en-GB"/>
        </w:rPr>
        <w:t xml:space="preserve"> cables recommended in Appendix R of </w:t>
      </w:r>
      <w:r w:rsidR="003E2661" w:rsidRPr="003E2661">
        <w:rPr>
          <w:lang w:val="en-GB"/>
        </w:rPr>
        <w:t>NUREG/CR-6850 (</w:t>
      </w:r>
      <w:r w:rsidR="00A24E94" w:rsidRPr="00D858C0">
        <w:rPr>
          <w:lang w:val="en-GB"/>
        </w:rPr>
        <w:t>Reference 8</w:t>
      </w:r>
      <w:r w:rsidR="003E2661">
        <w:rPr>
          <w:lang w:val="en-GB"/>
        </w:rPr>
        <w:t>)</w:t>
      </w:r>
      <w:r w:rsidRPr="00D858C0">
        <w:rPr>
          <w:lang w:val="en-GB"/>
        </w:rPr>
        <w:t>.</w:t>
      </w:r>
    </w:p>
    <w:p w14:paraId="077BD9F2" w14:textId="7D8BE2DD" w:rsidR="009B421E" w:rsidRPr="00D858C0" w:rsidRDefault="009B421E" w:rsidP="0035366F">
      <w:pPr>
        <w:pStyle w:val="ListParagraph"/>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lang w:val="en-GB"/>
        </w:rPr>
      </w:pPr>
      <w:r w:rsidRPr="00D858C0">
        <w:rPr>
          <w:lang w:val="en-GB"/>
        </w:rPr>
        <w:t>The fire in the second tray ignites 4 minutes after ignition of the first tray.  The fire in the third tray ignites 3 minutes after ignition of the second tray.  The fire in the fourth tray ignites 2 minutes after ignition of the third tray.  Trays above the fourth ignite 1 minute after ignition of the tray directly below it.  The lateral extent of the initial fire in the second and subsequent trays (L</w:t>
      </w:r>
      <w:r w:rsidRPr="00D858C0">
        <w:rPr>
          <w:vertAlign w:val="subscript"/>
          <w:lang w:val="en-GB"/>
        </w:rPr>
        <w:t>2</w:t>
      </w:r>
      <w:r w:rsidRPr="00D858C0">
        <w:rPr>
          <w:lang w:val="en-GB"/>
        </w:rPr>
        <w:t>, L</w:t>
      </w:r>
      <w:r w:rsidRPr="00D858C0">
        <w:rPr>
          <w:vertAlign w:val="subscript"/>
          <w:lang w:val="en-GB"/>
        </w:rPr>
        <w:t>3</w:t>
      </w:r>
      <w:r w:rsidRPr="00D858C0">
        <w:rPr>
          <w:lang w:val="en-GB"/>
        </w:rPr>
        <w:t>, etc.) is widened from the initial lateral extent of the fire in the tray directly below it (L</w:t>
      </w:r>
      <w:r w:rsidRPr="00D858C0">
        <w:rPr>
          <w:vertAlign w:val="subscript"/>
          <w:lang w:val="en-GB"/>
        </w:rPr>
        <w:t>1</w:t>
      </w:r>
      <w:r w:rsidRPr="00D858C0">
        <w:rPr>
          <w:lang w:val="en-GB"/>
        </w:rPr>
        <w:t>, L</w:t>
      </w:r>
      <w:r w:rsidRPr="00D858C0">
        <w:rPr>
          <w:vertAlign w:val="subscript"/>
          <w:lang w:val="en-GB"/>
        </w:rPr>
        <w:t>2</w:t>
      </w:r>
      <w:r w:rsidRPr="00D858C0">
        <w:rPr>
          <w:lang w:val="en-GB"/>
        </w:rPr>
        <w:t xml:space="preserve">, etc.) based on empirical observations (35° spread angle, see Figure </w:t>
      </w:r>
      <w:r w:rsidR="00C3196B">
        <w:rPr>
          <w:lang w:val="en-GB"/>
        </w:rPr>
        <w:t>6.2</w:t>
      </w:r>
      <w:r w:rsidR="007D4A3C" w:rsidRPr="00D858C0">
        <w:rPr>
          <w:lang w:val="en-GB"/>
        </w:rPr>
        <w:t>.7</w:t>
      </w:r>
      <w:r w:rsidRPr="00D858C0">
        <w:rPr>
          <w:lang w:val="en-GB"/>
        </w:rPr>
        <w:t>) as expressed by the following equation:</w:t>
      </w:r>
    </w:p>
    <w:p w14:paraId="3564D48F" w14:textId="77777777" w:rsidR="009B421E" w:rsidRPr="00D858C0" w:rsidRDefault="009B421E" w:rsidP="009B421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tbl>
      <w:tblPr>
        <w:tblW w:w="0" w:type="auto"/>
        <w:tblLayout w:type="fixed"/>
        <w:tblLook w:val="04A0" w:firstRow="1" w:lastRow="0" w:firstColumn="1" w:lastColumn="0" w:noHBand="0" w:noVBand="1"/>
      </w:tblPr>
      <w:tblGrid>
        <w:gridCol w:w="1440"/>
        <w:gridCol w:w="7200"/>
        <w:gridCol w:w="720"/>
      </w:tblGrid>
      <w:tr w:rsidR="009B421E" w:rsidRPr="00D858C0" w14:paraId="36DCDB4D" w14:textId="77777777" w:rsidTr="007B3400">
        <w:tc>
          <w:tcPr>
            <w:tcW w:w="1440" w:type="dxa"/>
            <w:vAlign w:val="center"/>
          </w:tcPr>
          <w:p w14:paraId="783B3BE6"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right="1124"/>
            </w:pPr>
          </w:p>
        </w:tc>
        <w:tc>
          <w:tcPr>
            <w:tcW w:w="7200" w:type="dxa"/>
            <w:vAlign w:val="center"/>
          </w:tcPr>
          <w:p w14:paraId="1375F17A" w14:textId="77777777" w:rsidR="009B421E" w:rsidRPr="00D858C0" w:rsidRDefault="00B9252A"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240"/>
            </w:pPr>
            <m:oMathPara>
              <m:oMathParaPr>
                <m:jc m:val="center"/>
              </m:oMathPara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n+1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n</m:t>
                    </m:r>
                  </m:sub>
                </m:sSub>
                <m:r>
                  <m:rPr>
                    <m:sty m:val="p"/>
                  </m:rPr>
                  <w:rPr>
                    <w:rFonts w:ascii="Cambria Math" w:hAnsi="Cambria Math"/>
                  </w:rPr>
                  <m:t>+2</m:t>
                </m:r>
                <m:d>
                  <m:dPr>
                    <m:begChr m:val="["/>
                    <m:endChr m:val="]"/>
                    <m:ctrlPr>
                      <w:rPr>
                        <w:rFonts w:ascii="Cambria Math" w:hAnsi="Cambria Math"/>
                      </w:rPr>
                    </m:ctrlPr>
                  </m:dPr>
                  <m:e>
                    <m:r>
                      <m:rPr>
                        <m:sty m:val="p"/>
                      </m:rPr>
                      <w:rPr>
                        <w:rFonts w:ascii="Cambria Math" w:hAnsi="Cambria Math"/>
                      </w:rPr>
                      <m:t>h tan</m:t>
                    </m:r>
                    <m:d>
                      <m:dPr>
                        <m:ctrlPr>
                          <w:rPr>
                            <w:rFonts w:ascii="Cambria Math" w:hAnsi="Cambria Math"/>
                          </w:rPr>
                        </m:ctrlPr>
                      </m:dPr>
                      <m:e>
                        <m:r>
                          <m:rPr>
                            <m:sty m:val="p"/>
                          </m:rPr>
                          <w:rPr>
                            <w:rFonts w:ascii="Cambria Math" w:hAnsi="Cambria Math"/>
                          </w:rPr>
                          <m:t>35°</m:t>
                        </m:r>
                      </m:e>
                    </m:d>
                  </m:e>
                </m:d>
              </m:oMath>
            </m:oMathPara>
          </w:p>
        </w:tc>
        <w:tc>
          <w:tcPr>
            <w:tcW w:w="720" w:type="dxa"/>
            <w:vAlign w:val="center"/>
          </w:tcPr>
          <w:p w14:paraId="2EBD7FCE" w14:textId="05561E47" w:rsidR="009B421E" w:rsidRPr="00D858C0" w:rsidRDefault="009B421E" w:rsidP="00493B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r w:rsidRPr="00D858C0">
              <w:t>(1</w:t>
            </w:r>
            <w:r w:rsidR="00493B85" w:rsidRPr="00D858C0">
              <w:t>6</w:t>
            </w:r>
            <w:r w:rsidRPr="00D858C0">
              <w:t>)</w:t>
            </w:r>
          </w:p>
        </w:tc>
      </w:tr>
    </w:tbl>
    <w:p w14:paraId="51D5EE2A" w14:textId="77777777" w:rsidR="009B421E" w:rsidRPr="00D858C0" w:rsidRDefault="009B421E" w:rsidP="009B421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p w14:paraId="171EAF41" w14:textId="73401C6E" w:rsidR="009B421E" w:rsidRPr="00D858C0" w:rsidRDefault="009B421E" w:rsidP="009B421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lang w:val="en-GB"/>
        </w:rPr>
      </w:pPr>
      <w:r w:rsidRPr="00D858C0">
        <w:rPr>
          <w:lang w:val="en-GB"/>
        </w:rPr>
        <w:t xml:space="preserve">The ignition timing for trays two through seven and the approach to determine the lateral extent of the initial fire in each tray are identical to the timing and approach used </w:t>
      </w:r>
      <w:r w:rsidR="003E2661">
        <w:rPr>
          <w:lang w:val="en-GB"/>
        </w:rPr>
        <w:t>i</w:t>
      </w:r>
      <w:r w:rsidRPr="00D858C0">
        <w:rPr>
          <w:lang w:val="en-GB"/>
        </w:rPr>
        <w:t xml:space="preserve">n the cable tray fire propagation model described in Appendix R of </w:t>
      </w:r>
      <w:r w:rsidR="003E2661" w:rsidRPr="003E2661">
        <w:rPr>
          <w:lang w:val="en-GB"/>
        </w:rPr>
        <w:t>NUREG/CR-6850 (</w:t>
      </w:r>
      <w:r w:rsidR="00A24E94" w:rsidRPr="00D858C0">
        <w:rPr>
          <w:lang w:val="en-GB"/>
        </w:rPr>
        <w:t>Reference 8</w:t>
      </w:r>
      <w:r w:rsidR="003E2661">
        <w:rPr>
          <w:lang w:val="en-GB"/>
        </w:rPr>
        <w:t>)</w:t>
      </w:r>
      <w:r w:rsidRPr="00D858C0">
        <w:rPr>
          <w:lang w:val="en-GB"/>
        </w:rPr>
        <w:t>.  The burning and spread rates for the cables in the second tray and subsequent trays are the same as for the cables in the first tray.</w:t>
      </w:r>
    </w:p>
    <w:p w14:paraId="2A020D18" w14:textId="77777777" w:rsidR="009B421E" w:rsidRPr="00D858C0" w:rsidRDefault="009B421E" w:rsidP="0035366F">
      <w:pPr>
        <w:pStyle w:val="ListParagraph"/>
        <w:widowControl/>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rPr>
          <w:lang w:val="en-GB"/>
        </w:rPr>
      </w:pPr>
      <w:r w:rsidRPr="00D858C0">
        <w:rPr>
          <w:lang w:val="en-GB"/>
        </w:rPr>
        <w:t>Local burnout of the fire occurs when the cable plastic is consumed.  The time to burnout is therefore calculated as follows.  First, determine the combustible mass per unit area of tray:</w:t>
      </w:r>
    </w:p>
    <w:p w14:paraId="2BBD11A2"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7114"/>
        <w:gridCol w:w="718"/>
      </w:tblGrid>
      <w:tr w:rsidR="009B421E" w:rsidRPr="00D858C0" w14:paraId="1E4851C6" w14:textId="77777777" w:rsidTr="007B3400">
        <w:tc>
          <w:tcPr>
            <w:tcW w:w="1440" w:type="dxa"/>
          </w:tcPr>
          <w:p w14:paraId="0F5A4B5F" w14:textId="77777777" w:rsidR="009B421E" w:rsidRPr="00D858C0" w:rsidRDefault="009B421E"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eastAsia="Times New Roman" w:hAnsi="Arial" w:cs="Arial"/>
                <w:sz w:val="22"/>
                <w:szCs w:val="22"/>
              </w:rPr>
            </w:pPr>
          </w:p>
        </w:tc>
        <w:tc>
          <w:tcPr>
            <w:tcW w:w="7200" w:type="dxa"/>
          </w:tcPr>
          <w:p w14:paraId="160A34FC" w14:textId="77777777" w:rsidR="009B421E" w:rsidRPr="00D858C0" w:rsidRDefault="00B9252A"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hAnsi="Arial" w:cs="Arial"/>
                <w:sz w:val="22"/>
                <w:szCs w:val="22"/>
              </w:rPr>
            </w:pPr>
            <m:oMathPara>
              <m:oMathParaPr>
                <m:jc m:val="center"/>
              </m:oMathParaPr>
              <m:oMath>
                <m:sSubSup>
                  <m:sSubSupPr>
                    <m:ctrlPr>
                      <w:rPr>
                        <w:rFonts w:ascii="Cambria Math" w:hAnsi="Cambria Math" w:cs="Arial"/>
                        <w:sz w:val="22"/>
                        <w:szCs w:val="22"/>
                      </w:rPr>
                    </m:ctrlPr>
                  </m:sSubSupPr>
                  <m:e>
                    <m:r>
                      <m:rPr>
                        <m:sty m:val="p"/>
                      </m:rPr>
                      <w:rPr>
                        <w:rFonts w:ascii="Cambria Math" w:hAnsi="Cambria Math" w:cs="Arial"/>
                        <w:sz w:val="22"/>
                        <w:szCs w:val="22"/>
                      </w:rPr>
                      <m:t>m</m:t>
                    </m:r>
                  </m:e>
                  <m:sub>
                    <m:r>
                      <m:rPr>
                        <m:sty m:val="p"/>
                      </m:rPr>
                      <w:rPr>
                        <w:rFonts w:ascii="Cambria Math" w:hAnsi="Cambria Math" w:cs="Arial"/>
                        <w:sz w:val="22"/>
                        <w:szCs w:val="22"/>
                      </w:rPr>
                      <m:t>c</m:t>
                    </m:r>
                  </m:sub>
                  <m:sup>
                    <m:r>
                      <m:rPr>
                        <m:sty m:val="p"/>
                      </m:rPr>
                      <w:rPr>
                        <w:rFonts w:ascii="Cambria Math" w:hAnsi="Cambria Math" w:cs="Arial"/>
                        <w:sz w:val="22"/>
                        <w:szCs w:val="22"/>
                      </w:rPr>
                      <m:t>"</m:t>
                    </m:r>
                  </m:sup>
                </m:sSubSup>
                <m:r>
                  <m:rPr>
                    <m:sty m:val="p"/>
                  </m:rPr>
                  <w:rPr>
                    <w:rFonts w:ascii="Cambria Math" w:hAnsi="Cambria Math" w:cs="Arial"/>
                    <w:sz w:val="22"/>
                    <w:szCs w:val="22"/>
                  </w:rPr>
                  <m:t xml:space="preserve">= </m:t>
                </m:r>
                <m:f>
                  <m:fPr>
                    <m:ctrlPr>
                      <w:rPr>
                        <w:rFonts w:ascii="Cambria Math" w:hAnsi="Cambria Math" w:cs="Arial"/>
                        <w:sz w:val="22"/>
                        <w:szCs w:val="22"/>
                      </w:rPr>
                    </m:ctrlPr>
                  </m:fPr>
                  <m:num>
                    <m:r>
                      <m:rPr>
                        <m:sty m:val="p"/>
                      </m:rPr>
                      <w:rPr>
                        <w:rFonts w:ascii="Cambria Math" w:hAnsi="Cambria Math" w:cs="Arial"/>
                        <w:sz w:val="22"/>
                        <w:szCs w:val="22"/>
                      </w:rPr>
                      <m:t xml:space="preserve">N </m:t>
                    </m:r>
                    <m:sSub>
                      <m:sSubPr>
                        <m:ctrlPr>
                          <w:rPr>
                            <w:rFonts w:ascii="Cambria Math" w:hAnsi="Cambria Math" w:cs="Arial"/>
                            <w:sz w:val="22"/>
                            <w:szCs w:val="22"/>
                          </w:rPr>
                        </m:ctrlPr>
                      </m:sSubPr>
                      <m:e>
                        <m:r>
                          <m:rPr>
                            <m:sty m:val="p"/>
                          </m:rPr>
                          <w:rPr>
                            <w:rFonts w:ascii="Cambria Math" w:hAnsi="Cambria Math" w:cs="Arial"/>
                            <w:sz w:val="22"/>
                            <w:szCs w:val="22"/>
                          </w:rPr>
                          <m:t>Y</m:t>
                        </m:r>
                      </m:e>
                      <m:sub>
                        <m:r>
                          <m:rPr>
                            <m:sty m:val="p"/>
                          </m:rPr>
                          <w:rPr>
                            <w:rFonts w:ascii="Cambria Math" w:hAnsi="Cambria Math" w:cs="Arial"/>
                            <w:sz w:val="22"/>
                            <w:szCs w:val="22"/>
                          </w:rPr>
                          <m:t>p</m:t>
                        </m:r>
                      </m:sub>
                    </m:sSub>
                    <m:r>
                      <m:rPr>
                        <m:sty m:val="p"/>
                      </m:rPr>
                      <w:rPr>
                        <w:rFonts w:ascii="Cambria Math" w:hAnsi="Cambria Math" w:cs="Arial"/>
                        <w:sz w:val="22"/>
                        <w:szCs w:val="22"/>
                      </w:rPr>
                      <m:t xml:space="preserve"> </m:t>
                    </m:r>
                    <m:d>
                      <m:dPr>
                        <m:ctrlPr>
                          <w:rPr>
                            <w:rFonts w:ascii="Cambria Math" w:hAnsi="Cambria Math" w:cs="Arial"/>
                            <w:sz w:val="22"/>
                            <w:szCs w:val="22"/>
                          </w:rPr>
                        </m:ctrlPr>
                      </m:dPr>
                      <m:e>
                        <m:r>
                          <m:rPr>
                            <m:sty m:val="p"/>
                          </m:rPr>
                          <w:rPr>
                            <w:rFonts w:ascii="Cambria Math" w:hAnsi="Cambria Math" w:cs="Arial"/>
                            <w:sz w:val="22"/>
                            <w:szCs w:val="22"/>
                          </w:rPr>
                          <m:t xml:space="preserve">1- </m:t>
                        </m:r>
                        <m:sSub>
                          <m:sSubPr>
                            <m:ctrlPr>
                              <w:rPr>
                                <w:rFonts w:ascii="Cambria Math" w:hAnsi="Cambria Math" w:cs="Arial"/>
                                <w:sz w:val="22"/>
                                <w:szCs w:val="22"/>
                              </w:rPr>
                            </m:ctrlPr>
                          </m:sSubPr>
                          <m:e>
                            <m:r>
                              <m:rPr>
                                <m:sty m:val="p"/>
                              </m:rPr>
                              <w:rPr>
                                <w:rFonts w:ascii="Cambria Math" w:hAnsi="Cambria Math" w:cs="Arial"/>
                                <w:sz w:val="22"/>
                                <w:szCs w:val="22"/>
                              </w:rPr>
                              <m:t>Y</m:t>
                            </m:r>
                          </m:e>
                          <m:sub>
                            <m:r>
                              <m:rPr>
                                <m:sty m:val="p"/>
                              </m:rPr>
                              <w:rPr>
                                <w:rFonts w:ascii="Cambria Math" w:hAnsi="Cambria Math" w:cs="Arial"/>
                                <w:sz w:val="22"/>
                                <w:szCs w:val="22"/>
                              </w:rPr>
                              <m:t>c</m:t>
                            </m:r>
                          </m:sub>
                        </m:sSub>
                      </m:e>
                    </m:d>
                    <m:r>
                      <m:rPr>
                        <m:sty m:val="p"/>
                      </m:rPr>
                      <w:rPr>
                        <w:rFonts w:ascii="Cambria Math" w:hAnsi="Cambria Math" w:cs="Arial"/>
                        <w:sz w:val="22"/>
                        <w:szCs w:val="22"/>
                      </w:rPr>
                      <m:t xml:space="preserve"> </m:t>
                    </m:r>
                    <m:sSup>
                      <m:sSupPr>
                        <m:ctrlPr>
                          <w:rPr>
                            <w:rFonts w:ascii="Cambria Math" w:hAnsi="Cambria Math" w:cs="Arial"/>
                            <w:sz w:val="22"/>
                            <w:szCs w:val="22"/>
                          </w:rPr>
                        </m:ctrlPr>
                      </m:sSupPr>
                      <m:e>
                        <m:r>
                          <m:rPr>
                            <m:sty m:val="p"/>
                          </m:rPr>
                          <w:rPr>
                            <w:rFonts w:ascii="Cambria Math" w:hAnsi="Cambria Math" w:cs="Arial"/>
                            <w:sz w:val="22"/>
                            <w:szCs w:val="22"/>
                          </w:rPr>
                          <m:t>m</m:t>
                        </m:r>
                      </m:e>
                      <m:sup>
                        <m:r>
                          <m:rPr>
                            <m:sty m:val="p"/>
                          </m:rPr>
                          <w:rPr>
                            <w:rFonts w:ascii="Cambria Math" w:hAnsi="Cambria Math" w:cs="Arial"/>
                            <w:sz w:val="22"/>
                            <w:szCs w:val="22"/>
                          </w:rPr>
                          <m:t>'</m:t>
                        </m:r>
                      </m:sup>
                    </m:sSup>
                  </m:num>
                  <m:den>
                    <m:r>
                      <m:rPr>
                        <m:sty m:val="p"/>
                      </m:rPr>
                      <w:rPr>
                        <w:rFonts w:ascii="Cambria Math" w:hAnsi="Cambria Math" w:cs="Arial"/>
                        <w:sz w:val="22"/>
                        <w:szCs w:val="22"/>
                      </w:rPr>
                      <m:t>W</m:t>
                    </m:r>
                  </m:den>
                </m:f>
              </m:oMath>
            </m:oMathPara>
          </w:p>
        </w:tc>
        <w:tc>
          <w:tcPr>
            <w:tcW w:w="720" w:type="dxa"/>
            <w:vAlign w:val="center"/>
          </w:tcPr>
          <w:p w14:paraId="209F673D" w14:textId="631FFAAD" w:rsidR="009B421E" w:rsidRPr="00D858C0" w:rsidRDefault="009B421E" w:rsidP="00493B85">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right"/>
              <w:rPr>
                <w:rFonts w:ascii="Arial" w:hAnsi="Arial" w:cs="Arial"/>
                <w:sz w:val="22"/>
                <w:szCs w:val="22"/>
              </w:rPr>
            </w:pPr>
            <w:r w:rsidRPr="00D858C0">
              <w:rPr>
                <w:rFonts w:ascii="Arial" w:eastAsiaTheme="minorEastAsia" w:hAnsi="Arial" w:cs="Arial"/>
                <w:sz w:val="22"/>
                <w:szCs w:val="22"/>
              </w:rPr>
              <w:t>(1</w:t>
            </w:r>
            <w:r w:rsidR="00493B85" w:rsidRPr="00D858C0">
              <w:rPr>
                <w:rFonts w:ascii="Arial" w:eastAsiaTheme="minorEastAsia" w:hAnsi="Arial" w:cs="Arial"/>
                <w:sz w:val="22"/>
                <w:szCs w:val="22"/>
              </w:rPr>
              <w:t>7</w:t>
            </w:r>
            <w:r w:rsidRPr="00D858C0">
              <w:rPr>
                <w:rFonts w:ascii="Arial" w:eastAsiaTheme="minorEastAsia" w:hAnsi="Arial" w:cs="Arial"/>
                <w:sz w:val="22"/>
                <w:szCs w:val="22"/>
              </w:rPr>
              <w:t>)</w:t>
            </w:r>
          </w:p>
        </w:tc>
      </w:tr>
    </w:tbl>
    <w:p w14:paraId="5775DEC3" w14:textId="77777777" w:rsidR="009B421E" w:rsidRPr="00D858C0" w:rsidRDefault="009B421E" w:rsidP="009B421E">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p>
    <w:p w14:paraId="5FEFC3C4" w14:textId="77777777" w:rsidR="009B421E" w:rsidRPr="00D858C0" w:rsidRDefault="009B421E" w:rsidP="009B421E">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where</w:t>
      </w:r>
    </w:p>
    <w:p w14:paraId="0C3629BF" w14:textId="565D0D61"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ab/>
      </w:r>
      <m:oMath>
        <m:sSubSup>
          <m:sSubSupPr>
            <m:ctrlPr>
              <w:rPr>
                <w:rFonts w:ascii="Cambria Math" w:eastAsiaTheme="minorEastAsia" w:hAnsi="Cambria Math" w:cs="Arial"/>
                <w:sz w:val="22"/>
                <w:szCs w:val="22"/>
              </w:rPr>
            </m:ctrlPr>
          </m:sSubSupPr>
          <m:e>
            <m:acc>
              <m:accPr>
                <m:chr m:val="̇"/>
                <m:ctrlPr>
                  <w:rPr>
                    <w:rFonts w:ascii="Cambria Math" w:eastAsiaTheme="minorEastAsia" w:hAnsi="Cambria Math" w:cs="Arial"/>
                    <w:sz w:val="22"/>
                    <w:szCs w:val="22"/>
                  </w:rPr>
                </m:ctrlPr>
              </m:accPr>
              <m:e>
                <m:r>
                  <m:rPr>
                    <m:sty m:val="p"/>
                  </m:rPr>
                  <w:rPr>
                    <w:rFonts w:ascii="Cambria Math" w:eastAsiaTheme="minorEastAsia" w:hAnsi="Cambria Math" w:cs="Arial"/>
                    <w:sz w:val="22"/>
                    <w:szCs w:val="22"/>
                  </w:rPr>
                  <m:t>m</m:t>
                </m:r>
              </m:e>
            </m:acc>
          </m:e>
          <m:sub>
            <m:r>
              <m:rPr>
                <m:sty m:val="p"/>
              </m:rPr>
              <w:rPr>
                <w:rFonts w:ascii="Cambria Math" w:eastAsiaTheme="minorEastAsia" w:hAnsi="Cambria Math" w:cs="Arial"/>
                <w:sz w:val="22"/>
                <w:szCs w:val="22"/>
              </w:rPr>
              <m:t>c</m:t>
            </m:r>
          </m:sub>
          <m:sup>
            <m:r>
              <m:rPr>
                <m:sty m:val="p"/>
              </m:rPr>
              <w:rPr>
                <w:rFonts w:ascii="Cambria Math" w:eastAsiaTheme="minorEastAsia" w:hAnsi="Cambria Math" w:cs="Arial"/>
                <w:sz w:val="22"/>
                <w:szCs w:val="22"/>
              </w:rPr>
              <m:t>"</m:t>
            </m:r>
          </m:sup>
        </m:sSubSup>
      </m:oMath>
      <w:r w:rsidRPr="00D858C0">
        <w:rPr>
          <w:rFonts w:ascii="Arial" w:eastAsiaTheme="minorEastAsia" w:hAnsi="Arial" w:cs="Arial"/>
          <w:sz w:val="22"/>
          <w:szCs w:val="22"/>
        </w:rPr>
        <w:tab/>
        <w:t>=</w:t>
      </w:r>
      <w:r w:rsidRPr="00D858C0">
        <w:rPr>
          <w:rFonts w:ascii="Arial" w:eastAsiaTheme="minorEastAsia" w:hAnsi="Arial" w:cs="Arial"/>
          <w:sz w:val="22"/>
          <w:szCs w:val="22"/>
        </w:rPr>
        <w:tab/>
        <w:t>Combustible cable mass per unit tray area (kg/m</w:t>
      </w:r>
      <w:r w:rsidRPr="00D858C0">
        <w:rPr>
          <w:rFonts w:ascii="Arial" w:eastAsiaTheme="minorEastAsia" w:hAnsi="Arial" w:cs="Arial"/>
          <w:sz w:val="22"/>
          <w:szCs w:val="22"/>
          <w:vertAlign w:val="superscript"/>
        </w:rPr>
        <w:t>2</w:t>
      </w:r>
      <w:r w:rsidRPr="00D858C0">
        <w:rPr>
          <w:rFonts w:ascii="Arial" w:eastAsiaTheme="minorEastAsia" w:hAnsi="Arial" w:cs="Arial"/>
          <w:sz w:val="22"/>
          <w:szCs w:val="22"/>
        </w:rPr>
        <w:t>)</w:t>
      </w:r>
    </w:p>
    <w:p w14:paraId="14EC3B50"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ab/>
        <w:t>N</w:t>
      </w:r>
      <w:r w:rsidRPr="00D858C0">
        <w:rPr>
          <w:rFonts w:ascii="Arial" w:eastAsiaTheme="minorEastAsia" w:hAnsi="Arial" w:cs="Arial"/>
          <w:i/>
          <w:sz w:val="22"/>
          <w:szCs w:val="22"/>
        </w:rPr>
        <w:tab/>
      </w:r>
      <w:r w:rsidRPr="00D858C0">
        <w:rPr>
          <w:rFonts w:ascii="Arial" w:eastAsiaTheme="minorEastAsia" w:hAnsi="Arial" w:cs="Arial"/>
          <w:sz w:val="22"/>
          <w:szCs w:val="22"/>
        </w:rPr>
        <w:t>=</w:t>
      </w:r>
      <w:r w:rsidRPr="00D858C0">
        <w:rPr>
          <w:rFonts w:ascii="Arial" w:eastAsiaTheme="minorEastAsia" w:hAnsi="Arial" w:cs="Arial"/>
          <w:sz w:val="22"/>
          <w:szCs w:val="22"/>
        </w:rPr>
        <w:tab/>
        <w:t>Number of cables per tray</w:t>
      </w:r>
    </w:p>
    <w:p w14:paraId="45AC2502"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i/>
          <w:sz w:val="22"/>
          <w:szCs w:val="22"/>
        </w:rPr>
      </w:pPr>
      <w:r w:rsidRPr="00D858C0">
        <w:rPr>
          <w:rFonts w:ascii="Arial" w:eastAsiaTheme="minorEastAsia" w:hAnsi="Arial" w:cs="Arial"/>
          <w:sz w:val="22"/>
          <w:szCs w:val="22"/>
        </w:rPr>
        <w:tab/>
      </w:r>
      <m:oMath>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Y</m:t>
            </m:r>
          </m:e>
          <m:sub>
            <m:r>
              <m:rPr>
                <m:sty m:val="p"/>
              </m:rPr>
              <w:rPr>
                <w:rFonts w:ascii="Cambria Math" w:eastAsiaTheme="minorEastAsia" w:hAnsi="Cambria Math" w:cs="Arial"/>
                <w:sz w:val="22"/>
                <w:szCs w:val="22"/>
              </w:rPr>
              <m:t>p</m:t>
            </m:r>
          </m:sub>
        </m:sSub>
      </m:oMath>
      <w:r w:rsidRPr="00D858C0">
        <w:rPr>
          <w:rFonts w:ascii="Arial" w:eastAsiaTheme="minorEastAsia" w:hAnsi="Arial" w:cs="Arial"/>
          <w:sz w:val="22"/>
          <w:szCs w:val="22"/>
        </w:rPr>
        <w:tab/>
        <w:t>=</w:t>
      </w:r>
      <w:r w:rsidRPr="00D858C0">
        <w:rPr>
          <w:rFonts w:ascii="Arial" w:eastAsiaTheme="minorEastAsia" w:hAnsi="Arial" w:cs="Arial"/>
          <w:sz w:val="22"/>
          <w:szCs w:val="22"/>
        </w:rPr>
        <w:tab/>
        <w:t>Plastic mass fraction (kg/kg)</w:t>
      </w:r>
    </w:p>
    <w:p w14:paraId="7814995C"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i/>
          <w:sz w:val="22"/>
          <w:szCs w:val="22"/>
        </w:rPr>
      </w:pPr>
      <w:r w:rsidRPr="00D858C0">
        <w:rPr>
          <w:rFonts w:ascii="Arial" w:eastAsiaTheme="minorEastAsia" w:hAnsi="Arial" w:cs="Arial"/>
          <w:i/>
          <w:sz w:val="22"/>
          <w:szCs w:val="22"/>
        </w:rPr>
        <w:tab/>
      </w:r>
      <m:oMath>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Y</m:t>
            </m:r>
          </m:e>
          <m:sub>
            <m:r>
              <m:rPr>
                <m:sty m:val="p"/>
              </m:rPr>
              <w:rPr>
                <w:rFonts w:ascii="Cambria Math" w:eastAsiaTheme="minorEastAsia" w:hAnsi="Cambria Math" w:cs="Arial"/>
                <w:sz w:val="22"/>
                <w:szCs w:val="22"/>
              </w:rPr>
              <m:t>c</m:t>
            </m:r>
          </m:sub>
        </m:sSub>
      </m:oMath>
      <w:r w:rsidRPr="00D858C0">
        <w:rPr>
          <w:rFonts w:ascii="Arial" w:eastAsiaTheme="minorEastAsia" w:hAnsi="Arial" w:cs="Arial"/>
          <w:sz w:val="22"/>
          <w:szCs w:val="22"/>
        </w:rPr>
        <w:tab/>
        <w:t>=</w:t>
      </w:r>
      <w:r w:rsidRPr="00D858C0">
        <w:rPr>
          <w:rFonts w:ascii="Arial" w:eastAsiaTheme="minorEastAsia" w:hAnsi="Arial" w:cs="Arial"/>
          <w:sz w:val="22"/>
          <w:szCs w:val="22"/>
        </w:rPr>
        <w:tab/>
        <w:t>Char yield (kg/kg)</w:t>
      </w:r>
    </w:p>
    <w:p w14:paraId="494C643E"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i/>
          <w:sz w:val="22"/>
          <w:szCs w:val="22"/>
        </w:rPr>
        <w:tab/>
      </w:r>
      <m:oMath>
        <m:sSup>
          <m:sSupPr>
            <m:ctrlPr>
              <w:rPr>
                <w:rFonts w:ascii="Cambria Math" w:eastAsiaTheme="minorEastAsia" w:hAnsi="Cambria Math" w:cs="Arial"/>
                <w:sz w:val="22"/>
                <w:szCs w:val="22"/>
              </w:rPr>
            </m:ctrlPr>
          </m:sSupPr>
          <m:e>
            <m:r>
              <m:rPr>
                <m:sty m:val="p"/>
              </m:rPr>
              <w:rPr>
                <w:rFonts w:ascii="Cambria Math" w:eastAsiaTheme="minorEastAsia" w:hAnsi="Cambria Math" w:cs="Arial"/>
                <w:sz w:val="22"/>
                <w:szCs w:val="22"/>
              </w:rPr>
              <m:t>m</m:t>
            </m:r>
          </m:e>
          <m:sup>
            <m:r>
              <m:rPr>
                <m:sty m:val="p"/>
              </m:rPr>
              <w:rPr>
                <w:rFonts w:ascii="Cambria Math" w:eastAsiaTheme="minorEastAsia" w:hAnsi="Cambria Math" w:cs="Arial"/>
                <w:sz w:val="22"/>
                <w:szCs w:val="22"/>
              </w:rPr>
              <m:t>'</m:t>
            </m:r>
          </m:sup>
        </m:sSup>
      </m:oMath>
      <w:r w:rsidRPr="00D858C0">
        <w:rPr>
          <w:rFonts w:ascii="Arial" w:eastAsiaTheme="minorEastAsia" w:hAnsi="Arial" w:cs="Arial"/>
          <w:sz w:val="22"/>
          <w:szCs w:val="22"/>
        </w:rPr>
        <w:tab/>
        <w:t>=</w:t>
      </w:r>
      <w:r w:rsidRPr="00D858C0">
        <w:rPr>
          <w:rFonts w:ascii="Arial" w:eastAsiaTheme="minorEastAsia" w:hAnsi="Arial" w:cs="Arial"/>
          <w:sz w:val="22"/>
          <w:szCs w:val="22"/>
        </w:rPr>
        <w:tab/>
        <w:t>Cable mass per unit length (kg/m)</w:t>
      </w:r>
    </w:p>
    <w:p w14:paraId="12AE8840"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ab/>
        <w:t>W</w:t>
      </w:r>
      <w:r w:rsidRPr="00D858C0">
        <w:rPr>
          <w:rFonts w:ascii="Arial" w:eastAsiaTheme="minorEastAsia" w:hAnsi="Arial" w:cs="Arial"/>
          <w:sz w:val="22"/>
          <w:szCs w:val="22"/>
        </w:rPr>
        <w:tab/>
        <w:t>=</w:t>
      </w:r>
      <w:r w:rsidRPr="00D858C0">
        <w:rPr>
          <w:rFonts w:ascii="Arial" w:eastAsiaTheme="minorEastAsia" w:hAnsi="Arial" w:cs="Arial"/>
          <w:sz w:val="22"/>
          <w:szCs w:val="22"/>
        </w:rPr>
        <w:tab/>
        <w:t>Cable tray width (m)</w:t>
      </w:r>
    </w:p>
    <w:p w14:paraId="4CADBE0A" w14:textId="77777777" w:rsidR="009B421E" w:rsidRPr="00D858C0" w:rsidRDefault="009B421E" w:rsidP="009B421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p w14:paraId="406067B7" w14:textId="77777777" w:rsidR="009B421E" w:rsidRPr="00D858C0" w:rsidRDefault="009B421E" w:rsidP="009B421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r w:rsidRPr="00D858C0">
        <w:rPr>
          <w:lang w:val="en-GB"/>
        </w:rPr>
        <w:t>The model assumes that the HRR per unit area ramps linearly to its average value over a time period of Δt/6, remains steady for a time period of 2Δt/3, and then decreases linearly to zero over a time period of Δt/6.  The burnout time is therefore calculated as follows:</w:t>
      </w:r>
    </w:p>
    <w:p w14:paraId="4D77A867"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200"/>
        <w:gridCol w:w="720"/>
      </w:tblGrid>
      <w:tr w:rsidR="009B421E" w:rsidRPr="00D858C0" w14:paraId="75E00ABC" w14:textId="77777777" w:rsidTr="007B3400">
        <w:trPr>
          <w:jc w:val="center"/>
        </w:trPr>
        <w:tc>
          <w:tcPr>
            <w:tcW w:w="1440" w:type="dxa"/>
          </w:tcPr>
          <w:p w14:paraId="028457DB" w14:textId="77777777" w:rsidR="009B421E" w:rsidRPr="00D858C0" w:rsidRDefault="009B421E"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eastAsia="Times New Roman" w:hAnsi="Arial" w:cs="Arial"/>
                <w:sz w:val="22"/>
                <w:szCs w:val="22"/>
              </w:rPr>
            </w:pPr>
          </w:p>
        </w:tc>
        <w:tc>
          <w:tcPr>
            <w:tcW w:w="7200" w:type="dxa"/>
          </w:tcPr>
          <w:p w14:paraId="2A2B1745" w14:textId="77777777" w:rsidR="009B421E" w:rsidRPr="00D858C0" w:rsidRDefault="009B421E"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hAnsi="Arial" w:cs="Arial"/>
                <w:sz w:val="22"/>
                <w:szCs w:val="22"/>
              </w:rPr>
            </w:pPr>
            <m:oMathPara>
              <m:oMathParaPr>
                <m:jc m:val="center"/>
              </m:oMathParaPr>
              <m:oMath>
                <m:r>
                  <m:rPr>
                    <m:sty m:val="p"/>
                  </m:rPr>
                  <w:rPr>
                    <w:rFonts w:ascii="Cambria Math" w:hAnsi="Cambria Math" w:cs="Arial"/>
                    <w:sz w:val="22"/>
                    <w:szCs w:val="22"/>
                  </w:rPr>
                  <m:t xml:space="preserve">∆t= </m:t>
                </m:r>
                <m:f>
                  <m:fPr>
                    <m:ctrlPr>
                      <w:rPr>
                        <w:rFonts w:ascii="Cambria Math" w:hAnsi="Cambria Math" w:cs="Arial"/>
                        <w:sz w:val="22"/>
                        <w:szCs w:val="22"/>
                      </w:rPr>
                    </m:ctrlPr>
                  </m:fPr>
                  <m:num>
                    <m:r>
                      <m:rPr>
                        <m:sty m:val="p"/>
                      </m:rPr>
                      <w:rPr>
                        <w:rFonts w:ascii="Cambria Math" w:hAnsi="Cambria Math" w:cs="Arial"/>
                        <w:sz w:val="22"/>
                        <w:szCs w:val="22"/>
                      </w:rPr>
                      <m:t>6</m:t>
                    </m:r>
                    <m:sSubSup>
                      <m:sSubSupPr>
                        <m:ctrlPr>
                          <w:rPr>
                            <w:rFonts w:ascii="Cambria Math" w:hAnsi="Cambria Math" w:cs="Arial"/>
                            <w:sz w:val="22"/>
                            <w:szCs w:val="22"/>
                          </w:rPr>
                        </m:ctrlPr>
                      </m:sSubSupPr>
                      <m:e>
                        <m:r>
                          <m:rPr>
                            <m:sty m:val="p"/>
                          </m:rPr>
                          <w:rPr>
                            <w:rFonts w:ascii="Cambria Math" w:hAnsi="Cambria Math" w:cs="Arial"/>
                            <w:sz w:val="22"/>
                            <w:szCs w:val="22"/>
                          </w:rPr>
                          <m:t>m</m:t>
                        </m:r>
                      </m:e>
                      <m:sub>
                        <m:r>
                          <m:rPr>
                            <m:sty m:val="p"/>
                          </m:rPr>
                          <w:rPr>
                            <w:rFonts w:ascii="Cambria Math" w:hAnsi="Cambria Math" w:cs="Arial"/>
                            <w:sz w:val="22"/>
                            <w:szCs w:val="22"/>
                          </w:rPr>
                          <m:t>c</m:t>
                        </m:r>
                      </m:sub>
                      <m:sup>
                        <m:r>
                          <m:rPr>
                            <m:sty m:val="p"/>
                          </m:rPr>
                          <w:rPr>
                            <w:rFonts w:ascii="Cambria Math" w:hAnsi="Cambria Math" w:cs="Arial"/>
                            <w:sz w:val="22"/>
                            <w:szCs w:val="22"/>
                          </w:rPr>
                          <m:t>"</m:t>
                        </m:r>
                      </m:sup>
                    </m:sSubSup>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H</m:t>
                        </m:r>
                      </m:e>
                      <m:sub>
                        <m:r>
                          <m:rPr>
                            <m:sty m:val="p"/>
                          </m:rPr>
                          <w:rPr>
                            <w:rFonts w:ascii="Cambria Math" w:hAnsi="Cambria Math" w:cs="Arial"/>
                            <w:sz w:val="22"/>
                            <w:szCs w:val="22"/>
                          </w:rPr>
                          <m:t>v</m:t>
                        </m:r>
                      </m:sub>
                    </m:sSub>
                  </m:num>
                  <m:den>
                    <m:r>
                      <m:rPr>
                        <m:sty m:val="p"/>
                      </m:rPr>
                      <w:rPr>
                        <w:rFonts w:ascii="Cambria Math" w:hAnsi="Cambria Math" w:cs="Arial"/>
                        <w:sz w:val="22"/>
                        <w:szCs w:val="22"/>
                      </w:rPr>
                      <m:t>5 HRRPUA</m:t>
                    </m:r>
                  </m:den>
                </m:f>
              </m:oMath>
            </m:oMathPara>
          </w:p>
        </w:tc>
        <w:tc>
          <w:tcPr>
            <w:tcW w:w="720" w:type="dxa"/>
            <w:vAlign w:val="center"/>
          </w:tcPr>
          <w:p w14:paraId="52287A13" w14:textId="06676078" w:rsidR="009B421E" w:rsidRPr="00D858C0" w:rsidRDefault="009B421E" w:rsidP="00493B85">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hAnsi="Arial" w:cs="Arial"/>
                <w:sz w:val="22"/>
                <w:szCs w:val="22"/>
              </w:rPr>
            </w:pPr>
            <w:r w:rsidRPr="00D858C0">
              <w:rPr>
                <w:rFonts w:ascii="Arial" w:eastAsiaTheme="minorEastAsia" w:hAnsi="Arial" w:cs="Arial"/>
                <w:sz w:val="22"/>
                <w:szCs w:val="22"/>
              </w:rPr>
              <w:t>(1</w:t>
            </w:r>
            <w:r w:rsidR="00493B85" w:rsidRPr="00D858C0">
              <w:rPr>
                <w:rFonts w:ascii="Arial" w:eastAsiaTheme="minorEastAsia" w:hAnsi="Arial" w:cs="Arial"/>
                <w:sz w:val="22"/>
                <w:szCs w:val="22"/>
              </w:rPr>
              <w:t>8</w:t>
            </w:r>
            <w:r w:rsidRPr="00D858C0">
              <w:rPr>
                <w:rFonts w:ascii="Arial" w:eastAsiaTheme="minorEastAsia" w:hAnsi="Arial" w:cs="Arial"/>
                <w:sz w:val="22"/>
                <w:szCs w:val="22"/>
              </w:rPr>
              <w:t>)</w:t>
            </w:r>
          </w:p>
        </w:tc>
      </w:tr>
    </w:tbl>
    <w:p w14:paraId="2F08B45A" w14:textId="77777777" w:rsidR="009B421E" w:rsidRPr="00D858C0" w:rsidRDefault="009B421E" w:rsidP="009B421E">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p>
    <w:p w14:paraId="7BFBA374" w14:textId="77777777" w:rsidR="009B421E" w:rsidRPr="00D858C0" w:rsidRDefault="009B421E" w:rsidP="009B421E">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where</w:t>
      </w:r>
    </w:p>
    <w:p w14:paraId="7FBA9345" w14:textId="13576961" w:rsidR="009B421E" w:rsidRPr="00D858C0" w:rsidRDefault="009B421E" w:rsidP="009B421E">
      <w:pPr>
        <w:pStyle w:val="PlainText"/>
        <w:tabs>
          <w:tab w:val="left" w:pos="274"/>
          <w:tab w:val="left" w:pos="810"/>
          <w:tab w:val="left" w:pos="1080"/>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810"/>
        <w:rPr>
          <w:rFonts w:ascii="Arial" w:eastAsiaTheme="minorEastAsia" w:hAnsi="Arial" w:cs="Arial"/>
          <w:sz w:val="22"/>
          <w:szCs w:val="22"/>
        </w:rPr>
      </w:pPr>
      <w:r w:rsidRPr="00D858C0">
        <w:rPr>
          <w:rFonts w:ascii="Arial" w:eastAsiaTheme="minorEastAsia" w:hAnsi="Arial" w:cs="Arial"/>
          <w:sz w:val="22"/>
          <w:szCs w:val="22"/>
        </w:rPr>
        <w:tab/>
      </w:r>
      <m:oMath>
        <m:r>
          <m:rPr>
            <m:sty m:val="p"/>
          </m:rPr>
          <w:rPr>
            <w:rFonts w:ascii="Cambria Math" w:eastAsiaTheme="minorEastAsia" w:hAnsi="Cambria Math" w:cs="Arial"/>
            <w:sz w:val="22"/>
            <w:szCs w:val="22"/>
          </w:rPr>
          <m:t>∆</m:t>
        </m:r>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H</m:t>
            </m:r>
          </m:e>
          <m:sub>
            <m:r>
              <m:rPr>
                <m:sty m:val="p"/>
              </m:rPr>
              <w:rPr>
                <w:rFonts w:ascii="Cambria Math" w:eastAsiaTheme="minorEastAsia" w:hAnsi="Cambria Math" w:cs="Arial"/>
                <w:sz w:val="22"/>
                <w:szCs w:val="22"/>
              </w:rPr>
              <m:t>v</m:t>
            </m:r>
          </m:sub>
        </m:sSub>
      </m:oMath>
      <w:r w:rsidRPr="00D858C0">
        <w:rPr>
          <w:rFonts w:ascii="Arial" w:eastAsiaTheme="minorEastAsia" w:hAnsi="Arial" w:cs="Arial"/>
          <w:sz w:val="22"/>
          <w:szCs w:val="22"/>
        </w:rPr>
        <w:tab/>
        <w:t>=</w:t>
      </w:r>
      <w:r w:rsidRPr="00D858C0">
        <w:rPr>
          <w:rFonts w:ascii="Arial" w:eastAsiaTheme="minorEastAsia" w:hAnsi="Arial" w:cs="Arial"/>
          <w:sz w:val="22"/>
          <w:szCs w:val="22"/>
        </w:rPr>
        <w:tab/>
        <w:t>Heat of combustion of the fuel volatiles (kJ/kg)</w:t>
      </w:r>
    </w:p>
    <w:p w14:paraId="33B0C144" w14:textId="77777777" w:rsidR="009B421E" w:rsidRPr="00D858C0" w:rsidRDefault="009B421E" w:rsidP="009B421E">
      <w:pPr>
        <w:pStyle w:val="PlainText"/>
        <w:tabs>
          <w:tab w:val="left" w:pos="274"/>
          <w:tab w:val="left" w:pos="810"/>
          <w:tab w:val="left" w:pos="1080"/>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810"/>
        <w:rPr>
          <w:rFonts w:ascii="Arial" w:eastAsiaTheme="minorEastAsia" w:hAnsi="Arial" w:cs="Arial"/>
          <w:sz w:val="22"/>
          <w:szCs w:val="22"/>
        </w:rPr>
      </w:pPr>
      <w:r w:rsidRPr="00D858C0">
        <w:rPr>
          <w:rFonts w:ascii="Arial" w:eastAsiaTheme="minorEastAsia" w:hAnsi="Arial" w:cs="Arial"/>
          <w:sz w:val="22"/>
          <w:szCs w:val="22"/>
        </w:rPr>
        <w:tab/>
        <w:t>HRRPUA</w:t>
      </w:r>
      <w:r w:rsidRPr="00D858C0">
        <w:rPr>
          <w:rFonts w:ascii="Arial" w:eastAsiaTheme="minorEastAsia" w:hAnsi="Arial" w:cs="Arial"/>
          <w:sz w:val="22"/>
          <w:szCs w:val="22"/>
        </w:rPr>
        <w:tab/>
        <w:t>=</w:t>
      </w:r>
      <w:r w:rsidRPr="00D858C0">
        <w:rPr>
          <w:rFonts w:ascii="Arial" w:eastAsiaTheme="minorEastAsia" w:hAnsi="Arial" w:cs="Arial"/>
          <w:sz w:val="22"/>
          <w:szCs w:val="22"/>
        </w:rPr>
        <w:tab/>
        <w:t>Cable HRR per unit area (kW/m</w:t>
      </w:r>
      <w:r w:rsidRPr="00D858C0">
        <w:rPr>
          <w:rFonts w:ascii="Arial" w:eastAsiaTheme="minorEastAsia" w:hAnsi="Arial" w:cs="Arial"/>
          <w:sz w:val="22"/>
          <w:szCs w:val="22"/>
          <w:vertAlign w:val="superscript"/>
        </w:rPr>
        <w:t>2</w:t>
      </w:r>
      <w:r w:rsidRPr="00D858C0">
        <w:rPr>
          <w:rFonts w:ascii="Arial" w:eastAsiaTheme="minorEastAsia" w:hAnsi="Arial" w:cs="Arial"/>
          <w:sz w:val="22"/>
          <w:szCs w:val="22"/>
        </w:rPr>
        <w:t>)</w:t>
      </w:r>
    </w:p>
    <w:p w14:paraId="1EF329A4"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914D8B"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Additional Assumptions for the Development of Table/Plot Set C</w:t>
      </w:r>
    </w:p>
    <w:p w14:paraId="6E58CCF2"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BB5F11"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This subsection provides a discussion of additional assumptions that were made and the input parameter values and ranges that were used in the development of table/plot set C.</w:t>
      </w:r>
    </w:p>
    <w:p w14:paraId="323AF275"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p w14:paraId="1A743FD5" w14:textId="77777777" w:rsidR="009B421E" w:rsidRPr="00D858C0" w:rsidRDefault="009B421E" w:rsidP="0035366F">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The HRR as a function of time for an ignition source in combination with a vertical stack of cable trays was calculated at 1 minute intervals for the following ignition source-cable tray configurations:</w:t>
      </w:r>
    </w:p>
    <w:p w14:paraId="78C1933C"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3A623A" w14:textId="77777777" w:rsidR="009B421E" w:rsidRPr="00D858C0" w:rsidRDefault="009B421E" w:rsidP="0035366F">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4"/>
        <w:contextualSpacing/>
      </w:pPr>
      <w:r w:rsidRPr="00D858C0">
        <w:t>Ignition source-cable tray HRR tables and plots were developed for all ignition sources listed in Table A5.1 of Attachment 5 to Appendix F.</w:t>
      </w:r>
    </w:p>
    <w:p w14:paraId="1BD7279C" w14:textId="1F258B30" w:rsidR="009B421E" w:rsidRPr="00D858C0" w:rsidRDefault="009B421E" w:rsidP="0035366F">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4"/>
        <w:contextualSpacing/>
      </w:pPr>
      <w:r w:rsidRPr="00D858C0">
        <w:t xml:space="preserve">In addition, HRR tables and plots were developed for cable tray fires without an ignition source.  These tables and plots can be used to determine the HRR of cable trays fires that are ignited by a confined liquid fuel pool fire or an unconfined liquid fuel spill fire by adding the HRR of the confined liquid fuel pool fire or unconfined liquid fuel spill fire.  The HRRs of confined liquid fuel pool fires and unconfined liquid fuel spill fires are tabulated in </w:t>
      </w:r>
      <w:r w:rsidR="00905DC7" w:rsidRPr="00D858C0">
        <w:t>table/plot</w:t>
      </w:r>
      <w:r w:rsidRPr="00D858C0">
        <w:t xml:space="preserve"> set A.</w:t>
      </w:r>
    </w:p>
    <w:p w14:paraId="28174BAA" w14:textId="77777777" w:rsidR="009B421E" w:rsidRPr="00D858C0" w:rsidRDefault="009B421E" w:rsidP="0035366F">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4"/>
        <w:contextualSpacing/>
      </w:pPr>
      <w:r w:rsidRPr="00D858C0">
        <w:lastRenderedPageBreak/>
        <w:t>HRR tables and plots were developed for cable trays widths of 0.46 and 0.91 m (1.5 and 3 ft.)  The calculated HRR values for 0.46 m (1.5 ft.) wide trays can be used for 0.3 m and 0.61 m (1 ft. and 2 ft.) wide trays.  The calculated HRR values for 0.91 m (3.0 ft.) wide trays can be used for single trays and multiple trays side-by-side with a total width greater than 0.61 m (2 ft.)</w:t>
      </w:r>
    </w:p>
    <w:p w14:paraId="20BE70E2" w14:textId="77777777" w:rsidR="009B421E" w:rsidRPr="00D858C0" w:rsidRDefault="009B421E" w:rsidP="0035366F">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4"/>
        <w:contextualSpacing/>
        <w:rPr>
          <w:lang w:val="en-GB"/>
        </w:rPr>
      </w:pPr>
      <w:r w:rsidRPr="00D858C0">
        <w:rPr>
          <w:lang w:val="en-GB"/>
        </w:rPr>
        <w:t xml:space="preserve">The trays were assumed to be 7.2 m (24 ft.) long and ignited at the center to ensure that it would take at least one hour for the flame to spread to the end of the trays.  </w:t>
      </w:r>
    </w:p>
    <w:p w14:paraId="44FD4373" w14:textId="77777777" w:rsidR="009B421E" w:rsidRPr="00D858C0" w:rsidRDefault="009B421E" w:rsidP="0035366F">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4"/>
        <w:contextualSpacing/>
        <w:rPr>
          <w:lang w:val="en-GB"/>
        </w:rPr>
      </w:pPr>
      <w:r w:rsidRPr="00D858C0">
        <w:rPr>
          <w:lang w:val="en-GB"/>
        </w:rPr>
        <w:t>The assumed spacing between trays was 0.3 m (1 ft.)</w:t>
      </w:r>
    </w:p>
    <w:p w14:paraId="43117934" w14:textId="7C127D39" w:rsidR="009B421E" w:rsidRPr="00D858C0" w:rsidRDefault="009B421E" w:rsidP="0035366F">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634"/>
        <w:contextualSpacing/>
        <w:rPr>
          <w:lang w:val="en-GB"/>
        </w:rPr>
      </w:pPr>
      <w:r w:rsidRPr="00D858C0">
        <w:t xml:space="preserve">HRR tables and plots were developed for stacks of one through seven trays filled with </w:t>
      </w:r>
      <w:r w:rsidR="00021E23" w:rsidRPr="00D858C0">
        <w:t>TS</w:t>
      </w:r>
      <w:r w:rsidRPr="00D858C0">
        <w:t xml:space="preserve"> and </w:t>
      </w:r>
      <w:r w:rsidR="00690A12" w:rsidRPr="00D858C0">
        <w:t>TP</w:t>
      </w:r>
      <w:r w:rsidRPr="00D858C0">
        <w:t xml:space="preserve"> cables.  The HRR tables and plots for </w:t>
      </w:r>
      <w:r w:rsidR="00021E23" w:rsidRPr="00D858C0">
        <w:t>TS</w:t>
      </w:r>
      <w:r w:rsidRPr="00D858C0">
        <w:t xml:space="preserve"> cables can also be used </w:t>
      </w:r>
      <w:r w:rsidR="00FA5EDF" w:rsidRPr="00D858C0">
        <w:t xml:space="preserve">for </w:t>
      </w:r>
      <w:r w:rsidRPr="00D858C0">
        <w:t>Kerite cables.</w:t>
      </w:r>
    </w:p>
    <w:p w14:paraId="59CAF88F" w14:textId="0050CA8D" w:rsidR="009B421E" w:rsidRPr="00D858C0" w:rsidRDefault="009B421E" w:rsidP="0035366F">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The table/plot set C HRRs for </w:t>
      </w:r>
      <w:r w:rsidR="00021E23" w:rsidRPr="00D858C0">
        <w:t>TS</w:t>
      </w:r>
      <w:r w:rsidRPr="00D858C0">
        <w:t xml:space="preserve"> cables were calculated assuming 75% of the trays are filled with cables that have the characteristics of cable #16 in </w:t>
      </w:r>
      <w:r w:rsidR="007D4A3C" w:rsidRPr="00D858C0">
        <w:t>Reference 31</w:t>
      </w:r>
      <w:r w:rsidRPr="00D858C0">
        <w:t xml:space="preserve"> (also referred to as cable #13 in Section 8.2.6, Section 8.2</w:t>
      </w:r>
      <w:r w:rsidR="00493B85" w:rsidRPr="00D858C0">
        <w:t>.</w:t>
      </w:r>
      <w:r w:rsidRPr="00D858C0">
        <w:t xml:space="preserve">7, and Table 8-1 of this NUREG).  This cable was chosen because, of all the </w:t>
      </w:r>
      <w:r w:rsidR="00021E23" w:rsidRPr="00D858C0">
        <w:t>TS</w:t>
      </w:r>
      <w:r w:rsidRPr="00D858C0">
        <w:t xml:space="preserve"> cables that were tested, it results in the highest amount of active polymer in the trays.  The tables and plots for </w:t>
      </w:r>
      <w:r w:rsidR="00690A12" w:rsidRPr="00D858C0">
        <w:t>TP</w:t>
      </w:r>
      <w:r w:rsidRPr="00D858C0">
        <w:t xml:space="preserve"> cables were developed in the assumption that 75% of the trays are filled with cables that have the characteristics of cable #701 in </w:t>
      </w:r>
      <w:r w:rsidR="007D4A3C" w:rsidRPr="00D858C0">
        <w:t>Reference 3</w:t>
      </w:r>
      <w:r w:rsidRPr="00D858C0">
        <w:t xml:space="preserve">1, which was the only true </w:t>
      </w:r>
      <w:r w:rsidR="00690A12" w:rsidRPr="00D858C0">
        <w:t>TP</w:t>
      </w:r>
      <w:r w:rsidRPr="00D858C0">
        <w:t xml:space="preserve"> cable that was tested.  The input parameters for the cable tray fire propagation model calculations are given in Table 6.2.10.</w:t>
      </w:r>
    </w:p>
    <w:p w14:paraId="5AAE6CC0"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8559" w:type="dxa"/>
        <w:tblInd w:w="795" w:type="dxa"/>
        <w:tblLook w:val="04A0" w:firstRow="1" w:lastRow="0" w:firstColumn="1" w:lastColumn="0" w:noHBand="0" w:noVBand="1"/>
      </w:tblPr>
      <w:tblGrid>
        <w:gridCol w:w="4177"/>
        <w:gridCol w:w="2026"/>
        <w:gridCol w:w="2356"/>
      </w:tblGrid>
      <w:tr w:rsidR="009B421E" w:rsidRPr="00D858C0" w14:paraId="34C17390" w14:textId="77777777" w:rsidTr="0034587C">
        <w:trPr>
          <w:trHeight w:val="360"/>
        </w:trPr>
        <w:tc>
          <w:tcPr>
            <w:tcW w:w="855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8EE3AE" w14:textId="16607438" w:rsidR="009B421E" w:rsidRPr="00A6171D" w:rsidRDefault="009B421E" w:rsidP="005721EF">
            <w:pPr>
              <w:pStyle w:val="TableCaption"/>
              <w:rPr>
                <w:b w:val="0"/>
              </w:rPr>
            </w:pPr>
            <w:bookmarkStart w:id="176" w:name="_Toc483393015"/>
            <w:r w:rsidRPr="00A6171D">
              <w:rPr>
                <w:b w:val="0"/>
              </w:rPr>
              <w:t>Table 6.2.10</w:t>
            </w:r>
            <w:r w:rsidR="00046D7B" w:rsidRPr="00A6171D">
              <w:rPr>
                <w:b w:val="0"/>
              </w:rPr>
              <w:t xml:space="preserve"> – </w:t>
            </w:r>
            <w:r w:rsidRPr="00A6171D">
              <w:rPr>
                <w:b w:val="0"/>
              </w:rPr>
              <w:t>Input Parameters for the Cable Tray Fire Propagation Model.</w:t>
            </w:r>
            <w:bookmarkEnd w:id="176"/>
          </w:p>
        </w:tc>
      </w:tr>
      <w:tr w:rsidR="009B421E" w:rsidRPr="00D858C0" w14:paraId="2444BDD8" w14:textId="77777777" w:rsidTr="0034587C">
        <w:trPr>
          <w:trHeight w:val="360"/>
        </w:trPr>
        <w:tc>
          <w:tcPr>
            <w:tcW w:w="4177" w:type="dxa"/>
            <w:tcBorders>
              <w:top w:val="single" w:sz="12" w:space="0" w:color="auto"/>
              <w:left w:val="single" w:sz="12" w:space="0" w:color="auto"/>
              <w:bottom w:val="single" w:sz="12" w:space="0" w:color="auto"/>
              <w:right w:val="single" w:sz="12" w:space="0" w:color="auto"/>
            </w:tcBorders>
            <w:vAlign w:val="center"/>
          </w:tcPr>
          <w:p w14:paraId="7C7B1DC5" w14:textId="77777777" w:rsidR="009B421E" w:rsidRPr="00A6171D"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171D">
              <w:t>Input Parameter</w:t>
            </w:r>
          </w:p>
        </w:tc>
        <w:tc>
          <w:tcPr>
            <w:tcW w:w="2026" w:type="dxa"/>
            <w:tcBorders>
              <w:top w:val="single" w:sz="12" w:space="0" w:color="auto"/>
              <w:left w:val="single" w:sz="4" w:space="0" w:color="auto"/>
              <w:bottom w:val="single" w:sz="12" w:space="0" w:color="auto"/>
              <w:right w:val="single" w:sz="4" w:space="0" w:color="auto"/>
            </w:tcBorders>
            <w:vAlign w:val="center"/>
          </w:tcPr>
          <w:p w14:paraId="1A321331" w14:textId="609574C1" w:rsidR="009B421E" w:rsidRPr="00D858C0" w:rsidRDefault="00021E23"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TS</w:t>
            </w:r>
            <w:r w:rsidR="009B421E" w:rsidRPr="00D858C0">
              <w:t xml:space="preserve"> Cable</w:t>
            </w:r>
          </w:p>
        </w:tc>
        <w:tc>
          <w:tcPr>
            <w:tcW w:w="2356" w:type="dxa"/>
            <w:tcBorders>
              <w:top w:val="single" w:sz="12" w:space="0" w:color="auto"/>
              <w:left w:val="single" w:sz="4" w:space="0" w:color="auto"/>
              <w:bottom w:val="single" w:sz="12" w:space="0" w:color="auto"/>
              <w:right w:val="single" w:sz="12" w:space="0" w:color="auto"/>
            </w:tcBorders>
            <w:vAlign w:val="center"/>
          </w:tcPr>
          <w:p w14:paraId="0E1705C3" w14:textId="7698E85F" w:rsidR="009B421E" w:rsidRPr="00D858C0" w:rsidRDefault="00021E23"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TP</w:t>
            </w:r>
            <w:r w:rsidR="009B421E" w:rsidRPr="00D858C0">
              <w:t xml:space="preserve"> Cable</w:t>
            </w:r>
          </w:p>
        </w:tc>
      </w:tr>
      <w:tr w:rsidR="009B421E" w:rsidRPr="00D858C0" w14:paraId="7DA45868" w14:textId="77777777" w:rsidTr="0034587C">
        <w:trPr>
          <w:trHeight w:val="360"/>
        </w:trPr>
        <w:tc>
          <w:tcPr>
            <w:tcW w:w="4177" w:type="dxa"/>
            <w:tcBorders>
              <w:top w:val="single" w:sz="12" w:space="0" w:color="auto"/>
              <w:left w:val="single" w:sz="12" w:space="0" w:color="auto"/>
              <w:bottom w:val="single" w:sz="4" w:space="0" w:color="auto"/>
              <w:right w:val="single" w:sz="12" w:space="0" w:color="auto"/>
            </w:tcBorders>
          </w:tcPr>
          <w:p w14:paraId="7C33BD30"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Number of cables per ft. tray width</w:t>
            </w:r>
          </w:p>
        </w:tc>
        <w:tc>
          <w:tcPr>
            <w:tcW w:w="2026" w:type="dxa"/>
            <w:tcBorders>
              <w:top w:val="single" w:sz="12" w:space="0" w:color="auto"/>
              <w:left w:val="single" w:sz="4" w:space="0" w:color="auto"/>
              <w:bottom w:val="single" w:sz="4" w:space="0" w:color="auto"/>
              <w:right w:val="single" w:sz="4" w:space="0" w:color="auto"/>
            </w:tcBorders>
          </w:tcPr>
          <w:p w14:paraId="67EDE3B4"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44</w:t>
            </w:r>
          </w:p>
        </w:tc>
        <w:tc>
          <w:tcPr>
            <w:tcW w:w="2356" w:type="dxa"/>
            <w:tcBorders>
              <w:top w:val="single" w:sz="12" w:space="0" w:color="auto"/>
              <w:left w:val="single" w:sz="4" w:space="0" w:color="auto"/>
              <w:bottom w:val="single" w:sz="4" w:space="0" w:color="auto"/>
              <w:right w:val="single" w:sz="12" w:space="0" w:color="auto"/>
            </w:tcBorders>
          </w:tcPr>
          <w:p w14:paraId="2C45679A"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44</w:t>
            </w:r>
          </w:p>
        </w:tc>
      </w:tr>
      <w:tr w:rsidR="009B421E" w:rsidRPr="00D858C0" w14:paraId="75FBDED7" w14:textId="77777777" w:rsidTr="0034587C">
        <w:trPr>
          <w:trHeight w:val="360"/>
        </w:trPr>
        <w:tc>
          <w:tcPr>
            <w:tcW w:w="4177" w:type="dxa"/>
            <w:tcBorders>
              <w:top w:val="single" w:sz="4" w:space="0" w:color="auto"/>
              <w:left w:val="single" w:sz="12" w:space="0" w:color="auto"/>
              <w:bottom w:val="single" w:sz="4" w:space="0" w:color="auto"/>
              <w:right w:val="single" w:sz="12" w:space="0" w:color="auto"/>
            </w:tcBorders>
          </w:tcPr>
          <w:p w14:paraId="24E08957"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Plastic mass fraction, </w:t>
            </w:r>
            <m:oMath>
              <m:sSub>
                <m:sSubPr>
                  <m:ctrlPr>
                    <w:rPr>
                      <w:rFonts w:ascii="Cambria Math" w:eastAsiaTheme="minorEastAsia" w:hAnsi="Cambria Math"/>
                    </w:rPr>
                  </m:ctrlPr>
                </m:sSubPr>
                <m:e>
                  <m:r>
                    <m:rPr>
                      <m:sty m:val="p"/>
                    </m:rPr>
                    <w:rPr>
                      <w:rFonts w:ascii="Cambria Math" w:eastAsiaTheme="minorEastAsia" w:hAnsi="Cambria Math"/>
                    </w:rPr>
                    <m:t>Y</m:t>
                  </m:r>
                </m:e>
                <m:sub>
                  <m:r>
                    <m:rPr>
                      <m:sty m:val="p"/>
                    </m:rPr>
                    <w:rPr>
                      <w:rFonts w:ascii="Cambria Math" w:eastAsiaTheme="minorEastAsia" w:hAnsi="Cambria Math"/>
                    </w:rPr>
                    <m:t>p</m:t>
                  </m:r>
                </m:sub>
              </m:sSub>
            </m:oMath>
            <w:r w:rsidRPr="00D858C0">
              <w:rPr>
                <w:rFonts w:eastAsiaTheme="minorEastAsia"/>
              </w:rPr>
              <w:t xml:space="preserve"> (kg/kg)</w:t>
            </w:r>
          </w:p>
        </w:tc>
        <w:tc>
          <w:tcPr>
            <w:tcW w:w="2026" w:type="dxa"/>
            <w:tcBorders>
              <w:top w:val="single" w:sz="4" w:space="0" w:color="auto"/>
              <w:left w:val="single" w:sz="4" w:space="0" w:color="auto"/>
              <w:bottom w:val="single" w:sz="4" w:space="0" w:color="auto"/>
              <w:right w:val="single" w:sz="4" w:space="0" w:color="auto"/>
            </w:tcBorders>
          </w:tcPr>
          <w:p w14:paraId="55019650"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0.48</w:t>
            </w:r>
          </w:p>
        </w:tc>
        <w:tc>
          <w:tcPr>
            <w:tcW w:w="2356" w:type="dxa"/>
            <w:tcBorders>
              <w:top w:val="single" w:sz="4" w:space="0" w:color="auto"/>
              <w:left w:val="single" w:sz="4" w:space="0" w:color="auto"/>
              <w:bottom w:val="single" w:sz="4" w:space="0" w:color="auto"/>
              <w:right w:val="single" w:sz="12" w:space="0" w:color="auto"/>
            </w:tcBorders>
          </w:tcPr>
          <w:p w14:paraId="38F04E62"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0.42</w:t>
            </w:r>
          </w:p>
        </w:tc>
      </w:tr>
      <w:tr w:rsidR="009B421E" w:rsidRPr="00D858C0" w14:paraId="300249C8" w14:textId="77777777" w:rsidTr="0034587C">
        <w:trPr>
          <w:trHeight w:val="360"/>
        </w:trPr>
        <w:tc>
          <w:tcPr>
            <w:tcW w:w="4177" w:type="dxa"/>
            <w:tcBorders>
              <w:top w:val="single" w:sz="4" w:space="0" w:color="auto"/>
              <w:left w:val="single" w:sz="12" w:space="0" w:color="auto"/>
              <w:bottom w:val="single" w:sz="4" w:space="0" w:color="auto"/>
              <w:right w:val="single" w:sz="12" w:space="0" w:color="auto"/>
            </w:tcBorders>
          </w:tcPr>
          <w:p w14:paraId="5AA0C4C2"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rFonts w:eastAsiaTheme="minorEastAsia"/>
              </w:rPr>
              <w:t xml:space="preserve">Char yield, </w:t>
            </w:r>
            <m:oMath>
              <m:sSub>
                <m:sSubPr>
                  <m:ctrlPr>
                    <w:rPr>
                      <w:rFonts w:ascii="Cambria Math" w:eastAsiaTheme="minorEastAsia" w:hAnsi="Cambria Math"/>
                    </w:rPr>
                  </m:ctrlPr>
                </m:sSubPr>
                <m:e>
                  <m:r>
                    <m:rPr>
                      <m:sty m:val="p"/>
                    </m:rPr>
                    <w:rPr>
                      <w:rFonts w:ascii="Cambria Math" w:eastAsiaTheme="minorEastAsia" w:hAnsi="Cambria Math"/>
                    </w:rPr>
                    <m:t>Y</m:t>
                  </m:r>
                </m:e>
                <m:sub>
                  <m:r>
                    <m:rPr>
                      <m:sty m:val="p"/>
                    </m:rPr>
                    <w:rPr>
                      <w:rFonts w:ascii="Cambria Math" w:eastAsiaTheme="minorEastAsia" w:hAnsi="Cambria Math"/>
                    </w:rPr>
                    <m:t>c</m:t>
                  </m:r>
                </m:sub>
              </m:sSub>
            </m:oMath>
            <w:r w:rsidRPr="00D858C0">
              <w:rPr>
                <w:rFonts w:eastAsiaTheme="minorEastAsia"/>
              </w:rPr>
              <w:t xml:space="preserve"> (kg/kg)</w:t>
            </w:r>
          </w:p>
        </w:tc>
        <w:tc>
          <w:tcPr>
            <w:tcW w:w="2026" w:type="dxa"/>
            <w:tcBorders>
              <w:top w:val="single" w:sz="4" w:space="0" w:color="auto"/>
              <w:left w:val="single" w:sz="4" w:space="0" w:color="auto"/>
              <w:bottom w:val="single" w:sz="4" w:space="0" w:color="auto"/>
              <w:right w:val="single" w:sz="4" w:space="0" w:color="auto"/>
            </w:tcBorders>
          </w:tcPr>
          <w:p w14:paraId="64A91A9E"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0.25</w:t>
            </w:r>
          </w:p>
        </w:tc>
        <w:tc>
          <w:tcPr>
            <w:tcW w:w="2356" w:type="dxa"/>
            <w:tcBorders>
              <w:top w:val="single" w:sz="4" w:space="0" w:color="auto"/>
              <w:left w:val="single" w:sz="4" w:space="0" w:color="auto"/>
              <w:bottom w:val="single" w:sz="4" w:space="0" w:color="auto"/>
              <w:right w:val="single" w:sz="12" w:space="0" w:color="auto"/>
            </w:tcBorders>
          </w:tcPr>
          <w:p w14:paraId="466F1EED"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0</w:t>
            </w:r>
          </w:p>
        </w:tc>
      </w:tr>
      <w:tr w:rsidR="009B421E" w:rsidRPr="00D858C0" w14:paraId="3684F46B" w14:textId="77777777" w:rsidTr="0034587C">
        <w:trPr>
          <w:trHeight w:val="360"/>
        </w:trPr>
        <w:tc>
          <w:tcPr>
            <w:tcW w:w="4177" w:type="dxa"/>
            <w:tcBorders>
              <w:top w:val="single" w:sz="4" w:space="0" w:color="auto"/>
              <w:left w:val="single" w:sz="12" w:space="0" w:color="auto"/>
              <w:bottom w:val="single" w:sz="4" w:space="0" w:color="auto"/>
              <w:right w:val="single" w:sz="12" w:space="0" w:color="auto"/>
            </w:tcBorders>
          </w:tcPr>
          <w:p w14:paraId="62D555C5"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Mass per unit length, </w:t>
            </w:r>
            <m:oMath>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m:t>
                  </m:r>
                </m:sup>
              </m:sSup>
            </m:oMath>
            <w:r w:rsidRPr="00D858C0">
              <w:rPr>
                <w:rFonts w:eastAsiaTheme="minorEastAsia"/>
              </w:rPr>
              <w:t xml:space="preserve"> (kg/m)</w:t>
            </w:r>
          </w:p>
        </w:tc>
        <w:tc>
          <w:tcPr>
            <w:tcW w:w="2026" w:type="dxa"/>
            <w:tcBorders>
              <w:top w:val="single" w:sz="4" w:space="0" w:color="auto"/>
              <w:left w:val="single" w:sz="4" w:space="0" w:color="auto"/>
              <w:bottom w:val="single" w:sz="4" w:space="0" w:color="auto"/>
              <w:right w:val="single" w:sz="4" w:space="0" w:color="auto"/>
            </w:tcBorders>
          </w:tcPr>
          <w:p w14:paraId="2D4857C9"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0.671</w:t>
            </w:r>
          </w:p>
        </w:tc>
        <w:tc>
          <w:tcPr>
            <w:tcW w:w="2356" w:type="dxa"/>
            <w:tcBorders>
              <w:top w:val="single" w:sz="4" w:space="0" w:color="auto"/>
              <w:left w:val="single" w:sz="4" w:space="0" w:color="auto"/>
              <w:bottom w:val="single" w:sz="4" w:space="0" w:color="auto"/>
              <w:right w:val="single" w:sz="12" w:space="0" w:color="auto"/>
            </w:tcBorders>
          </w:tcPr>
          <w:p w14:paraId="4B5C7F1A"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0.366</w:t>
            </w:r>
          </w:p>
        </w:tc>
      </w:tr>
      <w:tr w:rsidR="009B421E" w:rsidRPr="00D858C0" w14:paraId="23880298" w14:textId="77777777" w:rsidTr="0034587C">
        <w:trPr>
          <w:trHeight w:val="360"/>
        </w:trPr>
        <w:tc>
          <w:tcPr>
            <w:tcW w:w="4177" w:type="dxa"/>
            <w:tcBorders>
              <w:top w:val="single" w:sz="4" w:space="0" w:color="auto"/>
              <w:left w:val="single" w:sz="12" w:space="0" w:color="auto"/>
              <w:bottom w:val="single" w:sz="4" w:space="0" w:color="auto"/>
              <w:right w:val="single" w:sz="12" w:space="0" w:color="auto"/>
            </w:tcBorders>
          </w:tcPr>
          <w:p w14:paraId="25A17CE5"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Heat of combustion of fuel volatiles, </w:t>
            </w:r>
            <m:oMath>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v</m:t>
                  </m:r>
                </m:sub>
              </m:sSub>
            </m:oMath>
            <w:r w:rsidRPr="00D858C0">
              <w:rPr>
                <w:rFonts w:eastAsiaTheme="minorEastAsia"/>
              </w:rPr>
              <w:t>(kJ/kg)</w:t>
            </w:r>
          </w:p>
        </w:tc>
        <w:tc>
          <w:tcPr>
            <w:tcW w:w="2026" w:type="dxa"/>
            <w:tcBorders>
              <w:top w:val="single" w:sz="4" w:space="0" w:color="auto"/>
              <w:left w:val="single" w:sz="4" w:space="0" w:color="auto"/>
              <w:bottom w:val="single" w:sz="4" w:space="0" w:color="auto"/>
              <w:right w:val="single" w:sz="4" w:space="0" w:color="auto"/>
            </w:tcBorders>
          </w:tcPr>
          <w:p w14:paraId="3F4136BB"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16000</w:t>
            </w:r>
          </w:p>
        </w:tc>
        <w:tc>
          <w:tcPr>
            <w:tcW w:w="2356" w:type="dxa"/>
            <w:tcBorders>
              <w:top w:val="single" w:sz="4" w:space="0" w:color="auto"/>
              <w:left w:val="single" w:sz="4" w:space="0" w:color="auto"/>
              <w:bottom w:val="single" w:sz="4" w:space="0" w:color="auto"/>
              <w:right w:val="single" w:sz="12" w:space="0" w:color="auto"/>
            </w:tcBorders>
          </w:tcPr>
          <w:p w14:paraId="43DD8018"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16000</w:t>
            </w:r>
          </w:p>
        </w:tc>
      </w:tr>
      <w:tr w:rsidR="009B421E" w:rsidRPr="00D858C0" w14:paraId="60BCE768" w14:textId="77777777" w:rsidTr="0034587C">
        <w:trPr>
          <w:trHeight w:val="360"/>
        </w:trPr>
        <w:tc>
          <w:tcPr>
            <w:tcW w:w="4177" w:type="dxa"/>
            <w:tcBorders>
              <w:top w:val="single" w:sz="4" w:space="0" w:color="auto"/>
              <w:left w:val="single" w:sz="12" w:space="0" w:color="auto"/>
              <w:bottom w:val="single" w:sz="4" w:space="0" w:color="auto"/>
              <w:right w:val="single" w:sz="12" w:space="0" w:color="auto"/>
            </w:tcBorders>
          </w:tcPr>
          <w:p w14:paraId="33D84DF2"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Cable HRR per unit area, HRRPUA </w:t>
            </w:r>
            <w:r w:rsidRPr="00D858C0">
              <w:rPr>
                <w:rFonts w:eastAsiaTheme="minorEastAsia"/>
              </w:rPr>
              <w:t>(kW/m</w:t>
            </w:r>
            <w:r w:rsidRPr="00D858C0">
              <w:rPr>
                <w:rFonts w:eastAsiaTheme="minorEastAsia"/>
                <w:vertAlign w:val="superscript"/>
              </w:rPr>
              <w:t>2</w:t>
            </w:r>
            <w:r w:rsidRPr="00D858C0">
              <w:rPr>
                <w:rFonts w:eastAsiaTheme="minorEastAsia"/>
              </w:rPr>
              <w:t>)</w:t>
            </w:r>
          </w:p>
        </w:tc>
        <w:tc>
          <w:tcPr>
            <w:tcW w:w="2026" w:type="dxa"/>
            <w:tcBorders>
              <w:top w:val="single" w:sz="4" w:space="0" w:color="auto"/>
              <w:left w:val="single" w:sz="4" w:space="0" w:color="auto"/>
              <w:bottom w:val="single" w:sz="4" w:space="0" w:color="auto"/>
              <w:right w:val="single" w:sz="4" w:space="0" w:color="auto"/>
            </w:tcBorders>
          </w:tcPr>
          <w:p w14:paraId="0C3316C2"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150</w:t>
            </w:r>
          </w:p>
        </w:tc>
        <w:tc>
          <w:tcPr>
            <w:tcW w:w="2356" w:type="dxa"/>
            <w:tcBorders>
              <w:top w:val="single" w:sz="4" w:space="0" w:color="auto"/>
              <w:left w:val="single" w:sz="4" w:space="0" w:color="auto"/>
              <w:bottom w:val="single" w:sz="4" w:space="0" w:color="auto"/>
              <w:right w:val="single" w:sz="12" w:space="0" w:color="auto"/>
            </w:tcBorders>
          </w:tcPr>
          <w:p w14:paraId="1EFCBBCA"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250</w:t>
            </w:r>
          </w:p>
        </w:tc>
      </w:tr>
      <w:tr w:rsidR="009B421E" w:rsidRPr="00D858C0" w14:paraId="7D92113D" w14:textId="77777777" w:rsidTr="0034587C">
        <w:trPr>
          <w:trHeight w:val="360"/>
        </w:trPr>
        <w:tc>
          <w:tcPr>
            <w:tcW w:w="4177" w:type="dxa"/>
            <w:tcBorders>
              <w:top w:val="single" w:sz="4" w:space="0" w:color="auto"/>
              <w:left w:val="single" w:sz="12" w:space="0" w:color="auto"/>
              <w:bottom w:val="single" w:sz="12" w:space="0" w:color="auto"/>
              <w:right w:val="single" w:sz="12" w:space="0" w:color="auto"/>
            </w:tcBorders>
          </w:tcPr>
          <w:p w14:paraId="4A06755F"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Flame spread rate, S (mm/s)</w:t>
            </w:r>
          </w:p>
        </w:tc>
        <w:tc>
          <w:tcPr>
            <w:tcW w:w="2026" w:type="dxa"/>
            <w:tcBorders>
              <w:top w:val="single" w:sz="4" w:space="0" w:color="auto"/>
              <w:left w:val="single" w:sz="4" w:space="0" w:color="auto"/>
              <w:bottom w:val="single" w:sz="12" w:space="0" w:color="auto"/>
              <w:right w:val="single" w:sz="4" w:space="0" w:color="auto"/>
            </w:tcBorders>
            <w:vAlign w:val="center"/>
          </w:tcPr>
          <w:p w14:paraId="74D18943"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0.3</w:t>
            </w:r>
          </w:p>
        </w:tc>
        <w:tc>
          <w:tcPr>
            <w:tcW w:w="2356" w:type="dxa"/>
            <w:tcBorders>
              <w:top w:val="single" w:sz="4" w:space="0" w:color="auto"/>
              <w:left w:val="single" w:sz="4" w:space="0" w:color="auto"/>
              <w:bottom w:val="single" w:sz="12" w:space="0" w:color="auto"/>
              <w:right w:val="single" w:sz="12" w:space="0" w:color="auto"/>
            </w:tcBorders>
            <w:vAlign w:val="center"/>
          </w:tcPr>
          <w:p w14:paraId="258BC1AF"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t>0.9</w:t>
            </w:r>
          </w:p>
        </w:tc>
      </w:tr>
    </w:tbl>
    <w:p w14:paraId="67AC59FA"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4BFBC"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Applying Table/Plot Set C for Mixed Trays</w:t>
      </w:r>
    </w:p>
    <w:p w14:paraId="033C6911"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975584" w14:textId="0C8821F8"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lang w:val="en-GB"/>
        </w:rPr>
        <w:t xml:space="preserve">For trays with a mix of </w:t>
      </w:r>
      <w:r w:rsidR="00021E23" w:rsidRPr="00D858C0">
        <w:rPr>
          <w:lang w:val="en-GB"/>
        </w:rPr>
        <w:t>TS</w:t>
      </w:r>
      <w:r w:rsidRPr="00D858C0">
        <w:rPr>
          <w:lang w:val="en-GB"/>
        </w:rPr>
        <w:t xml:space="preserve"> and </w:t>
      </w:r>
      <w:r w:rsidR="00690A12" w:rsidRPr="00D858C0">
        <w:rPr>
          <w:lang w:val="en-GB"/>
        </w:rPr>
        <w:t>TP</w:t>
      </w:r>
      <w:r w:rsidRPr="00D858C0">
        <w:rPr>
          <w:lang w:val="en-GB"/>
        </w:rPr>
        <w:t xml:space="preserve"> cables, the model input parameters for the cables with the highest HRRPUA shall be used, except when these cables account for 5% or less of the total cable mass (this is based on the recommendation for treating mixed trays in </w:t>
      </w:r>
      <w:r w:rsidR="007D4A3C" w:rsidRPr="00D858C0">
        <w:rPr>
          <w:lang w:val="en-GB"/>
        </w:rPr>
        <w:t>Reference 31</w:t>
      </w:r>
      <w:r w:rsidR="001956D4">
        <w:rPr>
          <w:lang w:val="en-GB"/>
        </w:rPr>
        <w:t>)</w:t>
      </w:r>
      <w:r w:rsidRPr="00D858C0">
        <w:rPr>
          <w:lang w:val="en-GB"/>
        </w:rPr>
        <w:t>.  For example, a HRRPUA of 250 kW/m</w:t>
      </w:r>
      <w:r w:rsidRPr="00D858C0">
        <w:rPr>
          <w:vertAlign w:val="superscript"/>
          <w:lang w:val="en-GB"/>
        </w:rPr>
        <w:t>2</w:t>
      </w:r>
      <w:r w:rsidRPr="00D858C0">
        <w:rPr>
          <w:lang w:val="en-GB"/>
        </w:rPr>
        <w:t xml:space="preserve"> shall be used for a tray filled with a mix consisting of 90% </w:t>
      </w:r>
      <w:r w:rsidR="00021E23" w:rsidRPr="00D858C0">
        <w:rPr>
          <w:lang w:val="en-GB"/>
        </w:rPr>
        <w:t>TS</w:t>
      </w:r>
      <w:r w:rsidRPr="00D858C0">
        <w:rPr>
          <w:lang w:val="en-GB"/>
        </w:rPr>
        <w:t xml:space="preserve"> and 10% </w:t>
      </w:r>
      <w:r w:rsidR="00690A12" w:rsidRPr="00D858C0">
        <w:rPr>
          <w:lang w:val="en-GB"/>
        </w:rPr>
        <w:t>TP</w:t>
      </w:r>
      <w:r w:rsidRPr="00D858C0">
        <w:rPr>
          <w:lang w:val="en-GB"/>
        </w:rPr>
        <w:t xml:space="preserve"> cables, but 150 kW/m</w:t>
      </w:r>
      <w:r w:rsidRPr="00D858C0">
        <w:rPr>
          <w:vertAlign w:val="superscript"/>
          <w:lang w:val="en-GB"/>
        </w:rPr>
        <w:t>2</w:t>
      </w:r>
      <w:r w:rsidRPr="00D858C0">
        <w:rPr>
          <w:lang w:val="en-GB"/>
        </w:rPr>
        <w:t xml:space="preserve"> shall be used for a mix consisting of 95% </w:t>
      </w:r>
      <w:r w:rsidR="00021E23" w:rsidRPr="00D858C0">
        <w:rPr>
          <w:lang w:val="en-GB"/>
        </w:rPr>
        <w:t>TS</w:t>
      </w:r>
      <w:r w:rsidRPr="00D858C0">
        <w:rPr>
          <w:lang w:val="en-GB"/>
        </w:rPr>
        <w:t xml:space="preserve"> and 5% </w:t>
      </w:r>
      <w:r w:rsidR="00690A12" w:rsidRPr="00D858C0">
        <w:rPr>
          <w:lang w:val="en-GB"/>
        </w:rPr>
        <w:t>TP</w:t>
      </w:r>
      <w:r w:rsidRPr="00D858C0">
        <w:rPr>
          <w:lang w:val="en-GB"/>
        </w:rPr>
        <w:t xml:space="preserve"> cables.</w:t>
      </w:r>
    </w:p>
    <w:p w14:paraId="2BB88678"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0B6815"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Bias Adjustment</w:t>
      </w:r>
    </w:p>
    <w:p w14:paraId="0DA4DA34"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53B7F0" w14:textId="123AB4CD" w:rsidR="009B421E" w:rsidRPr="00D858C0" w:rsidRDefault="00101696" w:rsidP="00285D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Reference 34</w:t>
      </w:r>
      <w:r w:rsidR="009B421E" w:rsidRPr="00D858C0">
        <w:t xml:space="preserve"> does not provide guidance on how to account for the bias in the FLASH-CAT model HRR predictions.  However, the comparisons between FLASH-CAT model predictions </w:t>
      </w:r>
      <w:r w:rsidR="009B421E" w:rsidRPr="00D858C0">
        <w:lastRenderedPageBreak/>
        <w:t xml:space="preserve">and experimental HRR data in Figures 9-3 through 9-12 of </w:t>
      </w:r>
      <w:r w:rsidR="007D4A3C" w:rsidRPr="00D858C0">
        <w:t>Reference 3</w:t>
      </w:r>
      <w:r w:rsidR="009B421E" w:rsidRPr="00D858C0">
        <w:t xml:space="preserve">1 show that the model slightly to significantly over-predicts the HRR for the majority of the tests.  This indicates that the FLASH-CAT model is very likely to have a </w:t>
      </w:r>
      <w:r w:rsidR="009B421E" w:rsidRPr="00D858C0">
        <w:rPr>
          <w:rFonts w:ascii="Symbol" w:hAnsi="Symbol"/>
        </w:rPr>
        <w:t></w:t>
      </w:r>
      <w:r w:rsidR="009B421E" w:rsidRPr="00D858C0">
        <w:t xml:space="preserve"> greater than one.  Since the model that was used to develop the tables and plots in set C is essentially identical to the FLASH-CAT model (the only difference is the ignition time of the lowest tray, which is 1 minute instead of 5 minutes in the FLASH-CAT model), ignoring the bias leads to conservative HRR predictions.  </w:t>
      </w:r>
    </w:p>
    <w:p w14:paraId="0EC42AC3"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A933A3" w14:textId="77777777" w:rsidR="009B421E" w:rsidRPr="00D858C0" w:rsidRDefault="009B421E" w:rsidP="00A6171D">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Verification and Validation</w:t>
      </w:r>
      <w:r w:rsidRPr="00D858C0" w:rsidDel="00AB0B37">
        <w:rPr>
          <w:u w:val="single"/>
        </w:rPr>
        <w:t xml:space="preserve"> </w:t>
      </w:r>
    </w:p>
    <w:p w14:paraId="742EC1EA"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3D16FD" w14:textId="05FB1BDA" w:rsidR="00EA6963"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The Excel workbooks that were used to develop the tables and plots in set C were verified by duplicating the FLASH-CAT HRR curves for tests MT-6, MT-7, and MT-8 in Figures 9-4 and 9-5 of </w:t>
      </w:r>
      <w:r w:rsidR="007D4A3C" w:rsidRPr="00D858C0">
        <w:t>reference 3</w:t>
      </w:r>
      <w:r w:rsidRPr="00D858C0">
        <w:t xml:space="preserve">1.  Tests MT-6 and MT-8 were selected because they involved a stack of four trays filled with cable #16 and cable #701.  Test MT-7 was included because it involved a stack of seven trays filled with cable #16.  Figures 9-4 through 9-12 in </w:t>
      </w:r>
      <w:r w:rsidR="007D4A3C" w:rsidRPr="00D858C0">
        <w:t>Reference 3</w:t>
      </w:r>
      <w:r w:rsidRPr="00D858C0">
        <w:t>1 provide the validation basis for the FLASH-CAT model.  Since the models are essentially identical, the same figures also provide the validation basis for the cable tray fire propagation model that was used to develop the tables and plots in set C.</w:t>
      </w:r>
    </w:p>
    <w:p w14:paraId="1E40A868"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8968C9" w14:textId="77777777" w:rsidR="0072653B" w:rsidRPr="00D858C0" w:rsidRDefault="0072653B" w:rsidP="004D46E2">
      <w:pPr>
        <w:pStyle w:val="Heading3"/>
      </w:pPr>
      <w:bookmarkStart w:id="177" w:name="_Toc481265419"/>
      <w:bookmarkStart w:id="178" w:name="_Toc511060899"/>
      <w:r w:rsidRPr="00D858C0">
        <w:t>Table/Plot Set D: Severity Factor vs. Vertical Target Distance</w:t>
      </w:r>
      <w:bookmarkEnd w:id="177"/>
      <w:bookmarkEnd w:id="178"/>
    </w:p>
    <w:p w14:paraId="7F85BA09"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32F5FE" w14:textId="7C27CAA3" w:rsidR="006F70C7" w:rsidRPr="00D858C0" w:rsidRDefault="006F70C7" w:rsidP="006F70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To develop table/plot set D, calculations were performed to determine the highest elevation at which a target will be damaged or a secondary combustible will ignite when the ignition source reaches the HRR that corresponds to a specified </w:t>
      </w:r>
      <w:r w:rsidR="005E424B" w:rsidRPr="00D858C0">
        <w:t>SF</w:t>
      </w:r>
      <w:r w:rsidRPr="00D858C0">
        <w:t>.  Each table and plot provides the elevations corresponding to SFs ranging from 0.02 to 0.95 for one of the ignition sources listed in Table A5.1 of Attachment 5 to Appendix F, located either in the open or in a corner.  Table/plot set D is used in Appendix F to conservatively estimate the SF for each target or secondary combustible located within the vertical ZOI based on its elevation above the ignition source (</w:t>
      </w:r>
      <w:r w:rsidR="001E643B" w:rsidRPr="00D858C0">
        <w:t>Step</w:t>
      </w:r>
      <w:r w:rsidRPr="00D858C0">
        <w:t xml:space="preserve"> 2.6.1).</w:t>
      </w:r>
    </w:p>
    <w:p w14:paraId="0E13DD7B" w14:textId="77777777" w:rsidR="006F70C7" w:rsidRPr="00D858C0" w:rsidRDefault="006F70C7" w:rsidP="006F70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2460BF" w14:textId="77777777" w:rsidR="006F70C7" w:rsidRPr="00D858C0" w:rsidRDefault="006F70C7" w:rsidP="006F70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development of table/plot set D involved the following two steps:</w:t>
      </w:r>
    </w:p>
    <w:p w14:paraId="2DA0478B" w14:textId="77777777" w:rsidR="006F70C7" w:rsidRPr="00D858C0" w:rsidRDefault="006F70C7" w:rsidP="006F70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E57643" w14:textId="77777777" w:rsidR="006F70C7" w:rsidRPr="00D858C0" w:rsidRDefault="006F70C7" w:rsidP="0035366F">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For each ignition source listed in Table A5.1 of Attachment 5 to Appendix F, the HRRs were calculated that correspond to SFs of 0.02, 0.05, 0.10, 0.15, 0.20, 0.25, 0.30, 0.35, 0.40, 0.45, 0.50, 0.55, 0.60, 0.65, 0.70, 0.75, 0.80, 0.85, 0.90, and 0.95 based on the cumulative gamma probability distribution of the HRR for the ignition source:</w:t>
      </w:r>
    </w:p>
    <w:p w14:paraId="15F6CF38" w14:textId="77777777" w:rsidR="006F70C7" w:rsidRPr="00D858C0" w:rsidRDefault="006F70C7" w:rsidP="006F70C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7112"/>
        <w:gridCol w:w="718"/>
      </w:tblGrid>
      <w:tr w:rsidR="006F70C7" w:rsidRPr="00D858C0" w14:paraId="08480ABD" w14:textId="77777777" w:rsidTr="007B3400">
        <w:tc>
          <w:tcPr>
            <w:tcW w:w="1440" w:type="dxa"/>
          </w:tcPr>
          <w:p w14:paraId="387859F5" w14:textId="77777777" w:rsidR="006F70C7" w:rsidRPr="00D858C0" w:rsidRDefault="006F70C7"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eastAsia="Times New Roman" w:hAnsi="Arial" w:cs="Arial"/>
                <w:sz w:val="22"/>
                <w:szCs w:val="22"/>
              </w:rPr>
            </w:pPr>
          </w:p>
        </w:tc>
        <w:tc>
          <w:tcPr>
            <w:tcW w:w="7200" w:type="dxa"/>
          </w:tcPr>
          <w:p w14:paraId="7C1FD1D5" w14:textId="77777777" w:rsidR="006F70C7" w:rsidRPr="00D858C0" w:rsidRDefault="006F70C7"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hAnsi="Arial" w:cs="Arial"/>
                <w:sz w:val="22"/>
                <w:szCs w:val="22"/>
              </w:rPr>
            </w:pPr>
            <m:oMathPara>
              <m:oMathParaPr>
                <m:jc m:val="center"/>
              </m:oMathParaPr>
              <m:oMath>
                <m:r>
                  <m:rPr>
                    <m:sty m:val="p"/>
                  </m:rPr>
                  <w:rPr>
                    <w:rFonts w:ascii="Cambria Math" w:hAnsi="Cambria Math" w:cs="Arial"/>
                    <w:sz w:val="22"/>
                    <w:szCs w:val="22"/>
                  </w:rPr>
                  <m:t>HRR=F</m:t>
                </m:r>
                <m:d>
                  <m:dPr>
                    <m:ctrlPr>
                      <w:rPr>
                        <w:rFonts w:ascii="Cambria Math" w:hAnsi="Cambria Math" w:cs="Arial"/>
                        <w:sz w:val="22"/>
                        <w:szCs w:val="22"/>
                      </w:rPr>
                    </m:ctrlPr>
                  </m:dPr>
                  <m:e>
                    <m:r>
                      <m:rPr>
                        <m:sty m:val="p"/>
                      </m:rPr>
                      <w:rPr>
                        <w:rFonts w:ascii="Cambria Math" w:hAnsi="Cambria Math" w:cs="Arial"/>
                        <w:sz w:val="22"/>
                        <w:szCs w:val="22"/>
                      </w:rPr>
                      <m:t>1-SF;α,β</m:t>
                    </m:r>
                  </m:e>
                </m:d>
              </m:oMath>
            </m:oMathPara>
          </w:p>
        </w:tc>
        <w:tc>
          <w:tcPr>
            <w:tcW w:w="720" w:type="dxa"/>
            <w:vAlign w:val="center"/>
          </w:tcPr>
          <w:p w14:paraId="6BC1E3AB" w14:textId="47FE75F3" w:rsidR="006F70C7" w:rsidRPr="00D858C0" w:rsidRDefault="006F70C7" w:rsidP="00493B85">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right"/>
              <w:rPr>
                <w:rFonts w:ascii="Arial" w:hAnsi="Arial" w:cs="Arial"/>
                <w:sz w:val="22"/>
                <w:szCs w:val="22"/>
              </w:rPr>
            </w:pPr>
            <w:r w:rsidRPr="00D858C0">
              <w:rPr>
                <w:rFonts w:ascii="Arial" w:eastAsiaTheme="minorEastAsia" w:hAnsi="Arial" w:cs="Arial"/>
                <w:sz w:val="22"/>
                <w:szCs w:val="22"/>
              </w:rPr>
              <w:t>(1</w:t>
            </w:r>
            <w:r w:rsidR="00493B85" w:rsidRPr="00D858C0">
              <w:rPr>
                <w:rFonts w:ascii="Arial" w:eastAsiaTheme="minorEastAsia" w:hAnsi="Arial" w:cs="Arial"/>
                <w:sz w:val="22"/>
                <w:szCs w:val="22"/>
              </w:rPr>
              <w:t>9</w:t>
            </w:r>
            <w:r w:rsidRPr="00D858C0">
              <w:rPr>
                <w:rFonts w:ascii="Arial" w:eastAsiaTheme="minorEastAsia" w:hAnsi="Arial" w:cs="Arial"/>
                <w:sz w:val="22"/>
                <w:szCs w:val="22"/>
              </w:rPr>
              <w:t>)</w:t>
            </w:r>
          </w:p>
        </w:tc>
      </w:tr>
    </w:tbl>
    <w:p w14:paraId="4ED0B2A0" w14:textId="77777777" w:rsidR="006F70C7" w:rsidRPr="00D858C0" w:rsidRDefault="006F70C7" w:rsidP="006F70C7">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p>
    <w:p w14:paraId="37618648" w14:textId="77777777" w:rsidR="006F70C7" w:rsidRPr="00D858C0" w:rsidRDefault="006F70C7" w:rsidP="006F70C7">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where</w:t>
      </w:r>
    </w:p>
    <w:p w14:paraId="6A30B8AB" w14:textId="77777777" w:rsidR="006F70C7" w:rsidRPr="00D858C0" w:rsidRDefault="006F70C7" w:rsidP="006F70C7">
      <w:pPr>
        <w:pStyle w:val="PlainText"/>
        <w:tabs>
          <w:tab w:val="left" w:pos="274"/>
          <w:tab w:val="left" w:pos="806"/>
          <w:tab w:val="left" w:pos="1080"/>
          <w:tab w:val="left" w:pos="1440"/>
          <w:tab w:val="left" w:pos="162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r w:rsidRPr="00D858C0">
        <w:rPr>
          <w:rFonts w:ascii="Arial" w:eastAsiaTheme="minorEastAsia" w:hAnsi="Arial" w:cs="Arial"/>
          <w:sz w:val="22"/>
          <w:szCs w:val="22"/>
        </w:rPr>
        <w:tab/>
        <w:t>HRR</w:t>
      </w:r>
      <w:r w:rsidRPr="00D858C0">
        <w:rPr>
          <w:rFonts w:ascii="Arial" w:eastAsiaTheme="minorEastAsia" w:hAnsi="Arial" w:cs="Arial"/>
          <w:sz w:val="22"/>
          <w:szCs w:val="22"/>
        </w:rPr>
        <w:tab/>
        <w:t>=</w:t>
      </w:r>
      <w:r w:rsidRPr="00D858C0">
        <w:rPr>
          <w:rFonts w:ascii="Arial" w:eastAsiaTheme="minorEastAsia" w:hAnsi="Arial" w:cs="Arial"/>
          <w:sz w:val="22"/>
          <w:szCs w:val="22"/>
        </w:rPr>
        <w:tab/>
        <w:t>HRR that corresponds to a specified SF (kW)</w:t>
      </w:r>
    </w:p>
    <w:p w14:paraId="6A296FEE" w14:textId="77777777" w:rsidR="006F70C7" w:rsidRPr="00D858C0" w:rsidRDefault="006F70C7" w:rsidP="006F70C7">
      <w:pPr>
        <w:pStyle w:val="PlainText"/>
        <w:tabs>
          <w:tab w:val="left" w:pos="274"/>
          <w:tab w:val="left" w:pos="720"/>
          <w:tab w:val="left" w:pos="806"/>
          <w:tab w:val="left" w:pos="1080"/>
          <w:tab w:val="left" w:pos="1440"/>
          <w:tab w:val="left" w:pos="162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r w:rsidRPr="00D858C0">
        <w:rPr>
          <w:rFonts w:ascii="Arial" w:eastAsiaTheme="minorEastAsia" w:hAnsi="Arial" w:cs="Arial"/>
          <w:sz w:val="22"/>
          <w:szCs w:val="22"/>
        </w:rPr>
        <w:tab/>
        <w:t>F</w:t>
      </w:r>
      <w:r w:rsidRPr="00D858C0">
        <w:rPr>
          <w:rFonts w:ascii="Arial" w:eastAsiaTheme="minorEastAsia" w:hAnsi="Arial" w:cs="Arial"/>
          <w:i/>
          <w:sz w:val="22"/>
          <w:szCs w:val="22"/>
        </w:rPr>
        <w:tab/>
      </w:r>
      <w:r w:rsidRPr="00D858C0">
        <w:rPr>
          <w:rFonts w:ascii="Arial" w:eastAsiaTheme="minorEastAsia" w:hAnsi="Arial" w:cs="Arial"/>
          <w:i/>
          <w:sz w:val="22"/>
          <w:szCs w:val="22"/>
        </w:rPr>
        <w:tab/>
      </w:r>
      <w:r w:rsidRPr="00D858C0">
        <w:rPr>
          <w:rFonts w:ascii="Arial" w:eastAsiaTheme="minorEastAsia" w:hAnsi="Arial" w:cs="Arial"/>
          <w:sz w:val="22"/>
          <w:szCs w:val="22"/>
        </w:rPr>
        <w:t>=</w:t>
      </w:r>
      <w:r w:rsidRPr="00D858C0">
        <w:rPr>
          <w:rFonts w:ascii="Arial" w:eastAsiaTheme="minorEastAsia" w:hAnsi="Arial" w:cs="Arial"/>
          <w:sz w:val="22"/>
          <w:szCs w:val="22"/>
        </w:rPr>
        <w:tab/>
        <w:t>cumulative gamma distribution of the HRR for the ignition source</w:t>
      </w:r>
    </w:p>
    <w:p w14:paraId="52B7E84F" w14:textId="77777777" w:rsidR="006F70C7" w:rsidRPr="00D858C0" w:rsidRDefault="006F70C7" w:rsidP="006F70C7">
      <w:pPr>
        <w:pStyle w:val="PlainText"/>
        <w:tabs>
          <w:tab w:val="left" w:pos="274"/>
          <w:tab w:val="left" w:pos="720"/>
          <w:tab w:val="left" w:pos="806"/>
          <w:tab w:val="left" w:pos="1080"/>
          <w:tab w:val="left" w:pos="1440"/>
          <w:tab w:val="left" w:pos="162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r w:rsidRPr="00D858C0">
        <w:rPr>
          <w:rFonts w:ascii="Arial" w:eastAsiaTheme="minorEastAsia" w:hAnsi="Arial" w:cs="Arial"/>
          <w:sz w:val="22"/>
          <w:szCs w:val="22"/>
        </w:rPr>
        <w:tab/>
      </w:r>
      <w:r w:rsidRPr="00D858C0">
        <w:rPr>
          <w:rFonts w:ascii="Arial" w:eastAsiaTheme="minorEastAsia" w:hAnsi="Arial" w:cs="Arial"/>
          <w:sz w:val="22"/>
          <w:szCs w:val="22"/>
        </w:rPr>
        <w:sym w:font="Symbol" w:char="F061"/>
      </w:r>
      <w:r w:rsidRPr="00D858C0">
        <w:rPr>
          <w:rFonts w:ascii="Arial" w:eastAsiaTheme="minorEastAsia" w:hAnsi="Arial" w:cs="Arial"/>
          <w:sz w:val="22"/>
          <w:szCs w:val="22"/>
        </w:rPr>
        <w:tab/>
      </w:r>
      <w:r w:rsidRPr="00D858C0">
        <w:rPr>
          <w:rFonts w:ascii="Arial" w:eastAsiaTheme="minorEastAsia" w:hAnsi="Arial" w:cs="Arial"/>
          <w:sz w:val="22"/>
          <w:szCs w:val="22"/>
        </w:rPr>
        <w:tab/>
        <w:t>=</w:t>
      </w:r>
      <w:r w:rsidRPr="00D858C0">
        <w:rPr>
          <w:rFonts w:ascii="Arial" w:eastAsiaTheme="minorEastAsia" w:hAnsi="Arial" w:cs="Arial"/>
          <w:sz w:val="22"/>
          <w:szCs w:val="22"/>
        </w:rPr>
        <w:tab/>
        <w:t>gamma distribution shape parameter</w:t>
      </w:r>
    </w:p>
    <w:p w14:paraId="7457F949" w14:textId="379D337C" w:rsidR="006F70C7" w:rsidRPr="00D858C0" w:rsidRDefault="006F70C7" w:rsidP="006F70C7">
      <w:pPr>
        <w:pStyle w:val="PlainText"/>
        <w:tabs>
          <w:tab w:val="left" w:pos="274"/>
          <w:tab w:val="left" w:pos="720"/>
          <w:tab w:val="left" w:pos="806"/>
          <w:tab w:val="left" w:pos="1080"/>
          <w:tab w:val="left" w:pos="1440"/>
          <w:tab w:val="left" w:pos="162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r w:rsidRPr="00D858C0">
        <w:rPr>
          <w:rFonts w:ascii="Arial" w:eastAsiaTheme="minorEastAsia" w:hAnsi="Arial" w:cs="Arial"/>
          <w:sz w:val="22"/>
          <w:szCs w:val="22"/>
        </w:rPr>
        <w:tab/>
      </w:r>
      <w:r w:rsidRPr="00D858C0">
        <w:rPr>
          <w:rFonts w:ascii="Arial" w:eastAsiaTheme="minorEastAsia" w:hAnsi="Arial" w:cs="Arial"/>
          <w:sz w:val="22"/>
          <w:szCs w:val="22"/>
        </w:rPr>
        <w:sym w:font="Symbol" w:char="F062"/>
      </w:r>
      <w:r w:rsidRPr="00D858C0">
        <w:rPr>
          <w:rFonts w:ascii="Arial" w:eastAsiaTheme="minorEastAsia" w:hAnsi="Arial" w:cs="Arial"/>
          <w:sz w:val="22"/>
          <w:szCs w:val="22"/>
        </w:rPr>
        <w:tab/>
      </w:r>
      <w:r w:rsidRPr="00D858C0">
        <w:rPr>
          <w:rFonts w:ascii="Arial" w:eastAsiaTheme="minorEastAsia" w:hAnsi="Arial" w:cs="Arial"/>
          <w:sz w:val="22"/>
          <w:szCs w:val="22"/>
        </w:rPr>
        <w:tab/>
        <w:t>=</w:t>
      </w:r>
      <w:r w:rsidRPr="00D858C0">
        <w:rPr>
          <w:rFonts w:ascii="Arial" w:eastAsiaTheme="minorEastAsia" w:hAnsi="Arial" w:cs="Arial"/>
          <w:sz w:val="22"/>
          <w:szCs w:val="22"/>
        </w:rPr>
        <w:tab/>
        <w:t xml:space="preserve">gamma distribution rate </w:t>
      </w:r>
      <w:r w:rsidR="00C54560" w:rsidRPr="00D858C0">
        <w:rPr>
          <w:rFonts w:ascii="Arial" w:eastAsiaTheme="minorEastAsia" w:hAnsi="Arial" w:cs="Arial"/>
          <w:sz w:val="22"/>
          <w:szCs w:val="22"/>
        </w:rPr>
        <w:t xml:space="preserve">(scale) </w:t>
      </w:r>
      <w:r w:rsidRPr="00D858C0">
        <w:rPr>
          <w:rFonts w:ascii="Arial" w:eastAsiaTheme="minorEastAsia" w:hAnsi="Arial" w:cs="Arial"/>
          <w:sz w:val="22"/>
          <w:szCs w:val="22"/>
        </w:rPr>
        <w:t>parameter</w:t>
      </w:r>
    </w:p>
    <w:p w14:paraId="6E035682" w14:textId="77777777" w:rsidR="006F70C7" w:rsidRPr="00D858C0" w:rsidRDefault="006F70C7" w:rsidP="006F70C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1AB623" w14:textId="1284849E" w:rsidR="006F70C7" w:rsidRPr="00D858C0" w:rsidRDefault="006F70C7" w:rsidP="006F70C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The gamma probability distribution shape and rate parameters for motors, pumps and transient ignition sources are given in </w:t>
      </w:r>
      <w:r w:rsidR="00E12DC8" w:rsidRPr="00E12DC8">
        <w:rPr>
          <w:lang w:val="en-GB"/>
        </w:rPr>
        <w:t>NUREG/CR-6850 (</w:t>
      </w:r>
      <w:r w:rsidR="00082C33" w:rsidRPr="00D858C0">
        <w:t>Reference 8</w:t>
      </w:r>
      <w:r w:rsidR="00E12DC8">
        <w:t>)</w:t>
      </w:r>
      <w:r w:rsidRPr="00D858C0">
        <w:t xml:space="preserve">, Vol.2, Appendix G, Table G-1.  The parameters for electrical enclosures are provided in </w:t>
      </w:r>
      <w:r w:rsidR="00573187" w:rsidRPr="00D858C0">
        <w:t>Reference 2</w:t>
      </w:r>
      <w:r w:rsidR="005F2E7B" w:rsidRPr="00D858C0">
        <w:t>6</w:t>
      </w:r>
      <w:r w:rsidRPr="00D858C0">
        <w:t xml:space="preserve">, Table 7-1.  The SF of an ignition source fire with a specified HRR is equal to the probability that the actual HRR is greater than the specified HRR.  For example, Table 7-1 in </w:t>
      </w:r>
      <w:r w:rsidR="00573187" w:rsidRPr="00D858C0">
        <w:t>Reference 2</w:t>
      </w:r>
      <w:r w:rsidR="005F2E7B" w:rsidRPr="00D858C0">
        <w:t>6</w:t>
      </w:r>
      <w:r w:rsidRPr="00D858C0">
        <w:t xml:space="preserve"> indicates that the actual HRR of a fire involving an MCC with </w:t>
      </w:r>
      <w:r w:rsidR="00690A12" w:rsidRPr="00D858C0">
        <w:t>TP</w:t>
      </w:r>
      <w:r w:rsidRPr="00D858C0">
        <w:t xml:space="preserve"> </w:t>
      </w:r>
      <w:r w:rsidRPr="00D858C0">
        <w:lastRenderedPageBreak/>
        <w:t>contents has a 75% probability of being lower than or equal to (the 75</w:t>
      </w:r>
      <w:r w:rsidRPr="00D858C0">
        <w:rPr>
          <w:vertAlign w:val="superscript"/>
        </w:rPr>
        <w:t>th</w:t>
      </w:r>
      <w:r w:rsidRPr="00D858C0">
        <w:t xml:space="preserve"> percentile HRR of) 50 kW.  Consequently, the actual HRR has a 25% probability of exceeding 50 kW, and the corresponding SF is therefore equal to 0.25.</w:t>
      </w:r>
    </w:p>
    <w:p w14:paraId="09B106ED" w14:textId="27D21886" w:rsidR="006F70C7" w:rsidRPr="00D858C0" w:rsidRDefault="006F70C7" w:rsidP="0035366F">
      <w:pPr>
        <w:pStyle w:val="ListParagraph"/>
        <w:widowControl/>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D858C0">
        <w:t xml:space="preserve">Equation 9 was then used to calculate the vertical ZOI for each SF (0.02, 0.05, etc.) and ignition source by postulating a HRR equal to the HRR corresponding to the specified SF.  In these </w:t>
      </w:r>
      <w:r w:rsidR="00F9545A" w:rsidRPr="00D858C0">
        <w:t>calculations,</w:t>
      </w:r>
      <w:r w:rsidRPr="00D858C0">
        <w:t xml:space="preserve"> the same assumptions were made as in the development of the vertical ZOI tables and plots, with one exception.  More specifically, the fire diameter for a given ignition source was assumed to be constant during the t</w:t>
      </w:r>
      <w:r w:rsidRPr="00D858C0">
        <w:rPr>
          <w:vertAlign w:val="superscript"/>
        </w:rPr>
        <w:t>2</w:t>
      </w:r>
      <w:r w:rsidRPr="00D858C0">
        <w:t xml:space="preserve"> growth stage and equal to that in Table 6.2.8 for Fr = 1, except during the period when the HRR is below one fifth of the 98</w:t>
      </w:r>
      <w:r w:rsidRPr="00D858C0">
        <w:rPr>
          <w:vertAlign w:val="superscript"/>
        </w:rPr>
        <w:t>th</w:t>
      </w:r>
      <w:r w:rsidRPr="00D858C0">
        <w:t xml:space="preserve"> percentile </w:t>
      </w:r>
      <w:r w:rsidR="00C54560" w:rsidRPr="00D858C0">
        <w:t xml:space="preserve">of the peak </w:t>
      </w:r>
      <w:r w:rsidRPr="00D858C0">
        <w:t>HRR (HRR</w:t>
      </w:r>
      <w:r w:rsidRPr="00D858C0">
        <w:rPr>
          <w:vertAlign w:val="subscript"/>
        </w:rPr>
        <w:t>peak</w:t>
      </w:r>
      <w:r w:rsidRPr="00D858C0">
        <w:t>).  When the HRR is smaller than one fifth of HRR</w:t>
      </w:r>
      <w:r w:rsidRPr="00D858C0">
        <w:rPr>
          <w:vertAlign w:val="subscript"/>
        </w:rPr>
        <w:t>peak</w:t>
      </w:r>
      <w:r w:rsidRPr="00D858C0">
        <w:t xml:space="preserve"> the fire diameter was reduced to keep the Froude number at 0.2, which is the lower limit of </w:t>
      </w:r>
      <w:r w:rsidR="00C54560" w:rsidRPr="00D858C0">
        <w:t xml:space="preserve">the </w:t>
      </w:r>
      <w:r w:rsidRPr="00D858C0">
        <w:t xml:space="preserve">validated range reported in </w:t>
      </w:r>
      <w:r w:rsidR="00101696" w:rsidRPr="00D858C0">
        <w:t>Reference 34</w:t>
      </w:r>
      <w:r w:rsidRPr="00D858C0">
        <w:t>.</w:t>
      </w:r>
    </w:p>
    <w:p w14:paraId="3257C1A2" w14:textId="77777777" w:rsidR="0072653B" w:rsidRPr="00D858C0" w:rsidRDefault="0072653B" w:rsidP="006F70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AC3D50" w14:textId="77777777" w:rsidR="0072653B" w:rsidRPr="00D858C0" w:rsidRDefault="0072653B" w:rsidP="004D46E2">
      <w:pPr>
        <w:pStyle w:val="Heading3"/>
      </w:pPr>
      <w:bookmarkStart w:id="179" w:name="_Toc481265420"/>
      <w:bookmarkStart w:id="180" w:name="_Toc511060900"/>
      <w:r w:rsidRPr="00D858C0">
        <w:t>Table/Plot Set E: Severity Factor vs. Radial Target Distance</w:t>
      </w:r>
      <w:bookmarkEnd w:id="179"/>
      <w:bookmarkEnd w:id="180"/>
    </w:p>
    <w:p w14:paraId="49B9219E"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4B9877" w14:textId="1D95CD8C" w:rsidR="0072653B" w:rsidRPr="00D858C0" w:rsidRDefault="001E64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To develop table/plot set E, calculations were performed to determine the longest radial distance at which a target will be damaged or a secondary combustible will ignite when the ignition source reaches the HRR that corresponds to a specified SF.  Each table and plot provides the radial distances corresponding to SFs ranging from 0.02 to 0.95 for one of the ignition sources listed in </w:t>
      </w:r>
      <w:r w:rsidR="00AE6B32" w:rsidRPr="00D858C0">
        <w:t>Table A5.1 of Attachment 5 to Appendix F</w:t>
      </w:r>
      <w:r w:rsidRPr="00D858C0">
        <w:t>.  Table/plot set E is used in Appendix F to conservatively estimate the SF for each target or secondary combustible located within the radial ZOI based on its distance from the ignition source (Step 2.6.1).   The development of table/plot set E involved the same steps as for table/plot set D; except that Equation 1</w:t>
      </w:r>
      <w:r w:rsidR="00240151" w:rsidRPr="00D858C0">
        <w:t>2</w:t>
      </w:r>
      <w:r w:rsidRPr="00D858C0">
        <w:t xml:space="preserve"> was used to calculate the ZOI instead of Equation 9, ignition source location did not have to be accounted for, and the fire diameter did not have to be adjusted for low HRRs.</w:t>
      </w:r>
    </w:p>
    <w:p w14:paraId="152506EB"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87183F" w14:textId="77777777" w:rsidR="0072653B" w:rsidRPr="00D858C0" w:rsidRDefault="0072653B" w:rsidP="004D46E2">
      <w:pPr>
        <w:pStyle w:val="Heading3"/>
      </w:pPr>
      <w:bookmarkStart w:id="181" w:name="_Toc481265421"/>
      <w:bookmarkStart w:id="182" w:name="_Toc511060901"/>
      <w:r w:rsidRPr="00D858C0">
        <w:t>Table/Plot Set F: Failure Time vs. Vertical Target Distance</w:t>
      </w:r>
      <w:bookmarkEnd w:id="181"/>
      <w:bookmarkEnd w:id="182"/>
    </w:p>
    <w:p w14:paraId="01BA0F8B"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F2F520" w14:textId="78B9ED30" w:rsidR="0072653B" w:rsidRPr="00D858C0" w:rsidRDefault="001E64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Table/plot set F is used in the Fire Protection SDP to conservatively estimate the damage time of each target located within the vertical ZOI based on its elevation above the ignition source.  This time is used in the calculation of the </w:t>
      </w:r>
      <w:r w:rsidR="008C70C2" w:rsidRPr="00D858C0">
        <w:t>NSP</w:t>
      </w:r>
      <w:r w:rsidRPr="00D858C0">
        <w:t xml:space="preserve"> (Step 2.7).  The failure/ignition times were calculated in the same spreadsheets that were used for the development of table/plot set D, and were determined from the t</w:t>
      </w:r>
      <w:r w:rsidRPr="00D858C0">
        <w:rPr>
          <w:vertAlign w:val="superscript"/>
        </w:rPr>
        <w:t>2</w:t>
      </w:r>
      <w:r w:rsidRPr="00D858C0">
        <w:t xml:space="preserve"> growth profile of the ignition source as the times to reach the HRRs calculated in the development of table/plot set D.</w:t>
      </w:r>
    </w:p>
    <w:p w14:paraId="58B2BE38"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3842E8" w14:textId="77777777" w:rsidR="0072653B" w:rsidRPr="00D858C0" w:rsidRDefault="0072653B" w:rsidP="004D46E2">
      <w:pPr>
        <w:pStyle w:val="Heading3"/>
      </w:pPr>
      <w:bookmarkStart w:id="183" w:name="_Toc481265422"/>
      <w:bookmarkStart w:id="184" w:name="_Toc511060902"/>
      <w:r w:rsidRPr="00D858C0">
        <w:t>Table/Plot Set G: Failure Time vs. Radial Target Distance</w:t>
      </w:r>
      <w:bookmarkEnd w:id="183"/>
      <w:bookmarkEnd w:id="184"/>
    </w:p>
    <w:p w14:paraId="756BB2F1"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BCC0A3" w14:textId="0FCD53A2" w:rsidR="0072653B" w:rsidRPr="00D858C0" w:rsidRDefault="001E3867"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Table/plot set G is used in the Fire Protection SDP to conservatively estimate the damage time of each target or the ignition time of each secondary combustible located within the radial ZOI based on its radial distance from the ignition source.  This time is used in the calculation of the </w:t>
      </w:r>
      <w:r w:rsidR="008C70C2" w:rsidRPr="00D858C0">
        <w:t>NSP</w:t>
      </w:r>
      <w:r w:rsidRPr="00D858C0">
        <w:t xml:space="preserve"> (Step 2.7).  The failure times were calculated in the same spreadsheets that were used for the development of table/plot set E, and were determined from the t</w:t>
      </w:r>
      <w:r w:rsidRPr="00D858C0">
        <w:rPr>
          <w:vertAlign w:val="superscript"/>
        </w:rPr>
        <w:t>2</w:t>
      </w:r>
      <w:r w:rsidRPr="00D858C0">
        <w:t xml:space="preserve"> growth profile of the ignition source as the times to reach the HRRs calculated in the development of table/plot set E.</w:t>
      </w:r>
    </w:p>
    <w:p w14:paraId="4736F512"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6494CC" w14:textId="77777777" w:rsidR="0072653B" w:rsidRPr="00D858C0" w:rsidRDefault="0072653B" w:rsidP="004D46E2">
      <w:pPr>
        <w:pStyle w:val="Heading3"/>
      </w:pPr>
      <w:bookmarkStart w:id="185" w:name="_Toc481265423"/>
      <w:bookmarkStart w:id="186" w:name="_Toc511060903"/>
      <w:r w:rsidRPr="00D858C0">
        <w:t>Table/Plot Set H: Detector Actuation and Sprinkler Activation Times</w:t>
      </w:r>
      <w:bookmarkEnd w:id="185"/>
      <w:bookmarkEnd w:id="186"/>
    </w:p>
    <w:p w14:paraId="07AD271C"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0DF4D9" w14:textId="530E37CE"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 Table set H consists of three subsets:</w:t>
      </w:r>
    </w:p>
    <w:p w14:paraId="1D770825"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8028B6" w14:textId="77777777" w:rsidR="005061EE" w:rsidRPr="00D858C0" w:rsidRDefault="005061EE" w:rsidP="0035366F">
      <w:pPr>
        <w:pStyle w:val="ListParagraph"/>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Tables to determine smoke detector actuation time.</w:t>
      </w:r>
    </w:p>
    <w:p w14:paraId="181D87EA" w14:textId="77777777" w:rsidR="005061EE" w:rsidRPr="00D858C0" w:rsidRDefault="005061EE" w:rsidP="0035366F">
      <w:pPr>
        <w:pStyle w:val="ListParagraph"/>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Tables to determine sprinkler activation time for fixed and transient ignition source fires.</w:t>
      </w:r>
    </w:p>
    <w:p w14:paraId="091DA632" w14:textId="77777777" w:rsidR="005061EE" w:rsidRPr="00D858C0" w:rsidRDefault="005061EE" w:rsidP="0035366F">
      <w:pPr>
        <w:pStyle w:val="ListParagraph"/>
        <w:widowControl/>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Tables to determine sprinkler activation time for fires with </w:t>
      </w:r>
      <w:r w:rsidRPr="00D858C0">
        <w:rPr>
          <w:i/>
        </w:rPr>
        <w:t>a priori</w:t>
      </w:r>
      <w:r w:rsidRPr="00D858C0">
        <w:t xml:space="preserve"> unknown HRR profile.  </w:t>
      </w:r>
    </w:p>
    <w:p w14:paraId="517D76B9"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4077A4"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methodology that was used and the assumptions that were made for the development of the three subsets are discussed below.</w:t>
      </w:r>
    </w:p>
    <w:p w14:paraId="253A9FA7"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0B91AC"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Smoke Detector Actuation Times</w:t>
      </w:r>
    </w:p>
    <w:p w14:paraId="37E062AE"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3675F8" w14:textId="419E1B18"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Chapter 11 in </w:t>
      </w:r>
      <w:r w:rsidR="00EC1102" w:rsidRPr="00D858C0">
        <w:t>Reference 10</w:t>
      </w:r>
      <w:r w:rsidRPr="00D858C0">
        <w:t xml:space="preserve"> describes three methods for estimating smoke detector response as a function of ceiling height, H, and radial distance to the detector, R: </w:t>
      </w:r>
    </w:p>
    <w:p w14:paraId="62586CE1"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55E002" w14:textId="6EF8B0D8" w:rsidR="005061EE" w:rsidRPr="00D858C0" w:rsidRDefault="005061EE" w:rsidP="0035366F">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The method of Alpert estimates the response time of a smoke detector in a steady fire (i.e., a fire with constant HRR), assuming that a smoke detector can be modeled as a heat detector with a low response time index (RTI) and activation temperature (T</w:t>
      </w:r>
      <w:r w:rsidRPr="00D858C0">
        <w:rPr>
          <w:vertAlign w:val="subscript"/>
        </w:rPr>
        <w:t>act</w:t>
      </w:r>
      <w:r w:rsidRPr="00D858C0">
        <w:t xml:space="preserve">) </w:t>
      </w:r>
      <w:r w:rsidR="007D4A3C" w:rsidRPr="00D858C0">
        <w:t>(Reference 35)</w:t>
      </w:r>
      <w:r w:rsidRPr="00D858C0">
        <w:t>.  Furthermore, the method assumes that a smoke detector actuates when the ceiling jet temperature at the detector is 10</w:t>
      </w:r>
      <w:r w:rsidRPr="00D858C0">
        <w:sym w:font="Symbol" w:char="F0B0"/>
      </w:r>
      <w:r w:rsidRPr="00D858C0">
        <w:t xml:space="preserve">C above ambient.  The temperature criterion is based on experimental data and an analysis presented in Reference </w:t>
      </w:r>
      <w:r w:rsidR="003762CF" w:rsidRPr="00D858C0">
        <w:t>36</w:t>
      </w:r>
      <w:r w:rsidRPr="00D858C0">
        <w:t>.</w:t>
      </w:r>
    </w:p>
    <w:p w14:paraId="0C0EFB2F" w14:textId="77777777" w:rsidR="005061EE" w:rsidRPr="00D858C0" w:rsidRDefault="005061EE" w:rsidP="0035366F">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The method of Mowrer estimates smoke detector response time in a quasi-steady fire as the sum of two lag times; the time for the fire plume to rise to the ceiling, and the time for the ceiling jet to travel to the detector.</w:t>
      </w:r>
    </w:p>
    <w:p w14:paraId="2C29852C" w14:textId="6F154984" w:rsidR="005061EE" w:rsidRPr="00D858C0" w:rsidRDefault="005061EE" w:rsidP="0035366F">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The method of Milke </w:t>
      </w:r>
      <w:r w:rsidR="003762CF" w:rsidRPr="00D858C0">
        <w:t>(Reference 37)</w:t>
      </w:r>
      <w:r w:rsidRPr="00D858C0">
        <w:t xml:space="preserve"> estimates smoke detector response time based on an analysis of smoke detector actuation times in a series of full-scale fire experiments described in NUREG/CR-4681 </w:t>
      </w:r>
      <w:r w:rsidR="003762CF" w:rsidRPr="00D858C0">
        <w:t>(Reference 38)</w:t>
      </w:r>
      <w:r w:rsidRPr="00D858C0">
        <w:t xml:space="preserve"> and NUREG/CR-5384 </w:t>
      </w:r>
      <w:r w:rsidR="003762CF" w:rsidRPr="00D858C0">
        <w:t>(Reference 39)</w:t>
      </w:r>
      <w:r w:rsidRPr="00D858C0">
        <w:t xml:space="preserve">.  Of the three methods, this method nearly always results in the longest response time.  This is because in the </w:t>
      </w:r>
      <w:r w:rsidR="00905DC7" w:rsidRPr="00D858C0">
        <w:t>tests,</w:t>
      </w:r>
      <w:r w:rsidRPr="00D858C0">
        <w:t xml:space="preserve"> the smoke detectors actuated during the fire growth stage and their actuation time therefore includes the delay for the HRR to become large enough to cause detector actuation.  </w:t>
      </w:r>
    </w:p>
    <w:p w14:paraId="4FE6ABE5"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5D51E5"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In the Phase 2 analysis of the Fire Protection SDP, the following equation is used to calculate the actuation time of a smoke detector:</w:t>
      </w:r>
    </w:p>
    <w:p w14:paraId="1A1BB900"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3478CF97" w14:textId="77777777" w:rsidTr="007F24C9">
        <w:tc>
          <w:tcPr>
            <w:tcW w:w="720" w:type="dxa"/>
            <w:vAlign w:val="center"/>
          </w:tcPr>
          <w:p w14:paraId="349503AD"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53BAD30C"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m:t>
                    </m:r>
                  </m:sub>
                </m:sSub>
                <m:r>
                  <m:rPr>
                    <m:sty m:val="p"/>
                  </m:rPr>
                  <w:rPr>
                    <w:rFonts w:ascii="Cambria Math" w:hAnsi="Cambria Math"/>
                  </w:rPr>
                  <m:t xml:space="preserve"> =</m:t>
                </m:r>
                <m:r>
                  <m:rPr>
                    <m:sty m:val="p"/>
                  </m:rPr>
                  <w:rPr>
                    <w:rFonts w:ascii="Cambria Math" w:eastAsiaTheme="minorEastAsia"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ΔT=10℃</m:t>
                    </m:r>
                  </m:sub>
                </m:sSub>
                <m:r>
                  <m:rPr>
                    <m:sty m:val="p"/>
                  </m:rPr>
                  <w:rPr>
                    <w:rFonts w:ascii="Cambria Math" w:eastAsiaTheme="minorEastAsia"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pl</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resp</m:t>
                    </m:r>
                  </m:sub>
                </m:sSub>
                <m:r>
                  <m:rPr>
                    <m:sty m:val="p"/>
                  </m:rPr>
                  <w:rPr>
                    <w:rFonts w:ascii="Cambria Math" w:hAnsi="Cambria Math"/>
                  </w:rPr>
                  <m:t xml:space="preserve"> </m:t>
                </m:r>
              </m:oMath>
            </m:oMathPara>
          </w:p>
        </w:tc>
        <w:tc>
          <w:tcPr>
            <w:tcW w:w="720" w:type="dxa"/>
            <w:vAlign w:val="center"/>
          </w:tcPr>
          <w:p w14:paraId="413F4CF9" w14:textId="5235EDED" w:rsidR="005061EE" w:rsidRPr="00D858C0" w:rsidRDefault="005061EE" w:rsidP="002401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w:t>
            </w:r>
            <w:r w:rsidR="00240151" w:rsidRPr="00D858C0">
              <w:t>20</w:t>
            </w:r>
            <w:r w:rsidRPr="00D858C0">
              <w:t>)</w:t>
            </w:r>
          </w:p>
        </w:tc>
      </w:tr>
    </w:tbl>
    <w:p w14:paraId="19C0933F"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DDA4FE"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where</w:t>
      </w:r>
    </w:p>
    <w:p w14:paraId="541F1880" w14:textId="77777777" w:rsidR="005061EE" w:rsidRPr="00D858C0" w:rsidRDefault="005061EE" w:rsidP="005061EE">
      <w:pPr>
        <w:tabs>
          <w:tab w:val="left" w:pos="274"/>
          <w:tab w:val="left" w:pos="720"/>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eastAsiaTheme="minorEastAsia"/>
        </w:rPr>
      </w:pPr>
      <w:r w:rsidRPr="00D858C0">
        <w:rPr>
          <w:rFonts w:eastAsiaTheme="minorEastAsia"/>
        </w:rPr>
        <w:tab/>
        <w:t>t</w:t>
      </w:r>
      <w:r w:rsidRPr="00D858C0">
        <w:rPr>
          <w:rFonts w:eastAsiaTheme="minorEastAsia"/>
          <w:vertAlign w:val="subscript"/>
        </w:rPr>
        <w:t>act</w:t>
      </w:r>
      <w:r w:rsidRPr="00D858C0">
        <w:rPr>
          <w:rFonts w:eastAsiaTheme="minorEastAsia"/>
          <w:vertAlign w:val="superscript"/>
        </w:rPr>
        <w:tab/>
      </w:r>
      <w:r w:rsidRPr="00D858C0">
        <w:rPr>
          <w:rFonts w:eastAsiaTheme="minorEastAsia"/>
        </w:rPr>
        <w:t>=</w:t>
      </w:r>
      <w:r w:rsidRPr="00D858C0">
        <w:rPr>
          <w:rFonts w:eastAsiaTheme="minorEastAsia"/>
        </w:rPr>
        <w:tab/>
        <w:t>smoke detector actuation time (s)</w:t>
      </w:r>
    </w:p>
    <w:p w14:paraId="47FBC1C3" w14:textId="77777777" w:rsidR="005061EE" w:rsidRPr="00D858C0" w:rsidRDefault="005061EE" w:rsidP="005061EE">
      <w:pPr>
        <w:tabs>
          <w:tab w:val="left" w:pos="274"/>
          <w:tab w:val="left" w:pos="720"/>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 w:rsidRPr="00D858C0">
        <w:tab/>
        <w:t>t</w:t>
      </w:r>
      <w:r w:rsidRPr="00D858C0">
        <w:rPr>
          <w:vertAlign w:val="subscript"/>
        </w:rPr>
        <w:sym w:font="Symbol" w:char="F044"/>
      </w:r>
      <w:r w:rsidRPr="00D858C0">
        <w:rPr>
          <w:vertAlign w:val="subscript"/>
        </w:rPr>
        <w:t>T=10</w:t>
      </w:r>
      <w:r w:rsidRPr="00D858C0">
        <w:rPr>
          <w:vertAlign w:val="subscript"/>
        </w:rPr>
        <w:sym w:font="Symbol" w:char="F0B0"/>
      </w:r>
      <w:r w:rsidRPr="00D858C0">
        <w:rPr>
          <w:vertAlign w:val="subscript"/>
        </w:rPr>
        <w:t>C</w:t>
      </w:r>
      <w:r w:rsidRPr="00D858C0">
        <w:tab/>
        <w:t>=</w:t>
      </w:r>
      <w:r w:rsidRPr="00D858C0">
        <w:tab/>
        <w:t>time for the ceiling jet temperature to reach 10</w:t>
      </w:r>
      <w:r w:rsidRPr="00D858C0">
        <w:sym w:font="Symbol" w:char="F0B0"/>
      </w:r>
      <w:r w:rsidRPr="00D858C0">
        <w:t>C above ambient (s)</w:t>
      </w:r>
    </w:p>
    <w:p w14:paraId="204538D3" w14:textId="77777777" w:rsidR="005061EE" w:rsidRPr="00D858C0" w:rsidRDefault="005061EE" w:rsidP="005061EE">
      <w:pPr>
        <w:tabs>
          <w:tab w:val="left" w:pos="274"/>
          <w:tab w:val="left" w:pos="720"/>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eastAsiaTheme="minorEastAsia"/>
        </w:rPr>
      </w:pPr>
      <w:r w:rsidRPr="00D858C0">
        <w:rPr>
          <w:rFonts w:eastAsiaTheme="minorEastAsia"/>
        </w:rPr>
        <w:tab/>
        <w:t>t</w:t>
      </w:r>
      <w:r w:rsidRPr="00D858C0">
        <w:rPr>
          <w:rFonts w:eastAsiaTheme="minorEastAsia"/>
          <w:vertAlign w:val="subscript"/>
        </w:rPr>
        <w:t>pl</w:t>
      </w:r>
      <w:r w:rsidRPr="00D858C0">
        <w:rPr>
          <w:rFonts w:eastAsiaTheme="minorEastAsia"/>
          <w:vertAlign w:val="superscript"/>
        </w:rPr>
        <w:tab/>
      </w:r>
      <w:r w:rsidRPr="00D858C0">
        <w:rPr>
          <w:rFonts w:eastAsiaTheme="minorEastAsia"/>
        </w:rPr>
        <w:t>=</w:t>
      </w:r>
      <w:r w:rsidRPr="00D858C0">
        <w:rPr>
          <w:rFonts w:eastAsiaTheme="minorEastAsia"/>
        </w:rPr>
        <w:tab/>
        <w:t>lag time for the plume to rise to the ceiling (s)</w:t>
      </w:r>
    </w:p>
    <w:p w14:paraId="1AA1A81C" w14:textId="77777777" w:rsidR="005061EE" w:rsidRPr="00D858C0" w:rsidRDefault="005061EE" w:rsidP="005061EE">
      <w:pPr>
        <w:tabs>
          <w:tab w:val="left" w:pos="274"/>
          <w:tab w:val="left" w:pos="720"/>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eastAsiaTheme="minorEastAsia"/>
        </w:rPr>
      </w:pPr>
      <w:r w:rsidRPr="00D858C0">
        <w:rPr>
          <w:rFonts w:eastAsiaTheme="minorEastAsia"/>
        </w:rPr>
        <w:tab/>
        <w:t>t</w:t>
      </w:r>
      <w:r w:rsidRPr="00D858C0">
        <w:rPr>
          <w:rFonts w:eastAsiaTheme="minorEastAsia"/>
          <w:vertAlign w:val="subscript"/>
        </w:rPr>
        <w:t>cj</w:t>
      </w:r>
      <w:r w:rsidRPr="00D858C0">
        <w:rPr>
          <w:rFonts w:eastAsiaTheme="minorEastAsia"/>
          <w:vertAlign w:val="superscript"/>
        </w:rPr>
        <w:tab/>
      </w:r>
      <w:r w:rsidRPr="00D858C0">
        <w:rPr>
          <w:rFonts w:eastAsiaTheme="minorEastAsia"/>
        </w:rPr>
        <w:t>=</w:t>
      </w:r>
      <w:r w:rsidRPr="00D858C0">
        <w:rPr>
          <w:rFonts w:eastAsiaTheme="minorEastAsia"/>
        </w:rPr>
        <w:tab/>
        <w:t>lag time for the ceiling jet to travel to the detector (s)</w:t>
      </w:r>
    </w:p>
    <w:p w14:paraId="46BAE927" w14:textId="77777777" w:rsidR="005061EE" w:rsidRPr="00D858C0" w:rsidRDefault="005061EE" w:rsidP="005061EE">
      <w:pPr>
        <w:tabs>
          <w:tab w:val="left" w:pos="274"/>
          <w:tab w:val="left" w:pos="720"/>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eastAsiaTheme="minorEastAsia"/>
        </w:rPr>
      </w:pPr>
      <w:r w:rsidRPr="00D858C0">
        <w:rPr>
          <w:rFonts w:eastAsiaTheme="minorEastAsia"/>
        </w:rPr>
        <w:tab/>
        <w:t>t</w:t>
      </w:r>
      <w:r w:rsidRPr="00D858C0">
        <w:rPr>
          <w:rFonts w:eastAsiaTheme="minorEastAsia"/>
          <w:vertAlign w:val="subscript"/>
        </w:rPr>
        <w:t>resp</w:t>
      </w:r>
      <w:r w:rsidRPr="00D858C0">
        <w:rPr>
          <w:rFonts w:eastAsiaTheme="minorEastAsia"/>
          <w:vertAlign w:val="superscript"/>
        </w:rPr>
        <w:tab/>
      </w:r>
      <w:r w:rsidRPr="00D858C0">
        <w:rPr>
          <w:rFonts w:eastAsiaTheme="minorEastAsia"/>
        </w:rPr>
        <w:t>=</w:t>
      </w:r>
      <w:r w:rsidRPr="00D858C0">
        <w:rPr>
          <w:rFonts w:eastAsiaTheme="minorEastAsia"/>
        </w:rPr>
        <w:tab/>
        <w:t>smoke detector response time (s)</w:t>
      </w:r>
    </w:p>
    <w:p w14:paraId="0B8F52BD"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65E0C6" w14:textId="4E86BF9E"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HRR needed to raise the ceiling jet temperature to 10</w:t>
      </w:r>
      <w:r w:rsidRPr="00D858C0">
        <w:sym w:font="Symbol" w:char="F0B0"/>
      </w:r>
      <w:r w:rsidRPr="00D858C0">
        <w:t xml:space="preserve">C above ambient,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xml:space="preserve">, can be calculated from Equations 11-2 and 11-3 in Chapter 11 of </w:t>
      </w:r>
      <w:r w:rsidR="00EC1102" w:rsidRPr="00D858C0">
        <w:t>Reference 10</w:t>
      </w:r>
      <w:r w:rsidRPr="00D858C0">
        <w:t>:</w:t>
      </w:r>
    </w:p>
    <w:p w14:paraId="236CC3AE"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8018"/>
        <w:gridCol w:w="702"/>
      </w:tblGrid>
      <w:tr w:rsidR="005061EE" w:rsidRPr="00D858C0" w14:paraId="27EF5EA3" w14:textId="77777777" w:rsidTr="007F24C9">
        <w:tc>
          <w:tcPr>
            <w:tcW w:w="720" w:type="dxa"/>
            <w:vAlign w:val="center"/>
          </w:tcPr>
          <w:p w14:paraId="1E9BA315"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53CC314C"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3"/>
                          <m:mcJc m:val="center"/>
                        </m:mcPr>
                      </m:mc>
                    </m:mcs>
                    <m:ctrlPr>
                      <w:rPr>
                        <w:rFonts w:ascii="Cambria Math" w:hAnsi="Cambria Math"/>
                      </w:rPr>
                    </m:ctrlPr>
                  </m:mPr>
                  <m:mr>
                    <m:e>
                      <m:r>
                        <m:rPr>
                          <m:sty m:val="p"/>
                        </m:rPr>
                        <w:rPr>
                          <w:rFonts w:ascii="Cambria Math" w:hAnsi="Cambria Math"/>
                        </w:rPr>
                        <m:t>Eq. 11-2:</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16.9 </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m:rPr>
                                  <m:sty m:val="p"/>
                                </m:rPr>
                                <w:rPr>
                                  <w:rFonts w:ascii="Cambria Math" w:hAnsi="Cambria Math"/>
                                </w:rPr>
                                <m:t>2/3</m:t>
                              </m:r>
                            </m:sup>
                          </m:sSup>
                        </m:num>
                        <m:den>
                          <m:sSup>
                            <m:sSupPr>
                              <m:ctrlPr>
                                <w:rPr>
                                  <w:rFonts w:ascii="Cambria Math" w:hAnsi="Cambria Math"/>
                                </w:rPr>
                              </m:ctrlPr>
                            </m:sSupPr>
                            <m:e>
                              <m:r>
                                <m:rPr>
                                  <m:sty m:val="p"/>
                                </m:rPr>
                                <w:rPr>
                                  <w:rFonts w:ascii="Cambria Math" w:hAnsi="Cambria Math"/>
                                </w:rPr>
                                <m:t>H</m:t>
                              </m:r>
                            </m:e>
                            <m:sup>
                              <m:r>
                                <m:rPr>
                                  <m:sty m:val="p"/>
                                </m:rPr>
                                <w:rPr>
                                  <w:rFonts w:ascii="Cambria Math" w:hAnsi="Cambria Math"/>
                                </w:rPr>
                                <m:t>5/3</m:t>
                              </m:r>
                            </m:sup>
                          </m:sSup>
                        </m:den>
                      </m:f>
                    </m:e>
                    <m:e>
                      <m:r>
                        <m:rPr>
                          <m:sty m:val="p"/>
                        </m:rPr>
                        <w:rPr>
                          <w:rFonts w:ascii="Cambria Math" w:hAnsi="Cambria Math"/>
                        </w:rPr>
                        <m:t xml:space="preserve">       ∴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∆T=10℃</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0.455 H</m:t>
                          </m:r>
                        </m:e>
                        <m:sup>
                          <m:r>
                            <m:rPr>
                              <m:sty m:val="p"/>
                            </m:rPr>
                            <w:rPr>
                              <w:rFonts w:ascii="Cambria Math" w:hAnsi="Cambria Math"/>
                            </w:rPr>
                            <m:t>5/2</m:t>
                          </m:r>
                        </m:sup>
                      </m:sSup>
                      <m:r>
                        <m:rPr>
                          <m:sty m:val="p"/>
                        </m:rPr>
                        <w:rPr>
                          <w:rFonts w:ascii="Cambria Math"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d>
                    </m:e>
                  </m:mr>
                </m:m>
              </m:oMath>
            </m:oMathPara>
          </w:p>
        </w:tc>
        <w:tc>
          <w:tcPr>
            <w:tcW w:w="720" w:type="dxa"/>
            <w:vAlign w:val="center"/>
          </w:tcPr>
          <w:p w14:paraId="5B8C1430" w14:textId="060187AD" w:rsidR="005061EE" w:rsidRPr="00D858C0" w:rsidRDefault="00240151"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(21</w:t>
            </w:r>
            <w:r w:rsidR="005061EE" w:rsidRPr="00D858C0">
              <w:t>)</w:t>
            </w:r>
          </w:p>
        </w:tc>
      </w:tr>
    </w:tbl>
    <w:p w14:paraId="250E6DF4"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9D0235"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and</w:t>
      </w:r>
    </w:p>
    <w:p w14:paraId="636A798D"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7972"/>
        <w:gridCol w:w="710"/>
      </w:tblGrid>
      <w:tr w:rsidR="005061EE" w:rsidRPr="00D858C0" w14:paraId="1816109E" w14:textId="77777777" w:rsidTr="007F24C9">
        <w:tc>
          <w:tcPr>
            <w:tcW w:w="720" w:type="dxa"/>
            <w:vAlign w:val="center"/>
          </w:tcPr>
          <w:p w14:paraId="06C60F50"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7746118D"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3"/>
                          <m:mcJc m:val="center"/>
                        </m:mcPr>
                      </m:mc>
                    </m:mcs>
                    <m:ctrlPr>
                      <w:rPr>
                        <w:rFonts w:ascii="Cambria Math" w:hAnsi="Cambria Math"/>
                      </w:rPr>
                    </m:ctrlPr>
                  </m:mPr>
                  <m:mr>
                    <m:e>
                      <m:r>
                        <m:rPr>
                          <m:sty m:val="p"/>
                        </m:rPr>
                        <w:rPr>
                          <w:rFonts w:ascii="Cambria Math" w:hAnsi="Cambria Math"/>
                        </w:rPr>
                        <m:t>Eq. 11-3:</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5.38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acc>
                                        <m:accPr>
                                          <m:chr m:val="̇"/>
                                          <m:ctrlPr>
                                            <w:rPr>
                                              <w:rFonts w:ascii="Cambria Math" w:hAnsi="Cambria Math"/>
                                            </w:rPr>
                                          </m:ctrlPr>
                                        </m:accPr>
                                        <m:e>
                                          <m:r>
                                            <m:rPr>
                                              <m:sty m:val="p"/>
                                            </m:rPr>
                                            <w:rPr>
                                              <w:rFonts w:ascii="Cambria Math" w:hAnsi="Cambria Math"/>
                                            </w:rPr>
                                            <m:t>Q</m:t>
                                          </m:r>
                                        </m:e>
                                      </m:acc>
                                    </m:num>
                                    <m:den>
                                      <m:r>
                                        <m:rPr>
                                          <m:sty m:val="p"/>
                                        </m:rPr>
                                        <w:rPr>
                                          <w:rFonts w:ascii="Cambria Math" w:hAnsi="Cambria Math"/>
                                        </w:rPr>
                                        <m:t>R</m:t>
                                      </m:r>
                                    </m:den>
                                  </m:f>
                                </m:e>
                              </m:d>
                            </m:e>
                            <m:sup>
                              <m:r>
                                <m:rPr>
                                  <m:sty m:val="p"/>
                                </m:rPr>
                                <w:rPr>
                                  <w:rFonts w:ascii="Cambria Math" w:hAnsi="Cambria Math"/>
                                </w:rPr>
                                <m:t>2/3</m:t>
                              </m:r>
                            </m:sup>
                          </m:sSup>
                        </m:num>
                        <m:den>
                          <m:r>
                            <m:rPr>
                              <m:sty m:val="p"/>
                            </m:rPr>
                            <w:rPr>
                              <w:rFonts w:ascii="Cambria Math" w:hAnsi="Cambria Math"/>
                            </w:rPr>
                            <m:t>H</m:t>
                          </m:r>
                        </m:den>
                      </m:f>
                    </m:e>
                    <m:e>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∆T=10℃</m:t>
                          </m:r>
                        </m:sub>
                      </m:sSub>
                      <m:r>
                        <m:rPr>
                          <m:sty m:val="p"/>
                        </m:rPr>
                        <w:rPr>
                          <w:rFonts w:ascii="Cambria Math" w:hAnsi="Cambria Math"/>
                        </w:rPr>
                        <m:t xml:space="preserve">=2.534 R </m:t>
                      </m:r>
                      <m:sSup>
                        <m:sSupPr>
                          <m:ctrlPr>
                            <w:rPr>
                              <w:rFonts w:ascii="Cambria Math" w:hAnsi="Cambria Math"/>
                            </w:rPr>
                          </m:ctrlPr>
                        </m:sSupPr>
                        <m:e>
                          <m:r>
                            <m:rPr>
                              <m:sty m:val="p"/>
                            </m:rPr>
                            <w:rPr>
                              <w:rFonts w:ascii="Cambria Math" w:hAnsi="Cambria Math"/>
                            </w:rPr>
                            <m:t>H</m:t>
                          </m:r>
                        </m:e>
                        <m:sup>
                          <m:r>
                            <w:rPr>
                              <w:rFonts w:ascii="Cambria Math" w:hAnsi="Cambria Math"/>
                            </w:rPr>
                            <m:t>3/2</m:t>
                          </m:r>
                        </m:sup>
                      </m:sSup>
                      <m:r>
                        <m:rPr>
                          <m:sty m:val="p"/>
                        </m:rPr>
                        <w:rPr>
                          <w:rFonts w:ascii="Cambria Math"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e>
                      </m:d>
                    </m:e>
                  </m:mr>
                </m:m>
              </m:oMath>
            </m:oMathPara>
          </w:p>
        </w:tc>
        <w:tc>
          <w:tcPr>
            <w:tcW w:w="720" w:type="dxa"/>
            <w:vAlign w:val="center"/>
          </w:tcPr>
          <w:p w14:paraId="561C55D8" w14:textId="73282F5F" w:rsidR="005061EE" w:rsidRPr="00D858C0" w:rsidRDefault="00240151"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(22</w:t>
            </w:r>
            <w:r w:rsidR="005061EE" w:rsidRPr="00D858C0">
              <w:t>)</w:t>
            </w:r>
          </w:p>
        </w:tc>
      </w:tr>
    </w:tbl>
    <w:p w14:paraId="21884C60"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6C397"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where</w:t>
      </w:r>
    </w:p>
    <w:p w14:paraId="670C2A63" w14:textId="77777777" w:rsidR="005061EE" w:rsidRPr="00D858C0" w:rsidRDefault="005061EE" w:rsidP="005061EE">
      <w:pPr>
        <w:tabs>
          <w:tab w:val="left" w:pos="274"/>
          <w:tab w:val="left" w:pos="720"/>
          <w:tab w:val="left" w:pos="806"/>
          <w:tab w:val="left" w:pos="1440"/>
          <w:tab w:val="left" w:pos="180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74"/>
        <w:rPr>
          <w:rFonts w:eastAsiaTheme="minorEastAsia"/>
        </w:rPr>
      </w:pPr>
      <w:r w:rsidRPr="00D858C0">
        <w:rPr>
          <w:rFonts w:eastAsiaTheme="minorEastAsia"/>
        </w:rPr>
        <w:tab/>
        <w:t>T</w:t>
      </w:r>
      <w:r w:rsidRPr="00D858C0">
        <w:rPr>
          <w:rFonts w:eastAsiaTheme="minorEastAsia"/>
          <w:vertAlign w:val="subscript"/>
        </w:rPr>
        <w:t>cj</w:t>
      </w:r>
      <w:r w:rsidRPr="00D858C0">
        <w:rPr>
          <w:rFonts w:eastAsiaTheme="minorEastAsia"/>
          <w:vertAlign w:val="superscript"/>
        </w:rPr>
        <w:tab/>
        <w:t xml:space="preserve">   </w:t>
      </w:r>
      <w:r w:rsidRPr="00D858C0">
        <w:rPr>
          <w:rFonts w:eastAsiaTheme="minorEastAsia"/>
        </w:rPr>
        <w:t>=</w:t>
      </w:r>
      <w:r w:rsidRPr="00D858C0">
        <w:rPr>
          <w:rFonts w:eastAsiaTheme="minorEastAsia"/>
        </w:rPr>
        <w:tab/>
        <w:t>ceiling jet temperature (</w:t>
      </w:r>
      <w:r w:rsidRPr="00D858C0">
        <w:rPr>
          <w:rFonts w:eastAsiaTheme="minorEastAsia"/>
        </w:rPr>
        <w:sym w:font="Symbol" w:char="F0B0"/>
      </w:r>
      <w:r w:rsidRPr="00D858C0">
        <w:rPr>
          <w:rFonts w:eastAsiaTheme="minorEastAsia"/>
        </w:rPr>
        <w:t>C)</w:t>
      </w:r>
    </w:p>
    <w:p w14:paraId="58C315FE" w14:textId="77777777" w:rsidR="005061EE" w:rsidRPr="00D858C0" w:rsidRDefault="005061EE" w:rsidP="005061EE">
      <w:pPr>
        <w:tabs>
          <w:tab w:val="left" w:pos="274"/>
          <w:tab w:val="left" w:pos="720"/>
          <w:tab w:val="left" w:pos="806"/>
          <w:tab w:val="left" w:pos="1440"/>
          <w:tab w:val="left" w:pos="180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74"/>
      </w:pPr>
      <w:r w:rsidRPr="00D858C0">
        <w:tab/>
        <w:t>R</w:t>
      </w:r>
      <w:r w:rsidRPr="00D858C0">
        <w:tab/>
        <w:t xml:space="preserve">  =</w:t>
      </w:r>
      <w:r w:rsidRPr="00D858C0">
        <w:tab/>
        <w:t>radial distance from the center of the fire base to the detector (m)</w:t>
      </w:r>
    </w:p>
    <w:p w14:paraId="4F2F9F0B" w14:textId="77777777" w:rsidR="005061EE" w:rsidRPr="00D858C0" w:rsidRDefault="005061EE" w:rsidP="005061EE">
      <w:pPr>
        <w:tabs>
          <w:tab w:val="left" w:pos="274"/>
          <w:tab w:val="left" w:pos="720"/>
          <w:tab w:val="left" w:pos="806"/>
          <w:tab w:val="left" w:pos="1440"/>
          <w:tab w:val="left" w:pos="180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74"/>
      </w:pPr>
      <w:r w:rsidRPr="00D858C0">
        <w:tab/>
        <w:t>H</w:t>
      </w:r>
      <w:r w:rsidRPr="00D858C0">
        <w:tab/>
        <w:t xml:space="preserve">  =</w:t>
      </w:r>
      <w:r w:rsidRPr="00D858C0">
        <w:tab/>
        <w:t>ceiling height above the fire base (m)</w:t>
      </w:r>
    </w:p>
    <w:p w14:paraId="62533D71" w14:textId="77777777" w:rsidR="00625BCB" w:rsidRPr="00D858C0" w:rsidRDefault="005061EE" w:rsidP="00625BCB">
      <w:pPr>
        <w:tabs>
          <w:tab w:val="left" w:pos="274"/>
          <w:tab w:val="left" w:pos="720"/>
          <w:tab w:val="left" w:pos="806"/>
          <w:tab w:val="left" w:pos="1440"/>
          <w:tab w:val="left" w:pos="180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274"/>
        <w:rPr>
          <w:rFonts w:eastAsiaTheme="minorEastAsia"/>
        </w:rPr>
      </w:pPr>
      <w:r w:rsidRPr="00D858C0">
        <w:rPr>
          <w:rFonts w:eastAsiaTheme="minorEastAsia"/>
        </w:rPr>
        <w:tab/>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r>
          <w:rPr>
            <w:rFonts w:ascii="Cambria Math" w:eastAsiaTheme="minorEastAsia" w:hAnsi="Cambria Math"/>
          </w:rPr>
          <m:t xml:space="preserve"> </m:t>
        </m:r>
      </m:oMath>
      <w:r w:rsidR="00625BCB" w:rsidRPr="00D858C0">
        <w:rPr>
          <w:rFonts w:eastAsiaTheme="minorEastAsia"/>
        </w:rPr>
        <w:t>=</w:t>
      </w:r>
      <w:r w:rsidR="00625BCB" w:rsidRPr="00D858C0">
        <w:rPr>
          <w:rFonts w:eastAsiaTheme="minorEastAsia"/>
        </w:rPr>
        <w:tab/>
      </w:r>
      <w:r w:rsidR="00625BCB" w:rsidRPr="00D858C0">
        <w:t>HRR needed to raise the ceiling jet temperature to 10</w:t>
      </w:r>
      <w:r w:rsidR="00625BCB" w:rsidRPr="00D858C0">
        <w:sym w:font="Symbol" w:char="F0B0"/>
      </w:r>
      <w:r w:rsidR="00625BCB" w:rsidRPr="00D858C0">
        <w:t>C above T</w:t>
      </w:r>
      <w:r w:rsidR="00625BCB" w:rsidRPr="00D858C0">
        <w:rPr>
          <w:vertAlign w:val="subscript"/>
        </w:rPr>
        <w:t>a</w:t>
      </w:r>
      <w:r w:rsidR="00625BCB" w:rsidRPr="00D858C0">
        <w:rPr>
          <w:rFonts w:eastAsiaTheme="minorEastAsia"/>
        </w:rPr>
        <w:t xml:space="preserve"> (kW)</w:t>
      </w:r>
    </w:p>
    <w:p w14:paraId="2E691389" w14:textId="77777777" w:rsidR="00625BCB" w:rsidRPr="00D858C0" w:rsidRDefault="00625BCB"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1F2F70" w14:textId="77777777" w:rsidR="00625BCB" w:rsidRPr="00D858C0" w:rsidRDefault="00625BCB"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 smoke detector will never actuate if the peak HRR (HRR</w:t>
      </w:r>
      <w:r w:rsidRPr="00D858C0">
        <w:rPr>
          <w:vertAlign w:val="subscript"/>
        </w:rPr>
        <w:t>peak</w:t>
      </w:r>
      <w:r w:rsidRPr="00D858C0">
        <w:t xml:space="preserve">) of the fire is lower than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If HRR</w:t>
      </w:r>
      <w:r w:rsidRPr="00D858C0">
        <w:rPr>
          <w:vertAlign w:val="subscript"/>
        </w:rPr>
        <w:t>peak</w:t>
      </w:r>
      <w:r w:rsidRPr="00D858C0">
        <w:t xml:space="preserve"> is higher, the time for the ceiling jet temperature to reach 10</w:t>
      </w:r>
      <w:r w:rsidRPr="00D858C0">
        <w:sym w:font="Symbol" w:char="F0B0"/>
      </w:r>
      <w:r w:rsidRPr="00D858C0">
        <w:t>C above ambient, t</w:t>
      </w:r>
      <w:r w:rsidRPr="00D858C0">
        <w:rPr>
          <w:vertAlign w:val="subscript"/>
        </w:rPr>
        <w:sym w:font="Symbol" w:char="F044"/>
      </w:r>
      <w:r w:rsidRPr="00D858C0">
        <w:rPr>
          <w:vertAlign w:val="subscript"/>
        </w:rPr>
        <w:t>T=10</w:t>
      </w:r>
      <w:r w:rsidRPr="00D858C0">
        <w:rPr>
          <w:vertAlign w:val="subscript"/>
        </w:rPr>
        <w:sym w:font="Symbol" w:char="F0B0"/>
      </w:r>
      <w:r w:rsidRPr="00D858C0">
        <w:rPr>
          <w:vertAlign w:val="subscript"/>
        </w:rPr>
        <w:t>C</w:t>
      </w:r>
      <w:r w:rsidRPr="00D858C0">
        <w:t xml:space="preserve">, is equal to the time for the HRR of the fire to reach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Figures H.02 and H.03 in table set H in Attachment 8 to Appendix F give the minimum HRR</w:t>
      </w:r>
      <w:r w:rsidRPr="00D858C0">
        <w:rPr>
          <w:vertAlign w:val="subscript"/>
        </w:rPr>
        <w:t>peak</w:t>
      </w:r>
      <w:r w:rsidRPr="00D858C0">
        <w:t xml:space="preserve"> needed for a smoke detector to actuate, as a function of H and R.  If HRR</w:t>
      </w:r>
      <w:r w:rsidRPr="00D858C0">
        <w:rPr>
          <w:vertAlign w:val="subscript"/>
        </w:rPr>
        <w:t xml:space="preserve">peak </w:t>
      </w:r>
      <w:r w:rsidRPr="00D858C0">
        <w:t>≥</w:t>
      </w:r>
      <w:r w:rsidRPr="00D858C0">
        <w:rPr>
          <w:rFonts w:eastAsiaTheme="minorEastAsia"/>
        </w:rPr>
        <w:t xml:space="preserve">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t</w:t>
      </w:r>
      <w:r w:rsidRPr="00D858C0">
        <w:rPr>
          <w:vertAlign w:val="subscript"/>
        </w:rPr>
        <w:sym w:font="Symbol" w:char="F044"/>
      </w:r>
      <w:r w:rsidRPr="00D858C0">
        <w:rPr>
          <w:vertAlign w:val="subscript"/>
        </w:rPr>
        <w:t>T=10</w:t>
      </w:r>
      <w:r w:rsidRPr="00D858C0">
        <w:rPr>
          <w:vertAlign w:val="subscript"/>
        </w:rPr>
        <w:sym w:font="Symbol" w:char="F0B0"/>
      </w:r>
      <w:r w:rsidRPr="00D858C0">
        <w:rPr>
          <w:vertAlign w:val="subscript"/>
        </w:rPr>
        <w:t>C</w:t>
      </w:r>
      <w:r w:rsidRPr="00D858C0">
        <w:t xml:space="preserve"> can be determined as follows:</w:t>
      </w:r>
    </w:p>
    <w:p w14:paraId="176B85CD" w14:textId="77777777" w:rsidR="00625BCB" w:rsidRPr="00D858C0" w:rsidRDefault="00625BCB"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C6FA02" w14:textId="1EEDD18F" w:rsidR="005061EE" w:rsidRPr="00D858C0" w:rsidRDefault="00240151" w:rsidP="00625BCB">
      <w:pPr>
        <w:tabs>
          <w:tab w:val="left" w:pos="720"/>
          <w:tab w:val="left" w:pos="806"/>
          <w:tab w:val="left" w:pos="1440"/>
          <w:tab w:val="left" w:pos="180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pPr>
      <w:r w:rsidRPr="00D858C0">
        <w:t>For fires that only involve one of the ignition sources listed in Table A5.1 of Attachment 5 to Appendix F, t</w:t>
      </w:r>
      <w:r w:rsidRPr="00D858C0">
        <w:rPr>
          <w:vertAlign w:val="subscript"/>
        </w:rPr>
        <w:t xml:space="preserve"> </w:t>
      </w:r>
      <w:r w:rsidR="005061EE" w:rsidRPr="00D858C0">
        <w:rPr>
          <w:vertAlign w:val="subscript"/>
        </w:rPr>
        <w:sym w:font="Symbol" w:char="F044"/>
      </w:r>
      <w:r w:rsidR="005061EE" w:rsidRPr="00D858C0">
        <w:rPr>
          <w:vertAlign w:val="subscript"/>
        </w:rPr>
        <w:t>T=10</w:t>
      </w:r>
      <w:r w:rsidR="005061EE" w:rsidRPr="00D858C0">
        <w:rPr>
          <w:vertAlign w:val="subscript"/>
        </w:rPr>
        <w:sym w:font="Symbol" w:char="F0B0"/>
      </w:r>
      <w:r w:rsidR="005061EE" w:rsidRPr="00D858C0">
        <w:rPr>
          <w:vertAlign w:val="subscript"/>
        </w:rPr>
        <w:t>C</w:t>
      </w:r>
      <w:r w:rsidR="005061EE" w:rsidRPr="00D858C0">
        <w:t xml:space="preserve"> can be determined from the initial t</w:t>
      </w:r>
      <w:r w:rsidR="005061EE" w:rsidRPr="00D858C0">
        <w:rPr>
          <w:vertAlign w:val="superscript"/>
        </w:rPr>
        <w:t>2</w:t>
      </w:r>
      <w:r w:rsidR="005061EE" w:rsidRPr="00D858C0">
        <w:t xml:space="preserve"> growth stage of the HRR profile.  Figure H.01 in table set H provides tabulated HRRs at specified times for each of these ignition sources.  This figure can be used to determine t</w:t>
      </w:r>
      <w:r w:rsidR="005061EE" w:rsidRPr="00D858C0">
        <w:rPr>
          <w:vertAlign w:val="subscript"/>
        </w:rPr>
        <w:sym w:font="Symbol" w:char="F044"/>
      </w:r>
      <w:r w:rsidR="005061EE" w:rsidRPr="00D858C0">
        <w:rPr>
          <w:vertAlign w:val="subscript"/>
        </w:rPr>
        <w:t>T=10</w:t>
      </w:r>
      <w:r w:rsidR="005061EE" w:rsidRPr="00D858C0">
        <w:rPr>
          <w:vertAlign w:val="subscript"/>
        </w:rPr>
        <w:sym w:font="Symbol" w:char="F0B0"/>
      </w:r>
      <w:r w:rsidR="005061EE" w:rsidRPr="00D858C0">
        <w:rPr>
          <w:vertAlign w:val="subscript"/>
        </w:rPr>
        <w:t>C</w:t>
      </w:r>
      <w:r w:rsidR="005061EE" w:rsidRPr="00D858C0">
        <w:t xml:space="preserve"> as the shortest time at which the HRR of the ignition source is equal to or exceeds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005061EE" w:rsidRPr="00D858C0">
        <w:t>.</w:t>
      </w:r>
    </w:p>
    <w:p w14:paraId="5171E72E" w14:textId="77777777" w:rsidR="005061EE" w:rsidRPr="00D858C0" w:rsidRDefault="005061EE" w:rsidP="005061E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9BEC25B" w14:textId="77777777" w:rsidR="005061EE" w:rsidRPr="00D858C0" w:rsidRDefault="005061EE" w:rsidP="0035366F">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For confined liquid fuel pool fires and unconfined liquid fuel spill fires with a HRR that is equal to or exceeds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t</w:t>
      </w:r>
      <w:r w:rsidRPr="00D858C0">
        <w:rPr>
          <w:vertAlign w:val="subscript"/>
        </w:rPr>
        <w:sym w:font="Symbol" w:char="F044"/>
      </w:r>
      <w:r w:rsidRPr="00D858C0">
        <w:rPr>
          <w:vertAlign w:val="subscript"/>
        </w:rPr>
        <w:t>T=10</w:t>
      </w:r>
      <w:r w:rsidRPr="00D858C0">
        <w:rPr>
          <w:vertAlign w:val="subscript"/>
        </w:rPr>
        <w:sym w:font="Symbol" w:char="F0B0"/>
      </w:r>
      <w:r w:rsidRPr="00D858C0">
        <w:rPr>
          <w:vertAlign w:val="subscript"/>
        </w:rPr>
        <w:t>C</w:t>
      </w:r>
      <w:r w:rsidRPr="00D858C0">
        <w:t xml:space="preserve"> can assumed to be zero.</w:t>
      </w:r>
    </w:p>
    <w:p w14:paraId="25F2AF64" w14:textId="77777777" w:rsidR="005061EE" w:rsidRPr="00D858C0" w:rsidRDefault="005061EE" w:rsidP="0035366F">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contextualSpacing/>
      </w:pPr>
      <w:r w:rsidRPr="00D858C0">
        <w:t xml:space="preserve">For fires that involve secondary combustibles, the tables and plots in set C can be used to determine the time when the HRR reaches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w:t>
      </w:r>
    </w:p>
    <w:p w14:paraId="6A3F6678" w14:textId="77777777" w:rsidR="005061EE" w:rsidRPr="00D858C0" w:rsidRDefault="005061EE" w:rsidP="005061E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4AECF3" w14:textId="557DBD9D"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The lag time for the plume to rise to the ceiling, t</w:t>
      </w:r>
      <w:r w:rsidRPr="00D858C0">
        <w:rPr>
          <w:vertAlign w:val="subscript"/>
        </w:rPr>
        <w:t>pl</w:t>
      </w:r>
      <w:r w:rsidRPr="00D858C0">
        <w:t>, and the lag time for the ceiling jet to travel to the detector, t</w:t>
      </w:r>
      <w:r w:rsidRPr="00D858C0">
        <w:rPr>
          <w:vertAlign w:val="subscript"/>
        </w:rPr>
        <w:t>cj</w:t>
      </w:r>
      <w:r w:rsidRPr="00D858C0">
        <w:t xml:space="preserve">, can be determined from Equations 11-7 and 11-8 in Chapter 11 of </w:t>
      </w:r>
      <w:r w:rsidR="00EC1102" w:rsidRPr="00D858C0">
        <w:t>Reference 10</w:t>
      </w:r>
      <w:r w:rsidRPr="00D858C0">
        <w:t>:</w:t>
      </w:r>
    </w:p>
    <w:p w14:paraId="5E70FA92"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29E337E3" w14:textId="77777777" w:rsidTr="007F24C9">
        <w:tc>
          <w:tcPr>
            <w:tcW w:w="720" w:type="dxa"/>
            <w:vAlign w:val="center"/>
          </w:tcPr>
          <w:p w14:paraId="2F499A24"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35AB2E85"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11-7:</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pl</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w:rPr>
                              <w:rFonts w:ascii="Cambria Math" w:eastAsiaTheme="minorEastAsia" w:hAnsi="Cambria Math"/>
                            </w:rPr>
                            <m:t xml:space="preserve">0.67 </m:t>
                          </m:r>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4/3</m:t>
                              </m:r>
                            </m:sup>
                          </m:sSup>
                        </m:num>
                        <m:den>
                          <m:sSup>
                            <m:sSupPr>
                              <m:ctrlPr>
                                <w:rPr>
                                  <w:rFonts w:ascii="Cambria Math" w:eastAsiaTheme="minorEastAsia" w:hAnsi="Cambria Math"/>
                                </w:rPr>
                              </m:ctrlPr>
                            </m:sSupPr>
                            <m:e>
                              <m:acc>
                                <m:accPr>
                                  <m:chr m:val="̇"/>
                                  <m:ctrlPr>
                                    <w:rPr>
                                      <w:rFonts w:ascii="Cambria Math" w:eastAsiaTheme="minorEastAsia" w:hAnsi="Cambria Math"/>
                                    </w:rPr>
                                  </m:ctrlPr>
                                </m:accPr>
                                <m:e>
                                  <m:r>
                                    <m:rPr>
                                      <m:sty m:val="p"/>
                                    </m:rPr>
                                    <w:rPr>
                                      <w:rFonts w:ascii="Cambria Math" w:eastAsiaTheme="minorEastAsia" w:hAnsi="Cambria Math"/>
                                    </w:rPr>
                                    <m:t>Q</m:t>
                                  </m:r>
                                </m:e>
                              </m:acc>
                            </m:e>
                            <m:sup>
                              <m:r>
                                <m:rPr>
                                  <m:sty m:val="p"/>
                                </m:rPr>
                                <w:rPr>
                                  <w:rFonts w:ascii="Cambria Math" w:eastAsiaTheme="minorEastAsia" w:hAnsi="Cambria Math"/>
                                </w:rPr>
                                <m:t>1/3</m:t>
                              </m:r>
                            </m:sup>
                          </m:sSup>
                        </m:den>
                      </m:f>
                    </m:e>
                  </m:mr>
                </m:m>
              </m:oMath>
            </m:oMathPara>
          </w:p>
        </w:tc>
        <w:tc>
          <w:tcPr>
            <w:tcW w:w="720" w:type="dxa"/>
            <w:vAlign w:val="center"/>
          </w:tcPr>
          <w:p w14:paraId="03247D2F" w14:textId="30EA2629"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(23</w:t>
            </w:r>
            <w:r w:rsidR="005061EE" w:rsidRPr="00D858C0">
              <w:t>)</w:t>
            </w:r>
          </w:p>
        </w:tc>
      </w:tr>
    </w:tbl>
    <w:p w14:paraId="0CE3C1B5"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88AF6C0"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858C0">
        <w:t>and</w:t>
      </w:r>
    </w:p>
    <w:p w14:paraId="2628EDDB"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C426C7C" w14:textId="77777777" w:rsidTr="007F24C9">
        <w:tc>
          <w:tcPr>
            <w:tcW w:w="720" w:type="dxa"/>
            <w:vAlign w:val="center"/>
          </w:tcPr>
          <w:p w14:paraId="0B39B6B0"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40224665"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11-8:</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11/6</m:t>
                              </m:r>
                            </m:sup>
                          </m:sSup>
                        </m:num>
                        <m:den>
                          <m:sSup>
                            <m:sSupPr>
                              <m:ctrlPr>
                                <w:rPr>
                                  <w:rFonts w:ascii="Cambria Math" w:eastAsiaTheme="minorEastAsia" w:hAnsi="Cambria Math"/>
                                </w:rPr>
                              </m:ctrlPr>
                            </m:sSupPr>
                            <m:e>
                              <m:r>
                                <m:rPr>
                                  <m:sty m:val="p"/>
                                </m:rPr>
                                <w:rPr>
                                  <w:rFonts w:ascii="Cambria Math" w:eastAsiaTheme="minorEastAsia" w:hAnsi="Cambria Math"/>
                                </w:rPr>
                                <m:t xml:space="preserve">1.2 </m:t>
                              </m:r>
                              <m:acc>
                                <m:accPr>
                                  <m:chr m:val="̇"/>
                                  <m:ctrlPr>
                                    <w:rPr>
                                      <w:rFonts w:ascii="Cambria Math" w:eastAsiaTheme="minorEastAsia" w:hAnsi="Cambria Math"/>
                                    </w:rPr>
                                  </m:ctrlPr>
                                </m:accPr>
                                <m:e>
                                  <m:r>
                                    <m:rPr>
                                      <m:sty m:val="p"/>
                                    </m:rPr>
                                    <w:rPr>
                                      <w:rFonts w:ascii="Cambria Math" w:eastAsiaTheme="minorEastAsia" w:hAnsi="Cambria Math"/>
                                    </w:rPr>
                                    <m:t>Q</m:t>
                                  </m:r>
                                </m:e>
                              </m:acc>
                            </m:e>
                            <m:sup>
                              <m:r>
                                <m:rPr>
                                  <m:sty m:val="p"/>
                                </m:rPr>
                                <w:rPr>
                                  <w:rFonts w:ascii="Cambria Math" w:eastAsiaTheme="minorEastAsia" w:hAnsi="Cambria Math"/>
                                </w:rPr>
                                <m:t>1/3</m:t>
                              </m:r>
                            </m:sup>
                          </m:sSup>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1/2</m:t>
                              </m:r>
                            </m:sup>
                          </m:sSup>
                        </m:den>
                      </m:f>
                    </m:e>
                  </m:mr>
                </m:m>
              </m:oMath>
            </m:oMathPara>
          </w:p>
        </w:tc>
        <w:tc>
          <w:tcPr>
            <w:tcW w:w="720" w:type="dxa"/>
            <w:vAlign w:val="center"/>
          </w:tcPr>
          <w:p w14:paraId="7DF35CF7" w14:textId="75967E04"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(24</w:t>
            </w:r>
            <w:r w:rsidR="005061EE" w:rsidRPr="00D858C0">
              <w:t>)</w:t>
            </w:r>
          </w:p>
        </w:tc>
      </w:tr>
    </w:tbl>
    <w:p w14:paraId="1B48BB86"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4EBB80" w14:textId="3406918F" w:rsidR="005061EE" w:rsidRPr="00D858C0" w:rsidRDefault="005061EE" w:rsidP="00E36D1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lastRenderedPageBreak/>
        <w:t xml:space="preserve">Finally, the response time of the detector follows from Equations 11-1, 11-4, and 11-5 in Chapter 11 of </w:t>
      </w:r>
      <w:r w:rsidR="00EC1102" w:rsidRPr="00D858C0">
        <w:t>Reference 10</w:t>
      </w:r>
      <w:r w:rsidRPr="00D858C0">
        <w:t>:</w:t>
      </w:r>
    </w:p>
    <w:p w14:paraId="777C03B3" w14:textId="77777777" w:rsidR="005061EE" w:rsidRPr="00D858C0" w:rsidRDefault="005061EE" w:rsidP="00E36D1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F615771" w14:textId="77777777" w:rsidTr="007F24C9">
        <w:tc>
          <w:tcPr>
            <w:tcW w:w="720" w:type="dxa"/>
            <w:vAlign w:val="center"/>
          </w:tcPr>
          <w:p w14:paraId="6BA6E0F0" w14:textId="77777777" w:rsidR="005061EE" w:rsidRPr="00D858C0" w:rsidRDefault="005061EE" w:rsidP="00E36D1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7C103B37" w14:textId="77777777" w:rsidR="005061EE" w:rsidRPr="00D858C0" w:rsidRDefault="00B9252A" w:rsidP="00E36D1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11-1:</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resp</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RTI</m:t>
                          </m:r>
                        </m:num>
                        <m:den>
                          <m:rad>
                            <m:radPr>
                              <m:degHide m:val="1"/>
                              <m:ctrlPr>
                                <w:rPr>
                                  <w:rFonts w:ascii="Cambria Math" w:eastAsiaTheme="minorEastAsia" w:hAnsi="Cambria Math"/>
                                </w:rPr>
                              </m:ctrlPr>
                            </m:radPr>
                            <m:deg/>
                            <m:e>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cj</m:t>
                                  </m:r>
                                </m:sub>
                              </m:sSub>
                            </m:e>
                          </m:rad>
                        </m:den>
                      </m:f>
                      <m:r>
                        <m:rPr>
                          <m:sty m:val="p"/>
                        </m:rPr>
                        <w:rPr>
                          <w:rFonts w:ascii="Cambria Math" w:eastAsiaTheme="minorEastAsia" w:hAnsi="Cambria Math"/>
                        </w:rPr>
                        <m:t xml:space="preserve"> ln</m:t>
                      </m:r>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a</m:t>
                                  </m:r>
                                </m:sub>
                              </m:sSub>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act</m:t>
                                  </m:r>
                                </m:sub>
                              </m:sSub>
                            </m:den>
                          </m:f>
                        </m:e>
                      </m:d>
                    </m:e>
                  </m:mr>
                </m:m>
                <m: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3.466</m:t>
                    </m:r>
                  </m:num>
                  <m:den>
                    <m:rad>
                      <m:radPr>
                        <m:degHide m:val="1"/>
                        <m:ctrlPr>
                          <w:rPr>
                            <w:rFonts w:ascii="Cambria Math" w:eastAsiaTheme="minorEastAsia" w:hAnsi="Cambria Math"/>
                          </w:rPr>
                        </m:ctrlPr>
                      </m:radPr>
                      <m:deg/>
                      <m:e>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cj</m:t>
                            </m:r>
                          </m:sub>
                        </m:sSub>
                      </m:e>
                    </m:rad>
                  </m:den>
                </m:f>
              </m:oMath>
            </m:oMathPara>
          </w:p>
        </w:tc>
        <w:tc>
          <w:tcPr>
            <w:tcW w:w="720" w:type="dxa"/>
            <w:vAlign w:val="center"/>
          </w:tcPr>
          <w:p w14:paraId="15BC99B4" w14:textId="03A2FB5B" w:rsidR="005061EE" w:rsidRPr="00D858C0" w:rsidRDefault="00625BCB" w:rsidP="00E36D1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(25</w:t>
            </w:r>
            <w:r w:rsidR="005061EE" w:rsidRPr="00D858C0">
              <w:t>)</w:t>
            </w:r>
          </w:p>
        </w:tc>
      </w:tr>
    </w:tbl>
    <w:p w14:paraId="54648E13"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0AB4AD7"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858C0">
        <w:t>with</w:t>
      </w:r>
    </w:p>
    <w:p w14:paraId="3662EF13"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4FAD2648" w14:textId="77777777" w:rsidTr="007F24C9">
        <w:tc>
          <w:tcPr>
            <w:tcW w:w="720" w:type="dxa"/>
            <w:vAlign w:val="center"/>
          </w:tcPr>
          <w:p w14:paraId="0C7A84FF"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534CDCFD"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11-4:</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0.96 </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i/>
                                    </w:rPr>
                                  </m:ctrlPr>
                                </m:fPr>
                                <m:num>
                                  <m:acc>
                                    <m:accPr>
                                      <m:chr m:val="̇"/>
                                      <m:ctrlPr>
                                        <w:rPr>
                                          <w:rFonts w:ascii="Cambria Math" w:eastAsiaTheme="minorEastAsia" w:hAnsi="Cambria Math"/>
                                        </w:rPr>
                                      </m:ctrlPr>
                                    </m:accPr>
                                    <m:e>
                                      <m:r>
                                        <m:rPr>
                                          <m:sty m:val="p"/>
                                        </m:rPr>
                                        <w:rPr>
                                          <w:rFonts w:ascii="Cambria Math" w:eastAsiaTheme="minorEastAsia" w:hAnsi="Cambria Math"/>
                                        </w:rPr>
                                        <m:t>Q</m:t>
                                      </m:r>
                                    </m:e>
                                  </m:acc>
                                </m:num>
                                <m:den>
                                  <m:r>
                                    <m:rPr>
                                      <m:sty m:val="p"/>
                                    </m:rPr>
                                    <w:rPr>
                                      <w:rFonts w:ascii="Cambria Math" w:eastAsiaTheme="minorEastAsia" w:hAnsi="Cambria Math"/>
                                    </w:rPr>
                                    <m:t>H</m:t>
                                  </m:r>
                                </m:den>
                              </m:f>
                            </m:e>
                          </m:d>
                        </m:e>
                        <m:sup>
                          <m:r>
                            <w:rPr>
                              <w:rFonts w:ascii="Cambria Math" w:eastAsiaTheme="minorEastAsia" w:hAnsi="Cambria Math"/>
                            </w:rPr>
                            <m:t>1/3</m:t>
                          </m:r>
                        </m:sup>
                      </m:sSup>
                      <m: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d>
                    </m:e>
                  </m:mr>
                </m:m>
              </m:oMath>
            </m:oMathPara>
          </w:p>
        </w:tc>
        <w:tc>
          <w:tcPr>
            <w:tcW w:w="720" w:type="dxa"/>
            <w:vAlign w:val="center"/>
          </w:tcPr>
          <w:p w14:paraId="46C6B226" w14:textId="4B66B11A"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(26</w:t>
            </w:r>
            <w:r w:rsidR="005061EE" w:rsidRPr="00D858C0">
              <w:t>)</w:t>
            </w:r>
          </w:p>
        </w:tc>
      </w:tr>
    </w:tbl>
    <w:p w14:paraId="40A28720"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626B0D7"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858C0">
        <w:t>and</w:t>
      </w:r>
    </w:p>
    <w:p w14:paraId="055AF642"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AA605B4" w14:textId="77777777" w:rsidTr="007F24C9">
        <w:tc>
          <w:tcPr>
            <w:tcW w:w="720" w:type="dxa"/>
            <w:vAlign w:val="center"/>
          </w:tcPr>
          <w:p w14:paraId="0DA606C4"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355E36F0"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11-5:</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 xml:space="preserve">0.195 </m:t>
                          </m:r>
                          <m:sSup>
                            <m:sSupPr>
                              <m:ctrlPr>
                                <w:rPr>
                                  <w:rFonts w:ascii="Cambria Math" w:eastAsiaTheme="minorEastAsia" w:hAnsi="Cambria Math"/>
                                </w:rPr>
                              </m:ctrlPr>
                            </m:sSupPr>
                            <m:e>
                              <m:acc>
                                <m:accPr>
                                  <m:chr m:val="̇"/>
                                  <m:ctrlPr>
                                    <w:rPr>
                                      <w:rFonts w:ascii="Cambria Math" w:eastAsiaTheme="minorEastAsia" w:hAnsi="Cambria Math"/>
                                    </w:rPr>
                                  </m:ctrlPr>
                                </m:accPr>
                                <m:e>
                                  <m:r>
                                    <m:rPr>
                                      <m:sty m:val="p"/>
                                    </m:rPr>
                                    <w:rPr>
                                      <w:rFonts w:ascii="Cambria Math" w:eastAsiaTheme="minorEastAsia" w:hAnsi="Cambria Math"/>
                                    </w:rPr>
                                    <m:t>Q</m:t>
                                  </m:r>
                                </m:e>
                              </m:acc>
                            </m:e>
                            <m:sup>
                              <m:r>
                                <m:rPr>
                                  <m:sty m:val="p"/>
                                </m:rPr>
                                <w:rPr>
                                  <w:rFonts w:ascii="Cambria Math" w:eastAsiaTheme="minorEastAsia" w:hAnsi="Cambria Math"/>
                                </w:rPr>
                                <m:t>1/3</m:t>
                              </m:r>
                            </m:sup>
                          </m:sSup>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1/2</m:t>
                              </m:r>
                            </m:sup>
                          </m:sSup>
                        </m:num>
                        <m:den>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5/6</m:t>
                              </m:r>
                            </m:sup>
                          </m:sSup>
                        </m:den>
                      </m:f>
                      <m:r>
                        <m:rPr>
                          <m:sty m:val="p"/>
                        </m:rP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e>
                      </m:d>
                    </m:e>
                  </m:mr>
                </m:m>
              </m:oMath>
            </m:oMathPara>
          </w:p>
        </w:tc>
        <w:tc>
          <w:tcPr>
            <w:tcW w:w="720" w:type="dxa"/>
            <w:vAlign w:val="center"/>
          </w:tcPr>
          <w:p w14:paraId="7A6E75B1" w14:textId="3138CB9E"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(27</w:t>
            </w:r>
            <w:r w:rsidR="005061EE" w:rsidRPr="00D858C0">
              <w:t>)</w:t>
            </w:r>
          </w:p>
        </w:tc>
      </w:tr>
    </w:tbl>
    <w:p w14:paraId="4E35B4B7"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62A0BA"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where</w:t>
      </w:r>
    </w:p>
    <w:p w14:paraId="2A03DF67" w14:textId="77777777" w:rsidR="005061EE" w:rsidRPr="00D858C0" w:rsidRDefault="005061EE" w:rsidP="005061EE">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ab/>
        <w:t>RTI</w:t>
      </w:r>
      <w:r w:rsidRPr="00D858C0">
        <w:rPr>
          <w:rFonts w:eastAsiaTheme="minorEastAsia"/>
          <w:vertAlign w:val="superscript"/>
        </w:rPr>
        <w:tab/>
      </w:r>
      <w:r w:rsidRPr="00D858C0">
        <w:rPr>
          <w:rFonts w:eastAsiaTheme="minorEastAsia"/>
        </w:rPr>
        <w:t>=</w:t>
      </w:r>
      <w:r w:rsidRPr="00D858C0">
        <w:rPr>
          <w:rFonts w:eastAsiaTheme="minorEastAsia"/>
        </w:rPr>
        <w:tab/>
        <w:t>response time index (m</w:t>
      </w:r>
      <w:r w:rsidRPr="00D858C0">
        <w:rPr>
          <w:rFonts w:eastAsiaTheme="minorEastAsia"/>
          <w:vertAlign w:val="superscript"/>
        </w:rPr>
        <w:t>0.5</w:t>
      </w:r>
      <w:r w:rsidRPr="00D858C0">
        <w:rPr>
          <w:rFonts w:eastAsiaTheme="minorEastAsia"/>
        </w:rPr>
        <w:sym w:font="Symbol" w:char="F0D7"/>
      </w:r>
      <w:r w:rsidRPr="00D858C0">
        <w:rPr>
          <w:rFonts w:eastAsiaTheme="minorEastAsia"/>
        </w:rPr>
        <w:t>s</w:t>
      </w:r>
      <w:r w:rsidRPr="00D858C0">
        <w:rPr>
          <w:rFonts w:eastAsiaTheme="minorEastAsia"/>
          <w:vertAlign w:val="superscript"/>
        </w:rPr>
        <w:t>0.5</w:t>
      </w:r>
      <w:r w:rsidRPr="00D858C0">
        <w:rPr>
          <w:rFonts w:eastAsiaTheme="minorEastAsia"/>
        </w:rPr>
        <w:t>)</w:t>
      </w:r>
    </w:p>
    <w:p w14:paraId="719E44FC" w14:textId="77777777" w:rsidR="005061EE" w:rsidRPr="00D858C0" w:rsidRDefault="005061EE" w:rsidP="005061EE">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u</w:t>
      </w:r>
      <w:r w:rsidRPr="00D858C0">
        <w:rPr>
          <w:vertAlign w:val="subscript"/>
        </w:rPr>
        <w:t>cj</w:t>
      </w:r>
      <w:r w:rsidRPr="00D858C0">
        <w:tab/>
        <w:t>=</w:t>
      </w:r>
      <w:r w:rsidRPr="00D858C0">
        <w:tab/>
        <w:t>ceiling jet velocity (m/s)</w:t>
      </w:r>
    </w:p>
    <w:p w14:paraId="5FC97E31" w14:textId="77777777" w:rsidR="005061EE" w:rsidRPr="00D858C0" w:rsidRDefault="005061EE" w:rsidP="005061EE">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rPr>
          <w:vertAlign w:val="subscript"/>
        </w:rPr>
        <w:t>act</w:t>
      </w:r>
      <w:r w:rsidRPr="00D858C0">
        <w:tab/>
        <w:t>=</w:t>
      </w:r>
      <w:r w:rsidRPr="00D858C0">
        <w:tab/>
        <w:t>activation temperature (</w:t>
      </w:r>
      <w:r w:rsidRPr="00D858C0">
        <w:sym w:font="Symbol" w:char="F0B0"/>
      </w:r>
      <w:r w:rsidRPr="00D858C0">
        <w:t>C)</w:t>
      </w:r>
    </w:p>
    <w:p w14:paraId="4FFB0760"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56C517" w14:textId="53B61261"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Figures H.04 and H.05 in table set H provide the sum of the sum of the plume and ceiling jet lag times and the detector response time for </w:t>
      </w:r>
      <m:oMath>
        <m:acc>
          <m:accPr>
            <m:chr m:val="̇"/>
            <m:ctrlPr>
              <w:rPr>
                <w:rFonts w:ascii="Cambria Math" w:hAnsi="Cambria Math"/>
              </w:rPr>
            </m:ctrlPr>
          </m:accPr>
          <m:e>
            <m:r>
              <m:rPr>
                <m:sty m:val="p"/>
              </m:rPr>
              <w:rPr>
                <w:rFonts w:ascii="Cambria Math" w:hAnsi="Cambria Math"/>
              </w:rPr>
              <m:t>Q</m:t>
            </m:r>
          </m:e>
        </m:acc>
        <m:r>
          <m:rPr>
            <m:sty m:val="p"/>
          </m:rPr>
          <w:rPr>
            <w:rFonts w:ascii="Cambria Math" w:hAnsi="Cambria Math"/>
          </w:rPr>
          <m:t xml:space="preserve">= </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xml:space="preserve"> as a function of H and R.  To develop these tables it was assumed that RTI = 5 </w:t>
      </w:r>
      <w:r w:rsidRPr="00D858C0">
        <w:rPr>
          <w:rFonts w:eastAsiaTheme="minorEastAsia"/>
        </w:rPr>
        <w:t>(m</w:t>
      </w:r>
      <w:r w:rsidRPr="00D858C0">
        <w:rPr>
          <w:rFonts w:eastAsiaTheme="minorEastAsia"/>
        </w:rPr>
        <w:sym w:font="Symbol" w:char="F0D7"/>
      </w:r>
      <w:r w:rsidRPr="00D858C0">
        <w:rPr>
          <w:rFonts w:eastAsiaTheme="minorEastAsia"/>
        </w:rPr>
        <w:t>s)</w:t>
      </w:r>
      <w:r w:rsidRPr="00D858C0">
        <w:rPr>
          <w:rFonts w:eastAsiaTheme="minorEastAsia"/>
          <w:vertAlign w:val="superscript"/>
        </w:rPr>
        <w:t>0.5</w:t>
      </w:r>
      <w:r w:rsidRPr="00D858C0">
        <w:t xml:space="preserve"> and T</w:t>
      </w:r>
      <w:r w:rsidRPr="00D858C0">
        <w:rPr>
          <w:vertAlign w:val="subscript"/>
        </w:rPr>
        <w:t>act</w:t>
      </w:r>
      <w:r w:rsidRPr="00D858C0">
        <w:t xml:space="preserve"> = T</w:t>
      </w:r>
      <w:r w:rsidRPr="00D858C0">
        <w:rPr>
          <w:vertAlign w:val="subscript"/>
        </w:rPr>
        <w:t>a</w:t>
      </w:r>
      <w:r w:rsidRPr="00D858C0">
        <w:t xml:space="preserve"> + 5</w:t>
      </w:r>
      <w:r w:rsidRPr="00D858C0">
        <w:sym w:font="Symbol" w:char="F0B0"/>
      </w:r>
      <w:r w:rsidRPr="00D858C0">
        <w:t>C = 30</w:t>
      </w:r>
      <w:r w:rsidRPr="00D858C0">
        <w:sym w:font="Symbol" w:char="F0B0"/>
      </w:r>
      <w:r w:rsidRPr="00D858C0">
        <w:t>C.  The assumed RTI and T</w:t>
      </w:r>
      <w:r w:rsidRPr="00D858C0">
        <w:rPr>
          <w:vertAlign w:val="subscript"/>
        </w:rPr>
        <w:t>act</w:t>
      </w:r>
      <w:r w:rsidRPr="00D858C0">
        <w:t xml:space="preserve"> values are identical to those that are used in the sample FDT 11 calculations in </w:t>
      </w:r>
      <w:r w:rsidR="00EC1102" w:rsidRPr="00D858C0">
        <w:t>Reference 10</w:t>
      </w:r>
      <w:r w:rsidRPr="00D858C0">
        <w:t>.</w:t>
      </w:r>
    </w:p>
    <w:p w14:paraId="57D3EDAD"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51FC75"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Sprinkler Activation Times for Fixed and Transient Ignition Source Fires</w:t>
      </w:r>
    </w:p>
    <w:p w14:paraId="7C4F02F2"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30F439" w14:textId="37C34388"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Chapter 10 in </w:t>
      </w:r>
      <w:r w:rsidR="00EC1102" w:rsidRPr="00D858C0">
        <w:t>Reference 10</w:t>
      </w:r>
      <w:r w:rsidRPr="00D858C0">
        <w:t xml:space="preserve"> describes only one method for estimating sprinkler activation time, t</w:t>
      </w:r>
      <w:r w:rsidRPr="00D858C0">
        <w:rPr>
          <w:vertAlign w:val="subscript"/>
        </w:rPr>
        <w:t>act</w:t>
      </w:r>
      <w:r w:rsidRPr="00D858C0">
        <w:t>, as a function of ceiling height, H, and radial distance to the sprinkler head, R.  It is very similar to the method of Alpert to estimate smoke detector response discussed above, and like that method, applies to steady fires.  The equations are duplicated below:</w:t>
      </w:r>
    </w:p>
    <w:p w14:paraId="371627B8"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36EBE6B3" w14:textId="77777777" w:rsidTr="007F24C9">
        <w:tc>
          <w:tcPr>
            <w:tcW w:w="720" w:type="dxa"/>
            <w:vAlign w:val="center"/>
          </w:tcPr>
          <w:p w14:paraId="67FE7ECE"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2953912F"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10-2:</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RTI</m:t>
                          </m:r>
                        </m:num>
                        <m:den>
                          <m:rad>
                            <m:radPr>
                              <m:degHide m:val="1"/>
                              <m:ctrlPr>
                                <w:rPr>
                                  <w:rFonts w:ascii="Cambria Math" w:eastAsiaTheme="minorEastAsia" w:hAnsi="Cambria Math"/>
                                </w:rPr>
                              </m:ctrlPr>
                            </m:radPr>
                            <m:deg/>
                            <m:e>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cj</m:t>
                                  </m:r>
                                </m:sub>
                              </m:sSub>
                            </m:e>
                          </m:rad>
                        </m:den>
                      </m:f>
                      <m:r>
                        <m:rPr>
                          <m:sty m:val="p"/>
                        </m:rPr>
                        <w:rPr>
                          <w:rFonts w:ascii="Cambria Math" w:eastAsiaTheme="minorEastAsia" w:hAnsi="Cambria Math"/>
                        </w:rPr>
                        <m:t xml:space="preserve"> ln</m:t>
                      </m:r>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a</m:t>
                                  </m:r>
                                </m:sub>
                              </m:sSub>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act</m:t>
                                  </m:r>
                                </m:sub>
                              </m:sSub>
                            </m:den>
                          </m:f>
                        </m:e>
                      </m:d>
                    </m:e>
                  </m:mr>
                </m:m>
              </m:oMath>
            </m:oMathPara>
          </w:p>
        </w:tc>
        <w:tc>
          <w:tcPr>
            <w:tcW w:w="720" w:type="dxa"/>
            <w:vAlign w:val="center"/>
          </w:tcPr>
          <w:p w14:paraId="05F58494" w14:textId="4DFC5643"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(28</w:t>
            </w:r>
            <w:r w:rsidR="005061EE" w:rsidRPr="00D858C0">
              <w:t>)</w:t>
            </w:r>
          </w:p>
        </w:tc>
      </w:tr>
    </w:tbl>
    <w:p w14:paraId="12FE3F11"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980CC9A" w14:textId="77777777" w:rsidTr="007F24C9">
        <w:tc>
          <w:tcPr>
            <w:tcW w:w="720" w:type="dxa"/>
            <w:vAlign w:val="center"/>
          </w:tcPr>
          <w:p w14:paraId="3EC62114"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51EFD50E"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3"/>
                          <m:mcJc m:val="center"/>
                        </m:mcPr>
                      </m:mc>
                    </m:mcs>
                    <m:ctrlPr>
                      <w:rPr>
                        <w:rFonts w:ascii="Cambria Math" w:hAnsi="Cambria Math"/>
                      </w:rPr>
                    </m:ctrlPr>
                  </m:mPr>
                  <m:mr>
                    <m:e>
                      <m:r>
                        <m:rPr>
                          <m:sty m:val="p"/>
                        </m:rPr>
                        <w:rPr>
                          <w:rFonts w:ascii="Cambria Math" w:hAnsi="Cambria Math"/>
                        </w:rPr>
                        <m:t>Eq. 10-3:</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16.9 </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m:rPr>
                                  <m:sty m:val="p"/>
                                </m:rPr>
                                <w:rPr>
                                  <w:rFonts w:ascii="Cambria Math" w:hAnsi="Cambria Math"/>
                                </w:rPr>
                                <m:t>2/3</m:t>
                              </m:r>
                            </m:sup>
                          </m:sSup>
                        </m:num>
                        <m:den>
                          <m:sSup>
                            <m:sSupPr>
                              <m:ctrlPr>
                                <w:rPr>
                                  <w:rFonts w:ascii="Cambria Math" w:hAnsi="Cambria Math"/>
                                </w:rPr>
                              </m:ctrlPr>
                            </m:sSupPr>
                            <m:e>
                              <m:r>
                                <m:rPr>
                                  <m:sty m:val="p"/>
                                </m:rPr>
                                <w:rPr>
                                  <w:rFonts w:ascii="Cambria Math" w:hAnsi="Cambria Math"/>
                                </w:rPr>
                                <m:t>H</m:t>
                              </m:r>
                            </m:e>
                            <m:sup>
                              <m:r>
                                <m:rPr>
                                  <m:sty m:val="p"/>
                                </m:rPr>
                                <w:rPr>
                                  <w:rFonts w:ascii="Cambria Math" w:hAnsi="Cambria Math"/>
                                </w:rPr>
                                <m:t>5/3</m:t>
                              </m:r>
                            </m:sup>
                          </m:sSup>
                        </m:den>
                      </m:f>
                    </m:e>
                    <m:e>
                      <m:r>
                        <m:rPr>
                          <m:sty m:val="p"/>
                        </m:rPr>
                        <w:rPr>
                          <w:rFonts w:ascii="Cambria Math"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d>
                    </m:e>
                  </m:mr>
                </m:m>
              </m:oMath>
            </m:oMathPara>
          </w:p>
        </w:tc>
        <w:tc>
          <w:tcPr>
            <w:tcW w:w="720" w:type="dxa"/>
            <w:vAlign w:val="center"/>
          </w:tcPr>
          <w:p w14:paraId="78CD5D4A" w14:textId="6CD25B0E"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(29</w:t>
            </w:r>
            <w:r w:rsidR="005061EE" w:rsidRPr="00D858C0">
              <w:t>)</w:t>
            </w:r>
          </w:p>
        </w:tc>
      </w:tr>
    </w:tbl>
    <w:p w14:paraId="5D361F5D"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6540D3A7" w14:textId="77777777" w:rsidTr="007F24C9">
        <w:tc>
          <w:tcPr>
            <w:tcW w:w="720" w:type="dxa"/>
            <w:vAlign w:val="center"/>
          </w:tcPr>
          <w:p w14:paraId="005E1086"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33ACA113"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3"/>
                          <m:mcJc m:val="center"/>
                        </m:mcPr>
                      </m:mc>
                    </m:mcs>
                    <m:ctrlPr>
                      <w:rPr>
                        <w:rFonts w:ascii="Cambria Math" w:hAnsi="Cambria Math"/>
                      </w:rPr>
                    </m:ctrlPr>
                  </m:mPr>
                  <m:mr>
                    <m:e>
                      <m:r>
                        <m:rPr>
                          <m:sty m:val="p"/>
                        </m:rPr>
                        <w:rPr>
                          <w:rFonts w:ascii="Cambria Math" w:hAnsi="Cambria Math"/>
                        </w:rPr>
                        <m:t>Eq. 10-4:</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5.38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acc>
                                        <m:accPr>
                                          <m:chr m:val="̇"/>
                                          <m:ctrlPr>
                                            <w:rPr>
                                              <w:rFonts w:ascii="Cambria Math" w:hAnsi="Cambria Math"/>
                                            </w:rPr>
                                          </m:ctrlPr>
                                        </m:accPr>
                                        <m:e>
                                          <m:r>
                                            <m:rPr>
                                              <m:sty m:val="p"/>
                                            </m:rPr>
                                            <w:rPr>
                                              <w:rFonts w:ascii="Cambria Math" w:hAnsi="Cambria Math"/>
                                            </w:rPr>
                                            <m:t>Q</m:t>
                                          </m:r>
                                        </m:e>
                                      </m:acc>
                                    </m:num>
                                    <m:den>
                                      <m:r>
                                        <m:rPr>
                                          <m:sty m:val="p"/>
                                        </m:rPr>
                                        <w:rPr>
                                          <w:rFonts w:ascii="Cambria Math" w:hAnsi="Cambria Math"/>
                                        </w:rPr>
                                        <m:t>R</m:t>
                                      </m:r>
                                    </m:den>
                                  </m:f>
                                </m:e>
                              </m:d>
                            </m:e>
                            <m:sup>
                              <m:r>
                                <m:rPr>
                                  <m:sty m:val="p"/>
                                </m:rPr>
                                <w:rPr>
                                  <w:rFonts w:ascii="Cambria Math" w:hAnsi="Cambria Math"/>
                                </w:rPr>
                                <m:t>2/3</m:t>
                              </m:r>
                            </m:sup>
                          </m:sSup>
                        </m:num>
                        <m:den>
                          <m:r>
                            <m:rPr>
                              <m:sty m:val="p"/>
                            </m:rPr>
                            <w:rPr>
                              <w:rFonts w:ascii="Cambria Math" w:hAnsi="Cambria Math"/>
                            </w:rPr>
                            <m:t>H</m:t>
                          </m:r>
                        </m:den>
                      </m:f>
                    </m:e>
                    <m:e>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e>
                      </m:d>
                    </m:e>
                  </m:mr>
                </m:m>
              </m:oMath>
            </m:oMathPara>
          </w:p>
        </w:tc>
        <w:tc>
          <w:tcPr>
            <w:tcW w:w="720" w:type="dxa"/>
            <w:vAlign w:val="center"/>
          </w:tcPr>
          <w:p w14:paraId="00AC18D2" w14:textId="394BBB56"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(30</w:t>
            </w:r>
            <w:r w:rsidR="005061EE" w:rsidRPr="00D858C0">
              <w:t>)</w:t>
            </w:r>
          </w:p>
        </w:tc>
      </w:tr>
    </w:tbl>
    <w:p w14:paraId="0304A3AF"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0316F7E6" w14:textId="77777777" w:rsidTr="007F24C9">
        <w:tc>
          <w:tcPr>
            <w:tcW w:w="720" w:type="dxa"/>
            <w:vAlign w:val="center"/>
          </w:tcPr>
          <w:p w14:paraId="640832BC"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298F3F0D"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10-5:</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0.96 </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acc>
                                    <m:accPr>
                                      <m:chr m:val="̇"/>
                                      <m:ctrlPr>
                                        <w:rPr>
                                          <w:rFonts w:ascii="Cambria Math" w:eastAsiaTheme="minorEastAsia" w:hAnsi="Cambria Math"/>
                                        </w:rPr>
                                      </m:ctrlPr>
                                    </m:accPr>
                                    <m:e>
                                      <m:r>
                                        <m:rPr>
                                          <m:sty m:val="p"/>
                                        </m:rPr>
                                        <w:rPr>
                                          <w:rFonts w:ascii="Cambria Math" w:eastAsiaTheme="minorEastAsia" w:hAnsi="Cambria Math"/>
                                        </w:rPr>
                                        <m:t>Q</m:t>
                                      </m:r>
                                    </m:e>
                                  </m:acc>
                                </m:num>
                                <m:den>
                                  <m:r>
                                    <m:rPr>
                                      <m:sty m:val="p"/>
                                    </m:rPr>
                                    <w:rPr>
                                      <w:rFonts w:ascii="Cambria Math" w:eastAsiaTheme="minorEastAsia" w:hAnsi="Cambria Math"/>
                                    </w:rPr>
                                    <m:t>H</m:t>
                                  </m:r>
                                </m:den>
                              </m:f>
                            </m:e>
                          </m:d>
                        </m:e>
                        <m:sup>
                          <m:r>
                            <m:rPr>
                              <m:sty m:val="p"/>
                            </m:rPr>
                            <w:rPr>
                              <w:rFonts w:ascii="Cambria Math" w:eastAsiaTheme="minorEastAsia" w:hAnsi="Cambria Math"/>
                            </w:rPr>
                            <m:t>1/3</m:t>
                          </m:r>
                        </m:sup>
                      </m:sSup>
                      <m:r>
                        <m:rPr>
                          <m:sty m:val="p"/>
                        </m:rP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d>
                    </m:e>
                  </m:mr>
                </m:m>
              </m:oMath>
            </m:oMathPara>
          </w:p>
        </w:tc>
        <w:tc>
          <w:tcPr>
            <w:tcW w:w="720" w:type="dxa"/>
            <w:vAlign w:val="center"/>
          </w:tcPr>
          <w:p w14:paraId="77729DA7" w14:textId="2B48B55B"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(31</w:t>
            </w:r>
            <w:r w:rsidR="005061EE" w:rsidRPr="00D858C0">
              <w:t>)</w:t>
            </w:r>
          </w:p>
        </w:tc>
      </w:tr>
    </w:tbl>
    <w:p w14:paraId="2330D925"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0728D4"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and</w:t>
      </w:r>
    </w:p>
    <w:p w14:paraId="41B602F7"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99EEA7B" w14:textId="77777777" w:rsidTr="007F24C9">
        <w:tc>
          <w:tcPr>
            <w:tcW w:w="720" w:type="dxa"/>
            <w:vAlign w:val="center"/>
          </w:tcPr>
          <w:p w14:paraId="7E9C8F2D"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572D9C32"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10-6:</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 xml:space="preserve">0.195 </m:t>
                          </m:r>
                          <m:sSup>
                            <m:sSupPr>
                              <m:ctrlPr>
                                <w:rPr>
                                  <w:rFonts w:ascii="Cambria Math" w:eastAsiaTheme="minorEastAsia" w:hAnsi="Cambria Math"/>
                                </w:rPr>
                              </m:ctrlPr>
                            </m:sSupPr>
                            <m:e>
                              <m:acc>
                                <m:accPr>
                                  <m:chr m:val="̇"/>
                                  <m:ctrlPr>
                                    <w:rPr>
                                      <w:rFonts w:ascii="Cambria Math" w:eastAsiaTheme="minorEastAsia" w:hAnsi="Cambria Math"/>
                                    </w:rPr>
                                  </m:ctrlPr>
                                </m:accPr>
                                <m:e>
                                  <m:r>
                                    <m:rPr>
                                      <m:sty m:val="p"/>
                                    </m:rPr>
                                    <w:rPr>
                                      <w:rFonts w:ascii="Cambria Math" w:eastAsiaTheme="minorEastAsia" w:hAnsi="Cambria Math"/>
                                    </w:rPr>
                                    <m:t>Q</m:t>
                                  </m:r>
                                </m:e>
                              </m:acc>
                            </m:e>
                            <m:sup>
                              <m:r>
                                <m:rPr>
                                  <m:sty m:val="p"/>
                                </m:rPr>
                                <w:rPr>
                                  <w:rFonts w:ascii="Cambria Math" w:eastAsiaTheme="minorEastAsia" w:hAnsi="Cambria Math"/>
                                </w:rPr>
                                <m:t>1/3</m:t>
                              </m:r>
                            </m:sup>
                          </m:sSup>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1/2</m:t>
                              </m:r>
                            </m:sup>
                          </m:sSup>
                        </m:num>
                        <m:den>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5/6</m:t>
                              </m:r>
                            </m:sup>
                          </m:sSup>
                        </m:den>
                      </m:f>
                      <m:r>
                        <m:rPr>
                          <m:sty m:val="p"/>
                        </m:rP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e>
                      </m:d>
                    </m:e>
                  </m:mr>
                </m:m>
              </m:oMath>
            </m:oMathPara>
          </w:p>
        </w:tc>
        <w:tc>
          <w:tcPr>
            <w:tcW w:w="720" w:type="dxa"/>
            <w:vAlign w:val="center"/>
          </w:tcPr>
          <w:p w14:paraId="0BCE04E8" w14:textId="15B14441" w:rsidR="005061EE" w:rsidRPr="00D858C0" w:rsidRDefault="00625BCB"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(32</w:t>
            </w:r>
            <w:r w:rsidR="005061EE" w:rsidRPr="00D858C0">
              <w:t>)</w:t>
            </w:r>
          </w:p>
        </w:tc>
      </w:tr>
    </w:tbl>
    <w:p w14:paraId="60966558"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BADA22" w14:textId="3D90CF5C"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Actual fires are not steady and, strictly speaking, Equations 2</w:t>
      </w:r>
      <w:r w:rsidR="00240151" w:rsidRPr="00D858C0">
        <w:t>8</w:t>
      </w:r>
      <w:r w:rsidRPr="00D858C0">
        <w:t>-3</w:t>
      </w:r>
      <w:r w:rsidR="00240151" w:rsidRPr="00D858C0">
        <w:t>2</w:t>
      </w:r>
      <w:r w:rsidRPr="00D858C0">
        <w:t xml:space="preserve"> do not apply.  A modified version of Alpert’s method, referred to as DETACT-QS, was therefore used to calculate sprinkler activation time for each of the ignition sources listed in Table A5.1 of Attachment 5 to Appendix F as a function of H and R.  The results of these calculations are presented in Figures H-6 through H-17 of table set H.  The modified method was originally developed at NIST, and is described and validated in </w:t>
      </w:r>
      <w:r w:rsidR="003762CF" w:rsidRPr="00D858C0">
        <w:t>Reference 40</w:t>
      </w:r>
      <w:r w:rsidRPr="00D858C0">
        <w:t>.  The equations are as follows:</w:t>
      </w:r>
    </w:p>
    <w:p w14:paraId="0F4EF2D1"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1E162989" w14:textId="77777777" w:rsidTr="007F24C9">
        <w:tc>
          <w:tcPr>
            <w:tcW w:w="720" w:type="dxa"/>
            <w:vAlign w:val="center"/>
          </w:tcPr>
          <w:p w14:paraId="62C5F2B2"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5EFC8E66"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center"/>
              </m:oMathParaP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link</m:t>
                        </m:r>
                      </m:sub>
                    </m:sSub>
                    <m:d>
                      <m:dPr>
                        <m:ctrlPr>
                          <w:rPr>
                            <w:rFonts w:ascii="Cambria Math" w:hAnsi="Cambria Math"/>
                          </w:rPr>
                        </m:ctrlPr>
                      </m:dPr>
                      <m:e>
                        <m:r>
                          <m:rPr>
                            <m:sty m:val="p"/>
                          </m:rPr>
                          <w:rPr>
                            <w:rFonts w:ascii="Cambria Math" w:hAnsi="Cambria Math"/>
                          </w:rPr>
                          <m:t>t</m:t>
                        </m:r>
                      </m:e>
                    </m:d>
                  </m:num>
                  <m:den>
                    <m:r>
                      <m:rPr>
                        <m:sty m:val="p"/>
                      </m:rPr>
                      <w:rPr>
                        <w:rFonts w:ascii="Cambria Math" w:hAnsi="Cambria Math"/>
                      </w:rPr>
                      <m:t>dt</m:t>
                    </m:r>
                  </m:den>
                </m:f>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ad>
                      <m:radPr>
                        <m:degHide m:val="1"/>
                        <m:ctrlPr>
                          <w:rPr>
                            <w:rFonts w:ascii="Cambria Math" w:eastAsiaTheme="minorEastAsia" w:hAnsi="Cambria Math"/>
                          </w:rPr>
                        </m:ctrlPr>
                      </m:radPr>
                      <m:deg/>
                      <m:e>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cj</m:t>
                            </m:r>
                          </m:sub>
                        </m:sSub>
                        <m:d>
                          <m:dPr>
                            <m:ctrlPr>
                              <w:rPr>
                                <w:rFonts w:ascii="Cambria Math" w:eastAsiaTheme="minorEastAsia" w:hAnsi="Cambria Math"/>
                              </w:rPr>
                            </m:ctrlPr>
                          </m:dPr>
                          <m:e>
                            <m:r>
                              <m:rPr>
                                <m:sty m:val="p"/>
                              </m:rPr>
                              <w:rPr>
                                <w:rFonts w:ascii="Cambria Math" w:eastAsiaTheme="minorEastAsia" w:hAnsi="Cambria Math"/>
                              </w:rPr>
                              <m:t>t</m:t>
                            </m:r>
                          </m:e>
                        </m:d>
                      </m:e>
                    </m:rad>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link</m:t>
                            </m:r>
                          </m:sub>
                        </m:sSub>
                        <m:d>
                          <m:dPr>
                            <m:ctrlPr>
                              <w:rPr>
                                <w:rFonts w:ascii="Cambria Math" w:eastAsiaTheme="minorEastAsia" w:hAnsi="Cambria Math"/>
                              </w:rPr>
                            </m:ctrlPr>
                          </m:dPr>
                          <m:e>
                            <m:r>
                              <m:rPr>
                                <m:sty m:val="p"/>
                              </m:rPr>
                              <w:rPr>
                                <w:rFonts w:ascii="Cambria Math" w:eastAsiaTheme="minorEastAsia" w:hAnsi="Cambria Math"/>
                              </w:rPr>
                              <m:t>t</m:t>
                            </m:r>
                          </m:e>
                        </m:d>
                      </m:e>
                    </m:d>
                  </m:num>
                  <m:den>
                    <m:r>
                      <m:rPr>
                        <m:sty m:val="p"/>
                      </m:rPr>
                      <w:rPr>
                        <w:rFonts w:ascii="Cambria Math" w:eastAsiaTheme="minorEastAsia" w:hAnsi="Cambria Math"/>
                      </w:rPr>
                      <m:t>RTI</m:t>
                    </m:r>
                  </m:den>
                </m:f>
                <m:r>
                  <m:rPr>
                    <m:sty m:val="p"/>
                  </m:rPr>
                  <w:rPr>
                    <w:rFonts w:ascii="Cambria Math" w:eastAsiaTheme="minorEastAsia" w:hAnsi="Cambria Math"/>
                  </w:rPr>
                  <m:t xml:space="preserve"> </m:t>
                </m:r>
              </m:oMath>
            </m:oMathPara>
          </w:p>
        </w:tc>
        <w:tc>
          <w:tcPr>
            <w:tcW w:w="720" w:type="dxa"/>
            <w:vAlign w:val="center"/>
          </w:tcPr>
          <w:p w14:paraId="19EFC2F0" w14:textId="27A78E43" w:rsidR="005061EE" w:rsidRPr="00D858C0" w:rsidRDefault="005061EE"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(3</w:t>
            </w:r>
            <w:r w:rsidR="00625BCB" w:rsidRPr="00D858C0">
              <w:t>3</w:t>
            </w:r>
            <w:r w:rsidRPr="00D858C0">
              <w:t>)</w:t>
            </w:r>
          </w:p>
        </w:tc>
      </w:tr>
    </w:tbl>
    <w:p w14:paraId="53443706"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AFFBB3D"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858C0">
        <w:t>with</w:t>
      </w:r>
    </w:p>
    <w:p w14:paraId="3FBF201A"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4858DDA1" w14:textId="77777777" w:rsidTr="007F24C9">
        <w:tc>
          <w:tcPr>
            <w:tcW w:w="720" w:type="dxa"/>
            <w:vAlign w:val="center"/>
          </w:tcPr>
          <w:p w14:paraId="223F528C"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724E9B2D"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center"/>
              </m:oMathPara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d>
                  <m:dPr>
                    <m:ctrlPr>
                      <w:rPr>
                        <w:rFonts w:ascii="Cambria Math" w:hAnsi="Cambria Math"/>
                      </w:rPr>
                    </m:ctrlPr>
                  </m:dPr>
                  <m:e>
                    <m:r>
                      <m:rPr>
                        <m:sty m:val="p"/>
                      </m:rPr>
                      <w:rPr>
                        <w:rFonts w:ascii="Cambria Math" w:hAnsi="Cambria Math"/>
                      </w:rPr>
                      <m:t>t</m:t>
                    </m: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16.9 </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d>
                                  <m:dPr>
                                    <m:ctrlPr>
                                      <w:rPr>
                                        <w:rFonts w:ascii="Cambria Math" w:hAnsi="Cambria Math"/>
                                      </w:rPr>
                                    </m:ctrlPr>
                                  </m:dPr>
                                  <m:e>
                                    <m:r>
                                      <m:rPr>
                                        <m:sty m:val="p"/>
                                      </m:rPr>
                                      <w:rPr>
                                        <w:rFonts w:ascii="Cambria Math" w:hAnsi="Cambria Math"/>
                                      </w:rPr>
                                      <m:t>t</m:t>
                                    </m:r>
                                  </m:e>
                                </m:d>
                              </m:e>
                              <m:sup>
                                <m:r>
                                  <m:rPr>
                                    <m:sty m:val="p"/>
                                  </m:rPr>
                                  <w:rPr>
                                    <w:rFonts w:ascii="Cambria Math" w:hAnsi="Cambria Math"/>
                                  </w:rPr>
                                  <m:t>2/3</m:t>
                                </m:r>
                              </m:sup>
                            </m:sSup>
                          </m:num>
                          <m:den>
                            <m:sSup>
                              <m:sSupPr>
                                <m:ctrlPr>
                                  <w:rPr>
                                    <w:rFonts w:ascii="Cambria Math" w:hAnsi="Cambria Math"/>
                                  </w:rPr>
                                </m:ctrlPr>
                              </m:sSupPr>
                              <m:e>
                                <m:r>
                                  <m:rPr>
                                    <m:sty m:val="p"/>
                                  </m:rPr>
                                  <w:rPr>
                                    <w:rFonts w:ascii="Cambria Math" w:hAnsi="Cambria Math"/>
                                  </w:rPr>
                                  <m:t>H</m:t>
                                </m:r>
                              </m:e>
                              <m:sup>
                                <m:r>
                                  <m:rPr>
                                    <m:sty m:val="p"/>
                                  </m:rPr>
                                  <w:rPr>
                                    <w:rFonts w:ascii="Cambria Math" w:hAnsi="Cambria Math"/>
                                  </w:rPr>
                                  <m:t>5/3</m:t>
                                </m:r>
                              </m:sup>
                            </m:sSup>
                          </m:den>
                        </m:f>
                        <m:r>
                          <m:rPr>
                            <m:sty m:val="p"/>
                          </m:rPr>
                          <w:rPr>
                            <w:rFonts w:ascii="Cambria Math" w:hAnsi="Cambria Math"/>
                          </w:rPr>
                          <m:t xml:space="preserve">         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r>
                          <m:rPr>
                            <m:sty m:val="p"/>
                          </m:rPr>
                          <w:rPr>
                            <w:rFonts w:ascii="Cambria Math" w:eastAsiaTheme="minorEastAsia" w:hAnsi="Cambria Math"/>
                          </w:rPr>
                          <m:t xml:space="preserve"> </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5.38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acc>
                                          <m:accPr>
                                            <m:chr m:val="̇"/>
                                            <m:ctrlPr>
                                              <w:rPr>
                                                <w:rFonts w:ascii="Cambria Math" w:hAnsi="Cambria Math"/>
                                              </w:rPr>
                                            </m:ctrlPr>
                                          </m:accPr>
                                          <m:e>
                                            <m:r>
                                              <m:rPr>
                                                <m:sty m:val="p"/>
                                              </m:rPr>
                                              <w:rPr>
                                                <w:rFonts w:ascii="Cambria Math" w:hAnsi="Cambria Math"/>
                                              </w:rPr>
                                              <m:t>Q</m:t>
                                            </m:r>
                                          </m:e>
                                        </m:acc>
                                        <m:d>
                                          <m:dPr>
                                            <m:ctrlPr>
                                              <w:rPr>
                                                <w:rFonts w:ascii="Cambria Math" w:hAnsi="Cambria Math"/>
                                              </w:rPr>
                                            </m:ctrlPr>
                                          </m:dPr>
                                          <m:e>
                                            <m:r>
                                              <m:rPr>
                                                <m:sty m:val="p"/>
                                              </m:rPr>
                                              <w:rPr>
                                                <w:rFonts w:ascii="Cambria Math" w:hAnsi="Cambria Math"/>
                                              </w:rPr>
                                              <m:t>t</m:t>
                                            </m:r>
                                          </m:e>
                                        </m:d>
                                      </m:num>
                                      <m:den>
                                        <m:r>
                                          <m:rPr>
                                            <m:sty m:val="p"/>
                                          </m:rPr>
                                          <w:rPr>
                                            <w:rFonts w:ascii="Cambria Math" w:hAnsi="Cambria Math"/>
                                          </w:rPr>
                                          <m:t>R</m:t>
                                        </m:r>
                                      </m:den>
                                    </m:f>
                                  </m:e>
                                </m:d>
                              </m:e>
                              <m:sup>
                                <m:r>
                                  <m:rPr>
                                    <m:sty m:val="p"/>
                                  </m:rPr>
                                  <w:rPr>
                                    <w:rFonts w:ascii="Cambria Math" w:hAnsi="Cambria Math"/>
                                  </w:rPr>
                                  <m:t>2/3</m:t>
                                </m:r>
                              </m:sup>
                            </m:sSup>
                          </m:num>
                          <m:den>
                            <m:r>
                              <m:rPr>
                                <m:sty m:val="p"/>
                              </m:rPr>
                              <w:rPr>
                                <w:rFonts w:ascii="Cambria Math" w:hAnsi="Cambria Math"/>
                              </w:rPr>
                              <m:t>H</m:t>
                            </m:r>
                          </m:den>
                        </m:f>
                        <m:r>
                          <m:rPr>
                            <m:sty m:val="p"/>
                          </m:rPr>
                          <w:rPr>
                            <w:rFonts w:ascii="Cambria Math" w:eastAsiaTheme="minorEastAsia" w:hAnsi="Cambria Math"/>
                          </w:rPr>
                          <m:t xml:space="preserve">   </m:t>
                        </m:r>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r>
                          <m:rPr>
                            <m:sty m:val="p"/>
                          </m:rPr>
                          <w:rPr>
                            <w:rFonts w:ascii="Cambria Math" w:eastAsiaTheme="minorEastAsia" w:hAnsi="Cambria Math"/>
                          </w:rPr>
                          <m:t xml:space="preserve"> </m:t>
                        </m:r>
                      </m:e>
                    </m:eqArr>
                  </m:e>
                </m:d>
              </m:oMath>
            </m:oMathPara>
          </w:p>
        </w:tc>
        <w:tc>
          <w:tcPr>
            <w:tcW w:w="720" w:type="dxa"/>
            <w:vAlign w:val="center"/>
          </w:tcPr>
          <w:p w14:paraId="4CA3F0C7" w14:textId="48D87734" w:rsidR="005061EE" w:rsidRPr="00D858C0" w:rsidRDefault="005061EE"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(3</w:t>
            </w:r>
            <w:r w:rsidR="00625BCB" w:rsidRPr="00D858C0">
              <w:t>4</w:t>
            </w:r>
            <w:r w:rsidRPr="00D858C0">
              <w:t>)</w:t>
            </w:r>
          </w:p>
        </w:tc>
      </w:tr>
    </w:tbl>
    <w:p w14:paraId="143B5371"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42FCC362"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858C0">
        <w:t>and</w:t>
      </w:r>
    </w:p>
    <w:p w14:paraId="75E05C51"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03A8A68E" w14:textId="77777777" w:rsidTr="007F24C9">
        <w:tc>
          <w:tcPr>
            <w:tcW w:w="720" w:type="dxa"/>
            <w:vAlign w:val="center"/>
          </w:tcPr>
          <w:p w14:paraId="3B4287D6"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0261F2B0" w14:textId="77777777" w:rsidR="005061EE" w:rsidRPr="00D858C0" w:rsidRDefault="00B9252A"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center"/>
              </m:oMathParaP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 xml:space="preserve">= </m:t>
                </m:r>
                <m:d>
                  <m:dPr>
                    <m:begChr m:val="{"/>
                    <m:endChr m:val=""/>
                    <m:ctrlPr>
                      <w:rPr>
                        <w:rFonts w:ascii="Cambria Math" w:eastAsiaTheme="minorEastAsia" w:hAnsi="Cambria Math"/>
                      </w:rPr>
                    </m:ctrlPr>
                  </m:dPr>
                  <m:e>
                    <m:eqArr>
                      <m:eqArrPr>
                        <m:ctrlPr>
                          <w:rPr>
                            <w:rFonts w:ascii="Cambria Math" w:eastAsiaTheme="minorEastAsia" w:hAnsi="Cambria Math"/>
                          </w:rPr>
                        </m:ctrlPr>
                      </m:eqArrPr>
                      <m:e>
                        <m:r>
                          <m:rPr>
                            <m:sty m:val="p"/>
                          </m:rPr>
                          <w:rPr>
                            <w:rFonts w:ascii="Cambria Math" w:eastAsiaTheme="minorEastAsia" w:hAnsi="Cambria Math"/>
                          </w:rPr>
                          <m:t xml:space="preserve">0.96 </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acc>
                                      <m:accPr>
                                        <m:chr m:val="̇"/>
                                        <m:ctrlPr>
                                          <w:rPr>
                                            <w:rFonts w:ascii="Cambria Math" w:eastAsiaTheme="minorEastAsia" w:hAnsi="Cambria Math"/>
                                          </w:rPr>
                                        </m:ctrlPr>
                                      </m:accPr>
                                      <m:e>
                                        <m:r>
                                          <m:rPr>
                                            <m:sty m:val="p"/>
                                          </m:rPr>
                                          <w:rPr>
                                            <w:rFonts w:ascii="Cambria Math" w:eastAsiaTheme="minorEastAsia" w:hAnsi="Cambria Math"/>
                                          </w:rPr>
                                          <m:t>Q</m:t>
                                        </m:r>
                                      </m:e>
                                    </m:acc>
                                    <m:d>
                                      <m:dPr>
                                        <m:ctrlPr>
                                          <w:rPr>
                                            <w:rFonts w:ascii="Cambria Math" w:eastAsiaTheme="minorEastAsia" w:hAnsi="Cambria Math"/>
                                          </w:rPr>
                                        </m:ctrlPr>
                                      </m:dPr>
                                      <m:e>
                                        <m:r>
                                          <m:rPr>
                                            <m:sty m:val="p"/>
                                          </m:rPr>
                                          <w:rPr>
                                            <w:rFonts w:ascii="Cambria Math" w:eastAsiaTheme="minorEastAsia" w:hAnsi="Cambria Math"/>
                                          </w:rPr>
                                          <m:t>t</m:t>
                                        </m:r>
                                      </m:e>
                                    </m:d>
                                  </m:num>
                                  <m:den>
                                    <m:r>
                                      <m:rPr>
                                        <m:sty m:val="p"/>
                                      </m:rPr>
                                      <w:rPr>
                                        <w:rFonts w:ascii="Cambria Math" w:eastAsiaTheme="minorEastAsia" w:hAnsi="Cambria Math"/>
                                      </w:rPr>
                                      <m:t>H</m:t>
                                    </m:r>
                                  </m:den>
                                </m:f>
                              </m:e>
                            </m:d>
                          </m:e>
                          <m:sup>
                            <m:r>
                              <m:rPr>
                                <m:sty m:val="p"/>
                              </m:rPr>
                              <w:rPr>
                                <w:rFonts w:ascii="Cambria Math" w:eastAsiaTheme="minorEastAsia" w:hAnsi="Cambria Math"/>
                              </w:rPr>
                              <m:t>1/3</m:t>
                            </m:r>
                          </m:sup>
                        </m:sSup>
                        <m:r>
                          <m:rPr>
                            <m:sty m:val="p"/>
                          </m:rPr>
                          <w:rPr>
                            <w:rFonts w:ascii="Cambria Math" w:eastAsiaTheme="minorEastAsia" w:hAnsi="Cambria Math"/>
                          </w:rPr>
                          <m:t xml:space="preserve">        </m:t>
                        </m:r>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e>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 xml:space="preserve">0.195 </m:t>
                            </m:r>
                            <m:sSup>
                              <m:sSupPr>
                                <m:ctrlPr>
                                  <w:rPr>
                                    <w:rFonts w:ascii="Cambria Math" w:eastAsiaTheme="minorEastAsia" w:hAnsi="Cambria Math"/>
                                  </w:rPr>
                                </m:ctrlPr>
                              </m:sSupPr>
                              <m:e>
                                <m:acc>
                                  <m:accPr>
                                    <m:chr m:val="̇"/>
                                    <m:ctrlPr>
                                      <w:rPr>
                                        <w:rFonts w:ascii="Cambria Math" w:eastAsiaTheme="minorEastAsia" w:hAnsi="Cambria Math"/>
                                      </w:rPr>
                                    </m:ctrlPr>
                                  </m:accPr>
                                  <m:e>
                                    <m:r>
                                      <m:rPr>
                                        <m:sty m:val="p"/>
                                      </m:rPr>
                                      <w:rPr>
                                        <w:rFonts w:ascii="Cambria Math" w:eastAsiaTheme="minorEastAsia" w:hAnsi="Cambria Math"/>
                                      </w:rPr>
                                      <m:t>Q</m:t>
                                    </m:r>
                                  </m:e>
                                </m:acc>
                                <m:d>
                                  <m:dPr>
                                    <m:ctrlPr>
                                      <w:rPr>
                                        <w:rFonts w:ascii="Cambria Math" w:eastAsiaTheme="minorEastAsia" w:hAnsi="Cambria Math"/>
                                      </w:rPr>
                                    </m:ctrlPr>
                                  </m:dPr>
                                  <m:e>
                                    <m:r>
                                      <m:rPr>
                                        <m:sty m:val="p"/>
                                      </m:rPr>
                                      <w:rPr>
                                        <w:rFonts w:ascii="Cambria Math" w:eastAsiaTheme="minorEastAsia" w:hAnsi="Cambria Math"/>
                                      </w:rPr>
                                      <m:t>t</m:t>
                                    </m:r>
                                  </m:e>
                                </m:d>
                              </m:e>
                              <m:sup>
                                <m:r>
                                  <m:rPr>
                                    <m:sty m:val="p"/>
                                  </m:rPr>
                                  <w:rPr>
                                    <w:rFonts w:ascii="Cambria Math" w:eastAsiaTheme="minorEastAsia" w:hAnsi="Cambria Math"/>
                                  </w:rPr>
                                  <m:t>1/3</m:t>
                                </m:r>
                              </m:sup>
                            </m:sSup>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1/2</m:t>
                                </m:r>
                              </m:sup>
                            </m:sSup>
                          </m:num>
                          <m:den>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5/6</m:t>
                                </m:r>
                              </m:sup>
                            </m:sSup>
                          </m:den>
                        </m:f>
                        <m:r>
                          <m:rPr>
                            <m:sty m:val="p"/>
                          </m:rPr>
                          <w:rPr>
                            <w:rFonts w:ascii="Cambria Math" w:eastAsiaTheme="minorEastAsia" w:hAnsi="Cambria Math"/>
                          </w:rPr>
                          <m:t xml:space="preserve">  </m:t>
                        </m:r>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r>
                          <m:rPr>
                            <m:sty m:val="p"/>
                          </m:rPr>
                          <w:rPr>
                            <w:rFonts w:ascii="Cambria Math" w:eastAsiaTheme="minorEastAsia" w:hAnsi="Cambria Math"/>
                          </w:rPr>
                          <m:t xml:space="preserve"> </m:t>
                        </m:r>
                      </m:e>
                    </m:eqArr>
                  </m:e>
                </m:d>
              </m:oMath>
            </m:oMathPara>
          </w:p>
        </w:tc>
        <w:tc>
          <w:tcPr>
            <w:tcW w:w="720" w:type="dxa"/>
            <w:vAlign w:val="center"/>
          </w:tcPr>
          <w:p w14:paraId="02A80A88" w14:textId="3272AA81" w:rsidR="005061EE" w:rsidRPr="00D858C0" w:rsidRDefault="005061EE"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rsidRPr="00D858C0">
              <w:t>(3</w:t>
            </w:r>
            <w:r w:rsidR="00625BCB" w:rsidRPr="00D858C0">
              <w:t>5</w:t>
            </w:r>
            <w:r w:rsidRPr="00D858C0">
              <w:t>)</w:t>
            </w:r>
          </w:p>
        </w:tc>
      </w:tr>
    </w:tbl>
    <w:p w14:paraId="780A40F6"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6B1C76"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where</w:t>
      </w:r>
    </w:p>
    <w:p w14:paraId="63402BED" w14:textId="77777777" w:rsidR="005061EE" w:rsidRPr="00D858C0" w:rsidRDefault="005061EE" w:rsidP="005061EE">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rPr>
          <w:vertAlign w:val="subscript"/>
        </w:rPr>
        <w:t>ink</w:t>
      </w:r>
      <w:r w:rsidRPr="00D858C0">
        <w:tab/>
        <w:t>=</w:t>
      </w:r>
      <w:r w:rsidRPr="00D858C0">
        <w:tab/>
        <w:t>sprinkler link or bulb temperature (</w:t>
      </w:r>
      <w:r w:rsidRPr="00D858C0">
        <w:sym w:font="Symbol" w:char="F0B0"/>
      </w:r>
      <w:r w:rsidRPr="00D858C0">
        <w:t>C)</w:t>
      </w:r>
    </w:p>
    <w:p w14:paraId="2FE21703" w14:textId="77777777" w:rsidR="005061EE" w:rsidRPr="00D858C0" w:rsidRDefault="005061EE" w:rsidP="005061EE">
      <w:pPr>
        <w:tabs>
          <w:tab w:val="left" w:pos="274"/>
          <w:tab w:val="left" w:pos="720"/>
          <w:tab w:val="left" w:pos="806"/>
          <w:tab w:val="left" w:pos="1260"/>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b/>
        <w:t>t</w:t>
      </w:r>
      <w:r w:rsidRPr="00D858C0">
        <w:tab/>
        <w:t>=</w:t>
      </w:r>
      <w:r w:rsidRPr="00D858C0">
        <w:tab/>
        <w:t>time (s)</w:t>
      </w:r>
    </w:p>
    <w:p w14:paraId="0F99A7DB"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C94744" w14:textId="2CC8EF2E"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Equation 3</w:t>
      </w:r>
      <w:r w:rsidR="00625BCB" w:rsidRPr="00D858C0">
        <w:t>3</w:t>
      </w:r>
      <w:r w:rsidRPr="00D858C0">
        <w:t xml:space="preserve"> was integrated numerically for a range of H and R values to determine how T</w:t>
      </w:r>
      <w:r w:rsidRPr="00D858C0">
        <w:rPr>
          <w:vertAlign w:val="subscript"/>
        </w:rPr>
        <w:t>link</w:t>
      </w:r>
      <w:r w:rsidRPr="00D858C0">
        <w:t xml:space="preserve"> increases as a function of time for each of the ignition sources listed in Table A5.1 of Attachment 5 to Appendix F.  The HRR profile, </w:t>
      </w:r>
      <m:oMath>
        <m:acc>
          <m:accPr>
            <m:chr m:val="̇"/>
            <m:ctrlPr>
              <w:rPr>
                <w:rFonts w:ascii="Cambria Math" w:hAnsi="Cambria Math"/>
              </w:rPr>
            </m:ctrlPr>
          </m:accPr>
          <m:e>
            <m:r>
              <m:rPr>
                <m:sty m:val="p"/>
              </m:rPr>
              <w:rPr>
                <w:rFonts w:ascii="Cambria Math" w:hAnsi="Cambria Math"/>
              </w:rPr>
              <m:t>Q</m:t>
            </m:r>
          </m:e>
        </m:acc>
        <m:d>
          <m:dPr>
            <m:ctrlPr>
              <w:rPr>
                <w:rFonts w:ascii="Cambria Math" w:hAnsi="Cambria Math"/>
              </w:rPr>
            </m:ctrlPr>
          </m:dPr>
          <m:e>
            <m:r>
              <m:rPr>
                <m:sty m:val="p"/>
              </m:rPr>
              <w:rPr>
                <w:rFonts w:ascii="Cambria Math" w:hAnsi="Cambria Math"/>
              </w:rPr>
              <m:t>t</m:t>
            </m:r>
          </m:e>
        </m:d>
      </m:oMath>
      <w:r w:rsidRPr="00D858C0">
        <w:rPr>
          <w:rFonts w:eastAsiaTheme="minorEastAsia"/>
        </w:rPr>
        <w:t>, for these ignition sources is shown in Figure A5.1 of Attachment 5 to Appendix F, and the profile for a specific ignition source is defined by the corresponding parameters given in Table A5.1.  Sprinkler activation is assumed to occur when T</w:t>
      </w:r>
      <w:r w:rsidRPr="00D858C0">
        <w:rPr>
          <w:rFonts w:eastAsiaTheme="minorEastAsia"/>
          <w:vertAlign w:val="subscript"/>
        </w:rPr>
        <w:t>link</w:t>
      </w:r>
      <w:r w:rsidRPr="00D858C0">
        <w:rPr>
          <w:rFonts w:eastAsiaTheme="minorEastAsia"/>
        </w:rPr>
        <w:t xml:space="preserve"> is equal to the activation temperature, T</w:t>
      </w:r>
      <w:r w:rsidRPr="00D858C0">
        <w:rPr>
          <w:rFonts w:eastAsiaTheme="minorEastAsia"/>
          <w:vertAlign w:val="subscript"/>
        </w:rPr>
        <w:t>act</w:t>
      </w:r>
      <w:r w:rsidRPr="00D858C0">
        <w:rPr>
          <w:rFonts w:eastAsiaTheme="minorEastAsia"/>
        </w:rPr>
        <w:t>.  For the calculations, the sprinklers were assumed to have an activation temperature of 74</w:t>
      </w:r>
      <w:r w:rsidRPr="00D858C0">
        <w:rPr>
          <w:rFonts w:eastAsiaTheme="minorEastAsia"/>
        </w:rPr>
        <w:sym w:font="Symbol" w:char="F0B0"/>
      </w:r>
      <w:r w:rsidRPr="00D858C0">
        <w:rPr>
          <w:rFonts w:eastAsiaTheme="minorEastAsia"/>
        </w:rPr>
        <w:t>C (165</w:t>
      </w:r>
      <w:r w:rsidRPr="00D858C0">
        <w:rPr>
          <w:rFonts w:eastAsiaTheme="minorEastAsia"/>
        </w:rPr>
        <w:sym w:font="Symbol" w:char="F0B0"/>
      </w:r>
      <w:r w:rsidRPr="00D858C0">
        <w:rPr>
          <w:rFonts w:eastAsiaTheme="minorEastAsia"/>
        </w:rPr>
        <w:t>C) and an RTI of 130 (m</w:t>
      </w:r>
      <w:r w:rsidRPr="00D858C0">
        <w:rPr>
          <w:rFonts w:eastAsiaTheme="minorEastAsia"/>
        </w:rPr>
        <w:sym w:font="Symbol" w:char="F0D7"/>
      </w:r>
      <w:r w:rsidRPr="00D858C0">
        <w:rPr>
          <w:rFonts w:eastAsiaTheme="minorEastAsia"/>
        </w:rPr>
        <w:t>s)</w:t>
      </w:r>
      <w:r w:rsidRPr="00D858C0">
        <w:rPr>
          <w:rFonts w:eastAsiaTheme="minorEastAsia"/>
          <w:vertAlign w:val="superscript"/>
        </w:rPr>
        <w:t>0.5</w:t>
      </w:r>
      <w:r w:rsidRPr="00D858C0">
        <w:rPr>
          <w:rFonts w:eastAsiaTheme="minorEastAsia"/>
        </w:rPr>
        <w:t>.  These values were used in the fire modeling supporting the LAR of several plants transitioning to NFPA 805.</w:t>
      </w:r>
    </w:p>
    <w:p w14:paraId="08BFB2DB"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3D230C" w14:textId="77777777" w:rsidR="005061EE" w:rsidRPr="00D858C0" w:rsidRDefault="005061EE"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 xml:space="preserve">Sprinkler Activation Times for Fires without </w:t>
      </w:r>
      <w:r w:rsidRPr="00D858C0">
        <w:rPr>
          <w:i/>
          <w:u w:val="single"/>
        </w:rPr>
        <w:t>a Priori</w:t>
      </w:r>
      <w:r w:rsidRPr="00D858C0">
        <w:rPr>
          <w:u w:val="single"/>
        </w:rPr>
        <w:t xml:space="preserve"> Known HRR Profile</w:t>
      </w:r>
    </w:p>
    <w:p w14:paraId="6D7652A2" w14:textId="77777777" w:rsidR="005061EE" w:rsidRPr="00D858C0" w:rsidRDefault="005061EE"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4D5E3D" w14:textId="7A8B314B" w:rsidR="00D9018F" w:rsidRPr="00D858C0" w:rsidRDefault="005061EE" w:rsidP="0034587C">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 xml:space="preserve">Creating a concise set of tables with generic sprinkler activation times that cover the entire range of potential HRR profiles is a very difficult task.  The tables that are currently available in set H allow the analyst to obtain a conservative estimate </w:t>
      </w:r>
      <w:r w:rsidR="00C3196B">
        <w:t xml:space="preserve">of </w:t>
      </w:r>
      <w:r w:rsidRPr="00D858C0">
        <w:t>the sprinkler activation time for fires that involve secondary combustibles.</w:t>
      </w:r>
    </w:p>
    <w:p w14:paraId="6A0DCA91" w14:textId="77777777" w:rsidR="0072653B" w:rsidRPr="00D858C0" w:rsidRDefault="0072653B"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72BC" w14:textId="77777777" w:rsidR="00A6171D" w:rsidRDefault="00A6171D" w:rsidP="00E4305E">
      <w:pPr>
        <w:pStyle w:val="Heading1"/>
      </w:pPr>
      <w:bookmarkStart w:id="187" w:name="_Toc481265424"/>
      <w:r>
        <w:br w:type="page"/>
      </w:r>
    </w:p>
    <w:p w14:paraId="3670F674" w14:textId="78AB97F4" w:rsidR="00B27F2A" w:rsidRPr="00D858C0" w:rsidRDefault="00000915" w:rsidP="00E4305E">
      <w:pPr>
        <w:pStyle w:val="Heading1"/>
      </w:pPr>
      <w:bookmarkStart w:id="188" w:name="_Toc511060904"/>
      <w:r w:rsidRPr="00D858C0">
        <w:lastRenderedPageBreak/>
        <w:t>REFERENCES</w:t>
      </w:r>
      <w:bookmarkEnd w:id="187"/>
      <w:bookmarkEnd w:id="188"/>
    </w:p>
    <w:p w14:paraId="2A611D4F" w14:textId="77777777" w:rsidR="007E3DD5" w:rsidRPr="00D858C0" w:rsidRDefault="007E3DD5" w:rsidP="007E3D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AE3471"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U.S. Nuclear Regulatory Commission, " Recommendations for Reactor Oversight Process Improvements (Follow up to SECY-99-007)," SECY-99-007A, March 1999 (ADAMS Accession No. ML992740073).</w:t>
      </w:r>
    </w:p>
    <w:p w14:paraId="381EBD9A"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5C7BAA"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noProof/>
        </w:rPr>
        <w:t>U.S. Nuclear Regulatory Commission, "An Approach for Using Probabilistic Risk Assessment in Risk-Informed Decisions on Plant-Specific Changes to the Licensing Basis," RG 1.174, Revision 2, May 2011 (ADAMS Accession No. ML100910006).</w:t>
      </w:r>
    </w:p>
    <w:p w14:paraId="0D00DD83"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3E9944" w14:textId="512C6F78" w:rsidR="007E3DD5" w:rsidRPr="00D858C0" w:rsidRDefault="007E3DD5" w:rsidP="00B02C78">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noProof/>
        </w:rPr>
        <w:t xml:space="preserve">U.S. Nuclear Regulatory Commission, Inspection Manual Chapter (IMC) 0609, Appendix F, "Fire Protection Significance Determination Process," Washington, DC, MM, YYYY </w:t>
      </w:r>
      <w:r w:rsidRPr="00D858C0">
        <w:t xml:space="preserve">(ADAMS Accession No. </w:t>
      </w:r>
      <w:r w:rsidR="00B02C78" w:rsidRPr="00B02C78">
        <w:t>ML17089A417</w:t>
      </w:r>
      <w:r w:rsidRPr="00D858C0">
        <w:t>)</w:t>
      </w:r>
      <w:r w:rsidRPr="00D858C0">
        <w:rPr>
          <w:noProof/>
        </w:rPr>
        <w:t>.</w:t>
      </w:r>
    </w:p>
    <w:p w14:paraId="7D8ACC1F"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C5BC5E"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noProof/>
        </w:rPr>
        <w:t xml:space="preserve">U.S. Nuclear Regulatory Commission, Inspection Manual Chapter (IMC) 0609, Appendix A, "The Significance Determination Process (SDP) for Findings At-Power," Washington, DC, June, 2012 </w:t>
      </w:r>
      <w:r w:rsidRPr="00D858C0">
        <w:t>(ADAMS Accession No. ML101400574)</w:t>
      </w:r>
      <w:r w:rsidRPr="00D858C0">
        <w:rPr>
          <w:noProof/>
        </w:rPr>
        <w:t>.</w:t>
      </w:r>
    </w:p>
    <w:p w14:paraId="4CD84CC5"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060D9D"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noProof/>
        </w:rPr>
        <w:t xml:space="preserve">U.S. Nuclear Regulatory Commission, Inspection Manual Chapter (IMC) 0612, Appendix B, "Issue Screening," Washington, DC, September, 2012 </w:t>
      </w:r>
      <w:r w:rsidRPr="00D858C0">
        <w:t>(ADAMS Accession No. ML12080A204)</w:t>
      </w:r>
      <w:r w:rsidRPr="00D858C0">
        <w:rPr>
          <w:noProof/>
        </w:rPr>
        <w:t>.</w:t>
      </w:r>
    </w:p>
    <w:p w14:paraId="00451708"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913CF5"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noProof/>
        </w:rPr>
        <w:t xml:space="preserve">U.S. Nuclear Regulatory Commission, Inspection Manual Chapter (IMC) 0609, Appendix M, "Significance Determination Process Using Qualitative Criteria," Washington, DC, April, 2012 </w:t>
      </w:r>
      <w:r w:rsidRPr="00D858C0">
        <w:t>(ADAMS Accession No. ML101550365)</w:t>
      </w:r>
      <w:r w:rsidRPr="00D858C0">
        <w:rPr>
          <w:noProof/>
        </w:rPr>
        <w:t>.</w:t>
      </w:r>
    </w:p>
    <w:p w14:paraId="5FDC85E7"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09E3BC"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U.S. Nuclear Regulatory Commission, "Fire Protection for Nuclear Power Plants," RG 1.189, Revision 2, October 2009 (ADAMS Accession No. ML092580550).</w:t>
      </w:r>
    </w:p>
    <w:p w14:paraId="58725D97"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7D4FD5"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U.S. Nuclear Regulatory Commission, "EPRI/NRC-RES Fire PRA Methodology for Nuclear Power Facilities, Volume 2: Detailed Methodology," NUREG/CR-6850, September 2005 (ADAMS Accession No. ML052580118).</w:t>
      </w:r>
    </w:p>
    <w:p w14:paraId="006C8064"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861FEB"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National Fire Protection Association, "Performance-Based Standard for Fire Protection for Light Water Reactor Electric Generating Plants," Standard 805 (NFPA 805), 2001 Edition, Quincy, Massachusetts.</w:t>
      </w:r>
    </w:p>
    <w:p w14:paraId="7D835EEC"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DD8643"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U.S. Nuclear Regulatory Commission, "Fire Dynamics Tools (FDTs): Quantitative Fire Hazard Analysis Methods for the U.S. Nuclear Regulatory Commission Fire Protection Inspection Program," NUREG-1805, December 2004 (ADAMS Accession No. ML043290075).</w:t>
      </w:r>
    </w:p>
    <w:p w14:paraId="54747C00"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C5E6AB"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U.S. Nuclear Regulatory Commission, "Fire Dynamics Tools (FDTs): Quantitative Fire Hazard Analysis Methods for the U.S. Nuclear Regulatory Commission Fire Protection Inspection Program, Supplement 1, Appendices," NUREG-1805, Supplement 1, Vol. 2, July 2013 (ADAMS Accession No. ML13211A098).</w:t>
      </w:r>
    </w:p>
    <w:p w14:paraId="2A2ED95B"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554A7A"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U.S. Nuclear Regulatory Commission, "EPRI/NRC-RES Fire Human Reliability Analysis Guidelines," NUREG-1921, July 2012 (ADAMS Accession No. ML12216A104).</w:t>
      </w:r>
    </w:p>
    <w:p w14:paraId="7D172307"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A7B548" w14:textId="0B603684" w:rsidR="007E3DD5" w:rsidRPr="00D858C0" w:rsidRDefault="007E3DD5" w:rsidP="00A6171D">
      <w:pPr>
        <w:pStyle w:val="ListParagraph"/>
        <w:keepNext/>
        <w:keepLines/>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lastRenderedPageBreak/>
        <w:t>U.S. Nuclear Regulatory Commission, "Joint Assessment of Cable Damage and Quantification of Effects from Fire (JACQUE-FIRE), Volume 1: Phenomena Identification and Ranking Table (PIRT) Exercise for Nuclear Power Plant Fire-Induced Electrical Circuit Failure,</w:t>
      </w:r>
      <w:r w:rsidR="00F2054D" w:rsidRPr="00D858C0">
        <w:t xml:space="preserve"> Volume 2: </w:t>
      </w:r>
      <w:r w:rsidR="007D3A4E" w:rsidRPr="00D858C0">
        <w:t>Expert Elicitation Exercise for Nuclear Power Plant Fire-Induced Electrical Circuit Failure,</w:t>
      </w:r>
      <w:r w:rsidRPr="00D858C0">
        <w:t>" Washington, DC, October 2012</w:t>
      </w:r>
      <w:r w:rsidR="00F2054D" w:rsidRPr="00D858C0">
        <w:t xml:space="preserve"> (ADAMS Accession Nos. </w:t>
      </w:r>
      <w:r w:rsidR="007D3A4E" w:rsidRPr="00D858C0">
        <w:t>ML12313A105</w:t>
      </w:r>
      <w:r w:rsidR="00F2054D" w:rsidRPr="00D858C0">
        <w:t xml:space="preserve"> and ML14141A129)</w:t>
      </w:r>
      <w:r w:rsidRPr="00D858C0">
        <w:t>.</w:t>
      </w:r>
    </w:p>
    <w:p w14:paraId="6BE2812A"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822BC1"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rPr>
          <w:rFonts w:cs="Arial"/>
        </w:rPr>
        <w:t>W. Parkinson, et al., “</w:t>
      </w:r>
      <w:r w:rsidRPr="00D858C0">
        <w:rPr>
          <w:rFonts w:cs="Arial"/>
          <w:iCs/>
        </w:rPr>
        <w:t xml:space="preserve">Fire Events Database for U.S. Nuclear Power Plants,” </w:t>
      </w:r>
      <w:r w:rsidRPr="00D858C0">
        <w:rPr>
          <w:rFonts w:cs="Arial"/>
        </w:rPr>
        <w:t xml:space="preserve">EPRI NSAC-178, </w:t>
      </w:r>
      <w:r w:rsidRPr="00D858C0">
        <w:rPr>
          <w:rFonts w:cs="Arial"/>
          <w:iCs/>
        </w:rPr>
        <w:t>Electric Power Research Institute</w:t>
      </w:r>
      <w:r w:rsidRPr="00D858C0">
        <w:rPr>
          <w:rFonts w:cs="Arial"/>
        </w:rPr>
        <w:t>, December 1991.</w:t>
      </w:r>
    </w:p>
    <w:p w14:paraId="7BD582EC"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0C82A8"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U.S. Nuclear Regulatory Commission, "Nuclear Power Plant Fire Ignition Frequency and Non-Suppression Probability Estimation Using the Updated Fire Events Database," NUREG-2169, January 2015 (ADAMS Accession No. ML15016A069).</w:t>
      </w:r>
    </w:p>
    <w:p w14:paraId="7FFD48A9"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D96F3C"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Klein, Alexander R., U.S. Nuclear Regulatory Commission, memorandum to file, "Close-out of National Fire Protection Association Standard 805 Frequently Asked Question 06-0016 on Ignition Source Counting Guidance for Electrical Cabinets," dated October 5, 2007 (ADAMS Accession No. ML072700475).</w:t>
      </w:r>
    </w:p>
    <w:p w14:paraId="5A8D23BE"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A10CC8"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Klein, Alexander R., U.S. Nuclear Regulatory Commission, memorandum to file, "Close-out of National Fire Protection Association Standard 805 Frequently Asked Question 06-0017 on Ignition Source Counting Guidance for High Energy Arcing Faults," dated September 26, 2007 (ADAMS Accession No. ML072500300).</w:t>
      </w:r>
    </w:p>
    <w:p w14:paraId="04744FEB"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2A9633"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Klein, Alexander R., U.S. Nuclear Regulatory Commission, memorandum to file, "Close-out of National Fire Protection Association Standard 805 Frequently Asked Question 06-0018 on Ignition Source Counting Guidance for Main Control Board," dated September 26, 2007 (ADAMS Accession No. ML072500273).</w:t>
      </w:r>
    </w:p>
    <w:p w14:paraId="65D12CB1"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AC8068"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Klein, Alexander R., U.S. Nuclear Regulatory Commission, memorandum to file, "Close-out of National Fire Protection Association Standard 805 Frequently Asked Question 07-0031 on Miscellaneous Fire Ignition Frequency Binning Issues," dated December 17, 2007 (ADAMS Accession No. ML072840658).</w:t>
      </w:r>
    </w:p>
    <w:p w14:paraId="08C6E429"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2BAC38"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Klein, Alexander R., U.S. Nuclear Regulatory Commission, memorandum to file, "Close-out of National Fire Protection Association Standard 805 Frequently Asked Question 07-0035 on Bus Duct Counting Guidance for High Energy Arcing Faults," dated June 16, 2009 (ADAMS Accession No. ML091620572).</w:t>
      </w:r>
    </w:p>
    <w:p w14:paraId="137ACA72"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B532AE"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Klein, Alexander R., U.S. Nuclear Regulatory Commission, memorandum to file, "Close-out of National Fire Protection Association Standard 805 Frequently Asked Question 12-0064 on Ignition Source Apportionment," dated January 17, 2013 (ADAMS Accession No. ML13037A425).</w:t>
      </w:r>
    </w:p>
    <w:p w14:paraId="0A66310E"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749286" w14:textId="77777777" w:rsidR="007E3DD5" w:rsidRPr="00D858C0"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Klein, Alexander R., U.S. Nuclear Regulatory Commission, memorandum to file, "Close-out of National Fire Protection Association Standard 805 Frequently Asked Question 08-0053 on Kerite Cable Classification," dated June 6, 2012 (ADAMS Accession No. ML121440155).</w:t>
      </w:r>
    </w:p>
    <w:p w14:paraId="4C25C724"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558D36" w14:textId="77777777" w:rsidR="007E3DD5" w:rsidRPr="00D858C0" w:rsidRDefault="007E3DD5" w:rsidP="0034587C">
      <w:pPr>
        <w:pStyle w:val="ListParagraph"/>
        <w:keepNext/>
        <w:keepLines/>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lastRenderedPageBreak/>
        <w:t>U.S. Nuclear Regulatory Commission, "Kerite Analysis in Thermal Environment of FIRE (KATE-Fire): Test Results," NUREG/CR-7102, December 2011 (ADAMS Accession No. ML11333A033).</w:t>
      </w:r>
    </w:p>
    <w:p w14:paraId="4D17485A"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3F8894" w14:textId="77777777" w:rsidR="007E3DD5" w:rsidRPr="00D858C0" w:rsidRDefault="007E3DD5" w:rsidP="00A6171D">
      <w:pPr>
        <w:pStyle w:val="ListParagraph"/>
        <w:keepLines/>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U.S. Nuclear Regulatory Commission, "A Preliminary Report on Fire Protection Research Program Fire Barriers and Fire Retardant Coatings Tests," NUREG/CR-0381, November 1978 (ADAMS Accession No. ML071690019).</w:t>
      </w:r>
    </w:p>
    <w:p w14:paraId="4D674E1C" w14:textId="77777777" w:rsidR="007E3DD5" w:rsidRPr="00D858C0"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2C78CB"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Klein, Alexander R., U.S. Nuclear Regulatory Commission, memorandum to file, "Close-out</w:t>
      </w:r>
      <w:r w:rsidRPr="000E1D6C">
        <w:t xml:space="preserve"> of National Fire Protection Association Standard 805 Frequently Asked Question </w:t>
      </w:r>
      <w:r>
        <w:t>13</w:t>
      </w:r>
      <w:r w:rsidRPr="000E1D6C">
        <w:t>-</w:t>
      </w:r>
      <w:r>
        <w:t>0004</w:t>
      </w:r>
      <w:r w:rsidRPr="000E1D6C">
        <w:t xml:space="preserve"> on </w:t>
      </w:r>
      <w:r w:rsidRPr="00EF2FB4">
        <w:rPr>
          <w:rFonts w:eastAsia="Arial" w:cs="Arial"/>
          <w:szCs w:val="22"/>
        </w:rPr>
        <w:t>Clarifications on Treatment of Sensitive Electronics</w:t>
      </w:r>
      <w:r w:rsidRPr="000E1D6C">
        <w:t>,"</w:t>
      </w:r>
      <w:r>
        <w:t xml:space="preserve"> dated June 26, 2013</w:t>
      </w:r>
      <w:r w:rsidRPr="000E1D6C">
        <w:t xml:space="preserve"> (ADAMS Accession No. ML</w:t>
      </w:r>
      <w:r w:rsidRPr="00EF2FB4">
        <w:rPr>
          <w:rFonts w:eastAsia="Arial" w:cs="Arial"/>
          <w:szCs w:val="22"/>
        </w:rPr>
        <w:t>13182A708</w:t>
      </w:r>
      <w:r>
        <w:rPr>
          <w:rFonts w:eastAsia="Arial" w:cs="Arial"/>
          <w:szCs w:val="22"/>
        </w:rPr>
        <w:t>)</w:t>
      </w:r>
      <w:r w:rsidRPr="000E1D6C">
        <w:t>.</w:t>
      </w:r>
    </w:p>
    <w:p w14:paraId="3822B773"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E476FE"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B63D5">
        <w:t>U.S. Nuclear Regulatory Commission, "</w:t>
      </w:r>
      <w:r>
        <w:t>Refining and Characterizing Heat Release Rates From Electrical Enclosures During Fire (RACHELLE-FIRE), Volume 1: Peak Heat Release Rates and Effect of Obstructed Plume,</w:t>
      </w:r>
      <w:r w:rsidRPr="001B63D5">
        <w:t>" NUREG-</w:t>
      </w:r>
      <w:r>
        <w:t>2178</w:t>
      </w:r>
      <w:r w:rsidRPr="001B63D5">
        <w:t>,</w:t>
      </w:r>
      <w:r>
        <w:t xml:space="preserve"> Vol. 1,</w:t>
      </w:r>
      <w:r w:rsidRPr="001B63D5">
        <w:t xml:space="preserve"> December 20</w:t>
      </w:r>
      <w:r>
        <w:t>15</w:t>
      </w:r>
      <w:r w:rsidRPr="001B63D5">
        <w:t xml:space="preserve"> (ADAMS Accession No. ML</w:t>
      </w:r>
      <w:r w:rsidRPr="00573187">
        <w:t>15266A516</w:t>
      </w:r>
      <w:r w:rsidRPr="001B63D5">
        <w:t>).</w:t>
      </w:r>
    </w:p>
    <w:p w14:paraId="25B5BB4D"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DF4852"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noProof/>
        </w:rPr>
        <w:t>Klein, Alexander R., U.S. Nuclear Regulatory Commission, memorandum to file, "Closure of National Fire Protection Association 805 Frequently Asked Question 08-0052 Transient Fires - Growth Rates and Control Room Non-Suppression," dated August 4, 2009 (ADAMS Accession No. ML092120501).</w:t>
      </w:r>
    </w:p>
    <w:p w14:paraId="5BE65957"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FE397F"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E16C2">
        <w:t>Gottuk, D., and White, D., "Liquid Fuel Fires," Chapter 2-15, The SFPE Handbook of Fire Protection Engineering, 4th Edition, National Fire Protection Association, Quincy, Massachusetts, 2008.</w:t>
      </w:r>
    </w:p>
    <w:p w14:paraId="69F07D46"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02D2DA"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73FE">
        <w:t>U.S. Nuclear Regulatory Commission, "</w:t>
      </w:r>
      <w:r w:rsidRPr="00530958">
        <w:t>NUREG/CR-6850, EPRI TR 1011989 Errata Sheet</w:t>
      </w:r>
      <w:r w:rsidRPr="00B273FE">
        <w:t xml:space="preserve">," </w:t>
      </w:r>
      <w:r>
        <w:t>May</w:t>
      </w:r>
      <w:r w:rsidRPr="00B273FE">
        <w:t xml:space="preserve"> 200</w:t>
      </w:r>
      <w:r>
        <w:t>6</w:t>
      </w:r>
      <w:r w:rsidRPr="00B273FE">
        <w:t xml:space="preserve"> (ADAMS Accession No. </w:t>
      </w:r>
      <w:r w:rsidRPr="00530958">
        <w:t>ML061630360</w:t>
      </w:r>
      <w:r w:rsidRPr="00B273FE">
        <w:t>).</w:t>
      </w:r>
    </w:p>
    <w:p w14:paraId="695FC8AA"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A208F0"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C3F7C">
        <w:t xml:space="preserve">ASTM D93, </w:t>
      </w:r>
      <w:r>
        <w:t>“</w:t>
      </w:r>
      <w:r w:rsidRPr="00EC3F7C">
        <w:t>Standard Test Methods for Flash Point by Pensky-Martens Closed Cup Tester,</w:t>
      </w:r>
      <w:r>
        <w:t>”</w:t>
      </w:r>
      <w:r w:rsidRPr="00EC3F7C">
        <w:t xml:space="preserve"> ASTM International, West Conshohocken, PA.</w:t>
      </w:r>
    </w:p>
    <w:p w14:paraId="553D973C"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DFAD8B"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noProof/>
        </w:rPr>
        <w:t>U.S. Nuclear Regulatory Commission, "Cable Heat Release, Ignition, and Spread in Tray Installations during Fire (CHRISTIFIRE), Phase 1: Horizontal Trays," NUREG/CR-7010, Vol. 1, July 2012 (ADAMS Accession No. ML12213A056).</w:t>
      </w:r>
    </w:p>
    <w:p w14:paraId="3E1171AE"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43054A"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noProof/>
        </w:rPr>
        <w:t>U.S. Nuclear Regulatory Commission, "An Investigation of the Effects of Thermal Aging on, the Fire Damageability of Electric Cables," NUREG/CR-5546, May 1991 (ADAMS Accession No. ML</w:t>
      </w:r>
      <w:r w:rsidRPr="00EC3F7C">
        <w:rPr>
          <w:noProof/>
        </w:rPr>
        <w:t>041270223</w:t>
      </w:r>
      <w:r>
        <w:rPr>
          <w:noProof/>
        </w:rPr>
        <w:t>).</w:t>
      </w:r>
    </w:p>
    <w:p w14:paraId="2C2EC2FF" w14:textId="77777777" w:rsidR="007E3DD5" w:rsidRPr="003762CF"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FB85AF" w14:textId="77777777" w:rsidR="007E3DD5" w:rsidRPr="00AD6207"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0CAC">
        <w:rPr>
          <w:rFonts w:cs="Arial"/>
        </w:rPr>
        <w:t>Bukowski, R. W., et al</w:t>
      </w:r>
      <w:r>
        <w:rPr>
          <w:rFonts w:cs="Arial"/>
        </w:rPr>
        <w:t>., “</w:t>
      </w:r>
      <w:r w:rsidRPr="00C70CAC">
        <w:rPr>
          <w:rFonts w:cs="Arial"/>
        </w:rPr>
        <w:t>Estimates of the Operational Reliability of Fire Protection Systems,</w:t>
      </w:r>
      <w:r>
        <w:rPr>
          <w:rFonts w:cs="Arial"/>
        </w:rPr>
        <w:t>”</w:t>
      </w:r>
      <w:r w:rsidRPr="00C70CAC">
        <w:rPr>
          <w:rFonts w:cs="Arial"/>
        </w:rPr>
        <w:t xml:space="preserve"> </w:t>
      </w:r>
      <w:r>
        <w:rPr>
          <w:rFonts w:cs="Arial"/>
        </w:rPr>
        <w:t xml:space="preserve">Proceedings of the Third </w:t>
      </w:r>
      <w:r w:rsidRPr="00C70CAC">
        <w:rPr>
          <w:rFonts w:cs="Arial"/>
        </w:rPr>
        <w:t>International Conference on Fire Research and Engineering, 87-98, 1999.</w:t>
      </w:r>
    </w:p>
    <w:p w14:paraId="04444446"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FBDFA9"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01696">
        <w:t xml:space="preserve">U.S. Nuclear Regulatory Commission, “Verification and Validation of Selected Fire Models for Nuclear Power Plant Applications” NUREG-1824 Supplement 1, </w:t>
      </w:r>
      <w:r>
        <w:t>November 2016</w:t>
      </w:r>
      <w:r w:rsidRPr="00101696">
        <w:t xml:space="preserve"> (ADAMS Accession No. ML16309A011).</w:t>
      </w:r>
    </w:p>
    <w:p w14:paraId="5EC03301"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719AB0"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765AD">
        <w:t>Alpert, R., “Calculation of Response Time of Ceiling-Mounted Fire Detectors,” Fire Technology,</w:t>
      </w:r>
      <w:r>
        <w:t xml:space="preserve"> </w:t>
      </w:r>
      <w:r w:rsidRPr="004765AD">
        <w:t>Volume 8, pp. 181–195, 1972.</w:t>
      </w:r>
    </w:p>
    <w:p w14:paraId="374805F0"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18A446" w14:textId="77777777" w:rsidR="007E3DD5" w:rsidRDefault="007E3DD5" w:rsidP="0034587C">
      <w:pPr>
        <w:pStyle w:val="ListParagraph"/>
        <w:keepNext/>
        <w:keepLines/>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45B13">
        <w:t>Heskestad, G., and M.A. Delichatsios, “Environments of Fire Detectors—Phase 1: Effects of Fire</w:t>
      </w:r>
      <w:r>
        <w:t xml:space="preserve"> </w:t>
      </w:r>
      <w:r w:rsidRPr="00945B13">
        <w:t>Size, Ceiling Height and Material,” Volume I, “Measurements” (NBS-GCR-77-86), Volume II,</w:t>
      </w:r>
      <w:r>
        <w:t xml:space="preserve"> </w:t>
      </w:r>
      <w:r w:rsidRPr="00945B13">
        <w:t xml:space="preserve">“Analysis” (NBS-GCR-77-95), National Bureau of Standards, </w:t>
      </w:r>
      <w:r>
        <w:t xml:space="preserve">Gaithersburg, MD, </w:t>
      </w:r>
      <w:r w:rsidRPr="00945B13">
        <w:t>1977.</w:t>
      </w:r>
    </w:p>
    <w:p w14:paraId="0962F457"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445817" w14:textId="77777777" w:rsidR="007E3DD5" w:rsidRDefault="007E3DD5" w:rsidP="00A6171D">
      <w:pPr>
        <w:pStyle w:val="ListParagraph"/>
        <w:keepLines/>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D074C">
        <w:t>Milke, J., “Smoke Management for Covered Malls and Atria,” Fire Technology, Volume 26, No. 3,</w:t>
      </w:r>
      <w:r>
        <w:t xml:space="preserve"> </w:t>
      </w:r>
      <w:r w:rsidRPr="003D074C">
        <w:t>pp. 223–243, August 1990.</w:t>
      </w:r>
    </w:p>
    <w:p w14:paraId="3CF443D2"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DAA47D"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73FE">
        <w:t xml:space="preserve">U.S. Nuclear Regulatory Commission, </w:t>
      </w:r>
      <w:r w:rsidRPr="003D5D21">
        <w:t>“</w:t>
      </w:r>
      <w:r w:rsidRPr="00DE4753">
        <w:t>Enclosure Environment Characterization</w:t>
      </w:r>
      <w:r>
        <w:t xml:space="preserve"> </w:t>
      </w:r>
      <w:r w:rsidRPr="00DE4753">
        <w:t>Testing for the Base Line Validation</w:t>
      </w:r>
      <w:r>
        <w:t xml:space="preserve"> </w:t>
      </w:r>
      <w:r w:rsidRPr="00DE4753">
        <w:t>of Computer Fire Simulation Codes</w:t>
      </w:r>
      <w:r w:rsidRPr="009538C1">
        <w:t>," NUREG/CR-</w:t>
      </w:r>
      <w:r>
        <w:t>4681</w:t>
      </w:r>
      <w:r w:rsidRPr="009538C1">
        <w:t xml:space="preserve">, </w:t>
      </w:r>
      <w:r>
        <w:t>March 1987</w:t>
      </w:r>
      <w:r w:rsidRPr="009538C1">
        <w:t xml:space="preserve"> (A</w:t>
      </w:r>
      <w:r>
        <w:t xml:space="preserve">DAMS Accession No. </w:t>
      </w:r>
      <w:r w:rsidRPr="00F53CEF">
        <w:t>ML062260163</w:t>
      </w:r>
      <w:r>
        <w:t>)</w:t>
      </w:r>
      <w:r w:rsidRPr="00B273FE">
        <w:t>.</w:t>
      </w:r>
    </w:p>
    <w:p w14:paraId="3BE4F0AE"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F20F90" w14:textId="77777777" w:rsidR="007E3DD5"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D22FF">
        <w:t>NUREG/CR-5384, “A Summary of Nuclear Power Plant Fire Safety Research at Sandia</w:t>
      </w:r>
      <w:r>
        <w:t xml:space="preserve"> </w:t>
      </w:r>
      <w:r w:rsidRPr="000D22FF">
        <w:t>National Laboratories, 1975–1987,” U.S. Nuclear Regulatory Commission, Washington,</w:t>
      </w:r>
      <w:r>
        <w:t xml:space="preserve"> </w:t>
      </w:r>
      <w:r w:rsidRPr="000D22FF">
        <w:t>DC, December 1989.</w:t>
      </w:r>
    </w:p>
    <w:p w14:paraId="594BFBAD" w14:textId="77777777" w:rsidR="007E3DD5" w:rsidRDefault="007E3DD5" w:rsidP="007E3D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02F90F" w14:textId="77777777" w:rsidR="007E3DD5" w:rsidRPr="00EC3F7C" w:rsidRDefault="007E3DD5" w:rsidP="0035366F">
      <w:pPr>
        <w:pStyle w:val="ListParagraph"/>
        <w:numPr>
          <w:ilvl w:val="0"/>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t>
      </w:r>
      <w:r w:rsidRPr="006C6760">
        <w:t>SFPE Engineering Guide to the Evaluation of the Computer Model DETACT-QS</w:t>
      </w:r>
      <w:r w:rsidRPr="000D22FF">
        <w:t xml:space="preserve">,” </w:t>
      </w:r>
      <w:r>
        <w:t>Society of Fire Protection Engineers</w:t>
      </w:r>
      <w:r w:rsidRPr="000D22FF">
        <w:t xml:space="preserve">, </w:t>
      </w:r>
      <w:r>
        <w:t>Gaithersburg</w:t>
      </w:r>
      <w:r w:rsidRPr="000D22FF">
        <w:t>,</w:t>
      </w:r>
      <w:r>
        <w:t xml:space="preserve"> MD</w:t>
      </w:r>
      <w:r w:rsidRPr="000D22FF">
        <w:t xml:space="preserve">, December </w:t>
      </w:r>
      <w:r>
        <w:t>2002</w:t>
      </w:r>
      <w:r w:rsidRPr="000D22FF">
        <w:t>.</w:t>
      </w:r>
    </w:p>
    <w:p w14:paraId="619C7FAA" w14:textId="77777777" w:rsidR="00285DFD" w:rsidRDefault="00285DFD"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285DFD" w:rsidSect="004209AC">
          <w:footerReference w:type="default" r:id="rId42"/>
          <w:pgSz w:w="12240" w:h="15840" w:code="1"/>
          <w:pgMar w:top="1440" w:right="1440" w:bottom="1440" w:left="1440" w:header="720" w:footer="720" w:gutter="0"/>
          <w:cols w:space="720"/>
          <w:docGrid w:linePitch="299"/>
        </w:sectPr>
      </w:pPr>
    </w:p>
    <w:p w14:paraId="5F93B9F8" w14:textId="77777777" w:rsidR="006103EC" w:rsidRPr="00726BDF" w:rsidRDefault="006103EC" w:rsidP="006103EC">
      <w:pPr>
        <w:keepNext/>
        <w:keepLines/>
        <w:autoSpaceDE/>
        <w:autoSpaceDN/>
        <w:adjustRightInd/>
        <w:jc w:val="center"/>
        <w:rPr>
          <w:szCs w:val="22"/>
        </w:rPr>
      </w:pPr>
      <w:r w:rsidRPr="00726BDF">
        <w:rPr>
          <w:szCs w:val="22"/>
        </w:rPr>
        <w:lastRenderedPageBreak/>
        <w:t>ATTACHMENT 1</w:t>
      </w:r>
    </w:p>
    <w:p w14:paraId="41524346" w14:textId="77777777" w:rsidR="006103EC" w:rsidRPr="00726BDF" w:rsidRDefault="006103EC" w:rsidP="006103EC">
      <w:pPr>
        <w:keepNext/>
        <w:keepLines/>
        <w:autoSpaceDE/>
        <w:autoSpaceDN/>
        <w:adjustRightInd/>
        <w:jc w:val="center"/>
        <w:rPr>
          <w:szCs w:val="22"/>
        </w:rPr>
      </w:pPr>
    </w:p>
    <w:p w14:paraId="0BEBA8A7" w14:textId="46B08D71" w:rsidR="006103EC" w:rsidRPr="00726BDF" w:rsidRDefault="006103EC" w:rsidP="006103EC">
      <w:pPr>
        <w:keepNext/>
        <w:keepLines/>
        <w:autoSpaceDE/>
        <w:autoSpaceDN/>
        <w:adjustRightInd/>
        <w:jc w:val="center"/>
        <w:rPr>
          <w:szCs w:val="22"/>
        </w:rPr>
      </w:pPr>
      <w:r w:rsidRPr="00726BDF">
        <w:rPr>
          <w:szCs w:val="22"/>
        </w:rPr>
        <w:t>Revision History for IMC 0</w:t>
      </w:r>
      <w:r>
        <w:rPr>
          <w:szCs w:val="22"/>
        </w:rPr>
        <w:t>308</w:t>
      </w:r>
      <w:r w:rsidRPr="00726BDF">
        <w:rPr>
          <w:szCs w:val="22"/>
        </w:rPr>
        <w:t xml:space="preserve">, </w:t>
      </w:r>
      <w:r>
        <w:rPr>
          <w:szCs w:val="22"/>
        </w:rPr>
        <w:t xml:space="preserve">Attachment 3, </w:t>
      </w:r>
      <w:r w:rsidRPr="00726BDF">
        <w:rPr>
          <w:szCs w:val="22"/>
        </w:rPr>
        <w:t xml:space="preserve">Appendix F </w:t>
      </w:r>
    </w:p>
    <w:p w14:paraId="6AB1C86F" w14:textId="77777777" w:rsidR="006103EC" w:rsidRPr="00726BDF" w:rsidRDefault="006103EC" w:rsidP="006103EC">
      <w:pPr>
        <w:keepNext/>
        <w:keepLines/>
        <w:widowControl/>
        <w:autoSpaceDE/>
        <w:autoSpaceDN/>
        <w:adjustRightInd/>
        <w:rPr>
          <w:szCs w:val="22"/>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801"/>
        <w:gridCol w:w="6361"/>
        <w:gridCol w:w="1831"/>
        <w:gridCol w:w="2120"/>
      </w:tblGrid>
      <w:tr w:rsidR="006103EC" w:rsidRPr="00726BDF" w14:paraId="70A63FAD" w14:textId="77777777" w:rsidTr="00E25D5B">
        <w:trPr>
          <w:cantSplit/>
          <w:tblHeader/>
          <w:jc w:val="center"/>
        </w:trPr>
        <w:tc>
          <w:tcPr>
            <w:tcW w:w="1463" w:type="dxa"/>
            <w:shd w:val="clear" w:color="auto" w:fill="auto"/>
            <w:vAlign w:val="center"/>
          </w:tcPr>
          <w:p w14:paraId="20DC3F5B" w14:textId="14C0252E" w:rsidR="006103EC" w:rsidRPr="00726BDF" w:rsidRDefault="006103EC" w:rsidP="00470D7C">
            <w:pPr>
              <w:widowControl/>
              <w:autoSpaceDE/>
              <w:autoSpaceDN/>
              <w:adjustRightInd/>
              <w:jc w:val="center"/>
              <w:rPr>
                <w:bCs/>
                <w:szCs w:val="22"/>
              </w:rPr>
            </w:pPr>
            <w:r w:rsidRPr="00726BDF">
              <w:rPr>
                <w:bCs/>
                <w:szCs w:val="22"/>
              </w:rPr>
              <w:t>Commitment</w:t>
            </w:r>
            <w:r w:rsidR="00E25D5B">
              <w:rPr>
                <w:bCs/>
                <w:szCs w:val="22"/>
              </w:rPr>
              <w:t xml:space="preserve"> </w:t>
            </w:r>
            <w:r w:rsidRPr="00726BDF">
              <w:rPr>
                <w:bCs/>
                <w:szCs w:val="22"/>
              </w:rPr>
              <w:t>Tracking</w:t>
            </w:r>
            <w:r w:rsidR="00E25D5B">
              <w:rPr>
                <w:bCs/>
                <w:szCs w:val="22"/>
              </w:rPr>
              <w:t xml:space="preserve"> </w:t>
            </w:r>
            <w:r w:rsidRPr="00726BDF">
              <w:rPr>
                <w:bCs/>
                <w:szCs w:val="22"/>
              </w:rPr>
              <w:t>Number</w:t>
            </w:r>
          </w:p>
        </w:tc>
        <w:tc>
          <w:tcPr>
            <w:tcW w:w="1682" w:type="dxa"/>
            <w:shd w:val="clear" w:color="auto" w:fill="auto"/>
            <w:vAlign w:val="center"/>
          </w:tcPr>
          <w:p w14:paraId="3C775CE7" w14:textId="77777777" w:rsidR="006103EC" w:rsidRPr="00726BDF" w:rsidRDefault="006103EC" w:rsidP="00470D7C">
            <w:pPr>
              <w:widowControl/>
              <w:autoSpaceDE/>
              <w:autoSpaceDN/>
              <w:adjustRightInd/>
              <w:jc w:val="center"/>
              <w:rPr>
                <w:bCs/>
                <w:szCs w:val="22"/>
              </w:rPr>
            </w:pPr>
            <w:r w:rsidRPr="00726BDF">
              <w:rPr>
                <w:bCs/>
                <w:szCs w:val="22"/>
              </w:rPr>
              <w:t>Accession Number</w:t>
            </w:r>
          </w:p>
          <w:p w14:paraId="3D268A64" w14:textId="77777777" w:rsidR="00E25D5B" w:rsidRDefault="006103EC" w:rsidP="00470D7C">
            <w:pPr>
              <w:widowControl/>
              <w:autoSpaceDE/>
              <w:autoSpaceDN/>
              <w:adjustRightInd/>
              <w:jc w:val="center"/>
              <w:rPr>
                <w:bCs/>
                <w:szCs w:val="22"/>
              </w:rPr>
            </w:pPr>
            <w:r w:rsidRPr="00726BDF">
              <w:rPr>
                <w:bCs/>
                <w:szCs w:val="22"/>
              </w:rPr>
              <w:t xml:space="preserve">Issue Date </w:t>
            </w:r>
          </w:p>
          <w:p w14:paraId="4A33D166" w14:textId="0A97F83F" w:rsidR="006103EC" w:rsidRPr="00726BDF" w:rsidRDefault="006103EC" w:rsidP="00470D7C">
            <w:pPr>
              <w:widowControl/>
              <w:autoSpaceDE/>
              <w:autoSpaceDN/>
              <w:adjustRightInd/>
              <w:jc w:val="center"/>
              <w:rPr>
                <w:bCs/>
                <w:szCs w:val="22"/>
              </w:rPr>
            </w:pPr>
            <w:r w:rsidRPr="00726BDF">
              <w:rPr>
                <w:bCs/>
                <w:szCs w:val="22"/>
              </w:rPr>
              <w:t>Change Notice</w:t>
            </w:r>
          </w:p>
        </w:tc>
        <w:tc>
          <w:tcPr>
            <w:tcW w:w="5940" w:type="dxa"/>
            <w:shd w:val="clear" w:color="auto" w:fill="auto"/>
            <w:vAlign w:val="center"/>
          </w:tcPr>
          <w:p w14:paraId="40F51AD5" w14:textId="77777777" w:rsidR="006103EC" w:rsidRPr="00726BDF" w:rsidRDefault="006103EC" w:rsidP="00470D7C">
            <w:pPr>
              <w:widowControl/>
              <w:autoSpaceDE/>
              <w:autoSpaceDN/>
              <w:adjustRightInd/>
              <w:jc w:val="center"/>
              <w:rPr>
                <w:bCs/>
                <w:szCs w:val="22"/>
              </w:rPr>
            </w:pPr>
            <w:r w:rsidRPr="00726BDF">
              <w:rPr>
                <w:bCs/>
                <w:szCs w:val="22"/>
              </w:rPr>
              <w:t>Description of Change</w:t>
            </w:r>
          </w:p>
        </w:tc>
        <w:tc>
          <w:tcPr>
            <w:tcW w:w="1710" w:type="dxa"/>
            <w:shd w:val="clear" w:color="auto" w:fill="auto"/>
            <w:vAlign w:val="center"/>
          </w:tcPr>
          <w:p w14:paraId="7BFD7CB5" w14:textId="4EF236A0" w:rsidR="006103EC" w:rsidRPr="00726BDF" w:rsidRDefault="006103EC" w:rsidP="00470D7C">
            <w:pPr>
              <w:widowControl/>
              <w:autoSpaceDE/>
              <w:autoSpaceDN/>
              <w:adjustRightInd/>
              <w:jc w:val="center"/>
              <w:rPr>
                <w:bCs/>
                <w:szCs w:val="22"/>
              </w:rPr>
            </w:pPr>
            <w:r w:rsidRPr="00726BDF">
              <w:rPr>
                <w:bCs/>
                <w:szCs w:val="22"/>
              </w:rPr>
              <w:t>Description of Training</w:t>
            </w:r>
            <w:r w:rsidR="00E25D5B">
              <w:rPr>
                <w:bCs/>
                <w:szCs w:val="22"/>
              </w:rPr>
              <w:t xml:space="preserve"> </w:t>
            </w:r>
            <w:r w:rsidRPr="00726BDF">
              <w:rPr>
                <w:bCs/>
                <w:szCs w:val="22"/>
              </w:rPr>
              <w:t>Required and Completion Date</w:t>
            </w:r>
          </w:p>
        </w:tc>
        <w:tc>
          <w:tcPr>
            <w:tcW w:w="1980" w:type="dxa"/>
            <w:shd w:val="clear" w:color="auto" w:fill="auto"/>
            <w:vAlign w:val="center"/>
          </w:tcPr>
          <w:p w14:paraId="46A630AD" w14:textId="774D12DA" w:rsidR="006103EC" w:rsidRPr="00726BDF" w:rsidRDefault="006103EC" w:rsidP="00470D7C">
            <w:pPr>
              <w:widowControl/>
              <w:autoSpaceDE/>
              <w:autoSpaceDN/>
              <w:adjustRightInd/>
              <w:jc w:val="center"/>
              <w:rPr>
                <w:bCs/>
                <w:szCs w:val="22"/>
              </w:rPr>
            </w:pPr>
            <w:r w:rsidRPr="00726BDF">
              <w:rPr>
                <w:bCs/>
                <w:szCs w:val="22"/>
              </w:rPr>
              <w:t xml:space="preserve">Comment </w:t>
            </w:r>
            <w:r w:rsidR="00F0080A">
              <w:rPr>
                <w:bCs/>
                <w:szCs w:val="22"/>
              </w:rPr>
              <w:t xml:space="preserve">Resolution </w:t>
            </w:r>
            <w:r w:rsidRPr="00726BDF">
              <w:rPr>
                <w:bCs/>
                <w:szCs w:val="22"/>
              </w:rPr>
              <w:t xml:space="preserve">and </w:t>
            </w:r>
            <w:r w:rsidR="00A52536">
              <w:rPr>
                <w:bCs/>
                <w:szCs w:val="22"/>
              </w:rPr>
              <w:t xml:space="preserve">Closed </w:t>
            </w:r>
            <w:r w:rsidRPr="00726BDF">
              <w:rPr>
                <w:bCs/>
                <w:szCs w:val="22"/>
              </w:rPr>
              <w:t xml:space="preserve">Feedback </w:t>
            </w:r>
            <w:r w:rsidR="00F0080A">
              <w:rPr>
                <w:bCs/>
                <w:szCs w:val="22"/>
              </w:rPr>
              <w:t xml:space="preserve">Form </w:t>
            </w:r>
            <w:r w:rsidRPr="00726BDF">
              <w:rPr>
                <w:bCs/>
                <w:szCs w:val="22"/>
              </w:rPr>
              <w:t>Accession Number</w:t>
            </w:r>
            <w:r w:rsidR="00F0080A">
              <w:rPr>
                <w:bCs/>
                <w:szCs w:val="22"/>
              </w:rPr>
              <w:t xml:space="preserve"> </w:t>
            </w:r>
            <w:r w:rsidR="00F0080A" w:rsidRPr="00F0080A">
              <w:rPr>
                <w:bCs/>
                <w:szCs w:val="22"/>
              </w:rPr>
              <w:t>(Pre-Decisional, Non-Public)</w:t>
            </w:r>
          </w:p>
        </w:tc>
      </w:tr>
      <w:tr w:rsidR="006103EC" w:rsidRPr="00726BDF" w14:paraId="7D75F47C" w14:textId="77777777" w:rsidTr="00E25D5B">
        <w:trPr>
          <w:cantSplit/>
          <w:jc w:val="center"/>
        </w:trPr>
        <w:tc>
          <w:tcPr>
            <w:tcW w:w="1463" w:type="dxa"/>
            <w:shd w:val="clear" w:color="auto" w:fill="auto"/>
          </w:tcPr>
          <w:p w14:paraId="34E5C017" w14:textId="77777777" w:rsidR="006103EC" w:rsidRPr="00726BDF" w:rsidRDefault="006103EC" w:rsidP="00470D7C">
            <w:pPr>
              <w:widowControl/>
              <w:autoSpaceDE/>
              <w:autoSpaceDN/>
              <w:adjustRightInd/>
              <w:rPr>
                <w:bCs/>
                <w:szCs w:val="22"/>
              </w:rPr>
            </w:pPr>
          </w:p>
        </w:tc>
        <w:tc>
          <w:tcPr>
            <w:tcW w:w="1682" w:type="dxa"/>
            <w:shd w:val="clear" w:color="auto" w:fill="auto"/>
          </w:tcPr>
          <w:p w14:paraId="6D071017" w14:textId="7EFCD8D9" w:rsidR="006103EC" w:rsidRPr="00726BDF" w:rsidRDefault="006103EC" w:rsidP="00470D7C">
            <w:pPr>
              <w:widowControl/>
              <w:autoSpaceDE/>
              <w:autoSpaceDN/>
              <w:adjustRightInd/>
              <w:rPr>
                <w:bCs/>
                <w:szCs w:val="22"/>
              </w:rPr>
            </w:pPr>
            <w:r>
              <w:rPr>
                <w:rFonts w:cs="Arial"/>
                <w:color w:val="000000"/>
                <w:szCs w:val="22"/>
              </w:rPr>
              <w:t>05/28/2004</w:t>
            </w:r>
          </w:p>
        </w:tc>
        <w:tc>
          <w:tcPr>
            <w:tcW w:w="5940" w:type="dxa"/>
            <w:shd w:val="clear" w:color="auto" w:fill="auto"/>
          </w:tcPr>
          <w:p w14:paraId="4301251C" w14:textId="7DC6E3D3" w:rsidR="006103EC" w:rsidRPr="00726BDF" w:rsidRDefault="006103EC" w:rsidP="00470D7C">
            <w:pPr>
              <w:widowControl/>
              <w:autoSpaceDE/>
              <w:autoSpaceDN/>
              <w:adjustRightInd/>
              <w:rPr>
                <w:bCs/>
                <w:szCs w:val="22"/>
              </w:rPr>
            </w:pPr>
            <w:r>
              <w:rPr>
                <w:rFonts w:cs="Arial"/>
                <w:color w:val="000000"/>
                <w:szCs w:val="22"/>
              </w:rPr>
              <w:t xml:space="preserve">Initial issue </w:t>
            </w:r>
            <w:r w:rsidRPr="006103EC">
              <w:rPr>
                <w:rFonts w:cs="Arial"/>
                <w:color w:val="000000"/>
                <w:szCs w:val="22"/>
              </w:rPr>
              <w:t>to provide the supporting technical "basis" for IMC 0609, App F.</w:t>
            </w:r>
          </w:p>
        </w:tc>
        <w:tc>
          <w:tcPr>
            <w:tcW w:w="1710" w:type="dxa"/>
            <w:shd w:val="clear" w:color="auto" w:fill="auto"/>
          </w:tcPr>
          <w:p w14:paraId="1DF98C99" w14:textId="77777777" w:rsidR="006103EC" w:rsidRPr="00726BDF" w:rsidRDefault="006103EC" w:rsidP="00470D7C">
            <w:pPr>
              <w:widowControl/>
              <w:autoSpaceDE/>
              <w:autoSpaceDN/>
              <w:adjustRightInd/>
              <w:rPr>
                <w:bCs/>
                <w:szCs w:val="22"/>
              </w:rPr>
            </w:pPr>
          </w:p>
        </w:tc>
        <w:tc>
          <w:tcPr>
            <w:tcW w:w="1980" w:type="dxa"/>
            <w:shd w:val="clear" w:color="auto" w:fill="auto"/>
          </w:tcPr>
          <w:p w14:paraId="099392DE" w14:textId="77777777" w:rsidR="006103EC" w:rsidRPr="00726BDF" w:rsidRDefault="006103EC" w:rsidP="00470D7C">
            <w:pPr>
              <w:widowControl/>
              <w:autoSpaceDE/>
              <w:autoSpaceDN/>
              <w:adjustRightInd/>
              <w:rPr>
                <w:bCs/>
                <w:szCs w:val="22"/>
              </w:rPr>
            </w:pPr>
          </w:p>
        </w:tc>
      </w:tr>
      <w:tr w:rsidR="006103EC" w:rsidRPr="00726BDF" w14:paraId="6C9F665C" w14:textId="77777777" w:rsidTr="00E25D5B">
        <w:trPr>
          <w:cantSplit/>
          <w:jc w:val="center"/>
        </w:trPr>
        <w:tc>
          <w:tcPr>
            <w:tcW w:w="1463" w:type="dxa"/>
            <w:shd w:val="clear" w:color="auto" w:fill="auto"/>
          </w:tcPr>
          <w:p w14:paraId="093CA38F" w14:textId="77777777" w:rsidR="006103EC" w:rsidRPr="00726BDF" w:rsidRDefault="006103EC" w:rsidP="00470D7C">
            <w:pPr>
              <w:widowControl/>
              <w:autoSpaceDE/>
              <w:autoSpaceDN/>
              <w:adjustRightInd/>
              <w:rPr>
                <w:bCs/>
                <w:szCs w:val="22"/>
              </w:rPr>
            </w:pPr>
          </w:p>
        </w:tc>
        <w:tc>
          <w:tcPr>
            <w:tcW w:w="1682" w:type="dxa"/>
            <w:shd w:val="clear" w:color="auto" w:fill="auto"/>
          </w:tcPr>
          <w:p w14:paraId="765B49F6" w14:textId="5C8BA092" w:rsidR="006103EC" w:rsidRPr="00726BDF" w:rsidRDefault="006103EC" w:rsidP="00470D7C">
            <w:pPr>
              <w:widowControl/>
              <w:autoSpaceDE/>
              <w:autoSpaceDN/>
              <w:adjustRightInd/>
              <w:rPr>
                <w:rFonts w:cs="Arial"/>
                <w:color w:val="000000"/>
                <w:szCs w:val="22"/>
              </w:rPr>
            </w:pPr>
            <w:r>
              <w:rPr>
                <w:rFonts w:cs="Arial"/>
                <w:color w:val="000000"/>
                <w:szCs w:val="22"/>
              </w:rPr>
              <w:t>02/28/2005</w:t>
            </w:r>
          </w:p>
        </w:tc>
        <w:tc>
          <w:tcPr>
            <w:tcW w:w="5940" w:type="dxa"/>
            <w:shd w:val="clear" w:color="auto" w:fill="auto"/>
          </w:tcPr>
          <w:p w14:paraId="2731583B" w14:textId="011BCFBE" w:rsidR="006103EC" w:rsidRPr="00726BDF" w:rsidRDefault="006103EC" w:rsidP="00470D7C">
            <w:pPr>
              <w:widowControl/>
              <w:autoSpaceDE/>
              <w:autoSpaceDN/>
              <w:adjustRightInd/>
              <w:rPr>
                <w:rFonts w:cs="Arial"/>
                <w:color w:val="000000"/>
                <w:szCs w:val="22"/>
              </w:rPr>
            </w:pPr>
            <w:r>
              <w:rPr>
                <w:rFonts w:cs="Arial"/>
                <w:color w:val="000000"/>
                <w:szCs w:val="22"/>
              </w:rPr>
              <w:t>R</w:t>
            </w:r>
            <w:r w:rsidRPr="006103EC">
              <w:rPr>
                <w:rFonts w:cs="Arial"/>
                <w:color w:val="000000"/>
                <w:szCs w:val="22"/>
              </w:rPr>
              <w:t>evised to correct typographical errors; change all references from 50th and 95th to 75th and 98th percentile, respectively, for expected and high confidence fire intensity values; add additional applicable correlations from NUREG-1805; remove bullet on moderate degradation against the fire prevention or administrative control program on page 48 (not applicable in current process); correct the base fire frequency for non-qualified cables, medium loading in Table A9.3 on page 59; expand Table A9.6 and A9.7 to provide a better breakout of time to failure using temperature ranges.</w:t>
            </w:r>
          </w:p>
        </w:tc>
        <w:tc>
          <w:tcPr>
            <w:tcW w:w="1710" w:type="dxa"/>
            <w:shd w:val="clear" w:color="auto" w:fill="auto"/>
          </w:tcPr>
          <w:p w14:paraId="2B129EA2" w14:textId="77777777" w:rsidR="006103EC" w:rsidRPr="00726BDF" w:rsidRDefault="006103EC" w:rsidP="00470D7C">
            <w:pPr>
              <w:widowControl/>
              <w:autoSpaceDE/>
              <w:autoSpaceDN/>
              <w:adjustRightInd/>
              <w:rPr>
                <w:bCs/>
                <w:szCs w:val="22"/>
              </w:rPr>
            </w:pPr>
          </w:p>
        </w:tc>
        <w:tc>
          <w:tcPr>
            <w:tcW w:w="1980" w:type="dxa"/>
            <w:shd w:val="clear" w:color="auto" w:fill="auto"/>
          </w:tcPr>
          <w:p w14:paraId="045C8678" w14:textId="77777777" w:rsidR="006103EC" w:rsidRPr="00726BDF" w:rsidRDefault="006103EC" w:rsidP="00470D7C">
            <w:pPr>
              <w:widowControl/>
              <w:autoSpaceDE/>
              <w:autoSpaceDN/>
              <w:adjustRightInd/>
              <w:rPr>
                <w:bCs/>
                <w:szCs w:val="22"/>
              </w:rPr>
            </w:pPr>
          </w:p>
        </w:tc>
      </w:tr>
      <w:tr w:rsidR="006103EC" w:rsidRPr="00726BDF" w14:paraId="1ADB6F75" w14:textId="77777777" w:rsidTr="00E25D5B">
        <w:trPr>
          <w:cantSplit/>
          <w:jc w:val="center"/>
        </w:trPr>
        <w:tc>
          <w:tcPr>
            <w:tcW w:w="1463" w:type="dxa"/>
            <w:shd w:val="clear" w:color="auto" w:fill="auto"/>
          </w:tcPr>
          <w:p w14:paraId="5831E4C0" w14:textId="77777777" w:rsidR="004D46E2" w:rsidRPr="004D46E2" w:rsidRDefault="004D46E2" w:rsidP="00470D7C">
            <w:pPr>
              <w:rPr>
                <w:szCs w:val="22"/>
              </w:rPr>
            </w:pPr>
          </w:p>
          <w:p w14:paraId="5A085ABF" w14:textId="77777777" w:rsidR="004D46E2" w:rsidRPr="004D46E2" w:rsidRDefault="004D46E2" w:rsidP="00470D7C">
            <w:pPr>
              <w:rPr>
                <w:szCs w:val="22"/>
              </w:rPr>
            </w:pPr>
          </w:p>
          <w:p w14:paraId="248A05CF" w14:textId="77777777" w:rsidR="004D46E2" w:rsidRPr="004D46E2" w:rsidRDefault="004D46E2" w:rsidP="00470D7C">
            <w:pPr>
              <w:rPr>
                <w:szCs w:val="22"/>
              </w:rPr>
            </w:pPr>
          </w:p>
          <w:p w14:paraId="4CEB0F88" w14:textId="77777777" w:rsidR="004D46E2" w:rsidRPr="004D46E2" w:rsidRDefault="004D46E2" w:rsidP="00470D7C">
            <w:pPr>
              <w:rPr>
                <w:szCs w:val="22"/>
              </w:rPr>
            </w:pPr>
          </w:p>
          <w:p w14:paraId="7DDAA1E3" w14:textId="70BFA6C0" w:rsidR="004D46E2" w:rsidRDefault="004D46E2" w:rsidP="00470D7C">
            <w:pPr>
              <w:rPr>
                <w:szCs w:val="22"/>
              </w:rPr>
            </w:pPr>
          </w:p>
          <w:p w14:paraId="036D057F" w14:textId="0878826D" w:rsidR="004D46E2" w:rsidRDefault="004D46E2" w:rsidP="00470D7C">
            <w:pPr>
              <w:rPr>
                <w:szCs w:val="22"/>
              </w:rPr>
            </w:pPr>
          </w:p>
          <w:p w14:paraId="1230464C" w14:textId="77777777" w:rsidR="006103EC" w:rsidRPr="004D46E2" w:rsidRDefault="006103EC" w:rsidP="00470D7C">
            <w:pPr>
              <w:jc w:val="center"/>
              <w:rPr>
                <w:szCs w:val="22"/>
              </w:rPr>
            </w:pPr>
          </w:p>
        </w:tc>
        <w:tc>
          <w:tcPr>
            <w:tcW w:w="1682" w:type="dxa"/>
            <w:shd w:val="clear" w:color="auto" w:fill="auto"/>
          </w:tcPr>
          <w:p w14:paraId="243ED74A" w14:textId="77777777" w:rsidR="006103EC" w:rsidRDefault="00F0080A" w:rsidP="00470D7C">
            <w:pPr>
              <w:widowControl/>
              <w:autoSpaceDE/>
              <w:autoSpaceDN/>
              <w:adjustRightInd/>
              <w:rPr>
                <w:rFonts w:cs="Arial"/>
                <w:color w:val="000000"/>
                <w:szCs w:val="22"/>
              </w:rPr>
            </w:pPr>
            <w:r w:rsidRPr="00F0080A">
              <w:rPr>
                <w:rFonts w:cs="Arial"/>
                <w:color w:val="000000"/>
                <w:szCs w:val="22"/>
              </w:rPr>
              <w:t>ML17144A273</w:t>
            </w:r>
          </w:p>
          <w:p w14:paraId="19D60821" w14:textId="77777777" w:rsidR="00A52536" w:rsidRDefault="00A52536" w:rsidP="00470D7C">
            <w:pPr>
              <w:widowControl/>
              <w:autoSpaceDE/>
              <w:autoSpaceDN/>
              <w:adjustRightInd/>
              <w:rPr>
                <w:rFonts w:cs="Arial"/>
                <w:color w:val="000000"/>
                <w:szCs w:val="22"/>
              </w:rPr>
            </w:pPr>
            <w:r>
              <w:rPr>
                <w:rFonts w:cs="Arial"/>
                <w:color w:val="000000"/>
                <w:szCs w:val="22"/>
              </w:rPr>
              <w:t>DRAFT</w:t>
            </w:r>
          </w:p>
          <w:p w14:paraId="2F45E6BD" w14:textId="545E7B60" w:rsidR="00A52536" w:rsidRPr="00726BDF" w:rsidRDefault="00A52536" w:rsidP="00470D7C">
            <w:pPr>
              <w:widowControl/>
              <w:autoSpaceDE/>
              <w:autoSpaceDN/>
              <w:adjustRightInd/>
              <w:rPr>
                <w:rFonts w:cs="Arial"/>
                <w:color w:val="000000"/>
                <w:szCs w:val="22"/>
              </w:rPr>
            </w:pPr>
            <w:r>
              <w:rPr>
                <w:rFonts w:cs="Arial"/>
                <w:color w:val="000000"/>
                <w:szCs w:val="22"/>
              </w:rPr>
              <w:t>CN 17-XXX</w:t>
            </w:r>
          </w:p>
        </w:tc>
        <w:tc>
          <w:tcPr>
            <w:tcW w:w="5940" w:type="dxa"/>
            <w:shd w:val="clear" w:color="auto" w:fill="auto"/>
          </w:tcPr>
          <w:p w14:paraId="378831FE" w14:textId="00426370" w:rsidR="00F0080A" w:rsidRPr="00F0080A" w:rsidRDefault="00F0080A" w:rsidP="00470D7C">
            <w:pPr>
              <w:widowControl/>
              <w:autoSpaceDE/>
              <w:autoSpaceDN/>
              <w:adjustRightInd/>
              <w:rPr>
                <w:rFonts w:cs="Arial"/>
                <w:iCs/>
                <w:color w:val="000000"/>
                <w:szCs w:val="22"/>
              </w:rPr>
            </w:pPr>
            <w:r w:rsidRPr="00F0080A">
              <w:rPr>
                <w:rFonts w:cs="Arial"/>
                <w:iCs/>
                <w:color w:val="000000"/>
                <w:szCs w:val="22"/>
              </w:rPr>
              <w:t xml:space="preserve">Major revision </w:t>
            </w:r>
            <w:r>
              <w:rPr>
                <w:rFonts w:cs="Arial"/>
                <w:iCs/>
                <w:color w:val="000000"/>
                <w:szCs w:val="22"/>
              </w:rPr>
              <w:t>to reflect revision of IMC 0609 Appendix F</w:t>
            </w:r>
            <w:r w:rsidRPr="00F0080A">
              <w:rPr>
                <w:rFonts w:cs="Arial"/>
                <w:iCs/>
                <w:color w:val="000000"/>
                <w:szCs w:val="22"/>
              </w:rPr>
              <w:t xml:space="preserve">, including all of </w:t>
            </w:r>
            <w:r>
              <w:rPr>
                <w:rFonts w:cs="Arial"/>
                <w:iCs/>
                <w:color w:val="000000"/>
                <w:szCs w:val="22"/>
              </w:rPr>
              <w:t>its</w:t>
            </w:r>
            <w:r w:rsidRPr="00F0080A">
              <w:rPr>
                <w:rFonts w:cs="Arial"/>
                <w:iCs/>
                <w:color w:val="000000"/>
                <w:szCs w:val="22"/>
              </w:rPr>
              <w:t xml:space="preserve"> attachments, to update the analysis methods for consistency with the guidance in NUREG/CR-6850 and superseding guidance in NFPA 805 FAQs, NUREG-2169, NUREG-2178, and NUREG/CR-7010.  Revisions to Phase 1 include:  (a) revision of the screening questions based on inspector feedback, (b) re-ordering of the steps, (c) removal of the initial quantitative screening, (d) addition of main control room fire questions, and (e) removal of fire brigade screening questions.  Revisions to Phase 2 include:  (a) removal of need to use the Fire Dynamics Tools (FDTs) Spreadsheets, (b) addition of tables and plots for determining zone of influence, hot gas layer, heat release rates for fires involving cable trays, severity factor, damage times, and detector and sprinkler activation times in lieu of using the FDTs, (c) re-organization of the process, (d) removal of moderate degradation rating screening criteria, (e) removal of 75</w:t>
            </w:r>
            <w:r w:rsidRPr="00F0080A">
              <w:rPr>
                <w:rFonts w:cs="Arial"/>
                <w:iCs/>
                <w:color w:val="000000"/>
                <w:szCs w:val="22"/>
                <w:vertAlign w:val="superscript"/>
              </w:rPr>
              <w:t>th</w:t>
            </w:r>
            <w:r w:rsidRPr="00F0080A">
              <w:rPr>
                <w:rFonts w:cs="Arial"/>
                <w:iCs/>
                <w:color w:val="000000"/>
                <w:szCs w:val="22"/>
              </w:rPr>
              <w:t xml:space="preserve"> percentile fire analysis, and (f) update of the ignition source heat release rates, fire ignition frequencies, and manual fire suppression curves.</w:t>
            </w:r>
          </w:p>
          <w:p w14:paraId="4AA6B9C4" w14:textId="77777777" w:rsidR="00296968" w:rsidRDefault="00F0080A" w:rsidP="00470D7C">
            <w:pPr>
              <w:outlineLvl w:val="1"/>
              <w:rPr>
                <w:rFonts w:cs="Arial"/>
                <w:szCs w:val="22"/>
              </w:rPr>
            </w:pPr>
            <w:bookmarkStart w:id="189" w:name="_Toc511060773"/>
            <w:bookmarkStart w:id="190" w:name="_Toc511060905"/>
            <w:r w:rsidRPr="00F0080A">
              <w:rPr>
                <w:rFonts w:cs="Arial"/>
                <w:iCs/>
                <w:color w:val="000000"/>
                <w:szCs w:val="22"/>
              </w:rPr>
              <w:t xml:space="preserve">This update includes closure of ROP feedback forms </w:t>
            </w:r>
            <w:r>
              <w:rPr>
                <w:rFonts w:cs="Arial"/>
                <w:iCs/>
                <w:color w:val="000000"/>
                <w:szCs w:val="22"/>
              </w:rPr>
              <w:t>0308.03F-1741 and 1916.</w:t>
            </w:r>
            <w:bookmarkEnd w:id="189"/>
            <w:bookmarkEnd w:id="190"/>
            <w:r w:rsidR="00296968">
              <w:rPr>
                <w:rFonts w:cs="Arial"/>
                <w:szCs w:val="22"/>
              </w:rPr>
              <w:t xml:space="preserve"> </w:t>
            </w:r>
          </w:p>
          <w:p w14:paraId="2F91DBE5" w14:textId="77777777" w:rsidR="006103EC" w:rsidRDefault="00296968" w:rsidP="00470D7C">
            <w:pPr>
              <w:outlineLvl w:val="1"/>
              <w:rPr>
                <w:rFonts w:cs="Arial"/>
                <w:szCs w:val="22"/>
              </w:rPr>
            </w:pPr>
            <w:bookmarkStart w:id="191" w:name="_Toc511060774"/>
            <w:bookmarkStart w:id="192" w:name="_Toc511060906"/>
            <w:r>
              <w:rPr>
                <w:rFonts w:cs="Arial"/>
                <w:szCs w:val="22"/>
              </w:rPr>
              <w:t xml:space="preserve">CA Note sent 7/18/17 for information only, </w:t>
            </w:r>
            <w:r w:rsidRPr="00ED6DA9">
              <w:rPr>
                <w:rFonts w:cs="Arial"/>
                <w:szCs w:val="22"/>
              </w:rPr>
              <w:t>ML17191A681</w:t>
            </w:r>
            <w:r>
              <w:rPr>
                <w:rFonts w:cs="Arial"/>
                <w:szCs w:val="22"/>
              </w:rPr>
              <w:t>.</w:t>
            </w:r>
            <w:bookmarkEnd w:id="191"/>
            <w:bookmarkEnd w:id="192"/>
          </w:p>
          <w:p w14:paraId="27B1AE70" w14:textId="0F7E1E8F" w:rsidR="008B45FF" w:rsidRPr="006103EC" w:rsidRDefault="008B45FF" w:rsidP="00470D7C">
            <w:pPr>
              <w:outlineLvl w:val="1"/>
              <w:rPr>
                <w:rFonts w:cs="Arial"/>
                <w:color w:val="000000"/>
                <w:szCs w:val="22"/>
              </w:rPr>
            </w:pPr>
            <w:bookmarkStart w:id="193" w:name="_Toc511060775"/>
            <w:bookmarkStart w:id="194" w:name="_Toc511060907"/>
            <w:r w:rsidRPr="008B45FF">
              <w:rPr>
                <w:rFonts w:cs="Arial"/>
                <w:color w:val="000000"/>
                <w:szCs w:val="22"/>
              </w:rPr>
              <w:t xml:space="preserve">Issued </w:t>
            </w:r>
            <w:r w:rsidR="00BB724B">
              <w:rPr>
                <w:rFonts w:cs="Arial"/>
                <w:color w:val="000000"/>
                <w:szCs w:val="22"/>
              </w:rPr>
              <w:t xml:space="preserve">10/11/17 </w:t>
            </w:r>
            <w:r w:rsidRPr="008B45FF">
              <w:rPr>
                <w:rFonts w:cs="Arial"/>
                <w:color w:val="000000"/>
                <w:szCs w:val="22"/>
              </w:rPr>
              <w:t>as a draft publically available document to allow for public comments.</w:t>
            </w:r>
            <w:bookmarkEnd w:id="193"/>
            <w:bookmarkEnd w:id="194"/>
          </w:p>
        </w:tc>
        <w:tc>
          <w:tcPr>
            <w:tcW w:w="1710" w:type="dxa"/>
            <w:shd w:val="clear" w:color="auto" w:fill="auto"/>
          </w:tcPr>
          <w:p w14:paraId="667DC6FE" w14:textId="0F7B47DC" w:rsidR="006103EC" w:rsidRPr="00726BDF" w:rsidRDefault="00296968" w:rsidP="00470D7C">
            <w:pPr>
              <w:widowControl/>
              <w:autoSpaceDE/>
              <w:autoSpaceDN/>
              <w:adjustRightInd/>
              <w:rPr>
                <w:bCs/>
                <w:szCs w:val="22"/>
              </w:rPr>
            </w:pPr>
            <w:r>
              <w:rPr>
                <w:bCs/>
                <w:szCs w:val="22"/>
              </w:rPr>
              <w:t>November 2017</w:t>
            </w:r>
          </w:p>
        </w:tc>
        <w:tc>
          <w:tcPr>
            <w:tcW w:w="1980" w:type="dxa"/>
            <w:shd w:val="clear" w:color="auto" w:fill="auto"/>
          </w:tcPr>
          <w:p w14:paraId="7E0B11F2" w14:textId="77777777" w:rsidR="006103EC" w:rsidRDefault="00F0080A" w:rsidP="00470D7C">
            <w:pPr>
              <w:widowControl/>
              <w:autoSpaceDE/>
              <w:autoSpaceDN/>
              <w:adjustRightInd/>
              <w:rPr>
                <w:bCs/>
                <w:szCs w:val="22"/>
              </w:rPr>
            </w:pPr>
            <w:r w:rsidRPr="00F0080A">
              <w:rPr>
                <w:bCs/>
                <w:szCs w:val="22"/>
              </w:rPr>
              <w:t>ML17145A084</w:t>
            </w:r>
          </w:p>
          <w:p w14:paraId="3BA4253F" w14:textId="77777777" w:rsidR="00F0080A" w:rsidRDefault="00F0080A" w:rsidP="00470D7C">
            <w:pPr>
              <w:widowControl/>
              <w:autoSpaceDE/>
              <w:autoSpaceDN/>
              <w:adjustRightInd/>
              <w:rPr>
                <w:bCs/>
                <w:szCs w:val="22"/>
              </w:rPr>
            </w:pPr>
            <w:r>
              <w:rPr>
                <w:bCs/>
                <w:szCs w:val="22"/>
              </w:rPr>
              <w:t>0308.03F-1741</w:t>
            </w:r>
          </w:p>
          <w:p w14:paraId="69885348" w14:textId="2DEFDE41" w:rsidR="00B43D79" w:rsidRDefault="00B43D79" w:rsidP="00470D7C">
            <w:pPr>
              <w:widowControl/>
              <w:autoSpaceDE/>
              <w:autoSpaceDN/>
              <w:adjustRightInd/>
              <w:rPr>
                <w:bCs/>
                <w:szCs w:val="22"/>
              </w:rPr>
            </w:pPr>
            <w:r>
              <w:rPr>
                <w:bCs/>
                <w:szCs w:val="22"/>
              </w:rPr>
              <w:t>ML18093A045</w:t>
            </w:r>
          </w:p>
          <w:p w14:paraId="662E2912" w14:textId="77777777" w:rsidR="00511E63" w:rsidRDefault="00F0080A" w:rsidP="00470D7C">
            <w:pPr>
              <w:widowControl/>
              <w:autoSpaceDE/>
              <w:autoSpaceDN/>
              <w:adjustRightInd/>
              <w:rPr>
                <w:bCs/>
                <w:szCs w:val="22"/>
              </w:rPr>
            </w:pPr>
            <w:r>
              <w:rPr>
                <w:bCs/>
                <w:szCs w:val="22"/>
              </w:rPr>
              <w:t>0308.03F-1916</w:t>
            </w:r>
          </w:p>
          <w:p w14:paraId="0247E2FB" w14:textId="13EA7FFE" w:rsidR="00B43D79" w:rsidRPr="00726BDF" w:rsidRDefault="00B43D79" w:rsidP="00470D7C">
            <w:pPr>
              <w:widowControl/>
              <w:autoSpaceDE/>
              <w:autoSpaceDN/>
              <w:adjustRightInd/>
              <w:rPr>
                <w:bCs/>
                <w:szCs w:val="22"/>
              </w:rPr>
            </w:pPr>
            <w:r>
              <w:rPr>
                <w:bCs/>
                <w:szCs w:val="22"/>
              </w:rPr>
              <w:t>ML18093A046</w:t>
            </w:r>
          </w:p>
        </w:tc>
      </w:tr>
      <w:tr w:rsidR="008B45FF" w:rsidRPr="00726BDF" w14:paraId="040259AC" w14:textId="77777777" w:rsidTr="00E25D5B">
        <w:trPr>
          <w:cantSplit/>
          <w:jc w:val="center"/>
        </w:trPr>
        <w:tc>
          <w:tcPr>
            <w:tcW w:w="1463" w:type="dxa"/>
            <w:shd w:val="clear" w:color="auto" w:fill="auto"/>
          </w:tcPr>
          <w:p w14:paraId="60DDEE7A" w14:textId="77777777" w:rsidR="008B45FF" w:rsidRDefault="008B45FF" w:rsidP="00470D7C">
            <w:pPr>
              <w:widowControl/>
              <w:autoSpaceDE/>
              <w:autoSpaceDN/>
              <w:adjustRightInd/>
              <w:rPr>
                <w:bCs/>
                <w:szCs w:val="22"/>
              </w:rPr>
            </w:pPr>
          </w:p>
        </w:tc>
        <w:tc>
          <w:tcPr>
            <w:tcW w:w="1682" w:type="dxa"/>
            <w:shd w:val="clear" w:color="auto" w:fill="auto"/>
          </w:tcPr>
          <w:p w14:paraId="43E2296B" w14:textId="67FBBB99" w:rsidR="00E4223B" w:rsidRDefault="008B45FF" w:rsidP="00470D7C">
            <w:pPr>
              <w:widowControl/>
              <w:autoSpaceDE/>
              <w:autoSpaceDN/>
              <w:adjustRightInd/>
              <w:rPr>
                <w:rFonts w:cs="Arial"/>
                <w:color w:val="000000"/>
                <w:szCs w:val="22"/>
              </w:rPr>
            </w:pPr>
            <w:r>
              <w:rPr>
                <w:rFonts w:cs="Arial"/>
                <w:color w:val="000000"/>
                <w:szCs w:val="22"/>
              </w:rPr>
              <w:t>ML</w:t>
            </w:r>
            <w:r w:rsidR="00105428">
              <w:rPr>
                <w:rFonts w:cs="Arial"/>
                <w:color w:val="000000"/>
                <w:szCs w:val="22"/>
              </w:rPr>
              <w:t>18087A416</w:t>
            </w:r>
          </w:p>
          <w:p w14:paraId="49A85171" w14:textId="59493BCF" w:rsidR="00B43D79" w:rsidRDefault="00B43D79" w:rsidP="00470D7C">
            <w:pPr>
              <w:widowControl/>
              <w:autoSpaceDE/>
              <w:autoSpaceDN/>
              <w:adjustRightInd/>
              <w:rPr>
                <w:rFonts w:cs="Arial"/>
                <w:color w:val="000000"/>
                <w:szCs w:val="22"/>
              </w:rPr>
            </w:pPr>
            <w:r>
              <w:rPr>
                <w:rFonts w:cs="Arial"/>
                <w:color w:val="000000"/>
                <w:szCs w:val="22"/>
              </w:rPr>
              <w:t>05/02/18</w:t>
            </w:r>
          </w:p>
          <w:p w14:paraId="3D12AF9D" w14:textId="303057E2" w:rsidR="00E4223B" w:rsidRPr="00F0080A" w:rsidRDefault="00B43D79" w:rsidP="00470D7C">
            <w:pPr>
              <w:widowControl/>
              <w:autoSpaceDE/>
              <w:autoSpaceDN/>
              <w:adjustRightInd/>
              <w:rPr>
                <w:rFonts w:cs="Arial"/>
                <w:color w:val="000000"/>
                <w:szCs w:val="22"/>
              </w:rPr>
            </w:pPr>
            <w:r>
              <w:rPr>
                <w:rFonts w:cs="Arial"/>
                <w:color w:val="000000"/>
                <w:szCs w:val="22"/>
              </w:rPr>
              <w:t>CN 18-010</w:t>
            </w:r>
          </w:p>
        </w:tc>
        <w:tc>
          <w:tcPr>
            <w:tcW w:w="5940" w:type="dxa"/>
            <w:shd w:val="clear" w:color="auto" w:fill="auto"/>
          </w:tcPr>
          <w:p w14:paraId="10E7E617" w14:textId="5F55E15A" w:rsidR="008B45FF" w:rsidRPr="00F0080A" w:rsidRDefault="008B45FF" w:rsidP="00470D7C">
            <w:pPr>
              <w:widowControl/>
              <w:autoSpaceDE/>
              <w:autoSpaceDN/>
              <w:adjustRightInd/>
              <w:rPr>
                <w:rFonts w:cs="Arial"/>
                <w:iCs/>
                <w:color w:val="000000"/>
                <w:szCs w:val="22"/>
              </w:rPr>
            </w:pPr>
            <w:r>
              <w:rPr>
                <w:rFonts w:cs="Arial"/>
                <w:iCs/>
                <w:color w:val="000000"/>
                <w:szCs w:val="22"/>
              </w:rPr>
              <w:t>Re-issued with n</w:t>
            </w:r>
            <w:r w:rsidRPr="008B45FF">
              <w:rPr>
                <w:rFonts w:cs="Arial"/>
                <w:iCs/>
                <w:color w:val="000000"/>
                <w:szCs w:val="22"/>
              </w:rPr>
              <w:t xml:space="preserve">ew accession number </w:t>
            </w:r>
            <w:r>
              <w:rPr>
                <w:rFonts w:cs="Arial"/>
                <w:iCs/>
                <w:color w:val="000000"/>
                <w:szCs w:val="22"/>
              </w:rPr>
              <w:t>in order to issue as an official revision after receipt of public comments.</w:t>
            </w:r>
          </w:p>
        </w:tc>
        <w:tc>
          <w:tcPr>
            <w:tcW w:w="1710" w:type="dxa"/>
            <w:shd w:val="clear" w:color="auto" w:fill="auto"/>
          </w:tcPr>
          <w:p w14:paraId="2B72C1D8" w14:textId="20E23232" w:rsidR="008B45FF" w:rsidRDefault="008B45FF" w:rsidP="00470D7C">
            <w:pPr>
              <w:widowControl/>
              <w:autoSpaceDE/>
              <w:autoSpaceDN/>
              <w:adjustRightInd/>
              <w:rPr>
                <w:bCs/>
                <w:szCs w:val="22"/>
              </w:rPr>
            </w:pPr>
            <w:r>
              <w:rPr>
                <w:bCs/>
                <w:szCs w:val="22"/>
              </w:rPr>
              <w:t>November 2017</w:t>
            </w:r>
          </w:p>
        </w:tc>
        <w:tc>
          <w:tcPr>
            <w:tcW w:w="1980" w:type="dxa"/>
            <w:shd w:val="clear" w:color="auto" w:fill="auto"/>
          </w:tcPr>
          <w:p w14:paraId="1758DBEE" w14:textId="28D41F2E" w:rsidR="008B45FF" w:rsidRPr="008B45FF" w:rsidRDefault="008B45FF" w:rsidP="00470D7C">
            <w:pPr>
              <w:widowControl/>
              <w:autoSpaceDE/>
              <w:autoSpaceDN/>
              <w:adjustRightInd/>
              <w:rPr>
                <w:bCs/>
                <w:szCs w:val="22"/>
              </w:rPr>
            </w:pPr>
            <w:r w:rsidRPr="008B45FF">
              <w:rPr>
                <w:bCs/>
                <w:szCs w:val="22"/>
              </w:rPr>
              <w:t>ML17145A084</w:t>
            </w:r>
          </w:p>
          <w:p w14:paraId="46FA0284" w14:textId="77777777" w:rsidR="008B45FF" w:rsidRPr="008B45FF" w:rsidRDefault="008B45FF" w:rsidP="00470D7C">
            <w:pPr>
              <w:widowControl/>
              <w:autoSpaceDE/>
              <w:autoSpaceDN/>
              <w:adjustRightInd/>
              <w:rPr>
                <w:bCs/>
                <w:szCs w:val="22"/>
              </w:rPr>
            </w:pPr>
            <w:r w:rsidRPr="008B45FF">
              <w:rPr>
                <w:bCs/>
                <w:szCs w:val="22"/>
              </w:rPr>
              <w:t>0308.03F-1741</w:t>
            </w:r>
          </w:p>
          <w:p w14:paraId="6C834BDD" w14:textId="6943126C" w:rsidR="008B45FF" w:rsidRPr="00F0080A" w:rsidRDefault="008B45FF" w:rsidP="00470D7C">
            <w:pPr>
              <w:widowControl/>
              <w:autoSpaceDE/>
              <w:autoSpaceDN/>
              <w:adjustRightInd/>
              <w:rPr>
                <w:bCs/>
                <w:szCs w:val="22"/>
              </w:rPr>
            </w:pPr>
            <w:r w:rsidRPr="008B45FF">
              <w:rPr>
                <w:bCs/>
                <w:szCs w:val="22"/>
              </w:rPr>
              <w:t>0308.03F-1916</w:t>
            </w:r>
          </w:p>
        </w:tc>
      </w:tr>
    </w:tbl>
    <w:p w14:paraId="1A27E558" w14:textId="43029016" w:rsidR="00501A55" w:rsidRDefault="00501A55" w:rsidP="004D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501A55" w:rsidSect="006103EC">
      <w:footerReference w:type="default" r:id="rId43"/>
      <w:pgSz w:w="15840" w:h="12240" w:orient="landscape"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E08AE" w14:textId="77777777" w:rsidR="00B9252A" w:rsidRDefault="00B9252A">
      <w:r>
        <w:separator/>
      </w:r>
    </w:p>
  </w:endnote>
  <w:endnote w:type="continuationSeparator" w:id="0">
    <w:p w14:paraId="10D3C917" w14:textId="77777777" w:rsidR="00B9252A" w:rsidRDefault="00B9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D5D5" w14:textId="77777777" w:rsidR="00B43D79" w:rsidRDefault="00B43D79">
    <w:pPr>
      <w:spacing w:line="285" w:lineRule="exact"/>
    </w:pPr>
  </w:p>
  <w:p w14:paraId="2EF82C70" w14:textId="77777777" w:rsidR="00B43D79" w:rsidRDefault="00B43D79">
    <w:pPr>
      <w:framePr w:w="9361" w:wrap="notBeside" w:vAnchor="text" w:hAnchor="text" w:x="1" w:y="1"/>
      <w:jc w:val="center"/>
      <w:rPr>
        <w:rFonts w:cs="Arial"/>
        <w:szCs w:val="22"/>
      </w:rPr>
    </w:pPr>
    <w:r>
      <w:rPr>
        <w:rFonts w:cs="Arial"/>
        <w:szCs w:val="22"/>
      </w:rPr>
      <w:fldChar w:fldCharType="begin"/>
    </w:r>
    <w:r>
      <w:rPr>
        <w:rFonts w:cs="Arial"/>
        <w:szCs w:val="22"/>
      </w:rPr>
      <w:instrText xml:space="preserve">PAGE </w:instrText>
    </w:r>
    <w:r>
      <w:rPr>
        <w:rFonts w:cs="Arial"/>
        <w:szCs w:val="22"/>
      </w:rPr>
      <w:fldChar w:fldCharType="separate"/>
    </w:r>
    <w:r>
      <w:rPr>
        <w:rFonts w:cs="Arial"/>
        <w:noProof/>
        <w:szCs w:val="22"/>
      </w:rPr>
      <w:t>18</w:t>
    </w:r>
    <w:r>
      <w:rPr>
        <w:rFonts w:cs="Arial"/>
        <w:szCs w:val="22"/>
      </w:rPr>
      <w:fldChar w:fldCharType="end"/>
    </w:r>
  </w:p>
  <w:p w14:paraId="01CD9949" w14:textId="77777777" w:rsidR="00B43D79" w:rsidRDefault="00B43D79">
    <w:pPr>
      <w:tabs>
        <w:tab w:val="center" w:pos="4680"/>
        <w:tab w:val="right" w:pos="9360"/>
      </w:tabs>
      <w:rPr>
        <w:rFonts w:cs="Arial"/>
        <w:szCs w:val="22"/>
      </w:rPr>
    </w:pPr>
    <w:r>
      <w:rPr>
        <w:rFonts w:cs="Arial"/>
        <w:szCs w:val="22"/>
      </w:rPr>
      <w:t xml:space="preserve">0308, Att 3, App F </w:t>
    </w:r>
    <w:r>
      <w:rPr>
        <w:rFonts w:cs="Arial"/>
        <w:szCs w:val="22"/>
      </w:rPr>
      <w:tab/>
    </w:r>
    <w:r>
      <w:rPr>
        <w:rFonts w:cs="Arial"/>
        <w:szCs w:val="22"/>
      </w:rPr>
      <w:tab/>
      <w:t>Issue Date: 02/28/05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F50D" w14:textId="3E1A0F5D" w:rsidR="00B43D79" w:rsidRPr="00645D14" w:rsidRDefault="00B43D79">
    <w:pPr>
      <w:tabs>
        <w:tab w:val="center" w:pos="4680"/>
        <w:tab w:val="right" w:pos="9360"/>
      </w:tabs>
      <w:rPr>
        <w:rFonts w:cs="Arial"/>
      </w:rPr>
    </w:pPr>
    <w:r w:rsidRPr="00645D14">
      <w:rPr>
        <w:rFonts w:cs="Arial"/>
      </w:rPr>
      <w:t>Issue Date:</w:t>
    </w:r>
    <w:r>
      <w:rPr>
        <w:rFonts w:cs="Arial"/>
      </w:rPr>
      <w:t xml:space="preserve">  05/02/18</w:t>
    </w:r>
    <w:r w:rsidRPr="00645D14">
      <w:rPr>
        <w:rFonts w:cs="Arial"/>
      </w:rPr>
      <w:tab/>
    </w:r>
    <w:r w:rsidRPr="00645D14">
      <w:rPr>
        <w:rStyle w:val="PageNumber"/>
        <w:rFonts w:cs="Arial"/>
      </w:rPr>
      <w:fldChar w:fldCharType="begin"/>
    </w:r>
    <w:r w:rsidRPr="00645D14">
      <w:rPr>
        <w:rStyle w:val="PageNumber"/>
        <w:rFonts w:cs="Arial"/>
      </w:rPr>
      <w:instrText xml:space="preserve"> PAGE </w:instrText>
    </w:r>
    <w:r w:rsidRPr="00645D14">
      <w:rPr>
        <w:rStyle w:val="PageNumber"/>
        <w:rFonts w:cs="Arial"/>
      </w:rPr>
      <w:fldChar w:fldCharType="separate"/>
    </w:r>
    <w:r w:rsidR="00267057">
      <w:rPr>
        <w:rStyle w:val="PageNumber"/>
        <w:rFonts w:cs="Arial"/>
        <w:noProof/>
      </w:rPr>
      <w:t>iv</w:t>
    </w:r>
    <w:r w:rsidRPr="00645D14">
      <w:rPr>
        <w:rStyle w:val="PageNumber"/>
        <w:rFonts w:cs="Arial"/>
      </w:rPr>
      <w:fldChar w:fldCharType="end"/>
    </w:r>
    <w:r>
      <w:rPr>
        <w:rFonts w:cs="Arial"/>
      </w:rPr>
      <w:tab/>
      <w:t>0308, Att 3,</w:t>
    </w:r>
    <w:r w:rsidRPr="00645D14">
      <w:rPr>
        <w:rFonts w:cs="Arial"/>
      </w:rPr>
      <w:t xml:space="preserve"> App 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96A2A" w14:textId="02E70DF6" w:rsidR="00B43D79" w:rsidRDefault="00B43D79" w:rsidP="00616F0C">
    <w:pPr>
      <w:pStyle w:val="Footer"/>
      <w:tabs>
        <w:tab w:val="clear" w:pos="4320"/>
        <w:tab w:val="clear" w:pos="8640"/>
        <w:tab w:val="left" w:pos="0"/>
        <w:tab w:val="center" w:pos="4680"/>
        <w:tab w:val="right" w:pos="9360"/>
        <w:tab w:val="right" w:pos="12600"/>
      </w:tabs>
    </w:pPr>
    <w:r>
      <w:t>Issue Date:</w:t>
    </w:r>
    <w:r>
      <w:tab/>
    </w:r>
    <w:r>
      <w:fldChar w:fldCharType="begin"/>
    </w:r>
    <w:r>
      <w:instrText xml:space="preserve"> PAGE   \* MERGEFORMAT </w:instrText>
    </w:r>
    <w:r>
      <w:fldChar w:fldCharType="separate"/>
    </w:r>
    <w:r>
      <w:rPr>
        <w:noProof/>
      </w:rPr>
      <w:t>i</w:t>
    </w:r>
    <w:r>
      <w:rPr>
        <w:noProof/>
      </w:rPr>
      <w:fldChar w:fldCharType="end"/>
    </w:r>
    <w:r>
      <w:tab/>
      <w:t>0308 Att 3 App 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CDEFC" w14:textId="77777777" w:rsidR="00B43D79" w:rsidRDefault="00B43D79">
    <w:pPr>
      <w:spacing w:line="285" w:lineRule="exact"/>
    </w:pPr>
  </w:p>
  <w:p w14:paraId="37832FE8" w14:textId="77777777" w:rsidR="00B43D79" w:rsidRDefault="00B43D79">
    <w:pPr>
      <w:framePr w:w="9361" w:wrap="notBeside" w:vAnchor="text" w:hAnchor="text" w:x="1" w:y="1"/>
      <w:jc w:val="center"/>
      <w:rPr>
        <w:rFonts w:cs="Arial"/>
        <w:szCs w:val="22"/>
      </w:rPr>
    </w:pPr>
    <w:r>
      <w:rPr>
        <w:rFonts w:cs="Arial"/>
        <w:szCs w:val="22"/>
      </w:rPr>
      <w:fldChar w:fldCharType="begin"/>
    </w:r>
    <w:r>
      <w:rPr>
        <w:rFonts w:cs="Arial"/>
        <w:szCs w:val="22"/>
      </w:rPr>
      <w:instrText xml:space="preserve">PAGE </w:instrText>
    </w:r>
    <w:r>
      <w:rPr>
        <w:rFonts w:cs="Arial"/>
        <w:szCs w:val="22"/>
      </w:rPr>
      <w:fldChar w:fldCharType="separate"/>
    </w:r>
    <w:r>
      <w:rPr>
        <w:rFonts w:cs="Arial"/>
        <w:noProof/>
        <w:szCs w:val="22"/>
      </w:rPr>
      <w:t>72</w:t>
    </w:r>
    <w:r>
      <w:rPr>
        <w:rFonts w:cs="Arial"/>
        <w:szCs w:val="22"/>
      </w:rPr>
      <w:fldChar w:fldCharType="end"/>
    </w:r>
  </w:p>
  <w:p w14:paraId="3ED1A043" w14:textId="77777777" w:rsidR="00B43D79" w:rsidRDefault="00B43D79">
    <w:pPr>
      <w:tabs>
        <w:tab w:val="center" w:pos="4680"/>
        <w:tab w:val="right" w:pos="9360"/>
      </w:tabs>
      <w:rPr>
        <w:rFonts w:cs="Arial"/>
        <w:szCs w:val="22"/>
      </w:rPr>
    </w:pPr>
    <w:r>
      <w:rPr>
        <w:rFonts w:cs="Arial"/>
        <w:szCs w:val="22"/>
      </w:rPr>
      <w:t xml:space="preserve">0308, Att 3, App F </w:t>
    </w:r>
    <w:r>
      <w:rPr>
        <w:rFonts w:cs="Arial"/>
        <w:szCs w:val="22"/>
      </w:rPr>
      <w:tab/>
    </w:r>
    <w:r>
      <w:rPr>
        <w:rFonts w:cs="Arial"/>
        <w:szCs w:val="22"/>
      </w:rPr>
      <w:tab/>
      <w:t>Issue Date: 02/28/05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6B95" w14:textId="1C616D44" w:rsidR="00B43D79" w:rsidRPr="007B50E0" w:rsidRDefault="00B43D79">
    <w:pPr>
      <w:tabs>
        <w:tab w:val="center" w:pos="4680"/>
        <w:tab w:val="right" w:pos="9360"/>
      </w:tabs>
      <w:rPr>
        <w:rFonts w:cs="Arial"/>
      </w:rPr>
    </w:pPr>
    <w:r>
      <w:rPr>
        <w:rFonts w:cs="Arial"/>
      </w:rPr>
      <w:t>Issue Date:  05/02/18</w:t>
    </w:r>
    <w:r w:rsidRPr="00FD6B0B">
      <w:rPr>
        <w:rFonts w:cs="Arial"/>
      </w:rPr>
      <w:ptab w:relativeTo="margin" w:alignment="center" w:leader="none"/>
    </w:r>
    <w:r w:rsidRPr="00CD161B">
      <w:rPr>
        <w:rFonts w:cs="Arial"/>
      </w:rPr>
      <w:fldChar w:fldCharType="begin"/>
    </w:r>
    <w:r w:rsidRPr="00CD161B">
      <w:rPr>
        <w:rFonts w:cs="Arial"/>
      </w:rPr>
      <w:instrText xml:space="preserve"> PAGE   \* MERGEFORMAT </w:instrText>
    </w:r>
    <w:r w:rsidRPr="00CD161B">
      <w:rPr>
        <w:rFonts w:cs="Arial"/>
      </w:rPr>
      <w:fldChar w:fldCharType="separate"/>
    </w:r>
    <w:r w:rsidR="00267057">
      <w:rPr>
        <w:rFonts w:cs="Arial"/>
        <w:noProof/>
      </w:rPr>
      <w:t>73</w:t>
    </w:r>
    <w:r w:rsidRPr="00CD161B">
      <w:rPr>
        <w:rFonts w:cs="Arial"/>
        <w:noProof/>
      </w:rPr>
      <w:fldChar w:fldCharType="end"/>
    </w:r>
    <w:r w:rsidRPr="00FD6B0B">
      <w:rPr>
        <w:rFonts w:cs="Arial"/>
      </w:rPr>
      <w:ptab w:relativeTo="margin" w:alignment="right" w:leader="none"/>
    </w:r>
    <w:r>
      <w:rPr>
        <w:rFonts w:cs="Arial"/>
      </w:rPr>
      <w:t>0308, Att 3, App 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340C9" w14:textId="60A99CA6" w:rsidR="00B43D79" w:rsidRPr="007B50E0" w:rsidRDefault="00B43D79" w:rsidP="00D858C0">
    <w:pPr>
      <w:tabs>
        <w:tab w:val="center" w:pos="7200"/>
        <w:tab w:val="right" w:pos="14400"/>
      </w:tabs>
      <w:rPr>
        <w:rFonts w:cs="Arial"/>
      </w:rPr>
    </w:pPr>
    <w:r w:rsidRPr="007B50E0">
      <w:rPr>
        <w:rFonts w:cs="Arial"/>
      </w:rPr>
      <w:t>Issue Date:</w:t>
    </w:r>
    <w:r>
      <w:rPr>
        <w:rFonts w:cs="Arial"/>
      </w:rPr>
      <w:t xml:space="preserve">  05/02/18</w:t>
    </w:r>
    <w:r w:rsidRPr="007B50E0">
      <w:rPr>
        <w:rFonts w:cs="Arial"/>
      </w:rPr>
      <w:tab/>
    </w:r>
    <w:r w:rsidRPr="007B50E0">
      <w:rPr>
        <w:rStyle w:val="PageNumber"/>
        <w:rFonts w:cs="Arial"/>
      </w:rPr>
      <w:fldChar w:fldCharType="begin"/>
    </w:r>
    <w:r w:rsidRPr="007B50E0">
      <w:rPr>
        <w:rStyle w:val="PageNumber"/>
        <w:rFonts w:cs="Arial"/>
      </w:rPr>
      <w:instrText xml:space="preserve"> PAGE </w:instrText>
    </w:r>
    <w:r w:rsidRPr="007B50E0">
      <w:rPr>
        <w:rStyle w:val="PageNumber"/>
        <w:rFonts w:cs="Arial"/>
      </w:rPr>
      <w:fldChar w:fldCharType="separate"/>
    </w:r>
    <w:r w:rsidR="00267057">
      <w:rPr>
        <w:rStyle w:val="PageNumber"/>
        <w:rFonts w:cs="Arial"/>
        <w:noProof/>
      </w:rPr>
      <w:t>75</w:t>
    </w:r>
    <w:r w:rsidRPr="007B50E0">
      <w:rPr>
        <w:rStyle w:val="PageNumber"/>
        <w:rFonts w:cs="Arial"/>
      </w:rPr>
      <w:fldChar w:fldCharType="end"/>
    </w:r>
    <w:r w:rsidRPr="007B50E0">
      <w:rPr>
        <w:rFonts w:cs="Arial"/>
      </w:rPr>
      <w:tab/>
      <w:t>0308, Att 3, App F</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849" w14:textId="616632A9" w:rsidR="00B43D79" w:rsidRDefault="00B43D79" w:rsidP="00E17106">
    <w:pPr>
      <w:pStyle w:val="Footer"/>
      <w:tabs>
        <w:tab w:val="clear" w:pos="4320"/>
        <w:tab w:val="clear" w:pos="8640"/>
        <w:tab w:val="left" w:pos="0"/>
        <w:tab w:val="center" w:pos="4680"/>
        <w:tab w:val="right" w:pos="9360"/>
        <w:tab w:val="right" w:pos="12600"/>
      </w:tabs>
    </w:pPr>
    <w:r>
      <w:t>Issue Date:  05/02/18</w:t>
    </w:r>
    <w:r>
      <w:tab/>
    </w:r>
    <w:r>
      <w:fldChar w:fldCharType="begin"/>
    </w:r>
    <w:r>
      <w:instrText xml:space="preserve"> PAGE   \* MERGEFORMAT </w:instrText>
    </w:r>
    <w:r>
      <w:fldChar w:fldCharType="separate"/>
    </w:r>
    <w:r w:rsidR="00267057">
      <w:rPr>
        <w:noProof/>
      </w:rPr>
      <w:t>113</w:t>
    </w:r>
    <w:r>
      <w:rPr>
        <w:noProof/>
      </w:rPr>
      <w:fldChar w:fldCharType="end"/>
    </w:r>
    <w:r>
      <w:tab/>
      <w:t>0308, Att 3, App F</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ECBB1" w14:textId="28B25A3C" w:rsidR="00B43D79" w:rsidRDefault="00B43D79" w:rsidP="00FD6B0B">
    <w:pPr>
      <w:pStyle w:val="Footer"/>
      <w:tabs>
        <w:tab w:val="clear" w:pos="4320"/>
        <w:tab w:val="clear" w:pos="8640"/>
        <w:tab w:val="left" w:pos="0"/>
        <w:tab w:val="left" w:pos="6120"/>
        <w:tab w:val="right" w:pos="9360"/>
        <w:tab w:val="right" w:pos="12600"/>
      </w:tabs>
    </w:pPr>
    <w:r>
      <w:t>Issue Date:  05/02/18</w:t>
    </w:r>
    <w:r>
      <w:ptab w:relativeTo="margin" w:alignment="center" w:leader="none"/>
    </w:r>
    <w:r>
      <w:t>Att1-</w:t>
    </w:r>
    <w:r>
      <w:fldChar w:fldCharType="begin"/>
    </w:r>
    <w:r>
      <w:instrText xml:space="preserve"> PAGE   \* MERGEFORMAT </w:instrText>
    </w:r>
    <w:r>
      <w:fldChar w:fldCharType="separate"/>
    </w:r>
    <w:r w:rsidR="00267057">
      <w:rPr>
        <w:noProof/>
      </w:rPr>
      <w:t>2</w:t>
    </w:r>
    <w:r>
      <w:rPr>
        <w:noProof/>
      </w:rPr>
      <w:fldChar w:fldCharType="end"/>
    </w:r>
    <w:r>
      <w:ptab w:relativeTo="margin" w:alignment="right" w:leader="none"/>
    </w:r>
    <w:r w:rsidRPr="00FD6B0B">
      <w:t>0308, Att 3, App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7ED1E" w14:textId="77777777" w:rsidR="00B9252A" w:rsidRDefault="00B9252A">
      <w:r>
        <w:separator/>
      </w:r>
    </w:p>
  </w:footnote>
  <w:footnote w:type="continuationSeparator" w:id="0">
    <w:p w14:paraId="44CB8F7B" w14:textId="77777777" w:rsidR="00B9252A" w:rsidRDefault="00B9252A">
      <w:r>
        <w:continuationSeparator/>
      </w:r>
    </w:p>
  </w:footnote>
  <w:footnote w:id="1">
    <w:p w14:paraId="1306DB2C" w14:textId="6A8438E4" w:rsidR="00B43D79" w:rsidRPr="00C70CAC" w:rsidRDefault="00B43D79" w:rsidP="00BF4543">
      <w:pPr>
        <w:ind w:left="187" w:hanging="187"/>
        <w:rPr>
          <w:rFonts w:cs="Arial"/>
          <w:szCs w:val="22"/>
        </w:rPr>
      </w:pPr>
      <w:r w:rsidRPr="00F46790">
        <w:rPr>
          <w:rStyle w:val="FootnoteReference"/>
        </w:rPr>
        <w:footnoteRef/>
      </w:r>
      <w:r>
        <w:rPr>
          <w:rFonts w:cs="Arial"/>
          <w:szCs w:val="22"/>
        </w:rPr>
        <w:t xml:space="preserve"> </w:t>
      </w:r>
      <w:r>
        <w:rPr>
          <w:rFonts w:cs="Arial"/>
          <w:szCs w:val="22"/>
        </w:rPr>
        <w:tab/>
      </w:r>
      <w:r w:rsidRPr="00C70CAC">
        <w:rPr>
          <w:rFonts w:cs="Arial"/>
          <w:szCs w:val="22"/>
        </w:rPr>
        <w:t xml:space="preserve">Since the figure of merit for the SDP analysis is an increase in the average annual CDF, inspection findings are considered simultaneously in an analysis only when findings are due to a common cause.  Otherwise, the coincidence of the </w:t>
      </w:r>
      <w:r>
        <w:rPr>
          <w:rFonts w:cs="Arial"/>
          <w:szCs w:val="22"/>
        </w:rPr>
        <w:t xml:space="preserve">findings would be considered </w:t>
      </w:r>
      <w:r w:rsidRPr="00C70CAC">
        <w:rPr>
          <w:rFonts w:cs="Arial"/>
          <w:szCs w:val="22"/>
        </w:rPr>
        <w:t>a random occurrence, and each finding analyzed separately.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359C8" w14:textId="77777777" w:rsidR="00B43D79" w:rsidRDefault="00B43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8365C"/>
    <w:lvl w:ilvl="0">
      <w:numFmt w:val="bullet"/>
      <w:pStyle w:val="Level2"/>
      <w:lvlText w:val="*"/>
      <w:lvlJc w:val="left"/>
    </w:lvl>
  </w:abstractNum>
  <w:abstractNum w:abstractNumId="1" w15:restartNumberingAfterBreak="0">
    <w:nsid w:val="00000001"/>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1C"/>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2017D6"/>
    <w:multiLevelType w:val="hybridMultilevel"/>
    <w:tmpl w:val="374832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8136D8"/>
    <w:multiLevelType w:val="hybridMultilevel"/>
    <w:tmpl w:val="8B6C125C"/>
    <w:lvl w:ilvl="0" w:tplc="EAB6F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81F2C"/>
    <w:multiLevelType w:val="hybridMultilevel"/>
    <w:tmpl w:val="47120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C2492"/>
    <w:multiLevelType w:val="hybridMultilevel"/>
    <w:tmpl w:val="9E4E8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04F45"/>
    <w:multiLevelType w:val="hybridMultilevel"/>
    <w:tmpl w:val="CE58AE2A"/>
    <w:lvl w:ilvl="0" w:tplc="04090019">
      <w:start w:val="1"/>
      <w:numFmt w:val="lowerLetter"/>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8" w15:restartNumberingAfterBreak="0">
    <w:nsid w:val="172652E5"/>
    <w:multiLevelType w:val="hybridMultilevel"/>
    <w:tmpl w:val="C7164E3A"/>
    <w:lvl w:ilvl="0" w:tplc="04090019">
      <w:start w:val="1"/>
      <w:numFmt w:val="lowerLetter"/>
      <w:lvlText w:val="%1."/>
      <w:lvlJc w:val="left"/>
      <w:pPr>
        <w:ind w:left="1526" w:hanging="360"/>
      </w:pPr>
      <w:rPr>
        <w:rFonts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9" w15:restartNumberingAfterBreak="0">
    <w:nsid w:val="18215C8F"/>
    <w:multiLevelType w:val="hybridMultilevel"/>
    <w:tmpl w:val="61FA4F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877E4"/>
    <w:multiLevelType w:val="hybridMultilevel"/>
    <w:tmpl w:val="87B6B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753D8"/>
    <w:multiLevelType w:val="hybridMultilevel"/>
    <w:tmpl w:val="A170CCA6"/>
    <w:lvl w:ilvl="0" w:tplc="8CF2AE34">
      <w:start w:val="1"/>
      <w:numFmt w:val="lowerLetter"/>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27023"/>
    <w:multiLevelType w:val="hybridMultilevel"/>
    <w:tmpl w:val="7406AA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637E0"/>
    <w:multiLevelType w:val="hybridMultilevel"/>
    <w:tmpl w:val="D38632A6"/>
    <w:lvl w:ilvl="0" w:tplc="69CC3A26">
      <w:numFmt w:val="bullet"/>
      <w:pStyle w:val="Level1"/>
      <w:lvlText w:val="•"/>
      <w:lvlJc w:val="left"/>
      <w:pPr>
        <w:tabs>
          <w:tab w:val="num" w:pos="806"/>
        </w:tabs>
        <w:ind w:left="806" w:hanging="806"/>
      </w:pPr>
      <w:rPr>
        <w:rFonts w:ascii="Arial" w:hAnsi="Arial" w:cs="Arial" w:hint="default"/>
        <w:color w:val="auto"/>
        <w:sz w:val="24"/>
        <w:szCs w:val="24"/>
      </w:rPr>
    </w:lvl>
    <w:lvl w:ilvl="1" w:tplc="444812E8">
      <w:start w:val="1"/>
      <w:numFmt w:val="decimal"/>
      <w:lvlRestart w:val="0"/>
      <w:lvlText w:val="%2."/>
      <w:lvlJc w:val="left"/>
      <w:pPr>
        <w:tabs>
          <w:tab w:val="num" w:pos="274"/>
        </w:tabs>
        <w:ind w:left="274" w:hanging="274"/>
      </w:pPr>
      <w:rPr>
        <w:rFonts w:ascii="Arial" w:hAnsi="Arial" w:cs="Arial" w:hint="default"/>
        <w:b w:val="0"/>
        <w:i w:val="0"/>
        <w:color w:val="auto"/>
        <w:sz w:val="24"/>
        <w:szCs w:val="24"/>
      </w:rPr>
    </w:lvl>
    <w:lvl w:ilvl="2" w:tplc="796A6EC0">
      <w:numFmt w:val="bullet"/>
      <w:lvlText w:val="•"/>
      <w:lvlJc w:val="left"/>
      <w:pPr>
        <w:tabs>
          <w:tab w:val="num" w:pos="806"/>
        </w:tabs>
        <w:ind w:left="806" w:hanging="532"/>
      </w:pPr>
      <w:rPr>
        <w:rFonts w:ascii="Arial" w:hAnsi="Arial" w:cs="Arial" w:hint="default"/>
        <w:b w:val="0"/>
        <w:i w:val="0"/>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C4B79"/>
    <w:multiLevelType w:val="hybridMultilevel"/>
    <w:tmpl w:val="66CABDF6"/>
    <w:lvl w:ilvl="0" w:tplc="04090001">
      <w:start w:val="1"/>
      <w:numFmt w:val="bullet"/>
      <w:lvlText w:val=""/>
      <w:lvlJc w:val="left"/>
      <w:pPr>
        <w:ind w:left="1534" w:hanging="360"/>
      </w:pPr>
      <w:rPr>
        <w:rFonts w:ascii="Symbol" w:hAnsi="Symbol"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5" w15:restartNumberingAfterBreak="0">
    <w:nsid w:val="2D041C99"/>
    <w:multiLevelType w:val="hybridMultilevel"/>
    <w:tmpl w:val="8EACC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F4116"/>
    <w:multiLevelType w:val="hybridMultilevel"/>
    <w:tmpl w:val="901CE388"/>
    <w:lvl w:ilvl="0" w:tplc="C1800830">
      <w:start w:val="1"/>
      <w:numFmt w:val="lowerLetter"/>
      <w:lvlText w:val="%1."/>
      <w:lvlJc w:val="left"/>
      <w:pPr>
        <w:ind w:left="1526" w:hanging="360"/>
      </w:pPr>
      <w:rPr>
        <w:rFonts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2E2A4BB0"/>
    <w:multiLevelType w:val="hybridMultilevel"/>
    <w:tmpl w:val="C1F6913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A15288"/>
    <w:multiLevelType w:val="hybridMultilevel"/>
    <w:tmpl w:val="F3604386"/>
    <w:lvl w:ilvl="0" w:tplc="EAB6F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73779"/>
    <w:multiLevelType w:val="hybridMultilevel"/>
    <w:tmpl w:val="C99295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340659A"/>
    <w:multiLevelType w:val="hybridMultilevel"/>
    <w:tmpl w:val="E3F0F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D1342"/>
    <w:multiLevelType w:val="hybridMultilevel"/>
    <w:tmpl w:val="DB200D3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501FA"/>
    <w:multiLevelType w:val="hybridMultilevel"/>
    <w:tmpl w:val="2B5A6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6396E"/>
    <w:multiLevelType w:val="hybridMultilevel"/>
    <w:tmpl w:val="C33C8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55245"/>
    <w:multiLevelType w:val="hybridMultilevel"/>
    <w:tmpl w:val="ADA2D4BE"/>
    <w:lvl w:ilvl="0" w:tplc="0E2869F6">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078F9"/>
    <w:multiLevelType w:val="hybridMultilevel"/>
    <w:tmpl w:val="58308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08677C"/>
    <w:multiLevelType w:val="hybridMultilevel"/>
    <w:tmpl w:val="98462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2B02D0"/>
    <w:multiLevelType w:val="hybridMultilevel"/>
    <w:tmpl w:val="069CD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71795"/>
    <w:multiLevelType w:val="hybridMultilevel"/>
    <w:tmpl w:val="C9D6A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4A22DC"/>
    <w:multiLevelType w:val="hybridMultilevel"/>
    <w:tmpl w:val="10DADD28"/>
    <w:lvl w:ilvl="0" w:tplc="04090019">
      <w:start w:val="1"/>
      <w:numFmt w:val="lowerLetter"/>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30" w15:restartNumberingAfterBreak="0">
    <w:nsid w:val="44BF1859"/>
    <w:multiLevelType w:val="hybridMultilevel"/>
    <w:tmpl w:val="8EE8F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E30A4C"/>
    <w:multiLevelType w:val="hybridMultilevel"/>
    <w:tmpl w:val="758E5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222A8"/>
    <w:multiLevelType w:val="hybridMultilevel"/>
    <w:tmpl w:val="6EAAF6B6"/>
    <w:lvl w:ilvl="0" w:tplc="EAB6F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8B70AD"/>
    <w:multiLevelType w:val="hybridMultilevel"/>
    <w:tmpl w:val="CE1CB368"/>
    <w:lvl w:ilvl="0" w:tplc="EAB6F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BE7786"/>
    <w:multiLevelType w:val="hybridMultilevel"/>
    <w:tmpl w:val="40627738"/>
    <w:lvl w:ilvl="0" w:tplc="EAB6F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E6851"/>
    <w:multiLevelType w:val="hybridMultilevel"/>
    <w:tmpl w:val="54C0B42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2315624"/>
    <w:multiLevelType w:val="hybridMultilevel"/>
    <w:tmpl w:val="DFC2CFE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C2E9A60">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45DBA"/>
    <w:multiLevelType w:val="hybridMultilevel"/>
    <w:tmpl w:val="EC4A766E"/>
    <w:lvl w:ilvl="0" w:tplc="04090019">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3262284"/>
    <w:multiLevelType w:val="hybridMultilevel"/>
    <w:tmpl w:val="A1F6EC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E647E"/>
    <w:multiLevelType w:val="hybridMultilevel"/>
    <w:tmpl w:val="14624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637708"/>
    <w:multiLevelType w:val="hybridMultilevel"/>
    <w:tmpl w:val="64B4D9C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E025C8"/>
    <w:multiLevelType w:val="hybridMultilevel"/>
    <w:tmpl w:val="AC468994"/>
    <w:lvl w:ilvl="0" w:tplc="3B9A00D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8C5593F"/>
    <w:multiLevelType w:val="hybridMultilevel"/>
    <w:tmpl w:val="34446D1A"/>
    <w:lvl w:ilvl="0" w:tplc="04090019">
      <w:start w:val="1"/>
      <w:numFmt w:val="lowerLetter"/>
      <w:lvlText w:val="%1."/>
      <w:lvlJc w:val="left"/>
      <w:pPr>
        <w:ind w:left="1526" w:hanging="360"/>
      </w:pPr>
      <w:rPr>
        <w:rFonts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3" w15:restartNumberingAfterBreak="0">
    <w:nsid w:val="59E8563D"/>
    <w:multiLevelType w:val="hybridMultilevel"/>
    <w:tmpl w:val="747C26F8"/>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4" w15:restartNumberingAfterBreak="0">
    <w:nsid w:val="62DC4AD7"/>
    <w:multiLevelType w:val="hybridMultilevel"/>
    <w:tmpl w:val="97E015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DF4A57"/>
    <w:multiLevelType w:val="hybridMultilevel"/>
    <w:tmpl w:val="4E98759C"/>
    <w:lvl w:ilvl="0" w:tplc="EAB6F7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8B087C"/>
    <w:multiLevelType w:val="hybridMultilevel"/>
    <w:tmpl w:val="3FA033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4B2F01"/>
    <w:multiLevelType w:val="hybridMultilevel"/>
    <w:tmpl w:val="DE841FEC"/>
    <w:lvl w:ilvl="0" w:tplc="155008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A005802"/>
    <w:multiLevelType w:val="hybridMultilevel"/>
    <w:tmpl w:val="069CD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67DD7"/>
    <w:multiLevelType w:val="hybridMultilevel"/>
    <w:tmpl w:val="0DE0C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DE1CF0"/>
    <w:multiLevelType w:val="hybridMultilevel"/>
    <w:tmpl w:val="88C09B96"/>
    <w:lvl w:ilvl="0" w:tplc="580AFA42">
      <w:start w:val="1"/>
      <w:numFmt w:val="lowerLetter"/>
      <w:lvlText w:val="%1."/>
      <w:lvlJc w:val="left"/>
      <w:pPr>
        <w:ind w:left="1440" w:hanging="360"/>
      </w:pPr>
      <w:rPr>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F9E4DC7"/>
    <w:multiLevelType w:val="hybridMultilevel"/>
    <w:tmpl w:val="94864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A72A16"/>
    <w:multiLevelType w:val="hybridMultilevel"/>
    <w:tmpl w:val="1870F544"/>
    <w:lvl w:ilvl="0" w:tplc="04090019">
      <w:start w:val="1"/>
      <w:numFmt w:val="lowerLetter"/>
      <w:lvlText w:val="%1."/>
      <w:lvlJc w:val="left"/>
      <w:pPr>
        <w:ind w:left="720" w:hanging="360"/>
      </w:pPr>
    </w:lvl>
    <w:lvl w:ilvl="1" w:tplc="EAB6F7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C1256"/>
    <w:multiLevelType w:val="hybridMultilevel"/>
    <w:tmpl w:val="8B222066"/>
    <w:lvl w:ilvl="0" w:tplc="87C86B2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AF6245"/>
    <w:multiLevelType w:val="hybridMultilevel"/>
    <w:tmpl w:val="57BAD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EB0433"/>
    <w:multiLevelType w:val="hybridMultilevel"/>
    <w:tmpl w:val="C5A49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F22ACF"/>
    <w:multiLevelType w:val="hybridMultilevel"/>
    <w:tmpl w:val="1724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0F1B65"/>
    <w:multiLevelType w:val="hybridMultilevel"/>
    <w:tmpl w:val="34E0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D4067E"/>
    <w:multiLevelType w:val="multilevel"/>
    <w:tmpl w:val="90A4689E"/>
    <w:lvl w:ilvl="0">
      <w:start w:val="1"/>
      <w:numFmt w:val="decimalZero"/>
      <w:pStyle w:val="Heading1"/>
      <w:lvlText w:val="0308.03F-%1"/>
      <w:lvlJc w:val="left"/>
      <w:pPr>
        <w:ind w:left="806" w:hanging="806"/>
      </w:pPr>
      <w:rPr>
        <w:rFonts w:hint="default"/>
      </w:rPr>
    </w:lvl>
    <w:lvl w:ilvl="1">
      <w:start w:val="1"/>
      <w:numFmt w:val="decimalZero"/>
      <w:pStyle w:val="Heading2"/>
      <w:lvlText w:val="%1.%2"/>
      <w:lvlJc w:val="left"/>
      <w:pPr>
        <w:ind w:left="1166" w:hanging="806"/>
      </w:pPr>
      <w:rPr>
        <w:rFonts w:hint="default"/>
      </w:rPr>
    </w:lvl>
    <w:lvl w:ilvl="2">
      <w:start w:val="1"/>
      <w:numFmt w:val="decimalZero"/>
      <w:pStyle w:val="Heading3"/>
      <w:lvlText w:val="%1.%2.%3"/>
      <w:lvlJc w:val="left"/>
      <w:pPr>
        <w:ind w:left="1440" w:hanging="1440"/>
      </w:pPr>
      <w:rPr>
        <w:rFonts w:hint="default"/>
      </w:rPr>
    </w:lvl>
    <w:lvl w:ilvl="3">
      <w:start w:val="1"/>
      <w:numFmt w:val="decimalZero"/>
      <w:pStyle w:val="Heading4"/>
      <w:lvlText w:val="%1.%2.%3.%4"/>
      <w:lvlJc w:val="left"/>
      <w:pPr>
        <w:ind w:left="1440" w:hanging="1440"/>
      </w:pPr>
      <w:rPr>
        <w:rFonts w:hint="default"/>
      </w:rPr>
    </w:lvl>
    <w:lvl w:ilvl="4">
      <w:start w:val="1"/>
      <w:numFmt w:val="lowerLetter"/>
      <w:lvlText w:val="%5."/>
      <w:lvlJc w:val="left"/>
      <w:pPr>
        <w:ind w:left="806" w:hanging="806"/>
      </w:pPr>
      <w:rPr>
        <w:rFonts w:hint="default"/>
      </w:rPr>
    </w:lvl>
    <w:lvl w:ilvl="5">
      <w:start w:val="1"/>
      <w:numFmt w:val="lowerRoman"/>
      <w:lvlText w:val="%6."/>
      <w:lvlJc w:val="right"/>
      <w:pPr>
        <w:ind w:left="806" w:hanging="806"/>
      </w:pPr>
      <w:rPr>
        <w:rFonts w:hint="default"/>
      </w:rPr>
    </w:lvl>
    <w:lvl w:ilvl="6">
      <w:start w:val="1"/>
      <w:numFmt w:val="decimal"/>
      <w:lvlText w:val="%7."/>
      <w:lvlJc w:val="left"/>
      <w:pPr>
        <w:ind w:left="806" w:hanging="806"/>
      </w:pPr>
      <w:rPr>
        <w:rFonts w:hint="default"/>
      </w:rPr>
    </w:lvl>
    <w:lvl w:ilvl="7">
      <w:start w:val="1"/>
      <w:numFmt w:val="lowerLetter"/>
      <w:lvlText w:val="%8."/>
      <w:lvlJc w:val="left"/>
      <w:pPr>
        <w:ind w:left="806" w:hanging="806"/>
      </w:pPr>
      <w:rPr>
        <w:rFonts w:hint="default"/>
      </w:rPr>
    </w:lvl>
    <w:lvl w:ilvl="8">
      <w:start w:val="1"/>
      <w:numFmt w:val="lowerRoman"/>
      <w:lvlText w:val="%9."/>
      <w:lvlJc w:val="right"/>
      <w:pPr>
        <w:ind w:left="806" w:hanging="806"/>
      </w:pPr>
      <w:rPr>
        <w:rFonts w:hint="default"/>
      </w:rPr>
    </w:lvl>
  </w:abstractNum>
  <w:abstractNum w:abstractNumId="59" w15:restartNumberingAfterBreak="0">
    <w:nsid w:val="788B2E60"/>
    <w:multiLevelType w:val="hybridMultilevel"/>
    <w:tmpl w:val="1CF2AF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A9A2D41"/>
    <w:multiLevelType w:val="hybridMultilevel"/>
    <w:tmpl w:val="8D268B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74356F"/>
    <w:multiLevelType w:val="hybridMultilevel"/>
    <w:tmpl w:val="47120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7D5271"/>
    <w:multiLevelType w:val="hybridMultilevel"/>
    <w:tmpl w:val="0956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2">
    <w:abstractNumId w:val="13"/>
  </w:num>
  <w:num w:numId="3">
    <w:abstractNumId w:val="58"/>
  </w:num>
  <w:num w:numId="4">
    <w:abstractNumId w:val="22"/>
  </w:num>
  <w:num w:numId="5">
    <w:abstractNumId w:val="12"/>
  </w:num>
  <w:num w:numId="6">
    <w:abstractNumId w:val="26"/>
  </w:num>
  <w:num w:numId="7">
    <w:abstractNumId w:val="52"/>
  </w:num>
  <w:num w:numId="8">
    <w:abstractNumId w:val="16"/>
  </w:num>
  <w:num w:numId="9">
    <w:abstractNumId w:val="35"/>
  </w:num>
  <w:num w:numId="10">
    <w:abstractNumId w:val="8"/>
  </w:num>
  <w:num w:numId="11">
    <w:abstractNumId w:val="42"/>
  </w:num>
  <w:num w:numId="12">
    <w:abstractNumId w:val="21"/>
  </w:num>
  <w:num w:numId="13">
    <w:abstractNumId w:val="17"/>
  </w:num>
  <w:num w:numId="14">
    <w:abstractNumId w:val="46"/>
  </w:num>
  <w:num w:numId="15">
    <w:abstractNumId w:val="40"/>
  </w:num>
  <w:num w:numId="16">
    <w:abstractNumId w:val="47"/>
  </w:num>
  <w:num w:numId="17">
    <w:abstractNumId w:val="15"/>
  </w:num>
  <w:num w:numId="18">
    <w:abstractNumId w:val="10"/>
  </w:num>
  <w:num w:numId="19">
    <w:abstractNumId w:val="30"/>
  </w:num>
  <w:num w:numId="20">
    <w:abstractNumId w:val="54"/>
  </w:num>
  <w:num w:numId="21">
    <w:abstractNumId w:val="25"/>
  </w:num>
  <w:num w:numId="22">
    <w:abstractNumId w:val="39"/>
  </w:num>
  <w:num w:numId="23">
    <w:abstractNumId w:val="49"/>
  </w:num>
  <w:num w:numId="24">
    <w:abstractNumId w:val="36"/>
  </w:num>
  <w:num w:numId="25">
    <w:abstractNumId w:val="5"/>
  </w:num>
  <w:num w:numId="26">
    <w:abstractNumId w:val="61"/>
  </w:num>
  <w:num w:numId="27">
    <w:abstractNumId w:val="31"/>
  </w:num>
  <w:num w:numId="28">
    <w:abstractNumId w:val="9"/>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
  </w:num>
  <w:num w:numId="32">
    <w:abstractNumId w:val="58"/>
  </w:num>
  <w:num w:numId="33">
    <w:abstractNumId w:val="38"/>
  </w:num>
  <w:num w:numId="34">
    <w:abstractNumId w:val="51"/>
  </w:num>
  <w:num w:numId="35">
    <w:abstractNumId w:val="6"/>
  </w:num>
  <w:num w:numId="36">
    <w:abstractNumId w:val="55"/>
  </w:num>
  <w:num w:numId="37">
    <w:abstractNumId w:val="20"/>
  </w:num>
  <w:num w:numId="38">
    <w:abstractNumId w:val="50"/>
  </w:num>
  <w:num w:numId="39">
    <w:abstractNumId w:val="19"/>
  </w:num>
  <w:num w:numId="40">
    <w:abstractNumId w:val="5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1"/>
  </w:num>
  <w:num w:numId="43">
    <w:abstractNumId w:val="53"/>
  </w:num>
  <w:num w:numId="44">
    <w:abstractNumId w:val="41"/>
  </w:num>
  <w:num w:numId="45">
    <w:abstractNumId w:val="24"/>
  </w:num>
  <w:num w:numId="46">
    <w:abstractNumId w:val="59"/>
  </w:num>
  <w:num w:numId="47">
    <w:abstractNumId w:val="28"/>
  </w:num>
  <w:num w:numId="48">
    <w:abstractNumId w:val="29"/>
  </w:num>
  <w:num w:numId="49">
    <w:abstractNumId w:val="23"/>
  </w:num>
  <w:num w:numId="50">
    <w:abstractNumId w:val="7"/>
  </w:num>
  <w:num w:numId="51">
    <w:abstractNumId w:val="43"/>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48"/>
  </w:num>
  <w:num w:numId="55">
    <w:abstractNumId w:val="27"/>
  </w:num>
  <w:num w:numId="56">
    <w:abstractNumId w:val="4"/>
  </w:num>
  <w:num w:numId="57">
    <w:abstractNumId w:val="34"/>
  </w:num>
  <w:num w:numId="58">
    <w:abstractNumId w:val="33"/>
  </w:num>
  <w:num w:numId="59">
    <w:abstractNumId w:val="18"/>
  </w:num>
  <w:num w:numId="60">
    <w:abstractNumId w:val="45"/>
  </w:num>
  <w:num w:numId="61">
    <w:abstractNumId w:val="32"/>
  </w:num>
  <w:num w:numId="62">
    <w:abstractNumId w:val="60"/>
  </w:num>
  <w:num w:numId="63">
    <w:abstractNumId w:val="56"/>
  </w:num>
  <w:num w:numId="64">
    <w:abstractNumId w:val="14"/>
  </w:num>
  <w:num w:numId="65">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0"/>
    <w:rsid w:val="0000068C"/>
    <w:rsid w:val="00000915"/>
    <w:rsid w:val="000019EB"/>
    <w:rsid w:val="00006D3D"/>
    <w:rsid w:val="0000705A"/>
    <w:rsid w:val="00013844"/>
    <w:rsid w:val="000167FF"/>
    <w:rsid w:val="00017536"/>
    <w:rsid w:val="0001797E"/>
    <w:rsid w:val="00017D5F"/>
    <w:rsid w:val="000200B2"/>
    <w:rsid w:val="00020DE5"/>
    <w:rsid w:val="00021E23"/>
    <w:rsid w:val="00022084"/>
    <w:rsid w:val="00022D1F"/>
    <w:rsid w:val="0002408C"/>
    <w:rsid w:val="0002697F"/>
    <w:rsid w:val="00027FA0"/>
    <w:rsid w:val="00030E53"/>
    <w:rsid w:val="00031659"/>
    <w:rsid w:val="00031A86"/>
    <w:rsid w:val="00031BFC"/>
    <w:rsid w:val="00031DD9"/>
    <w:rsid w:val="000329F6"/>
    <w:rsid w:val="00033230"/>
    <w:rsid w:val="000342B7"/>
    <w:rsid w:val="00034458"/>
    <w:rsid w:val="0003704C"/>
    <w:rsid w:val="00037181"/>
    <w:rsid w:val="00042946"/>
    <w:rsid w:val="0004398A"/>
    <w:rsid w:val="00044301"/>
    <w:rsid w:val="00045F9C"/>
    <w:rsid w:val="00046764"/>
    <w:rsid w:val="00046D7B"/>
    <w:rsid w:val="000471D8"/>
    <w:rsid w:val="000506E2"/>
    <w:rsid w:val="00052757"/>
    <w:rsid w:val="000529A4"/>
    <w:rsid w:val="00052E14"/>
    <w:rsid w:val="0005341B"/>
    <w:rsid w:val="00053650"/>
    <w:rsid w:val="00053C09"/>
    <w:rsid w:val="00057CAE"/>
    <w:rsid w:val="000602D7"/>
    <w:rsid w:val="000620D9"/>
    <w:rsid w:val="00065839"/>
    <w:rsid w:val="00065E34"/>
    <w:rsid w:val="00066697"/>
    <w:rsid w:val="00067414"/>
    <w:rsid w:val="000678C4"/>
    <w:rsid w:val="000702DC"/>
    <w:rsid w:val="0007165C"/>
    <w:rsid w:val="00072BC0"/>
    <w:rsid w:val="0007587F"/>
    <w:rsid w:val="000760DE"/>
    <w:rsid w:val="000769D4"/>
    <w:rsid w:val="0008282A"/>
    <w:rsid w:val="00082C33"/>
    <w:rsid w:val="00083418"/>
    <w:rsid w:val="00085D51"/>
    <w:rsid w:val="00086A93"/>
    <w:rsid w:val="00086D78"/>
    <w:rsid w:val="00087BBE"/>
    <w:rsid w:val="000906A4"/>
    <w:rsid w:val="00090A52"/>
    <w:rsid w:val="000914AA"/>
    <w:rsid w:val="0009355A"/>
    <w:rsid w:val="00094856"/>
    <w:rsid w:val="00095E66"/>
    <w:rsid w:val="000A053D"/>
    <w:rsid w:val="000A26C4"/>
    <w:rsid w:val="000A351E"/>
    <w:rsid w:val="000A37FB"/>
    <w:rsid w:val="000A402B"/>
    <w:rsid w:val="000A6CB6"/>
    <w:rsid w:val="000A70DC"/>
    <w:rsid w:val="000A739E"/>
    <w:rsid w:val="000A75D8"/>
    <w:rsid w:val="000B12F6"/>
    <w:rsid w:val="000B1385"/>
    <w:rsid w:val="000B16E6"/>
    <w:rsid w:val="000B419B"/>
    <w:rsid w:val="000B5003"/>
    <w:rsid w:val="000B54A2"/>
    <w:rsid w:val="000B5F83"/>
    <w:rsid w:val="000C0A4F"/>
    <w:rsid w:val="000C1E1D"/>
    <w:rsid w:val="000C2EFF"/>
    <w:rsid w:val="000C2F7C"/>
    <w:rsid w:val="000C3217"/>
    <w:rsid w:val="000C3E1D"/>
    <w:rsid w:val="000C4C3E"/>
    <w:rsid w:val="000C57A9"/>
    <w:rsid w:val="000C585C"/>
    <w:rsid w:val="000C7AC6"/>
    <w:rsid w:val="000C7FF2"/>
    <w:rsid w:val="000D1E92"/>
    <w:rsid w:val="000D4309"/>
    <w:rsid w:val="000D459A"/>
    <w:rsid w:val="000D6EF2"/>
    <w:rsid w:val="000D76E6"/>
    <w:rsid w:val="000E098E"/>
    <w:rsid w:val="000E0A4F"/>
    <w:rsid w:val="000E1306"/>
    <w:rsid w:val="000E18B9"/>
    <w:rsid w:val="000E1D6C"/>
    <w:rsid w:val="000E402C"/>
    <w:rsid w:val="000E5D2A"/>
    <w:rsid w:val="000E66F4"/>
    <w:rsid w:val="000E670D"/>
    <w:rsid w:val="000F0178"/>
    <w:rsid w:val="000F119F"/>
    <w:rsid w:val="000F1D4B"/>
    <w:rsid w:val="000F2FA1"/>
    <w:rsid w:val="000F42B0"/>
    <w:rsid w:val="000F6350"/>
    <w:rsid w:val="00101547"/>
    <w:rsid w:val="00101696"/>
    <w:rsid w:val="0010248D"/>
    <w:rsid w:val="001038E5"/>
    <w:rsid w:val="001039B2"/>
    <w:rsid w:val="00105272"/>
    <w:rsid w:val="00105428"/>
    <w:rsid w:val="00106B50"/>
    <w:rsid w:val="0010706A"/>
    <w:rsid w:val="001075DD"/>
    <w:rsid w:val="00110921"/>
    <w:rsid w:val="00110A09"/>
    <w:rsid w:val="0011136C"/>
    <w:rsid w:val="0011216C"/>
    <w:rsid w:val="00113570"/>
    <w:rsid w:val="00113C70"/>
    <w:rsid w:val="00114074"/>
    <w:rsid w:val="00114160"/>
    <w:rsid w:val="00117F78"/>
    <w:rsid w:val="001213ED"/>
    <w:rsid w:val="001219CC"/>
    <w:rsid w:val="00124314"/>
    <w:rsid w:val="001250F9"/>
    <w:rsid w:val="00125A04"/>
    <w:rsid w:val="001261C9"/>
    <w:rsid w:val="00126F4A"/>
    <w:rsid w:val="001309D1"/>
    <w:rsid w:val="00132429"/>
    <w:rsid w:val="001325CA"/>
    <w:rsid w:val="001326E8"/>
    <w:rsid w:val="001327FC"/>
    <w:rsid w:val="00133134"/>
    <w:rsid w:val="00137636"/>
    <w:rsid w:val="0013771E"/>
    <w:rsid w:val="001379D6"/>
    <w:rsid w:val="001406A1"/>
    <w:rsid w:val="00141CF2"/>
    <w:rsid w:val="0014257D"/>
    <w:rsid w:val="00144E55"/>
    <w:rsid w:val="0014643F"/>
    <w:rsid w:val="001471C7"/>
    <w:rsid w:val="001473BE"/>
    <w:rsid w:val="00147554"/>
    <w:rsid w:val="00153711"/>
    <w:rsid w:val="00153797"/>
    <w:rsid w:val="00154F7F"/>
    <w:rsid w:val="0016133E"/>
    <w:rsid w:val="001613CA"/>
    <w:rsid w:val="00164080"/>
    <w:rsid w:val="00164CF9"/>
    <w:rsid w:val="0016545E"/>
    <w:rsid w:val="00165A7B"/>
    <w:rsid w:val="001672CD"/>
    <w:rsid w:val="001675E3"/>
    <w:rsid w:val="00167806"/>
    <w:rsid w:val="00171B1A"/>
    <w:rsid w:val="00173C57"/>
    <w:rsid w:val="001747E5"/>
    <w:rsid w:val="001761B3"/>
    <w:rsid w:val="001762A8"/>
    <w:rsid w:val="00180D7F"/>
    <w:rsid w:val="00182FE1"/>
    <w:rsid w:val="00184D43"/>
    <w:rsid w:val="00185032"/>
    <w:rsid w:val="00185B9A"/>
    <w:rsid w:val="00186A04"/>
    <w:rsid w:val="00186AFA"/>
    <w:rsid w:val="00187584"/>
    <w:rsid w:val="00192323"/>
    <w:rsid w:val="001928F3"/>
    <w:rsid w:val="001934B6"/>
    <w:rsid w:val="001935D4"/>
    <w:rsid w:val="001956D4"/>
    <w:rsid w:val="00195E0E"/>
    <w:rsid w:val="00196588"/>
    <w:rsid w:val="00196F40"/>
    <w:rsid w:val="00197901"/>
    <w:rsid w:val="001A01DC"/>
    <w:rsid w:val="001A033F"/>
    <w:rsid w:val="001A06E4"/>
    <w:rsid w:val="001A2328"/>
    <w:rsid w:val="001A2E92"/>
    <w:rsid w:val="001A3178"/>
    <w:rsid w:val="001A320E"/>
    <w:rsid w:val="001A51C5"/>
    <w:rsid w:val="001A53FC"/>
    <w:rsid w:val="001A58D3"/>
    <w:rsid w:val="001A6542"/>
    <w:rsid w:val="001A694D"/>
    <w:rsid w:val="001A70A5"/>
    <w:rsid w:val="001A77DD"/>
    <w:rsid w:val="001B054F"/>
    <w:rsid w:val="001B3342"/>
    <w:rsid w:val="001B4C7C"/>
    <w:rsid w:val="001B5028"/>
    <w:rsid w:val="001B63D5"/>
    <w:rsid w:val="001B65BF"/>
    <w:rsid w:val="001B7630"/>
    <w:rsid w:val="001B7E81"/>
    <w:rsid w:val="001C0634"/>
    <w:rsid w:val="001C36DA"/>
    <w:rsid w:val="001C3F01"/>
    <w:rsid w:val="001C5BE1"/>
    <w:rsid w:val="001C7BE1"/>
    <w:rsid w:val="001D19DB"/>
    <w:rsid w:val="001D1E81"/>
    <w:rsid w:val="001D2629"/>
    <w:rsid w:val="001D2AD9"/>
    <w:rsid w:val="001D3355"/>
    <w:rsid w:val="001D439C"/>
    <w:rsid w:val="001D4627"/>
    <w:rsid w:val="001D589F"/>
    <w:rsid w:val="001D5E79"/>
    <w:rsid w:val="001E0656"/>
    <w:rsid w:val="001E1319"/>
    <w:rsid w:val="001E3867"/>
    <w:rsid w:val="001E3E8F"/>
    <w:rsid w:val="001E3EF6"/>
    <w:rsid w:val="001E643B"/>
    <w:rsid w:val="001F07A2"/>
    <w:rsid w:val="001F0C02"/>
    <w:rsid w:val="001F1A52"/>
    <w:rsid w:val="001F1BF4"/>
    <w:rsid w:val="001F711F"/>
    <w:rsid w:val="00205B58"/>
    <w:rsid w:val="002071AF"/>
    <w:rsid w:val="00207499"/>
    <w:rsid w:val="002126DA"/>
    <w:rsid w:val="00213718"/>
    <w:rsid w:val="002137BA"/>
    <w:rsid w:val="0021449A"/>
    <w:rsid w:val="002147D5"/>
    <w:rsid w:val="00214E64"/>
    <w:rsid w:val="002150BE"/>
    <w:rsid w:val="00215D26"/>
    <w:rsid w:val="00215E70"/>
    <w:rsid w:val="00216238"/>
    <w:rsid w:val="002201BF"/>
    <w:rsid w:val="00220AA5"/>
    <w:rsid w:val="00220CAF"/>
    <w:rsid w:val="00223BD3"/>
    <w:rsid w:val="00223CC7"/>
    <w:rsid w:val="002255DD"/>
    <w:rsid w:val="00225FB2"/>
    <w:rsid w:val="00226592"/>
    <w:rsid w:val="00230CEA"/>
    <w:rsid w:val="002327E0"/>
    <w:rsid w:val="00232990"/>
    <w:rsid w:val="00233398"/>
    <w:rsid w:val="0023343E"/>
    <w:rsid w:val="00233A30"/>
    <w:rsid w:val="00233D7D"/>
    <w:rsid w:val="002344B1"/>
    <w:rsid w:val="002348CA"/>
    <w:rsid w:val="002374EE"/>
    <w:rsid w:val="00237DE6"/>
    <w:rsid w:val="00237FA3"/>
    <w:rsid w:val="00240151"/>
    <w:rsid w:val="002413D0"/>
    <w:rsid w:val="002420A3"/>
    <w:rsid w:val="00243F8F"/>
    <w:rsid w:val="00244E0E"/>
    <w:rsid w:val="00245284"/>
    <w:rsid w:val="00245505"/>
    <w:rsid w:val="002473E1"/>
    <w:rsid w:val="002508B9"/>
    <w:rsid w:val="00251F58"/>
    <w:rsid w:val="002523CB"/>
    <w:rsid w:val="00252428"/>
    <w:rsid w:val="00252D53"/>
    <w:rsid w:val="002534E9"/>
    <w:rsid w:val="00256F10"/>
    <w:rsid w:val="00257229"/>
    <w:rsid w:val="002573BC"/>
    <w:rsid w:val="002621C4"/>
    <w:rsid w:val="00262C9D"/>
    <w:rsid w:val="00264AFE"/>
    <w:rsid w:val="002652CD"/>
    <w:rsid w:val="00265CD2"/>
    <w:rsid w:val="002667F6"/>
    <w:rsid w:val="00267057"/>
    <w:rsid w:val="00270129"/>
    <w:rsid w:val="00273799"/>
    <w:rsid w:val="00276758"/>
    <w:rsid w:val="002800CC"/>
    <w:rsid w:val="00283408"/>
    <w:rsid w:val="002834AD"/>
    <w:rsid w:val="0028399D"/>
    <w:rsid w:val="00284570"/>
    <w:rsid w:val="00285D2E"/>
    <w:rsid w:val="00285DFD"/>
    <w:rsid w:val="00285F7D"/>
    <w:rsid w:val="002861DD"/>
    <w:rsid w:val="00287018"/>
    <w:rsid w:val="00296968"/>
    <w:rsid w:val="00296FCE"/>
    <w:rsid w:val="0029776C"/>
    <w:rsid w:val="002A1125"/>
    <w:rsid w:val="002A3250"/>
    <w:rsid w:val="002A3333"/>
    <w:rsid w:val="002A34C7"/>
    <w:rsid w:val="002A572C"/>
    <w:rsid w:val="002A60C5"/>
    <w:rsid w:val="002A68AE"/>
    <w:rsid w:val="002A692D"/>
    <w:rsid w:val="002A740E"/>
    <w:rsid w:val="002A768B"/>
    <w:rsid w:val="002B0ABB"/>
    <w:rsid w:val="002B1D49"/>
    <w:rsid w:val="002B274C"/>
    <w:rsid w:val="002C175D"/>
    <w:rsid w:val="002C1767"/>
    <w:rsid w:val="002C1E87"/>
    <w:rsid w:val="002C20A5"/>
    <w:rsid w:val="002C2F62"/>
    <w:rsid w:val="002C5468"/>
    <w:rsid w:val="002C61D4"/>
    <w:rsid w:val="002C7157"/>
    <w:rsid w:val="002D09F1"/>
    <w:rsid w:val="002D0B46"/>
    <w:rsid w:val="002D268F"/>
    <w:rsid w:val="002D4855"/>
    <w:rsid w:val="002D5FD1"/>
    <w:rsid w:val="002D7D8F"/>
    <w:rsid w:val="002E2239"/>
    <w:rsid w:val="002E261A"/>
    <w:rsid w:val="002E3C6A"/>
    <w:rsid w:val="002E3E5B"/>
    <w:rsid w:val="002E5489"/>
    <w:rsid w:val="002E78B2"/>
    <w:rsid w:val="002E7A9F"/>
    <w:rsid w:val="002F31C3"/>
    <w:rsid w:val="002F34B3"/>
    <w:rsid w:val="002F3A78"/>
    <w:rsid w:val="002F473D"/>
    <w:rsid w:val="002F5020"/>
    <w:rsid w:val="002F6A93"/>
    <w:rsid w:val="00301363"/>
    <w:rsid w:val="003026BC"/>
    <w:rsid w:val="00305393"/>
    <w:rsid w:val="0031032A"/>
    <w:rsid w:val="003104FF"/>
    <w:rsid w:val="0031099E"/>
    <w:rsid w:val="00311774"/>
    <w:rsid w:val="003120F3"/>
    <w:rsid w:val="003121DA"/>
    <w:rsid w:val="003133A9"/>
    <w:rsid w:val="003140EE"/>
    <w:rsid w:val="00315214"/>
    <w:rsid w:val="00315D6F"/>
    <w:rsid w:val="003163D3"/>
    <w:rsid w:val="003167A5"/>
    <w:rsid w:val="003221AE"/>
    <w:rsid w:val="003229A8"/>
    <w:rsid w:val="00325C6C"/>
    <w:rsid w:val="00326312"/>
    <w:rsid w:val="00326CDF"/>
    <w:rsid w:val="00327C07"/>
    <w:rsid w:val="00331111"/>
    <w:rsid w:val="003317BB"/>
    <w:rsid w:val="00331B1D"/>
    <w:rsid w:val="00331EFF"/>
    <w:rsid w:val="00334A7B"/>
    <w:rsid w:val="00335275"/>
    <w:rsid w:val="003356D2"/>
    <w:rsid w:val="00336A3A"/>
    <w:rsid w:val="00340253"/>
    <w:rsid w:val="00341130"/>
    <w:rsid w:val="00341786"/>
    <w:rsid w:val="0034199E"/>
    <w:rsid w:val="0034321D"/>
    <w:rsid w:val="0034587C"/>
    <w:rsid w:val="00350540"/>
    <w:rsid w:val="0035054E"/>
    <w:rsid w:val="00352290"/>
    <w:rsid w:val="0035366F"/>
    <w:rsid w:val="00353828"/>
    <w:rsid w:val="003564D1"/>
    <w:rsid w:val="00357506"/>
    <w:rsid w:val="00363245"/>
    <w:rsid w:val="00366CF9"/>
    <w:rsid w:val="00366F1F"/>
    <w:rsid w:val="00367857"/>
    <w:rsid w:val="003678AC"/>
    <w:rsid w:val="00373DFE"/>
    <w:rsid w:val="0037403F"/>
    <w:rsid w:val="0037440C"/>
    <w:rsid w:val="0037568C"/>
    <w:rsid w:val="003762CF"/>
    <w:rsid w:val="00376742"/>
    <w:rsid w:val="003774DC"/>
    <w:rsid w:val="00377BC1"/>
    <w:rsid w:val="0038069A"/>
    <w:rsid w:val="0038075D"/>
    <w:rsid w:val="003811DB"/>
    <w:rsid w:val="0038143B"/>
    <w:rsid w:val="0038230A"/>
    <w:rsid w:val="00384021"/>
    <w:rsid w:val="00384E1A"/>
    <w:rsid w:val="0038500C"/>
    <w:rsid w:val="003867A5"/>
    <w:rsid w:val="00386A5A"/>
    <w:rsid w:val="00387825"/>
    <w:rsid w:val="003878BA"/>
    <w:rsid w:val="00393554"/>
    <w:rsid w:val="003947B0"/>
    <w:rsid w:val="00394DF0"/>
    <w:rsid w:val="003950D3"/>
    <w:rsid w:val="003A0CF6"/>
    <w:rsid w:val="003A1F05"/>
    <w:rsid w:val="003A26F7"/>
    <w:rsid w:val="003A2D3F"/>
    <w:rsid w:val="003A3A26"/>
    <w:rsid w:val="003A3E23"/>
    <w:rsid w:val="003A55C0"/>
    <w:rsid w:val="003A5613"/>
    <w:rsid w:val="003A71E2"/>
    <w:rsid w:val="003A7344"/>
    <w:rsid w:val="003B108B"/>
    <w:rsid w:val="003B243E"/>
    <w:rsid w:val="003B3537"/>
    <w:rsid w:val="003B3F0C"/>
    <w:rsid w:val="003B43E1"/>
    <w:rsid w:val="003B575E"/>
    <w:rsid w:val="003B5A3E"/>
    <w:rsid w:val="003B6264"/>
    <w:rsid w:val="003B7417"/>
    <w:rsid w:val="003B7DD3"/>
    <w:rsid w:val="003B7E11"/>
    <w:rsid w:val="003C22C7"/>
    <w:rsid w:val="003C3E24"/>
    <w:rsid w:val="003C448F"/>
    <w:rsid w:val="003C4A2C"/>
    <w:rsid w:val="003C5A47"/>
    <w:rsid w:val="003C5F81"/>
    <w:rsid w:val="003C6FA9"/>
    <w:rsid w:val="003D0493"/>
    <w:rsid w:val="003D1C2F"/>
    <w:rsid w:val="003D25C3"/>
    <w:rsid w:val="003D4099"/>
    <w:rsid w:val="003D51CB"/>
    <w:rsid w:val="003D59C8"/>
    <w:rsid w:val="003D5A89"/>
    <w:rsid w:val="003D6781"/>
    <w:rsid w:val="003D7CA4"/>
    <w:rsid w:val="003E0F10"/>
    <w:rsid w:val="003E1F3A"/>
    <w:rsid w:val="003E2183"/>
    <w:rsid w:val="003E2661"/>
    <w:rsid w:val="003E27B5"/>
    <w:rsid w:val="003E28DA"/>
    <w:rsid w:val="003E2FB5"/>
    <w:rsid w:val="003E3FF8"/>
    <w:rsid w:val="003E58E3"/>
    <w:rsid w:val="003F0B51"/>
    <w:rsid w:val="003F4651"/>
    <w:rsid w:val="003F576F"/>
    <w:rsid w:val="00403277"/>
    <w:rsid w:val="00404063"/>
    <w:rsid w:val="00407FC4"/>
    <w:rsid w:val="004155E6"/>
    <w:rsid w:val="00416230"/>
    <w:rsid w:val="0041697B"/>
    <w:rsid w:val="00416E14"/>
    <w:rsid w:val="00420369"/>
    <w:rsid w:val="004209AC"/>
    <w:rsid w:val="004223A8"/>
    <w:rsid w:val="004235D7"/>
    <w:rsid w:val="00423E7E"/>
    <w:rsid w:val="0042569F"/>
    <w:rsid w:val="00425AF1"/>
    <w:rsid w:val="00426041"/>
    <w:rsid w:val="00426C19"/>
    <w:rsid w:val="00427799"/>
    <w:rsid w:val="004303AB"/>
    <w:rsid w:val="004303F6"/>
    <w:rsid w:val="00431D14"/>
    <w:rsid w:val="00431E18"/>
    <w:rsid w:val="00433468"/>
    <w:rsid w:val="00435524"/>
    <w:rsid w:val="00435AEE"/>
    <w:rsid w:val="00435FDE"/>
    <w:rsid w:val="00436F68"/>
    <w:rsid w:val="0043745F"/>
    <w:rsid w:val="00440003"/>
    <w:rsid w:val="004407CE"/>
    <w:rsid w:val="00440B3C"/>
    <w:rsid w:val="00440F21"/>
    <w:rsid w:val="0044189C"/>
    <w:rsid w:val="00441F71"/>
    <w:rsid w:val="0044265E"/>
    <w:rsid w:val="0044311F"/>
    <w:rsid w:val="004437F7"/>
    <w:rsid w:val="0044391B"/>
    <w:rsid w:val="00445681"/>
    <w:rsid w:val="0044660F"/>
    <w:rsid w:val="00447D85"/>
    <w:rsid w:val="00450678"/>
    <w:rsid w:val="004527F9"/>
    <w:rsid w:val="00452E70"/>
    <w:rsid w:val="004532A5"/>
    <w:rsid w:val="00453A51"/>
    <w:rsid w:val="00453DB2"/>
    <w:rsid w:val="00456468"/>
    <w:rsid w:val="00456994"/>
    <w:rsid w:val="0046090A"/>
    <w:rsid w:val="00461132"/>
    <w:rsid w:val="004619D1"/>
    <w:rsid w:val="0046392F"/>
    <w:rsid w:val="00463C76"/>
    <w:rsid w:val="00470D7C"/>
    <w:rsid w:val="00471B22"/>
    <w:rsid w:val="00471DB0"/>
    <w:rsid w:val="00472550"/>
    <w:rsid w:val="004749D6"/>
    <w:rsid w:val="00474D15"/>
    <w:rsid w:val="004755D0"/>
    <w:rsid w:val="00475B78"/>
    <w:rsid w:val="00475D34"/>
    <w:rsid w:val="00476841"/>
    <w:rsid w:val="00477948"/>
    <w:rsid w:val="00480DC8"/>
    <w:rsid w:val="004821B0"/>
    <w:rsid w:val="00484C5B"/>
    <w:rsid w:val="00484F43"/>
    <w:rsid w:val="004866FA"/>
    <w:rsid w:val="00486A9F"/>
    <w:rsid w:val="0048754A"/>
    <w:rsid w:val="004915A9"/>
    <w:rsid w:val="00493B85"/>
    <w:rsid w:val="00494563"/>
    <w:rsid w:val="00494A19"/>
    <w:rsid w:val="00494BAA"/>
    <w:rsid w:val="00495675"/>
    <w:rsid w:val="004957B4"/>
    <w:rsid w:val="00495E99"/>
    <w:rsid w:val="00496538"/>
    <w:rsid w:val="00497899"/>
    <w:rsid w:val="004978C3"/>
    <w:rsid w:val="00497982"/>
    <w:rsid w:val="004A0E40"/>
    <w:rsid w:val="004A1F1F"/>
    <w:rsid w:val="004A2695"/>
    <w:rsid w:val="004A2DBC"/>
    <w:rsid w:val="004A391D"/>
    <w:rsid w:val="004A469A"/>
    <w:rsid w:val="004A47F1"/>
    <w:rsid w:val="004A54A7"/>
    <w:rsid w:val="004A5D01"/>
    <w:rsid w:val="004A5DE9"/>
    <w:rsid w:val="004A7C6B"/>
    <w:rsid w:val="004B1662"/>
    <w:rsid w:val="004B37A7"/>
    <w:rsid w:val="004B66BB"/>
    <w:rsid w:val="004C0401"/>
    <w:rsid w:val="004C0E1F"/>
    <w:rsid w:val="004C10F5"/>
    <w:rsid w:val="004C142B"/>
    <w:rsid w:val="004C1FE1"/>
    <w:rsid w:val="004C395F"/>
    <w:rsid w:val="004C47CC"/>
    <w:rsid w:val="004D096C"/>
    <w:rsid w:val="004D140C"/>
    <w:rsid w:val="004D1A66"/>
    <w:rsid w:val="004D2BE4"/>
    <w:rsid w:val="004D35E2"/>
    <w:rsid w:val="004D3DE4"/>
    <w:rsid w:val="004D46E2"/>
    <w:rsid w:val="004D499C"/>
    <w:rsid w:val="004D4E77"/>
    <w:rsid w:val="004D6FF9"/>
    <w:rsid w:val="004D7ED5"/>
    <w:rsid w:val="004E040B"/>
    <w:rsid w:val="004E0B63"/>
    <w:rsid w:val="004E1261"/>
    <w:rsid w:val="004E2033"/>
    <w:rsid w:val="004E20CC"/>
    <w:rsid w:val="004E5297"/>
    <w:rsid w:val="004E66A5"/>
    <w:rsid w:val="004E6F41"/>
    <w:rsid w:val="004E73B6"/>
    <w:rsid w:val="004F1537"/>
    <w:rsid w:val="004F1CA9"/>
    <w:rsid w:val="004F237F"/>
    <w:rsid w:val="004F238B"/>
    <w:rsid w:val="004F4B01"/>
    <w:rsid w:val="004F6F23"/>
    <w:rsid w:val="00500B11"/>
    <w:rsid w:val="00501A55"/>
    <w:rsid w:val="005031DE"/>
    <w:rsid w:val="00504D4D"/>
    <w:rsid w:val="005061EE"/>
    <w:rsid w:val="005064A2"/>
    <w:rsid w:val="005065AE"/>
    <w:rsid w:val="00506639"/>
    <w:rsid w:val="00511796"/>
    <w:rsid w:val="00511816"/>
    <w:rsid w:val="00511E63"/>
    <w:rsid w:val="00512D68"/>
    <w:rsid w:val="0051306B"/>
    <w:rsid w:val="005134A6"/>
    <w:rsid w:val="00514B54"/>
    <w:rsid w:val="00515D2F"/>
    <w:rsid w:val="0051659A"/>
    <w:rsid w:val="00521293"/>
    <w:rsid w:val="005217E3"/>
    <w:rsid w:val="00522391"/>
    <w:rsid w:val="0052353B"/>
    <w:rsid w:val="00523D14"/>
    <w:rsid w:val="00524104"/>
    <w:rsid w:val="00526BF0"/>
    <w:rsid w:val="00540B82"/>
    <w:rsid w:val="005426A0"/>
    <w:rsid w:val="0054305B"/>
    <w:rsid w:val="00543552"/>
    <w:rsid w:val="005443B7"/>
    <w:rsid w:val="005446C1"/>
    <w:rsid w:val="00544A52"/>
    <w:rsid w:val="00545250"/>
    <w:rsid w:val="00546ACC"/>
    <w:rsid w:val="00547286"/>
    <w:rsid w:val="005504D8"/>
    <w:rsid w:val="005532E0"/>
    <w:rsid w:val="00553B82"/>
    <w:rsid w:val="00555FA2"/>
    <w:rsid w:val="0055799B"/>
    <w:rsid w:val="0056081F"/>
    <w:rsid w:val="00562BC2"/>
    <w:rsid w:val="00563E79"/>
    <w:rsid w:val="005666A0"/>
    <w:rsid w:val="0056790B"/>
    <w:rsid w:val="00570F42"/>
    <w:rsid w:val="005712E4"/>
    <w:rsid w:val="005721EF"/>
    <w:rsid w:val="00573187"/>
    <w:rsid w:val="0057502E"/>
    <w:rsid w:val="005764A0"/>
    <w:rsid w:val="00577C07"/>
    <w:rsid w:val="00580F92"/>
    <w:rsid w:val="005813D3"/>
    <w:rsid w:val="00582F00"/>
    <w:rsid w:val="005843CF"/>
    <w:rsid w:val="0058458C"/>
    <w:rsid w:val="00584BAB"/>
    <w:rsid w:val="005854BA"/>
    <w:rsid w:val="00586D46"/>
    <w:rsid w:val="005913D1"/>
    <w:rsid w:val="00592922"/>
    <w:rsid w:val="005A24A2"/>
    <w:rsid w:val="005A4959"/>
    <w:rsid w:val="005A53DE"/>
    <w:rsid w:val="005A6731"/>
    <w:rsid w:val="005A6F83"/>
    <w:rsid w:val="005B1552"/>
    <w:rsid w:val="005B18EA"/>
    <w:rsid w:val="005B3557"/>
    <w:rsid w:val="005B4AB8"/>
    <w:rsid w:val="005B5C52"/>
    <w:rsid w:val="005B6262"/>
    <w:rsid w:val="005B74BF"/>
    <w:rsid w:val="005C207A"/>
    <w:rsid w:val="005C29E6"/>
    <w:rsid w:val="005C394B"/>
    <w:rsid w:val="005C5C3B"/>
    <w:rsid w:val="005C6FB0"/>
    <w:rsid w:val="005C7074"/>
    <w:rsid w:val="005C707A"/>
    <w:rsid w:val="005C731C"/>
    <w:rsid w:val="005C7FE4"/>
    <w:rsid w:val="005D1688"/>
    <w:rsid w:val="005D5046"/>
    <w:rsid w:val="005D6083"/>
    <w:rsid w:val="005D6A34"/>
    <w:rsid w:val="005D6CD0"/>
    <w:rsid w:val="005E180A"/>
    <w:rsid w:val="005E205B"/>
    <w:rsid w:val="005E2D20"/>
    <w:rsid w:val="005E3608"/>
    <w:rsid w:val="005E3A42"/>
    <w:rsid w:val="005E424B"/>
    <w:rsid w:val="005E4A0F"/>
    <w:rsid w:val="005E7B82"/>
    <w:rsid w:val="005F2E7B"/>
    <w:rsid w:val="005F3B2C"/>
    <w:rsid w:val="005F3E0A"/>
    <w:rsid w:val="005F3F92"/>
    <w:rsid w:val="005F5D8C"/>
    <w:rsid w:val="005F72F4"/>
    <w:rsid w:val="005F79D1"/>
    <w:rsid w:val="00600E93"/>
    <w:rsid w:val="006010A3"/>
    <w:rsid w:val="00601F47"/>
    <w:rsid w:val="0060238A"/>
    <w:rsid w:val="00603AA5"/>
    <w:rsid w:val="00605038"/>
    <w:rsid w:val="006051C7"/>
    <w:rsid w:val="0060584C"/>
    <w:rsid w:val="00606A80"/>
    <w:rsid w:val="00607A0D"/>
    <w:rsid w:val="00607F8B"/>
    <w:rsid w:val="006103EC"/>
    <w:rsid w:val="00610BB2"/>
    <w:rsid w:val="006118A9"/>
    <w:rsid w:val="00611A9F"/>
    <w:rsid w:val="006156DC"/>
    <w:rsid w:val="006162A6"/>
    <w:rsid w:val="00616F0C"/>
    <w:rsid w:val="0061715F"/>
    <w:rsid w:val="00621473"/>
    <w:rsid w:val="006214ED"/>
    <w:rsid w:val="00621F1E"/>
    <w:rsid w:val="00622E52"/>
    <w:rsid w:val="00625BCB"/>
    <w:rsid w:val="0062717F"/>
    <w:rsid w:val="006275A1"/>
    <w:rsid w:val="00633E5B"/>
    <w:rsid w:val="006349F0"/>
    <w:rsid w:val="00636201"/>
    <w:rsid w:val="00637CA7"/>
    <w:rsid w:val="006404B5"/>
    <w:rsid w:val="00642A51"/>
    <w:rsid w:val="0064392A"/>
    <w:rsid w:val="00645324"/>
    <w:rsid w:val="00645B70"/>
    <w:rsid w:val="00645D02"/>
    <w:rsid w:val="00646039"/>
    <w:rsid w:val="00646DC9"/>
    <w:rsid w:val="00646E6F"/>
    <w:rsid w:val="00651145"/>
    <w:rsid w:val="0065198D"/>
    <w:rsid w:val="0065205E"/>
    <w:rsid w:val="00652430"/>
    <w:rsid w:val="006537A4"/>
    <w:rsid w:val="006560A4"/>
    <w:rsid w:val="0065637E"/>
    <w:rsid w:val="00657365"/>
    <w:rsid w:val="00660C35"/>
    <w:rsid w:val="00660CCB"/>
    <w:rsid w:val="00662E7D"/>
    <w:rsid w:val="00662F09"/>
    <w:rsid w:val="006641FE"/>
    <w:rsid w:val="006661D9"/>
    <w:rsid w:val="006674AA"/>
    <w:rsid w:val="00667600"/>
    <w:rsid w:val="00671425"/>
    <w:rsid w:val="00672BED"/>
    <w:rsid w:val="00672EB2"/>
    <w:rsid w:val="006736D7"/>
    <w:rsid w:val="00673A27"/>
    <w:rsid w:val="00674124"/>
    <w:rsid w:val="006750D6"/>
    <w:rsid w:val="00677F23"/>
    <w:rsid w:val="00680547"/>
    <w:rsid w:val="00681866"/>
    <w:rsid w:val="006846E5"/>
    <w:rsid w:val="00684867"/>
    <w:rsid w:val="00685265"/>
    <w:rsid w:val="00685D79"/>
    <w:rsid w:val="00686001"/>
    <w:rsid w:val="0068792A"/>
    <w:rsid w:val="00687E55"/>
    <w:rsid w:val="00690A12"/>
    <w:rsid w:val="00691C17"/>
    <w:rsid w:val="00692805"/>
    <w:rsid w:val="00696424"/>
    <w:rsid w:val="00697502"/>
    <w:rsid w:val="006A0D5E"/>
    <w:rsid w:val="006A1D03"/>
    <w:rsid w:val="006A32B6"/>
    <w:rsid w:val="006A3D34"/>
    <w:rsid w:val="006A6CCB"/>
    <w:rsid w:val="006A6E5F"/>
    <w:rsid w:val="006B028C"/>
    <w:rsid w:val="006B3304"/>
    <w:rsid w:val="006B726A"/>
    <w:rsid w:val="006B72B7"/>
    <w:rsid w:val="006B79C9"/>
    <w:rsid w:val="006B7E4E"/>
    <w:rsid w:val="006C0206"/>
    <w:rsid w:val="006C17E2"/>
    <w:rsid w:val="006C299D"/>
    <w:rsid w:val="006C4216"/>
    <w:rsid w:val="006C4D4A"/>
    <w:rsid w:val="006C57B8"/>
    <w:rsid w:val="006C653F"/>
    <w:rsid w:val="006C6DE0"/>
    <w:rsid w:val="006D0933"/>
    <w:rsid w:val="006D511C"/>
    <w:rsid w:val="006D54A3"/>
    <w:rsid w:val="006D5A6B"/>
    <w:rsid w:val="006D5DC0"/>
    <w:rsid w:val="006D6055"/>
    <w:rsid w:val="006D6463"/>
    <w:rsid w:val="006E16C2"/>
    <w:rsid w:val="006E1785"/>
    <w:rsid w:val="006E19C1"/>
    <w:rsid w:val="006E21AC"/>
    <w:rsid w:val="006E22B8"/>
    <w:rsid w:val="006E4145"/>
    <w:rsid w:val="006E4381"/>
    <w:rsid w:val="006E5D49"/>
    <w:rsid w:val="006F141F"/>
    <w:rsid w:val="006F207A"/>
    <w:rsid w:val="006F3010"/>
    <w:rsid w:val="006F40FF"/>
    <w:rsid w:val="006F4917"/>
    <w:rsid w:val="006F5C9F"/>
    <w:rsid w:val="006F70C7"/>
    <w:rsid w:val="00700DC6"/>
    <w:rsid w:val="00700EB8"/>
    <w:rsid w:val="007013A8"/>
    <w:rsid w:val="00703907"/>
    <w:rsid w:val="00705A81"/>
    <w:rsid w:val="007060EC"/>
    <w:rsid w:val="0070712E"/>
    <w:rsid w:val="00710481"/>
    <w:rsid w:val="00710EE7"/>
    <w:rsid w:val="0071110E"/>
    <w:rsid w:val="0071132B"/>
    <w:rsid w:val="007120CC"/>
    <w:rsid w:val="00712717"/>
    <w:rsid w:val="00714721"/>
    <w:rsid w:val="007179D0"/>
    <w:rsid w:val="00720955"/>
    <w:rsid w:val="007216F4"/>
    <w:rsid w:val="0072226E"/>
    <w:rsid w:val="00722491"/>
    <w:rsid w:val="00722850"/>
    <w:rsid w:val="00722BBD"/>
    <w:rsid w:val="007232C0"/>
    <w:rsid w:val="00723589"/>
    <w:rsid w:val="00724867"/>
    <w:rsid w:val="0072653B"/>
    <w:rsid w:val="0072693E"/>
    <w:rsid w:val="00731569"/>
    <w:rsid w:val="00731DCC"/>
    <w:rsid w:val="00733913"/>
    <w:rsid w:val="007345B9"/>
    <w:rsid w:val="00734C97"/>
    <w:rsid w:val="007358B2"/>
    <w:rsid w:val="007360F3"/>
    <w:rsid w:val="00740396"/>
    <w:rsid w:val="007407EB"/>
    <w:rsid w:val="00741B5D"/>
    <w:rsid w:val="0074207F"/>
    <w:rsid w:val="00742FDD"/>
    <w:rsid w:val="007430A4"/>
    <w:rsid w:val="00743A02"/>
    <w:rsid w:val="00743A7B"/>
    <w:rsid w:val="00745862"/>
    <w:rsid w:val="00750CBA"/>
    <w:rsid w:val="0075264A"/>
    <w:rsid w:val="007532B0"/>
    <w:rsid w:val="00757FD1"/>
    <w:rsid w:val="007602F5"/>
    <w:rsid w:val="007623D5"/>
    <w:rsid w:val="00762932"/>
    <w:rsid w:val="00762E74"/>
    <w:rsid w:val="007656BC"/>
    <w:rsid w:val="00765E12"/>
    <w:rsid w:val="00767FE2"/>
    <w:rsid w:val="00772A9B"/>
    <w:rsid w:val="00772F4E"/>
    <w:rsid w:val="007748B8"/>
    <w:rsid w:val="0077657B"/>
    <w:rsid w:val="007854DC"/>
    <w:rsid w:val="00785F28"/>
    <w:rsid w:val="00790031"/>
    <w:rsid w:val="00790740"/>
    <w:rsid w:val="00790CD8"/>
    <w:rsid w:val="00790E56"/>
    <w:rsid w:val="00791DD0"/>
    <w:rsid w:val="00792F17"/>
    <w:rsid w:val="00793346"/>
    <w:rsid w:val="00793FAC"/>
    <w:rsid w:val="0079404E"/>
    <w:rsid w:val="0079408D"/>
    <w:rsid w:val="00795A3C"/>
    <w:rsid w:val="007A07B7"/>
    <w:rsid w:val="007A0F51"/>
    <w:rsid w:val="007A108D"/>
    <w:rsid w:val="007A10FD"/>
    <w:rsid w:val="007A22A2"/>
    <w:rsid w:val="007A68BF"/>
    <w:rsid w:val="007A714B"/>
    <w:rsid w:val="007A73D0"/>
    <w:rsid w:val="007B0439"/>
    <w:rsid w:val="007B1452"/>
    <w:rsid w:val="007B2A96"/>
    <w:rsid w:val="007B3400"/>
    <w:rsid w:val="007B38C8"/>
    <w:rsid w:val="007B3C0D"/>
    <w:rsid w:val="007B4A1B"/>
    <w:rsid w:val="007B4FF4"/>
    <w:rsid w:val="007B553B"/>
    <w:rsid w:val="007B6AAA"/>
    <w:rsid w:val="007C04B6"/>
    <w:rsid w:val="007C0E62"/>
    <w:rsid w:val="007C1B0D"/>
    <w:rsid w:val="007C3368"/>
    <w:rsid w:val="007C42FC"/>
    <w:rsid w:val="007C63BF"/>
    <w:rsid w:val="007D07A3"/>
    <w:rsid w:val="007D0AF9"/>
    <w:rsid w:val="007D132D"/>
    <w:rsid w:val="007D228D"/>
    <w:rsid w:val="007D3A4E"/>
    <w:rsid w:val="007D3CBB"/>
    <w:rsid w:val="007D4A3C"/>
    <w:rsid w:val="007D58B8"/>
    <w:rsid w:val="007D6021"/>
    <w:rsid w:val="007E0CC2"/>
    <w:rsid w:val="007E0EC8"/>
    <w:rsid w:val="007E1288"/>
    <w:rsid w:val="007E18C5"/>
    <w:rsid w:val="007E2A03"/>
    <w:rsid w:val="007E2FF1"/>
    <w:rsid w:val="007E3DD5"/>
    <w:rsid w:val="007E438A"/>
    <w:rsid w:val="007E6051"/>
    <w:rsid w:val="007E63B3"/>
    <w:rsid w:val="007E779C"/>
    <w:rsid w:val="007E7D29"/>
    <w:rsid w:val="007F03BD"/>
    <w:rsid w:val="007F241B"/>
    <w:rsid w:val="007F24C9"/>
    <w:rsid w:val="007F2829"/>
    <w:rsid w:val="007F385D"/>
    <w:rsid w:val="007F4312"/>
    <w:rsid w:val="007F45F2"/>
    <w:rsid w:val="007F4F20"/>
    <w:rsid w:val="007F5316"/>
    <w:rsid w:val="007F55EC"/>
    <w:rsid w:val="007F5837"/>
    <w:rsid w:val="007F61B6"/>
    <w:rsid w:val="007F6E4F"/>
    <w:rsid w:val="007F7034"/>
    <w:rsid w:val="007F76A1"/>
    <w:rsid w:val="0080158E"/>
    <w:rsid w:val="008030C5"/>
    <w:rsid w:val="00803430"/>
    <w:rsid w:val="00803E89"/>
    <w:rsid w:val="00805016"/>
    <w:rsid w:val="00805754"/>
    <w:rsid w:val="00807AEB"/>
    <w:rsid w:val="00807D29"/>
    <w:rsid w:val="00810C96"/>
    <w:rsid w:val="00812921"/>
    <w:rsid w:val="00812FB5"/>
    <w:rsid w:val="00813EDA"/>
    <w:rsid w:val="00815596"/>
    <w:rsid w:val="008175EB"/>
    <w:rsid w:val="00820F16"/>
    <w:rsid w:val="008214E7"/>
    <w:rsid w:val="00823218"/>
    <w:rsid w:val="008269AE"/>
    <w:rsid w:val="00826C17"/>
    <w:rsid w:val="0083007B"/>
    <w:rsid w:val="00830313"/>
    <w:rsid w:val="00831F71"/>
    <w:rsid w:val="008326DC"/>
    <w:rsid w:val="00833297"/>
    <w:rsid w:val="00833A8E"/>
    <w:rsid w:val="00833E5D"/>
    <w:rsid w:val="008407CC"/>
    <w:rsid w:val="0084097B"/>
    <w:rsid w:val="008419E6"/>
    <w:rsid w:val="00842CC5"/>
    <w:rsid w:val="008437DA"/>
    <w:rsid w:val="00844511"/>
    <w:rsid w:val="0084605B"/>
    <w:rsid w:val="008466B5"/>
    <w:rsid w:val="00850797"/>
    <w:rsid w:val="0085188C"/>
    <w:rsid w:val="00851D80"/>
    <w:rsid w:val="00851F16"/>
    <w:rsid w:val="008522D6"/>
    <w:rsid w:val="00852CB7"/>
    <w:rsid w:val="00853142"/>
    <w:rsid w:val="00853AAE"/>
    <w:rsid w:val="0085459E"/>
    <w:rsid w:val="00854B61"/>
    <w:rsid w:val="00856260"/>
    <w:rsid w:val="008572C2"/>
    <w:rsid w:val="00860355"/>
    <w:rsid w:val="00860750"/>
    <w:rsid w:val="008613A4"/>
    <w:rsid w:val="00862A04"/>
    <w:rsid w:val="00863585"/>
    <w:rsid w:val="00863909"/>
    <w:rsid w:val="00863B40"/>
    <w:rsid w:val="008641AE"/>
    <w:rsid w:val="008652E1"/>
    <w:rsid w:val="00865AFB"/>
    <w:rsid w:val="008666C3"/>
    <w:rsid w:val="0086769E"/>
    <w:rsid w:val="00872AB4"/>
    <w:rsid w:val="00872B6B"/>
    <w:rsid w:val="008730D4"/>
    <w:rsid w:val="0087325A"/>
    <w:rsid w:val="00873BF7"/>
    <w:rsid w:val="00874043"/>
    <w:rsid w:val="00874B33"/>
    <w:rsid w:val="00874C54"/>
    <w:rsid w:val="0087530F"/>
    <w:rsid w:val="008756D4"/>
    <w:rsid w:val="008765D3"/>
    <w:rsid w:val="008772F1"/>
    <w:rsid w:val="00883ECC"/>
    <w:rsid w:val="00884154"/>
    <w:rsid w:val="00885CCE"/>
    <w:rsid w:val="008914AC"/>
    <w:rsid w:val="008925B9"/>
    <w:rsid w:val="008944D9"/>
    <w:rsid w:val="00894524"/>
    <w:rsid w:val="008965AB"/>
    <w:rsid w:val="00896E61"/>
    <w:rsid w:val="008A3764"/>
    <w:rsid w:val="008A38FE"/>
    <w:rsid w:val="008A696E"/>
    <w:rsid w:val="008B13C2"/>
    <w:rsid w:val="008B2109"/>
    <w:rsid w:val="008B3E9F"/>
    <w:rsid w:val="008B45FF"/>
    <w:rsid w:val="008C1CAB"/>
    <w:rsid w:val="008C39BB"/>
    <w:rsid w:val="008C5576"/>
    <w:rsid w:val="008C5BCB"/>
    <w:rsid w:val="008C70C2"/>
    <w:rsid w:val="008D0C8E"/>
    <w:rsid w:val="008D3BBE"/>
    <w:rsid w:val="008D4687"/>
    <w:rsid w:val="008D54FD"/>
    <w:rsid w:val="008D5760"/>
    <w:rsid w:val="008D5BC7"/>
    <w:rsid w:val="008D65AC"/>
    <w:rsid w:val="008D7BAE"/>
    <w:rsid w:val="008E14C2"/>
    <w:rsid w:val="008E19F6"/>
    <w:rsid w:val="008E2005"/>
    <w:rsid w:val="008E3574"/>
    <w:rsid w:val="008E586D"/>
    <w:rsid w:val="008E7D90"/>
    <w:rsid w:val="008F0438"/>
    <w:rsid w:val="008F1308"/>
    <w:rsid w:val="008F2AF4"/>
    <w:rsid w:val="008F3692"/>
    <w:rsid w:val="008F42A1"/>
    <w:rsid w:val="008F5560"/>
    <w:rsid w:val="008F619B"/>
    <w:rsid w:val="008F62FE"/>
    <w:rsid w:val="008F6A10"/>
    <w:rsid w:val="008F6D60"/>
    <w:rsid w:val="008F740F"/>
    <w:rsid w:val="008F7C2F"/>
    <w:rsid w:val="008F7FA5"/>
    <w:rsid w:val="00900A12"/>
    <w:rsid w:val="00903E8F"/>
    <w:rsid w:val="00905DC7"/>
    <w:rsid w:val="00906927"/>
    <w:rsid w:val="00911026"/>
    <w:rsid w:val="00913C9E"/>
    <w:rsid w:val="009144E2"/>
    <w:rsid w:val="009148AE"/>
    <w:rsid w:val="0091683E"/>
    <w:rsid w:val="009177DD"/>
    <w:rsid w:val="009178A6"/>
    <w:rsid w:val="00917946"/>
    <w:rsid w:val="00923BB0"/>
    <w:rsid w:val="009240D0"/>
    <w:rsid w:val="00925625"/>
    <w:rsid w:val="00926E5A"/>
    <w:rsid w:val="0092758A"/>
    <w:rsid w:val="00934738"/>
    <w:rsid w:val="00935B47"/>
    <w:rsid w:val="00936432"/>
    <w:rsid w:val="009406EB"/>
    <w:rsid w:val="009409E9"/>
    <w:rsid w:val="00940FBE"/>
    <w:rsid w:val="00941D84"/>
    <w:rsid w:val="00941FDA"/>
    <w:rsid w:val="009427F5"/>
    <w:rsid w:val="00944055"/>
    <w:rsid w:val="009441D2"/>
    <w:rsid w:val="00944342"/>
    <w:rsid w:val="00945ECB"/>
    <w:rsid w:val="00947566"/>
    <w:rsid w:val="009502FE"/>
    <w:rsid w:val="00951E16"/>
    <w:rsid w:val="00953131"/>
    <w:rsid w:val="00953AAD"/>
    <w:rsid w:val="00954F79"/>
    <w:rsid w:val="0095645B"/>
    <w:rsid w:val="00964792"/>
    <w:rsid w:val="00964E61"/>
    <w:rsid w:val="00965176"/>
    <w:rsid w:val="0096524B"/>
    <w:rsid w:val="009701AB"/>
    <w:rsid w:val="00970299"/>
    <w:rsid w:val="0097140F"/>
    <w:rsid w:val="00971A5C"/>
    <w:rsid w:val="009727DC"/>
    <w:rsid w:val="00972B9D"/>
    <w:rsid w:val="00973734"/>
    <w:rsid w:val="00974503"/>
    <w:rsid w:val="00982AE4"/>
    <w:rsid w:val="00982E77"/>
    <w:rsid w:val="00982EC6"/>
    <w:rsid w:val="00985C4D"/>
    <w:rsid w:val="00985EC5"/>
    <w:rsid w:val="009860DA"/>
    <w:rsid w:val="009869F5"/>
    <w:rsid w:val="00991FB8"/>
    <w:rsid w:val="00992410"/>
    <w:rsid w:val="00992F51"/>
    <w:rsid w:val="00995BF4"/>
    <w:rsid w:val="00996225"/>
    <w:rsid w:val="009965E8"/>
    <w:rsid w:val="009A0522"/>
    <w:rsid w:val="009A05C7"/>
    <w:rsid w:val="009A1AA5"/>
    <w:rsid w:val="009A27B5"/>
    <w:rsid w:val="009A2A38"/>
    <w:rsid w:val="009A3EC9"/>
    <w:rsid w:val="009A5971"/>
    <w:rsid w:val="009B2FA8"/>
    <w:rsid w:val="009B3736"/>
    <w:rsid w:val="009B385D"/>
    <w:rsid w:val="009B403D"/>
    <w:rsid w:val="009B421E"/>
    <w:rsid w:val="009B5A34"/>
    <w:rsid w:val="009B6322"/>
    <w:rsid w:val="009B73AF"/>
    <w:rsid w:val="009B7F68"/>
    <w:rsid w:val="009C1374"/>
    <w:rsid w:val="009C3176"/>
    <w:rsid w:val="009C3797"/>
    <w:rsid w:val="009C52BA"/>
    <w:rsid w:val="009C5555"/>
    <w:rsid w:val="009C6577"/>
    <w:rsid w:val="009C6B17"/>
    <w:rsid w:val="009D10C1"/>
    <w:rsid w:val="009D336B"/>
    <w:rsid w:val="009D38C0"/>
    <w:rsid w:val="009D3994"/>
    <w:rsid w:val="009D3E56"/>
    <w:rsid w:val="009D47C2"/>
    <w:rsid w:val="009D4D40"/>
    <w:rsid w:val="009D4EE3"/>
    <w:rsid w:val="009D6557"/>
    <w:rsid w:val="009D73C1"/>
    <w:rsid w:val="009E00F6"/>
    <w:rsid w:val="009E0240"/>
    <w:rsid w:val="009E037E"/>
    <w:rsid w:val="009E0844"/>
    <w:rsid w:val="009E10D6"/>
    <w:rsid w:val="009E2294"/>
    <w:rsid w:val="009E2931"/>
    <w:rsid w:val="009E385D"/>
    <w:rsid w:val="009E4841"/>
    <w:rsid w:val="009E5606"/>
    <w:rsid w:val="009E6A2D"/>
    <w:rsid w:val="009F235D"/>
    <w:rsid w:val="009F332B"/>
    <w:rsid w:val="009F3E83"/>
    <w:rsid w:val="009F75E2"/>
    <w:rsid w:val="009F79EC"/>
    <w:rsid w:val="00A015DC"/>
    <w:rsid w:val="00A018B7"/>
    <w:rsid w:val="00A02E9B"/>
    <w:rsid w:val="00A02FD9"/>
    <w:rsid w:val="00A06F37"/>
    <w:rsid w:val="00A07639"/>
    <w:rsid w:val="00A106DD"/>
    <w:rsid w:val="00A11BA2"/>
    <w:rsid w:val="00A1207C"/>
    <w:rsid w:val="00A13133"/>
    <w:rsid w:val="00A14E62"/>
    <w:rsid w:val="00A1516D"/>
    <w:rsid w:val="00A162C0"/>
    <w:rsid w:val="00A20093"/>
    <w:rsid w:val="00A24E94"/>
    <w:rsid w:val="00A2586D"/>
    <w:rsid w:val="00A262B1"/>
    <w:rsid w:val="00A26A0A"/>
    <w:rsid w:val="00A342D2"/>
    <w:rsid w:val="00A35A6C"/>
    <w:rsid w:val="00A37833"/>
    <w:rsid w:val="00A4020F"/>
    <w:rsid w:val="00A40FBD"/>
    <w:rsid w:val="00A42547"/>
    <w:rsid w:val="00A42A3A"/>
    <w:rsid w:val="00A468E7"/>
    <w:rsid w:val="00A471F6"/>
    <w:rsid w:val="00A4756B"/>
    <w:rsid w:val="00A475F0"/>
    <w:rsid w:val="00A505C8"/>
    <w:rsid w:val="00A51181"/>
    <w:rsid w:val="00A51CF7"/>
    <w:rsid w:val="00A52536"/>
    <w:rsid w:val="00A52E97"/>
    <w:rsid w:val="00A539B2"/>
    <w:rsid w:val="00A53CC2"/>
    <w:rsid w:val="00A54E27"/>
    <w:rsid w:val="00A5678D"/>
    <w:rsid w:val="00A576B5"/>
    <w:rsid w:val="00A607AC"/>
    <w:rsid w:val="00A608D1"/>
    <w:rsid w:val="00A61325"/>
    <w:rsid w:val="00A6171D"/>
    <w:rsid w:val="00A628A9"/>
    <w:rsid w:val="00A632BD"/>
    <w:rsid w:val="00A64D77"/>
    <w:rsid w:val="00A667B4"/>
    <w:rsid w:val="00A66B03"/>
    <w:rsid w:val="00A67937"/>
    <w:rsid w:val="00A703C1"/>
    <w:rsid w:val="00A70708"/>
    <w:rsid w:val="00A70955"/>
    <w:rsid w:val="00A70C3B"/>
    <w:rsid w:val="00A71192"/>
    <w:rsid w:val="00A71217"/>
    <w:rsid w:val="00A75ED5"/>
    <w:rsid w:val="00A76674"/>
    <w:rsid w:val="00A772A4"/>
    <w:rsid w:val="00A80398"/>
    <w:rsid w:val="00A80EC3"/>
    <w:rsid w:val="00A81DC1"/>
    <w:rsid w:val="00A81DE5"/>
    <w:rsid w:val="00A864B3"/>
    <w:rsid w:val="00A905A5"/>
    <w:rsid w:val="00A92E4C"/>
    <w:rsid w:val="00A93DBB"/>
    <w:rsid w:val="00A961DC"/>
    <w:rsid w:val="00AA0358"/>
    <w:rsid w:val="00AA0BBD"/>
    <w:rsid w:val="00AA256A"/>
    <w:rsid w:val="00AA3280"/>
    <w:rsid w:val="00AA5751"/>
    <w:rsid w:val="00AB03E6"/>
    <w:rsid w:val="00AB1285"/>
    <w:rsid w:val="00AB1F81"/>
    <w:rsid w:val="00AB34E0"/>
    <w:rsid w:val="00AC10F3"/>
    <w:rsid w:val="00AC15BC"/>
    <w:rsid w:val="00AC2753"/>
    <w:rsid w:val="00AC35DC"/>
    <w:rsid w:val="00AC4194"/>
    <w:rsid w:val="00AC5B47"/>
    <w:rsid w:val="00AC67DB"/>
    <w:rsid w:val="00AC6B23"/>
    <w:rsid w:val="00AC6D31"/>
    <w:rsid w:val="00AC774C"/>
    <w:rsid w:val="00AD202B"/>
    <w:rsid w:val="00AD6207"/>
    <w:rsid w:val="00AE0343"/>
    <w:rsid w:val="00AE0E51"/>
    <w:rsid w:val="00AE0E76"/>
    <w:rsid w:val="00AE10AB"/>
    <w:rsid w:val="00AE38E5"/>
    <w:rsid w:val="00AE632D"/>
    <w:rsid w:val="00AE64B9"/>
    <w:rsid w:val="00AE6B32"/>
    <w:rsid w:val="00AE6F39"/>
    <w:rsid w:val="00AE7864"/>
    <w:rsid w:val="00AE7C89"/>
    <w:rsid w:val="00AE7FB3"/>
    <w:rsid w:val="00AF1A35"/>
    <w:rsid w:val="00AF2379"/>
    <w:rsid w:val="00AF3A4D"/>
    <w:rsid w:val="00AF3E9A"/>
    <w:rsid w:val="00AF50DC"/>
    <w:rsid w:val="00AF515C"/>
    <w:rsid w:val="00AF51F7"/>
    <w:rsid w:val="00AF6445"/>
    <w:rsid w:val="00AF780D"/>
    <w:rsid w:val="00B00F43"/>
    <w:rsid w:val="00B015CB"/>
    <w:rsid w:val="00B016D7"/>
    <w:rsid w:val="00B02C78"/>
    <w:rsid w:val="00B04120"/>
    <w:rsid w:val="00B048E5"/>
    <w:rsid w:val="00B04C4C"/>
    <w:rsid w:val="00B04C53"/>
    <w:rsid w:val="00B05A60"/>
    <w:rsid w:val="00B05EBF"/>
    <w:rsid w:val="00B06D7D"/>
    <w:rsid w:val="00B1087E"/>
    <w:rsid w:val="00B10B15"/>
    <w:rsid w:val="00B10B33"/>
    <w:rsid w:val="00B11B3D"/>
    <w:rsid w:val="00B12B25"/>
    <w:rsid w:val="00B14FBF"/>
    <w:rsid w:val="00B157A5"/>
    <w:rsid w:val="00B15BD7"/>
    <w:rsid w:val="00B21C91"/>
    <w:rsid w:val="00B22F28"/>
    <w:rsid w:val="00B23A47"/>
    <w:rsid w:val="00B2457E"/>
    <w:rsid w:val="00B24BB1"/>
    <w:rsid w:val="00B2558D"/>
    <w:rsid w:val="00B27837"/>
    <w:rsid w:val="00B27F2A"/>
    <w:rsid w:val="00B31C2F"/>
    <w:rsid w:val="00B32282"/>
    <w:rsid w:val="00B33600"/>
    <w:rsid w:val="00B34261"/>
    <w:rsid w:val="00B34817"/>
    <w:rsid w:val="00B348F6"/>
    <w:rsid w:val="00B34D0E"/>
    <w:rsid w:val="00B411FB"/>
    <w:rsid w:val="00B42B10"/>
    <w:rsid w:val="00B42B63"/>
    <w:rsid w:val="00B4343C"/>
    <w:rsid w:val="00B43D79"/>
    <w:rsid w:val="00B444B6"/>
    <w:rsid w:val="00B44D75"/>
    <w:rsid w:val="00B456BF"/>
    <w:rsid w:val="00B50D92"/>
    <w:rsid w:val="00B51037"/>
    <w:rsid w:val="00B51E01"/>
    <w:rsid w:val="00B52A81"/>
    <w:rsid w:val="00B55D7F"/>
    <w:rsid w:val="00B55FBB"/>
    <w:rsid w:val="00B56CA8"/>
    <w:rsid w:val="00B611D9"/>
    <w:rsid w:val="00B61B49"/>
    <w:rsid w:val="00B61FF3"/>
    <w:rsid w:val="00B622B3"/>
    <w:rsid w:val="00B62C7B"/>
    <w:rsid w:val="00B62C7D"/>
    <w:rsid w:val="00B62FBC"/>
    <w:rsid w:val="00B6363A"/>
    <w:rsid w:val="00B6377A"/>
    <w:rsid w:val="00B63E4B"/>
    <w:rsid w:val="00B64208"/>
    <w:rsid w:val="00B65AEF"/>
    <w:rsid w:val="00B67341"/>
    <w:rsid w:val="00B70038"/>
    <w:rsid w:val="00B716E8"/>
    <w:rsid w:val="00B7215E"/>
    <w:rsid w:val="00B72231"/>
    <w:rsid w:val="00B73243"/>
    <w:rsid w:val="00B738FA"/>
    <w:rsid w:val="00B73C01"/>
    <w:rsid w:val="00B74FBF"/>
    <w:rsid w:val="00B76988"/>
    <w:rsid w:val="00B80A4D"/>
    <w:rsid w:val="00B811AA"/>
    <w:rsid w:val="00B83F5E"/>
    <w:rsid w:val="00B841DE"/>
    <w:rsid w:val="00B918B8"/>
    <w:rsid w:val="00B9252A"/>
    <w:rsid w:val="00B94BD5"/>
    <w:rsid w:val="00B956B5"/>
    <w:rsid w:val="00B963FE"/>
    <w:rsid w:val="00B96EF9"/>
    <w:rsid w:val="00B97CCC"/>
    <w:rsid w:val="00BA0CFF"/>
    <w:rsid w:val="00BA1773"/>
    <w:rsid w:val="00BA24B7"/>
    <w:rsid w:val="00BA3225"/>
    <w:rsid w:val="00BA4489"/>
    <w:rsid w:val="00BA66AE"/>
    <w:rsid w:val="00BA689B"/>
    <w:rsid w:val="00BA7AC9"/>
    <w:rsid w:val="00BB0B8F"/>
    <w:rsid w:val="00BB1CD3"/>
    <w:rsid w:val="00BB724B"/>
    <w:rsid w:val="00BC03EF"/>
    <w:rsid w:val="00BC1A40"/>
    <w:rsid w:val="00BC22DF"/>
    <w:rsid w:val="00BC424C"/>
    <w:rsid w:val="00BC5185"/>
    <w:rsid w:val="00BC5CF6"/>
    <w:rsid w:val="00BC7508"/>
    <w:rsid w:val="00BC797E"/>
    <w:rsid w:val="00BD0867"/>
    <w:rsid w:val="00BD10FD"/>
    <w:rsid w:val="00BD1E73"/>
    <w:rsid w:val="00BD2A1D"/>
    <w:rsid w:val="00BD421F"/>
    <w:rsid w:val="00BD5B98"/>
    <w:rsid w:val="00BD641D"/>
    <w:rsid w:val="00BD6979"/>
    <w:rsid w:val="00BD737D"/>
    <w:rsid w:val="00BE0339"/>
    <w:rsid w:val="00BE0CA1"/>
    <w:rsid w:val="00BE1011"/>
    <w:rsid w:val="00BE123E"/>
    <w:rsid w:val="00BE1563"/>
    <w:rsid w:val="00BE430D"/>
    <w:rsid w:val="00BF12B2"/>
    <w:rsid w:val="00BF1370"/>
    <w:rsid w:val="00BF1A78"/>
    <w:rsid w:val="00BF4543"/>
    <w:rsid w:val="00BF4650"/>
    <w:rsid w:val="00BF5CCA"/>
    <w:rsid w:val="00BF6B2F"/>
    <w:rsid w:val="00BF6D1F"/>
    <w:rsid w:val="00C01880"/>
    <w:rsid w:val="00C02824"/>
    <w:rsid w:val="00C03C05"/>
    <w:rsid w:val="00C04028"/>
    <w:rsid w:val="00C05054"/>
    <w:rsid w:val="00C061A9"/>
    <w:rsid w:val="00C06341"/>
    <w:rsid w:val="00C1151D"/>
    <w:rsid w:val="00C119A2"/>
    <w:rsid w:val="00C11ABF"/>
    <w:rsid w:val="00C13E7B"/>
    <w:rsid w:val="00C153A4"/>
    <w:rsid w:val="00C155FB"/>
    <w:rsid w:val="00C158F3"/>
    <w:rsid w:val="00C159EB"/>
    <w:rsid w:val="00C15D52"/>
    <w:rsid w:val="00C2145D"/>
    <w:rsid w:val="00C22A9D"/>
    <w:rsid w:val="00C23DFC"/>
    <w:rsid w:val="00C24FA8"/>
    <w:rsid w:val="00C264C8"/>
    <w:rsid w:val="00C26717"/>
    <w:rsid w:val="00C27A3A"/>
    <w:rsid w:val="00C27B57"/>
    <w:rsid w:val="00C3196B"/>
    <w:rsid w:val="00C31CC1"/>
    <w:rsid w:val="00C3218D"/>
    <w:rsid w:val="00C32723"/>
    <w:rsid w:val="00C32797"/>
    <w:rsid w:val="00C33372"/>
    <w:rsid w:val="00C33BAD"/>
    <w:rsid w:val="00C35D32"/>
    <w:rsid w:val="00C36B1C"/>
    <w:rsid w:val="00C36D90"/>
    <w:rsid w:val="00C401CF"/>
    <w:rsid w:val="00C40C51"/>
    <w:rsid w:val="00C41C75"/>
    <w:rsid w:val="00C4372B"/>
    <w:rsid w:val="00C43D7D"/>
    <w:rsid w:val="00C44582"/>
    <w:rsid w:val="00C448AD"/>
    <w:rsid w:val="00C44E0A"/>
    <w:rsid w:val="00C4601F"/>
    <w:rsid w:val="00C469EE"/>
    <w:rsid w:val="00C47788"/>
    <w:rsid w:val="00C51E30"/>
    <w:rsid w:val="00C52491"/>
    <w:rsid w:val="00C54560"/>
    <w:rsid w:val="00C551A9"/>
    <w:rsid w:val="00C55C37"/>
    <w:rsid w:val="00C55CCF"/>
    <w:rsid w:val="00C5743F"/>
    <w:rsid w:val="00C6032D"/>
    <w:rsid w:val="00C60609"/>
    <w:rsid w:val="00C61623"/>
    <w:rsid w:val="00C61EEA"/>
    <w:rsid w:val="00C62329"/>
    <w:rsid w:val="00C624DA"/>
    <w:rsid w:val="00C64283"/>
    <w:rsid w:val="00C65360"/>
    <w:rsid w:val="00C654BD"/>
    <w:rsid w:val="00C668C8"/>
    <w:rsid w:val="00C71292"/>
    <w:rsid w:val="00C725F8"/>
    <w:rsid w:val="00C72BF7"/>
    <w:rsid w:val="00C73BB8"/>
    <w:rsid w:val="00C7451F"/>
    <w:rsid w:val="00C75BD5"/>
    <w:rsid w:val="00C76E18"/>
    <w:rsid w:val="00C80984"/>
    <w:rsid w:val="00C816BF"/>
    <w:rsid w:val="00C82ED5"/>
    <w:rsid w:val="00C8451F"/>
    <w:rsid w:val="00C85C0A"/>
    <w:rsid w:val="00C8785E"/>
    <w:rsid w:val="00C903E1"/>
    <w:rsid w:val="00C90CC8"/>
    <w:rsid w:val="00C90D5D"/>
    <w:rsid w:val="00C936A2"/>
    <w:rsid w:val="00C939A1"/>
    <w:rsid w:val="00C94F35"/>
    <w:rsid w:val="00C96A00"/>
    <w:rsid w:val="00C975FD"/>
    <w:rsid w:val="00CA098C"/>
    <w:rsid w:val="00CA65C9"/>
    <w:rsid w:val="00CA6645"/>
    <w:rsid w:val="00CA7539"/>
    <w:rsid w:val="00CB098C"/>
    <w:rsid w:val="00CB0E3A"/>
    <w:rsid w:val="00CB257E"/>
    <w:rsid w:val="00CB30FF"/>
    <w:rsid w:val="00CB3177"/>
    <w:rsid w:val="00CB4F50"/>
    <w:rsid w:val="00CB6898"/>
    <w:rsid w:val="00CB6DA3"/>
    <w:rsid w:val="00CB70D9"/>
    <w:rsid w:val="00CB7506"/>
    <w:rsid w:val="00CB7902"/>
    <w:rsid w:val="00CC027A"/>
    <w:rsid w:val="00CC0A0C"/>
    <w:rsid w:val="00CC241C"/>
    <w:rsid w:val="00CC2954"/>
    <w:rsid w:val="00CC2E27"/>
    <w:rsid w:val="00CC4597"/>
    <w:rsid w:val="00CC4A33"/>
    <w:rsid w:val="00CC63D9"/>
    <w:rsid w:val="00CC6D79"/>
    <w:rsid w:val="00CC6DDE"/>
    <w:rsid w:val="00CC7CDC"/>
    <w:rsid w:val="00CD0735"/>
    <w:rsid w:val="00CD161B"/>
    <w:rsid w:val="00CD1B53"/>
    <w:rsid w:val="00CD5BA4"/>
    <w:rsid w:val="00CD6D58"/>
    <w:rsid w:val="00CE022D"/>
    <w:rsid w:val="00CE4F36"/>
    <w:rsid w:val="00CE6C5D"/>
    <w:rsid w:val="00CE7D26"/>
    <w:rsid w:val="00CF1786"/>
    <w:rsid w:val="00CF204E"/>
    <w:rsid w:val="00CF29E9"/>
    <w:rsid w:val="00CF34A4"/>
    <w:rsid w:val="00CF4675"/>
    <w:rsid w:val="00CF544E"/>
    <w:rsid w:val="00CF79E0"/>
    <w:rsid w:val="00D00CA1"/>
    <w:rsid w:val="00D02E10"/>
    <w:rsid w:val="00D02F87"/>
    <w:rsid w:val="00D039FF"/>
    <w:rsid w:val="00D053AE"/>
    <w:rsid w:val="00D05FB5"/>
    <w:rsid w:val="00D10AFD"/>
    <w:rsid w:val="00D11C8E"/>
    <w:rsid w:val="00D11FBF"/>
    <w:rsid w:val="00D130D5"/>
    <w:rsid w:val="00D16D95"/>
    <w:rsid w:val="00D20AF4"/>
    <w:rsid w:val="00D22965"/>
    <w:rsid w:val="00D25B94"/>
    <w:rsid w:val="00D30DD2"/>
    <w:rsid w:val="00D31AFF"/>
    <w:rsid w:val="00D31EFF"/>
    <w:rsid w:val="00D335C3"/>
    <w:rsid w:val="00D3413A"/>
    <w:rsid w:val="00D357DC"/>
    <w:rsid w:val="00D3646D"/>
    <w:rsid w:val="00D365FE"/>
    <w:rsid w:val="00D400D3"/>
    <w:rsid w:val="00D435D9"/>
    <w:rsid w:val="00D45B2D"/>
    <w:rsid w:val="00D46809"/>
    <w:rsid w:val="00D477A4"/>
    <w:rsid w:val="00D51C3E"/>
    <w:rsid w:val="00D5341F"/>
    <w:rsid w:val="00D56DDF"/>
    <w:rsid w:val="00D60FC1"/>
    <w:rsid w:val="00D61714"/>
    <w:rsid w:val="00D61E1F"/>
    <w:rsid w:val="00D625C4"/>
    <w:rsid w:val="00D63140"/>
    <w:rsid w:val="00D636A6"/>
    <w:rsid w:val="00D63D22"/>
    <w:rsid w:val="00D653E1"/>
    <w:rsid w:val="00D66041"/>
    <w:rsid w:val="00D71DA9"/>
    <w:rsid w:val="00D730B7"/>
    <w:rsid w:val="00D74CD1"/>
    <w:rsid w:val="00D75690"/>
    <w:rsid w:val="00D80339"/>
    <w:rsid w:val="00D80381"/>
    <w:rsid w:val="00D804C1"/>
    <w:rsid w:val="00D806AF"/>
    <w:rsid w:val="00D81BA8"/>
    <w:rsid w:val="00D82620"/>
    <w:rsid w:val="00D828E7"/>
    <w:rsid w:val="00D8333B"/>
    <w:rsid w:val="00D83E32"/>
    <w:rsid w:val="00D83FF9"/>
    <w:rsid w:val="00D858C0"/>
    <w:rsid w:val="00D85BB1"/>
    <w:rsid w:val="00D9018F"/>
    <w:rsid w:val="00D9156F"/>
    <w:rsid w:val="00D946BE"/>
    <w:rsid w:val="00D94CB5"/>
    <w:rsid w:val="00D9550B"/>
    <w:rsid w:val="00D960F7"/>
    <w:rsid w:val="00D9694F"/>
    <w:rsid w:val="00D97706"/>
    <w:rsid w:val="00DA0312"/>
    <w:rsid w:val="00DA0DB7"/>
    <w:rsid w:val="00DA2161"/>
    <w:rsid w:val="00DA2E3B"/>
    <w:rsid w:val="00DA7197"/>
    <w:rsid w:val="00DB14B7"/>
    <w:rsid w:val="00DB2D60"/>
    <w:rsid w:val="00DB2D94"/>
    <w:rsid w:val="00DB4C64"/>
    <w:rsid w:val="00DB7A79"/>
    <w:rsid w:val="00DC2D72"/>
    <w:rsid w:val="00DC3290"/>
    <w:rsid w:val="00DC4EBC"/>
    <w:rsid w:val="00DC5993"/>
    <w:rsid w:val="00DC5EED"/>
    <w:rsid w:val="00DC6CA8"/>
    <w:rsid w:val="00DD0269"/>
    <w:rsid w:val="00DD05F6"/>
    <w:rsid w:val="00DD0F14"/>
    <w:rsid w:val="00DD17C0"/>
    <w:rsid w:val="00DD1DA8"/>
    <w:rsid w:val="00DD472B"/>
    <w:rsid w:val="00DE0126"/>
    <w:rsid w:val="00DE25B8"/>
    <w:rsid w:val="00DE31C7"/>
    <w:rsid w:val="00DE3EF7"/>
    <w:rsid w:val="00DE6236"/>
    <w:rsid w:val="00DE6CCD"/>
    <w:rsid w:val="00DE6D46"/>
    <w:rsid w:val="00DF0C78"/>
    <w:rsid w:val="00DF3C1B"/>
    <w:rsid w:val="00DF40C7"/>
    <w:rsid w:val="00DF5417"/>
    <w:rsid w:val="00DF5F97"/>
    <w:rsid w:val="00DF6A7A"/>
    <w:rsid w:val="00E00EBB"/>
    <w:rsid w:val="00E010E4"/>
    <w:rsid w:val="00E01D83"/>
    <w:rsid w:val="00E01E7A"/>
    <w:rsid w:val="00E033A7"/>
    <w:rsid w:val="00E03EE3"/>
    <w:rsid w:val="00E04A9E"/>
    <w:rsid w:val="00E07FBA"/>
    <w:rsid w:val="00E11E68"/>
    <w:rsid w:val="00E12DC8"/>
    <w:rsid w:val="00E12F74"/>
    <w:rsid w:val="00E14101"/>
    <w:rsid w:val="00E14EB8"/>
    <w:rsid w:val="00E16E41"/>
    <w:rsid w:val="00E17106"/>
    <w:rsid w:val="00E17E8E"/>
    <w:rsid w:val="00E17F3F"/>
    <w:rsid w:val="00E21501"/>
    <w:rsid w:val="00E2288A"/>
    <w:rsid w:val="00E2311C"/>
    <w:rsid w:val="00E23611"/>
    <w:rsid w:val="00E24331"/>
    <w:rsid w:val="00E25D5B"/>
    <w:rsid w:val="00E26AD2"/>
    <w:rsid w:val="00E27628"/>
    <w:rsid w:val="00E30D4C"/>
    <w:rsid w:val="00E31A24"/>
    <w:rsid w:val="00E3249D"/>
    <w:rsid w:val="00E367EB"/>
    <w:rsid w:val="00E36D11"/>
    <w:rsid w:val="00E4223B"/>
    <w:rsid w:val="00E42314"/>
    <w:rsid w:val="00E4305E"/>
    <w:rsid w:val="00E440BF"/>
    <w:rsid w:val="00E44425"/>
    <w:rsid w:val="00E45E19"/>
    <w:rsid w:val="00E461BA"/>
    <w:rsid w:val="00E461CF"/>
    <w:rsid w:val="00E47226"/>
    <w:rsid w:val="00E47B17"/>
    <w:rsid w:val="00E521CC"/>
    <w:rsid w:val="00E52265"/>
    <w:rsid w:val="00E53A70"/>
    <w:rsid w:val="00E53C87"/>
    <w:rsid w:val="00E57788"/>
    <w:rsid w:val="00E6364C"/>
    <w:rsid w:val="00E63975"/>
    <w:rsid w:val="00E63D96"/>
    <w:rsid w:val="00E652F8"/>
    <w:rsid w:val="00E654AD"/>
    <w:rsid w:val="00E66B8D"/>
    <w:rsid w:val="00E676F2"/>
    <w:rsid w:val="00E70D2F"/>
    <w:rsid w:val="00E70EB0"/>
    <w:rsid w:val="00E711DC"/>
    <w:rsid w:val="00E71442"/>
    <w:rsid w:val="00E71877"/>
    <w:rsid w:val="00E72DC3"/>
    <w:rsid w:val="00E72F42"/>
    <w:rsid w:val="00E75490"/>
    <w:rsid w:val="00E76601"/>
    <w:rsid w:val="00E77D61"/>
    <w:rsid w:val="00E822ED"/>
    <w:rsid w:val="00E8273B"/>
    <w:rsid w:val="00E85D97"/>
    <w:rsid w:val="00E86936"/>
    <w:rsid w:val="00E87982"/>
    <w:rsid w:val="00E90B12"/>
    <w:rsid w:val="00E90B40"/>
    <w:rsid w:val="00E92AB0"/>
    <w:rsid w:val="00E92D3A"/>
    <w:rsid w:val="00E93748"/>
    <w:rsid w:val="00E93D63"/>
    <w:rsid w:val="00E969D9"/>
    <w:rsid w:val="00E97094"/>
    <w:rsid w:val="00E97479"/>
    <w:rsid w:val="00EA1844"/>
    <w:rsid w:val="00EA2255"/>
    <w:rsid w:val="00EA2DDB"/>
    <w:rsid w:val="00EA3190"/>
    <w:rsid w:val="00EA3197"/>
    <w:rsid w:val="00EA3381"/>
    <w:rsid w:val="00EA37DF"/>
    <w:rsid w:val="00EA5E24"/>
    <w:rsid w:val="00EA6963"/>
    <w:rsid w:val="00EA7DFF"/>
    <w:rsid w:val="00EB1671"/>
    <w:rsid w:val="00EB2194"/>
    <w:rsid w:val="00EB361B"/>
    <w:rsid w:val="00EB3F85"/>
    <w:rsid w:val="00EB7048"/>
    <w:rsid w:val="00EB731C"/>
    <w:rsid w:val="00EB732D"/>
    <w:rsid w:val="00EB7BB9"/>
    <w:rsid w:val="00EB7E61"/>
    <w:rsid w:val="00EC1102"/>
    <w:rsid w:val="00EC1A61"/>
    <w:rsid w:val="00EC1C61"/>
    <w:rsid w:val="00EC2070"/>
    <w:rsid w:val="00EC3638"/>
    <w:rsid w:val="00EC3F7C"/>
    <w:rsid w:val="00EC5A27"/>
    <w:rsid w:val="00ED15A9"/>
    <w:rsid w:val="00ED2105"/>
    <w:rsid w:val="00ED379F"/>
    <w:rsid w:val="00ED3D4D"/>
    <w:rsid w:val="00ED5377"/>
    <w:rsid w:val="00EE2908"/>
    <w:rsid w:val="00EE4BAF"/>
    <w:rsid w:val="00EE56E1"/>
    <w:rsid w:val="00EE7202"/>
    <w:rsid w:val="00EF1713"/>
    <w:rsid w:val="00EF24AE"/>
    <w:rsid w:val="00EF3E59"/>
    <w:rsid w:val="00EF4A5F"/>
    <w:rsid w:val="00EF5D8B"/>
    <w:rsid w:val="00EF71AE"/>
    <w:rsid w:val="00EF76B3"/>
    <w:rsid w:val="00F0080A"/>
    <w:rsid w:val="00F013E0"/>
    <w:rsid w:val="00F01CFD"/>
    <w:rsid w:val="00F04148"/>
    <w:rsid w:val="00F05EF9"/>
    <w:rsid w:val="00F11CE4"/>
    <w:rsid w:val="00F12D58"/>
    <w:rsid w:val="00F13B05"/>
    <w:rsid w:val="00F16DD9"/>
    <w:rsid w:val="00F17B8A"/>
    <w:rsid w:val="00F20432"/>
    <w:rsid w:val="00F2054D"/>
    <w:rsid w:val="00F209C2"/>
    <w:rsid w:val="00F24CC3"/>
    <w:rsid w:val="00F261FC"/>
    <w:rsid w:val="00F2643F"/>
    <w:rsid w:val="00F270B4"/>
    <w:rsid w:val="00F27C66"/>
    <w:rsid w:val="00F31841"/>
    <w:rsid w:val="00F3270D"/>
    <w:rsid w:val="00F34618"/>
    <w:rsid w:val="00F34CF3"/>
    <w:rsid w:val="00F36CA6"/>
    <w:rsid w:val="00F417DC"/>
    <w:rsid w:val="00F425C3"/>
    <w:rsid w:val="00F44227"/>
    <w:rsid w:val="00F44E4A"/>
    <w:rsid w:val="00F46790"/>
    <w:rsid w:val="00F46D93"/>
    <w:rsid w:val="00F47076"/>
    <w:rsid w:val="00F47BA8"/>
    <w:rsid w:val="00F52FE8"/>
    <w:rsid w:val="00F549B3"/>
    <w:rsid w:val="00F54A27"/>
    <w:rsid w:val="00F563DB"/>
    <w:rsid w:val="00F5781A"/>
    <w:rsid w:val="00F57AD5"/>
    <w:rsid w:val="00F61D70"/>
    <w:rsid w:val="00F66303"/>
    <w:rsid w:val="00F7199A"/>
    <w:rsid w:val="00F72206"/>
    <w:rsid w:val="00F74063"/>
    <w:rsid w:val="00F74D57"/>
    <w:rsid w:val="00F7507F"/>
    <w:rsid w:val="00F759A6"/>
    <w:rsid w:val="00F766EC"/>
    <w:rsid w:val="00F7757A"/>
    <w:rsid w:val="00F814C2"/>
    <w:rsid w:val="00F81ED2"/>
    <w:rsid w:val="00F82196"/>
    <w:rsid w:val="00F85EA9"/>
    <w:rsid w:val="00F902DE"/>
    <w:rsid w:val="00F939D1"/>
    <w:rsid w:val="00F9545A"/>
    <w:rsid w:val="00F9584D"/>
    <w:rsid w:val="00F96E6C"/>
    <w:rsid w:val="00FA0A7D"/>
    <w:rsid w:val="00FA180C"/>
    <w:rsid w:val="00FA3E78"/>
    <w:rsid w:val="00FA5EDF"/>
    <w:rsid w:val="00FA79C0"/>
    <w:rsid w:val="00FB06A2"/>
    <w:rsid w:val="00FB1A14"/>
    <w:rsid w:val="00FB23C8"/>
    <w:rsid w:val="00FB2697"/>
    <w:rsid w:val="00FB3826"/>
    <w:rsid w:val="00FB3EDE"/>
    <w:rsid w:val="00FB5D23"/>
    <w:rsid w:val="00FB5E5C"/>
    <w:rsid w:val="00FC14B3"/>
    <w:rsid w:val="00FC30DF"/>
    <w:rsid w:val="00FC3FF5"/>
    <w:rsid w:val="00FC5276"/>
    <w:rsid w:val="00FC58C8"/>
    <w:rsid w:val="00FC66A4"/>
    <w:rsid w:val="00FC6FD2"/>
    <w:rsid w:val="00FC72C5"/>
    <w:rsid w:val="00FC7907"/>
    <w:rsid w:val="00FD0431"/>
    <w:rsid w:val="00FD0F68"/>
    <w:rsid w:val="00FD27B3"/>
    <w:rsid w:val="00FD5075"/>
    <w:rsid w:val="00FD6B0B"/>
    <w:rsid w:val="00FD6BD5"/>
    <w:rsid w:val="00FD79A6"/>
    <w:rsid w:val="00FE2751"/>
    <w:rsid w:val="00FE3118"/>
    <w:rsid w:val="00FE3609"/>
    <w:rsid w:val="00FE3A7F"/>
    <w:rsid w:val="00FE400B"/>
    <w:rsid w:val="00FE438E"/>
    <w:rsid w:val="00FE797B"/>
    <w:rsid w:val="00FE7DCB"/>
    <w:rsid w:val="00FF054D"/>
    <w:rsid w:val="00FF11C3"/>
    <w:rsid w:val="00FF1434"/>
    <w:rsid w:val="00FF296C"/>
    <w:rsid w:val="00FF29B5"/>
    <w:rsid w:val="00FF2DE5"/>
    <w:rsid w:val="00FF384D"/>
    <w:rsid w:val="00FF4D9A"/>
    <w:rsid w:val="00FF4F3C"/>
    <w:rsid w:val="00FF7161"/>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F902EC"/>
  <w15:docId w15:val="{643FED2F-6BA2-4D59-ACCA-F7290520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41B"/>
    <w:pPr>
      <w:widowControl w:val="0"/>
      <w:autoSpaceDE w:val="0"/>
      <w:autoSpaceDN w:val="0"/>
      <w:adjustRightInd w:val="0"/>
    </w:pPr>
    <w:rPr>
      <w:rFonts w:ascii="Arial" w:hAnsi="Arial"/>
      <w:sz w:val="22"/>
      <w:szCs w:val="24"/>
    </w:rPr>
  </w:style>
  <w:style w:type="paragraph" w:styleId="Heading1">
    <w:name w:val="heading 1"/>
    <w:basedOn w:val="Normal"/>
    <w:next w:val="Normal"/>
    <w:link w:val="Heading1Char"/>
    <w:uiPriority w:val="9"/>
    <w:qFormat/>
    <w:rsid w:val="003163D3"/>
    <w:pPr>
      <w:numPr>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pPr>
  </w:style>
  <w:style w:type="paragraph" w:styleId="Heading2">
    <w:name w:val="heading 2"/>
    <w:basedOn w:val="Heading1"/>
    <w:next w:val="Normal"/>
    <w:link w:val="Heading2Char"/>
    <w:uiPriority w:val="9"/>
    <w:qFormat/>
    <w:rsid w:val="0051659A"/>
    <w:pPr>
      <w:numPr>
        <w:ilvl w:val="1"/>
      </w:numPr>
      <w:outlineLvl w:val="1"/>
    </w:pPr>
    <w:rPr>
      <w:u w:val="single"/>
    </w:rPr>
  </w:style>
  <w:style w:type="paragraph" w:styleId="Heading3">
    <w:name w:val="heading 3"/>
    <w:basedOn w:val="Heading1"/>
    <w:next w:val="Normal"/>
    <w:link w:val="Heading3Char"/>
    <w:autoRedefine/>
    <w:uiPriority w:val="9"/>
    <w:qFormat/>
    <w:rsid w:val="004D46E2"/>
    <w:pPr>
      <w:keepNext/>
      <w:widowControl/>
      <w:numPr>
        <w:ilvl w:val="2"/>
      </w:numPr>
      <w:outlineLvl w:val="2"/>
    </w:pPr>
    <w:rPr>
      <w:u w:val="single"/>
    </w:rPr>
  </w:style>
  <w:style w:type="paragraph" w:styleId="Heading4">
    <w:name w:val="heading 4"/>
    <w:basedOn w:val="Heading3"/>
    <w:next w:val="Normal"/>
    <w:link w:val="Heading4Char"/>
    <w:unhideWhenUsed/>
    <w:qFormat/>
    <w:rsid w:val="00D46809"/>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A1"/>
    <w:rPr>
      <w:rFonts w:ascii="Arial" w:hAnsi="Arial"/>
      <w:sz w:val="22"/>
      <w:szCs w:val="24"/>
    </w:rPr>
  </w:style>
  <w:style w:type="character" w:customStyle="1" w:styleId="Heading2Char">
    <w:name w:val="Heading 2 Char"/>
    <w:link w:val="Heading2"/>
    <w:uiPriority w:val="9"/>
    <w:rsid w:val="0051659A"/>
    <w:rPr>
      <w:rFonts w:ascii="Arial" w:hAnsi="Arial"/>
      <w:sz w:val="22"/>
      <w:szCs w:val="24"/>
      <w:u w:val="single"/>
    </w:rPr>
  </w:style>
  <w:style w:type="character" w:customStyle="1" w:styleId="Heading3Char">
    <w:name w:val="Heading 3 Char"/>
    <w:basedOn w:val="DefaultParagraphFont"/>
    <w:link w:val="Heading3"/>
    <w:uiPriority w:val="9"/>
    <w:rsid w:val="004D46E2"/>
    <w:rPr>
      <w:rFonts w:ascii="Arial" w:hAnsi="Arial"/>
      <w:sz w:val="22"/>
      <w:szCs w:val="24"/>
      <w:u w:val="single"/>
    </w:rPr>
  </w:style>
  <w:style w:type="character" w:customStyle="1" w:styleId="Heading4Char">
    <w:name w:val="Heading 4 Char"/>
    <w:basedOn w:val="DefaultParagraphFont"/>
    <w:link w:val="Heading4"/>
    <w:rsid w:val="00D46809"/>
    <w:rPr>
      <w:rFonts w:ascii="Arial" w:hAnsi="Arial"/>
      <w:sz w:val="22"/>
      <w:szCs w:val="24"/>
      <w:u w:val="single"/>
    </w:rPr>
  </w:style>
  <w:style w:type="character" w:styleId="FootnoteReference">
    <w:name w:val="footnote reference"/>
    <w:uiPriority w:val="99"/>
    <w:semiHidden/>
    <w:rsid w:val="007F241B"/>
    <w:rPr>
      <w:rFonts w:ascii="Arial" w:hAnsi="Arial"/>
      <w:sz w:val="20"/>
      <w:vertAlign w:val="superscript"/>
    </w:rPr>
  </w:style>
  <w:style w:type="paragraph" w:styleId="TOC1">
    <w:name w:val="toc 1"/>
    <w:basedOn w:val="Normal"/>
    <w:next w:val="Normal"/>
    <w:autoRedefine/>
    <w:uiPriority w:val="39"/>
    <w:rsid w:val="00470D7C"/>
    <w:pPr>
      <w:tabs>
        <w:tab w:val="left" w:pos="1080"/>
        <w:tab w:val="left" w:pos="1440"/>
        <w:tab w:val="left" w:pos="2160"/>
        <w:tab w:val="right" w:leader="dot" w:pos="9350"/>
      </w:tabs>
      <w:ind w:left="1080" w:right="432" w:hanging="1080"/>
    </w:pPr>
  </w:style>
  <w:style w:type="paragraph" w:styleId="TOC2">
    <w:name w:val="toc 2"/>
    <w:basedOn w:val="Normal"/>
    <w:next w:val="Normal"/>
    <w:autoRedefine/>
    <w:uiPriority w:val="39"/>
    <w:rsid w:val="007602F5"/>
    <w:pPr>
      <w:widowControl/>
      <w:tabs>
        <w:tab w:val="right" w:leader="dot" w:pos="9360"/>
      </w:tabs>
      <w:ind w:left="1080" w:right="432" w:hanging="720"/>
    </w:pPr>
  </w:style>
  <w:style w:type="paragraph" w:styleId="TOC3">
    <w:name w:val="toc 3"/>
    <w:basedOn w:val="Normal"/>
    <w:next w:val="Normal"/>
    <w:autoRedefine/>
    <w:uiPriority w:val="39"/>
    <w:rsid w:val="00C51E30"/>
    <w:pPr>
      <w:tabs>
        <w:tab w:val="left" w:pos="1800"/>
        <w:tab w:val="right" w:leader="dot" w:pos="9350"/>
      </w:tabs>
      <w:ind w:left="2160" w:right="720" w:hanging="1440"/>
    </w:pPr>
    <w:rPr>
      <w:rFonts w:cs="Arial"/>
      <w:noProof/>
      <w:szCs w:val="22"/>
    </w:rPr>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outlineLvl w:val="1"/>
    </w:pPr>
  </w:style>
  <w:style w:type="paragraph" w:customStyle="1" w:styleId="Level4">
    <w:name w:val="Level 4"/>
    <w:basedOn w:val="Normal"/>
    <w:pPr>
      <w:ind w:left="1440" w:hanging="360"/>
    </w:pPr>
  </w:style>
  <w:style w:type="paragraph" w:customStyle="1" w:styleId="Level3">
    <w:name w:val="Level 3"/>
    <w:basedOn w:val="Normal"/>
    <w:pPr>
      <w:ind w:left="144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Level6">
    <w:name w:val="Level 6"/>
    <w:basedOn w:val="Normal"/>
    <w:pPr>
      <w:ind w:left="2160" w:hanging="360"/>
    </w:pPr>
  </w:style>
  <w:style w:type="paragraph" w:customStyle="1" w:styleId="Level5">
    <w:name w:val="Level 5"/>
    <w:basedOn w:val="Normal"/>
    <w:pPr>
      <w:ind w:left="2160" w:hanging="360"/>
    </w:pPr>
  </w:style>
  <w:style w:type="paragraph" w:styleId="Header">
    <w:name w:val="header"/>
    <w:basedOn w:val="Normal"/>
    <w:link w:val="HeaderChar"/>
    <w:uiPriority w:val="99"/>
    <w:rsid w:val="00A772A4"/>
    <w:pPr>
      <w:tabs>
        <w:tab w:val="center" w:pos="4320"/>
        <w:tab w:val="right" w:pos="8640"/>
      </w:tabs>
    </w:pPr>
  </w:style>
  <w:style w:type="character" w:customStyle="1" w:styleId="HeaderChar">
    <w:name w:val="Header Char"/>
    <w:link w:val="Header"/>
    <w:uiPriority w:val="99"/>
    <w:rsid w:val="00233D7D"/>
    <w:rPr>
      <w:rFonts w:ascii="Arial" w:hAnsi="Arial"/>
      <w:sz w:val="22"/>
      <w:szCs w:val="24"/>
    </w:rPr>
  </w:style>
  <w:style w:type="paragraph" w:styleId="Footer">
    <w:name w:val="footer"/>
    <w:basedOn w:val="Normal"/>
    <w:link w:val="FooterChar"/>
    <w:uiPriority w:val="99"/>
    <w:rsid w:val="00A772A4"/>
    <w:pPr>
      <w:tabs>
        <w:tab w:val="center" w:pos="4320"/>
        <w:tab w:val="right" w:pos="8640"/>
      </w:tabs>
    </w:pPr>
  </w:style>
  <w:style w:type="character" w:customStyle="1" w:styleId="FooterChar">
    <w:name w:val="Footer Char"/>
    <w:link w:val="Footer"/>
    <w:uiPriority w:val="99"/>
    <w:rsid w:val="005D1688"/>
    <w:rPr>
      <w:rFonts w:ascii="Arial" w:hAnsi="Arial"/>
      <w:sz w:val="22"/>
      <w:szCs w:val="24"/>
    </w:rPr>
  </w:style>
  <w:style w:type="character" w:styleId="PageNumber">
    <w:name w:val="page number"/>
    <w:basedOn w:val="DefaultParagraphFont"/>
    <w:rsid w:val="006C0206"/>
  </w:style>
  <w:style w:type="paragraph" w:styleId="TOC4">
    <w:name w:val="toc 4"/>
    <w:basedOn w:val="Normal"/>
    <w:next w:val="Normal"/>
    <w:autoRedefine/>
    <w:uiPriority w:val="39"/>
    <w:rsid w:val="006C0206"/>
    <w:pPr>
      <w:ind w:left="720"/>
    </w:pPr>
  </w:style>
  <w:style w:type="character" w:styleId="Hyperlink">
    <w:name w:val="Hyperlink"/>
    <w:uiPriority w:val="99"/>
    <w:rsid w:val="003F0B51"/>
    <w:rPr>
      <w:color w:val="0000FF"/>
      <w:u w:val="single"/>
    </w:rPr>
  </w:style>
  <w:style w:type="paragraph" w:styleId="TOC5">
    <w:name w:val="toc 5"/>
    <w:basedOn w:val="Normal"/>
    <w:next w:val="Normal"/>
    <w:autoRedefine/>
    <w:uiPriority w:val="39"/>
    <w:rsid w:val="006C0206"/>
    <w:pPr>
      <w:ind w:left="960"/>
    </w:pPr>
  </w:style>
  <w:style w:type="character" w:styleId="FollowedHyperlink">
    <w:name w:val="FollowedHyperlink"/>
    <w:uiPriority w:val="99"/>
    <w:rsid w:val="003D59C8"/>
    <w:rPr>
      <w:color w:val="800080"/>
      <w:u w:val="single"/>
    </w:rPr>
  </w:style>
  <w:style w:type="paragraph" w:styleId="DocumentMap">
    <w:name w:val="Document Map"/>
    <w:basedOn w:val="Normal"/>
    <w:link w:val="DocumentMapChar"/>
    <w:rsid w:val="002A740E"/>
    <w:rPr>
      <w:rFonts w:ascii="Tahoma" w:hAnsi="Tahoma" w:cs="Tahoma"/>
      <w:sz w:val="16"/>
      <w:szCs w:val="16"/>
    </w:rPr>
  </w:style>
  <w:style w:type="character" w:customStyle="1" w:styleId="DocumentMapChar">
    <w:name w:val="Document Map Char"/>
    <w:link w:val="DocumentMap"/>
    <w:rsid w:val="002A740E"/>
    <w:rPr>
      <w:rFonts w:ascii="Tahoma" w:hAnsi="Tahoma" w:cs="Tahoma"/>
      <w:sz w:val="16"/>
      <w:szCs w:val="16"/>
    </w:rPr>
  </w:style>
  <w:style w:type="paragraph" w:styleId="TOCHeading">
    <w:name w:val="TOC Heading"/>
    <w:basedOn w:val="Heading1"/>
    <w:next w:val="Normal"/>
    <w:uiPriority w:val="39"/>
    <w:unhideWhenUsed/>
    <w:qFormat/>
    <w:rsid w:val="00820F16"/>
    <w:pPr>
      <w:keepLines/>
      <w:widowControl/>
      <w:autoSpaceDE/>
      <w:autoSpaceDN/>
      <w:adjustRightInd/>
      <w:spacing w:before="480" w:line="276" w:lineRule="auto"/>
      <w:outlineLvl w:val="9"/>
    </w:pPr>
    <w:rPr>
      <w:rFonts w:ascii="Cambria" w:hAnsi="Cambria"/>
      <w:color w:val="365F91"/>
      <w:sz w:val="28"/>
      <w:szCs w:val="28"/>
    </w:rPr>
  </w:style>
  <w:style w:type="paragraph" w:styleId="TOC6">
    <w:name w:val="toc 6"/>
    <w:basedOn w:val="Normal"/>
    <w:next w:val="Normal"/>
    <w:autoRedefine/>
    <w:uiPriority w:val="39"/>
    <w:unhideWhenUsed/>
    <w:rsid w:val="00820F16"/>
    <w:pPr>
      <w:widowControl/>
      <w:autoSpaceDE/>
      <w:autoSpaceDN/>
      <w:adjustRightInd/>
      <w:spacing w:after="100" w:line="276" w:lineRule="auto"/>
      <w:ind w:left="1100"/>
    </w:pPr>
    <w:rPr>
      <w:rFonts w:ascii="Calibri" w:hAnsi="Calibri"/>
      <w:szCs w:val="22"/>
    </w:rPr>
  </w:style>
  <w:style w:type="paragraph" w:styleId="TOC7">
    <w:name w:val="toc 7"/>
    <w:basedOn w:val="Normal"/>
    <w:next w:val="Normal"/>
    <w:autoRedefine/>
    <w:uiPriority w:val="39"/>
    <w:unhideWhenUsed/>
    <w:rsid w:val="00820F16"/>
    <w:pPr>
      <w:widowControl/>
      <w:autoSpaceDE/>
      <w:autoSpaceDN/>
      <w:adjustRightInd/>
      <w:spacing w:after="100" w:line="276" w:lineRule="auto"/>
      <w:ind w:left="1320"/>
    </w:pPr>
    <w:rPr>
      <w:rFonts w:ascii="Calibri" w:hAnsi="Calibri"/>
      <w:szCs w:val="22"/>
    </w:rPr>
  </w:style>
  <w:style w:type="paragraph" w:styleId="TOC8">
    <w:name w:val="toc 8"/>
    <w:basedOn w:val="Normal"/>
    <w:next w:val="Normal"/>
    <w:autoRedefine/>
    <w:uiPriority w:val="39"/>
    <w:unhideWhenUsed/>
    <w:rsid w:val="00820F16"/>
    <w:pPr>
      <w:widowControl/>
      <w:autoSpaceDE/>
      <w:autoSpaceDN/>
      <w:adjustRightInd/>
      <w:spacing w:after="100" w:line="276" w:lineRule="auto"/>
      <w:ind w:left="1540"/>
    </w:pPr>
    <w:rPr>
      <w:rFonts w:ascii="Calibri" w:hAnsi="Calibri"/>
      <w:szCs w:val="22"/>
    </w:rPr>
  </w:style>
  <w:style w:type="paragraph" w:styleId="TOC9">
    <w:name w:val="toc 9"/>
    <w:basedOn w:val="Normal"/>
    <w:next w:val="Normal"/>
    <w:autoRedefine/>
    <w:uiPriority w:val="39"/>
    <w:unhideWhenUsed/>
    <w:rsid w:val="00820F16"/>
    <w:pPr>
      <w:widowControl/>
      <w:autoSpaceDE/>
      <w:autoSpaceDN/>
      <w:adjustRightInd/>
      <w:spacing w:after="100" w:line="276" w:lineRule="auto"/>
      <w:ind w:left="1760"/>
    </w:pPr>
    <w:rPr>
      <w:rFonts w:ascii="Calibri" w:hAnsi="Calibri"/>
      <w:szCs w:val="22"/>
    </w:rPr>
  </w:style>
  <w:style w:type="paragraph" w:styleId="ListParagraph">
    <w:name w:val="List Paragraph"/>
    <w:basedOn w:val="Normal"/>
    <w:uiPriority w:val="34"/>
    <w:qFormat/>
    <w:rsid w:val="003811DB"/>
    <w:pPr>
      <w:ind w:left="720"/>
    </w:pPr>
  </w:style>
  <w:style w:type="paragraph" w:styleId="Revision">
    <w:name w:val="Revision"/>
    <w:hidden/>
    <w:uiPriority w:val="99"/>
    <w:semiHidden/>
    <w:rsid w:val="00CF1786"/>
    <w:rPr>
      <w:rFonts w:ascii="Arial" w:hAnsi="Arial"/>
      <w:sz w:val="22"/>
      <w:szCs w:val="24"/>
    </w:rPr>
  </w:style>
  <w:style w:type="paragraph" w:styleId="BalloonText">
    <w:name w:val="Balloon Text"/>
    <w:basedOn w:val="Normal"/>
    <w:link w:val="BalloonTextChar"/>
    <w:uiPriority w:val="99"/>
    <w:rsid w:val="00CF1786"/>
    <w:rPr>
      <w:rFonts w:ascii="Tahoma" w:hAnsi="Tahoma" w:cs="Tahoma"/>
      <w:sz w:val="16"/>
      <w:szCs w:val="16"/>
    </w:rPr>
  </w:style>
  <w:style w:type="character" w:customStyle="1" w:styleId="BalloonTextChar">
    <w:name w:val="Balloon Text Char"/>
    <w:link w:val="BalloonText"/>
    <w:uiPriority w:val="99"/>
    <w:rsid w:val="00CF1786"/>
    <w:rPr>
      <w:rFonts w:ascii="Tahoma" w:hAnsi="Tahoma" w:cs="Tahoma"/>
      <w:sz w:val="16"/>
      <w:szCs w:val="16"/>
    </w:rPr>
  </w:style>
  <w:style w:type="paragraph" w:styleId="FootnoteText">
    <w:name w:val="footnote text"/>
    <w:basedOn w:val="Normal"/>
    <w:link w:val="FootnoteTextChar"/>
    <w:uiPriority w:val="99"/>
    <w:unhideWhenUsed/>
    <w:rsid w:val="00B016D7"/>
    <w:pPr>
      <w:widowControl/>
      <w:autoSpaceDE/>
      <w:autoSpaceDN/>
      <w:adjustRightInd/>
    </w:pPr>
    <w:rPr>
      <w:rFonts w:eastAsia="Calibri" w:cs="Arial"/>
      <w:sz w:val="20"/>
      <w:szCs w:val="20"/>
    </w:rPr>
  </w:style>
  <w:style w:type="character" w:customStyle="1" w:styleId="FootnoteTextChar">
    <w:name w:val="Footnote Text Char"/>
    <w:link w:val="FootnoteText"/>
    <w:uiPriority w:val="99"/>
    <w:rsid w:val="00B016D7"/>
    <w:rPr>
      <w:rFonts w:ascii="Arial" w:eastAsia="Calibri" w:hAnsi="Arial" w:cs="Arial"/>
    </w:rPr>
  </w:style>
  <w:style w:type="table" w:styleId="TableGrid">
    <w:name w:val="Table Grid"/>
    <w:basedOn w:val="TableNormal"/>
    <w:uiPriority w:val="59"/>
    <w:rsid w:val="0085188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080"/>
    <w:pPr>
      <w:widowControl/>
      <w:autoSpaceDE/>
      <w:autoSpaceDN/>
      <w:adjustRightInd/>
      <w:spacing w:before="100" w:beforeAutospacing="1" w:after="100" w:afterAutospacing="1"/>
    </w:pPr>
    <w:rPr>
      <w:rFonts w:ascii="Times New Roman" w:eastAsia="Calibri" w:hAnsi="Times New Roman"/>
      <w:sz w:val="24"/>
    </w:rPr>
  </w:style>
  <w:style w:type="character" w:styleId="CommentReference">
    <w:name w:val="annotation reference"/>
    <w:rsid w:val="00A576B5"/>
    <w:rPr>
      <w:sz w:val="16"/>
      <w:szCs w:val="16"/>
    </w:rPr>
  </w:style>
  <w:style w:type="paragraph" w:styleId="CommentText">
    <w:name w:val="annotation text"/>
    <w:basedOn w:val="Normal"/>
    <w:link w:val="CommentTextChar"/>
    <w:rsid w:val="00A576B5"/>
    <w:rPr>
      <w:sz w:val="20"/>
      <w:szCs w:val="20"/>
    </w:rPr>
  </w:style>
  <w:style w:type="character" w:customStyle="1" w:styleId="CommentTextChar">
    <w:name w:val="Comment Text Char"/>
    <w:link w:val="CommentText"/>
    <w:rsid w:val="00A576B5"/>
    <w:rPr>
      <w:rFonts w:ascii="Arial" w:hAnsi="Arial"/>
    </w:rPr>
  </w:style>
  <w:style w:type="paragraph" w:styleId="CommentSubject">
    <w:name w:val="annotation subject"/>
    <w:basedOn w:val="CommentText"/>
    <w:next w:val="CommentText"/>
    <w:link w:val="CommentSubjectChar"/>
    <w:uiPriority w:val="99"/>
    <w:rsid w:val="00A576B5"/>
    <w:rPr>
      <w:b/>
      <w:bCs/>
    </w:rPr>
  </w:style>
  <w:style w:type="character" w:customStyle="1" w:styleId="CommentSubjectChar">
    <w:name w:val="Comment Subject Char"/>
    <w:link w:val="CommentSubject"/>
    <w:uiPriority w:val="99"/>
    <w:rsid w:val="00A576B5"/>
    <w:rPr>
      <w:rFonts w:ascii="Arial" w:hAnsi="Arial"/>
      <w:b/>
      <w:bCs/>
    </w:rPr>
  </w:style>
  <w:style w:type="character" w:styleId="Emphasis">
    <w:name w:val="Emphasis"/>
    <w:basedOn w:val="DefaultParagraphFont"/>
    <w:uiPriority w:val="20"/>
    <w:qFormat/>
    <w:rsid w:val="008F42A1"/>
    <w:rPr>
      <w:i/>
      <w:iCs/>
    </w:rPr>
  </w:style>
  <w:style w:type="paragraph" w:customStyle="1" w:styleId="Default">
    <w:name w:val="Default"/>
    <w:rsid w:val="008F42A1"/>
    <w:pPr>
      <w:autoSpaceDE w:val="0"/>
      <w:autoSpaceDN w:val="0"/>
      <w:adjustRightInd w:val="0"/>
    </w:pPr>
    <w:rPr>
      <w:rFonts w:ascii="Arial" w:eastAsiaTheme="minorHAnsi" w:hAnsi="Arial" w:cs="Arial"/>
      <w:color w:val="000000"/>
      <w:sz w:val="24"/>
      <w:szCs w:val="24"/>
    </w:rPr>
  </w:style>
  <w:style w:type="paragraph" w:styleId="PlainText">
    <w:name w:val="Plain Text"/>
    <w:basedOn w:val="Normal"/>
    <w:link w:val="PlainTextChar"/>
    <w:uiPriority w:val="99"/>
    <w:unhideWhenUsed/>
    <w:rsid w:val="008F42A1"/>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F42A1"/>
    <w:rPr>
      <w:rFonts w:ascii="Consolas" w:eastAsiaTheme="minorHAnsi" w:hAnsi="Consolas" w:cstheme="minorBidi"/>
      <w:sz w:val="21"/>
      <w:szCs w:val="21"/>
    </w:rPr>
  </w:style>
  <w:style w:type="character" w:customStyle="1" w:styleId="EndnoteTextChar">
    <w:name w:val="Endnote Text Char"/>
    <w:basedOn w:val="DefaultParagraphFont"/>
    <w:link w:val="EndnoteText"/>
    <w:uiPriority w:val="99"/>
    <w:semiHidden/>
    <w:rsid w:val="008F42A1"/>
    <w:rPr>
      <w:rFonts w:ascii="Arial" w:eastAsiaTheme="minorHAnsi" w:hAnsi="Arial" w:cs="Arial"/>
    </w:rPr>
  </w:style>
  <w:style w:type="paragraph" w:styleId="EndnoteText">
    <w:name w:val="endnote text"/>
    <w:basedOn w:val="Normal"/>
    <w:link w:val="EndnoteTextChar"/>
    <w:uiPriority w:val="99"/>
    <w:semiHidden/>
    <w:unhideWhenUsed/>
    <w:rsid w:val="008F42A1"/>
    <w:pPr>
      <w:widowControl/>
      <w:autoSpaceDE/>
      <w:autoSpaceDN/>
      <w:adjustRightInd/>
    </w:pPr>
    <w:rPr>
      <w:rFonts w:eastAsiaTheme="minorHAnsi" w:cs="Arial"/>
      <w:sz w:val="20"/>
      <w:szCs w:val="20"/>
    </w:rPr>
  </w:style>
  <w:style w:type="paragraph" w:styleId="NoSpacing">
    <w:name w:val="No Spacing"/>
    <w:uiPriority w:val="1"/>
    <w:qFormat/>
    <w:rsid w:val="008F42A1"/>
    <w:rPr>
      <w:rFonts w:ascii="Arial" w:eastAsiaTheme="minorHAnsi" w:hAnsi="Arial" w:cs="Arial"/>
      <w:sz w:val="24"/>
      <w:szCs w:val="22"/>
    </w:rPr>
  </w:style>
  <w:style w:type="paragraph" w:customStyle="1" w:styleId="TableCaption">
    <w:name w:val="Table Caption"/>
    <w:basedOn w:val="Normal"/>
    <w:link w:val="TableCaptionChar"/>
    <w:qFormat/>
    <w:rsid w:val="00185B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Pr>
      <w:rFonts w:cs="Arial"/>
      <w:b/>
      <w:bCs/>
      <w:szCs w:val="22"/>
    </w:rPr>
  </w:style>
  <w:style w:type="paragraph" w:styleId="Caption">
    <w:name w:val="caption"/>
    <w:basedOn w:val="Normal"/>
    <w:next w:val="Normal"/>
    <w:unhideWhenUsed/>
    <w:qFormat/>
    <w:rsid w:val="00BA0CFF"/>
    <w:pPr>
      <w:spacing w:after="200"/>
    </w:pPr>
    <w:rPr>
      <w:i/>
      <w:iCs/>
      <w:color w:val="1F497D" w:themeColor="text2"/>
      <w:sz w:val="18"/>
      <w:szCs w:val="18"/>
    </w:rPr>
  </w:style>
  <w:style w:type="character" w:customStyle="1" w:styleId="TableCaptionChar">
    <w:name w:val="Table Caption Char"/>
    <w:basedOn w:val="DefaultParagraphFont"/>
    <w:link w:val="TableCaption"/>
    <w:rsid w:val="00185B9A"/>
    <w:rPr>
      <w:rFonts w:ascii="Arial" w:hAnsi="Arial" w:cs="Arial"/>
      <w:b/>
      <w:bCs/>
      <w:sz w:val="22"/>
      <w:szCs w:val="22"/>
    </w:rPr>
  </w:style>
  <w:style w:type="paragraph" w:styleId="TableofFigures">
    <w:name w:val="table of figures"/>
    <w:basedOn w:val="Normal"/>
    <w:next w:val="Normal"/>
    <w:uiPriority w:val="99"/>
    <w:unhideWhenUsed/>
    <w:rsid w:val="00031A86"/>
  </w:style>
  <w:style w:type="paragraph" w:customStyle="1" w:styleId="Figures">
    <w:name w:val="Figures"/>
    <w:basedOn w:val="Normal"/>
    <w:link w:val="FiguresChar"/>
    <w:qFormat/>
    <w:rsid w:val="00CC4A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style>
  <w:style w:type="character" w:customStyle="1" w:styleId="FiguresChar">
    <w:name w:val="Figures Char"/>
    <w:basedOn w:val="DefaultParagraphFont"/>
    <w:link w:val="Figures"/>
    <w:rsid w:val="00CC4A3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6272">
      <w:bodyDiv w:val="1"/>
      <w:marLeft w:val="0"/>
      <w:marRight w:val="0"/>
      <w:marTop w:val="0"/>
      <w:marBottom w:val="0"/>
      <w:divBdr>
        <w:top w:val="none" w:sz="0" w:space="0" w:color="auto"/>
        <w:left w:val="none" w:sz="0" w:space="0" w:color="auto"/>
        <w:bottom w:val="none" w:sz="0" w:space="0" w:color="auto"/>
        <w:right w:val="none" w:sz="0" w:space="0" w:color="auto"/>
      </w:divBdr>
    </w:div>
    <w:div w:id="161553078">
      <w:bodyDiv w:val="1"/>
      <w:marLeft w:val="0"/>
      <w:marRight w:val="0"/>
      <w:marTop w:val="0"/>
      <w:marBottom w:val="0"/>
      <w:divBdr>
        <w:top w:val="none" w:sz="0" w:space="0" w:color="auto"/>
        <w:left w:val="none" w:sz="0" w:space="0" w:color="auto"/>
        <w:bottom w:val="none" w:sz="0" w:space="0" w:color="auto"/>
        <w:right w:val="none" w:sz="0" w:space="0" w:color="auto"/>
      </w:divBdr>
    </w:div>
    <w:div w:id="166140728">
      <w:bodyDiv w:val="1"/>
      <w:marLeft w:val="0"/>
      <w:marRight w:val="0"/>
      <w:marTop w:val="0"/>
      <w:marBottom w:val="0"/>
      <w:divBdr>
        <w:top w:val="none" w:sz="0" w:space="0" w:color="auto"/>
        <w:left w:val="none" w:sz="0" w:space="0" w:color="auto"/>
        <w:bottom w:val="none" w:sz="0" w:space="0" w:color="auto"/>
        <w:right w:val="none" w:sz="0" w:space="0" w:color="auto"/>
      </w:divBdr>
    </w:div>
    <w:div w:id="167989717">
      <w:bodyDiv w:val="1"/>
      <w:marLeft w:val="0"/>
      <w:marRight w:val="0"/>
      <w:marTop w:val="0"/>
      <w:marBottom w:val="0"/>
      <w:divBdr>
        <w:top w:val="none" w:sz="0" w:space="0" w:color="auto"/>
        <w:left w:val="none" w:sz="0" w:space="0" w:color="auto"/>
        <w:bottom w:val="none" w:sz="0" w:space="0" w:color="auto"/>
        <w:right w:val="none" w:sz="0" w:space="0" w:color="auto"/>
      </w:divBdr>
    </w:div>
    <w:div w:id="318309239">
      <w:bodyDiv w:val="1"/>
      <w:marLeft w:val="0"/>
      <w:marRight w:val="0"/>
      <w:marTop w:val="0"/>
      <w:marBottom w:val="0"/>
      <w:divBdr>
        <w:top w:val="none" w:sz="0" w:space="0" w:color="auto"/>
        <w:left w:val="none" w:sz="0" w:space="0" w:color="auto"/>
        <w:bottom w:val="none" w:sz="0" w:space="0" w:color="auto"/>
        <w:right w:val="none" w:sz="0" w:space="0" w:color="auto"/>
      </w:divBdr>
    </w:div>
    <w:div w:id="326976569">
      <w:bodyDiv w:val="1"/>
      <w:marLeft w:val="0"/>
      <w:marRight w:val="0"/>
      <w:marTop w:val="0"/>
      <w:marBottom w:val="0"/>
      <w:divBdr>
        <w:top w:val="none" w:sz="0" w:space="0" w:color="auto"/>
        <w:left w:val="none" w:sz="0" w:space="0" w:color="auto"/>
        <w:bottom w:val="none" w:sz="0" w:space="0" w:color="auto"/>
        <w:right w:val="none" w:sz="0" w:space="0" w:color="auto"/>
      </w:divBdr>
    </w:div>
    <w:div w:id="1153259932">
      <w:bodyDiv w:val="1"/>
      <w:marLeft w:val="0"/>
      <w:marRight w:val="0"/>
      <w:marTop w:val="0"/>
      <w:marBottom w:val="0"/>
      <w:divBdr>
        <w:top w:val="none" w:sz="0" w:space="0" w:color="auto"/>
        <w:left w:val="none" w:sz="0" w:space="0" w:color="auto"/>
        <w:bottom w:val="none" w:sz="0" w:space="0" w:color="auto"/>
        <w:right w:val="none" w:sz="0" w:space="0" w:color="auto"/>
      </w:divBdr>
    </w:div>
    <w:div w:id="1164012865">
      <w:bodyDiv w:val="1"/>
      <w:marLeft w:val="0"/>
      <w:marRight w:val="0"/>
      <w:marTop w:val="0"/>
      <w:marBottom w:val="0"/>
      <w:divBdr>
        <w:top w:val="none" w:sz="0" w:space="0" w:color="auto"/>
        <w:left w:val="none" w:sz="0" w:space="0" w:color="auto"/>
        <w:bottom w:val="none" w:sz="0" w:space="0" w:color="auto"/>
        <w:right w:val="none" w:sz="0" w:space="0" w:color="auto"/>
      </w:divBdr>
    </w:div>
    <w:div w:id="1166898457">
      <w:bodyDiv w:val="1"/>
      <w:marLeft w:val="0"/>
      <w:marRight w:val="0"/>
      <w:marTop w:val="0"/>
      <w:marBottom w:val="0"/>
      <w:divBdr>
        <w:top w:val="none" w:sz="0" w:space="0" w:color="auto"/>
        <w:left w:val="none" w:sz="0" w:space="0" w:color="auto"/>
        <w:bottom w:val="none" w:sz="0" w:space="0" w:color="auto"/>
        <w:right w:val="none" w:sz="0" w:space="0" w:color="auto"/>
      </w:divBdr>
    </w:div>
    <w:div w:id="1237395724">
      <w:bodyDiv w:val="1"/>
      <w:marLeft w:val="0"/>
      <w:marRight w:val="0"/>
      <w:marTop w:val="0"/>
      <w:marBottom w:val="0"/>
      <w:divBdr>
        <w:top w:val="none" w:sz="0" w:space="0" w:color="auto"/>
        <w:left w:val="none" w:sz="0" w:space="0" w:color="auto"/>
        <w:bottom w:val="none" w:sz="0" w:space="0" w:color="auto"/>
        <w:right w:val="none" w:sz="0" w:space="0" w:color="auto"/>
      </w:divBdr>
    </w:div>
    <w:div w:id="1567111959">
      <w:bodyDiv w:val="1"/>
      <w:marLeft w:val="0"/>
      <w:marRight w:val="0"/>
      <w:marTop w:val="0"/>
      <w:marBottom w:val="0"/>
      <w:divBdr>
        <w:top w:val="none" w:sz="0" w:space="0" w:color="auto"/>
        <w:left w:val="none" w:sz="0" w:space="0" w:color="auto"/>
        <w:bottom w:val="none" w:sz="0" w:space="0" w:color="auto"/>
        <w:right w:val="none" w:sz="0" w:space="0" w:color="auto"/>
      </w:divBdr>
    </w:div>
    <w:div w:id="1758594241">
      <w:bodyDiv w:val="1"/>
      <w:marLeft w:val="0"/>
      <w:marRight w:val="0"/>
      <w:marTop w:val="0"/>
      <w:marBottom w:val="0"/>
      <w:divBdr>
        <w:top w:val="none" w:sz="0" w:space="0" w:color="auto"/>
        <w:left w:val="none" w:sz="0" w:space="0" w:color="auto"/>
        <w:bottom w:val="none" w:sz="0" w:space="0" w:color="auto"/>
        <w:right w:val="none" w:sz="0" w:space="0" w:color="auto"/>
      </w:divBdr>
    </w:div>
    <w:div w:id="1815298585">
      <w:bodyDiv w:val="1"/>
      <w:marLeft w:val="0"/>
      <w:marRight w:val="0"/>
      <w:marTop w:val="0"/>
      <w:marBottom w:val="0"/>
      <w:divBdr>
        <w:top w:val="none" w:sz="0" w:space="0" w:color="auto"/>
        <w:left w:val="none" w:sz="0" w:space="0" w:color="auto"/>
        <w:bottom w:val="none" w:sz="0" w:space="0" w:color="auto"/>
        <w:right w:val="none" w:sz="0" w:space="0" w:color="auto"/>
      </w:divBdr>
    </w:div>
    <w:div w:id="1877935810">
      <w:bodyDiv w:val="1"/>
      <w:marLeft w:val="0"/>
      <w:marRight w:val="0"/>
      <w:marTop w:val="0"/>
      <w:marBottom w:val="0"/>
      <w:divBdr>
        <w:top w:val="none" w:sz="0" w:space="0" w:color="auto"/>
        <w:left w:val="none" w:sz="0" w:space="0" w:color="auto"/>
        <w:bottom w:val="none" w:sz="0" w:space="0" w:color="auto"/>
        <w:right w:val="none" w:sz="0" w:space="0" w:color="auto"/>
      </w:divBdr>
    </w:div>
    <w:div w:id="1982728978">
      <w:bodyDiv w:val="1"/>
      <w:marLeft w:val="0"/>
      <w:marRight w:val="0"/>
      <w:marTop w:val="0"/>
      <w:marBottom w:val="0"/>
      <w:divBdr>
        <w:top w:val="none" w:sz="0" w:space="0" w:color="auto"/>
        <w:left w:val="none" w:sz="0" w:space="0" w:color="auto"/>
        <w:bottom w:val="none" w:sz="0" w:space="0" w:color="auto"/>
        <w:right w:val="none" w:sz="0" w:space="0" w:color="auto"/>
      </w:divBdr>
    </w:div>
    <w:div w:id="2006977593">
      <w:bodyDiv w:val="1"/>
      <w:marLeft w:val="0"/>
      <w:marRight w:val="0"/>
      <w:marTop w:val="0"/>
      <w:marBottom w:val="0"/>
      <w:divBdr>
        <w:top w:val="none" w:sz="0" w:space="0" w:color="auto"/>
        <w:left w:val="none" w:sz="0" w:space="0" w:color="auto"/>
        <w:bottom w:val="none" w:sz="0" w:space="0" w:color="auto"/>
        <w:right w:val="none" w:sz="0" w:space="0" w:color="auto"/>
      </w:divBdr>
    </w:div>
    <w:div w:id="2056924930">
      <w:bodyDiv w:val="1"/>
      <w:marLeft w:val="0"/>
      <w:marRight w:val="0"/>
      <w:marTop w:val="0"/>
      <w:marBottom w:val="0"/>
      <w:divBdr>
        <w:top w:val="none" w:sz="0" w:space="0" w:color="auto"/>
        <w:left w:val="none" w:sz="0" w:space="0" w:color="auto"/>
        <w:bottom w:val="none" w:sz="0" w:space="0" w:color="auto"/>
        <w:right w:val="none" w:sz="0" w:space="0" w:color="auto"/>
      </w:divBdr>
    </w:div>
    <w:div w:id="2089769952">
      <w:bodyDiv w:val="1"/>
      <w:marLeft w:val="0"/>
      <w:marRight w:val="0"/>
      <w:marTop w:val="0"/>
      <w:marBottom w:val="0"/>
      <w:divBdr>
        <w:top w:val="none" w:sz="0" w:space="0" w:color="auto"/>
        <w:left w:val="none" w:sz="0" w:space="0" w:color="auto"/>
        <w:bottom w:val="none" w:sz="0" w:space="0" w:color="auto"/>
        <w:right w:val="none" w:sz="0" w:space="0" w:color="auto"/>
      </w:divBdr>
    </w:div>
    <w:div w:id="2113822339">
      <w:bodyDiv w:val="1"/>
      <w:marLeft w:val="0"/>
      <w:marRight w:val="0"/>
      <w:marTop w:val="0"/>
      <w:marBottom w:val="0"/>
      <w:divBdr>
        <w:top w:val="none" w:sz="0" w:space="0" w:color="auto"/>
        <w:left w:val="none" w:sz="0" w:space="0" w:color="auto"/>
        <w:bottom w:val="none" w:sz="0" w:space="0" w:color="auto"/>
        <w:right w:val="none" w:sz="0" w:space="0" w:color="auto"/>
      </w:divBdr>
    </w:div>
    <w:div w:id="21259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2.png"/><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footer" Target="footer4.xml"/><Relationship Id="rId42"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eader" Target="header1.xml"/><Relationship Id="rId38" Type="http://schemas.openxmlformats.org/officeDocument/2006/relationships/image" Target="media/image21.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0.emf"/><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footer" Target="footer5.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Tech Basis FP SDP Supplemental Guidance for Implementing IMC 0609 App F at Power Operations</Document_x0020_Name>
    <Comment_x0020_Resolution xmlns="f85d8686-16b3-4c45-ab9c-cbddf1abf031">
      <Url>https://adamsxt.nrc.gov/AdamsXT/content/downloadContent.faces?objectStoreName=MainLibrary&amp;vsId=%7b041F56B1-C15E-4391-8499-7B1CD00776A1%7d&amp;ForceBrowserDownloadMgrPrompt=false</Url>
      <Description>ML17145A084</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6857-6380-4303-8FC6-B8030D46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CC5CF-C019-4158-A41B-F6AD3FA26B34}">
  <ds:schemaRefs>
    <ds:schemaRef ds:uri="http://schemas.microsoft.com/office/2006/metadata/properties"/>
    <ds:schemaRef ds:uri="http://schemas.microsoft.com/office/infopath/2007/PartnerControls"/>
    <ds:schemaRef ds:uri="f85d8686-16b3-4c45-ab9c-cbddf1abf031"/>
  </ds:schemaRefs>
</ds:datastoreItem>
</file>

<file path=customXml/itemProps3.xml><?xml version="1.0" encoding="utf-8"?>
<ds:datastoreItem xmlns:ds="http://schemas.openxmlformats.org/officeDocument/2006/customXml" ds:itemID="{32615BDC-6BBF-47D3-AF95-2E30EA507954}">
  <ds:schemaRefs>
    <ds:schemaRef ds:uri="http://schemas.microsoft.com/sharepoint/v3/contenttype/forms"/>
  </ds:schemaRefs>
</ds:datastoreItem>
</file>

<file path=customXml/itemProps4.xml><?xml version="1.0" encoding="utf-8"?>
<ds:datastoreItem xmlns:ds="http://schemas.openxmlformats.org/officeDocument/2006/customXml" ds:itemID="{51B7A889-B3E5-489B-AC53-5DECF12F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120</Pages>
  <Words>43991</Words>
  <Characters>250755</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IMC 0308 Att 3 App F</vt:lpstr>
    </vt:vector>
  </TitlesOfParts>
  <Company>USNRC</Company>
  <LinksUpToDate>false</LinksUpToDate>
  <CharactersWithSpaces>294158</CharactersWithSpaces>
  <SharedDoc>false</SharedDoc>
  <HLinks>
    <vt:vector size="510" baseType="variant">
      <vt:variant>
        <vt:i4>2949235</vt:i4>
      </vt:variant>
      <vt:variant>
        <vt:i4>447</vt:i4>
      </vt:variant>
      <vt:variant>
        <vt:i4>0</vt:i4>
      </vt:variant>
      <vt:variant>
        <vt:i4>5</vt:i4>
      </vt:variant>
      <vt:variant>
        <vt:lpwstr/>
      </vt:variant>
      <vt:variant>
        <vt:lpwstr>Figure_F_2</vt:lpwstr>
      </vt:variant>
      <vt:variant>
        <vt:i4>2949235</vt:i4>
      </vt:variant>
      <vt:variant>
        <vt:i4>444</vt:i4>
      </vt:variant>
      <vt:variant>
        <vt:i4>0</vt:i4>
      </vt:variant>
      <vt:variant>
        <vt:i4>5</vt:i4>
      </vt:variant>
      <vt:variant>
        <vt:lpwstr/>
      </vt:variant>
      <vt:variant>
        <vt:lpwstr>Figure_F_2</vt:lpwstr>
      </vt:variant>
      <vt:variant>
        <vt:i4>5374073</vt:i4>
      </vt:variant>
      <vt:variant>
        <vt:i4>441</vt:i4>
      </vt:variant>
      <vt:variant>
        <vt:i4>0</vt:i4>
      </vt:variant>
      <vt:variant>
        <vt:i4>5</vt:i4>
      </vt:variant>
      <vt:variant>
        <vt:lpwstr/>
      </vt:variant>
      <vt:variant>
        <vt:lpwstr>Table_2_8_3</vt:lpwstr>
      </vt:variant>
      <vt:variant>
        <vt:i4>5374073</vt:i4>
      </vt:variant>
      <vt:variant>
        <vt:i4>438</vt:i4>
      </vt:variant>
      <vt:variant>
        <vt:i4>0</vt:i4>
      </vt:variant>
      <vt:variant>
        <vt:i4>5</vt:i4>
      </vt:variant>
      <vt:variant>
        <vt:lpwstr/>
      </vt:variant>
      <vt:variant>
        <vt:lpwstr>Table_2_8_3</vt:lpwstr>
      </vt:variant>
      <vt:variant>
        <vt:i4>5374073</vt:i4>
      </vt:variant>
      <vt:variant>
        <vt:i4>435</vt:i4>
      </vt:variant>
      <vt:variant>
        <vt:i4>0</vt:i4>
      </vt:variant>
      <vt:variant>
        <vt:i4>5</vt:i4>
      </vt:variant>
      <vt:variant>
        <vt:lpwstr/>
      </vt:variant>
      <vt:variant>
        <vt:lpwstr>Table_2_8_2</vt:lpwstr>
      </vt:variant>
      <vt:variant>
        <vt:i4>5374073</vt:i4>
      </vt:variant>
      <vt:variant>
        <vt:i4>432</vt:i4>
      </vt:variant>
      <vt:variant>
        <vt:i4>0</vt:i4>
      </vt:variant>
      <vt:variant>
        <vt:i4>5</vt:i4>
      </vt:variant>
      <vt:variant>
        <vt:lpwstr/>
      </vt:variant>
      <vt:variant>
        <vt:lpwstr>Table_2_8_1</vt:lpwstr>
      </vt:variant>
      <vt:variant>
        <vt:i4>5374070</vt:i4>
      </vt:variant>
      <vt:variant>
        <vt:i4>429</vt:i4>
      </vt:variant>
      <vt:variant>
        <vt:i4>0</vt:i4>
      </vt:variant>
      <vt:variant>
        <vt:i4>5</vt:i4>
      </vt:variant>
      <vt:variant>
        <vt:lpwstr/>
      </vt:variant>
      <vt:variant>
        <vt:lpwstr>Table_2_7_1</vt:lpwstr>
      </vt:variant>
      <vt:variant>
        <vt:i4>5374068</vt:i4>
      </vt:variant>
      <vt:variant>
        <vt:i4>426</vt:i4>
      </vt:variant>
      <vt:variant>
        <vt:i4>0</vt:i4>
      </vt:variant>
      <vt:variant>
        <vt:i4>5</vt:i4>
      </vt:variant>
      <vt:variant>
        <vt:lpwstr/>
      </vt:variant>
      <vt:variant>
        <vt:lpwstr>Table_2_5_1</vt:lpwstr>
      </vt:variant>
      <vt:variant>
        <vt:i4>5374069</vt:i4>
      </vt:variant>
      <vt:variant>
        <vt:i4>423</vt:i4>
      </vt:variant>
      <vt:variant>
        <vt:i4>0</vt:i4>
      </vt:variant>
      <vt:variant>
        <vt:i4>5</vt:i4>
      </vt:variant>
      <vt:variant>
        <vt:lpwstr/>
      </vt:variant>
      <vt:variant>
        <vt:lpwstr>Table_2_4_1</vt:lpwstr>
      </vt:variant>
      <vt:variant>
        <vt:i4>5374066</vt:i4>
      </vt:variant>
      <vt:variant>
        <vt:i4>420</vt:i4>
      </vt:variant>
      <vt:variant>
        <vt:i4>0</vt:i4>
      </vt:variant>
      <vt:variant>
        <vt:i4>5</vt:i4>
      </vt:variant>
      <vt:variant>
        <vt:lpwstr/>
      </vt:variant>
      <vt:variant>
        <vt:lpwstr>Table_2_3_4</vt:lpwstr>
      </vt:variant>
      <vt:variant>
        <vt:i4>5374066</vt:i4>
      </vt:variant>
      <vt:variant>
        <vt:i4>417</vt:i4>
      </vt:variant>
      <vt:variant>
        <vt:i4>0</vt:i4>
      </vt:variant>
      <vt:variant>
        <vt:i4>5</vt:i4>
      </vt:variant>
      <vt:variant>
        <vt:lpwstr/>
      </vt:variant>
      <vt:variant>
        <vt:lpwstr>Table_2_3_3</vt:lpwstr>
      </vt:variant>
      <vt:variant>
        <vt:i4>5374066</vt:i4>
      </vt:variant>
      <vt:variant>
        <vt:i4>414</vt:i4>
      </vt:variant>
      <vt:variant>
        <vt:i4>0</vt:i4>
      </vt:variant>
      <vt:variant>
        <vt:i4>5</vt:i4>
      </vt:variant>
      <vt:variant>
        <vt:lpwstr/>
      </vt:variant>
      <vt:variant>
        <vt:lpwstr>Table_2_3_2</vt:lpwstr>
      </vt:variant>
      <vt:variant>
        <vt:i4>5374066</vt:i4>
      </vt:variant>
      <vt:variant>
        <vt:i4>411</vt:i4>
      </vt:variant>
      <vt:variant>
        <vt:i4>0</vt:i4>
      </vt:variant>
      <vt:variant>
        <vt:i4>5</vt:i4>
      </vt:variant>
      <vt:variant>
        <vt:lpwstr/>
      </vt:variant>
      <vt:variant>
        <vt:lpwstr>Table_2_3_1</vt:lpwstr>
      </vt:variant>
      <vt:variant>
        <vt:i4>5374067</vt:i4>
      </vt:variant>
      <vt:variant>
        <vt:i4>408</vt:i4>
      </vt:variant>
      <vt:variant>
        <vt:i4>0</vt:i4>
      </vt:variant>
      <vt:variant>
        <vt:i4>5</vt:i4>
      </vt:variant>
      <vt:variant>
        <vt:lpwstr/>
      </vt:variant>
      <vt:variant>
        <vt:lpwstr>Table_2_2_1</vt:lpwstr>
      </vt:variant>
      <vt:variant>
        <vt:i4>5374064</vt:i4>
      </vt:variant>
      <vt:variant>
        <vt:i4>405</vt:i4>
      </vt:variant>
      <vt:variant>
        <vt:i4>0</vt:i4>
      </vt:variant>
      <vt:variant>
        <vt:i4>5</vt:i4>
      </vt:variant>
      <vt:variant>
        <vt:lpwstr/>
      </vt:variant>
      <vt:variant>
        <vt:lpwstr>Table_2_1_3</vt:lpwstr>
      </vt:variant>
      <vt:variant>
        <vt:i4>5374064</vt:i4>
      </vt:variant>
      <vt:variant>
        <vt:i4>402</vt:i4>
      </vt:variant>
      <vt:variant>
        <vt:i4>0</vt:i4>
      </vt:variant>
      <vt:variant>
        <vt:i4>5</vt:i4>
      </vt:variant>
      <vt:variant>
        <vt:lpwstr/>
      </vt:variant>
      <vt:variant>
        <vt:lpwstr>Table_2_1_2</vt:lpwstr>
      </vt:variant>
      <vt:variant>
        <vt:i4>5374064</vt:i4>
      </vt:variant>
      <vt:variant>
        <vt:i4>399</vt:i4>
      </vt:variant>
      <vt:variant>
        <vt:i4>0</vt:i4>
      </vt:variant>
      <vt:variant>
        <vt:i4>5</vt:i4>
      </vt:variant>
      <vt:variant>
        <vt:lpwstr/>
      </vt:variant>
      <vt:variant>
        <vt:lpwstr>Table_2_1_1</vt:lpwstr>
      </vt:variant>
      <vt:variant>
        <vt:i4>5374064</vt:i4>
      </vt:variant>
      <vt:variant>
        <vt:i4>396</vt:i4>
      </vt:variant>
      <vt:variant>
        <vt:i4>0</vt:i4>
      </vt:variant>
      <vt:variant>
        <vt:i4>5</vt:i4>
      </vt:variant>
      <vt:variant>
        <vt:lpwstr/>
      </vt:variant>
      <vt:variant>
        <vt:lpwstr>Table_2_1_1</vt:lpwstr>
      </vt:variant>
      <vt:variant>
        <vt:i4>5374064</vt:i4>
      </vt:variant>
      <vt:variant>
        <vt:i4>393</vt:i4>
      </vt:variant>
      <vt:variant>
        <vt:i4>0</vt:i4>
      </vt:variant>
      <vt:variant>
        <vt:i4>5</vt:i4>
      </vt:variant>
      <vt:variant>
        <vt:lpwstr/>
      </vt:variant>
      <vt:variant>
        <vt:lpwstr>Table_2_1_1</vt:lpwstr>
      </vt:variant>
      <vt:variant>
        <vt:i4>5374064</vt:i4>
      </vt:variant>
      <vt:variant>
        <vt:i4>390</vt:i4>
      </vt:variant>
      <vt:variant>
        <vt:i4>0</vt:i4>
      </vt:variant>
      <vt:variant>
        <vt:i4>5</vt:i4>
      </vt:variant>
      <vt:variant>
        <vt:lpwstr/>
      </vt:variant>
      <vt:variant>
        <vt:lpwstr>Table_2_1_1</vt:lpwstr>
      </vt:variant>
      <vt:variant>
        <vt:i4>5374064</vt:i4>
      </vt:variant>
      <vt:variant>
        <vt:i4>387</vt:i4>
      </vt:variant>
      <vt:variant>
        <vt:i4>0</vt:i4>
      </vt:variant>
      <vt:variant>
        <vt:i4>5</vt:i4>
      </vt:variant>
      <vt:variant>
        <vt:lpwstr/>
      </vt:variant>
      <vt:variant>
        <vt:lpwstr>Table_2_1_1</vt:lpwstr>
      </vt:variant>
      <vt:variant>
        <vt:i4>1376305</vt:i4>
      </vt:variant>
      <vt:variant>
        <vt:i4>380</vt:i4>
      </vt:variant>
      <vt:variant>
        <vt:i4>0</vt:i4>
      </vt:variant>
      <vt:variant>
        <vt:i4>5</vt:i4>
      </vt:variant>
      <vt:variant>
        <vt:lpwstr/>
      </vt:variant>
      <vt:variant>
        <vt:lpwstr>_Toc361227118</vt:lpwstr>
      </vt:variant>
      <vt:variant>
        <vt:i4>1376305</vt:i4>
      </vt:variant>
      <vt:variant>
        <vt:i4>374</vt:i4>
      </vt:variant>
      <vt:variant>
        <vt:i4>0</vt:i4>
      </vt:variant>
      <vt:variant>
        <vt:i4>5</vt:i4>
      </vt:variant>
      <vt:variant>
        <vt:lpwstr/>
      </vt:variant>
      <vt:variant>
        <vt:lpwstr>_Toc361227117</vt:lpwstr>
      </vt:variant>
      <vt:variant>
        <vt:i4>1376305</vt:i4>
      </vt:variant>
      <vt:variant>
        <vt:i4>368</vt:i4>
      </vt:variant>
      <vt:variant>
        <vt:i4>0</vt:i4>
      </vt:variant>
      <vt:variant>
        <vt:i4>5</vt:i4>
      </vt:variant>
      <vt:variant>
        <vt:lpwstr/>
      </vt:variant>
      <vt:variant>
        <vt:lpwstr>_Toc361227116</vt:lpwstr>
      </vt:variant>
      <vt:variant>
        <vt:i4>1376305</vt:i4>
      </vt:variant>
      <vt:variant>
        <vt:i4>362</vt:i4>
      </vt:variant>
      <vt:variant>
        <vt:i4>0</vt:i4>
      </vt:variant>
      <vt:variant>
        <vt:i4>5</vt:i4>
      </vt:variant>
      <vt:variant>
        <vt:lpwstr/>
      </vt:variant>
      <vt:variant>
        <vt:lpwstr>_Toc361227115</vt:lpwstr>
      </vt:variant>
      <vt:variant>
        <vt:i4>1376305</vt:i4>
      </vt:variant>
      <vt:variant>
        <vt:i4>356</vt:i4>
      </vt:variant>
      <vt:variant>
        <vt:i4>0</vt:i4>
      </vt:variant>
      <vt:variant>
        <vt:i4>5</vt:i4>
      </vt:variant>
      <vt:variant>
        <vt:lpwstr/>
      </vt:variant>
      <vt:variant>
        <vt:lpwstr>_Toc361227114</vt:lpwstr>
      </vt:variant>
      <vt:variant>
        <vt:i4>1376305</vt:i4>
      </vt:variant>
      <vt:variant>
        <vt:i4>350</vt:i4>
      </vt:variant>
      <vt:variant>
        <vt:i4>0</vt:i4>
      </vt:variant>
      <vt:variant>
        <vt:i4>5</vt:i4>
      </vt:variant>
      <vt:variant>
        <vt:lpwstr/>
      </vt:variant>
      <vt:variant>
        <vt:lpwstr>_Toc361227113</vt:lpwstr>
      </vt:variant>
      <vt:variant>
        <vt:i4>1376305</vt:i4>
      </vt:variant>
      <vt:variant>
        <vt:i4>344</vt:i4>
      </vt:variant>
      <vt:variant>
        <vt:i4>0</vt:i4>
      </vt:variant>
      <vt:variant>
        <vt:i4>5</vt:i4>
      </vt:variant>
      <vt:variant>
        <vt:lpwstr/>
      </vt:variant>
      <vt:variant>
        <vt:lpwstr>_Toc361227112</vt:lpwstr>
      </vt:variant>
      <vt:variant>
        <vt:i4>1376305</vt:i4>
      </vt:variant>
      <vt:variant>
        <vt:i4>338</vt:i4>
      </vt:variant>
      <vt:variant>
        <vt:i4>0</vt:i4>
      </vt:variant>
      <vt:variant>
        <vt:i4>5</vt:i4>
      </vt:variant>
      <vt:variant>
        <vt:lpwstr/>
      </vt:variant>
      <vt:variant>
        <vt:lpwstr>_Toc361227111</vt:lpwstr>
      </vt:variant>
      <vt:variant>
        <vt:i4>1376305</vt:i4>
      </vt:variant>
      <vt:variant>
        <vt:i4>332</vt:i4>
      </vt:variant>
      <vt:variant>
        <vt:i4>0</vt:i4>
      </vt:variant>
      <vt:variant>
        <vt:i4>5</vt:i4>
      </vt:variant>
      <vt:variant>
        <vt:lpwstr/>
      </vt:variant>
      <vt:variant>
        <vt:lpwstr>_Toc361227110</vt:lpwstr>
      </vt:variant>
      <vt:variant>
        <vt:i4>1310769</vt:i4>
      </vt:variant>
      <vt:variant>
        <vt:i4>326</vt:i4>
      </vt:variant>
      <vt:variant>
        <vt:i4>0</vt:i4>
      </vt:variant>
      <vt:variant>
        <vt:i4>5</vt:i4>
      </vt:variant>
      <vt:variant>
        <vt:lpwstr/>
      </vt:variant>
      <vt:variant>
        <vt:lpwstr>_Toc361227109</vt:lpwstr>
      </vt:variant>
      <vt:variant>
        <vt:i4>1310769</vt:i4>
      </vt:variant>
      <vt:variant>
        <vt:i4>320</vt:i4>
      </vt:variant>
      <vt:variant>
        <vt:i4>0</vt:i4>
      </vt:variant>
      <vt:variant>
        <vt:i4>5</vt:i4>
      </vt:variant>
      <vt:variant>
        <vt:lpwstr/>
      </vt:variant>
      <vt:variant>
        <vt:lpwstr>_Toc361227108</vt:lpwstr>
      </vt:variant>
      <vt:variant>
        <vt:i4>1310769</vt:i4>
      </vt:variant>
      <vt:variant>
        <vt:i4>314</vt:i4>
      </vt:variant>
      <vt:variant>
        <vt:i4>0</vt:i4>
      </vt:variant>
      <vt:variant>
        <vt:i4>5</vt:i4>
      </vt:variant>
      <vt:variant>
        <vt:lpwstr/>
      </vt:variant>
      <vt:variant>
        <vt:lpwstr>_Toc361227107</vt:lpwstr>
      </vt:variant>
      <vt:variant>
        <vt:i4>1310769</vt:i4>
      </vt:variant>
      <vt:variant>
        <vt:i4>308</vt:i4>
      </vt:variant>
      <vt:variant>
        <vt:i4>0</vt:i4>
      </vt:variant>
      <vt:variant>
        <vt:i4>5</vt:i4>
      </vt:variant>
      <vt:variant>
        <vt:lpwstr/>
      </vt:variant>
      <vt:variant>
        <vt:lpwstr>_Toc361227106</vt:lpwstr>
      </vt:variant>
      <vt:variant>
        <vt:i4>1310769</vt:i4>
      </vt:variant>
      <vt:variant>
        <vt:i4>302</vt:i4>
      </vt:variant>
      <vt:variant>
        <vt:i4>0</vt:i4>
      </vt:variant>
      <vt:variant>
        <vt:i4>5</vt:i4>
      </vt:variant>
      <vt:variant>
        <vt:lpwstr/>
      </vt:variant>
      <vt:variant>
        <vt:lpwstr>_Toc361227105</vt:lpwstr>
      </vt:variant>
      <vt:variant>
        <vt:i4>1310769</vt:i4>
      </vt:variant>
      <vt:variant>
        <vt:i4>296</vt:i4>
      </vt:variant>
      <vt:variant>
        <vt:i4>0</vt:i4>
      </vt:variant>
      <vt:variant>
        <vt:i4>5</vt:i4>
      </vt:variant>
      <vt:variant>
        <vt:lpwstr/>
      </vt:variant>
      <vt:variant>
        <vt:lpwstr>_Toc361227104</vt:lpwstr>
      </vt:variant>
      <vt:variant>
        <vt:i4>1310769</vt:i4>
      </vt:variant>
      <vt:variant>
        <vt:i4>290</vt:i4>
      </vt:variant>
      <vt:variant>
        <vt:i4>0</vt:i4>
      </vt:variant>
      <vt:variant>
        <vt:i4>5</vt:i4>
      </vt:variant>
      <vt:variant>
        <vt:lpwstr/>
      </vt:variant>
      <vt:variant>
        <vt:lpwstr>_Toc361227103</vt:lpwstr>
      </vt:variant>
      <vt:variant>
        <vt:i4>1310769</vt:i4>
      </vt:variant>
      <vt:variant>
        <vt:i4>284</vt:i4>
      </vt:variant>
      <vt:variant>
        <vt:i4>0</vt:i4>
      </vt:variant>
      <vt:variant>
        <vt:i4>5</vt:i4>
      </vt:variant>
      <vt:variant>
        <vt:lpwstr/>
      </vt:variant>
      <vt:variant>
        <vt:lpwstr>_Toc361227102</vt:lpwstr>
      </vt:variant>
      <vt:variant>
        <vt:i4>1310769</vt:i4>
      </vt:variant>
      <vt:variant>
        <vt:i4>278</vt:i4>
      </vt:variant>
      <vt:variant>
        <vt:i4>0</vt:i4>
      </vt:variant>
      <vt:variant>
        <vt:i4>5</vt:i4>
      </vt:variant>
      <vt:variant>
        <vt:lpwstr/>
      </vt:variant>
      <vt:variant>
        <vt:lpwstr>_Toc361227101</vt:lpwstr>
      </vt:variant>
      <vt:variant>
        <vt:i4>1310769</vt:i4>
      </vt:variant>
      <vt:variant>
        <vt:i4>272</vt:i4>
      </vt:variant>
      <vt:variant>
        <vt:i4>0</vt:i4>
      </vt:variant>
      <vt:variant>
        <vt:i4>5</vt:i4>
      </vt:variant>
      <vt:variant>
        <vt:lpwstr/>
      </vt:variant>
      <vt:variant>
        <vt:lpwstr>_Toc361227100</vt:lpwstr>
      </vt:variant>
      <vt:variant>
        <vt:i4>1900592</vt:i4>
      </vt:variant>
      <vt:variant>
        <vt:i4>266</vt:i4>
      </vt:variant>
      <vt:variant>
        <vt:i4>0</vt:i4>
      </vt:variant>
      <vt:variant>
        <vt:i4>5</vt:i4>
      </vt:variant>
      <vt:variant>
        <vt:lpwstr/>
      </vt:variant>
      <vt:variant>
        <vt:lpwstr>_Toc361227099</vt:lpwstr>
      </vt:variant>
      <vt:variant>
        <vt:i4>1900592</vt:i4>
      </vt:variant>
      <vt:variant>
        <vt:i4>260</vt:i4>
      </vt:variant>
      <vt:variant>
        <vt:i4>0</vt:i4>
      </vt:variant>
      <vt:variant>
        <vt:i4>5</vt:i4>
      </vt:variant>
      <vt:variant>
        <vt:lpwstr/>
      </vt:variant>
      <vt:variant>
        <vt:lpwstr>_Toc361227098</vt:lpwstr>
      </vt:variant>
      <vt:variant>
        <vt:i4>1900592</vt:i4>
      </vt:variant>
      <vt:variant>
        <vt:i4>254</vt:i4>
      </vt:variant>
      <vt:variant>
        <vt:i4>0</vt:i4>
      </vt:variant>
      <vt:variant>
        <vt:i4>5</vt:i4>
      </vt:variant>
      <vt:variant>
        <vt:lpwstr/>
      </vt:variant>
      <vt:variant>
        <vt:lpwstr>_Toc361227097</vt:lpwstr>
      </vt:variant>
      <vt:variant>
        <vt:i4>1900592</vt:i4>
      </vt:variant>
      <vt:variant>
        <vt:i4>248</vt:i4>
      </vt:variant>
      <vt:variant>
        <vt:i4>0</vt:i4>
      </vt:variant>
      <vt:variant>
        <vt:i4>5</vt:i4>
      </vt:variant>
      <vt:variant>
        <vt:lpwstr/>
      </vt:variant>
      <vt:variant>
        <vt:lpwstr>_Toc361227096</vt:lpwstr>
      </vt:variant>
      <vt:variant>
        <vt:i4>1900592</vt:i4>
      </vt:variant>
      <vt:variant>
        <vt:i4>242</vt:i4>
      </vt:variant>
      <vt:variant>
        <vt:i4>0</vt:i4>
      </vt:variant>
      <vt:variant>
        <vt:i4>5</vt:i4>
      </vt:variant>
      <vt:variant>
        <vt:lpwstr/>
      </vt:variant>
      <vt:variant>
        <vt:lpwstr>_Toc361227095</vt:lpwstr>
      </vt:variant>
      <vt:variant>
        <vt:i4>1900592</vt:i4>
      </vt:variant>
      <vt:variant>
        <vt:i4>236</vt:i4>
      </vt:variant>
      <vt:variant>
        <vt:i4>0</vt:i4>
      </vt:variant>
      <vt:variant>
        <vt:i4>5</vt:i4>
      </vt:variant>
      <vt:variant>
        <vt:lpwstr/>
      </vt:variant>
      <vt:variant>
        <vt:lpwstr>_Toc361227094</vt:lpwstr>
      </vt:variant>
      <vt:variant>
        <vt:i4>1900592</vt:i4>
      </vt:variant>
      <vt:variant>
        <vt:i4>230</vt:i4>
      </vt:variant>
      <vt:variant>
        <vt:i4>0</vt:i4>
      </vt:variant>
      <vt:variant>
        <vt:i4>5</vt:i4>
      </vt:variant>
      <vt:variant>
        <vt:lpwstr/>
      </vt:variant>
      <vt:variant>
        <vt:lpwstr>_Toc361227093</vt:lpwstr>
      </vt:variant>
      <vt:variant>
        <vt:i4>1900592</vt:i4>
      </vt:variant>
      <vt:variant>
        <vt:i4>224</vt:i4>
      </vt:variant>
      <vt:variant>
        <vt:i4>0</vt:i4>
      </vt:variant>
      <vt:variant>
        <vt:i4>5</vt:i4>
      </vt:variant>
      <vt:variant>
        <vt:lpwstr/>
      </vt:variant>
      <vt:variant>
        <vt:lpwstr>_Toc361227092</vt:lpwstr>
      </vt:variant>
      <vt:variant>
        <vt:i4>1900592</vt:i4>
      </vt:variant>
      <vt:variant>
        <vt:i4>218</vt:i4>
      </vt:variant>
      <vt:variant>
        <vt:i4>0</vt:i4>
      </vt:variant>
      <vt:variant>
        <vt:i4>5</vt:i4>
      </vt:variant>
      <vt:variant>
        <vt:lpwstr/>
      </vt:variant>
      <vt:variant>
        <vt:lpwstr>_Toc361227091</vt:lpwstr>
      </vt:variant>
      <vt:variant>
        <vt:i4>1900592</vt:i4>
      </vt:variant>
      <vt:variant>
        <vt:i4>212</vt:i4>
      </vt:variant>
      <vt:variant>
        <vt:i4>0</vt:i4>
      </vt:variant>
      <vt:variant>
        <vt:i4>5</vt:i4>
      </vt:variant>
      <vt:variant>
        <vt:lpwstr/>
      </vt:variant>
      <vt:variant>
        <vt:lpwstr>_Toc361227090</vt:lpwstr>
      </vt:variant>
      <vt:variant>
        <vt:i4>1835056</vt:i4>
      </vt:variant>
      <vt:variant>
        <vt:i4>206</vt:i4>
      </vt:variant>
      <vt:variant>
        <vt:i4>0</vt:i4>
      </vt:variant>
      <vt:variant>
        <vt:i4>5</vt:i4>
      </vt:variant>
      <vt:variant>
        <vt:lpwstr/>
      </vt:variant>
      <vt:variant>
        <vt:lpwstr>_Toc361227089</vt:lpwstr>
      </vt:variant>
      <vt:variant>
        <vt:i4>1835056</vt:i4>
      </vt:variant>
      <vt:variant>
        <vt:i4>200</vt:i4>
      </vt:variant>
      <vt:variant>
        <vt:i4>0</vt:i4>
      </vt:variant>
      <vt:variant>
        <vt:i4>5</vt:i4>
      </vt:variant>
      <vt:variant>
        <vt:lpwstr/>
      </vt:variant>
      <vt:variant>
        <vt:lpwstr>_Toc361227088</vt:lpwstr>
      </vt:variant>
      <vt:variant>
        <vt:i4>1835056</vt:i4>
      </vt:variant>
      <vt:variant>
        <vt:i4>194</vt:i4>
      </vt:variant>
      <vt:variant>
        <vt:i4>0</vt:i4>
      </vt:variant>
      <vt:variant>
        <vt:i4>5</vt:i4>
      </vt:variant>
      <vt:variant>
        <vt:lpwstr/>
      </vt:variant>
      <vt:variant>
        <vt:lpwstr>_Toc361227087</vt:lpwstr>
      </vt:variant>
      <vt:variant>
        <vt:i4>1835056</vt:i4>
      </vt:variant>
      <vt:variant>
        <vt:i4>188</vt:i4>
      </vt:variant>
      <vt:variant>
        <vt:i4>0</vt:i4>
      </vt:variant>
      <vt:variant>
        <vt:i4>5</vt:i4>
      </vt:variant>
      <vt:variant>
        <vt:lpwstr/>
      </vt:variant>
      <vt:variant>
        <vt:lpwstr>_Toc361227086</vt:lpwstr>
      </vt:variant>
      <vt:variant>
        <vt:i4>1835056</vt:i4>
      </vt:variant>
      <vt:variant>
        <vt:i4>182</vt:i4>
      </vt:variant>
      <vt:variant>
        <vt:i4>0</vt:i4>
      </vt:variant>
      <vt:variant>
        <vt:i4>5</vt:i4>
      </vt:variant>
      <vt:variant>
        <vt:lpwstr/>
      </vt:variant>
      <vt:variant>
        <vt:lpwstr>_Toc361227085</vt:lpwstr>
      </vt:variant>
      <vt:variant>
        <vt:i4>1835056</vt:i4>
      </vt:variant>
      <vt:variant>
        <vt:i4>176</vt:i4>
      </vt:variant>
      <vt:variant>
        <vt:i4>0</vt:i4>
      </vt:variant>
      <vt:variant>
        <vt:i4>5</vt:i4>
      </vt:variant>
      <vt:variant>
        <vt:lpwstr/>
      </vt:variant>
      <vt:variant>
        <vt:lpwstr>_Toc361227084</vt:lpwstr>
      </vt:variant>
      <vt:variant>
        <vt:i4>1835056</vt:i4>
      </vt:variant>
      <vt:variant>
        <vt:i4>170</vt:i4>
      </vt:variant>
      <vt:variant>
        <vt:i4>0</vt:i4>
      </vt:variant>
      <vt:variant>
        <vt:i4>5</vt:i4>
      </vt:variant>
      <vt:variant>
        <vt:lpwstr/>
      </vt:variant>
      <vt:variant>
        <vt:lpwstr>_Toc361227083</vt:lpwstr>
      </vt:variant>
      <vt:variant>
        <vt:i4>1835056</vt:i4>
      </vt:variant>
      <vt:variant>
        <vt:i4>164</vt:i4>
      </vt:variant>
      <vt:variant>
        <vt:i4>0</vt:i4>
      </vt:variant>
      <vt:variant>
        <vt:i4>5</vt:i4>
      </vt:variant>
      <vt:variant>
        <vt:lpwstr/>
      </vt:variant>
      <vt:variant>
        <vt:lpwstr>_Toc361227082</vt:lpwstr>
      </vt:variant>
      <vt:variant>
        <vt:i4>1835056</vt:i4>
      </vt:variant>
      <vt:variant>
        <vt:i4>158</vt:i4>
      </vt:variant>
      <vt:variant>
        <vt:i4>0</vt:i4>
      </vt:variant>
      <vt:variant>
        <vt:i4>5</vt:i4>
      </vt:variant>
      <vt:variant>
        <vt:lpwstr/>
      </vt:variant>
      <vt:variant>
        <vt:lpwstr>_Toc361227081</vt:lpwstr>
      </vt:variant>
      <vt:variant>
        <vt:i4>1835056</vt:i4>
      </vt:variant>
      <vt:variant>
        <vt:i4>152</vt:i4>
      </vt:variant>
      <vt:variant>
        <vt:i4>0</vt:i4>
      </vt:variant>
      <vt:variant>
        <vt:i4>5</vt:i4>
      </vt:variant>
      <vt:variant>
        <vt:lpwstr/>
      </vt:variant>
      <vt:variant>
        <vt:lpwstr>_Toc361227080</vt:lpwstr>
      </vt:variant>
      <vt:variant>
        <vt:i4>1245232</vt:i4>
      </vt:variant>
      <vt:variant>
        <vt:i4>146</vt:i4>
      </vt:variant>
      <vt:variant>
        <vt:i4>0</vt:i4>
      </vt:variant>
      <vt:variant>
        <vt:i4>5</vt:i4>
      </vt:variant>
      <vt:variant>
        <vt:lpwstr/>
      </vt:variant>
      <vt:variant>
        <vt:lpwstr>_Toc361227079</vt:lpwstr>
      </vt:variant>
      <vt:variant>
        <vt:i4>1245232</vt:i4>
      </vt:variant>
      <vt:variant>
        <vt:i4>140</vt:i4>
      </vt:variant>
      <vt:variant>
        <vt:i4>0</vt:i4>
      </vt:variant>
      <vt:variant>
        <vt:i4>5</vt:i4>
      </vt:variant>
      <vt:variant>
        <vt:lpwstr/>
      </vt:variant>
      <vt:variant>
        <vt:lpwstr>_Toc361227078</vt:lpwstr>
      </vt:variant>
      <vt:variant>
        <vt:i4>1245232</vt:i4>
      </vt:variant>
      <vt:variant>
        <vt:i4>134</vt:i4>
      </vt:variant>
      <vt:variant>
        <vt:i4>0</vt:i4>
      </vt:variant>
      <vt:variant>
        <vt:i4>5</vt:i4>
      </vt:variant>
      <vt:variant>
        <vt:lpwstr/>
      </vt:variant>
      <vt:variant>
        <vt:lpwstr>_Toc361227077</vt:lpwstr>
      </vt:variant>
      <vt:variant>
        <vt:i4>1245232</vt:i4>
      </vt:variant>
      <vt:variant>
        <vt:i4>128</vt:i4>
      </vt:variant>
      <vt:variant>
        <vt:i4>0</vt:i4>
      </vt:variant>
      <vt:variant>
        <vt:i4>5</vt:i4>
      </vt:variant>
      <vt:variant>
        <vt:lpwstr/>
      </vt:variant>
      <vt:variant>
        <vt:lpwstr>_Toc361227076</vt:lpwstr>
      </vt:variant>
      <vt:variant>
        <vt:i4>1245232</vt:i4>
      </vt:variant>
      <vt:variant>
        <vt:i4>122</vt:i4>
      </vt:variant>
      <vt:variant>
        <vt:i4>0</vt:i4>
      </vt:variant>
      <vt:variant>
        <vt:i4>5</vt:i4>
      </vt:variant>
      <vt:variant>
        <vt:lpwstr/>
      </vt:variant>
      <vt:variant>
        <vt:lpwstr>_Toc361227075</vt:lpwstr>
      </vt:variant>
      <vt:variant>
        <vt:i4>1245232</vt:i4>
      </vt:variant>
      <vt:variant>
        <vt:i4>116</vt:i4>
      </vt:variant>
      <vt:variant>
        <vt:i4>0</vt:i4>
      </vt:variant>
      <vt:variant>
        <vt:i4>5</vt:i4>
      </vt:variant>
      <vt:variant>
        <vt:lpwstr/>
      </vt:variant>
      <vt:variant>
        <vt:lpwstr>_Toc361227074</vt:lpwstr>
      </vt:variant>
      <vt:variant>
        <vt:i4>1245232</vt:i4>
      </vt:variant>
      <vt:variant>
        <vt:i4>110</vt:i4>
      </vt:variant>
      <vt:variant>
        <vt:i4>0</vt:i4>
      </vt:variant>
      <vt:variant>
        <vt:i4>5</vt:i4>
      </vt:variant>
      <vt:variant>
        <vt:lpwstr/>
      </vt:variant>
      <vt:variant>
        <vt:lpwstr>_Toc361227073</vt:lpwstr>
      </vt:variant>
      <vt:variant>
        <vt:i4>1245232</vt:i4>
      </vt:variant>
      <vt:variant>
        <vt:i4>104</vt:i4>
      </vt:variant>
      <vt:variant>
        <vt:i4>0</vt:i4>
      </vt:variant>
      <vt:variant>
        <vt:i4>5</vt:i4>
      </vt:variant>
      <vt:variant>
        <vt:lpwstr/>
      </vt:variant>
      <vt:variant>
        <vt:lpwstr>_Toc361227072</vt:lpwstr>
      </vt:variant>
      <vt:variant>
        <vt:i4>1245232</vt:i4>
      </vt:variant>
      <vt:variant>
        <vt:i4>98</vt:i4>
      </vt:variant>
      <vt:variant>
        <vt:i4>0</vt:i4>
      </vt:variant>
      <vt:variant>
        <vt:i4>5</vt:i4>
      </vt:variant>
      <vt:variant>
        <vt:lpwstr/>
      </vt:variant>
      <vt:variant>
        <vt:lpwstr>_Toc361227071</vt:lpwstr>
      </vt:variant>
      <vt:variant>
        <vt:i4>1245232</vt:i4>
      </vt:variant>
      <vt:variant>
        <vt:i4>92</vt:i4>
      </vt:variant>
      <vt:variant>
        <vt:i4>0</vt:i4>
      </vt:variant>
      <vt:variant>
        <vt:i4>5</vt:i4>
      </vt:variant>
      <vt:variant>
        <vt:lpwstr/>
      </vt:variant>
      <vt:variant>
        <vt:lpwstr>_Toc361227070</vt:lpwstr>
      </vt:variant>
      <vt:variant>
        <vt:i4>1179696</vt:i4>
      </vt:variant>
      <vt:variant>
        <vt:i4>86</vt:i4>
      </vt:variant>
      <vt:variant>
        <vt:i4>0</vt:i4>
      </vt:variant>
      <vt:variant>
        <vt:i4>5</vt:i4>
      </vt:variant>
      <vt:variant>
        <vt:lpwstr/>
      </vt:variant>
      <vt:variant>
        <vt:lpwstr>_Toc361227069</vt:lpwstr>
      </vt:variant>
      <vt:variant>
        <vt:i4>1179696</vt:i4>
      </vt:variant>
      <vt:variant>
        <vt:i4>80</vt:i4>
      </vt:variant>
      <vt:variant>
        <vt:i4>0</vt:i4>
      </vt:variant>
      <vt:variant>
        <vt:i4>5</vt:i4>
      </vt:variant>
      <vt:variant>
        <vt:lpwstr/>
      </vt:variant>
      <vt:variant>
        <vt:lpwstr>_Toc361227068</vt:lpwstr>
      </vt:variant>
      <vt:variant>
        <vt:i4>1179696</vt:i4>
      </vt:variant>
      <vt:variant>
        <vt:i4>74</vt:i4>
      </vt:variant>
      <vt:variant>
        <vt:i4>0</vt:i4>
      </vt:variant>
      <vt:variant>
        <vt:i4>5</vt:i4>
      </vt:variant>
      <vt:variant>
        <vt:lpwstr/>
      </vt:variant>
      <vt:variant>
        <vt:lpwstr>_Toc361227067</vt:lpwstr>
      </vt:variant>
      <vt:variant>
        <vt:i4>1179696</vt:i4>
      </vt:variant>
      <vt:variant>
        <vt:i4>68</vt:i4>
      </vt:variant>
      <vt:variant>
        <vt:i4>0</vt:i4>
      </vt:variant>
      <vt:variant>
        <vt:i4>5</vt:i4>
      </vt:variant>
      <vt:variant>
        <vt:lpwstr/>
      </vt:variant>
      <vt:variant>
        <vt:lpwstr>_Toc361227066</vt:lpwstr>
      </vt:variant>
      <vt:variant>
        <vt:i4>1179696</vt:i4>
      </vt:variant>
      <vt:variant>
        <vt:i4>62</vt:i4>
      </vt:variant>
      <vt:variant>
        <vt:i4>0</vt:i4>
      </vt:variant>
      <vt:variant>
        <vt:i4>5</vt:i4>
      </vt:variant>
      <vt:variant>
        <vt:lpwstr/>
      </vt:variant>
      <vt:variant>
        <vt:lpwstr>_Toc361227065</vt:lpwstr>
      </vt:variant>
      <vt:variant>
        <vt:i4>1179696</vt:i4>
      </vt:variant>
      <vt:variant>
        <vt:i4>56</vt:i4>
      </vt:variant>
      <vt:variant>
        <vt:i4>0</vt:i4>
      </vt:variant>
      <vt:variant>
        <vt:i4>5</vt:i4>
      </vt:variant>
      <vt:variant>
        <vt:lpwstr/>
      </vt:variant>
      <vt:variant>
        <vt:lpwstr>_Toc361227064</vt:lpwstr>
      </vt:variant>
      <vt:variant>
        <vt:i4>1179696</vt:i4>
      </vt:variant>
      <vt:variant>
        <vt:i4>50</vt:i4>
      </vt:variant>
      <vt:variant>
        <vt:i4>0</vt:i4>
      </vt:variant>
      <vt:variant>
        <vt:i4>5</vt:i4>
      </vt:variant>
      <vt:variant>
        <vt:lpwstr/>
      </vt:variant>
      <vt:variant>
        <vt:lpwstr>_Toc361227063</vt:lpwstr>
      </vt:variant>
      <vt:variant>
        <vt:i4>1179696</vt:i4>
      </vt:variant>
      <vt:variant>
        <vt:i4>44</vt:i4>
      </vt:variant>
      <vt:variant>
        <vt:i4>0</vt:i4>
      </vt:variant>
      <vt:variant>
        <vt:i4>5</vt:i4>
      </vt:variant>
      <vt:variant>
        <vt:lpwstr/>
      </vt:variant>
      <vt:variant>
        <vt:lpwstr>_Toc361227062</vt:lpwstr>
      </vt:variant>
      <vt:variant>
        <vt:i4>1179696</vt:i4>
      </vt:variant>
      <vt:variant>
        <vt:i4>38</vt:i4>
      </vt:variant>
      <vt:variant>
        <vt:i4>0</vt:i4>
      </vt:variant>
      <vt:variant>
        <vt:i4>5</vt:i4>
      </vt:variant>
      <vt:variant>
        <vt:lpwstr/>
      </vt:variant>
      <vt:variant>
        <vt:lpwstr>_Toc361227061</vt:lpwstr>
      </vt:variant>
      <vt:variant>
        <vt:i4>1179696</vt:i4>
      </vt:variant>
      <vt:variant>
        <vt:i4>32</vt:i4>
      </vt:variant>
      <vt:variant>
        <vt:i4>0</vt:i4>
      </vt:variant>
      <vt:variant>
        <vt:i4>5</vt:i4>
      </vt:variant>
      <vt:variant>
        <vt:lpwstr/>
      </vt:variant>
      <vt:variant>
        <vt:lpwstr>_Toc361227060</vt:lpwstr>
      </vt:variant>
      <vt:variant>
        <vt:i4>1114160</vt:i4>
      </vt:variant>
      <vt:variant>
        <vt:i4>26</vt:i4>
      </vt:variant>
      <vt:variant>
        <vt:i4>0</vt:i4>
      </vt:variant>
      <vt:variant>
        <vt:i4>5</vt:i4>
      </vt:variant>
      <vt:variant>
        <vt:lpwstr/>
      </vt:variant>
      <vt:variant>
        <vt:lpwstr>_Toc361227059</vt:lpwstr>
      </vt:variant>
      <vt:variant>
        <vt:i4>1114160</vt:i4>
      </vt:variant>
      <vt:variant>
        <vt:i4>20</vt:i4>
      </vt:variant>
      <vt:variant>
        <vt:i4>0</vt:i4>
      </vt:variant>
      <vt:variant>
        <vt:i4>5</vt:i4>
      </vt:variant>
      <vt:variant>
        <vt:lpwstr/>
      </vt:variant>
      <vt:variant>
        <vt:lpwstr>_Toc361227058</vt:lpwstr>
      </vt:variant>
      <vt:variant>
        <vt:i4>1114160</vt:i4>
      </vt:variant>
      <vt:variant>
        <vt:i4>14</vt:i4>
      </vt:variant>
      <vt:variant>
        <vt:i4>0</vt:i4>
      </vt:variant>
      <vt:variant>
        <vt:i4>5</vt:i4>
      </vt:variant>
      <vt:variant>
        <vt:lpwstr/>
      </vt:variant>
      <vt:variant>
        <vt:lpwstr>_Toc361227057</vt:lpwstr>
      </vt:variant>
      <vt:variant>
        <vt:i4>1114160</vt:i4>
      </vt:variant>
      <vt:variant>
        <vt:i4>8</vt:i4>
      </vt:variant>
      <vt:variant>
        <vt:i4>0</vt:i4>
      </vt:variant>
      <vt:variant>
        <vt:i4>5</vt:i4>
      </vt:variant>
      <vt:variant>
        <vt:lpwstr/>
      </vt:variant>
      <vt:variant>
        <vt:lpwstr>_Toc361227056</vt:lpwstr>
      </vt:variant>
      <vt:variant>
        <vt:i4>1114160</vt:i4>
      </vt:variant>
      <vt:variant>
        <vt:i4>2</vt:i4>
      </vt:variant>
      <vt:variant>
        <vt:i4>0</vt:i4>
      </vt:variant>
      <vt:variant>
        <vt:i4>5</vt:i4>
      </vt:variant>
      <vt:variant>
        <vt:lpwstr/>
      </vt:variant>
      <vt:variant>
        <vt:lpwstr>_Toc361227055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0308 Att 3 App F</dc:title>
  <dc:subject/>
  <dc:creator>Document Conversion</dc:creator>
  <cp:keywords/>
  <dc:description/>
  <cp:lastModifiedBy>Curran, Bridget</cp:lastModifiedBy>
  <cp:revision>3</cp:revision>
  <cp:lastPrinted>2018-05-01T17:16:00Z</cp:lastPrinted>
  <dcterms:created xsi:type="dcterms:W3CDTF">2018-05-01T17:16:00Z</dcterms:created>
  <dcterms:modified xsi:type="dcterms:W3CDTF">2018-05-01T17:17:00Z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